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525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en-GB"/>
              </w:rPr>
            </w:pPr>
            <w:bookmarkStart w:id="1" w:name="a2"/>
            <w:r>
              <w:rPr>
                <w:lang w:val="en-GB"/>
              </w:rPr>
              <w:t>CRC/C/</w:t>
            </w:r>
            <w:bookmarkEnd w:id="1"/>
            <w:r>
              <w:rPr>
                <w:lang w:val="en-GB"/>
              </w:rPr>
              <w:t>GEO/3</w:t>
            </w:r>
            <w:bookmarkStart w:id="2" w:name="a3"/>
            <w:r>
              <w:rPr>
                <w:lang w:val="en-GB"/>
              </w:rPr>
              <w:br/>
              <w:t xml:space="preserve">22 </w:t>
            </w:r>
            <w:proofErr w:type="spellStart"/>
            <w:r>
              <w:rPr>
                <w:lang w:val="en-GB"/>
              </w:rPr>
              <w:t>août</w:t>
            </w:r>
            <w:proofErr w:type="spellEnd"/>
            <w:r>
              <w:rPr>
                <w:lang w:val="en-GB"/>
              </w:rPr>
              <w:t xml:space="preserve"> 2007</w:t>
            </w:r>
            <w:bookmarkEnd w:id="2"/>
          </w:p>
          <w:p w:rsidR="00000000" w:rsidRDefault="00000000">
            <w:pPr>
              <w:spacing w:after="120"/>
              <w:ind w:left="618"/>
            </w:pPr>
            <w:r>
              <w:t>FRANÇAIS</w:t>
            </w:r>
            <w:r>
              <w:br/>
              <w:t>Original: ANGLAIS</w:t>
            </w:r>
          </w:p>
        </w:tc>
      </w:tr>
    </w:tbl>
    <w:p w:rsidR="00000000" w:rsidRDefault="00000000">
      <w:pPr>
        <w:spacing w:before="920"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Troisièmes rapports périodiques des États parties demandés pour 2006</w:t>
      </w:r>
    </w:p>
    <w:p w:rsidR="00000000" w:rsidRDefault="00000000">
      <w:pPr>
        <w:spacing w:after="240"/>
        <w:jc w:val="center"/>
      </w:pPr>
      <w:r>
        <w:rPr>
          <w:b/>
          <w:bCs/>
        </w:rPr>
        <w:t>GÉORGIE</w:t>
      </w:r>
      <w:r>
        <w:rPr>
          <w:rStyle w:val="FootnoteReference"/>
        </w:rPr>
        <w:footnoteReference w:customMarkFollows="1" w:id="1"/>
        <w:t>*</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00"/>
        <w:ind w:left="567" w:hanging="567"/>
      </w:pPr>
      <w:r>
        <w:t>I.</w:t>
      </w:r>
      <w:r>
        <w:tab/>
        <w:t>INTRODUCTION</w:t>
      </w:r>
      <w:r>
        <w:tab/>
      </w:r>
      <w:r>
        <w:tab/>
        <w:t>1 − 10</w:t>
      </w:r>
      <w:r>
        <w:tab/>
        <w:t>4</w:t>
      </w:r>
    </w:p>
    <w:p w:rsidR="00000000" w:rsidRDefault="00000000">
      <w:pPr>
        <w:tabs>
          <w:tab w:val="right" w:leader="dot" w:pos="7371"/>
          <w:tab w:val="center" w:pos="8051"/>
          <w:tab w:val="right" w:pos="9299"/>
        </w:tabs>
        <w:spacing w:after="200"/>
        <w:ind w:left="567" w:hanging="567"/>
      </w:pPr>
      <w:r>
        <w:t>II.</w:t>
      </w:r>
      <w:r>
        <w:tab/>
        <w:t>MESURES D’APPLICATION GÉNÉRALES</w:t>
      </w:r>
      <w:r>
        <w:tab/>
      </w:r>
      <w:r>
        <w:tab/>
        <w:t>11 − 53</w:t>
      </w:r>
      <w:r>
        <w:tab/>
        <w:t>5</w:t>
      </w:r>
    </w:p>
    <w:p w:rsidR="00000000" w:rsidRDefault="00000000">
      <w:pPr>
        <w:tabs>
          <w:tab w:val="right" w:leader="dot" w:pos="7371"/>
          <w:tab w:val="center" w:pos="8051"/>
          <w:tab w:val="right" w:pos="9299"/>
        </w:tabs>
        <w:spacing w:after="200"/>
        <w:ind w:left="567" w:hanging="567"/>
      </w:pPr>
      <w:r>
        <w:t>III.</w:t>
      </w:r>
      <w:r>
        <w:tab/>
        <w:t>DÉFINITION DE L’ENFANT</w:t>
      </w:r>
      <w:r>
        <w:tab/>
      </w:r>
      <w:r>
        <w:tab/>
        <w:t>54 − 56</w:t>
      </w:r>
      <w:r>
        <w:tab/>
        <w:t>13</w:t>
      </w:r>
    </w:p>
    <w:p w:rsidR="00000000" w:rsidRDefault="00000000">
      <w:pPr>
        <w:tabs>
          <w:tab w:val="right" w:leader="dot" w:pos="7371"/>
          <w:tab w:val="center" w:pos="8051"/>
          <w:tab w:val="right" w:pos="9299"/>
        </w:tabs>
        <w:spacing w:after="200"/>
        <w:ind w:left="567" w:hanging="567"/>
      </w:pPr>
      <w:r>
        <w:t>IV.</w:t>
      </w:r>
      <w:r>
        <w:tab/>
      </w:r>
      <w:r>
        <w:rPr>
          <w:lang w:val="fr-FR"/>
        </w:rPr>
        <w:t>PRINCIPES GÉNÉRAUX</w:t>
      </w:r>
      <w:r>
        <w:rPr>
          <w:lang w:val="fr-FR"/>
        </w:rPr>
        <w:tab/>
      </w:r>
      <w:r>
        <w:rPr>
          <w:lang w:val="fr-FR"/>
        </w:rPr>
        <w:tab/>
        <w:t>57 − 85</w:t>
      </w:r>
      <w:r>
        <w:rPr>
          <w:lang w:val="fr-FR"/>
        </w:rPr>
        <w:tab/>
        <w:t>13</w:t>
      </w:r>
    </w:p>
    <w:p w:rsidR="00000000" w:rsidRDefault="00000000">
      <w:pPr>
        <w:tabs>
          <w:tab w:val="left" w:pos="1080"/>
          <w:tab w:val="right" w:leader="dot" w:pos="7371"/>
          <w:tab w:val="center" w:pos="8051"/>
          <w:tab w:val="right" w:pos="9299"/>
        </w:tabs>
        <w:spacing w:after="200"/>
        <w:ind w:left="567" w:hanging="567"/>
        <w:rPr>
          <w:lang w:val="fr-FR"/>
        </w:rPr>
      </w:pPr>
      <w:r>
        <w:tab/>
        <w:t>A.</w:t>
      </w:r>
      <w:r>
        <w:tab/>
      </w:r>
      <w:proofErr w:type="spellStart"/>
      <w:r>
        <w:rPr>
          <w:lang w:val="fr-FR"/>
        </w:rPr>
        <w:t>Non</w:t>
      </w:r>
      <w:r>
        <w:rPr>
          <w:lang w:val="fr-FR"/>
        </w:rPr>
        <w:noBreakHyphen/>
        <w:t>discrimination</w:t>
      </w:r>
      <w:proofErr w:type="spellEnd"/>
      <w:r>
        <w:rPr>
          <w:lang w:val="fr-FR"/>
        </w:rPr>
        <w:t xml:space="preserve"> (art. 2)</w:t>
      </w:r>
      <w:r>
        <w:rPr>
          <w:lang w:val="fr-FR"/>
        </w:rPr>
        <w:tab/>
      </w:r>
      <w:r>
        <w:rPr>
          <w:lang w:val="fr-FR"/>
        </w:rPr>
        <w:tab/>
        <w:t>59 − 75</w:t>
      </w:r>
      <w:r>
        <w:rPr>
          <w:lang w:val="fr-FR"/>
        </w:rPr>
        <w:tab/>
        <w:t>14</w:t>
      </w:r>
    </w:p>
    <w:p w:rsidR="00000000" w:rsidRDefault="00000000">
      <w:pPr>
        <w:tabs>
          <w:tab w:val="left" w:pos="1080"/>
          <w:tab w:val="right" w:leader="dot" w:pos="7371"/>
          <w:tab w:val="center" w:pos="8051"/>
          <w:tab w:val="right" w:pos="9299"/>
        </w:tabs>
        <w:spacing w:after="200"/>
        <w:ind w:left="567" w:hanging="567"/>
      </w:pPr>
      <w:r>
        <w:tab/>
        <w:t>B.</w:t>
      </w:r>
      <w:r>
        <w:tab/>
        <w:t>Intérêt supérieur de l’enfant (art. 3)</w:t>
      </w:r>
      <w:r>
        <w:tab/>
      </w:r>
      <w:r>
        <w:tab/>
        <w:t>76</w:t>
      </w:r>
      <w:r>
        <w:tab/>
        <w:t>16</w:t>
      </w:r>
    </w:p>
    <w:p w:rsidR="00000000" w:rsidRDefault="00000000">
      <w:pPr>
        <w:tabs>
          <w:tab w:val="left" w:pos="1080"/>
          <w:tab w:val="right" w:leader="dot" w:pos="7371"/>
          <w:tab w:val="center" w:pos="8051"/>
          <w:tab w:val="right" w:pos="9299"/>
        </w:tabs>
        <w:spacing w:after="200"/>
        <w:ind w:left="567" w:hanging="567"/>
      </w:pPr>
      <w:r>
        <w:tab/>
        <w:t>C.</w:t>
      </w:r>
      <w:r>
        <w:tab/>
        <w:t>Droit à la vie, à la survie et au développement (art. 6)</w:t>
      </w:r>
      <w:r>
        <w:tab/>
      </w:r>
      <w:r>
        <w:tab/>
        <w:t>77</w:t>
      </w:r>
      <w:r>
        <w:tab/>
        <w:t>16</w:t>
      </w:r>
    </w:p>
    <w:p w:rsidR="00000000" w:rsidRDefault="00000000">
      <w:pPr>
        <w:tabs>
          <w:tab w:val="left" w:pos="1080"/>
          <w:tab w:val="right" w:leader="dot" w:pos="7371"/>
          <w:tab w:val="center" w:pos="8051"/>
          <w:tab w:val="right" w:pos="9299"/>
        </w:tabs>
        <w:spacing w:after="200"/>
        <w:ind w:left="567" w:hanging="567"/>
      </w:pPr>
      <w:r>
        <w:tab/>
        <w:t>D.</w:t>
      </w:r>
      <w:r>
        <w:tab/>
        <w:t>Respect des opinions de l’enfant (art. 12)</w:t>
      </w:r>
      <w:r>
        <w:tab/>
      </w:r>
      <w:r>
        <w:tab/>
        <w:t>78 − 85</w:t>
      </w:r>
      <w:r>
        <w:tab/>
        <w:t>16</w:t>
      </w:r>
    </w:p>
    <w:p w:rsidR="00000000" w:rsidRDefault="00000000">
      <w:pPr>
        <w:tabs>
          <w:tab w:val="left" w:pos="1080"/>
          <w:tab w:val="right" w:leader="dot" w:pos="7371"/>
          <w:tab w:val="center" w:pos="8051"/>
          <w:tab w:val="right" w:pos="9299"/>
        </w:tabs>
        <w:spacing w:after="200"/>
        <w:ind w:left="567" w:hanging="567"/>
        <w:rPr>
          <w:lang w:val="fr-FR"/>
        </w:rPr>
      </w:pPr>
      <w:r>
        <w:rPr>
          <w:lang w:val="fr-FR"/>
        </w:rPr>
        <w:t>V.</w:t>
      </w:r>
      <w:r>
        <w:rPr>
          <w:lang w:val="fr-FR"/>
        </w:rPr>
        <w:tab/>
        <w:t>DROITS ET LIBERTÉS CIVILS</w:t>
      </w:r>
      <w:r>
        <w:rPr>
          <w:lang w:val="fr-FR"/>
        </w:rPr>
        <w:tab/>
      </w:r>
      <w:r>
        <w:rPr>
          <w:lang w:val="fr-FR"/>
        </w:rPr>
        <w:tab/>
        <w:t>86 − 103</w:t>
      </w:r>
      <w:r>
        <w:rPr>
          <w:lang w:val="fr-FR"/>
        </w:rPr>
        <w:tab/>
        <w:t>18</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A.</w:t>
      </w:r>
      <w:r>
        <w:rPr>
          <w:lang w:val="fr-FR"/>
        </w:rPr>
        <w:tab/>
        <w:t>Nom et nationalité (art. 7)</w:t>
      </w:r>
      <w:r>
        <w:rPr>
          <w:lang w:val="fr-FR"/>
        </w:rPr>
        <w:tab/>
      </w:r>
      <w:r>
        <w:rPr>
          <w:lang w:val="fr-FR"/>
        </w:rPr>
        <w:tab/>
        <w:t>86 − 87</w:t>
      </w:r>
      <w:r>
        <w:rPr>
          <w:lang w:val="fr-FR"/>
        </w:rPr>
        <w:tab/>
        <w:t>18</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B.</w:t>
      </w:r>
      <w:r>
        <w:rPr>
          <w:lang w:val="fr-FR"/>
        </w:rPr>
        <w:tab/>
        <w:t>Préservation de l’identité (art. 8)</w:t>
      </w:r>
      <w:r>
        <w:rPr>
          <w:lang w:val="fr-FR"/>
        </w:rPr>
        <w:tab/>
      </w:r>
      <w:r>
        <w:rPr>
          <w:lang w:val="fr-FR"/>
        </w:rPr>
        <w:tab/>
        <w:t>88</w:t>
      </w:r>
      <w:r>
        <w:rPr>
          <w:lang w:val="fr-FR"/>
        </w:rPr>
        <w:tab/>
        <w:t>18</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C.</w:t>
      </w:r>
      <w:r>
        <w:rPr>
          <w:lang w:val="fr-FR"/>
        </w:rPr>
        <w:tab/>
        <w:t>Liberté d’expression (art. 13)</w:t>
      </w:r>
      <w:r>
        <w:rPr>
          <w:lang w:val="fr-FR"/>
        </w:rPr>
        <w:tab/>
      </w:r>
      <w:r>
        <w:rPr>
          <w:lang w:val="fr-FR"/>
        </w:rPr>
        <w:tab/>
        <w:t>89 − 90</w:t>
      </w:r>
      <w:r>
        <w:rPr>
          <w:lang w:val="fr-FR"/>
        </w:rPr>
        <w:tab/>
        <w:t>18</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D.</w:t>
      </w:r>
      <w:r>
        <w:rPr>
          <w:lang w:val="fr-FR"/>
        </w:rPr>
        <w:tab/>
        <w:t>Accès à une information appropriée (art. 17)</w:t>
      </w:r>
      <w:r>
        <w:rPr>
          <w:lang w:val="fr-FR"/>
        </w:rPr>
        <w:tab/>
      </w:r>
      <w:r>
        <w:rPr>
          <w:lang w:val="fr-FR"/>
        </w:rPr>
        <w:tab/>
        <w:t>91 − 92</w:t>
      </w:r>
      <w:r>
        <w:rPr>
          <w:lang w:val="fr-FR"/>
        </w:rPr>
        <w:tab/>
        <w:t>19</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E.</w:t>
      </w:r>
      <w:r>
        <w:rPr>
          <w:lang w:val="fr-FR"/>
        </w:rPr>
        <w:tab/>
        <w:t>Liberté de pensée, de conscience et de religion (art. 14)</w:t>
      </w:r>
      <w:r>
        <w:rPr>
          <w:lang w:val="fr-FR"/>
        </w:rPr>
        <w:tab/>
      </w:r>
      <w:r>
        <w:rPr>
          <w:lang w:val="fr-FR"/>
        </w:rPr>
        <w:tab/>
        <w:t>93</w:t>
      </w:r>
      <w:r>
        <w:rPr>
          <w:lang w:val="fr-FR"/>
        </w:rPr>
        <w:tab/>
        <w:t>19</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F.</w:t>
      </w:r>
      <w:r>
        <w:rPr>
          <w:lang w:val="fr-FR"/>
        </w:rPr>
        <w:tab/>
        <w:t>Liberté d’association et de réunion pacifique (art. 15)</w:t>
      </w:r>
      <w:r>
        <w:rPr>
          <w:lang w:val="fr-FR"/>
        </w:rPr>
        <w:tab/>
      </w:r>
      <w:r>
        <w:rPr>
          <w:lang w:val="fr-FR"/>
        </w:rPr>
        <w:tab/>
        <w:t>94</w:t>
      </w:r>
      <w:r>
        <w:rPr>
          <w:lang w:val="fr-FR"/>
        </w:rPr>
        <w:tab/>
        <w:t>19</w:t>
      </w:r>
    </w:p>
    <w:p w:rsidR="00000000" w:rsidRDefault="00000000">
      <w:pPr>
        <w:tabs>
          <w:tab w:val="left" w:pos="1080"/>
          <w:tab w:val="right" w:leader="dot" w:pos="7371"/>
          <w:tab w:val="center" w:pos="8051"/>
          <w:tab w:val="right" w:pos="9299"/>
        </w:tabs>
        <w:spacing w:after="200"/>
        <w:ind w:left="567" w:hanging="567"/>
        <w:rPr>
          <w:lang w:val="fr-FR"/>
        </w:rPr>
      </w:pPr>
      <w:r>
        <w:rPr>
          <w:lang w:val="fr-FR"/>
        </w:rPr>
        <w:tab/>
        <w:t>G.</w:t>
      </w:r>
      <w:r>
        <w:rPr>
          <w:lang w:val="fr-FR"/>
        </w:rPr>
        <w:tab/>
        <w:t>Protection de la vie privée (art. 16)</w:t>
      </w:r>
      <w:r>
        <w:rPr>
          <w:lang w:val="fr-FR"/>
        </w:rPr>
        <w:tab/>
      </w:r>
      <w:r>
        <w:rPr>
          <w:lang w:val="fr-FR"/>
        </w:rPr>
        <w:tab/>
        <w:t>95</w:t>
      </w:r>
      <w:r>
        <w:rPr>
          <w:lang w:val="fr-FR"/>
        </w:rPr>
        <w:tab/>
        <w:t>19</w:t>
      </w:r>
    </w:p>
    <w:p w:rsidR="00000000" w:rsidRDefault="00000000">
      <w:pPr>
        <w:tabs>
          <w:tab w:val="left" w:pos="600"/>
          <w:tab w:val="right" w:leader="dot" w:pos="7371"/>
          <w:tab w:val="center" w:pos="8051"/>
          <w:tab w:val="right" w:pos="9299"/>
        </w:tabs>
        <w:spacing w:after="200"/>
        <w:ind w:left="1077" w:hanging="1077"/>
        <w:rPr>
          <w:lang w:val="fr-FR"/>
        </w:rPr>
      </w:pPr>
      <w:r>
        <w:rPr>
          <w:lang w:val="fr-FR"/>
        </w:rPr>
        <w:tab/>
        <w:t>H.</w:t>
      </w:r>
      <w:r>
        <w:rPr>
          <w:lang w:val="fr-FR"/>
        </w:rPr>
        <w:tab/>
        <w:t>Droit de ne pas être soumis à la torture ni à des peines ou</w:t>
      </w:r>
      <w:r>
        <w:rPr>
          <w:lang w:val="fr-FR"/>
        </w:rPr>
        <w:br/>
        <w:t>traitements cruels, inhumains ou dégradants (art. 37, par. 1)</w:t>
      </w:r>
      <w:r>
        <w:rPr>
          <w:lang w:val="fr-FR"/>
        </w:rPr>
        <w:tab/>
      </w:r>
      <w:r>
        <w:rPr>
          <w:lang w:val="fr-FR"/>
        </w:rPr>
        <w:tab/>
        <w:t>96 − 103</w:t>
      </w:r>
      <w:r>
        <w:rPr>
          <w:lang w:val="fr-FR"/>
        </w:rPr>
        <w:tab/>
        <w:t>19</w:t>
      </w:r>
    </w:p>
    <w:p w:rsidR="00000000" w:rsidRDefault="00000000">
      <w:pPr>
        <w:tabs>
          <w:tab w:val="left" w:pos="1080"/>
          <w:tab w:val="right" w:leader="dot" w:pos="7371"/>
          <w:tab w:val="center" w:pos="8051"/>
          <w:tab w:val="right" w:pos="9299"/>
        </w:tabs>
        <w:spacing w:after="200"/>
        <w:ind w:left="567" w:hanging="567"/>
      </w:pPr>
      <w:r>
        <w:t>VI.</w:t>
      </w:r>
      <w:r>
        <w:tab/>
        <w:t>MILIEU FAMILIAL ET PROTECTION DE REMPLACEMENT</w:t>
      </w:r>
      <w:r>
        <w:tab/>
      </w:r>
      <w:r>
        <w:tab/>
        <w:t>104 − 144</w:t>
      </w:r>
      <w:r>
        <w:tab/>
        <w:t>21</w:t>
      </w:r>
    </w:p>
    <w:p w:rsidR="00000000" w:rsidRDefault="00000000">
      <w:pPr>
        <w:tabs>
          <w:tab w:val="left" w:pos="1080"/>
          <w:tab w:val="right" w:leader="dot" w:pos="7371"/>
          <w:tab w:val="center" w:pos="8051"/>
          <w:tab w:val="right" w:pos="9299"/>
        </w:tabs>
        <w:spacing w:after="200"/>
        <w:ind w:left="567" w:hanging="567"/>
      </w:pPr>
      <w:r>
        <w:tab/>
        <w:t>A.</w:t>
      </w:r>
      <w:r>
        <w:tab/>
        <w:t>Enfants privés de leur milieu familial (art. 20)</w:t>
      </w:r>
      <w:r>
        <w:tab/>
      </w:r>
      <w:r>
        <w:tab/>
        <w:t>105 − 114</w:t>
      </w:r>
      <w:r>
        <w:tab/>
        <w:t>22</w:t>
      </w:r>
    </w:p>
    <w:p w:rsidR="00000000" w:rsidRDefault="00000000">
      <w:pPr>
        <w:tabs>
          <w:tab w:val="left" w:pos="1080"/>
          <w:tab w:val="right" w:leader="dot" w:pos="7371"/>
          <w:tab w:val="center" w:pos="8051"/>
          <w:tab w:val="right" w:pos="9299"/>
        </w:tabs>
        <w:spacing w:after="200"/>
        <w:ind w:left="567" w:hanging="567"/>
        <w:rPr>
          <w:lang w:val="en-GB"/>
        </w:rPr>
      </w:pPr>
      <w:r>
        <w:rPr>
          <w:lang w:val="fr-FR"/>
        </w:rPr>
        <w:tab/>
      </w:r>
      <w:r>
        <w:rPr>
          <w:lang w:val="en-GB"/>
        </w:rPr>
        <w:t>B.</w:t>
      </w:r>
      <w:r>
        <w:rPr>
          <w:lang w:val="en-GB"/>
        </w:rPr>
        <w:tab/>
        <w:t>Adoption (art. 21)</w:t>
      </w:r>
      <w:r>
        <w:rPr>
          <w:lang w:val="en-GB"/>
        </w:rPr>
        <w:tab/>
      </w:r>
      <w:r>
        <w:rPr>
          <w:lang w:val="en-GB"/>
        </w:rPr>
        <w:tab/>
        <w:t>115 − 123</w:t>
      </w:r>
      <w:r>
        <w:rPr>
          <w:lang w:val="en-GB"/>
        </w:rPr>
        <w:tab/>
        <w:t>25</w:t>
      </w:r>
    </w:p>
    <w:p w:rsidR="00000000" w:rsidRDefault="00000000">
      <w:pPr>
        <w:tabs>
          <w:tab w:val="left" w:pos="1080"/>
          <w:tab w:val="right" w:leader="dot" w:pos="7371"/>
          <w:tab w:val="center" w:pos="8051"/>
          <w:tab w:val="right" w:pos="9299"/>
        </w:tabs>
        <w:spacing w:after="200"/>
        <w:ind w:left="567" w:hanging="567"/>
      </w:pPr>
      <w:r>
        <w:rPr>
          <w:lang w:val="en-GB"/>
        </w:rPr>
        <w:tab/>
      </w:r>
      <w:r>
        <w:t>C.</w:t>
      </w:r>
      <w:r>
        <w:tab/>
        <w:t xml:space="preserve">Déplacement et </w:t>
      </w:r>
      <w:proofErr w:type="spellStart"/>
      <w:r>
        <w:t>non</w:t>
      </w:r>
      <w:r>
        <w:noBreakHyphen/>
        <w:t>retour</w:t>
      </w:r>
      <w:proofErr w:type="spellEnd"/>
      <w:r>
        <w:t xml:space="preserve"> illicites (art. 11)</w:t>
      </w:r>
      <w:r>
        <w:tab/>
      </w:r>
      <w:r>
        <w:tab/>
        <w:t>124 − 128</w:t>
      </w:r>
      <w:r>
        <w:tab/>
        <w:t>28</w:t>
      </w:r>
    </w:p>
    <w:p w:rsidR="00000000" w:rsidRDefault="00000000">
      <w:pPr>
        <w:tabs>
          <w:tab w:val="left" w:pos="1080"/>
          <w:tab w:val="right" w:leader="dot" w:pos="7371"/>
          <w:tab w:val="center" w:pos="8051"/>
          <w:tab w:val="right" w:pos="9299"/>
        </w:tabs>
        <w:spacing w:after="200"/>
        <w:ind w:left="567" w:hanging="567"/>
      </w:pPr>
      <w:r>
        <w:tab/>
        <w:t>D.</w:t>
      </w:r>
      <w:r>
        <w:tab/>
        <w:t>Examen périodique du placement (art. 25)</w:t>
      </w:r>
      <w:r>
        <w:tab/>
      </w:r>
      <w:r>
        <w:tab/>
        <w:t>129 − 131</w:t>
      </w:r>
      <w:r>
        <w:tab/>
        <w:t>28</w:t>
      </w:r>
    </w:p>
    <w:p w:rsidR="00000000" w:rsidRDefault="00000000">
      <w:pPr>
        <w:tabs>
          <w:tab w:val="left" w:pos="1080"/>
          <w:tab w:val="right" w:leader="dot" w:pos="7371"/>
          <w:tab w:val="center" w:pos="8051"/>
          <w:tab w:val="right" w:pos="9299"/>
        </w:tabs>
        <w:spacing w:after="200"/>
        <w:ind w:left="567" w:hanging="567"/>
      </w:pPr>
      <w:r>
        <w:tab/>
        <w:t>E.</w:t>
      </w:r>
      <w:r>
        <w:tab/>
        <w:t>Violences et négligences (art. 19 et 39)</w:t>
      </w:r>
      <w:r>
        <w:tab/>
      </w:r>
      <w:r>
        <w:tab/>
        <w:t>132 − 144</w:t>
      </w:r>
      <w:r>
        <w:tab/>
        <w:t>29</w:t>
      </w:r>
    </w:p>
    <w:p w:rsidR="00000000" w:rsidRDefault="00000000">
      <w:pPr>
        <w:spacing w:after="240"/>
        <w:jc w:val="center"/>
        <w:rPr>
          <w:b/>
          <w:bCs/>
        </w:rPr>
      </w:pPr>
      <w:r>
        <w:rPr>
          <w:b/>
          <w:bCs/>
        </w:rPr>
        <w:br w:type="page"/>
        <w:t>TABLE DES MATIÈRES (</w:t>
      </w:r>
      <w:r>
        <w:rPr>
          <w:b/>
          <w:bCs/>
          <w:i/>
          <w:iCs/>
        </w:rPr>
        <w:t>suite</w:t>
      </w:r>
      <w:r>
        <w:rPr>
          <w:b/>
          <w:bCs/>
        </w:rP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left" w:pos="1080"/>
          <w:tab w:val="right" w:leader="dot" w:pos="7371"/>
          <w:tab w:val="center" w:pos="8051"/>
          <w:tab w:val="right" w:pos="9299"/>
        </w:tabs>
        <w:spacing w:after="240"/>
        <w:ind w:left="567" w:hanging="567"/>
      </w:pPr>
      <w:r>
        <w:t>VII.</w:t>
      </w:r>
      <w:r>
        <w:tab/>
        <w:t>SANTÉ ET BIEN-ÊTRE</w:t>
      </w:r>
      <w:r>
        <w:tab/>
      </w:r>
      <w:r>
        <w:tab/>
        <w:t>145 − 211</w:t>
      </w:r>
      <w:r>
        <w:tab/>
        <w:t>31</w:t>
      </w:r>
    </w:p>
    <w:p w:rsidR="00000000" w:rsidRDefault="00000000">
      <w:pPr>
        <w:tabs>
          <w:tab w:val="left" w:pos="1080"/>
          <w:tab w:val="right" w:leader="dot" w:pos="7371"/>
          <w:tab w:val="center" w:pos="8051"/>
          <w:tab w:val="right" w:pos="9299"/>
        </w:tabs>
        <w:spacing w:after="240"/>
        <w:ind w:left="567" w:hanging="567"/>
      </w:pPr>
      <w:r>
        <w:tab/>
        <w:t>A.</w:t>
      </w:r>
      <w:r>
        <w:tab/>
        <w:t>Enfants handicapés (art. 23)</w:t>
      </w:r>
      <w:r>
        <w:tab/>
      </w:r>
      <w:r>
        <w:tab/>
        <w:t>145 − 156</w:t>
      </w:r>
      <w:r>
        <w:tab/>
        <w:t>31</w:t>
      </w:r>
    </w:p>
    <w:p w:rsidR="00000000" w:rsidRDefault="00000000">
      <w:pPr>
        <w:tabs>
          <w:tab w:val="left" w:pos="1080"/>
          <w:tab w:val="right" w:leader="dot" w:pos="7371"/>
          <w:tab w:val="center" w:pos="8051"/>
          <w:tab w:val="right" w:pos="9299"/>
        </w:tabs>
        <w:spacing w:after="240"/>
        <w:ind w:left="567" w:hanging="567"/>
      </w:pPr>
      <w:r>
        <w:tab/>
        <w:t>B.</w:t>
      </w:r>
      <w:r>
        <w:tab/>
        <w:t>Santé et services médicaux (art. 24)</w:t>
      </w:r>
      <w:r>
        <w:tab/>
      </w:r>
      <w:r>
        <w:tab/>
        <w:t>157 − 189</w:t>
      </w:r>
      <w:r>
        <w:tab/>
        <w:t>34</w:t>
      </w:r>
    </w:p>
    <w:p w:rsidR="00000000" w:rsidRDefault="00000000">
      <w:pPr>
        <w:tabs>
          <w:tab w:val="left" w:pos="600"/>
          <w:tab w:val="right" w:leader="dot" w:pos="7371"/>
          <w:tab w:val="center" w:pos="8051"/>
          <w:tab w:val="right" w:pos="9299"/>
        </w:tabs>
        <w:spacing w:after="200"/>
        <w:ind w:left="1077" w:hanging="1077"/>
      </w:pPr>
      <w:r>
        <w:tab/>
        <w:t>C.</w:t>
      </w:r>
      <w:r>
        <w:tab/>
        <w:t>Sécurité sociale et services et établissements de prise en charge</w:t>
      </w:r>
      <w:r>
        <w:br/>
        <w:t xml:space="preserve">des </w:t>
      </w:r>
      <w:r>
        <w:rPr>
          <w:lang w:val="fr-FR"/>
        </w:rPr>
        <w:t xml:space="preserve">enfants </w:t>
      </w:r>
      <w:r>
        <w:t>(art. 26 et 18, par. 3)</w:t>
      </w:r>
      <w:r>
        <w:tab/>
      </w:r>
      <w:r>
        <w:tab/>
        <w:t>190 − 193</w:t>
      </w:r>
      <w:r>
        <w:tab/>
        <w:t>42</w:t>
      </w:r>
    </w:p>
    <w:p w:rsidR="00000000" w:rsidRDefault="00000000">
      <w:pPr>
        <w:tabs>
          <w:tab w:val="left" w:pos="1080"/>
          <w:tab w:val="right" w:leader="dot" w:pos="7371"/>
          <w:tab w:val="center" w:pos="8051"/>
          <w:tab w:val="right" w:pos="9299"/>
        </w:tabs>
        <w:spacing w:after="240"/>
        <w:ind w:left="567" w:hanging="567"/>
        <w:rPr>
          <w:bCs/>
        </w:rPr>
      </w:pPr>
      <w:r>
        <w:rPr>
          <w:bCs/>
        </w:rPr>
        <w:tab/>
        <w:t>D.</w:t>
      </w:r>
      <w:r>
        <w:rPr>
          <w:bCs/>
        </w:rPr>
        <w:tab/>
        <w:t>Niveau de vie (art. 27, par. 1, 2 et 3)</w:t>
      </w:r>
      <w:r>
        <w:rPr>
          <w:bCs/>
        </w:rPr>
        <w:tab/>
      </w:r>
      <w:r>
        <w:rPr>
          <w:bCs/>
        </w:rPr>
        <w:tab/>
        <w:t>194 − 211</w:t>
      </w:r>
      <w:r>
        <w:rPr>
          <w:bCs/>
        </w:rPr>
        <w:tab/>
        <w:t>43</w:t>
      </w:r>
    </w:p>
    <w:p w:rsidR="00000000" w:rsidRDefault="00000000">
      <w:pPr>
        <w:tabs>
          <w:tab w:val="left" w:pos="1080"/>
          <w:tab w:val="right" w:leader="dot" w:pos="7371"/>
          <w:tab w:val="center" w:pos="8051"/>
          <w:tab w:val="right" w:pos="9299"/>
        </w:tabs>
        <w:spacing w:after="240"/>
        <w:ind w:left="567" w:hanging="567"/>
        <w:rPr>
          <w:lang w:val="fr-FR"/>
        </w:rPr>
      </w:pPr>
      <w:r>
        <w:rPr>
          <w:lang w:val="fr-FR"/>
        </w:rPr>
        <w:t>VIII.</w:t>
      </w:r>
      <w:r>
        <w:rPr>
          <w:lang w:val="fr-FR"/>
        </w:rPr>
        <w:tab/>
        <w:t>ÉDUCATION, LOISIRS ET ACTIVITÉS CULTURELLES</w:t>
      </w:r>
      <w:r>
        <w:rPr>
          <w:lang w:val="fr-FR"/>
        </w:rPr>
        <w:tab/>
      </w:r>
      <w:r>
        <w:rPr>
          <w:lang w:val="fr-FR"/>
        </w:rPr>
        <w:tab/>
        <w:t>212 − 225</w:t>
      </w:r>
      <w:r>
        <w:rPr>
          <w:lang w:val="fr-FR"/>
        </w:rPr>
        <w:tab/>
        <w:t>48</w:t>
      </w:r>
    </w:p>
    <w:p w:rsidR="00000000" w:rsidRDefault="00000000">
      <w:pPr>
        <w:tabs>
          <w:tab w:val="left" w:pos="1080"/>
          <w:tab w:val="right" w:leader="dot" w:pos="7371"/>
          <w:tab w:val="center" w:pos="8051"/>
          <w:tab w:val="right" w:pos="9299"/>
        </w:tabs>
        <w:spacing w:after="240"/>
        <w:ind w:left="567" w:hanging="567"/>
        <w:rPr>
          <w:lang w:val="fr-FR"/>
        </w:rPr>
      </w:pPr>
      <w:r>
        <w:rPr>
          <w:lang w:val="fr-FR"/>
        </w:rPr>
        <w:tab/>
        <w:t>A.</w:t>
      </w:r>
      <w:r>
        <w:rPr>
          <w:lang w:val="fr-FR"/>
        </w:rPr>
        <w:tab/>
        <w:t>Le droit à l’éducation (art. 28 et 29)</w:t>
      </w:r>
      <w:r>
        <w:rPr>
          <w:lang w:val="fr-FR"/>
        </w:rPr>
        <w:tab/>
      </w:r>
      <w:r>
        <w:rPr>
          <w:lang w:val="fr-FR"/>
        </w:rPr>
        <w:tab/>
        <w:t>212 − 225</w:t>
      </w:r>
      <w:r>
        <w:rPr>
          <w:lang w:val="fr-FR"/>
        </w:rPr>
        <w:tab/>
        <w:t>48</w:t>
      </w:r>
    </w:p>
    <w:p w:rsidR="00000000" w:rsidRDefault="00000000">
      <w:pPr>
        <w:tabs>
          <w:tab w:val="left" w:pos="1080"/>
          <w:tab w:val="right" w:leader="dot" w:pos="7371"/>
          <w:tab w:val="center" w:pos="8051"/>
          <w:tab w:val="right" w:pos="9299"/>
        </w:tabs>
        <w:spacing w:after="240"/>
        <w:ind w:left="567" w:hanging="567"/>
      </w:pPr>
      <w:r>
        <w:t>IX.</w:t>
      </w:r>
      <w:r>
        <w:tab/>
        <w:t>MESURES DE PROTECTION SPÉCIALES</w:t>
      </w:r>
      <w:r>
        <w:tab/>
      </w:r>
      <w:r>
        <w:tab/>
        <w:t>226 − 297</w:t>
      </w:r>
      <w:r>
        <w:tab/>
        <w:t>60</w:t>
      </w:r>
    </w:p>
    <w:p w:rsidR="00000000" w:rsidRDefault="00000000">
      <w:pPr>
        <w:tabs>
          <w:tab w:val="left" w:pos="1080"/>
          <w:tab w:val="right" w:leader="dot" w:pos="7371"/>
          <w:tab w:val="center" w:pos="8051"/>
          <w:tab w:val="right" w:pos="9299"/>
        </w:tabs>
        <w:spacing w:after="240"/>
        <w:ind w:left="567" w:hanging="567"/>
      </w:pPr>
      <w:r>
        <w:tab/>
        <w:t>A.</w:t>
      </w:r>
      <w:r>
        <w:tab/>
        <w:t>Enfants en situation d’urgence</w:t>
      </w:r>
      <w:r>
        <w:tab/>
      </w:r>
      <w:r>
        <w:tab/>
        <w:t>226 − 236</w:t>
      </w:r>
      <w:r>
        <w:tab/>
        <w:t>60</w:t>
      </w:r>
    </w:p>
    <w:p w:rsidR="00000000" w:rsidRDefault="00000000">
      <w:pPr>
        <w:tabs>
          <w:tab w:val="left" w:pos="1080"/>
          <w:tab w:val="left" w:pos="1680"/>
          <w:tab w:val="right" w:leader="dot" w:pos="7371"/>
          <w:tab w:val="center" w:pos="8051"/>
          <w:tab w:val="right" w:pos="9299"/>
        </w:tabs>
        <w:spacing w:after="240"/>
        <w:ind w:left="1678" w:hanging="1678"/>
      </w:pPr>
      <w:r>
        <w:tab/>
        <w:t>1.</w:t>
      </w:r>
      <w:r>
        <w:tab/>
        <w:t>Enfants réfugiés et enfants déplacés dans</w:t>
      </w:r>
      <w:r>
        <w:br/>
        <w:t>leur propre pays</w:t>
      </w:r>
      <w:r>
        <w:tab/>
      </w:r>
      <w:r>
        <w:tab/>
        <w:t>226 − 236</w:t>
      </w:r>
      <w:r>
        <w:tab/>
        <w:t>60</w:t>
      </w:r>
    </w:p>
    <w:p w:rsidR="00000000" w:rsidRDefault="00000000">
      <w:pPr>
        <w:tabs>
          <w:tab w:val="left" w:pos="1080"/>
          <w:tab w:val="right" w:leader="dot" w:pos="7371"/>
          <w:tab w:val="center" w:pos="8051"/>
          <w:tab w:val="right" w:pos="9299"/>
        </w:tabs>
        <w:spacing w:after="240"/>
        <w:ind w:left="567" w:hanging="567"/>
      </w:pPr>
      <w:r>
        <w:tab/>
        <w:t>B.</w:t>
      </w:r>
      <w:r>
        <w:tab/>
        <w:t>Enfants en situation d’exploitation</w:t>
      </w:r>
      <w:r>
        <w:tab/>
      </w:r>
      <w:r>
        <w:tab/>
        <w:t>237 − 277</w:t>
      </w:r>
      <w:r>
        <w:tab/>
        <w:t>63</w:t>
      </w:r>
    </w:p>
    <w:p w:rsidR="00000000" w:rsidRDefault="00000000">
      <w:pPr>
        <w:tabs>
          <w:tab w:val="left" w:pos="1080"/>
          <w:tab w:val="left" w:pos="1680"/>
          <w:tab w:val="right" w:leader="dot" w:pos="7371"/>
          <w:tab w:val="center" w:pos="8051"/>
          <w:tab w:val="right" w:pos="9299"/>
        </w:tabs>
        <w:spacing w:after="240"/>
        <w:ind w:left="1678" w:hanging="1678"/>
      </w:pPr>
      <w:r>
        <w:tab/>
        <w:t>1.</w:t>
      </w:r>
      <w:r>
        <w:tab/>
        <w:t>Exploitation économique, notamment travail</w:t>
      </w:r>
      <w:r>
        <w:br/>
        <w:t>des enfants (art. 32)</w:t>
      </w:r>
      <w:r>
        <w:tab/>
      </w:r>
      <w:r>
        <w:tab/>
        <w:t>237 − 244</w:t>
      </w:r>
      <w:r>
        <w:tab/>
        <w:t>63</w:t>
      </w:r>
    </w:p>
    <w:p w:rsidR="00000000" w:rsidRDefault="00000000">
      <w:pPr>
        <w:tabs>
          <w:tab w:val="left" w:pos="1080"/>
          <w:tab w:val="left" w:pos="1680"/>
          <w:tab w:val="right" w:leader="dot" w:pos="7371"/>
          <w:tab w:val="center" w:pos="8051"/>
          <w:tab w:val="right" w:pos="9299"/>
        </w:tabs>
        <w:spacing w:after="240"/>
        <w:ind w:left="1678" w:hanging="1678"/>
      </w:pPr>
      <w:r>
        <w:tab/>
        <w:t>2.</w:t>
      </w:r>
      <w:r>
        <w:tab/>
      </w:r>
      <w:r>
        <w:tab/>
        <w:t>Exploitation sexuelle/vente, traite et enlèvement</w:t>
      </w:r>
      <w:r>
        <w:br/>
        <w:t>(art. 34 et 35)</w:t>
      </w:r>
      <w:r>
        <w:tab/>
      </w:r>
      <w:r>
        <w:tab/>
        <w:t>245 − 269</w:t>
      </w:r>
      <w:r>
        <w:tab/>
        <w:t>64</w:t>
      </w:r>
    </w:p>
    <w:p w:rsidR="00000000" w:rsidRDefault="00000000">
      <w:pPr>
        <w:tabs>
          <w:tab w:val="left" w:pos="1080"/>
          <w:tab w:val="left" w:pos="1680"/>
          <w:tab w:val="right" w:leader="dot" w:pos="7371"/>
          <w:tab w:val="center" w:pos="8051"/>
          <w:tab w:val="right" w:pos="9299"/>
        </w:tabs>
        <w:spacing w:after="240"/>
        <w:ind w:left="1678" w:hanging="1678"/>
      </w:pPr>
      <w:r>
        <w:tab/>
        <w:t>3.</w:t>
      </w:r>
      <w:r>
        <w:tab/>
        <w:t>Toxicomanie (art. 33)/problème des «enfants des rues»</w:t>
      </w:r>
      <w:r>
        <w:tab/>
      </w:r>
      <w:r>
        <w:tab/>
        <w:t>270 − 277</w:t>
      </w:r>
      <w:r>
        <w:tab/>
        <w:t>71</w:t>
      </w:r>
    </w:p>
    <w:p w:rsidR="00000000" w:rsidRDefault="00000000">
      <w:pPr>
        <w:tabs>
          <w:tab w:val="left" w:pos="1080"/>
          <w:tab w:val="right" w:leader="dot" w:pos="7371"/>
          <w:tab w:val="center" w:pos="8051"/>
          <w:tab w:val="right" w:pos="9299"/>
        </w:tabs>
        <w:spacing w:after="240"/>
        <w:ind w:left="567" w:hanging="567"/>
      </w:pPr>
      <w:r>
        <w:tab/>
        <w:t>C.</w:t>
      </w:r>
      <w:r>
        <w:tab/>
        <w:t>Enfants en conflit avec la loi</w:t>
      </w:r>
      <w:r>
        <w:tab/>
      </w:r>
      <w:r>
        <w:tab/>
        <w:t>278 − 297</w:t>
      </w:r>
      <w:r>
        <w:tab/>
        <w:t>73</w:t>
      </w:r>
    </w:p>
    <w:p w:rsidR="00000000" w:rsidRDefault="00000000">
      <w:pPr>
        <w:tabs>
          <w:tab w:val="left" w:pos="1080"/>
          <w:tab w:val="left" w:pos="1680"/>
          <w:tab w:val="right" w:leader="dot" w:pos="7371"/>
          <w:tab w:val="center" w:pos="8051"/>
          <w:tab w:val="right" w:pos="9299"/>
        </w:tabs>
        <w:spacing w:after="240"/>
        <w:ind w:left="1678" w:hanging="1678"/>
      </w:pPr>
      <w:r>
        <w:tab/>
        <w:t>1.</w:t>
      </w:r>
      <w:r>
        <w:tab/>
        <w:t>Administration de la justice pour mineurs (art. 40)</w:t>
      </w:r>
      <w:r>
        <w:tab/>
      </w:r>
      <w:r>
        <w:tab/>
        <w:t>278 − 284</w:t>
      </w:r>
      <w:r>
        <w:tab/>
        <w:t>73</w:t>
      </w:r>
    </w:p>
    <w:p w:rsidR="00000000" w:rsidRDefault="00000000">
      <w:pPr>
        <w:tabs>
          <w:tab w:val="left" w:pos="1080"/>
          <w:tab w:val="left" w:pos="1680"/>
          <w:tab w:val="right" w:leader="dot" w:pos="7371"/>
          <w:tab w:val="center" w:pos="8051"/>
          <w:tab w:val="right" w:pos="9299"/>
        </w:tabs>
        <w:spacing w:after="240"/>
        <w:ind w:left="1678" w:hanging="1678"/>
      </w:pPr>
      <w:r>
        <w:tab/>
        <w:t>2.</w:t>
      </w:r>
      <w:r>
        <w:tab/>
        <w:t>Enfants privés de leur liberté (art. 37 b) à d))</w:t>
      </w:r>
      <w:r>
        <w:tab/>
      </w:r>
      <w:r>
        <w:tab/>
        <w:t>285 − 295</w:t>
      </w:r>
      <w:r>
        <w:tab/>
        <w:t>74</w:t>
      </w:r>
    </w:p>
    <w:p w:rsidR="00000000" w:rsidRDefault="00000000">
      <w:pPr>
        <w:tabs>
          <w:tab w:val="left" w:pos="1080"/>
          <w:tab w:val="left" w:pos="1680"/>
          <w:tab w:val="right" w:leader="dot" w:pos="7371"/>
          <w:tab w:val="center" w:pos="8051"/>
          <w:tab w:val="right" w:pos="9299"/>
        </w:tabs>
        <w:spacing w:after="240"/>
        <w:ind w:left="1678" w:hanging="1678"/>
      </w:pPr>
      <w:r>
        <w:tab/>
        <w:t>3.</w:t>
      </w:r>
      <w:r>
        <w:tab/>
        <w:t>Enfants appartenant à une minorité ou à un groupe</w:t>
      </w:r>
      <w:r>
        <w:br/>
        <w:t>autochtone (art. 30)</w:t>
      </w:r>
      <w:r>
        <w:tab/>
      </w:r>
      <w:r>
        <w:tab/>
        <w:t>296 − 297</w:t>
      </w:r>
      <w:r>
        <w:tab/>
        <w:t>76</w:t>
      </w:r>
    </w:p>
    <w:p w:rsidR="00000000" w:rsidRDefault="00000000">
      <w:pPr>
        <w:tabs>
          <w:tab w:val="left" w:pos="1080"/>
          <w:tab w:val="left" w:pos="1680"/>
          <w:tab w:val="right" w:leader="dot" w:pos="7371"/>
          <w:tab w:val="center" w:pos="8051"/>
          <w:tab w:val="right" w:pos="9299"/>
        </w:tabs>
        <w:spacing w:after="240"/>
        <w:ind w:left="1678" w:hanging="1678"/>
      </w:pPr>
      <w:r>
        <w:t>X.</w:t>
      </w:r>
      <w:r>
        <w:tab/>
        <w:t>PROTOCOLES FACULTATIFS</w:t>
      </w:r>
      <w:r>
        <w:tab/>
      </w:r>
      <w:r>
        <w:tab/>
        <w:t>298 − 300</w:t>
      </w:r>
      <w:r>
        <w:tab/>
        <w:t>76</w:t>
      </w:r>
    </w:p>
    <w:p w:rsidR="00000000" w:rsidRDefault="00000000">
      <w:pPr>
        <w:tabs>
          <w:tab w:val="left" w:pos="1080"/>
          <w:tab w:val="left" w:pos="1680"/>
          <w:tab w:val="right" w:leader="dot" w:pos="7371"/>
          <w:tab w:val="center" w:pos="8051"/>
          <w:tab w:val="right" w:pos="9299"/>
        </w:tabs>
        <w:spacing w:after="240"/>
        <w:ind w:left="1678" w:hanging="1678"/>
        <w:rPr>
          <w:lang w:val="fr-FR"/>
        </w:rPr>
      </w:pPr>
      <w:r>
        <w:t>XI.</w:t>
      </w:r>
      <w:r>
        <w:tab/>
        <w:t>OBSERVATIONS FINALES</w:t>
      </w:r>
      <w:r>
        <w:tab/>
      </w:r>
      <w:r>
        <w:tab/>
        <w:t>301 − 302</w:t>
      </w:r>
      <w:r>
        <w:tab/>
        <w:t>76</w:t>
      </w:r>
    </w:p>
    <w:p w:rsidR="00000000" w:rsidRDefault="00000000">
      <w:pPr>
        <w:spacing w:after="240"/>
        <w:jc w:val="center"/>
        <w:rPr>
          <w:b/>
          <w:bCs/>
        </w:rPr>
      </w:pPr>
      <w:r>
        <w:rPr>
          <w:lang w:val="fr-FR"/>
        </w:rPr>
        <w:br w:type="page"/>
      </w:r>
      <w:r>
        <w:rPr>
          <w:b/>
          <w:bCs/>
        </w:rPr>
        <w:t>I.  INTRODUCTION</w:t>
      </w:r>
    </w:p>
    <w:p w:rsidR="00000000" w:rsidRDefault="00000000">
      <w:pPr>
        <w:spacing w:after="240"/>
      </w:pPr>
      <w:r>
        <w:t>1.</w:t>
      </w:r>
      <w:r>
        <w:tab/>
        <w:t>La Géorgie a adhéré à la Convention relative aux droits de l’enfant en juin 1994. En janvier 1998, le Gouvernement géorgien a présenté au Comité des droits de l’enfant le rapport initial de la Géorgie (CRC/C/41/Add.4/Rev.1) conformément aux dispositions de la Convention. Après avoir examiné ce rapport en mai 2000 (voir les documents CRC/C/SR.619 et 620), le Comité a adopté ses observations finales (CRC/C/15/Add.124).</w:t>
      </w:r>
    </w:p>
    <w:p w:rsidR="00000000" w:rsidRDefault="00000000">
      <w:pPr>
        <w:spacing w:after="240"/>
      </w:pPr>
      <w:r>
        <w:t>2.</w:t>
      </w:r>
      <w:r>
        <w:tab/>
        <w:t>En juin 2001, la Géorgie a présenté son deuxième rapport périodique (CRC/C/104/Add.1), qui a été examiné par le Comité à ses 914</w:t>
      </w:r>
      <w:r>
        <w:rPr>
          <w:vertAlign w:val="superscript"/>
        </w:rPr>
        <w:t>e</w:t>
      </w:r>
      <w:r>
        <w:t xml:space="preserve"> et 915</w:t>
      </w:r>
      <w:r>
        <w:rPr>
          <w:vertAlign w:val="superscript"/>
        </w:rPr>
        <w:t>e</w:t>
      </w:r>
      <w:r>
        <w:t xml:space="preserve"> séances (voir CRC/C/SR.914 et 915), tenues le 1</w:t>
      </w:r>
      <w:r>
        <w:rPr>
          <w:vertAlign w:val="superscript"/>
        </w:rPr>
        <w:t>er</w:t>
      </w:r>
      <w:r>
        <w:t xml:space="preserve"> octobre 2003. À sa 918</w:t>
      </w:r>
      <w:r>
        <w:rPr>
          <w:vertAlign w:val="superscript"/>
        </w:rPr>
        <w:t>e</w:t>
      </w:r>
      <w:r>
        <w:t xml:space="preserve"> séance, le 3 octobre 2003, le Comité a adopté ses observations finales (CRC/C/15/Add.222).</w:t>
      </w:r>
    </w:p>
    <w:p w:rsidR="00000000" w:rsidRDefault="00000000">
      <w:pPr>
        <w:spacing w:after="240"/>
      </w:pPr>
      <w:r>
        <w:t>3.</w:t>
      </w:r>
      <w:r>
        <w:tab/>
        <w:t>Le présent rapport porte sur la période allant de la date de présentation du deuxième rapport, en juin 2001, jusqu’à l’année 2005 incluse.</w:t>
      </w:r>
    </w:p>
    <w:p w:rsidR="00000000" w:rsidRDefault="00000000">
      <w:pPr>
        <w:spacing w:after="240"/>
      </w:pPr>
      <w:r>
        <w:t>4.</w:t>
      </w:r>
      <w:r>
        <w:tab/>
        <w:t>Au cours de l’établissement du présent rapport, toutes les préoccupations qui avaient été exprimées dans les observations finales du Comité (CRC/C/15/Add.124) ont été prises en considération et traitées.</w:t>
      </w:r>
    </w:p>
    <w:p w:rsidR="00000000" w:rsidRDefault="00000000">
      <w:pPr>
        <w:spacing w:after="240"/>
      </w:pPr>
      <w:r>
        <w:t>5.</w:t>
      </w:r>
      <w:r>
        <w:tab/>
        <w:t xml:space="preserve">Le présent rapport a été établi par le Ministère géorgien des affaires étrangères. Les informations factuelles qu’il contient ont été fournies par les Ministères du travail, de la santé et des affaires sociales; de l’intérieur; du développement économique (Département d’État pour les statistiques); de l’éducation et des sciences; des réfugiés et du logement; et de la justice, ainsi que par le Bureau du Procureur général et le Bureau du Médiateur, ou obtenues sur leurs sites </w:t>
      </w:r>
      <w:proofErr w:type="spellStart"/>
      <w:r>
        <w:t>Web</w:t>
      </w:r>
      <w:proofErr w:type="spellEnd"/>
      <w:r>
        <w:t xml:space="preserve"> officiels.</w:t>
      </w:r>
    </w:p>
    <w:p w:rsidR="00000000" w:rsidRDefault="00000000">
      <w:pPr>
        <w:spacing w:after="240"/>
      </w:pPr>
      <w:r>
        <w:t>6.</w:t>
      </w:r>
      <w:r>
        <w:tab/>
        <w:t xml:space="preserve">Conformément au paragraphe 73 des observations finales du Comité, le Gouvernement géorgien a pris toutes les mesures nécessaires pour diffuser largement le deuxième rapport périodique. En raison des difficultés économiques et de l’absence de crédits publics pour financer ce type de publication en 2001, le Gouvernement a sollicité l’assistance du Fonds des </w:t>
      </w:r>
      <w:r>
        <w:rPr>
          <w:rFonts w:eastAsia="MS Mincho"/>
        </w:rPr>
        <w:t>Nations Unies</w:t>
      </w:r>
      <w:r>
        <w:t xml:space="preserve"> pour l’enfance (UNICEF) dont le soutient a permis de publier le deuxième rapport périodique en géorgien avec un tirage de 1 000 exemplaires.</w:t>
      </w:r>
    </w:p>
    <w:p w:rsidR="00000000" w:rsidRDefault="00000000">
      <w:pPr>
        <w:spacing w:after="240"/>
      </w:pPr>
      <w:r>
        <w:t>7.</w:t>
      </w:r>
      <w:r>
        <w:tab/>
        <w:t>Au cours de la période couverte par le présent rapport, la Géorgie a continué d’édifier un État fondé sur les valeurs démocratiques et la primauté du droit en vue de s’intégrer dans la communauté internationale et les structures européennes.</w:t>
      </w:r>
    </w:p>
    <w:p w:rsidR="00000000" w:rsidRDefault="00000000">
      <w:pPr>
        <w:spacing w:after="240"/>
      </w:pPr>
      <w:r>
        <w:t>8.</w:t>
      </w:r>
      <w:r>
        <w:tab/>
        <w:t>Depuis la «Révolution des roses» en 2003, la vie politique en Géorgie a profondément changé. La protection des droits de l’homme est devenue une des priorités du nouveau Gouvernement. Dans le cadre des réformes de grande ampleur engagées, d’importants amendements législatifs ont été adoptés pour rendre les lois géorgiennes conformes aux normes établies par les instruments internationaux relatifs aux droits de l’homme. À cette fin, des modifications considérables ont été apportées à la Constitution géorgienne</w:t>
      </w:r>
      <w:r>
        <w:rPr>
          <w:rStyle w:val="FootnoteReference"/>
        </w:rPr>
        <w:footnoteReference w:id="2"/>
      </w:r>
      <w:r>
        <w:t>.</w:t>
      </w:r>
    </w:p>
    <w:p w:rsidR="00000000" w:rsidRDefault="00000000">
      <w:pPr>
        <w:keepNext/>
        <w:spacing w:after="240"/>
      </w:pPr>
      <w:r>
        <w:t>9.</w:t>
      </w:r>
      <w:r>
        <w:tab/>
        <w:t>Le nouveau Gouvernement s’est déclaré fermement déterminé à assurer une meilleure promotion et protection des droits de l’homme et des libertés fondamentales dans le pays, y compris les droits de l’enfant. Des mesures importantes ont déjà été prises dans ce sens.</w:t>
      </w:r>
    </w:p>
    <w:p w:rsidR="00000000" w:rsidRDefault="00000000">
      <w:pPr>
        <w:spacing w:after="240"/>
      </w:pPr>
      <w:r>
        <w:t>10.</w:t>
      </w:r>
      <w:r>
        <w:tab/>
        <w:t>En août 2006, la Géorgie a présenté au Comité des droits de l’homme son troisième rapport périodique sur l’application du Pacte international relatif aux droits civils et politiques. Ce rapport contient des informations sur les faits les plus récents dans le domaine de la promotion des droits civils et politiques consacrés par le Pacte, et notamment en matière de protection des droits de l’enfant (par. 354 à 373).</w:t>
      </w:r>
    </w:p>
    <w:p w:rsidR="00000000" w:rsidRDefault="00000000">
      <w:pPr>
        <w:keepNext/>
        <w:spacing w:after="240"/>
        <w:jc w:val="center"/>
        <w:rPr>
          <w:b/>
          <w:bCs/>
        </w:rPr>
      </w:pPr>
      <w:r>
        <w:rPr>
          <w:b/>
          <w:bCs/>
        </w:rPr>
        <w:t>II.  MESURES D’APPLICATION GÉNÉRALES</w:t>
      </w:r>
    </w:p>
    <w:p w:rsidR="00000000" w:rsidRDefault="00000000">
      <w:pPr>
        <w:spacing w:after="240"/>
      </w:pPr>
      <w:r>
        <w:t>11.</w:t>
      </w:r>
      <w:r>
        <w:tab/>
        <w:t xml:space="preserve">Dans ses observations finales, le Comité recommande à l’État partie de poursuivre ses efforts pour mettre la législation nationale en conformité avec la Convention, de façon plus complète et selon une démarche davantage axée sur les droits. À cet égard, le Comité recommande à l’État partie de songer à élaborer et adopter une loi globale sur les droits de l’enfant. En outre, il lui recommande de prendre toutes les mesures nécessaires en vue d’une application effective de toutes les lois ayant un rapport avec la Convention. </w:t>
      </w:r>
    </w:p>
    <w:p w:rsidR="00000000" w:rsidRDefault="00000000">
      <w:pPr>
        <w:spacing w:after="240"/>
      </w:pPr>
      <w:r>
        <w:t>12.</w:t>
      </w:r>
      <w:r>
        <w:tab/>
        <w:t>Selon le Ministère de la justice, la Géorgie n’a pas adopté de loi globale sur les droits de l’enfant. Ces droits sont régis en Géorgie par différents textes législatifs et notamment par les lois suivantes:</w:t>
      </w:r>
    </w:p>
    <w:p w:rsidR="00000000" w:rsidRDefault="00000000">
      <w:pPr>
        <w:spacing w:after="240"/>
      </w:pPr>
      <w:r>
        <w:tab/>
        <w:t>a)</w:t>
      </w:r>
      <w:r>
        <w:tab/>
        <w:t>Loi de 1999 sur la protection et la promotion de l’allaitement naturel des enfants et sur l’utilisation d’aliments artificiels;</w:t>
      </w:r>
    </w:p>
    <w:p w:rsidR="00000000" w:rsidRDefault="00000000">
      <w:pPr>
        <w:spacing w:after="240"/>
      </w:pPr>
      <w:r>
        <w:tab/>
        <w:t>b)</w:t>
      </w:r>
      <w:r>
        <w:tab/>
        <w:t>Loi de 1999 sur l’appui de l’État aux associations d’enfants et de jeunes;</w:t>
      </w:r>
    </w:p>
    <w:p w:rsidR="00000000" w:rsidRDefault="00000000">
      <w:pPr>
        <w:spacing w:after="240"/>
      </w:pPr>
      <w:r>
        <w:tab/>
        <w:t>c)</w:t>
      </w:r>
      <w:r>
        <w:tab/>
        <w:t>Loi de 1999 sur l’adoption des orphelins et des enfants privés de soins parentaux;</w:t>
      </w:r>
    </w:p>
    <w:p w:rsidR="00000000" w:rsidRDefault="00000000">
      <w:pPr>
        <w:spacing w:after="240"/>
      </w:pPr>
      <w:r>
        <w:tab/>
        <w:t>d)</w:t>
      </w:r>
      <w:r>
        <w:tab/>
        <w:t>Loi de 1997 sur les soins de santé − aux fins du rapport, la partie la plus importante est le chapitre XXII sur la maternité et la santé de l’enfant. Le chapitre XXIII relatif au contrôle des naissances peut également être cité;</w:t>
      </w:r>
    </w:p>
    <w:p w:rsidR="00000000" w:rsidRDefault="00000000">
      <w:pPr>
        <w:spacing w:after="240"/>
      </w:pPr>
      <w:r>
        <w:tab/>
        <w:t>e)</w:t>
      </w:r>
      <w:r>
        <w:tab/>
        <w:t>Loi de 2000 sur les droits des patients − (y retiennent particulièrement l’attention l’article 7 sur les droits des femmes enceintes ou qui allaitent et l’article 8 sur les droits des mineurs. Certaines des dispositions de cette loi sont mentionnées dans le présent rapport;</w:t>
      </w:r>
    </w:p>
    <w:p w:rsidR="00000000" w:rsidRDefault="00000000">
      <w:pPr>
        <w:spacing w:after="240"/>
      </w:pPr>
      <w:r>
        <w:tab/>
        <w:t>f)</w:t>
      </w:r>
      <w:r>
        <w:tab/>
        <w:t xml:space="preserve">Loi de 2005 sur la prévention des maladies dues aux carences en iode, autres </w:t>
      </w:r>
      <w:proofErr w:type="spellStart"/>
      <w:r>
        <w:t>oligoéléments</w:t>
      </w:r>
      <w:proofErr w:type="spellEnd"/>
      <w:r>
        <w:t xml:space="preserve"> et vitamines;</w:t>
      </w:r>
    </w:p>
    <w:p w:rsidR="00000000" w:rsidRDefault="00000000">
      <w:pPr>
        <w:spacing w:after="240"/>
      </w:pPr>
      <w:r>
        <w:tab/>
        <w:t>g)</w:t>
      </w:r>
      <w:r>
        <w:tab/>
        <w:t>La loi sur la protection et la promotion de l’allaitement maternel des enfants et sur l’utilisation d’aliments artificiels est traduite en anglais;</w:t>
      </w:r>
    </w:p>
    <w:p w:rsidR="00000000" w:rsidRDefault="00000000">
      <w:pPr>
        <w:spacing w:after="240"/>
      </w:pPr>
      <w:r>
        <w:tab/>
        <w:t>h)</w:t>
      </w:r>
      <w:r>
        <w:tab/>
        <w:t xml:space="preserve">Loi de 2006 sur la violence dans la famille. </w:t>
      </w:r>
    </w:p>
    <w:p w:rsidR="00000000" w:rsidRDefault="00000000">
      <w:pPr>
        <w:spacing w:after="240"/>
      </w:pPr>
      <w:r>
        <w:t>13.</w:t>
      </w:r>
      <w:r>
        <w:tab/>
        <w:t xml:space="preserve">Dans ses observations finales, le Comité recommande à l’État partie de prendre les mesures nécessaires pour mettre en œuvre le plan d’action national dans le cadre d’une approche fondée sur les droits de l’enfant, de prévoir des ressources humaines et financières suffisantes et de coopérer étroitement avec les donateurs internationaux et les organisations non gouvernementales (ONG) nationales et internationales dans le cadre d’un processus participatif de mise en œuvre. </w:t>
      </w:r>
    </w:p>
    <w:p w:rsidR="00000000" w:rsidRDefault="00000000">
      <w:pPr>
        <w:spacing w:after="240"/>
      </w:pPr>
      <w:r>
        <w:t>14.</w:t>
      </w:r>
      <w:r>
        <w:tab/>
        <w:t>Selon des renseignements fournis par le Ministère de l’éducation et des sciences, sur la base du décret gouvernemental d’avril 2005 portant approbation du Plan gouvernemental pour la protection des enfants et leur placement en milieu ouvert et du règlement de la Commission gouvernementale sur la protection des enfants et leur placement en milieu ouvert, une Commission composé de représentants du Ministère de l’éducation et des sciences, du Ministère du travail, de la santé et des affaires sociales et du Ministère des finances a été mise en place. Son objectif premier est d’assurer l’application effective du Plan d’action du Gouvernement pour la protection des enfants et leur placement en milieu ouvert.</w:t>
      </w:r>
    </w:p>
    <w:p w:rsidR="00000000" w:rsidRDefault="00000000">
      <w:pPr>
        <w:spacing w:after="240"/>
      </w:pPr>
      <w:r>
        <w:t>15.</w:t>
      </w:r>
      <w:r>
        <w:tab/>
        <w:t>Ce plan d’action prévoit l’application d’ici 2008 de plusieurs mesures destinées à assurer la protection des enfants, parmi lesquelles figurent en particulier:</w:t>
      </w:r>
    </w:p>
    <w:p w:rsidR="00000000" w:rsidRDefault="00000000">
      <w:pPr>
        <w:numPr>
          <w:ilvl w:val="0"/>
          <w:numId w:val="48"/>
        </w:numPr>
        <w:spacing w:after="240"/>
      </w:pPr>
      <w:r>
        <w:t>La rationalisation et optimisation du réseau d’institutions de protection des enfants;</w:t>
      </w:r>
    </w:p>
    <w:p w:rsidR="00000000" w:rsidRDefault="00000000">
      <w:pPr>
        <w:numPr>
          <w:ilvl w:val="0"/>
          <w:numId w:val="48"/>
        </w:numPr>
        <w:spacing w:after="240"/>
      </w:pPr>
      <w:r>
        <w:t>L’examen de la législation en vigueur sur la protection des enfants et adoption d’amendements appropriés et présentation de nouveaux textes législatifs, le cas échéant;</w:t>
      </w:r>
    </w:p>
    <w:p w:rsidR="00000000" w:rsidRDefault="00000000">
      <w:pPr>
        <w:numPr>
          <w:ilvl w:val="0"/>
          <w:numId w:val="48"/>
        </w:numPr>
        <w:spacing w:after="240"/>
      </w:pPr>
      <w:r>
        <w:t xml:space="preserve">La création d’un système d’enregistrement des enfants handicapés et de leur famille, </w:t>
      </w:r>
    </w:p>
    <w:p w:rsidR="00000000" w:rsidRDefault="00000000">
      <w:pPr>
        <w:numPr>
          <w:ilvl w:val="0"/>
          <w:numId w:val="48"/>
        </w:numPr>
        <w:spacing w:after="240"/>
      </w:pPr>
      <w:r>
        <w:t>L’intégration sociale des enfants appartenant à des «groupes marginaux»;</w:t>
      </w:r>
    </w:p>
    <w:p w:rsidR="00000000" w:rsidRDefault="00000000">
      <w:pPr>
        <w:numPr>
          <w:ilvl w:val="0"/>
          <w:numId w:val="48"/>
        </w:numPr>
        <w:spacing w:after="240"/>
      </w:pPr>
      <w:r>
        <w:t>La sensibilisation de la population à la protection de l’enfance;</w:t>
      </w:r>
    </w:p>
    <w:p w:rsidR="00000000" w:rsidRDefault="00000000">
      <w:pPr>
        <w:numPr>
          <w:ilvl w:val="0"/>
          <w:numId w:val="48"/>
        </w:numPr>
        <w:spacing w:after="240"/>
      </w:pPr>
      <w:r>
        <w:t>La répartition des tâches entre les organismes s’occupant des enfants;</w:t>
      </w:r>
    </w:p>
    <w:p w:rsidR="00000000" w:rsidRDefault="00000000">
      <w:pPr>
        <w:numPr>
          <w:ilvl w:val="0"/>
          <w:numId w:val="48"/>
        </w:numPr>
        <w:spacing w:after="240"/>
      </w:pPr>
      <w:r>
        <w:t>La mise en place des mécanismes financiers requis (mobilisation, gestion, affectation et dépenses);</w:t>
      </w:r>
    </w:p>
    <w:p w:rsidR="00000000" w:rsidRDefault="00000000">
      <w:pPr>
        <w:numPr>
          <w:ilvl w:val="0"/>
          <w:numId w:val="48"/>
        </w:numPr>
        <w:spacing w:after="240"/>
      </w:pPr>
      <w:r>
        <w:t>La formation initiale et continue du personnel.</w:t>
      </w:r>
    </w:p>
    <w:p w:rsidR="00000000" w:rsidRDefault="00000000">
      <w:pPr>
        <w:spacing w:after="240"/>
      </w:pPr>
      <w:r>
        <w:t>16.</w:t>
      </w:r>
      <w:r>
        <w:tab/>
        <w:t xml:space="preserve">En mars 2005, le Gouvernement géorgien a adopté le décret sur les mesures de lutte contre la pauvreté et d’amélioration de la protection sociale. Conformément à ce décret, et afin d’assurer une planification ciblée des mesures de lutte contre la pauvreté et d’amélioration de la protection sociale, une base de données globale sur les familles socialement vulnérables sera constituée. Il a été demandé au Ministère du travail, de la santé et des affaires sociales d’élaborer et d’approuver un programme national pour l’identification et le diagnostic des conditions socioéconomiques des familles </w:t>
      </w:r>
      <w:proofErr w:type="spellStart"/>
      <w:r>
        <w:t>au</w:t>
      </w:r>
      <w:r>
        <w:noBreakHyphen/>
        <w:t>dessous</w:t>
      </w:r>
      <w:proofErr w:type="spellEnd"/>
      <w:r>
        <w:t xml:space="preserve"> du seuil de pauvreté et la création d’une base de données sur ces familles. Le 27 mai 2005, le Ministre du travail, de la santé et des affaires sociales a par ordonnance approuvé ce programme. Le diagnostic des conditions socioéconomiques des familles est conduit conformément au décret </w:t>
      </w:r>
      <w:r>
        <w:rPr>
          <w:rFonts w:eastAsia="MS Mincho"/>
        </w:rPr>
        <w:t>n</w:t>
      </w:r>
      <w:r>
        <w:rPr>
          <w:rFonts w:eastAsia="MS Mincho"/>
          <w:vertAlign w:val="superscript"/>
        </w:rPr>
        <w:t>o</w:t>
      </w:r>
      <w:r>
        <w:t> 126 du 4 août 2005, intitulé «Approbation des méthodes de diagnostic des conditions socioéconomiques des familles (ménages) vulnérables».</w:t>
      </w:r>
    </w:p>
    <w:p w:rsidR="00000000" w:rsidRDefault="00000000">
      <w:pPr>
        <w:spacing w:after="240"/>
      </w:pPr>
      <w:r>
        <w:t>17.</w:t>
      </w:r>
      <w:r>
        <w:tab/>
        <w:t xml:space="preserve">Une étude relative aux effets de la pauvreté sur les enfants a été entreprise avec le soutien de l’UNICEF. </w:t>
      </w:r>
    </w:p>
    <w:p w:rsidR="00000000" w:rsidRDefault="00000000">
      <w:pPr>
        <w:spacing w:after="240"/>
      </w:pPr>
      <w:r>
        <w:t>18.</w:t>
      </w:r>
      <w:r>
        <w:tab/>
        <w:t>Selon le Ministère du travail, de la santé et des affaires sociales, durant la période 2000</w:t>
      </w:r>
      <w:r>
        <w:noBreakHyphen/>
        <w:t xml:space="preserve">2005, le Ministère n’a pas mis en place de programme particulier pour les enfants vivant sous le seuil de pauvreté étant donné que la protection des intérêts de cette catégorie de la population était une composante du programme de développement économique et de lutte contre la pauvreté. Ce programme comprend notamment des mesures d’intégration sociale et d’adaptation des enfants handicapés et des éléments ou </w:t>
      </w:r>
      <w:proofErr w:type="spellStart"/>
      <w:r>
        <w:t>sous</w:t>
      </w:r>
      <w:r>
        <w:noBreakHyphen/>
        <w:t>programmes</w:t>
      </w:r>
      <w:proofErr w:type="spellEnd"/>
      <w:r>
        <w:t xml:space="preserve"> spécifiques.</w:t>
      </w:r>
    </w:p>
    <w:p w:rsidR="00000000" w:rsidRDefault="00000000">
      <w:pPr>
        <w:spacing w:after="240"/>
      </w:pPr>
      <w:r>
        <w:t>19.</w:t>
      </w:r>
      <w:r>
        <w:tab/>
        <w:t xml:space="preserve">Le Comité recommande à l’État partie de prendre les mesures nécessaires pour organiser de manière systématique les activités du Centre des droits de l’enfant aux niveaux national et régional, doter le Centre de ressources humaines et financières suffisantes et étendre ses activités à l’ensemble des régions du pays. </w:t>
      </w:r>
    </w:p>
    <w:p w:rsidR="00000000" w:rsidRDefault="00000000">
      <w:pPr>
        <w:spacing w:after="240"/>
      </w:pPr>
      <w:r>
        <w:t>20.</w:t>
      </w:r>
      <w:r>
        <w:tab/>
        <w:t>Durant la période couverte par le rapport, le Bureau du médiateur a continué de travailler activement sur les questions intéressant les enfants. En novembre 2005, il a mis en place un système de suivi axé sur l’étude et l’évaluation de la situation des enfants, la défense de leurs droits et la présentation de recommandations aux organismes publics compétents.</w:t>
      </w:r>
    </w:p>
    <w:p w:rsidR="00000000" w:rsidRDefault="00000000">
      <w:pPr>
        <w:spacing w:after="240"/>
      </w:pPr>
      <w:r>
        <w:t>21.</w:t>
      </w:r>
      <w:r>
        <w:tab/>
        <w:t>La surveillance exercée par le Bureau du médiateur porte sur les enfants placés dans les institutions suivantes:</w:t>
      </w:r>
    </w:p>
    <w:p w:rsidR="00000000" w:rsidRDefault="00000000">
      <w:pPr>
        <w:numPr>
          <w:ilvl w:val="0"/>
          <w:numId w:val="49"/>
        </w:numPr>
        <w:spacing w:after="240"/>
      </w:pPr>
      <w:r>
        <w:t>Orphelinats;</w:t>
      </w:r>
    </w:p>
    <w:p w:rsidR="00000000" w:rsidRDefault="00000000">
      <w:pPr>
        <w:numPr>
          <w:ilvl w:val="0"/>
          <w:numId w:val="49"/>
        </w:numPr>
        <w:spacing w:after="240"/>
      </w:pPr>
      <w:r>
        <w:t>Internats;</w:t>
      </w:r>
    </w:p>
    <w:p w:rsidR="00000000" w:rsidRDefault="00000000">
      <w:pPr>
        <w:numPr>
          <w:ilvl w:val="0"/>
          <w:numId w:val="49"/>
        </w:numPr>
        <w:spacing w:after="240"/>
      </w:pPr>
      <w:r>
        <w:t>Institutions pour jeunes délinquants;</w:t>
      </w:r>
    </w:p>
    <w:p w:rsidR="00000000" w:rsidRDefault="00000000">
      <w:pPr>
        <w:numPr>
          <w:ilvl w:val="0"/>
          <w:numId w:val="49"/>
        </w:numPr>
        <w:spacing w:after="240"/>
      </w:pPr>
      <w:r>
        <w:t xml:space="preserve">Familles adoptives (après l’engagement du processus de </w:t>
      </w:r>
      <w:proofErr w:type="spellStart"/>
      <w:r>
        <w:t>désinstitutionnalisation</w:t>
      </w:r>
      <w:proofErr w:type="spellEnd"/>
      <w:r>
        <w:t>).</w:t>
      </w:r>
    </w:p>
    <w:p w:rsidR="00000000" w:rsidRDefault="00000000">
      <w:pPr>
        <w:spacing w:after="240"/>
      </w:pPr>
      <w:r>
        <w:t>22.</w:t>
      </w:r>
      <w:r>
        <w:tab/>
        <w:t xml:space="preserve">Le Bureau du médiateur a constaté à travers son activité de surveillance que les problèmes liés à la santé, à la malnutrition, à l’éducation, etc. des enfants ne sont toujours pas résolus. Dans la plupart des orphelinats, la situation demeure particulièrement grave. En tout, le Bureau du médiateur a inspecté 44 institutions pour enfants, à Tbilissi et dans les régions. </w:t>
      </w:r>
    </w:p>
    <w:p w:rsidR="00000000" w:rsidRDefault="00000000">
      <w:pPr>
        <w:spacing w:after="240"/>
      </w:pPr>
      <w:r>
        <w:t>23.</w:t>
      </w:r>
      <w:r>
        <w:tab/>
        <w:t>Le Bureau du médiateur participe aussi au projet «</w:t>
      </w:r>
      <w:proofErr w:type="spellStart"/>
      <w:r>
        <w:t>Leave</w:t>
      </w:r>
      <w:proofErr w:type="spellEnd"/>
      <w:r>
        <w:t xml:space="preserve"> No Child Out» (Aucun enfant «sur la touche»), cofinancé par la Commission européenne et mis en œuvre par l’UNICEF et ses partenaires, en coopération avec les réseaux de promotion des droits de l’enfant en Europe centrale et orientale et dans la Communauté d’États indépendants. Dans le cadre de ce projet, il est prévu de faire bénéficier le Bureau du médiateur de plusieurs consultations de courte durée avec des spécialistes internationaux de la question. Par ailleurs, un conseil consultatif des ONG a été constitué au sein du Bureau du médiateur pour aider </w:t>
      </w:r>
      <w:proofErr w:type="spellStart"/>
      <w:r>
        <w:t>celui</w:t>
      </w:r>
      <w:r>
        <w:noBreakHyphen/>
        <w:t>ci</w:t>
      </w:r>
      <w:proofErr w:type="spellEnd"/>
      <w:r>
        <w:t xml:space="preserve"> dans sa mission de surveillance en lui apportant des informations sur les violations des droits des enfants. </w:t>
      </w:r>
    </w:p>
    <w:p w:rsidR="00000000" w:rsidRDefault="00000000">
      <w:pPr>
        <w:spacing w:after="240"/>
      </w:pPr>
      <w:r>
        <w:t>24.</w:t>
      </w:r>
      <w:r>
        <w:tab/>
        <w:t xml:space="preserve">Dans ses observations finales, le Comité réitère sa recommandation précédente visant à ce que l’État partie renforce notablement l’efficacité de son système de recouvrement de l’impôt et invite instamment l’État partie à augmenter sensiblement les crédits consacrés à l’application de la Convention et à garantir la transparence en ce qui concerne l’utilisation de ces fonds, en particulier dans les domaines de la santé et de l’éducation, ainsi qu’à renforcer les efforts qu’il déploie pour éliminer la corruption. </w:t>
      </w:r>
    </w:p>
    <w:p w:rsidR="00000000" w:rsidRDefault="00000000">
      <w:pPr>
        <w:spacing w:after="240"/>
      </w:pPr>
      <w:r>
        <w:t>25.</w:t>
      </w:r>
      <w:r>
        <w:tab/>
        <w:t xml:space="preserve">Pendant la période couverte par le rapport, les taux de recouvrement des impôts étaient en progression constante. Toutefois, les principaux acquis dans ce domaine ont été enregistrés après la «Révolution des roses» du fait de la révision de la législation fiscale et de l’augmentation de l’efficacité du système de recouvrement de l’impôt, comme on peut le voir sur le tableau </w:t>
      </w:r>
      <w:proofErr w:type="spellStart"/>
      <w:r>
        <w:t>ci</w:t>
      </w:r>
      <w:r>
        <w:noBreakHyphen/>
        <w:t>dessous</w:t>
      </w:r>
      <w:proofErr w:type="spellEnd"/>
      <w:r>
        <w:t xml:space="preserve">, qui présente les recettes fiscales telles qu’elles apparaissent dans le budget de l’état et dans le budget global (c’est-à-dire y compris les budgets des collectivités territoriales).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0"/>
        <w:gridCol w:w="1251"/>
        <w:gridCol w:w="1251"/>
        <w:gridCol w:w="1251"/>
        <w:gridCol w:w="1251"/>
        <w:gridCol w:w="1251"/>
        <w:gridCol w:w="1185"/>
      </w:tblGrid>
      <w:tr w:rsidR="00000000">
        <w:tblPrEx>
          <w:tblCellMar>
            <w:top w:w="0" w:type="dxa"/>
            <w:bottom w:w="0" w:type="dxa"/>
          </w:tblCellMar>
        </w:tblPrEx>
        <w:tc>
          <w:tcPr>
            <w:tcW w:w="1920" w:type="dxa"/>
            <w:noWrap/>
            <w:vAlign w:val="center"/>
          </w:tcPr>
          <w:p w:rsidR="00000000" w:rsidRDefault="00000000">
            <w:pPr>
              <w:keepNext/>
              <w:spacing w:before="60" w:after="60"/>
              <w:rPr>
                <w:sz w:val="22"/>
              </w:rPr>
            </w:pPr>
            <w:r>
              <w:rPr>
                <w:sz w:val="22"/>
              </w:rPr>
              <w:t>Type de recettes</w:t>
            </w:r>
            <w:r>
              <w:rPr>
                <w:sz w:val="22"/>
              </w:rPr>
              <w:br/>
              <w:t xml:space="preserve">(en millions de </w:t>
            </w:r>
            <w:proofErr w:type="spellStart"/>
            <w:r>
              <w:rPr>
                <w:sz w:val="22"/>
              </w:rPr>
              <w:t>lari</w:t>
            </w:r>
            <w:proofErr w:type="spellEnd"/>
            <w:r>
              <w:rPr>
                <w:sz w:val="22"/>
              </w:rPr>
              <w:t>)</w:t>
            </w:r>
          </w:p>
        </w:tc>
        <w:tc>
          <w:tcPr>
            <w:tcW w:w="1251" w:type="dxa"/>
            <w:noWrap/>
            <w:vAlign w:val="center"/>
          </w:tcPr>
          <w:p w:rsidR="00000000" w:rsidRDefault="00000000">
            <w:pPr>
              <w:spacing w:before="60" w:after="60"/>
              <w:jc w:val="center"/>
              <w:rPr>
                <w:sz w:val="22"/>
              </w:rPr>
            </w:pPr>
            <w:r>
              <w:rPr>
                <w:sz w:val="22"/>
              </w:rPr>
              <w:t>2001</w:t>
            </w:r>
          </w:p>
        </w:tc>
        <w:tc>
          <w:tcPr>
            <w:tcW w:w="1251" w:type="dxa"/>
            <w:noWrap/>
            <w:vAlign w:val="center"/>
          </w:tcPr>
          <w:p w:rsidR="00000000" w:rsidRDefault="00000000">
            <w:pPr>
              <w:spacing w:before="60" w:after="60"/>
              <w:jc w:val="center"/>
              <w:rPr>
                <w:sz w:val="22"/>
              </w:rPr>
            </w:pPr>
            <w:r>
              <w:rPr>
                <w:sz w:val="22"/>
              </w:rPr>
              <w:t>2002</w:t>
            </w:r>
          </w:p>
        </w:tc>
        <w:tc>
          <w:tcPr>
            <w:tcW w:w="1251" w:type="dxa"/>
            <w:noWrap/>
            <w:vAlign w:val="center"/>
          </w:tcPr>
          <w:p w:rsidR="00000000" w:rsidRDefault="00000000">
            <w:pPr>
              <w:spacing w:before="60" w:after="60"/>
              <w:jc w:val="center"/>
              <w:rPr>
                <w:sz w:val="22"/>
              </w:rPr>
            </w:pPr>
            <w:r>
              <w:rPr>
                <w:sz w:val="22"/>
              </w:rPr>
              <w:t>2003</w:t>
            </w:r>
          </w:p>
        </w:tc>
        <w:tc>
          <w:tcPr>
            <w:tcW w:w="1251" w:type="dxa"/>
            <w:noWrap/>
            <w:vAlign w:val="center"/>
          </w:tcPr>
          <w:p w:rsidR="00000000" w:rsidRDefault="00000000">
            <w:pPr>
              <w:spacing w:before="60" w:after="60"/>
              <w:jc w:val="center"/>
              <w:rPr>
                <w:sz w:val="22"/>
              </w:rPr>
            </w:pPr>
            <w:r>
              <w:rPr>
                <w:sz w:val="22"/>
              </w:rPr>
              <w:t>2004</w:t>
            </w:r>
          </w:p>
        </w:tc>
        <w:tc>
          <w:tcPr>
            <w:tcW w:w="1251" w:type="dxa"/>
            <w:noWrap/>
            <w:vAlign w:val="center"/>
          </w:tcPr>
          <w:p w:rsidR="00000000" w:rsidRDefault="00000000">
            <w:pPr>
              <w:spacing w:before="60" w:after="60"/>
              <w:jc w:val="center"/>
              <w:rPr>
                <w:sz w:val="22"/>
              </w:rPr>
            </w:pPr>
            <w:r>
              <w:rPr>
                <w:sz w:val="22"/>
              </w:rPr>
              <w:t>2005</w:t>
            </w:r>
          </w:p>
        </w:tc>
        <w:tc>
          <w:tcPr>
            <w:tcW w:w="1185" w:type="dxa"/>
            <w:noWrap/>
            <w:vAlign w:val="center"/>
          </w:tcPr>
          <w:p w:rsidR="00000000" w:rsidRDefault="00000000">
            <w:pPr>
              <w:spacing w:before="60" w:after="60"/>
              <w:jc w:val="center"/>
              <w:rPr>
                <w:sz w:val="22"/>
              </w:rPr>
            </w:pPr>
            <w:r>
              <w:rPr>
                <w:sz w:val="22"/>
              </w:rPr>
              <w:t>2006 −</w:t>
            </w:r>
            <w:r>
              <w:rPr>
                <w:sz w:val="22"/>
              </w:rPr>
              <w:br/>
              <w:t>1</w:t>
            </w:r>
            <w:r>
              <w:rPr>
                <w:sz w:val="22"/>
                <w:vertAlign w:val="superscript"/>
              </w:rPr>
              <w:t>er </w:t>
            </w:r>
            <w:r>
              <w:rPr>
                <w:sz w:val="22"/>
              </w:rPr>
              <w:t>trimestre</w:t>
            </w:r>
          </w:p>
        </w:tc>
      </w:tr>
      <w:tr w:rsidR="00000000">
        <w:tblPrEx>
          <w:tblCellMar>
            <w:top w:w="0" w:type="dxa"/>
            <w:bottom w:w="0" w:type="dxa"/>
          </w:tblCellMar>
        </w:tblPrEx>
        <w:tc>
          <w:tcPr>
            <w:tcW w:w="1920" w:type="dxa"/>
            <w:noWrap/>
          </w:tcPr>
          <w:p w:rsidR="00000000" w:rsidRDefault="00000000">
            <w:pPr>
              <w:spacing w:before="60" w:after="60"/>
              <w:rPr>
                <w:sz w:val="22"/>
              </w:rPr>
            </w:pPr>
            <w:r>
              <w:rPr>
                <w:sz w:val="22"/>
              </w:rPr>
              <w:t xml:space="preserve">Recettes fiscales du budget de l’État </w:t>
            </w:r>
          </w:p>
        </w:tc>
        <w:tc>
          <w:tcPr>
            <w:tcW w:w="1251" w:type="dxa"/>
            <w:noWrap/>
            <w:vAlign w:val="bottom"/>
          </w:tcPr>
          <w:p w:rsidR="00000000" w:rsidRDefault="00000000">
            <w:pPr>
              <w:spacing w:before="60" w:after="60"/>
              <w:jc w:val="right"/>
              <w:rPr>
                <w:sz w:val="22"/>
              </w:rPr>
            </w:pPr>
            <w:r>
              <w:rPr>
                <w:sz w:val="22"/>
              </w:rPr>
              <w:t>631,1</w:t>
            </w:r>
          </w:p>
        </w:tc>
        <w:tc>
          <w:tcPr>
            <w:tcW w:w="1251" w:type="dxa"/>
            <w:noWrap/>
            <w:vAlign w:val="bottom"/>
          </w:tcPr>
          <w:p w:rsidR="00000000" w:rsidRDefault="00000000">
            <w:pPr>
              <w:spacing w:before="60" w:after="60"/>
              <w:jc w:val="right"/>
              <w:rPr>
                <w:sz w:val="22"/>
              </w:rPr>
            </w:pPr>
            <w:r>
              <w:rPr>
                <w:sz w:val="22"/>
              </w:rPr>
              <w:t>722,2</w:t>
            </w:r>
          </w:p>
        </w:tc>
        <w:tc>
          <w:tcPr>
            <w:tcW w:w="1251" w:type="dxa"/>
            <w:noWrap/>
            <w:vAlign w:val="bottom"/>
          </w:tcPr>
          <w:p w:rsidR="00000000" w:rsidRDefault="00000000">
            <w:pPr>
              <w:spacing w:before="60" w:after="60"/>
              <w:jc w:val="right"/>
              <w:rPr>
                <w:sz w:val="22"/>
              </w:rPr>
            </w:pPr>
            <w:r>
              <w:rPr>
                <w:sz w:val="22"/>
              </w:rPr>
              <w:t>806,6</w:t>
            </w:r>
          </w:p>
        </w:tc>
        <w:tc>
          <w:tcPr>
            <w:tcW w:w="1251" w:type="dxa"/>
            <w:noWrap/>
            <w:vAlign w:val="bottom"/>
          </w:tcPr>
          <w:p w:rsidR="00000000" w:rsidRDefault="00000000">
            <w:pPr>
              <w:spacing w:before="60" w:after="60"/>
              <w:jc w:val="right"/>
              <w:rPr>
                <w:sz w:val="22"/>
              </w:rPr>
            </w:pPr>
            <w:r>
              <w:rPr>
                <w:sz w:val="22"/>
              </w:rPr>
              <w:t>1 322,1</w:t>
            </w:r>
          </w:p>
        </w:tc>
        <w:tc>
          <w:tcPr>
            <w:tcW w:w="1251" w:type="dxa"/>
            <w:noWrap/>
            <w:vAlign w:val="bottom"/>
          </w:tcPr>
          <w:p w:rsidR="00000000" w:rsidRDefault="00000000">
            <w:pPr>
              <w:spacing w:before="60" w:after="60"/>
              <w:jc w:val="right"/>
              <w:rPr>
                <w:sz w:val="22"/>
              </w:rPr>
            </w:pPr>
            <w:r>
              <w:rPr>
                <w:sz w:val="22"/>
              </w:rPr>
              <w:t>1 836,1</w:t>
            </w:r>
          </w:p>
        </w:tc>
        <w:tc>
          <w:tcPr>
            <w:tcW w:w="1185" w:type="dxa"/>
            <w:noWrap/>
            <w:vAlign w:val="bottom"/>
          </w:tcPr>
          <w:p w:rsidR="00000000" w:rsidRDefault="00000000">
            <w:pPr>
              <w:spacing w:before="60" w:after="60"/>
              <w:jc w:val="right"/>
              <w:rPr>
                <w:sz w:val="22"/>
              </w:rPr>
            </w:pPr>
            <w:r>
              <w:rPr>
                <w:sz w:val="22"/>
              </w:rPr>
              <w:t>510,5</w:t>
            </w:r>
          </w:p>
        </w:tc>
      </w:tr>
      <w:tr w:rsidR="00000000">
        <w:tblPrEx>
          <w:tblCellMar>
            <w:top w:w="0" w:type="dxa"/>
            <w:bottom w:w="0" w:type="dxa"/>
          </w:tblCellMar>
        </w:tblPrEx>
        <w:tc>
          <w:tcPr>
            <w:tcW w:w="1920" w:type="dxa"/>
            <w:noWrap/>
          </w:tcPr>
          <w:p w:rsidR="00000000" w:rsidRDefault="00000000">
            <w:pPr>
              <w:spacing w:before="60" w:after="60"/>
              <w:rPr>
                <w:sz w:val="22"/>
              </w:rPr>
            </w:pPr>
            <w:r>
              <w:rPr>
                <w:sz w:val="22"/>
              </w:rPr>
              <w:t>Recettes fiscales du budget global</w:t>
            </w:r>
          </w:p>
        </w:tc>
        <w:tc>
          <w:tcPr>
            <w:tcW w:w="1251" w:type="dxa"/>
            <w:noWrap/>
            <w:vAlign w:val="bottom"/>
          </w:tcPr>
          <w:p w:rsidR="00000000" w:rsidRDefault="00000000">
            <w:pPr>
              <w:spacing w:before="60" w:after="60"/>
              <w:jc w:val="right"/>
              <w:rPr>
                <w:sz w:val="22"/>
              </w:rPr>
            </w:pPr>
            <w:r>
              <w:rPr>
                <w:sz w:val="22"/>
              </w:rPr>
              <w:t>775,6</w:t>
            </w:r>
          </w:p>
        </w:tc>
        <w:tc>
          <w:tcPr>
            <w:tcW w:w="1251" w:type="dxa"/>
            <w:noWrap/>
            <w:vAlign w:val="bottom"/>
          </w:tcPr>
          <w:p w:rsidR="00000000" w:rsidRDefault="00000000">
            <w:pPr>
              <w:spacing w:before="60" w:after="60"/>
              <w:jc w:val="right"/>
              <w:rPr>
                <w:sz w:val="22"/>
              </w:rPr>
            </w:pPr>
            <w:r>
              <w:rPr>
                <w:sz w:val="22"/>
              </w:rPr>
              <w:t>1 054,0</w:t>
            </w:r>
          </w:p>
        </w:tc>
        <w:tc>
          <w:tcPr>
            <w:tcW w:w="1251" w:type="dxa"/>
            <w:noWrap/>
            <w:vAlign w:val="bottom"/>
          </w:tcPr>
          <w:p w:rsidR="00000000" w:rsidRDefault="00000000">
            <w:pPr>
              <w:spacing w:before="60" w:after="60"/>
              <w:jc w:val="right"/>
              <w:rPr>
                <w:sz w:val="22"/>
              </w:rPr>
            </w:pPr>
            <w:r>
              <w:rPr>
                <w:sz w:val="22"/>
              </w:rPr>
              <w:t>1 186,3</w:t>
            </w:r>
          </w:p>
        </w:tc>
        <w:tc>
          <w:tcPr>
            <w:tcW w:w="1251" w:type="dxa"/>
            <w:noWrap/>
            <w:vAlign w:val="bottom"/>
          </w:tcPr>
          <w:p w:rsidR="00000000" w:rsidRDefault="00000000">
            <w:pPr>
              <w:spacing w:before="60" w:after="60"/>
              <w:jc w:val="right"/>
              <w:rPr>
                <w:sz w:val="22"/>
              </w:rPr>
            </w:pPr>
            <w:r>
              <w:rPr>
                <w:sz w:val="22"/>
              </w:rPr>
              <w:t>1 811,2</w:t>
            </w:r>
          </w:p>
        </w:tc>
        <w:tc>
          <w:tcPr>
            <w:tcW w:w="1251" w:type="dxa"/>
            <w:noWrap/>
            <w:vAlign w:val="bottom"/>
          </w:tcPr>
          <w:p w:rsidR="00000000" w:rsidRDefault="00000000">
            <w:pPr>
              <w:spacing w:before="60" w:after="60"/>
              <w:jc w:val="right"/>
              <w:rPr>
                <w:sz w:val="22"/>
              </w:rPr>
            </w:pPr>
            <w:r>
              <w:rPr>
                <w:sz w:val="22"/>
              </w:rPr>
              <w:t>2 411,5</w:t>
            </w:r>
          </w:p>
        </w:tc>
        <w:tc>
          <w:tcPr>
            <w:tcW w:w="1185" w:type="dxa"/>
            <w:noWrap/>
            <w:vAlign w:val="bottom"/>
          </w:tcPr>
          <w:p w:rsidR="00000000" w:rsidRDefault="00000000">
            <w:pPr>
              <w:spacing w:before="60" w:after="60"/>
              <w:jc w:val="right"/>
              <w:rPr>
                <w:sz w:val="22"/>
              </w:rPr>
            </w:pPr>
            <w:r>
              <w:rPr>
                <w:sz w:val="22"/>
              </w:rPr>
              <w:t>609,6</w:t>
            </w:r>
          </w:p>
        </w:tc>
      </w:tr>
    </w:tbl>
    <w:p w:rsidR="00000000" w:rsidRDefault="00000000">
      <w:pPr>
        <w:spacing w:before="240" w:after="240"/>
      </w:pPr>
      <w:r>
        <w:t>26.</w:t>
      </w:r>
      <w:r>
        <w:tab/>
        <w:t>En ce qui concerne les efforts déployés pour lutter contre la corruption, il convient de noter que des mesures significatives ont été prises après la «Révolution des roses». Depuis lors, de nombreux fonctionnaires accusés de corruption ont été traduits en justice et punis conformément aux décisions judiciaires. D’après le Ministère géorgien de l’intérieur, en 2003</w:t>
      </w:r>
      <w:r>
        <w:noBreakHyphen/>
        <w:t>2004, le nombre de poursuites pénales engagées pour des actes de corruption est passé de 27 à 39. En 2005, ce nombre était de 104; dans 61 affaires, les auteurs des infractions ont été traduits en justice.</w:t>
      </w:r>
    </w:p>
    <w:p w:rsidR="00000000" w:rsidRDefault="00000000">
      <w:pPr>
        <w:spacing w:after="240"/>
      </w:pPr>
      <w:r>
        <w:t>27.</w:t>
      </w:r>
      <w:r>
        <w:tab/>
        <w:t xml:space="preserve">Dans ses observations finales, le Comité réitère sa précédente recommandation et invite instamment l’État partie à intensifier ses efforts en vue de créer un registre centralisé pour la collecte des données et de mettre en place un système de collecte exhaustive de données portant sur tous les domaines dont traite la Convention. Ce système devait englober tous les enfants de moins de 18 ans, une attention particulière étant accordée aux plus vulnérables. </w:t>
      </w:r>
    </w:p>
    <w:p w:rsidR="00000000" w:rsidRDefault="00000000">
      <w:pPr>
        <w:spacing w:after="240"/>
      </w:pPr>
      <w:r>
        <w:t>28.</w:t>
      </w:r>
      <w:r>
        <w:tab/>
        <w:t>Les fonctions et responsabilités du Département des statistiques du Ministère du développement économique sont définies par la loi sur les statistiques adoptée en 1997. Cet organisme est notamment chargé de publier et de rendre accessibles les statistiques</w:t>
      </w:r>
      <w:r>
        <w:rPr>
          <w:rStyle w:val="FootnoteReference"/>
        </w:rPr>
        <w:footnoteReference w:id="3"/>
      </w:r>
      <w:r>
        <w:t xml:space="preserve">. </w:t>
      </w:r>
      <w:proofErr w:type="spellStart"/>
      <w:r>
        <w:t>Celles</w:t>
      </w:r>
      <w:r>
        <w:noBreakHyphen/>
        <w:t>ci</w:t>
      </w:r>
      <w:proofErr w:type="spellEnd"/>
      <w:r>
        <w:t xml:space="preserve"> peuvent notamment être consultées sur le site Internet officiel du Département (pages en géorgien et en anglais voir </w:t>
      </w:r>
      <w:hyperlink r:id="rId9" w:history="1">
        <w:r>
          <w:rPr>
            <w:rStyle w:val="Hyperlink"/>
          </w:rPr>
          <w:t>www.statistics.ge</w:t>
        </w:r>
      </w:hyperlink>
      <w:r>
        <w:t>), qui permet d’accéder facilement aux données pertinentes concernant tous les domaines d’application de la Convention.</w:t>
      </w:r>
    </w:p>
    <w:p w:rsidR="00000000" w:rsidRDefault="00000000">
      <w:pPr>
        <w:spacing w:after="240"/>
      </w:pPr>
      <w:r>
        <w:t>29.</w:t>
      </w:r>
      <w:r>
        <w:tab/>
        <w:t xml:space="preserve">En 2002, un recensement général de la population a entre autres permis d’obtenir des renseignements sur la population résidente par groupe d’âge. </w:t>
      </w:r>
    </w:p>
    <w:p w:rsidR="00000000" w:rsidRDefault="00000000">
      <w:pPr>
        <w:spacing w:after="240"/>
      </w:pPr>
      <w:r>
        <w:t>30.</w:t>
      </w:r>
      <w:r>
        <w:tab/>
        <w:t xml:space="preserve">Le tableau </w:t>
      </w:r>
      <w:proofErr w:type="spellStart"/>
      <w:r>
        <w:t>ci</w:t>
      </w:r>
      <w:r>
        <w:noBreakHyphen/>
        <w:t>après</w:t>
      </w:r>
      <w:proofErr w:type="spellEnd"/>
      <w:r>
        <w:t xml:space="preserve"> contient des statistiques indiquant le nombre d’enfants par groupe d’âge (en milliers).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6"/>
        <w:gridCol w:w="931"/>
        <w:gridCol w:w="931"/>
        <w:gridCol w:w="931"/>
        <w:gridCol w:w="931"/>
        <w:gridCol w:w="931"/>
        <w:gridCol w:w="931"/>
        <w:gridCol w:w="931"/>
        <w:gridCol w:w="931"/>
        <w:gridCol w:w="932"/>
      </w:tblGrid>
      <w:tr w:rsidR="00000000">
        <w:tblPrEx>
          <w:tblCellMar>
            <w:top w:w="0" w:type="dxa"/>
            <w:bottom w:w="0" w:type="dxa"/>
          </w:tblCellMar>
        </w:tblPrEx>
        <w:trPr>
          <w:tblHeader/>
        </w:trPr>
        <w:tc>
          <w:tcPr>
            <w:tcW w:w="1116" w:type="dxa"/>
            <w:noWrap/>
            <w:vAlign w:val="center"/>
          </w:tcPr>
          <w:p w:rsidR="00000000" w:rsidRDefault="00000000">
            <w:pPr>
              <w:spacing w:before="60" w:after="60"/>
              <w:jc w:val="center"/>
              <w:rPr>
                <w:sz w:val="22"/>
              </w:rPr>
            </w:pPr>
            <w:r>
              <w:rPr>
                <w:sz w:val="22"/>
              </w:rPr>
              <w:t>Groupe d’âge</w:t>
            </w:r>
          </w:p>
        </w:tc>
        <w:tc>
          <w:tcPr>
            <w:tcW w:w="931" w:type="dxa"/>
            <w:noWrap/>
            <w:vAlign w:val="center"/>
          </w:tcPr>
          <w:p w:rsidR="00000000" w:rsidRDefault="00000000">
            <w:pPr>
              <w:spacing w:before="60" w:after="60"/>
              <w:jc w:val="center"/>
              <w:rPr>
                <w:sz w:val="22"/>
              </w:rPr>
            </w:pPr>
            <w:r>
              <w:rPr>
                <w:sz w:val="22"/>
              </w:rPr>
              <w:t>Enfants des deux sexes</w:t>
            </w:r>
          </w:p>
        </w:tc>
        <w:tc>
          <w:tcPr>
            <w:tcW w:w="931" w:type="dxa"/>
            <w:noWrap/>
            <w:vAlign w:val="center"/>
          </w:tcPr>
          <w:p w:rsidR="00000000" w:rsidRDefault="00000000">
            <w:pPr>
              <w:spacing w:before="60" w:after="60"/>
              <w:jc w:val="center"/>
              <w:rPr>
                <w:sz w:val="22"/>
              </w:rPr>
            </w:pPr>
            <w:r>
              <w:rPr>
                <w:sz w:val="22"/>
              </w:rPr>
              <w:t>Garçons</w:t>
            </w:r>
          </w:p>
        </w:tc>
        <w:tc>
          <w:tcPr>
            <w:tcW w:w="931" w:type="dxa"/>
            <w:noWrap/>
            <w:vAlign w:val="center"/>
          </w:tcPr>
          <w:p w:rsidR="00000000" w:rsidRDefault="00000000">
            <w:pPr>
              <w:spacing w:before="60" w:after="60"/>
              <w:jc w:val="center"/>
              <w:rPr>
                <w:sz w:val="22"/>
              </w:rPr>
            </w:pPr>
            <w:r>
              <w:rPr>
                <w:sz w:val="22"/>
              </w:rPr>
              <w:t>Filles</w:t>
            </w:r>
          </w:p>
        </w:tc>
        <w:tc>
          <w:tcPr>
            <w:tcW w:w="931" w:type="dxa"/>
            <w:noWrap/>
            <w:vAlign w:val="center"/>
          </w:tcPr>
          <w:p w:rsidR="00000000" w:rsidRDefault="00000000">
            <w:pPr>
              <w:spacing w:before="60" w:after="60"/>
              <w:jc w:val="center"/>
              <w:rPr>
                <w:sz w:val="22"/>
              </w:rPr>
            </w:pPr>
            <w:r>
              <w:rPr>
                <w:sz w:val="22"/>
              </w:rPr>
              <w:t>Enfants des deux sexes</w:t>
            </w:r>
          </w:p>
        </w:tc>
        <w:tc>
          <w:tcPr>
            <w:tcW w:w="931" w:type="dxa"/>
            <w:noWrap/>
            <w:vAlign w:val="center"/>
          </w:tcPr>
          <w:p w:rsidR="00000000" w:rsidRDefault="00000000">
            <w:pPr>
              <w:spacing w:before="60" w:after="60"/>
              <w:jc w:val="center"/>
              <w:rPr>
                <w:sz w:val="22"/>
              </w:rPr>
            </w:pPr>
            <w:r>
              <w:rPr>
                <w:sz w:val="22"/>
              </w:rPr>
              <w:t>Garçons</w:t>
            </w:r>
          </w:p>
        </w:tc>
        <w:tc>
          <w:tcPr>
            <w:tcW w:w="931" w:type="dxa"/>
            <w:noWrap/>
            <w:vAlign w:val="center"/>
          </w:tcPr>
          <w:p w:rsidR="00000000" w:rsidRDefault="00000000">
            <w:pPr>
              <w:spacing w:before="60" w:after="60"/>
              <w:jc w:val="center"/>
              <w:rPr>
                <w:sz w:val="22"/>
              </w:rPr>
            </w:pPr>
            <w:r>
              <w:rPr>
                <w:sz w:val="22"/>
              </w:rPr>
              <w:t>Filles</w:t>
            </w:r>
          </w:p>
        </w:tc>
        <w:tc>
          <w:tcPr>
            <w:tcW w:w="931" w:type="dxa"/>
            <w:noWrap/>
            <w:vAlign w:val="center"/>
          </w:tcPr>
          <w:p w:rsidR="00000000" w:rsidRDefault="00000000">
            <w:pPr>
              <w:spacing w:before="60" w:after="60"/>
              <w:jc w:val="center"/>
              <w:rPr>
                <w:sz w:val="22"/>
              </w:rPr>
            </w:pPr>
            <w:r>
              <w:rPr>
                <w:sz w:val="22"/>
              </w:rPr>
              <w:t>Enfants des deux sexes</w:t>
            </w:r>
          </w:p>
        </w:tc>
        <w:tc>
          <w:tcPr>
            <w:tcW w:w="931" w:type="dxa"/>
            <w:noWrap/>
            <w:vAlign w:val="center"/>
          </w:tcPr>
          <w:p w:rsidR="00000000" w:rsidRDefault="00000000">
            <w:pPr>
              <w:spacing w:before="60" w:after="60"/>
              <w:jc w:val="center"/>
              <w:rPr>
                <w:sz w:val="22"/>
              </w:rPr>
            </w:pPr>
            <w:r>
              <w:rPr>
                <w:sz w:val="22"/>
              </w:rPr>
              <w:t>Garçons</w:t>
            </w:r>
          </w:p>
        </w:tc>
        <w:tc>
          <w:tcPr>
            <w:tcW w:w="932" w:type="dxa"/>
            <w:noWrap/>
            <w:vAlign w:val="center"/>
          </w:tcPr>
          <w:p w:rsidR="00000000" w:rsidRDefault="00000000">
            <w:pPr>
              <w:spacing w:before="60" w:after="60"/>
              <w:jc w:val="center"/>
              <w:rPr>
                <w:sz w:val="22"/>
              </w:rPr>
            </w:pPr>
            <w:r>
              <w:rPr>
                <w:sz w:val="22"/>
              </w:rPr>
              <w:t>Filles</w:t>
            </w:r>
          </w:p>
        </w:tc>
      </w:tr>
      <w:tr w:rsidR="00000000">
        <w:tblPrEx>
          <w:tblCellMar>
            <w:top w:w="0" w:type="dxa"/>
            <w:bottom w:w="0" w:type="dxa"/>
          </w:tblCellMar>
        </w:tblPrEx>
        <w:tc>
          <w:tcPr>
            <w:tcW w:w="1116" w:type="dxa"/>
            <w:noWrap/>
          </w:tcPr>
          <w:p w:rsidR="00000000" w:rsidRDefault="00000000">
            <w:pPr>
              <w:spacing w:before="60" w:after="60"/>
              <w:rPr>
                <w:sz w:val="22"/>
              </w:rPr>
            </w:pPr>
          </w:p>
        </w:tc>
        <w:tc>
          <w:tcPr>
            <w:tcW w:w="2793" w:type="dxa"/>
            <w:gridSpan w:val="3"/>
            <w:noWrap/>
          </w:tcPr>
          <w:p w:rsidR="00000000" w:rsidRDefault="00000000">
            <w:pPr>
              <w:spacing w:before="60" w:after="60"/>
              <w:jc w:val="center"/>
              <w:rPr>
                <w:sz w:val="22"/>
              </w:rPr>
            </w:pPr>
            <w:r>
              <w:rPr>
                <w:sz w:val="22"/>
              </w:rPr>
              <w:t>2000 (1</w:t>
            </w:r>
            <w:r>
              <w:rPr>
                <w:sz w:val="22"/>
                <w:vertAlign w:val="superscript"/>
              </w:rPr>
              <w:t>er</w:t>
            </w:r>
            <w:r>
              <w:rPr>
                <w:sz w:val="22"/>
              </w:rPr>
              <w:t xml:space="preserve"> janvier)</w:t>
            </w:r>
          </w:p>
        </w:tc>
        <w:tc>
          <w:tcPr>
            <w:tcW w:w="2793" w:type="dxa"/>
            <w:gridSpan w:val="3"/>
            <w:noWrap/>
          </w:tcPr>
          <w:p w:rsidR="00000000" w:rsidRDefault="00000000">
            <w:pPr>
              <w:spacing w:before="60" w:after="60"/>
              <w:jc w:val="center"/>
              <w:rPr>
                <w:sz w:val="22"/>
              </w:rPr>
            </w:pPr>
            <w:r>
              <w:rPr>
                <w:sz w:val="22"/>
              </w:rPr>
              <w:t>2001 (1</w:t>
            </w:r>
            <w:r>
              <w:rPr>
                <w:sz w:val="22"/>
                <w:vertAlign w:val="superscript"/>
              </w:rPr>
              <w:t>er</w:t>
            </w:r>
            <w:r>
              <w:rPr>
                <w:sz w:val="22"/>
              </w:rPr>
              <w:t xml:space="preserve"> janvier)</w:t>
            </w:r>
          </w:p>
        </w:tc>
        <w:tc>
          <w:tcPr>
            <w:tcW w:w="2794" w:type="dxa"/>
            <w:gridSpan w:val="3"/>
            <w:noWrap/>
          </w:tcPr>
          <w:p w:rsidR="00000000" w:rsidRDefault="00000000">
            <w:pPr>
              <w:spacing w:before="60" w:after="60"/>
              <w:jc w:val="center"/>
              <w:rPr>
                <w:sz w:val="22"/>
              </w:rPr>
            </w:pPr>
            <w:r>
              <w:rPr>
                <w:sz w:val="22"/>
              </w:rPr>
              <w:t>2002 (17 janvier)</w:t>
            </w:r>
          </w:p>
        </w:tc>
      </w:tr>
      <w:tr w:rsidR="00000000">
        <w:tblPrEx>
          <w:tblCellMar>
            <w:top w:w="0" w:type="dxa"/>
            <w:bottom w:w="0" w:type="dxa"/>
          </w:tblCellMar>
        </w:tblPrEx>
        <w:tc>
          <w:tcPr>
            <w:tcW w:w="1116" w:type="dxa"/>
            <w:noWrap/>
            <w:vAlign w:val="bottom"/>
          </w:tcPr>
          <w:p w:rsidR="00000000" w:rsidRDefault="00000000">
            <w:pPr>
              <w:spacing w:before="60" w:after="60"/>
              <w:rPr>
                <w:sz w:val="22"/>
              </w:rPr>
            </w:pPr>
            <w:r>
              <w:rPr>
                <w:sz w:val="22"/>
              </w:rPr>
              <w:t>Moins d’un an</w:t>
            </w:r>
          </w:p>
        </w:tc>
        <w:tc>
          <w:tcPr>
            <w:tcW w:w="931" w:type="dxa"/>
            <w:noWrap/>
            <w:vAlign w:val="bottom"/>
          </w:tcPr>
          <w:p w:rsidR="00000000" w:rsidRDefault="00000000">
            <w:pPr>
              <w:spacing w:before="60" w:after="60"/>
              <w:jc w:val="right"/>
              <w:rPr>
                <w:sz w:val="22"/>
              </w:rPr>
            </w:pPr>
            <w:r>
              <w:rPr>
                <w:sz w:val="22"/>
              </w:rPr>
              <w:t>47,6</w:t>
            </w:r>
          </w:p>
        </w:tc>
        <w:tc>
          <w:tcPr>
            <w:tcW w:w="931" w:type="dxa"/>
            <w:noWrap/>
            <w:vAlign w:val="bottom"/>
          </w:tcPr>
          <w:p w:rsidR="00000000" w:rsidRDefault="00000000">
            <w:pPr>
              <w:spacing w:before="60" w:after="60"/>
              <w:jc w:val="right"/>
              <w:rPr>
                <w:sz w:val="22"/>
              </w:rPr>
            </w:pPr>
            <w:r>
              <w:rPr>
                <w:sz w:val="22"/>
              </w:rPr>
              <w:t>25,1</w:t>
            </w:r>
          </w:p>
        </w:tc>
        <w:tc>
          <w:tcPr>
            <w:tcW w:w="931" w:type="dxa"/>
            <w:noWrap/>
            <w:vAlign w:val="bottom"/>
          </w:tcPr>
          <w:p w:rsidR="00000000" w:rsidRDefault="00000000">
            <w:pPr>
              <w:spacing w:before="60" w:after="60"/>
              <w:jc w:val="right"/>
              <w:rPr>
                <w:sz w:val="22"/>
              </w:rPr>
            </w:pPr>
            <w:r>
              <w:rPr>
                <w:sz w:val="22"/>
              </w:rPr>
              <w:t>22,5</w:t>
            </w:r>
          </w:p>
        </w:tc>
        <w:tc>
          <w:tcPr>
            <w:tcW w:w="931" w:type="dxa"/>
            <w:noWrap/>
            <w:vAlign w:val="bottom"/>
          </w:tcPr>
          <w:p w:rsidR="00000000" w:rsidRDefault="00000000">
            <w:pPr>
              <w:spacing w:before="60" w:after="60"/>
              <w:jc w:val="right"/>
              <w:rPr>
                <w:sz w:val="22"/>
              </w:rPr>
            </w:pPr>
            <w:r>
              <w:rPr>
                <w:sz w:val="22"/>
              </w:rPr>
              <w:t>47,7</w:t>
            </w:r>
          </w:p>
        </w:tc>
        <w:tc>
          <w:tcPr>
            <w:tcW w:w="931" w:type="dxa"/>
            <w:noWrap/>
            <w:vAlign w:val="bottom"/>
          </w:tcPr>
          <w:p w:rsidR="00000000" w:rsidRDefault="00000000">
            <w:pPr>
              <w:spacing w:before="60" w:after="60"/>
              <w:jc w:val="right"/>
              <w:rPr>
                <w:sz w:val="22"/>
              </w:rPr>
            </w:pPr>
            <w:r>
              <w:rPr>
                <w:sz w:val="22"/>
              </w:rPr>
              <w:t>25,2</w:t>
            </w:r>
          </w:p>
        </w:tc>
        <w:tc>
          <w:tcPr>
            <w:tcW w:w="931" w:type="dxa"/>
            <w:noWrap/>
            <w:vAlign w:val="bottom"/>
          </w:tcPr>
          <w:p w:rsidR="00000000" w:rsidRDefault="00000000">
            <w:pPr>
              <w:spacing w:before="60" w:after="60"/>
              <w:jc w:val="right"/>
              <w:rPr>
                <w:sz w:val="22"/>
              </w:rPr>
            </w:pPr>
            <w:r>
              <w:rPr>
                <w:sz w:val="22"/>
              </w:rPr>
              <w:t>22,5</w:t>
            </w:r>
          </w:p>
        </w:tc>
        <w:tc>
          <w:tcPr>
            <w:tcW w:w="931" w:type="dxa"/>
            <w:noWrap/>
            <w:vAlign w:val="bottom"/>
          </w:tcPr>
          <w:p w:rsidR="00000000" w:rsidRDefault="00000000">
            <w:pPr>
              <w:spacing w:before="60" w:after="60"/>
              <w:jc w:val="right"/>
              <w:rPr>
                <w:sz w:val="22"/>
              </w:rPr>
            </w:pPr>
            <w:r>
              <w:rPr>
                <w:sz w:val="22"/>
              </w:rPr>
              <w:t>45,2</w:t>
            </w:r>
          </w:p>
        </w:tc>
        <w:tc>
          <w:tcPr>
            <w:tcW w:w="931" w:type="dxa"/>
            <w:noWrap/>
            <w:vAlign w:val="bottom"/>
          </w:tcPr>
          <w:p w:rsidR="00000000" w:rsidRDefault="00000000">
            <w:pPr>
              <w:spacing w:before="60" w:after="60"/>
              <w:jc w:val="right"/>
              <w:rPr>
                <w:sz w:val="22"/>
              </w:rPr>
            </w:pPr>
            <w:r>
              <w:rPr>
                <w:sz w:val="22"/>
              </w:rPr>
              <w:t>23,7</w:t>
            </w:r>
          </w:p>
        </w:tc>
        <w:tc>
          <w:tcPr>
            <w:tcW w:w="932" w:type="dxa"/>
            <w:noWrap/>
            <w:vAlign w:val="bottom"/>
          </w:tcPr>
          <w:p w:rsidR="00000000" w:rsidRDefault="00000000">
            <w:pPr>
              <w:spacing w:before="60" w:after="60"/>
              <w:jc w:val="right"/>
              <w:rPr>
                <w:sz w:val="22"/>
              </w:rPr>
            </w:pPr>
            <w:r>
              <w:rPr>
                <w:sz w:val="22"/>
              </w:rPr>
              <w:t>21,5</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1</w:t>
            </w:r>
            <w:r>
              <w:rPr>
                <w:sz w:val="22"/>
              </w:rPr>
              <w:noBreakHyphen/>
              <w:t>4 ans</w:t>
            </w:r>
          </w:p>
        </w:tc>
        <w:tc>
          <w:tcPr>
            <w:tcW w:w="931" w:type="dxa"/>
            <w:noWrap/>
          </w:tcPr>
          <w:p w:rsidR="00000000" w:rsidRDefault="00000000">
            <w:pPr>
              <w:spacing w:before="60" w:after="60"/>
              <w:jc w:val="right"/>
              <w:rPr>
                <w:sz w:val="22"/>
              </w:rPr>
            </w:pPr>
            <w:r>
              <w:rPr>
                <w:sz w:val="22"/>
              </w:rPr>
              <w:t>210,4</w:t>
            </w:r>
          </w:p>
        </w:tc>
        <w:tc>
          <w:tcPr>
            <w:tcW w:w="931" w:type="dxa"/>
            <w:noWrap/>
          </w:tcPr>
          <w:p w:rsidR="00000000" w:rsidRDefault="00000000">
            <w:pPr>
              <w:spacing w:before="60" w:after="60"/>
              <w:jc w:val="right"/>
              <w:rPr>
                <w:sz w:val="22"/>
              </w:rPr>
            </w:pPr>
            <w:r>
              <w:rPr>
                <w:sz w:val="22"/>
              </w:rPr>
              <w:t>110,0</w:t>
            </w:r>
          </w:p>
        </w:tc>
        <w:tc>
          <w:tcPr>
            <w:tcW w:w="931" w:type="dxa"/>
            <w:noWrap/>
          </w:tcPr>
          <w:p w:rsidR="00000000" w:rsidRDefault="00000000">
            <w:pPr>
              <w:spacing w:before="60" w:after="60"/>
              <w:jc w:val="right"/>
              <w:rPr>
                <w:sz w:val="22"/>
              </w:rPr>
            </w:pPr>
            <w:r>
              <w:rPr>
                <w:sz w:val="22"/>
              </w:rPr>
              <w:t>100,4</w:t>
            </w:r>
          </w:p>
        </w:tc>
        <w:tc>
          <w:tcPr>
            <w:tcW w:w="931" w:type="dxa"/>
            <w:noWrap/>
          </w:tcPr>
          <w:p w:rsidR="00000000" w:rsidRDefault="00000000">
            <w:pPr>
              <w:spacing w:before="60" w:after="60"/>
              <w:jc w:val="right"/>
              <w:rPr>
                <w:sz w:val="22"/>
              </w:rPr>
            </w:pPr>
            <w:r>
              <w:rPr>
                <w:sz w:val="22"/>
              </w:rPr>
              <w:t>199,7</w:t>
            </w:r>
          </w:p>
        </w:tc>
        <w:tc>
          <w:tcPr>
            <w:tcW w:w="931" w:type="dxa"/>
            <w:noWrap/>
          </w:tcPr>
          <w:p w:rsidR="00000000" w:rsidRDefault="00000000">
            <w:pPr>
              <w:spacing w:before="60" w:after="60"/>
              <w:jc w:val="right"/>
              <w:rPr>
                <w:sz w:val="22"/>
              </w:rPr>
            </w:pPr>
            <w:r>
              <w:rPr>
                <w:sz w:val="22"/>
              </w:rPr>
              <w:t>104,8</w:t>
            </w:r>
          </w:p>
        </w:tc>
        <w:tc>
          <w:tcPr>
            <w:tcW w:w="931" w:type="dxa"/>
            <w:noWrap/>
          </w:tcPr>
          <w:p w:rsidR="00000000" w:rsidRDefault="00000000">
            <w:pPr>
              <w:spacing w:before="60" w:after="60"/>
              <w:jc w:val="right"/>
              <w:rPr>
                <w:sz w:val="22"/>
              </w:rPr>
            </w:pPr>
            <w:r>
              <w:rPr>
                <w:sz w:val="22"/>
              </w:rPr>
              <w:t>94,9</w:t>
            </w:r>
          </w:p>
        </w:tc>
        <w:tc>
          <w:tcPr>
            <w:tcW w:w="931" w:type="dxa"/>
            <w:noWrap/>
          </w:tcPr>
          <w:p w:rsidR="00000000" w:rsidRDefault="00000000">
            <w:pPr>
              <w:spacing w:before="60" w:after="60"/>
              <w:jc w:val="right"/>
              <w:rPr>
                <w:sz w:val="22"/>
              </w:rPr>
            </w:pPr>
            <w:r>
              <w:rPr>
                <w:sz w:val="22"/>
              </w:rPr>
              <w:t>198,4</w:t>
            </w:r>
          </w:p>
        </w:tc>
        <w:tc>
          <w:tcPr>
            <w:tcW w:w="931" w:type="dxa"/>
            <w:noWrap/>
          </w:tcPr>
          <w:p w:rsidR="00000000" w:rsidRDefault="00000000">
            <w:pPr>
              <w:spacing w:before="60" w:after="60"/>
              <w:jc w:val="right"/>
              <w:rPr>
                <w:sz w:val="22"/>
              </w:rPr>
            </w:pPr>
            <w:r>
              <w:rPr>
                <w:sz w:val="22"/>
              </w:rPr>
              <w:t>104,1</w:t>
            </w:r>
          </w:p>
        </w:tc>
        <w:tc>
          <w:tcPr>
            <w:tcW w:w="932" w:type="dxa"/>
            <w:noWrap/>
          </w:tcPr>
          <w:p w:rsidR="00000000" w:rsidRDefault="00000000">
            <w:pPr>
              <w:spacing w:before="60" w:after="60"/>
              <w:jc w:val="right"/>
              <w:rPr>
                <w:sz w:val="22"/>
              </w:rPr>
            </w:pPr>
            <w:r>
              <w:rPr>
                <w:sz w:val="22"/>
              </w:rPr>
              <w:t>94,3</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5</w:t>
            </w:r>
            <w:r>
              <w:rPr>
                <w:sz w:val="22"/>
              </w:rPr>
              <w:noBreakHyphen/>
              <w:t>9 ans</w:t>
            </w:r>
          </w:p>
        </w:tc>
        <w:tc>
          <w:tcPr>
            <w:tcW w:w="931" w:type="dxa"/>
            <w:noWrap/>
          </w:tcPr>
          <w:p w:rsidR="00000000" w:rsidRDefault="00000000">
            <w:pPr>
              <w:spacing w:before="60" w:after="60"/>
              <w:jc w:val="right"/>
              <w:rPr>
                <w:sz w:val="22"/>
              </w:rPr>
            </w:pPr>
            <w:r>
              <w:rPr>
                <w:sz w:val="22"/>
              </w:rPr>
              <w:t>311,5</w:t>
            </w:r>
          </w:p>
        </w:tc>
        <w:tc>
          <w:tcPr>
            <w:tcW w:w="931" w:type="dxa"/>
            <w:noWrap/>
          </w:tcPr>
          <w:p w:rsidR="00000000" w:rsidRDefault="00000000">
            <w:pPr>
              <w:spacing w:before="60" w:after="60"/>
              <w:jc w:val="right"/>
              <w:rPr>
                <w:sz w:val="22"/>
              </w:rPr>
            </w:pPr>
            <w:r>
              <w:rPr>
                <w:sz w:val="22"/>
              </w:rPr>
              <w:t>159,8</w:t>
            </w:r>
          </w:p>
        </w:tc>
        <w:tc>
          <w:tcPr>
            <w:tcW w:w="931" w:type="dxa"/>
            <w:noWrap/>
          </w:tcPr>
          <w:p w:rsidR="00000000" w:rsidRDefault="00000000">
            <w:pPr>
              <w:spacing w:before="60" w:after="60"/>
              <w:jc w:val="right"/>
              <w:rPr>
                <w:sz w:val="22"/>
              </w:rPr>
            </w:pPr>
            <w:r>
              <w:rPr>
                <w:sz w:val="22"/>
              </w:rPr>
              <w:t>151,7</w:t>
            </w:r>
          </w:p>
        </w:tc>
        <w:tc>
          <w:tcPr>
            <w:tcW w:w="931" w:type="dxa"/>
            <w:noWrap/>
          </w:tcPr>
          <w:p w:rsidR="00000000" w:rsidRDefault="00000000">
            <w:pPr>
              <w:spacing w:before="60" w:after="60"/>
              <w:jc w:val="right"/>
              <w:rPr>
                <w:sz w:val="22"/>
              </w:rPr>
            </w:pPr>
            <w:r>
              <w:rPr>
                <w:sz w:val="22"/>
              </w:rPr>
              <w:t>304,4</w:t>
            </w:r>
          </w:p>
        </w:tc>
        <w:tc>
          <w:tcPr>
            <w:tcW w:w="931" w:type="dxa"/>
            <w:noWrap/>
          </w:tcPr>
          <w:p w:rsidR="00000000" w:rsidRDefault="00000000">
            <w:pPr>
              <w:spacing w:before="60" w:after="60"/>
              <w:jc w:val="right"/>
              <w:rPr>
                <w:sz w:val="22"/>
              </w:rPr>
            </w:pPr>
            <w:r>
              <w:rPr>
                <w:sz w:val="22"/>
              </w:rPr>
              <w:t>156,3</w:t>
            </w:r>
          </w:p>
        </w:tc>
        <w:tc>
          <w:tcPr>
            <w:tcW w:w="931" w:type="dxa"/>
            <w:noWrap/>
          </w:tcPr>
          <w:p w:rsidR="00000000" w:rsidRDefault="00000000">
            <w:pPr>
              <w:spacing w:before="60" w:after="60"/>
              <w:jc w:val="right"/>
              <w:rPr>
                <w:sz w:val="22"/>
              </w:rPr>
            </w:pPr>
            <w:r>
              <w:rPr>
                <w:sz w:val="22"/>
              </w:rPr>
              <w:t>148,1</w:t>
            </w:r>
          </w:p>
        </w:tc>
        <w:tc>
          <w:tcPr>
            <w:tcW w:w="931" w:type="dxa"/>
            <w:noWrap/>
          </w:tcPr>
          <w:p w:rsidR="00000000" w:rsidRDefault="00000000">
            <w:pPr>
              <w:spacing w:before="60" w:after="60"/>
              <w:jc w:val="right"/>
              <w:rPr>
                <w:sz w:val="22"/>
              </w:rPr>
            </w:pPr>
            <w:r>
              <w:rPr>
                <w:sz w:val="22"/>
              </w:rPr>
              <w:t>302,3</w:t>
            </w:r>
          </w:p>
        </w:tc>
        <w:tc>
          <w:tcPr>
            <w:tcW w:w="931" w:type="dxa"/>
            <w:noWrap/>
          </w:tcPr>
          <w:p w:rsidR="00000000" w:rsidRDefault="00000000">
            <w:pPr>
              <w:spacing w:before="60" w:after="60"/>
              <w:jc w:val="right"/>
              <w:rPr>
                <w:sz w:val="22"/>
              </w:rPr>
            </w:pPr>
            <w:r>
              <w:rPr>
                <w:sz w:val="22"/>
              </w:rPr>
              <w:t>155,3</w:t>
            </w:r>
          </w:p>
        </w:tc>
        <w:tc>
          <w:tcPr>
            <w:tcW w:w="932" w:type="dxa"/>
            <w:noWrap/>
          </w:tcPr>
          <w:p w:rsidR="00000000" w:rsidRDefault="00000000">
            <w:pPr>
              <w:spacing w:before="60" w:after="60"/>
              <w:jc w:val="right"/>
              <w:rPr>
                <w:sz w:val="22"/>
              </w:rPr>
            </w:pPr>
            <w:r>
              <w:rPr>
                <w:sz w:val="22"/>
              </w:rPr>
              <w:t>147,0</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10</w:t>
            </w:r>
            <w:r>
              <w:rPr>
                <w:sz w:val="22"/>
              </w:rPr>
              <w:noBreakHyphen/>
              <w:t>14 ans</w:t>
            </w:r>
          </w:p>
        </w:tc>
        <w:tc>
          <w:tcPr>
            <w:tcW w:w="931" w:type="dxa"/>
            <w:noWrap/>
          </w:tcPr>
          <w:p w:rsidR="00000000" w:rsidRDefault="00000000">
            <w:pPr>
              <w:spacing w:before="60" w:after="60"/>
              <w:jc w:val="right"/>
              <w:rPr>
                <w:sz w:val="22"/>
              </w:rPr>
            </w:pPr>
            <w:r>
              <w:rPr>
                <w:sz w:val="22"/>
              </w:rPr>
              <w:t>374,0</w:t>
            </w:r>
          </w:p>
        </w:tc>
        <w:tc>
          <w:tcPr>
            <w:tcW w:w="931" w:type="dxa"/>
            <w:noWrap/>
          </w:tcPr>
          <w:p w:rsidR="00000000" w:rsidRDefault="00000000">
            <w:pPr>
              <w:spacing w:before="60" w:after="60"/>
              <w:jc w:val="right"/>
              <w:rPr>
                <w:sz w:val="22"/>
              </w:rPr>
            </w:pPr>
            <w:r>
              <w:rPr>
                <w:sz w:val="22"/>
              </w:rPr>
              <w:t>189,7</w:t>
            </w:r>
          </w:p>
        </w:tc>
        <w:tc>
          <w:tcPr>
            <w:tcW w:w="931" w:type="dxa"/>
            <w:noWrap/>
          </w:tcPr>
          <w:p w:rsidR="00000000" w:rsidRDefault="00000000">
            <w:pPr>
              <w:spacing w:before="60" w:after="60"/>
              <w:jc w:val="right"/>
              <w:rPr>
                <w:sz w:val="22"/>
              </w:rPr>
            </w:pPr>
            <w:r>
              <w:rPr>
                <w:sz w:val="22"/>
              </w:rPr>
              <w:t>184,3</w:t>
            </w:r>
          </w:p>
        </w:tc>
        <w:tc>
          <w:tcPr>
            <w:tcW w:w="931" w:type="dxa"/>
            <w:noWrap/>
          </w:tcPr>
          <w:p w:rsidR="00000000" w:rsidRDefault="00000000">
            <w:pPr>
              <w:spacing w:before="60" w:after="60"/>
              <w:jc w:val="right"/>
              <w:rPr>
                <w:sz w:val="22"/>
              </w:rPr>
            </w:pPr>
            <w:r>
              <w:rPr>
                <w:sz w:val="22"/>
              </w:rPr>
              <w:t>372,6</w:t>
            </w:r>
          </w:p>
        </w:tc>
        <w:tc>
          <w:tcPr>
            <w:tcW w:w="931" w:type="dxa"/>
            <w:noWrap/>
          </w:tcPr>
          <w:p w:rsidR="00000000" w:rsidRDefault="00000000">
            <w:pPr>
              <w:spacing w:before="60" w:after="60"/>
              <w:jc w:val="right"/>
              <w:rPr>
                <w:sz w:val="22"/>
              </w:rPr>
            </w:pPr>
            <w:r>
              <w:rPr>
                <w:sz w:val="22"/>
              </w:rPr>
              <w:t>188,9</w:t>
            </w:r>
          </w:p>
        </w:tc>
        <w:tc>
          <w:tcPr>
            <w:tcW w:w="931" w:type="dxa"/>
            <w:noWrap/>
          </w:tcPr>
          <w:p w:rsidR="00000000" w:rsidRDefault="00000000">
            <w:pPr>
              <w:spacing w:before="60" w:after="60"/>
              <w:jc w:val="right"/>
              <w:rPr>
                <w:sz w:val="22"/>
              </w:rPr>
            </w:pPr>
            <w:r>
              <w:rPr>
                <w:sz w:val="22"/>
              </w:rPr>
              <w:t>183,7</w:t>
            </w:r>
          </w:p>
        </w:tc>
        <w:tc>
          <w:tcPr>
            <w:tcW w:w="931" w:type="dxa"/>
            <w:noWrap/>
          </w:tcPr>
          <w:p w:rsidR="00000000" w:rsidRDefault="00000000">
            <w:pPr>
              <w:spacing w:before="60" w:after="60"/>
              <w:jc w:val="right"/>
              <w:rPr>
                <w:sz w:val="22"/>
              </w:rPr>
            </w:pPr>
            <w:r>
              <w:rPr>
                <w:sz w:val="22"/>
              </w:rPr>
              <w:t>370,1</w:t>
            </w:r>
          </w:p>
        </w:tc>
        <w:tc>
          <w:tcPr>
            <w:tcW w:w="931" w:type="dxa"/>
            <w:noWrap/>
          </w:tcPr>
          <w:p w:rsidR="00000000" w:rsidRDefault="00000000">
            <w:pPr>
              <w:spacing w:before="60" w:after="60"/>
              <w:jc w:val="right"/>
              <w:rPr>
                <w:sz w:val="22"/>
              </w:rPr>
            </w:pPr>
            <w:r>
              <w:rPr>
                <w:sz w:val="22"/>
              </w:rPr>
              <w:t>187,7</w:t>
            </w:r>
          </w:p>
        </w:tc>
        <w:tc>
          <w:tcPr>
            <w:tcW w:w="932" w:type="dxa"/>
            <w:noWrap/>
          </w:tcPr>
          <w:p w:rsidR="00000000" w:rsidRDefault="00000000">
            <w:pPr>
              <w:spacing w:before="60" w:after="60"/>
              <w:jc w:val="right"/>
              <w:rPr>
                <w:sz w:val="22"/>
              </w:rPr>
            </w:pPr>
            <w:r>
              <w:rPr>
                <w:sz w:val="22"/>
              </w:rPr>
              <w:t>182,4</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15</w:t>
            </w:r>
            <w:r>
              <w:rPr>
                <w:sz w:val="22"/>
              </w:rPr>
              <w:noBreakHyphen/>
              <w:t>19 ans</w:t>
            </w:r>
          </w:p>
        </w:tc>
        <w:tc>
          <w:tcPr>
            <w:tcW w:w="931" w:type="dxa"/>
            <w:noWrap/>
          </w:tcPr>
          <w:p w:rsidR="00000000" w:rsidRDefault="00000000">
            <w:pPr>
              <w:spacing w:before="60" w:after="60"/>
              <w:jc w:val="right"/>
              <w:rPr>
                <w:sz w:val="22"/>
              </w:rPr>
            </w:pPr>
            <w:r>
              <w:rPr>
                <w:sz w:val="22"/>
              </w:rPr>
              <w:t>361,0</w:t>
            </w:r>
          </w:p>
        </w:tc>
        <w:tc>
          <w:tcPr>
            <w:tcW w:w="931" w:type="dxa"/>
            <w:noWrap/>
          </w:tcPr>
          <w:p w:rsidR="00000000" w:rsidRDefault="00000000">
            <w:pPr>
              <w:spacing w:before="60" w:after="60"/>
              <w:jc w:val="right"/>
              <w:rPr>
                <w:sz w:val="22"/>
              </w:rPr>
            </w:pPr>
            <w:r>
              <w:rPr>
                <w:sz w:val="22"/>
              </w:rPr>
              <w:t>182,2</w:t>
            </w:r>
          </w:p>
        </w:tc>
        <w:tc>
          <w:tcPr>
            <w:tcW w:w="931" w:type="dxa"/>
            <w:noWrap/>
          </w:tcPr>
          <w:p w:rsidR="00000000" w:rsidRDefault="00000000">
            <w:pPr>
              <w:spacing w:before="60" w:after="60"/>
              <w:jc w:val="right"/>
              <w:rPr>
                <w:sz w:val="22"/>
              </w:rPr>
            </w:pPr>
            <w:r>
              <w:rPr>
                <w:sz w:val="22"/>
              </w:rPr>
              <w:t>178,8</w:t>
            </w:r>
          </w:p>
        </w:tc>
        <w:tc>
          <w:tcPr>
            <w:tcW w:w="931" w:type="dxa"/>
            <w:noWrap/>
          </w:tcPr>
          <w:p w:rsidR="00000000" w:rsidRDefault="00000000">
            <w:pPr>
              <w:spacing w:before="60" w:after="60"/>
              <w:jc w:val="right"/>
              <w:rPr>
                <w:sz w:val="22"/>
              </w:rPr>
            </w:pPr>
            <w:r>
              <w:rPr>
                <w:sz w:val="22"/>
              </w:rPr>
              <w:t>359,6</w:t>
            </w:r>
          </w:p>
        </w:tc>
        <w:tc>
          <w:tcPr>
            <w:tcW w:w="931" w:type="dxa"/>
            <w:noWrap/>
          </w:tcPr>
          <w:p w:rsidR="00000000" w:rsidRDefault="00000000">
            <w:pPr>
              <w:spacing w:before="60" w:after="60"/>
              <w:jc w:val="right"/>
              <w:rPr>
                <w:sz w:val="22"/>
              </w:rPr>
            </w:pPr>
            <w:r>
              <w:rPr>
                <w:sz w:val="22"/>
              </w:rPr>
              <w:t>181,0</w:t>
            </w:r>
          </w:p>
        </w:tc>
        <w:tc>
          <w:tcPr>
            <w:tcW w:w="931" w:type="dxa"/>
            <w:noWrap/>
          </w:tcPr>
          <w:p w:rsidR="00000000" w:rsidRDefault="00000000">
            <w:pPr>
              <w:spacing w:before="60" w:after="60"/>
              <w:jc w:val="right"/>
              <w:rPr>
                <w:sz w:val="22"/>
              </w:rPr>
            </w:pPr>
            <w:r>
              <w:rPr>
                <w:sz w:val="22"/>
              </w:rPr>
              <w:t>178,6</w:t>
            </w:r>
          </w:p>
        </w:tc>
        <w:tc>
          <w:tcPr>
            <w:tcW w:w="931" w:type="dxa"/>
            <w:noWrap/>
          </w:tcPr>
          <w:p w:rsidR="00000000" w:rsidRDefault="00000000">
            <w:pPr>
              <w:spacing w:before="60" w:after="60"/>
              <w:jc w:val="right"/>
              <w:rPr>
                <w:sz w:val="22"/>
              </w:rPr>
            </w:pPr>
            <w:r>
              <w:rPr>
                <w:sz w:val="22"/>
              </w:rPr>
              <w:t>357,2</w:t>
            </w:r>
          </w:p>
        </w:tc>
        <w:tc>
          <w:tcPr>
            <w:tcW w:w="931" w:type="dxa"/>
            <w:noWrap/>
          </w:tcPr>
          <w:p w:rsidR="00000000" w:rsidRDefault="00000000">
            <w:pPr>
              <w:spacing w:before="60" w:after="60"/>
              <w:jc w:val="right"/>
              <w:rPr>
                <w:sz w:val="22"/>
              </w:rPr>
            </w:pPr>
            <w:r>
              <w:rPr>
                <w:sz w:val="22"/>
              </w:rPr>
              <w:t>179,8</w:t>
            </w:r>
          </w:p>
        </w:tc>
        <w:tc>
          <w:tcPr>
            <w:tcW w:w="932" w:type="dxa"/>
            <w:noWrap/>
          </w:tcPr>
          <w:p w:rsidR="00000000" w:rsidRDefault="00000000">
            <w:pPr>
              <w:spacing w:before="60" w:after="60"/>
              <w:jc w:val="right"/>
              <w:rPr>
                <w:sz w:val="22"/>
              </w:rPr>
            </w:pPr>
            <w:r>
              <w:rPr>
                <w:sz w:val="22"/>
              </w:rPr>
              <w:t>177,4</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Total</w:t>
            </w:r>
          </w:p>
        </w:tc>
        <w:tc>
          <w:tcPr>
            <w:tcW w:w="931" w:type="dxa"/>
            <w:noWrap/>
          </w:tcPr>
          <w:p w:rsidR="00000000" w:rsidRDefault="00000000">
            <w:pPr>
              <w:spacing w:before="60" w:after="60"/>
              <w:jc w:val="right"/>
              <w:rPr>
                <w:sz w:val="22"/>
              </w:rPr>
            </w:pPr>
            <w:r>
              <w:rPr>
                <w:sz w:val="22"/>
              </w:rPr>
              <w:t>4 435,2</w:t>
            </w:r>
          </w:p>
        </w:tc>
        <w:tc>
          <w:tcPr>
            <w:tcW w:w="931" w:type="dxa"/>
            <w:noWrap/>
          </w:tcPr>
          <w:p w:rsidR="00000000" w:rsidRDefault="00000000">
            <w:pPr>
              <w:spacing w:before="60" w:after="60"/>
              <w:jc w:val="right"/>
              <w:rPr>
                <w:sz w:val="22"/>
              </w:rPr>
            </w:pPr>
            <w:r>
              <w:rPr>
                <w:sz w:val="22"/>
              </w:rPr>
              <w:t>2 092,8</w:t>
            </w:r>
          </w:p>
        </w:tc>
        <w:tc>
          <w:tcPr>
            <w:tcW w:w="931" w:type="dxa"/>
            <w:noWrap/>
          </w:tcPr>
          <w:p w:rsidR="00000000" w:rsidRDefault="00000000">
            <w:pPr>
              <w:spacing w:before="60" w:after="60"/>
              <w:jc w:val="right"/>
              <w:rPr>
                <w:sz w:val="22"/>
              </w:rPr>
            </w:pPr>
            <w:r>
              <w:rPr>
                <w:sz w:val="22"/>
              </w:rPr>
              <w:t>2 342,4</w:t>
            </w:r>
          </w:p>
        </w:tc>
        <w:tc>
          <w:tcPr>
            <w:tcW w:w="931" w:type="dxa"/>
            <w:noWrap/>
          </w:tcPr>
          <w:p w:rsidR="00000000" w:rsidRDefault="00000000">
            <w:pPr>
              <w:spacing w:before="60" w:after="60"/>
              <w:jc w:val="right"/>
              <w:rPr>
                <w:sz w:val="22"/>
              </w:rPr>
            </w:pPr>
            <w:r>
              <w:rPr>
                <w:sz w:val="22"/>
              </w:rPr>
              <w:t>4 401,4</w:t>
            </w:r>
          </w:p>
        </w:tc>
        <w:tc>
          <w:tcPr>
            <w:tcW w:w="931" w:type="dxa"/>
            <w:noWrap/>
          </w:tcPr>
          <w:p w:rsidR="00000000" w:rsidRDefault="00000000">
            <w:pPr>
              <w:spacing w:before="60" w:after="60"/>
              <w:jc w:val="right"/>
              <w:rPr>
                <w:sz w:val="22"/>
              </w:rPr>
            </w:pPr>
            <w:r>
              <w:rPr>
                <w:sz w:val="22"/>
              </w:rPr>
              <w:t>2 075,8</w:t>
            </w:r>
          </w:p>
        </w:tc>
        <w:tc>
          <w:tcPr>
            <w:tcW w:w="931" w:type="dxa"/>
            <w:noWrap/>
          </w:tcPr>
          <w:p w:rsidR="00000000" w:rsidRDefault="00000000">
            <w:pPr>
              <w:spacing w:before="60" w:after="60"/>
              <w:jc w:val="right"/>
              <w:rPr>
                <w:sz w:val="22"/>
              </w:rPr>
            </w:pPr>
            <w:r>
              <w:rPr>
                <w:sz w:val="22"/>
              </w:rPr>
              <w:t>2 325,6</w:t>
            </w:r>
          </w:p>
        </w:tc>
        <w:tc>
          <w:tcPr>
            <w:tcW w:w="931" w:type="dxa"/>
            <w:noWrap/>
          </w:tcPr>
          <w:p w:rsidR="00000000" w:rsidRDefault="00000000">
            <w:pPr>
              <w:spacing w:before="60" w:after="60"/>
              <w:jc w:val="right"/>
              <w:rPr>
                <w:sz w:val="22"/>
              </w:rPr>
            </w:pPr>
            <w:r>
              <w:rPr>
                <w:sz w:val="22"/>
              </w:rPr>
              <w:t>4 371,5</w:t>
            </w:r>
          </w:p>
        </w:tc>
        <w:tc>
          <w:tcPr>
            <w:tcW w:w="931" w:type="dxa"/>
            <w:noWrap/>
          </w:tcPr>
          <w:p w:rsidR="00000000" w:rsidRDefault="00000000">
            <w:pPr>
              <w:spacing w:before="60" w:after="60"/>
              <w:jc w:val="right"/>
              <w:rPr>
                <w:sz w:val="22"/>
              </w:rPr>
            </w:pPr>
            <w:r>
              <w:rPr>
                <w:sz w:val="22"/>
              </w:rPr>
              <w:t>2 061,7</w:t>
            </w:r>
          </w:p>
        </w:tc>
        <w:tc>
          <w:tcPr>
            <w:tcW w:w="932" w:type="dxa"/>
            <w:noWrap/>
          </w:tcPr>
          <w:p w:rsidR="00000000" w:rsidRDefault="00000000">
            <w:pPr>
              <w:spacing w:before="60" w:after="60"/>
              <w:jc w:val="right"/>
              <w:rPr>
                <w:sz w:val="22"/>
              </w:rPr>
            </w:pPr>
            <w:r>
              <w:rPr>
                <w:sz w:val="22"/>
              </w:rPr>
              <w:t>2 309,8</w:t>
            </w:r>
          </w:p>
        </w:tc>
      </w:tr>
      <w:tr w:rsidR="00000000">
        <w:tblPrEx>
          <w:tblCellMar>
            <w:top w:w="0" w:type="dxa"/>
            <w:bottom w:w="0" w:type="dxa"/>
          </w:tblCellMar>
        </w:tblPrEx>
        <w:tc>
          <w:tcPr>
            <w:tcW w:w="1116" w:type="dxa"/>
            <w:noWrap/>
          </w:tcPr>
          <w:p w:rsidR="00000000" w:rsidRDefault="00000000">
            <w:pPr>
              <w:spacing w:before="60" w:after="60"/>
              <w:rPr>
                <w:sz w:val="22"/>
              </w:rPr>
            </w:pPr>
          </w:p>
        </w:tc>
        <w:tc>
          <w:tcPr>
            <w:tcW w:w="2793" w:type="dxa"/>
            <w:gridSpan w:val="3"/>
            <w:noWrap/>
          </w:tcPr>
          <w:p w:rsidR="00000000" w:rsidRDefault="00000000">
            <w:pPr>
              <w:spacing w:before="60" w:after="60"/>
              <w:jc w:val="center"/>
              <w:rPr>
                <w:sz w:val="22"/>
                <w:lang w:val="fr-FR"/>
              </w:rPr>
            </w:pPr>
            <w:r>
              <w:rPr>
                <w:sz w:val="22"/>
                <w:lang w:val="fr-FR"/>
              </w:rPr>
              <w:t>2003 (1</w:t>
            </w:r>
            <w:r>
              <w:rPr>
                <w:sz w:val="22"/>
                <w:vertAlign w:val="superscript"/>
                <w:lang w:val="fr-FR"/>
              </w:rPr>
              <w:t>er</w:t>
            </w:r>
            <w:r>
              <w:rPr>
                <w:sz w:val="22"/>
                <w:lang w:val="fr-FR"/>
              </w:rPr>
              <w:t xml:space="preserve"> janvier)</w:t>
            </w:r>
          </w:p>
        </w:tc>
        <w:tc>
          <w:tcPr>
            <w:tcW w:w="2793" w:type="dxa"/>
            <w:gridSpan w:val="3"/>
            <w:noWrap/>
          </w:tcPr>
          <w:p w:rsidR="00000000" w:rsidRDefault="00000000">
            <w:pPr>
              <w:spacing w:before="60" w:after="60"/>
              <w:jc w:val="center"/>
              <w:rPr>
                <w:sz w:val="22"/>
                <w:lang w:val="fr-FR"/>
              </w:rPr>
            </w:pPr>
            <w:r>
              <w:rPr>
                <w:sz w:val="22"/>
                <w:lang w:val="fr-FR"/>
              </w:rPr>
              <w:t>2004 (1</w:t>
            </w:r>
            <w:r>
              <w:rPr>
                <w:sz w:val="22"/>
                <w:vertAlign w:val="superscript"/>
                <w:lang w:val="fr-FR"/>
              </w:rPr>
              <w:t>er</w:t>
            </w:r>
            <w:r>
              <w:rPr>
                <w:sz w:val="22"/>
                <w:lang w:val="fr-FR"/>
              </w:rPr>
              <w:t xml:space="preserve"> janvier)</w:t>
            </w:r>
          </w:p>
        </w:tc>
        <w:tc>
          <w:tcPr>
            <w:tcW w:w="2794" w:type="dxa"/>
            <w:gridSpan w:val="3"/>
            <w:noWrap/>
          </w:tcPr>
          <w:p w:rsidR="00000000" w:rsidRDefault="00000000">
            <w:pPr>
              <w:spacing w:before="60" w:after="60"/>
              <w:jc w:val="center"/>
              <w:rPr>
                <w:sz w:val="22"/>
                <w:lang w:val="fr-FR"/>
              </w:rPr>
            </w:pPr>
            <w:r>
              <w:rPr>
                <w:sz w:val="22"/>
                <w:lang w:val="fr-FR"/>
              </w:rPr>
              <w:t>2005 (1</w:t>
            </w:r>
            <w:r>
              <w:rPr>
                <w:sz w:val="22"/>
                <w:vertAlign w:val="superscript"/>
                <w:lang w:val="fr-FR"/>
              </w:rPr>
              <w:t>er</w:t>
            </w:r>
            <w:r>
              <w:rPr>
                <w:sz w:val="22"/>
                <w:lang w:val="fr-FR"/>
              </w:rPr>
              <w:t xml:space="preserve"> janvier)</w:t>
            </w:r>
          </w:p>
        </w:tc>
      </w:tr>
      <w:tr w:rsidR="00000000">
        <w:tblPrEx>
          <w:tblCellMar>
            <w:top w:w="0" w:type="dxa"/>
            <w:bottom w:w="0" w:type="dxa"/>
          </w:tblCellMar>
        </w:tblPrEx>
        <w:tc>
          <w:tcPr>
            <w:tcW w:w="1116" w:type="dxa"/>
            <w:noWrap/>
          </w:tcPr>
          <w:p w:rsidR="00000000" w:rsidRDefault="00000000">
            <w:pPr>
              <w:spacing w:before="60" w:after="60"/>
              <w:rPr>
                <w:sz w:val="22"/>
                <w:lang w:val="fr-FR"/>
              </w:rPr>
            </w:pPr>
            <w:r>
              <w:rPr>
                <w:sz w:val="22"/>
                <w:lang w:val="fr-FR"/>
              </w:rPr>
              <w:t>Moins d’un an</w:t>
            </w:r>
          </w:p>
        </w:tc>
        <w:tc>
          <w:tcPr>
            <w:tcW w:w="931" w:type="dxa"/>
            <w:noWrap/>
            <w:vAlign w:val="bottom"/>
          </w:tcPr>
          <w:p w:rsidR="00000000" w:rsidRDefault="00000000">
            <w:pPr>
              <w:spacing w:before="60" w:after="60"/>
              <w:jc w:val="right"/>
              <w:rPr>
                <w:sz w:val="22"/>
                <w:lang w:val="fr-FR"/>
              </w:rPr>
            </w:pPr>
            <w:r>
              <w:rPr>
                <w:sz w:val="22"/>
                <w:lang w:val="fr-FR"/>
              </w:rPr>
              <w:t>45,1</w:t>
            </w:r>
          </w:p>
        </w:tc>
        <w:tc>
          <w:tcPr>
            <w:tcW w:w="931" w:type="dxa"/>
            <w:noWrap/>
            <w:vAlign w:val="bottom"/>
          </w:tcPr>
          <w:p w:rsidR="00000000" w:rsidRDefault="00000000">
            <w:pPr>
              <w:spacing w:before="60" w:after="60"/>
              <w:jc w:val="right"/>
              <w:rPr>
                <w:sz w:val="22"/>
                <w:lang w:val="fr-FR"/>
              </w:rPr>
            </w:pPr>
            <w:r>
              <w:rPr>
                <w:sz w:val="22"/>
                <w:lang w:val="fr-FR"/>
              </w:rPr>
              <w:t>23,6</w:t>
            </w:r>
          </w:p>
        </w:tc>
        <w:tc>
          <w:tcPr>
            <w:tcW w:w="931" w:type="dxa"/>
            <w:noWrap/>
            <w:vAlign w:val="bottom"/>
          </w:tcPr>
          <w:p w:rsidR="00000000" w:rsidRDefault="00000000">
            <w:pPr>
              <w:spacing w:before="60" w:after="60"/>
              <w:jc w:val="right"/>
              <w:rPr>
                <w:sz w:val="22"/>
                <w:lang w:val="fr-FR"/>
              </w:rPr>
            </w:pPr>
            <w:r>
              <w:rPr>
                <w:sz w:val="22"/>
                <w:lang w:val="fr-FR"/>
              </w:rPr>
              <w:t>21,5</w:t>
            </w:r>
          </w:p>
        </w:tc>
        <w:tc>
          <w:tcPr>
            <w:tcW w:w="931" w:type="dxa"/>
            <w:noWrap/>
            <w:vAlign w:val="bottom"/>
          </w:tcPr>
          <w:p w:rsidR="00000000" w:rsidRDefault="00000000">
            <w:pPr>
              <w:spacing w:before="60" w:after="60"/>
              <w:jc w:val="right"/>
              <w:rPr>
                <w:sz w:val="22"/>
                <w:lang w:val="fr-FR"/>
              </w:rPr>
            </w:pPr>
            <w:r>
              <w:rPr>
                <w:sz w:val="22"/>
                <w:lang w:val="fr-FR"/>
              </w:rPr>
              <w:t>45,0</w:t>
            </w:r>
          </w:p>
        </w:tc>
        <w:tc>
          <w:tcPr>
            <w:tcW w:w="931" w:type="dxa"/>
            <w:noWrap/>
            <w:vAlign w:val="bottom"/>
          </w:tcPr>
          <w:p w:rsidR="00000000" w:rsidRDefault="00000000">
            <w:pPr>
              <w:spacing w:before="60" w:after="60"/>
              <w:jc w:val="right"/>
              <w:rPr>
                <w:sz w:val="22"/>
                <w:lang w:val="fr-FR"/>
              </w:rPr>
            </w:pPr>
            <w:r>
              <w:rPr>
                <w:sz w:val="22"/>
                <w:lang w:val="fr-FR"/>
              </w:rPr>
              <w:t>24,2</w:t>
            </w:r>
          </w:p>
        </w:tc>
        <w:tc>
          <w:tcPr>
            <w:tcW w:w="931" w:type="dxa"/>
            <w:noWrap/>
            <w:vAlign w:val="bottom"/>
          </w:tcPr>
          <w:p w:rsidR="00000000" w:rsidRDefault="00000000">
            <w:pPr>
              <w:spacing w:before="60" w:after="60"/>
              <w:jc w:val="right"/>
              <w:rPr>
                <w:sz w:val="22"/>
                <w:lang w:val="fr-FR"/>
              </w:rPr>
            </w:pPr>
            <w:r>
              <w:rPr>
                <w:sz w:val="22"/>
                <w:lang w:val="fr-FR"/>
              </w:rPr>
              <w:t>20,8</w:t>
            </w:r>
          </w:p>
        </w:tc>
        <w:tc>
          <w:tcPr>
            <w:tcW w:w="931" w:type="dxa"/>
            <w:noWrap/>
            <w:vAlign w:val="bottom"/>
          </w:tcPr>
          <w:p w:rsidR="00000000" w:rsidRDefault="00000000">
            <w:pPr>
              <w:spacing w:before="60" w:after="60"/>
              <w:jc w:val="right"/>
              <w:rPr>
                <w:sz w:val="22"/>
                <w:lang w:val="fr-FR"/>
              </w:rPr>
            </w:pPr>
            <w:r>
              <w:rPr>
                <w:sz w:val="22"/>
                <w:lang w:val="fr-FR"/>
              </w:rPr>
              <w:t>48,4</w:t>
            </w:r>
          </w:p>
        </w:tc>
        <w:tc>
          <w:tcPr>
            <w:tcW w:w="931" w:type="dxa"/>
            <w:noWrap/>
            <w:vAlign w:val="bottom"/>
          </w:tcPr>
          <w:p w:rsidR="00000000" w:rsidRDefault="00000000">
            <w:pPr>
              <w:spacing w:before="60" w:after="60"/>
              <w:jc w:val="right"/>
              <w:rPr>
                <w:sz w:val="22"/>
                <w:lang w:val="fr-FR"/>
              </w:rPr>
            </w:pPr>
            <w:r>
              <w:rPr>
                <w:sz w:val="22"/>
                <w:lang w:val="fr-FR"/>
              </w:rPr>
              <w:t>25,4</w:t>
            </w:r>
          </w:p>
        </w:tc>
        <w:tc>
          <w:tcPr>
            <w:tcW w:w="932" w:type="dxa"/>
            <w:noWrap/>
            <w:vAlign w:val="bottom"/>
          </w:tcPr>
          <w:p w:rsidR="00000000" w:rsidRDefault="00000000">
            <w:pPr>
              <w:spacing w:before="60" w:after="60"/>
              <w:jc w:val="right"/>
              <w:rPr>
                <w:sz w:val="22"/>
                <w:lang w:val="fr-FR"/>
              </w:rPr>
            </w:pPr>
            <w:r>
              <w:rPr>
                <w:sz w:val="22"/>
                <w:lang w:val="fr-FR"/>
              </w:rPr>
              <w:t>23,0</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1</w:t>
            </w:r>
            <w:r>
              <w:rPr>
                <w:sz w:val="22"/>
              </w:rPr>
              <w:noBreakHyphen/>
              <w:t>4 ans</w:t>
            </w:r>
          </w:p>
        </w:tc>
        <w:tc>
          <w:tcPr>
            <w:tcW w:w="931" w:type="dxa"/>
            <w:noWrap/>
          </w:tcPr>
          <w:p w:rsidR="00000000" w:rsidRDefault="00000000">
            <w:pPr>
              <w:spacing w:before="60" w:after="60"/>
              <w:jc w:val="right"/>
              <w:rPr>
                <w:sz w:val="22"/>
              </w:rPr>
            </w:pPr>
            <w:r>
              <w:rPr>
                <w:sz w:val="22"/>
              </w:rPr>
              <w:t>193,2</w:t>
            </w:r>
          </w:p>
        </w:tc>
        <w:tc>
          <w:tcPr>
            <w:tcW w:w="931" w:type="dxa"/>
            <w:noWrap/>
          </w:tcPr>
          <w:p w:rsidR="00000000" w:rsidRDefault="00000000">
            <w:pPr>
              <w:spacing w:before="60" w:after="60"/>
              <w:jc w:val="right"/>
              <w:rPr>
                <w:sz w:val="22"/>
              </w:rPr>
            </w:pPr>
            <w:r>
              <w:rPr>
                <w:sz w:val="22"/>
              </w:rPr>
              <w:t>101,3</w:t>
            </w:r>
          </w:p>
        </w:tc>
        <w:tc>
          <w:tcPr>
            <w:tcW w:w="931" w:type="dxa"/>
            <w:noWrap/>
          </w:tcPr>
          <w:p w:rsidR="00000000" w:rsidRDefault="00000000">
            <w:pPr>
              <w:spacing w:before="60" w:after="60"/>
              <w:jc w:val="right"/>
              <w:rPr>
                <w:sz w:val="22"/>
              </w:rPr>
            </w:pPr>
            <w:r>
              <w:rPr>
                <w:sz w:val="22"/>
              </w:rPr>
              <w:t>91,9</w:t>
            </w:r>
          </w:p>
        </w:tc>
        <w:tc>
          <w:tcPr>
            <w:tcW w:w="931" w:type="dxa"/>
            <w:noWrap/>
          </w:tcPr>
          <w:p w:rsidR="00000000" w:rsidRDefault="00000000">
            <w:pPr>
              <w:spacing w:before="60" w:after="60"/>
              <w:jc w:val="right"/>
              <w:rPr>
                <w:sz w:val="22"/>
              </w:rPr>
            </w:pPr>
            <w:r>
              <w:rPr>
                <w:sz w:val="22"/>
              </w:rPr>
              <w:t>195,7</w:t>
            </w:r>
          </w:p>
        </w:tc>
        <w:tc>
          <w:tcPr>
            <w:tcW w:w="931" w:type="dxa"/>
            <w:noWrap/>
          </w:tcPr>
          <w:p w:rsidR="00000000" w:rsidRDefault="00000000">
            <w:pPr>
              <w:spacing w:before="60" w:after="60"/>
              <w:jc w:val="right"/>
              <w:rPr>
                <w:sz w:val="22"/>
              </w:rPr>
            </w:pPr>
            <w:r>
              <w:rPr>
                <w:sz w:val="22"/>
              </w:rPr>
              <w:t>99,3</w:t>
            </w:r>
          </w:p>
        </w:tc>
        <w:tc>
          <w:tcPr>
            <w:tcW w:w="931" w:type="dxa"/>
            <w:noWrap/>
          </w:tcPr>
          <w:p w:rsidR="00000000" w:rsidRDefault="00000000">
            <w:pPr>
              <w:spacing w:before="60" w:after="60"/>
              <w:jc w:val="right"/>
              <w:rPr>
                <w:sz w:val="22"/>
              </w:rPr>
            </w:pPr>
            <w:r>
              <w:rPr>
                <w:sz w:val="22"/>
              </w:rPr>
              <w:t>96,4</w:t>
            </w:r>
          </w:p>
        </w:tc>
        <w:tc>
          <w:tcPr>
            <w:tcW w:w="931" w:type="dxa"/>
            <w:noWrap/>
          </w:tcPr>
          <w:p w:rsidR="00000000" w:rsidRDefault="00000000">
            <w:pPr>
              <w:spacing w:before="60" w:after="60"/>
              <w:jc w:val="right"/>
              <w:rPr>
                <w:sz w:val="22"/>
              </w:rPr>
            </w:pPr>
            <w:r>
              <w:rPr>
                <w:sz w:val="22"/>
              </w:rPr>
              <w:t>188,6</w:t>
            </w:r>
          </w:p>
        </w:tc>
        <w:tc>
          <w:tcPr>
            <w:tcW w:w="931" w:type="dxa"/>
            <w:noWrap/>
          </w:tcPr>
          <w:p w:rsidR="00000000" w:rsidRDefault="00000000">
            <w:pPr>
              <w:spacing w:before="60" w:after="60"/>
              <w:jc w:val="right"/>
              <w:rPr>
                <w:sz w:val="22"/>
              </w:rPr>
            </w:pPr>
            <w:r>
              <w:rPr>
                <w:sz w:val="22"/>
              </w:rPr>
              <w:t>97,3</w:t>
            </w:r>
          </w:p>
        </w:tc>
        <w:tc>
          <w:tcPr>
            <w:tcW w:w="932" w:type="dxa"/>
            <w:noWrap/>
          </w:tcPr>
          <w:p w:rsidR="00000000" w:rsidRDefault="00000000">
            <w:pPr>
              <w:spacing w:before="60" w:after="60"/>
              <w:jc w:val="right"/>
              <w:rPr>
                <w:sz w:val="22"/>
              </w:rPr>
            </w:pPr>
            <w:r>
              <w:rPr>
                <w:sz w:val="22"/>
              </w:rPr>
              <w:t>91,3</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5</w:t>
            </w:r>
            <w:r>
              <w:rPr>
                <w:sz w:val="22"/>
              </w:rPr>
              <w:noBreakHyphen/>
              <w:t>9 ans</w:t>
            </w:r>
          </w:p>
        </w:tc>
        <w:tc>
          <w:tcPr>
            <w:tcW w:w="931" w:type="dxa"/>
            <w:noWrap/>
          </w:tcPr>
          <w:p w:rsidR="00000000" w:rsidRDefault="00000000">
            <w:pPr>
              <w:spacing w:before="60" w:after="60"/>
              <w:jc w:val="right"/>
              <w:rPr>
                <w:sz w:val="22"/>
              </w:rPr>
            </w:pPr>
            <w:r>
              <w:rPr>
                <w:sz w:val="22"/>
              </w:rPr>
              <w:t>291,9</w:t>
            </w:r>
          </w:p>
        </w:tc>
        <w:tc>
          <w:tcPr>
            <w:tcW w:w="931" w:type="dxa"/>
            <w:noWrap/>
          </w:tcPr>
          <w:p w:rsidR="00000000" w:rsidRDefault="00000000">
            <w:pPr>
              <w:spacing w:before="60" w:after="60"/>
              <w:jc w:val="right"/>
              <w:rPr>
                <w:sz w:val="22"/>
              </w:rPr>
            </w:pPr>
            <w:r>
              <w:rPr>
                <w:sz w:val="22"/>
              </w:rPr>
              <w:t>150,5</w:t>
            </w:r>
          </w:p>
        </w:tc>
        <w:tc>
          <w:tcPr>
            <w:tcW w:w="931" w:type="dxa"/>
            <w:noWrap/>
          </w:tcPr>
          <w:p w:rsidR="00000000" w:rsidRDefault="00000000">
            <w:pPr>
              <w:spacing w:before="60" w:after="60"/>
              <w:jc w:val="right"/>
              <w:rPr>
                <w:sz w:val="22"/>
              </w:rPr>
            </w:pPr>
            <w:r>
              <w:rPr>
                <w:sz w:val="22"/>
              </w:rPr>
              <w:t>141,4</w:t>
            </w:r>
          </w:p>
        </w:tc>
        <w:tc>
          <w:tcPr>
            <w:tcW w:w="931" w:type="dxa"/>
            <w:noWrap/>
          </w:tcPr>
          <w:p w:rsidR="00000000" w:rsidRDefault="00000000">
            <w:pPr>
              <w:spacing w:before="60" w:after="60"/>
              <w:jc w:val="right"/>
              <w:rPr>
                <w:sz w:val="22"/>
              </w:rPr>
            </w:pPr>
            <w:r>
              <w:rPr>
                <w:sz w:val="22"/>
              </w:rPr>
              <w:t>252,3</w:t>
            </w:r>
          </w:p>
        </w:tc>
        <w:tc>
          <w:tcPr>
            <w:tcW w:w="931" w:type="dxa"/>
            <w:noWrap/>
          </w:tcPr>
          <w:p w:rsidR="00000000" w:rsidRDefault="00000000">
            <w:pPr>
              <w:spacing w:before="60" w:after="60"/>
              <w:jc w:val="right"/>
              <w:rPr>
                <w:sz w:val="22"/>
              </w:rPr>
            </w:pPr>
            <w:r>
              <w:rPr>
                <w:sz w:val="22"/>
              </w:rPr>
              <w:t>129,0</w:t>
            </w:r>
          </w:p>
        </w:tc>
        <w:tc>
          <w:tcPr>
            <w:tcW w:w="931" w:type="dxa"/>
            <w:noWrap/>
          </w:tcPr>
          <w:p w:rsidR="00000000" w:rsidRDefault="00000000">
            <w:pPr>
              <w:spacing w:before="60" w:after="60"/>
              <w:jc w:val="right"/>
              <w:rPr>
                <w:sz w:val="22"/>
              </w:rPr>
            </w:pPr>
            <w:r>
              <w:rPr>
                <w:sz w:val="22"/>
              </w:rPr>
              <w:t>123,3</w:t>
            </w:r>
          </w:p>
        </w:tc>
        <w:tc>
          <w:tcPr>
            <w:tcW w:w="931" w:type="dxa"/>
            <w:noWrap/>
          </w:tcPr>
          <w:p w:rsidR="00000000" w:rsidRDefault="00000000">
            <w:pPr>
              <w:spacing w:before="60" w:after="60"/>
              <w:jc w:val="right"/>
              <w:rPr>
                <w:sz w:val="22"/>
              </w:rPr>
            </w:pPr>
            <w:r>
              <w:rPr>
                <w:sz w:val="22"/>
              </w:rPr>
              <w:t>247,2</w:t>
            </w:r>
          </w:p>
        </w:tc>
        <w:tc>
          <w:tcPr>
            <w:tcW w:w="931" w:type="dxa"/>
            <w:noWrap/>
          </w:tcPr>
          <w:p w:rsidR="00000000" w:rsidRDefault="00000000">
            <w:pPr>
              <w:spacing w:before="60" w:after="60"/>
              <w:jc w:val="right"/>
              <w:rPr>
                <w:sz w:val="22"/>
              </w:rPr>
            </w:pPr>
            <w:r>
              <w:rPr>
                <w:sz w:val="22"/>
              </w:rPr>
              <w:t>126,4</w:t>
            </w:r>
          </w:p>
        </w:tc>
        <w:tc>
          <w:tcPr>
            <w:tcW w:w="932" w:type="dxa"/>
            <w:noWrap/>
          </w:tcPr>
          <w:p w:rsidR="00000000" w:rsidRDefault="00000000">
            <w:pPr>
              <w:spacing w:before="60" w:after="60"/>
              <w:jc w:val="right"/>
              <w:rPr>
                <w:sz w:val="22"/>
              </w:rPr>
            </w:pPr>
            <w:r>
              <w:rPr>
                <w:sz w:val="22"/>
              </w:rPr>
              <w:t>120,8</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10</w:t>
            </w:r>
            <w:r>
              <w:rPr>
                <w:sz w:val="22"/>
              </w:rPr>
              <w:noBreakHyphen/>
              <w:t>14 ans</w:t>
            </w:r>
          </w:p>
        </w:tc>
        <w:tc>
          <w:tcPr>
            <w:tcW w:w="931" w:type="dxa"/>
            <w:noWrap/>
          </w:tcPr>
          <w:p w:rsidR="00000000" w:rsidRDefault="00000000">
            <w:pPr>
              <w:spacing w:before="60" w:after="60"/>
              <w:jc w:val="right"/>
              <w:rPr>
                <w:sz w:val="22"/>
              </w:rPr>
            </w:pPr>
            <w:r>
              <w:rPr>
                <w:sz w:val="22"/>
              </w:rPr>
              <w:t>357,2</w:t>
            </w:r>
          </w:p>
        </w:tc>
        <w:tc>
          <w:tcPr>
            <w:tcW w:w="931" w:type="dxa"/>
            <w:noWrap/>
          </w:tcPr>
          <w:p w:rsidR="00000000" w:rsidRDefault="00000000">
            <w:pPr>
              <w:spacing w:before="60" w:after="60"/>
              <w:jc w:val="right"/>
              <w:rPr>
                <w:sz w:val="22"/>
              </w:rPr>
            </w:pPr>
            <w:r>
              <w:rPr>
                <w:sz w:val="22"/>
              </w:rPr>
              <w:t>181,5</w:t>
            </w:r>
          </w:p>
        </w:tc>
        <w:tc>
          <w:tcPr>
            <w:tcW w:w="931" w:type="dxa"/>
            <w:noWrap/>
          </w:tcPr>
          <w:p w:rsidR="00000000" w:rsidRDefault="00000000">
            <w:pPr>
              <w:spacing w:before="60" w:after="60"/>
              <w:jc w:val="right"/>
              <w:rPr>
                <w:sz w:val="22"/>
              </w:rPr>
            </w:pPr>
            <w:r>
              <w:rPr>
                <w:sz w:val="22"/>
              </w:rPr>
              <w:t>175,7</w:t>
            </w:r>
          </w:p>
        </w:tc>
        <w:tc>
          <w:tcPr>
            <w:tcW w:w="931" w:type="dxa"/>
            <w:noWrap/>
          </w:tcPr>
          <w:p w:rsidR="00000000" w:rsidRDefault="00000000">
            <w:pPr>
              <w:spacing w:before="60" w:after="60"/>
              <w:jc w:val="right"/>
              <w:rPr>
                <w:sz w:val="22"/>
              </w:rPr>
            </w:pPr>
            <w:r>
              <w:rPr>
                <w:sz w:val="22"/>
              </w:rPr>
              <w:t>310,7</w:t>
            </w:r>
          </w:p>
        </w:tc>
        <w:tc>
          <w:tcPr>
            <w:tcW w:w="931" w:type="dxa"/>
            <w:noWrap/>
          </w:tcPr>
          <w:p w:rsidR="00000000" w:rsidRDefault="00000000">
            <w:pPr>
              <w:spacing w:before="60" w:after="60"/>
              <w:jc w:val="right"/>
              <w:rPr>
                <w:sz w:val="22"/>
              </w:rPr>
            </w:pPr>
            <w:r>
              <w:rPr>
                <w:sz w:val="22"/>
              </w:rPr>
              <w:t>159,2</w:t>
            </w:r>
          </w:p>
        </w:tc>
        <w:tc>
          <w:tcPr>
            <w:tcW w:w="931" w:type="dxa"/>
            <w:noWrap/>
          </w:tcPr>
          <w:p w:rsidR="00000000" w:rsidRDefault="00000000">
            <w:pPr>
              <w:spacing w:before="60" w:after="60"/>
              <w:jc w:val="right"/>
              <w:rPr>
                <w:sz w:val="22"/>
              </w:rPr>
            </w:pPr>
            <w:r>
              <w:rPr>
                <w:sz w:val="22"/>
              </w:rPr>
              <w:t>151,5</w:t>
            </w:r>
          </w:p>
        </w:tc>
        <w:tc>
          <w:tcPr>
            <w:tcW w:w="931" w:type="dxa"/>
            <w:noWrap/>
          </w:tcPr>
          <w:p w:rsidR="00000000" w:rsidRDefault="00000000">
            <w:pPr>
              <w:spacing w:before="60" w:after="60"/>
              <w:jc w:val="right"/>
              <w:rPr>
                <w:sz w:val="22"/>
              </w:rPr>
            </w:pPr>
            <w:r>
              <w:rPr>
                <w:sz w:val="22"/>
              </w:rPr>
              <w:t>307,3</w:t>
            </w:r>
          </w:p>
        </w:tc>
        <w:tc>
          <w:tcPr>
            <w:tcW w:w="931" w:type="dxa"/>
            <w:noWrap/>
          </w:tcPr>
          <w:p w:rsidR="00000000" w:rsidRDefault="00000000">
            <w:pPr>
              <w:spacing w:before="60" w:after="60"/>
              <w:jc w:val="right"/>
              <w:rPr>
                <w:sz w:val="22"/>
              </w:rPr>
            </w:pPr>
            <w:r>
              <w:rPr>
                <w:sz w:val="22"/>
              </w:rPr>
              <w:t>156,7</w:t>
            </w:r>
          </w:p>
        </w:tc>
        <w:tc>
          <w:tcPr>
            <w:tcW w:w="932" w:type="dxa"/>
            <w:noWrap/>
          </w:tcPr>
          <w:p w:rsidR="00000000" w:rsidRDefault="00000000">
            <w:pPr>
              <w:spacing w:before="60" w:after="60"/>
              <w:jc w:val="right"/>
              <w:rPr>
                <w:sz w:val="22"/>
              </w:rPr>
            </w:pPr>
            <w:r>
              <w:rPr>
                <w:sz w:val="22"/>
              </w:rPr>
              <w:t>150,6</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15</w:t>
            </w:r>
            <w:r>
              <w:rPr>
                <w:sz w:val="22"/>
              </w:rPr>
              <w:noBreakHyphen/>
              <w:t>19 ans</w:t>
            </w:r>
          </w:p>
        </w:tc>
        <w:tc>
          <w:tcPr>
            <w:tcW w:w="931" w:type="dxa"/>
            <w:noWrap/>
          </w:tcPr>
          <w:p w:rsidR="00000000" w:rsidRDefault="00000000">
            <w:pPr>
              <w:spacing w:before="60" w:after="60"/>
              <w:jc w:val="right"/>
              <w:rPr>
                <w:sz w:val="22"/>
              </w:rPr>
            </w:pPr>
            <w:r>
              <w:rPr>
                <w:sz w:val="22"/>
              </w:rPr>
              <w:t>359,6</w:t>
            </w:r>
          </w:p>
        </w:tc>
        <w:tc>
          <w:tcPr>
            <w:tcW w:w="931" w:type="dxa"/>
            <w:noWrap/>
          </w:tcPr>
          <w:p w:rsidR="00000000" w:rsidRDefault="00000000">
            <w:pPr>
              <w:spacing w:before="60" w:after="60"/>
              <w:jc w:val="right"/>
              <w:rPr>
                <w:sz w:val="22"/>
              </w:rPr>
            </w:pPr>
            <w:r>
              <w:rPr>
                <w:sz w:val="22"/>
              </w:rPr>
              <w:t>181,2</w:t>
            </w:r>
          </w:p>
        </w:tc>
        <w:tc>
          <w:tcPr>
            <w:tcW w:w="931" w:type="dxa"/>
            <w:noWrap/>
          </w:tcPr>
          <w:p w:rsidR="00000000" w:rsidRDefault="00000000">
            <w:pPr>
              <w:spacing w:before="60" w:after="60"/>
              <w:jc w:val="right"/>
              <w:rPr>
                <w:sz w:val="22"/>
              </w:rPr>
            </w:pPr>
            <w:r>
              <w:rPr>
                <w:sz w:val="22"/>
              </w:rPr>
              <w:t>178,4</w:t>
            </w:r>
          </w:p>
        </w:tc>
        <w:tc>
          <w:tcPr>
            <w:tcW w:w="931" w:type="dxa"/>
            <w:noWrap/>
          </w:tcPr>
          <w:p w:rsidR="00000000" w:rsidRDefault="00000000">
            <w:pPr>
              <w:spacing w:before="60" w:after="60"/>
              <w:jc w:val="right"/>
              <w:rPr>
                <w:sz w:val="22"/>
              </w:rPr>
            </w:pPr>
            <w:r>
              <w:rPr>
                <w:sz w:val="22"/>
              </w:rPr>
              <w:t>349,2</w:t>
            </w:r>
          </w:p>
        </w:tc>
        <w:tc>
          <w:tcPr>
            <w:tcW w:w="931" w:type="dxa"/>
            <w:noWrap/>
          </w:tcPr>
          <w:p w:rsidR="00000000" w:rsidRDefault="00000000">
            <w:pPr>
              <w:spacing w:before="60" w:after="60"/>
              <w:jc w:val="right"/>
              <w:rPr>
                <w:sz w:val="22"/>
              </w:rPr>
            </w:pPr>
            <w:r>
              <w:rPr>
                <w:sz w:val="22"/>
              </w:rPr>
              <w:t>177,0</w:t>
            </w:r>
          </w:p>
        </w:tc>
        <w:tc>
          <w:tcPr>
            <w:tcW w:w="931" w:type="dxa"/>
            <w:noWrap/>
          </w:tcPr>
          <w:p w:rsidR="00000000" w:rsidRDefault="00000000">
            <w:pPr>
              <w:spacing w:before="60" w:after="60"/>
              <w:jc w:val="right"/>
              <w:rPr>
                <w:sz w:val="22"/>
              </w:rPr>
            </w:pPr>
            <w:r>
              <w:rPr>
                <w:sz w:val="22"/>
              </w:rPr>
              <w:t>172,2</w:t>
            </w:r>
          </w:p>
        </w:tc>
        <w:tc>
          <w:tcPr>
            <w:tcW w:w="931" w:type="dxa"/>
            <w:noWrap/>
          </w:tcPr>
          <w:p w:rsidR="00000000" w:rsidRDefault="00000000">
            <w:pPr>
              <w:spacing w:before="60" w:after="60"/>
              <w:jc w:val="right"/>
              <w:rPr>
                <w:sz w:val="22"/>
              </w:rPr>
            </w:pPr>
            <w:r>
              <w:rPr>
                <w:sz w:val="22"/>
              </w:rPr>
              <w:t>343,7</w:t>
            </w:r>
          </w:p>
        </w:tc>
        <w:tc>
          <w:tcPr>
            <w:tcW w:w="931" w:type="dxa"/>
            <w:noWrap/>
          </w:tcPr>
          <w:p w:rsidR="00000000" w:rsidRDefault="00000000">
            <w:pPr>
              <w:spacing w:before="60" w:after="60"/>
              <w:jc w:val="right"/>
              <w:rPr>
                <w:sz w:val="22"/>
              </w:rPr>
            </w:pPr>
            <w:r>
              <w:rPr>
                <w:sz w:val="22"/>
              </w:rPr>
              <w:t>174,8</w:t>
            </w:r>
          </w:p>
        </w:tc>
        <w:tc>
          <w:tcPr>
            <w:tcW w:w="932" w:type="dxa"/>
            <w:noWrap/>
          </w:tcPr>
          <w:p w:rsidR="00000000" w:rsidRDefault="00000000">
            <w:pPr>
              <w:spacing w:before="60" w:after="60"/>
              <w:jc w:val="right"/>
              <w:rPr>
                <w:sz w:val="22"/>
              </w:rPr>
            </w:pPr>
            <w:r>
              <w:rPr>
                <w:sz w:val="22"/>
              </w:rPr>
              <w:t>168,9</w:t>
            </w:r>
          </w:p>
        </w:tc>
      </w:tr>
      <w:tr w:rsidR="00000000">
        <w:tblPrEx>
          <w:tblCellMar>
            <w:top w:w="0" w:type="dxa"/>
            <w:bottom w:w="0" w:type="dxa"/>
          </w:tblCellMar>
        </w:tblPrEx>
        <w:tc>
          <w:tcPr>
            <w:tcW w:w="1116" w:type="dxa"/>
            <w:noWrap/>
          </w:tcPr>
          <w:p w:rsidR="00000000" w:rsidRDefault="00000000">
            <w:pPr>
              <w:spacing w:before="60" w:after="60"/>
              <w:rPr>
                <w:sz w:val="22"/>
              </w:rPr>
            </w:pPr>
            <w:r>
              <w:rPr>
                <w:sz w:val="22"/>
              </w:rPr>
              <w:t>Total</w:t>
            </w:r>
          </w:p>
        </w:tc>
        <w:tc>
          <w:tcPr>
            <w:tcW w:w="931" w:type="dxa"/>
            <w:noWrap/>
          </w:tcPr>
          <w:p w:rsidR="00000000" w:rsidRDefault="00000000">
            <w:pPr>
              <w:spacing w:before="60" w:after="60"/>
              <w:jc w:val="right"/>
              <w:rPr>
                <w:sz w:val="22"/>
              </w:rPr>
            </w:pPr>
            <w:r>
              <w:rPr>
                <w:sz w:val="22"/>
              </w:rPr>
              <w:t>4 342,6</w:t>
            </w:r>
          </w:p>
        </w:tc>
        <w:tc>
          <w:tcPr>
            <w:tcW w:w="931" w:type="dxa"/>
            <w:noWrap/>
          </w:tcPr>
          <w:p w:rsidR="00000000" w:rsidRDefault="00000000">
            <w:pPr>
              <w:spacing w:before="60" w:after="60"/>
              <w:jc w:val="right"/>
              <w:rPr>
                <w:sz w:val="22"/>
              </w:rPr>
            </w:pPr>
            <w:r>
              <w:rPr>
                <w:sz w:val="22"/>
              </w:rPr>
              <w:t>2 051,9</w:t>
            </w:r>
          </w:p>
        </w:tc>
        <w:tc>
          <w:tcPr>
            <w:tcW w:w="931" w:type="dxa"/>
            <w:noWrap/>
          </w:tcPr>
          <w:p w:rsidR="00000000" w:rsidRDefault="00000000">
            <w:pPr>
              <w:spacing w:before="60" w:after="60"/>
              <w:jc w:val="right"/>
              <w:rPr>
                <w:sz w:val="22"/>
              </w:rPr>
            </w:pPr>
            <w:r>
              <w:rPr>
                <w:sz w:val="22"/>
              </w:rPr>
              <w:t>2 290,7</w:t>
            </w:r>
          </w:p>
        </w:tc>
        <w:tc>
          <w:tcPr>
            <w:tcW w:w="931" w:type="dxa"/>
            <w:noWrap/>
          </w:tcPr>
          <w:p w:rsidR="00000000" w:rsidRDefault="00000000">
            <w:pPr>
              <w:spacing w:before="60" w:after="60"/>
              <w:jc w:val="right"/>
              <w:rPr>
                <w:sz w:val="22"/>
              </w:rPr>
            </w:pPr>
            <w:r>
              <w:rPr>
                <w:sz w:val="22"/>
              </w:rPr>
              <w:t>4 315,2</w:t>
            </w:r>
          </w:p>
        </w:tc>
        <w:tc>
          <w:tcPr>
            <w:tcW w:w="931" w:type="dxa"/>
            <w:noWrap/>
          </w:tcPr>
          <w:p w:rsidR="00000000" w:rsidRDefault="00000000">
            <w:pPr>
              <w:spacing w:before="60" w:after="60"/>
              <w:jc w:val="right"/>
              <w:rPr>
                <w:sz w:val="22"/>
              </w:rPr>
            </w:pPr>
            <w:r>
              <w:rPr>
                <w:sz w:val="22"/>
              </w:rPr>
              <w:t>2 039,0</w:t>
            </w:r>
          </w:p>
        </w:tc>
        <w:tc>
          <w:tcPr>
            <w:tcW w:w="931" w:type="dxa"/>
            <w:noWrap/>
          </w:tcPr>
          <w:p w:rsidR="00000000" w:rsidRDefault="00000000">
            <w:pPr>
              <w:spacing w:before="60" w:after="60"/>
              <w:jc w:val="right"/>
              <w:rPr>
                <w:sz w:val="22"/>
              </w:rPr>
            </w:pPr>
            <w:r>
              <w:rPr>
                <w:sz w:val="22"/>
              </w:rPr>
              <w:t>2 276,2</w:t>
            </w:r>
          </w:p>
        </w:tc>
        <w:tc>
          <w:tcPr>
            <w:tcW w:w="931" w:type="dxa"/>
            <w:noWrap/>
          </w:tcPr>
          <w:p w:rsidR="00000000" w:rsidRDefault="00000000">
            <w:pPr>
              <w:spacing w:before="60" w:after="60"/>
              <w:jc w:val="right"/>
              <w:rPr>
                <w:sz w:val="22"/>
              </w:rPr>
            </w:pPr>
            <w:r>
              <w:rPr>
                <w:sz w:val="22"/>
              </w:rPr>
              <w:t>4 321,5</w:t>
            </w:r>
          </w:p>
        </w:tc>
        <w:tc>
          <w:tcPr>
            <w:tcW w:w="931" w:type="dxa"/>
            <w:noWrap/>
          </w:tcPr>
          <w:p w:rsidR="00000000" w:rsidRDefault="00000000">
            <w:pPr>
              <w:spacing w:before="60" w:after="60"/>
              <w:jc w:val="right"/>
              <w:rPr>
                <w:sz w:val="22"/>
              </w:rPr>
            </w:pPr>
            <w:r>
              <w:rPr>
                <w:sz w:val="22"/>
              </w:rPr>
              <w:t>2 043,6</w:t>
            </w:r>
          </w:p>
        </w:tc>
        <w:tc>
          <w:tcPr>
            <w:tcW w:w="932" w:type="dxa"/>
            <w:noWrap/>
          </w:tcPr>
          <w:p w:rsidR="00000000" w:rsidRDefault="00000000">
            <w:pPr>
              <w:spacing w:before="60" w:after="60"/>
              <w:jc w:val="right"/>
              <w:rPr>
                <w:sz w:val="22"/>
              </w:rPr>
            </w:pPr>
            <w:r>
              <w:rPr>
                <w:sz w:val="22"/>
              </w:rPr>
              <w:t>2 277,9</w:t>
            </w:r>
          </w:p>
        </w:tc>
      </w:tr>
    </w:tbl>
    <w:p w:rsidR="00000000" w:rsidRDefault="00000000">
      <w:pPr>
        <w:spacing w:before="120" w:after="120"/>
      </w:pPr>
    </w:p>
    <w:tbl>
      <w:tblPr>
        <w:tblW w:w="4986" w:type="pct"/>
        <w:jc w:val="center"/>
        <w:tblInd w:w="-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78"/>
        <w:gridCol w:w="2399"/>
        <w:gridCol w:w="2280"/>
        <w:gridCol w:w="2212"/>
      </w:tblGrid>
      <w:tr w:rsidR="00000000">
        <w:tblPrEx>
          <w:tblCellMar>
            <w:top w:w="0" w:type="dxa"/>
            <w:bottom w:w="0" w:type="dxa"/>
          </w:tblCellMar>
        </w:tblPrEx>
        <w:trPr>
          <w:jc w:val="center"/>
        </w:trPr>
        <w:tc>
          <w:tcPr>
            <w:tcW w:w="1361" w:type="pct"/>
            <w:noWrap/>
            <w:vAlign w:val="center"/>
          </w:tcPr>
          <w:p w:rsidR="00000000" w:rsidRDefault="00000000">
            <w:pPr>
              <w:keepNext/>
              <w:spacing w:before="60" w:after="60"/>
              <w:jc w:val="center"/>
              <w:rPr>
                <w:sz w:val="22"/>
              </w:rPr>
            </w:pPr>
            <w:r>
              <w:rPr>
                <w:sz w:val="22"/>
              </w:rPr>
              <w:t>Groupe d’âge</w:t>
            </w:r>
          </w:p>
        </w:tc>
        <w:tc>
          <w:tcPr>
            <w:tcW w:w="1267" w:type="pct"/>
            <w:noWrap/>
            <w:vAlign w:val="center"/>
          </w:tcPr>
          <w:p w:rsidR="00000000" w:rsidRDefault="00000000">
            <w:pPr>
              <w:spacing w:before="60" w:after="60"/>
              <w:jc w:val="center"/>
              <w:rPr>
                <w:sz w:val="22"/>
              </w:rPr>
            </w:pPr>
            <w:r>
              <w:rPr>
                <w:sz w:val="22"/>
              </w:rPr>
              <w:t>Enfants des deux sexes</w:t>
            </w:r>
          </w:p>
        </w:tc>
        <w:tc>
          <w:tcPr>
            <w:tcW w:w="1204" w:type="pct"/>
            <w:noWrap/>
            <w:vAlign w:val="center"/>
          </w:tcPr>
          <w:p w:rsidR="00000000" w:rsidRDefault="00000000">
            <w:pPr>
              <w:spacing w:before="60" w:after="60"/>
              <w:jc w:val="center"/>
              <w:rPr>
                <w:sz w:val="22"/>
              </w:rPr>
            </w:pPr>
            <w:r>
              <w:rPr>
                <w:sz w:val="22"/>
              </w:rPr>
              <w:t>Garçons</w:t>
            </w:r>
          </w:p>
        </w:tc>
        <w:tc>
          <w:tcPr>
            <w:tcW w:w="1168" w:type="pct"/>
            <w:noWrap/>
            <w:vAlign w:val="center"/>
          </w:tcPr>
          <w:p w:rsidR="00000000" w:rsidRDefault="00000000">
            <w:pPr>
              <w:spacing w:before="60" w:after="60"/>
              <w:jc w:val="center"/>
              <w:rPr>
                <w:sz w:val="22"/>
              </w:rPr>
            </w:pPr>
            <w:r>
              <w:rPr>
                <w:sz w:val="22"/>
              </w:rPr>
              <w:t>Filles</w:t>
            </w:r>
          </w:p>
        </w:tc>
      </w:tr>
      <w:tr w:rsidR="00000000">
        <w:tblPrEx>
          <w:tblCellMar>
            <w:top w:w="0" w:type="dxa"/>
            <w:bottom w:w="0" w:type="dxa"/>
          </w:tblCellMar>
        </w:tblPrEx>
        <w:trPr>
          <w:cantSplit/>
          <w:jc w:val="center"/>
        </w:trPr>
        <w:tc>
          <w:tcPr>
            <w:tcW w:w="1361" w:type="pct"/>
            <w:noWrap/>
          </w:tcPr>
          <w:p w:rsidR="00000000" w:rsidRDefault="00000000">
            <w:pPr>
              <w:spacing w:before="60" w:after="60"/>
              <w:rPr>
                <w:sz w:val="22"/>
              </w:rPr>
            </w:pPr>
          </w:p>
        </w:tc>
        <w:tc>
          <w:tcPr>
            <w:tcW w:w="3639" w:type="pct"/>
            <w:gridSpan w:val="3"/>
            <w:noWrap/>
          </w:tcPr>
          <w:p w:rsidR="00000000" w:rsidRDefault="00000000">
            <w:pPr>
              <w:spacing w:before="60" w:after="60"/>
              <w:jc w:val="center"/>
              <w:rPr>
                <w:sz w:val="22"/>
              </w:rPr>
            </w:pPr>
            <w:r>
              <w:rPr>
                <w:sz w:val="22"/>
              </w:rPr>
              <w:t>2006 (1</w:t>
            </w:r>
            <w:r>
              <w:rPr>
                <w:sz w:val="22"/>
                <w:vertAlign w:val="superscript"/>
              </w:rPr>
              <w:t>er</w:t>
            </w:r>
            <w:r>
              <w:rPr>
                <w:sz w:val="22"/>
              </w:rPr>
              <w:t xml:space="preserve"> janvier)</w:t>
            </w:r>
          </w:p>
        </w:tc>
      </w:tr>
      <w:tr w:rsidR="00000000">
        <w:tblPrEx>
          <w:tblCellMar>
            <w:top w:w="0" w:type="dxa"/>
            <w:bottom w:w="0" w:type="dxa"/>
          </w:tblCellMar>
        </w:tblPrEx>
        <w:trPr>
          <w:jc w:val="center"/>
        </w:trPr>
        <w:tc>
          <w:tcPr>
            <w:tcW w:w="1361" w:type="pct"/>
            <w:noWrap/>
          </w:tcPr>
          <w:p w:rsidR="00000000" w:rsidRDefault="00000000">
            <w:pPr>
              <w:spacing w:before="60" w:after="60"/>
              <w:rPr>
                <w:sz w:val="22"/>
              </w:rPr>
            </w:pPr>
            <w:r>
              <w:rPr>
                <w:sz w:val="22"/>
              </w:rPr>
              <w:t>Moins d’un an</w:t>
            </w:r>
          </w:p>
        </w:tc>
        <w:tc>
          <w:tcPr>
            <w:tcW w:w="1267" w:type="pct"/>
            <w:noWrap/>
          </w:tcPr>
          <w:p w:rsidR="00000000" w:rsidRDefault="00000000">
            <w:pPr>
              <w:spacing w:before="60" w:after="60"/>
              <w:jc w:val="right"/>
              <w:rPr>
                <w:sz w:val="22"/>
              </w:rPr>
            </w:pPr>
            <w:r>
              <w:rPr>
                <w:sz w:val="22"/>
              </w:rPr>
              <w:t>45,6</w:t>
            </w:r>
          </w:p>
        </w:tc>
        <w:tc>
          <w:tcPr>
            <w:tcW w:w="1204" w:type="pct"/>
            <w:noWrap/>
          </w:tcPr>
          <w:p w:rsidR="00000000" w:rsidRDefault="00000000">
            <w:pPr>
              <w:spacing w:before="60" w:after="60"/>
              <w:jc w:val="right"/>
              <w:rPr>
                <w:sz w:val="22"/>
              </w:rPr>
            </w:pPr>
            <w:r>
              <w:rPr>
                <w:sz w:val="22"/>
              </w:rPr>
              <w:t>24,2</w:t>
            </w:r>
          </w:p>
        </w:tc>
        <w:tc>
          <w:tcPr>
            <w:tcW w:w="1168" w:type="pct"/>
            <w:noWrap/>
          </w:tcPr>
          <w:p w:rsidR="00000000" w:rsidRDefault="00000000">
            <w:pPr>
              <w:spacing w:before="60" w:after="60"/>
              <w:jc w:val="right"/>
              <w:rPr>
                <w:sz w:val="22"/>
              </w:rPr>
            </w:pPr>
            <w:r>
              <w:rPr>
                <w:sz w:val="22"/>
              </w:rPr>
              <w:t>21,4</w:t>
            </w:r>
          </w:p>
        </w:tc>
      </w:tr>
      <w:tr w:rsidR="00000000">
        <w:tblPrEx>
          <w:tblCellMar>
            <w:top w:w="0" w:type="dxa"/>
            <w:bottom w:w="0" w:type="dxa"/>
          </w:tblCellMar>
        </w:tblPrEx>
        <w:trPr>
          <w:jc w:val="center"/>
        </w:trPr>
        <w:tc>
          <w:tcPr>
            <w:tcW w:w="1361" w:type="pct"/>
            <w:noWrap/>
          </w:tcPr>
          <w:p w:rsidR="00000000" w:rsidRDefault="00000000">
            <w:pPr>
              <w:spacing w:before="60" w:after="60"/>
              <w:rPr>
                <w:sz w:val="22"/>
              </w:rPr>
            </w:pPr>
            <w:r>
              <w:rPr>
                <w:sz w:val="22"/>
              </w:rPr>
              <w:t>1</w:t>
            </w:r>
            <w:r>
              <w:rPr>
                <w:sz w:val="22"/>
              </w:rPr>
              <w:noBreakHyphen/>
              <w:t>4</w:t>
            </w:r>
          </w:p>
        </w:tc>
        <w:tc>
          <w:tcPr>
            <w:tcW w:w="1267" w:type="pct"/>
            <w:noWrap/>
          </w:tcPr>
          <w:p w:rsidR="00000000" w:rsidRDefault="00000000">
            <w:pPr>
              <w:spacing w:before="60" w:after="60"/>
              <w:jc w:val="right"/>
              <w:rPr>
                <w:sz w:val="22"/>
              </w:rPr>
            </w:pPr>
            <w:r>
              <w:rPr>
                <w:sz w:val="22"/>
              </w:rPr>
              <w:t>198,1</w:t>
            </w:r>
          </w:p>
        </w:tc>
        <w:tc>
          <w:tcPr>
            <w:tcW w:w="1204" w:type="pct"/>
            <w:noWrap/>
          </w:tcPr>
          <w:p w:rsidR="00000000" w:rsidRDefault="00000000">
            <w:pPr>
              <w:spacing w:before="60" w:after="60"/>
              <w:jc w:val="right"/>
              <w:rPr>
                <w:sz w:val="22"/>
              </w:rPr>
            </w:pPr>
            <w:r>
              <w:rPr>
                <w:sz w:val="22"/>
              </w:rPr>
              <w:t>98,4</w:t>
            </w:r>
          </w:p>
        </w:tc>
        <w:tc>
          <w:tcPr>
            <w:tcW w:w="1168" w:type="pct"/>
            <w:noWrap/>
          </w:tcPr>
          <w:p w:rsidR="00000000" w:rsidRDefault="00000000">
            <w:pPr>
              <w:spacing w:before="60" w:after="60"/>
              <w:jc w:val="right"/>
              <w:rPr>
                <w:sz w:val="22"/>
              </w:rPr>
            </w:pPr>
            <w:r>
              <w:rPr>
                <w:sz w:val="22"/>
              </w:rPr>
              <w:t>90,7</w:t>
            </w:r>
          </w:p>
        </w:tc>
      </w:tr>
      <w:tr w:rsidR="00000000">
        <w:tblPrEx>
          <w:tblCellMar>
            <w:top w:w="0" w:type="dxa"/>
            <w:bottom w:w="0" w:type="dxa"/>
          </w:tblCellMar>
        </w:tblPrEx>
        <w:trPr>
          <w:jc w:val="center"/>
        </w:trPr>
        <w:tc>
          <w:tcPr>
            <w:tcW w:w="1361" w:type="pct"/>
            <w:noWrap/>
          </w:tcPr>
          <w:p w:rsidR="00000000" w:rsidRDefault="00000000">
            <w:pPr>
              <w:spacing w:before="60" w:after="60"/>
              <w:rPr>
                <w:sz w:val="22"/>
              </w:rPr>
            </w:pPr>
            <w:r>
              <w:rPr>
                <w:sz w:val="22"/>
              </w:rPr>
              <w:t>5</w:t>
            </w:r>
            <w:r>
              <w:rPr>
                <w:sz w:val="22"/>
              </w:rPr>
              <w:noBreakHyphen/>
              <w:t>9</w:t>
            </w:r>
          </w:p>
        </w:tc>
        <w:tc>
          <w:tcPr>
            <w:tcW w:w="1267" w:type="pct"/>
            <w:noWrap/>
          </w:tcPr>
          <w:p w:rsidR="00000000" w:rsidRDefault="00000000">
            <w:pPr>
              <w:spacing w:before="60" w:after="60"/>
              <w:jc w:val="right"/>
              <w:rPr>
                <w:sz w:val="22"/>
              </w:rPr>
            </w:pPr>
            <w:r>
              <w:rPr>
                <w:sz w:val="22"/>
              </w:rPr>
              <w:t>250,2</w:t>
            </w:r>
          </w:p>
        </w:tc>
        <w:tc>
          <w:tcPr>
            <w:tcW w:w="1204" w:type="pct"/>
            <w:noWrap/>
          </w:tcPr>
          <w:p w:rsidR="00000000" w:rsidRDefault="00000000">
            <w:pPr>
              <w:spacing w:before="60" w:after="60"/>
              <w:jc w:val="right"/>
              <w:rPr>
                <w:sz w:val="22"/>
              </w:rPr>
            </w:pPr>
            <w:r>
              <w:rPr>
                <w:sz w:val="22"/>
              </w:rPr>
              <w:t>127,9</w:t>
            </w:r>
          </w:p>
        </w:tc>
        <w:tc>
          <w:tcPr>
            <w:tcW w:w="1168" w:type="pct"/>
            <w:noWrap/>
          </w:tcPr>
          <w:p w:rsidR="00000000" w:rsidRDefault="00000000">
            <w:pPr>
              <w:spacing w:before="60" w:after="60"/>
              <w:jc w:val="right"/>
              <w:rPr>
                <w:sz w:val="22"/>
              </w:rPr>
            </w:pPr>
            <w:r>
              <w:rPr>
                <w:sz w:val="22"/>
              </w:rPr>
              <w:t>122,3</w:t>
            </w:r>
          </w:p>
        </w:tc>
      </w:tr>
      <w:tr w:rsidR="00000000">
        <w:tblPrEx>
          <w:tblCellMar>
            <w:top w:w="0" w:type="dxa"/>
            <w:bottom w:w="0" w:type="dxa"/>
          </w:tblCellMar>
        </w:tblPrEx>
        <w:trPr>
          <w:jc w:val="center"/>
        </w:trPr>
        <w:tc>
          <w:tcPr>
            <w:tcW w:w="1361" w:type="pct"/>
            <w:noWrap/>
          </w:tcPr>
          <w:p w:rsidR="00000000" w:rsidRDefault="00000000">
            <w:pPr>
              <w:spacing w:before="60" w:after="60"/>
              <w:rPr>
                <w:sz w:val="22"/>
              </w:rPr>
            </w:pPr>
            <w:r>
              <w:rPr>
                <w:sz w:val="22"/>
              </w:rPr>
              <w:t>10</w:t>
            </w:r>
            <w:r>
              <w:rPr>
                <w:sz w:val="22"/>
              </w:rPr>
              <w:noBreakHyphen/>
              <w:t>14</w:t>
            </w:r>
          </w:p>
        </w:tc>
        <w:tc>
          <w:tcPr>
            <w:tcW w:w="1267" w:type="pct"/>
            <w:noWrap/>
          </w:tcPr>
          <w:p w:rsidR="00000000" w:rsidRDefault="00000000">
            <w:pPr>
              <w:spacing w:before="60" w:after="60"/>
              <w:jc w:val="right"/>
              <w:rPr>
                <w:sz w:val="22"/>
              </w:rPr>
            </w:pPr>
            <w:r>
              <w:rPr>
                <w:sz w:val="22"/>
              </w:rPr>
              <w:t>301,9</w:t>
            </w:r>
          </w:p>
        </w:tc>
        <w:tc>
          <w:tcPr>
            <w:tcW w:w="1204" w:type="pct"/>
            <w:noWrap/>
          </w:tcPr>
          <w:p w:rsidR="00000000" w:rsidRDefault="00000000">
            <w:pPr>
              <w:spacing w:before="60" w:after="60"/>
              <w:jc w:val="right"/>
              <w:rPr>
                <w:sz w:val="22"/>
              </w:rPr>
            </w:pPr>
            <w:r>
              <w:rPr>
                <w:sz w:val="22"/>
              </w:rPr>
              <w:t>154,2</w:t>
            </w:r>
          </w:p>
        </w:tc>
        <w:tc>
          <w:tcPr>
            <w:tcW w:w="1168" w:type="pct"/>
            <w:noWrap/>
          </w:tcPr>
          <w:p w:rsidR="00000000" w:rsidRDefault="00000000">
            <w:pPr>
              <w:spacing w:before="60" w:after="60"/>
              <w:jc w:val="right"/>
              <w:rPr>
                <w:sz w:val="22"/>
              </w:rPr>
            </w:pPr>
            <w:r>
              <w:rPr>
                <w:sz w:val="22"/>
              </w:rPr>
              <w:t>147,7</w:t>
            </w:r>
          </w:p>
        </w:tc>
      </w:tr>
      <w:tr w:rsidR="00000000">
        <w:tblPrEx>
          <w:tblCellMar>
            <w:top w:w="0" w:type="dxa"/>
            <w:bottom w:w="0" w:type="dxa"/>
          </w:tblCellMar>
        </w:tblPrEx>
        <w:trPr>
          <w:jc w:val="center"/>
        </w:trPr>
        <w:tc>
          <w:tcPr>
            <w:tcW w:w="1361" w:type="pct"/>
            <w:noWrap/>
          </w:tcPr>
          <w:p w:rsidR="00000000" w:rsidRDefault="00000000">
            <w:pPr>
              <w:spacing w:before="60" w:after="60"/>
              <w:rPr>
                <w:sz w:val="22"/>
              </w:rPr>
            </w:pPr>
            <w:r>
              <w:rPr>
                <w:sz w:val="22"/>
              </w:rPr>
              <w:t>15</w:t>
            </w:r>
            <w:r>
              <w:rPr>
                <w:sz w:val="22"/>
              </w:rPr>
              <w:noBreakHyphen/>
              <w:t>19</w:t>
            </w:r>
          </w:p>
        </w:tc>
        <w:tc>
          <w:tcPr>
            <w:tcW w:w="1267" w:type="pct"/>
            <w:noWrap/>
          </w:tcPr>
          <w:p w:rsidR="00000000" w:rsidRDefault="00000000">
            <w:pPr>
              <w:spacing w:before="60" w:after="60"/>
              <w:jc w:val="right"/>
              <w:rPr>
                <w:sz w:val="22"/>
              </w:rPr>
            </w:pPr>
            <w:r>
              <w:rPr>
                <w:sz w:val="22"/>
              </w:rPr>
              <w:t>340,6</w:t>
            </w:r>
          </w:p>
        </w:tc>
        <w:tc>
          <w:tcPr>
            <w:tcW w:w="1204" w:type="pct"/>
            <w:noWrap/>
          </w:tcPr>
          <w:p w:rsidR="00000000" w:rsidRDefault="00000000">
            <w:pPr>
              <w:spacing w:before="60" w:after="60"/>
              <w:jc w:val="right"/>
              <w:rPr>
                <w:sz w:val="22"/>
              </w:rPr>
            </w:pPr>
            <w:r>
              <w:rPr>
                <w:sz w:val="22"/>
              </w:rPr>
              <w:t>173,5</w:t>
            </w:r>
          </w:p>
        </w:tc>
        <w:tc>
          <w:tcPr>
            <w:tcW w:w="1168" w:type="pct"/>
            <w:noWrap/>
          </w:tcPr>
          <w:p w:rsidR="00000000" w:rsidRDefault="00000000">
            <w:pPr>
              <w:spacing w:before="60" w:after="60"/>
              <w:jc w:val="right"/>
              <w:rPr>
                <w:sz w:val="22"/>
              </w:rPr>
            </w:pPr>
            <w:r>
              <w:rPr>
                <w:sz w:val="22"/>
              </w:rPr>
              <w:t>167,1</w:t>
            </w:r>
          </w:p>
        </w:tc>
      </w:tr>
      <w:tr w:rsidR="00000000">
        <w:tblPrEx>
          <w:tblCellMar>
            <w:top w:w="0" w:type="dxa"/>
            <w:bottom w:w="0" w:type="dxa"/>
          </w:tblCellMar>
        </w:tblPrEx>
        <w:trPr>
          <w:jc w:val="center"/>
        </w:trPr>
        <w:tc>
          <w:tcPr>
            <w:tcW w:w="1361" w:type="pct"/>
            <w:noWrap/>
          </w:tcPr>
          <w:p w:rsidR="00000000" w:rsidRDefault="00000000">
            <w:pPr>
              <w:spacing w:before="60" w:after="60"/>
              <w:rPr>
                <w:sz w:val="22"/>
              </w:rPr>
            </w:pPr>
            <w:r>
              <w:rPr>
                <w:sz w:val="22"/>
              </w:rPr>
              <w:t>Total</w:t>
            </w:r>
          </w:p>
        </w:tc>
        <w:tc>
          <w:tcPr>
            <w:tcW w:w="1267" w:type="pct"/>
            <w:noWrap/>
          </w:tcPr>
          <w:p w:rsidR="00000000" w:rsidRDefault="00000000">
            <w:pPr>
              <w:spacing w:before="60" w:after="60"/>
              <w:jc w:val="right"/>
              <w:rPr>
                <w:sz w:val="22"/>
              </w:rPr>
            </w:pPr>
            <w:r>
              <w:rPr>
                <w:sz w:val="22"/>
              </w:rPr>
              <w:t>4 401,3</w:t>
            </w:r>
          </w:p>
        </w:tc>
        <w:tc>
          <w:tcPr>
            <w:tcW w:w="1204" w:type="pct"/>
            <w:noWrap/>
          </w:tcPr>
          <w:p w:rsidR="00000000" w:rsidRDefault="00000000">
            <w:pPr>
              <w:spacing w:before="60" w:after="60"/>
              <w:jc w:val="right"/>
              <w:rPr>
                <w:sz w:val="22"/>
              </w:rPr>
            </w:pPr>
            <w:r>
              <w:rPr>
                <w:sz w:val="22"/>
              </w:rPr>
              <w:t>2 090,8</w:t>
            </w:r>
          </w:p>
        </w:tc>
        <w:tc>
          <w:tcPr>
            <w:tcW w:w="1168" w:type="pct"/>
            <w:noWrap/>
          </w:tcPr>
          <w:p w:rsidR="00000000" w:rsidRDefault="00000000">
            <w:pPr>
              <w:spacing w:before="60" w:after="60"/>
              <w:jc w:val="right"/>
              <w:rPr>
                <w:sz w:val="22"/>
              </w:rPr>
            </w:pPr>
            <w:r>
              <w:rPr>
                <w:sz w:val="22"/>
              </w:rPr>
              <w:t>2 310,5</w:t>
            </w:r>
          </w:p>
        </w:tc>
      </w:tr>
    </w:tbl>
    <w:p w:rsidR="00000000" w:rsidRDefault="00000000">
      <w:pPr>
        <w:spacing w:before="240" w:after="240"/>
      </w:pPr>
      <w:r>
        <w:t>31.</w:t>
      </w:r>
      <w:r>
        <w:tab/>
        <w:t>Dans ses observations finales, le Comité encourage l’État partie à poursuivre ses efforts en vue de dispenser une formation et/ou une information adéquates et systématiques concernant les droits de l’enfant aux groupes professionnels qui travaillent avec et pour les enfants, tels que les responsables de l’application de la loi, ainsi que les parlementaires, les juges, les avocats, les professionnels de la santé, les enseignants et les directeurs d’école, entre autres.</w:t>
      </w:r>
    </w:p>
    <w:p w:rsidR="00000000" w:rsidRDefault="00000000">
      <w:pPr>
        <w:spacing w:after="240"/>
      </w:pPr>
      <w:r>
        <w:t>32.</w:t>
      </w:r>
      <w:r>
        <w:tab/>
        <w:t>Au mois d’avril 2001, avec le soutien de l’UNICEF, un centre des droits de l’enfant a été créé au Bureau du médiateur.</w:t>
      </w:r>
    </w:p>
    <w:p w:rsidR="00000000" w:rsidRDefault="00000000">
      <w:pPr>
        <w:spacing w:after="240"/>
      </w:pPr>
      <w:r>
        <w:t>33.</w:t>
      </w:r>
      <w:r>
        <w:tab/>
        <w:t xml:space="preserve">La Convention relative aux droits de l’enfant ainsi que d’autres instruments et traités internationaux concernant les enfants et la loi organique sur le médiateur de Géorgie constituaient le socle du programme d’action du Centre. </w:t>
      </w:r>
    </w:p>
    <w:p w:rsidR="00000000" w:rsidRDefault="00000000">
      <w:pPr>
        <w:spacing w:after="240"/>
      </w:pPr>
      <w:r>
        <w:t>34.</w:t>
      </w:r>
      <w:r>
        <w:tab/>
        <w:t>Le Centre mène des actions de sensibilisation, s’occupe des problèmes des enfants non déclarés et des violations des droits des enfants à l’école, dans la famille et dans la collectivité, et met en place des mécanismes de protection des droits de l’enfant fondés sur la participation active des enfants.</w:t>
      </w:r>
    </w:p>
    <w:p w:rsidR="00000000" w:rsidRDefault="00000000">
      <w:pPr>
        <w:spacing w:after="240"/>
      </w:pPr>
      <w:r>
        <w:t>35.</w:t>
      </w:r>
      <w:r>
        <w:tab/>
        <w:t xml:space="preserve">D’après les renseignements communiqués par le bureau de l’UNICEF en Géorgie, le projet que finançait l’UNICEF a été interrompu en 2004 par suite de réorganisation du Bureau du médiateur. </w:t>
      </w:r>
    </w:p>
    <w:p w:rsidR="00000000" w:rsidRDefault="00000000">
      <w:pPr>
        <w:spacing w:after="240"/>
      </w:pPr>
      <w:r>
        <w:t>36.</w:t>
      </w:r>
      <w:r>
        <w:tab/>
        <w:t>Malgré les changements structurels qu’il a subis, le Bureau du médiateur conserve sa compétence en matière de protection des droits de l’enfant et l’exerce à travers une unité spéciale composée de personnes qualifiées, divisée en plusieurs sections.</w:t>
      </w:r>
    </w:p>
    <w:p w:rsidR="00000000" w:rsidRDefault="00000000">
      <w:pPr>
        <w:spacing w:after="240"/>
      </w:pPr>
      <w:r>
        <w:t>37.</w:t>
      </w:r>
      <w:r>
        <w:tab/>
        <w:t>Malgré une forte motivation, les efforts déployés par le Bureau du médiateur aux fins de la protection des droits de l’enfant manquaient de cohérence et de suivi. En outre, il y avait une forte demande pour une entité distincte qui serait chargée de veiller à la mise en œuvre de la Convention et d’en rendre compte, comme il ressort de toutes les recommandations des organismes internationaux et des experts indépendants s’occupant des droits de l’enfant.</w:t>
      </w:r>
    </w:p>
    <w:p w:rsidR="00000000" w:rsidRDefault="00000000">
      <w:pPr>
        <w:spacing w:after="240"/>
      </w:pPr>
      <w:r>
        <w:t>38.</w:t>
      </w:r>
      <w:r>
        <w:tab/>
        <w:t xml:space="preserve">Qui plus est, l’existence d’une entité distincte chargée de l’application de la Convention relative aux droits de l’enfant est une condition nécessaire pour devenir membre à part entière du Réseau européen de médiateurs pour les enfants. Tout cela conduit au rétablissement du Centre des droits de l’enfant sous les auspices du Bureau du médiateur. </w:t>
      </w:r>
    </w:p>
    <w:p w:rsidR="00000000" w:rsidRDefault="00000000">
      <w:pPr>
        <w:spacing w:after="240"/>
      </w:pPr>
      <w:r>
        <w:t>39.</w:t>
      </w:r>
      <w:r>
        <w:tab/>
        <w:t>C’est ainsi que le 1</w:t>
      </w:r>
      <w:r>
        <w:rPr>
          <w:vertAlign w:val="superscript"/>
        </w:rPr>
        <w:t>er</w:t>
      </w:r>
      <w:r>
        <w:t> septembre 2006, le Centre des droits de l’enfant a été remis en fonction. Ses objectifs sont les suivants:</w:t>
      </w:r>
    </w:p>
    <w:p w:rsidR="00000000" w:rsidRDefault="00000000">
      <w:pPr>
        <w:numPr>
          <w:ilvl w:val="0"/>
          <w:numId w:val="50"/>
        </w:numPr>
        <w:spacing w:after="240"/>
      </w:pPr>
      <w:r>
        <w:t>Surveiller la mise en œuvre de la Convention relative aux droits de l’enfant;</w:t>
      </w:r>
    </w:p>
    <w:p w:rsidR="00000000" w:rsidRDefault="00000000">
      <w:pPr>
        <w:numPr>
          <w:ilvl w:val="0"/>
          <w:numId w:val="50"/>
        </w:numPr>
        <w:spacing w:after="240"/>
      </w:pPr>
      <w:r>
        <w:t>Renforcer la sensibilisation et la formation aux droits de l’enfant;</w:t>
      </w:r>
    </w:p>
    <w:p w:rsidR="00000000" w:rsidRDefault="00000000">
      <w:pPr>
        <w:numPr>
          <w:ilvl w:val="0"/>
          <w:numId w:val="50"/>
        </w:numPr>
        <w:spacing w:after="240"/>
      </w:pPr>
      <w:r>
        <w:t>Promouvoir les changements nécessaires dans les procédures et les lois et formuler des recommandations à l’intention des organes législatifs;</w:t>
      </w:r>
    </w:p>
    <w:p w:rsidR="00000000" w:rsidRDefault="00000000">
      <w:pPr>
        <w:numPr>
          <w:ilvl w:val="0"/>
          <w:numId w:val="50"/>
        </w:numPr>
        <w:spacing w:after="240"/>
      </w:pPr>
      <w:r>
        <w:t>Faciliter l’insertion dans la société des enfants ayant besoin d’une protection spéciale;</w:t>
      </w:r>
    </w:p>
    <w:p w:rsidR="00000000" w:rsidRDefault="00000000">
      <w:pPr>
        <w:numPr>
          <w:ilvl w:val="0"/>
          <w:numId w:val="50"/>
        </w:numPr>
        <w:spacing w:after="240"/>
      </w:pPr>
      <w:r>
        <w:t>Se familiariser avec les intérêts et problèmes des enfants dans le cadre de ce processus;</w:t>
      </w:r>
    </w:p>
    <w:p w:rsidR="00000000" w:rsidRDefault="00000000">
      <w:pPr>
        <w:numPr>
          <w:ilvl w:val="0"/>
          <w:numId w:val="50"/>
        </w:numPr>
        <w:spacing w:after="240"/>
      </w:pPr>
      <w:r>
        <w:t>Assurer la coordination des activités des ONG en faveur des enfants.</w:t>
      </w:r>
    </w:p>
    <w:p w:rsidR="00000000" w:rsidRDefault="00000000">
      <w:pPr>
        <w:spacing w:after="240"/>
      </w:pPr>
      <w:r>
        <w:t>40.</w:t>
      </w:r>
      <w:r>
        <w:tab/>
        <w:t>Les groupes cibles du Centre sont:</w:t>
      </w:r>
    </w:p>
    <w:p w:rsidR="00000000" w:rsidRDefault="00000000">
      <w:pPr>
        <w:numPr>
          <w:ilvl w:val="0"/>
          <w:numId w:val="51"/>
        </w:numPr>
        <w:spacing w:after="240"/>
      </w:pPr>
      <w:r>
        <w:t>Les enfants ayant besoin d’une protection spéciale − orphelins, enfants des rues, enfants handicapés, enfants réfugiés, enfants de familles marginalisées et enfants en conflit avec la loi;</w:t>
      </w:r>
    </w:p>
    <w:p w:rsidR="00000000" w:rsidRDefault="00000000">
      <w:pPr>
        <w:numPr>
          <w:ilvl w:val="0"/>
          <w:numId w:val="51"/>
        </w:numPr>
        <w:spacing w:after="240"/>
      </w:pPr>
      <w:r>
        <w:t>Les enfants scolarisés.</w:t>
      </w:r>
    </w:p>
    <w:p w:rsidR="00000000" w:rsidRDefault="00000000">
      <w:pPr>
        <w:spacing w:after="240"/>
      </w:pPr>
      <w:r>
        <w:t>41.</w:t>
      </w:r>
      <w:r>
        <w:tab/>
        <w:t>Toutes les activités de protection des droits de l’enfant entreprises par le Bureau du médiateur depuis novembre 2005 sont à présent exécutées par le Centre des droits de l’enfant.</w:t>
      </w:r>
    </w:p>
    <w:p w:rsidR="00000000" w:rsidRDefault="00000000">
      <w:pPr>
        <w:spacing w:after="240"/>
      </w:pPr>
      <w:r>
        <w:t>42.</w:t>
      </w:r>
      <w:r>
        <w:tab/>
        <w:t>Le Centre compte élargir et renforcer ses activités concernant la mise en œuvre de la Convention relative aux droits de l’enfant par le biais des mesures suivantes:</w:t>
      </w:r>
    </w:p>
    <w:p w:rsidR="00000000" w:rsidRDefault="00000000">
      <w:pPr>
        <w:numPr>
          <w:ilvl w:val="0"/>
          <w:numId w:val="52"/>
        </w:numPr>
        <w:spacing w:after="240"/>
      </w:pPr>
      <w:r>
        <w:t>Surveiller de manière plus spécifique les institutions pour enfants − constituer une base de données sur les institutions pour enfants, élaborer de meilleurs questionnaires, avoir recours à des professionnels compétents, etc.;</w:t>
      </w:r>
    </w:p>
    <w:p w:rsidR="00000000" w:rsidRDefault="00000000">
      <w:pPr>
        <w:numPr>
          <w:ilvl w:val="0"/>
          <w:numId w:val="52"/>
        </w:numPr>
        <w:spacing w:after="240"/>
      </w:pPr>
      <w:r>
        <w:t>Surveiller la situation dans les écoles (problème des mauvais traitements infligés aux enfants par les enseignants et d’autres enfants);</w:t>
      </w:r>
    </w:p>
    <w:p w:rsidR="00000000" w:rsidRDefault="00000000">
      <w:pPr>
        <w:numPr>
          <w:ilvl w:val="0"/>
          <w:numId w:val="52"/>
        </w:numPr>
        <w:spacing w:after="240"/>
      </w:pPr>
      <w:r>
        <w:t>Suivre la mise en œuvre des recommandations adressées aux différents organismes administratifs;</w:t>
      </w:r>
    </w:p>
    <w:p w:rsidR="00000000" w:rsidRDefault="00000000">
      <w:pPr>
        <w:numPr>
          <w:ilvl w:val="0"/>
          <w:numId w:val="52"/>
        </w:numPr>
        <w:spacing w:after="240"/>
      </w:pPr>
      <w:r>
        <w:t xml:space="preserve">Suivre le processus de </w:t>
      </w:r>
      <w:proofErr w:type="spellStart"/>
      <w:r>
        <w:t>désinstitutionnalisation</w:t>
      </w:r>
      <w:proofErr w:type="spellEnd"/>
      <w:r>
        <w:t xml:space="preserve"> de la protection des enfants;</w:t>
      </w:r>
    </w:p>
    <w:p w:rsidR="00000000" w:rsidRDefault="00000000">
      <w:pPr>
        <w:numPr>
          <w:ilvl w:val="0"/>
          <w:numId w:val="52"/>
        </w:numPr>
        <w:spacing w:after="240"/>
      </w:pPr>
      <w:r>
        <w:t>Suivre les affaires individuelles: enquêter sur les plaintes déposées pour violation des droits de l’enfant;</w:t>
      </w:r>
    </w:p>
    <w:p w:rsidR="00000000" w:rsidRDefault="00000000">
      <w:pPr>
        <w:numPr>
          <w:ilvl w:val="0"/>
          <w:numId w:val="52"/>
        </w:numPr>
        <w:spacing w:after="240"/>
      </w:pPr>
      <w:r>
        <w:t>Publier des documents d’information − tels que brochures, dépliants, opuscules, pour diffusion dans différents milieux et créer un site Internet;</w:t>
      </w:r>
    </w:p>
    <w:p w:rsidR="00000000" w:rsidRDefault="00000000">
      <w:pPr>
        <w:numPr>
          <w:ilvl w:val="0"/>
          <w:numId w:val="52"/>
        </w:numPr>
        <w:spacing w:after="240"/>
      </w:pPr>
      <w:r>
        <w:t>Donner à différents groupes de professionnels une formation dans le domaine des droits de l’enfant;</w:t>
      </w:r>
    </w:p>
    <w:p w:rsidR="00000000" w:rsidRDefault="00000000">
      <w:pPr>
        <w:numPr>
          <w:ilvl w:val="0"/>
          <w:numId w:val="52"/>
        </w:numPr>
        <w:spacing w:after="240"/>
      </w:pPr>
      <w:r>
        <w:t>Organiser des activités visant à promouvoir l’intégration des enfants (actions caritatives, spectacles, camping et excursions en montagne, etc.).</w:t>
      </w:r>
    </w:p>
    <w:p w:rsidR="00000000" w:rsidRDefault="00000000">
      <w:pPr>
        <w:spacing w:after="240"/>
      </w:pPr>
      <w:r>
        <w:t>43.</w:t>
      </w:r>
      <w:r>
        <w:tab/>
        <w:t>Même s’il existe en Géorgie de nombreux organismes publics et organisations non gouvernementales travaillant avec les enfants, les actions menées dans le domaine de la protection souffrent toujours d’un manque de coordination entre les différentes entités concernées.</w:t>
      </w:r>
    </w:p>
    <w:p w:rsidR="00000000" w:rsidRDefault="00000000">
      <w:pPr>
        <w:spacing w:after="240"/>
      </w:pPr>
      <w:r>
        <w:t>44.</w:t>
      </w:r>
      <w:r>
        <w:tab/>
        <w:t>C’est pour cette raison que le Bureau du médiateur et des ONG géorgiennes engagées dans la défense des droits de l’enfant ont mis en place, en juillet 2006, un conseil chargé de coordonner les activités liées à la protection des droits des enfants.</w:t>
      </w:r>
    </w:p>
    <w:p w:rsidR="00000000" w:rsidRDefault="00000000">
      <w:pPr>
        <w:spacing w:after="240"/>
      </w:pPr>
      <w:r>
        <w:t>45.</w:t>
      </w:r>
      <w:r>
        <w:tab/>
        <w:t xml:space="preserve">En Géorgie, on dénombre une quarantaine d’organisations non gouvernementales s’occupant de la défense des droits de l’enfant. Ces organisations couvrent différents aspects des problèmes des enfants. Elles jouent un rôle important en matière de conseil et d’exécution, aidant le Centre à recueillir des informations sur les différents aspects de la vie des enfants. </w:t>
      </w:r>
    </w:p>
    <w:p w:rsidR="00000000" w:rsidRDefault="00000000">
      <w:pPr>
        <w:spacing w:after="240"/>
      </w:pPr>
      <w:r>
        <w:t>46.</w:t>
      </w:r>
      <w:r>
        <w:tab/>
        <w:t xml:space="preserve">Le Conseil de coordination assistera le Centre dans l’accomplissement de sa mission fondamentale, qui est de veiller à la mise en œuvre de la Convention relative aux droits de l’enfant, et participera à ses activités. </w:t>
      </w:r>
    </w:p>
    <w:p w:rsidR="00000000" w:rsidRDefault="00000000">
      <w:pPr>
        <w:keepNext/>
        <w:spacing w:after="240"/>
        <w:rPr>
          <w:u w:val="single"/>
        </w:rPr>
      </w:pPr>
      <w:r>
        <w:rPr>
          <w:b/>
          <w:bCs/>
        </w:rPr>
        <w:t>Réseau européen de médiateurs pour les enfants – Réunion annuelle</w:t>
      </w:r>
    </w:p>
    <w:p w:rsidR="00000000" w:rsidRDefault="00000000">
      <w:pPr>
        <w:spacing w:after="240"/>
      </w:pPr>
      <w:r>
        <w:t>47.</w:t>
      </w:r>
      <w:r>
        <w:tab/>
        <w:t>Du 26 au 28 septembre 2006, le médiateur de Géorgie, M. </w:t>
      </w:r>
      <w:proofErr w:type="spellStart"/>
      <w:r>
        <w:t>Sozar</w:t>
      </w:r>
      <w:proofErr w:type="spellEnd"/>
      <w:r>
        <w:t> </w:t>
      </w:r>
      <w:proofErr w:type="spellStart"/>
      <w:r>
        <w:t>Subari</w:t>
      </w:r>
      <w:proofErr w:type="spellEnd"/>
      <w:r>
        <w:t>, et des représentants du Centre des droits de l’enfant du Bureau du médiateur ont participé à la réunion annuelle du Réseau européen de médiateurs pour les enfants à Athènes.</w:t>
      </w:r>
    </w:p>
    <w:p w:rsidR="00000000" w:rsidRDefault="00000000">
      <w:pPr>
        <w:spacing w:after="240"/>
      </w:pPr>
      <w:r>
        <w:t>48.</w:t>
      </w:r>
      <w:r>
        <w:tab/>
        <w:t>Outre les médiateurs et représentants du Réseau, les intervenants et observateurs suivants ont participé à cette réunion: Thomas </w:t>
      </w:r>
      <w:proofErr w:type="spellStart"/>
      <w:r>
        <w:t>Hammarberg</w:t>
      </w:r>
      <w:proofErr w:type="spellEnd"/>
      <w:r>
        <w:t xml:space="preserve"> (Commissaire aux droits de l’homme du Conseil de l’Europe); Patrick </w:t>
      </w:r>
      <w:proofErr w:type="spellStart"/>
      <w:r>
        <w:t>Trousson</w:t>
      </w:r>
      <w:proofErr w:type="spellEnd"/>
      <w:r>
        <w:t xml:space="preserve"> (Coordinateur de la Commission européenne pour les droits de l’enfant); Peter </w:t>
      </w:r>
      <w:proofErr w:type="spellStart"/>
      <w:r>
        <w:t>Newell</w:t>
      </w:r>
      <w:proofErr w:type="spellEnd"/>
      <w:r>
        <w:t xml:space="preserve"> (Coordinateur de l’Initiative globale pour l’abolition de toutes les formes de châtiment corporel envers les enfants); </w:t>
      </w:r>
      <w:proofErr w:type="spellStart"/>
      <w:r>
        <w:t>Veronica</w:t>
      </w:r>
      <w:proofErr w:type="spellEnd"/>
      <w:r>
        <w:t> </w:t>
      </w:r>
      <w:proofErr w:type="spellStart"/>
      <w:r>
        <w:t>Yates</w:t>
      </w:r>
      <w:proofErr w:type="spellEnd"/>
      <w:r>
        <w:t xml:space="preserve"> (Coordinatrice du Réseau d’information des droits de l’enfant); </w:t>
      </w:r>
      <w:proofErr w:type="spellStart"/>
      <w:r>
        <w:t>Brent</w:t>
      </w:r>
      <w:proofErr w:type="spellEnd"/>
      <w:r>
        <w:t> </w:t>
      </w:r>
      <w:proofErr w:type="spellStart"/>
      <w:r>
        <w:t>Parffit</w:t>
      </w:r>
      <w:proofErr w:type="spellEnd"/>
      <w:r>
        <w:t xml:space="preserve"> (membre du Comité des droits de l’enfant); </w:t>
      </w:r>
      <w:proofErr w:type="spellStart"/>
      <w:r>
        <w:t>Elda</w:t>
      </w:r>
      <w:proofErr w:type="spellEnd"/>
      <w:r>
        <w:t> Moreno (Directrice du Programme du Conseil de l’Europe «Construire une Europe pour et avec les enfants»). Un représentant de l’UNICEF était également présent.</w:t>
      </w:r>
    </w:p>
    <w:p w:rsidR="00000000" w:rsidRDefault="00000000">
      <w:pPr>
        <w:spacing w:after="240"/>
      </w:pPr>
      <w:r>
        <w:t>49.</w:t>
      </w:r>
      <w:r>
        <w:tab/>
        <w:t>Au cours de la réunion, le représentant du Centre a fait un exposé intitulé: «Protéger les droits de l’enfant en Géorgie −Les défis que doit relever le Bureau du médiateur».</w:t>
      </w:r>
    </w:p>
    <w:p w:rsidR="00000000" w:rsidRDefault="00000000">
      <w:pPr>
        <w:spacing w:after="240"/>
      </w:pPr>
      <w:r>
        <w:t>50.</w:t>
      </w:r>
      <w:r>
        <w:tab/>
        <w:t>D’après le Ministère de la justice, pendant la période 2000</w:t>
      </w:r>
      <w:r>
        <w:noBreakHyphen/>
        <w:t>2005, plusieurs cours de formation sur les droits de l’homme, y compris les droits de l’enfant, ont été dispensés au Centre de formation du Ministère de la justice.</w:t>
      </w:r>
    </w:p>
    <w:p w:rsidR="00000000" w:rsidRDefault="00000000">
      <w:pPr>
        <w:spacing w:after="240"/>
      </w:pPr>
      <w:r>
        <w:t>51.</w:t>
      </w:r>
      <w:r>
        <w:tab/>
        <w:t xml:space="preserve">Pendant la période considérée, le Bureau du Procureur général a organisé des programmes de formation à l’intention de son personnel et coopéré étroitement avec des organisations internationales et d’autres organismes (dont les institutions spécialisées des Nations Unies, le Conseil de l’Europe, l’Organisation internationale pour les migrations (OIM), l’Organisation pour la sécurité et la coopération en Europe (OSCE), le consulat de </w:t>
      </w:r>
      <w:proofErr w:type="spellStart"/>
      <w:r>
        <w:t>Grande</w:t>
      </w:r>
      <w:r>
        <w:noBreakHyphen/>
        <w:t>Bretagne</w:t>
      </w:r>
      <w:proofErr w:type="spellEnd"/>
      <w:r>
        <w:t xml:space="preserve">, l’ambassade des </w:t>
      </w:r>
      <w:proofErr w:type="spellStart"/>
      <w:r>
        <w:t>États</w:t>
      </w:r>
      <w:r>
        <w:noBreakHyphen/>
        <w:t>Unis</w:t>
      </w:r>
      <w:proofErr w:type="spellEnd"/>
      <w:r>
        <w:t xml:space="preserve"> et USAID, etc.).</w:t>
      </w:r>
    </w:p>
    <w:p w:rsidR="00000000" w:rsidRDefault="00000000">
      <w:pPr>
        <w:spacing w:after="240"/>
      </w:pPr>
      <w:r>
        <w:t>52.</w:t>
      </w:r>
      <w:r>
        <w:tab/>
      </w:r>
      <w:proofErr w:type="spellStart"/>
      <w:r>
        <w:t>Cinquante</w:t>
      </w:r>
      <w:r>
        <w:noBreakHyphen/>
        <w:t>cinq</w:t>
      </w:r>
      <w:proofErr w:type="spellEnd"/>
      <w:r>
        <w:t xml:space="preserve"> procureurs ont suivi des programmes de formation spécifiques, organisés en coopération avec l’</w:t>
      </w:r>
      <w:proofErr w:type="spellStart"/>
      <w:r>
        <w:t>OIM</w:t>
      </w:r>
      <w:proofErr w:type="spellEnd"/>
      <w:r>
        <w:t xml:space="preserve"> et consacrés aux procédures judiciaires à l’encontre des passeurs et des trafiquants d’êtres humains. Un accent particulier a été mis sur les questions liées à la traite de mineurs.</w:t>
      </w:r>
    </w:p>
    <w:p w:rsidR="00000000" w:rsidRDefault="00000000">
      <w:pPr>
        <w:spacing w:after="240"/>
      </w:pPr>
      <w:r>
        <w:t>53.</w:t>
      </w:r>
      <w:r>
        <w:tab/>
        <w:t xml:space="preserve">Récemment, plusieurs cours de formation relatifs à la protection des droits de l’homme spécialement destinés aux fonctionnaires responsables de l’application des lois ont été organisés avec le soutien financier du consulat de </w:t>
      </w:r>
      <w:proofErr w:type="spellStart"/>
      <w:r>
        <w:t>Grande</w:t>
      </w:r>
      <w:r>
        <w:noBreakHyphen/>
        <w:t>Bretagne</w:t>
      </w:r>
      <w:proofErr w:type="spellEnd"/>
      <w:r>
        <w:t xml:space="preserve">, du Programme suédois du développement international et du Ministère de la justice des </w:t>
      </w:r>
      <w:proofErr w:type="spellStart"/>
      <w:r>
        <w:t>États</w:t>
      </w:r>
      <w:r>
        <w:noBreakHyphen/>
        <w:t>Unis</w:t>
      </w:r>
      <w:proofErr w:type="spellEnd"/>
      <w:r>
        <w:t>. Ces programmes de formation ont de manière générale permis de compléter les connaissances des fonctionnaires chargés de l’application des lois dans le domaine de la protection des droits de l’homme et ouvert la voie à la création de mécanismes nationaux aptes à garantir la protection des droits de l’homme.</w:t>
      </w:r>
    </w:p>
    <w:p w:rsidR="00000000" w:rsidRDefault="00000000">
      <w:pPr>
        <w:keepNext/>
        <w:spacing w:after="240"/>
        <w:jc w:val="center"/>
        <w:rPr>
          <w:b/>
          <w:bCs/>
        </w:rPr>
      </w:pPr>
      <w:r>
        <w:rPr>
          <w:b/>
          <w:bCs/>
        </w:rPr>
        <w:t>III.  DÉFINITION DE L’ENFANT</w:t>
      </w:r>
    </w:p>
    <w:p w:rsidR="00000000" w:rsidRDefault="00000000">
      <w:pPr>
        <w:spacing w:after="240"/>
      </w:pPr>
      <w:r>
        <w:t>54.</w:t>
      </w:r>
      <w:r>
        <w:tab/>
        <w:t>Outre les renseignements déjà donnés sur la question au Comité des droits de l’enfant dans les précédents rapports périodiques, certaines informations relatives à la responsabilité pénale des enfants méritent d’être mentionnées.</w:t>
      </w:r>
    </w:p>
    <w:p w:rsidR="00000000" w:rsidRDefault="00000000">
      <w:pPr>
        <w:spacing w:after="240"/>
      </w:pPr>
      <w:r>
        <w:t>55.</w:t>
      </w:r>
      <w:r>
        <w:tab/>
        <w:t>La législation pénale géorgienne donne une définition des adolescents et des mineurs aux fins de la détermination de leur responsabilité pénale. En vertu du Code de procédure pénale, l’enfant désigne toute personne de moins de 14 ans</w:t>
      </w:r>
      <w:r>
        <w:rPr>
          <w:rStyle w:val="FootnoteReference"/>
        </w:rPr>
        <w:footnoteReference w:id="4"/>
      </w:r>
      <w:r>
        <w:t>. Quant à la définition du mineur, elle est donnée à la fois dans le Code de procédure pénale et dans le Code pénal, aux termes desquels un mineur est une personne de moins de 18 ans et de plus de 14 ans</w:t>
      </w:r>
      <w:r>
        <w:rPr>
          <w:rStyle w:val="FootnoteReference"/>
        </w:rPr>
        <w:footnoteReference w:id="5"/>
      </w:r>
      <w:r>
        <w:t>. Il convient de noter que le droit pénal géorgien pose le principe de l’irresponsabilité pénale des personnes de moins de 14 ans</w:t>
      </w:r>
      <w:r>
        <w:rPr>
          <w:rStyle w:val="FootnoteReference"/>
        </w:rPr>
        <w:footnoteReference w:id="6"/>
      </w:r>
      <w:r>
        <w:t>. Cela montre bien que la législation géorgienne garantit les droits et intérêts des enfants.</w:t>
      </w:r>
    </w:p>
    <w:p w:rsidR="00000000" w:rsidRDefault="00000000">
      <w:pPr>
        <w:spacing w:after="240"/>
      </w:pPr>
      <w:r>
        <w:t>56.</w:t>
      </w:r>
      <w:r>
        <w:tab/>
        <w:t>À ce propos, il y a lieu de souligner que les définitions légales de l’enfant et du mineur correspondent tout à fait à la définition de l’enfant figurant dans la Convention. On peut donc affirmer que la législation géorgienne est pleinement conforme à la Convention, notamment à ses articles 1</w:t>
      </w:r>
      <w:r>
        <w:rPr>
          <w:vertAlign w:val="superscript"/>
        </w:rPr>
        <w:t>er</w:t>
      </w:r>
      <w:r>
        <w:t xml:space="preserve"> et 37.</w:t>
      </w:r>
    </w:p>
    <w:p w:rsidR="00000000" w:rsidRDefault="00000000">
      <w:pPr>
        <w:keepNext/>
        <w:spacing w:after="240"/>
        <w:jc w:val="center"/>
        <w:rPr>
          <w:b/>
          <w:bCs/>
          <w:lang w:val="fr-FR"/>
        </w:rPr>
      </w:pPr>
      <w:r>
        <w:rPr>
          <w:b/>
          <w:bCs/>
          <w:lang w:val="fr-FR"/>
        </w:rPr>
        <w:t>IV.  PRINCIPES GÉNÉRAUX</w:t>
      </w:r>
    </w:p>
    <w:p w:rsidR="00000000" w:rsidRDefault="00000000">
      <w:pPr>
        <w:keepNext/>
        <w:spacing w:after="240"/>
        <w:rPr>
          <w:lang w:val="fr-FR"/>
        </w:rPr>
      </w:pPr>
      <w:r>
        <w:rPr>
          <w:lang w:val="fr-FR"/>
        </w:rPr>
        <w:t>57.</w:t>
      </w:r>
      <w:r>
        <w:rPr>
          <w:lang w:val="fr-FR"/>
        </w:rPr>
        <w:tab/>
        <w:t xml:space="preserve">Dans ses observations finales, le Comité recommande à l’État partie: </w:t>
      </w:r>
    </w:p>
    <w:p w:rsidR="00000000" w:rsidRDefault="00000000">
      <w:pPr>
        <w:spacing w:after="240"/>
        <w:ind w:firstLine="567"/>
        <w:rPr>
          <w:lang w:val="fr-FR"/>
        </w:rPr>
      </w:pPr>
      <w:r>
        <w:rPr>
          <w:lang w:val="fr-FR"/>
        </w:rPr>
        <w:t>a)</w:t>
      </w:r>
      <w:r>
        <w:rPr>
          <w:lang w:val="fr-FR"/>
        </w:rPr>
        <w:tab/>
        <w:t xml:space="preserve">D’intégrer comme il convient les principes généraux de la Convention, à savoir les articles 2, 3, 6 et 12, dans tous les textes de loi pertinents qui concernent les enfants; </w:t>
      </w:r>
    </w:p>
    <w:p w:rsidR="00000000" w:rsidRDefault="00000000">
      <w:pPr>
        <w:spacing w:after="240"/>
        <w:ind w:firstLine="567"/>
        <w:rPr>
          <w:lang w:val="fr-FR"/>
        </w:rPr>
      </w:pPr>
      <w:r>
        <w:rPr>
          <w:lang w:val="fr-FR"/>
        </w:rPr>
        <w:t>b)</w:t>
      </w:r>
      <w:r>
        <w:rPr>
          <w:lang w:val="fr-FR"/>
        </w:rPr>
        <w:tab/>
        <w:t xml:space="preserve">D’appliquer ces principes dans toutes les décisions politiques, judiciaires et administratives ainsi que dans les projets, programmes et services qui ont une incidence sur l’ensemble des enfants; </w:t>
      </w:r>
    </w:p>
    <w:p w:rsidR="00000000" w:rsidRDefault="00000000">
      <w:pPr>
        <w:spacing w:after="240"/>
        <w:ind w:firstLine="567"/>
        <w:rPr>
          <w:lang w:val="fr-FR"/>
        </w:rPr>
      </w:pPr>
      <w:r>
        <w:rPr>
          <w:lang w:val="fr-FR"/>
        </w:rPr>
        <w:t>c)</w:t>
      </w:r>
      <w:r>
        <w:rPr>
          <w:lang w:val="fr-FR"/>
        </w:rPr>
        <w:tab/>
        <w:t>D’appliquer ces principes dans la planification et l’élaboration de politiques à tous les niveaux, ainsi que dans le cadre des mesures prises par les organismes sociaux, sanitaires et éducatifs, les tribunaux et les autorités administratives.</w:t>
      </w:r>
    </w:p>
    <w:p w:rsidR="00000000" w:rsidRDefault="00000000">
      <w:pPr>
        <w:spacing w:after="240"/>
        <w:rPr>
          <w:lang w:val="fr-FR"/>
        </w:rPr>
      </w:pPr>
      <w:r>
        <w:rPr>
          <w:lang w:val="fr-FR"/>
        </w:rPr>
        <w:t>58.</w:t>
      </w:r>
      <w:r>
        <w:rPr>
          <w:lang w:val="fr-FR"/>
        </w:rPr>
        <w:tab/>
        <w:t>En outre, le Comité réitère ses précédentes préoccupations et recommandations et recommande à l’État partie d’examiner la législation en vigueur afin de la mettre en conformité avec l’article 2 de la Convention et d’assurer son application effective.</w:t>
      </w:r>
    </w:p>
    <w:p w:rsidR="00000000" w:rsidRDefault="00000000">
      <w:pPr>
        <w:keepNext/>
        <w:spacing w:after="240"/>
        <w:jc w:val="center"/>
        <w:rPr>
          <w:b/>
          <w:bCs/>
          <w:lang w:val="fr-FR"/>
        </w:rPr>
      </w:pPr>
      <w:r>
        <w:rPr>
          <w:b/>
          <w:bCs/>
          <w:lang w:val="fr-FR"/>
        </w:rPr>
        <w:t xml:space="preserve">A.  </w:t>
      </w:r>
      <w:proofErr w:type="spellStart"/>
      <w:r>
        <w:rPr>
          <w:b/>
          <w:bCs/>
          <w:lang w:val="fr-FR"/>
        </w:rPr>
        <w:t>Non</w:t>
      </w:r>
      <w:r>
        <w:rPr>
          <w:b/>
          <w:bCs/>
          <w:lang w:val="fr-FR"/>
        </w:rPr>
        <w:noBreakHyphen/>
        <w:t>discrimination</w:t>
      </w:r>
      <w:proofErr w:type="spellEnd"/>
      <w:r>
        <w:rPr>
          <w:b/>
          <w:bCs/>
          <w:lang w:val="fr-FR"/>
        </w:rPr>
        <w:t xml:space="preserve"> (art. 2)</w:t>
      </w:r>
    </w:p>
    <w:p w:rsidR="00000000" w:rsidRDefault="00000000">
      <w:pPr>
        <w:spacing w:after="240"/>
        <w:rPr>
          <w:lang w:val="fr-FR"/>
        </w:rPr>
      </w:pPr>
      <w:r>
        <w:rPr>
          <w:lang w:val="fr-FR"/>
        </w:rPr>
        <w:t>59.</w:t>
      </w:r>
      <w:r>
        <w:rPr>
          <w:lang w:val="fr-FR"/>
        </w:rPr>
        <w:tab/>
        <w:t xml:space="preserve">Le Comité encourage l’État partie à prendre les mesures nécessaires pour lutter contre le racisme, la xénophobie, la discrimination et l’intolérance, notamment en veillant à ce qu’il soit donné suite aux recommandations formulées par les organes conventionnels de l’ONU et par la Commission européenne contre le racisme et l’intolérance (ECRI), en particulier en ce qui a trait aux enfants. Le Comité souligne le rôle important de l’éducation à cet égard et encourage l’État partie à continuer à soutenir l’enseignement dans les langues des minorités, ainsi que l’enseignement dans la langue maternelle pour la population de souche géorgienne qui n’y a pas accès. </w:t>
      </w:r>
    </w:p>
    <w:p w:rsidR="00000000" w:rsidRDefault="00000000">
      <w:pPr>
        <w:spacing w:after="240"/>
        <w:rPr>
          <w:lang w:val="fr-FR"/>
        </w:rPr>
      </w:pPr>
      <w:r>
        <w:rPr>
          <w:lang w:val="fr-FR"/>
        </w:rPr>
        <w:t>60.</w:t>
      </w:r>
      <w:r>
        <w:rPr>
          <w:lang w:val="fr-FR"/>
        </w:rPr>
        <w:tab/>
        <w:t xml:space="preserve">En ce qui concerne le principe de la </w:t>
      </w:r>
      <w:proofErr w:type="spellStart"/>
      <w:r>
        <w:rPr>
          <w:lang w:val="fr-FR"/>
        </w:rPr>
        <w:t>non</w:t>
      </w:r>
      <w:r>
        <w:rPr>
          <w:lang w:val="fr-FR"/>
        </w:rPr>
        <w:noBreakHyphen/>
        <w:t>discrimination</w:t>
      </w:r>
      <w:proofErr w:type="spellEnd"/>
      <w:r>
        <w:rPr>
          <w:lang w:val="fr-FR"/>
        </w:rPr>
        <w:t xml:space="preserve">, il y a lieu de noter que l’article 14 de la Constitution géorgienne stipule que tous les êtres humains sont nés libres et égaux devant la loi, sans distinction de race, de couleur, de langue, de sexe, de religion, de conviction politique et autre, d’appartenance nationale, ethnique et sociale, d’origine, de fortune, de rang social ou de lieu de résidence. </w:t>
      </w:r>
    </w:p>
    <w:p w:rsidR="00000000" w:rsidRDefault="00000000">
      <w:pPr>
        <w:spacing w:after="240"/>
        <w:rPr>
          <w:lang w:val="fr-FR"/>
        </w:rPr>
      </w:pPr>
      <w:r>
        <w:rPr>
          <w:lang w:val="fr-FR"/>
        </w:rPr>
        <w:t>61.</w:t>
      </w:r>
      <w:r>
        <w:rPr>
          <w:lang w:val="fr-FR"/>
        </w:rPr>
        <w:tab/>
        <w:t xml:space="preserve">En vertu de la Constitution, les citoyens géorgiens jouissent de droits égaux dans la vie sociale, économique, culturelle et politique du pays, quelles que soient leur langue ou leur appartenance nationale, ethnique ou religieuse. En accord avec les principes et les normes universellement reconnus du droit international, ils sont au regard de la loi libres de développer leur propre culture et de parler leur langue maternelle en privé comme en public, sans discrimination ou immixtion d’aucune sorte (art. 38, par. 1). </w:t>
      </w:r>
    </w:p>
    <w:p w:rsidR="00000000" w:rsidRDefault="00000000">
      <w:pPr>
        <w:spacing w:after="240"/>
        <w:rPr>
          <w:lang w:val="fr-FR"/>
        </w:rPr>
      </w:pPr>
      <w:r>
        <w:rPr>
          <w:lang w:val="fr-FR"/>
        </w:rPr>
        <w:t>62.</w:t>
      </w:r>
      <w:r>
        <w:rPr>
          <w:lang w:val="fr-FR"/>
        </w:rPr>
        <w:tab/>
        <w:t xml:space="preserve">En vertu du paragraphe 2 de l’article 85 de la Constitution, dans les zones où la population ne parle pas la langue de l’État, ce dernier doit assurer dans cette langue un enseignement et des explications des questions relatives aux procédures légales. </w:t>
      </w:r>
    </w:p>
    <w:p w:rsidR="00000000" w:rsidRDefault="00000000">
      <w:pPr>
        <w:spacing w:after="240"/>
        <w:rPr>
          <w:sz w:val="22"/>
          <w:lang w:val="fr-FR"/>
        </w:rPr>
      </w:pPr>
      <w:r>
        <w:rPr>
          <w:lang w:val="fr-FR"/>
        </w:rPr>
        <w:t>63.</w:t>
      </w:r>
      <w:r>
        <w:rPr>
          <w:lang w:val="fr-FR"/>
        </w:rPr>
        <w:tab/>
        <w:t xml:space="preserve">La Constitution exige le respect du principe de </w:t>
      </w:r>
      <w:proofErr w:type="spellStart"/>
      <w:r>
        <w:rPr>
          <w:lang w:val="fr-FR"/>
        </w:rPr>
        <w:t>non</w:t>
      </w:r>
      <w:r>
        <w:rPr>
          <w:lang w:val="fr-FR"/>
        </w:rPr>
        <w:noBreakHyphen/>
        <w:t>discrimination</w:t>
      </w:r>
      <w:proofErr w:type="spellEnd"/>
      <w:r>
        <w:rPr>
          <w:lang w:val="fr-FR"/>
        </w:rPr>
        <w:t xml:space="preserve"> en ce qui concerne également les </w:t>
      </w:r>
      <w:proofErr w:type="spellStart"/>
      <w:r>
        <w:rPr>
          <w:lang w:val="fr-FR"/>
        </w:rPr>
        <w:t>non</w:t>
      </w:r>
      <w:r>
        <w:rPr>
          <w:lang w:val="fr-FR"/>
        </w:rPr>
        <w:noBreakHyphen/>
        <w:t>citoyens</w:t>
      </w:r>
      <w:proofErr w:type="spellEnd"/>
      <w:r>
        <w:rPr>
          <w:lang w:val="fr-FR"/>
        </w:rPr>
        <w:t>; les étrangers et les apatrides qui vivent en Géorgie ont les mêmes droits et les mêmes obligations que les citoyens géorgiens sauf disposition contraire de la Constitution et des lois (art. 47, par</w:t>
      </w:r>
      <w:r>
        <w:rPr>
          <w:sz w:val="22"/>
          <w:lang w:val="fr-FR"/>
        </w:rPr>
        <w:t xml:space="preserve"> 1). </w:t>
      </w:r>
    </w:p>
    <w:p w:rsidR="00000000" w:rsidRDefault="00000000">
      <w:pPr>
        <w:spacing w:after="240"/>
        <w:rPr>
          <w:lang w:val="fr-FR"/>
        </w:rPr>
      </w:pPr>
      <w:r>
        <w:rPr>
          <w:lang w:val="fr-FR"/>
        </w:rPr>
        <w:t>64.</w:t>
      </w:r>
      <w:r>
        <w:rPr>
          <w:lang w:val="fr-FR"/>
        </w:rPr>
        <w:tab/>
        <w:t xml:space="preserve">Une des exceptions prévues dans la Constitution a trait au pouvoir qu’a l’État d’imposer des restrictions à l’activité politique des étrangers et des apatrides (art. 27) et ne concerne pas les enfants. </w:t>
      </w:r>
    </w:p>
    <w:p w:rsidR="00000000" w:rsidRDefault="00000000">
      <w:pPr>
        <w:spacing w:after="240"/>
        <w:rPr>
          <w:lang w:val="fr-FR"/>
        </w:rPr>
      </w:pPr>
      <w:r>
        <w:rPr>
          <w:lang w:val="fr-FR"/>
        </w:rPr>
        <w:t>65.</w:t>
      </w:r>
      <w:r>
        <w:rPr>
          <w:lang w:val="fr-FR"/>
        </w:rPr>
        <w:tab/>
        <w:t xml:space="preserve">En juin 2003, le Parlement a adopté un amendement au Code pénal consistant à ajouter un nouvel article (art. 142, Discrimination raciale). Cet article contient une définition de la discrimination qui est conforme à l’interprétation de ce terme dans la Convention internationale sur l’élimination de toutes les formes de discrimination raciale. Il rend le délit de discrimination raciale passible de peines de prison allant de trois à dix ans, selon qu’il y a ou non des circonstances aggravantes. </w:t>
      </w:r>
    </w:p>
    <w:p w:rsidR="00000000" w:rsidRDefault="00000000">
      <w:pPr>
        <w:spacing w:after="240"/>
        <w:rPr>
          <w:lang w:val="fr-FR"/>
        </w:rPr>
      </w:pPr>
      <w:r>
        <w:rPr>
          <w:lang w:val="fr-FR"/>
        </w:rPr>
        <w:t>66.</w:t>
      </w:r>
      <w:r>
        <w:rPr>
          <w:lang w:val="fr-FR"/>
        </w:rPr>
        <w:tab/>
        <w:t xml:space="preserve">Le 19 mars 2005, le Parlement a ratifié la Convention internationale sur l’élimination et la répression du crime d’apartheid. </w:t>
      </w:r>
    </w:p>
    <w:p w:rsidR="00000000" w:rsidRDefault="00000000">
      <w:pPr>
        <w:spacing w:after="240"/>
        <w:rPr>
          <w:lang w:val="fr-FR"/>
        </w:rPr>
      </w:pPr>
      <w:r>
        <w:rPr>
          <w:lang w:val="fr-FR"/>
        </w:rPr>
        <w:t>67.</w:t>
      </w:r>
      <w:r>
        <w:rPr>
          <w:lang w:val="fr-FR"/>
        </w:rPr>
        <w:tab/>
        <w:t xml:space="preserve">Dans ses observations finales, le Comité demande à la Géorgie de fournir des renseignements précis sur les mesures et programmes en relation avec la Convention mis en œuvre par l’État partie pour donner effet à la Déclaration et au Programme d’action adoptés en 2001 par la Conférence mondiale contre le racisme, la discrimination raciale, la xénophobie et l’intolérance qui y est associée, et compte tenu de l’Observation générale </w:t>
      </w:r>
      <w:r>
        <w:rPr>
          <w:rFonts w:eastAsia="MS Mincho"/>
          <w:lang w:val="fr-FR"/>
        </w:rPr>
        <w:t>n</w:t>
      </w:r>
      <w:r>
        <w:rPr>
          <w:rFonts w:eastAsia="MS Mincho"/>
          <w:vertAlign w:val="superscript"/>
          <w:lang w:val="fr-FR"/>
        </w:rPr>
        <w:t>o</w:t>
      </w:r>
      <w:r>
        <w:rPr>
          <w:lang w:val="fr-FR"/>
        </w:rPr>
        <w:t xml:space="preserve"> 1 sur le paragraphe 1 de l’article 29 de la Convention (Buts de l’éducation). </w:t>
      </w:r>
    </w:p>
    <w:p w:rsidR="00000000" w:rsidRDefault="00000000">
      <w:pPr>
        <w:spacing w:after="240"/>
        <w:rPr>
          <w:lang w:val="fr-FR"/>
        </w:rPr>
      </w:pPr>
      <w:r>
        <w:rPr>
          <w:lang w:val="fr-FR"/>
        </w:rPr>
        <w:t>68.</w:t>
      </w:r>
      <w:r>
        <w:rPr>
          <w:lang w:val="fr-FR"/>
        </w:rPr>
        <w:tab/>
        <w:t xml:space="preserve">À propos de cette observation, il y a lieu de se référer aux deuxième et troisième rapports périodiques de la Géorgie (CERD/C/461/Add.1) sur l’application de la Convention internationale sur l’élimination de toutes les formes de discrimination raciale. D’autres informations sur ces questions sont présentées </w:t>
      </w:r>
      <w:proofErr w:type="spellStart"/>
      <w:r>
        <w:rPr>
          <w:lang w:val="fr-FR"/>
        </w:rPr>
        <w:t>ci</w:t>
      </w:r>
      <w:r>
        <w:rPr>
          <w:lang w:val="fr-FR"/>
        </w:rPr>
        <w:noBreakHyphen/>
        <w:t>après</w:t>
      </w:r>
      <w:proofErr w:type="spellEnd"/>
      <w:r>
        <w:rPr>
          <w:lang w:val="fr-FR"/>
        </w:rPr>
        <w:t xml:space="preserve">. </w:t>
      </w:r>
    </w:p>
    <w:p w:rsidR="00000000" w:rsidRDefault="00000000">
      <w:pPr>
        <w:spacing w:after="240"/>
        <w:rPr>
          <w:lang w:val="fr-FR"/>
        </w:rPr>
      </w:pPr>
      <w:r>
        <w:rPr>
          <w:lang w:val="fr-FR"/>
        </w:rPr>
        <w:t>69.</w:t>
      </w:r>
      <w:r>
        <w:rPr>
          <w:lang w:val="fr-FR"/>
        </w:rPr>
        <w:tab/>
        <w:t xml:space="preserve">En novembre 2005, le Parlement a approuvé un document intitulé «Concept pour les droits de l’homme et l’intégration des minorités nationales», qui vise à assurer une participation plus active des minorités nationales vivant de manière permanente en Géorgie, particulièrement là où elles sont nombreuses, dans tous les domaines de la vie politique, économique et culturelle. </w:t>
      </w:r>
    </w:p>
    <w:p w:rsidR="00000000" w:rsidRDefault="00000000">
      <w:pPr>
        <w:spacing w:after="240"/>
        <w:rPr>
          <w:lang w:val="fr-FR"/>
        </w:rPr>
      </w:pPr>
      <w:r>
        <w:rPr>
          <w:lang w:val="fr-FR"/>
        </w:rPr>
        <w:t>70.</w:t>
      </w:r>
      <w:r>
        <w:rPr>
          <w:lang w:val="fr-FR"/>
        </w:rPr>
        <w:tab/>
        <w:t xml:space="preserve">En octobre 2005, le Parlement a ratifié la </w:t>
      </w:r>
      <w:proofErr w:type="spellStart"/>
      <w:r>
        <w:rPr>
          <w:lang w:val="fr-FR"/>
        </w:rPr>
        <w:t>Convention</w:t>
      </w:r>
      <w:r>
        <w:rPr>
          <w:lang w:val="fr-FR"/>
        </w:rPr>
        <w:noBreakHyphen/>
        <w:t>cadre</w:t>
      </w:r>
      <w:proofErr w:type="spellEnd"/>
      <w:r>
        <w:rPr>
          <w:lang w:val="fr-FR"/>
        </w:rPr>
        <w:t xml:space="preserve"> pour la protection des minorités nationales du Conseil de l’Europe. En avril 2007, la Géorgie présentera au Conseil son rapport initial sur l’application de cette convention. Une procédure interne est en cours pour signer et ratifier la Charte européenne des langues régionales et minoritaires. </w:t>
      </w:r>
    </w:p>
    <w:p w:rsidR="00000000" w:rsidRDefault="00000000">
      <w:pPr>
        <w:spacing w:after="240"/>
        <w:rPr>
          <w:lang w:val="fr-FR"/>
        </w:rPr>
      </w:pPr>
      <w:r>
        <w:rPr>
          <w:lang w:val="fr-FR"/>
        </w:rPr>
        <w:t>71.</w:t>
      </w:r>
      <w:r>
        <w:rPr>
          <w:lang w:val="fr-FR"/>
        </w:rPr>
        <w:tab/>
        <w:t>En 2004, le Ministère de l’éducation et des sciences a approuvé le programme d’intégration civile pour garantir aux minorités nationales le droit d’utiliser leur langue maternelle et de jouir de leur propre culture, et pour leur donner la possibilité d’apprendre la langue officielle du pays. Ce programme, qui comprend plusieurs éléments (analyse de la situation des écoles non géorgiennes, élaboration de nouveaux programmes d’enseignement et organisation de la formation des enseignants, création d’un système d’évaluation de l’enseignement et des connaissances, lancement d’un programme de partenariats scolaires, etc.), vise à promouvoir le processus d’intégration sociale et à accroître l’intérêt du public par l’enseignement de la langue de l’État à tous les citoyens géorgiens. À ces fins, au cours de la période considérée, le Ministère a dépensé annuellement environ 1,8 million de </w:t>
      </w:r>
      <w:proofErr w:type="spellStart"/>
      <w:r>
        <w:rPr>
          <w:lang w:val="fr-FR"/>
        </w:rPr>
        <w:t>lari</w:t>
      </w:r>
      <w:proofErr w:type="spellEnd"/>
      <w:r>
        <w:rPr>
          <w:lang w:val="fr-FR"/>
        </w:rPr>
        <w:t xml:space="preserve">. </w:t>
      </w:r>
    </w:p>
    <w:p w:rsidR="00000000" w:rsidRDefault="00000000">
      <w:pPr>
        <w:spacing w:after="240"/>
      </w:pPr>
      <w:r>
        <w:t>72.</w:t>
      </w:r>
      <w:r>
        <w:tab/>
        <w:t xml:space="preserve">Avec l’assistance financière du </w:t>
      </w:r>
      <w:proofErr w:type="spellStart"/>
      <w:r>
        <w:t>Haut</w:t>
      </w:r>
      <w:r>
        <w:noBreakHyphen/>
        <w:t>Commissaire</w:t>
      </w:r>
      <w:proofErr w:type="spellEnd"/>
      <w:r>
        <w:t xml:space="preserve"> aux minorités nationales de l’OSCE, en 2005</w:t>
      </w:r>
      <w:r>
        <w:noBreakHyphen/>
        <w:t xml:space="preserve">2006, le Ministère de l’éducation et des sciences a mis en œuvre un programme dans le cadre duquel ont été élaborées de nouvelles normes pour l’enseignement de la langue et de la littérature géorgiennes. Tous les enseignants de langue et de littérature géorgiennes des écoles de </w:t>
      </w:r>
      <w:proofErr w:type="spellStart"/>
      <w:r>
        <w:t>Samtskhe</w:t>
      </w:r>
      <w:r>
        <w:noBreakHyphen/>
        <w:t>Javakheti</w:t>
      </w:r>
      <w:proofErr w:type="spellEnd"/>
      <w:r>
        <w:t xml:space="preserve"> (région où la minorité arménienne est nombreuse) ont suivi une nouvelle formation pour acquérir de nouvelles méthodes d’enseignement des langues. Certains de ces enseignants ont reçu une formation de formateur pour apporter l’encadrement technique requis à leurs collègues. En outre, ce programme inclut des activités de promotion de l’enseignement de l’arménien comme langue maternelle dans les écoles arméniennes de la région. Depuis mai 2006, un élément de programme similaire a été mis en place à l’appui de l’enseignement des langues géorgienne et azerbaïdjanaise dans les écoles de </w:t>
      </w:r>
      <w:proofErr w:type="spellStart"/>
      <w:r>
        <w:t>Kvemo</w:t>
      </w:r>
      <w:proofErr w:type="spellEnd"/>
      <w:r>
        <w:t> </w:t>
      </w:r>
      <w:proofErr w:type="spellStart"/>
      <w:r>
        <w:t>Kartli</w:t>
      </w:r>
      <w:proofErr w:type="spellEnd"/>
      <w:r>
        <w:t>, région où la minorité azerbaïdjanaise est nombreuse.</w:t>
      </w:r>
    </w:p>
    <w:p w:rsidR="00000000" w:rsidRDefault="00000000">
      <w:pPr>
        <w:spacing w:after="240"/>
      </w:pPr>
      <w:r>
        <w:t>73.</w:t>
      </w:r>
      <w:r>
        <w:tab/>
        <w:t xml:space="preserve">Outre ce qui précède, il y a lieu de mentionner que, dans le cadre de la fourniture de manuels aux écoles non géorgiennes, tous les enseignants et élèves de ces écoles ont reçu un exemplaire gratuit de la première partie du manuel de géorgien intitulé </w:t>
      </w:r>
      <w:proofErr w:type="spellStart"/>
      <w:r>
        <w:rPr>
          <w:i/>
          <w:iCs/>
        </w:rPr>
        <w:t>Tavtavi</w:t>
      </w:r>
      <w:proofErr w:type="spellEnd"/>
      <w:r>
        <w:t>, et qu’ils en recevront la deuxième partie en septembre 2006.</w:t>
      </w:r>
    </w:p>
    <w:p w:rsidR="00000000" w:rsidRDefault="00000000">
      <w:pPr>
        <w:spacing w:after="240"/>
      </w:pPr>
      <w:r>
        <w:t>74.</w:t>
      </w:r>
      <w:r>
        <w:tab/>
        <w:t>En 2005, des examens nationaux d’admission uniformisés ont eu lieu pour la première fois en Géorgie afin d’assurer un accès égal à l’éducation; ils offrent à tous les candidats des chances égales. Grâce à ce nouveau système, le cercle vicieux d’une corruption systémique a été transformé en un cercle vertueux de méritocratie et les élèves de la nouvelle génération qui obtiennent vraiment par le mérite leur place dans les établissements d’enseignement supérieur de Géorgie deviendront des partenaires et des consommateurs constructifs des connaissances et des services offerts par ces établissements qui ont été modernisés.</w:t>
      </w:r>
    </w:p>
    <w:p w:rsidR="00000000" w:rsidRDefault="00000000">
      <w:pPr>
        <w:spacing w:after="240"/>
      </w:pPr>
      <w:r>
        <w:t>75.</w:t>
      </w:r>
      <w:r>
        <w:tab/>
        <w:t xml:space="preserve">Afin d’assurer des conditions semblables à tous les candidats, certaines mesures spéciales sont appliquées. En particulier, le Ministère de l’éducation et des sciences met en œuvre un programme de préparation aux examens nationaux uniformisés d’admission à l’université. Dans le cadre de ce programme, des cours de préparation sont dispensés aux groupes suivants de candidats: a) les personnes qui résident dans les zones en proie au conflit; b) les membres des minorités nationales vivant dans des régions où la population minoritaire est nombreuse; c) les personnes vivant dans des zones montagneuses et éloignées; d) les enfants de personnes disparues ou tuées dans la défense de l’intégrité territoriale de la Géorgie; e) les descendants de personnes déportées de </w:t>
      </w:r>
      <w:proofErr w:type="spellStart"/>
      <w:r>
        <w:t>Samtskhe</w:t>
      </w:r>
      <w:r>
        <w:noBreakHyphen/>
        <w:t>Javakheti</w:t>
      </w:r>
      <w:proofErr w:type="spellEnd"/>
      <w:r>
        <w:t xml:space="preserve"> durant la période soviétique; et f) les Géorgiens de souche qui sont des ressortissants étrangers.</w:t>
      </w:r>
    </w:p>
    <w:p w:rsidR="00000000" w:rsidRDefault="00000000">
      <w:pPr>
        <w:keepNext/>
        <w:spacing w:after="240"/>
        <w:jc w:val="center"/>
        <w:rPr>
          <w:b/>
          <w:bCs/>
        </w:rPr>
      </w:pPr>
      <w:r>
        <w:rPr>
          <w:b/>
          <w:bCs/>
        </w:rPr>
        <w:t>B.  Intérêt supérieur de l’enfant (art. 3)</w:t>
      </w:r>
    </w:p>
    <w:p w:rsidR="00000000" w:rsidRDefault="00000000">
      <w:pPr>
        <w:spacing w:after="240"/>
      </w:pPr>
      <w:r>
        <w:t>76.</w:t>
      </w:r>
      <w:r>
        <w:tab/>
        <w:t>Les renseignements figurant dans le rapport initial présenté en vertu de la Convention (par. 65 à 67) restent valables. Des informations plus précises sur les mesures concrètes prises pour assurer le respect de l’intérêt supérieur de l’enfant sont données dans les sections pertinentes du présent rapport.</w:t>
      </w:r>
    </w:p>
    <w:p w:rsidR="00000000" w:rsidRDefault="00000000">
      <w:pPr>
        <w:keepNext/>
        <w:spacing w:after="240"/>
        <w:jc w:val="center"/>
        <w:rPr>
          <w:b/>
          <w:bCs/>
        </w:rPr>
      </w:pPr>
      <w:r>
        <w:rPr>
          <w:b/>
          <w:bCs/>
        </w:rPr>
        <w:t>C.  Droit à la vie, à la survie et au développement (art. 6)</w:t>
      </w:r>
    </w:p>
    <w:p w:rsidR="00000000" w:rsidRDefault="00000000">
      <w:pPr>
        <w:spacing w:after="240"/>
      </w:pPr>
      <w:r>
        <w:t>77.</w:t>
      </w:r>
      <w:r>
        <w:tab/>
        <w:t xml:space="preserve">Le Comité est également invité à consulter le troisième rapport périodique de la Géorgie sur l’application du Pacte </w:t>
      </w:r>
      <w:r>
        <w:rPr>
          <w:rFonts w:eastAsia="MS Mincho"/>
        </w:rPr>
        <w:t>international</w:t>
      </w:r>
      <w:r>
        <w:t xml:space="preserve"> relatif aux droits civils et </w:t>
      </w:r>
      <w:r>
        <w:rPr>
          <w:rFonts w:eastAsia="MS Mincho"/>
        </w:rPr>
        <w:t>politique</w:t>
      </w:r>
      <w:r>
        <w:t>s, en particulier la section relative à l’exercice du droit à la vie (par. 66 à 81).</w:t>
      </w:r>
    </w:p>
    <w:p w:rsidR="00000000" w:rsidRDefault="00000000">
      <w:pPr>
        <w:keepNext/>
        <w:spacing w:after="240"/>
        <w:jc w:val="center"/>
        <w:rPr>
          <w:b/>
          <w:bCs/>
        </w:rPr>
      </w:pPr>
      <w:r>
        <w:rPr>
          <w:b/>
          <w:bCs/>
        </w:rPr>
        <w:t>D.  Respect des opinions de l’enfant (art. 12)</w:t>
      </w:r>
    </w:p>
    <w:p w:rsidR="00000000" w:rsidRDefault="00000000">
      <w:pPr>
        <w:spacing w:after="240"/>
      </w:pPr>
      <w:r>
        <w:t>78.</w:t>
      </w:r>
      <w:r>
        <w:tab/>
        <w:t xml:space="preserve">Le Comité recommande à l’État partie de continuer à promouvoir le respect des opinions de l’enfant au sein de la famille, à l’école, dans les institutions ainsi que dans le cadre des procédures judiciaires et administratives, et à faciliter la participation de l’enfant pour toute question l’intéressant, conformément à l’article 12 de la Convention. Il encourage en outre l’État partie à donner aux parents, aux enseignants, aux fonctionnaires, aux membres du corps judiciaire, aux enfants </w:t>
      </w:r>
      <w:proofErr w:type="spellStart"/>
      <w:r>
        <w:t>eux</w:t>
      </w:r>
      <w:r>
        <w:noBreakHyphen/>
        <w:t>mêmes</w:t>
      </w:r>
      <w:proofErr w:type="spellEnd"/>
      <w:r>
        <w:t xml:space="preserve"> et à la société dans son ensemble des informations à caractère éducatif sur cette question.</w:t>
      </w:r>
    </w:p>
    <w:p w:rsidR="00000000" w:rsidRDefault="00000000">
      <w:pPr>
        <w:spacing w:after="240"/>
      </w:pPr>
      <w:r>
        <w:t>79.</w:t>
      </w:r>
      <w:r>
        <w:tab/>
        <w:t>En vertu de l’article 10 de la loi sur l’enseignement général, adoptée en 2005, tout élève, parent ou enseignant a le droit d’être informé de ses droits et libertés et des motifs justifiant leur restriction. Si les droits et libertés de ces personnes doivent être restreints, l’école a l’obligation de faire connaître les motifs de cette mesure aux intéressés en temps voulu.</w:t>
      </w:r>
    </w:p>
    <w:p w:rsidR="00000000" w:rsidRDefault="00000000">
      <w:pPr>
        <w:spacing w:after="240"/>
      </w:pPr>
      <w:r>
        <w:t>80.</w:t>
      </w:r>
      <w:r>
        <w:tab/>
        <w:t>L’article 11 de cette même loi stipule que tout élève, parent ou enseignant a le droit de participer à la gestion de l’école, personnellement ou par l’intermédiaire d’un représentant désigné, ainsi que de recevoir toutes les informations dont dispose l’école autres que celles contenant des données personnelles confidentielles. Tout élève, parent ou enseignant a la possibilité de participer, personnellement ou par l’intermédiaire d’un représentant, aux auditions ou procédures portant sur une question le concernant, et d’exprimer son opinion sur les décisions des autorités scolaires. Dans l’application de toute mesure, l’intérêt supérieur de l’enfant doit être pris en compte.</w:t>
      </w:r>
    </w:p>
    <w:p w:rsidR="00000000" w:rsidRDefault="00000000">
      <w:pPr>
        <w:spacing w:after="240"/>
      </w:pPr>
      <w:r>
        <w:t>81.</w:t>
      </w:r>
      <w:r>
        <w:tab/>
        <w:t>En outre, en vertu des articles 47 et 48 de la loi sur l’enseignement général et conformément au règlement des écoles, les élèves prennent part directement à l’administration de leur établissement par l’intermédiaire d’un conseil, qui est un organe institutionnel de l’école. Ce conseil d’élèves et son président sont élus par les élèves des niveaux primaire et secondaire.</w:t>
      </w:r>
    </w:p>
    <w:p w:rsidR="00000000" w:rsidRDefault="00000000">
      <w:pPr>
        <w:spacing w:after="240"/>
      </w:pPr>
      <w:r>
        <w:t>82.</w:t>
      </w:r>
      <w:r>
        <w:tab/>
        <w:t>Le rôle du conseil d’élèves est le suivant:</w:t>
      </w:r>
    </w:p>
    <w:p w:rsidR="00000000" w:rsidRDefault="00000000">
      <w:pPr>
        <w:spacing w:after="240"/>
        <w:ind w:firstLine="567"/>
      </w:pPr>
      <w:r>
        <w:t>a)</w:t>
      </w:r>
      <w:r>
        <w:tab/>
        <w:t>Élaborer des recommandations relatives au règlement intérieur de l’école;</w:t>
      </w:r>
    </w:p>
    <w:p w:rsidR="00000000" w:rsidRDefault="00000000">
      <w:pPr>
        <w:spacing w:after="240"/>
        <w:ind w:firstLine="567"/>
      </w:pPr>
      <w:r>
        <w:t>b)</w:t>
      </w:r>
      <w:r>
        <w:tab/>
        <w:t>Faire des propositions sur toutes les questions de caractère scolaire au conseil d’administration (qui est l’organe représentatif suprême chargé de la gestion d’un établissement scolaire);</w:t>
      </w:r>
    </w:p>
    <w:p w:rsidR="00000000" w:rsidRDefault="00000000">
      <w:pPr>
        <w:spacing w:after="240"/>
        <w:ind w:firstLine="567"/>
      </w:pPr>
      <w:r>
        <w:t>c)</w:t>
      </w:r>
      <w:r>
        <w:tab/>
        <w:t>Élire son représentant au conseil d’administration;</w:t>
      </w:r>
    </w:p>
    <w:p w:rsidR="00000000" w:rsidRDefault="00000000">
      <w:pPr>
        <w:spacing w:after="240"/>
        <w:ind w:firstLine="567"/>
      </w:pPr>
      <w:r>
        <w:t>d)</w:t>
      </w:r>
      <w:r>
        <w:tab/>
        <w:t>Participer à l’attribution de bourses dans le cadre prévu par la législation et le règlement scolaire;</w:t>
      </w:r>
    </w:p>
    <w:p w:rsidR="00000000" w:rsidRDefault="00000000">
      <w:pPr>
        <w:spacing w:after="240"/>
        <w:ind w:firstLine="567"/>
      </w:pPr>
      <w:r>
        <w:t>e)</w:t>
      </w:r>
      <w:r>
        <w:tab/>
        <w:t>Créer des associations scolaires à l’initiative d’un tiers de ses membres.</w:t>
      </w:r>
    </w:p>
    <w:p w:rsidR="00000000" w:rsidRDefault="00000000">
      <w:pPr>
        <w:spacing w:after="240"/>
      </w:pPr>
      <w:r>
        <w:t>83.</w:t>
      </w:r>
      <w:r>
        <w:tab/>
        <w:t xml:space="preserve">Selon les informations communiquées par le Bureau du Procureur général de Géorgie, la législation pénale donne la possibilité à toute personne, y compris de moins de 18 ans, de présenter aux organes chargés de l’application des lois des informations sur la commission d’infractions pénales, sur la base desquelles les organes compétents sont tenus d’ouvrir une enquête. Ainsi, tout enfant a le droit de dénoncer </w:t>
      </w:r>
      <w:proofErr w:type="spellStart"/>
      <w:r>
        <w:t>lui</w:t>
      </w:r>
      <w:r>
        <w:noBreakHyphen/>
        <w:t>même</w:t>
      </w:r>
      <w:proofErr w:type="spellEnd"/>
      <w:r>
        <w:t xml:space="preserve"> la violation de ses droits sans l’intervention d’une autre personne. Il a la faculté de porter plainte pour tout fait affectant d’une manière ou d’une autre les droits et intérêts légaux qui lui sont reconnus par le droit géorgien.</w:t>
      </w:r>
    </w:p>
    <w:p w:rsidR="00000000" w:rsidRDefault="00000000">
      <w:pPr>
        <w:spacing w:after="240"/>
      </w:pPr>
      <w:r>
        <w:t>84.</w:t>
      </w:r>
      <w:r>
        <w:tab/>
        <w:t>En outre, le droit géorgien reconnaît aux mineurs le droit de s’exprimer librement pendant la procédure pénale. En vertu de la législation pénale, un mineur peut être entendu sous réserve qu’il ait la capacité de donner des informations, verbalement ou sous une autre forme, qui soient pertinentes en l’espèce. L’audition d’un mineur doit avoir lieu en présence d’un enseignant ou d’un représentant légal et, si le mineur a moins de 7 ans, avec le consentement écrit d’un parent ou d’un tuteur ou de tout autre représentant légal</w:t>
      </w:r>
      <w:r>
        <w:rPr>
          <w:rStyle w:val="FootnoteReference"/>
        </w:rPr>
        <w:footnoteReference w:id="7"/>
      </w:r>
      <w:r>
        <w:t>. Par ailleurs, l’audition des mineurs doit se faire en présence d’un  avocat; le responsable de l’enquête peut procéder à l’audition d’un mineur en l’absence d’un enseignant ou d’un représentant légal si la présence de ces personnes risque de porter atteinte aux intérêts juridiques du mineur. Un mineur prévenu peut être entendu par son avocat ou son représentant légal; l’audition ne doit pas durer plus de deux heures</w:t>
      </w:r>
      <w:r>
        <w:rPr>
          <w:rStyle w:val="FootnoteReference"/>
        </w:rPr>
        <w:footnoteReference w:id="8"/>
      </w:r>
      <w:r>
        <w:t>. Le fait qu’un mineur de moins de 14 ans entendu comme témoin refuse ou évite de témoigner ou fait un faux témoignage ne peut engager sa responsabilité pénale; le témoignage d’un mineur de moins de 16 ans doit être recueilli en dehors de la salle d’audience, à moins que le tribunal n’en décide autrement</w:t>
      </w:r>
      <w:r>
        <w:rPr>
          <w:rStyle w:val="FootnoteReference"/>
        </w:rPr>
        <w:footnoteReference w:id="9"/>
      </w:r>
      <w:r>
        <w:t>.</w:t>
      </w:r>
    </w:p>
    <w:p w:rsidR="00000000" w:rsidRDefault="00000000">
      <w:pPr>
        <w:spacing w:after="240"/>
      </w:pPr>
      <w:r>
        <w:t>85.</w:t>
      </w:r>
      <w:r>
        <w:tab/>
        <w:t>Lorsqu’un mineur est entendu par un organe chargé d’une enquête pénale, son droit d’exprimer son opinion librement et en toute indépendance, sans immixtion de ses parents, de ses enseignants ou de ses représentants légaux est garanti. Le système juridique géorgien assure donc, dans le cadre de la procédure, des conditions favorables grâce auxquelles le mineur est en mesure de s’exprimer librement.</w:t>
      </w:r>
    </w:p>
    <w:p w:rsidR="00000000" w:rsidRDefault="00000000">
      <w:pPr>
        <w:keepNext/>
        <w:spacing w:after="240"/>
        <w:jc w:val="center"/>
        <w:rPr>
          <w:b/>
          <w:bCs/>
          <w:lang w:val="fr-FR"/>
        </w:rPr>
      </w:pPr>
      <w:r>
        <w:rPr>
          <w:b/>
          <w:bCs/>
          <w:lang w:val="fr-FR"/>
        </w:rPr>
        <w:t>V.  DROITS ET LIBERTÉS CIVILS</w:t>
      </w:r>
    </w:p>
    <w:p w:rsidR="00000000" w:rsidRDefault="00000000">
      <w:pPr>
        <w:keepNext/>
        <w:spacing w:after="240"/>
        <w:jc w:val="center"/>
        <w:rPr>
          <w:b/>
          <w:bCs/>
          <w:lang w:val="fr-FR"/>
        </w:rPr>
      </w:pPr>
      <w:r>
        <w:rPr>
          <w:b/>
          <w:bCs/>
          <w:lang w:val="fr-FR"/>
        </w:rPr>
        <w:t>A.  Nom et nationalité (art. 7)</w:t>
      </w:r>
    </w:p>
    <w:p w:rsidR="00000000" w:rsidRDefault="00000000">
      <w:pPr>
        <w:spacing w:after="240"/>
        <w:rPr>
          <w:lang w:val="fr-FR"/>
        </w:rPr>
      </w:pPr>
      <w:r>
        <w:rPr>
          <w:lang w:val="fr-FR"/>
        </w:rPr>
        <w:t>86.</w:t>
      </w:r>
      <w:r>
        <w:rPr>
          <w:lang w:val="fr-FR"/>
        </w:rPr>
        <w:tab/>
        <w:t>Dans ses observations finales, le Comité recommande à l’État partie de prendre les mesures nécessaires pour faciliter l’enregistrement des naissances des enfants en situation difficile et pour assurer la gratuité totale de l’enregistrement des naissances.</w:t>
      </w:r>
    </w:p>
    <w:p w:rsidR="00000000" w:rsidRDefault="00000000">
      <w:pPr>
        <w:spacing w:after="240"/>
        <w:rPr>
          <w:lang w:val="fr-FR"/>
        </w:rPr>
      </w:pPr>
      <w:r>
        <w:rPr>
          <w:lang w:val="fr-FR"/>
        </w:rPr>
        <w:t>87.</w:t>
      </w:r>
      <w:r>
        <w:rPr>
          <w:lang w:val="fr-FR"/>
        </w:rPr>
        <w:tab/>
        <w:t>En juin 2004, la loi sur les droits prélevés par l’État a été modifiée afin de rendre gratuit l’enregistrement des naissances, des reconnaissances de paternité et des adoptions, ainsi que la délivrance des certificats y relatifs.</w:t>
      </w:r>
    </w:p>
    <w:p w:rsidR="00000000" w:rsidRDefault="00000000">
      <w:pPr>
        <w:keepNext/>
        <w:spacing w:after="240"/>
        <w:jc w:val="center"/>
        <w:rPr>
          <w:b/>
          <w:bCs/>
          <w:lang w:val="fr-FR"/>
        </w:rPr>
      </w:pPr>
      <w:r>
        <w:rPr>
          <w:b/>
          <w:bCs/>
          <w:lang w:val="fr-FR"/>
        </w:rPr>
        <w:t>B.  Préservation de l’identité (art. 8)</w:t>
      </w:r>
    </w:p>
    <w:p w:rsidR="00000000" w:rsidRDefault="00000000">
      <w:pPr>
        <w:spacing w:after="240"/>
        <w:rPr>
          <w:lang w:val="fr-FR"/>
        </w:rPr>
      </w:pPr>
      <w:r>
        <w:rPr>
          <w:lang w:val="fr-FR"/>
        </w:rPr>
        <w:t>88.</w:t>
      </w:r>
      <w:r>
        <w:rPr>
          <w:lang w:val="fr-FR"/>
        </w:rPr>
        <w:tab/>
        <w:t>Les renseignements fournis dans le rapport initial de la Géorgie présenté au titre de la Convention (par. 83 et 84) restent valables.</w:t>
      </w:r>
    </w:p>
    <w:p w:rsidR="00000000" w:rsidRDefault="00000000">
      <w:pPr>
        <w:keepNext/>
        <w:spacing w:after="240"/>
        <w:jc w:val="center"/>
        <w:rPr>
          <w:b/>
          <w:bCs/>
          <w:lang w:val="fr-FR"/>
        </w:rPr>
      </w:pPr>
      <w:r>
        <w:rPr>
          <w:b/>
          <w:bCs/>
          <w:lang w:val="fr-FR"/>
        </w:rPr>
        <w:t>C.  Liberté d’expression (art. 13)</w:t>
      </w:r>
    </w:p>
    <w:p w:rsidR="00000000" w:rsidRDefault="00000000">
      <w:pPr>
        <w:spacing w:after="240"/>
        <w:rPr>
          <w:lang w:val="fr-FR"/>
        </w:rPr>
      </w:pPr>
      <w:r>
        <w:rPr>
          <w:lang w:val="fr-FR"/>
        </w:rPr>
        <w:t>89.</w:t>
      </w:r>
      <w:r>
        <w:rPr>
          <w:lang w:val="fr-FR"/>
        </w:rPr>
        <w:tab/>
        <w:t>Le Comité recommande à l’État partie de prendre toutes les mesures appropriées, notamment en modifiant la législation, afin de promouvoir et de garantir le droit de l’enfant à la liberté d’expression au sein de la famille, à l’école et dans d’autres institutions, ainsi que dans la société en général.</w:t>
      </w:r>
    </w:p>
    <w:p w:rsidR="00000000" w:rsidRDefault="00000000">
      <w:pPr>
        <w:spacing w:after="240"/>
        <w:rPr>
          <w:lang w:val="fr-FR"/>
        </w:rPr>
      </w:pPr>
      <w:r>
        <w:rPr>
          <w:lang w:val="fr-FR"/>
        </w:rPr>
        <w:t>90.</w:t>
      </w:r>
      <w:r>
        <w:rPr>
          <w:lang w:val="fr-FR"/>
        </w:rPr>
        <w:tab/>
        <w:t>La loi sur l’enseignement général dispose, au paragraphe 2 de l’article 14, que tout élève a le droit d’exprimer son opinion et d’exiger qu’elle soit respectée.</w:t>
      </w:r>
    </w:p>
    <w:p w:rsidR="00000000" w:rsidRDefault="00000000">
      <w:pPr>
        <w:keepNext/>
        <w:spacing w:after="240"/>
        <w:jc w:val="center"/>
        <w:rPr>
          <w:b/>
          <w:bCs/>
          <w:lang w:val="fr-FR"/>
        </w:rPr>
      </w:pPr>
      <w:r>
        <w:rPr>
          <w:b/>
          <w:bCs/>
          <w:lang w:val="fr-FR"/>
        </w:rPr>
        <w:t>D.  Accès à une information appropriée (art. 17)</w:t>
      </w:r>
    </w:p>
    <w:p w:rsidR="00000000" w:rsidRDefault="00000000">
      <w:pPr>
        <w:spacing w:after="240"/>
        <w:rPr>
          <w:lang w:val="fr-FR"/>
        </w:rPr>
      </w:pPr>
      <w:r>
        <w:rPr>
          <w:lang w:val="fr-FR"/>
        </w:rPr>
        <w:t>91.</w:t>
      </w:r>
      <w:r>
        <w:rPr>
          <w:lang w:val="fr-FR"/>
        </w:rPr>
        <w:tab/>
        <w:t>Le premier paragraphe de l’article 14 de la loi sur l’enseignement général dispose que les élèves, les parents et les enseignants ont le droit de rechercher, de recevoir, de concevoir, de conserver, de traiter ou de communiquer tout type d’information ou d’idées et d’utiliser le matériel scolaire à ces fins, dans le respect des normes établies.</w:t>
      </w:r>
    </w:p>
    <w:p w:rsidR="00000000" w:rsidRDefault="00000000">
      <w:pPr>
        <w:spacing w:after="240"/>
        <w:rPr>
          <w:lang w:val="fr-FR"/>
        </w:rPr>
      </w:pPr>
      <w:r>
        <w:rPr>
          <w:lang w:val="fr-FR"/>
        </w:rPr>
        <w:t>92.</w:t>
      </w:r>
      <w:r>
        <w:rPr>
          <w:lang w:val="fr-FR"/>
        </w:rPr>
        <w:tab/>
        <w:t>Le Comité se reportera également sur ce point au troisième rapport périodique de la Géorgie sur l’application du Pacte international relatif aux droits civils et politiques, en particulier à la section relative à l’exercice de la liberté d’expression (par. 317 à 328).</w:t>
      </w:r>
    </w:p>
    <w:p w:rsidR="00000000" w:rsidRDefault="00000000">
      <w:pPr>
        <w:keepNext/>
        <w:spacing w:after="240"/>
        <w:jc w:val="center"/>
        <w:rPr>
          <w:b/>
          <w:bCs/>
          <w:lang w:val="fr-FR"/>
        </w:rPr>
      </w:pPr>
      <w:r>
        <w:rPr>
          <w:b/>
          <w:bCs/>
          <w:lang w:val="fr-FR"/>
        </w:rPr>
        <w:t>E.  Liberté de pensée, de conscience et de religion (art. 14)</w:t>
      </w:r>
    </w:p>
    <w:p w:rsidR="00000000" w:rsidRDefault="00000000">
      <w:pPr>
        <w:spacing w:after="240"/>
        <w:rPr>
          <w:lang w:val="fr-FR"/>
        </w:rPr>
      </w:pPr>
      <w:r>
        <w:rPr>
          <w:lang w:val="fr-FR"/>
        </w:rPr>
        <w:t>93.</w:t>
      </w:r>
      <w:r>
        <w:rPr>
          <w:lang w:val="fr-FR"/>
        </w:rPr>
        <w:tab/>
        <w:t>Des informations détaillées concernant le respect de la liberté de pensée, de conscience et de religion en Géorgie figurent dans le troisième rapport périodique au titre du Pacte international relatif aux droits civils et politiques (par. 310 à 312 et 316).</w:t>
      </w:r>
    </w:p>
    <w:p w:rsidR="00000000" w:rsidRDefault="00000000">
      <w:pPr>
        <w:keepNext/>
        <w:spacing w:after="240"/>
        <w:jc w:val="center"/>
        <w:rPr>
          <w:b/>
          <w:bCs/>
          <w:lang w:val="fr-FR"/>
        </w:rPr>
      </w:pPr>
      <w:r>
        <w:rPr>
          <w:b/>
          <w:bCs/>
          <w:lang w:val="fr-FR"/>
        </w:rPr>
        <w:t>F.  Liberté d’association et de réunion pacifique (art. 15)</w:t>
      </w:r>
    </w:p>
    <w:p w:rsidR="00000000" w:rsidRDefault="00000000">
      <w:pPr>
        <w:spacing w:after="240"/>
        <w:rPr>
          <w:lang w:val="fr-FR"/>
        </w:rPr>
      </w:pPr>
      <w:r>
        <w:rPr>
          <w:lang w:val="fr-FR"/>
        </w:rPr>
        <w:t>94.</w:t>
      </w:r>
      <w:r>
        <w:rPr>
          <w:lang w:val="fr-FR"/>
        </w:rPr>
        <w:tab/>
        <w:t>Des informations mises à jour sur l’exercice des droits visés par cet article de la Convention figurent dans le troisième rapport périodique de la Géorgie sur la mise en œuvre du Pacte international relatif aux droits civils et politiques (par. 332 à 335 relatifs à l’enregistrement des personnes morales autres que commerciales et des partis politiques, et par. 336 et 337 relatifs aux syndicats).</w:t>
      </w:r>
    </w:p>
    <w:p w:rsidR="00000000" w:rsidRDefault="00000000">
      <w:pPr>
        <w:keepNext/>
        <w:spacing w:after="240"/>
        <w:jc w:val="center"/>
        <w:rPr>
          <w:b/>
          <w:bCs/>
          <w:lang w:val="fr-FR"/>
        </w:rPr>
      </w:pPr>
      <w:r>
        <w:rPr>
          <w:b/>
          <w:bCs/>
          <w:lang w:val="fr-FR"/>
        </w:rPr>
        <w:t>G.  Protection de la vie privée (art. 16)</w:t>
      </w:r>
    </w:p>
    <w:p w:rsidR="00000000" w:rsidRDefault="00000000">
      <w:pPr>
        <w:spacing w:after="240"/>
        <w:rPr>
          <w:lang w:val="fr-FR"/>
        </w:rPr>
      </w:pPr>
      <w:r>
        <w:rPr>
          <w:lang w:val="fr-FR"/>
        </w:rPr>
        <w:t>95.</w:t>
      </w:r>
      <w:r>
        <w:rPr>
          <w:lang w:val="fr-FR"/>
        </w:rPr>
        <w:tab/>
        <w:t>Les renseignements fournis dans le deuxième rapport périodique présenté au titre de la Convention relative aux droits de l’enfant concernant les points visés dans cet article (par. 107 à 110) demeurent valables.</w:t>
      </w:r>
    </w:p>
    <w:p w:rsidR="00000000" w:rsidRDefault="00000000">
      <w:pPr>
        <w:keepNext/>
        <w:spacing w:after="240"/>
        <w:jc w:val="center"/>
        <w:rPr>
          <w:b/>
          <w:bCs/>
          <w:lang w:val="fr-FR"/>
        </w:rPr>
      </w:pPr>
      <w:r>
        <w:rPr>
          <w:b/>
          <w:bCs/>
          <w:lang w:val="fr-FR"/>
        </w:rPr>
        <w:t xml:space="preserve">H.  Droit de ne pas être soumis à la torture ni à des peines ou traitements cruels, </w:t>
      </w:r>
      <w:r>
        <w:rPr>
          <w:b/>
          <w:bCs/>
          <w:lang w:val="fr-FR"/>
        </w:rPr>
        <w:br/>
        <w:t>inhumains ou dégradants (art. 37, par. 1)</w:t>
      </w:r>
    </w:p>
    <w:p w:rsidR="00000000" w:rsidRDefault="00000000">
      <w:pPr>
        <w:spacing w:after="240"/>
        <w:rPr>
          <w:lang w:val="fr-FR"/>
        </w:rPr>
      </w:pPr>
      <w:r>
        <w:rPr>
          <w:lang w:val="fr-FR"/>
        </w:rPr>
        <w:t>96.</w:t>
      </w:r>
      <w:r>
        <w:rPr>
          <w:lang w:val="fr-FR"/>
        </w:rPr>
        <w:tab/>
        <w:t>Le Comité prie instamment l’État partie de prendre toutes les mesures nécessaires pour appliquer rapidement et effectivement le Plan d’action de lutte contre la torture, et pour assurer la protection totale des enfants contre toutes les formes de violence, pour interroger, poursuivre et condamner comme il se doit les auteurs d’actes de cette nature et pour assurer la prise en charge, la réadaptation et l’indemnisation de tous les enfants qui en sont victimes.</w:t>
      </w:r>
    </w:p>
    <w:p w:rsidR="00000000" w:rsidRDefault="00000000">
      <w:pPr>
        <w:spacing w:after="240"/>
        <w:rPr>
          <w:lang w:val="fr-FR"/>
        </w:rPr>
      </w:pPr>
      <w:r>
        <w:rPr>
          <w:lang w:val="fr-FR"/>
        </w:rPr>
        <w:t>97.</w:t>
      </w:r>
      <w:r>
        <w:rPr>
          <w:lang w:val="fr-FR"/>
        </w:rPr>
        <w:tab/>
        <w:t xml:space="preserve">Selon les informations fournies par les services du Procureur géorgiens, dans le passé, le crime de torture était réprimé par l’article 126 du Code pénal. </w:t>
      </w:r>
      <w:proofErr w:type="spellStart"/>
      <w:r>
        <w:rPr>
          <w:lang w:val="fr-FR"/>
        </w:rPr>
        <w:t>Celui</w:t>
      </w:r>
      <w:r>
        <w:rPr>
          <w:lang w:val="fr-FR"/>
        </w:rPr>
        <w:noBreakHyphen/>
        <w:t>ci</w:t>
      </w:r>
      <w:proofErr w:type="spellEnd"/>
      <w:r>
        <w:rPr>
          <w:lang w:val="fr-FR"/>
        </w:rPr>
        <w:t xml:space="preserve"> définissait la torture comme des voies de faits systématiques ou d’autres formes de violences causant une souffrance physique ou mentale à la victime, sans engendrer les conséquences prévues aux articles 117 (lésions corporelles graves intentionnelles) ou 118 (lésions corporelles légères intentionnelles) du Code pénal. Les éléments de la définition de la torture différaient donc radicalement de ceux énoncés dans les normes juridiques internationales. Étant donné que cette définition insuffisante de l’acte de torture − qui ne mentionnait ni la fonction officielle occupée par son auteur, ni son caractère intentionnel − créait un vide juridique, les enquêtes relatives à des actes de torture ou à des traitements inhumains ou dégradants prenaient pour base juridique les articles 332 (abus de pouvoir) et 333 (dépassement des limites des prérogatives officielles) du Code pénal, sans invoquer spécifiquement l’article 126, qui faisait de la torture une pratique illégale justifiant l’ouverture de poursuites pénales. C’était là le seul moyen de combler cette lacune dans les affaires relatives à la torture et d’imposer des sanctions plus lourdes.</w:t>
      </w:r>
    </w:p>
    <w:p w:rsidR="00000000" w:rsidRDefault="00000000">
      <w:pPr>
        <w:spacing w:after="240"/>
      </w:pPr>
      <w:r>
        <w:rPr>
          <w:lang w:val="fr-FR"/>
        </w:rPr>
        <w:t>98.</w:t>
      </w:r>
      <w:r>
        <w:rPr>
          <w:lang w:val="fr-FR"/>
        </w:rPr>
        <w:tab/>
        <w:t xml:space="preserve">Étant donné que cette définition ne répondait pas aux exigences des instruments internationaux relatifs aux droits de l’homme, le 23 juin 2005, le Parlement géorgien a adopté des amendements au Code pénal qui alignent les éléments constitutifs légaux de la torture sur les normes internationalement reconnues, notamment l’article premier de la Convention contre la torture et autres peines ou traitements cruels, inhumains ou dégradants. </w:t>
      </w:r>
      <w:r>
        <w:t>Selon la nouvelle formulation, le crime de torture est défini au paragraphe 1 de l’article 144 du Code pénal comme «le fait de soumettre une personne, un membre proche de sa famille ou une personne à sa charge financièrement ou autrement, à un traitement ou à des conditions dont la nature, l’intensité ou la durée causent une douleur physique ou une souffrance mentale ou morale aiguës, dans le but d’obtenir des renseignements, des preuves ou des aveux, ou d’intimider, de contraindre ou de punir une personne pour un acte qu’</w:t>
      </w:r>
      <w:proofErr w:type="spellStart"/>
      <w:r>
        <w:t>elle</w:t>
      </w:r>
      <w:r>
        <w:noBreakHyphen/>
        <w:t>même</w:t>
      </w:r>
      <w:proofErr w:type="spellEnd"/>
      <w:r>
        <w:t xml:space="preserve"> ou un tiers a commis ou est soupçonné avoir commis».</w:t>
      </w:r>
    </w:p>
    <w:p w:rsidR="00000000" w:rsidRDefault="00000000">
      <w:pPr>
        <w:spacing w:after="240"/>
      </w:pPr>
      <w:r>
        <w:t>99.</w:t>
      </w:r>
      <w:r>
        <w:tab/>
        <w:t xml:space="preserve">En outre, les modifications apportées au Code pénal érigent en infraction la menace de torture (art. 144, par. 2) ou de peines ou traitements inhumains ou dégradants (art. 144, par. 3). Des poursuites pénales peuvent également être engagées pour tentative de torture sur la base du paragraphe 1 de l’article 144 et de l’article 19 du Code pénal, qui prévoit la responsabilité pénale pour une tentative d’infraction. Le crime de torture est puni d’une amende de sept à dix années d’emprisonnement. </w:t>
      </w:r>
    </w:p>
    <w:p w:rsidR="00000000" w:rsidRDefault="00000000">
      <w:pPr>
        <w:spacing w:after="240"/>
      </w:pPr>
      <w:r>
        <w:t>100.</w:t>
      </w:r>
      <w:r>
        <w:tab/>
        <w:t>La législation géorgienne tient compte des circonstances aggravantes pour le crime de torture, notamment s’il est commis intentionnellement à l’encontre d’un mineur. Les actes de torture commis dans des circonstances aggravantes sont punis d’une peine d’emprisonnement de neuf à quinze ans et de l’interdiction d’exercer un mandat ou de poursuivre une activité pendant une période pouvant aller jusqu’à cinq ans.</w:t>
      </w:r>
    </w:p>
    <w:p w:rsidR="00000000" w:rsidRDefault="00000000">
      <w:pPr>
        <w:spacing w:after="240"/>
      </w:pPr>
      <w:r>
        <w:t>101.</w:t>
      </w:r>
      <w:r>
        <w:tab/>
        <w:t xml:space="preserve">Il convient de porter une attention particulière aux garanties prévues par la législation pénale géorgienne pour protéger les droits de l’enfant. </w:t>
      </w:r>
      <w:proofErr w:type="spellStart"/>
      <w:r>
        <w:t>Celles</w:t>
      </w:r>
      <w:r>
        <w:noBreakHyphen/>
        <w:t>ci</w:t>
      </w:r>
      <w:proofErr w:type="spellEnd"/>
      <w:r>
        <w:t xml:space="preserve"> procèdent du principe selon lequel, en règle générale, le fait qu’une infraction pénale soit commise contre un mineur constitue une circonstance aggravante. Les infractions qui comportent des circonstances aggravantes visées dans le Code pénal, si elle sont commises contre un mineur, sont les suivantes:</w:t>
      </w:r>
    </w:p>
    <w:p w:rsidR="00000000" w:rsidRDefault="00000000">
      <w:pPr>
        <w:numPr>
          <w:ilvl w:val="0"/>
          <w:numId w:val="53"/>
        </w:numPr>
        <w:spacing w:after="240"/>
      </w:pPr>
      <w:r>
        <w:t xml:space="preserve">Meurtre avec préméditation; </w:t>
      </w:r>
    </w:p>
    <w:p w:rsidR="00000000" w:rsidRDefault="00000000">
      <w:pPr>
        <w:numPr>
          <w:ilvl w:val="0"/>
          <w:numId w:val="53"/>
        </w:numPr>
        <w:spacing w:after="240"/>
      </w:pPr>
      <w:r>
        <w:t>Lésions corporelles graves intentionnelles;</w:t>
      </w:r>
    </w:p>
    <w:p w:rsidR="00000000" w:rsidRDefault="00000000">
      <w:pPr>
        <w:numPr>
          <w:ilvl w:val="0"/>
          <w:numId w:val="53"/>
        </w:numPr>
        <w:spacing w:after="240"/>
      </w:pPr>
      <w:r>
        <w:t>Lésions corporelles légères;</w:t>
      </w:r>
    </w:p>
    <w:p w:rsidR="00000000" w:rsidRDefault="00000000">
      <w:pPr>
        <w:numPr>
          <w:ilvl w:val="0"/>
          <w:numId w:val="53"/>
        </w:numPr>
        <w:spacing w:after="240"/>
      </w:pPr>
      <w:r>
        <w:t>Passage à tabac;</w:t>
      </w:r>
    </w:p>
    <w:p w:rsidR="00000000" w:rsidRDefault="00000000">
      <w:pPr>
        <w:numPr>
          <w:ilvl w:val="0"/>
          <w:numId w:val="53"/>
        </w:numPr>
        <w:spacing w:after="240"/>
      </w:pPr>
      <w:r>
        <w:t>Violences;</w:t>
      </w:r>
    </w:p>
    <w:p w:rsidR="00000000" w:rsidRDefault="00000000">
      <w:pPr>
        <w:numPr>
          <w:ilvl w:val="0"/>
          <w:numId w:val="53"/>
        </w:numPr>
        <w:spacing w:after="240"/>
      </w:pPr>
      <w:r>
        <w:t>Viol;</w:t>
      </w:r>
    </w:p>
    <w:p w:rsidR="00000000" w:rsidRDefault="00000000">
      <w:pPr>
        <w:numPr>
          <w:ilvl w:val="0"/>
          <w:numId w:val="53"/>
        </w:numPr>
        <w:spacing w:after="240"/>
      </w:pPr>
      <w:r>
        <w:t>Violences sexuelles;</w:t>
      </w:r>
    </w:p>
    <w:p w:rsidR="00000000" w:rsidRDefault="00000000">
      <w:pPr>
        <w:numPr>
          <w:ilvl w:val="0"/>
          <w:numId w:val="53"/>
        </w:numPr>
        <w:spacing w:after="240"/>
      </w:pPr>
      <w:r>
        <w:t>Usage de la contrainte dans le but d’obtenir des faveurs de nature sexuelle;</w:t>
      </w:r>
    </w:p>
    <w:p w:rsidR="00000000" w:rsidRDefault="00000000">
      <w:pPr>
        <w:numPr>
          <w:ilvl w:val="0"/>
          <w:numId w:val="53"/>
        </w:numPr>
        <w:spacing w:after="240"/>
      </w:pPr>
      <w:r>
        <w:t>Prise d’otage;</w:t>
      </w:r>
    </w:p>
    <w:p w:rsidR="00000000" w:rsidRDefault="00000000">
      <w:pPr>
        <w:numPr>
          <w:ilvl w:val="0"/>
          <w:numId w:val="53"/>
        </w:numPr>
        <w:spacing w:after="240"/>
      </w:pPr>
      <w:r>
        <w:t>Torture;</w:t>
      </w:r>
    </w:p>
    <w:p w:rsidR="00000000" w:rsidRDefault="00000000">
      <w:pPr>
        <w:numPr>
          <w:ilvl w:val="0"/>
          <w:numId w:val="53"/>
        </w:numPr>
        <w:spacing w:after="240"/>
      </w:pPr>
      <w:r>
        <w:t>Traitement inhumain ou dégradant;</w:t>
      </w:r>
    </w:p>
    <w:p w:rsidR="00000000" w:rsidRDefault="00000000">
      <w:pPr>
        <w:numPr>
          <w:ilvl w:val="0"/>
          <w:numId w:val="53"/>
        </w:numPr>
        <w:spacing w:after="240"/>
      </w:pPr>
      <w:r>
        <w:t>Usage de la contrainte;</w:t>
      </w:r>
    </w:p>
    <w:p w:rsidR="00000000" w:rsidRDefault="00000000">
      <w:pPr>
        <w:numPr>
          <w:ilvl w:val="0"/>
          <w:numId w:val="53"/>
        </w:numPr>
        <w:spacing w:after="240"/>
      </w:pPr>
      <w:r>
        <w:t>Incitation à la prostitution;</w:t>
      </w:r>
    </w:p>
    <w:p w:rsidR="00000000" w:rsidRDefault="00000000">
      <w:pPr>
        <w:numPr>
          <w:ilvl w:val="0"/>
          <w:numId w:val="53"/>
        </w:numPr>
        <w:spacing w:after="240"/>
      </w:pPr>
      <w:r>
        <w:t>Incitation à la consommation de drogues ou de substances psychotropes.</w:t>
      </w:r>
    </w:p>
    <w:p w:rsidR="00000000" w:rsidRDefault="00000000">
      <w:pPr>
        <w:spacing w:after="240"/>
      </w:pPr>
      <w:r>
        <w:t>102.</w:t>
      </w:r>
      <w:r>
        <w:tab/>
        <w:t>D’après le Ministère de l’intérieur géorgien, aucun cas de torture ou de traitement inhumain ou dégradant sur mineurs n’a été enregistré entre 2000 et 2004.</w:t>
      </w:r>
    </w:p>
    <w:p w:rsidR="00000000" w:rsidRDefault="00000000">
      <w:pPr>
        <w:spacing w:after="240"/>
      </w:pPr>
      <w:r>
        <w:t>103.</w:t>
      </w:r>
      <w:r>
        <w:tab/>
        <w:t>Selon le bureau du Procureur général, du début de 2005 à la mi</w:t>
      </w:r>
      <w:r>
        <w:noBreakHyphen/>
        <w:t xml:space="preserve">2006, il y a eu six affaires dans lesquelles des poursuites pénales ont été engagées pour acte de torture ou de maltraitance sur mineurs. Pour deux de ces affaires, l’enquête est en cours; la troisième est actuellement examinée par un tribunal. Deux autres affaires se sont terminées par un acquittement et, dans la dernière, les accusés − trois anciens officiers d’une unité locale du Ministère de l’intérieur − sont actuellement recherchés par les autorités. </w:t>
      </w:r>
    </w:p>
    <w:p w:rsidR="00000000" w:rsidRDefault="00000000">
      <w:pPr>
        <w:keepNext/>
        <w:spacing w:after="240"/>
        <w:jc w:val="center"/>
        <w:rPr>
          <w:b/>
          <w:bCs/>
        </w:rPr>
      </w:pPr>
      <w:r>
        <w:rPr>
          <w:b/>
          <w:bCs/>
        </w:rPr>
        <w:t xml:space="preserve">VI.  MILIEU FAMILIAL ET PROTECTION DE REMPLACEMENT </w:t>
      </w:r>
    </w:p>
    <w:p w:rsidR="00000000" w:rsidRDefault="00000000">
      <w:pPr>
        <w:spacing w:after="240"/>
      </w:pPr>
      <w:r>
        <w:t>104.</w:t>
      </w:r>
      <w:r>
        <w:tab/>
        <w:t>Il convient de noter que, pour les questions suivantes les commentaires figurant dans le deuxième rapport périodique présenté au titre de la Convention, restent valables pour la période à l’examen:</w:t>
      </w:r>
    </w:p>
    <w:p w:rsidR="00000000" w:rsidRDefault="00000000">
      <w:pPr>
        <w:numPr>
          <w:ilvl w:val="0"/>
          <w:numId w:val="54"/>
        </w:numPr>
        <w:spacing w:after="240"/>
      </w:pPr>
      <w:r>
        <w:t>Orientation parentale (art. 5) (par. 114 et 115);</w:t>
      </w:r>
    </w:p>
    <w:p w:rsidR="00000000" w:rsidRDefault="00000000">
      <w:pPr>
        <w:numPr>
          <w:ilvl w:val="0"/>
          <w:numId w:val="54"/>
        </w:numPr>
        <w:spacing w:after="240"/>
      </w:pPr>
      <w:r>
        <w:t>Responsabilités parentales (art. 18, par 1 et 2) (par. 116 à 119);</w:t>
      </w:r>
    </w:p>
    <w:p w:rsidR="00000000" w:rsidRDefault="00000000">
      <w:pPr>
        <w:numPr>
          <w:ilvl w:val="0"/>
          <w:numId w:val="54"/>
        </w:numPr>
        <w:spacing w:after="240"/>
      </w:pPr>
      <w:r>
        <w:t>Séparation d’avec les parents (art. 9) (par. 120 à 122);</w:t>
      </w:r>
    </w:p>
    <w:p w:rsidR="00000000" w:rsidRDefault="00000000">
      <w:pPr>
        <w:numPr>
          <w:ilvl w:val="0"/>
          <w:numId w:val="54"/>
        </w:numPr>
        <w:spacing w:after="240"/>
      </w:pPr>
      <w:r>
        <w:t>Regroupement familial (art. 10) (par. 123)</w:t>
      </w:r>
      <w:r>
        <w:rPr>
          <w:rStyle w:val="FootnoteReference"/>
        </w:rPr>
        <w:footnoteReference w:id="10"/>
      </w:r>
      <w:r>
        <w:t>; et</w:t>
      </w:r>
    </w:p>
    <w:p w:rsidR="00000000" w:rsidRDefault="00000000">
      <w:pPr>
        <w:numPr>
          <w:ilvl w:val="0"/>
          <w:numId w:val="54"/>
        </w:numPr>
        <w:spacing w:after="240"/>
      </w:pPr>
      <w:r>
        <w:t>Recouvrement de la pension alimentaire de l’enfant (art. 27, par. 4) (par. 126).</w:t>
      </w:r>
    </w:p>
    <w:p w:rsidR="00000000" w:rsidRDefault="00000000">
      <w:pPr>
        <w:keepNext/>
        <w:spacing w:after="240"/>
        <w:jc w:val="center"/>
        <w:rPr>
          <w:b/>
          <w:bCs/>
        </w:rPr>
      </w:pPr>
      <w:r>
        <w:rPr>
          <w:b/>
          <w:bCs/>
        </w:rPr>
        <w:t>A.  Enfants privés de leur milieu familial (art. 20)</w:t>
      </w:r>
    </w:p>
    <w:p w:rsidR="00000000" w:rsidRDefault="00000000">
      <w:pPr>
        <w:spacing w:after="240"/>
      </w:pPr>
      <w:r>
        <w:t>105.</w:t>
      </w:r>
      <w:r>
        <w:tab/>
        <w:t>Dans ses observations finales, le Comité recommande à l’État partie:</w:t>
      </w:r>
    </w:p>
    <w:p w:rsidR="00000000" w:rsidRDefault="00000000">
      <w:pPr>
        <w:spacing w:after="240"/>
        <w:ind w:firstLine="567"/>
        <w:rPr>
          <w:bCs/>
        </w:rPr>
      </w:pPr>
      <w:r>
        <w:rPr>
          <w:bCs/>
        </w:rPr>
        <w:t>a)</w:t>
      </w:r>
      <w:r>
        <w:rPr>
          <w:bCs/>
        </w:rPr>
        <w:tab/>
        <w:t>De continuer à mettre en œuvre des mesures visant à renforcer l’aide aux familles afin de leur permettre de s’occuper de leurs enfants grâce à la mise en œuvre d’une politique familiale globale centrée sur l’enfant;</w:t>
      </w:r>
    </w:p>
    <w:p w:rsidR="00000000" w:rsidRDefault="00000000">
      <w:pPr>
        <w:spacing w:after="240"/>
        <w:ind w:firstLine="567"/>
        <w:rPr>
          <w:bCs/>
        </w:rPr>
      </w:pPr>
      <w:r>
        <w:rPr>
          <w:bCs/>
        </w:rPr>
        <w:t>b)</w:t>
      </w:r>
      <w:r>
        <w:rPr>
          <w:bCs/>
        </w:rPr>
        <w:tab/>
        <w:t>D’accroître l’aide et le soutien social aux familles par des conseils et par l’éducation afin de promouvoir de bonnes relations entre parents et enfants;</w:t>
      </w:r>
    </w:p>
    <w:p w:rsidR="00000000" w:rsidRDefault="00000000">
      <w:pPr>
        <w:spacing w:after="240"/>
        <w:ind w:firstLine="567"/>
        <w:rPr>
          <w:bCs/>
        </w:rPr>
      </w:pPr>
      <w:r>
        <w:rPr>
          <w:bCs/>
        </w:rPr>
        <w:t>c)</w:t>
      </w:r>
      <w:r>
        <w:rPr>
          <w:bCs/>
        </w:rPr>
        <w:tab/>
        <w:t>De renforcer les mesures, au nombre desquelles l’élaboration de stratégies, la mise en œuvre d’activités de sensibilisation et l’aide aux familles, visant à prévenir et à réduire les abandons d’enfants;</w:t>
      </w:r>
    </w:p>
    <w:p w:rsidR="00000000" w:rsidRDefault="00000000">
      <w:pPr>
        <w:spacing w:after="240"/>
        <w:ind w:firstLine="567"/>
        <w:rPr>
          <w:bCs/>
        </w:rPr>
      </w:pPr>
      <w:r>
        <w:rPr>
          <w:bCs/>
        </w:rPr>
        <w:t>d)</w:t>
      </w:r>
      <w:r>
        <w:rPr>
          <w:bCs/>
        </w:rPr>
        <w:tab/>
        <w:t>D’étudier des stratégies pour faire face au problème des abandons d’enfants handicapés et assurer l’intégration de ces derniers, essentiellement dans des internats;</w:t>
      </w:r>
    </w:p>
    <w:p w:rsidR="00000000" w:rsidRDefault="00000000">
      <w:pPr>
        <w:spacing w:after="240"/>
        <w:ind w:firstLine="567"/>
        <w:rPr>
          <w:bCs/>
        </w:rPr>
      </w:pPr>
      <w:r>
        <w:rPr>
          <w:bCs/>
        </w:rPr>
        <w:t>e)</w:t>
      </w:r>
      <w:r>
        <w:rPr>
          <w:bCs/>
        </w:rPr>
        <w:tab/>
        <w:t>De consacrer des ressources suffisantes à la mise en œuvre effective de la nouvelle loi sur le placement en famille d’accueil et de réglementer le placement dans la famille élargie afin que l’intérêt supérieur des enfants concernés soit pris en compte;</w:t>
      </w:r>
    </w:p>
    <w:p w:rsidR="00000000" w:rsidRDefault="00000000">
      <w:pPr>
        <w:spacing w:after="240"/>
        <w:ind w:firstLine="567"/>
        <w:rPr>
          <w:bCs/>
        </w:rPr>
      </w:pPr>
      <w:r>
        <w:rPr>
          <w:bCs/>
        </w:rPr>
        <w:t>f)</w:t>
      </w:r>
      <w:r>
        <w:rPr>
          <w:bCs/>
        </w:rPr>
        <w:tab/>
        <w:t xml:space="preserve">De renforcer et d’intensifier le programme visant à remplacer le placement des enfants dans des établissements spécialisés par d’autres solutions tout en prenant toutes les mesures nécessaires pour améliorer les conditions de vie dans ces établissements et veiller à ce que les enfants y soient accueillis pour une période aussi brève que possible et bénéficient de soins de santé, d’une éducation et d’une alimentation appropriés. </w:t>
      </w:r>
    </w:p>
    <w:p w:rsidR="00000000" w:rsidRDefault="00000000">
      <w:pPr>
        <w:spacing w:after="240"/>
        <w:ind w:firstLine="567"/>
      </w:pPr>
      <w:r>
        <w:rPr>
          <w:bCs/>
        </w:rPr>
        <w:t>g)</w:t>
      </w:r>
      <w:r>
        <w:rPr>
          <w:bCs/>
        </w:rPr>
        <w:tab/>
        <w:t>De demander une assistance technique à l’UNICEF.</w:t>
      </w:r>
    </w:p>
    <w:p w:rsidR="00000000" w:rsidRDefault="00000000">
      <w:pPr>
        <w:keepNext/>
        <w:spacing w:after="240"/>
        <w:rPr>
          <w:b/>
          <w:bCs/>
        </w:rPr>
      </w:pPr>
      <w:r>
        <w:rPr>
          <w:b/>
          <w:bCs/>
        </w:rPr>
        <w:t>Programmes de placement en milieu ouvert et de protection de l’enfance</w:t>
      </w:r>
    </w:p>
    <w:p w:rsidR="00000000" w:rsidRDefault="00000000">
      <w:pPr>
        <w:spacing w:after="240"/>
      </w:pPr>
      <w:r>
        <w:t>106.</w:t>
      </w:r>
      <w:r>
        <w:tab/>
        <w:t xml:space="preserve">Le Ministère de l’éducation et des sciences a indiqué qu’en 2001, le Programme de formes alternatives de soins aux orphelins et aux enfants privés de soins parentaux dans des institutions résidentielles avait été mis en œuvre pour venir en aide aux enfants vulnérables et encourager leur intégration sociale. Grâce à ce programme, les enfants et leur famille bénéficient d’une aide d’urgence, les infrastructures matérielles et techniques des institutions résidentielles (orphelinats, internats spéciaux, maisons d’enfants, etc.) sont consolidées et le placement en milieu ouvert, la poursuite des études et les loisirs des orphelins et des enfants privés de soins parentaux sont assurés. </w:t>
      </w:r>
    </w:p>
    <w:p w:rsidR="00000000" w:rsidRDefault="00000000">
      <w:pPr>
        <w:spacing w:after="240"/>
      </w:pPr>
      <w:r>
        <w:t>107.</w:t>
      </w:r>
      <w:r>
        <w:tab/>
        <w:t xml:space="preserve">Actuellement, 48 institutions résidentielles hébergent 5 200 enfants sous l’autorité du Ministère de l’éducation et des sciences. Quatre autres institutions opèrent sous l’autorité du Ministère du travail, de la santé et des affaires sociales. Ces établissements sont destinés à différentes catégories d’enfants: orphelins, orphelins sociaux, enfants souffrant de handicaps physiques ou mentaux et enfants privés de soins parentaux. Des conditions économiques précaires sont à l’origine du placement en institution d’un grand nombre d’entre eux. Pour faire face à cette situation, une réforme du système de protection de l’enfance a été lancée, conformément au décret gouvernemental sur l’adoption du Plan national pour la protection des enfants et leur placement en milieu ouvert (avril 2005). Une commission gouvernementale spéciale a été créée pour améliorer le </w:t>
      </w:r>
      <w:proofErr w:type="spellStart"/>
      <w:r>
        <w:t>bien</w:t>
      </w:r>
      <w:r>
        <w:noBreakHyphen/>
        <w:t>être</w:t>
      </w:r>
      <w:proofErr w:type="spellEnd"/>
      <w:r>
        <w:t xml:space="preserve"> des enfants, notamment en lançant des services communautaires en leur faveur et en facilitant leur placement en milieu ouvert. Conformément à ce plan d’action, le Ministère de l’éducation et des sciences a conçu une série de mesures visant à créer un environnement mieux adapté aux besoins des enfants en transformant les institutions en centres d’accueil de jour, en points d’accueil temporaire et en petites maisons de type familial. Tout au long de ce processus, une attention particulière est accordée aux besoins des enfants handicapés. Au cours de la période considérée, des initiatives ont été prises avec l’appui d’organisations donatrices pour résoudre les problèmes de ces enfants et leur assurer une éducation de qualité.</w:t>
      </w:r>
    </w:p>
    <w:p w:rsidR="00000000" w:rsidRDefault="00000000">
      <w:pPr>
        <w:spacing w:after="240"/>
      </w:pPr>
      <w:r>
        <w:t>108.</w:t>
      </w:r>
      <w:r>
        <w:tab/>
        <w:t>Le programme d’éducation en milieu ouvert est la première tentative effectuée en Géorgie pour introduire et fournir différentes formes de soins de remplacement de type familial. Ce programme est mis en œuvre selon trois grands axes: a) réinsertion des enfants placés en institution dans leur famille naturelle, afin qu’ils bénéficient d’un milieu moins restrictif et plus accueillant socialement; b) prévention visant à éviter que les enfants ne soient placés en institution, grâce à une aide aux familles; et c) placement des enfants vivant en institution dans des familles d’accueil. À ce jour, 850 enfants ont reçu une aide dans le cadre de ce programme de placement en milieu ouvert.</w:t>
      </w:r>
    </w:p>
    <w:p w:rsidR="00000000" w:rsidRDefault="00000000">
      <w:pPr>
        <w:spacing w:after="240"/>
      </w:pPr>
      <w:r>
        <w:t>109.</w:t>
      </w:r>
      <w:r>
        <w:tab/>
        <w:t>Les enfants placés en institution forment une classe défavorisée victime de discrimination et ils sont en butte à d’importantes difficultés d’adaptation dans la société lorsque, à 18 ans, ils atteignent l’âge de quitter l’institution. Pour remédier à ce problème, le Ministère de l’éducation et des sciences a mis en œuvre un programme d’enseignement complémentaire dont les principaux objectifs sont d’assurer l’éducation de ces enfants et de faciliter leur socialisation et leur intégration.</w:t>
      </w:r>
    </w:p>
    <w:p w:rsidR="00000000" w:rsidRDefault="00000000">
      <w:pPr>
        <w:keepNext/>
        <w:spacing w:after="240"/>
        <w:jc w:val="center"/>
        <w:rPr>
          <w:b/>
          <w:bCs/>
        </w:rPr>
      </w:pPr>
      <w:r>
        <w:rPr>
          <w:b/>
          <w:bCs/>
        </w:rPr>
        <w:t>Établissements sociaux pour enfants</w:t>
      </w:r>
      <w:r>
        <w:rPr>
          <w:b/>
          <w:bCs/>
        </w:rPr>
        <w:br/>
        <w:t>(au début de l’année scolaire)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928"/>
        <w:gridCol w:w="843"/>
        <w:gridCol w:w="713"/>
        <w:gridCol w:w="713"/>
        <w:gridCol w:w="713"/>
        <w:gridCol w:w="713"/>
        <w:gridCol w:w="874"/>
      </w:tblGrid>
      <w:tr w:rsidR="00000000">
        <w:trPr>
          <w:cantSplit/>
          <w:tblHeader/>
          <w:jc w:val="center"/>
        </w:trPr>
        <w:tc>
          <w:tcPr>
            <w:tcW w:w="4905" w:type="dxa"/>
            <w:tcMar>
              <w:left w:w="57" w:type="dxa"/>
              <w:right w:w="57" w:type="dxa"/>
            </w:tcMar>
            <w:vAlign w:val="center"/>
          </w:tcPr>
          <w:p w:rsidR="00000000" w:rsidRDefault="00000000">
            <w:pPr>
              <w:tabs>
                <w:tab w:val="left" w:pos="4253"/>
              </w:tabs>
              <w:spacing w:before="60" w:after="60"/>
              <w:jc w:val="center"/>
            </w:pPr>
          </w:p>
        </w:tc>
        <w:tc>
          <w:tcPr>
            <w:tcW w:w="839" w:type="dxa"/>
            <w:tcMar>
              <w:left w:w="57" w:type="dxa"/>
              <w:right w:w="57" w:type="dxa"/>
            </w:tcMar>
          </w:tcPr>
          <w:p w:rsidR="00000000" w:rsidRDefault="00000000">
            <w:pPr>
              <w:tabs>
                <w:tab w:val="left" w:pos="4253"/>
              </w:tabs>
              <w:spacing w:before="60" w:after="60"/>
              <w:rPr>
                <w:lang w:val="fr-FR"/>
              </w:rPr>
            </w:pPr>
            <w:r>
              <w:rPr>
                <w:lang w:val="fr-FR"/>
              </w:rPr>
              <w:t>1999/</w:t>
            </w:r>
            <w:r>
              <w:rPr>
                <w:lang w:val="fr-FR"/>
              </w:rPr>
              <w:br/>
              <w:t>2000</w:t>
            </w:r>
          </w:p>
        </w:tc>
        <w:tc>
          <w:tcPr>
            <w:tcW w:w="710" w:type="dxa"/>
            <w:tcMar>
              <w:left w:w="57" w:type="dxa"/>
              <w:right w:w="57" w:type="dxa"/>
            </w:tcMar>
          </w:tcPr>
          <w:p w:rsidR="00000000" w:rsidRDefault="00000000">
            <w:pPr>
              <w:tabs>
                <w:tab w:val="left" w:pos="4253"/>
              </w:tabs>
              <w:spacing w:before="60" w:after="60"/>
              <w:rPr>
                <w:lang w:val="fr-FR"/>
              </w:rPr>
            </w:pPr>
            <w:r>
              <w:rPr>
                <w:lang w:val="fr-FR"/>
              </w:rPr>
              <w:t>2000/</w:t>
            </w:r>
            <w:r>
              <w:rPr>
                <w:lang w:val="fr-FR"/>
              </w:rPr>
              <w:br/>
              <w:t>2001</w:t>
            </w:r>
          </w:p>
        </w:tc>
        <w:tc>
          <w:tcPr>
            <w:tcW w:w="710" w:type="dxa"/>
            <w:tcMar>
              <w:left w:w="57" w:type="dxa"/>
              <w:right w:w="57" w:type="dxa"/>
            </w:tcMar>
          </w:tcPr>
          <w:p w:rsidR="00000000" w:rsidRDefault="00000000">
            <w:pPr>
              <w:tabs>
                <w:tab w:val="left" w:pos="4253"/>
              </w:tabs>
              <w:spacing w:before="60" w:after="60"/>
              <w:rPr>
                <w:lang w:val="fr-FR"/>
              </w:rPr>
            </w:pPr>
            <w:r>
              <w:rPr>
                <w:lang w:val="fr-FR"/>
              </w:rPr>
              <w:t>2001/</w:t>
            </w:r>
            <w:r>
              <w:rPr>
                <w:lang w:val="fr-FR"/>
              </w:rPr>
              <w:br/>
              <w:t>2002</w:t>
            </w:r>
          </w:p>
        </w:tc>
        <w:tc>
          <w:tcPr>
            <w:tcW w:w="710" w:type="dxa"/>
            <w:tcMar>
              <w:left w:w="57" w:type="dxa"/>
              <w:right w:w="57" w:type="dxa"/>
            </w:tcMar>
          </w:tcPr>
          <w:p w:rsidR="00000000" w:rsidRDefault="00000000">
            <w:pPr>
              <w:tabs>
                <w:tab w:val="left" w:pos="4253"/>
              </w:tabs>
              <w:spacing w:before="60" w:after="60"/>
              <w:rPr>
                <w:lang w:val="fr-FR"/>
              </w:rPr>
            </w:pPr>
            <w:r>
              <w:rPr>
                <w:lang w:val="fr-FR"/>
              </w:rPr>
              <w:t>2002/</w:t>
            </w:r>
            <w:r>
              <w:rPr>
                <w:lang w:val="fr-FR"/>
              </w:rPr>
              <w:br/>
              <w:t>2003</w:t>
            </w:r>
          </w:p>
        </w:tc>
        <w:tc>
          <w:tcPr>
            <w:tcW w:w="710" w:type="dxa"/>
            <w:tcMar>
              <w:left w:w="57" w:type="dxa"/>
              <w:right w:w="57" w:type="dxa"/>
            </w:tcMar>
          </w:tcPr>
          <w:p w:rsidR="00000000" w:rsidRDefault="00000000">
            <w:pPr>
              <w:tabs>
                <w:tab w:val="left" w:pos="4253"/>
              </w:tabs>
              <w:spacing w:before="60" w:after="60"/>
              <w:rPr>
                <w:lang w:val="fr-FR"/>
              </w:rPr>
            </w:pPr>
            <w:r>
              <w:rPr>
                <w:lang w:val="fr-FR"/>
              </w:rPr>
              <w:t>2003/</w:t>
            </w:r>
            <w:r>
              <w:rPr>
                <w:lang w:val="fr-FR"/>
              </w:rPr>
              <w:br/>
              <w:t>2004</w:t>
            </w:r>
          </w:p>
        </w:tc>
        <w:tc>
          <w:tcPr>
            <w:tcW w:w="870" w:type="dxa"/>
            <w:tcMar>
              <w:left w:w="57" w:type="dxa"/>
              <w:right w:w="57" w:type="dxa"/>
            </w:tcMar>
          </w:tcPr>
          <w:p w:rsidR="00000000" w:rsidRDefault="00000000">
            <w:pPr>
              <w:tabs>
                <w:tab w:val="left" w:pos="4253"/>
              </w:tabs>
              <w:spacing w:before="60" w:after="60"/>
              <w:rPr>
                <w:lang w:val="fr-FR"/>
              </w:rPr>
            </w:pPr>
            <w:r>
              <w:rPr>
                <w:lang w:val="fr-FR"/>
              </w:rPr>
              <w:t>2004/</w:t>
            </w:r>
            <w:r>
              <w:rPr>
                <w:lang w:val="fr-FR"/>
              </w:rPr>
              <w:br/>
              <w:t>2005</w:t>
            </w:r>
          </w:p>
        </w:tc>
      </w:tr>
      <w:tr w:rsidR="00000000">
        <w:trPr>
          <w:cantSplit/>
          <w:jc w:val="center"/>
        </w:trPr>
        <w:tc>
          <w:tcPr>
            <w:tcW w:w="4905" w:type="dxa"/>
            <w:tcBorders>
              <w:bottom w:val="single" w:sz="4" w:space="0" w:color="auto"/>
            </w:tcBorders>
            <w:tcMar>
              <w:left w:w="57" w:type="dxa"/>
              <w:right w:w="57" w:type="dxa"/>
            </w:tcMar>
            <w:vAlign w:val="bottom"/>
          </w:tcPr>
          <w:p w:rsidR="00000000" w:rsidRDefault="00000000">
            <w:pPr>
              <w:pStyle w:val="Heading3"/>
              <w:spacing w:before="60" w:after="60"/>
              <w:rPr>
                <w:bCs/>
                <w:lang w:val="fr-FR"/>
              </w:rPr>
            </w:pPr>
            <w:r>
              <w:rPr>
                <w:bCs/>
                <w:lang w:val="fr-FR"/>
              </w:rPr>
              <w:t>Nombre total de foyers pour enfants</w:t>
            </w:r>
          </w:p>
        </w:tc>
        <w:tc>
          <w:tcPr>
            <w:tcW w:w="839"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15</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15</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15</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16</w:t>
            </w:r>
          </w:p>
        </w:tc>
        <w:tc>
          <w:tcPr>
            <w:tcW w:w="87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16</w:t>
            </w:r>
          </w:p>
        </w:tc>
      </w:tr>
      <w:tr w:rsidR="00000000">
        <w:trPr>
          <w:cantSplit/>
          <w:jc w:val="center"/>
        </w:trPr>
        <w:tc>
          <w:tcPr>
            <w:tcW w:w="9454" w:type="dxa"/>
            <w:gridSpan w:val="7"/>
            <w:tcMar>
              <w:left w:w="57" w:type="dxa"/>
              <w:right w:w="57" w:type="dxa"/>
            </w:tcMar>
            <w:vAlign w:val="bottom"/>
          </w:tcPr>
          <w:p w:rsidR="00000000" w:rsidRDefault="00000000">
            <w:pPr>
              <w:tabs>
                <w:tab w:val="left" w:pos="4253"/>
              </w:tabs>
              <w:spacing w:before="60" w:after="60"/>
              <w:ind w:right="57"/>
              <w:rPr>
                <w:lang w:val="fr-FR"/>
              </w:rPr>
            </w:pPr>
            <w:r>
              <w:rPr>
                <w:lang w:val="fr-FR"/>
              </w:rPr>
              <w:t>dont:</w:t>
            </w:r>
          </w:p>
        </w:tc>
      </w:tr>
      <w:tr w:rsidR="00000000">
        <w:trPr>
          <w:cantSplit/>
          <w:jc w:val="center"/>
        </w:trPr>
        <w:tc>
          <w:tcPr>
            <w:tcW w:w="4905" w:type="dxa"/>
            <w:tcMar>
              <w:left w:w="57" w:type="dxa"/>
              <w:right w:w="57" w:type="dxa"/>
            </w:tcMar>
            <w:vAlign w:val="bottom"/>
          </w:tcPr>
          <w:p w:rsidR="00000000" w:rsidRDefault="00000000">
            <w:pPr>
              <w:spacing w:before="60" w:after="60"/>
              <w:ind w:left="170"/>
              <w:rPr>
                <w:lang w:val="fr-FR"/>
              </w:rPr>
            </w:pPr>
            <w:r>
              <w:rPr>
                <w:lang w:val="fr-FR"/>
              </w:rPr>
              <w:t xml:space="preserve">Établissements relevant du Ministère de l’éducation et des sciences </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9</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10</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10</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10</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10</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10</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r>
              <w:rPr>
                <w:lang w:val="fr-FR"/>
              </w:rPr>
              <w:t>Établissements relevant du Ministère du travail, de la santé et des affaires sociales</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r>
              <w:rPr>
                <w:lang w:val="fr-FR"/>
              </w:rPr>
              <w:t>Autres établissements</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w:t>
            </w:r>
          </w:p>
        </w:tc>
      </w:tr>
      <w:tr w:rsidR="00000000">
        <w:trPr>
          <w:cantSplit/>
          <w:jc w:val="center"/>
        </w:trPr>
        <w:tc>
          <w:tcPr>
            <w:tcW w:w="4905" w:type="dxa"/>
            <w:tcBorders>
              <w:bottom w:val="single" w:sz="4" w:space="0" w:color="auto"/>
            </w:tcBorders>
            <w:tcMar>
              <w:left w:w="57" w:type="dxa"/>
              <w:right w:w="57" w:type="dxa"/>
            </w:tcMar>
            <w:vAlign w:val="bottom"/>
          </w:tcPr>
          <w:p w:rsidR="00000000" w:rsidRDefault="00000000">
            <w:pPr>
              <w:keepNext/>
              <w:tabs>
                <w:tab w:val="left" w:pos="4253"/>
              </w:tabs>
              <w:spacing w:before="60" w:after="60"/>
              <w:rPr>
                <w:lang w:val="fr-FR"/>
              </w:rPr>
            </w:pPr>
            <w:r>
              <w:rPr>
                <w:lang w:val="fr-FR"/>
              </w:rPr>
              <w:t>Nombre total de pensionnaires dans ces établissements</w:t>
            </w:r>
          </w:p>
        </w:tc>
        <w:tc>
          <w:tcPr>
            <w:tcW w:w="839"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1 156</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1 291</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1 362</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1 326</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1 315</w:t>
            </w:r>
          </w:p>
        </w:tc>
        <w:tc>
          <w:tcPr>
            <w:tcW w:w="87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1 243</w:t>
            </w:r>
          </w:p>
        </w:tc>
      </w:tr>
      <w:tr w:rsidR="00000000">
        <w:trPr>
          <w:cantSplit/>
          <w:jc w:val="center"/>
        </w:trPr>
        <w:tc>
          <w:tcPr>
            <w:tcW w:w="9454" w:type="dxa"/>
            <w:gridSpan w:val="7"/>
            <w:tcMar>
              <w:left w:w="57" w:type="dxa"/>
              <w:right w:w="57" w:type="dxa"/>
            </w:tcMar>
            <w:vAlign w:val="bottom"/>
          </w:tcPr>
          <w:p w:rsidR="00000000" w:rsidRDefault="00000000">
            <w:pPr>
              <w:keepNext/>
              <w:tabs>
                <w:tab w:val="left" w:pos="4253"/>
              </w:tabs>
              <w:spacing w:before="60" w:after="60"/>
              <w:ind w:right="57"/>
              <w:rPr>
                <w:lang w:val="fr-FR"/>
              </w:rPr>
            </w:pPr>
            <w:r>
              <w:rPr>
                <w:lang w:val="fr-FR"/>
              </w:rPr>
              <w:t>répartis comme suit:</w:t>
            </w:r>
          </w:p>
        </w:tc>
      </w:tr>
      <w:tr w:rsidR="00000000">
        <w:trPr>
          <w:cantSplit/>
          <w:jc w:val="center"/>
        </w:trPr>
        <w:tc>
          <w:tcPr>
            <w:tcW w:w="4905" w:type="dxa"/>
            <w:tcMar>
              <w:left w:w="57" w:type="dxa"/>
              <w:right w:w="57" w:type="dxa"/>
            </w:tcMar>
            <w:vAlign w:val="bottom"/>
          </w:tcPr>
          <w:p w:rsidR="00000000" w:rsidRDefault="00000000">
            <w:pPr>
              <w:keepNext/>
              <w:tabs>
                <w:tab w:val="left" w:pos="4253"/>
              </w:tabs>
              <w:spacing w:before="60" w:after="60"/>
              <w:ind w:left="170"/>
              <w:rPr>
                <w:lang w:val="fr-FR"/>
              </w:rPr>
            </w:pPr>
            <w:r>
              <w:rPr>
                <w:lang w:val="fr-FR"/>
              </w:rPr>
              <w:t>Établissements relevant du Ministère de l’éducation</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738</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850</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906</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883</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842</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724</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r>
              <w:rPr>
                <w:lang w:val="fr-FR"/>
              </w:rPr>
              <w:t>Établissements relevant du Ministère du travail, de la santé et des affaires sociales</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334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357</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372</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359</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310</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314</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r>
              <w:rPr>
                <w:lang w:val="fr-FR"/>
              </w:rPr>
              <w:t>Autres établissements</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84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163</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205</w:t>
            </w:r>
          </w:p>
        </w:tc>
      </w:tr>
      <w:tr w:rsidR="00000000">
        <w:trPr>
          <w:cantSplit/>
          <w:jc w:val="center"/>
        </w:trPr>
        <w:tc>
          <w:tcPr>
            <w:tcW w:w="4905" w:type="dxa"/>
            <w:tcBorders>
              <w:bottom w:val="single" w:sz="4" w:space="0" w:color="auto"/>
            </w:tcBorders>
            <w:tcMar>
              <w:left w:w="57" w:type="dxa"/>
              <w:right w:w="57" w:type="dxa"/>
            </w:tcMar>
            <w:vAlign w:val="bottom"/>
          </w:tcPr>
          <w:p w:rsidR="00000000" w:rsidRDefault="00000000">
            <w:pPr>
              <w:tabs>
                <w:tab w:val="left" w:pos="4253"/>
              </w:tabs>
              <w:spacing w:before="60" w:after="60"/>
              <w:rPr>
                <w:lang w:val="fr-FR"/>
              </w:rPr>
            </w:pPr>
            <w:r>
              <w:rPr>
                <w:lang w:val="fr-FR"/>
              </w:rPr>
              <w:t>Nombre total de pensionnats</w:t>
            </w:r>
          </w:p>
        </w:tc>
        <w:tc>
          <w:tcPr>
            <w:tcW w:w="839"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41</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39</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40</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40</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42</w:t>
            </w:r>
          </w:p>
        </w:tc>
        <w:tc>
          <w:tcPr>
            <w:tcW w:w="87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w:t>
            </w:r>
          </w:p>
        </w:tc>
      </w:tr>
      <w:tr w:rsidR="00000000">
        <w:trPr>
          <w:cantSplit/>
          <w:jc w:val="center"/>
        </w:trPr>
        <w:tc>
          <w:tcPr>
            <w:tcW w:w="9454" w:type="dxa"/>
            <w:gridSpan w:val="7"/>
            <w:tcMar>
              <w:left w:w="57" w:type="dxa"/>
              <w:right w:w="57" w:type="dxa"/>
            </w:tcMar>
            <w:vAlign w:val="bottom"/>
          </w:tcPr>
          <w:p w:rsidR="00000000" w:rsidRDefault="00000000">
            <w:pPr>
              <w:tabs>
                <w:tab w:val="left" w:pos="4253"/>
              </w:tabs>
              <w:spacing w:before="60" w:after="60"/>
              <w:ind w:right="57"/>
              <w:rPr>
                <w:lang w:val="fr-FR"/>
              </w:rPr>
            </w:pPr>
            <w:r>
              <w:rPr>
                <w:lang w:val="fr-FR"/>
              </w:rPr>
              <w:t>dont:</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iCs/>
                <w:lang w:val="fr-FR"/>
              </w:rPr>
            </w:pPr>
            <w:r>
              <w:rPr>
                <w:lang w:val="fr-FR"/>
              </w:rPr>
              <w:t>Pensionnats</w:t>
            </w:r>
            <w:r>
              <w:rPr>
                <w:iCs/>
                <w:lang w:val="fr-FR"/>
              </w:rPr>
              <w:t xml:space="preserve"> ordinaires</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27</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25</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26</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26</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28</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r>
              <w:rPr>
                <w:lang w:val="fr-FR"/>
              </w:rPr>
              <w:t>Pensionnats destinés aux enfants souffrant d’un handicap mental ou physique</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14</w:t>
            </w:r>
          </w:p>
        </w:tc>
      </w:tr>
      <w:tr w:rsidR="00000000">
        <w:trPr>
          <w:cantSplit/>
          <w:jc w:val="center"/>
        </w:trPr>
        <w:tc>
          <w:tcPr>
            <w:tcW w:w="4905" w:type="dxa"/>
            <w:tcBorders>
              <w:bottom w:val="single" w:sz="4" w:space="0" w:color="auto"/>
            </w:tcBorders>
            <w:tcMar>
              <w:left w:w="57" w:type="dxa"/>
              <w:right w:w="57" w:type="dxa"/>
            </w:tcMar>
            <w:vAlign w:val="bottom"/>
          </w:tcPr>
          <w:p w:rsidR="00000000" w:rsidRDefault="00000000">
            <w:pPr>
              <w:tabs>
                <w:tab w:val="left" w:pos="4253"/>
              </w:tabs>
              <w:spacing w:before="60" w:after="60"/>
              <w:rPr>
                <w:lang w:val="fr-FR"/>
              </w:rPr>
            </w:pPr>
            <w:r>
              <w:rPr>
                <w:lang w:val="fr-FR"/>
              </w:rPr>
              <w:t>Nombre total de pensionnaires</w:t>
            </w:r>
          </w:p>
        </w:tc>
        <w:tc>
          <w:tcPr>
            <w:tcW w:w="839"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6 586</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6 302</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6 322</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6 022</w:t>
            </w:r>
          </w:p>
        </w:tc>
        <w:tc>
          <w:tcPr>
            <w:tcW w:w="71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6 500</w:t>
            </w:r>
          </w:p>
        </w:tc>
        <w:tc>
          <w:tcPr>
            <w:tcW w:w="870" w:type="dxa"/>
            <w:tcBorders>
              <w:bottom w:val="single" w:sz="4" w:space="0" w:color="auto"/>
            </w:tcBorders>
            <w:tcMar>
              <w:left w:w="57" w:type="dxa"/>
              <w:right w:w="57" w:type="dxa"/>
            </w:tcMar>
            <w:vAlign w:val="bottom"/>
          </w:tcPr>
          <w:p w:rsidR="00000000" w:rsidRDefault="00000000">
            <w:pPr>
              <w:tabs>
                <w:tab w:val="left" w:pos="4253"/>
              </w:tabs>
              <w:spacing w:before="60" w:after="60"/>
              <w:ind w:right="57"/>
              <w:jc w:val="right"/>
              <w:rPr>
                <w:lang w:val="fr-FR"/>
              </w:rPr>
            </w:pPr>
            <w:r>
              <w:rPr>
                <w:lang w:val="fr-FR"/>
              </w:rPr>
              <w:t>-</w:t>
            </w:r>
          </w:p>
        </w:tc>
      </w:tr>
      <w:tr w:rsidR="00000000">
        <w:trPr>
          <w:cantSplit/>
          <w:jc w:val="center"/>
        </w:trPr>
        <w:tc>
          <w:tcPr>
            <w:tcW w:w="9454" w:type="dxa"/>
            <w:gridSpan w:val="7"/>
            <w:tcMar>
              <w:left w:w="57" w:type="dxa"/>
              <w:right w:w="57" w:type="dxa"/>
            </w:tcMar>
            <w:vAlign w:val="bottom"/>
          </w:tcPr>
          <w:p w:rsidR="00000000" w:rsidRDefault="00000000">
            <w:pPr>
              <w:tabs>
                <w:tab w:val="left" w:pos="4253"/>
              </w:tabs>
              <w:spacing w:before="60" w:after="60"/>
              <w:ind w:right="57"/>
              <w:rPr>
                <w:lang w:val="fr-FR"/>
              </w:rPr>
            </w:pPr>
            <w:r>
              <w:rPr>
                <w:lang w:val="fr-FR"/>
              </w:rPr>
              <w:t>répartis comme suit:</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bookmarkStart w:id="3" w:name="_Hlk121040641"/>
            <w:r>
              <w:rPr>
                <w:lang w:val="fr-FR"/>
              </w:rPr>
              <w:t xml:space="preserve">Pensionnats </w:t>
            </w:r>
            <w:r>
              <w:rPr>
                <w:iCs/>
                <w:lang w:val="fr-FR"/>
              </w:rPr>
              <w:t>ordinaires</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4 890</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4 605</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4 618</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4 288</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4 696</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w:t>
            </w:r>
          </w:p>
        </w:tc>
      </w:tr>
      <w:tr w:rsidR="00000000">
        <w:trPr>
          <w:cantSplit/>
          <w:jc w:val="center"/>
        </w:trPr>
        <w:tc>
          <w:tcPr>
            <w:tcW w:w="4905" w:type="dxa"/>
            <w:tcMar>
              <w:left w:w="57" w:type="dxa"/>
              <w:right w:w="57" w:type="dxa"/>
            </w:tcMar>
            <w:vAlign w:val="bottom"/>
          </w:tcPr>
          <w:p w:rsidR="00000000" w:rsidRDefault="00000000">
            <w:pPr>
              <w:tabs>
                <w:tab w:val="left" w:pos="4253"/>
              </w:tabs>
              <w:spacing w:before="60" w:after="60"/>
              <w:ind w:left="170"/>
              <w:rPr>
                <w:lang w:val="fr-FR"/>
              </w:rPr>
            </w:pPr>
            <w:r>
              <w:rPr>
                <w:lang w:val="fr-FR"/>
              </w:rPr>
              <w:t>Pensionnats destinés aux enfants souffrant d’un handicap mental ou physique</w:t>
            </w:r>
          </w:p>
        </w:tc>
        <w:tc>
          <w:tcPr>
            <w:tcW w:w="839"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1 696</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1 697</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1 704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1 734</w:t>
            </w:r>
          </w:p>
        </w:tc>
        <w:tc>
          <w:tcPr>
            <w:tcW w:w="71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1 804</w:t>
            </w:r>
          </w:p>
        </w:tc>
        <w:tc>
          <w:tcPr>
            <w:tcW w:w="870" w:type="dxa"/>
            <w:tcMar>
              <w:left w:w="57" w:type="dxa"/>
              <w:right w:w="57" w:type="dxa"/>
            </w:tcMar>
            <w:vAlign w:val="bottom"/>
          </w:tcPr>
          <w:p w:rsidR="00000000" w:rsidRDefault="00000000">
            <w:pPr>
              <w:tabs>
                <w:tab w:val="left" w:pos="4253"/>
              </w:tabs>
              <w:spacing w:before="60" w:after="60"/>
              <w:ind w:right="57"/>
              <w:jc w:val="right"/>
              <w:rPr>
                <w:lang w:val="fr-FR"/>
              </w:rPr>
            </w:pPr>
            <w:r>
              <w:rPr>
                <w:lang w:val="fr-FR"/>
              </w:rPr>
              <w:t>1 565</w:t>
            </w:r>
          </w:p>
        </w:tc>
      </w:tr>
    </w:tbl>
    <w:bookmarkEnd w:id="3"/>
    <w:p w:rsidR="00000000" w:rsidRDefault="00000000">
      <w:pPr>
        <w:pStyle w:val="FootnoteText"/>
        <w:spacing w:before="240" w:after="240"/>
        <w:ind w:firstLine="567"/>
        <w:rPr>
          <w:lang w:val="fr-FR"/>
        </w:rPr>
      </w:pPr>
      <w:r>
        <w:rPr>
          <w:i/>
          <w:iCs/>
          <w:lang w:val="fr-FR"/>
        </w:rPr>
        <w:t>Source</w:t>
      </w:r>
      <w:r>
        <w:rPr>
          <w:lang w:val="fr-FR"/>
        </w:rPr>
        <w:t>:</w:t>
      </w:r>
      <w:r>
        <w:rPr>
          <w:b/>
          <w:i/>
          <w:iCs/>
          <w:lang w:val="fr-FR"/>
        </w:rPr>
        <w:t xml:space="preserve"> </w:t>
      </w:r>
      <w:r>
        <w:rPr>
          <w:lang w:val="fr-FR"/>
        </w:rPr>
        <w:t>Ministère du travail, de la santé et des affaires sociales et Ministère de l’éducation et des sciences.</w:t>
      </w:r>
    </w:p>
    <w:p w:rsidR="00000000" w:rsidRDefault="00000000">
      <w:pPr>
        <w:pStyle w:val="FootnoteText"/>
        <w:spacing w:after="240"/>
        <w:rPr>
          <w:lang w:val="fr-FR"/>
        </w:rPr>
      </w:pPr>
      <w:r>
        <w:rPr>
          <w:lang w:val="fr-FR"/>
        </w:rPr>
        <w:t>110.</w:t>
      </w:r>
      <w:r>
        <w:rPr>
          <w:lang w:val="fr-FR"/>
        </w:rPr>
        <w:tab/>
        <w:t xml:space="preserve">Jusqu’à récemment, il n’y avait que peu de solutions pour les enfants handicapés, outre le placement en institution ou dans des écoles spécialisées. Cette situation a toutefois évolué grâce à la nouvelle loi sur l’enseignement général promulguée en 2005, qui dispose que «les établissements d’enseignement général sont autorisés à créer les conditions nécessaires à une éducation </w:t>
      </w:r>
      <w:proofErr w:type="spellStart"/>
      <w:r>
        <w:rPr>
          <w:lang w:val="fr-FR"/>
        </w:rPr>
        <w:t>intégratrice</w:t>
      </w:r>
      <w:proofErr w:type="spellEnd"/>
      <w:r>
        <w:rPr>
          <w:lang w:val="fr-FR"/>
        </w:rPr>
        <w:t xml:space="preserve">» (art. 31, par. 4). Grâce à cette nouvelle disposition, pour la première fois, la Géorgie a la possibilité de concevoir des solutions de remplacement au placement en institution qui, souvent, était la seule option pour les enfants handicapés. Sur la base de cette législation, des projets pilotes d’éducation </w:t>
      </w:r>
      <w:proofErr w:type="spellStart"/>
      <w:r>
        <w:rPr>
          <w:lang w:val="fr-FR"/>
        </w:rPr>
        <w:t>intégratrice</w:t>
      </w:r>
      <w:proofErr w:type="spellEnd"/>
      <w:r>
        <w:rPr>
          <w:lang w:val="fr-FR"/>
        </w:rPr>
        <w:t xml:space="preserve"> ont été lancés dans 10 écoles de Tbilissi, avec pour but de faire participer les enfants ayant des besoins spéciaux au processus éducatif. Le suivi de ces projets a montré que, grâce à cette éducation </w:t>
      </w:r>
      <w:proofErr w:type="spellStart"/>
      <w:r>
        <w:rPr>
          <w:lang w:val="fr-FR"/>
        </w:rPr>
        <w:t>intégratrice</w:t>
      </w:r>
      <w:proofErr w:type="spellEnd"/>
      <w:r>
        <w:rPr>
          <w:lang w:val="fr-FR"/>
        </w:rPr>
        <w:t>, les enfants handicapés − qui étaient socialement isolés et rejetés − sont mieux intégrés dans la société.</w:t>
      </w:r>
    </w:p>
    <w:p w:rsidR="00000000" w:rsidRDefault="00000000">
      <w:pPr>
        <w:keepNext/>
        <w:spacing w:after="240"/>
        <w:rPr>
          <w:b/>
          <w:bCs/>
          <w:lang w:val="fr-FR"/>
        </w:rPr>
      </w:pPr>
      <w:r>
        <w:rPr>
          <w:b/>
          <w:bCs/>
          <w:lang w:val="fr-FR"/>
        </w:rPr>
        <w:t>Programme d’aide ciblée aux familles</w:t>
      </w:r>
    </w:p>
    <w:p w:rsidR="00000000" w:rsidRDefault="00000000">
      <w:pPr>
        <w:spacing w:after="240"/>
        <w:rPr>
          <w:lang w:val="fr-FR"/>
        </w:rPr>
      </w:pPr>
      <w:r>
        <w:rPr>
          <w:lang w:val="fr-FR"/>
        </w:rPr>
        <w:t>111.</w:t>
      </w:r>
      <w:r>
        <w:rPr>
          <w:lang w:val="fr-FR"/>
        </w:rPr>
        <w:tab/>
        <w:t>Les deuxième et troisième rapports périodiques présentés en un seul document par la Géorgie au titre de la Convention internationale sur l’élimination de toutes les formes de discrimination raciale présentent des informations sur les bénéficiaires du programme d’aide (sociale) ciblée aux familles et ses aspects financiers pour la période 2000</w:t>
      </w:r>
      <w:r>
        <w:rPr>
          <w:lang w:val="fr-FR"/>
        </w:rPr>
        <w:noBreakHyphen/>
        <w:t>2004 (voir CERD/C/461/Add.1, par. 107 à 109).</w:t>
      </w:r>
    </w:p>
    <w:p w:rsidR="00000000" w:rsidRDefault="00000000">
      <w:pPr>
        <w:spacing w:after="240"/>
        <w:rPr>
          <w:lang w:val="fr-FR"/>
        </w:rPr>
      </w:pPr>
      <w:r>
        <w:rPr>
          <w:lang w:val="fr-FR"/>
        </w:rPr>
        <w:t>112.</w:t>
      </w:r>
      <w:r>
        <w:rPr>
          <w:lang w:val="fr-FR"/>
        </w:rPr>
        <w:tab/>
        <w:t>Pour 2005, le Ministère du travail, de la santé et des affaires sociales a déterminé comme suit les bénéficiaires de l’aide financière et le montant maximal qui leur est accordé:</w:t>
      </w:r>
    </w:p>
    <w:p w:rsidR="00000000" w:rsidRDefault="00000000">
      <w:pPr>
        <w:spacing w:after="240"/>
        <w:ind w:firstLine="567"/>
        <w:rPr>
          <w:lang w:val="fr-FR"/>
        </w:rPr>
      </w:pPr>
      <w:r>
        <w:rPr>
          <w:lang w:val="fr-FR"/>
        </w:rPr>
        <w:t>a)</w:t>
      </w:r>
      <w:r>
        <w:rPr>
          <w:lang w:val="fr-FR"/>
        </w:rPr>
        <w:tab/>
        <w:t xml:space="preserve">Familles avec un pensionné sans emploi − 22 </w:t>
      </w:r>
      <w:proofErr w:type="spellStart"/>
      <w:r>
        <w:rPr>
          <w:lang w:val="fr-FR"/>
        </w:rPr>
        <w:t>lari</w:t>
      </w:r>
      <w:proofErr w:type="spellEnd"/>
      <w:r>
        <w:rPr>
          <w:lang w:val="fr-FR"/>
        </w:rPr>
        <w:t>;</w:t>
      </w:r>
    </w:p>
    <w:p w:rsidR="00000000" w:rsidRDefault="00000000">
      <w:pPr>
        <w:spacing w:after="240"/>
        <w:ind w:firstLine="567"/>
        <w:rPr>
          <w:lang w:val="fr-FR"/>
        </w:rPr>
      </w:pPr>
      <w:r>
        <w:rPr>
          <w:lang w:val="fr-FR"/>
        </w:rPr>
        <w:t>b)</w:t>
      </w:r>
      <w:r>
        <w:rPr>
          <w:lang w:val="fr-FR"/>
        </w:rPr>
        <w:tab/>
        <w:t>Familles avec deux pensionnés sans emploi ou plus − 35 </w:t>
      </w:r>
      <w:proofErr w:type="spellStart"/>
      <w:r>
        <w:rPr>
          <w:lang w:val="fr-FR"/>
        </w:rPr>
        <w:t>lari</w:t>
      </w:r>
      <w:proofErr w:type="spellEnd"/>
      <w:r>
        <w:rPr>
          <w:lang w:val="fr-FR"/>
        </w:rPr>
        <w:t>;</w:t>
      </w:r>
    </w:p>
    <w:p w:rsidR="00000000" w:rsidRDefault="00000000">
      <w:pPr>
        <w:spacing w:after="240"/>
        <w:ind w:firstLine="567"/>
        <w:rPr>
          <w:lang w:val="fr-FR"/>
        </w:rPr>
      </w:pPr>
      <w:r>
        <w:rPr>
          <w:lang w:val="fr-FR"/>
        </w:rPr>
        <w:t>c)</w:t>
      </w:r>
      <w:r>
        <w:rPr>
          <w:lang w:val="fr-FR"/>
        </w:rPr>
        <w:tab/>
        <w:t>Enfants orphelins − 22 </w:t>
      </w:r>
      <w:proofErr w:type="spellStart"/>
      <w:r>
        <w:rPr>
          <w:lang w:val="fr-FR"/>
        </w:rPr>
        <w:t>lari</w:t>
      </w:r>
      <w:proofErr w:type="spellEnd"/>
      <w:r>
        <w:rPr>
          <w:lang w:val="fr-FR"/>
        </w:rPr>
        <w:t>;</w:t>
      </w:r>
    </w:p>
    <w:p w:rsidR="00000000" w:rsidRDefault="00000000">
      <w:pPr>
        <w:spacing w:after="240"/>
        <w:ind w:firstLine="567"/>
        <w:rPr>
          <w:lang w:val="fr-FR"/>
        </w:rPr>
      </w:pPr>
      <w:r>
        <w:rPr>
          <w:lang w:val="fr-FR"/>
        </w:rPr>
        <w:t>d)</w:t>
      </w:r>
      <w:r>
        <w:rPr>
          <w:lang w:val="fr-FR"/>
        </w:rPr>
        <w:tab/>
        <w:t xml:space="preserve">Personnes aveugles du premier groupe − 22 </w:t>
      </w:r>
      <w:proofErr w:type="spellStart"/>
      <w:r>
        <w:rPr>
          <w:lang w:val="fr-FR"/>
        </w:rPr>
        <w:t>lari</w:t>
      </w:r>
      <w:proofErr w:type="spellEnd"/>
      <w:r>
        <w:rPr>
          <w:lang w:val="fr-FR"/>
        </w:rPr>
        <w:t>;</w:t>
      </w:r>
    </w:p>
    <w:p w:rsidR="00000000" w:rsidRDefault="00000000">
      <w:pPr>
        <w:spacing w:after="240"/>
        <w:ind w:firstLine="567"/>
        <w:rPr>
          <w:lang w:val="fr-FR"/>
        </w:rPr>
      </w:pPr>
      <w:r>
        <w:rPr>
          <w:lang w:val="fr-FR"/>
        </w:rPr>
        <w:t>e)</w:t>
      </w:r>
      <w:r>
        <w:rPr>
          <w:lang w:val="fr-FR"/>
        </w:rPr>
        <w:tab/>
        <w:t xml:space="preserve">Enfants handicapés âgés de moins de 18 ans − 22 </w:t>
      </w:r>
      <w:proofErr w:type="spellStart"/>
      <w:r>
        <w:rPr>
          <w:lang w:val="fr-FR"/>
        </w:rPr>
        <w:t>lari</w:t>
      </w:r>
      <w:proofErr w:type="spellEnd"/>
      <w:r>
        <w:rPr>
          <w:lang w:val="fr-FR"/>
        </w:rPr>
        <w:t>;</w:t>
      </w:r>
    </w:p>
    <w:p w:rsidR="00000000" w:rsidRDefault="00000000">
      <w:pPr>
        <w:spacing w:after="240"/>
        <w:ind w:firstLine="567"/>
        <w:rPr>
          <w:lang w:val="fr-FR"/>
        </w:rPr>
      </w:pPr>
      <w:r>
        <w:rPr>
          <w:lang w:val="fr-FR"/>
        </w:rPr>
        <w:t>f)</w:t>
      </w:r>
      <w:r>
        <w:rPr>
          <w:lang w:val="fr-FR"/>
        </w:rPr>
        <w:tab/>
        <w:t xml:space="preserve">Familles nombreuses (ayant sept enfants ou plus âgés de moins de 18 ans − 35 </w:t>
      </w:r>
      <w:proofErr w:type="spellStart"/>
      <w:r>
        <w:rPr>
          <w:lang w:val="fr-FR"/>
        </w:rPr>
        <w:t>lari</w:t>
      </w:r>
      <w:proofErr w:type="spellEnd"/>
      <w:r>
        <w:rPr>
          <w:lang w:val="fr-FR"/>
        </w:rPr>
        <w:t>.</w:t>
      </w:r>
    </w:p>
    <w:p w:rsidR="00000000" w:rsidRDefault="00000000">
      <w:pPr>
        <w:spacing w:after="240"/>
        <w:rPr>
          <w:lang w:val="fr-FR"/>
        </w:rPr>
      </w:pPr>
      <w:r>
        <w:rPr>
          <w:lang w:val="fr-FR"/>
        </w:rPr>
        <w:t>113.</w:t>
      </w:r>
      <w:r>
        <w:rPr>
          <w:lang w:val="fr-FR"/>
        </w:rPr>
        <w:tab/>
        <w:t xml:space="preserve">Ces aides sont prélevés sur le budget de l’État, sauf dans les villes de </w:t>
      </w:r>
      <w:proofErr w:type="spellStart"/>
      <w:r>
        <w:rPr>
          <w:lang w:val="fr-FR"/>
        </w:rPr>
        <w:t>Borjomi</w:t>
      </w:r>
      <w:proofErr w:type="spellEnd"/>
      <w:r>
        <w:rPr>
          <w:lang w:val="fr-FR"/>
        </w:rPr>
        <w:t xml:space="preserve">, </w:t>
      </w:r>
      <w:proofErr w:type="spellStart"/>
      <w:r>
        <w:rPr>
          <w:lang w:val="fr-FR"/>
        </w:rPr>
        <w:t>Bolnisi</w:t>
      </w:r>
      <w:proofErr w:type="spellEnd"/>
      <w:r>
        <w:rPr>
          <w:lang w:val="fr-FR"/>
        </w:rPr>
        <w:t xml:space="preserve">, </w:t>
      </w:r>
      <w:proofErr w:type="spellStart"/>
      <w:r>
        <w:rPr>
          <w:lang w:val="fr-FR"/>
        </w:rPr>
        <w:t>Batumi</w:t>
      </w:r>
      <w:proofErr w:type="spellEnd"/>
      <w:r>
        <w:rPr>
          <w:lang w:val="fr-FR"/>
        </w:rPr>
        <w:t xml:space="preserve">, </w:t>
      </w:r>
      <w:proofErr w:type="spellStart"/>
      <w:r>
        <w:rPr>
          <w:lang w:val="fr-FR"/>
        </w:rPr>
        <w:t>Poti</w:t>
      </w:r>
      <w:proofErr w:type="spellEnd"/>
      <w:r>
        <w:rPr>
          <w:lang w:val="fr-FR"/>
        </w:rPr>
        <w:t xml:space="preserve"> et Tbilissi, ou elles sont imputées aux budgets locaux.</w:t>
      </w:r>
    </w:p>
    <w:p w:rsidR="00000000" w:rsidRDefault="00000000">
      <w:pPr>
        <w:spacing w:after="240"/>
        <w:rPr>
          <w:lang w:val="fr-FR"/>
        </w:rPr>
      </w:pPr>
      <w:r>
        <w:rPr>
          <w:lang w:val="fr-FR"/>
        </w:rPr>
        <w:t>114.</w:t>
      </w:r>
      <w:r>
        <w:rPr>
          <w:lang w:val="fr-FR"/>
        </w:rPr>
        <w:tab/>
        <w:t xml:space="preserve">Le tableau </w:t>
      </w:r>
      <w:proofErr w:type="spellStart"/>
      <w:r>
        <w:rPr>
          <w:lang w:val="fr-FR"/>
        </w:rPr>
        <w:t>ci</w:t>
      </w:r>
      <w:r>
        <w:rPr>
          <w:lang w:val="fr-FR"/>
        </w:rPr>
        <w:noBreakHyphen/>
        <w:t>dessous</w:t>
      </w:r>
      <w:proofErr w:type="spellEnd"/>
      <w:r>
        <w:rPr>
          <w:lang w:val="fr-FR"/>
        </w:rPr>
        <w:t xml:space="preserve"> indique le nombre total d’enfants bénéficiaires de cette assistance, la façon dont elle est répartie ainsi que son volume: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851"/>
        <w:gridCol w:w="850"/>
        <w:gridCol w:w="851"/>
        <w:gridCol w:w="992"/>
        <w:gridCol w:w="992"/>
        <w:gridCol w:w="992"/>
        <w:gridCol w:w="993"/>
        <w:gridCol w:w="992"/>
      </w:tblGrid>
      <w:tr w:rsidR="00000000">
        <w:trPr>
          <w:cantSplit/>
          <w:trHeight w:val="20"/>
        </w:trPr>
        <w:tc>
          <w:tcPr>
            <w:tcW w:w="1843" w:type="dxa"/>
            <w:vMerge w:val="restart"/>
            <w:vAlign w:val="center"/>
          </w:tcPr>
          <w:p w:rsidR="00000000" w:rsidRDefault="00000000">
            <w:pPr>
              <w:spacing w:before="60" w:after="60"/>
              <w:jc w:val="center"/>
              <w:rPr>
                <w:sz w:val="18"/>
                <w:lang w:val="fr-FR"/>
              </w:rPr>
            </w:pPr>
            <w:r>
              <w:rPr>
                <w:sz w:val="18"/>
                <w:lang w:val="fr-FR"/>
              </w:rPr>
              <w:t>Catégorie</w:t>
            </w:r>
          </w:p>
        </w:tc>
        <w:tc>
          <w:tcPr>
            <w:tcW w:w="3544" w:type="dxa"/>
            <w:gridSpan w:val="4"/>
            <w:vAlign w:val="center"/>
          </w:tcPr>
          <w:p w:rsidR="00000000" w:rsidRDefault="00000000">
            <w:pPr>
              <w:spacing w:before="60" w:after="60"/>
              <w:jc w:val="center"/>
              <w:rPr>
                <w:sz w:val="18"/>
                <w:lang w:val="fr-FR"/>
              </w:rPr>
            </w:pPr>
            <w:r>
              <w:rPr>
                <w:sz w:val="18"/>
                <w:lang w:val="fr-FR"/>
              </w:rPr>
              <w:t>Nombre de bénéficiaires</w:t>
            </w:r>
          </w:p>
        </w:tc>
        <w:tc>
          <w:tcPr>
            <w:tcW w:w="3969" w:type="dxa"/>
            <w:gridSpan w:val="4"/>
            <w:vAlign w:val="center"/>
          </w:tcPr>
          <w:p w:rsidR="00000000" w:rsidRDefault="00000000">
            <w:pPr>
              <w:spacing w:before="60" w:after="60"/>
              <w:jc w:val="center"/>
              <w:rPr>
                <w:sz w:val="18"/>
                <w:lang w:val="fr-FR"/>
              </w:rPr>
            </w:pPr>
            <w:r>
              <w:rPr>
                <w:sz w:val="18"/>
                <w:lang w:val="fr-FR"/>
              </w:rPr>
              <w:t>Montants versés (</w:t>
            </w:r>
            <w:proofErr w:type="spellStart"/>
            <w:r>
              <w:rPr>
                <w:sz w:val="18"/>
                <w:lang w:val="fr-FR"/>
              </w:rPr>
              <w:t>lari</w:t>
            </w:r>
            <w:proofErr w:type="spellEnd"/>
            <w:r>
              <w:rPr>
                <w:sz w:val="18"/>
                <w:lang w:val="fr-FR"/>
              </w:rPr>
              <w:t>)</w:t>
            </w:r>
          </w:p>
        </w:tc>
      </w:tr>
      <w:tr w:rsidR="00000000">
        <w:trPr>
          <w:cantSplit/>
          <w:trHeight w:val="20"/>
        </w:trPr>
        <w:tc>
          <w:tcPr>
            <w:tcW w:w="1843" w:type="dxa"/>
            <w:vMerge/>
            <w:tcBorders>
              <w:bottom w:val="single" w:sz="4" w:space="0" w:color="auto"/>
            </w:tcBorders>
            <w:vAlign w:val="center"/>
          </w:tcPr>
          <w:p w:rsidR="00000000" w:rsidRDefault="00000000">
            <w:pPr>
              <w:spacing w:before="60" w:after="60"/>
              <w:jc w:val="center"/>
              <w:rPr>
                <w:bCs/>
                <w:sz w:val="18"/>
                <w:szCs w:val="18"/>
                <w:lang w:val="fr-FR"/>
              </w:rPr>
            </w:pPr>
          </w:p>
        </w:tc>
        <w:tc>
          <w:tcPr>
            <w:tcW w:w="851"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2002</w:t>
            </w:r>
          </w:p>
        </w:tc>
        <w:tc>
          <w:tcPr>
            <w:tcW w:w="850"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2003</w:t>
            </w:r>
          </w:p>
        </w:tc>
        <w:tc>
          <w:tcPr>
            <w:tcW w:w="851"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2004</w:t>
            </w:r>
          </w:p>
        </w:tc>
        <w:tc>
          <w:tcPr>
            <w:tcW w:w="992"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2005</w:t>
            </w:r>
          </w:p>
        </w:tc>
        <w:tc>
          <w:tcPr>
            <w:tcW w:w="992"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2002</w:t>
            </w:r>
          </w:p>
        </w:tc>
        <w:tc>
          <w:tcPr>
            <w:tcW w:w="992"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2003</w:t>
            </w:r>
          </w:p>
        </w:tc>
        <w:tc>
          <w:tcPr>
            <w:tcW w:w="993"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2004</w:t>
            </w:r>
          </w:p>
        </w:tc>
        <w:tc>
          <w:tcPr>
            <w:tcW w:w="992" w:type="dxa"/>
            <w:tcBorders>
              <w:bottom w:val="single" w:sz="4" w:space="0" w:color="auto"/>
            </w:tcBorders>
          </w:tcPr>
          <w:p w:rsidR="00000000" w:rsidRDefault="00000000">
            <w:pPr>
              <w:spacing w:before="60" w:after="60"/>
              <w:jc w:val="center"/>
              <w:rPr>
                <w:bCs/>
                <w:sz w:val="18"/>
                <w:szCs w:val="18"/>
                <w:lang w:val="fr-FR"/>
              </w:rPr>
            </w:pPr>
            <w:r>
              <w:rPr>
                <w:bCs/>
                <w:sz w:val="18"/>
                <w:szCs w:val="18"/>
                <w:lang w:val="fr-FR"/>
              </w:rPr>
              <w:t>2005</w:t>
            </w:r>
          </w:p>
        </w:tc>
      </w:tr>
      <w:tr w:rsidR="00000000">
        <w:trPr>
          <w:cantSplit/>
          <w:trHeight w:val="20"/>
        </w:trPr>
        <w:tc>
          <w:tcPr>
            <w:tcW w:w="1843" w:type="dxa"/>
            <w:tcBorders>
              <w:bottom w:val="single" w:sz="4" w:space="0" w:color="auto"/>
            </w:tcBorders>
          </w:tcPr>
          <w:p w:rsidR="00000000" w:rsidRDefault="00000000">
            <w:pPr>
              <w:spacing w:before="60" w:after="60"/>
              <w:rPr>
                <w:sz w:val="18"/>
                <w:lang w:val="fr-FR"/>
              </w:rPr>
            </w:pPr>
            <w:r>
              <w:rPr>
                <w:sz w:val="18"/>
                <w:lang w:val="fr-FR"/>
              </w:rPr>
              <w:t>Familles accueillant des enfants orphelins</w:t>
            </w:r>
          </w:p>
        </w:tc>
        <w:tc>
          <w:tcPr>
            <w:tcW w:w="851"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1 073</w:t>
            </w:r>
          </w:p>
        </w:tc>
        <w:tc>
          <w:tcPr>
            <w:tcW w:w="850"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1 239</w:t>
            </w:r>
          </w:p>
        </w:tc>
        <w:tc>
          <w:tcPr>
            <w:tcW w:w="851"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1 457</w:t>
            </w:r>
          </w:p>
        </w:tc>
        <w:tc>
          <w:tcPr>
            <w:tcW w:w="992"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1 344</w:t>
            </w:r>
          </w:p>
        </w:tc>
        <w:tc>
          <w:tcPr>
            <w:tcW w:w="992"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265 701</w:t>
            </w:r>
          </w:p>
        </w:tc>
        <w:tc>
          <w:tcPr>
            <w:tcW w:w="992"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300 993</w:t>
            </w:r>
          </w:p>
        </w:tc>
        <w:tc>
          <w:tcPr>
            <w:tcW w:w="993"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377 586</w:t>
            </w:r>
          </w:p>
        </w:tc>
        <w:tc>
          <w:tcPr>
            <w:tcW w:w="992" w:type="dxa"/>
            <w:tcBorders>
              <w:bottom w:val="single" w:sz="4" w:space="0" w:color="auto"/>
            </w:tcBorders>
            <w:vAlign w:val="bottom"/>
          </w:tcPr>
          <w:p w:rsidR="00000000" w:rsidRDefault="00000000">
            <w:pPr>
              <w:spacing w:before="60" w:after="60"/>
              <w:jc w:val="right"/>
              <w:rPr>
                <w:sz w:val="18"/>
                <w:szCs w:val="18"/>
                <w:lang w:val="fr-FR"/>
              </w:rPr>
            </w:pPr>
            <w:r>
              <w:rPr>
                <w:sz w:val="18"/>
                <w:szCs w:val="18"/>
                <w:lang w:val="fr-FR"/>
              </w:rPr>
              <w:t>488 500</w:t>
            </w:r>
          </w:p>
        </w:tc>
      </w:tr>
      <w:tr w:rsidR="00000000">
        <w:trPr>
          <w:cantSplit/>
          <w:trHeight w:val="20"/>
        </w:trPr>
        <w:tc>
          <w:tcPr>
            <w:tcW w:w="1843" w:type="dxa"/>
            <w:tcBorders>
              <w:top w:val="single" w:sz="4" w:space="0" w:color="auto"/>
              <w:bottom w:val="single" w:sz="4" w:space="0" w:color="auto"/>
            </w:tcBorders>
          </w:tcPr>
          <w:p w:rsidR="00000000" w:rsidRDefault="00000000">
            <w:pPr>
              <w:spacing w:before="60" w:after="60"/>
              <w:rPr>
                <w:sz w:val="18"/>
                <w:lang w:val="fr-FR"/>
              </w:rPr>
            </w:pPr>
            <w:r>
              <w:rPr>
                <w:sz w:val="18"/>
                <w:lang w:val="fr-FR"/>
              </w:rPr>
              <w:t>Enfants placés dans des familles d’accueil</w:t>
            </w:r>
          </w:p>
        </w:tc>
        <w:tc>
          <w:tcPr>
            <w:tcW w:w="851"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1 524</w:t>
            </w:r>
          </w:p>
        </w:tc>
        <w:tc>
          <w:tcPr>
            <w:tcW w:w="850"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1 696</w:t>
            </w:r>
          </w:p>
        </w:tc>
        <w:tc>
          <w:tcPr>
            <w:tcW w:w="851"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1 907</w:t>
            </w:r>
          </w:p>
        </w:tc>
        <w:tc>
          <w:tcPr>
            <w:tcW w:w="992"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1 819</w:t>
            </w:r>
          </w:p>
        </w:tc>
        <w:tc>
          <w:tcPr>
            <w:tcW w:w="992"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X</w:t>
            </w:r>
          </w:p>
        </w:tc>
        <w:tc>
          <w:tcPr>
            <w:tcW w:w="992"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X</w:t>
            </w:r>
          </w:p>
        </w:tc>
        <w:tc>
          <w:tcPr>
            <w:tcW w:w="993"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X</w:t>
            </w:r>
          </w:p>
        </w:tc>
        <w:tc>
          <w:tcPr>
            <w:tcW w:w="992"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X</w:t>
            </w:r>
          </w:p>
        </w:tc>
      </w:tr>
      <w:tr w:rsidR="00000000">
        <w:trPr>
          <w:cantSplit/>
          <w:trHeight w:val="20"/>
        </w:trPr>
        <w:tc>
          <w:tcPr>
            <w:tcW w:w="1843" w:type="dxa"/>
            <w:tcBorders>
              <w:top w:val="single" w:sz="4" w:space="0" w:color="auto"/>
              <w:bottom w:val="single" w:sz="4" w:space="0" w:color="auto"/>
            </w:tcBorders>
          </w:tcPr>
          <w:p w:rsidR="00000000" w:rsidRDefault="00000000">
            <w:pPr>
              <w:spacing w:before="60" w:after="60"/>
              <w:rPr>
                <w:sz w:val="18"/>
                <w:lang w:val="fr-FR"/>
              </w:rPr>
            </w:pPr>
            <w:r>
              <w:rPr>
                <w:sz w:val="18"/>
                <w:lang w:val="fr-FR"/>
              </w:rPr>
              <w:t>Enfants handicapés de moins de 18 ans</w:t>
            </w:r>
          </w:p>
        </w:tc>
        <w:tc>
          <w:tcPr>
            <w:tcW w:w="851"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98</w:t>
            </w:r>
          </w:p>
        </w:tc>
        <w:tc>
          <w:tcPr>
            <w:tcW w:w="850"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138</w:t>
            </w:r>
          </w:p>
        </w:tc>
        <w:tc>
          <w:tcPr>
            <w:tcW w:w="851"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174</w:t>
            </w:r>
          </w:p>
        </w:tc>
        <w:tc>
          <w:tcPr>
            <w:tcW w:w="992" w:type="dxa"/>
            <w:tcBorders>
              <w:top w:val="single" w:sz="4" w:space="0" w:color="auto"/>
              <w:bottom w:val="single" w:sz="4" w:space="0" w:color="auto"/>
            </w:tcBorders>
            <w:vAlign w:val="bottom"/>
          </w:tcPr>
          <w:p w:rsidR="00000000" w:rsidRDefault="00000000">
            <w:pPr>
              <w:spacing w:before="60" w:after="60"/>
              <w:jc w:val="right"/>
              <w:rPr>
                <w:sz w:val="18"/>
                <w:szCs w:val="18"/>
                <w:lang w:val="fr-FR"/>
              </w:rPr>
            </w:pPr>
            <w:r>
              <w:rPr>
                <w:sz w:val="18"/>
                <w:szCs w:val="18"/>
                <w:lang w:val="fr-FR"/>
              </w:rPr>
              <w:t>162</w:t>
            </w:r>
          </w:p>
        </w:tc>
        <w:tc>
          <w:tcPr>
            <w:tcW w:w="992"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fr-FR"/>
              </w:rPr>
            </w:pPr>
            <w:r>
              <w:rPr>
                <w:color w:val="000000"/>
                <w:sz w:val="18"/>
                <w:szCs w:val="18"/>
                <w:lang w:val="fr-FR"/>
              </w:rPr>
              <w:t>22 286</w:t>
            </w:r>
          </w:p>
        </w:tc>
        <w:tc>
          <w:tcPr>
            <w:tcW w:w="992"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fr-FR"/>
              </w:rPr>
            </w:pPr>
            <w:r>
              <w:rPr>
                <w:color w:val="000000"/>
                <w:sz w:val="18"/>
                <w:szCs w:val="18"/>
                <w:lang w:val="fr-FR"/>
              </w:rPr>
              <w:t>33 012</w:t>
            </w:r>
          </w:p>
        </w:tc>
        <w:tc>
          <w:tcPr>
            <w:tcW w:w="993"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fr-FR"/>
              </w:rPr>
            </w:pPr>
            <w:r>
              <w:rPr>
                <w:color w:val="000000"/>
                <w:sz w:val="18"/>
                <w:szCs w:val="18"/>
                <w:lang w:val="fr-FR"/>
              </w:rPr>
              <w:t>54 810</w:t>
            </w:r>
          </w:p>
        </w:tc>
        <w:tc>
          <w:tcPr>
            <w:tcW w:w="992"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fr-FR"/>
              </w:rPr>
            </w:pPr>
            <w:r>
              <w:rPr>
                <w:color w:val="000000"/>
                <w:sz w:val="18"/>
                <w:szCs w:val="18"/>
                <w:lang w:val="fr-FR"/>
              </w:rPr>
              <w:t>59 764</w:t>
            </w:r>
          </w:p>
        </w:tc>
      </w:tr>
      <w:tr w:rsidR="00000000">
        <w:trPr>
          <w:cantSplit/>
          <w:trHeight w:val="20"/>
        </w:trPr>
        <w:tc>
          <w:tcPr>
            <w:tcW w:w="1843" w:type="dxa"/>
            <w:tcBorders>
              <w:top w:val="single" w:sz="4" w:space="0" w:color="auto"/>
              <w:bottom w:val="single" w:sz="4" w:space="0" w:color="auto"/>
            </w:tcBorders>
          </w:tcPr>
          <w:p w:rsidR="00000000" w:rsidRDefault="00000000">
            <w:pPr>
              <w:spacing w:before="60" w:after="60"/>
              <w:rPr>
                <w:sz w:val="18"/>
                <w:lang w:val="fr-FR"/>
              </w:rPr>
            </w:pPr>
            <w:r>
              <w:rPr>
                <w:sz w:val="18"/>
                <w:lang w:val="fr-FR"/>
              </w:rPr>
              <w:t>Familles avec sept enfants ou plus âgés de moins de 18 ans</w:t>
            </w:r>
          </w:p>
        </w:tc>
        <w:tc>
          <w:tcPr>
            <w:tcW w:w="851" w:type="dxa"/>
            <w:tcBorders>
              <w:top w:val="single" w:sz="4" w:space="0" w:color="auto"/>
              <w:bottom w:val="single" w:sz="4" w:space="0" w:color="auto"/>
            </w:tcBorders>
            <w:vAlign w:val="bottom"/>
          </w:tcPr>
          <w:p w:rsidR="00000000" w:rsidRDefault="00000000">
            <w:pPr>
              <w:spacing w:before="60" w:after="60"/>
              <w:jc w:val="right"/>
              <w:rPr>
                <w:sz w:val="18"/>
                <w:szCs w:val="18"/>
                <w:lang w:val="en-GB"/>
              </w:rPr>
            </w:pPr>
            <w:r>
              <w:rPr>
                <w:sz w:val="18"/>
                <w:szCs w:val="18"/>
                <w:lang w:val="en-GB"/>
              </w:rPr>
              <w:t>98</w:t>
            </w:r>
          </w:p>
        </w:tc>
        <w:tc>
          <w:tcPr>
            <w:tcW w:w="850" w:type="dxa"/>
            <w:tcBorders>
              <w:top w:val="single" w:sz="4" w:space="0" w:color="auto"/>
              <w:bottom w:val="single" w:sz="4" w:space="0" w:color="auto"/>
            </w:tcBorders>
            <w:vAlign w:val="bottom"/>
          </w:tcPr>
          <w:p w:rsidR="00000000" w:rsidRDefault="00000000">
            <w:pPr>
              <w:spacing w:before="60" w:after="60"/>
              <w:jc w:val="right"/>
              <w:rPr>
                <w:sz w:val="18"/>
                <w:szCs w:val="18"/>
                <w:lang w:val="en-GB"/>
              </w:rPr>
            </w:pPr>
            <w:r>
              <w:rPr>
                <w:sz w:val="18"/>
                <w:szCs w:val="18"/>
                <w:lang w:val="en-GB"/>
              </w:rPr>
              <w:t>138</w:t>
            </w:r>
          </w:p>
        </w:tc>
        <w:tc>
          <w:tcPr>
            <w:tcW w:w="851" w:type="dxa"/>
            <w:tcBorders>
              <w:top w:val="single" w:sz="4" w:space="0" w:color="auto"/>
              <w:bottom w:val="single" w:sz="4" w:space="0" w:color="auto"/>
            </w:tcBorders>
            <w:vAlign w:val="bottom"/>
          </w:tcPr>
          <w:p w:rsidR="00000000" w:rsidRDefault="00000000">
            <w:pPr>
              <w:spacing w:before="60" w:after="60"/>
              <w:jc w:val="right"/>
              <w:rPr>
                <w:sz w:val="18"/>
                <w:szCs w:val="18"/>
                <w:lang w:val="en-GB"/>
              </w:rPr>
            </w:pPr>
            <w:r>
              <w:rPr>
                <w:sz w:val="18"/>
                <w:szCs w:val="18"/>
                <w:lang w:val="en-GB"/>
              </w:rPr>
              <w:t>174</w:t>
            </w:r>
          </w:p>
        </w:tc>
        <w:tc>
          <w:tcPr>
            <w:tcW w:w="992" w:type="dxa"/>
            <w:tcBorders>
              <w:top w:val="single" w:sz="4" w:space="0" w:color="auto"/>
              <w:bottom w:val="single" w:sz="4" w:space="0" w:color="auto"/>
            </w:tcBorders>
            <w:vAlign w:val="bottom"/>
          </w:tcPr>
          <w:p w:rsidR="00000000" w:rsidRDefault="00000000">
            <w:pPr>
              <w:spacing w:before="60" w:after="60"/>
              <w:jc w:val="right"/>
              <w:rPr>
                <w:sz w:val="18"/>
                <w:szCs w:val="18"/>
                <w:lang w:val="en-GB"/>
              </w:rPr>
            </w:pPr>
            <w:r>
              <w:rPr>
                <w:sz w:val="18"/>
                <w:szCs w:val="18"/>
                <w:lang w:val="en-GB"/>
              </w:rPr>
              <w:t>162</w:t>
            </w:r>
          </w:p>
        </w:tc>
        <w:tc>
          <w:tcPr>
            <w:tcW w:w="992"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en-GB"/>
              </w:rPr>
            </w:pPr>
            <w:r>
              <w:rPr>
                <w:color w:val="000000"/>
                <w:sz w:val="18"/>
                <w:szCs w:val="18"/>
                <w:lang w:val="en-GB"/>
              </w:rPr>
              <w:t>22 286</w:t>
            </w:r>
          </w:p>
        </w:tc>
        <w:tc>
          <w:tcPr>
            <w:tcW w:w="992"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en-GB"/>
              </w:rPr>
            </w:pPr>
            <w:r>
              <w:rPr>
                <w:color w:val="000000"/>
                <w:sz w:val="18"/>
                <w:szCs w:val="18"/>
                <w:lang w:val="en-GB"/>
              </w:rPr>
              <w:t>33 012</w:t>
            </w:r>
          </w:p>
        </w:tc>
        <w:tc>
          <w:tcPr>
            <w:tcW w:w="993"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en-GB"/>
              </w:rPr>
            </w:pPr>
            <w:r>
              <w:rPr>
                <w:color w:val="000000"/>
                <w:sz w:val="18"/>
                <w:szCs w:val="18"/>
                <w:lang w:val="en-GB"/>
              </w:rPr>
              <w:t>54 810</w:t>
            </w:r>
          </w:p>
        </w:tc>
        <w:tc>
          <w:tcPr>
            <w:tcW w:w="992" w:type="dxa"/>
            <w:tcBorders>
              <w:top w:val="single" w:sz="4" w:space="0" w:color="auto"/>
              <w:bottom w:val="single" w:sz="4" w:space="0" w:color="auto"/>
            </w:tcBorders>
            <w:vAlign w:val="bottom"/>
          </w:tcPr>
          <w:p w:rsidR="00000000" w:rsidRDefault="00000000">
            <w:pPr>
              <w:spacing w:before="60" w:after="60"/>
              <w:jc w:val="right"/>
              <w:rPr>
                <w:color w:val="000000"/>
                <w:sz w:val="18"/>
                <w:szCs w:val="18"/>
                <w:lang w:val="en-GB"/>
              </w:rPr>
            </w:pPr>
            <w:r>
              <w:rPr>
                <w:color w:val="000000"/>
                <w:sz w:val="18"/>
                <w:szCs w:val="18"/>
                <w:lang w:val="en-GB"/>
              </w:rPr>
              <w:t>59 764</w:t>
            </w:r>
          </w:p>
        </w:tc>
      </w:tr>
      <w:tr w:rsidR="00000000">
        <w:trPr>
          <w:cantSplit/>
          <w:trHeight w:val="20"/>
        </w:trPr>
        <w:tc>
          <w:tcPr>
            <w:tcW w:w="1843" w:type="dxa"/>
            <w:tcBorders>
              <w:bottom w:val="single" w:sz="4" w:space="0" w:color="auto"/>
            </w:tcBorders>
          </w:tcPr>
          <w:p w:rsidR="00000000" w:rsidRDefault="00000000">
            <w:pPr>
              <w:spacing w:before="60" w:after="60"/>
              <w:rPr>
                <w:sz w:val="18"/>
                <w:lang w:val="en-GB"/>
              </w:rPr>
            </w:pPr>
            <w:r>
              <w:rPr>
                <w:sz w:val="18"/>
                <w:lang w:val="en-GB"/>
              </w:rPr>
              <w:t>Total</w:t>
            </w:r>
          </w:p>
        </w:tc>
        <w:tc>
          <w:tcPr>
            <w:tcW w:w="851"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7 809</w:t>
            </w:r>
          </w:p>
        </w:tc>
        <w:tc>
          <w:tcPr>
            <w:tcW w:w="850"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11 100</w:t>
            </w:r>
          </w:p>
        </w:tc>
        <w:tc>
          <w:tcPr>
            <w:tcW w:w="851"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14 256</w:t>
            </w:r>
          </w:p>
        </w:tc>
        <w:tc>
          <w:tcPr>
            <w:tcW w:w="992"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13 566</w:t>
            </w:r>
          </w:p>
        </w:tc>
        <w:tc>
          <w:tcPr>
            <w:tcW w:w="992"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1 952 371</w:t>
            </w:r>
          </w:p>
        </w:tc>
        <w:tc>
          <w:tcPr>
            <w:tcW w:w="992"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2 683 692</w:t>
            </w:r>
          </w:p>
        </w:tc>
        <w:tc>
          <w:tcPr>
            <w:tcW w:w="993"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3 009 063</w:t>
            </w:r>
          </w:p>
        </w:tc>
        <w:tc>
          <w:tcPr>
            <w:tcW w:w="992" w:type="dxa"/>
            <w:tcBorders>
              <w:bottom w:val="single" w:sz="4" w:space="0" w:color="auto"/>
            </w:tcBorders>
            <w:vAlign w:val="bottom"/>
          </w:tcPr>
          <w:p w:rsidR="00000000" w:rsidRDefault="00000000">
            <w:pPr>
              <w:spacing w:before="60" w:after="60"/>
              <w:jc w:val="right"/>
              <w:rPr>
                <w:sz w:val="18"/>
                <w:szCs w:val="18"/>
                <w:lang w:val="en-GB"/>
              </w:rPr>
            </w:pPr>
            <w:r>
              <w:rPr>
                <w:sz w:val="18"/>
                <w:szCs w:val="18"/>
                <w:lang w:val="en-GB"/>
              </w:rPr>
              <w:t>3 863 945</w:t>
            </w:r>
          </w:p>
        </w:tc>
      </w:tr>
    </w:tbl>
    <w:p w:rsidR="00000000" w:rsidRDefault="00000000">
      <w:pPr>
        <w:keepNext/>
        <w:spacing w:before="240" w:after="240"/>
        <w:jc w:val="center"/>
        <w:rPr>
          <w:b/>
          <w:bCs/>
          <w:lang w:val="en-GB"/>
        </w:rPr>
      </w:pPr>
      <w:r>
        <w:rPr>
          <w:b/>
          <w:bCs/>
          <w:lang w:val="en-GB"/>
        </w:rPr>
        <w:t>B.  Adoption (art. 21)</w:t>
      </w:r>
    </w:p>
    <w:p w:rsidR="00000000" w:rsidRDefault="00000000">
      <w:pPr>
        <w:keepNext/>
        <w:spacing w:after="240"/>
        <w:rPr>
          <w:lang w:val="fr-FR"/>
        </w:rPr>
      </w:pPr>
      <w:r>
        <w:rPr>
          <w:lang w:val="fr-FR"/>
        </w:rPr>
        <w:t>115.</w:t>
      </w:r>
      <w:r>
        <w:rPr>
          <w:lang w:val="fr-FR"/>
        </w:rPr>
        <w:tab/>
        <w:t xml:space="preserve">Dans ses observations finales, le Comité recommande à l’État partie: </w:t>
      </w:r>
    </w:p>
    <w:p w:rsidR="00000000" w:rsidRDefault="00000000">
      <w:pPr>
        <w:spacing w:after="240"/>
        <w:ind w:firstLine="567"/>
        <w:rPr>
          <w:bCs/>
        </w:rPr>
      </w:pPr>
      <w:r>
        <w:rPr>
          <w:bCs/>
        </w:rPr>
        <w:t>a)</w:t>
      </w:r>
      <w:r>
        <w:rPr>
          <w:bCs/>
        </w:rPr>
        <w:tab/>
        <w:t xml:space="preserve">D’accélérer la révision de la législation sur l’adoption afin d’adopter une loi détaillée sur l’adoption nationale et internationale qui soit en totale conformité avec la Convention et les autres normes internationales, en particulier la Convention de La </w:t>
      </w:r>
      <w:proofErr w:type="spellStart"/>
      <w:r>
        <w:rPr>
          <w:bCs/>
        </w:rPr>
        <w:t>Haye</w:t>
      </w:r>
      <w:proofErr w:type="spellEnd"/>
      <w:r>
        <w:rPr>
          <w:bCs/>
        </w:rPr>
        <w:t xml:space="preserve"> de 1993 sur la protection des enfants et la coopération en matière d’adoption internationale;</w:t>
      </w:r>
    </w:p>
    <w:p w:rsidR="00000000" w:rsidRDefault="00000000">
      <w:pPr>
        <w:spacing w:after="240"/>
        <w:ind w:firstLine="567"/>
        <w:rPr>
          <w:bCs/>
        </w:rPr>
      </w:pPr>
      <w:r>
        <w:rPr>
          <w:bCs/>
        </w:rPr>
        <w:t>b)</w:t>
      </w:r>
      <w:r>
        <w:rPr>
          <w:bCs/>
        </w:rPr>
        <w:tab/>
        <w:t>De veiller à ce que des ressources, humaines et autres, suffisantes soient affectées à la mise en œuvre et au suivi effectif de la législation;</w:t>
      </w:r>
    </w:p>
    <w:p w:rsidR="00000000" w:rsidRDefault="00000000">
      <w:pPr>
        <w:spacing w:after="240"/>
        <w:ind w:firstLine="567"/>
        <w:rPr>
          <w:bCs/>
        </w:rPr>
      </w:pPr>
      <w:r>
        <w:rPr>
          <w:bCs/>
        </w:rPr>
        <w:t>c)</w:t>
      </w:r>
      <w:r>
        <w:rPr>
          <w:bCs/>
        </w:rPr>
        <w:tab/>
        <w:t>De veiller à ce que les cas d’adoption internationale soient traités dans le respect des principes et dispositions de la Convention, en particulier l’article 21, et de la Convention de La </w:t>
      </w:r>
      <w:proofErr w:type="spellStart"/>
      <w:r>
        <w:rPr>
          <w:bCs/>
        </w:rPr>
        <w:t>Haye</w:t>
      </w:r>
      <w:proofErr w:type="spellEnd"/>
      <w:r>
        <w:rPr>
          <w:bCs/>
        </w:rPr>
        <w:t xml:space="preserve"> applicable;</w:t>
      </w:r>
    </w:p>
    <w:p w:rsidR="00000000" w:rsidRDefault="00000000">
      <w:pPr>
        <w:spacing w:after="240"/>
        <w:ind w:firstLine="567"/>
        <w:rPr>
          <w:bCs/>
        </w:rPr>
      </w:pPr>
      <w:r>
        <w:rPr>
          <w:bCs/>
        </w:rPr>
        <w:t>d)</w:t>
      </w:r>
      <w:r>
        <w:rPr>
          <w:bCs/>
        </w:rPr>
        <w:tab/>
        <w:t>D’étudier les moyens d’encourager l’adoption nationale de façon à réduire le recours à l’adoption internationale.</w:t>
      </w:r>
    </w:p>
    <w:p w:rsidR="00000000" w:rsidRDefault="00000000">
      <w:pPr>
        <w:keepNext/>
        <w:spacing w:after="240"/>
        <w:rPr>
          <w:b/>
        </w:rPr>
      </w:pPr>
      <w:r>
        <w:rPr>
          <w:b/>
        </w:rPr>
        <w:t>Types d’adoption</w:t>
      </w:r>
    </w:p>
    <w:p w:rsidR="00000000" w:rsidRDefault="00000000">
      <w:pPr>
        <w:spacing w:after="240"/>
        <w:rPr>
          <w:bCs/>
        </w:rPr>
      </w:pPr>
      <w:r>
        <w:rPr>
          <w:bCs/>
        </w:rPr>
        <w:t>116.</w:t>
      </w:r>
      <w:r>
        <w:rPr>
          <w:bCs/>
        </w:rPr>
        <w:tab/>
        <w:t xml:space="preserve">D’après les renseignements fournis par le Ministère de l’éducation et des sciences, l’adoption nationale des enfants privés de soins parentaux est régie par la loi sur les règles relatives à l’adoption et par le Code civil. Les adoptions internationales sont réglementées par la loi sur les règles relatives à l’adoption et la Convention de La </w:t>
      </w:r>
      <w:proofErr w:type="spellStart"/>
      <w:r>
        <w:rPr>
          <w:bCs/>
        </w:rPr>
        <w:t>Haye</w:t>
      </w:r>
      <w:proofErr w:type="spellEnd"/>
      <w:r>
        <w:rPr>
          <w:bCs/>
        </w:rPr>
        <w:t xml:space="preserve"> de 1993 sur la protection des enfants et la coopération en matière d’adoption internationale.</w:t>
      </w:r>
    </w:p>
    <w:p w:rsidR="00000000" w:rsidRDefault="00000000">
      <w:pPr>
        <w:spacing w:after="240"/>
        <w:rPr>
          <w:bCs/>
        </w:rPr>
      </w:pPr>
      <w:r>
        <w:rPr>
          <w:bCs/>
        </w:rPr>
        <w:t>117.</w:t>
      </w:r>
      <w:r>
        <w:rPr>
          <w:bCs/>
        </w:rPr>
        <w:tab/>
        <w:t>En août 2003, l’article 1251 du Code civil a été modifié de façon à interdire que, lors d’une adoption internationale, des enfants soient adoptés avec le «consentement ciblé» de leurs parents</w:t>
      </w:r>
      <w:r>
        <w:rPr>
          <w:rStyle w:val="FootnoteReference"/>
          <w:bCs/>
        </w:rPr>
        <w:footnoteReference w:id="11"/>
      </w:r>
      <w:r>
        <w:rPr>
          <w:bCs/>
        </w:rPr>
        <w:t>. L’État a ainsi tenté de juguler l’exode croissant d’enfants en bonne santé vers l’étranger. On espérait que cette modification de la loi encouragerait l’adoption dans le pays; toutefois, d’après le Ministère de l’éducation et des sciences, elle n’a pas eu le résultat escompté.</w:t>
      </w:r>
    </w:p>
    <w:p w:rsidR="00000000" w:rsidRDefault="00000000">
      <w:pPr>
        <w:spacing w:after="240"/>
        <w:rPr>
          <w:bCs/>
        </w:rPr>
      </w:pPr>
      <w:r>
        <w:rPr>
          <w:bCs/>
        </w:rPr>
        <w:t>118.</w:t>
      </w:r>
      <w:r>
        <w:rPr>
          <w:bCs/>
        </w:rPr>
        <w:tab/>
        <w:t>En raison des transformations subies par l’État entre 2000 et 2004, le Ministère de l’éducation et des sciences ne dispose pas de statistiques précises sur les enfants donnés en adoption au cours de cette période. On ne dispose donc que de données récentes, qui indiquent qu’en 2005, 209 enfants ont été adoptés dans le pays.</w:t>
      </w:r>
    </w:p>
    <w:p w:rsidR="00000000" w:rsidRDefault="00000000">
      <w:pPr>
        <w:spacing w:after="240"/>
        <w:rPr>
          <w:bCs/>
        </w:rPr>
      </w:pPr>
      <w:r>
        <w:rPr>
          <w:bCs/>
        </w:rPr>
        <w:t>119.</w:t>
      </w:r>
      <w:r>
        <w:rPr>
          <w:bCs/>
        </w:rPr>
        <w:tab/>
        <w:t>Les statistiques relatives aux enfants géorgiens adoptés à l’étranger entre 2000 et 2005, dont la plupart avaient entre 2 et 7 ans, sont comme suit:</w:t>
      </w:r>
    </w:p>
    <w:p w:rsidR="00000000" w:rsidRDefault="00000000">
      <w:pPr>
        <w:numPr>
          <w:ilvl w:val="0"/>
          <w:numId w:val="55"/>
        </w:numPr>
        <w:spacing w:after="240"/>
        <w:rPr>
          <w:bCs/>
        </w:rPr>
      </w:pPr>
      <w:r>
        <w:rPr>
          <w:bCs/>
        </w:rPr>
        <w:t xml:space="preserve">En 2000: 41 enfants, dont 18 garçons et 23 filles (2 à Chypre, 23 au Canada, 4 aux </w:t>
      </w:r>
      <w:proofErr w:type="spellStart"/>
      <w:r>
        <w:rPr>
          <w:bCs/>
        </w:rPr>
        <w:t>États</w:t>
      </w:r>
      <w:r>
        <w:rPr>
          <w:bCs/>
        </w:rPr>
        <w:noBreakHyphen/>
        <w:t>Unis</w:t>
      </w:r>
      <w:proofErr w:type="spellEnd"/>
      <w:r>
        <w:rPr>
          <w:bCs/>
        </w:rPr>
        <w:t>, 1 en Israël, 1 en Suède, 2 en France, 5 en Allemagne, 1 en Italie, 1 en Grèce et 1 en Espagne);</w:t>
      </w:r>
    </w:p>
    <w:p w:rsidR="00000000" w:rsidRDefault="00000000">
      <w:pPr>
        <w:numPr>
          <w:ilvl w:val="0"/>
          <w:numId w:val="55"/>
        </w:numPr>
        <w:spacing w:after="240"/>
        <w:rPr>
          <w:bCs/>
        </w:rPr>
      </w:pPr>
      <w:r>
        <w:rPr>
          <w:bCs/>
        </w:rPr>
        <w:t xml:space="preserve">En 2001: 57 enfants, dont 28 garçons et 29 filles (1 au </w:t>
      </w:r>
      <w:proofErr w:type="spellStart"/>
      <w:r>
        <w:rPr>
          <w:bCs/>
        </w:rPr>
        <w:t>Royaume</w:t>
      </w:r>
      <w:r>
        <w:rPr>
          <w:bCs/>
        </w:rPr>
        <w:noBreakHyphen/>
        <w:t>Uni</w:t>
      </w:r>
      <w:proofErr w:type="spellEnd"/>
      <w:r>
        <w:rPr>
          <w:bCs/>
        </w:rPr>
        <w:t xml:space="preserve">, 3 en France, 26 aux </w:t>
      </w:r>
      <w:proofErr w:type="spellStart"/>
      <w:r>
        <w:rPr>
          <w:bCs/>
        </w:rPr>
        <w:t>États</w:t>
      </w:r>
      <w:r>
        <w:rPr>
          <w:bCs/>
        </w:rPr>
        <w:noBreakHyphen/>
        <w:t>Unis</w:t>
      </w:r>
      <w:proofErr w:type="spellEnd"/>
      <w:r>
        <w:rPr>
          <w:bCs/>
        </w:rPr>
        <w:t>, 21 au Canada, 3 à Chypre, 1 en Allemagne et 2 en Grèce);</w:t>
      </w:r>
    </w:p>
    <w:p w:rsidR="00000000" w:rsidRDefault="00000000">
      <w:pPr>
        <w:numPr>
          <w:ilvl w:val="0"/>
          <w:numId w:val="55"/>
        </w:numPr>
        <w:spacing w:after="240"/>
        <w:rPr>
          <w:bCs/>
        </w:rPr>
      </w:pPr>
      <w:r>
        <w:rPr>
          <w:bCs/>
        </w:rPr>
        <w:t xml:space="preserve">En 2002: 125 enfants, dont 56 garçons et 69 filles (72 aux </w:t>
      </w:r>
      <w:proofErr w:type="spellStart"/>
      <w:r>
        <w:rPr>
          <w:bCs/>
        </w:rPr>
        <w:t>États</w:t>
      </w:r>
      <w:r>
        <w:rPr>
          <w:bCs/>
        </w:rPr>
        <w:noBreakHyphen/>
        <w:t>Unis</w:t>
      </w:r>
      <w:proofErr w:type="spellEnd"/>
      <w:r>
        <w:rPr>
          <w:bCs/>
        </w:rPr>
        <w:t>, 1 en Autriche, 8 en France, 4 à Chypre, 18 au Canada, 1 en Italie, 1 en Afrique du Sud, 19 en Israël et 1 en Fédération de Russie);</w:t>
      </w:r>
    </w:p>
    <w:p w:rsidR="00000000" w:rsidRDefault="00000000">
      <w:pPr>
        <w:numPr>
          <w:ilvl w:val="0"/>
          <w:numId w:val="55"/>
        </w:numPr>
        <w:spacing w:after="240"/>
        <w:rPr>
          <w:bCs/>
        </w:rPr>
      </w:pPr>
      <w:r>
        <w:rPr>
          <w:bCs/>
        </w:rPr>
        <w:t xml:space="preserve">En 2003: 164 enfants, dont 76 garçons et 88 filles (88 aux </w:t>
      </w:r>
      <w:proofErr w:type="spellStart"/>
      <w:r>
        <w:rPr>
          <w:bCs/>
        </w:rPr>
        <w:t>États</w:t>
      </w:r>
      <w:r>
        <w:rPr>
          <w:bCs/>
        </w:rPr>
        <w:noBreakHyphen/>
        <w:t>Unis</w:t>
      </w:r>
      <w:proofErr w:type="spellEnd"/>
      <w:r>
        <w:rPr>
          <w:bCs/>
        </w:rPr>
        <w:t xml:space="preserve">, 33 au Canada, 19 en Israël, 6 au </w:t>
      </w:r>
      <w:proofErr w:type="spellStart"/>
      <w:r>
        <w:rPr>
          <w:bCs/>
        </w:rPr>
        <w:t>Royaume</w:t>
      </w:r>
      <w:r>
        <w:rPr>
          <w:bCs/>
        </w:rPr>
        <w:noBreakHyphen/>
        <w:t>Uni</w:t>
      </w:r>
      <w:proofErr w:type="spellEnd"/>
      <w:r>
        <w:rPr>
          <w:bCs/>
        </w:rPr>
        <w:t>, 4 en Espagne, 1 en Allemagne, 12 en France, 2 en Autriche et 4 à Chypre);</w:t>
      </w:r>
    </w:p>
    <w:p w:rsidR="00000000" w:rsidRDefault="00000000">
      <w:pPr>
        <w:numPr>
          <w:ilvl w:val="0"/>
          <w:numId w:val="55"/>
        </w:numPr>
        <w:spacing w:after="240"/>
        <w:rPr>
          <w:bCs/>
        </w:rPr>
      </w:pPr>
      <w:r>
        <w:rPr>
          <w:bCs/>
        </w:rPr>
        <w:t xml:space="preserve">En 2004: 36 enfants, dont 13 garçons et 23 filles (2 en France, 23 aux </w:t>
      </w:r>
      <w:proofErr w:type="spellStart"/>
      <w:r>
        <w:rPr>
          <w:bCs/>
        </w:rPr>
        <w:t>États</w:t>
      </w:r>
      <w:r>
        <w:rPr>
          <w:bCs/>
        </w:rPr>
        <w:noBreakHyphen/>
        <w:t>Unis</w:t>
      </w:r>
      <w:proofErr w:type="spellEnd"/>
      <w:r>
        <w:rPr>
          <w:bCs/>
        </w:rPr>
        <w:t>, 4 au Canada, 1 aux Bermudes, 2 en Autriche et 4 à Chypre);</w:t>
      </w:r>
    </w:p>
    <w:p w:rsidR="00000000" w:rsidRDefault="00000000">
      <w:pPr>
        <w:numPr>
          <w:ilvl w:val="0"/>
          <w:numId w:val="55"/>
        </w:numPr>
        <w:spacing w:after="240"/>
        <w:rPr>
          <w:bCs/>
        </w:rPr>
      </w:pPr>
      <w:r>
        <w:rPr>
          <w:bCs/>
        </w:rPr>
        <w:t xml:space="preserve">En 2005: 16 enfants, dont 6 garçons et 10 filles (15 aux </w:t>
      </w:r>
      <w:proofErr w:type="spellStart"/>
      <w:r>
        <w:rPr>
          <w:bCs/>
        </w:rPr>
        <w:t>États</w:t>
      </w:r>
      <w:r>
        <w:rPr>
          <w:bCs/>
        </w:rPr>
        <w:noBreakHyphen/>
        <w:t>Unis</w:t>
      </w:r>
      <w:proofErr w:type="spellEnd"/>
      <w:r>
        <w:rPr>
          <w:bCs/>
        </w:rPr>
        <w:t xml:space="preserve"> et 1 en Autriche);</w:t>
      </w:r>
    </w:p>
    <w:p w:rsidR="00000000" w:rsidRDefault="00000000">
      <w:pPr>
        <w:spacing w:after="240"/>
      </w:pPr>
      <w:r>
        <w:t>120.</w:t>
      </w:r>
      <w:r>
        <w:tab/>
        <w:t>Le sous-programme de placement en milieu ouvert et de prévention de l’abandon des enfants orphelins ou privés de soins parentaux est actuellement mis en œuvre conformément à la législation géorgienne relative à l’adoption de ces catégories d’enfants, dans le cadre du programme intitulé «Formes parallèles de soutien pour les enfants placés sous la protection de l’État» approuvé par le Ministère de l’éducation et des sciences. Au cours de la période 2000</w:t>
      </w:r>
      <w:r>
        <w:noBreakHyphen/>
        <w:t xml:space="preserve">2002, avec l’aide de travailleurs sociaux du Ministère de l’éducation et des sciences, 60 enfants ont été ainsi placés dans des familles d’accueil dans cinq villes de Géorgie (Tbilissi, </w:t>
      </w:r>
      <w:proofErr w:type="spellStart"/>
      <w:r>
        <w:t>Telavi</w:t>
      </w:r>
      <w:proofErr w:type="spellEnd"/>
      <w:r>
        <w:t xml:space="preserve">, </w:t>
      </w:r>
      <w:proofErr w:type="spellStart"/>
      <w:r>
        <w:t>Rustavi</w:t>
      </w:r>
      <w:proofErr w:type="spellEnd"/>
      <w:r>
        <w:t xml:space="preserve">, </w:t>
      </w:r>
      <w:proofErr w:type="spellStart"/>
      <w:r>
        <w:t>Batumi</w:t>
      </w:r>
      <w:proofErr w:type="spellEnd"/>
      <w:r>
        <w:t xml:space="preserve"> et </w:t>
      </w:r>
      <w:proofErr w:type="spellStart"/>
      <w:r>
        <w:t>Kutaisi</w:t>
      </w:r>
      <w:proofErr w:type="spellEnd"/>
      <w:r>
        <w:t>); ce sont 29 enfants (dont 14 étaient handicapés) en 2003, 42 (dont 15 étaient handicapés) en 2004 et 70 en 2005 qui ont été placés de la sorte.</w:t>
      </w:r>
    </w:p>
    <w:p w:rsidR="00000000" w:rsidRDefault="00000000">
      <w:pPr>
        <w:spacing w:after="240"/>
      </w:pPr>
      <w:r>
        <w:t>121.</w:t>
      </w:r>
      <w:r>
        <w:tab/>
        <w:t>Outre les activités menées dans le cadre des allocations budgétaires des deux programmes susmentionnés, différentes formes de soutien sont apportées aux enfants privés de protection sociale et à leur famille. Ainsi, par exemple:</w:t>
      </w:r>
    </w:p>
    <w:p w:rsidR="00000000" w:rsidRDefault="00000000">
      <w:pPr>
        <w:numPr>
          <w:ilvl w:val="0"/>
          <w:numId w:val="56"/>
        </w:numPr>
        <w:spacing w:after="240"/>
      </w:pPr>
      <w:r>
        <w:t>Le Ministère du travail, de la santé et des affaires sociales s’occupe des questions de santé. Ainsi, dans le cadre du programme en question, huit enfants ont bénéficié d’opérations chirurgicales et six autres ont subi un examen médical;</w:t>
      </w:r>
    </w:p>
    <w:p w:rsidR="00000000" w:rsidRDefault="00000000">
      <w:pPr>
        <w:numPr>
          <w:ilvl w:val="0"/>
          <w:numId w:val="56"/>
        </w:numPr>
        <w:spacing w:after="240"/>
      </w:pPr>
      <w:r>
        <w:t xml:space="preserve">Le Ministère de l’éducation et des sciences a conclu un accord de </w:t>
      </w:r>
      <w:proofErr w:type="spellStart"/>
      <w:r>
        <w:t>subventionnement</w:t>
      </w:r>
      <w:proofErr w:type="spellEnd"/>
      <w:r>
        <w:t xml:space="preserve"> avec une organisation caritative dans le but de fournir un appui et une aide aux enfants privés de protection sociale et à leur famille. Au début de 2006, 48 enfants bénéficiaient de ce programme, dont cinq qui l’avaient rejoint en 2005. Ils recevaient une allocation mensuelle de 48 </w:t>
      </w:r>
      <w:proofErr w:type="spellStart"/>
      <w:r>
        <w:t>lari</w:t>
      </w:r>
      <w:proofErr w:type="spellEnd"/>
      <w:r>
        <w:t xml:space="preserve"> et étaient couverts par une assurance maladie;</w:t>
      </w:r>
    </w:p>
    <w:p w:rsidR="00000000" w:rsidRDefault="00000000">
      <w:pPr>
        <w:numPr>
          <w:ilvl w:val="0"/>
          <w:numId w:val="56"/>
        </w:numPr>
        <w:spacing w:after="240"/>
      </w:pPr>
      <w:r>
        <w:t xml:space="preserve">Un sous-programme pour l’éducation complémentaire des orphelins et des enfants privés de soins parentaux a été lancé en 2002, avec pour objectif de garantir que les enfants placés en internat reçoivent une éducation supérieure ou professionnelle et de favoriser leur intégration dans la société ainsi que leur socialisation. À l’heure actuelle, 190 enfants bénéficient de ce programme, dont six sont également couverts par le sous-programme de placement en milieu ouvert et de prévention de l’abandon des orphelins et des enfants privés de soins parentaux. Chaque enfant reçoit une bourse de 50 </w:t>
      </w:r>
      <w:proofErr w:type="spellStart"/>
      <w:r>
        <w:t>lari</w:t>
      </w:r>
      <w:proofErr w:type="spellEnd"/>
      <w:r>
        <w:t xml:space="preserve"> et, si nécessaire, ses frais d’études sont entièrement pris en charge.</w:t>
      </w:r>
    </w:p>
    <w:p w:rsidR="00000000" w:rsidRDefault="00000000">
      <w:pPr>
        <w:spacing w:after="240"/>
      </w:pPr>
      <w:r>
        <w:t>122.</w:t>
      </w:r>
      <w:r>
        <w:tab/>
        <w:t xml:space="preserve">En outre, dans le cadre du programme susmentionné et de son sous-programme, les travailleurs sociaux du Ministère de l’éducation et des sciences ont en permanence eu recours à des méthodes de protection de l’enfance de substitution pour mener à bien le processus de placement des enfants en milieu ouvert, essentiellement en aidant les enfants à réintégrer leur famille naturelle et en luttant contre le placement des enfants en institution au moyen d’une aide aux familles dans cinq villes de Géorgie (Tbilissi, </w:t>
      </w:r>
      <w:proofErr w:type="spellStart"/>
      <w:r>
        <w:t>Telavi</w:t>
      </w:r>
      <w:proofErr w:type="spellEnd"/>
      <w:r>
        <w:t xml:space="preserve">, </w:t>
      </w:r>
      <w:proofErr w:type="spellStart"/>
      <w:r>
        <w:t>Rustavi</w:t>
      </w:r>
      <w:proofErr w:type="spellEnd"/>
      <w:r>
        <w:t xml:space="preserve">, </w:t>
      </w:r>
      <w:proofErr w:type="spellStart"/>
      <w:r>
        <w:t>Batumi</w:t>
      </w:r>
      <w:proofErr w:type="spellEnd"/>
      <w:r>
        <w:t xml:space="preserve"> et </w:t>
      </w:r>
      <w:proofErr w:type="spellStart"/>
      <w:r>
        <w:t>Kutaisi</w:t>
      </w:r>
      <w:proofErr w:type="spellEnd"/>
      <w:r>
        <w:t>).</w:t>
      </w:r>
    </w:p>
    <w:p w:rsidR="00000000" w:rsidRDefault="00000000">
      <w:pPr>
        <w:spacing w:after="240"/>
      </w:pPr>
      <w:r>
        <w:t>123.</w:t>
      </w:r>
      <w:r>
        <w:tab/>
        <w:t>On a dénombré 60 enfants réintégrés dans leur famille entre 2000 et 2002, 6 en 2003, 44 en 2004 et 54 en 2005. Le nombre d’enfants dont les familles ont reçu une aide afin d’éviter qu’ils ne soient placés dans une institution était de 26 en 2003, de 84 en 2004 et de 124 en 2005.</w:t>
      </w:r>
    </w:p>
    <w:p w:rsidR="00000000" w:rsidRDefault="00000000">
      <w:pPr>
        <w:keepNext/>
        <w:spacing w:after="240"/>
        <w:jc w:val="center"/>
        <w:rPr>
          <w:b/>
          <w:bCs/>
        </w:rPr>
      </w:pPr>
      <w:r>
        <w:rPr>
          <w:b/>
          <w:bCs/>
        </w:rPr>
        <w:t xml:space="preserve">C.  Déplacement et </w:t>
      </w:r>
      <w:proofErr w:type="spellStart"/>
      <w:r>
        <w:rPr>
          <w:b/>
          <w:bCs/>
        </w:rPr>
        <w:t>non</w:t>
      </w:r>
      <w:r>
        <w:rPr>
          <w:b/>
          <w:bCs/>
        </w:rPr>
        <w:noBreakHyphen/>
        <w:t>retour</w:t>
      </w:r>
      <w:proofErr w:type="spellEnd"/>
      <w:r>
        <w:rPr>
          <w:b/>
          <w:bCs/>
        </w:rPr>
        <w:t xml:space="preserve"> illicites (art. 11)</w:t>
      </w:r>
    </w:p>
    <w:p w:rsidR="00000000" w:rsidRDefault="00000000">
      <w:pPr>
        <w:spacing w:after="240"/>
      </w:pPr>
      <w:r>
        <w:t>124.</w:t>
      </w:r>
      <w:r>
        <w:tab/>
        <w:t>Au cours de la période considérée, des amendements au Code pénal érigeant en infraction la traite des êtres humains et la traite des mineurs, et imposant des sanctions appropriées (par. 1 et 2 de l’article 143) ont été adoptés. Ces amendements sont entrés en vigueur le 10 juillet 2003.</w:t>
      </w:r>
    </w:p>
    <w:p w:rsidR="00000000" w:rsidRDefault="00000000">
      <w:pPr>
        <w:spacing w:after="240"/>
      </w:pPr>
      <w:r>
        <w:t>125.</w:t>
      </w:r>
      <w:r>
        <w:tab/>
        <w:t>Afin de lutter plus efficacement contre la traite des êtres humains, la définition des circonstances aggravantes et les peines applicables pour ce délit ont été modifiées par des amendements datés du 28 avril 2006.</w:t>
      </w:r>
    </w:p>
    <w:p w:rsidR="00000000" w:rsidRDefault="00000000">
      <w:pPr>
        <w:spacing w:after="240"/>
      </w:pPr>
      <w:r>
        <w:t>126.</w:t>
      </w:r>
      <w:r>
        <w:tab/>
        <w:t>Conformément au paragraphe 2 de l’article 143, la traite de mineurs est définie comme le fait de vendre ou d’acheter un mineur ou d’effectuer toute autre forme de transaction illégale de ce type, ou de séduire, de transporter, d’héberger ou de recevoir un mineur dans le but de l’exploiter. Ce délit est punissable de huit à onze ans d’emprisonnement.</w:t>
      </w:r>
    </w:p>
    <w:p w:rsidR="00000000" w:rsidRDefault="00000000">
      <w:pPr>
        <w:spacing w:after="240"/>
      </w:pPr>
      <w:r>
        <w:t>127.</w:t>
      </w:r>
      <w:r>
        <w:tab/>
        <w:t>Lorsque la traite d’êtres humains s’accompagne de circonstances aggravantes, la sanction peut être une peine de onze à vingt ans d’emprisonnement ou la réclusion à perpétuité. Est considéré comme une circonstance aggravante de la traite le fait de commettre un abus de pouvoir contre une personne qui se trouve dans une situation de vulnérabilité ou qui dépend, matériellement ou de toute autre façon, de l’auteur du délit, de commettre ce type d’abus avec récidive, d’employer la contrainte, d’utiliser le chantage ou la tromperie, de commettre ce délit envers deux mineurs ou plus, d’emmener la victime à l’étranger, d’avoir recours à la menace ou à la force en mettant en danger la vie ou la santé de la victime, de causer la mort de la victime ou d’autres conséquences graves ou de commettre ce délit en bande organisée.</w:t>
      </w:r>
    </w:p>
    <w:p w:rsidR="00000000" w:rsidRDefault="00000000">
      <w:pPr>
        <w:spacing w:after="240"/>
      </w:pPr>
      <w:r>
        <w:t>128.</w:t>
      </w:r>
      <w:r>
        <w:tab/>
        <w:t>Pour des renseignements supplémentaires sur l’application des mesures de lutte contre la traite, on se reportera au troisième rapport périodique présenté par la Géorgie au titre du Pacte international relatif aux droits civils et politiques (par. 135 à 137 et par. 139 à 144).</w:t>
      </w:r>
    </w:p>
    <w:p w:rsidR="00000000" w:rsidRDefault="00000000">
      <w:pPr>
        <w:keepNext/>
        <w:spacing w:after="240"/>
        <w:jc w:val="center"/>
        <w:rPr>
          <w:b/>
          <w:bCs/>
        </w:rPr>
      </w:pPr>
      <w:r>
        <w:rPr>
          <w:b/>
          <w:bCs/>
        </w:rPr>
        <w:t>D.  Examen périodique du placement (art. 25)</w:t>
      </w:r>
    </w:p>
    <w:p w:rsidR="00000000" w:rsidRDefault="00000000">
      <w:pPr>
        <w:spacing w:after="240"/>
      </w:pPr>
      <w:r>
        <w:t>129.</w:t>
      </w:r>
      <w:r>
        <w:tab/>
        <w:t>Dans ses observations finales, le Comité réitère sa précédente recommandation et invite instamment l’État partie à mettre au point un code de pratiques et à garantir le droit à un examen périodique des conditions du placement conformément à l’article 25 de la Convention, notamment en veillant à la dotation en ressources humaines et financières nécessaires.</w:t>
      </w:r>
    </w:p>
    <w:p w:rsidR="00000000" w:rsidRDefault="00000000">
      <w:pPr>
        <w:spacing w:after="240"/>
      </w:pPr>
      <w:r>
        <w:t>130.</w:t>
      </w:r>
      <w:r>
        <w:tab/>
        <w:t xml:space="preserve">Pour donner suite à cette recommandation, le Ministère de l’éducation et des sciences a élaboré un projet de charte établissant les règles pour le placement des enfants en institution, qui devrait prochainement entrer en vigueur. Conformément au décret </w:t>
      </w:r>
      <w:r>
        <w:rPr>
          <w:rFonts w:eastAsia="MS Mincho"/>
        </w:rPr>
        <w:t>n</w:t>
      </w:r>
      <w:r>
        <w:rPr>
          <w:rFonts w:eastAsia="MS Mincho"/>
          <w:vertAlign w:val="superscript"/>
        </w:rPr>
        <w:t>o</w:t>
      </w:r>
      <w:r>
        <w:t xml:space="preserve"> 448 du Ministère de l’éducation et des sciences en date du 15 août 2005, tous les pensionnats ont été enregistrés en tant que personnes morales de droit public.</w:t>
      </w:r>
    </w:p>
    <w:p w:rsidR="00000000" w:rsidRDefault="00000000">
      <w:pPr>
        <w:spacing w:after="240"/>
      </w:pPr>
      <w:r>
        <w:t>131.</w:t>
      </w:r>
      <w:r>
        <w:tab/>
        <w:t>Il est prévu de commencer à élaborer, au début de 2007, un plan d’action visant à garantir le contrôle constant et effectif des institutions d’aide à l’enfance au moyen d’un mécanisme de suivi et d’inspection supervisé par le Département pour la protection des enfants ayant des besoins spéciaux et l’Inspection générale du Ministère de l’éducation et des sciences.</w:t>
      </w:r>
    </w:p>
    <w:p w:rsidR="00000000" w:rsidRDefault="00000000">
      <w:pPr>
        <w:keepNext/>
        <w:spacing w:after="240"/>
        <w:jc w:val="center"/>
        <w:rPr>
          <w:b/>
          <w:bCs/>
        </w:rPr>
      </w:pPr>
      <w:r>
        <w:rPr>
          <w:b/>
          <w:bCs/>
        </w:rPr>
        <w:t>E.  Violences et négligences (art. 19 et 39)</w:t>
      </w:r>
    </w:p>
    <w:p w:rsidR="00000000" w:rsidRDefault="00000000">
      <w:pPr>
        <w:spacing w:after="240"/>
        <w:rPr>
          <w:color w:val="000000"/>
        </w:rPr>
      </w:pPr>
      <w:r>
        <w:t>132.</w:t>
      </w:r>
      <w:r>
        <w:tab/>
        <w:t>Dans ses observations finales, le Comité recommande à l’État partie d’intensifier ses efforts en vue de définir une stratégie globale destinée à prévenir et combattre la violence familiale et les autres formes de violence, dont les brimades à l’école. L’État partie est encouragé à promulguer une loi traitant expressément de la violence familiale et comportant des dispositions à la fois d’ordre pénal et d’ordre civil, y compris en matière de recours.</w:t>
      </w:r>
      <w:r>
        <w:rPr>
          <w:color w:val="000000"/>
        </w:rPr>
        <w:t xml:space="preserve"> </w:t>
      </w:r>
      <w:r>
        <w:t>À cet égard, l’État partie est encouragé</w:t>
      </w:r>
      <w:r>
        <w:rPr>
          <w:color w:val="000000"/>
        </w:rPr>
        <w:t xml:space="preserve">, </w:t>
      </w:r>
      <w:r>
        <w:t>notamment, à se référer au schéma de loi type sur la violence familiale (E/CN.4/1996/53/Add.2) qui présente les éléments importants à prendre en compte dans une législation globale sur la violence familiale.</w:t>
      </w:r>
      <w:r>
        <w:rPr>
          <w:color w:val="000000"/>
        </w:rPr>
        <w:t xml:space="preserve"> </w:t>
      </w:r>
      <w:r>
        <w:t>En outre, le Comité recommande à l’État partie de prendre des mesures pour fournir des services de conseil et d’appui à tous les enfants victimes de violence, notamment ceux victimes de brimades à l’école.</w:t>
      </w:r>
      <w:r>
        <w:rPr>
          <w:color w:val="000000"/>
        </w:rPr>
        <w:t xml:space="preserve"> </w:t>
      </w:r>
    </w:p>
    <w:p w:rsidR="00000000" w:rsidRDefault="00000000">
      <w:pPr>
        <w:spacing w:after="240"/>
      </w:pPr>
      <w:r>
        <w:t>133.</w:t>
      </w:r>
      <w:r>
        <w:tab/>
        <w:t xml:space="preserve">En mai 2006, la loi sur l’élimination de la violence au sein de la famille, la protection des victimes d’actes de violences et l’assistance qui leur est destinée a été adoptée. Elle a pour objectifs: </w:t>
      </w:r>
    </w:p>
    <w:p w:rsidR="00000000" w:rsidRDefault="00000000">
      <w:pPr>
        <w:numPr>
          <w:ilvl w:val="0"/>
          <w:numId w:val="57"/>
        </w:numPr>
        <w:spacing w:after="240"/>
      </w:pPr>
      <w:r>
        <w:t>D’établir les garanties juridiques nécessaires pour protéger les droits et les libertés des membres de la famille − qui sont inviolables, conformément au principe de l’égalité des membres de la famille − et les valeurs familiales;</w:t>
      </w:r>
    </w:p>
    <w:p w:rsidR="00000000" w:rsidRDefault="00000000">
      <w:pPr>
        <w:numPr>
          <w:ilvl w:val="0"/>
          <w:numId w:val="57"/>
        </w:numPr>
        <w:spacing w:after="240"/>
      </w:pPr>
      <w:r>
        <w:t>De mettre en place des mécanismes efficaces pour détecter, prévenir et éliminer la violence dans la famille;</w:t>
      </w:r>
    </w:p>
    <w:p w:rsidR="00000000" w:rsidRDefault="00000000">
      <w:pPr>
        <w:numPr>
          <w:ilvl w:val="0"/>
          <w:numId w:val="57"/>
        </w:numPr>
        <w:spacing w:after="240"/>
      </w:pPr>
      <w:r>
        <w:t>D’assurer l’accès à la justice des victimes de violence dans la famille;</w:t>
      </w:r>
    </w:p>
    <w:p w:rsidR="00000000" w:rsidRDefault="00000000">
      <w:pPr>
        <w:numPr>
          <w:ilvl w:val="0"/>
          <w:numId w:val="57"/>
        </w:numPr>
        <w:spacing w:after="240"/>
      </w:pPr>
      <w:r>
        <w:t>De créer les conditions nécessaires à la protection, au soutien et à la réadaptation des victimes de violence dans la famille;</w:t>
      </w:r>
    </w:p>
    <w:p w:rsidR="00000000" w:rsidRDefault="00000000">
      <w:pPr>
        <w:numPr>
          <w:ilvl w:val="0"/>
          <w:numId w:val="57"/>
        </w:numPr>
        <w:spacing w:after="240"/>
      </w:pPr>
      <w:r>
        <w:t>D’assurer la coopération entre diverses institutions afin de prévenir la violence au sein de la famille et de la combattre.</w:t>
      </w:r>
    </w:p>
    <w:p w:rsidR="00000000" w:rsidRDefault="00000000">
      <w:pPr>
        <w:spacing w:after="240"/>
      </w:pPr>
      <w:r>
        <w:t>134.</w:t>
      </w:r>
      <w:r>
        <w:tab/>
        <w:t>Cette loi vise essentiellement à promouvoir l’élaboration d’outils efficaces pour la protection, la réadaptation et la réinsertion sociales tant des victimes que des auteurs de ce type de violence.</w:t>
      </w:r>
    </w:p>
    <w:p w:rsidR="00000000" w:rsidRDefault="00000000">
      <w:pPr>
        <w:spacing w:after="240"/>
      </w:pPr>
      <w:r>
        <w:t>135.</w:t>
      </w:r>
      <w:r>
        <w:tab/>
        <w:t xml:space="preserve">En premier lieu, priorité est donnée à la mise en place d’un centre pour l’hébergement temporaire des victimes de la violence dans la famille, qui permettra de faciliter leur protection et leur réadaptation psychologique et sociale, ainsi que de leur apporter une aide juridique et médicale et, surtout, de répondre à leurs besoins quotidiens grâce à un dispositif d’aide médicale et psychologique d’urgence. Ce centre d’hébergement temporaire sera mis en place sous les auspices du Ministère du travail, de la santé et des affaires sociales. </w:t>
      </w:r>
    </w:p>
    <w:p w:rsidR="00000000" w:rsidRDefault="00000000">
      <w:pPr>
        <w:spacing w:after="240"/>
      </w:pPr>
      <w:r>
        <w:t>136.</w:t>
      </w:r>
      <w:r>
        <w:tab/>
        <w:t>Toute victime de la violence dans la famille peut demander auprès des organes chargés de l’application des lois à être placée dans un centre d’hébergement pour une période de deux mois pendant laquelle elle peut conserver son propre logement. La loi garantit la confidentialité des informations reçues d’une victime de violence dans la famille concernant son identité et son état physique et psychologique.</w:t>
      </w:r>
    </w:p>
    <w:p w:rsidR="00000000" w:rsidRDefault="00000000">
      <w:pPr>
        <w:spacing w:after="240"/>
      </w:pPr>
      <w:r>
        <w:t>137.</w:t>
      </w:r>
      <w:r>
        <w:tab/>
        <w:t>En second lieu, cette loi tient compte des besoins spécifiques des auteurs d’actes de violence familiale et prévoit des mesures pour leur protection et leur réadaptation, la plus importante d’entre elles étant l’ouverture d’un centre qui leur fournira un hébergement temporaire, des services de réadaptation, une aide en cas de crise et une assistance médicale. La loi autorise toute association bénévole à fonder un tel centre dans le respect des normes fixées par le Ministère du travail, de la santé et des affaires sociales.</w:t>
      </w:r>
    </w:p>
    <w:p w:rsidR="00000000" w:rsidRDefault="00000000">
      <w:pPr>
        <w:spacing w:after="240"/>
      </w:pPr>
      <w:r>
        <w:t>138.</w:t>
      </w:r>
      <w:r>
        <w:tab/>
        <w:t xml:space="preserve">En outre, la loi susvisée insiste sur la nécessité de mener des campagnes d’information afin de sensibiliser davantage les différentes couches de la société à la violence au foyer et aux questions concernant la famille. </w:t>
      </w:r>
    </w:p>
    <w:p w:rsidR="00000000" w:rsidRDefault="00000000">
      <w:pPr>
        <w:spacing w:after="240"/>
      </w:pPr>
      <w:r>
        <w:t>139.</w:t>
      </w:r>
      <w:r>
        <w:tab/>
        <w:t>Il convient de relever, dans le cadre de la Convention relative aux droits de l’enfant, que cette loi prévoit des mesures visant expressément à protéger les mineurs de la violence dans la famille.</w:t>
      </w:r>
    </w:p>
    <w:p w:rsidR="00000000" w:rsidRDefault="00000000">
      <w:pPr>
        <w:spacing w:after="240"/>
      </w:pPr>
      <w:r>
        <w:t>140.</w:t>
      </w:r>
      <w:r>
        <w:tab/>
        <w:t xml:space="preserve">Le Ministère de l’éducation et des sciences a indiqué qu’en 2005, le centre d’aide à l’enfance avait dispensé une formation concernant la violence à l’encontre des enfants et qu’un conseiller technique de l’organisation britannique </w:t>
      </w:r>
      <w:proofErr w:type="spellStart"/>
      <w:r>
        <w:t>Every</w:t>
      </w:r>
      <w:proofErr w:type="spellEnd"/>
      <w:r>
        <w:t xml:space="preserve"> </w:t>
      </w:r>
      <w:proofErr w:type="spellStart"/>
      <w:r>
        <w:t>child</w:t>
      </w:r>
      <w:proofErr w:type="spellEnd"/>
      <w:r>
        <w:t xml:space="preserve"> avait donné un cours de formation intitulé «La violence dans la famille, son influence sur les enfants et ses signes révélateurs».</w:t>
      </w:r>
    </w:p>
    <w:p w:rsidR="00000000" w:rsidRDefault="00000000">
      <w:pPr>
        <w:spacing w:after="240"/>
      </w:pPr>
      <w:r>
        <w:t>141.</w:t>
      </w:r>
      <w:r>
        <w:tab/>
        <w:t xml:space="preserve">Le Fonds de développement des Nations Unis pour la femme (UNIFEM), le Fonds des Nations Unies pour la population (FNUAP), le Programme des Nations Unies pour le développement (PNUD) et l’UNICEF réalisent actuellement une étude sur la violence et la maltraitance des enfants au sein de la famille. </w:t>
      </w:r>
    </w:p>
    <w:p w:rsidR="00000000" w:rsidRDefault="00000000">
      <w:pPr>
        <w:keepNext/>
        <w:spacing w:after="240"/>
        <w:rPr>
          <w:b/>
          <w:bCs/>
        </w:rPr>
      </w:pPr>
      <w:r>
        <w:rPr>
          <w:b/>
          <w:bCs/>
        </w:rPr>
        <w:t>Châtiments corporels</w:t>
      </w:r>
    </w:p>
    <w:p w:rsidR="00000000" w:rsidRDefault="00000000">
      <w:pPr>
        <w:spacing w:after="240"/>
      </w:pPr>
      <w:r>
        <w:t>142.</w:t>
      </w:r>
      <w:r>
        <w:tab/>
        <w:t>Dans ses observations finales, le Comité encourage l’État partie à interdire expressément dans la loi les châtiments corporels au sein de la famille et à donner pleinement effet à l’interdiction du recours à la violence, y compris les châtiments corporels, dans les écoles et les établissements de soins, notamment en préconisant des formes de discipline à caractère pédagogique et non violentes, en particulier dans la famille, à l’école et dans les établissements accueillant des enfants, conformément au paragraphe 2 de l’article 28 de la Convention.</w:t>
      </w:r>
    </w:p>
    <w:p w:rsidR="00000000" w:rsidRDefault="00000000">
      <w:pPr>
        <w:spacing w:after="240"/>
      </w:pPr>
      <w:r>
        <w:t>143.</w:t>
      </w:r>
      <w:r>
        <w:tab/>
        <w:t>Conformément à l’article 19 de la loi sur l’enseignement général, la discipline scolaire doit être appliquée au moyen de méthodes respectueuses des libertés et de la dignité des élèves et des enseignants. Les mesures et les sanctions disciplinaires prévues par les règlements internes des écoles doivent être raisonnables, justifiées et proportionnelles et ne doivent porter atteinte ni à la dignité, ni à l’autorité d’une personne.</w:t>
      </w:r>
    </w:p>
    <w:p w:rsidR="00000000" w:rsidRDefault="00000000">
      <w:pPr>
        <w:spacing w:after="240"/>
      </w:pPr>
      <w:r>
        <w:t>144.</w:t>
      </w:r>
      <w:r>
        <w:tab/>
        <w:t>L’article 20 de la loi susmentionnée interdit la violence dans les écoles, que ce soit contre les élèves ou contre toute autre personne. En cas de violence physique ou verbale, l’école a l’obligation de réagir immédiatement et de façon appropriée, conformément à la législation en vigueur.</w:t>
      </w:r>
    </w:p>
    <w:p w:rsidR="00000000" w:rsidRDefault="00000000">
      <w:pPr>
        <w:keepNext/>
        <w:spacing w:after="240"/>
        <w:jc w:val="center"/>
        <w:rPr>
          <w:b/>
          <w:bCs/>
        </w:rPr>
      </w:pPr>
      <w:r>
        <w:rPr>
          <w:b/>
          <w:bCs/>
        </w:rPr>
        <w:t>VII.  SANTÉ ET BIEN-ÊTRE</w:t>
      </w:r>
    </w:p>
    <w:p w:rsidR="00000000" w:rsidRDefault="00000000">
      <w:pPr>
        <w:keepNext/>
        <w:spacing w:after="240"/>
        <w:jc w:val="center"/>
        <w:rPr>
          <w:b/>
          <w:bCs/>
        </w:rPr>
      </w:pPr>
      <w:r>
        <w:rPr>
          <w:b/>
          <w:bCs/>
        </w:rPr>
        <w:t>A.  Enfants handicapés (art. 23)</w:t>
      </w:r>
    </w:p>
    <w:p w:rsidR="00000000" w:rsidRDefault="00000000">
      <w:pPr>
        <w:spacing w:after="240"/>
      </w:pPr>
      <w:r>
        <w:t>145.</w:t>
      </w:r>
      <w:r>
        <w:tab/>
        <w:t>L’ONG Enfants de Géorgie a entrepris, en collaboration avec l’UNICEF, une évaluation portant sur les enfants handicapés placés en institution et leur capacité de réintégration, ainsi que sur les enfants handicapés vivant dans leur famille. De nouvelles méthodes d’évaluation adaptées au contexte géorgien ont été élaborées. Sur la base de cette évaluation, une stratégie de réinsertion et d’éducation intégrée sera mise au point.</w:t>
      </w:r>
    </w:p>
    <w:p w:rsidR="00000000" w:rsidRDefault="00000000">
      <w:pPr>
        <w:spacing w:after="240"/>
      </w:pPr>
      <w:r>
        <w:t>146.</w:t>
      </w:r>
      <w:r>
        <w:tab/>
        <w:t>Dans ses observations finales, le Comité encourage l’État partie à poursuivre activement ses efforts et à continuer:</w:t>
      </w:r>
    </w:p>
    <w:p w:rsidR="00000000" w:rsidRDefault="00000000">
      <w:pPr>
        <w:spacing w:after="240"/>
        <w:ind w:firstLine="567"/>
      </w:pPr>
      <w:r>
        <w:t>a)</w:t>
      </w:r>
      <w:r>
        <w:tab/>
        <w:t>De revoir les politiques et pratiques en vigueur concernant les enfants handicapés à la lumière des Règles pour l’égalisation des chances des handicapés (résolution 48/96 de l’Assemblée générale, annexe) et des recommandations adoptées par le Comité lors de la journée de débat général qu’il a consacrée au thème «Les droits des enfants handicapés» (CRC/C/69);</w:t>
      </w:r>
    </w:p>
    <w:p w:rsidR="00000000" w:rsidRDefault="00000000">
      <w:pPr>
        <w:spacing w:after="240"/>
        <w:ind w:firstLine="567"/>
      </w:pPr>
      <w:r>
        <w:t>b)</w:t>
      </w:r>
      <w:r>
        <w:tab/>
        <w:t>De faire davantage d’efforts pour que soient disponibles les professionnels (spécialistes des handicaps) et les ressources financières nécessaires, notamment au niveau local, et pour promouvoir et étendre les programmes de réinsertion reposant sur la collectivité, tels les groupes de soutien parental;</w:t>
      </w:r>
    </w:p>
    <w:p w:rsidR="00000000" w:rsidRDefault="00000000">
      <w:pPr>
        <w:spacing w:after="240"/>
        <w:ind w:firstLine="567"/>
      </w:pPr>
      <w:r>
        <w:t>c)</w:t>
      </w:r>
      <w:r>
        <w:tab/>
        <w:t>De développer les campagnes de sensibilisation pour que les enfants handicapés ne soient plus perçus aussi négativement dans l’opinion publique;</w:t>
      </w:r>
    </w:p>
    <w:p w:rsidR="00000000" w:rsidRDefault="00000000">
      <w:pPr>
        <w:spacing w:after="240"/>
        <w:ind w:firstLine="567"/>
      </w:pPr>
      <w:r>
        <w:t>d)</w:t>
      </w:r>
      <w:r>
        <w:tab/>
        <w:t>De prendre les mesures nécessaires pour intégrer les enfants handicapés dans le système éducatif ordinaire et dans la société;</w:t>
      </w:r>
    </w:p>
    <w:p w:rsidR="00000000" w:rsidRDefault="00000000">
      <w:pPr>
        <w:spacing w:after="240"/>
        <w:ind w:firstLine="567"/>
        <w:rPr>
          <w:i/>
          <w:u w:val="single"/>
        </w:rPr>
      </w:pPr>
      <w:r>
        <w:t>e)</w:t>
      </w:r>
      <w:r>
        <w:tab/>
        <w:t>De prendre les mesures nécessaires pour assurer une éducation parentale appropriée aux parents d’enfants handicapés.</w:t>
      </w:r>
    </w:p>
    <w:p w:rsidR="00000000" w:rsidRDefault="00000000">
      <w:pPr>
        <w:spacing w:after="240"/>
      </w:pPr>
      <w:r>
        <w:t>147.</w:t>
      </w:r>
      <w:r>
        <w:tab/>
        <w:t>Conformément aux directives du Ministère du travail, de la santé et des affaires sociales de Géorgie, une politique nationale concernant les enfants handicapés est définie dans la décision du Parlement en date du 13 février 2004 relative aux principales orientations de la politique sociale visant à protéger les droits des enfants handicapés. Les priorités suivantes ont été établies:</w:t>
      </w:r>
    </w:p>
    <w:p w:rsidR="00000000" w:rsidRDefault="00000000">
      <w:pPr>
        <w:spacing w:after="200"/>
        <w:ind w:left="1134" w:hanging="567"/>
      </w:pPr>
      <w:r>
        <w:t>1.</w:t>
      </w:r>
      <w:r>
        <w:tab/>
        <w:t>Harmonisation de la législation géorgienne avec les normes consacrées par les conventions internationales;</w:t>
      </w:r>
    </w:p>
    <w:p w:rsidR="00000000" w:rsidRDefault="00000000">
      <w:pPr>
        <w:spacing w:after="200"/>
        <w:ind w:firstLine="567"/>
      </w:pPr>
      <w:r>
        <w:t>2.</w:t>
      </w:r>
      <w:r>
        <w:tab/>
        <w:t>Participation de la société à la mise en œuvre des stratégies;</w:t>
      </w:r>
    </w:p>
    <w:p w:rsidR="00000000" w:rsidRDefault="00000000">
      <w:pPr>
        <w:spacing w:after="200"/>
        <w:ind w:firstLine="567"/>
      </w:pPr>
      <w:r>
        <w:t>3.</w:t>
      </w:r>
      <w:r>
        <w:tab/>
        <w:t>Changements institutionnels;</w:t>
      </w:r>
    </w:p>
    <w:p w:rsidR="00000000" w:rsidRDefault="00000000">
      <w:pPr>
        <w:spacing w:after="200"/>
        <w:ind w:firstLine="567"/>
      </w:pPr>
      <w:r>
        <w:t>4.</w:t>
      </w:r>
      <w:r>
        <w:tab/>
        <w:t>Assistance sociale;</w:t>
      </w:r>
    </w:p>
    <w:p w:rsidR="00000000" w:rsidRDefault="00000000">
      <w:pPr>
        <w:spacing w:after="200"/>
        <w:ind w:firstLine="567"/>
      </w:pPr>
      <w:r>
        <w:t>5.</w:t>
      </w:r>
      <w:r>
        <w:tab/>
        <w:t>Soins de santé et réadaptation;</w:t>
      </w:r>
    </w:p>
    <w:p w:rsidR="00000000" w:rsidRDefault="00000000">
      <w:pPr>
        <w:spacing w:after="200"/>
        <w:ind w:firstLine="567"/>
      </w:pPr>
      <w:r>
        <w:t>6.</w:t>
      </w:r>
      <w:r>
        <w:tab/>
        <w:t>Éducation intégrée pour la réinsertion.</w:t>
      </w:r>
    </w:p>
    <w:p w:rsidR="00000000" w:rsidRDefault="00000000">
      <w:pPr>
        <w:keepNext/>
        <w:spacing w:after="240"/>
      </w:pPr>
      <w:r>
        <w:t>148.</w:t>
      </w:r>
      <w:r>
        <w:tab/>
        <w:t>En 2000-2005, le Ministère du travail, de la santé et des affaires sociales a mis en œuvre divers programmes publics destinés aux enfants aux possibilités physiques et mentales restreintes (voir tableau ci-dessous).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6743"/>
        <w:gridCol w:w="1589"/>
      </w:tblGrid>
      <w:tr w:rsidR="00000000">
        <w:tc>
          <w:tcPr>
            <w:tcW w:w="1165" w:type="dxa"/>
            <w:vAlign w:val="center"/>
          </w:tcPr>
          <w:p w:rsidR="00000000" w:rsidRDefault="00000000">
            <w:pPr>
              <w:spacing w:before="60" w:after="60"/>
              <w:jc w:val="center"/>
              <w:rPr>
                <w:szCs w:val="22"/>
              </w:rPr>
            </w:pPr>
            <w:r>
              <w:rPr>
                <w:szCs w:val="22"/>
              </w:rPr>
              <w:t>Année</w:t>
            </w:r>
          </w:p>
        </w:tc>
        <w:tc>
          <w:tcPr>
            <w:tcW w:w="6743" w:type="dxa"/>
            <w:vAlign w:val="center"/>
          </w:tcPr>
          <w:p w:rsidR="00000000" w:rsidRDefault="00000000">
            <w:pPr>
              <w:spacing w:before="60" w:after="60"/>
              <w:jc w:val="center"/>
              <w:rPr>
                <w:szCs w:val="22"/>
              </w:rPr>
            </w:pPr>
            <w:r>
              <w:rPr>
                <w:szCs w:val="22"/>
              </w:rPr>
              <w:t>Titre du programme national</w:t>
            </w:r>
          </w:p>
        </w:tc>
        <w:tc>
          <w:tcPr>
            <w:tcW w:w="1589" w:type="dxa"/>
            <w:vAlign w:val="center"/>
          </w:tcPr>
          <w:p w:rsidR="00000000" w:rsidRDefault="00000000">
            <w:pPr>
              <w:spacing w:before="60" w:after="60"/>
              <w:jc w:val="center"/>
              <w:rPr>
                <w:szCs w:val="22"/>
              </w:rPr>
            </w:pPr>
            <w:r>
              <w:rPr>
                <w:szCs w:val="22"/>
              </w:rPr>
              <w:t>Montant des allocations budgétaires</w:t>
            </w:r>
            <w:r>
              <w:rPr>
                <w:szCs w:val="22"/>
              </w:rPr>
              <w:br/>
              <w:t xml:space="preserve">(en </w:t>
            </w:r>
            <w:proofErr w:type="spellStart"/>
            <w:r>
              <w:rPr>
                <w:szCs w:val="22"/>
              </w:rPr>
              <w:t>lari</w:t>
            </w:r>
            <w:proofErr w:type="spellEnd"/>
            <w:r>
              <w:rPr>
                <w:szCs w:val="22"/>
              </w:rPr>
              <w:t>)</w:t>
            </w:r>
          </w:p>
        </w:tc>
      </w:tr>
      <w:tr w:rsidR="00000000">
        <w:tc>
          <w:tcPr>
            <w:tcW w:w="1165" w:type="dxa"/>
          </w:tcPr>
          <w:p w:rsidR="00000000" w:rsidRDefault="00000000">
            <w:pPr>
              <w:spacing w:before="60" w:after="60"/>
              <w:jc w:val="center"/>
              <w:rPr>
                <w:szCs w:val="22"/>
              </w:rPr>
            </w:pPr>
            <w:r>
              <w:rPr>
                <w:szCs w:val="22"/>
              </w:rPr>
              <w:t>2003</w:t>
            </w:r>
          </w:p>
        </w:tc>
        <w:tc>
          <w:tcPr>
            <w:tcW w:w="6743" w:type="dxa"/>
          </w:tcPr>
          <w:p w:rsidR="00000000" w:rsidRDefault="00000000">
            <w:pPr>
              <w:spacing w:before="60" w:after="60"/>
              <w:rPr>
                <w:szCs w:val="22"/>
              </w:rPr>
            </w:pPr>
            <w:r>
              <w:rPr>
                <w:szCs w:val="22"/>
              </w:rPr>
              <w:t>Sous-programme pour la prise en charge des enfants handicapés</w:t>
            </w:r>
            <w:r>
              <w:rPr>
                <w:szCs w:val="22"/>
              </w:rPr>
              <w:br/>
              <w:t xml:space="preserve">en institution </w:t>
            </w:r>
          </w:p>
        </w:tc>
        <w:tc>
          <w:tcPr>
            <w:tcW w:w="1589" w:type="dxa"/>
            <w:vAlign w:val="bottom"/>
          </w:tcPr>
          <w:p w:rsidR="00000000" w:rsidRDefault="00000000">
            <w:pPr>
              <w:spacing w:before="60" w:after="60"/>
              <w:jc w:val="right"/>
              <w:rPr>
                <w:szCs w:val="22"/>
              </w:rPr>
            </w:pPr>
            <w:r>
              <w:rPr>
                <w:szCs w:val="22"/>
              </w:rPr>
              <w:t>1 800 000</w:t>
            </w:r>
          </w:p>
        </w:tc>
      </w:tr>
      <w:tr w:rsidR="00000000">
        <w:tc>
          <w:tcPr>
            <w:tcW w:w="1165" w:type="dxa"/>
          </w:tcPr>
          <w:p w:rsidR="00000000" w:rsidRDefault="00000000">
            <w:pPr>
              <w:spacing w:before="60" w:after="60"/>
              <w:jc w:val="center"/>
              <w:rPr>
                <w:szCs w:val="22"/>
              </w:rPr>
            </w:pPr>
            <w:r>
              <w:rPr>
                <w:szCs w:val="22"/>
              </w:rPr>
              <w:t>2004</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2 050 000</w:t>
            </w:r>
          </w:p>
        </w:tc>
      </w:tr>
      <w:tr w:rsidR="00000000">
        <w:tc>
          <w:tcPr>
            <w:tcW w:w="1165" w:type="dxa"/>
          </w:tcPr>
          <w:p w:rsidR="00000000" w:rsidRDefault="00000000">
            <w:pPr>
              <w:spacing w:before="60" w:after="60"/>
              <w:jc w:val="center"/>
              <w:rPr>
                <w:szCs w:val="22"/>
              </w:rPr>
            </w:pPr>
            <w:r>
              <w:rPr>
                <w:szCs w:val="22"/>
              </w:rPr>
              <w:t>2005</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2 563 100</w:t>
            </w:r>
          </w:p>
        </w:tc>
      </w:tr>
      <w:tr w:rsidR="00000000">
        <w:tc>
          <w:tcPr>
            <w:tcW w:w="1165" w:type="dxa"/>
          </w:tcPr>
          <w:p w:rsidR="00000000" w:rsidRDefault="00000000">
            <w:pPr>
              <w:spacing w:before="60" w:after="60"/>
              <w:jc w:val="center"/>
              <w:rPr>
                <w:szCs w:val="22"/>
              </w:rPr>
            </w:pPr>
            <w:r>
              <w:rPr>
                <w:szCs w:val="22"/>
              </w:rPr>
              <w:t>2003</w:t>
            </w:r>
          </w:p>
        </w:tc>
        <w:tc>
          <w:tcPr>
            <w:tcW w:w="6743" w:type="dxa"/>
          </w:tcPr>
          <w:p w:rsidR="00000000" w:rsidRDefault="00000000">
            <w:pPr>
              <w:spacing w:before="60" w:after="60"/>
              <w:rPr>
                <w:szCs w:val="22"/>
              </w:rPr>
            </w:pPr>
            <w:r>
              <w:rPr>
                <w:szCs w:val="22"/>
              </w:rPr>
              <w:t>Programme pour la prestation de soins complémentaires aux enfants handicapés</w:t>
            </w:r>
          </w:p>
        </w:tc>
        <w:tc>
          <w:tcPr>
            <w:tcW w:w="1589" w:type="dxa"/>
            <w:vAlign w:val="bottom"/>
          </w:tcPr>
          <w:p w:rsidR="00000000" w:rsidRDefault="00000000">
            <w:pPr>
              <w:spacing w:before="60" w:after="60"/>
              <w:jc w:val="right"/>
              <w:rPr>
                <w:szCs w:val="22"/>
              </w:rPr>
            </w:pPr>
            <w:r>
              <w:rPr>
                <w:szCs w:val="22"/>
              </w:rPr>
              <w:t>170 000</w:t>
            </w:r>
          </w:p>
        </w:tc>
      </w:tr>
      <w:tr w:rsidR="00000000">
        <w:tc>
          <w:tcPr>
            <w:tcW w:w="1165" w:type="dxa"/>
          </w:tcPr>
          <w:p w:rsidR="00000000" w:rsidRDefault="00000000">
            <w:pPr>
              <w:spacing w:before="60" w:after="60"/>
              <w:jc w:val="center"/>
              <w:rPr>
                <w:szCs w:val="22"/>
              </w:rPr>
            </w:pPr>
            <w:r>
              <w:rPr>
                <w:szCs w:val="22"/>
              </w:rPr>
              <w:t>2004</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200 000</w:t>
            </w:r>
          </w:p>
        </w:tc>
      </w:tr>
      <w:tr w:rsidR="00000000">
        <w:tc>
          <w:tcPr>
            <w:tcW w:w="1165" w:type="dxa"/>
          </w:tcPr>
          <w:p w:rsidR="00000000" w:rsidRDefault="00000000">
            <w:pPr>
              <w:spacing w:before="60" w:after="60"/>
              <w:jc w:val="center"/>
              <w:rPr>
                <w:szCs w:val="22"/>
              </w:rPr>
            </w:pPr>
            <w:r>
              <w:rPr>
                <w:szCs w:val="22"/>
              </w:rPr>
              <w:t>2005</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350 000</w:t>
            </w:r>
          </w:p>
        </w:tc>
      </w:tr>
      <w:tr w:rsidR="00000000">
        <w:tc>
          <w:tcPr>
            <w:tcW w:w="1165" w:type="dxa"/>
          </w:tcPr>
          <w:p w:rsidR="00000000" w:rsidRDefault="00000000">
            <w:pPr>
              <w:spacing w:before="60" w:after="60"/>
              <w:jc w:val="center"/>
              <w:rPr>
                <w:szCs w:val="22"/>
              </w:rPr>
            </w:pPr>
            <w:r>
              <w:rPr>
                <w:szCs w:val="22"/>
              </w:rPr>
              <w:t>2001</w:t>
            </w:r>
          </w:p>
        </w:tc>
        <w:tc>
          <w:tcPr>
            <w:tcW w:w="6743" w:type="dxa"/>
          </w:tcPr>
          <w:p w:rsidR="00000000" w:rsidRDefault="00000000">
            <w:pPr>
              <w:spacing w:before="60" w:after="60"/>
              <w:rPr>
                <w:szCs w:val="22"/>
              </w:rPr>
            </w:pPr>
            <w:r>
              <w:rPr>
                <w:szCs w:val="22"/>
              </w:rPr>
              <w:t>Programme de réadaptation médico-sociale des enfants handicapés</w:t>
            </w:r>
          </w:p>
        </w:tc>
        <w:tc>
          <w:tcPr>
            <w:tcW w:w="1589" w:type="dxa"/>
            <w:vAlign w:val="bottom"/>
          </w:tcPr>
          <w:p w:rsidR="00000000" w:rsidRDefault="00000000">
            <w:pPr>
              <w:spacing w:before="60" w:after="60"/>
              <w:jc w:val="right"/>
              <w:rPr>
                <w:szCs w:val="22"/>
              </w:rPr>
            </w:pPr>
            <w:r>
              <w:rPr>
                <w:szCs w:val="22"/>
              </w:rPr>
              <w:t>390 300</w:t>
            </w:r>
          </w:p>
        </w:tc>
      </w:tr>
      <w:tr w:rsidR="00000000">
        <w:tc>
          <w:tcPr>
            <w:tcW w:w="1165" w:type="dxa"/>
          </w:tcPr>
          <w:p w:rsidR="00000000" w:rsidRDefault="00000000">
            <w:pPr>
              <w:spacing w:before="60" w:after="60"/>
              <w:jc w:val="center"/>
              <w:rPr>
                <w:szCs w:val="22"/>
              </w:rPr>
            </w:pPr>
            <w:r>
              <w:rPr>
                <w:szCs w:val="22"/>
              </w:rPr>
              <w:t>2003</w:t>
            </w:r>
          </w:p>
        </w:tc>
        <w:tc>
          <w:tcPr>
            <w:tcW w:w="6743" w:type="dxa"/>
          </w:tcPr>
          <w:p w:rsidR="00000000" w:rsidRDefault="00000000">
            <w:pPr>
              <w:spacing w:before="60" w:after="60"/>
              <w:rPr>
                <w:szCs w:val="22"/>
              </w:rPr>
            </w:pPr>
            <w:r>
              <w:rPr>
                <w:szCs w:val="22"/>
              </w:rPr>
              <w:t>Sous-programme de réadaptation sociale des enfants handicapés</w:t>
            </w:r>
          </w:p>
        </w:tc>
        <w:tc>
          <w:tcPr>
            <w:tcW w:w="1589" w:type="dxa"/>
            <w:vAlign w:val="bottom"/>
          </w:tcPr>
          <w:p w:rsidR="00000000" w:rsidRDefault="00000000">
            <w:pPr>
              <w:spacing w:before="60" w:after="60"/>
              <w:jc w:val="right"/>
              <w:rPr>
                <w:szCs w:val="22"/>
              </w:rPr>
            </w:pPr>
            <w:r>
              <w:rPr>
                <w:szCs w:val="22"/>
              </w:rPr>
              <w:t>520 000</w:t>
            </w:r>
          </w:p>
        </w:tc>
      </w:tr>
      <w:tr w:rsidR="00000000">
        <w:tc>
          <w:tcPr>
            <w:tcW w:w="1165" w:type="dxa"/>
          </w:tcPr>
          <w:p w:rsidR="00000000" w:rsidRDefault="00000000">
            <w:pPr>
              <w:spacing w:before="60" w:after="60"/>
              <w:jc w:val="center"/>
              <w:rPr>
                <w:szCs w:val="22"/>
              </w:rPr>
            </w:pPr>
            <w:r>
              <w:rPr>
                <w:szCs w:val="22"/>
              </w:rPr>
              <w:t>2004</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600 000</w:t>
            </w:r>
          </w:p>
        </w:tc>
      </w:tr>
      <w:tr w:rsidR="00000000">
        <w:tc>
          <w:tcPr>
            <w:tcW w:w="1165" w:type="dxa"/>
          </w:tcPr>
          <w:p w:rsidR="00000000" w:rsidRDefault="00000000">
            <w:pPr>
              <w:spacing w:before="60" w:after="60"/>
              <w:jc w:val="center"/>
              <w:rPr>
                <w:szCs w:val="22"/>
              </w:rPr>
            </w:pPr>
            <w:r>
              <w:rPr>
                <w:szCs w:val="22"/>
              </w:rPr>
              <w:t>2005</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600 000</w:t>
            </w:r>
          </w:p>
        </w:tc>
      </w:tr>
      <w:tr w:rsidR="00000000">
        <w:tc>
          <w:tcPr>
            <w:tcW w:w="1165" w:type="dxa"/>
          </w:tcPr>
          <w:p w:rsidR="00000000" w:rsidRDefault="00000000">
            <w:pPr>
              <w:spacing w:before="60" w:after="60"/>
              <w:jc w:val="center"/>
              <w:rPr>
                <w:szCs w:val="22"/>
              </w:rPr>
            </w:pPr>
            <w:r>
              <w:rPr>
                <w:szCs w:val="22"/>
              </w:rPr>
              <w:t>2005</w:t>
            </w:r>
          </w:p>
        </w:tc>
        <w:tc>
          <w:tcPr>
            <w:tcW w:w="6743" w:type="dxa"/>
          </w:tcPr>
          <w:p w:rsidR="00000000" w:rsidRDefault="00000000">
            <w:pPr>
              <w:spacing w:before="60" w:after="60"/>
              <w:rPr>
                <w:szCs w:val="22"/>
              </w:rPr>
            </w:pPr>
            <w:r>
              <w:rPr>
                <w:szCs w:val="22"/>
              </w:rPr>
              <w:t>Élément portant sur le «service hospitalier pour les enfants handicapés»</w:t>
            </w:r>
          </w:p>
        </w:tc>
        <w:tc>
          <w:tcPr>
            <w:tcW w:w="1589" w:type="dxa"/>
            <w:vAlign w:val="bottom"/>
          </w:tcPr>
          <w:p w:rsidR="00000000" w:rsidRDefault="00000000">
            <w:pPr>
              <w:spacing w:before="60" w:after="60"/>
              <w:jc w:val="right"/>
              <w:rPr>
                <w:szCs w:val="22"/>
              </w:rPr>
            </w:pPr>
            <w:r>
              <w:rPr>
                <w:szCs w:val="22"/>
              </w:rPr>
              <w:t>286 900</w:t>
            </w:r>
          </w:p>
        </w:tc>
      </w:tr>
      <w:tr w:rsidR="00000000">
        <w:tc>
          <w:tcPr>
            <w:tcW w:w="1165" w:type="dxa"/>
          </w:tcPr>
          <w:p w:rsidR="00000000" w:rsidRDefault="00000000">
            <w:pPr>
              <w:spacing w:before="60" w:after="60"/>
              <w:jc w:val="center"/>
              <w:rPr>
                <w:szCs w:val="22"/>
              </w:rPr>
            </w:pPr>
            <w:r>
              <w:rPr>
                <w:szCs w:val="22"/>
              </w:rPr>
              <w:t>2003</w:t>
            </w:r>
          </w:p>
        </w:tc>
        <w:tc>
          <w:tcPr>
            <w:tcW w:w="6743" w:type="dxa"/>
          </w:tcPr>
          <w:p w:rsidR="00000000" w:rsidRDefault="00000000">
            <w:pPr>
              <w:spacing w:before="60" w:after="60"/>
              <w:rPr>
                <w:szCs w:val="22"/>
              </w:rPr>
            </w:pPr>
            <w:r>
              <w:rPr>
                <w:szCs w:val="22"/>
              </w:rPr>
              <w:t>Volet portant sur l’intégration sociale des enfants handicapés</w:t>
            </w:r>
          </w:p>
        </w:tc>
        <w:tc>
          <w:tcPr>
            <w:tcW w:w="1589" w:type="dxa"/>
            <w:vAlign w:val="bottom"/>
          </w:tcPr>
          <w:p w:rsidR="00000000" w:rsidRDefault="00000000">
            <w:pPr>
              <w:spacing w:before="60" w:after="60"/>
              <w:jc w:val="right"/>
              <w:rPr>
                <w:szCs w:val="22"/>
              </w:rPr>
            </w:pPr>
            <w:r>
              <w:rPr>
                <w:szCs w:val="22"/>
              </w:rPr>
              <w:t>1 465 000</w:t>
            </w:r>
          </w:p>
        </w:tc>
      </w:tr>
      <w:tr w:rsidR="00000000">
        <w:tc>
          <w:tcPr>
            <w:tcW w:w="1165" w:type="dxa"/>
          </w:tcPr>
          <w:p w:rsidR="00000000" w:rsidRDefault="00000000">
            <w:pPr>
              <w:spacing w:before="60" w:after="60"/>
              <w:jc w:val="center"/>
              <w:rPr>
                <w:szCs w:val="22"/>
              </w:rPr>
            </w:pPr>
            <w:r>
              <w:rPr>
                <w:szCs w:val="22"/>
              </w:rPr>
              <w:t>2004</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600 000</w:t>
            </w:r>
          </w:p>
        </w:tc>
      </w:tr>
      <w:tr w:rsidR="00000000">
        <w:tc>
          <w:tcPr>
            <w:tcW w:w="1165" w:type="dxa"/>
          </w:tcPr>
          <w:p w:rsidR="00000000" w:rsidRDefault="00000000">
            <w:pPr>
              <w:spacing w:before="60" w:after="60"/>
              <w:jc w:val="center"/>
              <w:rPr>
                <w:szCs w:val="22"/>
              </w:rPr>
            </w:pPr>
            <w:r>
              <w:rPr>
                <w:szCs w:val="22"/>
              </w:rPr>
              <w:t>2000</w:t>
            </w:r>
          </w:p>
        </w:tc>
        <w:tc>
          <w:tcPr>
            <w:tcW w:w="6743" w:type="dxa"/>
          </w:tcPr>
          <w:p w:rsidR="00000000" w:rsidRDefault="00000000">
            <w:pPr>
              <w:spacing w:before="60" w:after="60"/>
              <w:rPr>
                <w:szCs w:val="22"/>
              </w:rPr>
            </w:pPr>
            <w:r>
              <w:rPr>
                <w:szCs w:val="22"/>
              </w:rPr>
              <w:t>Programme d’orientation des enfants souffrant d’hydrocéphalie occlusive vers des spécialistes</w:t>
            </w:r>
          </w:p>
        </w:tc>
        <w:tc>
          <w:tcPr>
            <w:tcW w:w="1589" w:type="dxa"/>
            <w:vAlign w:val="bottom"/>
          </w:tcPr>
          <w:p w:rsidR="00000000" w:rsidRDefault="00000000">
            <w:pPr>
              <w:spacing w:before="60" w:after="60"/>
              <w:jc w:val="right"/>
              <w:rPr>
                <w:szCs w:val="22"/>
              </w:rPr>
            </w:pPr>
            <w:r>
              <w:rPr>
                <w:szCs w:val="22"/>
              </w:rPr>
              <w:t>62 000</w:t>
            </w:r>
          </w:p>
        </w:tc>
      </w:tr>
      <w:tr w:rsidR="00000000">
        <w:tc>
          <w:tcPr>
            <w:tcW w:w="1165" w:type="dxa"/>
          </w:tcPr>
          <w:p w:rsidR="00000000" w:rsidRDefault="00000000">
            <w:pPr>
              <w:spacing w:before="60" w:after="60"/>
              <w:jc w:val="center"/>
              <w:rPr>
                <w:szCs w:val="22"/>
              </w:rPr>
            </w:pPr>
            <w:r>
              <w:rPr>
                <w:szCs w:val="22"/>
              </w:rPr>
              <w:t>2001</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21 500</w:t>
            </w:r>
          </w:p>
        </w:tc>
      </w:tr>
      <w:tr w:rsidR="00000000">
        <w:tc>
          <w:tcPr>
            <w:tcW w:w="1165" w:type="dxa"/>
          </w:tcPr>
          <w:p w:rsidR="00000000" w:rsidRDefault="00000000">
            <w:pPr>
              <w:spacing w:before="60" w:after="60"/>
              <w:jc w:val="center"/>
              <w:rPr>
                <w:szCs w:val="22"/>
              </w:rPr>
            </w:pPr>
            <w:r>
              <w:rPr>
                <w:szCs w:val="22"/>
              </w:rPr>
              <w:t>2000</w:t>
            </w:r>
          </w:p>
        </w:tc>
        <w:tc>
          <w:tcPr>
            <w:tcW w:w="6743" w:type="dxa"/>
          </w:tcPr>
          <w:p w:rsidR="00000000" w:rsidRDefault="00000000">
            <w:pPr>
              <w:spacing w:before="60" w:after="60"/>
              <w:rPr>
                <w:szCs w:val="22"/>
              </w:rPr>
            </w:pPr>
            <w:r>
              <w:rPr>
                <w:szCs w:val="22"/>
              </w:rPr>
              <w:t>Programme supplémentaire pour le cancer et l’hématologie infantiles</w:t>
            </w:r>
          </w:p>
        </w:tc>
        <w:tc>
          <w:tcPr>
            <w:tcW w:w="1589" w:type="dxa"/>
            <w:vAlign w:val="bottom"/>
          </w:tcPr>
          <w:p w:rsidR="00000000" w:rsidRDefault="00000000">
            <w:pPr>
              <w:spacing w:before="60" w:after="60"/>
              <w:jc w:val="right"/>
              <w:rPr>
                <w:szCs w:val="22"/>
              </w:rPr>
            </w:pPr>
            <w:r>
              <w:rPr>
                <w:szCs w:val="22"/>
              </w:rPr>
              <w:t>200 000</w:t>
            </w:r>
          </w:p>
        </w:tc>
      </w:tr>
      <w:tr w:rsidR="00000000">
        <w:tc>
          <w:tcPr>
            <w:tcW w:w="1165" w:type="dxa"/>
          </w:tcPr>
          <w:p w:rsidR="00000000" w:rsidRDefault="00000000">
            <w:pPr>
              <w:spacing w:before="60" w:after="60"/>
              <w:jc w:val="center"/>
              <w:rPr>
                <w:szCs w:val="22"/>
              </w:rPr>
            </w:pPr>
            <w:r>
              <w:rPr>
                <w:szCs w:val="22"/>
              </w:rPr>
              <w:t>2000</w:t>
            </w:r>
          </w:p>
        </w:tc>
        <w:tc>
          <w:tcPr>
            <w:tcW w:w="6743" w:type="dxa"/>
          </w:tcPr>
          <w:p w:rsidR="00000000" w:rsidRDefault="00000000">
            <w:pPr>
              <w:spacing w:before="60" w:after="60"/>
              <w:rPr>
                <w:szCs w:val="22"/>
              </w:rPr>
            </w:pPr>
            <w:r>
              <w:rPr>
                <w:szCs w:val="22"/>
              </w:rPr>
              <w:t>Programme de soins pour les patients handicapés par l’épilepsie et la paralysie cérébrale</w:t>
            </w:r>
          </w:p>
        </w:tc>
        <w:tc>
          <w:tcPr>
            <w:tcW w:w="1589" w:type="dxa"/>
            <w:vAlign w:val="bottom"/>
          </w:tcPr>
          <w:p w:rsidR="00000000" w:rsidRDefault="00000000">
            <w:pPr>
              <w:spacing w:before="60" w:after="60"/>
              <w:jc w:val="right"/>
              <w:rPr>
                <w:szCs w:val="22"/>
              </w:rPr>
            </w:pPr>
            <w:r>
              <w:rPr>
                <w:szCs w:val="22"/>
              </w:rPr>
              <w:t>480 000</w:t>
            </w:r>
          </w:p>
        </w:tc>
      </w:tr>
      <w:tr w:rsidR="00000000">
        <w:tc>
          <w:tcPr>
            <w:tcW w:w="1165" w:type="dxa"/>
          </w:tcPr>
          <w:p w:rsidR="00000000" w:rsidRDefault="00000000">
            <w:pPr>
              <w:spacing w:before="60" w:after="60"/>
              <w:jc w:val="center"/>
              <w:rPr>
                <w:szCs w:val="22"/>
              </w:rPr>
            </w:pPr>
            <w:r>
              <w:rPr>
                <w:szCs w:val="22"/>
              </w:rPr>
              <w:t>2000</w:t>
            </w:r>
          </w:p>
        </w:tc>
        <w:tc>
          <w:tcPr>
            <w:tcW w:w="6743" w:type="dxa"/>
          </w:tcPr>
          <w:p w:rsidR="00000000" w:rsidRDefault="00000000">
            <w:pPr>
              <w:spacing w:before="60" w:after="60"/>
              <w:rPr>
                <w:szCs w:val="22"/>
              </w:rPr>
            </w:pPr>
            <w:r>
              <w:rPr>
                <w:szCs w:val="22"/>
              </w:rPr>
              <w:t xml:space="preserve">Élément réinsertion sociale des personnes déplacées dans leur propre pays </w:t>
            </w:r>
          </w:p>
        </w:tc>
        <w:tc>
          <w:tcPr>
            <w:tcW w:w="1589" w:type="dxa"/>
            <w:vAlign w:val="bottom"/>
          </w:tcPr>
          <w:p w:rsidR="00000000" w:rsidRDefault="00000000">
            <w:pPr>
              <w:spacing w:before="60" w:after="60"/>
              <w:jc w:val="right"/>
              <w:rPr>
                <w:szCs w:val="22"/>
              </w:rPr>
            </w:pPr>
            <w:r>
              <w:rPr>
                <w:szCs w:val="22"/>
              </w:rPr>
              <w:t>150 000</w:t>
            </w:r>
          </w:p>
        </w:tc>
      </w:tr>
      <w:tr w:rsidR="00000000">
        <w:tc>
          <w:tcPr>
            <w:tcW w:w="1165" w:type="dxa"/>
          </w:tcPr>
          <w:p w:rsidR="00000000" w:rsidRDefault="00000000">
            <w:pPr>
              <w:spacing w:before="60" w:after="60"/>
              <w:jc w:val="center"/>
              <w:rPr>
                <w:szCs w:val="22"/>
              </w:rPr>
            </w:pPr>
            <w:r>
              <w:rPr>
                <w:szCs w:val="22"/>
              </w:rPr>
              <w:t>2001</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128 500</w:t>
            </w:r>
          </w:p>
        </w:tc>
      </w:tr>
      <w:tr w:rsidR="00000000">
        <w:tc>
          <w:tcPr>
            <w:tcW w:w="1165" w:type="dxa"/>
          </w:tcPr>
          <w:p w:rsidR="00000000" w:rsidRDefault="00000000">
            <w:pPr>
              <w:spacing w:before="60" w:after="60"/>
              <w:jc w:val="center"/>
              <w:rPr>
                <w:szCs w:val="22"/>
              </w:rPr>
            </w:pPr>
            <w:r>
              <w:rPr>
                <w:szCs w:val="22"/>
              </w:rPr>
              <w:t>2002</w:t>
            </w:r>
          </w:p>
        </w:tc>
        <w:tc>
          <w:tcPr>
            <w:tcW w:w="6743" w:type="dxa"/>
          </w:tcPr>
          <w:p w:rsidR="00000000" w:rsidRDefault="00000000">
            <w:pPr>
              <w:spacing w:before="60" w:after="60"/>
              <w:rPr>
                <w:szCs w:val="22"/>
              </w:rPr>
            </w:pPr>
          </w:p>
        </w:tc>
        <w:tc>
          <w:tcPr>
            <w:tcW w:w="1589" w:type="dxa"/>
            <w:vAlign w:val="bottom"/>
          </w:tcPr>
          <w:p w:rsidR="00000000" w:rsidRDefault="00000000">
            <w:pPr>
              <w:spacing w:before="60" w:after="60"/>
              <w:jc w:val="right"/>
              <w:rPr>
                <w:szCs w:val="22"/>
              </w:rPr>
            </w:pPr>
            <w:r>
              <w:rPr>
                <w:szCs w:val="22"/>
              </w:rPr>
              <w:t>115 000</w:t>
            </w:r>
          </w:p>
        </w:tc>
      </w:tr>
      <w:tr w:rsidR="00000000">
        <w:tc>
          <w:tcPr>
            <w:tcW w:w="1165" w:type="dxa"/>
            <w:tcBorders>
              <w:bottom w:val="single" w:sz="4" w:space="0" w:color="auto"/>
            </w:tcBorders>
          </w:tcPr>
          <w:p w:rsidR="00000000" w:rsidRDefault="00000000">
            <w:pPr>
              <w:spacing w:before="60" w:after="60"/>
              <w:jc w:val="center"/>
              <w:rPr>
                <w:szCs w:val="22"/>
                <w:lang w:val="fr-FR"/>
              </w:rPr>
            </w:pPr>
            <w:r>
              <w:rPr>
                <w:szCs w:val="22"/>
                <w:lang w:val="fr-FR"/>
              </w:rPr>
              <w:t>2003</w:t>
            </w:r>
          </w:p>
        </w:tc>
        <w:tc>
          <w:tcPr>
            <w:tcW w:w="6743" w:type="dxa"/>
            <w:tcBorders>
              <w:bottom w:val="single" w:sz="4" w:space="0" w:color="auto"/>
            </w:tcBorders>
          </w:tcPr>
          <w:p w:rsidR="00000000" w:rsidRDefault="00000000">
            <w:pPr>
              <w:spacing w:before="60" w:after="60"/>
              <w:rPr>
                <w:szCs w:val="22"/>
                <w:lang w:val="fr-FR"/>
              </w:rPr>
            </w:pPr>
          </w:p>
        </w:tc>
        <w:tc>
          <w:tcPr>
            <w:tcW w:w="1589" w:type="dxa"/>
            <w:tcBorders>
              <w:bottom w:val="single" w:sz="4" w:space="0" w:color="auto"/>
            </w:tcBorders>
            <w:vAlign w:val="bottom"/>
          </w:tcPr>
          <w:p w:rsidR="00000000" w:rsidRDefault="00000000">
            <w:pPr>
              <w:spacing w:before="60" w:after="60"/>
              <w:jc w:val="right"/>
              <w:rPr>
                <w:szCs w:val="22"/>
                <w:lang w:val="fr-FR"/>
              </w:rPr>
            </w:pPr>
            <w:r>
              <w:rPr>
                <w:szCs w:val="22"/>
              </w:rPr>
              <w:t>200</w:t>
            </w:r>
            <w:r>
              <w:rPr>
                <w:szCs w:val="22"/>
                <w:lang w:val="fr-FR"/>
              </w:rPr>
              <w:t xml:space="preserve"> </w:t>
            </w:r>
            <w:r>
              <w:rPr>
                <w:szCs w:val="22"/>
              </w:rPr>
              <w:t>000</w:t>
            </w:r>
          </w:p>
        </w:tc>
      </w:tr>
      <w:tr w:rsidR="00000000">
        <w:tc>
          <w:tcPr>
            <w:tcW w:w="1165" w:type="dxa"/>
            <w:tcBorders>
              <w:bottom w:val="single" w:sz="4" w:space="0" w:color="auto"/>
            </w:tcBorders>
          </w:tcPr>
          <w:p w:rsidR="00000000" w:rsidRDefault="00000000">
            <w:pPr>
              <w:spacing w:before="60" w:after="60"/>
              <w:jc w:val="center"/>
              <w:rPr>
                <w:szCs w:val="22"/>
                <w:lang w:val="fr-FR"/>
              </w:rPr>
            </w:pPr>
            <w:r>
              <w:rPr>
                <w:szCs w:val="22"/>
                <w:lang w:val="fr-FR"/>
              </w:rPr>
              <w:t>2004</w:t>
            </w:r>
          </w:p>
        </w:tc>
        <w:tc>
          <w:tcPr>
            <w:tcW w:w="6743" w:type="dxa"/>
            <w:tcBorders>
              <w:bottom w:val="single" w:sz="4" w:space="0" w:color="auto"/>
            </w:tcBorders>
          </w:tcPr>
          <w:p w:rsidR="00000000" w:rsidRDefault="00000000">
            <w:pPr>
              <w:spacing w:before="60" w:after="60"/>
              <w:rPr>
                <w:szCs w:val="22"/>
                <w:lang w:val="fr-FR"/>
              </w:rPr>
            </w:pPr>
          </w:p>
        </w:tc>
        <w:tc>
          <w:tcPr>
            <w:tcW w:w="1589" w:type="dxa"/>
            <w:tcBorders>
              <w:bottom w:val="single" w:sz="4" w:space="0" w:color="auto"/>
            </w:tcBorders>
            <w:vAlign w:val="bottom"/>
          </w:tcPr>
          <w:p w:rsidR="00000000" w:rsidRDefault="00000000">
            <w:pPr>
              <w:spacing w:before="60" w:after="60"/>
              <w:jc w:val="right"/>
              <w:rPr>
                <w:szCs w:val="22"/>
                <w:lang w:val="fr-FR"/>
              </w:rPr>
            </w:pPr>
            <w:r>
              <w:rPr>
                <w:szCs w:val="22"/>
              </w:rPr>
              <w:t>100</w:t>
            </w:r>
            <w:r>
              <w:rPr>
                <w:szCs w:val="22"/>
                <w:lang w:val="fr-FR"/>
              </w:rPr>
              <w:t xml:space="preserve"> </w:t>
            </w:r>
            <w:r>
              <w:rPr>
                <w:szCs w:val="22"/>
              </w:rPr>
              <w:t>000</w:t>
            </w:r>
          </w:p>
        </w:tc>
      </w:tr>
    </w:tbl>
    <w:p w:rsidR="00000000" w:rsidRDefault="00000000">
      <w:pPr>
        <w:keepNext/>
        <w:spacing w:before="240" w:after="240"/>
      </w:pPr>
      <w:r>
        <w:t>149.</w:t>
      </w:r>
      <w:r>
        <w:tab/>
        <w:t>En plus de ce qui précède, quelques données statistiques se rapportant aux questions analysées sont fournies ci-dessous.</w:t>
      </w:r>
    </w:p>
    <w:p w:rsidR="00000000" w:rsidRDefault="00000000">
      <w:pPr>
        <w:keepNext/>
        <w:spacing w:after="240"/>
        <w:jc w:val="center"/>
        <w:rPr>
          <w:b/>
          <w:bCs/>
        </w:rPr>
      </w:pPr>
      <w:r>
        <w:rPr>
          <w:b/>
          <w:bCs/>
        </w:rPr>
        <w:t>Personnes reconnues comme handicapées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382"/>
        <w:gridCol w:w="820"/>
        <w:gridCol w:w="820"/>
        <w:gridCol w:w="820"/>
        <w:gridCol w:w="820"/>
        <w:gridCol w:w="835"/>
      </w:tblGrid>
      <w:tr w:rsidR="00000000">
        <w:tblPrEx>
          <w:tblCellMar>
            <w:top w:w="0" w:type="dxa"/>
            <w:bottom w:w="0" w:type="dxa"/>
          </w:tblCellMar>
        </w:tblPrEx>
        <w:trPr>
          <w:cantSplit/>
          <w:tblHeader/>
          <w:jc w:val="center"/>
        </w:trPr>
        <w:tc>
          <w:tcPr>
            <w:tcW w:w="5439" w:type="dxa"/>
            <w:vAlign w:val="center"/>
          </w:tcPr>
          <w:p w:rsidR="00000000" w:rsidRDefault="00000000">
            <w:pPr>
              <w:spacing w:before="60" w:after="60"/>
              <w:rPr>
                <w:sz w:val="22"/>
                <w:lang w:val="fr-FR"/>
              </w:rPr>
            </w:pPr>
          </w:p>
        </w:tc>
        <w:tc>
          <w:tcPr>
            <w:tcW w:w="827" w:type="dxa"/>
            <w:vAlign w:val="center"/>
          </w:tcPr>
          <w:p w:rsidR="00000000" w:rsidRDefault="00000000">
            <w:pPr>
              <w:spacing w:before="60" w:after="60"/>
              <w:jc w:val="center"/>
              <w:rPr>
                <w:sz w:val="22"/>
                <w:lang w:val="fr-FR"/>
              </w:rPr>
            </w:pPr>
            <w:r>
              <w:rPr>
                <w:sz w:val="22"/>
                <w:lang w:val="fr-FR"/>
              </w:rPr>
              <w:t>2000</w:t>
            </w:r>
          </w:p>
        </w:tc>
        <w:tc>
          <w:tcPr>
            <w:tcW w:w="827" w:type="dxa"/>
            <w:vAlign w:val="center"/>
          </w:tcPr>
          <w:p w:rsidR="00000000" w:rsidRDefault="00000000">
            <w:pPr>
              <w:spacing w:before="60" w:after="60"/>
              <w:jc w:val="center"/>
              <w:rPr>
                <w:sz w:val="22"/>
                <w:lang w:val="fr-FR"/>
              </w:rPr>
            </w:pPr>
            <w:r>
              <w:rPr>
                <w:sz w:val="22"/>
                <w:lang w:val="fr-FR"/>
              </w:rPr>
              <w:t>2001</w:t>
            </w:r>
          </w:p>
        </w:tc>
        <w:tc>
          <w:tcPr>
            <w:tcW w:w="827" w:type="dxa"/>
            <w:vAlign w:val="center"/>
          </w:tcPr>
          <w:p w:rsidR="00000000" w:rsidRDefault="00000000">
            <w:pPr>
              <w:spacing w:before="60" w:after="60"/>
              <w:jc w:val="center"/>
              <w:rPr>
                <w:sz w:val="22"/>
                <w:lang w:val="fr-FR"/>
              </w:rPr>
            </w:pPr>
            <w:r>
              <w:rPr>
                <w:sz w:val="22"/>
                <w:lang w:val="fr-FR"/>
              </w:rPr>
              <w:t>2002</w:t>
            </w:r>
          </w:p>
        </w:tc>
        <w:tc>
          <w:tcPr>
            <w:tcW w:w="827" w:type="dxa"/>
            <w:vAlign w:val="center"/>
          </w:tcPr>
          <w:p w:rsidR="00000000" w:rsidRDefault="00000000">
            <w:pPr>
              <w:spacing w:before="60" w:after="60"/>
              <w:jc w:val="center"/>
              <w:rPr>
                <w:sz w:val="22"/>
                <w:lang w:val="fr-FR"/>
              </w:rPr>
            </w:pPr>
            <w:r>
              <w:rPr>
                <w:sz w:val="22"/>
                <w:lang w:val="fr-FR"/>
              </w:rPr>
              <w:t>2003</w:t>
            </w:r>
          </w:p>
        </w:tc>
        <w:tc>
          <w:tcPr>
            <w:tcW w:w="842" w:type="dxa"/>
            <w:tcMar>
              <w:left w:w="85" w:type="dxa"/>
              <w:right w:w="85" w:type="dxa"/>
            </w:tcMar>
            <w:vAlign w:val="center"/>
          </w:tcPr>
          <w:p w:rsidR="00000000" w:rsidRDefault="00000000">
            <w:pPr>
              <w:spacing w:before="60" w:after="60"/>
              <w:jc w:val="center"/>
              <w:rPr>
                <w:sz w:val="22"/>
                <w:lang w:val="fr-FR"/>
              </w:rPr>
            </w:pPr>
            <w:r>
              <w:rPr>
                <w:sz w:val="22"/>
                <w:lang w:val="fr-FR"/>
              </w:rPr>
              <w:t>2004</w:t>
            </w:r>
          </w:p>
        </w:tc>
      </w:tr>
      <w:tr w:rsidR="00000000">
        <w:tblPrEx>
          <w:tblCellMar>
            <w:top w:w="0" w:type="dxa"/>
            <w:bottom w:w="0" w:type="dxa"/>
          </w:tblCellMar>
        </w:tblPrEx>
        <w:trPr>
          <w:cantSplit/>
          <w:jc w:val="center"/>
        </w:trPr>
        <w:tc>
          <w:tcPr>
            <w:tcW w:w="5439" w:type="dxa"/>
            <w:tcBorders>
              <w:bottom w:val="single" w:sz="4" w:space="0" w:color="auto"/>
            </w:tcBorders>
            <w:vAlign w:val="bottom"/>
          </w:tcPr>
          <w:p w:rsidR="00000000" w:rsidRDefault="00000000">
            <w:pPr>
              <w:spacing w:before="60" w:after="60"/>
              <w:rPr>
                <w:sz w:val="22"/>
              </w:rPr>
            </w:pPr>
            <w:r>
              <w:rPr>
                <w:sz w:val="22"/>
              </w:rPr>
              <w:t>Nombre de personnes reconnues comme handicapées pour la première fois</w:t>
            </w:r>
          </w:p>
        </w:tc>
        <w:tc>
          <w:tcPr>
            <w:tcW w:w="827" w:type="dxa"/>
            <w:tcBorders>
              <w:bottom w:val="single" w:sz="4" w:space="0" w:color="auto"/>
            </w:tcBorders>
            <w:vAlign w:val="bottom"/>
          </w:tcPr>
          <w:p w:rsidR="00000000" w:rsidRDefault="00000000">
            <w:pPr>
              <w:spacing w:before="60" w:after="60"/>
              <w:jc w:val="right"/>
              <w:rPr>
                <w:sz w:val="22"/>
              </w:rPr>
            </w:pPr>
            <w:r>
              <w:rPr>
                <w:sz w:val="22"/>
              </w:rPr>
              <w:t>8 914</w:t>
            </w:r>
          </w:p>
        </w:tc>
        <w:tc>
          <w:tcPr>
            <w:tcW w:w="827" w:type="dxa"/>
            <w:tcBorders>
              <w:bottom w:val="single" w:sz="4" w:space="0" w:color="auto"/>
            </w:tcBorders>
            <w:vAlign w:val="bottom"/>
          </w:tcPr>
          <w:p w:rsidR="00000000" w:rsidRDefault="00000000">
            <w:pPr>
              <w:spacing w:before="60" w:after="60"/>
              <w:jc w:val="right"/>
              <w:rPr>
                <w:sz w:val="22"/>
              </w:rPr>
            </w:pPr>
            <w:r>
              <w:rPr>
                <w:sz w:val="22"/>
              </w:rPr>
              <w:t>11 678</w:t>
            </w:r>
          </w:p>
        </w:tc>
        <w:tc>
          <w:tcPr>
            <w:tcW w:w="827" w:type="dxa"/>
            <w:tcBorders>
              <w:bottom w:val="single" w:sz="4" w:space="0" w:color="auto"/>
            </w:tcBorders>
            <w:vAlign w:val="bottom"/>
          </w:tcPr>
          <w:p w:rsidR="00000000" w:rsidRDefault="00000000">
            <w:pPr>
              <w:spacing w:before="60" w:after="60"/>
              <w:jc w:val="right"/>
              <w:rPr>
                <w:sz w:val="22"/>
              </w:rPr>
            </w:pPr>
            <w:r>
              <w:rPr>
                <w:sz w:val="22"/>
              </w:rPr>
              <w:t>16 024</w:t>
            </w:r>
          </w:p>
        </w:tc>
        <w:tc>
          <w:tcPr>
            <w:tcW w:w="827" w:type="dxa"/>
            <w:tcBorders>
              <w:bottom w:val="single" w:sz="4" w:space="0" w:color="auto"/>
            </w:tcBorders>
            <w:vAlign w:val="bottom"/>
          </w:tcPr>
          <w:p w:rsidR="00000000" w:rsidRDefault="00000000">
            <w:pPr>
              <w:spacing w:before="60" w:after="60"/>
              <w:jc w:val="right"/>
              <w:rPr>
                <w:sz w:val="22"/>
              </w:rPr>
            </w:pPr>
            <w:r>
              <w:rPr>
                <w:sz w:val="22"/>
              </w:rPr>
              <w:t>17 689</w:t>
            </w:r>
          </w:p>
        </w:tc>
        <w:tc>
          <w:tcPr>
            <w:tcW w:w="842" w:type="dxa"/>
            <w:tcBorders>
              <w:bottom w:val="single" w:sz="4" w:space="0" w:color="auto"/>
            </w:tcBorders>
            <w:tcMar>
              <w:left w:w="85" w:type="dxa"/>
              <w:right w:w="85" w:type="dxa"/>
            </w:tcMar>
            <w:vAlign w:val="bottom"/>
          </w:tcPr>
          <w:p w:rsidR="00000000" w:rsidRDefault="00000000">
            <w:pPr>
              <w:spacing w:before="60" w:after="60"/>
              <w:jc w:val="right"/>
              <w:rPr>
                <w:sz w:val="22"/>
              </w:rPr>
            </w:pPr>
            <w:r>
              <w:rPr>
                <w:sz w:val="22"/>
              </w:rPr>
              <w:t>20 198</w:t>
            </w:r>
          </w:p>
        </w:tc>
      </w:tr>
      <w:tr w:rsidR="00000000">
        <w:tblPrEx>
          <w:tblCellMar>
            <w:top w:w="0" w:type="dxa"/>
            <w:bottom w:w="0" w:type="dxa"/>
          </w:tblCellMar>
        </w:tblPrEx>
        <w:trPr>
          <w:cantSplit/>
          <w:jc w:val="center"/>
        </w:trPr>
        <w:tc>
          <w:tcPr>
            <w:tcW w:w="9589" w:type="dxa"/>
            <w:gridSpan w:val="6"/>
            <w:vAlign w:val="bottom"/>
          </w:tcPr>
          <w:p w:rsidR="00000000" w:rsidRDefault="00000000">
            <w:pPr>
              <w:spacing w:before="60" w:after="60"/>
              <w:rPr>
                <w:sz w:val="22"/>
              </w:rPr>
            </w:pPr>
            <w:r>
              <w:rPr>
                <w:sz w:val="22"/>
              </w:rPr>
              <w:t>dont:</w:t>
            </w:r>
          </w:p>
        </w:tc>
      </w:tr>
      <w:tr w:rsidR="00000000">
        <w:tblPrEx>
          <w:tblCellMar>
            <w:top w:w="0" w:type="dxa"/>
            <w:bottom w:w="0" w:type="dxa"/>
          </w:tblCellMar>
        </w:tblPrEx>
        <w:trPr>
          <w:cantSplit/>
          <w:jc w:val="center"/>
        </w:trPr>
        <w:tc>
          <w:tcPr>
            <w:tcW w:w="5439" w:type="dxa"/>
            <w:vAlign w:val="bottom"/>
          </w:tcPr>
          <w:p w:rsidR="00000000" w:rsidRDefault="00000000">
            <w:pPr>
              <w:spacing w:before="60" w:after="60"/>
              <w:ind w:left="284"/>
              <w:rPr>
                <w:sz w:val="22"/>
              </w:rPr>
            </w:pPr>
            <w:r>
              <w:rPr>
                <w:sz w:val="22"/>
                <w:szCs w:val="22"/>
              </w:rPr>
              <w:t>Enfants</w:t>
            </w:r>
            <w:r>
              <w:rPr>
                <w:sz w:val="22"/>
              </w:rPr>
              <w:t xml:space="preserve"> reconnus comme handicapés</w:t>
            </w:r>
          </w:p>
        </w:tc>
        <w:tc>
          <w:tcPr>
            <w:tcW w:w="827" w:type="dxa"/>
            <w:vAlign w:val="bottom"/>
          </w:tcPr>
          <w:p w:rsidR="00000000" w:rsidRDefault="00000000">
            <w:pPr>
              <w:spacing w:before="60" w:after="60"/>
              <w:jc w:val="right"/>
              <w:rPr>
                <w:sz w:val="22"/>
              </w:rPr>
            </w:pPr>
            <w:r>
              <w:rPr>
                <w:sz w:val="22"/>
              </w:rPr>
              <w:t>793</w:t>
            </w:r>
          </w:p>
        </w:tc>
        <w:tc>
          <w:tcPr>
            <w:tcW w:w="827" w:type="dxa"/>
            <w:vAlign w:val="bottom"/>
          </w:tcPr>
          <w:p w:rsidR="00000000" w:rsidRDefault="00000000">
            <w:pPr>
              <w:spacing w:before="60" w:after="60"/>
              <w:jc w:val="right"/>
              <w:rPr>
                <w:sz w:val="22"/>
              </w:rPr>
            </w:pPr>
            <w:r>
              <w:rPr>
                <w:sz w:val="22"/>
              </w:rPr>
              <w:t>1 030</w:t>
            </w:r>
          </w:p>
        </w:tc>
        <w:tc>
          <w:tcPr>
            <w:tcW w:w="827" w:type="dxa"/>
            <w:vAlign w:val="bottom"/>
          </w:tcPr>
          <w:p w:rsidR="00000000" w:rsidRDefault="00000000">
            <w:pPr>
              <w:spacing w:before="60" w:after="60"/>
              <w:jc w:val="right"/>
              <w:rPr>
                <w:sz w:val="22"/>
              </w:rPr>
            </w:pPr>
            <w:r>
              <w:rPr>
                <w:sz w:val="22"/>
              </w:rPr>
              <w:t>1 058</w:t>
            </w:r>
          </w:p>
        </w:tc>
        <w:tc>
          <w:tcPr>
            <w:tcW w:w="827" w:type="dxa"/>
            <w:vAlign w:val="bottom"/>
          </w:tcPr>
          <w:p w:rsidR="00000000" w:rsidRDefault="00000000">
            <w:pPr>
              <w:spacing w:before="60" w:after="60"/>
              <w:jc w:val="right"/>
              <w:rPr>
                <w:sz w:val="22"/>
              </w:rPr>
            </w:pPr>
            <w:r>
              <w:rPr>
                <w:sz w:val="22"/>
              </w:rPr>
              <w:t>667</w:t>
            </w:r>
          </w:p>
        </w:tc>
        <w:tc>
          <w:tcPr>
            <w:tcW w:w="842" w:type="dxa"/>
            <w:tcMar>
              <w:left w:w="85" w:type="dxa"/>
              <w:right w:w="85" w:type="dxa"/>
            </w:tcMar>
            <w:vAlign w:val="bottom"/>
          </w:tcPr>
          <w:p w:rsidR="00000000" w:rsidRDefault="00000000">
            <w:pPr>
              <w:spacing w:before="60" w:after="60"/>
              <w:jc w:val="right"/>
              <w:rPr>
                <w:sz w:val="22"/>
              </w:rPr>
            </w:pPr>
            <w:r>
              <w:rPr>
                <w:sz w:val="22"/>
              </w:rPr>
              <w:t>672</w:t>
            </w:r>
          </w:p>
        </w:tc>
      </w:tr>
    </w:tbl>
    <w:p w:rsidR="00000000" w:rsidRDefault="00000000">
      <w:pPr>
        <w:spacing w:before="240" w:after="240"/>
        <w:jc w:val="center"/>
        <w:rPr>
          <w:iCs/>
          <w:szCs w:val="22"/>
        </w:rPr>
      </w:pPr>
      <w:r>
        <w:rPr>
          <w:b/>
          <w:bCs/>
        </w:rPr>
        <w:t>Enfants recevant une pension</w:t>
      </w:r>
      <w:r>
        <w:rPr>
          <w:u w:val="single"/>
        </w:rPr>
        <w:br/>
      </w:r>
      <w:r>
        <w:rPr>
          <w:b/>
          <w:bCs/>
          <w:iCs/>
          <w:szCs w:val="22"/>
        </w:rPr>
        <w:t>(À la fin de l’année) (en milliers))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A7" w:firstRow="1" w:lastRow="0" w:firstColumn="1" w:lastColumn="0" w:noHBand="0" w:noVBand="0"/>
      </w:tblPr>
      <w:tblGrid>
        <w:gridCol w:w="5442"/>
        <w:gridCol w:w="1045"/>
        <w:gridCol w:w="772"/>
        <w:gridCol w:w="718"/>
        <w:gridCol w:w="837"/>
        <w:gridCol w:w="683"/>
      </w:tblGrid>
      <w:tr w:rsidR="00000000">
        <w:tblPrEx>
          <w:tblCellMar>
            <w:top w:w="0" w:type="dxa"/>
            <w:bottom w:w="0" w:type="dxa"/>
          </w:tblCellMar>
        </w:tblPrEx>
        <w:trPr>
          <w:cantSplit/>
          <w:tblHeader/>
          <w:jc w:val="center"/>
        </w:trPr>
        <w:tc>
          <w:tcPr>
            <w:tcW w:w="5442" w:type="dxa"/>
            <w:vAlign w:val="center"/>
          </w:tcPr>
          <w:p w:rsidR="00000000" w:rsidRDefault="00000000">
            <w:pPr>
              <w:spacing w:before="60" w:after="60"/>
              <w:rPr>
                <w:sz w:val="22"/>
                <w:szCs w:val="22"/>
              </w:rPr>
            </w:pPr>
          </w:p>
        </w:tc>
        <w:tc>
          <w:tcPr>
            <w:tcW w:w="1045" w:type="dxa"/>
            <w:vAlign w:val="center"/>
          </w:tcPr>
          <w:p w:rsidR="00000000" w:rsidRDefault="00000000">
            <w:pPr>
              <w:spacing w:before="60" w:after="60"/>
              <w:jc w:val="center"/>
              <w:rPr>
                <w:sz w:val="22"/>
                <w:szCs w:val="22"/>
              </w:rPr>
            </w:pPr>
            <w:r>
              <w:rPr>
                <w:sz w:val="22"/>
                <w:szCs w:val="22"/>
              </w:rPr>
              <w:t>2000</w:t>
            </w:r>
          </w:p>
        </w:tc>
        <w:tc>
          <w:tcPr>
            <w:tcW w:w="772" w:type="dxa"/>
            <w:vAlign w:val="center"/>
          </w:tcPr>
          <w:p w:rsidR="00000000" w:rsidRDefault="00000000">
            <w:pPr>
              <w:spacing w:before="60" w:after="60"/>
              <w:jc w:val="center"/>
              <w:rPr>
                <w:sz w:val="22"/>
                <w:szCs w:val="22"/>
              </w:rPr>
            </w:pPr>
            <w:r>
              <w:rPr>
                <w:sz w:val="22"/>
                <w:szCs w:val="22"/>
              </w:rPr>
              <w:t>2001</w:t>
            </w:r>
          </w:p>
        </w:tc>
        <w:tc>
          <w:tcPr>
            <w:tcW w:w="718" w:type="dxa"/>
            <w:vAlign w:val="center"/>
          </w:tcPr>
          <w:p w:rsidR="00000000" w:rsidRDefault="00000000">
            <w:pPr>
              <w:spacing w:before="60" w:after="60"/>
              <w:jc w:val="center"/>
              <w:rPr>
                <w:sz w:val="22"/>
                <w:szCs w:val="22"/>
              </w:rPr>
            </w:pPr>
            <w:r>
              <w:rPr>
                <w:sz w:val="22"/>
                <w:szCs w:val="22"/>
              </w:rPr>
              <w:t>2002</w:t>
            </w:r>
          </w:p>
        </w:tc>
        <w:tc>
          <w:tcPr>
            <w:tcW w:w="837" w:type="dxa"/>
            <w:vAlign w:val="center"/>
          </w:tcPr>
          <w:p w:rsidR="00000000" w:rsidRDefault="00000000">
            <w:pPr>
              <w:spacing w:before="60" w:after="60"/>
              <w:jc w:val="center"/>
              <w:rPr>
                <w:sz w:val="22"/>
                <w:szCs w:val="22"/>
              </w:rPr>
            </w:pPr>
            <w:r>
              <w:rPr>
                <w:sz w:val="22"/>
                <w:szCs w:val="22"/>
              </w:rPr>
              <w:t>2003</w:t>
            </w:r>
          </w:p>
        </w:tc>
        <w:tc>
          <w:tcPr>
            <w:tcW w:w="683" w:type="dxa"/>
            <w:vAlign w:val="center"/>
          </w:tcPr>
          <w:p w:rsidR="00000000" w:rsidRDefault="00000000">
            <w:pPr>
              <w:spacing w:before="60" w:after="60"/>
              <w:jc w:val="center"/>
              <w:rPr>
                <w:sz w:val="22"/>
                <w:szCs w:val="22"/>
              </w:rPr>
            </w:pPr>
            <w:r>
              <w:rPr>
                <w:sz w:val="22"/>
                <w:szCs w:val="22"/>
              </w:rPr>
              <w:t>2004</w:t>
            </w:r>
          </w:p>
        </w:tc>
      </w:tr>
      <w:tr w:rsidR="00000000">
        <w:tblPrEx>
          <w:tblCellMar>
            <w:top w:w="0" w:type="dxa"/>
            <w:bottom w:w="0" w:type="dxa"/>
          </w:tblCellMar>
        </w:tblPrEx>
        <w:trPr>
          <w:cantSplit/>
          <w:jc w:val="center"/>
        </w:trPr>
        <w:tc>
          <w:tcPr>
            <w:tcW w:w="5442" w:type="dxa"/>
            <w:tcBorders>
              <w:bottom w:val="single" w:sz="4" w:space="0" w:color="auto"/>
            </w:tcBorders>
            <w:vAlign w:val="bottom"/>
          </w:tcPr>
          <w:p w:rsidR="00000000" w:rsidRDefault="00000000">
            <w:pPr>
              <w:spacing w:before="60" w:after="60"/>
              <w:rPr>
                <w:sz w:val="22"/>
                <w:szCs w:val="22"/>
              </w:rPr>
            </w:pPr>
            <w:r>
              <w:rPr>
                <w:sz w:val="22"/>
                <w:szCs w:val="22"/>
              </w:rPr>
              <w:t>Nombre total d’enfants recevant une pension</w:t>
            </w:r>
          </w:p>
        </w:tc>
        <w:tc>
          <w:tcPr>
            <w:tcW w:w="1045" w:type="dxa"/>
            <w:tcBorders>
              <w:bottom w:val="single" w:sz="4" w:space="0" w:color="auto"/>
            </w:tcBorders>
            <w:vAlign w:val="bottom"/>
          </w:tcPr>
          <w:p w:rsidR="00000000" w:rsidRDefault="00000000">
            <w:pPr>
              <w:spacing w:before="60" w:after="60"/>
              <w:jc w:val="right"/>
              <w:rPr>
                <w:sz w:val="22"/>
                <w:szCs w:val="22"/>
              </w:rPr>
            </w:pPr>
            <w:r>
              <w:rPr>
                <w:sz w:val="22"/>
                <w:szCs w:val="22"/>
              </w:rPr>
              <w:t>900,4</w:t>
            </w:r>
          </w:p>
        </w:tc>
        <w:tc>
          <w:tcPr>
            <w:tcW w:w="772" w:type="dxa"/>
            <w:tcBorders>
              <w:bottom w:val="single" w:sz="4" w:space="0" w:color="auto"/>
            </w:tcBorders>
            <w:vAlign w:val="bottom"/>
          </w:tcPr>
          <w:p w:rsidR="00000000" w:rsidRDefault="00000000">
            <w:pPr>
              <w:spacing w:before="60" w:after="60"/>
              <w:jc w:val="right"/>
              <w:rPr>
                <w:sz w:val="22"/>
                <w:szCs w:val="22"/>
              </w:rPr>
            </w:pPr>
            <w:r>
              <w:rPr>
                <w:sz w:val="22"/>
                <w:szCs w:val="22"/>
              </w:rPr>
              <w:t>896,0</w:t>
            </w:r>
          </w:p>
        </w:tc>
        <w:tc>
          <w:tcPr>
            <w:tcW w:w="718" w:type="dxa"/>
            <w:tcBorders>
              <w:bottom w:val="single" w:sz="4" w:space="0" w:color="auto"/>
            </w:tcBorders>
            <w:vAlign w:val="bottom"/>
          </w:tcPr>
          <w:p w:rsidR="00000000" w:rsidRDefault="00000000">
            <w:pPr>
              <w:spacing w:before="60" w:after="60"/>
              <w:jc w:val="right"/>
              <w:rPr>
                <w:sz w:val="22"/>
                <w:szCs w:val="22"/>
              </w:rPr>
            </w:pPr>
            <w:r>
              <w:rPr>
                <w:sz w:val="22"/>
                <w:szCs w:val="22"/>
              </w:rPr>
              <w:t>903,6</w:t>
            </w:r>
          </w:p>
        </w:tc>
        <w:tc>
          <w:tcPr>
            <w:tcW w:w="837" w:type="dxa"/>
            <w:tcBorders>
              <w:bottom w:val="single" w:sz="4" w:space="0" w:color="auto"/>
            </w:tcBorders>
            <w:vAlign w:val="bottom"/>
          </w:tcPr>
          <w:p w:rsidR="00000000" w:rsidRDefault="00000000">
            <w:pPr>
              <w:spacing w:before="60" w:after="60"/>
              <w:jc w:val="right"/>
              <w:rPr>
                <w:sz w:val="22"/>
                <w:szCs w:val="22"/>
              </w:rPr>
            </w:pPr>
            <w:r>
              <w:rPr>
                <w:sz w:val="22"/>
                <w:szCs w:val="22"/>
              </w:rPr>
              <w:t>899,8</w:t>
            </w:r>
          </w:p>
        </w:tc>
        <w:tc>
          <w:tcPr>
            <w:tcW w:w="683" w:type="dxa"/>
            <w:tcBorders>
              <w:bottom w:val="single" w:sz="4" w:space="0" w:color="auto"/>
            </w:tcBorders>
            <w:vAlign w:val="bottom"/>
          </w:tcPr>
          <w:p w:rsidR="00000000" w:rsidRDefault="00000000">
            <w:pPr>
              <w:spacing w:before="60" w:after="60"/>
              <w:jc w:val="right"/>
              <w:rPr>
                <w:sz w:val="22"/>
                <w:szCs w:val="22"/>
              </w:rPr>
            </w:pPr>
            <w:r>
              <w:rPr>
                <w:sz w:val="22"/>
                <w:szCs w:val="22"/>
              </w:rPr>
              <w:t>895,1</w:t>
            </w:r>
          </w:p>
        </w:tc>
      </w:tr>
      <w:tr w:rsidR="00000000">
        <w:tblPrEx>
          <w:tblCellMar>
            <w:top w:w="0" w:type="dxa"/>
            <w:bottom w:w="0" w:type="dxa"/>
          </w:tblCellMar>
        </w:tblPrEx>
        <w:trPr>
          <w:cantSplit/>
          <w:jc w:val="center"/>
        </w:trPr>
        <w:tc>
          <w:tcPr>
            <w:tcW w:w="9497" w:type="dxa"/>
            <w:gridSpan w:val="6"/>
            <w:tcBorders>
              <w:right w:val="single" w:sz="4" w:space="0" w:color="auto"/>
            </w:tcBorders>
            <w:vAlign w:val="bottom"/>
          </w:tcPr>
          <w:p w:rsidR="00000000" w:rsidRDefault="00000000">
            <w:pPr>
              <w:spacing w:before="60" w:after="60"/>
              <w:rPr>
                <w:sz w:val="22"/>
                <w:szCs w:val="22"/>
              </w:rPr>
            </w:pPr>
            <w:r>
              <w:rPr>
                <w:sz w:val="22"/>
                <w:szCs w:val="22"/>
              </w:rPr>
              <w:t>dont:</w:t>
            </w:r>
          </w:p>
        </w:tc>
      </w:tr>
      <w:tr w:rsidR="00000000">
        <w:tblPrEx>
          <w:tblCellMar>
            <w:top w:w="0" w:type="dxa"/>
            <w:bottom w:w="0" w:type="dxa"/>
          </w:tblCellMar>
        </w:tblPrEx>
        <w:trPr>
          <w:cantSplit/>
          <w:jc w:val="center"/>
        </w:trPr>
        <w:tc>
          <w:tcPr>
            <w:tcW w:w="5442" w:type="dxa"/>
            <w:tcBorders>
              <w:bottom w:val="single" w:sz="4" w:space="0" w:color="auto"/>
            </w:tcBorders>
            <w:vAlign w:val="bottom"/>
          </w:tcPr>
          <w:p w:rsidR="00000000" w:rsidRDefault="00000000">
            <w:pPr>
              <w:spacing w:before="60" w:after="60"/>
              <w:ind w:left="284"/>
              <w:rPr>
                <w:sz w:val="22"/>
                <w:szCs w:val="22"/>
              </w:rPr>
            </w:pPr>
            <w:r>
              <w:rPr>
                <w:sz w:val="22"/>
                <w:szCs w:val="22"/>
              </w:rPr>
              <w:t>Enfants recevant une pension sociale</w:t>
            </w:r>
          </w:p>
        </w:tc>
        <w:tc>
          <w:tcPr>
            <w:tcW w:w="1045" w:type="dxa"/>
            <w:tcBorders>
              <w:bottom w:val="single" w:sz="4" w:space="0" w:color="auto"/>
            </w:tcBorders>
            <w:vAlign w:val="bottom"/>
          </w:tcPr>
          <w:p w:rsidR="00000000" w:rsidRDefault="00000000">
            <w:pPr>
              <w:spacing w:before="60" w:after="60"/>
              <w:jc w:val="right"/>
              <w:rPr>
                <w:sz w:val="22"/>
                <w:szCs w:val="22"/>
              </w:rPr>
            </w:pPr>
            <w:r>
              <w:rPr>
                <w:sz w:val="22"/>
                <w:szCs w:val="22"/>
              </w:rPr>
              <w:t>70,5</w:t>
            </w:r>
          </w:p>
        </w:tc>
        <w:tc>
          <w:tcPr>
            <w:tcW w:w="772" w:type="dxa"/>
            <w:tcBorders>
              <w:bottom w:val="single" w:sz="4" w:space="0" w:color="auto"/>
            </w:tcBorders>
            <w:vAlign w:val="bottom"/>
          </w:tcPr>
          <w:p w:rsidR="00000000" w:rsidRDefault="00000000">
            <w:pPr>
              <w:spacing w:before="60" w:after="60"/>
              <w:jc w:val="right"/>
              <w:rPr>
                <w:sz w:val="22"/>
                <w:szCs w:val="22"/>
              </w:rPr>
            </w:pPr>
            <w:r>
              <w:rPr>
                <w:sz w:val="22"/>
                <w:szCs w:val="22"/>
              </w:rPr>
              <w:t>75,1</w:t>
            </w:r>
          </w:p>
        </w:tc>
        <w:tc>
          <w:tcPr>
            <w:tcW w:w="718" w:type="dxa"/>
            <w:tcBorders>
              <w:bottom w:val="single" w:sz="4" w:space="0" w:color="auto"/>
            </w:tcBorders>
            <w:vAlign w:val="bottom"/>
          </w:tcPr>
          <w:p w:rsidR="00000000" w:rsidRDefault="00000000">
            <w:pPr>
              <w:spacing w:before="60" w:after="60"/>
              <w:jc w:val="right"/>
              <w:rPr>
                <w:sz w:val="22"/>
                <w:szCs w:val="22"/>
              </w:rPr>
            </w:pPr>
            <w:r>
              <w:rPr>
                <w:sz w:val="22"/>
                <w:szCs w:val="22"/>
              </w:rPr>
              <w:t>82,5</w:t>
            </w:r>
          </w:p>
        </w:tc>
        <w:tc>
          <w:tcPr>
            <w:tcW w:w="837" w:type="dxa"/>
            <w:tcBorders>
              <w:bottom w:val="single" w:sz="4" w:space="0" w:color="auto"/>
            </w:tcBorders>
            <w:vAlign w:val="bottom"/>
          </w:tcPr>
          <w:p w:rsidR="00000000" w:rsidRDefault="00000000">
            <w:pPr>
              <w:spacing w:before="60" w:after="60"/>
              <w:jc w:val="right"/>
              <w:rPr>
                <w:sz w:val="22"/>
                <w:szCs w:val="22"/>
              </w:rPr>
            </w:pPr>
            <w:r>
              <w:rPr>
                <w:sz w:val="22"/>
                <w:szCs w:val="22"/>
              </w:rPr>
              <w:t>87,9</w:t>
            </w:r>
          </w:p>
        </w:tc>
        <w:tc>
          <w:tcPr>
            <w:tcW w:w="683" w:type="dxa"/>
            <w:tcBorders>
              <w:bottom w:val="single" w:sz="4" w:space="0" w:color="auto"/>
            </w:tcBorders>
            <w:vAlign w:val="bottom"/>
          </w:tcPr>
          <w:p w:rsidR="00000000" w:rsidRDefault="00000000">
            <w:pPr>
              <w:spacing w:before="60" w:after="60"/>
              <w:jc w:val="right"/>
              <w:rPr>
                <w:sz w:val="22"/>
                <w:szCs w:val="22"/>
              </w:rPr>
            </w:pPr>
            <w:r>
              <w:rPr>
                <w:sz w:val="22"/>
                <w:szCs w:val="22"/>
              </w:rPr>
              <w:t>100,5</w:t>
            </w:r>
          </w:p>
        </w:tc>
      </w:tr>
      <w:tr w:rsidR="00000000">
        <w:tblPrEx>
          <w:tblCellMar>
            <w:top w:w="0" w:type="dxa"/>
            <w:bottom w:w="0" w:type="dxa"/>
          </w:tblCellMar>
        </w:tblPrEx>
        <w:trPr>
          <w:cantSplit/>
          <w:jc w:val="center"/>
        </w:trPr>
        <w:tc>
          <w:tcPr>
            <w:tcW w:w="9497" w:type="dxa"/>
            <w:gridSpan w:val="6"/>
            <w:vAlign w:val="bottom"/>
          </w:tcPr>
          <w:p w:rsidR="00000000" w:rsidRDefault="00000000">
            <w:pPr>
              <w:spacing w:before="60" w:after="60"/>
              <w:rPr>
                <w:sz w:val="22"/>
                <w:szCs w:val="22"/>
              </w:rPr>
            </w:pPr>
            <w:r>
              <w:rPr>
                <w:sz w:val="22"/>
                <w:szCs w:val="22"/>
              </w:rPr>
              <w:t>dont:</w:t>
            </w:r>
          </w:p>
        </w:tc>
      </w:tr>
      <w:tr w:rsidR="00000000">
        <w:tblPrEx>
          <w:tblCellMar>
            <w:top w:w="0" w:type="dxa"/>
            <w:bottom w:w="0" w:type="dxa"/>
          </w:tblCellMar>
        </w:tblPrEx>
        <w:trPr>
          <w:cantSplit/>
          <w:jc w:val="center"/>
        </w:trPr>
        <w:tc>
          <w:tcPr>
            <w:tcW w:w="5442" w:type="dxa"/>
            <w:tcBorders>
              <w:bottom w:val="single" w:sz="4" w:space="0" w:color="auto"/>
            </w:tcBorders>
            <w:vAlign w:val="bottom"/>
          </w:tcPr>
          <w:p w:rsidR="00000000" w:rsidRDefault="00000000">
            <w:pPr>
              <w:spacing w:before="60" w:after="60"/>
              <w:ind w:left="284"/>
              <w:rPr>
                <w:sz w:val="22"/>
                <w:szCs w:val="22"/>
              </w:rPr>
            </w:pPr>
            <w:r>
              <w:rPr>
                <w:sz w:val="22"/>
                <w:szCs w:val="22"/>
              </w:rPr>
              <w:t xml:space="preserve">Enfants recevant une allocation pour personne handicapée en plus de leur pension </w:t>
            </w:r>
          </w:p>
        </w:tc>
        <w:tc>
          <w:tcPr>
            <w:tcW w:w="1045" w:type="dxa"/>
            <w:tcBorders>
              <w:bottom w:val="single" w:sz="4" w:space="0" w:color="auto"/>
            </w:tcBorders>
            <w:vAlign w:val="bottom"/>
          </w:tcPr>
          <w:p w:rsidR="00000000" w:rsidRDefault="00000000">
            <w:pPr>
              <w:spacing w:before="60" w:after="60"/>
              <w:jc w:val="right"/>
              <w:rPr>
                <w:sz w:val="22"/>
                <w:szCs w:val="22"/>
              </w:rPr>
            </w:pPr>
            <w:r>
              <w:rPr>
                <w:sz w:val="22"/>
                <w:szCs w:val="22"/>
              </w:rPr>
              <w:t>27,1</w:t>
            </w:r>
          </w:p>
        </w:tc>
        <w:tc>
          <w:tcPr>
            <w:tcW w:w="772" w:type="dxa"/>
            <w:tcBorders>
              <w:bottom w:val="single" w:sz="4" w:space="0" w:color="auto"/>
            </w:tcBorders>
            <w:vAlign w:val="bottom"/>
          </w:tcPr>
          <w:p w:rsidR="00000000" w:rsidRDefault="00000000">
            <w:pPr>
              <w:spacing w:before="60" w:after="60"/>
              <w:jc w:val="right"/>
              <w:rPr>
                <w:sz w:val="22"/>
                <w:szCs w:val="22"/>
              </w:rPr>
            </w:pPr>
            <w:r>
              <w:rPr>
                <w:sz w:val="22"/>
                <w:szCs w:val="22"/>
              </w:rPr>
              <w:t>28,7</w:t>
            </w:r>
          </w:p>
        </w:tc>
        <w:tc>
          <w:tcPr>
            <w:tcW w:w="718" w:type="dxa"/>
            <w:tcBorders>
              <w:bottom w:val="single" w:sz="4" w:space="0" w:color="auto"/>
            </w:tcBorders>
            <w:vAlign w:val="bottom"/>
          </w:tcPr>
          <w:p w:rsidR="00000000" w:rsidRDefault="00000000">
            <w:pPr>
              <w:spacing w:before="60" w:after="60"/>
              <w:jc w:val="right"/>
              <w:rPr>
                <w:sz w:val="22"/>
                <w:szCs w:val="22"/>
              </w:rPr>
            </w:pPr>
            <w:r>
              <w:rPr>
                <w:sz w:val="22"/>
                <w:szCs w:val="22"/>
              </w:rPr>
              <w:t>30,4</w:t>
            </w:r>
          </w:p>
        </w:tc>
        <w:tc>
          <w:tcPr>
            <w:tcW w:w="837" w:type="dxa"/>
            <w:tcBorders>
              <w:bottom w:val="single" w:sz="4" w:space="0" w:color="auto"/>
            </w:tcBorders>
            <w:vAlign w:val="bottom"/>
          </w:tcPr>
          <w:p w:rsidR="00000000" w:rsidRDefault="00000000">
            <w:pPr>
              <w:spacing w:before="60" w:after="60"/>
              <w:jc w:val="right"/>
              <w:rPr>
                <w:sz w:val="22"/>
                <w:szCs w:val="22"/>
              </w:rPr>
            </w:pPr>
            <w:r>
              <w:rPr>
                <w:sz w:val="22"/>
                <w:szCs w:val="22"/>
              </w:rPr>
              <w:t>32,2</w:t>
            </w:r>
          </w:p>
        </w:tc>
        <w:tc>
          <w:tcPr>
            <w:tcW w:w="683" w:type="dxa"/>
            <w:tcBorders>
              <w:bottom w:val="single" w:sz="4" w:space="0" w:color="auto"/>
            </w:tcBorders>
            <w:vAlign w:val="bottom"/>
          </w:tcPr>
          <w:p w:rsidR="00000000" w:rsidRDefault="00000000">
            <w:pPr>
              <w:spacing w:before="60" w:after="60"/>
              <w:jc w:val="right"/>
              <w:rPr>
                <w:sz w:val="22"/>
                <w:szCs w:val="22"/>
              </w:rPr>
            </w:pPr>
            <w:r>
              <w:rPr>
                <w:sz w:val="22"/>
                <w:szCs w:val="22"/>
              </w:rPr>
              <w:t>34,1</w:t>
            </w:r>
          </w:p>
        </w:tc>
      </w:tr>
      <w:tr w:rsidR="00000000">
        <w:tblPrEx>
          <w:tblCellMar>
            <w:top w:w="0" w:type="dxa"/>
            <w:bottom w:w="0" w:type="dxa"/>
          </w:tblCellMar>
        </w:tblPrEx>
        <w:trPr>
          <w:cantSplit/>
          <w:trHeight w:val="747"/>
          <w:jc w:val="center"/>
        </w:trPr>
        <w:tc>
          <w:tcPr>
            <w:tcW w:w="5442" w:type="dxa"/>
            <w:tcBorders>
              <w:bottom w:val="single" w:sz="4" w:space="0" w:color="auto"/>
              <w:right w:val="single" w:sz="4" w:space="0" w:color="auto"/>
            </w:tcBorders>
            <w:vAlign w:val="bottom"/>
          </w:tcPr>
          <w:p w:rsidR="00000000" w:rsidRDefault="00000000">
            <w:pPr>
              <w:spacing w:before="60" w:after="60"/>
              <w:rPr>
                <w:sz w:val="22"/>
                <w:szCs w:val="22"/>
              </w:rPr>
            </w:pPr>
            <w:r>
              <w:rPr>
                <w:sz w:val="22"/>
                <w:szCs w:val="22"/>
              </w:rPr>
              <w:t>Sur le nombre total d’enfants bénéficiant d’une pension –</w:t>
            </w:r>
          </w:p>
          <w:p w:rsidR="00000000" w:rsidRDefault="00000000">
            <w:pPr>
              <w:spacing w:before="60" w:after="60"/>
              <w:rPr>
                <w:sz w:val="22"/>
                <w:szCs w:val="22"/>
              </w:rPr>
            </w:pPr>
            <w:r>
              <w:rPr>
                <w:sz w:val="22"/>
                <w:szCs w:val="22"/>
              </w:rPr>
              <w:t>enfants recevant une pension de survivant</w:t>
            </w:r>
          </w:p>
        </w:tc>
        <w:tc>
          <w:tcPr>
            <w:tcW w:w="1045" w:type="dxa"/>
            <w:tcBorders>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rPr>
            </w:pPr>
            <w:r>
              <w:rPr>
                <w:sz w:val="22"/>
                <w:szCs w:val="22"/>
              </w:rPr>
              <w:t>7,4</w:t>
            </w:r>
          </w:p>
        </w:tc>
        <w:tc>
          <w:tcPr>
            <w:tcW w:w="772" w:type="dxa"/>
            <w:tcBorders>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rPr>
            </w:pPr>
            <w:r>
              <w:rPr>
                <w:sz w:val="22"/>
                <w:szCs w:val="22"/>
              </w:rPr>
              <w:t>8,0</w:t>
            </w:r>
          </w:p>
        </w:tc>
        <w:tc>
          <w:tcPr>
            <w:tcW w:w="718" w:type="dxa"/>
            <w:tcBorders>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rPr>
            </w:pPr>
            <w:r>
              <w:rPr>
                <w:sz w:val="22"/>
                <w:szCs w:val="22"/>
              </w:rPr>
              <w:t>8,8</w:t>
            </w:r>
          </w:p>
        </w:tc>
        <w:tc>
          <w:tcPr>
            <w:tcW w:w="837" w:type="dxa"/>
            <w:tcBorders>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rPr>
            </w:pPr>
            <w:r>
              <w:rPr>
                <w:sz w:val="22"/>
                <w:szCs w:val="22"/>
              </w:rPr>
              <w:t>9,8</w:t>
            </w:r>
          </w:p>
        </w:tc>
        <w:tc>
          <w:tcPr>
            <w:tcW w:w="683" w:type="dxa"/>
            <w:tcBorders>
              <w:left w:val="single" w:sz="4" w:space="0" w:color="auto"/>
              <w:bottom w:val="single" w:sz="4" w:space="0" w:color="auto"/>
              <w:right w:val="single" w:sz="4" w:space="0" w:color="auto"/>
            </w:tcBorders>
            <w:vAlign w:val="bottom"/>
          </w:tcPr>
          <w:p w:rsidR="00000000" w:rsidRDefault="00000000">
            <w:pPr>
              <w:spacing w:before="60" w:after="60"/>
              <w:jc w:val="right"/>
              <w:rPr>
                <w:sz w:val="22"/>
                <w:szCs w:val="22"/>
              </w:rPr>
            </w:pPr>
            <w:r>
              <w:rPr>
                <w:sz w:val="22"/>
                <w:szCs w:val="22"/>
              </w:rPr>
              <w:t>12,7</w:t>
            </w:r>
          </w:p>
        </w:tc>
      </w:tr>
      <w:tr w:rsidR="00000000">
        <w:tblPrEx>
          <w:tblCellMar>
            <w:top w:w="0" w:type="dxa"/>
            <w:bottom w:w="0" w:type="dxa"/>
          </w:tblCellMar>
        </w:tblPrEx>
        <w:trPr>
          <w:cantSplit/>
          <w:jc w:val="center"/>
        </w:trPr>
        <w:tc>
          <w:tcPr>
            <w:tcW w:w="5442" w:type="dxa"/>
            <w:vAlign w:val="bottom"/>
          </w:tcPr>
          <w:p w:rsidR="00000000" w:rsidRDefault="00000000">
            <w:pPr>
              <w:spacing w:before="60" w:after="60"/>
              <w:rPr>
                <w:sz w:val="22"/>
                <w:szCs w:val="22"/>
              </w:rPr>
            </w:pPr>
            <w:r>
              <w:rPr>
                <w:sz w:val="22"/>
                <w:szCs w:val="22"/>
              </w:rPr>
              <w:t xml:space="preserve">Montant mensuel moyen de la pension en </w:t>
            </w:r>
            <w:proofErr w:type="spellStart"/>
            <w:r>
              <w:rPr>
                <w:sz w:val="22"/>
                <w:szCs w:val="22"/>
              </w:rPr>
              <w:t>lari</w:t>
            </w:r>
            <w:proofErr w:type="spellEnd"/>
            <w:r>
              <w:rPr>
                <w:sz w:val="22"/>
                <w:szCs w:val="22"/>
              </w:rPr>
              <w:t xml:space="preserve"> </w:t>
            </w:r>
          </w:p>
        </w:tc>
        <w:tc>
          <w:tcPr>
            <w:tcW w:w="1045" w:type="dxa"/>
            <w:vAlign w:val="bottom"/>
          </w:tcPr>
          <w:p w:rsidR="00000000" w:rsidRDefault="00000000">
            <w:pPr>
              <w:spacing w:before="60" w:after="60"/>
              <w:jc w:val="right"/>
              <w:rPr>
                <w:sz w:val="22"/>
                <w:szCs w:val="22"/>
              </w:rPr>
            </w:pPr>
            <w:r>
              <w:rPr>
                <w:sz w:val="22"/>
                <w:szCs w:val="22"/>
              </w:rPr>
              <w:t>15,9</w:t>
            </w:r>
          </w:p>
        </w:tc>
        <w:tc>
          <w:tcPr>
            <w:tcW w:w="772" w:type="dxa"/>
            <w:vAlign w:val="bottom"/>
          </w:tcPr>
          <w:p w:rsidR="00000000" w:rsidRDefault="00000000">
            <w:pPr>
              <w:spacing w:before="60" w:after="60"/>
              <w:jc w:val="right"/>
              <w:rPr>
                <w:sz w:val="22"/>
                <w:szCs w:val="22"/>
              </w:rPr>
            </w:pPr>
            <w:r>
              <w:rPr>
                <w:sz w:val="22"/>
                <w:szCs w:val="22"/>
              </w:rPr>
              <w:t>16,1</w:t>
            </w:r>
          </w:p>
        </w:tc>
        <w:tc>
          <w:tcPr>
            <w:tcW w:w="718" w:type="dxa"/>
            <w:vAlign w:val="bottom"/>
          </w:tcPr>
          <w:p w:rsidR="00000000" w:rsidRDefault="00000000">
            <w:pPr>
              <w:spacing w:before="60" w:after="60"/>
              <w:jc w:val="right"/>
              <w:rPr>
                <w:sz w:val="22"/>
                <w:szCs w:val="22"/>
              </w:rPr>
            </w:pPr>
            <w:r>
              <w:rPr>
                <w:sz w:val="22"/>
                <w:szCs w:val="22"/>
              </w:rPr>
              <w:t>16,2</w:t>
            </w:r>
          </w:p>
        </w:tc>
        <w:tc>
          <w:tcPr>
            <w:tcW w:w="837" w:type="dxa"/>
            <w:vAlign w:val="bottom"/>
          </w:tcPr>
          <w:p w:rsidR="00000000" w:rsidRDefault="00000000">
            <w:pPr>
              <w:spacing w:before="60" w:after="60"/>
              <w:jc w:val="right"/>
              <w:rPr>
                <w:sz w:val="22"/>
                <w:szCs w:val="22"/>
              </w:rPr>
            </w:pPr>
            <w:r>
              <w:rPr>
                <w:sz w:val="22"/>
                <w:szCs w:val="22"/>
              </w:rPr>
              <w:t>16,5</w:t>
            </w:r>
          </w:p>
        </w:tc>
        <w:tc>
          <w:tcPr>
            <w:tcW w:w="683" w:type="dxa"/>
            <w:vAlign w:val="bottom"/>
          </w:tcPr>
          <w:p w:rsidR="00000000" w:rsidRDefault="00000000">
            <w:pPr>
              <w:spacing w:before="60" w:after="60"/>
              <w:jc w:val="right"/>
              <w:rPr>
                <w:sz w:val="22"/>
                <w:szCs w:val="22"/>
              </w:rPr>
            </w:pPr>
            <w:r>
              <w:rPr>
                <w:sz w:val="22"/>
                <w:szCs w:val="22"/>
              </w:rPr>
              <w:t>20,0</w:t>
            </w:r>
          </w:p>
        </w:tc>
      </w:tr>
    </w:tbl>
    <w:p w:rsidR="00000000" w:rsidRDefault="00000000">
      <w:pPr>
        <w:spacing w:before="240" w:after="240"/>
        <w:ind w:firstLine="567"/>
        <w:rPr>
          <w:sz w:val="22"/>
        </w:rPr>
      </w:pPr>
      <w:r>
        <w:rPr>
          <w:i/>
          <w:iCs/>
          <w:sz w:val="22"/>
        </w:rPr>
        <w:t>Source</w:t>
      </w:r>
      <w:r>
        <w:rPr>
          <w:sz w:val="22"/>
        </w:rPr>
        <w:t>: Ministère du travail, de la santé et des affaires sociales.</w:t>
      </w:r>
    </w:p>
    <w:p w:rsidR="00000000" w:rsidRDefault="00000000">
      <w:pPr>
        <w:spacing w:after="240"/>
        <w:rPr>
          <w:rFonts w:cs="Arial"/>
        </w:rPr>
      </w:pPr>
      <w:r>
        <w:t>150.</w:t>
      </w:r>
      <w:r>
        <w:tab/>
        <w:t xml:space="preserve">D’après le Ministère du travail, de la santé et des affaires sociales, au cours de la période considérée, le Gouvernement italien a fourni à la Géorgie une quantité considérable de produits alimentaires (pâtes) en guise d’aide humanitaire. Les 15 000 kilos de pâtes livrés ont été, conformément à un arrêté ministériel, distribués gratuitement à diverses institutions médicales et autres. Les maisons d’enfants handicapés de </w:t>
      </w:r>
      <w:proofErr w:type="spellStart"/>
      <w:r>
        <w:t>Kaspi</w:t>
      </w:r>
      <w:proofErr w:type="spellEnd"/>
      <w:r>
        <w:t xml:space="preserve"> et </w:t>
      </w:r>
      <w:proofErr w:type="spellStart"/>
      <w:r>
        <w:t>Senaki</w:t>
      </w:r>
      <w:proofErr w:type="spellEnd"/>
      <w:r>
        <w:t xml:space="preserve">, le pensionnat </w:t>
      </w:r>
      <w:proofErr w:type="spellStart"/>
      <w:r>
        <w:rPr>
          <w:rFonts w:cs="Arial"/>
        </w:rPr>
        <w:t>Natvris</w:t>
      </w:r>
      <w:proofErr w:type="spellEnd"/>
      <w:r>
        <w:rPr>
          <w:rFonts w:cs="Arial"/>
        </w:rPr>
        <w:t xml:space="preserve"> </w:t>
      </w:r>
      <w:proofErr w:type="spellStart"/>
      <w:r>
        <w:rPr>
          <w:rFonts w:cs="Arial"/>
        </w:rPr>
        <w:t>Khe</w:t>
      </w:r>
      <w:proofErr w:type="spellEnd"/>
      <w:r>
        <w:t xml:space="preserve">, le foyer de Tbilissi, le foyer Tonus de Tbilissi pour les enfants souffrant de paralysie cérébrale et le foyer de </w:t>
      </w:r>
      <w:proofErr w:type="spellStart"/>
      <w:r>
        <w:rPr>
          <w:rFonts w:cs="Arial"/>
        </w:rPr>
        <w:t>Makhinjauri</w:t>
      </w:r>
      <w:proofErr w:type="spellEnd"/>
      <w:r>
        <w:rPr>
          <w:rFonts w:cs="Arial"/>
        </w:rPr>
        <w:t xml:space="preserve"> ont notamment bénéficié de cette aide.</w:t>
      </w:r>
    </w:p>
    <w:p w:rsidR="00000000" w:rsidRDefault="00000000">
      <w:pPr>
        <w:spacing w:after="240"/>
      </w:pPr>
      <w:r>
        <w:rPr>
          <w:rFonts w:cs="Arial"/>
        </w:rPr>
        <w:t>151.</w:t>
      </w:r>
      <w:r>
        <w:rPr>
          <w:rFonts w:cs="Arial"/>
        </w:rPr>
        <w:tab/>
        <w:t xml:space="preserve">En juillet 2005, l’ONG Solidarité a livré en guise d’aide humanitaire 75 000 kilos de pâtes qui, conformément à un arrêté du </w:t>
      </w:r>
      <w:r>
        <w:t xml:space="preserve">Ministère du travail, de la santé et des affaires sociales de Géorgie, ont été distribués aux maisons d’enfants handicapés de </w:t>
      </w:r>
      <w:proofErr w:type="spellStart"/>
      <w:r>
        <w:t>Kaspi</w:t>
      </w:r>
      <w:proofErr w:type="spellEnd"/>
      <w:r>
        <w:t xml:space="preserve"> et </w:t>
      </w:r>
      <w:proofErr w:type="spellStart"/>
      <w:r>
        <w:t>Senaki</w:t>
      </w:r>
      <w:proofErr w:type="spellEnd"/>
      <w:r>
        <w:t xml:space="preserve">, au foyer de </w:t>
      </w:r>
      <w:proofErr w:type="spellStart"/>
      <w:r>
        <w:rPr>
          <w:rFonts w:cs="Arial"/>
        </w:rPr>
        <w:t>Natvris</w:t>
      </w:r>
      <w:proofErr w:type="spellEnd"/>
      <w:r>
        <w:rPr>
          <w:rFonts w:cs="Arial"/>
        </w:rPr>
        <w:t> </w:t>
      </w:r>
      <w:proofErr w:type="spellStart"/>
      <w:r>
        <w:rPr>
          <w:rFonts w:cs="Arial"/>
        </w:rPr>
        <w:t>Khe</w:t>
      </w:r>
      <w:proofErr w:type="spellEnd"/>
      <w:r>
        <w:t>, au foyer de Tbilissi, au foyer Tonus de Tbilissi pour les enfants souffrant de paralysie cérébrale et au sanatorium pour enfants Printemps.</w:t>
      </w:r>
    </w:p>
    <w:p w:rsidR="00000000" w:rsidRDefault="00000000">
      <w:pPr>
        <w:spacing w:after="240"/>
      </w:pPr>
      <w:r>
        <w:t>152.</w:t>
      </w:r>
      <w:r>
        <w:tab/>
        <w:t xml:space="preserve">Grâce au Programme alimentaire mondial (PAM) les enfants dans le besoin, les enfants qui ne bénéficient pas d’une protection parentale et d’autres groupes socialement vulnérables reçoivent systématiquement une aide alimentaire. </w:t>
      </w:r>
    </w:p>
    <w:p w:rsidR="00000000" w:rsidRDefault="00000000">
      <w:pPr>
        <w:spacing w:after="240"/>
      </w:pPr>
      <w:r>
        <w:t>153.</w:t>
      </w:r>
      <w:r>
        <w:tab/>
        <w:t xml:space="preserve">Parmi les partenariats internationaux secteur </w:t>
      </w:r>
      <w:proofErr w:type="spellStart"/>
      <w:r>
        <w:t>public</w:t>
      </w:r>
      <w:r>
        <w:noBreakHyphen/>
        <w:t>secteur</w:t>
      </w:r>
      <w:proofErr w:type="spellEnd"/>
      <w:r>
        <w:t xml:space="preserve"> privé à l’appui des principaux programmes, on peut mentionner l’Alliance GAVI (sécurité des vaccinations, vaccination contre l’hépatite B) et le Fonds mondial de lutte contre le sida, la tuberculose et le paludisme. L’accès à la prévention de la transmission du VIH de la mère à l’enfant et à la thérapie </w:t>
      </w:r>
      <w:proofErr w:type="spellStart"/>
      <w:r>
        <w:t>antirétrovirale</w:t>
      </w:r>
      <w:proofErr w:type="spellEnd"/>
      <w:r>
        <w:t xml:space="preserve"> fait partie des grands progrès vers l’exécution des engagements en matière de santé. </w:t>
      </w:r>
    </w:p>
    <w:p w:rsidR="00000000" w:rsidRDefault="00000000">
      <w:pPr>
        <w:spacing w:after="240"/>
      </w:pPr>
      <w:r>
        <w:t>154.</w:t>
      </w:r>
      <w:r>
        <w:tab/>
        <w:t>Selon le Ministère de l’éducation et des sciences, jusqu’à récemment il y avait peu de solutions de substitution au placement en institution ou dans des écoles spéciales pour les enfants handicapés. Cependant cette situation a changé avec l’adoption d’une loi sur l’enseignement général qui stipule que «les établissements d’enseignement général sont autorisés à créer les conditions d’une éducation intégrée» (art. 31, par. 4). Cette disposition a créé en Géorgie une occasion sans précédent de réduire le besoin de placement en institution qui était souvent la seule option pour les enfants handicapés.</w:t>
      </w:r>
    </w:p>
    <w:p w:rsidR="00000000" w:rsidRDefault="00000000">
      <w:pPr>
        <w:spacing w:after="240"/>
      </w:pPr>
      <w:r>
        <w:t>155.</w:t>
      </w:r>
      <w:r>
        <w:tab/>
        <w:t xml:space="preserve">Sur la base de ce texte, des projets pilotes d’éducation intégrée ont été lancés dans 10 écoles de Tbilissi pour accueillir les enfants qui ont des besoins spéciaux. Le suivi de ces projets a montré que, grâce à l’éducation intégrée, des enfants socialement isolés, ostracisés et handicapés deviennent mieux intégrés à la société. </w:t>
      </w:r>
    </w:p>
    <w:p w:rsidR="00000000" w:rsidRDefault="00000000">
      <w:pPr>
        <w:spacing w:after="240"/>
      </w:pPr>
      <w:r>
        <w:t>156.</w:t>
      </w:r>
      <w:r>
        <w:tab/>
        <w:t>Quelques données statistiques rendant compte de la situation actuelle en matière d’éducation des enfants handicapés sont reproduites ci-dessous.</w:t>
      </w:r>
    </w:p>
    <w:p w:rsidR="00000000" w:rsidRDefault="00000000">
      <w:pPr>
        <w:keepNext/>
        <w:spacing w:after="240"/>
        <w:jc w:val="center"/>
        <w:rPr>
          <w:b/>
          <w:bCs/>
        </w:rPr>
      </w:pPr>
      <w:r>
        <w:rPr>
          <w:b/>
          <w:bCs/>
        </w:rPr>
        <w:t>Écoles pour les enfants mentalement et physiquement retardés</w:t>
      </w:r>
      <w:r>
        <w:rPr>
          <w:b/>
          <w:bCs/>
        </w:rPr>
        <w:br/>
        <w:t>(Au début de l’année scolaire)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6"/>
        <w:gridCol w:w="941"/>
        <w:gridCol w:w="942"/>
        <w:gridCol w:w="942"/>
        <w:gridCol w:w="942"/>
        <w:gridCol w:w="942"/>
        <w:gridCol w:w="942"/>
      </w:tblGrid>
      <w:tr w:rsidR="00000000">
        <w:trPr>
          <w:jc w:val="center"/>
        </w:trPr>
        <w:tc>
          <w:tcPr>
            <w:tcW w:w="3799" w:type="dxa"/>
            <w:tcMar>
              <w:left w:w="85" w:type="dxa"/>
              <w:right w:w="85" w:type="dxa"/>
            </w:tcMar>
          </w:tcPr>
          <w:p w:rsidR="00000000" w:rsidRDefault="00000000">
            <w:pPr>
              <w:spacing w:before="60" w:after="60"/>
              <w:jc w:val="center"/>
              <w:rPr>
                <w:sz w:val="22"/>
                <w:szCs w:val="22"/>
                <w:lang w:val="fr-FR"/>
              </w:rPr>
            </w:pPr>
          </w:p>
        </w:tc>
        <w:tc>
          <w:tcPr>
            <w:tcW w:w="930" w:type="dxa"/>
            <w:tcMar>
              <w:left w:w="85" w:type="dxa"/>
              <w:right w:w="85" w:type="dxa"/>
            </w:tcMar>
          </w:tcPr>
          <w:p w:rsidR="00000000" w:rsidRDefault="00000000">
            <w:pPr>
              <w:spacing w:before="60" w:after="60"/>
              <w:jc w:val="center"/>
              <w:rPr>
                <w:sz w:val="22"/>
                <w:szCs w:val="22"/>
              </w:rPr>
            </w:pPr>
            <w:r>
              <w:rPr>
                <w:sz w:val="22"/>
                <w:szCs w:val="22"/>
              </w:rPr>
              <w:t>1999/00</w:t>
            </w:r>
          </w:p>
        </w:tc>
        <w:tc>
          <w:tcPr>
            <w:tcW w:w="930" w:type="dxa"/>
            <w:tcMar>
              <w:left w:w="85" w:type="dxa"/>
              <w:right w:w="85" w:type="dxa"/>
            </w:tcMar>
          </w:tcPr>
          <w:p w:rsidR="00000000" w:rsidRDefault="00000000">
            <w:pPr>
              <w:spacing w:before="60" w:after="60"/>
              <w:jc w:val="center"/>
              <w:rPr>
                <w:sz w:val="22"/>
                <w:szCs w:val="22"/>
              </w:rPr>
            </w:pPr>
            <w:r>
              <w:rPr>
                <w:sz w:val="22"/>
                <w:szCs w:val="22"/>
              </w:rPr>
              <w:t>2000/01</w:t>
            </w:r>
          </w:p>
        </w:tc>
        <w:tc>
          <w:tcPr>
            <w:tcW w:w="930" w:type="dxa"/>
            <w:tcMar>
              <w:left w:w="85" w:type="dxa"/>
              <w:right w:w="85" w:type="dxa"/>
            </w:tcMar>
          </w:tcPr>
          <w:p w:rsidR="00000000" w:rsidRDefault="00000000">
            <w:pPr>
              <w:spacing w:before="60" w:after="60"/>
              <w:jc w:val="center"/>
              <w:rPr>
                <w:sz w:val="22"/>
                <w:szCs w:val="22"/>
              </w:rPr>
            </w:pPr>
            <w:r>
              <w:rPr>
                <w:sz w:val="22"/>
                <w:szCs w:val="22"/>
              </w:rPr>
              <w:t>2001/02</w:t>
            </w:r>
          </w:p>
        </w:tc>
        <w:tc>
          <w:tcPr>
            <w:tcW w:w="930" w:type="dxa"/>
            <w:tcMar>
              <w:left w:w="85" w:type="dxa"/>
              <w:right w:w="85" w:type="dxa"/>
            </w:tcMar>
          </w:tcPr>
          <w:p w:rsidR="00000000" w:rsidRDefault="00000000">
            <w:pPr>
              <w:spacing w:before="60" w:after="60"/>
              <w:jc w:val="center"/>
              <w:rPr>
                <w:sz w:val="22"/>
                <w:szCs w:val="22"/>
              </w:rPr>
            </w:pPr>
            <w:r>
              <w:rPr>
                <w:sz w:val="22"/>
                <w:szCs w:val="22"/>
              </w:rPr>
              <w:t>2002/03</w:t>
            </w:r>
          </w:p>
        </w:tc>
        <w:tc>
          <w:tcPr>
            <w:tcW w:w="930" w:type="dxa"/>
            <w:tcMar>
              <w:left w:w="85" w:type="dxa"/>
              <w:right w:w="85" w:type="dxa"/>
            </w:tcMar>
          </w:tcPr>
          <w:p w:rsidR="00000000" w:rsidRDefault="00000000">
            <w:pPr>
              <w:spacing w:before="60" w:after="60"/>
              <w:jc w:val="center"/>
              <w:rPr>
                <w:sz w:val="22"/>
                <w:szCs w:val="22"/>
              </w:rPr>
            </w:pPr>
            <w:r>
              <w:rPr>
                <w:sz w:val="22"/>
                <w:szCs w:val="22"/>
              </w:rPr>
              <w:t>2003/04</w:t>
            </w:r>
          </w:p>
        </w:tc>
        <w:tc>
          <w:tcPr>
            <w:tcW w:w="930" w:type="dxa"/>
          </w:tcPr>
          <w:p w:rsidR="00000000" w:rsidRDefault="00000000">
            <w:pPr>
              <w:spacing w:before="60" w:after="60"/>
              <w:jc w:val="center"/>
              <w:rPr>
                <w:sz w:val="22"/>
                <w:szCs w:val="22"/>
              </w:rPr>
            </w:pPr>
            <w:r>
              <w:rPr>
                <w:sz w:val="22"/>
                <w:szCs w:val="22"/>
              </w:rPr>
              <w:t>2004/05</w:t>
            </w:r>
          </w:p>
        </w:tc>
      </w:tr>
      <w:tr w:rsidR="00000000">
        <w:trPr>
          <w:jc w:val="center"/>
        </w:trPr>
        <w:tc>
          <w:tcPr>
            <w:tcW w:w="3799" w:type="dxa"/>
            <w:tcMar>
              <w:left w:w="85" w:type="dxa"/>
              <w:right w:w="85" w:type="dxa"/>
            </w:tcMar>
            <w:vAlign w:val="bottom"/>
          </w:tcPr>
          <w:p w:rsidR="00000000" w:rsidRDefault="00000000">
            <w:pPr>
              <w:spacing w:before="60" w:after="60"/>
              <w:rPr>
                <w:iCs/>
                <w:sz w:val="22"/>
                <w:szCs w:val="22"/>
              </w:rPr>
            </w:pPr>
            <w:r>
              <w:rPr>
                <w:iCs/>
                <w:sz w:val="22"/>
                <w:szCs w:val="22"/>
              </w:rPr>
              <w:t>Nombre d’écoles pour enfants mentalement et physiquement retardés</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w:t>
            </w:r>
          </w:p>
        </w:tc>
        <w:tc>
          <w:tcPr>
            <w:tcW w:w="930" w:type="dxa"/>
            <w:vAlign w:val="bottom"/>
          </w:tcPr>
          <w:p w:rsidR="00000000" w:rsidRDefault="00000000">
            <w:pPr>
              <w:spacing w:before="60" w:after="60"/>
              <w:jc w:val="right"/>
              <w:rPr>
                <w:sz w:val="22"/>
                <w:szCs w:val="22"/>
              </w:rPr>
            </w:pPr>
            <w:r>
              <w:rPr>
                <w:sz w:val="22"/>
                <w:szCs w:val="22"/>
              </w:rPr>
              <w:t>3</w:t>
            </w:r>
          </w:p>
        </w:tc>
      </w:tr>
      <w:tr w:rsidR="00000000">
        <w:trPr>
          <w:jc w:val="center"/>
        </w:trPr>
        <w:tc>
          <w:tcPr>
            <w:tcW w:w="3799" w:type="dxa"/>
            <w:tcMar>
              <w:left w:w="85" w:type="dxa"/>
              <w:right w:w="85" w:type="dxa"/>
            </w:tcMar>
            <w:vAlign w:val="bottom"/>
          </w:tcPr>
          <w:p w:rsidR="00000000" w:rsidRDefault="00000000">
            <w:pPr>
              <w:spacing w:before="60" w:after="60"/>
              <w:rPr>
                <w:iCs/>
                <w:sz w:val="22"/>
                <w:szCs w:val="22"/>
              </w:rPr>
            </w:pPr>
            <w:r>
              <w:rPr>
                <w:sz w:val="22"/>
              </w:rPr>
              <w:t>Nombre d’élèves</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343</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378</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378</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381</w:t>
            </w:r>
          </w:p>
        </w:tc>
        <w:tc>
          <w:tcPr>
            <w:tcW w:w="930" w:type="dxa"/>
            <w:tcMar>
              <w:left w:w="85" w:type="dxa"/>
              <w:right w:w="85" w:type="dxa"/>
            </w:tcMar>
            <w:vAlign w:val="bottom"/>
          </w:tcPr>
          <w:p w:rsidR="00000000" w:rsidRDefault="00000000">
            <w:pPr>
              <w:spacing w:before="60" w:after="60"/>
              <w:jc w:val="right"/>
              <w:rPr>
                <w:sz w:val="22"/>
                <w:szCs w:val="22"/>
              </w:rPr>
            </w:pPr>
            <w:r>
              <w:rPr>
                <w:sz w:val="22"/>
                <w:szCs w:val="22"/>
              </w:rPr>
              <w:t>340</w:t>
            </w:r>
          </w:p>
        </w:tc>
        <w:tc>
          <w:tcPr>
            <w:tcW w:w="930" w:type="dxa"/>
            <w:vAlign w:val="bottom"/>
          </w:tcPr>
          <w:p w:rsidR="00000000" w:rsidRDefault="00000000">
            <w:pPr>
              <w:spacing w:before="60" w:after="60"/>
              <w:jc w:val="right"/>
              <w:rPr>
                <w:sz w:val="22"/>
                <w:szCs w:val="22"/>
              </w:rPr>
            </w:pPr>
            <w:r>
              <w:rPr>
                <w:sz w:val="22"/>
                <w:szCs w:val="22"/>
              </w:rPr>
              <w:t>335</w:t>
            </w:r>
          </w:p>
        </w:tc>
      </w:tr>
    </w:tbl>
    <w:p w:rsidR="00000000" w:rsidRDefault="00000000">
      <w:pPr>
        <w:spacing w:before="240" w:after="240"/>
        <w:ind w:firstLine="567"/>
        <w:rPr>
          <w:sz w:val="22"/>
        </w:rPr>
      </w:pPr>
      <w:r>
        <w:rPr>
          <w:i/>
          <w:iCs/>
          <w:sz w:val="22"/>
        </w:rPr>
        <w:t>Source</w:t>
      </w:r>
      <w:r>
        <w:rPr>
          <w:sz w:val="22"/>
        </w:rPr>
        <w:t>: Ministère de l’éducation et des sciences.</w:t>
      </w:r>
    </w:p>
    <w:p w:rsidR="00000000" w:rsidRDefault="00000000">
      <w:pPr>
        <w:keepNext/>
        <w:spacing w:after="240"/>
        <w:jc w:val="center"/>
        <w:rPr>
          <w:b/>
          <w:bCs/>
        </w:rPr>
      </w:pPr>
      <w:r>
        <w:rPr>
          <w:b/>
          <w:bCs/>
        </w:rPr>
        <w:t>B.  Santé et services médicaux (art. 24)</w:t>
      </w:r>
    </w:p>
    <w:p w:rsidR="00000000" w:rsidRDefault="00000000">
      <w:pPr>
        <w:spacing w:after="240"/>
      </w:pPr>
      <w:r>
        <w:t>157.</w:t>
      </w:r>
      <w:r>
        <w:tab/>
        <w:t>Dans ses observations finales, le Comité réitère sa précédente recommandation en ce qui concerne l’affectation de ressources humaines et financières aux fins de la mise en œuvre de la politique nationale de santé et recommande notamment à l’État partie:</w:t>
      </w:r>
    </w:p>
    <w:p w:rsidR="00000000" w:rsidRDefault="00000000">
      <w:pPr>
        <w:spacing w:after="240"/>
        <w:ind w:firstLine="567"/>
      </w:pPr>
      <w:r>
        <w:t>a)</w:t>
      </w:r>
      <w:r>
        <w:tab/>
        <w:t>D’intensifier ses efforts pour mettre en œuvre la politique nationale de santé en lui attribuant durablement des ressources humaines et financières adéquates, notamment en formant un nombre suffisant de professionnels de la santé, en rémunérant correctement les personnels de santé et en développant les infrastructures sanitaires, en particulier dans les zones les plus défavorisées;</w:t>
      </w:r>
    </w:p>
    <w:p w:rsidR="00000000" w:rsidRDefault="00000000">
      <w:pPr>
        <w:spacing w:after="240"/>
        <w:ind w:firstLine="567"/>
      </w:pPr>
      <w:r>
        <w:t>b)</w:t>
      </w:r>
      <w:r>
        <w:tab/>
        <w:t>D’améliorer la qualité des soins prénatals et de l’éducation sanitaire maternelle en vue de réduire le taux élevé de mortalité infantile;</w:t>
      </w:r>
    </w:p>
    <w:p w:rsidR="00000000" w:rsidRDefault="00000000">
      <w:pPr>
        <w:spacing w:after="240"/>
        <w:ind w:firstLine="567"/>
      </w:pPr>
      <w:r>
        <w:t>c)</w:t>
      </w:r>
      <w:r>
        <w:tab/>
        <w:t>De s’employer à régler le problème de l’approvisionnement en eau potable, notamment en cherchant à obtenir une aide supplémentaire de la Banque mondiale pour le Fonds de développement municipal de la Géorgie aux fins de la réhabilitation du réseau d’approvisionnement en eau et des systèmes d’assainissement;</w:t>
      </w:r>
    </w:p>
    <w:p w:rsidR="00000000" w:rsidRDefault="00000000">
      <w:pPr>
        <w:spacing w:after="240"/>
        <w:ind w:firstLine="567"/>
      </w:pPr>
      <w:r>
        <w:t>d)</w:t>
      </w:r>
      <w:r>
        <w:tab/>
        <w:t>De demander une assistance technique, notamment à l’UNICEF.</w:t>
      </w:r>
    </w:p>
    <w:p w:rsidR="00000000" w:rsidRDefault="00000000">
      <w:pPr>
        <w:spacing w:after="240"/>
      </w:pPr>
      <w:r>
        <w:t>158.</w:t>
      </w:r>
      <w:r>
        <w:tab/>
        <w:t>Conformément à un décret du Ministère du travail, de la santé et des affaires sociales de Géorgie du 14 novembre 2000, une commission de lutte contre la mortalité liée à la maternité et infantile a été créée en tant qu’outil institutionnel important pour diminuer davantage la mortalité maternelle et infantile et améliorer radicalement les soins médicaux pour les mères et les enfants.</w:t>
      </w:r>
    </w:p>
    <w:p w:rsidR="00000000" w:rsidRDefault="00000000">
      <w:pPr>
        <w:spacing w:after="240"/>
      </w:pPr>
      <w:r>
        <w:t>159.</w:t>
      </w:r>
      <w:r>
        <w:tab/>
        <w:t xml:space="preserve">Il convient de noter que la politique et la stratégie de la Géorgie en matière de soins de santé donnent la priorité aux mesures visant à améliorer la santé des mères et des enfants, comme il apparaît dans des documents de base tels que le Plan politique et stratégique national pour 1999-2010, le Programme de développement économique et de lutte contre la pauvreté (2003) et la Vision stratégique du Gouvernement géorgien pour 2004-2006 (document de Bruxelles). </w:t>
      </w:r>
    </w:p>
    <w:p w:rsidR="00000000" w:rsidRDefault="00000000">
      <w:pPr>
        <w:keepNext/>
        <w:spacing w:after="240"/>
        <w:rPr>
          <w:b/>
          <w:bCs/>
        </w:rPr>
      </w:pPr>
      <w:r>
        <w:rPr>
          <w:b/>
          <w:bCs/>
        </w:rPr>
        <w:t>Système de soins de santé pour les enfants</w:t>
      </w:r>
    </w:p>
    <w:p w:rsidR="00000000" w:rsidRDefault="00000000">
      <w:pPr>
        <w:spacing w:after="240"/>
      </w:pPr>
      <w:r>
        <w:t>160.</w:t>
      </w:r>
      <w:r>
        <w:tab/>
        <w:t>En 2005, le Ministère du travail, de la santé et des affaires sociales a pris des mesures visant à assurer la protection des enfants dans le cadre des programmes et éléments de programmes suivants:</w:t>
      </w:r>
    </w:p>
    <w:p w:rsidR="00000000" w:rsidRDefault="00000000">
      <w:pPr>
        <w:numPr>
          <w:ilvl w:val="0"/>
          <w:numId w:val="104"/>
        </w:numPr>
        <w:spacing w:after="240"/>
      </w:pPr>
      <w:r>
        <w:t xml:space="preserve">Élément du Programme public pour la population portant sur l’assistance médicale − assistance médicale aux enfants (jusqu’à l’âge de 3 ans) − 6 000 000 de </w:t>
      </w:r>
      <w:proofErr w:type="spellStart"/>
      <w:r>
        <w:t>lari</w:t>
      </w:r>
      <w:proofErr w:type="spellEnd"/>
      <w:r>
        <w:t>;</w:t>
      </w:r>
    </w:p>
    <w:p w:rsidR="00000000" w:rsidRDefault="00000000">
      <w:pPr>
        <w:numPr>
          <w:ilvl w:val="0"/>
          <w:numId w:val="104"/>
        </w:numPr>
        <w:spacing w:after="240"/>
      </w:pPr>
      <w:r>
        <w:t xml:space="preserve">Élément portant sur l’assistance médicale aux orphelins et aux autres enfants qui ont besoin d’être en permanence sous bulle stérile − 300 000 </w:t>
      </w:r>
      <w:proofErr w:type="spellStart"/>
      <w:r>
        <w:t>lari</w:t>
      </w:r>
      <w:proofErr w:type="spellEnd"/>
      <w:r>
        <w:t>;</w:t>
      </w:r>
    </w:p>
    <w:p w:rsidR="00000000" w:rsidRDefault="00000000">
      <w:pPr>
        <w:numPr>
          <w:ilvl w:val="0"/>
          <w:numId w:val="104"/>
        </w:numPr>
        <w:spacing w:after="240"/>
      </w:pPr>
      <w:r>
        <w:t xml:space="preserve">Élément dU programme médicinal portant sur la vaccination − 800 000 </w:t>
      </w:r>
      <w:proofErr w:type="spellStart"/>
      <w:r>
        <w:t>lari</w:t>
      </w:r>
      <w:proofErr w:type="spellEnd"/>
      <w:r>
        <w:t>;</w:t>
      </w:r>
    </w:p>
    <w:p w:rsidR="00000000" w:rsidRDefault="00000000">
      <w:pPr>
        <w:numPr>
          <w:ilvl w:val="0"/>
          <w:numId w:val="104"/>
        </w:numPr>
        <w:spacing w:after="240"/>
      </w:pPr>
      <w:r>
        <w:t>Programme d’assistance publique aux malades en soins ambulatoires − 19 673 000 </w:t>
      </w:r>
      <w:proofErr w:type="spellStart"/>
      <w:r>
        <w:t>lari</w:t>
      </w:r>
      <w:proofErr w:type="spellEnd"/>
      <w:r>
        <w:t>.</w:t>
      </w:r>
    </w:p>
    <w:p w:rsidR="00000000" w:rsidRDefault="00000000">
      <w:pPr>
        <w:spacing w:after="240"/>
      </w:pPr>
      <w:r>
        <w:t>161.</w:t>
      </w:r>
      <w:r>
        <w:tab/>
        <w:t>Le programme d’aide publique aux malades bénéficiant de soins ambulatoires comprend, entre autres, des soins médicaux gratuits pour les enfants âgés de moins de 3 ans et de 3 à 15 ans au sein du réseau de polycliniques. Il comporte les éléments suivants:</w:t>
      </w:r>
    </w:p>
    <w:p w:rsidR="00000000" w:rsidRDefault="00000000">
      <w:pPr>
        <w:numPr>
          <w:ilvl w:val="0"/>
          <w:numId w:val="104"/>
        </w:numPr>
        <w:spacing w:after="240"/>
      </w:pPr>
      <w:r>
        <w:t>Prévention (vaccination des enfants jusqu’à 15 ans);</w:t>
      </w:r>
    </w:p>
    <w:p w:rsidR="00000000" w:rsidRDefault="00000000">
      <w:pPr>
        <w:numPr>
          <w:ilvl w:val="0"/>
          <w:numId w:val="104"/>
        </w:numPr>
        <w:spacing w:after="240"/>
      </w:pPr>
      <w:r>
        <w:t>Diagnostics;</w:t>
      </w:r>
    </w:p>
    <w:p w:rsidR="00000000" w:rsidRDefault="00000000">
      <w:pPr>
        <w:numPr>
          <w:ilvl w:val="0"/>
          <w:numId w:val="104"/>
        </w:numPr>
        <w:spacing w:after="240"/>
      </w:pPr>
      <w:r>
        <w:t>Consultations médicales;</w:t>
      </w:r>
    </w:p>
    <w:p w:rsidR="00000000" w:rsidRDefault="00000000">
      <w:pPr>
        <w:numPr>
          <w:ilvl w:val="0"/>
          <w:numId w:val="104"/>
        </w:numPr>
        <w:spacing w:after="240"/>
      </w:pPr>
      <w:r>
        <w:t>Fourniture du traitement adéquat (conforme aux normes établies pour chaque maladie).</w:t>
      </w:r>
    </w:p>
    <w:p w:rsidR="00000000" w:rsidRDefault="00000000">
      <w:pPr>
        <w:spacing w:after="240"/>
      </w:pPr>
      <w:r>
        <w:t>162.</w:t>
      </w:r>
      <w:r>
        <w:tab/>
        <w:t>Le programme d’aide publique aux malades hospitalisés comprend, entre autres:</w:t>
      </w:r>
    </w:p>
    <w:p w:rsidR="00000000" w:rsidRDefault="00000000">
      <w:pPr>
        <w:numPr>
          <w:ilvl w:val="0"/>
          <w:numId w:val="104"/>
        </w:numPr>
        <w:spacing w:after="240"/>
      </w:pPr>
      <w:r>
        <w:t>Un élément d’assistance obstétricale, qui lui-même comprend:</w:t>
      </w:r>
    </w:p>
    <w:p w:rsidR="00000000" w:rsidRDefault="00000000">
      <w:pPr>
        <w:numPr>
          <w:ilvl w:val="1"/>
          <w:numId w:val="104"/>
        </w:numPr>
        <w:spacing w:after="240"/>
      </w:pPr>
      <w:r>
        <w:t>La prise en charge des nouveau-nés dans les maternités (hôpitaux);</w:t>
      </w:r>
    </w:p>
    <w:p w:rsidR="00000000" w:rsidRDefault="00000000">
      <w:pPr>
        <w:numPr>
          <w:ilvl w:val="1"/>
          <w:numId w:val="104"/>
        </w:numPr>
        <w:spacing w:after="240"/>
      </w:pPr>
      <w:r>
        <w:t>Le dépistage de la phénylcétonurie chez le nouveau-né;</w:t>
      </w:r>
    </w:p>
    <w:p w:rsidR="00000000" w:rsidRDefault="00000000">
      <w:pPr>
        <w:numPr>
          <w:ilvl w:val="0"/>
          <w:numId w:val="104"/>
        </w:numPr>
        <w:spacing w:after="240"/>
      </w:pPr>
      <w:r>
        <w:t>La prestation de services aux enfants hospitalisés jusqu’à l’âge de 3 ans.</w:t>
      </w:r>
    </w:p>
    <w:p w:rsidR="00000000" w:rsidRDefault="00000000">
      <w:pPr>
        <w:spacing w:after="240"/>
      </w:pPr>
      <w:r>
        <w:t>163.</w:t>
      </w:r>
      <w:r>
        <w:tab/>
        <w:t>Les programmes d’aide aux enfants hospitalisés portent sur:</w:t>
      </w:r>
    </w:p>
    <w:p w:rsidR="00000000" w:rsidRDefault="00000000">
      <w:pPr>
        <w:numPr>
          <w:ilvl w:val="0"/>
          <w:numId w:val="104"/>
        </w:numPr>
        <w:spacing w:after="240"/>
      </w:pPr>
      <w:r>
        <w:t>La réadaptation psychologique des enfants;</w:t>
      </w:r>
    </w:p>
    <w:p w:rsidR="00000000" w:rsidRDefault="00000000">
      <w:pPr>
        <w:numPr>
          <w:ilvl w:val="0"/>
          <w:numId w:val="104"/>
        </w:numPr>
        <w:spacing w:after="240"/>
      </w:pPr>
      <w:r>
        <w:t>La prévention et le traitement de l’épilepsie;</w:t>
      </w:r>
    </w:p>
    <w:p w:rsidR="00000000" w:rsidRDefault="00000000">
      <w:pPr>
        <w:numPr>
          <w:ilvl w:val="0"/>
          <w:numId w:val="104"/>
        </w:numPr>
        <w:spacing w:after="240"/>
      </w:pPr>
      <w:r>
        <w:t xml:space="preserve">Le traitement </w:t>
      </w:r>
      <w:proofErr w:type="spellStart"/>
      <w:r>
        <w:t>onco-hématologique</w:t>
      </w:r>
      <w:proofErr w:type="spellEnd"/>
      <w:r>
        <w:t xml:space="preserve"> (avec le soutien de l’organisation GTZ);</w:t>
      </w:r>
    </w:p>
    <w:p w:rsidR="00000000" w:rsidRDefault="00000000">
      <w:pPr>
        <w:numPr>
          <w:ilvl w:val="0"/>
          <w:numId w:val="104"/>
        </w:numPr>
        <w:spacing w:after="240"/>
      </w:pPr>
      <w:r>
        <w:t>Le traitement des enfants diabétiques;</w:t>
      </w:r>
    </w:p>
    <w:p w:rsidR="00000000" w:rsidRDefault="00000000">
      <w:pPr>
        <w:numPr>
          <w:ilvl w:val="0"/>
          <w:numId w:val="104"/>
        </w:numPr>
        <w:spacing w:after="240"/>
      </w:pPr>
      <w:r>
        <w:t>Le traitement des enfants hémophiles;</w:t>
      </w:r>
    </w:p>
    <w:p w:rsidR="00000000" w:rsidRDefault="00000000">
      <w:pPr>
        <w:numPr>
          <w:ilvl w:val="0"/>
          <w:numId w:val="104"/>
        </w:numPr>
        <w:spacing w:after="240"/>
      </w:pPr>
      <w:r>
        <w:t>Le parrainage des enfants souffrant de phénylcétonurie, notamment pour leur fournir des aliments adaptés à leur état.</w:t>
      </w:r>
    </w:p>
    <w:p w:rsidR="00000000" w:rsidRDefault="00000000">
      <w:pPr>
        <w:spacing w:after="240"/>
      </w:pPr>
      <w:r>
        <w:t>164.</w:t>
      </w:r>
      <w:r>
        <w:tab/>
        <w:t>Au cours de la période considérée, le Ministère du travail, de la santé et des affaires sociales de Géorgie a participé activement à la coopération internationale dans le domaine des soins de santé pour les enfants. Les principaux programmes internationaux ont été exécutés avec l’aide des organismes suivants:</w:t>
      </w:r>
    </w:p>
    <w:p w:rsidR="00000000" w:rsidRDefault="00000000">
      <w:pPr>
        <w:numPr>
          <w:ilvl w:val="0"/>
          <w:numId w:val="105"/>
        </w:numPr>
        <w:spacing w:after="240"/>
      </w:pPr>
      <w:proofErr w:type="spellStart"/>
      <w:r>
        <w:t>Agency</w:t>
      </w:r>
      <w:proofErr w:type="spellEnd"/>
      <w:r>
        <w:t xml:space="preserve"> for international </w:t>
      </w:r>
      <w:proofErr w:type="spellStart"/>
      <w:r>
        <w:t>development</w:t>
      </w:r>
      <w:proofErr w:type="spellEnd"/>
      <w:r>
        <w:t xml:space="preserve"> des États-Unis (USAID) et organismes partenaires (</w:t>
      </w:r>
      <w:proofErr w:type="spellStart"/>
      <w:r>
        <w:t>American</w:t>
      </w:r>
      <w:proofErr w:type="spellEnd"/>
      <w:r>
        <w:t xml:space="preserve"> International </w:t>
      </w:r>
      <w:proofErr w:type="spellStart"/>
      <w:r>
        <w:t>Health</w:t>
      </w:r>
      <w:proofErr w:type="spellEnd"/>
      <w:r>
        <w:t xml:space="preserve"> Alliance (AIHA), John </w:t>
      </w:r>
      <w:proofErr w:type="spellStart"/>
      <w:r>
        <w:t>Snow</w:t>
      </w:r>
      <w:proofErr w:type="spellEnd"/>
      <w:r>
        <w:t xml:space="preserve"> </w:t>
      </w:r>
      <w:proofErr w:type="spellStart"/>
      <w:r>
        <w:t>Institute</w:t>
      </w:r>
      <w:proofErr w:type="spellEnd"/>
      <w:r>
        <w:t xml:space="preserve">, </w:t>
      </w:r>
      <w:proofErr w:type="spellStart"/>
      <w:r>
        <w:t>Curatio</w:t>
      </w:r>
      <w:proofErr w:type="spellEnd"/>
      <w:r>
        <w:t xml:space="preserve"> IF, </w:t>
      </w:r>
      <w:proofErr w:type="spellStart"/>
      <w:r>
        <w:t>Co-Reform</w:t>
      </w:r>
      <w:proofErr w:type="spellEnd"/>
      <w:r>
        <w:t>, ACTS Géorgie, CARE);</w:t>
      </w:r>
    </w:p>
    <w:p w:rsidR="00000000" w:rsidRDefault="00000000">
      <w:pPr>
        <w:numPr>
          <w:ilvl w:val="0"/>
          <w:numId w:val="105"/>
        </w:numPr>
        <w:spacing w:after="240"/>
      </w:pPr>
      <w:r>
        <w:t>Système des Nations Unies (OMS, UNICEF, FNUAP);</w:t>
      </w:r>
    </w:p>
    <w:p w:rsidR="00000000" w:rsidRDefault="00000000">
      <w:pPr>
        <w:numPr>
          <w:ilvl w:val="0"/>
          <w:numId w:val="105"/>
        </w:numPr>
        <w:spacing w:after="240"/>
      </w:pPr>
      <w:r>
        <w:t xml:space="preserve">Banque mondiale, </w:t>
      </w:r>
      <w:proofErr w:type="spellStart"/>
      <w:r>
        <w:t>Department</w:t>
      </w:r>
      <w:proofErr w:type="spellEnd"/>
      <w:r>
        <w:t xml:space="preserve"> for International </w:t>
      </w:r>
      <w:proofErr w:type="spellStart"/>
      <w:r>
        <w:t>Development</w:t>
      </w:r>
      <w:proofErr w:type="spellEnd"/>
      <w:r>
        <w:t xml:space="preserve"> (DFID), Union européenne (réforme des soins de santé d’urgence).</w:t>
      </w:r>
    </w:p>
    <w:p w:rsidR="00000000" w:rsidRDefault="00000000">
      <w:pPr>
        <w:spacing w:after="240"/>
      </w:pPr>
      <w:r>
        <w:t>165.</w:t>
      </w:r>
      <w:r>
        <w:tab/>
        <w:t>Des informations plus détaillées sur les programmes et projets mis en œuvre dans le cadre de la coopération et de l’aide internationales sont fournies ci-dessous.</w:t>
      </w:r>
    </w:p>
    <w:p w:rsidR="00000000" w:rsidRDefault="00000000">
      <w:pPr>
        <w:spacing w:after="240"/>
      </w:pPr>
      <w:r>
        <w:t>166.</w:t>
      </w:r>
      <w:r>
        <w:tab/>
        <w:t xml:space="preserve">Depuis 2002, une réforme des soins de santé primaires a été mise en œuvre avec l’aide de la Banque mondiale, de l’Union européenne et du </w:t>
      </w:r>
      <w:proofErr w:type="spellStart"/>
      <w:r>
        <w:t>Department</w:t>
      </w:r>
      <w:proofErr w:type="spellEnd"/>
      <w:r>
        <w:t xml:space="preserve"> for International </w:t>
      </w:r>
      <w:proofErr w:type="spellStart"/>
      <w:r>
        <w:t>Development</w:t>
      </w:r>
      <w:proofErr w:type="spellEnd"/>
      <w:r>
        <w:t xml:space="preserve"> (DFID). Elle comporte cinq volets:</w:t>
      </w:r>
    </w:p>
    <w:p w:rsidR="00000000" w:rsidRDefault="00000000">
      <w:pPr>
        <w:spacing w:after="240"/>
        <w:ind w:firstLine="567"/>
      </w:pPr>
      <w:r>
        <w:t>1.</w:t>
      </w:r>
      <w:r>
        <w:tab/>
        <w:t>Mise en place d’infrastructures de soins de santé primaires;</w:t>
      </w:r>
    </w:p>
    <w:p w:rsidR="00000000" w:rsidRDefault="00000000">
      <w:pPr>
        <w:spacing w:after="240"/>
        <w:ind w:firstLine="567"/>
      </w:pPr>
      <w:r>
        <w:t>2.</w:t>
      </w:r>
      <w:r>
        <w:tab/>
        <w:t>Mise en valeur des ressources humaines;</w:t>
      </w:r>
    </w:p>
    <w:p w:rsidR="00000000" w:rsidRDefault="00000000">
      <w:pPr>
        <w:spacing w:after="240"/>
        <w:ind w:firstLine="567"/>
      </w:pPr>
      <w:r>
        <w:t>3.</w:t>
      </w:r>
      <w:r>
        <w:tab/>
        <w:t>Élaboration d’un système de gestion de l’information;</w:t>
      </w:r>
    </w:p>
    <w:p w:rsidR="00000000" w:rsidRDefault="00000000">
      <w:pPr>
        <w:spacing w:after="240"/>
        <w:ind w:firstLine="567"/>
      </w:pPr>
      <w:r>
        <w:t>4.</w:t>
      </w:r>
      <w:r>
        <w:tab/>
        <w:t>Information et éducation;</w:t>
      </w:r>
    </w:p>
    <w:p w:rsidR="00000000" w:rsidRDefault="00000000">
      <w:pPr>
        <w:spacing w:after="240"/>
        <w:ind w:firstLine="567"/>
      </w:pPr>
      <w:r>
        <w:t>5.</w:t>
      </w:r>
      <w:r>
        <w:tab/>
        <w:t>Financement des soins de santé.</w:t>
      </w:r>
    </w:p>
    <w:p w:rsidR="00000000" w:rsidRDefault="00000000">
      <w:pPr>
        <w:spacing w:after="240"/>
      </w:pPr>
      <w:r>
        <w:t>167.</w:t>
      </w:r>
      <w:r>
        <w:tab/>
      </w:r>
      <w:r>
        <w:rPr>
          <w:b/>
          <w:bCs/>
        </w:rPr>
        <w:t>Soutien à l’amélioration des services prénatals et postnatals:</w:t>
      </w:r>
    </w:p>
    <w:p w:rsidR="00000000" w:rsidRDefault="00000000">
      <w:pPr>
        <w:spacing w:after="240"/>
        <w:ind w:firstLine="567"/>
      </w:pPr>
      <w:r>
        <w:t xml:space="preserve">Depuis 1996, le FNUAP exécute un programme de soins de santé génésique. Ce programme vise à améliorer les services prénatals à Tbilissi, </w:t>
      </w:r>
      <w:proofErr w:type="spellStart"/>
      <w:r>
        <w:t>Kutaisi</w:t>
      </w:r>
      <w:proofErr w:type="spellEnd"/>
      <w:r>
        <w:t xml:space="preserve"> et </w:t>
      </w:r>
      <w:proofErr w:type="spellStart"/>
      <w:r>
        <w:t>Batumi</w:t>
      </w:r>
      <w:proofErr w:type="spellEnd"/>
      <w:r>
        <w:t xml:space="preserve"> (en particulier l’assistance obstétricale).</w:t>
      </w:r>
    </w:p>
    <w:p w:rsidR="00000000" w:rsidRDefault="00000000">
      <w:pPr>
        <w:spacing w:after="240"/>
        <w:ind w:firstLine="567"/>
      </w:pPr>
      <w:proofErr w:type="spellStart"/>
      <w:r>
        <w:t>Curatio</w:t>
      </w:r>
      <w:proofErr w:type="spellEnd"/>
      <w:r>
        <w:t xml:space="preserve"> IF s’occupait d’un projet de maternité sans danger dans la région de la </w:t>
      </w:r>
      <w:proofErr w:type="spellStart"/>
      <w:r>
        <w:t>Kakhetie</w:t>
      </w:r>
      <w:proofErr w:type="spellEnd"/>
      <w:r>
        <w:t xml:space="preserve"> (villes de </w:t>
      </w:r>
      <w:proofErr w:type="spellStart"/>
      <w:r>
        <w:t>Sagarejo</w:t>
      </w:r>
      <w:proofErr w:type="spellEnd"/>
      <w:r>
        <w:t xml:space="preserve"> et </w:t>
      </w:r>
      <w:proofErr w:type="spellStart"/>
      <w:r>
        <w:t>Telavi</w:t>
      </w:r>
      <w:proofErr w:type="spellEnd"/>
      <w:r>
        <w:t>). En 2000</w:t>
      </w:r>
      <w:r>
        <w:noBreakHyphen/>
        <w:t>2003, dans le cadre d’un projet pilote, des manuels sur les soins prénatals et postnatals ont été élaborés, des cours de formation pour le personnel médical ont été organisés, et des activités de sensibilisation ont été menées.</w:t>
      </w:r>
    </w:p>
    <w:p w:rsidR="00000000" w:rsidRDefault="00000000">
      <w:pPr>
        <w:spacing w:after="240"/>
        <w:ind w:firstLine="567"/>
      </w:pPr>
      <w:r>
        <w:t>En 2004-2005, dans le cadre d’une coopération entre l’</w:t>
      </w:r>
      <w:proofErr w:type="spellStart"/>
      <w:r>
        <w:t>ACTS</w:t>
      </w:r>
      <w:proofErr w:type="spellEnd"/>
      <w:r>
        <w:t xml:space="preserve"> Géorgie et l’</w:t>
      </w:r>
      <w:proofErr w:type="spellStart"/>
      <w:r>
        <w:t>USAID</w:t>
      </w:r>
      <w:proofErr w:type="spellEnd"/>
      <w:r>
        <w:t xml:space="preserve">, un programme intitulé Survie des enfants a été exécuté dans les régions de </w:t>
      </w:r>
      <w:proofErr w:type="spellStart"/>
      <w:r>
        <w:t>Kvemo</w:t>
      </w:r>
      <w:proofErr w:type="spellEnd"/>
      <w:r>
        <w:t> </w:t>
      </w:r>
      <w:proofErr w:type="spellStart"/>
      <w:r>
        <w:t>Kartli</w:t>
      </w:r>
      <w:proofErr w:type="spellEnd"/>
      <w:r>
        <w:t xml:space="preserve"> et d’</w:t>
      </w:r>
      <w:proofErr w:type="spellStart"/>
      <w:r>
        <w:t>Imérétie</w:t>
      </w:r>
      <w:proofErr w:type="spellEnd"/>
      <w:r>
        <w:t xml:space="preserve"> (villes de </w:t>
      </w:r>
      <w:proofErr w:type="spellStart"/>
      <w:r>
        <w:t>Zestafoni</w:t>
      </w:r>
      <w:proofErr w:type="spellEnd"/>
      <w:r>
        <w:t xml:space="preserve"> et </w:t>
      </w:r>
      <w:proofErr w:type="spellStart"/>
      <w:r>
        <w:t>Tchiatura</w:t>
      </w:r>
      <w:proofErr w:type="spellEnd"/>
      <w:r>
        <w:t>).</w:t>
      </w:r>
    </w:p>
    <w:p w:rsidR="00000000" w:rsidRDefault="00000000">
      <w:pPr>
        <w:spacing w:after="240"/>
        <w:ind w:firstLine="567"/>
      </w:pPr>
      <w:r>
        <w:t>En 2004</w:t>
      </w:r>
      <w:r>
        <w:noBreakHyphen/>
        <w:t xml:space="preserve">2005, l’organisation </w:t>
      </w:r>
      <w:proofErr w:type="spellStart"/>
      <w:r>
        <w:t>MercyCorp-Children</w:t>
      </w:r>
      <w:proofErr w:type="spellEnd"/>
      <w:r>
        <w:t xml:space="preserve"> a elle aussi exécuté un programme spécifique pour la survie des enfants dans la région de </w:t>
      </w:r>
      <w:proofErr w:type="spellStart"/>
      <w:r>
        <w:t>Kvemo</w:t>
      </w:r>
      <w:proofErr w:type="spellEnd"/>
      <w:r>
        <w:t> </w:t>
      </w:r>
      <w:proofErr w:type="spellStart"/>
      <w:r>
        <w:t>Kartli</w:t>
      </w:r>
      <w:proofErr w:type="spellEnd"/>
      <w:r>
        <w:t xml:space="preserve">, en axant ses efforts sur les institutions pour enfants. </w:t>
      </w:r>
    </w:p>
    <w:p w:rsidR="00000000" w:rsidRDefault="00000000">
      <w:pPr>
        <w:spacing w:after="240"/>
        <w:rPr>
          <w:bCs/>
          <w:u w:val="single"/>
        </w:rPr>
      </w:pPr>
      <w:r>
        <w:rPr>
          <w:bCs/>
        </w:rPr>
        <w:t>168.</w:t>
      </w:r>
      <w:r>
        <w:rPr>
          <w:bCs/>
        </w:rPr>
        <w:tab/>
      </w:r>
      <w:r>
        <w:rPr>
          <w:b/>
        </w:rPr>
        <w:t>Soutien aux services d’orientation des malades vers des spécialistes</w:t>
      </w:r>
    </w:p>
    <w:p w:rsidR="00000000" w:rsidRDefault="00000000">
      <w:pPr>
        <w:numPr>
          <w:ilvl w:val="0"/>
          <w:numId w:val="109"/>
        </w:numPr>
        <w:spacing w:after="240"/>
        <w:rPr>
          <w:bCs/>
        </w:rPr>
      </w:pPr>
      <w:r>
        <w:rPr>
          <w:bCs/>
        </w:rPr>
        <w:t>Soutien aux services de réanimation des nouveau-nés (UNICEF/</w:t>
      </w:r>
      <w:proofErr w:type="spellStart"/>
      <w:r>
        <w:rPr>
          <w:bCs/>
        </w:rPr>
        <w:t>American</w:t>
      </w:r>
      <w:proofErr w:type="spellEnd"/>
      <w:r>
        <w:rPr>
          <w:bCs/>
        </w:rPr>
        <w:t xml:space="preserve"> International </w:t>
      </w:r>
      <w:proofErr w:type="spellStart"/>
      <w:r>
        <w:rPr>
          <w:bCs/>
        </w:rPr>
        <w:t>Health</w:t>
      </w:r>
      <w:proofErr w:type="spellEnd"/>
      <w:r>
        <w:rPr>
          <w:bCs/>
        </w:rPr>
        <w:t xml:space="preserve"> Association, avec l’aide financière de l’</w:t>
      </w:r>
      <w:proofErr w:type="spellStart"/>
      <w:r>
        <w:rPr>
          <w:bCs/>
        </w:rPr>
        <w:t>USAID</w:t>
      </w:r>
      <w:proofErr w:type="spellEnd"/>
      <w:r>
        <w:rPr>
          <w:bCs/>
        </w:rPr>
        <w:t>);</w:t>
      </w:r>
    </w:p>
    <w:p w:rsidR="00000000" w:rsidRDefault="00000000">
      <w:pPr>
        <w:numPr>
          <w:ilvl w:val="0"/>
          <w:numId w:val="109"/>
        </w:numPr>
        <w:spacing w:after="240"/>
        <w:rPr>
          <w:bCs/>
        </w:rPr>
      </w:pPr>
      <w:r>
        <w:rPr>
          <w:bCs/>
        </w:rPr>
        <w:t>Formation et assistance technique au profit du service des urgences du centre médical des enfants de Tbilissi (</w:t>
      </w:r>
      <w:proofErr w:type="spellStart"/>
      <w:r>
        <w:rPr>
          <w:bCs/>
        </w:rPr>
        <w:t>Amerian</w:t>
      </w:r>
      <w:proofErr w:type="spellEnd"/>
      <w:r>
        <w:rPr>
          <w:bCs/>
        </w:rPr>
        <w:t xml:space="preserve"> International </w:t>
      </w:r>
      <w:proofErr w:type="spellStart"/>
      <w:r>
        <w:rPr>
          <w:bCs/>
        </w:rPr>
        <w:t>Health</w:t>
      </w:r>
      <w:proofErr w:type="spellEnd"/>
      <w:r>
        <w:rPr>
          <w:bCs/>
        </w:rPr>
        <w:t xml:space="preserve"> Association, avec l’aide financière de l’</w:t>
      </w:r>
      <w:proofErr w:type="spellStart"/>
      <w:r>
        <w:rPr>
          <w:bCs/>
        </w:rPr>
        <w:t>USAID</w:t>
      </w:r>
      <w:proofErr w:type="spellEnd"/>
      <w:r>
        <w:rPr>
          <w:bCs/>
        </w:rPr>
        <w:t>);</w:t>
      </w:r>
    </w:p>
    <w:p w:rsidR="00000000" w:rsidRDefault="00000000">
      <w:pPr>
        <w:numPr>
          <w:ilvl w:val="0"/>
          <w:numId w:val="109"/>
        </w:numPr>
        <w:spacing w:after="240"/>
        <w:rPr>
          <w:bCs/>
        </w:rPr>
      </w:pPr>
      <w:r>
        <w:rPr>
          <w:bCs/>
        </w:rPr>
        <w:t>Promotion du volet portant sur la réanimation des nouveau-nés dans la région d’</w:t>
      </w:r>
      <w:proofErr w:type="spellStart"/>
      <w:r>
        <w:rPr>
          <w:bCs/>
        </w:rPr>
        <w:t>Imérétie</w:t>
      </w:r>
      <w:proofErr w:type="spellEnd"/>
      <w:r>
        <w:rPr>
          <w:bCs/>
        </w:rPr>
        <w:t xml:space="preserve"> (1999-2000) (</w:t>
      </w:r>
      <w:proofErr w:type="spellStart"/>
      <w:r>
        <w:rPr>
          <w:bCs/>
        </w:rPr>
        <w:t>United</w:t>
      </w:r>
      <w:proofErr w:type="spellEnd"/>
      <w:r>
        <w:rPr>
          <w:bCs/>
        </w:rPr>
        <w:t xml:space="preserve"> </w:t>
      </w:r>
      <w:proofErr w:type="spellStart"/>
      <w:r>
        <w:rPr>
          <w:bCs/>
        </w:rPr>
        <w:t>Methodist</w:t>
      </w:r>
      <w:proofErr w:type="spellEnd"/>
      <w:r>
        <w:rPr>
          <w:bCs/>
        </w:rPr>
        <w:t xml:space="preserve"> </w:t>
      </w:r>
      <w:proofErr w:type="spellStart"/>
      <w:r>
        <w:rPr>
          <w:bCs/>
        </w:rPr>
        <w:t>Committee</w:t>
      </w:r>
      <w:proofErr w:type="spellEnd"/>
      <w:r>
        <w:rPr>
          <w:bCs/>
        </w:rPr>
        <w:t xml:space="preserve"> on Relief));</w:t>
      </w:r>
    </w:p>
    <w:p w:rsidR="00000000" w:rsidRDefault="00000000">
      <w:pPr>
        <w:numPr>
          <w:ilvl w:val="0"/>
          <w:numId w:val="109"/>
        </w:numPr>
        <w:spacing w:after="240"/>
        <w:rPr>
          <w:bCs/>
        </w:rPr>
      </w:pPr>
      <w:r>
        <w:rPr>
          <w:bCs/>
        </w:rPr>
        <w:t xml:space="preserve">John </w:t>
      </w:r>
      <w:proofErr w:type="spellStart"/>
      <w:r>
        <w:rPr>
          <w:bCs/>
        </w:rPr>
        <w:t>Snow</w:t>
      </w:r>
      <w:proofErr w:type="spellEnd"/>
      <w:r>
        <w:rPr>
          <w:bCs/>
        </w:rPr>
        <w:t xml:space="preserve"> </w:t>
      </w:r>
      <w:proofErr w:type="spellStart"/>
      <w:r>
        <w:rPr>
          <w:bCs/>
        </w:rPr>
        <w:t>Institute</w:t>
      </w:r>
      <w:proofErr w:type="spellEnd"/>
      <w:r>
        <w:rPr>
          <w:bCs/>
        </w:rPr>
        <w:t xml:space="preserve"> (avec l’aide financière de l’</w:t>
      </w:r>
      <w:proofErr w:type="spellStart"/>
      <w:r>
        <w:rPr>
          <w:bCs/>
        </w:rPr>
        <w:t>USAID</w:t>
      </w:r>
      <w:proofErr w:type="spellEnd"/>
      <w:r>
        <w:rPr>
          <w:bCs/>
        </w:rPr>
        <w:t xml:space="preserve">). Programme de soins de santé pour les femmes du dispensaire de la mère et de l’enfant de </w:t>
      </w:r>
      <w:proofErr w:type="spellStart"/>
      <w:r>
        <w:rPr>
          <w:bCs/>
        </w:rPr>
        <w:t>Kutaisi</w:t>
      </w:r>
      <w:proofErr w:type="spellEnd"/>
      <w:r>
        <w:rPr>
          <w:bCs/>
        </w:rPr>
        <w:t>.</w:t>
      </w:r>
    </w:p>
    <w:p w:rsidR="00000000" w:rsidRDefault="00000000">
      <w:pPr>
        <w:spacing w:after="240"/>
        <w:rPr>
          <w:b/>
        </w:rPr>
      </w:pPr>
      <w:r>
        <w:rPr>
          <w:bCs/>
        </w:rPr>
        <w:t>169.</w:t>
      </w:r>
      <w:r>
        <w:rPr>
          <w:bCs/>
        </w:rPr>
        <w:tab/>
      </w:r>
      <w:r>
        <w:rPr>
          <w:b/>
        </w:rPr>
        <w:t>Programmes de vaccination pour les enfants</w:t>
      </w:r>
    </w:p>
    <w:p w:rsidR="00000000" w:rsidRDefault="00000000">
      <w:pPr>
        <w:spacing w:after="240"/>
        <w:ind w:firstLine="567"/>
        <w:rPr>
          <w:bCs/>
        </w:rPr>
      </w:pPr>
      <w:r>
        <w:rPr>
          <w:bCs/>
        </w:rPr>
        <w:t>Depuis 1994, l’UNICEF met en œuvre des programmes de promotion de la vaccination, consistant par exemple à fournir des vaccins, mettre en place la chaîne du froid, organiser des cours de formation pour le personnel et mener des campagnes d’information.</w:t>
      </w:r>
    </w:p>
    <w:p w:rsidR="00000000" w:rsidRDefault="00000000">
      <w:pPr>
        <w:spacing w:after="240"/>
        <w:ind w:firstLine="567"/>
        <w:rPr>
          <w:bCs/>
        </w:rPr>
      </w:pPr>
      <w:r>
        <w:rPr>
          <w:bCs/>
        </w:rPr>
        <w:t>L’OMS participe à la promotion de la planification des politiques dans ce domaine.</w:t>
      </w:r>
    </w:p>
    <w:p w:rsidR="00000000" w:rsidRDefault="00000000">
      <w:pPr>
        <w:spacing w:after="240"/>
        <w:ind w:firstLine="567"/>
        <w:rPr>
          <w:bCs/>
        </w:rPr>
      </w:pPr>
      <w:r>
        <w:rPr>
          <w:bCs/>
        </w:rPr>
        <w:t xml:space="preserve">En 2002-2005, </w:t>
      </w:r>
      <w:proofErr w:type="spellStart"/>
      <w:r>
        <w:rPr>
          <w:bCs/>
        </w:rPr>
        <w:t>Curatio</w:t>
      </w:r>
      <w:proofErr w:type="spellEnd"/>
      <w:r>
        <w:rPr>
          <w:bCs/>
        </w:rPr>
        <w:t xml:space="preserve"> IF a exécuté un projet de mise en place d’un système d’informations relatives aux soins de santé, qui porte sur la vaccination et la surveillance des épidémies.</w:t>
      </w:r>
    </w:p>
    <w:p w:rsidR="00000000" w:rsidRDefault="00000000">
      <w:pPr>
        <w:spacing w:after="240"/>
        <w:rPr>
          <w:b/>
        </w:rPr>
      </w:pPr>
      <w:r>
        <w:rPr>
          <w:b/>
        </w:rPr>
        <w:t>Programme de gestion favorisant l’intégration des enfants malades de moins de 5 ans</w:t>
      </w:r>
    </w:p>
    <w:p w:rsidR="00000000" w:rsidRDefault="00000000">
      <w:pPr>
        <w:spacing w:after="240"/>
        <w:rPr>
          <w:bCs/>
        </w:rPr>
      </w:pPr>
      <w:r>
        <w:rPr>
          <w:bCs/>
        </w:rPr>
        <w:t>170.</w:t>
      </w:r>
      <w:r>
        <w:rPr>
          <w:bCs/>
        </w:rPr>
        <w:tab/>
        <w:t>De 1999 à 2005, un programme public, des matériels pédagogiques et des matériels d’information ont été conçus, et 500 fonctionnaires ont reçu une formation dans le cadre d’une coopération entre l’OMS, l’UNICEF et l’Initiative de mobilisation communautaire de l’ouest de la Géorgie.</w:t>
      </w:r>
    </w:p>
    <w:p w:rsidR="00000000" w:rsidRDefault="00000000">
      <w:pPr>
        <w:spacing w:after="240"/>
        <w:rPr>
          <w:b/>
        </w:rPr>
      </w:pPr>
      <w:r>
        <w:rPr>
          <w:b/>
        </w:rPr>
        <w:t xml:space="preserve">Actions en faveur d’une alimentation saine des enfants/Prévention des carences en </w:t>
      </w:r>
      <w:proofErr w:type="spellStart"/>
      <w:r>
        <w:rPr>
          <w:b/>
        </w:rPr>
        <w:t>oligoéléments</w:t>
      </w:r>
      <w:proofErr w:type="spellEnd"/>
      <w:r>
        <w:rPr>
          <w:b/>
        </w:rPr>
        <w:t xml:space="preserve"> </w:t>
      </w:r>
    </w:p>
    <w:p w:rsidR="00000000" w:rsidRDefault="00000000">
      <w:pPr>
        <w:spacing w:after="240"/>
        <w:rPr>
          <w:bCs/>
        </w:rPr>
      </w:pPr>
      <w:r>
        <w:rPr>
          <w:bCs/>
        </w:rPr>
        <w:t>171.</w:t>
      </w:r>
      <w:r>
        <w:rPr>
          <w:bCs/>
        </w:rPr>
        <w:tab/>
        <w:t>Depuis 1996, l’UNICEF, l’</w:t>
      </w:r>
      <w:proofErr w:type="spellStart"/>
      <w:r>
        <w:rPr>
          <w:bCs/>
        </w:rPr>
        <w:t>USAID</w:t>
      </w:r>
      <w:proofErr w:type="spellEnd"/>
      <w:r>
        <w:rPr>
          <w:bCs/>
        </w:rPr>
        <w:t xml:space="preserve">, la Fondation </w:t>
      </w:r>
      <w:proofErr w:type="spellStart"/>
      <w:r>
        <w:rPr>
          <w:bCs/>
        </w:rPr>
        <w:t>Kiwanis</w:t>
      </w:r>
      <w:proofErr w:type="spellEnd"/>
      <w:r>
        <w:rPr>
          <w:bCs/>
        </w:rPr>
        <w:t xml:space="preserve"> et ACTS Georgie participent au programme de prévention des carences en iode.</w:t>
      </w:r>
    </w:p>
    <w:p w:rsidR="00000000" w:rsidRDefault="00000000">
      <w:pPr>
        <w:spacing w:after="240"/>
        <w:rPr>
          <w:bCs/>
        </w:rPr>
      </w:pPr>
      <w:r>
        <w:rPr>
          <w:bCs/>
        </w:rPr>
        <w:t>172.</w:t>
      </w:r>
      <w:r>
        <w:rPr>
          <w:bCs/>
        </w:rPr>
        <w:tab/>
        <w:t>Concernant l’appui à la politique d’alimentation des nourrissons, d’après les données disponibles les plus récentes, 83 % des enfants de moins de cinq ans sont allaités (enquête par grappes à indicateurs multiples de 1999), et 97 % des nouveau-nés sont allaités par leur mère à la maternité.</w:t>
      </w:r>
    </w:p>
    <w:p w:rsidR="00000000" w:rsidRDefault="00000000">
      <w:pPr>
        <w:spacing w:after="240"/>
        <w:rPr>
          <w:bCs/>
        </w:rPr>
      </w:pPr>
      <w:r>
        <w:rPr>
          <w:bCs/>
        </w:rPr>
        <w:t>173.</w:t>
      </w:r>
      <w:r>
        <w:rPr>
          <w:bCs/>
        </w:rPr>
        <w:tab/>
        <w:t xml:space="preserve">L’analyse menée de 1999 à 2001 montre que même si les cas de malnutrition sont rares, les régimes déséquilibrés, la consommation excessive de féculents et les carences en </w:t>
      </w:r>
      <w:proofErr w:type="spellStart"/>
      <w:r>
        <w:rPr>
          <w:bCs/>
        </w:rPr>
        <w:t>oligoéléments</w:t>
      </w:r>
      <w:proofErr w:type="spellEnd"/>
      <w:r>
        <w:rPr>
          <w:bCs/>
        </w:rPr>
        <w:t xml:space="preserve"> sont fréquents: 40 % des enfants géorgiens souffrent d’une carence en iode et 21 % d’anémie due à une carence en fer.</w:t>
      </w:r>
    </w:p>
    <w:p w:rsidR="00000000" w:rsidRDefault="00000000">
      <w:pPr>
        <w:spacing w:after="240"/>
        <w:rPr>
          <w:bCs/>
        </w:rPr>
      </w:pPr>
      <w:r>
        <w:rPr>
          <w:bCs/>
        </w:rPr>
        <w:t>174.</w:t>
      </w:r>
      <w:r>
        <w:rPr>
          <w:bCs/>
        </w:rPr>
        <w:tab/>
        <w:t xml:space="preserve">Le tableau </w:t>
      </w:r>
      <w:proofErr w:type="spellStart"/>
      <w:r>
        <w:rPr>
          <w:bCs/>
        </w:rPr>
        <w:t>ci</w:t>
      </w:r>
      <w:r>
        <w:rPr>
          <w:bCs/>
        </w:rPr>
        <w:noBreakHyphen/>
        <w:t>après</w:t>
      </w:r>
      <w:proofErr w:type="spellEnd"/>
      <w:r>
        <w:rPr>
          <w:bCs/>
        </w:rPr>
        <w:t xml:space="preserve"> contient les principales données statistiques concernant la vaccination des enfants jusqu’à l’âge de 2 ans entre 2000 et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310"/>
        <w:gridCol w:w="1032"/>
        <w:gridCol w:w="1031"/>
        <w:gridCol w:w="1031"/>
        <w:gridCol w:w="1031"/>
        <w:gridCol w:w="1031"/>
        <w:gridCol w:w="1031"/>
      </w:tblGrid>
      <w:tr w:rsidR="00000000">
        <w:trPr>
          <w:tblHeader/>
        </w:trPr>
        <w:tc>
          <w:tcPr>
            <w:tcW w:w="1742" w:type="pct"/>
            <w:vAlign w:val="center"/>
          </w:tcPr>
          <w:p w:rsidR="00000000" w:rsidRDefault="00000000">
            <w:pPr>
              <w:spacing w:before="60" w:after="60"/>
              <w:jc w:val="center"/>
              <w:rPr>
                <w:sz w:val="22"/>
                <w:szCs w:val="22"/>
                <w:lang w:val="fr-FR"/>
              </w:rPr>
            </w:pPr>
            <w:r>
              <w:rPr>
                <w:sz w:val="22"/>
                <w:szCs w:val="22"/>
                <w:lang w:val="fr-FR"/>
              </w:rPr>
              <w:t>Vaccin</w:t>
            </w:r>
          </w:p>
        </w:tc>
        <w:tc>
          <w:tcPr>
            <w:tcW w:w="543" w:type="pct"/>
          </w:tcPr>
          <w:p w:rsidR="00000000" w:rsidRDefault="00000000">
            <w:pPr>
              <w:spacing w:before="60" w:after="60"/>
              <w:jc w:val="center"/>
              <w:rPr>
                <w:sz w:val="22"/>
                <w:szCs w:val="22"/>
                <w:lang w:val="fr-FR"/>
              </w:rPr>
            </w:pPr>
            <w:r>
              <w:rPr>
                <w:sz w:val="22"/>
                <w:szCs w:val="22"/>
                <w:lang w:val="fr-FR"/>
              </w:rPr>
              <w:t>2000</w:t>
            </w:r>
            <w:r>
              <w:rPr>
                <w:sz w:val="22"/>
                <w:szCs w:val="22"/>
                <w:lang w:val="fr-FR"/>
              </w:rPr>
              <w:br/>
              <w:t>%</w:t>
            </w:r>
          </w:p>
        </w:tc>
        <w:tc>
          <w:tcPr>
            <w:tcW w:w="543" w:type="pct"/>
          </w:tcPr>
          <w:p w:rsidR="00000000" w:rsidRDefault="00000000">
            <w:pPr>
              <w:spacing w:before="60" w:after="60"/>
              <w:jc w:val="center"/>
              <w:rPr>
                <w:sz w:val="22"/>
                <w:szCs w:val="22"/>
                <w:lang w:val="fr-FR"/>
              </w:rPr>
            </w:pPr>
            <w:r>
              <w:rPr>
                <w:sz w:val="22"/>
                <w:szCs w:val="22"/>
                <w:lang w:val="fr-FR"/>
              </w:rPr>
              <w:t>2001</w:t>
            </w:r>
            <w:r>
              <w:rPr>
                <w:sz w:val="22"/>
                <w:szCs w:val="22"/>
                <w:lang w:val="fr-FR"/>
              </w:rPr>
              <w:br/>
              <w:t>%</w:t>
            </w:r>
          </w:p>
        </w:tc>
        <w:tc>
          <w:tcPr>
            <w:tcW w:w="543" w:type="pct"/>
          </w:tcPr>
          <w:p w:rsidR="00000000" w:rsidRDefault="00000000">
            <w:pPr>
              <w:spacing w:before="60" w:after="60"/>
              <w:jc w:val="center"/>
              <w:rPr>
                <w:sz w:val="22"/>
                <w:szCs w:val="22"/>
                <w:lang w:val="fr-FR"/>
              </w:rPr>
            </w:pPr>
            <w:r>
              <w:rPr>
                <w:sz w:val="22"/>
                <w:szCs w:val="22"/>
                <w:lang w:val="fr-FR"/>
              </w:rPr>
              <w:t>2002</w:t>
            </w:r>
            <w:r>
              <w:rPr>
                <w:sz w:val="22"/>
                <w:szCs w:val="22"/>
                <w:lang w:val="fr-FR"/>
              </w:rPr>
              <w:br/>
              <w:t>%</w:t>
            </w:r>
          </w:p>
        </w:tc>
        <w:tc>
          <w:tcPr>
            <w:tcW w:w="543" w:type="pct"/>
          </w:tcPr>
          <w:p w:rsidR="00000000" w:rsidRDefault="00000000">
            <w:pPr>
              <w:spacing w:before="60" w:after="60"/>
              <w:jc w:val="center"/>
              <w:rPr>
                <w:sz w:val="22"/>
                <w:szCs w:val="22"/>
                <w:lang w:val="fr-FR"/>
              </w:rPr>
            </w:pPr>
            <w:r>
              <w:rPr>
                <w:sz w:val="22"/>
                <w:szCs w:val="22"/>
                <w:lang w:val="fr-FR"/>
              </w:rPr>
              <w:t>2003</w:t>
            </w:r>
            <w:r>
              <w:rPr>
                <w:sz w:val="22"/>
                <w:szCs w:val="22"/>
                <w:lang w:val="fr-FR"/>
              </w:rPr>
              <w:br/>
              <w:t>%</w:t>
            </w:r>
          </w:p>
        </w:tc>
        <w:tc>
          <w:tcPr>
            <w:tcW w:w="543" w:type="pct"/>
          </w:tcPr>
          <w:p w:rsidR="00000000" w:rsidRDefault="00000000">
            <w:pPr>
              <w:spacing w:before="60" w:after="60"/>
              <w:jc w:val="center"/>
              <w:rPr>
                <w:sz w:val="22"/>
                <w:szCs w:val="22"/>
                <w:lang w:val="fr-FR"/>
              </w:rPr>
            </w:pPr>
            <w:r>
              <w:rPr>
                <w:sz w:val="22"/>
                <w:szCs w:val="22"/>
                <w:lang w:val="fr-FR"/>
              </w:rPr>
              <w:t>2004</w:t>
            </w:r>
            <w:r>
              <w:rPr>
                <w:sz w:val="22"/>
                <w:szCs w:val="22"/>
                <w:lang w:val="fr-FR"/>
              </w:rPr>
              <w:br/>
              <w:t>%</w:t>
            </w:r>
          </w:p>
        </w:tc>
        <w:tc>
          <w:tcPr>
            <w:tcW w:w="543" w:type="pct"/>
          </w:tcPr>
          <w:p w:rsidR="00000000" w:rsidRDefault="00000000">
            <w:pPr>
              <w:spacing w:before="60" w:after="60"/>
              <w:jc w:val="center"/>
              <w:rPr>
                <w:sz w:val="22"/>
                <w:szCs w:val="22"/>
                <w:lang w:val="fr-FR"/>
              </w:rPr>
            </w:pPr>
            <w:r>
              <w:rPr>
                <w:sz w:val="22"/>
                <w:szCs w:val="22"/>
                <w:lang w:val="fr-FR"/>
              </w:rPr>
              <w:t>2005</w:t>
            </w:r>
            <w:r>
              <w:rPr>
                <w:sz w:val="22"/>
                <w:szCs w:val="22"/>
                <w:lang w:val="fr-FR"/>
              </w:rPr>
              <w:br/>
              <w:t>%</w:t>
            </w:r>
          </w:p>
        </w:tc>
      </w:tr>
      <w:tr w:rsidR="00000000">
        <w:tc>
          <w:tcPr>
            <w:tcW w:w="1742" w:type="pct"/>
          </w:tcPr>
          <w:p w:rsidR="00000000" w:rsidRDefault="00000000">
            <w:pPr>
              <w:spacing w:before="60" w:after="60"/>
              <w:rPr>
                <w:sz w:val="22"/>
                <w:szCs w:val="22"/>
                <w:lang w:val="fr-FR"/>
              </w:rPr>
            </w:pPr>
            <w:r>
              <w:rPr>
                <w:sz w:val="22"/>
                <w:szCs w:val="22"/>
                <w:lang w:val="fr-FR"/>
              </w:rPr>
              <w:t>BCG</w:t>
            </w:r>
          </w:p>
        </w:tc>
        <w:tc>
          <w:tcPr>
            <w:tcW w:w="543" w:type="pct"/>
          </w:tcPr>
          <w:p w:rsidR="00000000" w:rsidRDefault="00000000">
            <w:pPr>
              <w:spacing w:before="60" w:after="60"/>
              <w:jc w:val="right"/>
              <w:rPr>
                <w:sz w:val="22"/>
                <w:szCs w:val="22"/>
                <w:lang w:val="fr-FR"/>
              </w:rPr>
            </w:pPr>
            <w:r>
              <w:rPr>
                <w:sz w:val="22"/>
                <w:szCs w:val="22"/>
                <w:lang w:val="fr-FR"/>
              </w:rPr>
              <w:t>95</w:t>
            </w:r>
          </w:p>
        </w:tc>
        <w:tc>
          <w:tcPr>
            <w:tcW w:w="543" w:type="pct"/>
          </w:tcPr>
          <w:p w:rsidR="00000000" w:rsidRDefault="00000000">
            <w:pPr>
              <w:spacing w:before="60" w:after="60"/>
              <w:jc w:val="right"/>
              <w:rPr>
                <w:sz w:val="22"/>
                <w:szCs w:val="22"/>
                <w:lang w:val="fr-FR"/>
              </w:rPr>
            </w:pPr>
            <w:r>
              <w:rPr>
                <w:sz w:val="22"/>
                <w:szCs w:val="22"/>
                <w:lang w:val="fr-FR"/>
              </w:rPr>
              <w:t>90,9</w:t>
            </w:r>
          </w:p>
        </w:tc>
        <w:tc>
          <w:tcPr>
            <w:tcW w:w="543" w:type="pct"/>
          </w:tcPr>
          <w:p w:rsidR="00000000" w:rsidRDefault="00000000">
            <w:pPr>
              <w:spacing w:before="60" w:after="60"/>
              <w:jc w:val="right"/>
              <w:rPr>
                <w:sz w:val="22"/>
                <w:szCs w:val="22"/>
                <w:lang w:val="fr-FR"/>
              </w:rPr>
            </w:pPr>
            <w:r>
              <w:rPr>
                <w:sz w:val="22"/>
                <w:szCs w:val="22"/>
                <w:lang w:val="fr-FR"/>
              </w:rPr>
              <w:t>91,2</w:t>
            </w:r>
          </w:p>
        </w:tc>
        <w:tc>
          <w:tcPr>
            <w:tcW w:w="543" w:type="pct"/>
          </w:tcPr>
          <w:p w:rsidR="00000000" w:rsidRDefault="00000000">
            <w:pPr>
              <w:spacing w:before="60" w:after="60"/>
              <w:jc w:val="right"/>
              <w:rPr>
                <w:sz w:val="22"/>
                <w:szCs w:val="22"/>
                <w:lang w:val="fr-FR"/>
              </w:rPr>
            </w:pPr>
            <w:r>
              <w:rPr>
                <w:sz w:val="22"/>
                <w:szCs w:val="22"/>
                <w:lang w:val="fr-FR"/>
              </w:rPr>
              <w:t>85,3</w:t>
            </w:r>
          </w:p>
        </w:tc>
        <w:tc>
          <w:tcPr>
            <w:tcW w:w="543" w:type="pct"/>
          </w:tcPr>
          <w:p w:rsidR="00000000" w:rsidRDefault="00000000">
            <w:pPr>
              <w:spacing w:before="60" w:after="60"/>
              <w:jc w:val="right"/>
              <w:rPr>
                <w:sz w:val="22"/>
                <w:szCs w:val="22"/>
                <w:lang w:val="fr-FR"/>
              </w:rPr>
            </w:pPr>
            <w:r>
              <w:rPr>
                <w:sz w:val="22"/>
                <w:szCs w:val="22"/>
                <w:lang w:val="fr-FR"/>
              </w:rPr>
              <w:t>89,2</w:t>
            </w:r>
          </w:p>
        </w:tc>
        <w:tc>
          <w:tcPr>
            <w:tcW w:w="543" w:type="pct"/>
          </w:tcPr>
          <w:p w:rsidR="00000000" w:rsidRDefault="00000000">
            <w:pPr>
              <w:spacing w:before="60" w:after="60"/>
              <w:jc w:val="right"/>
              <w:rPr>
                <w:sz w:val="22"/>
                <w:szCs w:val="22"/>
                <w:lang w:val="fr-FR"/>
              </w:rPr>
            </w:pPr>
            <w:r>
              <w:rPr>
                <w:sz w:val="22"/>
                <w:szCs w:val="22"/>
                <w:lang w:val="fr-FR"/>
              </w:rPr>
              <w:t>95</w:t>
            </w:r>
          </w:p>
        </w:tc>
      </w:tr>
      <w:tr w:rsidR="00000000">
        <w:tc>
          <w:tcPr>
            <w:tcW w:w="1742" w:type="pct"/>
          </w:tcPr>
          <w:p w:rsidR="00000000" w:rsidRDefault="00000000">
            <w:pPr>
              <w:autoSpaceDE w:val="0"/>
              <w:autoSpaceDN w:val="0"/>
              <w:adjustRightInd w:val="0"/>
              <w:spacing w:before="60" w:after="60"/>
              <w:rPr>
                <w:sz w:val="22"/>
                <w:szCs w:val="22"/>
                <w:lang w:val="fr-FR"/>
              </w:rPr>
            </w:pPr>
            <w:r>
              <w:rPr>
                <w:sz w:val="22"/>
                <w:szCs w:val="24"/>
              </w:rPr>
              <w:t xml:space="preserve">Vaccin associé antidiphtérique, </w:t>
            </w:r>
            <w:proofErr w:type="spellStart"/>
            <w:r>
              <w:rPr>
                <w:sz w:val="22"/>
                <w:szCs w:val="24"/>
              </w:rPr>
              <w:t>anticoquelucheux</w:t>
            </w:r>
            <w:proofErr w:type="spellEnd"/>
            <w:r>
              <w:rPr>
                <w:sz w:val="22"/>
                <w:szCs w:val="24"/>
              </w:rPr>
              <w:t xml:space="preserve"> et antitétanique</w:t>
            </w:r>
          </w:p>
        </w:tc>
        <w:tc>
          <w:tcPr>
            <w:tcW w:w="543" w:type="pct"/>
          </w:tcPr>
          <w:p w:rsidR="00000000" w:rsidRDefault="00000000">
            <w:pPr>
              <w:spacing w:before="60" w:after="60"/>
              <w:jc w:val="right"/>
              <w:rPr>
                <w:sz w:val="22"/>
                <w:szCs w:val="22"/>
                <w:lang w:val="fr-FR"/>
              </w:rPr>
            </w:pPr>
            <w:r>
              <w:rPr>
                <w:sz w:val="22"/>
                <w:szCs w:val="22"/>
                <w:lang w:val="fr-FR"/>
              </w:rPr>
              <w:t>98</w:t>
            </w:r>
          </w:p>
        </w:tc>
        <w:tc>
          <w:tcPr>
            <w:tcW w:w="543" w:type="pct"/>
          </w:tcPr>
          <w:p w:rsidR="00000000" w:rsidRDefault="00000000">
            <w:pPr>
              <w:spacing w:before="60" w:after="60"/>
              <w:jc w:val="right"/>
              <w:rPr>
                <w:sz w:val="22"/>
                <w:szCs w:val="22"/>
                <w:lang w:val="fr-FR"/>
              </w:rPr>
            </w:pPr>
            <w:r>
              <w:rPr>
                <w:sz w:val="22"/>
                <w:szCs w:val="22"/>
                <w:lang w:val="fr-FR"/>
              </w:rPr>
              <w:t>87,2</w:t>
            </w:r>
          </w:p>
        </w:tc>
        <w:tc>
          <w:tcPr>
            <w:tcW w:w="543" w:type="pct"/>
          </w:tcPr>
          <w:p w:rsidR="00000000" w:rsidRDefault="00000000">
            <w:pPr>
              <w:spacing w:before="60" w:after="60"/>
              <w:jc w:val="right"/>
              <w:rPr>
                <w:sz w:val="22"/>
                <w:szCs w:val="22"/>
                <w:lang w:val="fr-FR"/>
              </w:rPr>
            </w:pPr>
            <w:r>
              <w:rPr>
                <w:sz w:val="22"/>
                <w:szCs w:val="22"/>
                <w:lang w:val="fr-FR"/>
              </w:rPr>
              <w:t>85,7</w:t>
            </w:r>
          </w:p>
        </w:tc>
        <w:tc>
          <w:tcPr>
            <w:tcW w:w="543" w:type="pct"/>
          </w:tcPr>
          <w:p w:rsidR="00000000" w:rsidRDefault="00000000">
            <w:pPr>
              <w:spacing w:before="60" w:after="60"/>
              <w:jc w:val="right"/>
              <w:rPr>
                <w:sz w:val="22"/>
                <w:szCs w:val="22"/>
                <w:lang w:val="fr-FR"/>
              </w:rPr>
            </w:pPr>
            <w:r>
              <w:rPr>
                <w:sz w:val="22"/>
                <w:szCs w:val="22"/>
                <w:lang w:val="fr-FR"/>
              </w:rPr>
              <w:t>74,8</w:t>
            </w:r>
          </w:p>
        </w:tc>
        <w:tc>
          <w:tcPr>
            <w:tcW w:w="543" w:type="pct"/>
          </w:tcPr>
          <w:p w:rsidR="00000000" w:rsidRDefault="00000000">
            <w:pPr>
              <w:spacing w:before="60" w:after="60"/>
              <w:jc w:val="right"/>
              <w:rPr>
                <w:sz w:val="22"/>
                <w:szCs w:val="22"/>
                <w:lang w:val="fr-FR"/>
              </w:rPr>
            </w:pPr>
            <w:r>
              <w:rPr>
                <w:sz w:val="22"/>
                <w:szCs w:val="22"/>
                <w:lang w:val="fr-FR"/>
              </w:rPr>
              <w:t>78,5</w:t>
            </w:r>
          </w:p>
        </w:tc>
        <w:tc>
          <w:tcPr>
            <w:tcW w:w="543" w:type="pct"/>
          </w:tcPr>
          <w:p w:rsidR="00000000" w:rsidRDefault="00000000">
            <w:pPr>
              <w:spacing w:before="60" w:after="60"/>
              <w:jc w:val="right"/>
              <w:rPr>
                <w:sz w:val="22"/>
                <w:szCs w:val="22"/>
                <w:lang w:val="fr-FR"/>
              </w:rPr>
            </w:pPr>
            <w:r>
              <w:rPr>
                <w:sz w:val="22"/>
                <w:szCs w:val="22"/>
                <w:lang w:val="fr-FR"/>
              </w:rPr>
              <w:t>84</w:t>
            </w:r>
          </w:p>
        </w:tc>
      </w:tr>
      <w:tr w:rsidR="00000000">
        <w:tc>
          <w:tcPr>
            <w:tcW w:w="1742" w:type="pct"/>
          </w:tcPr>
          <w:p w:rsidR="00000000" w:rsidRDefault="00000000">
            <w:pPr>
              <w:spacing w:before="60" w:after="60"/>
              <w:rPr>
                <w:sz w:val="22"/>
                <w:szCs w:val="22"/>
                <w:lang w:val="fr-FR"/>
              </w:rPr>
            </w:pPr>
            <w:r>
              <w:rPr>
                <w:sz w:val="22"/>
                <w:szCs w:val="22"/>
                <w:lang w:val="fr-FR"/>
              </w:rPr>
              <w:t>Vaccin oral antipoliomyélitique</w:t>
            </w:r>
          </w:p>
        </w:tc>
        <w:tc>
          <w:tcPr>
            <w:tcW w:w="543" w:type="pct"/>
          </w:tcPr>
          <w:p w:rsidR="00000000" w:rsidRDefault="00000000">
            <w:pPr>
              <w:spacing w:before="60" w:after="60"/>
              <w:jc w:val="right"/>
              <w:rPr>
                <w:sz w:val="22"/>
                <w:szCs w:val="22"/>
                <w:lang w:val="fr-FR"/>
              </w:rPr>
            </w:pPr>
            <w:r>
              <w:rPr>
                <w:sz w:val="22"/>
                <w:szCs w:val="22"/>
                <w:lang w:val="fr-FR"/>
              </w:rPr>
              <w:t>98</w:t>
            </w:r>
          </w:p>
        </w:tc>
        <w:tc>
          <w:tcPr>
            <w:tcW w:w="543" w:type="pct"/>
          </w:tcPr>
          <w:p w:rsidR="00000000" w:rsidRDefault="00000000">
            <w:pPr>
              <w:spacing w:before="60" w:after="60"/>
              <w:jc w:val="right"/>
              <w:rPr>
                <w:sz w:val="22"/>
                <w:szCs w:val="22"/>
                <w:lang w:val="fr-FR"/>
              </w:rPr>
            </w:pPr>
            <w:r>
              <w:rPr>
                <w:sz w:val="22"/>
                <w:szCs w:val="22"/>
                <w:lang w:val="fr-FR"/>
              </w:rPr>
              <w:t>82,7</w:t>
            </w:r>
          </w:p>
        </w:tc>
        <w:tc>
          <w:tcPr>
            <w:tcW w:w="543" w:type="pct"/>
          </w:tcPr>
          <w:p w:rsidR="00000000" w:rsidRDefault="00000000">
            <w:pPr>
              <w:spacing w:before="60" w:after="60"/>
              <w:jc w:val="right"/>
              <w:rPr>
                <w:sz w:val="22"/>
                <w:szCs w:val="22"/>
                <w:lang w:val="fr-FR"/>
              </w:rPr>
            </w:pPr>
            <w:r>
              <w:rPr>
                <w:sz w:val="22"/>
                <w:szCs w:val="22"/>
                <w:lang w:val="fr-FR"/>
              </w:rPr>
              <w:t>90,3</w:t>
            </w:r>
          </w:p>
        </w:tc>
        <w:tc>
          <w:tcPr>
            <w:tcW w:w="543" w:type="pct"/>
          </w:tcPr>
          <w:p w:rsidR="00000000" w:rsidRDefault="00000000">
            <w:pPr>
              <w:spacing w:before="60" w:after="60"/>
              <w:jc w:val="right"/>
              <w:rPr>
                <w:sz w:val="22"/>
                <w:szCs w:val="22"/>
                <w:lang w:val="fr-FR"/>
              </w:rPr>
            </w:pPr>
            <w:r>
              <w:rPr>
                <w:sz w:val="22"/>
                <w:szCs w:val="22"/>
                <w:lang w:val="fr-FR"/>
              </w:rPr>
              <w:t>74,3</w:t>
            </w:r>
          </w:p>
        </w:tc>
        <w:tc>
          <w:tcPr>
            <w:tcW w:w="543" w:type="pct"/>
          </w:tcPr>
          <w:p w:rsidR="00000000" w:rsidRDefault="00000000">
            <w:pPr>
              <w:spacing w:before="60" w:after="60"/>
              <w:jc w:val="right"/>
              <w:rPr>
                <w:sz w:val="22"/>
                <w:szCs w:val="22"/>
                <w:lang w:val="fr-FR"/>
              </w:rPr>
            </w:pPr>
            <w:r>
              <w:rPr>
                <w:sz w:val="22"/>
                <w:szCs w:val="22"/>
                <w:lang w:val="fr-FR"/>
              </w:rPr>
              <w:t>66,3</w:t>
            </w:r>
          </w:p>
        </w:tc>
        <w:tc>
          <w:tcPr>
            <w:tcW w:w="543" w:type="pct"/>
          </w:tcPr>
          <w:p w:rsidR="00000000" w:rsidRDefault="00000000">
            <w:pPr>
              <w:spacing w:before="60" w:after="60"/>
              <w:jc w:val="right"/>
              <w:rPr>
                <w:sz w:val="22"/>
                <w:szCs w:val="22"/>
                <w:lang w:val="fr-FR"/>
              </w:rPr>
            </w:pPr>
            <w:r>
              <w:rPr>
                <w:sz w:val="22"/>
                <w:szCs w:val="22"/>
                <w:lang w:val="fr-FR"/>
              </w:rPr>
              <w:t>83,5</w:t>
            </w:r>
          </w:p>
        </w:tc>
      </w:tr>
      <w:tr w:rsidR="00000000">
        <w:tc>
          <w:tcPr>
            <w:tcW w:w="1742" w:type="pct"/>
          </w:tcPr>
          <w:p w:rsidR="00000000" w:rsidRDefault="00000000">
            <w:pPr>
              <w:spacing w:before="60" w:after="60"/>
              <w:rPr>
                <w:sz w:val="22"/>
                <w:szCs w:val="22"/>
                <w:lang w:val="fr-FR"/>
              </w:rPr>
            </w:pPr>
            <w:r>
              <w:rPr>
                <w:sz w:val="22"/>
                <w:szCs w:val="22"/>
                <w:lang w:val="fr-FR"/>
              </w:rPr>
              <w:t xml:space="preserve">Rougeole </w:t>
            </w:r>
          </w:p>
        </w:tc>
        <w:tc>
          <w:tcPr>
            <w:tcW w:w="543" w:type="pct"/>
          </w:tcPr>
          <w:p w:rsidR="00000000" w:rsidRDefault="00000000">
            <w:pPr>
              <w:spacing w:before="60" w:after="60"/>
              <w:jc w:val="right"/>
              <w:rPr>
                <w:sz w:val="22"/>
                <w:szCs w:val="22"/>
                <w:lang w:val="fr-FR"/>
              </w:rPr>
            </w:pPr>
            <w:r>
              <w:rPr>
                <w:sz w:val="22"/>
                <w:szCs w:val="22"/>
                <w:lang w:val="fr-FR"/>
              </w:rPr>
              <w:t>97</w:t>
            </w:r>
          </w:p>
        </w:tc>
        <w:tc>
          <w:tcPr>
            <w:tcW w:w="543" w:type="pct"/>
          </w:tcPr>
          <w:p w:rsidR="00000000" w:rsidRDefault="00000000">
            <w:pPr>
              <w:spacing w:before="60" w:after="60"/>
              <w:jc w:val="right"/>
              <w:rPr>
                <w:sz w:val="22"/>
                <w:szCs w:val="22"/>
                <w:lang w:val="fr-FR"/>
              </w:rPr>
            </w:pPr>
            <w:r>
              <w:rPr>
                <w:sz w:val="22"/>
                <w:szCs w:val="22"/>
                <w:lang w:val="fr-FR"/>
              </w:rPr>
              <w:t>57,2</w:t>
            </w:r>
          </w:p>
        </w:tc>
        <w:tc>
          <w:tcPr>
            <w:tcW w:w="543" w:type="pct"/>
          </w:tcPr>
          <w:p w:rsidR="00000000" w:rsidRDefault="00000000">
            <w:pPr>
              <w:spacing w:before="60" w:after="60"/>
              <w:jc w:val="right"/>
              <w:rPr>
                <w:sz w:val="22"/>
                <w:szCs w:val="22"/>
                <w:lang w:val="fr-FR"/>
              </w:rPr>
            </w:pPr>
            <w:r>
              <w:rPr>
                <w:sz w:val="22"/>
                <w:szCs w:val="22"/>
                <w:lang w:val="fr-FR"/>
              </w:rPr>
              <w:t>65,9</w:t>
            </w:r>
          </w:p>
        </w:tc>
        <w:tc>
          <w:tcPr>
            <w:tcW w:w="543" w:type="pct"/>
          </w:tcPr>
          <w:p w:rsidR="00000000" w:rsidRDefault="00000000">
            <w:pPr>
              <w:spacing w:before="60" w:after="60"/>
              <w:jc w:val="right"/>
              <w:rPr>
                <w:sz w:val="22"/>
                <w:szCs w:val="22"/>
                <w:lang w:val="fr-FR"/>
              </w:rPr>
            </w:pPr>
            <w:r>
              <w:rPr>
                <w:sz w:val="22"/>
                <w:szCs w:val="22"/>
                <w:lang w:val="fr-FR"/>
              </w:rPr>
              <w:t>79,9</w:t>
            </w:r>
          </w:p>
        </w:tc>
        <w:tc>
          <w:tcPr>
            <w:tcW w:w="543" w:type="pct"/>
          </w:tcPr>
          <w:p w:rsidR="00000000" w:rsidRDefault="00000000">
            <w:pPr>
              <w:spacing w:before="60" w:after="60"/>
              <w:jc w:val="right"/>
              <w:rPr>
                <w:sz w:val="22"/>
                <w:szCs w:val="22"/>
                <w:lang w:val="fr-FR"/>
              </w:rPr>
            </w:pPr>
            <w:r>
              <w:rPr>
                <w:sz w:val="22"/>
                <w:szCs w:val="22"/>
                <w:lang w:val="fr-FR"/>
              </w:rPr>
              <w:t>88,4</w:t>
            </w:r>
          </w:p>
        </w:tc>
        <w:tc>
          <w:tcPr>
            <w:tcW w:w="543" w:type="pct"/>
          </w:tcPr>
          <w:p w:rsidR="00000000" w:rsidRDefault="00000000">
            <w:pPr>
              <w:spacing w:before="60" w:after="60"/>
              <w:jc w:val="right"/>
              <w:rPr>
                <w:sz w:val="22"/>
                <w:szCs w:val="22"/>
                <w:lang w:val="fr-FR"/>
              </w:rPr>
            </w:pPr>
            <w:r>
              <w:rPr>
                <w:sz w:val="22"/>
                <w:szCs w:val="22"/>
                <w:lang w:val="fr-FR"/>
              </w:rPr>
              <w:t>91,6</w:t>
            </w:r>
          </w:p>
        </w:tc>
      </w:tr>
      <w:tr w:rsidR="00000000">
        <w:tc>
          <w:tcPr>
            <w:tcW w:w="1742" w:type="pct"/>
          </w:tcPr>
          <w:p w:rsidR="00000000" w:rsidRDefault="00000000">
            <w:pPr>
              <w:spacing w:before="60" w:after="60"/>
              <w:rPr>
                <w:sz w:val="22"/>
                <w:szCs w:val="22"/>
                <w:lang w:val="fr-FR"/>
              </w:rPr>
            </w:pPr>
            <w:r>
              <w:rPr>
                <w:sz w:val="22"/>
                <w:szCs w:val="22"/>
                <w:lang w:val="fr-FR"/>
              </w:rPr>
              <w:t>Hépatite B (3 doses)</w:t>
            </w:r>
          </w:p>
        </w:tc>
        <w:tc>
          <w:tcPr>
            <w:tcW w:w="543" w:type="pct"/>
          </w:tcPr>
          <w:p w:rsidR="00000000" w:rsidRDefault="00000000">
            <w:pPr>
              <w:spacing w:before="60" w:after="60"/>
              <w:jc w:val="right"/>
              <w:rPr>
                <w:sz w:val="22"/>
                <w:szCs w:val="22"/>
                <w:lang w:val="fr-FR"/>
              </w:rPr>
            </w:pPr>
            <w:r>
              <w:rPr>
                <w:sz w:val="22"/>
                <w:szCs w:val="22"/>
                <w:lang w:val="fr-FR"/>
              </w:rPr>
              <w:t>512</w:t>
            </w:r>
          </w:p>
        </w:tc>
        <w:tc>
          <w:tcPr>
            <w:tcW w:w="543" w:type="pct"/>
          </w:tcPr>
          <w:p w:rsidR="00000000" w:rsidRDefault="00000000">
            <w:pPr>
              <w:spacing w:before="60" w:after="60"/>
              <w:jc w:val="right"/>
              <w:rPr>
                <w:sz w:val="22"/>
                <w:szCs w:val="22"/>
                <w:lang w:val="fr-FR"/>
              </w:rPr>
            </w:pPr>
            <w:r>
              <w:rPr>
                <w:sz w:val="22"/>
                <w:szCs w:val="22"/>
                <w:lang w:val="fr-FR"/>
              </w:rPr>
              <w:t>62</w:t>
            </w:r>
          </w:p>
        </w:tc>
        <w:tc>
          <w:tcPr>
            <w:tcW w:w="543" w:type="pct"/>
          </w:tcPr>
          <w:p w:rsidR="00000000" w:rsidRDefault="00000000">
            <w:pPr>
              <w:spacing w:before="60" w:after="60"/>
              <w:jc w:val="right"/>
              <w:rPr>
                <w:sz w:val="22"/>
                <w:szCs w:val="22"/>
                <w:lang w:val="fr-FR"/>
              </w:rPr>
            </w:pPr>
            <w:r>
              <w:rPr>
                <w:sz w:val="22"/>
                <w:szCs w:val="22"/>
                <w:lang w:val="fr-FR"/>
              </w:rPr>
              <w:t>51,1</w:t>
            </w:r>
          </w:p>
        </w:tc>
        <w:tc>
          <w:tcPr>
            <w:tcW w:w="543" w:type="pct"/>
          </w:tcPr>
          <w:p w:rsidR="00000000" w:rsidRDefault="00000000">
            <w:pPr>
              <w:spacing w:before="60" w:after="60"/>
              <w:jc w:val="right"/>
              <w:rPr>
                <w:sz w:val="22"/>
                <w:szCs w:val="22"/>
                <w:lang w:val="fr-FR"/>
              </w:rPr>
            </w:pPr>
            <w:r>
              <w:rPr>
                <w:sz w:val="22"/>
                <w:szCs w:val="22"/>
                <w:lang w:val="fr-FR"/>
              </w:rPr>
              <w:t>47,8</w:t>
            </w:r>
          </w:p>
        </w:tc>
        <w:tc>
          <w:tcPr>
            <w:tcW w:w="543" w:type="pct"/>
          </w:tcPr>
          <w:p w:rsidR="00000000" w:rsidRDefault="00000000">
            <w:pPr>
              <w:spacing w:before="60" w:after="60"/>
              <w:jc w:val="right"/>
              <w:rPr>
                <w:sz w:val="22"/>
                <w:szCs w:val="22"/>
                <w:lang w:val="fr-FR"/>
              </w:rPr>
            </w:pPr>
            <w:r>
              <w:rPr>
                <w:sz w:val="22"/>
                <w:szCs w:val="22"/>
                <w:lang w:val="fr-FR"/>
              </w:rPr>
              <w:t>64,1</w:t>
            </w:r>
          </w:p>
        </w:tc>
        <w:tc>
          <w:tcPr>
            <w:tcW w:w="543" w:type="pct"/>
          </w:tcPr>
          <w:p w:rsidR="00000000" w:rsidRDefault="00000000">
            <w:pPr>
              <w:spacing w:before="60" w:after="60"/>
              <w:jc w:val="right"/>
              <w:rPr>
                <w:sz w:val="22"/>
                <w:szCs w:val="22"/>
                <w:lang w:val="fr-FR"/>
              </w:rPr>
            </w:pPr>
            <w:r>
              <w:rPr>
                <w:sz w:val="22"/>
                <w:szCs w:val="22"/>
                <w:lang w:val="fr-FR"/>
              </w:rPr>
              <w:t>73,5</w:t>
            </w:r>
          </w:p>
        </w:tc>
      </w:tr>
    </w:tbl>
    <w:p w:rsidR="00000000" w:rsidRDefault="00000000">
      <w:pPr>
        <w:spacing w:before="240" w:after="240"/>
        <w:ind w:firstLine="567"/>
        <w:rPr>
          <w:bCs/>
          <w:i/>
          <w:iCs/>
          <w:sz w:val="22"/>
        </w:rPr>
      </w:pPr>
      <w:r>
        <w:rPr>
          <w:bCs/>
          <w:i/>
          <w:iCs/>
          <w:sz w:val="22"/>
        </w:rPr>
        <w:t xml:space="preserve">Source: </w:t>
      </w:r>
      <w:r>
        <w:rPr>
          <w:bCs/>
          <w:sz w:val="22"/>
        </w:rPr>
        <w:t>Centre national de lutte contre les maladies, 2006</w:t>
      </w:r>
    </w:p>
    <w:p w:rsidR="00000000" w:rsidRDefault="00000000">
      <w:pPr>
        <w:spacing w:after="240"/>
        <w:rPr>
          <w:bCs/>
        </w:rPr>
      </w:pPr>
      <w:r>
        <w:rPr>
          <w:bCs/>
        </w:rPr>
        <w:t>175.</w:t>
      </w:r>
      <w:r>
        <w:rPr>
          <w:bCs/>
        </w:rPr>
        <w:tab/>
        <w:t>En ce qui concerne les soins aux enfants en bas âge et leur développement, il convient de signaler que plusieurs activités de formation et de sensibilisation ont été menées avec l’aide d’organisations internationales pour la période sur laquelle porte le rapport, notamment:</w:t>
      </w:r>
    </w:p>
    <w:p w:rsidR="00000000" w:rsidRDefault="00000000">
      <w:pPr>
        <w:numPr>
          <w:ilvl w:val="0"/>
          <w:numId w:val="109"/>
        </w:numPr>
        <w:spacing w:after="240"/>
        <w:rPr>
          <w:bCs/>
        </w:rPr>
      </w:pPr>
      <w:r>
        <w:rPr>
          <w:bCs/>
        </w:rPr>
        <w:t>Sous l’égide de l’UNICEF: campagnes d’information et d’éducation, cours de formation pour le personnel médical, création de centres de sensibilisation des parents, production de 29 programmes de télévision et formation de 160 employés;</w:t>
      </w:r>
    </w:p>
    <w:p w:rsidR="00000000" w:rsidRDefault="00000000">
      <w:pPr>
        <w:numPr>
          <w:ilvl w:val="0"/>
          <w:numId w:val="109"/>
        </w:numPr>
        <w:spacing w:after="240"/>
        <w:rPr>
          <w:bCs/>
        </w:rPr>
      </w:pPr>
      <w:r>
        <w:rPr>
          <w:bCs/>
        </w:rPr>
        <w:t xml:space="preserve">Sous l’égide de l’UNICEF et du John </w:t>
      </w:r>
      <w:proofErr w:type="spellStart"/>
      <w:r>
        <w:rPr>
          <w:bCs/>
        </w:rPr>
        <w:t>Snow</w:t>
      </w:r>
      <w:proofErr w:type="spellEnd"/>
      <w:r>
        <w:rPr>
          <w:bCs/>
        </w:rPr>
        <w:t xml:space="preserve"> </w:t>
      </w:r>
      <w:proofErr w:type="spellStart"/>
      <w:r>
        <w:rPr>
          <w:bCs/>
        </w:rPr>
        <w:t>Institute</w:t>
      </w:r>
      <w:proofErr w:type="spellEnd"/>
      <w:r>
        <w:rPr>
          <w:bCs/>
        </w:rPr>
        <w:t xml:space="preserve"> (USAID): projet de sensibilisation des parents axé sur cinq maternités.</w:t>
      </w:r>
    </w:p>
    <w:p w:rsidR="00000000" w:rsidRDefault="00000000">
      <w:pPr>
        <w:spacing w:after="240"/>
        <w:rPr>
          <w:b/>
        </w:rPr>
      </w:pPr>
      <w:r>
        <w:rPr>
          <w:b/>
        </w:rPr>
        <w:t>Question de l’accès à l’eau salubre dans le contexte des soins de santé</w:t>
      </w:r>
    </w:p>
    <w:p w:rsidR="00000000" w:rsidRDefault="00000000">
      <w:pPr>
        <w:spacing w:after="240"/>
        <w:rPr>
          <w:bCs/>
        </w:rPr>
      </w:pPr>
      <w:r>
        <w:rPr>
          <w:bCs/>
        </w:rPr>
        <w:t>176.</w:t>
      </w:r>
      <w:r>
        <w:rPr>
          <w:bCs/>
        </w:rPr>
        <w:tab/>
        <w:t>Actuellement, 70 % de la population géorgienne bénéficie d’un accès garanti à l’eau salubre, soit 95 % de la population urbaine et 35 % de la population rurale.</w:t>
      </w:r>
    </w:p>
    <w:p w:rsidR="00000000" w:rsidRDefault="00000000">
      <w:pPr>
        <w:spacing w:after="240"/>
        <w:rPr>
          <w:bCs/>
        </w:rPr>
      </w:pPr>
      <w:r>
        <w:rPr>
          <w:bCs/>
        </w:rPr>
        <w:t>177.</w:t>
      </w:r>
      <w:r>
        <w:rPr>
          <w:bCs/>
        </w:rPr>
        <w:tab/>
      </w:r>
      <w:proofErr w:type="spellStart"/>
      <w:r>
        <w:rPr>
          <w:bCs/>
        </w:rPr>
        <w:t>Soixante</w:t>
      </w:r>
      <w:r>
        <w:rPr>
          <w:bCs/>
        </w:rPr>
        <w:noBreakHyphen/>
        <w:t>douze</w:t>
      </w:r>
      <w:proofErr w:type="spellEnd"/>
      <w:r>
        <w:rPr>
          <w:bCs/>
        </w:rPr>
        <w:t xml:space="preserve"> pour cent de l’eau courante actuellement disponible provient de sources souterraines, et 28  % de sources d’eau de surface. </w:t>
      </w:r>
    </w:p>
    <w:p w:rsidR="00000000" w:rsidRDefault="00000000">
      <w:pPr>
        <w:spacing w:after="240"/>
        <w:rPr>
          <w:bCs/>
        </w:rPr>
      </w:pPr>
      <w:r>
        <w:rPr>
          <w:bCs/>
        </w:rPr>
        <w:t>178.</w:t>
      </w:r>
      <w:r>
        <w:rPr>
          <w:bCs/>
        </w:rPr>
        <w:tab/>
        <w:t xml:space="preserve">D’après l’Office public de contrôle sanitaire, la quasi-totalité des ressources en eau, y compris l’eau potable et l’eau destinée à l’industrie, pâtissent des activités humaines et des facteurs géologiques. L’approvisionnement en eau pour l’industrie et la consommation courante est entravé par la pollution du réseau de distribution. Le système de distribution d’eau courante a besoin d’être rénové à 60 %. L’eau destinée à la consommation des ménages subit de temps à autre une pollution bactérienne, et l’on constate un énorme gaspillage des ressources en eau. </w:t>
      </w:r>
    </w:p>
    <w:p w:rsidR="00000000" w:rsidRDefault="00000000">
      <w:pPr>
        <w:spacing w:after="240"/>
        <w:rPr>
          <w:bCs/>
        </w:rPr>
      </w:pPr>
      <w:r>
        <w:rPr>
          <w:bCs/>
        </w:rPr>
        <w:t>179.</w:t>
      </w:r>
      <w:r>
        <w:rPr>
          <w:bCs/>
        </w:rPr>
        <w:tab/>
        <w:t xml:space="preserve">L’apparition d’infections intestinales liées à l’eau peut être attribuée à une hygiène douteuse dans les systèmes d’approvisionnement et à la consommation d’eau insalubre par la population. En 2000, des cas de maladies accompagnées de diarrhées ont été relevés dans les villes suivantes: </w:t>
      </w:r>
      <w:proofErr w:type="spellStart"/>
      <w:r>
        <w:rPr>
          <w:bCs/>
        </w:rPr>
        <w:t>Poti</w:t>
      </w:r>
      <w:proofErr w:type="spellEnd"/>
      <w:r>
        <w:rPr>
          <w:bCs/>
        </w:rPr>
        <w:t xml:space="preserve"> (267 cas), </w:t>
      </w:r>
      <w:proofErr w:type="spellStart"/>
      <w:r>
        <w:rPr>
          <w:bCs/>
        </w:rPr>
        <w:t>Gardabani</w:t>
      </w:r>
      <w:proofErr w:type="spellEnd"/>
      <w:r>
        <w:rPr>
          <w:bCs/>
        </w:rPr>
        <w:t xml:space="preserve"> (39), </w:t>
      </w:r>
      <w:proofErr w:type="spellStart"/>
      <w:r>
        <w:rPr>
          <w:bCs/>
        </w:rPr>
        <w:t>Rustavi</w:t>
      </w:r>
      <w:proofErr w:type="spellEnd"/>
      <w:r>
        <w:rPr>
          <w:bCs/>
        </w:rPr>
        <w:t xml:space="preserve"> (450), </w:t>
      </w:r>
      <w:proofErr w:type="spellStart"/>
      <w:r>
        <w:rPr>
          <w:bCs/>
        </w:rPr>
        <w:t>Telavi</w:t>
      </w:r>
      <w:proofErr w:type="spellEnd"/>
      <w:r>
        <w:rPr>
          <w:bCs/>
        </w:rPr>
        <w:t xml:space="preserve"> (63) et </w:t>
      </w:r>
      <w:proofErr w:type="spellStart"/>
      <w:r>
        <w:rPr>
          <w:bCs/>
        </w:rPr>
        <w:t>Khashuri</w:t>
      </w:r>
      <w:proofErr w:type="spellEnd"/>
      <w:r>
        <w:rPr>
          <w:bCs/>
        </w:rPr>
        <w:t xml:space="preserve"> (23). Des épidémies d’hépatite virale ont été constatées dans la région d’</w:t>
      </w:r>
      <w:proofErr w:type="spellStart"/>
      <w:r>
        <w:rPr>
          <w:bCs/>
        </w:rPr>
        <w:t>Akhaltsikhe</w:t>
      </w:r>
      <w:proofErr w:type="spellEnd"/>
      <w:r>
        <w:rPr>
          <w:bCs/>
        </w:rPr>
        <w:t xml:space="preserve"> (400 cas en 2001) et à </w:t>
      </w:r>
      <w:proofErr w:type="spellStart"/>
      <w:r>
        <w:rPr>
          <w:bCs/>
        </w:rPr>
        <w:t>Poti</w:t>
      </w:r>
      <w:proofErr w:type="spellEnd"/>
      <w:r>
        <w:rPr>
          <w:bCs/>
        </w:rPr>
        <w:t xml:space="preserve"> (180 cas en 2002). Des cas d’amibiase ont été diagnostiqués à Tbilissi à plusieurs reprises.</w:t>
      </w:r>
    </w:p>
    <w:p w:rsidR="00000000" w:rsidRDefault="00000000">
      <w:pPr>
        <w:spacing w:after="240"/>
        <w:rPr>
          <w:bCs/>
        </w:rPr>
      </w:pPr>
      <w:r>
        <w:rPr>
          <w:bCs/>
        </w:rPr>
        <w:t>180.</w:t>
      </w:r>
      <w:r>
        <w:rPr>
          <w:bCs/>
        </w:rPr>
        <w:tab/>
        <w:t xml:space="preserve">Une restructuration des organismes publics concernés a été engagée en vue d’améliorer l’efficacité de la gestion de l’eau potable. En particulier, le service compétent du Ministère de l’agriculture a été chargé de faire en sorte que la qualité de l’eau potable réponde aux normes de sécurité établies, et le Ministère de la protection de l’environnement et des ressources naturelles contrôlera dorénavant la qualité des eaux utilisées pour les loisirs. Dans le cadre du système public de soins de santé, le Ministère du travail, de la santé et des affaires sociales contrôlera la qualité et la salubrité de l’eau potable et de l’eau utilisée pour les loisirs, et établira des normes et des critères appropriés à cet égard. </w:t>
      </w:r>
    </w:p>
    <w:p w:rsidR="00000000" w:rsidRDefault="00000000">
      <w:pPr>
        <w:spacing w:after="240"/>
        <w:rPr>
          <w:bCs/>
        </w:rPr>
      </w:pPr>
      <w:r>
        <w:rPr>
          <w:bCs/>
        </w:rPr>
        <w:t>181.</w:t>
      </w:r>
      <w:r>
        <w:rPr>
          <w:bCs/>
        </w:rPr>
        <w:tab/>
        <w:t xml:space="preserve">Pour atteindre les objectifs susmentionnés, une loi sur la salubrité et la qualité de l’eau a été adoptée. </w:t>
      </w:r>
    </w:p>
    <w:p w:rsidR="00000000" w:rsidRDefault="00000000">
      <w:pPr>
        <w:spacing w:after="240"/>
        <w:rPr>
          <w:bCs/>
        </w:rPr>
      </w:pPr>
      <w:r>
        <w:rPr>
          <w:bCs/>
        </w:rPr>
        <w:t>182.</w:t>
      </w:r>
      <w:r>
        <w:rPr>
          <w:bCs/>
        </w:rPr>
        <w:tab/>
        <w:t>Au cours de la période considérée le Ministère du travail, de la santé et des affaires sociales a établi plusieurs normes dans le but d’améliorer la qualité de l’environnement, et notamment des règlements sanitaires concernant la salubrité de l’eau portant notamment sur:</w:t>
      </w:r>
    </w:p>
    <w:p w:rsidR="00000000" w:rsidRDefault="00000000">
      <w:pPr>
        <w:numPr>
          <w:ilvl w:val="0"/>
          <w:numId w:val="109"/>
        </w:numPr>
        <w:spacing w:after="240"/>
        <w:rPr>
          <w:bCs/>
        </w:rPr>
      </w:pPr>
      <w:r>
        <w:rPr>
          <w:bCs/>
        </w:rPr>
        <w:t>Les conditions d’hygiène et le contrôle de la qualité des systèmes et réservoirs centralisés d’eau potable;</w:t>
      </w:r>
    </w:p>
    <w:p w:rsidR="00000000" w:rsidRDefault="00000000">
      <w:pPr>
        <w:numPr>
          <w:ilvl w:val="0"/>
          <w:numId w:val="109"/>
        </w:numPr>
        <w:spacing w:after="240"/>
        <w:rPr>
          <w:bCs/>
        </w:rPr>
      </w:pPr>
      <w:r>
        <w:rPr>
          <w:bCs/>
        </w:rPr>
        <w:t>La protection des eaux de surface contre la pollution;</w:t>
      </w:r>
    </w:p>
    <w:p w:rsidR="00000000" w:rsidRDefault="00000000">
      <w:pPr>
        <w:numPr>
          <w:ilvl w:val="0"/>
          <w:numId w:val="109"/>
        </w:numPr>
        <w:spacing w:after="240"/>
        <w:rPr>
          <w:bCs/>
        </w:rPr>
      </w:pPr>
      <w:r>
        <w:rPr>
          <w:bCs/>
        </w:rPr>
        <w:t>Les conditions d’hygiène propres à assurer la qualité des systèmes non centralisés (protection des réservoirs d’eau et des sources);</w:t>
      </w:r>
    </w:p>
    <w:p w:rsidR="00000000" w:rsidRDefault="00000000">
      <w:pPr>
        <w:numPr>
          <w:ilvl w:val="0"/>
          <w:numId w:val="109"/>
        </w:numPr>
        <w:spacing w:after="240"/>
        <w:rPr>
          <w:bCs/>
        </w:rPr>
      </w:pPr>
      <w:r>
        <w:rPr>
          <w:bCs/>
        </w:rPr>
        <w:t>La protection des eaux marines contre la pollution dans les zones proches des réservoirs d’eau destinée à la consommation humaine;</w:t>
      </w:r>
    </w:p>
    <w:p w:rsidR="00000000" w:rsidRDefault="00000000">
      <w:pPr>
        <w:numPr>
          <w:ilvl w:val="0"/>
          <w:numId w:val="109"/>
        </w:numPr>
        <w:spacing w:after="240"/>
        <w:rPr>
          <w:bCs/>
        </w:rPr>
      </w:pPr>
      <w:r>
        <w:rPr>
          <w:bCs/>
        </w:rPr>
        <w:t>La protection sanitaire des réserves d’eau potable et à usage industriel.</w:t>
      </w:r>
    </w:p>
    <w:p w:rsidR="00000000" w:rsidRDefault="00000000">
      <w:pPr>
        <w:spacing w:after="240"/>
        <w:rPr>
          <w:bCs/>
        </w:rPr>
      </w:pPr>
      <w:r>
        <w:rPr>
          <w:bCs/>
        </w:rPr>
        <w:t>183.</w:t>
      </w:r>
      <w:r>
        <w:rPr>
          <w:bCs/>
        </w:rPr>
        <w:tab/>
        <w:t>Au titre des dispositions pertinentes de la Convention, certaines données statistiques importantes concernant les enfants sont fournies dans les tableaux ci-dessous.</w:t>
      </w:r>
    </w:p>
    <w:p w:rsidR="00000000" w:rsidRDefault="00000000">
      <w:pPr>
        <w:spacing w:after="240"/>
        <w:jc w:val="center"/>
        <w:rPr>
          <w:b/>
        </w:rPr>
      </w:pPr>
      <w:r>
        <w:rPr>
          <w:b/>
        </w:rPr>
        <w:t>Mortalité infantile</w:t>
      </w:r>
    </w:p>
    <w:tbl>
      <w:tblPr>
        <w:tblW w:w="4944" w:type="pct"/>
        <w:jc w:val="center"/>
        <w:tblInd w:w="107" w:type="dxa"/>
        <w:tblCellMar>
          <w:left w:w="107" w:type="dxa"/>
          <w:right w:w="107" w:type="dxa"/>
        </w:tblCellMar>
        <w:tblLook w:val="0000" w:firstRow="0" w:lastRow="0" w:firstColumn="0" w:lastColumn="0" w:noHBand="0" w:noVBand="0"/>
      </w:tblPr>
      <w:tblGrid>
        <w:gridCol w:w="1049"/>
        <w:gridCol w:w="1402"/>
        <w:gridCol w:w="1401"/>
        <w:gridCol w:w="1401"/>
        <w:gridCol w:w="1401"/>
        <w:gridCol w:w="1401"/>
        <w:gridCol w:w="1408"/>
      </w:tblGrid>
      <w:tr w:rsidR="00000000">
        <w:tblPrEx>
          <w:tblCellMar>
            <w:top w:w="0" w:type="dxa"/>
            <w:bottom w:w="0" w:type="dxa"/>
          </w:tblCellMar>
        </w:tblPrEx>
        <w:trPr>
          <w:cantSplit/>
          <w:tblHeader/>
          <w:jc w:val="center"/>
        </w:trPr>
        <w:tc>
          <w:tcPr>
            <w:tcW w:w="55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rPr>
            </w:pPr>
            <w:r>
              <w:rPr>
                <w:sz w:val="22"/>
              </w:rPr>
              <w:t>Année</w:t>
            </w:r>
          </w:p>
        </w:tc>
        <w:tc>
          <w:tcPr>
            <w:tcW w:w="2221"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rPr>
            </w:pPr>
            <w:r>
              <w:rPr>
                <w:sz w:val="22"/>
              </w:rPr>
              <w:t>Mortalité infantile avant 1 an</w:t>
            </w:r>
          </w:p>
        </w:tc>
        <w:tc>
          <w:tcPr>
            <w:tcW w:w="2224" w:type="pct"/>
            <w:gridSpan w:val="3"/>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Taux de mortalité infantile (pour 1000 naissances  vivantes)</w:t>
            </w:r>
          </w:p>
        </w:tc>
      </w:tr>
      <w:tr w:rsidR="00000000">
        <w:tblPrEx>
          <w:tblCellMar>
            <w:top w:w="0" w:type="dxa"/>
            <w:bottom w:w="0" w:type="dxa"/>
          </w:tblCellMar>
        </w:tblPrEx>
        <w:trPr>
          <w:cantSplit/>
          <w:tblHeader/>
          <w:jc w:val="center"/>
        </w:trPr>
        <w:tc>
          <w:tcPr>
            <w:tcW w:w="555" w:type="pct"/>
            <w:vMerge/>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p>
        </w:tc>
        <w:tc>
          <w:tcPr>
            <w:tcW w:w="741"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Total</w:t>
            </w:r>
          </w:p>
        </w:tc>
        <w:tc>
          <w:tcPr>
            <w:tcW w:w="740"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Garçons</w:t>
            </w:r>
          </w:p>
        </w:tc>
        <w:tc>
          <w:tcPr>
            <w:tcW w:w="740"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Filles</w:t>
            </w:r>
          </w:p>
        </w:tc>
        <w:tc>
          <w:tcPr>
            <w:tcW w:w="740"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Total</w:t>
            </w:r>
          </w:p>
        </w:tc>
        <w:tc>
          <w:tcPr>
            <w:tcW w:w="740"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Garçons</w:t>
            </w:r>
          </w:p>
        </w:tc>
        <w:tc>
          <w:tcPr>
            <w:tcW w:w="743"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Filles</w:t>
            </w:r>
          </w:p>
        </w:tc>
      </w:tr>
      <w:tr w:rsidR="00000000">
        <w:tblPrEx>
          <w:tblCellMar>
            <w:top w:w="0" w:type="dxa"/>
            <w:bottom w:w="0" w:type="dxa"/>
          </w:tblCellMar>
        </w:tblPrEx>
        <w:trPr>
          <w:cantSplit/>
          <w:trHeight w:val="378"/>
          <w:jc w:val="center"/>
        </w:trPr>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2"/>
              </w:rPr>
            </w:pPr>
            <w:r>
              <w:rPr>
                <w:sz w:val="22"/>
              </w:rPr>
              <w:t>2000</w:t>
            </w:r>
          </w:p>
        </w:tc>
        <w:tc>
          <w:tcPr>
            <w:tcW w:w="74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1100</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656</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444</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22,5</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25,6</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19,2</w:t>
            </w:r>
          </w:p>
        </w:tc>
      </w:tr>
      <w:tr w:rsidR="00000000">
        <w:tblPrEx>
          <w:tblCellMar>
            <w:top w:w="0" w:type="dxa"/>
            <w:bottom w:w="0" w:type="dxa"/>
          </w:tblCellMar>
        </w:tblPrEx>
        <w:trPr>
          <w:cantSplit/>
          <w:jc w:val="center"/>
        </w:trPr>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2"/>
              </w:rPr>
            </w:pPr>
            <w:r>
              <w:rPr>
                <w:sz w:val="22"/>
              </w:rPr>
              <w:t>2001</w:t>
            </w:r>
          </w:p>
        </w:tc>
        <w:tc>
          <w:tcPr>
            <w:tcW w:w="74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1098</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647</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451</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23,1</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25,8</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20,0</w:t>
            </w:r>
          </w:p>
        </w:tc>
      </w:tr>
      <w:tr w:rsidR="00000000">
        <w:tblPrEx>
          <w:tblCellMar>
            <w:top w:w="0" w:type="dxa"/>
            <w:bottom w:w="0" w:type="dxa"/>
          </w:tblCellMar>
        </w:tblPrEx>
        <w:trPr>
          <w:cantSplit/>
          <w:jc w:val="center"/>
        </w:trPr>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2"/>
              </w:rPr>
            </w:pPr>
            <w:r>
              <w:rPr>
                <w:sz w:val="22"/>
              </w:rPr>
              <w:t>2002</w:t>
            </w:r>
          </w:p>
        </w:tc>
        <w:tc>
          <w:tcPr>
            <w:tcW w:w="74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1102</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653</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449</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23,6</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26,6</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20,3</w:t>
            </w:r>
          </w:p>
        </w:tc>
      </w:tr>
      <w:tr w:rsidR="00000000">
        <w:tblPrEx>
          <w:tblCellMar>
            <w:top w:w="0" w:type="dxa"/>
            <w:bottom w:w="0" w:type="dxa"/>
          </w:tblCellMar>
        </w:tblPrEx>
        <w:trPr>
          <w:cantSplit/>
          <w:jc w:val="center"/>
        </w:trPr>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2"/>
              </w:rPr>
            </w:pPr>
            <w:r>
              <w:rPr>
                <w:sz w:val="22"/>
              </w:rPr>
              <w:t>2003</w:t>
            </w:r>
          </w:p>
        </w:tc>
        <w:tc>
          <w:tcPr>
            <w:tcW w:w="74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1144</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657</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487</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24,8</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26,9</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22,4</w:t>
            </w:r>
          </w:p>
        </w:tc>
      </w:tr>
      <w:tr w:rsidR="00000000">
        <w:tblPrEx>
          <w:tblCellMar>
            <w:top w:w="0" w:type="dxa"/>
            <w:bottom w:w="0" w:type="dxa"/>
          </w:tblCellMar>
        </w:tblPrEx>
        <w:trPr>
          <w:cantSplit/>
          <w:jc w:val="center"/>
        </w:trPr>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2"/>
              </w:rPr>
            </w:pPr>
            <w:r>
              <w:rPr>
                <w:sz w:val="22"/>
              </w:rPr>
              <w:t>2004</w:t>
            </w:r>
          </w:p>
        </w:tc>
        <w:tc>
          <w:tcPr>
            <w:tcW w:w="74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1178</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636</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542</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23,8</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24,4</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23,0</w:t>
            </w:r>
          </w:p>
        </w:tc>
      </w:tr>
      <w:tr w:rsidR="00000000">
        <w:tblPrEx>
          <w:tblCellMar>
            <w:top w:w="0" w:type="dxa"/>
            <w:bottom w:w="0" w:type="dxa"/>
          </w:tblCellMar>
        </w:tblPrEx>
        <w:trPr>
          <w:cantSplit/>
          <w:jc w:val="center"/>
        </w:trPr>
        <w:tc>
          <w:tcPr>
            <w:tcW w:w="55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2"/>
              </w:rPr>
            </w:pPr>
            <w:r>
              <w:rPr>
                <w:sz w:val="22"/>
              </w:rPr>
              <w:t>2005</w:t>
            </w:r>
          </w:p>
        </w:tc>
        <w:tc>
          <w:tcPr>
            <w:tcW w:w="74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916</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482</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434</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19,7</w:t>
            </w:r>
          </w:p>
        </w:tc>
        <w:tc>
          <w:tcPr>
            <w:tcW w:w="740"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19,6</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2"/>
              </w:rPr>
            </w:pPr>
            <w:r>
              <w:rPr>
                <w:sz w:val="22"/>
              </w:rPr>
              <w:t>19,9</w:t>
            </w:r>
          </w:p>
        </w:tc>
      </w:tr>
    </w:tbl>
    <w:p w:rsidR="00000000" w:rsidRDefault="00000000">
      <w:pPr>
        <w:keepNext/>
        <w:spacing w:before="240" w:after="240"/>
        <w:jc w:val="center"/>
        <w:rPr>
          <w:b/>
          <w:bCs/>
          <w:lang w:val="fr-FR"/>
        </w:rPr>
      </w:pPr>
      <w:r>
        <w:rPr>
          <w:b/>
          <w:bCs/>
          <w:lang w:val="fr-FR"/>
        </w:rPr>
        <w:t>Morbidité des enfants (de moins de 14 ans) atteints de maladies graves et chroniques</w:t>
      </w:r>
      <w:r>
        <w:rPr>
          <w:b/>
          <w:bCs/>
          <w:lang w:val="fr-FR"/>
        </w:rPr>
        <w:br/>
        <w:t>par principal groupe de maladies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368"/>
        <w:gridCol w:w="687"/>
        <w:gridCol w:w="687"/>
        <w:gridCol w:w="687"/>
        <w:gridCol w:w="687"/>
        <w:gridCol w:w="687"/>
        <w:gridCol w:w="689"/>
      </w:tblGrid>
      <w:tr w:rsidR="00000000">
        <w:tblPrEx>
          <w:tblCellMar>
            <w:top w:w="0" w:type="dxa"/>
            <w:bottom w:w="0" w:type="dxa"/>
          </w:tblCellMar>
        </w:tblPrEx>
        <w:trPr>
          <w:cantSplit/>
          <w:tblHeader/>
        </w:trPr>
        <w:tc>
          <w:tcPr>
            <w:tcW w:w="5368" w:type="dxa"/>
            <w:vAlign w:val="center"/>
          </w:tcPr>
          <w:p w:rsidR="00000000" w:rsidRDefault="00000000">
            <w:pPr>
              <w:spacing w:before="60" w:after="60"/>
              <w:rPr>
                <w:sz w:val="22"/>
                <w:szCs w:val="22"/>
              </w:rPr>
            </w:pPr>
          </w:p>
        </w:tc>
        <w:tc>
          <w:tcPr>
            <w:tcW w:w="687" w:type="dxa"/>
            <w:vAlign w:val="center"/>
          </w:tcPr>
          <w:p w:rsidR="00000000" w:rsidRDefault="00000000">
            <w:pPr>
              <w:spacing w:before="60" w:after="60"/>
              <w:jc w:val="center"/>
              <w:rPr>
                <w:sz w:val="22"/>
                <w:szCs w:val="22"/>
              </w:rPr>
            </w:pPr>
            <w:r>
              <w:rPr>
                <w:sz w:val="22"/>
                <w:szCs w:val="22"/>
              </w:rPr>
              <w:t>2000</w:t>
            </w:r>
          </w:p>
        </w:tc>
        <w:tc>
          <w:tcPr>
            <w:tcW w:w="687" w:type="dxa"/>
            <w:vAlign w:val="center"/>
          </w:tcPr>
          <w:p w:rsidR="00000000" w:rsidRDefault="00000000">
            <w:pPr>
              <w:spacing w:before="60" w:after="60"/>
              <w:jc w:val="center"/>
              <w:rPr>
                <w:sz w:val="22"/>
                <w:szCs w:val="22"/>
              </w:rPr>
            </w:pPr>
            <w:r>
              <w:rPr>
                <w:sz w:val="22"/>
                <w:szCs w:val="22"/>
              </w:rPr>
              <w:t>2001</w:t>
            </w:r>
          </w:p>
        </w:tc>
        <w:tc>
          <w:tcPr>
            <w:tcW w:w="687" w:type="dxa"/>
            <w:vAlign w:val="center"/>
          </w:tcPr>
          <w:p w:rsidR="00000000" w:rsidRDefault="00000000">
            <w:pPr>
              <w:spacing w:before="60" w:after="60"/>
              <w:jc w:val="center"/>
              <w:rPr>
                <w:sz w:val="22"/>
                <w:szCs w:val="22"/>
              </w:rPr>
            </w:pPr>
            <w:r>
              <w:rPr>
                <w:sz w:val="22"/>
                <w:szCs w:val="22"/>
              </w:rPr>
              <w:t>2002</w:t>
            </w:r>
          </w:p>
        </w:tc>
        <w:tc>
          <w:tcPr>
            <w:tcW w:w="687" w:type="dxa"/>
            <w:vAlign w:val="center"/>
          </w:tcPr>
          <w:p w:rsidR="00000000" w:rsidRDefault="00000000">
            <w:pPr>
              <w:spacing w:before="60" w:after="60"/>
              <w:jc w:val="center"/>
              <w:rPr>
                <w:sz w:val="22"/>
                <w:szCs w:val="22"/>
              </w:rPr>
            </w:pPr>
            <w:r>
              <w:rPr>
                <w:sz w:val="22"/>
                <w:szCs w:val="22"/>
              </w:rPr>
              <w:t>2003</w:t>
            </w:r>
          </w:p>
        </w:tc>
        <w:tc>
          <w:tcPr>
            <w:tcW w:w="687" w:type="dxa"/>
            <w:vAlign w:val="center"/>
          </w:tcPr>
          <w:p w:rsidR="00000000" w:rsidRDefault="00000000">
            <w:pPr>
              <w:spacing w:before="60" w:after="60"/>
              <w:jc w:val="center"/>
              <w:rPr>
                <w:sz w:val="22"/>
                <w:szCs w:val="22"/>
              </w:rPr>
            </w:pPr>
            <w:r>
              <w:rPr>
                <w:sz w:val="22"/>
                <w:szCs w:val="22"/>
              </w:rPr>
              <w:t>2004</w:t>
            </w:r>
          </w:p>
        </w:tc>
        <w:tc>
          <w:tcPr>
            <w:tcW w:w="689" w:type="dxa"/>
            <w:vAlign w:val="center"/>
          </w:tcPr>
          <w:p w:rsidR="00000000" w:rsidRDefault="00000000">
            <w:pPr>
              <w:spacing w:before="60" w:after="60"/>
              <w:jc w:val="center"/>
              <w:rPr>
                <w:sz w:val="22"/>
                <w:szCs w:val="22"/>
              </w:rPr>
            </w:pPr>
            <w:r>
              <w:rPr>
                <w:sz w:val="22"/>
                <w:szCs w:val="22"/>
              </w:rPr>
              <w:t>2005</w:t>
            </w:r>
          </w:p>
        </w:tc>
      </w:tr>
      <w:tr w:rsidR="00000000">
        <w:tblPrEx>
          <w:tblCellMar>
            <w:top w:w="0" w:type="dxa"/>
            <w:bottom w:w="0" w:type="dxa"/>
          </w:tblCellMar>
        </w:tblPrEx>
        <w:trPr>
          <w:cantSplit/>
        </w:trPr>
        <w:tc>
          <w:tcPr>
            <w:tcW w:w="5368" w:type="dxa"/>
          </w:tcPr>
          <w:p w:rsidR="00000000" w:rsidRDefault="00000000">
            <w:pPr>
              <w:spacing w:before="60" w:after="60"/>
              <w:rPr>
                <w:sz w:val="22"/>
                <w:szCs w:val="22"/>
              </w:rPr>
            </w:pPr>
            <w:r>
              <w:rPr>
                <w:sz w:val="22"/>
                <w:szCs w:val="22"/>
              </w:rPr>
              <w:t xml:space="preserve">Nombre de cas diagnostiqués pour la première fois (en milliers) </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144,9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154,2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190,2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221,1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237,3</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258,3</w:t>
            </w:r>
          </w:p>
        </w:tc>
      </w:tr>
      <w:tr w:rsidR="00000000">
        <w:tblPrEx>
          <w:tblCellMar>
            <w:top w:w="0" w:type="dxa"/>
            <w:bottom w:w="0" w:type="dxa"/>
          </w:tblCellMar>
        </w:tblPrEx>
        <w:trPr>
          <w:cantSplit/>
        </w:trPr>
        <w:tc>
          <w:tcPr>
            <w:tcW w:w="9492" w:type="dxa"/>
            <w:gridSpan w:val="7"/>
          </w:tcPr>
          <w:p w:rsidR="00000000" w:rsidRDefault="00000000">
            <w:pPr>
              <w:spacing w:before="60" w:after="60"/>
              <w:ind w:right="57"/>
              <w:rPr>
                <w:spacing w:val="-8"/>
                <w:sz w:val="22"/>
                <w:szCs w:val="22"/>
                <w:lang w:val="fr-FR"/>
              </w:rPr>
            </w:pPr>
            <w:r>
              <w:rPr>
                <w:sz w:val="22"/>
                <w:szCs w:val="22"/>
                <w:lang w:val="fr-FR"/>
              </w:rPr>
              <w:t>dont:</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infectieuses et parasitaires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15,3</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22,6</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23,2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24,1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32,6</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31,3</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Néoplasme</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0,07</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0,09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0,1</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0,1</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du système endocrinien, troubles de la digestion, troubles du métabolisme et de l’immunité</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11,9</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9,5</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9,5</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8,0</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6,6</w:t>
            </w:r>
          </w:p>
        </w:tc>
        <w:tc>
          <w:tcPr>
            <w:tcW w:w="689" w:type="dxa"/>
            <w:vAlign w:val="bottom"/>
          </w:tcPr>
          <w:p w:rsidR="00000000" w:rsidRDefault="00000000">
            <w:pPr>
              <w:spacing w:before="60" w:after="60"/>
              <w:ind w:right="57"/>
              <w:jc w:val="right"/>
              <w:rPr>
                <w:spacing w:val="-8"/>
                <w:sz w:val="22"/>
                <w:szCs w:val="22"/>
                <w:lang w:val="fr-FR"/>
              </w:rPr>
            </w:pPr>
            <w:r>
              <w:rPr>
                <w:spacing w:val="-8"/>
                <w:sz w:val="22"/>
                <w:szCs w:val="22"/>
                <w:lang w:val="fr-FR"/>
              </w:rPr>
              <w:t>7,9</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 xml:space="preserve">Maladies du sang et des organes formateurs du sang  </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3,8</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4,0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3,7</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4,8</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5,0</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Troubles psychiques et comportementaux</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0,6</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0,6</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1,6</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du système nerveux et des organes sensoriels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11,0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10,6</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12,7</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13,6</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15,7</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18,5</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cardio</w:t>
            </w:r>
            <w:r>
              <w:rPr>
                <w:sz w:val="22"/>
                <w:szCs w:val="22"/>
              </w:rPr>
              <w:noBreakHyphen/>
              <w:t xml:space="preserve">vasculaires </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1,7</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1,6</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1,6</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 xml:space="preserve">Maladies respiratoires </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76,5</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80,0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105,7</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137,1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139,4</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151,5</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des organes digestifs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6,0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7,1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6,8</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8,1</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12,6</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 xml:space="preserve">Maladies du système urogénital </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3,2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3,2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3,9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4,1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4,7</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4,9</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de la peau et des tissus sous-cutanés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7,0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5,6</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6,8</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9,7</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10,0</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10,7</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Maladies du système musculaire et osseux et des tissus conjonctifs</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0,6</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0,6</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0,6</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0,7</w:t>
            </w:r>
          </w:p>
        </w:tc>
        <w:tc>
          <w:tcPr>
            <w:tcW w:w="687" w:type="dxa"/>
            <w:vAlign w:val="bottom"/>
          </w:tcPr>
          <w:p w:rsidR="00000000" w:rsidRDefault="00000000">
            <w:pPr>
              <w:spacing w:before="60" w:after="60"/>
              <w:ind w:right="57"/>
              <w:jc w:val="right"/>
              <w:rPr>
                <w:spacing w:val="-8"/>
                <w:sz w:val="22"/>
                <w:szCs w:val="22"/>
                <w:lang w:val="fr-FR"/>
              </w:rPr>
            </w:pPr>
            <w:r>
              <w:rPr>
                <w:spacing w:val="-8"/>
                <w:sz w:val="22"/>
                <w:szCs w:val="22"/>
                <w:lang w:val="fr-FR"/>
              </w:rPr>
              <w:t>0,8</w:t>
            </w:r>
          </w:p>
        </w:tc>
        <w:tc>
          <w:tcPr>
            <w:tcW w:w="689" w:type="dxa"/>
            <w:vAlign w:val="bottom"/>
          </w:tcPr>
          <w:p w:rsidR="00000000" w:rsidRDefault="00000000">
            <w:pPr>
              <w:spacing w:before="60" w:after="60"/>
              <w:ind w:right="57"/>
              <w:jc w:val="right"/>
              <w:rPr>
                <w:spacing w:val="-8"/>
                <w:sz w:val="22"/>
                <w:szCs w:val="22"/>
                <w:lang w:val="fr-FR"/>
              </w:rPr>
            </w:pPr>
            <w:r>
              <w:rPr>
                <w:spacing w:val="-8"/>
                <w:sz w:val="22"/>
                <w:szCs w:val="22"/>
                <w:lang w:val="fr-FR"/>
              </w:rPr>
              <w:t>1,1</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Malformations congénitales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0,9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1,0</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1,0</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Affections périnatales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2,3</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2,5</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2,5</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Symptômes et causes non identifiés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1,2</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1,3</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1,2</w:t>
            </w:r>
          </w:p>
        </w:tc>
      </w:tr>
      <w:tr w:rsidR="00000000">
        <w:tblPrEx>
          <w:tblCellMar>
            <w:top w:w="0" w:type="dxa"/>
            <w:bottom w:w="0" w:type="dxa"/>
          </w:tblCellMar>
        </w:tblPrEx>
        <w:trPr>
          <w:cantSplit/>
        </w:trPr>
        <w:tc>
          <w:tcPr>
            <w:tcW w:w="5368" w:type="dxa"/>
          </w:tcPr>
          <w:p w:rsidR="00000000" w:rsidRDefault="00000000">
            <w:pPr>
              <w:spacing w:before="60" w:after="60"/>
              <w:ind w:left="284"/>
              <w:rPr>
                <w:sz w:val="22"/>
                <w:szCs w:val="22"/>
              </w:rPr>
            </w:pPr>
            <w:r>
              <w:rPr>
                <w:sz w:val="22"/>
                <w:szCs w:val="22"/>
              </w:rPr>
              <w:t>Blessures et empoisonnements</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4,4</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5,0</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6,9</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6,1</w:t>
            </w:r>
          </w:p>
        </w:tc>
        <w:tc>
          <w:tcPr>
            <w:tcW w:w="687" w:type="dxa"/>
            <w:vAlign w:val="center"/>
          </w:tcPr>
          <w:p w:rsidR="00000000" w:rsidRDefault="00000000">
            <w:pPr>
              <w:spacing w:before="60" w:after="60"/>
              <w:ind w:right="57"/>
              <w:jc w:val="right"/>
              <w:rPr>
                <w:spacing w:val="-8"/>
                <w:sz w:val="22"/>
                <w:szCs w:val="22"/>
                <w:lang w:val="fr-FR"/>
              </w:rPr>
            </w:pPr>
            <w:r>
              <w:rPr>
                <w:spacing w:val="-8"/>
                <w:sz w:val="22"/>
                <w:szCs w:val="22"/>
                <w:lang w:val="fr-FR"/>
              </w:rPr>
              <w:t>6,9</w:t>
            </w:r>
          </w:p>
        </w:tc>
        <w:tc>
          <w:tcPr>
            <w:tcW w:w="689" w:type="dxa"/>
            <w:vAlign w:val="center"/>
          </w:tcPr>
          <w:p w:rsidR="00000000" w:rsidRDefault="00000000">
            <w:pPr>
              <w:spacing w:before="60" w:after="60"/>
              <w:ind w:right="57"/>
              <w:jc w:val="right"/>
              <w:rPr>
                <w:spacing w:val="-8"/>
                <w:sz w:val="22"/>
                <w:szCs w:val="22"/>
                <w:lang w:val="fr-FR"/>
              </w:rPr>
            </w:pPr>
            <w:r>
              <w:rPr>
                <w:spacing w:val="-8"/>
                <w:sz w:val="22"/>
                <w:szCs w:val="22"/>
                <w:lang w:val="fr-FR"/>
              </w:rPr>
              <w:t>6,8</w:t>
            </w:r>
          </w:p>
        </w:tc>
      </w:tr>
    </w:tbl>
    <w:p w:rsidR="00000000" w:rsidRDefault="00000000">
      <w:pPr>
        <w:spacing w:before="240" w:after="240"/>
        <w:ind w:firstLine="567"/>
      </w:pPr>
      <w:r>
        <w:rPr>
          <w:bCs/>
          <w:i/>
          <w:iCs/>
        </w:rPr>
        <w:t>Source</w:t>
      </w:r>
      <w:r>
        <w:rPr>
          <w:bCs/>
        </w:rPr>
        <w:t xml:space="preserve">: </w:t>
      </w:r>
      <w:r>
        <w:t>Ministère du travail, de la santé et des affaires sociales.</w:t>
      </w:r>
    </w:p>
    <w:p w:rsidR="00000000" w:rsidRDefault="00000000">
      <w:pPr>
        <w:spacing w:after="240"/>
        <w:rPr>
          <w:b/>
        </w:rPr>
      </w:pPr>
      <w:r>
        <w:rPr>
          <w:b/>
        </w:rPr>
        <w:t>Santé des adolescents</w:t>
      </w:r>
    </w:p>
    <w:p w:rsidR="00000000" w:rsidRDefault="00000000">
      <w:pPr>
        <w:spacing w:after="240"/>
        <w:rPr>
          <w:bCs/>
        </w:rPr>
      </w:pPr>
      <w:r>
        <w:rPr>
          <w:bCs/>
        </w:rPr>
        <w:t>184.</w:t>
      </w:r>
      <w:r>
        <w:rPr>
          <w:bCs/>
        </w:rPr>
        <w:tab/>
        <w:t>Dans ses observations finales, le Comité recommande à l’État partie d’intensifier ses efforts en vue de promouvoir les politiques de santé des adolescents et de renforcer le programme d’éducation sanitaire en milieu scolaire. Il recommande en outre à l’État partie de prendre des mesures, y compris l’allocation de ressources humaines et financières suffisantes, pour évaluer l’efficacité des programmes d’éducation sanitaire, concernant en particulier la santé génésique, et de mettre en place des services de consultation, de soins et de réadaptation assurant le respect de la confidentialité et adaptés aux besoins des enfants et des jeunes, auxquels ces derniers pourraient avoir accès sans le consentement de leurs parents quand leur intérêt supérieur l’exige. L’État partie pourrait envisager de solliciter la coopération technique et les conseils de l’UNICEF et de l’Organisation mondiale de la santé (OMS).</w:t>
      </w:r>
    </w:p>
    <w:p w:rsidR="00000000" w:rsidRDefault="00000000">
      <w:pPr>
        <w:spacing w:after="240"/>
        <w:rPr>
          <w:bCs/>
        </w:rPr>
      </w:pPr>
      <w:r>
        <w:rPr>
          <w:bCs/>
        </w:rPr>
        <w:t>185.</w:t>
      </w:r>
      <w:r>
        <w:rPr>
          <w:bCs/>
        </w:rPr>
        <w:tab/>
        <w:t>À propos de ces recommandations, il convient de souligner d’abord que conformément à la loi sur les droits des patients, les services de santé destinés aux mineurs seront fournis dans le cadre des programmes médicaux publics (art. 39).</w:t>
      </w:r>
    </w:p>
    <w:p w:rsidR="00000000" w:rsidRDefault="00000000">
      <w:pPr>
        <w:spacing w:after="240"/>
        <w:rPr>
          <w:bCs/>
        </w:rPr>
      </w:pPr>
      <w:r>
        <w:rPr>
          <w:bCs/>
        </w:rPr>
        <w:t>186.</w:t>
      </w:r>
      <w:r>
        <w:rPr>
          <w:bCs/>
        </w:rPr>
        <w:tab/>
        <w:t>Le paragraphe 1 de l’article 40 de la loi stipule qu’un parent ou un représentant légitime d’un mineur a le droit d’obtenir en temps voulu des informations complètes, objectives et compréhensibles sur son état de santé. Toutefois, en vertu du paragraphe 2 b) de cet article, les informations en question ne peuvent leur être données s’il y a objection de la part d’un patient mineur âgé de 14 à 18 ans qui, de l’avis du prestataire de soins de santé, est capable de juger correctement de son état et qui a consulté un médecin pour soigner une maladie sexuellement transmissible ou un problème de toxicomanie, ou pour recevoir des conseils sur des méthodes de contraception non chirurgicales ou subir une interruption volontaire de grossesse.</w:t>
      </w:r>
    </w:p>
    <w:p w:rsidR="00000000" w:rsidRDefault="00000000">
      <w:pPr>
        <w:spacing w:after="240"/>
        <w:rPr>
          <w:bCs/>
        </w:rPr>
      </w:pPr>
      <w:r>
        <w:rPr>
          <w:bCs/>
        </w:rPr>
        <w:t>187.</w:t>
      </w:r>
      <w:r>
        <w:rPr>
          <w:bCs/>
        </w:rPr>
        <w:tab/>
        <w:t>Conformément à l’article 41 de cette loi, un patient mineur âgé de 14 à 18 ans qui, de l’avis du prestataire de soins de santé, est capable de juger correctement de son état de santé, a le droit de donner son consentement en connaissance de cause au service médical. Un mineur de moins de 16 ans ne peut bénéficier d’un service médical qu’avec le consentement d’un de ses parents ou des deux ou de son représentant légitime, sauf dans les cas prévus au paragraphe 2 b) de l’article 40 de la loi. Un mineur de plus de 16 ans a le droit de donner son consentement en connaissance de cause au service médical. Les parents ou les représentants légitimes du mineur doivent être avertis de sa décision en tant que patient.</w:t>
      </w:r>
    </w:p>
    <w:p w:rsidR="00000000" w:rsidRDefault="00000000">
      <w:pPr>
        <w:spacing w:after="240"/>
        <w:rPr>
          <w:bCs/>
        </w:rPr>
      </w:pPr>
      <w:r>
        <w:rPr>
          <w:bCs/>
        </w:rPr>
        <w:t>188.</w:t>
      </w:r>
      <w:r>
        <w:rPr>
          <w:bCs/>
        </w:rPr>
        <w:tab/>
        <w:t>Conformément à l’article 43 de la loi sur les droits des patients, un patient mineur a le droit d’être pleinement informé de son état de santé ou de son traitement médical. Les informations fournies doivent être adaptées à l’âge du patient et à ses capacités mentales.</w:t>
      </w:r>
    </w:p>
    <w:p w:rsidR="00000000" w:rsidRDefault="00000000">
      <w:pPr>
        <w:spacing w:after="240"/>
        <w:rPr>
          <w:bCs/>
        </w:rPr>
      </w:pPr>
      <w:r>
        <w:rPr>
          <w:bCs/>
        </w:rPr>
        <w:t>189.</w:t>
      </w:r>
      <w:r>
        <w:rPr>
          <w:bCs/>
        </w:rPr>
        <w:tab/>
        <w:t xml:space="preserve">D’autres données statistiques sur la situation en matière d’avortement sont fournies </w:t>
      </w:r>
      <w:proofErr w:type="spellStart"/>
      <w:r>
        <w:rPr>
          <w:bCs/>
        </w:rPr>
        <w:t>ci</w:t>
      </w:r>
      <w:r>
        <w:rPr>
          <w:bCs/>
        </w:rPr>
        <w:noBreakHyphen/>
        <w:t>dessous</w:t>
      </w:r>
      <w:proofErr w:type="spellEnd"/>
      <w:r>
        <w:rPr>
          <w:bCs/>
        </w:rPr>
        <w:t>.</w:t>
      </w:r>
    </w:p>
    <w:p w:rsidR="00000000" w:rsidRDefault="00000000">
      <w:pPr>
        <w:spacing w:after="240"/>
        <w:jc w:val="center"/>
        <w:rPr>
          <w:b/>
        </w:rPr>
      </w:pPr>
      <w:r>
        <w:rPr>
          <w:b/>
        </w:rPr>
        <w:t>Avortements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971"/>
        <w:gridCol w:w="1019"/>
        <w:gridCol w:w="966"/>
        <w:gridCol w:w="816"/>
        <w:gridCol w:w="985"/>
        <w:gridCol w:w="733"/>
        <w:gridCol w:w="1002"/>
      </w:tblGrid>
      <w:tr w:rsidR="00000000">
        <w:tblPrEx>
          <w:tblCellMar>
            <w:top w:w="0" w:type="dxa"/>
            <w:bottom w:w="0" w:type="dxa"/>
          </w:tblCellMar>
        </w:tblPrEx>
        <w:trPr>
          <w:cantSplit/>
          <w:jc w:val="center"/>
        </w:trPr>
        <w:tc>
          <w:tcPr>
            <w:tcW w:w="2091" w:type="pct"/>
            <w:vAlign w:val="center"/>
          </w:tcPr>
          <w:p w:rsidR="00000000" w:rsidRDefault="00000000">
            <w:pPr>
              <w:spacing w:before="60" w:after="60"/>
              <w:rPr>
                <w:sz w:val="22"/>
                <w:lang w:val="fr-FR"/>
              </w:rPr>
            </w:pPr>
          </w:p>
        </w:tc>
        <w:tc>
          <w:tcPr>
            <w:tcW w:w="537" w:type="pct"/>
            <w:vAlign w:val="bottom"/>
          </w:tcPr>
          <w:p w:rsidR="00000000" w:rsidRDefault="00000000">
            <w:pPr>
              <w:spacing w:before="60" w:after="60"/>
              <w:jc w:val="center"/>
              <w:rPr>
                <w:sz w:val="22"/>
                <w:lang w:val="fr-FR"/>
              </w:rPr>
            </w:pPr>
            <w:r>
              <w:rPr>
                <w:sz w:val="22"/>
                <w:lang w:val="fr-FR"/>
              </w:rPr>
              <w:t>1999</w:t>
            </w:r>
          </w:p>
        </w:tc>
        <w:tc>
          <w:tcPr>
            <w:tcW w:w="509" w:type="pct"/>
            <w:vAlign w:val="bottom"/>
          </w:tcPr>
          <w:p w:rsidR="00000000" w:rsidRDefault="00000000">
            <w:pPr>
              <w:spacing w:before="60" w:after="60"/>
              <w:jc w:val="center"/>
              <w:rPr>
                <w:sz w:val="22"/>
                <w:lang w:val="fr-FR"/>
              </w:rPr>
            </w:pPr>
            <w:r>
              <w:rPr>
                <w:sz w:val="22"/>
                <w:lang w:val="fr-FR"/>
              </w:rPr>
              <w:t>2000</w:t>
            </w:r>
          </w:p>
        </w:tc>
        <w:tc>
          <w:tcPr>
            <w:tcW w:w="430" w:type="pct"/>
            <w:vAlign w:val="bottom"/>
          </w:tcPr>
          <w:p w:rsidR="00000000" w:rsidRDefault="00000000">
            <w:pPr>
              <w:spacing w:before="60" w:after="60"/>
              <w:jc w:val="center"/>
              <w:rPr>
                <w:sz w:val="22"/>
                <w:lang w:val="fr-FR"/>
              </w:rPr>
            </w:pPr>
            <w:r>
              <w:rPr>
                <w:sz w:val="22"/>
                <w:lang w:val="fr-FR"/>
              </w:rPr>
              <w:t>2001</w:t>
            </w:r>
          </w:p>
        </w:tc>
        <w:tc>
          <w:tcPr>
            <w:tcW w:w="519" w:type="pct"/>
            <w:vAlign w:val="bottom"/>
          </w:tcPr>
          <w:p w:rsidR="00000000" w:rsidRDefault="00000000">
            <w:pPr>
              <w:spacing w:before="60" w:after="60"/>
              <w:jc w:val="center"/>
              <w:rPr>
                <w:sz w:val="22"/>
                <w:lang w:val="fr-FR"/>
              </w:rPr>
            </w:pPr>
            <w:r>
              <w:rPr>
                <w:sz w:val="22"/>
                <w:lang w:val="fr-FR"/>
              </w:rPr>
              <w:t>2002</w:t>
            </w:r>
          </w:p>
        </w:tc>
        <w:tc>
          <w:tcPr>
            <w:tcW w:w="386" w:type="pct"/>
            <w:vAlign w:val="bottom"/>
          </w:tcPr>
          <w:p w:rsidR="00000000" w:rsidRDefault="00000000">
            <w:pPr>
              <w:spacing w:before="60" w:after="60"/>
              <w:jc w:val="center"/>
              <w:rPr>
                <w:sz w:val="22"/>
                <w:lang w:val="fr-FR"/>
              </w:rPr>
            </w:pPr>
            <w:r>
              <w:rPr>
                <w:sz w:val="22"/>
                <w:lang w:val="fr-FR"/>
              </w:rPr>
              <w:t>2003</w:t>
            </w:r>
          </w:p>
        </w:tc>
        <w:tc>
          <w:tcPr>
            <w:tcW w:w="528" w:type="pct"/>
            <w:vAlign w:val="bottom"/>
          </w:tcPr>
          <w:p w:rsidR="00000000" w:rsidRDefault="00000000">
            <w:pPr>
              <w:spacing w:before="60" w:after="60"/>
              <w:jc w:val="center"/>
              <w:rPr>
                <w:sz w:val="22"/>
                <w:lang w:val="fr-FR"/>
              </w:rPr>
            </w:pPr>
            <w:r>
              <w:rPr>
                <w:sz w:val="22"/>
                <w:lang w:val="fr-FR"/>
              </w:rPr>
              <w:t>2004</w:t>
            </w:r>
          </w:p>
        </w:tc>
      </w:tr>
      <w:tr w:rsidR="00000000">
        <w:tblPrEx>
          <w:tblCellMar>
            <w:top w:w="0" w:type="dxa"/>
            <w:bottom w:w="0" w:type="dxa"/>
          </w:tblCellMar>
        </w:tblPrEx>
        <w:trPr>
          <w:cantSplit/>
          <w:jc w:val="center"/>
        </w:trPr>
        <w:tc>
          <w:tcPr>
            <w:tcW w:w="2091" w:type="pct"/>
            <w:vAlign w:val="bottom"/>
          </w:tcPr>
          <w:p w:rsidR="00000000" w:rsidRDefault="00000000">
            <w:pPr>
              <w:spacing w:before="60" w:after="60"/>
              <w:rPr>
                <w:sz w:val="22"/>
                <w:szCs w:val="22"/>
              </w:rPr>
            </w:pPr>
            <w:r>
              <w:rPr>
                <w:sz w:val="22"/>
                <w:szCs w:val="22"/>
              </w:rPr>
              <w:t>Avortements enregistrés (en milliers)</w:t>
            </w:r>
          </w:p>
        </w:tc>
        <w:tc>
          <w:tcPr>
            <w:tcW w:w="537" w:type="pct"/>
            <w:vAlign w:val="bottom"/>
          </w:tcPr>
          <w:p w:rsidR="00000000" w:rsidRDefault="00000000">
            <w:pPr>
              <w:spacing w:before="60" w:after="60"/>
              <w:ind w:right="57"/>
              <w:jc w:val="right"/>
              <w:rPr>
                <w:sz w:val="22"/>
                <w:szCs w:val="22"/>
                <w:lang w:val="fr-FR"/>
              </w:rPr>
            </w:pPr>
            <w:r>
              <w:rPr>
                <w:sz w:val="22"/>
                <w:szCs w:val="22"/>
                <w:lang w:val="fr-FR"/>
              </w:rPr>
              <w:t>18,3</w:t>
            </w:r>
          </w:p>
        </w:tc>
        <w:tc>
          <w:tcPr>
            <w:tcW w:w="509" w:type="pct"/>
            <w:vAlign w:val="bottom"/>
          </w:tcPr>
          <w:p w:rsidR="00000000" w:rsidRDefault="00000000">
            <w:pPr>
              <w:spacing w:before="60" w:after="60"/>
              <w:ind w:right="57"/>
              <w:jc w:val="right"/>
              <w:rPr>
                <w:sz w:val="22"/>
                <w:szCs w:val="22"/>
                <w:lang w:val="fr-FR"/>
              </w:rPr>
            </w:pPr>
            <w:r>
              <w:rPr>
                <w:sz w:val="22"/>
                <w:szCs w:val="22"/>
                <w:lang w:val="fr-FR"/>
              </w:rPr>
              <w:t>15,0</w:t>
            </w:r>
          </w:p>
        </w:tc>
        <w:tc>
          <w:tcPr>
            <w:tcW w:w="430" w:type="pct"/>
            <w:vAlign w:val="bottom"/>
          </w:tcPr>
          <w:p w:rsidR="00000000" w:rsidRDefault="00000000">
            <w:pPr>
              <w:spacing w:before="60" w:after="60"/>
              <w:ind w:right="57"/>
              <w:jc w:val="right"/>
              <w:rPr>
                <w:sz w:val="22"/>
                <w:szCs w:val="22"/>
                <w:lang w:val="fr-FR"/>
              </w:rPr>
            </w:pPr>
            <w:r>
              <w:rPr>
                <w:sz w:val="22"/>
                <w:szCs w:val="22"/>
                <w:lang w:val="fr-FR"/>
              </w:rPr>
              <w:t>15,0</w:t>
            </w:r>
          </w:p>
        </w:tc>
        <w:tc>
          <w:tcPr>
            <w:tcW w:w="519" w:type="pct"/>
            <w:vAlign w:val="bottom"/>
          </w:tcPr>
          <w:p w:rsidR="00000000" w:rsidRDefault="00000000">
            <w:pPr>
              <w:spacing w:before="60" w:after="60"/>
              <w:ind w:right="57"/>
              <w:jc w:val="right"/>
              <w:rPr>
                <w:sz w:val="22"/>
                <w:szCs w:val="22"/>
                <w:lang w:val="fr-FR"/>
              </w:rPr>
            </w:pPr>
            <w:r>
              <w:rPr>
                <w:sz w:val="22"/>
                <w:szCs w:val="22"/>
                <w:lang w:val="fr-FR"/>
              </w:rPr>
              <w:t>13,9</w:t>
            </w:r>
          </w:p>
        </w:tc>
        <w:tc>
          <w:tcPr>
            <w:tcW w:w="386" w:type="pct"/>
            <w:vAlign w:val="bottom"/>
          </w:tcPr>
          <w:p w:rsidR="00000000" w:rsidRDefault="00000000">
            <w:pPr>
              <w:spacing w:before="60" w:after="60"/>
              <w:ind w:right="57"/>
              <w:jc w:val="right"/>
              <w:rPr>
                <w:sz w:val="22"/>
                <w:szCs w:val="22"/>
                <w:lang w:val="fr-FR"/>
              </w:rPr>
            </w:pPr>
            <w:r>
              <w:rPr>
                <w:sz w:val="22"/>
                <w:szCs w:val="22"/>
                <w:lang w:val="fr-FR"/>
              </w:rPr>
              <w:t>13,8</w:t>
            </w:r>
          </w:p>
        </w:tc>
        <w:tc>
          <w:tcPr>
            <w:tcW w:w="528" w:type="pct"/>
            <w:vAlign w:val="bottom"/>
          </w:tcPr>
          <w:p w:rsidR="00000000" w:rsidRDefault="00000000">
            <w:pPr>
              <w:spacing w:before="60" w:after="60"/>
              <w:ind w:right="57"/>
              <w:jc w:val="right"/>
              <w:rPr>
                <w:sz w:val="22"/>
                <w:szCs w:val="22"/>
                <w:lang w:val="fr-FR"/>
              </w:rPr>
            </w:pPr>
            <w:r>
              <w:rPr>
                <w:sz w:val="22"/>
                <w:szCs w:val="22"/>
                <w:lang w:val="fr-FR"/>
              </w:rPr>
              <w:t>17,2</w:t>
            </w:r>
          </w:p>
        </w:tc>
      </w:tr>
      <w:tr w:rsidR="00000000">
        <w:tblPrEx>
          <w:tblCellMar>
            <w:top w:w="0" w:type="dxa"/>
            <w:bottom w:w="0" w:type="dxa"/>
          </w:tblCellMar>
        </w:tblPrEx>
        <w:trPr>
          <w:cantSplit/>
          <w:jc w:val="center"/>
        </w:trPr>
        <w:tc>
          <w:tcPr>
            <w:tcW w:w="2091" w:type="pct"/>
            <w:vAlign w:val="bottom"/>
          </w:tcPr>
          <w:p w:rsidR="00000000" w:rsidRDefault="00000000">
            <w:pPr>
              <w:spacing w:before="60" w:after="60"/>
              <w:ind w:left="284"/>
              <w:rPr>
                <w:sz w:val="22"/>
                <w:szCs w:val="22"/>
              </w:rPr>
            </w:pPr>
            <w:r>
              <w:rPr>
                <w:sz w:val="22"/>
                <w:szCs w:val="22"/>
              </w:rPr>
              <w:t>dont mini-avortements (en milliers)</w:t>
            </w:r>
          </w:p>
        </w:tc>
        <w:tc>
          <w:tcPr>
            <w:tcW w:w="537" w:type="pct"/>
            <w:vAlign w:val="bottom"/>
          </w:tcPr>
          <w:p w:rsidR="00000000" w:rsidRDefault="00000000">
            <w:pPr>
              <w:spacing w:before="60" w:after="60"/>
              <w:ind w:right="57"/>
              <w:jc w:val="right"/>
              <w:rPr>
                <w:sz w:val="22"/>
                <w:szCs w:val="22"/>
              </w:rPr>
            </w:pPr>
            <w:r>
              <w:rPr>
                <w:sz w:val="22"/>
                <w:szCs w:val="22"/>
                <w:lang w:val="fr-FR"/>
              </w:rPr>
              <w:t>6,</w:t>
            </w:r>
            <w:r>
              <w:rPr>
                <w:sz w:val="22"/>
                <w:szCs w:val="22"/>
              </w:rPr>
              <w:t>5</w:t>
            </w:r>
          </w:p>
        </w:tc>
        <w:tc>
          <w:tcPr>
            <w:tcW w:w="509" w:type="pct"/>
            <w:vAlign w:val="bottom"/>
          </w:tcPr>
          <w:p w:rsidR="00000000" w:rsidRDefault="00000000">
            <w:pPr>
              <w:spacing w:before="60" w:after="60"/>
              <w:ind w:right="57"/>
              <w:jc w:val="right"/>
              <w:rPr>
                <w:sz w:val="22"/>
                <w:szCs w:val="22"/>
              </w:rPr>
            </w:pPr>
            <w:r>
              <w:rPr>
                <w:sz w:val="22"/>
                <w:szCs w:val="22"/>
              </w:rPr>
              <w:t>5,4</w:t>
            </w:r>
          </w:p>
        </w:tc>
        <w:tc>
          <w:tcPr>
            <w:tcW w:w="430" w:type="pct"/>
            <w:vAlign w:val="bottom"/>
          </w:tcPr>
          <w:p w:rsidR="00000000" w:rsidRDefault="00000000">
            <w:pPr>
              <w:spacing w:before="60" w:after="60"/>
              <w:ind w:right="57"/>
              <w:jc w:val="right"/>
              <w:rPr>
                <w:sz w:val="22"/>
                <w:szCs w:val="22"/>
              </w:rPr>
            </w:pPr>
            <w:r>
              <w:rPr>
                <w:sz w:val="22"/>
                <w:szCs w:val="22"/>
              </w:rPr>
              <w:t>5,3</w:t>
            </w:r>
          </w:p>
        </w:tc>
        <w:tc>
          <w:tcPr>
            <w:tcW w:w="519" w:type="pct"/>
            <w:vAlign w:val="bottom"/>
          </w:tcPr>
          <w:p w:rsidR="00000000" w:rsidRDefault="00000000">
            <w:pPr>
              <w:spacing w:before="60" w:after="60"/>
              <w:ind w:right="57"/>
              <w:jc w:val="right"/>
              <w:rPr>
                <w:sz w:val="22"/>
                <w:szCs w:val="22"/>
              </w:rPr>
            </w:pPr>
            <w:r>
              <w:rPr>
                <w:sz w:val="22"/>
                <w:szCs w:val="22"/>
              </w:rPr>
              <w:t>5,1</w:t>
            </w:r>
          </w:p>
        </w:tc>
        <w:tc>
          <w:tcPr>
            <w:tcW w:w="386" w:type="pct"/>
            <w:vAlign w:val="bottom"/>
          </w:tcPr>
          <w:p w:rsidR="00000000" w:rsidRDefault="00000000">
            <w:pPr>
              <w:spacing w:before="60" w:after="60"/>
              <w:ind w:right="57"/>
              <w:jc w:val="right"/>
              <w:rPr>
                <w:sz w:val="22"/>
                <w:szCs w:val="22"/>
              </w:rPr>
            </w:pPr>
            <w:r>
              <w:rPr>
                <w:sz w:val="22"/>
                <w:szCs w:val="22"/>
              </w:rPr>
              <w:t>5,2</w:t>
            </w:r>
          </w:p>
        </w:tc>
        <w:tc>
          <w:tcPr>
            <w:tcW w:w="528" w:type="pct"/>
            <w:vAlign w:val="bottom"/>
          </w:tcPr>
          <w:p w:rsidR="00000000" w:rsidRDefault="00000000">
            <w:pPr>
              <w:spacing w:before="60" w:after="60"/>
              <w:ind w:right="57"/>
              <w:jc w:val="right"/>
              <w:rPr>
                <w:sz w:val="22"/>
                <w:szCs w:val="22"/>
              </w:rPr>
            </w:pPr>
            <w:r>
              <w:rPr>
                <w:sz w:val="22"/>
                <w:szCs w:val="22"/>
              </w:rPr>
              <w:t>6,6</w:t>
            </w:r>
          </w:p>
        </w:tc>
      </w:tr>
      <w:tr w:rsidR="00000000">
        <w:tblPrEx>
          <w:tblCellMar>
            <w:top w:w="0" w:type="dxa"/>
            <w:bottom w:w="0" w:type="dxa"/>
          </w:tblCellMar>
        </w:tblPrEx>
        <w:trPr>
          <w:cantSplit/>
          <w:jc w:val="center"/>
        </w:trPr>
        <w:tc>
          <w:tcPr>
            <w:tcW w:w="2091" w:type="pct"/>
            <w:vAlign w:val="bottom"/>
          </w:tcPr>
          <w:p w:rsidR="00000000" w:rsidRDefault="00000000">
            <w:pPr>
              <w:spacing w:before="60" w:after="60"/>
              <w:rPr>
                <w:sz w:val="22"/>
                <w:szCs w:val="22"/>
              </w:rPr>
            </w:pPr>
            <w:r>
              <w:rPr>
                <w:sz w:val="22"/>
                <w:szCs w:val="22"/>
              </w:rPr>
              <w:t xml:space="preserve">Nombre d’avortements selon l’âge </w:t>
            </w:r>
          </w:p>
        </w:tc>
        <w:tc>
          <w:tcPr>
            <w:tcW w:w="537" w:type="pct"/>
            <w:vAlign w:val="bottom"/>
          </w:tcPr>
          <w:p w:rsidR="00000000" w:rsidRDefault="00000000">
            <w:pPr>
              <w:spacing w:before="60" w:after="60"/>
              <w:ind w:right="57"/>
              <w:jc w:val="right"/>
              <w:rPr>
                <w:sz w:val="22"/>
                <w:szCs w:val="22"/>
                <w:lang w:val="fr-FR"/>
              </w:rPr>
            </w:pPr>
          </w:p>
        </w:tc>
        <w:tc>
          <w:tcPr>
            <w:tcW w:w="509" w:type="pct"/>
            <w:vAlign w:val="bottom"/>
          </w:tcPr>
          <w:p w:rsidR="00000000" w:rsidRDefault="00000000">
            <w:pPr>
              <w:spacing w:before="60" w:after="60"/>
              <w:ind w:right="57"/>
              <w:jc w:val="right"/>
              <w:rPr>
                <w:sz w:val="22"/>
                <w:szCs w:val="22"/>
                <w:lang w:val="fr-FR"/>
              </w:rPr>
            </w:pPr>
          </w:p>
        </w:tc>
        <w:tc>
          <w:tcPr>
            <w:tcW w:w="430" w:type="pct"/>
            <w:vAlign w:val="bottom"/>
          </w:tcPr>
          <w:p w:rsidR="00000000" w:rsidRDefault="00000000">
            <w:pPr>
              <w:spacing w:before="60" w:after="60"/>
              <w:ind w:right="57"/>
              <w:jc w:val="right"/>
              <w:rPr>
                <w:sz w:val="22"/>
                <w:szCs w:val="22"/>
                <w:lang w:val="fr-FR"/>
              </w:rPr>
            </w:pPr>
          </w:p>
        </w:tc>
        <w:tc>
          <w:tcPr>
            <w:tcW w:w="519" w:type="pct"/>
            <w:vAlign w:val="bottom"/>
          </w:tcPr>
          <w:p w:rsidR="00000000" w:rsidRDefault="00000000">
            <w:pPr>
              <w:spacing w:before="60" w:after="60"/>
              <w:ind w:right="57"/>
              <w:jc w:val="right"/>
              <w:rPr>
                <w:sz w:val="22"/>
                <w:szCs w:val="22"/>
                <w:lang w:val="fr-FR"/>
              </w:rPr>
            </w:pPr>
          </w:p>
        </w:tc>
        <w:tc>
          <w:tcPr>
            <w:tcW w:w="386" w:type="pct"/>
            <w:vAlign w:val="bottom"/>
          </w:tcPr>
          <w:p w:rsidR="00000000" w:rsidRDefault="00000000">
            <w:pPr>
              <w:spacing w:before="60" w:after="60"/>
              <w:ind w:right="57"/>
              <w:jc w:val="right"/>
              <w:rPr>
                <w:sz w:val="22"/>
                <w:szCs w:val="22"/>
                <w:lang w:val="fr-FR"/>
              </w:rPr>
            </w:pPr>
          </w:p>
        </w:tc>
        <w:tc>
          <w:tcPr>
            <w:tcW w:w="528" w:type="pct"/>
            <w:vAlign w:val="bottom"/>
          </w:tcPr>
          <w:p w:rsidR="00000000" w:rsidRDefault="00000000">
            <w:pPr>
              <w:spacing w:before="60" w:after="60"/>
              <w:ind w:right="57"/>
              <w:jc w:val="right"/>
              <w:rPr>
                <w:sz w:val="22"/>
                <w:szCs w:val="22"/>
                <w:lang w:val="fr-FR"/>
              </w:rPr>
            </w:pPr>
          </w:p>
        </w:tc>
      </w:tr>
      <w:tr w:rsidR="00000000">
        <w:tblPrEx>
          <w:tblCellMar>
            <w:top w:w="0" w:type="dxa"/>
            <w:bottom w:w="0" w:type="dxa"/>
          </w:tblCellMar>
        </w:tblPrEx>
        <w:trPr>
          <w:cantSplit/>
          <w:jc w:val="center"/>
        </w:trPr>
        <w:tc>
          <w:tcPr>
            <w:tcW w:w="2091" w:type="pct"/>
            <w:vAlign w:val="bottom"/>
          </w:tcPr>
          <w:p w:rsidR="00000000" w:rsidRDefault="00000000">
            <w:pPr>
              <w:spacing w:before="60" w:after="60"/>
              <w:ind w:left="284"/>
              <w:rPr>
                <w:sz w:val="22"/>
                <w:szCs w:val="22"/>
              </w:rPr>
            </w:pPr>
            <w:r>
              <w:rPr>
                <w:sz w:val="22"/>
                <w:szCs w:val="22"/>
              </w:rPr>
              <w:t>Moins de 15 ans</w:t>
            </w:r>
          </w:p>
        </w:tc>
        <w:tc>
          <w:tcPr>
            <w:tcW w:w="537" w:type="pct"/>
            <w:vAlign w:val="bottom"/>
          </w:tcPr>
          <w:p w:rsidR="00000000" w:rsidRDefault="00000000">
            <w:pPr>
              <w:spacing w:before="60" w:after="60"/>
              <w:ind w:right="57"/>
              <w:jc w:val="right"/>
              <w:rPr>
                <w:sz w:val="22"/>
                <w:szCs w:val="22"/>
              </w:rPr>
            </w:pPr>
            <w:r>
              <w:rPr>
                <w:sz w:val="22"/>
                <w:szCs w:val="22"/>
              </w:rPr>
              <w:t>3</w:t>
            </w:r>
          </w:p>
        </w:tc>
        <w:tc>
          <w:tcPr>
            <w:tcW w:w="509" w:type="pct"/>
            <w:vAlign w:val="bottom"/>
          </w:tcPr>
          <w:p w:rsidR="00000000" w:rsidRDefault="00000000">
            <w:pPr>
              <w:spacing w:before="60" w:after="60"/>
              <w:ind w:right="57"/>
              <w:jc w:val="right"/>
              <w:rPr>
                <w:sz w:val="22"/>
                <w:szCs w:val="22"/>
              </w:rPr>
            </w:pPr>
            <w:r>
              <w:rPr>
                <w:sz w:val="22"/>
                <w:szCs w:val="22"/>
              </w:rPr>
              <w:t>1</w:t>
            </w:r>
          </w:p>
        </w:tc>
        <w:tc>
          <w:tcPr>
            <w:tcW w:w="430" w:type="pct"/>
            <w:vAlign w:val="bottom"/>
          </w:tcPr>
          <w:p w:rsidR="00000000" w:rsidRDefault="00000000">
            <w:pPr>
              <w:spacing w:before="60" w:after="60"/>
              <w:ind w:right="57"/>
              <w:jc w:val="right"/>
              <w:rPr>
                <w:sz w:val="22"/>
                <w:szCs w:val="22"/>
              </w:rPr>
            </w:pPr>
            <w:r>
              <w:rPr>
                <w:sz w:val="22"/>
                <w:szCs w:val="22"/>
              </w:rPr>
              <w:t>1</w:t>
            </w:r>
          </w:p>
        </w:tc>
        <w:tc>
          <w:tcPr>
            <w:tcW w:w="519" w:type="pct"/>
            <w:vAlign w:val="bottom"/>
          </w:tcPr>
          <w:p w:rsidR="00000000" w:rsidRDefault="00000000">
            <w:pPr>
              <w:spacing w:before="60" w:after="60"/>
              <w:ind w:right="57"/>
              <w:jc w:val="right"/>
              <w:rPr>
                <w:sz w:val="22"/>
                <w:szCs w:val="22"/>
              </w:rPr>
            </w:pPr>
            <w:r>
              <w:rPr>
                <w:sz w:val="22"/>
                <w:szCs w:val="22"/>
              </w:rPr>
              <w:t>9</w:t>
            </w:r>
          </w:p>
        </w:tc>
        <w:tc>
          <w:tcPr>
            <w:tcW w:w="386" w:type="pct"/>
            <w:vAlign w:val="bottom"/>
          </w:tcPr>
          <w:p w:rsidR="00000000" w:rsidRDefault="00000000">
            <w:pPr>
              <w:spacing w:before="60" w:after="60"/>
              <w:ind w:right="57"/>
              <w:jc w:val="right"/>
              <w:rPr>
                <w:sz w:val="22"/>
                <w:szCs w:val="22"/>
              </w:rPr>
            </w:pPr>
            <w:r>
              <w:rPr>
                <w:sz w:val="22"/>
                <w:szCs w:val="22"/>
              </w:rPr>
              <w:t>2</w:t>
            </w:r>
          </w:p>
        </w:tc>
        <w:tc>
          <w:tcPr>
            <w:tcW w:w="528" w:type="pct"/>
            <w:vAlign w:val="bottom"/>
          </w:tcPr>
          <w:p w:rsidR="00000000" w:rsidRDefault="00000000">
            <w:pPr>
              <w:spacing w:before="60" w:after="60"/>
              <w:ind w:right="57"/>
              <w:jc w:val="right"/>
              <w:rPr>
                <w:sz w:val="22"/>
                <w:szCs w:val="22"/>
              </w:rPr>
            </w:pPr>
            <w:r>
              <w:rPr>
                <w:sz w:val="22"/>
                <w:szCs w:val="22"/>
              </w:rPr>
              <w:t>6</w:t>
            </w:r>
          </w:p>
        </w:tc>
      </w:tr>
      <w:tr w:rsidR="00000000">
        <w:tblPrEx>
          <w:tblCellMar>
            <w:top w:w="0" w:type="dxa"/>
            <w:bottom w:w="0" w:type="dxa"/>
          </w:tblCellMar>
        </w:tblPrEx>
        <w:trPr>
          <w:cantSplit/>
          <w:jc w:val="center"/>
        </w:trPr>
        <w:tc>
          <w:tcPr>
            <w:tcW w:w="2091" w:type="pct"/>
            <w:vAlign w:val="bottom"/>
          </w:tcPr>
          <w:p w:rsidR="00000000" w:rsidRDefault="00000000">
            <w:pPr>
              <w:spacing w:before="60" w:after="60"/>
              <w:ind w:left="284"/>
              <w:rPr>
                <w:sz w:val="22"/>
                <w:szCs w:val="22"/>
              </w:rPr>
            </w:pPr>
            <w:r>
              <w:rPr>
                <w:sz w:val="22"/>
                <w:szCs w:val="22"/>
              </w:rPr>
              <w:t>15 à 19 ans</w:t>
            </w:r>
          </w:p>
        </w:tc>
        <w:tc>
          <w:tcPr>
            <w:tcW w:w="537" w:type="pct"/>
            <w:vAlign w:val="bottom"/>
          </w:tcPr>
          <w:p w:rsidR="00000000" w:rsidRDefault="00000000">
            <w:pPr>
              <w:spacing w:before="60" w:after="60"/>
              <w:ind w:right="57"/>
              <w:jc w:val="right"/>
              <w:rPr>
                <w:sz w:val="22"/>
                <w:szCs w:val="22"/>
              </w:rPr>
            </w:pPr>
            <w:r>
              <w:rPr>
                <w:sz w:val="22"/>
                <w:szCs w:val="22"/>
              </w:rPr>
              <w:t>866</w:t>
            </w:r>
          </w:p>
        </w:tc>
        <w:tc>
          <w:tcPr>
            <w:tcW w:w="509" w:type="pct"/>
            <w:vAlign w:val="bottom"/>
          </w:tcPr>
          <w:p w:rsidR="00000000" w:rsidRDefault="00000000">
            <w:pPr>
              <w:spacing w:before="60" w:after="60"/>
              <w:ind w:right="57"/>
              <w:jc w:val="right"/>
              <w:rPr>
                <w:sz w:val="22"/>
                <w:szCs w:val="22"/>
              </w:rPr>
            </w:pPr>
            <w:r>
              <w:rPr>
                <w:sz w:val="22"/>
                <w:szCs w:val="22"/>
              </w:rPr>
              <w:t>787</w:t>
            </w:r>
          </w:p>
        </w:tc>
        <w:tc>
          <w:tcPr>
            <w:tcW w:w="430" w:type="pct"/>
            <w:vAlign w:val="bottom"/>
          </w:tcPr>
          <w:p w:rsidR="00000000" w:rsidRDefault="00000000">
            <w:pPr>
              <w:spacing w:before="60" w:after="60"/>
              <w:ind w:right="57"/>
              <w:jc w:val="right"/>
              <w:rPr>
                <w:sz w:val="22"/>
                <w:szCs w:val="22"/>
              </w:rPr>
            </w:pPr>
            <w:r>
              <w:rPr>
                <w:sz w:val="22"/>
                <w:szCs w:val="22"/>
              </w:rPr>
              <w:t>857</w:t>
            </w:r>
          </w:p>
        </w:tc>
        <w:tc>
          <w:tcPr>
            <w:tcW w:w="519" w:type="pct"/>
            <w:vAlign w:val="bottom"/>
          </w:tcPr>
          <w:p w:rsidR="00000000" w:rsidRDefault="00000000">
            <w:pPr>
              <w:spacing w:before="60" w:after="60"/>
              <w:ind w:right="57"/>
              <w:jc w:val="right"/>
              <w:rPr>
                <w:sz w:val="22"/>
                <w:szCs w:val="22"/>
              </w:rPr>
            </w:pPr>
            <w:r>
              <w:rPr>
                <w:sz w:val="22"/>
                <w:szCs w:val="22"/>
              </w:rPr>
              <w:t>789</w:t>
            </w:r>
          </w:p>
        </w:tc>
        <w:tc>
          <w:tcPr>
            <w:tcW w:w="386" w:type="pct"/>
            <w:vAlign w:val="bottom"/>
          </w:tcPr>
          <w:p w:rsidR="00000000" w:rsidRDefault="00000000">
            <w:pPr>
              <w:spacing w:before="60" w:after="60"/>
              <w:ind w:right="57"/>
              <w:jc w:val="right"/>
              <w:rPr>
                <w:sz w:val="22"/>
                <w:szCs w:val="22"/>
              </w:rPr>
            </w:pPr>
            <w:r>
              <w:rPr>
                <w:sz w:val="22"/>
                <w:szCs w:val="22"/>
              </w:rPr>
              <w:t>897</w:t>
            </w:r>
          </w:p>
        </w:tc>
        <w:tc>
          <w:tcPr>
            <w:tcW w:w="528" w:type="pct"/>
            <w:vAlign w:val="bottom"/>
          </w:tcPr>
          <w:p w:rsidR="00000000" w:rsidRDefault="00000000">
            <w:pPr>
              <w:spacing w:before="60" w:after="60"/>
              <w:ind w:right="57"/>
              <w:jc w:val="right"/>
              <w:rPr>
                <w:rFonts w:cs="Arial"/>
                <w:sz w:val="22"/>
                <w:szCs w:val="22"/>
              </w:rPr>
            </w:pPr>
            <w:r>
              <w:rPr>
                <w:sz w:val="22"/>
                <w:szCs w:val="22"/>
              </w:rPr>
              <w:t>1 494</w:t>
            </w:r>
          </w:p>
        </w:tc>
      </w:tr>
    </w:tbl>
    <w:p w:rsidR="00000000" w:rsidRDefault="00000000">
      <w:pPr>
        <w:spacing w:before="240" w:after="240"/>
        <w:ind w:firstLine="567"/>
        <w:rPr>
          <w:sz w:val="22"/>
        </w:rPr>
      </w:pPr>
      <w:r>
        <w:rPr>
          <w:bCs/>
          <w:i/>
          <w:iCs/>
          <w:sz w:val="22"/>
        </w:rPr>
        <w:t>Source</w:t>
      </w:r>
      <w:r>
        <w:rPr>
          <w:bCs/>
          <w:sz w:val="22"/>
        </w:rPr>
        <w:t xml:space="preserve">: </w:t>
      </w:r>
      <w:r>
        <w:rPr>
          <w:sz w:val="22"/>
        </w:rPr>
        <w:t>Ministère du travail, de la santé  et des affaires sociales.</w:t>
      </w:r>
    </w:p>
    <w:p w:rsidR="00000000" w:rsidRDefault="00000000">
      <w:pPr>
        <w:spacing w:after="240"/>
        <w:jc w:val="center"/>
        <w:rPr>
          <w:b/>
          <w:bCs/>
        </w:rPr>
      </w:pPr>
      <w:r>
        <w:rPr>
          <w:b/>
          <w:bCs/>
        </w:rPr>
        <w:t>C.  Sécurité sociale et services et établissements de prise en charge des enfants</w:t>
      </w:r>
      <w:r>
        <w:rPr>
          <w:b/>
          <w:bCs/>
        </w:rPr>
        <w:br/>
        <w:t>(art. 26 et 18, par. 3)</w:t>
      </w:r>
    </w:p>
    <w:p w:rsidR="00000000" w:rsidRDefault="00000000">
      <w:pPr>
        <w:spacing w:after="240"/>
        <w:rPr>
          <w:bCs/>
          <w:i/>
        </w:rPr>
      </w:pPr>
      <w:r>
        <w:rPr>
          <w:bCs/>
        </w:rPr>
        <w:t>190.</w:t>
      </w:r>
      <w:r>
        <w:rPr>
          <w:bCs/>
        </w:rPr>
        <w:tab/>
        <w:t>Dans ses observations finales, le Comité invite l’État partie à poursuivre ses efforts visant à réformer son système de sécurité sociale, comme l’a recommandé le Comité des droits économiques, sociaux et culturels, dans la mesure où cette recommandation concerne les enfants.  De plus, il invite instamment l’État partie à étendre le versement de prestations à tous les enfants handicapés, y compris ceux qui sont âgés de 16 à 18 ans.</w:t>
      </w:r>
    </w:p>
    <w:p w:rsidR="00000000" w:rsidRDefault="00000000">
      <w:pPr>
        <w:spacing w:after="240"/>
        <w:rPr>
          <w:bCs/>
        </w:rPr>
      </w:pPr>
      <w:r>
        <w:rPr>
          <w:bCs/>
        </w:rPr>
        <w:t>191.</w:t>
      </w:r>
      <w:r>
        <w:rPr>
          <w:bCs/>
        </w:rPr>
        <w:tab/>
        <w:t>Pendant la période considérée, les lois suivantes concernant le système de sécurité sociale ont été promulguées: loi sur la protection sociale des personnes handicapées (en vigueur depuis juin 2001), loi sur l’assurance sociale obligatoire (en vigueur depuis janvier 2004) et loi sur l’enregistrement et la création de comptes individuels d’assurance sociale obligatoire (en vigueur depuis janvier 2004).</w:t>
      </w:r>
    </w:p>
    <w:p w:rsidR="00000000" w:rsidRDefault="00000000">
      <w:pPr>
        <w:spacing w:after="240"/>
        <w:rPr>
          <w:bCs/>
        </w:rPr>
      </w:pPr>
      <w:r>
        <w:rPr>
          <w:bCs/>
        </w:rPr>
        <w:t>192.</w:t>
      </w:r>
      <w:r>
        <w:rPr>
          <w:bCs/>
        </w:rPr>
        <w:tab/>
        <w:t>Des informations complètes sur l’application de ces lois devraient être fournies dans le troisième rapport périodique de la Géorgie sur l’application du Pacte international relatif aux droits économiques, sociaux et culturels qui doit être présenté en novembre 2007.</w:t>
      </w:r>
    </w:p>
    <w:p w:rsidR="00000000" w:rsidRDefault="00000000">
      <w:pPr>
        <w:spacing w:after="240"/>
        <w:rPr>
          <w:bCs/>
        </w:rPr>
      </w:pPr>
      <w:r>
        <w:rPr>
          <w:bCs/>
        </w:rPr>
        <w:t>193.</w:t>
      </w:r>
      <w:r>
        <w:rPr>
          <w:bCs/>
        </w:rPr>
        <w:tab/>
        <w:t xml:space="preserve">Comme nous l’avons indiqué plus haut, en 2005, le Ministère du travail, de la santé et des affaires sociales a déterminé les bénéficiaires et le montant maximum de l’aide sociale qui doit être versé notamment a) aux orphelins − 22 </w:t>
      </w:r>
      <w:proofErr w:type="spellStart"/>
      <w:r>
        <w:rPr>
          <w:bCs/>
        </w:rPr>
        <w:t>lari</w:t>
      </w:r>
      <w:proofErr w:type="spellEnd"/>
      <w:r>
        <w:rPr>
          <w:bCs/>
        </w:rPr>
        <w:t xml:space="preserve"> par mois et b) aux enfants handicapés de moins de 18 ans − 22 </w:t>
      </w:r>
      <w:proofErr w:type="spellStart"/>
      <w:r>
        <w:rPr>
          <w:bCs/>
        </w:rPr>
        <w:t>lari</w:t>
      </w:r>
      <w:proofErr w:type="spellEnd"/>
      <w:r>
        <w:rPr>
          <w:bCs/>
        </w:rPr>
        <w:t>.</w:t>
      </w:r>
    </w:p>
    <w:p w:rsidR="00000000" w:rsidRDefault="00000000">
      <w:pPr>
        <w:keepNext/>
        <w:spacing w:after="200"/>
        <w:jc w:val="center"/>
        <w:rPr>
          <w:b/>
        </w:rPr>
      </w:pPr>
      <w:r>
        <w:rPr>
          <w:b/>
        </w:rPr>
        <w:t>D.  Niveau de vie (art. 27, par. 1, 2 et 3)</w:t>
      </w:r>
    </w:p>
    <w:p w:rsidR="00000000" w:rsidRDefault="00000000">
      <w:pPr>
        <w:keepNext/>
        <w:spacing w:after="200"/>
        <w:rPr>
          <w:bCs/>
        </w:rPr>
      </w:pPr>
      <w:r>
        <w:rPr>
          <w:bCs/>
        </w:rPr>
        <w:t>194.</w:t>
      </w:r>
      <w:r>
        <w:rPr>
          <w:bCs/>
        </w:rPr>
        <w:tab/>
        <w:t>Dans ses observations finales, le Comité encourage l’État partie à appliquer pleinement le programme de réduction de la pauvreté et à prendre des mesures pour aider les parents et autres personnes ayant la charge d’enfants en intensifiant les efforts de lutte contre la pauvreté en vue d’améliorer le niveau de vie des enfants et d’offrir une assistance matérielle et des programmes d’appui, sans discrimination fondée sur le lieu de résidence, conformément aux dispositions de l’article 27 de la Convention.</w:t>
      </w:r>
    </w:p>
    <w:p w:rsidR="00000000" w:rsidRDefault="00000000">
      <w:pPr>
        <w:spacing w:after="200"/>
      </w:pPr>
      <w:r>
        <w:t>195. Se fondant sur la Constitution, telle que modifiée après la «Révolution des roses», le nouveau gouvernement s’est concentré sur la réforme des organismes de l’État, l’éradication de la corruption, la stabilisation de l’économie et la remise en ordre du budget.</w:t>
      </w:r>
    </w:p>
    <w:p w:rsidR="00000000" w:rsidRDefault="00000000">
      <w:pPr>
        <w:spacing w:after="200"/>
      </w:pPr>
      <w:r>
        <w:t>196.</w:t>
      </w:r>
      <w:r>
        <w:tab/>
        <w:t xml:space="preserve">Le gouvernement a lancé un vaste programme de lutte contre la corruption, adopté des réformes radicales dans le domaine de l’éducation, réorganisé les structures gouvernementales et allégé les formalités que doivent remplir les entreprises. Il s’emploie à résoudre les problèmes de longue date du secteur de l’énergie et met en œuvre un processus de planification stratégique pour l’établissement d’un cadre de dépenses à moyen terme et la réalisation des engagements dans le domaine de la lutte contre la pauvreté. Au vu des succès remportés, le gouvernement entre dans la deuxième phase du processus qui porte sur l’approfondissement des réformes institutionnelles et une amélioration plus radicale des infrastructures. Ces mesures sont conçues pour propulser la Géorgie dans le </w:t>
      </w:r>
      <w:proofErr w:type="spellStart"/>
      <w:r>
        <w:t>XXI</w:t>
      </w:r>
      <w:r>
        <w:rPr>
          <w:vertAlign w:val="superscript"/>
        </w:rPr>
        <w:t>e</w:t>
      </w:r>
      <w:proofErr w:type="spellEnd"/>
      <w:r>
        <w:t xml:space="preserve"> siècle grâce à une croissance économique accélérée, des créations d’emploi substantielles et une guerre totale contre la pauvreté et la corruption. </w:t>
      </w:r>
    </w:p>
    <w:p w:rsidR="00000000" w:rsidRDefault="00000000">
      <w:pPr>
        <w:spacing w:after="200"/>
      </w:pPr>
      <w:r>
        <w:t>197.</w:t>
      </w:r>
      <w:r>
        <w:tab/>
        <w:t xml:space="preserve">La poursuite de ces politiques </w:t>
      </w:r>
      <w:proofErr w:type="spellStart"/>
      <w:r>
        <w:t>macoréconomiques</w:t>
      </w:r>
      <w:proofErr w:type="spellEnd"/>
      <w:r>
        <w:t xml:space="preserve"> et réforme institutionnelle prudentes devrait améliorer considérablement les perspectives économiques de la Géorgie. Près d’un tiers de la croissance en 2003 a été attribué au dynamisme des secteurs de l’industrie et des télécommunications, et à la construction de l’oléoduc </w:t>
      </w:r>
      <w:proofErr w:type="spellStart"/>
      <w:r>
        <w:t>Bakou-Tbilissi-Ceyhan</w:t>
      </w:r>
      <w:proofErr w:type="spellEnd"/>
      <w:r>
        <w:t>.</w:t>
      </w:r>
    </w:p>
    <w:p w:rsidR="00000000" w:rsidRDefault="00000000">
      <w:pPr>
        <w:spacing w:after="200"/>
      </w:pPr>
      <w:r>
        <w:t>198.</w:t>
      </w:r>
      <w:r>
        <w:tab/>
        <w:t>L’activité économique est restée forte en 2004, encore qu’une mauvaise récolte ait à nouveau causé une légère baisse du PIB réel, qui est passé à 6,2 %. On estime la croissance du PIB à 5 % en moyenne entre 2006 et 2008. Toutefois, le taux de chômage, qui était tombé à 12,6 % en 2004, est remonté à 13,8 % en 2005 à la suite de vastes réductions d’effectifs dans le secteur public. Actuellement, la situation est meilleure dans ce domaine grâce aux mesures tangibles qu’a prises le Gouvernement. Ces mesures seront examinées plus loin.</w:t>
      </w:r>
    </w:p>
    <w:p w:rsidR="00000000" w:rsidRDefault="00000000">
      <w:pPr>
        <w:spacing w:after="200"/>
        <w:jc w:val="center"/>
        <w:rPr>
          <w:b/>
          <w:bCs/>
          <w:color w:val="000000"/>
          <w:lang w:val="fr-FR"/>
        </w:rPr>
      </w:pPr>
      <w:r>
        <w:rPr>
          <w:b/>
          <w:bCs/>
          <w:color w:val="000000"/>
          <w:lang w:val="fr-FR"/>
        </w:rPr>
        <w:t>Croissance annuelle du PIB en Géorgie par secteur économique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162"/>
        <w:gridCol w:w="633"/>
        <w:gridCol w:w="633"/>
        <w:gridCol w:w="633"/>
        <w:gridCol w:w="633"/>
        <w:gridCol w:w="633"/>
        <w:gridCol w:w="633"/>
        <w:gridCol w:w="633"/>
        <w:gridCol w:w="633"/>
        <w:gridCol w:w="633"/>
        <w:gridCol w:w="633"/>
      </w:tblGrid>
      <w:tr w:rsidR="00000000">
        <w:trPr>
          <w:tblHeader/>
          <w:jc w:val="center"/>
        </w:trPr>
        <w:tc>
          <w:tcPr>
            <w:tcW w:w="2268" w:type="dxa"/>
          </w:tcPr>
          <w:p w:rsidR="00000000" w:rsidRDefault="00000000">
            <w:pPr>
              <w:adjustRightInd w:val="0"/>
              <w:snapToGrid w:val="0"/>
              <w:spacing w:before="60" w:after="60"/>
              <w:rPr>
                <w:snapToGrid w:val="0"/>
                <w:sz w:val="22"/>
                <w:szCs w:val="18"/>
                <w:lang w:val="fr-FR"/>
              </w:rPr>
            </w:pP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1996</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1997</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1998</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1999</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2000</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2001</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2002</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2003</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2004</w:t>
            </w:r>
          </w:p>
        </w:tc>
        <w:tc>
          <w:tcPr>
            <w:tcW w:w="454" w:type="dxa"/>
          </w:tcPr>
          <w:p w:rsidR="00000000" w:rsidRDefault="00000000">
            <w:pPr>
              <w:adjustRightInd w:val="0"/>
              <w:snapToGrid w:val="0"/>
              <w:spacing w:before="60" w:after="60"/>
              <w:jc w:val="center"/>
              <w:rPr>
                <w:snapToGrid w:val="0"/>
                <w:sz w:val="22"/>
                <w:szCs w:val="18"/>
                <w:lang w:val="fr-FR"/>
              </w:rPr>
            </w:pPr>
            <w:r>
              <w:rPr>
                <w:snapToGrid w:val="0"/>
                <w:sz w:val="22"/>
                <w:szCs w:val="18"/>
                <w:lang w:val="fr-FR"/>
              </w:rPr>
              <w:t>2005</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Agriculture, foresterie et pêche</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93,4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88,0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92,1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112,0</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Industries extractives et carrières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79,4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77,0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119,0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199,4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129,8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97,9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80,1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86,5</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Industrie de transformation</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90,8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95,9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96,7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120,8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111,6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114,3</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Traitement et fourniture d’électricité, de gaz naturel et d’eau</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125,2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120,8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94,3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89,8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96,0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105,0</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Produits pour le traitement</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97,2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112,5</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Bâtiment</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151,5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135,2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78,5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143,1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146,6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135,9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122,3</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Commerce et réparation de véhicules et de pièces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112,1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103,4</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Hôtellerie et restauration</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129,8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133,7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114,2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116,4</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color w:val="000000"/>
                <w:sz w:val="22"/>
                <w:szCs w:val="22"/>
                <w:lang w:val="fr-FR"/>
              </w:rPr>
              <w:t>Transport et stockage</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142,0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151,7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113,9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105,7</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Poste et communications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136,5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136,5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117,0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129,5</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Services financiers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172,5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178,1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158,6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113,9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122,9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118,1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112,9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152,2</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Immobilier, location et commerce</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137,6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85,0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128,3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88,8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142,2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128,1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109,9</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Valeur locative des logements privés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99,3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100,3</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Administration publique</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93,7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69,3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97,7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93,9</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Éducation</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97,0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90,5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113,5</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Santé et services sociaux</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96,2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99,0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103,7</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Autres services communaux, sociaux et personnels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113,1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93,4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97,4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113,7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109,4</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65,7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104,0</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Services domestiques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99,8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95,0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91,8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98,8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127,2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112,6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124,9</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Estimation indirecte du recours aux services de médiateurs financiers dans les activités commerciales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135,0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266,5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133,0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66,2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79,5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85,9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96,1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157,6</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Total aux prix de base</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110,1</w:t>
            </w:r>
          </w:p>
        </w:tc>
      </w:tr>
      <w:tr w:rsidR="00000000">
        <w:trPr>
          <w:jc w:val="center"/>
        </w:trPr>
        <w:tc>
          <w:tcPr>
            <w:tcW w:w="2268" w:type="dxa"/>
          </w:tcPr>
          <w:p w:rsidR="00000000" w:rsidRDefault="00000000">
            <w:pPr>
              <w:adjustRightInd w:val="0"/>
              <w:snapToGrid w:val="0"/>
              <w:spacing w:before="60" w:after="60"/>
              <w:ind w:left="284"/>
              <w:rPr>
                <w:snapToGrid w:val="0"/>
                <w:sz w:val="22"/>
                <w:szCs w:val="18"/>
                <w:lang w:val="fr-FR"/>
              </w:rPr>
            </w:pPr>
            <w:r>
              <w:rPr>
                <w:snapToGrid w:val="0"/>
                <w:sz w:val="22"/>
                <w:szCs w:val="18"/>
                <w:lang w:val="fr-FR"/>
              </w:rPr>
              <w:t>(+) Impôts</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188,5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91,1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111,1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111,3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122,0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122,7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92,1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101,0</w:t>
            </w:r>
          </w:p>
        </w:tc>
      </w:tr>
      <w:tr w:rsidR="00000000">
        <w:trPr>
          <w:jc w:val="center"/>
        </w:trPr>
        <w:tc>
          <w:tcPr>
            <w:tcW w:w="2268" w:type="dxa"/>
          </w:tcPr>
          <w:p w:rsidR="00000000" w:rsidRDefault="00000000">
            <w:pPr>
              <w:adjustRightInd w:val="0"/>
              <w:snapToGrid w:val="0"/>
              <w:spacing w:before="60" w:after="60"/>
              <w:ind w:left="284"/>
              <w:rPr>
                <w:snapToGrid w:val="0"/>
                <w:sz w:val="22"/>
                <w:szCs w:val="18"/>
                <w:lang w:val="fr-FR"/>
              </w:rPr>
            </w:pPr>
            <w:r>
              <w:rPr>
                <w:snapToGrid w:val="0"/>
                <w:sz w:val="22"/>
                <w:szCs w:val="18"/>
                <w:lang w:val="fr-FR"/>
              </w:rPr>
              <w:t>(-) Subvention</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115,9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97,8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113,6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100,7</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109,2</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100,5</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r>
              <w:rPr>
                <w:snapToGrid w:val="0"/>
                <w:sz w:val="22"/>
                <w:szCs w:val="18"/>
                <w:lang w:val="fr-FR"/>
              </w:rPr>
              <w:t>Total aux prix du marché</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110,5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102,9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101,8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104,8</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111,1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109,3</w:t>
            </w:r>
          </w:p>
        </w:tc>
      </w:tr>
      <w:tr w:rsidR="00000000">
        <w:trPr>
          <w:jc w:val="center"/>
        </w:trPr>
        <w:tc>
          <w:tcPr>
            <w:tcW w:w="2268" w:type="dxa"/>
          </w:tcPr>
          <w:p w:rsidR="00000000" w:rsidRDefault="00000000">
            <w:pPr>
              <w:adjustRightInd w:val="0"/>
              <w:snapToGrid w:val="0"/>
              <w:spacing w:before="60" w:after="60"/>
              <w:rPr>
                <w:snapToGrid w:val="0"/>
                <w:sz w:val="22"/>
                <w:szCs w:val="18"/>
                <w:lang w:val="fr-FR"/>
              </w:rPr>
            </w:pPr>
            <w:proofErr w:type="spellStart"/>
            <w:r>
              <w:rPr>
                <w:snapToGrid w:val="0"/>
                <w:sz w:val="22"/>
                <w:szCs w:val="18"/>
                <w:lang w:val="fr-FR"/>
              </w:rPr>
              <w:t>Déflateur</w:t>
            </w:r>
            <w:proofErr w:type="spellEnd"/>
            <w:r>
              <w:rPr>
                <w:snapToGrid w:val="0"/>
                <w:sz w:val="22"/>
                <w:szCs w:val="18"/>
                <w:lang w:val="fr-FR"/>
              </w:rPr>
              <w:t xml:space="preserve"> du PIB</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100,0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106,5</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106,9</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109,6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104,6</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105,3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106,0</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103,3</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108,1</w:t>
            </w:r>
          </w:p>
        </w:tc>
        <w:tc>
          <w:tcPr>
            <w:tcW w:w="454" w:type="dxa"/>
            <w:vAlign w:val="bottom"/>
          </w:tcPr>
          <w:p w:rsidR="00000000" w:rsidRDefault="00000000">
            <w:pPr>
              <w:adjustRightInd w:val="0"/>
              <w:snapToGrid w:val="0"/>
              <w:spacing w:before="60" w:after="60"/>
              <w:jc w:val="right"/>
              <w:rPr>
                <w:snapToGrid w:val="0"/>
                <w:sz w:val="22"/>
                <w:szCs w:val="18"/>
                <w:lang w:val="fr-FR"/>
              </w:rPr>
            </w:pPr>
            <w:r>
              <w:rPr>
                <w:snapToGrid w:val="0"/>
                <w:sz w:val="22"/>
                <w:szCs w:val="18"/>
                <w:lang w:val="fr-FR"/>
              </w:rPr>
              <w:t>107,9</w:t>
            </w:r>
          </w:p>
        </w:tc>
      </w:tr>
    </w:tbl>
    <w:p w:rsidR="00000000" w:rsidRDefault="00000000">
      <w:pPr>
        <w:spacing w:before="240" w:after="240"/>
      </w:pPr>
      <w:r>
        <w:t>199.</w:t>
      </w:r>
      <w:r>
        <w:tab/>
        <w:t>Actuellement, un programme de formation et de placement professionnels lancé sous l’égide du Président de la République est mis en œuvre en Géorgie. Il comprend l’enregistrement des demandeurs d’emploi, leur formation, leur recyclage et leur placement (en fonction des offres d’emploi disponibles). Selon les données les plus récentes (septembre 2006), sur les 61 290 personnes ayant participé au programme, 42 000 ont trouvé un emploi. D’après le Ministère du travail, de la santé et des affaires sociales ce programme pourrait permettre à 50 000 demandeurs d’emploi de trouver un travail. La plupart des emplois non pourvus sont dans le secteur du bâtiment.</w:t>
      </w:r>
    </w:p>
    <w:p w:rsidR="00000000" w:rsidRDefault="00000000">
      <w:pPr>
        <w:spacing w:after="240"/>
      </w:pPr>
      <w:r>
        <w:t>200.</w:t>
      </w:r>
      <w:r>
        <w:tab/>
        <w:t>Le programme est actuellement dans sa première phase. La deuxième sera consacrée au suivi des demandeurs d’emploi recrutés dans le cadre du programme. La troisième, qui devrait commencer en janvier 2007, portera sur le recyclage des demandeurs d’emploi qui le souhaitent.</w:t>
      </w:r>
    </w:p>
    <w:p w:rsidR="00000000" w:rsidRDefault="00000000">
      <w:pPr>
        <w:spacing w:after="240"/>
      </w:pPr>
      <w:r>
        <w:t>201.</w:t>
      </w:r>
      <w:r>
        <w:tab/>
        <w:t>Les réformes dans le secteur public, qui comprennent le renforcement des institutions publiques, des stratégies pour l’amélioration de la gouvernance et la lutte contre la corruption, ainsi que des investissements dans les infrastructures et la réglementation dans le domaine de l’environnement, devraient favoriser la croissance dans le secteur privé, notamment dans des branches comme l’industrie alimentaire, le tourisme et le commerce de transit. Les inondations importantes qui ont eu lieu entre avril et juin dans nombre de régions pourraient avoir des effets très néfastes sur la croissance de l’agriculture pour tout le reste de l’année 2005. L’instabilité dans le secteur agricole devrait persister, et les licenciements dans ce secteur devraient se poursuivre. En conséquence, des progrès plus rapides dans la réduction de la pauvreté dépendront d’une accélération de la croissance dans les secteurs non agricoles et les secteurs qui ne sont pas liés à l’oléoduc. À moyen terme, l’effet d’entraînement de la construction de l’oléoduc et du gazoduc continuera à alimenter la croissance de la Géorgie.</w:t>
      </w:r>
    </w:p>
    <w:p w:rsidR="00000000" w:rsidRDefault="00000000">
      <w:pPr>
        <w:spacing w:after="240"/>
      </w:pPr>
      <w:r>
        <w:t>202.</w:t>
      </w:r>
      <w:r>
        <w:tab/>
        <w:t>Dans le Rapport de situation sur le programme de développement économique et la lutte contre la pauvreté qu’il a présenté récemment, le nouveau Gouvernement a réaffirmé sa ferme volonté: a) d’améliorer la gouvernance; b) de renforcer les politiques macroéconomiques, notamment dans le domaine fiscal; c) de rendre l’environnement commercial plus favorable; d) de mettre en valeur le capital humain; e) de rendre les pauvres moins vulnérables; f) de développer les secteurs prioritaires de l’économie (énergie, transports, communications, tourisme et agriculture) et g) de protéger l’environnement.</w:t>
      </w:r>
    </w:p>
    <w:p w:rsidR="00000000" w:rsidRDefault="00000000">
      <w:pPr>
        <w:spacing w:after="240"/>
      </w:pPr>
      <w:r>
        <w:t>203.</w:t>
      </w:r>
      <w:r>
        <w:tab/>
        <w:t>Conformément au Rapport susmentionné, le Gouvernement a fait de la croissance créatrice d’emplois son objectif primordial en matière de développement, essentiellement par le biais des mesures suivantes:</w:t>
      </w:r>
    </w:p>
    <w:p w:rsidR="00000000" w:rsidRDefault="00000000">
      <w:pPr>
        <w:numPr>
          <w:ilvl w:val="0"/>
          <w:numId w:val="145"/>
        </w:numPr>
        <w:spacing w:after="240"/>
      </w:pPr>
      <w:r>
        <w:t>Éradication de la corruption;</w:t>
      </w:r>
    </w:p>
    <w:p w:rsidR="00000000" w:rsidRDefault="00000000">
      <w:pPr>
        <w:numPr>
          <w:ilvl w:val="0"/>
          <w:numId w:val="145"/>
        </w:numPr>
        <w:spacing w:after="240"/>
      </w:pPr>
      <w:r>
        <w:t>Meilleure gestion du patrimoine de l’État et privatisation des biens publics inutilisés; libéralisation des politiques du transport, développement du réseau des transports et amélioration des normes de construction et de l’entretien des routes;</w:t>
      </w:r>
    </w:p>
    <w:p w:rsidR="00000000" w:rsidRDefault="00000000">
      <w:pPr>
        <w:numPr>
          <w:ilvl w:val="0"/>
          <w:numId w:val="145"/>
        </w:numPr>
        <w:spacing w:after="240"/>
      </w:pPr>
      <w:r>
        <w:t>Renforcement de la sécurité et de la viabilité du secteur énergétique; optimisation des politiques douanière, fiscale et financière; amélioration de l’efficacité des systèmes de patente pour les entreprises;</w:t>
      </w:r>
    </w:p>
    <w:p w:rsidR="00000000" w:rsidRDefault="00000000">
      <w:pPr>
        <w:numPr>
          <w:ilvl w:val="0"/>
          <w:numId w:val="145"/>
        </w:numPr>
        <w:spacing w:after="240"/>
      </w:pPr>
      <w:r>
        <w:t>Mise en place de systèmes de normalisation, de métrologie, d’accréditation et de contrôle des marchés conformes aux normes européennes.</w:t>
      </w:r>
    </w:p>
    <w:p w:rsidR="00000000" w:rsidRDefault="00000000">
      <w:pPr>
        <w:spacing w:after="240"/>
      </w:pPr>
      <w:r>
        <w:t>204.</w:t>
      </w:r>
      <w:r>
        <w:tab/>
        <w:t xml:space="preserve">Les domaines désignés pour des interventions sectorielles sont: le développement du tourisme, l’agriculture et l’industrie agroalimentaire. </w:t>
      </w:r>
    </w:p>
    <w:p w:rsidR="00000000" w:rsidRDefault="00000000">
      <w:pPr>
        <w:spacing w:after="240"/>
      </w:pPr>
      <w:r>
        <w:t>205.</w:t>
      </w:r>
      <w:r>
        <w:tab/>
        <w:t>Le Gouvernement a mis aussi fortement l’accent sur la mise en valeur des ressources humaines et la protection des personnes vulnérables, notamment:</w:t>
      </w:r>
    </w:p>
    <w:p w:rsidR="00000000" w:rsidRDefault="00000000">
      <w:pPr>
        <w:numPr>
          <w:ilvl w:val="0"/>
          <w:numId w:val="147"/>
        </w:numPr>
        <w:spacing w:after="240"/>
      </w:pPr>
      <w:r>
        <w:t>En améliorant l’efficacité du secteur de la santé et en développant l’accès des pauvres et des personnes vulnérables aux soins de santé;</w:t>
      </w:r>
    </w:p>
    <w:p w:rsidR="00000000" w:rsidRDefault="00000000">
      <w:pPr>
        <w:numPr>
          <w:ilvl w:val="0"/>
          <w:numId w:val="147"/>
        </w:numPr>
        <w:spacing w:after="240"/>
      </w:pPr>
      <w:r>
        <w:t>En améliorant la qualité de l’éducation et en étendant la portée du système éducatif;</w:t>
      </w:r>
    </w:p>
    <w:p w:rsidR="00000000" w:rsidRDefault="00000000">
      <w:pPr>
        <w:numPr>
          <w:ilvl w:val="0"/>
          <w:numId w:val="147"/>
        </w:numPr>
        <w:spacing w:after="240"/>
      </w:pPr>
      <w:r>
        <w:t>En simplifiant les mesures de protection sociale, y compris pour les personnes déplacées dans leur propre pays et en en améliorant l’orientation et l’efficacité.</w:t>
      </w:r>
    </w:p>
    <w:p w:rsidR="00000000" w:rsidRDefault="00000000">
      <w:pPr>
        <w:spacing w:after="240"/>
      </w:pPr>
      <w:r>
        <w:t>206.</w:t>
      </w:r>
      <w:r>
        <w:tab/>
        <w:t>À cet égard, il convient de signaler que, selon le rapport de la Banque mondiale intitulé «</w:t>
      </w:r>
      <w:proofErr w:type="spellStart"/>
      <w:r>
        <w:t>Doing</w:t>
      </w:r>
      <w:proofErr w:type="spellEnd"/>
      <w:r>
        <w:t xml:space="preserve"> Business 2007», la Géorgie est le pays qui a engagé le plus de réformes en 2006.</w:t>
      </w:r>
    </w:p>
    <w:p w:rsidR="00000000" w:rsidRDefault="00000000">
      <w:pPr>
        <w:spacing w:after="240"/>
      </w:pPr>
      <w:r>
        <w:t>207.</w:t>
      </w:r>
      <w:r>
        <w:tab/>
        <w:t>La Géorgie a progressé dans 6 des 10 domaines abordés dans le rapport susmentionné. Elle a fait passer le capital minimum nécessaire à la création d’entreprises de 2 000 à 200 </w:t>
      </w:r>
      <w:proofErr w:type="spellStart"/>
      <w:r>
        <w:t>lari</w:t>
      </w:r>
      <w:proofErr w:type="spellEnd"/>
      <w:r>
        <w:t xml:space="preserve"> (85 dollars des États-Unis). Le nombre des nouvelles entreprises enregistrées a augmenté de 20 % entre 2005 et 2006. Les réformes dans le domaine des douanes ont simplifié les formalités commerciales. Alors qu’en 2004, il fallait </w:t>
      </w:r>
      <w:proofErr w:type="spellStart"/>
      <w:r>
        <w:t>cinquante</w:t>
      </w:r>
      <w:r>
        <w:noBreakHyphen/>
        <w:t>quatre</w:t>
      </w:r>
      <w:proofErr w:type="spellEnd"/>
      <w:r>
        <w:t xml:space="preserve"> jours pour effectuer toutes les formalités administratives nécessaires pour exporter un produit, il n’en faut plus que treize aujourd’hui. Le délai nécessaire au règlement de différends commerciaux simples est passé de trois cent </w:t>
      </w:r>
      <w:proofErr w:type="spellStart"/>
      <w:r>
        <w:t>soixante</w:t>
      </w:r>
      <w:r>
        <w:noBreakHyphen/>
        <w:t>quinze</w:t>
      </w:r>
      <w:proofErr w:type="spellEnd"/>
      <w:r>
        <w:t xml:space="preserve"> jours à deux cent </w:t>
      </w:r>
      <w:proofErr w:type="spellStart"/>
      <w:r>
        <w:t>quatre</w:t>
      </w:r>
      <w:r>
        <w:noBreakHyphen/>
        <w:t>vingt</w:t>
      </w:r>
      <w:r>
        <w:noBreakHyphen/>
        <w:t>cinq</w:t>
      </w:r>
      <w:proofErr w:type="spellEnd"/>
      <w:r>
        <w:t>.</w:t>
      </w:r>
    </w:p>
    <w:p w:rsidR="00000000" w:rsidRDefault="00000000">
      <w:pPr>
        <w:spacing w:after="240"/>
        <w:rPr>
          <w:spacing w:val="-2"/>
        </w:rPr>
      </w:pPr>
      <w:r>
        <w:rPr>
          <w:spacing w:val="-2"/>
        </w:rPr>
        <w:t>208.</w:t>
      </w:r>
      <w:r>
        <w:rPr>
          <w:spacing w:val="-2"/>
        </w:rPr>
        <w:tab/>
        <w:t>Les nouveaux règlements du droit du travail aident les travailleurs à trouver de meilleurs emplois. Les cotisations de sécurité sociale payées par les entreprises sont passées de 31 % à 20 % des salaires, ce qui leur permet de recruter plus facilement. Le chômage a diminué de 2 %.</w:t>
      </w:r>
    </w:p>
    <w:p w:rsidR="00000000" w:rsidRDefault="00000000">
      <w:pPr>
        <w:spacing w:after="240"/>
      </w:pPr>
      <w:r>
        <w:t>209.</w:t>
      </w:r>
      <w:r>
        <w:tab/>
        <w:t>La Géorgie a progressé considérablement dans le classement des pays où il est le plus facile de faire du commerce. Alors qu’elle occupait la 112</w:t>
      </w:r>
      <w:r>
        <w:rPr>
          <w:vertAlign w:val="superscript"/>
        </w:rPr>
        <w:t>e</w:t>
      </w:r>
      <w:r>
        <w:t xml:space="preserve"> place en 2004 elle est classée aujourd’hui 37</w:t>
      </w:r>
      <w:r>
        <w:rPr>
          <w:vertAlign w:val="superscript"/>
        </w:rPr>
        <w:t>e</w:t>
      </w:r>
      <w:r>
        <w:t>.</w:t>
      </w:r>
    </w:p>
    <w:p w:rsidR="00000000" w:rsidRDefault="00000000">
      <w:pPr>
        <w:keepNext/>
        <w:spacing w:after="240"/>
        <w:rPr>
          <w:b/>
          <w:bCs/>
        </w:rPr>
      </w:pPr>
      <w:r>
        <w:rPr>
          <w:b/>
          <w:bCs/>
        </w:rPr>
        <w:t>Bref aperçu de l’exécution du budget de 2005</w:t>
      </w:r>
    </w:p>
    <w:p w:rsidR="00000000" w:rsidRDefault="00000000">
      <w:pPr>
        <w:spacing w:after="240"/>
      </w:pPr>
      <w:r>
        <w:t>210.</w:t>
      </w:r>
      <w:r>
        <w:tab/>
        <w:t>Le projet de budget de l’État pour 2005 était de 1,5 fois supérieur à celui de 2004, et le double de celui de 2003. Le pouvoir exécutif s’est acquitté de toutes les responsabilités imposées par la loi de finances.</w:t>
      </w:r>
    </w:p>
    <w:p w:rsidR="00000000" w:rsidRDefault="00000000">
      <w:pPr>
        <w:spacing w:after="240"/>
      </w:pPr>
      <w:r>
        <w:t>211.</w:t>
      </w:r>
      <w:r>
        <w:tab/>
        <w:t xml:space="preserve">En 2005, les dépenses budgétaires ont été orientées vers les priorités stratégiques du pays, de la manière indiquée </w:t>
      </w:r>
      <w:proofErr w:type="spellStart"/>
      <w:r>
        <w:t>ci</w:t>
      </w:r>
      <w:r>
        <w:noBreakHyphen/>
        <w:t>après</w:t>
      </w:r>
      <w:proofErr w:type="spellEnd"/>
      <w:r>
        <w:t>:</w:t>
      </w:r>
    </w:p>
    <w:p w:rsidR="00000000" w:rsidRDefault="00000000">
      <w:pPr>
        <w:numPr>
          <w:ilvl w:val="0"/>
          <w:numId w:val="149"/>
        </w:numPr>
        <w:spacing w:after="240"/>
      </w:pPr>
      <w:r>
        <w:t xml:space="preserve">Une somme de 46,8 millions de </w:t>
      </w:r>
      <w:proofErr w:type="spellStart"/>
      <w:r>
        <w:t>lari</w:t>
      </w:r>
      <w:proofErr w:type="spellEnd"/>
      <w:r>
        <w:t xml:space="preserve"> a été affectée à l’augmentation du montant minimum des retraites (de 14 à 20 </w:t>
      </w:r>
      <w:proofErr w:type="spellStart"/>
      <w:r>
        <w:t>lari</w:t>
      </w:r>
      <w:proofErr w:type="spellEnd"/>
      <w:r>
        <w:t>), et au paiement des arriérés des années précédentes. Le budget de l’État de 2006 prévoyait de faire passer les retraites à 38 </w:t>
      </w:r>
      <w:proofErr w:type="spellStart"/>
      <w:r>
        <w:t>lari</w:t>
      </w:r>
      <w:proofErr w:type="spellEnd"/>
      <w:r>
        <w:t>;</w:t>
      </w:r>
    </w:p>
    <w:p w:rsidR="00000000" w:rsidRDefault="00000000">
      <w:pPr>
        <w:numPr>
          <w:ilvl w:val="0"/>
          <w:numId w:val="149"/>
        </w:numPr>
        <w:spacing w:after="240"/>
      </w:pPr>
      <w:r>
        <w:t xml:space="preserve">Le paiement des arriérés s’est poursuivi. À cet effet, 92,5 millions de </w:t>
      </w:r>
      <w:proofErr w:type="spellStart"/>
      <w:r>
        <w:t>lari</w:t>
      </w:r>
      <w:proofErr w:type="spellEnd"/>
      <w:r>
        <w:t xml:space="preserve"> ont été prélevés sur le budget de l’État de 2005 et les économies budgétaires des ministères et des organismes.</w:t>
      </w:r>
    </w:p>
    <w:p w:rsidR="00000000" w:rsidRDefault="00000000">
      <w:pPr>
        <w:spacing w:after="240"/>
        <w:jc w:val="center"/>
        <w:rPr>
          <w:b/>
          <w:bCs/>
        </w:rPr>
      </w:pPr>
      <w:r>
        <w:rPr>
          <w:b/>
          <w:bCs/>
        </w:rPr>
        <w:br w:type="page"/>
        <w:t>Niveaux de pauvreté absolus et relatifs</w:t>
      </w:r>
      <w:r>
        <w:rPr>
          <w:b/>
          <w:bCs/>
        </w:rPr>
        <w:br/>
        <w:t>(</w:t>
      </w:r>
      <w:proofErr w:type="spellStart"/>
      <w:r>
        <w:rPr>
          <w:b/>
          <w:bCs/>
          <w:i/>
          <w:iCs/>
        </w:rPr>
        <w:t>Lari</w:t>
      </w:r>
      <w:proofErr w:type="spellEnd"/>
      <w:r>
        <w:rPr>
          <w:b/>
          <w:bC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164"/>
        <w:gridCol w:w="3164"/>
        <w:gridCol w:w="3164"/>
      </w:tblGrid>
      <w:tr w:rsidR="00000000">
        <w:tblPrEx>
          <w:tblCellMar>
            <w:top w:w="0" w:type="dxa"/>
            <w:bottom w:w="0" w:type="dxa"/>
          </w:tblCellMar>
        </w:tblPrEx>
        <w:trPr>
          <w:cantSplit/>
          <w:tblHeader/>
          <w:jc w:val="center"/>
        </w:trPr>
        <w:tc>
          <w:tcPr>
            <w:tcW w:w="3175" w:type="dxa"/>
            <w:vAlign w:val="center"/>
          </w:tcPr>
          <w:p w:rsidR="00000000" w:rsidRDefault="00000000">
            <w:pPr>
              <w:spacing w:before="40" w:after="40"/>
              <w:jc w:val="center"/>
              <w:rPr>
                <w:szCs w:val="24"/>
              </w:rPr>
            </w:pPr>
          </w:p>
        </w:tc>
        <w:tc>
          <w:tcPr>
            <w:tcW w:w="3175" w:type="dxa"/>
            <w:vAlign w:val="center"/>
          </w:tcPr>
          <w:p w:rsidR="00000000" w:rsidRDefault="00000000">
            <w:pPr>
              <w:spacing w:before="40" w:after="40"/>
              <w:jc w:val="center"/>
              <w:rPr>
                <w:szCs w:val="24"/>
                <w:lang w:val="fr-FR"/>
              </w:rPr>
            </w:pPr>
            <w:r>
              <w:rPr>
                <w:szCs w:val="22"/>
              </w:rPr>
              <w:t>Minimum de subsistance</w:t>
            </w:r>
          </w:p>
        </w:tc>
        <w:tc>
          <w:tcPr>
            <w:tcW w:w="3175" w:type="dxa"/>
            <w:vAlign w:val="center"/>
          </w:tcPr>
          <w:p w:rsidR="00000000" w:rsidRDefault="00000000">
            <w:pPr>
              <w:spacing w:before="40" w:after="40"/>
              <w:jc w:val="center"/>
              <w:rPr>
                <w:szCs w:val="24"/>
                <w:lang w:val="fr-FR"/>
              </w:rPr>
            </w:pPr>
            <w:r>
              <w:rPr>
                <w:szCs w:val="22"/>
              </w:rPr>
              <w:t>Consommation médiane</w:t>
            </w:r>
          </w:p>
        </w:tc>
      </w:tr>
      <w:tr w:rsidR="00000000">
        <w:tblPrEx>
          <w:tblCellMar>
            <w:top w:w="0" w:type="dxa"/>
            <w:bottom w:w="0" w:type="dxa"/>
          </w:tblCellMar>
        </w:tblPrEx>
        <w:trPr>
          <w:cantSplit/>
          <w:jc w:val="center"/>
        </w:trPr>
        <w:tc>
          <w:tcPr>
            <w:tcW w:w="3175" w:type="dxa"/>
          </w:tcPr>
          <w:p w:rsidR="00000000" w:rsidRDefault="00000000">
            <w:pPr>
              <w:spacing w:before="40" w:after="40"/>
              <w:jc w:val="center"/>
              <w:rPr>
                <w:szCs w:val="24"/>
                <w:lang w:val="fr-FR"/>
              </w:rPr>
            </w:pPr>
            <w:r>
              <w:rPr>
                <w:szCs w:val="24"/>
                <w:lang w:val="fr-FR"/>
              </w:rPr>
              <w:t>2000</w:t>
            </w:r>
          </w:p>
        </w:tc>
        <w:tc>
          <w:tcPr>
            <w:tcW w:w="3175" w:type="dxa"/>
            <w:vAlign w:val="center"/>
          </w:tcPr>
          <w:p w:rsidR="00000000" w:rsidRDefault="00000000">
            <w:pPr>
              <w:spacing w:before="40" w:after="40"/>
              <w:jc w:val="center"/>
              <w:rPr>
                <w:szCs w:val="24"/>
                <w:lang w:val="fr-FR"/>
              </w:rPr>
            </w:pPr>
          </w:p>
        </w:tc>
        <w:tc>
          <w:tcPr>
            <w:tcW w:w="3175" w:type="dxa"/>
            <w:vAlign w:val="center"/>
          </w:tcPr>
          <w:p w:rsidR="00000000" w:rsidRDefault="00000000">
            <w:pPr>
              <w:spacing w:before="40" w:after="40"/>
              <w:jc w:val="center"/>
              <w:rPr>
                <w:szCs w:val="24"/>
                <w:lang w:val="fr-FR"/>
              </w:rPr>
            </w:pP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1</w:t>
            </w:r>
            <w:r>
              <w:rPr>
                <w:szCs w:val="22"/>
                <w:vertAlign w:val="superscript"/>
                <w:lang w:val="fr-FR"/>
              </w:rPr>
              <w:t>er</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117,6</w:t>
            </w:r>
          </w:p>
        </w:tc>
        <w:tc>
          <w:tcPr>
            <w:tcW w:w="3175" w:type="dxa"/>
            <w:vAlign w:val="center"/>
          </w:tcPr>
          <w:p w:rsidR="00000000" w:rsidRDefault="00000000">
            <w:pPr>
              <w:spacing w:before="40" w:after="40"/>
              <w:jc w:val="center"/>
              <w:rPr>
                <w:szCs w:val="24"/>
                <w:lang w:val="fr-FR"/>
              </w:rPr>
            </w:pPr>
            <w:r>
              <w:rPr>
                <w:szCs w:val="24"/>
                <w:lang w:val="fr-FR"/>
              </w:rPr>
              <w:t>119,1</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2</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115,1</w:t>
            </w:r>
          </w:p>
        </w:tc>
        <w:tc>
          <w:tcPr>
            <w:tcW w:w="3175" w:type="dxa"/>
            <w:vAlign w:val="center"/>
          </w:tcPr>
          <w:p w:rsidR="00000000" w:rsidRDefault="00000000">
            <w:pPr>
              <w:spacing w:before="40" w:after="40"/>
              <w:jc w:val="center"/>
              <w:rPr>
                <w:szCs w:val="24"/>
                <w:lang w:val="fr-FR"/>
              </w:rPr>
            </w:pPr>
            <w:r>
              <w:rPr>
                <w:szCs w:val="24"/>
                <w:lang w:val="fr-FR"/>
              </w:rPr>
              <w:t>109,0</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3</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111,7</w:t>
            </w:r>
          </w:p>
        </w:tc>
        <w:tc>
          <w:tcPr>
            <w:tcW w:w="3175" w:type="dxa"/>
            <w:vAlign w:val="center"/>
          </w:tcPr>
          <w:p w:rsidR="00000000" w:rsidRDefault="00000000">
            <w:pPr>
              <w:spacing w:before="40" w:after="40"/>
              <w:jc w:val="center"/>
              <w:rPr>
                <w:szCs w:val="24"/>
                <w:lang w:val="fr-FR"/>
              </w:rPr>
            </w:pPr>
            <w:r>
              <w:rPr>
                <w:szCs w:val="24"/>
                <w:lang w:val="fr-FR"/>
              </w:rPr>
              <w:t>102,5</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4</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113,8</w:t>
            </w:r>
          </w:p>
        </w:tc>
        <w:tc>
          <w:tcPr>
            <w:tcW w:w="3175" w:type="dxa"/>
            <w:vAlign w:val="center"/>
          </w:tcPr>
          <w:p w:rsidR="00000000" w:rsidRDefault="00000000">
            <w:pPr>
              <w:spacing w:before="40" w:after="40"/>
              <w:jc w:val="center"/>
              <w:rPr>
                <w:szCs w:val="24"/>
                <w:lang w:val="fr-FR"/>
              </w:rPr>
            </w:pPr>
            <w:r>
              <w:rPr>
                <w:szCs w:val="24"/>
                <w:lang w:val="fr-FR"/>
              </w:rPr>
              <w:t>115,9</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Moyenne en 2000</w:t>
            </w:r>
          </w:p>
        </w:tc>
        <w:tc>
          <w:tcPr>
            <w:tcW w:w="3175" w:type="dxa"/>
            <w:vAlign w:val="center"/>
          </w:tcPr>
          <w:p w:rsidR="00000000" w:rsidRDefault="00000000">
            <w:pPr>
              <w:spacing w:before="40" w:after="40"/>
              <w:jc w:val="center"/>
              <w:rPr>
                <w:szCs w:val="24"/>
                <w:lang w:val="fr-FR"/>
              </w:rPr>
            </w:pPr>
            <w:r>
              <w:rPr>
                <w:szCs w:val="24"/>
                <w:lang w:val="fr-FR"/>
              </w:rPr>
              <w:t>114,6</w:t>
            </w:r>
          </w:p>
        </w:tc>
        <w:tc>
          <w:tcPr>
            <w:tcW w:w="3175" w:type="dxa"/>
            <w:vAlign w:val="center"/>
          </w:tcPr>
          <w:p w:rsidR="00000000" w:rsidRDefault="00000000">
            <w:pPr>
              <w:spacing w:before="40" w:after="40"/>
              <w:jc w:val="center"/>
              <w:rPr>
                <w:szCs w:val="24"/>
                <w:lang w:val="fr-FR"/>
              </w:rPr>
            </w:pPr>
            <w:r>
              <w:rPr>
                <w:szCs w:val="24"/>
                <w:lang w:val="fr-FR"/>
              </w:rPr>
              <w:t>111,6</w:t>
            </w:r>
          </w:p>
        </w:tc>
      </w:tr>
      <w:tr w:rsidR="00000000">
        <w:tblPrEx>
          <w:tblCellMar>
            <w:top w:w="0" w:type="dxa"/>
            <w:bottom w:w="0" w:type="dxa"/>
          </w:tblCellMar>
        </w:tblPrEx>
        <w:trPr>
          <w:cantSplit/>
          <w:jc w:val="center"/>
        </w:trPr>
        <w:tc>
          <w:tcPr>
            <w:tcW w:w="3175" w:type="dxa"/>
            <w:vAlign w:val="center"/>
          </w:tcPr>
          <w:p w:rsidR="00000000" w:rsidRDefault="00000000">
            <w:pPr>
              <w:spacing w:before="40" w:after="40"/>
              <w:jc w:val="center"/>
              <w:rPr>
                <w:szCs w:val="24"/>
                <w:lang w:val="fr-FR"/>
              </w:rPr>
            </w:pPr>
            <w:r>
              <w:rPr>
                <w:szCs w:val="24"/>
                <w:lang w:val="fr-FR"/>
              </w:rPr>
              <w:t>2001</w:t>
            </w:r>
          </w:p>
        </w:tc>
        <w:tc>
          <w:tcPr>
            <w:tcW w:w="3175" w:type="dxa"/>
            <w:vAlign w:val="center"/>
          </w:tcPr>
          <w:p w:rsidR="00000000" w:rsidRDefault="00000000">
            <w:pPr>
              <w:spacing w:before="40" w:after="40"/>
              <w:jc w:val="center"/>
              <w:rPr>
                <w:szCs w:val="24"/>
                <w:lang w:val="fr-FR"/>
              </w:rPr>
            </w:pPr>
          </w:p>
        </w:tc>
        <w:tc>
          <w:tcPr>
            <w:tcW w:w="3175" w:type="dxa"/>
            <w:vAlign w:val="center"/>
          </w:tcPr>
          <w:p w:rsidR="00000000" w:rsidRDefault="00000000">
            <w:pPr>
              <w:spacing w:before="40" w:after="40"/>
              <w:jc w:val="center"/>
              <w:rPr>
                <w:szCs w:val="24"/>
                <w:lang w:val="fr-FR"/>
              </w:rPr>
            </w:pP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1</w:t>
            </w:r>
            <w:r>
              <w:rPr>
                <w:szCs w:val="22"/>
                <w:vertAlign w:val="superscript"/>
                <w:lang w:val="fr-FR"/>
              </w:rPr>
              <w:t>er</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115,7</w:t>
            </w:r>
          </w:p>
        </w:tc>
        <w:tc>
          <w:tcPr>
            <w:tcW w:w="3175" w:type="dxa"/>
            <w:vAlign w:val="center"/>
          </w:tcPr>
          <w:p w:rsidR="00000000" w:rsidRDefault="00000000">
            <w:pPr>
              <w:spacing w:before="40" w:after="40"/>
              <w:jc w:val="center"/>
              <w:rPr>
                <w:szCs w:val="24"/>
                <w:lang w:val="fr-FR"/>
              </w:rPr>
            </w:pPr>
            <w:r>
              <w:rPr>
                <w:szCs w:val="24"/>
                <w:lang w:val="fr-FR"/>
              </w:rPr>
              <w:t>122,4</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2</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en-GB"/>
              </w:rPr>
            </w:pPr>
            <w:r>
              <w:rPr>
                <w:szCs w:val="24"/>
                <w:lang w:val="en-GB"/>
              </w:rPr>
              <w:t>117,3</w:t>
            </w:r>
          </w:p>
        </w:tc>
        <w:tc>
          <w:tcPr>
            <w:tcW w:w="3175" w:type="dxa"/>
            <w:vAlign w:val="center"/>
          </w:tcPr>
          <w:p w:rsidR="00000000" w:rsidRDefault="00000000">
            <w:pPr>
              <w:spacing w:before="40" w:after="40"/>
              <w:jc w:val="center"/>
              <w:rPr>
                <w:szCs w:val="24"/>
                <w:lang w:val="en-GB"/>
              </w:rPr>
            </w:pPr>
            <w:r>
              <w:rPr>
                <w:szCs w:val="24"/>
                <w:lang w:val="en-GB"/>
              </w:rPr>
              <w:t>115,7</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3</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115,1</w:t>
            </w:r>
          </w:p>
        </w:tc>
        <w:tc>
          <w:tcPr>
            <w:tcW w:w="3175" w:type="dxa"/>
            <w:vAlign w:val="center"/>
          </w:tcPr>
          <w:p w:rsidR="00000000" w:rsidRDefault="00000000">
            <w:pPr>
              <w:spacing w:before="40" w:after="40"/>
              <w:jc w:val="center"/>
              <w:rPr>
                <w:szCs w:val="24"/>
                <w:lang w:val="fr-FR"/>
              </w:rPr>
            </w:pPr>
            <w:r>
              <w:rPr>
                <w:szCs w:val="24"/>
                <w:lang w:val="fr-FR"/>
              </w:rPr>
              <w:t>103,0</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4</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en-GB"/>
              </w:rPr>
            </w:pPr>
            <w:r>
              <w:rPr>
                <w:szCs w:val="24"/>
                <w:lang w:val="en-GB"/>
              </w:rPr>
              <w:t>118,5</w:t>
            </w:r>
          </w:p>
        </w:tc>
        <w:tc>
          <w:tcPr>
            <w:tcW w:w="3175" w:type="dxa"/>
            <w:vAlign w:val="center"/>
          </w:tcPr>
          <w:p w:rsidR="00000000" w:rsidRDefault="00000000">
            <w:pPr>
              <w:spacing w:before="40" w:after="40"/>
              <w:jc w:val="center"/>
              <w:rPr>
                <w:szCs w:val="24"/>
                <w:lang w:val="en-GB"/>
              </w:rPr>
            </w:pPr>
            <w:r>
              <w:rPr>
                <w:szCs w:val="24"/>
                <w:lang w:val="en-GB"/>
              </w:rPr>
              <w:t>117,1</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Moyenne en 2001</w:t>
            </w:r>
          </w:p>
        </w:tc>
        <w:tc>
          <w:tcPr>
            <w:tcW w:w="3175" w:type="dxa"/>
            <w:vAlign w:val="center"/>
          </w:tcPr>
          <w:p w:rsidR="00000000" w:rsidRDefault="00000000">
            <w:pPr>
              <w:spacing w:before="40" w:after="40"/>
              <w:jc w:val="center"/>
              <w:rPr>
                <w:szCs w:val="24"/>
                <w:lang w:val="en-GB"/>
              </w:rPr>
            </w:pPr>
            <w:r>
              <w:rPr>
                <w:szCs w:val="24"/>
                <w:lang w:val="en-GB"/>
              </w:rPr>
              <w:t>116,6</w:t>
            </w:r>
          </w:p>
        </w:tc>
        <w:tc>
          <w:tcPr>
            <w:tcW w:w="3175" w:type="dxa"/>
            <w:vAlign w:val="center"/>
          </w:tcPr>
          <w:p w:rsidR="00000000" w:rsidRDefault="00000000">
            <w:pPr>
              <w:spacing w:before="40" w:after="40"/>
              <w:jc w:val="center"/>
              <w:rPr>
                <w:szCs w:val="24"/>
                <w:lang w:val="en-GB"/>
              </w:rPr>
            </w:pPr>
            <w:r>
              <w:rPr>
                <w:szCs w:val="24"/>
                <w:lang w:val="en-GB"/>
              </w:rPr>
              <w:t>114,5</w:t>
            </w:r>
          </w:p>
        </w:tc>
      </w:tr>
      <w:tr w:rsidR="00000000">
        <w:tblPrEx>
          <w:tblCellMar>
            <w:top w:w="0" w:type="dxa"/>
            <w:bottom w:w="0" w:type="dxa"/>
          </w:tblCellMar>
        </w:tblPrEx>
        <w:trPr>
          <w:cantSplit/>
          <w:jc w:val="center"/>
        </w:trPr>
        <w:tc>
          <w:tcPr>
            <w:tcW w:w="3175" w:type="dxa"/>
            <w:vAlign w:val="center"/>
          </w:tcPr>
          <w:p w:rsidR="00000000" w:rsidRDefault="00000000">
            <w:pPr>
              <w:spacing w:before="40" w:after="40"/>
              <w:jc w:val="center"/>
              <w:rPr>
                <w:szCs w:val="24"/>
                <w:lang w:val="en-GB"/>
              </w:rPr>
            </w:pPr>
            <w:r>
              <w:rPr>
                <w:szCs w:val="24"/>
                <w:lang w:val="en-GB"/>
              </w:rPr>
              <w:t>2002</w:t>
            </w:r>
          </w:p>
        </w:tc>
        <w:tc>
          <w:tcPr>
            <w:tcW w:w="3175" w:type="dxa"/>
            <w:vAlign w:val="center"/>
          </w:tcPr>
          <w:p w:rsidR="00000000" w:rsidRDefault="00000000">
            <w:pPr>
              <w:spacing w:before="40" w:after="40"/>
              <w:jc w:val="center"/>
              <w:rPr>
                <w:szCs w:val="24"/>
                <w:lang w:val="en-GB"/>
              </w:rPr>
            </w:pPr>
          </w:p>
        </w:tc>
        <w:tc>
          <w:tcPr>
            <w:tcW w:w="3175" w:type="dxa"/>
            <w:vAlign w:val="center"/>
          </w:tcPr>
          <w:p w:rsidR="00000000" w:rsidRDefault="00000000">
            <w:pPr>
              <w:spacing w:before="40" w:after="40"/>
              <w:jc w:val="center"/>
              <w:rPr>
                <w:szCs w:val="24"/>
                <w:lang w:val="en-GB"/>
              </w:rPr>
            </w:pP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1</w:t>
            </w:r>
            <w:r>
              <w:rPr>
                <w:szCs w:val="22"/>
                <w:vertAlign w:val="superscript"/>
                <w:lang w:val="fr-FR"/>
              </w:rPr>
              <w:t>er</w:t>
            </w:r>
            <w:r>
              <w:rPr>
                <w:szCs w:val="22"/>
                <w:lang w:val="fr-FR"/>
              </w:rPr>
              <w:t>trimestre</w:t>
            </w:r>
          </w:p>
        </w:tc>
        <w:tc>
          <w:tcPr>
            <w:tcW w:w="3175" w:type="dxa"/>
            <w:vAlign w:val="center"/>
          </w:tcPr>
          <w:p w:rsidR="00000000" w:rsidRDefault="00000000">
            <w:pPr>
              <w:spacing w:before="40" w:after="40"/>
              <w:jc w:val="center"/>
              <w:rPr>
                <w:szCs w:val="24"/>
                <w:lang w:val="en-GB"/>
              </w:rPr>
            </w:pPr>
            <w:r>
              <w:rPr>
                <w:szCs w:val="24"/>
                <w:lang w:val="en-GB"/>
              </w:rPr>
              <w:t>126,6</w:t>
            </w:r>
          </w:p>
        </w:tc>
        <w:tc>
          <w:tcPr>
            <w:tcW w:w="3175" w:type="dxa"/>
            <w:vAlign w:val="center"/>
          </w:tcPr>
          <w:p w:rsidR="00000000" w:rsidRDefault="00000000">
            <w:pPr>
              <w:spacing w:before="40" w:after="40"/>
              <w:jc w:val="center"/>
              <w:rPr>
                <w:szCs w:val="24"/>
                <w:lang w:val="en-GB"/>
              </w:rPr>
            </w:pPr>
            <w:r>
              <w:rPr>
                <w:szCs w:val="24"/>
                <w:lang w:val="en-GB"/>
              </w:rPr>
              <w:t>127,1</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2</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126,5</w:t>
            </w:r>
          </w:p>
        </w:tc>
        <w:tc>
          <w:tcPr>
            <w:tcW w:w="3175" w:type="dxa"/>
            <w:vAlign w:val="center"/>
          </w:tcPr>
          <w:p w:rsidR="00000000" w:rsidRDefault="00000000">
            <w:pPr>
              <w:spacing w:before="40" w:after="40"/>
              <w:jc w:val="center"/>
              <w:rPr>
                <w:szCs w:val="24"/>
                <w:lang w:val="fr-FR"/>
              </w:rPr>
            </w:pPr>
            <w:r>
              <w:rPr>
                <w:szCs w:val="24"/>
                <w:lang w:val="fr-FR"/>
              </w:rPr>
              <w:t>112,7</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3</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en-GB"/>
              </w:rPr>
            </w:pPr>
            <w:r>
              <w:rPr>
                <w:szCs w:val="24"/>
                <w:lang w:val="en-GB"/>
              </w:rPr>
              <w:t>123,7</w:t>
            </w:r>
          </w:p>
        </w:tc>
        <w:tc>
          <w:tcPr>
            <w:tcW w:w="3175" w:type="dxa"/>
            <w:vAlign w:val="center"/>
          </w:tcPr>
          <w:p w:rsidR="00000000" w:rsidRDefault="00000000">
            <w:pPr>
              <w:spacing w:before="40" w:after="40"/>
              <w:jc w:val="center"/>
              <w:rPr>
                <w:szCs w:val="24"/>
                <w:lang w:val="en-GB"/>
              </w:rPr>
            </w:pPr>
            <w:r>
              <w:rPr>
                <w:szCs w:val="24"/>
                <w:lang w:val="en-GB"/>
              </w:rPr>
              <w:t>113,5</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4</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124,6</w:t>
            </w:r>
          </w:p>
        </w:tc>
        <w:tc>
          <w:tcPr>
            <w:tcW w:w="3175" w:type="dxa"/>
            <w:vAlign w:val="center"/>
          </w:tcPr>
          <w:p w:rsidR="00000000" w:rsidRDefault="00000000">
            <w:pPr>
              <w:spacing w:before="40" w:after="40"/>
              <w:jc w:val="center"/>
              <w:rPr>
                <w:szCs w:val="24"/>
                <w:lang w:val="fr-FR"/>
              </w:rPr>
            </w:pPr>
            <w:r>
              <w:rPr>
                <w:szCs w:val="24"/>
                <w:lang w:val="fr-FR"/>
              </w:rPr>
              <w:t>133,1</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Moyenne en 2002</w:t>
            </w:r>
          </w:p>
        </w:tc>
        <w:tc>
          <w:tcPr>
            <w:tcW w:w="3175" w:type="dxa"/>
            <w:vAlign w:val="center"/>
          </w:tcPr>
          <w:p w:rsidR="00000000" w:rsidRDefault="00000000">
            <w:pPr>
              <w:spacing w:before="40" w:after="40"/>
              <w:jc w:val="center"/>
              <w:rPr>
                <w:szCs w:val="24"/>
                <w:lang w:val="fr-FR"/>
              </w:rPr>
            </w:pPr>
            <w:r>
              <w:rPr>
                <w:szCs w:val="24"/>
                <w:lang w:val="fr-FR"/>
              </w:rPr>
              <w:t>125,4</w:t>
            </w:r>
          </w:p>
        </w:tc>
        <w:tc>
          <w:tcPr>
            <w:tcW w:w="3175" w:type="dxa"/>
            <w:vAlign w:val="center"/>
          </w:tcPr>
          <w:p w:rsidR="00000000" w:rsidRDefault="00000000">
            <w:pPr>
              <w:spacing w:before="40" w:after="40"/>
              <w:jc w:val="center"/>
              <w:rPr>
                <w:szCs w:val="24"/>
                <w:lang w:val="fr-FR"/>
              </w:rPr>
            </w:pPr>
            <w:r>
              <w:rPr>
                <w:szCs w:val="24"/>
                <w:lang w:val="fr-FR"/>
              </w:rPr>
              <w:t>121,6</w:t>
            </w:r>
          </w:p>
        </w:tc>
      </w:tr>
      <w:tr w:rsidR="00000000">
        <w:tblPrEx>
          <w:tblCellMar>
            <w:top w:w="0" w:type="dxa"/>
            <w:bottom w:w="0" w:type="dxa"/>
          </w:tblCellMar>
        </w:tblPrEx>
        <w:trPr>
          <w:cantSplit/>
          <w:jc w:val="center"/>
        </w:trPr>
        <w:tc>
          <w:tcPr>
            <w:tcW w:w="3175" w:type="dxa"/>
            <w:vAlign w:val="center"/>
          </w:tcPr>
          <w:p w:rsidR="00000000" w:rsidRDefault="00000000">
            <w:pPr>
              <w:spacing w:before="40" w:after="40"/>
              <w:jc w:val="center"/>
              <w:rPr>
                <w:szCs w:val="24"/>
                <w:lang w:val="fr-FR"/>
              </w:rPr>
            </w:pPr>
            <w:r>
              <w:rPr>
                <w:szCs w:val="24"/>
                <w:lang w:val="fr-FR"/>
              </w:rPr>
              <w:t>2003</w:t>
            </w:r>
          </w:p>
        </w:tc>
        <w:tc>
          <w:tcPr>
            <w:tcW w:w="3175" w:type="dxa"/>
            <w:vAlign w:val="center"/>
          </w:tcPr>
          <w:p w:rsidR="00000000" w:rsidRDefault="00000000">
            <w:pPr>
              <w:spacing w:before="40" w:after="40"/>
              <w:jc w:val="center"/>
              <w:rPr>
                <w:szCs w:val="24"/>
                <w:lang w:val="fr-FR"/>
              </w:rPr>
            </w:pPr>
          </w:p>
        </w:tc>
        <w:tc>
          <w:tcPr>
            <w:tcW w:w="3175" w:type="dxa"/>
            <w:vAlign w:val="center"/>
          </w:tcPr>
          <w:p w:rsidR="00000000" w:rsidRDefault="00000000">
            <w:pPr>
              <w:spacing w:before="40" w:after="40"/>
              <w:jc w:val="center"/>
              <w:rPr>
                <w:szCs w:val="24"/>
                <w:lang w:val="fr-FR"/>
              </w:rPr>
            </w:pP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1</w:t>
            </w:r>
            <w:r>
              <w:rPr>
                <w:szCs w:val="22"/>
                <w:vertAlign w:val="superscript"/>
                <w:lang w:val="fr-FR"/>
              </w:rPr>
              <w:t>er</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130,3</w:t>
            </w:r>
          </w:p>
        </w:tc>
        <w:tc>
          <w:tcPr>
            <w:tcW w:w="3175" w:type="dxa"/>
            <w:vAlign w:val="center"/>
          </w:tcPr>
          <w:p w:rsidR="00000000" w:rsidRDefault="00000000">
            <w:pPr>
              <w:spacing w:before="40" w:after="40"/>
              <w:jc w:val="center"/>
              <w:rPr>
                <w:szCs w:val="24"/>
                <w:lang w:val="fr-FR"/>
              </w:rPr>
            </w:pPr>
            <w:r>
              <w:rPr>
                <w:szCs w:val="24"/>
                <w:lang w:val="fr-FR"/>
              </w:rPr>
              <w:t>122,5</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2</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131,9</w:t>
            </w:r>
          </w:p>
        </w:tc>
        <w:tc>
          <w:tcPr>
            <w:tcW w:w="3175" w:type="dxa"/>
            <w:vAlign w:val="center"/>
          </w:tcPr>
          <w:p w:rsidR="00000000" w:rsidRDefault="00000000">
            <w:pPr>
              <w:spacing w:before="40" w:after="40"/>
              <w:jc w:val="center"/>
              <w:rPr>
                <w:szCs w:val="24"/>
                <w:lang w:val="fr-FR"/>
              </w:rPr>
            </w:pPr>
            <w:r>
              <w:rPr>
                <w:szCs w:val="24"/>
                <w:lang w:val="fr-FR"/>
              </w:rPr>
              <w:t>110,0</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3</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127,4</w:t>
            </w:r>
          </w:p>
        </w:tc>
        <w:tc>
          <w:tcPr>
            <w:tcW w:w="3175" w:type="dxa"/>
            <w:vAlign w:val="center"/>
          </w:tcPr>
          <w:p w:rsidR="00000000" w:rsidRDefault="00000000">
            <w:pPr>
              <w:spacing w:before="40" w:after="40"/>
              <w:jc w:val="center"/>
              <w:rPr>
                <w:szCs w:val="24"/>
                <w:lang w:val="fr-FR"/>
              </w:rPr>
            </w:pPr>
            <w:r>
              <w:rPr>
                <w:szCs w:val="24"/>
                <w:lang w:val="fr-FR"/>
              </w:rPr>
              <w:t>110,6</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4</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133,4</w:t>
            </w:r>
          </w:p>
        </w:tc>
        <w:tc>
          <w:tcPr>
            <w:tcW w:w="3175" w:type="dxa"/>
            <w:vAlign w:val="center"/>
          </w:tcPr>
          <w:p w:rsidR="00000000" w:rsidRDefault="00000000">
            <w:pPr>
              <w:spacing w:before="40" w:after="40"/>
              <w:jc w:val="center"/>
              <w:rPr>
                <w:szCs w:val="24"/>
                <w:lang w:val="fr-FR"/>
              </w:rPr>
            </w:pPr>
            <w:r>
              <w:rPr>
                <w:szCs w:val="24"/>
                <w:lang w:val="fr-FR"/>
              </w:rPr>
              <w:t>131,9</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Moyenne en 2003</w:t>
            </w:r>
          </w:p>
        </w:tc>
        <w:tc>
          <w:tcPr>
            <w:tcW w:w="3175" w:type="dxa"/>
            <w:vAlign w:val="center"/>
          </w:tcPr>
          <w:p w:rsidR="00000000" w:rsidRDefault="00000000">
            <w:pPr>
              <w:spacing w:before="40" w:after="40"/>
              <w:jc w:val="center"/>
              <w:rPr>
                <w:szCs w:val="24"/>
                <w:lang w:val="fr-FR"/>
              </w:rPr>
            </w:pPr>
            <w:r>
              <w:rPr>
                <w:szCs w:val="24"/>
                <w:lang w:val="fr-FR"/>
              </w:rPr>
              <w:t>130,7</w:t>
            </w:r>
          </w:p>
        </w:tc>
        <w:tc>
          <w:tcPr>
            <w:tcW w:w="3175" w:type="dxa"/>
            <w:vAlign w:val="center"/>
          </w:tcPr>
          <w:p w:rsidR="00000000" w:rsidRDefault="00000000">
            <w:pPr>
              <w:spacing w:before="40" w:after="40"/>
              <w:jc w:val="center"/>
              <w:rPr>
                <w:szCs w:val="24"/>
                <w:lang w:val="fr-FR"/>
              </w:rPr>
            </w:pPr>
            <w:r>
              <w:rPr>
                <w:szCs w:val="24"/>
                <w:lang w:val="fr-FR"/>
              </w:rPr>
              <w:t>118,8</w:t>
            </w:r>
          </w:p>
        </w:tc>
      </w:tr>
      <w:tr w:rsidR="00000000">
        <w:tblPrEx>
          <w:tblCellMar>
            <w:top w:w="0" w:type="dxa"/>
            <w:bottom w:w="0" w:type="dxa"/>
          </w:tblCellMar>
        </w:tblPrEx>
        <w:trPr>
          <w:cantSplit/>
          <w:jc w:val="center"/>
        </w:trPr>
        <w:tc>
          <w:tcPr>
            <w:tcW w:w="3175" w:type="dxa"/>
            <w:vAlign w:val="center"/>
          </w:tcPr>
          <w:p w:rsidR="00000000" w:rsidRDefault="00000000">
            <w:pPr>
              <w:spacing w:before="40" w:after="40"/>
              <w:jc w:val="center"/>
              <w:rPr>
                <w:szCs w:val="24"/>
                <w:lang w:val="fr-FR"/>
              </w:rPr>
            </w:pPr>
            <w:r>
              <w:rPr>
                <w:szCs w:val="24"/>
                <w:lang w:val="fr-FR"/>
              </w:rPr>
              <w:t>2004</w:t>
            </w:r>
          </w:p>
        </w:tc>
        <w:tc>
          <w:tcPr>
            <w:tcW w:w="3175" w:type="dxa"/>
            <w:vAlign w:val="center"/>
          </w:tcPr>
          <w:p w:rsidR="00000000" w:rsidRDefault="00000000">
            <w:pPr>
              <w:spacing w:before="40" w:after="40"/>
              <w:jc w:val="center"/>
              <w:rPr>
                <w:szCs w:val="24"/>
                <w:lang w:val="fr-FR"/>
              </w:rPr>
            </w:pPr>
          </w:p>
        </w:tc>
        <w:tc>
          <w:tcPr>
            <w:tcW w:w="3175" w:type="dxa"/>
            <w:vAlign w:val="center"/>
          </w:tcPr>
          <w:p w:rsidR="00000000" w:rsidRDefault="00000000">
            <w:pPr>
              <w:spacing w:before="40" w:after="40"/>
              <w:jc w:val="center"/>
              <w:rPr>
                <w:szCs w:val="24"/>
                <w:lang w:val="fr-FR"/>
              </w:rPr>
            </w:pP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1</w:t>
            </w:r>
            <w:r>
              <w:rPr>
                <w:szCs w:val="22"/>
                <w:vertAlign w:val="superscript"/>
                <w:lang w:val="fr-FR"/>
              </w:rPr>
              <w:t>er</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135,8</w:t>
            </w:r>
          </w:p>
        </w:tc>
        <w:tc>
          <w:tcPr>
            <w:tcW w:w="3175" w:type="dxa"/>
            <w:vAlign w:val="center"/>
          </w:tcPr>
          <w:p w:rsidR="00000000" w:rsidRDefault="00000000">
            <w:pPr>
              <w:spacing w:before="40" w:after="40"/>
              <w:jc w:val="center"/>
              <w:rPr>
                <w:szCs w:val="24"/>
                <w:lang w:val="fr-FR"/>
              </w:rPr>
            </w:pPr>
            <w:r>
              <w:rPr>
                <w:szCs w:val="24"/>
                <w:lang w:val="fr-FR"/>
              </w:rPr>
              <w:t>137,5</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2</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lang w:val="fr-FR"/>
              </w:rPr>
            </w:pPr>
            <w:r>
              <w:rPr>
                <w:szCs w:val="24"/>
                <w:lang w:val="fr-FR"/>
              </w:rPr>
              <w:t>134,1</w:t>
            </w:r>
          </w:p>
        </w:tc>
        <w:tc>
          <w:tcPr>
            <w:tcW w:w="3175" w:type="dxa"/>
            <w:vAlign w:val="center"/>
          </w:tcPr>
          <w:p w:rsidR="00000000" w:rsidRDefault="00000000">
            <w:pPr>
              <w:spacing w:before="40" w:after="40"/>
              <w:jc w:val="center"/>
              <w:rPr>
                <w:szCs w:val="24"/>
                <w:lang w:val="fr-FR"/>
              </w:rPr>
            </w:pPr>
            <w:r>
              <w:rPr>
                <w:szCs w:val="24"/>
                <w:lang w:val="fr-FR"/>
              </w:rPr>
              <w:t>126,1</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3</w:t>
            </w:r>
            <w:r>
              <w:rPr>
                <w:szCs w:val="22"/>
                <w:vertAlign w:val="superscript"/>
                <w:lang w:val="fr-FR"/>
              </w:rPr>
              <w:t>e</w:t>
            </w:r>
            <w:r>
              <w:rPr>
                <w:szCs w:val="22"/>
                <w:lang w:val="fr-FR"/>
              </w:rPr>
              <w:t xml:space="preserve"> trimestre</w:t>
            </w:r>
          </w:p>
        </w:tc>
        <w:tc>
          <w:tcPr>
            <w:tcW w:w="3175" w:type="dxa"/>
            <w:vAlign w:val="center"/>
          </w:tcPr>
          <w:p w:rsidR="00000000" w:rsidRDefault="00000000">
            <w:pPr>
              <w:spacing w:before="40" w:after="40"/>
              <w:jc w:val="center"/>
              <w:rPr>
                <w:szCs w:val="24"/>
                <w:lang w:val="fr-FR"/>
              </w:rPr>
            </w:pPr>
            <w:r>
              <w:rPr>
                <w:szCs w:val="24"/>
                <w:lang w:val="fr-FR"/>
              </w:rPr>
              <w:t>133,7</w:t>
            </w:r>
          </w:p>
        </w:tc>
        <w:tc>
          <w:tcPr>
            <w:tcW w:w="3175" w:type="dxa"/>
            <w:vAlign w:val="center"/>
          </w:tcPr>
          <w:p w:rsidR="00000000" w:rsidRDefault="00000000">
            <w:pPr>
              <w:spacing w:before="40" w:after="40"/>
              <w:jc w:val="center"/>
              <w:rPr>
                <w:szCs w:val="24"/>
                <w:lang w:val="fr-FR"/>
              </w:rPr>
            </w:pPr>
            <w:r>
              <w:rPr>
                <w:szCs w:val="24"/>
                <w:lang w:val="fr-FR"/>
              </w:rPr>
              <w:t>125,3</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4</w:t>
            </w:r>
            <w:r>
              <w:rPr>
                <w:szCs w:val="22"/>
                <w:vertAlign w:val="superscript"/>
                <w:lang w:val="fr-FR"/>
              </w:rPr>
              <w:t xml:space="preserve">e </w:t>
            </w:r>
            <w:r>
              <w:rPr>
                <w:szCs w:val="22"/>
                <w:lang w:val="fr-FR"/>
              </w:rPr>
              <w:t>trimestre</w:t>
            </w:r>
          </w:p>
        </w:tc>
        <w:tc>
          <w:tcPr>
            <w:tcW w:w="3175" w:type="dxa"/>
            <w:vAlign w:val="center"/>
          </w:tcPr>
          <w:p w:rsidR="00000000" w:rsidRDefault="00000000">
            <w:pPr>
              <w:spacing w:before="40" w:after="40"/>
              <w:jc w:val="center"/>
              <w:rPr>
                <w:szCs w:val="24"/>
              </w:rPr>
            </w:pPr>
            <w:r>
              <w:rPr>
                <w:szCs w:val="24"/>
              </w:rPr>
              <w:t>144,7</w:t>
            </w:r>
          </w:p>
        </w:tc>
        <w:tc>
          <w:tcPr>
            <w:tcW w:w="3175" w:type="dxa"/>
            <w:vAlign w:val="center"/>
          </w:tcPr>
          <w:p w:rsidR="00000000" w:rsidRDefault="00000000">
            <w:pPr>
              <w:spacing w:before="40" w:after="40"/>
              <w:jc w:val="center"/>
              <w:rPr>
                <w:szCs w:val="24"/>
              </w:rPr>
            </w:pPr>
            <w:r>
              <w:rPr>
                <w:szCs w:val="24"/>
              </w:rPr>
              <w:t>142,8</w:t>
            </w:r>
          </w:p>
        </w:tc>
      </w:tr>
      <w:tr w:rsidR="00000000">
        <w:tblPrEx>
          <w:tblCellMar>
            <w:top w:w="0" w:type="dxa"/>
            <w:bottom w:w="0" w:type="dxa"/>
          </w:tblCellMar>
        </w:tblPrEx>
        <w:trPr>
          <w:cantSplit/>
          <w:jc w:val="center"/>
        </w:trPr>
        <w:tc>
          <w:tcPr>
            <w:tcW w:w="3175" w:type="dxa"/>
          </w:tcPr>
          <w:p w:rsidR="00000000" w:rsidRDefault="00000000">
            <w:pPr>
              <w:spacing w:before="40" w:after="40"/>
              <w:rPr>
                <w:szCs w:val="22"/>
                <w:lang w:val="fr-FR"/>
              </w:rPr>
            </w:pPr>
            <w:r>
              <w:rPr>
                <w:szCs w:val="22"/>
                <w:lang w:val="fr-FR"/>
              </w:rPr>
              <w:t>Moyenne en 2004</w:t>
            </w:r>
          </w:p>
        </w:tc>
        <w:tc>
          <w:tcPr>
            <w:tcW w:w="3175" w:type="dxa"/>
            <w:vAlign w:val="center"/>
          </w:tcPr>
          <w:p w:rsidR="00000000" w:rsidRDefault="00000000">
            <w:pPr>
              <w:spacing w:before="40" w:after="40"/>
              <w:jc w:val="center"/>
              <w:rPr>
                <w:szCs w:val="24"/>
              </w:rPr>
            </w:pPr>
            <w:r>
              <w:rPr>
                <w:szCs w:val="24"/>
              </w:rPr>
              <w:t>137,1</w:t>
            </w:r>
          </w:p>
        </w:tc>
        <w:tc>
          <w:tcPr>
            <w:tcW w:w="3175" w:type="dxa"/>
            <w:vAlign w:val="center"/>
          </w:tcPr>
          <w:p w:rsidR="00000000" w:rsidRDefault="00000000">
            <w:pPr>
              <w:spacing w:before="40" w:after="40"/>
              <w:jc w:val="center"/>
              <w:rPr>
                <w:szCs w:val="24"/>
              </w:rPr>
            </w:pPr>
            <w:r>
              <w:rPr>
                <w:szCs w:val="24"/>
              </w:rPr>
              <w:t>132,9</w:t>
            </w:r>
          </w:p>
        </w:tc>
      </w:tr>
    </w:tbl>
    <w:p w:rsidR="00000000" w:rsidRDefault="00000000">
      <w:pPr>
        <w:spacing w:after="240"/>
        <w:rPr>
          <w:u w:val="single"/>
        </w:rPr>
      </w:pPr>
    </w:p>
    <w:p w:rsidR="00000000" w:rsidRDefault="00000000">
      <w:pPr>
        <w:keepNext/>
        <w:spacing w:after="240"/>
        <w:jc w:val="center"/>
        <w:rPr>
          <w:b/>
          <w:bCs/>
          <w:lang w:val="fr-FR"/>
        </w:rPr>
      </w:pPr>
      <w:r>
        <w:rPr>
          <w:b/>
          <w:bCs/>
          <w:lang w:val="fr-FR"/>
        </w:rPr>
        <w:t>VIII.  ÉDUCATION, LOISIRS ET ACTIVITÉS CULTURELLES</w:t>
      </w:r>
    </w:p>
    <w:p w:rsidR="00000000" w:rsidRDefault="00000000">
      <w:pPr>
        <w:keepNext/>
        <w:spacing w:after="240"/>
        <w:jc w:val="center"/>
        <w:rPr>
          <w:b/>
          <w:bCs/>
          <w:lang w:val="fr-FR"/>
        </w:rPr>
      </w:pPr>
      <w:r>
        <w:rPr>
          <w:b/>
          <w:bCs/>
          <w:lang w:val="fr-FR"/>
        </w:rPr>
        <w:t>A.  Le droit à l’éducation (art. 28 et 29)</w:t>
      </w:r>
    </w:p>
    <w:p w:rsidR="00000000" w:rsidRDefault="00000000">
      <w:pPr>
        <w:keepNext/>
        <w:spacing w:after="240"/>
        <w:rPr>
          <w:lang w:val="fr-FR"/>
        </w:rPr>
      </w:pPr>
      <w:r>
        <w:rPr>
          <w:lang w:val="fr-FR"/>
        </w:rPr>
        <w:t>212.</w:t>
      </w:r>
      <w:r>
        <w:rPr>
          <w:lang w:val="fr-FR"/>
        </w:rPr>
        <w:tab/>
        <w:t>Dans ses observations finales, le Comité invite instamment l’État partie, compte tenu de son Observation générale n° 1 sur les buts de l’éducation, à poursuivre ses efforts pour que tous les enfants exercent leur droit à l’éducation conformément aux articles 28 et 29 de la Convention, et pour que les enfants handicapés soient intégrés dans le système éducatif ordinaire, conformément à l’article 3 de la Convention. Il encourage l’État partie à accroître les ressources publiques allouées à l’enseignement obligatoire et à prendre des mesures pour mettre un terme à la participation des familles aux «fonds scolaires», pratique de nature à limiter l’accès à l’éducation des enfants les plus vulnérables. Il encourage par ailleurs l’État partie à recueillir des données ventilées concernant les élèves qui sont renvoyés, qui abandonnent l’école ou qui connaissent d’autres problèmes scolaires, et à proposer à ceux-ci des services d’assistance et de conseil.</w:t>
      </w:r>
    </w:p>
    <w:p w:rsidR="00000000" w:rsidRDefault="00000000">
      <w:pPr>
        <w:spacing w:after="240"/>
        <w:rPr>
          <w:b/>
          <w:bCs/>
          <w:lang w:val="fr-FR"/>
        </w:rPr>
      </w:pPr>
      <w:r>
        <w:rPr>
          <w:b/>
          <w:bCs/>
          <w:lang w:val="fr-FR"/>
        </w:rPr>
        <w:t>Différents aspects de l’exercice du droit à l’éducation (2000-2005)</w:t>
      </w:r>
    </w:p>
    <w:p w:rsidR="00000000" w:rsidRDefault="00000000">
      <w:pPr>
        <w:spacing w:after="240"/>
        <w:rPr>
          <w:lang w:val="fr-FR"/>
        </w:rPr>
      </w:pPr>
      <w:r>
        <w:rPr>
          <w:lang w:val="fr-FR"/>
        </w:rPr>
        <w:t>213.</w:t>
      </w:r>
      <w:r>
        <w:rPr>
          <w:lang w:val="fr-FR"/>
        </w:rPr>
        <w:tab/>
        <w:t>En 2005, la loi sur l’enseignement général a été promulguée; elle réglemente les différents aspects du droit à l’éducation et en particulier:</w:t>
      </w:r>
    </w:p>
    <w:p w:rsidR="00000000" w:rsidRDefault="00000000">
      <w:pPr>
        <w:spacing w:after="240"/>
        <w:ind w:firstLine="567"/>
        <w:rPr>
          <w:lang w:val="fr-FR"/>
        </w:rPr>
      </w:pPr>
      <w:r>
        <w:rPr>
          <w:lang w:val="fr-FR"/>
        </w:rPr>
        <w:t>–</w:t>
      </w:r>
      <w:r>
        <w:rPr>
          <w:lang w:val="fr-FR"/>
        </w:rPr>
        <w:tab/>
        <w:t>L’accessibilité de l’enseignement général;</w:t>
      </w:r>
    </w:p>
    <w:p w:rsidR="00000000" w:rsidRDefault="00000000">
      <w:pPr>
        <w:spacing w:after="240"/>
        <w:ind w:firstLine="567"/>
        <w:rPr>
          <w:lang w:val="fr-FR"/>
        </w:rPr>
      </w:pPr>
      <w:r>
        <w:rPr>
          <w:lang w:val="fr-FR"/>
        </w:rPr>
        <w:t>–</w:t>
      </w:r>
      <w:r>
        <w:rPr>
          <w:lang w:val="fr-FR"/>
        </w:rPr>
        <w:tab/>
        <w:t>Le droit à l’enseignement général;</w:t>
      </w:r>
    </w:p>
    <w:p w:rsidR="00000000" w:rsidRDefault="00000000">
      <w:pPr>
        <w:spacing w:after="240"/>
        <w:ind w:firstLine="567"/>
        <w:rPr>
          <w:lang w:val="fr-FR"/>
        </w:rPr>
      </w:pPr>
      <w:r>
        <w:rPr>
          <w:lang w:val="fr-FR"/>
        </w:rPr>
        <w:t>–</w:t>
      </w:r>
      <w:r>
        <w:rPr>
          <w:lang w:val="fr-FR"/>
        </w:rPr>
        <w:tab/>
        <w:t>La participation à la gestion de l’école;</w:t>
      </w:r>
    </w:p>
    <w:p w:rsidR="00000000" w:rsidRDefault="00000000">
      <w:pPr>
        <w:spacing w:after="240"/>
        <w:ind w:firstLine="567"/>
        <w:rPr>
          <w:lang w:val="fr-FR"/>
        </w:rPr>
      </w:pPr>
      <w:r>
        <w:rPr>
          <w:lang w:val="fr-FR"/>
        </w:rPr>
        <w:t>–</w:t>
      </w:r>
      <w:r>
        <w:rPr>
          <w:lang w:val="fr-FR"/>
        </w:rPr>
        <w:tab/>
        <w:t>La neutralité et la non-discrimination;</w:t>
      </w:r>
    </w:p>
    <w:p w:rsidR="00000000" w:rsidRDefault="00000000">
      <w:pPr>
        <w:spacing w:after="240"/>
        <w:ind w:firstLine="567"/>
        <w:rPr>
          <w:lang w:val="fr-FR"/>
        </w:rPr>
      </w:pPr>
      <w:r>
        <w:rPr>
          <w:lang w:val="fr-FR"/>
        </w:rPr>
        <w:t>–</w:t>
      </w:r>
      <w:r>
        <w:rPr>
          <w:lang w:val="fr-FR"/>
        </w:rPr>
        <w:tab/>
        <w:t>La liberté d’expression, etc.</w:t>
      </w:r>
    </w:p>
    <w:p w:rsidR="00000000" w:rsidRDefault="00000000">
      <w:pPr>
        <w:spacing w:after="240"/>
        <w:rPr>
          <w:lang w:val="fr-FR"/>
        </w:rPr>
      </w:pPr>
      <w:r>
        <w:rPr>
          <w:lang w:val="fr-FR"/>
        </w:rPr>
        <w:t>214.</w:t>
      </w:r>
      <w:r>
        <w:rPr>
          <w:lang w:val="fr-FR"/>
        </w:rPr>
        <w:tab/>
        <w:t>Conformément à l’article 22 de cette loi, l’État assure un enseignement secondaire complet, et l’éducation des élèves dans les établissements d’enseignement général est prise en charge pendant douze ans.</w:t>
      </w:r>
    </w:p>
    <w:p w:rsidR="00000000" w:rsidRDefault="00000000">
      <w:pPr>
        <w:spacing w:after="240"/>
        <w:rPr>
          <w:lang w:val="fr-FR"/>
        </w:rPr>
      </w:pPr>
      <w:r>
        <w:rPr>
          <w:lang w:val="fr-FR"/>
        </w:rPr>
        <w:t>215.</w:t>
      </w:r>
      <w:r>
        <w:rPr>
          <w:lang w:val="fr-FR"/>
        </w:rPr>
        <w:tab/>
        <w:t>Il convient de relever que, conformément au paragraphe 4 de l’article 14 de la loi sur l’enseignement général, un élève, un parent et un enseignant ont le droit, en vertu des règles en vigueur, de recueillir des dons privés dans un but caritatif. Un établissement scolaire a le droit de prendre toutes les mesures raisonnables afin de prévenir l’extorsion de fonds ou d’autres biens.</w:t>
      </w:r>
    </w:p>
    <w:p w:rsidR="00000000" w:rsidRDefault="00000000">
      <w:pPr>
        <w:spacing w:after="240"/>
        <w:rPr>
          <w:lang w:val="fr-FR"/>
        </w:rPr>
      </w:pPr>
      <w:r>
        <w:rPr>
          <w:lang w:val="fr-FR"/>
        </w:rPr>
        <w:t>216.</w:t>
      </w:r>
      <w:r>
        <w:rPr>
          <w:lang w:val="fr-FR"/>
        </w:rPr>
        <w:tab/>
        <w:t>En 2005, les établissements scolaires publics de Géorgie ont été enregistrés en tant que personnes morales de droit public. Chaque établissement dispose de son propre compte bancaire et compte subsidiaire. Le numéro du compte subsidiaire est accessible aux parents qui souhaitent y virer des fonds.</w:t>
      </w:r>
    </w:p>
    <w:p w:rsidR="00000000" w:rsidRDefault="00000000">
      <w:pPr>
        <w:keepNext/>
        <w:spacing w:after="240"/>
        <w:rPr>
          <w:b/>
          <w:bCs/>
          <w:lang w:val="fr-FR"/>
        </w:rPr>
      </w:pPr>
      <w:r>
        <w:rPr>
          <w:b/>
          <w:bCs/>
          <w:lang w:val="fr-FR"/>
        </w:rPr>
        <w:t>Programmes gouvernementaux pour la création de différents types d’écoles</w:t>
      </w:r>
    </w:p>
    <w:p w:rsidR="00000000" w:rsidRDefault="00000000">
      <w:pPr>
        <w:keepNext/>
        <w:keepLines/>
        <w:spacing w:after="240"/>
        <w:rPr>
          <w:lang w:val="fr-FR"/>
        </w:rPr>
      </w:pPr>
      <w:r>
        <w:rPr>
          <w:lang w:val="fr-FR"/>
        </w:rPr>
        <w:t>217.</w:t>
      </w:r>
      <w:r>
        <w:rPr>
          <w:lang w:val="fr-FR"/>
        </w:rPr>
        <w:tab/>
        <w:t xml:space="preserve">Durant la période considérée, le Ministère de l’éducation et des sciences a lancé un programme de réhabilitation matérielle et technique des écoles publiques </w:t>
      </w:r>
      <w:r>
        <w:rPr>
          <w:i/>
          <w:iCs/>
          <w:lang w:val="fr-FR"/>
        </w:rPr>
        <w:t>(</w:t>
      </w:r>
      <w:r>
        <w:rPr>
          <w:lang w:val="fr-FR"/>
        </w:rPr>
        <w:t xml:space="preserve">Programme </w:t>
      </w:r>
      <w:proofErr w:type="spellStart"/>
      <w:r>
        <w:rPr>
          <w:lang w:val="fr-FR"/>
        </w:rPr>
        <w:t>Iakob</w:t>
      </w:r>
      <w:proofErr w:type="spellEnd"/>
      <w:r>
        <w:rPr>
          <w:lang w:val="fr-FR"/>
        </w:rPr>
        <w:t xml:space="preserve"> </w:t>
      </w:r>
      <w:proofErr w:type="spellStart"/>
      <w:r>
        <w:rPr>
          <w:lang w:val="fr-FR"/>
        </w:rPr>
        <w:t>Gogebashvili</w:t>
      </w:r>
      <w:proofErr w:type="spellEnd"/>
      <w:r>
        <w:rPr>
          <w:i/>
          <w:iCs/>
          <w:lang w:val="fr-FR"/>
        </w:rPr>
        <w:t>)</w:t>
      </w:r>
      <w:r>
        <w:rPr>
          <w:lang w:val="fr-FR"/>
        </w:rPr>
        <w:t xml:space="preserve">. Ce programme vise à créer un environnement plus sûr pour 400 000 écoliers par la rénovation des bâtiments scolaires et leur mise en conformité avec les normes internationales. En 2004-2005, 27 nouvelles écoles ont été construites, et 100 écoles (19 dans la capitale et 81 dans les régions) ont été rénovées. En 2006, la réhabilitation de 60 écoles à Tbilissi et de 145 dans les centres régionaux, ainsi que la construction de 45 nouveaux bâtiments scolaires seront achevées, pour un coût de 60 millions de </w:t>
      </w:r>
      <w:proofErr w:type="spellStart"/>
      <w:r>
        <w:rPr>
          <w:lang w:val="fr-FR"/>
        </w:rPr>
        <w:t>lari</w:t>
      </w:r>
      <w:proofErr w:type="spellEnd"/>
      <w:r>
        <w:rPr>
          <w:lang w:val="fr-FR"/>
        </w:rPr>
        <w:t>. Selon ce programme, il est prévu de réhabiliter en 2007-2008 43 orphelinats et 49 écoles situées dans des régions montagneuses éloignées, ainsi que 1 200 écoles dans les zones rurales.</w:t>
      </w:r>
    </w:p>
    <w:p w:rsidR="00000000" w:rsidRDefault="00000000">
      <w:pPr>
        <w:spacing w:after="240"/>
        <w:rPr>
          <w:lang w:val="fr-FR"/>
        </w:rPr>
      </w:pPr>
      <w:r>
        <w:rPr>
          <w:lang w:val="fr-FR"/>
        </w:rPr>
        <w:t>218.</w:t>
      </w:r>
      <w:r>
        <w:rPr>
          <w:lang w:val="fr-FR"/>
        </w:rPr>
        <w:tab/>
        <w:t>En mars 2005, le Ministère de l’éducation et des sciences, avec l’assistance d’experts estoniens de la Fondation estonienne «Bond du tigre», a lancé le programme d’informatisation des écoles publiques appelé «Bond du daim». L’objectif principal de ce programme est de faciliter la modernisation du système éducatif géorgien en créant une infrastructure nationale de technologie de l’information et de la communication (TIC) dans les écoles et en renforçant les capacités en matière de technologie moderne de l’information.</w:t>
      </w:r>
    </w:p>
    <w:p w:rsidR="00000000" w:rsidRDefault="00000000">
      <w:pPr>
        <w:spacing w:after="240"/>
        <w:rPr>
          <w:lang w:val="fr-FR"/>
        </w:rPr>
      </w:pPr>
      <w:r>
        <w:rPr>
          <w:lang w:val="fr-FR"/>
        </w:rPr>
        <w:t>219.</w:t>
      </w:r>
      <w:r>
        <w:rPr>
          <w:lang w:val="fr-FR"/>
        </w:rPr>
        <w:tab/>
        <w:t>Le programme d’informatisation scolaire de la Fondation «Bond du daim» devrait constituer une initiative de modernisation très efficace qui aura un impact important sur le renouveau éducatif, économique et social de la Géorgie. L’utilisation des technologies nouvelles de l’information dans l’enseignement est un facteur clef dans le processus général de reconstruction et de rattachement de l’État géorgien au processus de mondialisation.</w:t>
      </w:r>
    </w:p>
    <w:p w:rsidR="00000000" w:rsidRDefault="00000000">
      <w:pPr>
        <w:spacing w:after="240"/>
        <w:rPr>
          <w:lang w:val="fr-FR"/>
        </w:rPr>
      </w:pPr>
      <w:r>
        <w:rPr>
          <w:lang w:val="fr-FR"/>
        </w:rPr>
        <w:t>220.</w:t>
      </w:r>
      <w:r>
        <w:rPr>
          <w:lang w:val="fr-FR"/>
        </w:rPr>
        <w:tab/>
        <w:t>Conformément à un décret du Président de la République, la Fondation «Bond du daim» a été installée au Ministère de l’éducation et des sciences en septembre 2005. Le conseil d’administration de cette fondation est extrêmement représentatif, incluant des hauts fonctionnaires du Ministère de l’éducation et des sciences, du Ministère du développement économique, de la Commission nationale des communications et du Parlement, ainsi que des représentants influents d’organisations de la société civile, d’associations des milieux d’affaires, d’universités et des cercles pédagogiques.</w:t>
      </w:r>
    </w:p>
    <w:p w:rsidR="00000000" w:rsidRDefault="00000000">
      <w:pPr>
        <w:spacing w:after="240"/>
        <w:rPr>
          <w:lang w:val="fr-FR"/>
        </w:rPr>
      </w:pPr>
      <w:r>
        <w:rPr>
          <w:lang w:val="fr-FR"/>
        </w:rPr>
        <w:t>221.</w:t>
      </w:r>
      <w:r>
        <w:rPr>
          <w:lang w:val="fr-FR"/>
        </w:rPr>
        <w:tab/>
        <w:t>La Fondation «Bond du daim» exécute un programme d’une durée de quatre ans avec une forte possibilité d’extension pour au moins quatre autres années. Ce programme concerne 2 300 écoles publiques.</w:t>
      </w:r>
    </w:p>
    <w:p w:rsidR="00000000" w:rsidRDefault="00000000">
      <w:pPr>
        <w:spacing w:after="240"/>
        <w:rPr>
          <w:lang w:val="fr-FR"/>
        </w:rPr>
      </w:pPr>
      <w:r>
        <w:rPr>
          <w:lang w:val="fr-FR"/>
        </w:rPr>
        <w:t>222.</w:t>
      </w:r>
      <w:r>
        <w:rPr>
          <w:lang w:val="fr-FR"/>
        </w:rPr>
        <w:tab/>
        <w:t>La phase en cours du programme (2005-2009) vise les objectifs suivants:</w:t>
      </w:r>
    </w:p>
    <w:p w:rsidR="00000000" w:rsidRDefault="00000000">
      <w:pPr>
        <w:spacing w:after="240"/>
        <w:ind w:firstLine="567"/>
        <w:rPr>
          <w:lang w:val="fr-FR"/>
        </w:rPr>
      </w:pPr>
      <w:r>
        <w:rPr>
          <w:lang w:val="fr-FR"/>
        </w:rPr>
        <w:t>–</w:t>
      </w:r>
      <w:r>
        <w:rPr>
          <w:lang w:val="fr-FR"/>
        </w:rPr>
        <w:tab/>
        <w:t>Accès à l’ordinateur et à Internet dans toutes les écoles;</w:t>
      </w:r>
    </w:p>
    <w:p w:rsidR="00000000" w:rsidRDefault="00000000">
      <w:pPr>
        <w:spacing w:after="240"/>
        <w:ind w:firstLine="567"/>
        <w:rPr>
          <w:lang w:val="fr-FR"/>
        </w:rPr>
      </w:pPr>
      <w:r>
        <w:rPr>
          <w:lang w:val="fr-FR"/>
        </w:rPr>
        <w:t>–</w:t>
      </w:r>
      <w:r>
        <w:rPr>
          <w:lang w:val="fr-FR"/>
        </w:rPr>
        <w:tab/>
        <w:t>Fourniture de logiciels et de services éducatifs;</w:t>
      </w:r>
    </w:p>
    <w:p w:rsidR="00000000" w:rsidRDefault="00000000">
      <w:pPr>
        <w:spacing w:after="240"/>
        <w:ind w:firstLine="567"/>
        <w:rPr>
          <w:lang w:val="fr-FR"/>
        </w:rPr>
      </w:pPr>
      <w:r>
        <w:rPr>
          <w:lang w:val="fr-FR"/>
        </w:rPr>
        <w:t>–</w:t>
      </w:r>
      <w:r>
        <w:rPr>
          <w:lang w:val="fr-FR"/>
        </w:rPr>
        <w:tab/>
        <w:t>Disponibilité et qualité de l’appui technique;</w:t>
      </w:r>
    </w:p>
    <w:p w:rsidR="00000000" w:rsidRDefault="00000000">
      <w:pPr>
        <w:spacing w:after="240"/>
        <w:ind w:firstLine="567"/>
        <w:rPr>
          <w:lang w:val="fr-FR"/>
        </w:rPr>
      </w:pPr>
      <w:r>
        <w:rPr>
          <w:lang w:val="fr-FR"/>
        </w:rPr>
        <w:t>–</w:t>
      </w:r>
      <w:r>
        <w:rPr>
          <w:lang w:val="fr-FR"/>
        </w:rPr>
        <w:tab/>
        <w:t>Compétences des enseignants et des étudiants en matière de TIC;</w:t>
      </w:r>
    </w:p>
    <w:p w:rsidR="00000000" w:rsidRDefault="00000000">
      <w:pPr>
        <w:spacing w:after="240"/>
        <w:ind w:firstLine="567"/>
        <w:rPr>
          <w:lang w:val="fr-FR"/>
        </w:rPr>
      </w:pPr>
      <w:r>
        <w:rPr>
          <w:lang w:val="fr-FR"/>
        </w:rPr>
        <w:t>–</w:t>
      </w:r>
      <w:r>
        <w:rPr>
          <w:lang w:val="fr-FR"/>
        </w:rPr>
        <w:tab/>
        <w:t>Intégration des TIC aux programmes scolaires;</w:t>
      </w:r>
    </w:p>
    <w:p w:rsidR="00000000" w:rsidRDefault="00000000">
      <w:pPr>
        <w:numPr>
          <w:ilvl w:val="0"/>
          <w:numId w:val="152"/>
        </w:numPr>
        <w:spacing w:after="240"/>
        <w:rPr>
          <w:lang w:val="fr-FR"/>
        </w:rPr>
      </w:pPr>
      <w:r>
        <w:rPr>
          <w:lang w:val="fr-FR"/>
        </w:rPr>
        <w:t>Intégration d’un système informatisé de la gestion de l’éducation dans les écoles, au niveau des districts et au niveau national.</w:t>
      </w:r>
    </w:p>
    <w:p w:rsidR="00000000" w:rsidRDefault="00000000">
      <w:pPr>
        <w:spacing w:after="240"/>
        <w:rPr>
          <w:lang w:val="fr-FR"/>
        </w:rPr>
      </w:pPr>
      <w:r>
        <w:rPr>
          <w:lang w:val="fr-FR"/>
        </w:rPr>
        <w:t>223.</w:t>
      </w:r>
      <w:r>
        <w:rPr>
          <w:lang w:val="fr-FR"/>
        </w:rPr>
        <w:tab/>
        <w:t>À ce jour, le programme a permis les réalisations suivantes:</w:t>
      </w:r>
    </w:p>
    <w:p w:rsidR="00000000" w:rsidRDefault="00000000">
      <w:pPr>
        <w:spacing w:after="240"/>
        <w:ind w:firstLine="567"/>
        <w:rPr>
          <w:lang w:val="fr-FR"/>
        </w:rPr>
      </w:pPr>
      <w:r>
        <w:rPr>
          <w:lang w:val="fr-FR"/>
        </w:rPr>
        <w:t>–</w:t>
      </w:r>
      <w:r>
        <w:rPr>
          <w:lang w:val="fr-FR"/>
        </w:rPr>
        <w:tab/>
        <w:t>Achat du premier lot de 1 200 PC modernes, par appel d’offres;</w:t>
      </w:r>
    </w:p>
    <w:p w:rsidR="00000000" w:rsidRDefault="00000000">
      <w:pPr>
        <w:spacing w:after="240"/>
        <w:ind w:firstLine="567"/>
        <w:rPr>
          <w:lang w:val="fr-FR"/>
        </w:rPr>
      </w:pPr>
      <w:r>
        <w:rPr>
          <w:lang w:val="fr-FR"/>
        </w:rPr>
        <w:t>–</w:t>
      </w:r>
      <w:r>
        <w:rPr>
          <w:lang w:val="fr-FR"/>
        </w:rPr>
        <w:tab/>
        <w:t>Répartition des PC entre 200 écoles situées dans huit villes;</w:t>
      </w:r>
    </w:p>
    <w:p w:rsidR="00000000" w:rsidRDefault="00000000">
      <w:pPr>
        <w:spacing w:after="240"/>
        <w:ind w:left="1134" w:hanging="567"/>
        <w:rPr>
          <w:lang w:val="fr-FR"/>
        </w:rPr>
      </w:pPr>
      <w:r>
        <w:rPr>
          <w:lang w:val="fr-FR"/>
        </w:rPr>
        <w:t>–</w:t>
      </w:r>
      <w:r>
        <w:rPr>
          <w:lang w:val="fr-FR"/>
        </w:rPr>
        <w:tab/>
        <w:t>Installation sur les PC d’un système opérationnel gratuit à base LINUX spécialement conçu pour les besoins des écoles par les meilleurs programmeurs locaux;</w:t>
      </w:r>
    </w:p>
    <w:p w:rsidR="00000000" w:rsidRDefault="00000000">
      <w:pPr>
        <w:spacing w:after="240"/>
        <w:ind w:left="1134" w:hanging="567"/>
        <w:rPr>
          <w:lang w:val="fr-FR"/>
        </w:rPr>
      </w:pPr>
      <w:r>
        <w:rPr>
          <w:lang w:val="fr-FR"/>
        </w:rPr>
        <w:t>–</w:t>
      </w:r>
      <w:r>
        <w:rPr>
          <w:lang w:val="fr-FR"/>
        </w:rPr>
        <w:tab/>
        <w:t>Lancement d’un processus d’adaptation/traduction de ce système opérationnel et du logiciel connexe en vue de la première utilisation intégrale du PC en Géorgie par les élèves de tous âges et les enseignants;</w:t>
      </w:r>
    </w:p>
    <w:p w:rsidR="00000000" w:rsidRDefault="00000000">
      <w:pPr>
        <w:spacing w:after="240"/>
        <w:ind w:left="1134" w:hanging="567"/>
        <w:rPr>
          <w:lang w:val="fr-FR"/>
        </w:rPr>
      </w:pPr>
      <w:r>
        <w:rPr>
          <w:lang w:val="fr-FR"/>
        </w:rPr>
        <w:t>–</w:t>
      </w:r>
      <w:r>
        <w:rPr>
          <w:lang w:val="fr-FR"/>
        </w:rPr>
        <w:tab/>
        <w:t>Programme à grande échelle pour la formation de 2 000 enseignants à l’informatique, avant la fin de l’année scolaire actuelle;</w:t>
      </w:r>
    </w:p>
    <w:p w:rsidR="00000000" w:rsidRDefault="00000000">
      <w:pPr>
        <w:numPr>
          <w:ilvl w:val="0"/>
          <w:numId w:val="152"/>
        </w:numPr>
        <w:spacing w:after="240"/>
        <w:rPr>
          <w:lang w:val="fr-FR"/>
        </w:rPr>
      </w:pPr>
      <w:r>
        <w:rPr>
          <w:lang w:val="fr-FR"/>
        </w:rPr>
        <w:t xml:space="preserve">Série d’ateliers sur différents sujets concernant l’intégration des TIC au processus d’apprentissage et projets éducatifs sur le </w:t>
      </w:r>
      <w:proofErr w:type="spellStart"/>
      <w:r>
        <w:rPr>
          <w:lang w:val="fr-FR"/>
        </w:rPr>
        <w:t>Web</w:t>
      </w:r>
      <w:proofErr w:type="spellEnd"/>
      <w:r>
        <w:rPr>
          <w:lang w:val="fr-FR"/>
        </w:rPr>
        <w:t xml:space="preserve"> (conduits par des experts estoniens parmi les plus compétents).</w:t>
      </w:r>
    </w:p>
    <w:p w:rsidR="00000000" w:rsidRDefault="00000000">
      <w:pPr>
        <w:spacing w:after="240"/>
        <w:rPr>
          <w:lang w:val="fr-FR"/>
        </w:rPr>
      </w:pPr>
      <w:r>
        <w:rPr>
          <w:lang w:val="fr-FR"/>
        </w:rPr>
        <w:t>224.</w:t>
      </w:r>
      <w:r>
        <w:rPr>
          <w:lang w:val="fr-FR"/>
        </w:rPr>
        <w:tab/>
        <w:t>Le budget prévu pour la mise en œuvre de ce programme s’élève à 26 459 200 </w:t>
      </w:r>
      <w:proofErr w:type="spellStart"/>
      <w:r>
        <w:rPr>
          <w:lang w:val="fr-FR"/>
        </w:rPr>
        <w:t>lari</w:t>
      </w:r>
      <w:proofErr w:type="spellEnd"/>
      <w:r>
        <w:rPr>
          <w:lang w:val="fr-FR"/>
        </w:rPr>
        <w:t xml:space="preserve"> pour la période 2005-2009. Trois millions de </w:t>
      </w:r>
      <w:proofErr w:type="spellStart"/>
      <w:r>
        <w:rPr>
          <w:lang w:val="fr-FR"/>
        </w:rPr>
        <w:t>lari</w:t>
      </w:r>
      <w:proofErr w:type="spellEnd"/>
      <w:r>
        <w:rPr>
          <w:lang w:val="fr-FR"/>
        </w:rPr>
        <w:t xml:space="preserve"> ont été prélevés sur le budget de l’État pour 2005 pour financer ce programme. En 2006, les crédits alloués à ce programme ont presque triplé atteignant huit millions de </w:t>
      </w:r>
      <w:proofErr w:type="spellStart"/>
      <w:r>
        <w:rPr>
          <w:lang w:val="fr-FR"/>
        </w:rPr>
        <w:t>lari</w:t>
      </w:r>
      <w:proofErr w:type="spellEnd"/>
      <w:r>
        <w:rPr>
          <w:lang w:val="fr-FR"/>
        </w:rPr>
        <w:t>.</w:t>
      </w:r>
    </w:p>
    <w:p w:rsidR="00000000" w:rsidRDefault="00000000">
      <w:pPr>
        <w:spacing w:after="240"/>
        <w:rPr>
          <w:lang w:val="fr-FR"/>
        </w:rPr>
      </w:pPr>
      <w:r>
        <w:rPr>
          <w:lang w:val="fr-FR"/>
        </w:rPr>
        <w:t>225.</w:t>
      </w:r>
      <w:r>
        <w:rPr>
          <w:lang w:val="fr-FR"/>
        </w:rPr>
        <w:tab/>
        <w:t>Pour donner une idée plus claire de l’état actuel du système éducatif géorgien, des données statistiques importantes sont fournies ci-après.</w:t>
      </w:r>
    </w:p>
    <w:p w:rsidR="00000000" w:rsidRDefault="00000000">
      <w:pPr>
        <w:spacing w:after="240"/>
        <w:jc w:val="center"/>
        <w:rPr>
          <w:b/>
          <w:bCs/>
          <w:lang w:val="fr-FR"/>
        </w:rPr>
      </w:pPr>
      <w:r>
        <w:rPr>
          <w:b/>
          <w:bCs/>
          <w:lang w:val="fr-FR"/>
        </w:rPr>
        <w:t>Nombre d’établissements préscolaires, d’enfants et de places</w:t>
      </w:r>
      <w:r>
        <w:rPr>
          <w:b/>
          <w:bCs/>
          <w:lang w:val="fr-FR"/>
        </w:rPr>
        <w:br/>
        <w:t>(en fin d’année)</w:t>
      </w:r>
    </w:p>
    <w:tbl>
      <w:tblPr>
        <w:tblW w:w="9369" w:type="dxa"/>
        <w:jc w:val="center"/>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3"/>
        <w:gridCol w:w="2021"/>
        <w:gridCol w:w="2022"/>
        <w:gridCol w:w="2021"/>
        <w:gridCol w:w="2022"/>
      </w:tblGrid>
      <w:tr w:rsidR="00000000">
        <w:trPr>
          <w:cantSplit/>
          <w:trHeight w:val="489"/>
          <w:tblHeader/>
          <w:jc w:val="center"/>
        </w:trPr>
        <w:tc>
          <w:tcPr>
            <w:tcW w:w="1283" w:type="dxa"/>
            <w:vAlign w:val="center"/>
          </w:tcPr>
          <w:p w:rsidR="00000000" w:rsidRDefault="00000000">
            <w:pPr>
              <w:spacing w:before="60" w:after="60"/>
              <w:jc w:val="center"/>
              <w:rPr>
                <w:bCs/>
                <w:noProof/>
                <w:szCs w:val="24"/>
                <w:lang w:val="fr-FR"/>
              </w:rPr>
            </w:pPr>
          </w:p>
        </w:tc>
        <w:tc>
          <w:tcPr>
            <w:tcW w:w="2021" w:type="dxa"/>
            <w:vAlign w:val="center"/>
          </w:tcPr>
          <w:p w:rsidR="00000000" w:rsidRDefault="00000000">
            <w:pPr>
              <w:spacing w:before="60" w:after="60"/>
              <w:jc w:val="center"/>
              <w:rPr>
                <w:bCs/>
                <w:noProof/>
                <w:szCs w:val="24"/>
                <w:lang w:val="fr-FR"/>
              </w:rPr>
            </w:pPr>
            <w:r>
              <w:rPr>
                <w:lang w:val="fr-FR"/>
              </w:rPr>
              <w:t>Établissements préscolaires</w:t>
            </w:r>
          </w:p>
        </w:tc>
        <w:tc>
          <w:tcPr>
            <w:tcW w:w="2022" w:type="dxa"/>
            <w:vAlign w:val="center"/>
          </w:tcPr>
          <w:p w:rsidR="00000000" w:rsidRDefault="00000000">
            <w:pPr>
              <w:spacing w:before="60" w:after="60"/>
              <w:jc w:val="center"/>
              <w:rPr>
                <w:bCs/>
                <w:noProof/>
                <w:szCs w:val="24"/>
                <w:lang w:val="fr-FR"/>
              </w:rPr>
            </w:pPr>
            <w:r>
              <w:rPr>
                <w:bCs/>
                <w:noProof/>
                <w:szCs w:val="24"/>
                <w:lang w:val="fr-FR"/>
              </w:rPr>
              <w:t>Nombre d’enfants</w:t>
            </w:r>
          </w:p>
        </w:tc>
        <w:tc>
          <w:tcPr>
            <w:tcW w:w="2021" w:type="dxa"/>
            <w:vAlign w:val="center"/>
          </w:tcPr>
          <w:p w:rsidR="00000000" w:rsidRDefault="00000000">
            <w:pPr>
              <w:spacing w:before="60" w:after="60"/>
              <w:jc w:val="center"/>
              <w:rPr>
                <w:bCs/>
                <w:noProof/>
                <w:szCs w:val="24"/>
                <w:lang w:val="fr-FR"/>
              </w:rPr>
            </w:pPr>
            <w:r>
              <w:rPr>
                <w:bCs/>
                <w:noProof/>
                <w:szCs w:val="24"/>
                <w:lang w:val="fr-FR"/>
              </w:rPr>
              <w:t>Nombre de places</w:t>
            </w:r>
          </w:p>
        </w:tc>
        <w:tc>
          <w:tcPr>
            <w:tcW w:w="2022" w:type="dxa"/>
            <w:vAlign w:val="center"/>
          </w:tcPr>
          <w:p w:rsidR="00000000" w:rsidRDefault="00000000">
            <w:pPr>
              <w:spacing w:before="60" w:after="60"/>
              <w:jc w:val="center"/>
              <w:rPr>
                <w:bCs/>
                <w:noProof/>
                <w:szCs w:val="24"/>
                <w:lang w:val="fr-FR"/>
              </w:rPr>
            </w:pPr>
            <w:r>
              <w:rPr>
                <w:bCs/>
                <w:noProof/>
                <w:szCs w:val="24"/>
                <w:lang w:val="fr-FR"/>
              </w:rPr>
              <w:t>Nombre d’enfants pour 100 places</w:t>
            </w:r>
          </w:p>
        </w:tc>
      </w:tr>
      <w:tr w:rsidR="00000000">
        <w:trPr>
          <w:trHeight w:val="75"/>
          <w:jc w:val="center"/>
        </w:trPr>
        <w:tc>
          <w:tcPr>
            <w:tcW w:w="9369" w:type="dxa"/>
            <w:gridSpan w:val="5"/>
          </w:tcPr>
          <w:p w:rsidR="00000000" w:rsidRDefault="00000000">
            <w:pPr>
              <w:spacing w:before="60" w:after="60"/>
              <w:jc w:val="center"/>
              <w:rPr>
                <w:noProof/>
                <w:szCs w:val="24"/>
                <w:lang w:val="fr-FR"/>
              </w:rPr>
            </w:pPr>
            <w:r>
              <w:rPr>
                <w:noProof/>
                <w:szCs w:val="24"/>
                <w:lang w:val="fr-FR"/>
              </w:rPr>
              <w:t>Zones urbaines et rurales (total)</w:t>
            </w:r>
          </w:p>
        </w:tc>
      </w:tr>
      <w:tr w:rsidR="00000000">
        <w:trPr>
          <w:jc w:val="center"/>
        </w:trPr>
        <w:tc>
          <w:tcPr>
            <w:tcW w:w="1283" w:type="dxa"/>
          </w:tcPr>
          <w:p w:rsidR="00000000" w:rsidRDefault="00000000">
            <w:pPr>
              <w:spacing w:before="60" w:after="60"/>
              <w:jc w:val="center"/>
              <w:rPr>
                <w:noProof/>
                <w:szCs w:val="24"/>
                <w:lang w:val="fr-FR"/>
              </w:rPr>
            </w:pPr>
            <w:r>
              <w:rPr>
                <w:noProof/>
                <w:szCs w:val="24"/>
                <w:lang w:val="fr-FR"/>
              </w:rPr>
              <w:t>2002</w:t>
            </w:r>
          </w:p>
        </w:tc>
        <w:tc>
          <w:tcPr>
            <w:tcW w:w="2021" w:type="dxa"/>
          </w:tcPr>
          <w:p w:rsidR="00000000" w:rsidRDefault="00000000">
            <w:pPr>
              <w:spacing w:before="60" w:after="60"/>
              <w:ind w:right="69"/>
              <w:jc w:val="right"/>
              <w:rPr>
                <w:noProof/>
                <w:szCs w:val="24"/>
                <w:lang w:val="fr-FR"/>
              </w:rPr>
            </w:pPr>
            <w:r>
              <w:rPr>
                <w:noProof/>
                <w:szCs w:val="24"/>
                <w:lang w:val="fr-FR"/>
              </w:rPr>
              <w:t>1 213</w:t>
            </w:r>
          </w:p>
        </w:tc>
        <w:tc>
          <w:tcPr>
            <w:tcW w:w="2022" w:type="dxa"/>
          </w:tcPr>
          <w:p w:rsidR="00000000" w:rsidRDefault="00000000">
            <w:pPr>
              <w:spacing w:before="60" w:after="60"/>
              <w:ind w:right="69"/>
              <w:jc w:val="right"/>
              <w:rPr>
                <w:noProof/>
                <w:szCs w:val="24"/>
                <w:lang w:val="fr-FR"/>
              </w:rPr>
            </w:pPr>
            <w:r>
              <w:rPr>
                <w:noProof/>
                <w:szCs w:val="24"/>
                <w:lang w:val="fr-FR"/>
              </w:rPr>
              <w:t>73 261</w:t>
            </w:r>
          </w:p>
        </w:tc>
        <w:tc>
          <w:tcPr>
            <w:tcW w:w="2021" w:type="dxa"/>
          </w:tcPr>
          <w:p w:rsidR="00000000" w:rsidRDefault="00000000">
            <w:pPr>
              <w:spacing w:before="60" w:after="60"/>
              <w:ind w:right="69"/>
              <w:jc w:val="right"/>
              <w:rPr>
                <w:noProof/>
                <w:szCs w:val="24"/>
                <w:lang w:val="fr-FR"/>
              </w:rPr>
            </w:pPr>
            <w:r>
              <w:rPr>
                <w:noProof/>
                <w:szCs w:val="24"/>
                <w:lang w:val="fr-FR"/>
              </w:rPr>
              <w:t>122 949</w:t>
            </w:r>
          </w:p>
        </w:tc>
        <w:tc>
          <w:tcPr>
            <w:tcW w:w="2022" w:type="dxa"/>
          </w:tcPr>
          <w:p w:rsidR="00000000" w:rsidRDefault="00000000">
            <w:pPr>
              <w:spacing w:before="60" w:after="60"/>
              <w:ind w:right="69"/>
              <w:jc w:val="right"/>
              <w:rPr>
                <w:noProof/>
                <w:szCs w:val="24"/>
                <w:lang w:val="fr-FR"/>
              </w:rPr>
            </w:pPr>
            <w:r>
              <w:rPr>
                <w:noProof/>
                <w:szCs w:val="24"/>
                <w:lang w:val="fr-FR"/>
              </w:rPr>
              <w:t>60</w:t>
            </w:r>
          </w:p>
        </w:tc>
      </w:tr>
      <w:tr w:rsidR="00000000">
        <w:trPr>
          <w:trHeight w:val="321"/>
          <w:jc w:val="center"/>
        </w:trPr>
        <w:tc>
          <w:tcPr>
            <w:tcW w:w="1283" w:type="dxa"/>
          </w:tcPr>
          <w:p w:rsidR="00000000" w:rsidRDefault="00000000">
            <w:pPr>
              <w:spacing w:before="60" w:after="60"/>
              <w:jc w:val="center"/>
              <w:rPr>
                <w:noProof/>
                <w:szCs w:val="24"/>
                <w:lang w:val="fr-FR"/>
              </w:rPr>
            </w:pPr>
            <w:r>
              <w:rPr>
                <w:noProof/>
                <w:szCs w:val="24"/>
                <w:lang w:val="fr-FR"/>
              </w:rPr>
              <w:t>2003</w:t>
            </w:r>
          </w:p>
        </w:tc>
        <w:tc>
          <w:tcPr>
            <w:tcW w:w="2021" w:type="dxa"/>
          </w:tcPr>
          <w:p w:rsidR="00000000" w:rsidRDefault="00000000">
            <w:pPr>
              <w:spacing w:before="60" w:after="60"/>
              <w:ind w:right="69"/>
              <w:jc w:val="right"/>
              <w:rPr>
                <w:noProof/>
                <w:szCs w:val="24"/>
                <w:lang w:val="fr-FR"/>
              </w:rPr>
            </w:pPr>
            <w:r>
              <w:rPr>
                <w:noProof/>
                <w:szCs w:val="24"/>
                <w:lang w:val="fr-FR"/>
              </w:rPr>
              <w:t>1 225</w:t>
            </w:r>
          </w:p>
        </w:tc>
        <w:tc>
          <w:tcPr>
            <w:tcW w:w="2022" w:type="dxa"/>
          </w:tcPr>
          <w:p w:rsidR="00000000" w:rsidRDefault="00000000">
            <w:pPr>
              <w:spacing w:before="60" w:after="60"/>
              <w:ind w:right="69"/>
              <w:jc w:val="right"/>
              <w:rPr>
                <w:noProof/>
                <w:szCs w:val="24"/>
                <w:lang w:val="fr-FR"/>
              </w:rPr>
            </w:pPr>
            <w:r>
              <w:rPr>
                <w:noProof/>
                <w:szCs w:val="24"/>
                <w:lang w:val="fr-FR"/>
              </w:rPr>
              <w:t>74 309</w:t>
            </w:r>
          </w:p>
        </w:tc>
        <w:tc>
          <w:tcPr>
            <w:tcW w:w="2021" w:type="dxa"/>
          </w:tcPr>
          <w:p w:rsidR="00000000" w:rsidRDefault="00000000">
            <w:pPr>
              <w:spacing w:before="60" w:after="60"/>
              <w:ind w:right="69"/>
              <w:jc w:val="right"/>
              <w:rPr>
                <w:noProof/>
                <w:szCs w:val="24"/>
                <w:lang w:val="fr-FR"/>
              </w:rPr>
            </w:pPr>
            <w:r>
              <w:rPr>
                <w:noProof/>
                <w:szCs w:val="24"/>
                <w:lang w:val="fr-FR"/>
              </w:rPr>
              <w:t>122 278</w:t>
            </w:r>
          </w:p>
        </w:tc>
        <w:tc>
          <w:tcPr>
            <w:tcW w:w="2022" w:type="dxa"/>
          </w:tcPr>
          <w:p w:rsidR="00000000" w:rsidRDefault="00000000">
            <w:pPr>
              <w:spacing w:before="60" w:after="60"/>
              <w:ind w:right="69"/>
              <w:jc w:val="right"/>
              <w:rPr>
                <w:noProof/>
                <w:szCs w:val="24"/>
                <w:lang w:val="fr-FR"/>
              </w:rPr>
            </w:pPr>
            <w:r>
              <w:rPr>
                <w:noProof/>
                <w:szCs w:val="24"/>
                <w:lang w:val="fr-FR"/>
              </w:rPr>
              <w:t>61</w:t>
            </w:r>
          </w:p>
        </w:tc>
      </w:tr>
      <w:tr w:rsidR="00000000">
        <w:trPr>
          <w:jc w:val="center"/>
        </w:trPr>
        <w:tc>
          <w:tcPr>
            <w:tcW w:w="1283" w:type="dxa"/>
          </w:tcPr>
          <w:p w:rsidR="00000000" w:rsidRDefault="00000000">
            <w:pPr>
              <w:spacing w:before="60" w:after="60"/>
              <w:jc w:val="center"/>
              <w:rPr>
                <w:noProof/>
                <w:szCs w:val="24"/>
                <w:lang w:val="fr-FR"/>
              </w:rPr>
            </w:pPr>
            <w:r>
              <w:rPr>
                <w:noProof/>
                <w:szCs w:val="24"/>
                <w:lang w:val="fr-FR"/>
              </w:rPr>
              <w:t>2004</w:t>
            </w:r>
          </w:p>
        </w:tc>
        <w:tc>
          <w:tcPr>
            <w:tcW w:w="2021" w:type="dxa"/>
          </w:tcPr>
          <w:p w:rsidR="00000000" w:rsidRDefault="00000000">
            <w:pPr>
              <w:spacing w:before="60" w:after="60"/>
              <w:ind w:right="69"/>
              <w:jc w:val="right"/>
              <w:rPr>
                <w:noProof/>
                <w:szCs w:val="24"/>
                <w:lang w:val="fr-FR"/>
              </w:rPr>
            </w:pPr>
            <w:r>
              <w:rPr>
                <w:noProof/>
                <w:szCs w:val="24"/>
                <w:lang w:val="fr-FR"/>
              </w:rPr>
              <w:t>1 247</w:t>
            </w:r>
          </w:p>
        </w:tc>
        <w:tc>
          <w:tcPr>
            <w:tcW w:w="2022" w:type="dxa"/>
          </w:tcPr>
          <w:p w:rsidR="00000000" w:rsidRDefault="00000000">
            <w:pPr>
              <w:spacing w:before="60" w:after="60"/>
              <w:ind w:right="69"/>
              <w:jc w:val="right"/>
              <w:rPr>
                <w:noProof/>
                <w:szCs w:val="24"/>
                <w:lang w:val="fr-FR"/>
              </w:rPr>
            </w:pPr>
            <w:r>
              <w:rPr>
                <w:noProof/>
                <w:szCs w:val="24"/>
                <w:lang w:val="fr-FR"/>
              </w:rPr>
              <w:t>75 361</w:t>
            </w:r>
          </w:p>
        </w:tc>
        <w:tc>
          <w:tcPr>
            <w:tcW w:w="2021" w:type="dxa"/>
          </w:tcPr>
          <w:p w:rsidR="00000000" w:rsidRDefault="00000000">
            <w:pPr>
              <w:spacing w:before="60" w:after="60"/>
              <w:ind w:right="69"/>
              <w:jc w:val="right"/>
              <w:rPr>
                <w:noProof/>
                <w:szCs w:val="24"/>
                <w:lang w:val="fr-FR"/>
              </w:rPr>
            </w:pPr>
            <w:r>
              <w:rPr>
                <w:noProof/>
                <w:szCs w:val="24"/>
                <w:lang w:val="fr-FR"/>
              </w:rPr>
              <w:t>123 178</w:t>
            </w:r>
          </w:p>
        </w:tc>
        <w:tc>
          <w:tcPr>
            <w:tcW w:w="2022" w:type="dxa"/>
          </w:tcPr>
          <w:p w:rsidR="00000000" w:rsidRDefault="00000000">
            <w:pPr>
              <w:spacing w:before="60" w:after="60"/>
              <w:ind w:right="69"/>
              <w:jc w:val="right"/>
              <w:rPr>
                <w:noProof/>
                <w:szCs w:val="24"/>
                <w:lang w:val="fr-FR"/>
              </w:rPr>
            </w:pPr>
            <w:r>
              <w:rPr>
                <w:noProof/>
                <w:szCs w:val="24"/>
                <w:lang w:val="fr-FR"/>
              </w:rPr>
              <w:t>61</w:t>
            </w:r>
          </w:p>
        </w:tc>
      </w:tr>
      <w:tr w:rsidR="00000000">
        <w:trPr>
          <w:trHeight w:val="85"/>
          <w:jc w:val="center"/>
        </w:trPr>
        <w:tc>
          <w:tcPr>
            <w:tcW w:w="1283" w:type="dxa"/>
          </w:tcPr>
          <w:p w:rsidR="00000000" w:rsidRDefault="00000000">
            <w:pPr>
              <w:spacing w:before="60" w:after="60"/>
              <w:jc w:val="center"/>
              <w:rPr>
                <w:noProof/>
                <w:szCs w:val="24"/>
                <w:lang w:val="fr-FR"/>
              </w:rPr>
            </w:pPr>
            <w:r>
              <w:rPr>
                <w:noProof/>
                <w:szCs w:val="24"/>
                <w:lang w:val="fr-FR"/>
              </w:rPr>
              <w:t>2005</w:t>
            </w:r>
          </w:p>
        </w:tc>
        <w:tc>
          <w:tcPr>
            <w:tcW w:w="2021" w:type="dxa"/>
          </w:tcPr>
          <w:p w:rsidR="00000000" w:rsidRDefault="00000000">
            <w:pPr>
              <w:spacing w:before="60" w:after="60"/>
              <w:ind w:right="69"/>
              <w:jc w:val="right"/>
              <w:rPr>
                <w:noProof/>
                <w:szCs w:val="24"/>
                <w:lang w:val="fr-FR"/>
              </w:rPr>
            </w:pPr>
            <w:r>
              <w:rPr>
                <w:noProof/>
                <w:szCs w:val="24"/>
                <w:lang w:val="fr-FR"/>
              </w:rPr>
              <w:t>1 214</w:t>
            </w:r>
          </w:p>
        </w:tc>
        <w:tc>
          <w:tcPr>
            <w:tcW w:w="2022" w:type="dxa"/>
          </w:tcPr>
          <w:p w:rsidR="00000000" w:rsidRDefault="00000000">
            <w:pPr>
              <w:spacing w:before="60" w:after="60"/>
              <w:ind w:right="69"/>
              <w:jc w:val="right"/>
              <w:rPr>
                <w:noProof/>
                <w:szCs w:val="24"/>
                <w:lang w:val="fr-FR"/>
              </w:rPr>
            </w:pPr>
            <w:r>
              <w:rPr>
                <w:noProof/>
                <w:szCs w:val="24"/>
                <w:lang w:val="fr-FR"/>
              </w:rPr>
              <w:t>76 416</w:t>
            </w:r>
          </w:p>
        </w:tc>
        <w:tc>
          <w:tcPr>
            <w:tcW w:w="2021" w:type="dxa"/>
          </w:tcPr>
          <w:p w:rsidR="00000000" w:rsidRDefault="00000000">
            <w:pPr>
              <w:spacing w:before="60" w:after="60"/>
              <w:ind w:right="69"/>
              <w:jc w:val="right"/>
              <w:rPr>
                <w:noProof/>
                <w:szCs w:val="24"/>
                <w:lang w:val="fr-FR"/>
              </w:rPr>
            </w:pPr>
            <w:r>
              <w:rPr>
                <w:noProof/>
                <w:szCs w:val="24"/>
                <w:lang w:val="fr-FR"/>
              </w:rPr>
              <w:t>128 338</w:t>
            </w:r>
          </w:p>
        </w:tc>
        <w:tc>
          <w:tcPr>
            <w:tcW w:w="2022" w:type="dxa"/>
          </w:tcPr>
          <w:p w:rsidR="00000000" w:rsidRDefault="00000000">
            <w:pPr>
              <w:spacing w:before="60" w:after="60"/>
              <w:ind w:right="69"/>
              <w:jc w:val="right"/>
              <w:rPr>
                <w:noProof/>
                <w:szCs w:val="24"/>
                <w:lang w:val="fr-FR"/>
              </w:rPr>
            </w:pPr>
            <w:r>
              <w:rPr>
                <w:noProof/>
                <w:szCs w:val="24"/>
                <w:lang w:val="fr-FR"/>
              </w:rPr>
              <w:t>60</w:t>
            </w:r>
          </w:p>
        </w:tc>
      </w:tr>
      <w:tr w:rsidR="00000000">
        <w:trPr>
          <w:trHeight w:val="85"/>
          <w:jc w:val="center"/>
        </w:trPr>
        <w:tc>
          <w:tcPr>
            <w:tcW w:w="9369" w:type="dxa"/>
            <w:gridSpan w:val="5"/>
          </w:tcPr>
          <w:p w:rsidR="00000000" w:rsidRDefault="00000000">
            <w:pPr>
              <w:keepNext/>
              <w:keepLines/>
              <w:spacing w:before="60" w:after="60"/>
              <w:ind w:right="69"/>
              <w:jc w:val="center"/>
              <w:rPr>
                <w:noProof/>
                <w:szCs w:val="24"/>
                <w:lang w:val="fr-FR"/>
              </w:rPr>
            </w:pPr>
            <w:r>
              <w:rPr>
                <w:noProof/>
                <w:szCs w:val="24"/>
                <w:lang w:val="fr-FR"/>
              </w:rPr>
              <w:t>Zones urbaines</w:t>
            </w:r>
          </w:p>
        </w:tc>
      </w:tr>
      <w:tr w:rsidR="00000000">
        <w:trPr>
          <w:jc w:val="center"/>
        </w:trPr>
        <w:tc>
          <w:tcPr>
            <w:tcW w:w="1283" w:type="dxa"/>
          </w:tcPr>
          <w:p w:rsidR="00000000" w:rsidRDefault="00000000">
            <w:pPr>
              <w:keepNext/>
              <w:spacing w:before="60" w:after="60"/>
              <w:jc w:val="center"/>
              <w:rPr>
                <w:noProof/>
                <w:szCs w:val="24"/>
                <w:lang w:val="fr-FR"/>
              </w:rPr>
            </w:pPr>
            <w:r>
              <w:rPr>
                <w:noProof/>
                <w:szCs w:val="24"/>
                <w:lang w:val="fr-FR"/>
              </w:rPr>
              <w:t>2002</w:t>
            </w:r>
          </w:p>
        </w:tc>
        <w:tc>
          <w:tcPr>
            <w:tcW w:w="2021" w:type="dxa"/>
          </w:tcPr>
          <w:p w:rsidR="00000000" w:rsidRDefault="00000000">
            <w:pPr>
              <w:spacing w:before="60" w:after="60"/>
              <w:ind w:right="69"/>
              <w:jc w:val="right"/>
              <w:rPr>
                <w:noProof/>
                <w:szCs w:val="24"/>
                <w:lang w:val="fr-FR"/>
              </w:rPr>
            </w:pPr>
            <w:r>
              <w:rPr>
                <w:noProof/>
                <w:szCs w:val="24"/>
                <w:lang w:val="fr-FR"/>
              </w:rPr>
              <w:t>625</w:t>
            </w:r>
          </w:p>
        </w:tc>
        <w:tc>
          <w:tcPr>
            <w:tcW w:w="2022" w:type="dxa"/>
          </w:tcPr>
          <w:p w:rsidR="00000000" w:rsidRDefault="00000000">
            <w:pPr>
              <w:keepNext/>
              <w:keepLines/>
              <w:spacing w:before="60" w:after="60"/>
              <w:ind w:right="69"/>
              <w:jc w:val="right"/>
              <w:rPr>
                <w:noProof/>
                <w:szCs w:val="24"/>
                <w:lang w:val="fr-FR"/>
              </w:rPr>
            </w:pPr>
            <w:r>
              <w:rPr>
                <w:noProof/>
                <w:szCs w:val="24"/>
                <w:lang w:val="fr-FR"/>
              </w:rPr>
              <w:t>55 467</w:t>
            </w:r>
          </w:p>
        </w:tc>
        <w:tc>
          <w:tcPr>
            <w:tcW w:w="2021" w:type="dxa"/>
          </w:tcPr>
          <w:p w:rsidR="00000000" w:rsidRDefault="00000000">
            <w:pPr>
              <w:spacing w:before="60" w:after="60"/>
              <w:ind w:right="69"/>
              <w:jc w:val="right"/>
              <w:rPr>
                <w:noProof/>
                <w:szCs w:val="24"/>
                <w:lang w:val="fr-FR"/>
              </w:rPr>
            </w:pPr>
            <w:r>
              <w:rPr>
                <w:noProof/>
                <w:szCs w:val="24"/>
                <w:lang w:val="fr-FR"/>
              </w:rPr>
              <w:t>88 294</w:t>
            </w:r>
          </w:p>
        </w:tc>
        <w:tc>
          <w:tcPr>
            <w:tcW w:w="2022" w:type="dxa"/>
          </w:tcPr>
          <w:p w:rsidR="00000000" w:rsidRDefault="00000000">
            <w:pPr>
              <w:spacing w:before="60" w:after="60"/>
              <w:ind w:right="69"/>
              <w:jc w:val="right"/>
              <w:rPr>
                <w:noProof/>
                <w:szCs w:val="24"/>
                <w:lang w:val="fr-FR"/>
              </w:rPr>
            </w:pPr>
            <w:r>
              <w:rPr>
                <w:noProof/>
                <w:szCs w:val="24"/>
                <w:lang w:val="fr-FR"/>
              </w:rPr>
              <w:t>63</w:t>
            </w:r>
          </w:p>
        </w:tc>
      </w:tr>
      <w:tr w:rsidR="00000000">
        <w:trPr>
          <w:jc w:val="center"/>
        </w:trPr>
        <w:tc>
          <w:tcPr>
            <w:tcW w:w="1283" w:type="dxa"/>
          </w:tcPr>
          <w:p w:rsidR="00000000" w:rsidRDefault="00000000">
            <w:pPr>
              <w:keepNext/>
              <w:spacing w:before="60" w:after="60"/>
              <w:jc w:val="center"/>
              <w:rPr>
                <w:noProof/>
                <w:szCs w:val="24"/>
                <w:lang w:val="fr-FR"/>
              </w:rPr>
            </w:pPr>
            <w:r>
              <w:rPr>
                <w:noProof/>
                <w:szCs w:val="24"/>
                <w:lang w:val="fr-FR"/>
              </w:rPr>
              <w:t>2003</w:t>
            </w:r>
          </w:p>
        </w:tc>
        <w:tc>
          <w:tcPr>
            <w:tcW w:w="2021" w:type="dxa"/>
          </w:tcPr>
          <w:p w:rsidR="00000000" w:rsidRDefault="00000000">
            <w:pPr>
              <w:spacing w:before="60" w:after="60"/>
              <w:ind w:right="69"/>
              <w:jc w:val="right"/>
              <w:rPr>
                <w:noProof/>
                <w:szCs w:val="24"/>
                <w:lang w:val="fr-FR"/>
              </w:rPr>
            </w:pPr>
            <w:r>
              <w:rPr>
                <w:noProof/>
                <w:szCs w:val="24"/>
                <w:lang w:val="fr-FR"/>
              </w:rPr>
              <w:t>623</w:t>
            </w:r>
          </w:p>
        </w:tc>
        <w:tc>
          <w:tcPr>
            <w:tcW w:w="2022" w:type="dxa"/>
          </w:tcPr>
          <w:p w:rsidR="00000000" w:rsidRDefault="00000000">
            <w:pPr>
              <w:keepNext/>
              <w:keepLines/>
              <w:spacing w:before="60" w:after="60"/>
              <w:ind w:right="69"/>
              <w:jc w:val="right"/>
              <w:rPr>
                <w:noProof/>
                <w:szCs w:val="24"/>
                <w:lang w:val="fr-FR"/>
              </w:rPr>
            </w:pPr>
            <w:r>
              <w:rPr>
                <w:noProof/>
                <w:szCs w:val="24"/>
                <w:lang w:val="fr-FR"/>
              </w:rPr>
              <w:t>56 174</w:t>
            </w:r>
          </w:p>
        </w:tc>
        <w:tc>
          <w:tcPr>
            <w:tcW w:w="2021" w:type="dxa"/>
          </w:tcPr>
          <w:p w:rsidR="00000000" w:rsidRDefault="00000000">
            <w:pPr>
              <w:spacing w:before="60" w:after="60"/>
              <w:ind w:right="69"/>
              <w:jc w:val="right"/>
              <w:rPr>
                <w:noProof/>
                <w:szCs w:val="24"/>
                <w:lang w:val="fr-FR"/>
              </w:rPr>
            </w:pPr>
            <w:r>
              <w:rPr>
                <w:noProof/>
                <w:szCs w:val="24"/>
                <w:lang w:val="fr-FR"/>
              </w:rPr>
              <w:t>87 386</w:t>
            </w:r>
          </w:p>
        </w:tc>
        <w:tc>
          <w:tcPr>
            <w:tcW w:w="2022" w:type="dxa"/>
          </w:tcPr>
          <w:p w:rsidR="00000000" w:rsidRDefault="00000000">
            <w:pPr>
              <w:spacing w:before="60" w:after="60"/>
              <w:ind w:right="69"/>
              <w:jc w:val="right"/>
              <w:rPr>
                <w:noProof/>
                <w:szCs w:val="24"/>
                <w:lang w:val="fr-FR"/>
              </w:rPr>
            </w:pPr>
            <w:r>
              <w:rPr>
                <w:noProof/>
                <w:szCs w:val="24"/>
                <w:lang w:val="fr-FR"/>
              </w:rPr>
              <w:t>64</w:t>
            </w:r>
          </w:p>
        </w:tc>
      </w:tr>
      <w:tr w:rsidR="00000000">
        <w:trPr>
          <w:jc w:val="center"/>
        </w:trPr>
        <w:tc>
          <w:tcPr>
            <w:tcW w:w="1283" w:type="dxa"/>
          </w:tcPr>
          <w:p w:rsidR="00000000" w:rsidRDefault="00000000">
            <w:pPr>
              <w:keepNext/>
              <w:spacing w:before="60" w:after="60"/>
              <w:jc w:val="center"/>
              <w:rPr>
                <w:noProof/>
                <w:szCs w:val="24"/>
                <w:lang w:val="fr-FR"/>
              </w:rPr>
            </w:pPr>
            <w:r>
              <w:rPr>
                <w:noProof/>
                <w:szCs w:val="24"/>
                <w:lang w:val="fr-FR"/>
              </w:rPr>
              <w:t>2004</w:t>
            </w:r>
          </w:p>
        </w:tc>
        <w:tc>
          <w:tcPr>
            <w:tcW w:w="2021" w:type="dxa"/>
          </w:tcPr>
          <w:p w:rsidR="00000000" w:rsidRDefault="00000000">
            <w:pPr>
              <w:spacing w:before="60" w:after="60"/>
              <w:ind w:right="69"/>
              <w:jc w:val="right"/>
              <w:rPr>
                <w:noProof/>
                <w:szCs w:val="24"/>
                <w:lang w:val="fr-FR"/>
              </w:rPr>
            </w:pPr>
            <w:r>
              <w:rPr>
                <w:noProof/>
                <w:szCs w:val="24"/>
                <w:lang w:val="fr-FR"/>
              </w:rPr>
              <w:t>621</w:t>
            </w:r>
          </w:p>
        </w:tc>
        <w:tc>
          <w:tcPr>
            <w:tcW w:w="2022" w:type="dxa"/>
          </w:tcPr>
          <w:p w:rsidR="00000000" w:rsidRDefault="00000000">
            <w:pPr>
              <w:keepNext/>
              <w:keepLines/>
              <w:spacing w:before="60" w:after="60"/>
              <w:ind w:right="69"/>
              <w:jc w:val="right"/>
              <w:rPr>
                <w:noProof/>
                <w:szCs w:val="24"/>
                <w:lang w:val="fr-FR"/>
              </w:rPr>
            </w:pPr>
            <w:r>
              <w:rPr>
                <w:noProof/>
                <w:szCs w:val="24"/>
                <w:lang w:val="fr-FR"/>
              </w:rPr>
              <w:t>56 543</w:t>
            </w:r>
          </w:p>
        </w:tc>
        <w:tc>
          <w:tcPr>
            <w:tcW w:w="2021" w:type="dxa"/>
          </w:tcPr>
          <w:p w:rsidR="00000000" w:rsidRDefault="00000000">
            <w:pPr>
              <w:spacing w:before="60" w:after="60"/>
              <w:ind w:right="69"/>
              <w:jc w:val="right"/>
              <w:rPr>
                <w:noProof/>
                <w:szCs w:val="24"/>
                <w:lang w:val="fr-FR"/>
              </w:rPr>
            </w:pPr>
            <w:r>
              <w:rPr>
                <w:noProof/>
                <w:szCs w:val="24"/>
                <w:lang w:val="fr-FR"/>
              </w:rPr>
              <w:t>87 529</w:t>
            </w:r>
          </w:p>
        </w:tc>
        <w:tc>
          <w:tcPr>
            <w:tcW w:w="2022" w:type="dxa"/>
          </w:tcPr>
          <w:p w:rsidR="00000000" w:rsidRDefault="00000000">
            <w:pPr>
              <w:spacing w:before="60" w:after="60"/>
              <w:ind w:right="69"/>
              <w:jc w:val="right"/>
              <w:rPr>
                <w:noProof/>
                <w:szCs w:val="24"/>
                <w:lang w:val="fr-FR"/>
              </w:rPr>
            </w:pPr>
            <w:r>
              <w:rPr>
                <w:noProof/>
                <w:szCs w:val="24"/>
                <w:lang w:val="fr-FR"/>
              </w:rPr>
              <w:t>65</w:t>
            </w:r>
          </w:p>
        </w:tc>
      </w:tr>
      <w:tr w:rsidR="00000000">
        <w:trPr>
          <w:trHeight w:val="85"/>
          <w:jc w:val="center"/>
        </w:trPr>
        <w:tc>
          <w:tcPr>
            <w:tcW w:w="9369" w:type="dxa"/>
            <w:gridSpan w:val="5"/>
          </w:tcPr>
          <w:p w:rsidR="00000000" w:rsidRDefault="00000000">
            <w:pPr>
              <w:keepNext/>
              <w:keepLines/>
              <w:spacing w:before="60" w:after="60"/>
              <w:ind w:right="69"/>
              <w:jc w:val="center"/>
              <w:rPr>
                <w:i/>
                <w:noProof/>
                <w:szCs w:val="24"/>
                <w:lang w:val="fr-FR"/>
              </w:rPr>
            </w:pPr>
            <w:r>
              <w:rPr>
                <w:noProof/>
                <w:szCs w:val="24"/>
                <w:lang w:val="fr-FR"/>
              </w:rPr>
              <w:t>Zones rurales</w:t>
            </w:r>
          </w:p>
        </w:tc>
      </w:tr>
      <w:tr w:rsidR="00000000">
        <w:trPr>
          <w:jc w:val="center"/>
        </w:trPr>
        <w:tc>
          <w:tcPr>
            <w:tcW w:w="1283" w:type="dxa"/>
          </w:tcPr>
          <w:p w:rsidR="00000000" w:rsidRDefault="00000000">
            <w:pPr>
              <w:spacing w:before="60" w:after="60"/>
              <w:jc w:val="center"/>
              <w:rPr>
                <w:noProof/>
                <w:szCs w:val="24"/>
                <w:lang w:val="fr-FR"/>
              </w:rPr>
            </w:pPr>
            <w:r>
              <w:rPr>
                <w:noProof/>
                <w:szCs w:val="24"/>
                <w:lang w:val="fr-FR"/>
              </w:rPr>
              <w:t>2002</w:t>
            </w:r>
          </w:p>
        </w:tc>
        <w:tc>
          <w:tcPr>
            <w:tcW w:w="2021" w:type="dxa"/>
          </w:tcPr>
          <w:p w:rsidR="00000000" w:rsidRDefault="00000000">
            <w:pPr>
              <w:spacing w:before="60" w:after="60"/>
              <w:ind w:right="69"/>
              <w:jc w:val="right"/>
              <w:rPr>
                <w:noProof/>
                <w:szCs w:val="24"/>
                <w:lang w:val="fr-FR"/>
              </w:rPr>
            </w:pPr>
            <w:r>
              <w:rPr>
                <w:noProof/>
                <w:szCs w:val="24"/>
                <w:lang w:val="fr-FR"/>
              </w:rPr>
              <w:t>588</w:t>
            </w:r>
          </w:p>
        </w:tc>
        <w:tc>
          <w:tcPr>
            <w:tcW w:w="2022" w:type="dxa"/>
          </w:tcPr>
          <w:p w:rsidR="00000000" w:rsidRDefault="00000000">
            <w:pPr>
              <w:keepNext/>
              <w:spacing w:before="60" w:after="60"/>
              <w:ind w:right="69"/>
              <w:jc w:val="right"/>
              <w:rPr>
                <w:noProof/>
                <w:szCs w:val="24"/>
                <w:lang w:val="fr-FR"/>
              </w:rPr>
            </w:pPr>
            <w:r>
              <w:rPr>
                <w:noProof/>
                <w:szCs w:val="24"/>
                <w:lang w:val="fr-FR"/>
              </w:rPr>
              <w:t>17 794</w:t>
            </w:r>
          </w:p>
        </w:tc>
        <w:tc>
          <w:tcPr>
            <w:tcW w:w="2021" w:type="dxa"/>
          </w:tcPr>
          <w:p w:rsidR="00000000" w:rsidRDefault="00000000">
            <w:pPr>
              <w:spacing w:before="60" w:after="60"/>
              <w:ind w:right="69"/>
              <w:jc w:val="right"/>
              <w:rPr>
                <w:noProof/>
                <w:szCs w:val="24"/>
                <w:lang w:val="fr-FR"/>
              </w:rPr>
            </w:pPr>
            <w:r>
              <w:rPr>
                <w:noProof/>
                <w:szCs w:val="24"/>
                <w:lang w:val="fr-FR"/>
              </w:rPr>
              <w:t>34 655</w:t>
            </w:r>
          </w:p>
        </w:tc>
        <w:tc>
          <w:tcPr>
            <w:tcW w:w="2022" w:type="dxa"/>
          </w:tcPr>
          <w:p w:rsidR="00000000" w:rsidRDefault="00000000">
            <w:pPr>
              <w:spacing w:before="60" w:after="60"/>
              <w:ind w:right="69"/>
              <w:jc w:val="right"/>
              <w:rPr>
                <w:noProof/>
                <w:szCs w:val="24"/>
                <w:lang w:val="fr-FR"/>
              </w:rPr>
            </w:pPr>
            <w:r>
              <w:rPr>
                <w:noProof/>
                <w:szCs w:val="24"/>
                <w:lang w:val="fr-FR"/>
              </w:rPr>
              <w:t>51</w:t>
            </w:r>
          </w:p>
        </w:tc>
      </w:tr>
      <w:tr w:rsidR="00000000">
        <w:trPr>
          <w:jc w:val="center"/>
        </w:trPr>
        <w:tc>
          <w:tcPr>
            <w:tcW w:w="1283" w:type="dxa"/>
          </w:tcPr>
          <w:p w:rsidR="00000000" w:rsidRDefault="00000000">
            <w:pPr>
              <w:spacing w:before="60" w:after="60"/>
              <w:jc w:val="center"/>
              <w:rPr>
                <w:noProof/>
                <w:szCs w:val="24"/>
                <w:lang w:val="fr-FR"/>
              </w:rPr>
            </w:pPr>
            <w:r>
              <w:rPr>
                <w:noProof/>
                <w:szCs w:val="24"/>
                <w:lang w:val="fr-FR"/>
              </w:rPr>
              <w:t>2003</w:t>
            </w:r>
          </w:p>
        </w:tc>
        <w:tc>
          <w:tcPr>
            <w:tcW w:w="2021" w:type="dxa"/>
          </w:tcPr>
          <w:p w:rsidR="00000000" w:rsidRDefault="00000000">
            <w:pPr>
              <w:spacing w:before="60" w:after="60"/>
              <w:ind w:right="69"/>
              <w:jc w:val="right"/>
              <w:rPr>
                <w:noProof/>
                <w:szCs w:val="24"/>
                <w:lang w:val="fr-FR"/>
              </w:rPr>
            </w:pPr>
            <w:r>
              <w:rPr>
                <w:noProof/>
                <w:szCs w:val="24"/>
                <w:lang w:val="fr-FR"/>
              </w:rPr>
              <w:t>602</w:t>
            </w:r>
          </w:p>
        </w:tc>
        <w:tc>
          <w:tcPr>
            <w:tcW w:w="2022" w:type="dxa"/>
          </w:tcPr>
          <w:p w:rsidR="00000000" w:rsidRDefault="00000000">
            <w:pPr>
              <w:spacing w:before="60" w:after="60"/>
              <w:ind w:right="69"/>
              <w:jc w:val="right"/>
              <w:rPr>
                <w:noProof/>
                <w:szCs w:val="24"/>
                <w:lang w:val="fr-FR"/>
              </w:rPr>
            </w:pPr>
            <w:r>
              <w:rPr>
                <w:noProof/>
                <w:szCs w:val="24"/>
                <w:lang w:val="fr-FR"/>
              </w:rPr>
              <w:t>18 135</w:t>
            </w:r>
          </w:p>
        </w:tc>
        <w:tc>
          <w:tcPr>
            <w:tcW w:w="2021" w:type="dxa"/>
          </w:tcPr>
          <w:p w:rsidR="00000000" w:rsidRDefault="00000000">
            <w:pPr>
              <w:spacing w:before="60" w:after="60"/>
              <w:ind w:right="69"/>
              <w:jc w:val="right"/>
              <w:rPr>
                <w:noProof/>
                <w:szCs w:val="24"/>
                <w:lang w:val="fr-FR"/>
              </w:rPr>
            </w:pPr>
            <w:r>
              <w:rPr>
                <w:noProof/>
                <w:szCs w:val="24"/>
                <w:lang w:val="fr-FR"/>
              </w:rPr>
              <w:t>34 892</w:t>
            </w:r>
          </w:p>
        </w:tc>
        <w:tc>
          <w:tcPr>
            <w:tcW w:w="2022" w:type="dxa"/>
          </w:tcPr>
          <w:p w:rsidR="00000000" w:rsidRDefault="00000000">
            <w:pPr>
              <w:spacing w:before="60" w:after="60"/>
              <w:ind w:right="69"/>
              <w:jc w:val="right"/>
              <w:rPr>
                <w:noProof/>
                <w:szCs w:val="24"/>
                <w:lang w:val="fr-FR"/>
              </w:rPr>
            </w:pPr>
            <w:r>
              <w:rPr>
                <w:noProof/>
                <w:szCs w:val="24"/>
                <w:lang w:val="fr-FR"/>
              </w:rPr>
              <w:t>52</w:t>
            </w:r>
          </w:p>
        </w:tc>
      </w:tr>
      <w:tr w:rsidR="00000000">
        <w:trPr>
          <w:jc w:val="center"/>
        </w:trPr>
        <w:tc>
          <w:tcPr>
            <w:tcW w:w="1283" w:type="dxa"/>
          </w:tcPr>
          <w:p w:rsidR="00000000" w:rsidRDefault="00000000">
            <w:pPr>
              <w:spacing w:before="60" w:after="60"/>
              <w:jc w:val="center"/>
              <w:rPr>
                <w:noProof/>
                <w:szCs w:val="24"/>
                <w:lang w:val="fr-FR"/>
              </w:rPr>
            </w:pPr>
            <w:r>
              <w:rPr>
                <w:noProof/>
                <w:szCs w:val="24"/>
                <w:lang w:val="fr-FR"/>
              </w:rPr>
              <w:t>2004</w:t>
            </w:r>
          </w:p>
        </w:tc>
        <w:tc>
          <w:tcPr>
            <w:tcW w:w="2021" w:type="dxa"/>
          </w:tcPr>
          <w:p w:rsidR="00000000" w:rsidRDefault="00000000">
            <w:pPr>
              <w:spacing w:before="60" w:after="60"/>
              <w:ind w:right="69"/>
              <w:jc w:val="right"/>
              <w:rPr>
                <w:noProof/>
                <w:szCs w:val="24"/>
                <w:lang w:val="fr-FR"/>
              </w:rPr>
            </w:pPr>
            <w:r>
              <w:rPr>
                <w:noProof/>
                <w:szCs w:val="24"/>
                <w:lang w:val="fr-FR"/>
              </w:rPr>
              <w:t>626</w:t>
            </w:r>
          </w:p>
        </w:tc>
        <w:tc>
          <w:tcPr>
            <w:tcW w:w="2022" w:type="dxa"/>
          </w:tcPr>
          <w:p w:rsidR="00000000" w:rsidRDefault="00000000">
            <w:pPr>
              <w:spacing w:before="60" w:after="60"/>
              <w:ind w:right="69"/>
              <w:jc w:val="right"/>
              <w:rPr>
                <w:noProof/>
                <w:szCs w:val="24"/>
                <w:lang w:val="fr-FR"/>
              </w:rPr>
            </w:pPr>
            <w:r>
              <w:rPr>
                <w:noProof/>
                <w:szCs w:val="24"/>
                <w:lang w:val="fr-FR"/>
              </w:rPr>
              <w:t>18 818</w:t>
            </w:r>
          </w:p>
        </w:tc>
        <w:tc>
          <w:tcPr>
            <w:tcW w:w="2021" w:type="dxa"/>
          </w:tcPr>
          <w:p w:rsidR="00000000" w:rsidRDefault="00000000">
            <w:pPr>
              <w:spacing w:before="60" w:after="60"/>
              <w:ind w:right="69"/>
              <w:jc w:val="right"/>
              <w:rPr>
                <w:noProof/>
                <w:szCs w:val="24"/>
                <w:lang w:val="fr-FR"/>
              </w:rPr>
            </w:pPr>
            <w:r>
              <w:rPr>
                <w:noProof/>
                <w:szCs w:val="24"/>
                <w:lang w:val="fr-FR"/>
              </w:rPr>
              <w:t>35 649</w:t>
            </w:r>
          </w:p>
        </w:tc>
        <w:tc>
          <w:tcPr>
            <w:tcW w:w="2022" w:type="dxa"/>
          </w:tcPr>
          <w:p w:rsidR="00000000" w:rsidRDefault="00000000">
            <w:pPr>
              <w:spacing w:before="60" w:after="60"/>
              <w:ind w:right="69"/>
              <w:jc w:val="right"/>
              <w:rPr>
                <w:noProof/>
                <w:szCs w:val="24"/>
                <w:lang w:val="fr-FR"/>
              </w:rPr>
            </w:pPr>
            <w:r>
              <w:rPr>
                <w:noProof/>
                <w:szCs w:val="24"/>
                <w:lang w:val="fr-FR"/>
              </w:rPr>
              <w:t>53</w:t>
            </w:r>
          </w:p>
        </w:tc>
      </w:tr>
    </w:tbl>
    <w:p w:rsidR="00000000" w:rsidRDefault="00000000">
      <w:pPr>
        <w:keepNext/>
        <w:spacing w:before="240" w:after="240"/>
        <w:jc w:val="center"/>
        <w:rPr>
          <w:b/>
          <w:bCs/>
          <w:noProof/>
          <w:lang w:val="fr-FR"/>
        </w:rPr>
      </w:pPr>
      <w:r>
        <w:rPr>
          <w:b/>
          <w:bCs/>
          <w:noProof/>
          <w:lang w:val="fr-FR"/>
        </w:rPr>
        <w:t>Répartition des établissements préscolaires selon le type, la fonction</w:t>
      </w:r>
      <w:r>
        <w:rPr>
          <w:b/>
          <w:bCs/>
          <w:noProof/>
          <w:lang w:val="fr-FR"/>
        </w:rPr>
        <w:br/>
        <w:t>et le nombre de jours d’ouverture par semaine (en fin d’année)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9"/>
        <w:gridCol w:w="1173"/>
        <w:gridCol w:w="1174"/>
        <w:gridCol w:w="1148"/>
        <w:gridCol w:w="1200"/>
      </w:tblGrid>
      <w:tr w:rsidR="00000000">
        <w:trPr>
          <w:tblHeader/>
          <w:jc w:val="center"/>
        </w:trPr>
        <w:tc>
          <w:tcPr>
            <w:tcW w:w="4669" w:type="dxa"/>
          </w:tcPr>
          <w:p w:rsidR="00000000" w:rsidRDefault="00000000">
            <w:pPr>
              <w:spacing w:before="60" w:after="60"/>
              <w:rPr>
                <w:bCs/>
                <w:noProof/>
                <w:szCs w:val="24"/>
                <w:lang w:val="fr-FR"/>
              </w:rPr>
            </w:pPr>
            <w:r>
              <w:rPr>
                <w:noProof/>
                <w:szCs w:val="24"/>
                <w:lang w:val="fr-FR"/>
              </w:rPr>
              <w:br w:type="page"/>
            </w:r>
            <w:r>
              <w:rPr>
                <w:noProof/>
                <w:szCs w:val="24"/>
                <w:lang w:val="fr-FR"/>
              </w:rPr>
              <w:br w:type="page"/>
            </w:r>
            <w:r>
              <w:rPr>
                <w:noProof/>
                <w:szCs w:val="24"/>
                <w:lang w:val="fr-FR"/>
              </w:rPr>
              <w:br w:type="page"/>
            </w:r>
            <w:r>
              <w:rPr>
                <w:noProof/>
                <w:szCs w:val="24"/>
                <w:lang w:val="fr-FR"/>
              </w:rPr>
              <w:br w:type="page"/>
            </w:r>
            <w:r>
              <w:rPr>
                <w:noProof/>
                <w:szCs w:val="24"/>
                <w:lang w:val="fr-FR"/>
              </w:rPr>
              <w:br w:type="page"/>
            </w:r>
          </w:p>
        </w:tc>
        <w:tc>
          <w:tcPr>
            <w:tcW w:w="1173" w:type="dxa"/>
          </w:tcPr>
          <w:p w:rsidR="00000000" w:rsidRDefault="00000000">
            <w:pPr>
              <w:spacing w:before="60" w:after="60"/>
              <w:jc w:val="center"/>
              <w:rPr>
                <w:bCs/>
                <w:noProof/>
                <w:szCs w:val="24"/>
                <w:lang w:val="fr-FR"/>
              </w:rPr>
            </w:pPr>
            <w:r>
              <w:rPr>
                <w:bCs/>
                <w:noProof/>
                <w:szCs w:val="24"/>
                <w:lang w:val="fr-FR"/>
              </w:rPr>
              <w:t>2002</w:t>
            </w:r>
          </w:p>
        </w:tc>
        <w:tc>
          <w:tcPr>
            <w:tcW w:w="1174" w:type="dxa"/>
          </w:tcPr>
          <w:p w:rsidR="00000000" w:rsidRDefault="00000000">
            <w:pPr>
              <w:spacing w:before="60" w:after="60"/>
              <w:jc w:val="center"/>
              <w:rPr>
                <w:bCs/>
                <w:noProof/>
                <w:szCs w:val="24"/>
                <w:lang w:val="fr-FR"/>
              </w:rPr>
            </w:pPr>
            <w:r>
              <w:rPr>
                <w:bCs/>
                <w:noProof/>
                <w:szCs w:val="24"/>
                <w:lang w:val="fr-FR"/>
              </w:rPr>
              <w:t>2003</w:t>
            </w:r>
          </w:p>
        </w:tc>
        <w:tc>
          <w:tcPr>
            <w:tcW w:w="1148" w:type="dxa"/>
          </w:tcPr>
          <w:p w:rsidR="00000000" w:rsidRDefault="00000000">
            <w:pPr>
              <w:spacing w:before="60" w:after="60"/>
              <w:jc w:val="center"/>
              <w:rPr>
                <w:bCs/>
                <w:noProof/>
                <w:szCs w:val="24"/>
                <w:lang w:val="fr-FR"/>
              </w:rPr>
            </w:pPr>
            <w:r>
              <w:rPr>
                <w:bCs/>
                <w:noProof/>
                <w:szCs w:val="24"/>
                <w:lang w:val="fr-FR"/>
              </w:rPr>
              <w:t>2004</w:t>
            </w:r>
          </w:p>
        </w:tc>
        <w:tc>
          <w:tcPr>
            <w:tcW w:w="1200" w:type="dxa"/>
          </w:tcPr>
          <w:p w:rsidR="00000000" w:rsidRDefault="00000000">
            <w:pPr>
              <w:spacing w:before="60" w:after="60"/>
              <w:jc w:val="center"/>
              <w:rPr>
                <w:bCs/>
                <w:noProof/>
                <w:szCs w:val="24"/>
                <w:lang w:val="fr-FR"/>
              </w:rPr>
            </w:pPr>
            <w:r>
              <w:rPr>
                <w:bCs/>
                <w:noProof/>
                <w:szCs w:val="24"/>
                <w:lang w:val="fr-FR"/>
              </w:rPr>
              <w:t>2005</w:t>
            </w:r>
          </w:p>
        </w:tc>
      </w:tr>
      <w:tr w:rsidR="00000000">
        <w:trPr>
          <w:trHeight w:val="92"/>
          <w:jc w:val="center"/>
        </w:trPr>
        <w:tc>
          <w:tcPr>
            <w:tcW w:w="4669" w:type="dxa"/>
          </w:tcPr>
          <w:p w:rsidR="00000000" w:rsidRDefault="00000000">
            <w:pPr>
              <w:tabs>
                <w:tab w:val="left" w:pos="256"/>
              </w:tabs>
              <w:spacing w:before="60" w:after="60"/>
              <w:rPr>
                <w:noProof/>
                <w:szCs w:val="24"/>
                <w:lang w:val="fr-FR"/>
              </w:rPr>
            </w:pPr>
            <w:r>
              <w:rPr>
                <w:noProof/>
                <w:szCs w:val="24"/>
                <w:lang w:val="fr-FR"/>
              </w:rPr>
              <w:t>Établissement préscolaires (total)</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1 213</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1 225</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1 247</w:t>
            </w:r>
          </w:p>
        </w:tc>
        <w:tc>
          <w:tcPr>
            <w:tcW w:w="1200" w:type="dxa"/>
            <w:tcMar>
              <w:right w:w="369" w:type="dxa"/>
            </w:tcMar>
          </w:tcPr>
          <w:p w:rsidR="00000000" w:rsidRDefault="00000000">
            <w:pPr>
              <w:spacing w:before="60" w:after="60"/>
              <w:ind w:right="-291"/>
              <w:jc w:val="right"/>
              <w:rPr>
                <w:noProof/>
                <w:szCs w:val="24"/>
                <w:lang w:val="fr-FR"/>
              </w:rPr>
            </w:pPr>
            <w:r>
              <w:rPr>
                <w:noProof/>
                <w:szCs w:val="24"/>
                <w:lang w:val="fr-FR"/>
              </w:rPr>
              <w:t>1 214</w:t>
            </w:r>
          </w:p>
        </w:tc>
      </w:tr>
      <w:tr w:rsidR="00000000">
        <w:trPr>
          <w:trHeight w:val="92"/>
          <w:jc w:val="center"/>
        </w:trPr>
        <w:tc>
          <w:tcPr>
            <w:tcW w:w="4669" w:type="dxa"/>
          </w:tcPr>
          <w:p w:rsidR="00000000" w:rsidRDefault="00000000">
            <w:pPr>
              <w:tabs>
                <w:tab w:val="left" w:pos="256"/>
              </w:tabs>
              <w:spacing w:before="60" w:after="60"/>
              <w:rPr>
                <w:noProof/>
                <w:szCs w:val="24"/>
                <w:lang w:val="fr-FR"/>
              </w:rPr>
            </w:pPr>
            <w:r>
              <w:rPr>
                <w:noProof/>
                <w:szCs w:val="24"/>
                <w:lang w:val="fr-FR"/>
              </w:rPr>
              <w:tab/>
              <w:t>Répartition par type:</w:t>
            </w:r>
          </w:p>
        </w:tc>
        <w:tc>
          <w:tcPr>
            <w:tcW w:w="1173" w:type="dxa"/>
            <w:tcMar>
              <w:right w:w="369" w:type="dxa"/>
            </w:tcMar>
          </w:tcPr>
          <w:p w:rsidR="00000000" w:rsidRDefault="00000000">
            <w:pPr>
              <w:spacing w:before="60" w:after="60"/>
              <w:ind w:right="-291"/>
              <w:jc w:val="right"/>
              <w:rPr>
                <w:noProof/>
                <w:szCs w:val="24"/>
                <w:lang w:val="fr-FR"/>
              </w:rPr>
            </w:pPr>
          </w:p>
        </w:tc>
        <w:tc>
          <w:tcPr>
            <w:tcW w:w="1174" w:type="dxa"/>
            <w:tcMar>
              <w:right w:w="369" w:type="dxa"/>
            </w:tcMar>
          </w:tcPr>
          <w:p w:rsidR="00000000" w:rsidRDefault="00000000">
            <w:pPr>
              <w:spacing w:before="60" w:after="60"/>
              <w:ind w:right="-291"/>
              <w:jc w:val="right"/>
              <w:rPr>
                <w:noProof/>
                <w:szCs w:val="24"/>
                <w:lang w:val="fr-FR"/>
              </w:rPr>
            </w:pPr>
          </w:p>
        </w:tc>
        <w:tc>
          <w:tcPr>
            <w:tcW w:w="1148" w:type="dxa"/>
            <w:tcMar>
              <w:right w:w="369" w:type="dxa"/>
            </w:tcMar>
          </w:tcPr>
          <w:p w:rsidR="00000000" w:rsidRDefault="00000000">
            <w:pPr>
              <w:spacing w:before="60" w:after="60"/>
              <w:ind w:right="-291"/>
              <w:jc w:val="right"/>
              <w:rPr>
                <w:noProof/>
                <w:szCs w:val="24"/>
                <w:lang w:val="fr-FR"/>
              </w:rPr>
            </w:pP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Jardins d’enfants</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650</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664</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679</w:t>
            </w: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Garderies – Jardins d’enfants</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553</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550</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558</w:t>
            </w: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107"/>
          <w:jc w:val="center"/>
        </w:trPr>
        <w:tc>
          <w:tcPr>
            <w:tcW w:w="4669" w:type="dxa"/>
          </w:tcPr>
          <w:p w:rsidR="00000000" w:rsidRDefault="00000000">
            <w:pPr>
              <w:tabs>
                <w:tab w:val="left" w:pos="496"/>
              </w:tabs>
              <w:spacing w:before="60" w:after="60"/>
              <w:rPr>
                <w:noProof/>
                <w:szCs w:val="24"/>
                <w:lang w:val="fr-FR"/>
              </w:rPr>
            </w:pPr>
            <w:r>
              <w:rPr>
                <w:noProof/>
                <w:szCs w:val="24"/>
                <w:lang w:val="fr-FR"/>
              </w:rPr>
              <w:tab/>
              <w:t>Garderies</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10</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11</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10</w:t>
            </w: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107"/>
          <w:jc w:val="center"/>
        </w:trPr>
        <w:tc>
          <w:tcPr>
            <w:tcW w:w="4669" w:type="dxa"/>
          </w:tcPr>
          <w:p w:rsidR="00000000" w:rsidRDefault="00000000">
            <w:pPr>
              <w:tabs>
                <w:tab w:val="left" w:pos="256"/>
              </w:tabs>
              <w:spacing w:before="60" w:after="60"/>
              <w:rPr>
                <w:noProof/>
                <w:szCs w:val="24"/>
                <w:lang w:val="fr-FR"/>
              </w:rPr>
            </w:pPr>
            <w:r>
              <w:rPr>
                <w:noProof/>
                <w:szCs w:val="24"/>
                <w:lang w:val="fr-FR"/>
              </w:rPr>
              <w:tab/>
              <w:t>Répartition selon la fonction:</w:t>
            </w:r>
          </w:p>
        </w:tc>
        <w:tc>
          <w:tcPr>
            <w:tcW w:w="1173" w:type="dxa"/>
            <w:tcMar>
              <w:right w:w="369" w:type="dxa"/>
            </w:tcMar>
          </w:tcPr>
          <w:p w:rsidR="00000000" w:rsidRDefault="00000000">
            <w:pPr>
              <w:spacing w:before="60" w:after="60"/>
              <w:ind w:right="-291"/>
              <w:jc w:val="right"/>
              <w:rPr>
                <w:noProof/>
                <w:szCs w:val="24"/>
                <w:lang w:val="fr-FR"/>
              </w:rPr>
            </w:pPr>
          </w:p>
        </w:tc>
        <w:tc>
          <w:tcPr>
            <w:tcW w:w="1174" w:type="dxa"/>
            <w:tcMar>
              <w:right w:w="369" w:type="dxa"/>
            </w:tcMar>
          </w:tcPr>
          <w:p w:rsidR="00000000" w:rsidRDefault="00000000">
            <w:pPr>
              <w:spacing w:before="60" w:after="60"/>
              <w:ind w:right="-291"/>
              <w:jc w:val="right"/>
              <w:rPr>
                <w:noProof/>
                <w:szCs w:val="24"/>
                <w:lang w:val="fr-FR"/>
              </w:rPr>
            </w:pPr>
          </w:p>
        </w:tc>
        <w:tc>
          <w:tcPr>
            <w:tcW w:w="1148" w:type="dxa"/>
            <w:tcMar>
              <w:right w:w="369" w:type="dxa"/>
            </w:tcMar>
          </w:tcPr>
          <w:p w:rsidR="00000000" w:rsidRDefault="00000000">
            <w:pPr>
              <w:spacing w:before="60" w:after="60"/>
              <w:ind w:right="-291"/>
              <w:jc w:val="right"/>
              <w:rPr>
                <w:noProof/>
                <w:szCs w:val="24"/>
                <w:lang w:val="fr-FR"/>
              </w:rPr>
            </w:pP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Établissement général</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1 209</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1 221</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143</w:t>
            </w:r>
          </w:p>
        </w:tc>
        <w:tc>
          <w:tcPr>
            <w:tcW w:w="1200" w:type="dxa"/>
            <w:tcMar>
              <w:right w:w="369" w:type="dxa"/>
            </w:tcMar>
          </w:tcPr>
          <w:p w:rsidR="00000000" w:rsidRDefault="00000000">
            <w:pPr>
              <w:spacing w:before="60" w:after="60"/>
              <w:ind w:right="-291"/>
              <w:jc w:val="right"/>
              <w:rPr>
                <w:noProof/>
                <w:szCs w:val="24"/>
                <w:lang w:val="fr-FR"/>
              </w:rPr>
            </w:pPr>
            <w:r>
              <w:rPr>
                <w:noProof/>
                <w:szCs w:val="24"/>
                <w:lang w:val="fr-FR"/>
              </w:rPr>
              <w:t>1 210</w:t>
            </w: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Établissement médical (sanatorium)</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2</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2</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2</w:t>
            </w:r>
          </w:p>
        </w:tc>
        <w:tc>
          <w:tcPr>
            <w:tcW w:w="1200" w:type="dxa"/>
            <w:tcMar>
              <w:right w:w="369" w:type="dxa"/>
            </w:tcMar>
          </w:tcPr>
          <w:p w:rsidR="00000000" w:rsidRDefault="00000000">
            <w:pPr>
              <w:spacing w:before="60" w:after="60"/>
              <w:ind w:right="-291"/>
              <w:jc w:val="right"/>
              <w:rPr>
                <w:noProof/>
                <w:szCs w:val="24"/>
                <w:lang w:val="fr-FR"/>
              </w:rPr>
            </w:pPr>
            <w:r>
              <w:rPr>
                <w:noProof/>
                <w:szCs w:val="24"/>
                <w:lang w:val="fr-FR"/>
              </w:rPr>
              <w:t>2</w:t>
            </w: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Établissement spécial</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2</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2</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2</w:t>
            </w:r>
          </w:p>
        </w:tc>
        <w:tc>
          <w:tcPr>
            <w:tcW w:w="1200" w:type="dxa"/>
            <w:tcMar>
              <w:right w:w="369" w:type="dxa"/>
            </w:tcMar>
          </w:tcPr>
          <w:p w:rsidR="00000000" w:rsidRDefault="00000000">
            <w:pPr>
              <w:spacing w:before="60" w:after="60"/>
              <w:ind w:right="-291"/>
              <w:jc w:val="right"/>
              <w:rPr>
                <w:noProof/>
                <w:szCs w:val="24"/>
                <w:lang w:val="fr-FR"/>
              </w:rPr>
            </w:pPr>
            <w:r>
              <w:rPr>
                <w:noProof/>
                <w:szCs w:val="24"/>
                <w:lang w:val="fr-FR"/>
              </w:rPr>
              <w:t>2</w:t>
            </w:r>
          </w:p>
        </w:tc>
      </w:tr>
      <w:tr w:rsidR="00000000">
        <w:trPr>
          <w:trHeight w:val="85"/>
          <w:jc w:val="center"/>
        </w:trPr>
        <w:tc>
          <w:tcPr>
            <w:tcW w:w="4669" w:type="dxa"/>
          </w:tcPr>
          <w:p w:rsidR="00000000" w:rsidRDefault="00000000">
            <w:pPr>
              <w:tabs>
                <w:tab w:val="left" w:pos="256"/>
              </w:tabs>
              <w:spacing w:before="60" w:after="60"/>
              <w:rPr>
                <w:noProof/>
                <w:szCs w:val="24"/>
                <w:lang w:val="fr-FR"/>
              </w:rPr>
            </w:pPr>
            <w:r>
              <w:rPr>
                <w:noProof/>
                <w:szCs w:val="24"/>
                <w:lang w:val="fr-FR"/>
              </w:rPr>
              <w:tab/>
              <w:t xml:space="preserve">Répartition selon le nombre de jours </w:t>
            </w:r>
            <w:r>
              <w:rPr>
                <w:noProof/>
                <w:szCs w:val="24"/>
                <w:lang w:val="fr-FR"/>
              </w:rPr>
              <w:tab/>
              <w:t>d’ouverture</w:t>
            </w:r>
          </w:p>
        </w:tc>
        <w:tc>
          <w:tcPr>
            <w:tcW w:w="1173" w:type="dxa"/>
            <w:tcMar>
              <w:right w:w="369" w:type="dxa"/>
            </w:tcMar>
          </w:tcPr>
          <w:p w:rsidR="00000000" w:rsidRDefault="00000000">
            <w:pPr>
              <w:spacing w:before="60" w:after="60"/>
              <w:ind w:right="-291"/>
              <w:jc w:val="right"/>
              <w:rPr>
                <w:noProof/>
                <w:szCs w:val="24"/>
                <w:lang w:val="fr-FR"/>
              </w:rPr>
            </w:pPr>
          </w:p>
        </w:tc>
        <w:tc>
          <w:tcPr>
            <w:tcW w:w="1174" w:type="dxa"/>
            <w:tcMar>
              <w:right w:w="369" w:type="dxa"/>
            </w:tcMar>
          </w:tcPr>
          <w:p w:rsidR="00000000" w:rsidRDefault="00000000">
            <w:pPr>
              <w:spacing w:before="60" w:after="60"/>
              <w:ind w:right="-291"/>
              <w:jc w:val="right"/>
              <w:rPr>
                <w:noProof/>
                <w:szCs w:val="24"/>
                <w:lang w:val="fr-FR"/>
              </w:rPr>
            </w:pPr>
          </w:p>
        </w:tc>
        <w:tc>
          <w:tcPr>
            <w:tcW w:w="1148" w:type="dxa"/>
            <w:tcMar>
              <w:right w:w="369" w:type="dxa"/>
            </w:tcMar>
          </w:tcPr>
          <w:p w:rsidR="00000000" w:rsidRDefault="00000000">
            <w:pPr>
              <w:spacing w:before="60" w:after="60"/>
              <w:ind w:right="-291"/>
              <w:jc w:val="right"/>
              <w:rPr>
                <w:noProof/>
                <w:szCs w:val="24"/>
                <w:lang w:val="fr-FR"/>
              </w:rPr>
            </w:pP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5 jours par semaine</w:t>
            </w:r>
          </w:p>
        </w:tc>
        <w:tc>
          <w:tcPr>
            <w:tcW w:w="1173" w:type="dxa"/>
            <w:tcMar>
              <w:right w:w="369" w:type="dxa"/>
            </w:tcMar>
          </w:tcPr>
          <w:p w:rsidR="00000000" w:rsidRDefault="00000000">
            <w:pPr>
              <w:spacing w:before="60" w:after="60"/>
              <w:ind w:right="-291"/>
              <w:jc w:val="right"/>
              <w:rPr>
                <w:noProof/>
                <w:szCs w:val="24"/>
                <w:lang w:val="fr-FR"/>
              </w:rPr>
            </w:pPr>
            <w:r>
              <w:rPr>
                <w:noProof/>
                <w:szCs w:val="24"/>
                <w:lang w:val="fr-FR"/>
              </w:rPr>
              <w:t>1 208</w:t>
            </w:r>
          </w:p>
        </w:tc>
        <w:tc>
          <w:tcPr>
            <w:tcW w:w="1174" w:type="dxa"/>
            <w:tcMar>
              <w:right w:w="369" w:type="dxa"/>
            </w:tcMar>
          </w:tcPr>
          <w:p w:rsidR="00000000" w:rsidRDefault="00000000">
            <w:pPr>
              <w:spacing w:before="60" w:after="60"/>
              <w:ind w:right="-291"/>
              <w:jc w:val="right"/>
              <w:rPr>
                <w:noProof/>
                <w:szCs w:val="24"/>
                <w:lang w:val="fr-FR"/>
              </w:rPr>
            </w:pPr>
            <w:r>
              <w:rPr>
                <w:noProof/>
                <w:szCs w:val="24"/>
                <w:lang w:val="fr-FR"/>
              </w:rPr>
              <w:t>1 220</w:t>
            </w:r>
          </w:p>
        </w:tc>
        <w:tc>
          <w:tcPr>
            <w:tcW w:w="1148" w:type="dxa"/>
            <w:tcMar>
              <w:right w:w="369" w:type="dxa"/>
            </w:tcMar>
          </w:tcPr>
          <w:p w:rsidR="00000000" w:rsidRDefault="00000000">
            <w:pPr>
              <w:spacing w:before="60" w:after="60"/>
              <w:ind w:right="-291"/>
              <w:jc w:val="right"/>
              <w:rPr>
                <w:noProof/>
                <w:szCs w:val="24"/>
                <w:lang w:val="fr-FR"/>
              </w:rPr>
            </w:pPr>
            <w:r>
              <w:rPr>
                <w:noProof/>
                <w:szCs w:val="24"/>
                <w:lang w:val="fr-FR"/>
              </w:rPr>
              <w:t>1 242</w:t>
            </w:r>
          </w:p>
        </w:tc>
        <w:tc>
          <w:tcPr>
            <w:tcW w:w="1200" w:type="dxa"/>
            <w:tcMar>
              <w:right w:w="369" w:type="dxa"/>
            </w:tcMar>
          </w:tcPr>
          <w:p w:rsidR="00000000" w:rsidRDefault="00000000">
            <w:pPr>
              <w:spacing w:before="60" w:after="60"/>
              <w:ind w:right="-291"/>
              <w:jc w:val="right"/>
              <w:rPr>
                <w:noProof/>
                <w:szCs w:val="24"/>
                <w:lang w:val="fr-FR"/>
              </w:rPr>
            </w:pPr>
          </w:p>
        </w:tc>
      </w:tr>
      <w:tr w:rsidR="00000000">
        <w:trPr>
          <w:trHeight w:val="85"/>
          <w:jc w:val="center"/>
        </w:trPr>
        <w:tc>
          <w:tcPr>
            <w:tcW w:w="4669" w:type="dxa"/>
          </w:tcPr>
          <w:p w:rsidR="00000000" w:rsidRDefault="00000000">
            <w:pPr>
              <w:tabs>
                <w:tab w:val="left" w:pos="496"/>
              </w:tabs>
              <w:spacing w:before="60" w:after="60"/>
              <w:rPr>
                <w:noProof/>
                <w:szCs w:val="24"/>
                <w:lang w:val="fr-FR"/>
              </w:rPr>
            </w:pPr>
            <w:r>
              <w:rPr>
                <w:noProof/>
                <w:szCs w:val="24"/>
                <w:lang w:val="fr-FR"/>
              </w:rPr>
              <w:tab/>
              <w:t>6 ou 7 jours par semaine</w:t>
            </w:r>
          </w:p>
        </w:tc>
        <w:tc>
          <w:tcPr>
            <w:tcW w:w="1173" w:type="dxa"/>
            <w:noWrap/>
            <w:tcMar>
              <w:right w:w="369" w:type="dxa"/>
            </w:tcMar>
          </w:tcPr>
          <w:p w:rsidR="00000000" w:rsidRDefault="00000000">
            <w:pPr>
              <w:spacing w:before="60" w:after="60"/>
              <w:ind w:right="-291"/>
              <w:jc w:val="right"/>
              <w:rPr>
                <w:noProof/>
                <w:szCs w:val="24"/>
                <w:lang w:val="fr-FR"/>
              </w:rPr>
            </w:pPr>
            <w:r>
              <w:rPr>
                <w:noProof/>
                <w:szCs w:val="24"/>
                <w:lang w:val="fr-FR"/>
              </w:rPr>
              <w:t>5</w:t>
            </w:r>
          </w:p>
        </w:tc>
        <w:tc>
          <w:tcPr>
            <w:tcW w:w="1174" w:type="dxa"/>
            <w:noWrap/>
            <w:tcMar>
              <w:right w:w="369" w:type="dxa"/>
            </w:tcMar>
          </w:tcPr>
          <w:p w:rsidR="00000000" w:rsidRDefault="00000000">
            <w:pPr>
              <w:spacing w:before="60" w:after="60"/>
              <w:ind w:right="-291"/>
              <w:jc w:val="right"/>
              <w:rPr>
                <w:noProof/>
                <w:szCs w:val="24"/>
                <w:lang w:val="fr-FR"/>
              </w:rPr>
            </w:pPr>
            <w:r>
              <w:rPr>
                <w:noProof/>
                <w:szCs w:val="24"/>
                <w:lang w:val="fr-FR"/>
              </w:rPr>
              <w:t>5</w:t>
            </w:r>
          </w:p>
        </w:tc>
        <w:tc>
          <w:tcPr>
            <w:tcW w:w="1148" w:type="dxa"/>
            <w:noWrap/>
            <w:tcMar>
              <w:right w:w="369" w:type="dxa"/>
            </w:tcMar>
          </w:tcPr>
          <w:p w:rsidR="00000000" w:rsidRDefault="00000000">
            <w:pPr>
              <w:spacing w:before="60" w:after="60"/>
              <w:ind w:right="-291"/>
              <w:jc w:val="right"/>
              <w:rPr>
                <w:noProof/>
                <w:szCs w:val="24"/>
                <w:lang w:val="fr-FR"/>
              </w:rPr>
            </w:pPr>
            <w:r>
              <w:rPr>
                <w:noProof/>
                <w:szCs w:val="24"/>
                <w:lang w:val="fr-FR"/>
              </w:rPr>
              <w:t>5</w:t>
            </w:r>
          </w:p>
        </w:tc>
        <w:tc>
          <w:tcPr>
            <w:tcW w:w="1200" w:type="dxa"/>
            <w:tcMar>
              <w:right w:w="369" w:type="dxa"/>
            </w:tcMar>
          </w:tcPr>
          <w:p w:rsidR="00000000" w:rsidRDefault="00000000">
            <w:pPr>
              <w:spacing w:before="60" w:after="60"/>
              <w:ind w:right="-291"/>
              <w:jc w:val="right"/>
              <w:rPr>
                <w:noProof/>
                <w:szCs w:val="24"/>
                <w:lang w:val="fr-FR"/>
              </w:rPr>
            </w:pPr>
          </w:p>
        </w:tc>
      </w:tr>
    </w:tbl>
    <w:p w:rsidR="00000000" w:rsidRDefault="00000000">
      <w:pPr>
        <w:spacing w:before="240" w:after="240"/>
        <w:rPr>
          <w:bCs/>
          <w:iCs/>
          <w:noProof/>
          <w:szCs w:val="24"/>
          <w:lang w:val="fr-FR"/>
        </w:rPr>
      </w:pPr>
      <w:r>
        <w:rPr>
          <w:bCs/>
          <w:i/>
          <w:noProof/>
          <w:szCs w:val="24"/>
          <w:lang w:val="fr-FR"/>
        </w:rPr>
        <w:tab/>
        <w:t>Source:</w:t>
      </w:r>
      <w:r>
        <w:rPr>
          <w:bCs/>
          <w:iCs/>
          <w:noProof/>
          <w:szCs w:val="24"/>
          <w:lang w:val="fr-FR"/>
        </w:rPr>
        <w:t xml:space="preserve"> Ministère de l’éducation et des sciences; Département des statistiques.</w:t>
      </w:r>
    </w:p>
    <w:p w:rsidR="00000000" w:rsidRDefault="00000000">
      <w:pPr>
        <w:keepNext/>
        <w:spacing w:after="240"/>
        <w:jc w:val="center"/>
        <w:rPr>
          <w:b/>
          <w:bCs/>
          <w:noProof/>
          <w:lang w:val="fr-FR"/>
        </w:rPr>
      </w:pPr>
      <w:r>
        <w:rPr>
          <w:b/>
          <w:bCs/>
          <w:noProof/>
          <w:lang w:val="fr-FR"/>
        </w:rPr>
        <w:br w:type="page"/>
        <w:t>Groupes spéciaux en établissements préscolaires</w:t>
      </w:r>
      <w:r>
        <w:rPr>
          <w:b/>
          <w:bCs/>
          <w:noProof/>
          <w:lang w:val="fr-FR"/>
        </w:rPr>
        <w:br/>
        <w:t>(en fin d’année)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0"/>
        <w:gridCol w:w="1080"/>
        <w:gridCol w:w="1200"/>
        <w:gridCol w:w="1196"/>
      </w:tblGrid>
      <w:tr w:rsidR="00000000">
        <w:trPr>
          <w:tblHeader/>
        </w:trPr>
        <w:tc>
          <w:tcPr>
            <w:tcW w:w="5880" w:type="dxa"/>
          </w:tcPr>
          <w:p w:rsidR="00000000" w:rsidRDefault="00000000">
            <w:pPr>
              <w:spacing w:before="60" w:after="60"/>
              <w:rPr>
                <w:bCs/>
                <w:noProof/>
                <w:szCs w:val="24"/>
                <w:lang w:val="fr-FR"/>
              </w:rPr>
            </w:pPr>
          </w:p>
        </w:tc>
        <w:tc>
          <w:tcPr>
            <w:tcW w:w="1080" w:type="dxa"/>
          </w:tcPr>
          <w:p w:rsidR="00000000" w:rsidRDefault="00000000">
            <w:pPr>
              <w:spacing w:before="60" w:after="60"/>
              <w:jc w:val="center"/>
              <w:rPr>
                <w:bCs/>
                <w:noProof/>
                <w:szCs w:val="24"/>
                <w:lang w:val="fr-FR"/>
              </w:rPr>
            </w:pPr>
            <w:r>
              <w:rPr>
                <w:bCs/>
                <w:noProof/>
                <w:szCs w:val="24"/>
                <w:lang w:val="fr-FR"/>
              </w:rPr>
              <w:t>2002</w:t>
            </w:r>
          </w:p>
        </w:tc>
        <w:tc>
          <w:tcPr>
            <w:tcW w:w="1200" w:type="dxa"/>
          </w:tcPr>
          <w:p w:rsidR="00000000" w:rsidRDefault="00000000">
            <w:pPr>
              <w:spacing w:before="60" w:after="60"/>
              <w:jc w:val="center"/>
              <w:rPr>
                <w:bCs/>
                <w:noProof/>
                <w:szCs w:val="24"/>
                <w:lang w:val="fr-FR"/>
              </w:rPr>
            </w:pPr>
            <w:r>
              <w:rPr>
                <w:bCs/>
                <w:noProof/>
                <w:szCs w:val="24"/>
                <w:lang w:val="fr-FR"/>
              </w:rPr>
              <w:t>2003</w:t>
            </w:r>
          </w:p>
        </w:tc>
        <w:tc>
          <w:tcPr>
            <w:tcW w:w="1196" w:type="dxa"/>
          </w:tcPr>
          <w:p w:rsidR="00000000" w:rsidRDefault="00000000">
            <w:pPr>
              <w:spacing w:before="60" w:after="60"/>
              <w:jc w:val="center"/>
              <w:rPr>
                <w:bCs/>
                <w:noProof/>
                <w:szCs w:val="24"/>
                <w:lang w:val="fr-FR"/>
              </w:rPr>
            </w:pPr>
            <w:r>
              <w:rPr>
                <w:bCs/>
                <w:noProof/>
                <w:szCs w:val="24"/>
                <w:lang w:val="fr-FR"/>
              </w:rPr>
              <w:t>2004</w:t>
            </w:r>
          </w:p>
        </w:tc>
      </w:tr>
      <w:tr w:rsidR="00000000">
        <w:tc>
          <w:tcPr>
            <w:tcW w:w="5880" w:type="dxa"/>
          </w:tcPr>
          <w:p w:rsidR="00000000" w:rsidRDefault="00000000">
            <w:pPr>
              <w:spacing w:before="60" w:after="60"/>
              <w:rPr>
                <w:noProof/>
                <w:szCs w:val="24"/>
                <w:lang w:val="fr-FR"/>
              </w:rPr>
            </w:pPr>
            <w:r>
              <w:rPr>
                <w:noProof/>
                <w:szCs w:val="24"/>
                <w:lang w:val="fr-FR"/>
              </w:rPr>
              <w:t>Établissements préscolaires accueillant des groupes spéciaux</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19</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22</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25</w:t>
            </w:r>
          </w:p>
        </w:tc>
      </w:tr>
      <w:tr w:rsidR="00000000">
        <w:tc>
          <w:tcPr>
            <w:tcW w:w="5880" w:type="dxa"/>
          </w:tcPr>
          <w:p w:rsidR="00000000" w:rsidRDefault="00000000">
            <w:pPr>
              <w:spacing w:before="60" w:after="60"/>
              <w:rPr>
                <w:noProof/>
                <w:szCs w:val="24"/>
                <w:lang w:val="fr-FR"/>
              </w:rPr>
            </w:pPr>
            <w:r>
              <w:rPr>
                <w:noProof/>
                <w:szCs w:val="24"/>
                <w:lang w:val="fr-FR"/>
              </w:rPr>
              <w:t>Nombre de groupes</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37</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40</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46</w:t>
            </w:r>
          </w:p>
        </w:tc>
      </w:tr>
      <w:tr w:rsidR="00000000">
        <w:tc>
          <w:tcPr>
            <w:tcW w:w="5880" w:type="dxa"/>
          </w:tcPr>
          <w:p w:rsidR="00000000" w:rsidRDefault="00000000">
            <w:pPr>
              <w:spacing w:before="60" w:after="60"/>
              <w:rPr>
                <w:noProof/>
                <w:szCs w:val="24"/>
                <w:lang w:val="fr-FR"/>
              </w:rPr>
            </w:pPr>
            <w:r>
              <w:rPr>
                <w:noProof/>
                <w:szCs w:val="24"/>
                <w:lang w:val="fr-FR"/>
              </w:rPr>
              <w:t>Nombre d’enfants</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809</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686</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817</w:t>
            </w:r>
          </w:p>
        </w:tc>
      </w:tr>
      <w:tr w:rsidR="00000000">
        <w:tc>
          <w:tcPr>
            <w:tcW w:w="5880" w:type="dxa"/>
          </w:tcPr>
          <w:p w:rsidR="00000000" w:rsidRDefault="00000000">
            <w:pPr>
              <w:spacing w:before="60" w:after="60"/>
              <w:rPr>
                <w:noProof/>
                <w:szCs w:val="24"/>
                <w:lang w:val="fr-FR"/>
              </w:rPr>
            </w:pPr>
            <w:r>
              <w:rPr>
                <w:noProof/>
                <w:szCs w:val="24"/>
                <w:lang w:val="fr-FR"/>
              </w:rPr>
              <w:t xml:space="preserve">Nombre de groupes d’enfants ayant un handicap auditif </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6</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7</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8</w:t>
            </w:r>
          </w:p>
        </w:tc>
      </w:tr>
      <w:tr w:rsidR="00000000">
        <w:tc>
          <w:tcPr>
            <w:tcW w:w="5880" w:type="dxa"/>
          </w:tcPr>
          <w:p w:rsidR="00000000" w:rsidRDefault="00000000">
            <w:pPr>
              <w:spacing w:before="60" w:after="60"/>
              <w:rPr>
                <w:noProof/>
                <w:szCs w:val="24"/>
                <w:lang w:val="fr-FR"/>
              </w:rPr>
            </w:pPr>
            <w:r>
              <w:rPr>
                <w:noProof/>
                <w:szCs w:val="24"/>
                <w:lang w:val="fr-FR"/>
              </w:rPr>
              <w:t>Nombre d’enfants ayant un handicap auditif</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110</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110</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110</w:t>
            </w:r>
          </w:p>
        </w:tc>
      </w:tr>
      <w:tr w:rsidR="00000000">
        <w:tc>
          <w:tcPr>
            <w:tcW w:w="5880" w:type="dxa"/>
          </w:tcPr>
          <w:p w:rsidR="00000000" w:rsidRDefault="00000000">
            <w:pPr>
              <w:keepNext/>
              <w:spacing w:before="60" w:after="60"/>
              <w:rPr>
                <w:noProof/>
                <w:szCs w:val="24"/>
                <w:lang w:val="fr-FR"/>
              </w:rPr>
            </w:pPr>
            <w:r>
              <w:rPr>
                <w:noProof/>
                <w:szCs w:val="24"/>
                <w:lang w:val="fr-FR"/>
              </w:rPr>
              <w:t>Nombre de groupes d’enfants ayant un handicap du langage</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25</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27</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32</w:t>
            </w:r>
          </w:p>
        </w:tc>
      </w:tr>
      <w:tr w:rsidR="00000000">
        <w:tc>
          <w:tcPr>
            <w:tcW w:w="5880" w:type="dxa"/>
          </w:tcPr>
          <w:p w:rsidR="00000000" w:rsidRDefault="00000000">
            <w:pPr>
              <w:keepNext/>
              <w:spacing w:before="60" w:after="60"/>
              <w:rPr>
                <w:noProof/>
                <w:szCs w:val="24"/>
                <w:lang w:val="fr-FR"/>
              </w:rPr>
            </w:pPr>
            <w:r>
              <w:rPr>
                <w:noProof/>
                <w:szCs w:val="24"/>
                <w:lang w:val="fr-FR"/>
              </w:rPr>
              <w:t>Nombre d’enfants ayant un handicap du langage</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552</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435</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547</w:t>
            </w:r>
          </w:p>
        </w:tc>
      </w:tr>
      <w:tr w:rsidR="00000000">
        <w:trPr>
          <w:trHeight w:val="134"/>
        </w:trPr>
        <w:tc>
          <w:tcPr>
            <w:tcW w:w="5880" w:type="dxa"/>
          </w:tcPr>
          <w:p w:rsidR="00000000" w:rsidRDefault="00000000">
            <w:pPr>
              <w:spacing w:before="60" w:after="60"/>
              <w:rPr>
                <w:noProof/>
                <w:szCs w:val="24"/>
                <w:lang w:val="fr-FR"/>
              </w:rPr>
            </w:pPr>
            <w:r>
              <w:rPr>
                <w:noProof/>
                <w:szCs w:val="24"/>
                <w:lang w:val="fr-FR"/>
              </w:rPr>
              <w:t>Nombre de groupes d’enfants ayant un handicap de la vue</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6</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6</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6</w:t>
            </w:r>
          </w:p>
        </w:tc>
      </w:tr>
      <w:tr w:rsidR="00000000">
        <w:tc>
          <w:tcPr>
            <w:tcW w:w="5880" w:type="dxa"/>
          </w:tcPr>
          <w:p w:rsidR="00000000" w:rsidRDefault="00000000">
            <w:pPr>
              <w:spacing w:before="60" w:after="60"/>
              <w:rPr>
                <w:noProof/>
                <w:szCs w:val="24"/>
                <w:lang w:val="fr-FR"/>
              </w:rPr>
            </w:pPr>
            <w:r>
              <w:rPr>
                <w:noProof/>
                <w:szCs w:val="24"/>
                <w:lang w:val="fr-FR"/>
              </w:rPr>
              <w:t>Nombre d’enfants ayant un handicap de la vue</w:t>
            </w:r>
          </w:p>
        </w:tc>
        <w:tc>
          <w:tcPr>
            <w:tcW w:w="1080" w:type="dxa"/>
            <w:tcMar>
              <w:right w:w="567" w:type="dxa"/>
            </w:tcMar>
            <w:vAlign w:val="bottom"/>
          </w:tcPr>
          <w:p w:rsidR="00000000" w:rsidRDefault="00000000">
            <w:pPr>
              <w:spacing w:before="60" w:after="60"/>
              <w:ind w:right="-447"/>
              <w:jc w:val="right"/>
              <w:rPr>
                <w:noProof/>
                <w:szCs w:val="24"/>
                <w:lang w:val="fr-FR"/>
              </w:rPr>
            </w:pPr>
            <w:r>
              <w:rPr>
                <w:noProof/>
                <w:szCs w:val="24"/>
                <w:lang w:val="fr-FR"/>
              </w:rPr>
              <w:t>147</w:t>
            </w:r>
          </w:p>
        </w:tc>
        <w:tc>
          <w:tcPr>
            <w:tcW w:w="1200" w:type="dxa"/>
            <w:tcMar>
              <w:right w:w="567" w:type="dxa"/>
            </w:tcMar>
            <w:vAlign w:val="bottom"/>
          </w:tcPr>
          <w:p w:rsidR="00000000" w:rsidRDefault="00000000">
            <w:pPr>
              <w:spacing w:before="60" w:after="60"/>
              <w:ind w:right="-447"/>
              <w:jc w:val="right"/>
              <w:rPr>
                <w:noProof/>
                <w:szCs w:val="24"/>
                <w:lang w:val="fr-FR"/>
              </w:rPr>
            </w:pPr>
            <w:r>
              <w:rPr>
                <w:noProof/>
                <w:szCs w:val="24"/>
                <w:lang w:val="fr-FR"/>
              </w:rPr>
              <w:t>141</w:t>
            </w:r>
          </w:p>
        </w:tc>
        <w:tc>
          <w:tcPr>
            <w:tcW w:w="1196" w:type="dxa"/>
            <w:tcMar>
              <w:right w:w="567" w:type="dxa"/>
            </w:tcMar>
            <w:vAlign w:val="bottom"/>
          </w:tcPr>
          <w:p w:rsidR="00000000" w:rsidRDefault="00000000">
            <w:pPr>
              <w:spacing w:before="60" w:after="60"/>
              <w:ind w:right="-447"/>
              <w:jc w:val="right"/>
              <w:rPr>
                <w:noProof/>
                <w:szCs w:val="24"/>
                <w:lang w:val="fr-FR"/>
              </w:rPr>
            </w:pPr>
            <w:r>
              <w:rPr>
                <w:noProof/>
                <w:szCs w:val="24"/>
                <w:lang w:val="fr-FR"/>
              </w:rPr>
              <w:t>160</w:t>
            </w:r>
          </w:p>
        </w:tc>
      </w:tr>
    </w:tbl>
    <w:p w:rsidR="00000000" w:rsidRDefault="00000000">
      <w:pPr>
        <w:spacing w:before="240" w:after="240"/>
        <w:rPr>
          <w:bCs/>
          <w:iCs/>
          <w:noProof/>
          <w:szCs w:val="24"/>
          <w:lang w:val="fr-FR"/>
        </w:rPr>
      </w:pPr>
      <w:r>
        <w:rPr>
          <w:bCs/>
          <w:i/>
          <w:noProof/>
          <w:szCs w:val="24"/>
          <w:lang w:val="fr-FR"/>
        </w:rPr>
        <w:tab/>
        <w:t xml:space="preserve">Source: </w:t>
      </w:r>
      <w:r>
        <w:rPr>
          <w:bCs/>
          <w:iCs/>
          <w:noProof/>
          <w:szCs w:val="24"/>
          <w:lang w:val="fr-FR"/>
        </w:rPr>
        <w:t>Ministère de l’éducation et des sciences; Département des statistiques.</w:t>
      </w:r>
    </w:p>
    <w:p w:rsidR="00000000" w:rsidRDefault="00000000">
      <w:pPr>
        <w:keepNext/>
        <w:spacing w:after="240"/>
        <w:jc w:val="center"/>
        <w:rPr>
          <w:b/>
          <w:bCs/>
          <w:noProof/>
          <w:lang w:val="fr-FR"/>
        </w:rPr>
      </w:pPr>
      <w:r>
        <w:rPr>
          <w:b/>
          <w:bCs/>
          <w:noProof/>
          <w:lang w:val="fr-FR"/>
        </w:rPr>
        <w:t>Nombre d’enfants dans les établissements préscolaires, par groupe d’âge</w:t>
      </w:r>
      <w:r>
        <w:rPr>
          <w:b/>
          <w:bCs/>
          <w:noProof/>
          <w:lang w:val="fr-FR"/>
        </w:rPr>
        <w:br/>
        <w:t>(en fin d’année)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0"/>
        <w:gridCol w:w="1320"/>
        <w:gridCol w:w="1440"/>
        <w:gridCol w:w="1320"/>
        <w:gridCol w:w="1436"/>
      </w:tblGrid>
      <w:tr w:rsidR="00000000">
        <w:trPr>
          <w:tblHeader/>
        </w:trPr>
        <w:tc>
          <w:tcPr>
            <w:tcW w:w="3840" w:type="dxa"/>
          </w:tcPr>
          <w:p w:rsidR="00000000" w:rsidRDefault="00000000">
            <w:pPr>
              <w:spacing w:before="60" w:after="60"/>
              <w:rPr>
                <w:bCs/>
                <w:noProof/>
                <w:szCs w:val="24"/>
                <w:lang w:val="fr-FR"/>
              </w:rPr>
            </w:pPr>
            <w:r>
              <w:rPr>
                <w:iCs/>
                <w:noProof/>
                <w:szCs w:val="24"/>
                <w:lang w:val="fr-FR"/>
              </w:rPr>
              <w:br w:type="page"/>
            </w:r>
          </w:p>
        </w:tc>
        <w:tc>
          <w:tcPr>
            <w:tcW w:w="1320" w:type="dxa"/>
          </w:tcPr>
          <w:p w:rsidR="00000000" w:rsidRDefault="00000000">
            <w:pPr>
              <w:spacing w:before="60" w:after="60"/>
              <w:jc w:val="center"/>
              <w:rPr>
                <w:bCs/>
                <w:noProof/>
                <w:szCs w:val="24"/>
                <w:lang w:val="fr-FR"/>
              </w:rPr>
            </w:pPr>
            <w:r>
              <w:rPr>
                <w:bCs/>
                <w:noProof/>
                <w:szCs w:val="24"/>
                <w:lang w:val="fr-FR"/>
              </w:rPr>
              <w:t>2002</w:t>
            </w:r>
          </w:p>
        </w:tc>
        <w:tc>
          <w:tcPr>
            <w:tcW w:w="1440" w:type="dxa"/>
          </w:tcPr>
          <w:p w:rsidR="00000000" w:rsidRDefault="00000000">
            <w:pPr>
              <w:spacing w:before="60" w:after="60"/>
              <w:jc w:val="center"/>
              <w:rPr>
                <w:bCs/>
                <w:noProof/>
                <w:szCs w:val="24"/>
                <w:lang w:val="fr-FR"/>
              </w:rPr>
            </w:pPr>
            <w:r>
              <w:rPr>
                <w:bCs/>
                <w:noProof/>
                <w:szCs w:val="24"/>
                <w:lang w:val="fr-FR"/>
              </w:rPr>
              <w:t>2003</w:t>
            </w:r>
          </w:p>
        </w:tc>
        <w:tc>
          <w:tcPr>
            <w:tcW w:w="1320" w:type="dxa"/>
          </w:tcPr>
          <w:p w:rsidR="00000000" w:rsidRDefault="00000000">
            <w:pPr>
              <w:spacing w:before="60" w:after="60"/>
              <w:jc w:val="center"/>
              <w:rPr>
                <w:bCs/>
                <w:noProof/>
                <w:szCs w:val="24"/>
                <w:lang w:val="fr-FR"/>
              </w:rPr>
            </w:pPr>
            <w:r>
              <w:rPr>
                <w:bCs/>
                <w:noProof/>
                <w:szCs w:val="24"/>
                <w:lang w:val="fr-FR"/>
              </w:rPr>
              <w:t>2004</w:t>
            </w:r>
          </w:p>
        </w:tc>
        <w:tc>
          <w:tcPr>
            <w:tcW w:w="1436" w:type="dxa"/>
          </w:tcPr>
          <w:p w:rsidR="00000000" w:rsidRDefault="00000000">
            <w:pPr>
              <w:spacing w:before="60" w:after="60"/>
              <w:jc w:val="center"/>
              <w:rPr>
                <w:bCs/>
                <w:noProof/>
                <w:szCs w:val="24"/>
                <w:lang w:val="fr-FR"/>
              </w:rPr>
            </w:pPr>
            <w:r>
              <w:rPr>
                <w:bCs/>
                <w:noProof/>
                <w:szCs w:val="24"/>
                <w:lang w:val="fr-FR"/>
              </w:rPr>
              <w:t>2005</w:t>
            </w:r>
          </w:p>
        </w:tc>
      </w:tr>
      <w:tr w:rsidR="00000000">
        <w:trPr>
          <w:trHeight w:val="94"/>
        </w:trPr>
        <w:tc>
          <w:tcPr>
            <w:tcW w:w="3840" w:type="dxa"/>
          </w:tcPr>
          <w:p w:rsidR="00000000" w:rsidRDefault="00000000">
            <w:pPr>
              <w:spacing w:before="60" w:after="60"/>
              <w:rPr>
                <w:noProof/>
                <w:szCs w:val="24"/>
                <w:lang w:val="fr-FR"/>
              </w:rPr>
            </w:pPr>
            <w:r>
              <w:rPr>
                <w:noProof/>
                <w:szCs w:val="24"/>
                <w:lang w:val="fr-FR"/>
              </w:rPr>
              <w:t>Total</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73 261</w:t>
            </w:r>
          </w:p>
        </w:tc>
        <w:tc>
          <w:tcPr>
            <w:tcW w:w="1440" w:type="dxa"/>
            <w:tcMar>
              <w:right w:w="340" w:type="dxa"/>
            </w:tcMar>
          </w:tcPr>
          <w:p w:rsidR="00000000" w:rsidRDefault="00000000">
            <w:pPr>
              <w:spacing w:before="60" w:after="60"/>
              <w:ind w:right="-220"/>
              <w:jc w:val="right"/>
              <w:rPr>
                <w:noProof/>
                <w:szCs w:val="24"/>
                <w:lang w:val="fr-FR"/>
              </w:rPr>
            </w:pPr>
            <w:r>
              <w:rPr>
                <w:noProof/>
                <w:szCs w:val="24"/>
                <w:lang w:val="fr-FR"/>
              </w:rPr>
              <w:t>74 309</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75 361</w:t>
            </w:r>
          </w:p>
        </w:tc>
        <w:tc>
          <w:tcPr>
            <w:tcW w:w="1436" w:type="dxa"/>
            <w:tcMar>
              <w:right w:w="340" w:type="dxa"/>
            </w:tcMar>
          </w:tcPr>
          <w:p w:rsidR="00000000" w:rsidRDefault="00000000">
            <w:pPr>
              <w:spacing w:before="60" w:after="60"/>
              <w:ind w:right="-220"/>
              <w:jc w:val="right"/>
              <w:rPr>
                <w:noProof/>
                <w:szCs w:val="24"/>
                <w:lang w:val="fr-FR"/>
              </w:rPr>
            </w:pPr>
            <w:r>
              <w:rPr>
                <w:noProof/>
                <w:szCs w:val="24"/>
                <w:lang w:val="fr-FR"/>
              </w:rPr>
              <w:t>76 416</w:t>
            </w:r>
          </w:p>
        </w:tc>
      </w:tr>
      <w:tr w:rsidR="00000000">
        <w:trPr>
          <w:trHeight w:val="200"/>
        </w:trPr>
        <w:tc>
          <w:tcPr>
            <w:tcW w:w="3840" w:type="dxa"/>
          </w:tcPr>
          <w:p w:rsidR="00000000" w:rsidRDefault="00000000">
            <w:pPr>
              <w:spacing w:before="60" w:after="60"/>
              <w:rPr>
                <w:noProof/>
                <w:szCs w:val="24"/>
                <w:lang w:val="fr-FR"/>
              </w:rPr>
            </w:pPr>
            <w:r>
              <w:rPr>
                <w:noProof/>
                <w:szCs w:val="24"/>
                <w:lang w:val="fr-FR"/>
              </w:rPr>
              <w:t>dont:</w:t>
            </w:r>
          </w:p>
        </w:tc>
        <w:tc>
          <w:tcPr>
            <w:tcW w:w="1320" w:type="dxa"/>
            <w:tcMar>
              <w:right w:w="340" w:type="dxa"/>
            </w:tcMar>
          </w:tcPr>
          <w:p w:rsidR="00000000" w:rsidRDefault="00000000">
            <w:pPr>
              <w:spacing w:before="60" w:after="60"/>
              <w:ind w:right="-220"/>
              <w:jc w:val="right"/>
              <w:rPr>
                <w:noProof/>
                <w:szCs w:val="24"/>
                <w:lang w:val="fr-FR"/>
              </w:rPr>
            </w:pPr>
          </w:p>
        </w:tc>
        <w:tc>
          <w:tcPr>
            <w:tcW w:w="1440" w:type="dxa"/>
            <w:tcMar>
              <w:right w:w="340" w:type="dxa"/>
            </w:tcMar>
          </w:tcPr>
          <w:p w:rsidR="00000000" w:rsidRDefault="00000000">
            <w:pPr>
              <w:spacing w:before="60" w:after="60"/>
              <w:ind w:right="-220"/>
              <w:jc w:val="right"/>
              <w:rPr>
                <w:noProof/>
                <w:szCs w:val="24"/>
                <w:lang w:val="fr-FR"/>
              </w:rPr>
            </w:pPr>
          </w:p>
        </w:tc>
        <w:tc>
          <w:tcPr>
            <w:tcW w:w="1320" w:type="dxa"/>
            <w:tcMar>
              <w:right w:w="340" w:type="dxa"/>
            </w:tcMar>
          </w:tcPr>
          <w:p w:rsidR="00000000" w:rsidRDefault="00000000">
            <w:pPr>
              <w:spacing w:before="60" w:after="60"/>
              <w:ind w:right="-220"/>
              <w:jc w:val="right"/>
              <w:rPr>
                <w:noProof/>
                <w:szCs w:val="24"/>
                <w:lang w:val="fr-FR"/>
              </w:rPr>
            </w:pPr>
          </w:p>
        </w:tc>
        <w:tc>
          <w:tcPr>
            <w:tcW w:w="1436" w:type="dxa"/>
            <w:tcMar>
              <w:right w:w="340" w:type="dxa"/>
            </w:tcMar>
          </w:tcPr>
          <w:p w:rsidR="00000000" w:rsidRDefault="00000000">
            <w:pPr>
              <w:spacing w:before="60" w:after="60"/>
              <w:ind w:right="-220"/>
              <w:jc w:val="right"/>
              <w:rPr>
                <w:noProof/>
                <w:szCs w:val="24"/>
                <w:lang w:val="fr-FR"/>
              </w:rPr>
            </w:pPr>
          </w:p>
        </w:tc>
      </w:tr>
      <w:tr w:rsidR="00000000">
        <w:trPr>
          <w:trHeight w:val="92"/>
        </w:trPr>
        <w:tc>
          <w:tcPr>
            <w:tcW w:w="3840" w:type="dxa"/>
          </w:tcPr>
          <w:p w:rsidR="00000000" w:rsidRDefault="00000000">
            <w:pPr>
              <w:tabs>
                <w:tab w:val="left" w:pos="252"/>
              </w:tabs>
              <w:spacing w:before="60" w:after="60"/>
              <w:ind w:left="284"/>
              <w:rPr>
                <w:noProof/>
                <w:szCs w:val="24"/>
                <w:lang w:val="fr-FR"/>
              </w:rPr>
            </w:pPr>
            <w:r>
              <w:rPr>
                <w:noProof/>
                <w:szCs w:val="24"/>
                <w:lang w:val="fr-FR"/>
              </w:rPr>
              <w:t>1 à 3 ans</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8 347</w:t>
            </w:r>
          </w:p>
        </w:tc>
        <w:tc>
          <w:tcPr>
            <w:tcW w:w="1440" w:type="dxa"/>
            <w:tcMar>
              <w:right w:w="340" w:type="dxa"/>
            </w:tcMar>
          </w:tcPr>
          <w:p w:rsidR="00000000" w:rsidRDefault="00000000">
            <w:pPr>
              <w:spacing w:before="60" w:after="60"/>
              <w:ind w:right="-220"/>
              <w:jc w:val="right"/>
              <w:rPr>
                <w:noProof/>
                <w:szCs w:val="24"/>
                <w:lang w:val="fr-FR"/>
              </w:rPr>
            </w:pPr>
            <w:r>
              <w:rPr>
                <w:noProof/>
                <w:szCs w:val="24"/>
                <w:lang w:val="fr-FR"/>
              </w:rPr>
              <w:t>8 205</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8 702</w:t>
            </w:r>
          </w:p>
        </w:tc>
        <w:tc>
          <w:tcPr>
            <w:tcW w:w="1436" w:type="dxa"/>
            <w:tcMar>
              <w:right w:w="340" w:type="dxa"/>
            </w:tcMar>
          </w:tcPr>
          <w:p w:rsidR="00000000" w:rsidRDefault="00000000">
            <w:pPr>
              <w:spacing w:before="60" w:after="60"/>
              <w:ind w:right="-220"/>
              <w:jc w:val="right"/>
              <w:rPr>
                <w:noProof/>
                <w:szCs w:val="24"/>
                <w:lang w:val="fr-FR"/>
              </w:rPr>
            </w:pPr>
            <w:r>
              <w:rPr>
                <w:noProof/>
                <w:szCs w:val="24"/>
                <w:lang w:val="fr-FR"/>
              </w:rPr>
              <w:t>9 634</w:t>
            </w:r>
          </w:p>
        </w:tc>
      </w:tr>
      <w:tr w:rsidR="00000000">
        <w:trPr>
          <w:trHeight w:val="75"/>
        </w:trPr>
        <w:tc>
          <w:tcPr>
            <w:tcW w:w="3840" w:type="dxa"/>
          </w:tcPr>
          <w:p w:rsidR="00000000" w:rsidRDefault="00000000">
            <w:pPr>
              <w:tabs>
                <w:tab w:val="left" w:pos="252"/>
              </w:tabs>
              <w:spacing w:before="60" w:after="60"/>
              <w:ind w:left="284"/>
              <w:rPr>
                <w:noProof/>
                <w:szCs w:val="24"/>
                <w:lang w:val="fr-FR"/>
              </w:rPr>
            </w:pPr>
            <w:r>
              <w:rPr>
                <w:noProof/>
                <w:szCs w:val="24"/>
                <w:lang w:val="fr-FR"/>
              </w:rPr>
              <w:t>3 ans et plus</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64 914</w:t>
            </w:r>
          </w:p>
        </w:tc>
        <w:tc>
          <w:tcPr>
            <w:tcW w:w="1440" w:type="dxa"/>
            <w:tcMar>
              <w:right w:w="340" w:type="dxa"/>
            </w:tcMar>
          </w:tcPr>
          <w:p w:rsidR="00000000" w:rsidRDefault="00000000">
            <w:pPr>
              <w:spacing w:before="60" w:after="60"/>
              <w:ind w:right="-220"/>
              <w:jc w:val="right"/>
              <w:rPr>
                <w:noProof/>
                <w:szCs w:val="24"/>
                <w:lang w:val="fr-FR"/>
              </w:rPr>
            </w:pPr>
            <w:r>
              <w:rPr>
                <w:noProof/>
                <w:szCs w:val="24"/>
                <w:lang w:val="fr-FR"/>
              </w:rPr>
              <w:t>66 104</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66 659</w:t>
            </w:r>
          </w:p>
        </w:tc>
        <w:tc>
          <w:tcPr>
            <w:tcW w:w="1436" w:type="dxa"/>
            <w:tcMar>
              <w:right w:w="340" w:type="dxa"/>
            </w:tcMar>
          </w:tcPr>
          <w:p w:rsidR="00000000" w:rsidRDefault="00000000">
            <w:pPr>
              <w:spacing w:before="60" w:after="60"/>
              <w:ind w:right="-220"/>
              <w:jc w:val="right"/>
              <w:rPr>
                <w:noProof/>
                <w:szCs w:val="24"/>
                <w:lang w:val="fr-FR"/>
              </w:rPr>
            </w:pPr>
            <w:r>
              <w:rPr>
                <w:noProof/>
                <w:szCs w:val="24"/>
                <w:lang w:val="fr-FR"/>
              </w:rPr>
              <w:t>66 782</w:t>
            </w:r>
          </w:p>
        </w:tc>
      </w:tr>
      <w:tr w:rsidR="00000000">
        <w:trPr>
          <w:trHeight w:val="75"/>
        </w:trPr>
        <w:tc>
          <w:tcPr>
            <w:tcW w:w="3840" w:type="dxa"/>
          </w:tcPr>
          <w:p w:rsidR="00000000" w:rsidRDefault="00000000">
            <w:pPr>
              <w:spacing w:before="60" w:after="60"/>
              <w:rPr>
                <w:noProof/>
                <w:szCs w:val="24"/>
                <w:lang w:val="fr-FR"/>
              </w:rPr>
            </w:pPr>
            <w:r>
              <w:rPr>
                <w:noProof/>
                <w:szCs w:val="24"/>
                <w:lang w:val="fr-FR"/>
              </w:rPr>
              <w:t>dont:</w:t>
            </w:r>
          </w:p>
        </w:tc>
        <w:tc>
          <w:tcPr>
            <w:tcW w:w="1320" w:type="dxa"/>
            <w:tcMar>
              <w:right w:w="340" w:type="dxa"/>
            </w:tcMar>
          </w:tcPr>
          <w:p w:rsidR="00000000" w:rsidRDefault="00000000">
            <w:pPr>
              <w:spacing w:before="60" w:after="60"/>
              <w:ind w:right="-220"/>
              <w:jc w:val="right"/>
              <w:rPr>
                <w:noProof/>
                <w:szCs w:val="24"/>
                <w:lang w:val="fr-FR"/>
              </w:rPr>
            </w:pPr>
          </w:p>
        </w:tc>
        <w:tc>
          <w:tcPr>
            <w:tcW w:w="1440" w:type="dxa"/>
            <w:tcMar>
              <w:right w:w="340" w:type="dxa"/>
            </w:tcMar>
          </w:tcPr>
          <w:p w:rsidR="00000000" w:rsidRDefault="00000000">
            <w:pPr>
              <w:spacing w:before="60" w:after="60"/>
              <w:ind w:right="-220"/>
              <w:jc w:val="right"/>
              <w:rPr>
                <w:noProof/>
                <w:szCs w:val="24"/>
                <w:lang w:val="fr-FR"/>
              </w:rPr>
            </w:pPr>
          </w:p>
        </w:tc>
        <w:tc>
          <w:tcPr>
            <w:tcW w:w="1320" w:type="dxa"/>
            <w:tcMar>
              <w:right w:w="340" w:type="dxa"/>
            </w:tcMar>
          </w:tcPr>
          <w:p w:rsidR="00000000" w:rsidRDefault="00000000">
            <w:pPr>
              <w:spacing w:before="60" w:after="60"/>
              <w:ind w:right="-220"/>
              <w:jc w:val="right"/>
              <w:rPr>
                <w:noProof/>
                <w:szCs w:val="24"/>
                <w:lang w:val="fr-FR"/>
              </w:rPr>
            </w:pPr>
          </w:p>
        </w:tc>
        <w:tc>
          <w:tcPr>
            <w:tcW w:w="1436" w:type="dxa"/>
            <w:tcMar>
              <w:right w:w="340" w:type="dxa"/>
            </w:tcMar>
          </w:tcPr>
          <w:p w:rsidR="00000000" w:rsidRDefault="00000000">
            <w:pPr>
              <w:spacing w:before="60" w:after="60"/>
              <w:ind w:right="-220"/>
              <w:jc w:val="right"/>
              <w:rPr>
                <w:noProof/>
                <w:szCs w:val="24"/>
                <w:lang w:val="fr-FR"/>
              </w:rPr>
            </w:pPr>
          </w:p>
        </w:tc>
      </w:tr>
      <w:tr w:rsidR="00000000">
        <w:trPr>
          <w:trHeight w:val="80"/>
        </w:trPr>
        <w:tc>
          <w:tcPr>
            <w:tcW w:w="3840" w:type="dxa"/>
          </w:tcPr>
          <w:p w:rsidR="00000000" w:rsidRDefault="00000000">
            <w:pPr>
              <w:tabs>
                <w:tab w:val="left" w:pos="252"/>
              </w:tabs>
              <w:spacing w:before="60" w:after="60"/>
              <w:ind w:left="284"/>
              <w:rPr>
                <w:noProof/>
                <w:szCs w:val="24"/>
                <w:lang w:val="fr-FR"/>
              </w:rPr>
            </w:pPr>
            <w:r>
              <w:rPr>
                <w:noProof/>
                <w:szCs w:val="24"/>
                <w:lang w:val="fr-FR"/>
              </w:rPr>
              <w:t>3 à 5 ans</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52 009</w:t>
            </w:r>
          </w:p>
        </w:tc>
        <w:tc>
          <w:tcPr>
            <w:tcW w:w="1440" w:type="dxa"/>
            <w:tcMar>
              <w:right w:w="340" w:type="dxa"/>
            </w:tcMar>
          </w:tcPr>
          <w:p w:rsidR="00000000" w:rsidRDefault="00000000">
            <w:pPr>
              <w:spacing w:before="60" w:after="60"/>
              <w:ind w:right="-220"/>
              <w:jc w:val="right"/>
              <w:rPr>
                <w:noProof/>
                <w:szCs w:val="24"/>
                <w:lang w:val="fr-FR"/>
              </w:rPr>
            </w:pPr>
            <w:r>
              <w:rPr>
                <w:noProof/>
                <w:szCs w:val="24"/>
                <w:lang w:val="fr-FR"/>
              </w:rPr>
              <w:t>54 110</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55 012</w:t>
            </w:r>
          </w:p>
        </w:tc>
        <w:tc>
          <w:tcPr>
            <w:tcW w:w="1436" w:type="dxa"/>
            <w:tcMar>
              <w:right w:w="340" w:type="dxa"/>
            </w:tcMar>
          </w:tcPr>
          <w:p w:rsidR="00000000" w:rsidRDefault="00000000">
            <w:pPr>
              <w:spacing w:before="60" w:after="60"/>
              <w:ind w:right="-220"/>
              <w:jc w:val="right"/>
              <w:rPr>
                <w:noProof/>
                <w:szCs w:val="24"/>
                <w:lang w:val="fr-FR"/>
              </w:rPr>
            </w:pPr>
            <w:r>
              <w:rPr>
                <w:noProof/>
                <w:szCs w:val="24"/>
                <w:lang w:val="fr-FR"/>
              </w:rPr>
              <w:t>54 014</w:t>
            </w:r>
          </w:p>
        </w:tc>
      </w:tr>
      <w:tr w:rsidR="00000000">
        <w:trPr>
          <w:trHeight w:val="122"/>
        </w:trPr>
        <w:tc>
          <w:tcPr>
            <w:tcW w:w="3840" w:type="dxa"/>
          </w:tcPr>
          <w:p w:rsidR="00000000" w:rsidRDefault="00000000">
            <w:pPr>
              <w:tabs>
                <w:tab w:val="left" w:pos="252"/>
              </w:tabs>
              <w:spacing w:before="60" w:after="60"/>
              <w:ind w:left="284"/>
              <w:rPr>
                <w:noProof/>
                <w:szCs w:val="24"/>
                <w:lang w:val="fr-FR"/>
              </w:rPr>
            </w:pPr>
            <w:r>
              <w:rPr>
                <w:noProof/>
                <w:szCs w:val="24"/>
                <w:lang w:val="fr-FR"/>
              </w:rPr>
              <w:t>6-7 ans</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12 905</w:t>
            </w:r>
          </w:p>
        </w:tc>
        <w:tc>
          <w:tcPr>
            <w:tcW w:w="1440" w:type="dxa"/>
            <w:tcMar>
              <w:right w:w="340" w:type="dxa"/>
            </w:tcMar>
          </w:tcPr>
          <w:p w:rsidR="00000000" w:rsidRDefault="00000000">
            <w:pPr>
              <w:spacing w:before="60" w:after="60"/>
              <w:ind w:right="-220"/>
              <w:jc w:val="right"/>
              <w:rPr>
                <w:noProof/>
                <w:szCs w:val="24"/>
                <w:lang w:val="fr-FR"/>
              </w:rPr>
            </w:pPr>
            <w:r>
              <w:rPr>
                <w:noProof/>
                <w:szCs w:val="24"/>
                <w:lang w:val="fr-FR"/>
              </w:rPr>
              <w:t>11 994</w:t>
            </w:r>
          </w:p>
        </w:tc>
        <w:tc>
          <w:tcPr>
            <w:tcW w:w="1320" w:type="dxa"/>
            <w:tcMar>
              <w:right w:w="340" w:type="dxa"/>
            </w:tcMar>
          </w:tcPr>
          <w:p w:rsidR="00000000" w:rsidRDefault="00000000">
            <w:pPr>
              <w:spacing w:before="60" w:after="60"/>
              <w:ind w:right="-220"/>
              <w:jc w:val="right"/>
              <w:rPr>
                <w:noProof/>
                <w:szCs w:val="24"/>
                <w:lang w:val="fr-FR"/>
              </w:rPr>
            </w:pPr>
            <w:r>
              <w:rPr>
                <w:noProof/>
                <w:szCs w:val="24"/>
                <w:lang w:val="fr-FR"/>
              </w:rPr>
              <w:t>11 647</w:t>
            </w:r>
          </w:p>
        </w:tc>
        <w:tc>
          <w:tcPr>
            <w:tcW w:w="1436" w:type="dxa"/>
            <w:tcMar>
              <w:right w:w="340" w:type="dxa"/>
            </w:tcMar>
          </w:tcPr>
          <w:p w:rsidR="00000000" w:rsidRDefault="00000000">
            <w:pPr>
              <w:spacing w:before="60" w:after="60"/>
              <w:ind w:right="-220"/>
              <w:jc w:val="right"/>
              <w:rPr>
                <w:noProof/>
                <w:szCs w:val="24"/>
                <w:lang w:val="fr-FR"/>
              </w:rPr>
            </w:pPr>
            <w:r>
              <w:rPr>
                <w:noProof/>
                <w:szCs w:val="24"/>
                <w:lang w:val="fr-FR"/>
              </w:rPr>
              <w:t>12 768</w:t>
            </w:r>
          </w:p>
        </w:tc>
      </w:tr>
    </w:tbl>
    <w:p w:rsidR="00000000" w:rsidRDefault="00000000">
      <w:pPr>
        <w:spacing w:before="240" w:after="240"/>
        <w:rPr>
          <w:bCs/>
          <w:iCs/>
          <w:noProof/>
          <w:szCs w:val="24"/>
          <w:lang w:val="fr-FR"/>
        </w:rPr>
      </w:pPr>
      <w:r>
        <w:rPr>
          <w:bCs/>
          <w:i/>
          <w:noProof/>
          <w:szCs w:val="24"/>
          <w:lang w:val="fr-FR"/>
        </w:rPr>
        <w:tab/>
        <w:t xml:space="preserve">Source: </w:t>
      </w:r>
      <w:r>
        <w:rPr>
          <w:bCs/>
          <w:iCs/>
          <w:noProof/>
          <w:szCs w:val="24"/>
          <w:lang w:val="fr-FR"/>
        </w:rPr>
        <w:t>Ministère de l’éducation et des sciences; Département des statistiques.</w:t>
      </w:r>
    </w:p>
    <w:p w:rsidR="00000000" w:rsidRDefault="00000000">
      <w:pPr>
        <w:keepNext/>
        <w:spacing w:after="240"/>
        <w:jc w:val="center"/>
        <w:rPr>
          <w:b/>
          <w:bCs/>
          <w:noProof/>
          <w:lang w:val="fr-FR"/>
        </w:rPr>
      </w:pPr>
      <w:r>
        <w:rPr>
          <w:b/>
          <w:bCs/>
          <w:noProof/>
          <w:lang w:val="fr-FR"/>
        </w:rPr>
        <w:br w:type="page"/>
        <w:t>Établissements préscolaires par langue d’enseignement</w:t>
      </w:r>
      <w:r>
        <w:rPr>
          <w:b/>
          <w:bCs/>
          <w:noProof/>
          <w:lang w:val="fr-FR"/>
        </w:rPr>
        <w:br/>
        <w:t>(en fin d’année)</w:t>
      </w:r>
    </w:p>
    <w:tbl>
      <w:tblPr>
        <w:tblW w:w="9457" w:type="dxa"/>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80"/>
        <w:gridCol w:w="1812"/>
        <w:gridCol w:w="1506"/>
        <w:gridCol w:w="1638"/>
        <w:gridCol w:w="1321"/>
      </w:tblGrid>
      <w:tr w:rsidR="00000000">
        <w:trPr>
          <w:cantSplit/>
          <w:tblHeader/>
          <w:jc w:val="center"/>
        </w:trPr>
        <w:tc>
          <w:tcPr>
            <w:tcW w:w="3180" w:type="dxa"/>
            <w:vMerge w:val="restart"/>
          </w:tcPr>
          <w:p w:rsidR="00000000" w:rsidRDefault="00000000">
            <w:pPr>
              <w:spacing w:before="60" w:after="60"/>
              <w:rPr>
                <w:noProof/>
                <w:szCs w:val="24"/>
                <w:lang w:val="fr-FR"/>
              </w:rPr>
            </w:pPr>
          </w:p>
        </w:tc>
        <w:tc>
          <w:tcPr>
            <w:tcW w:w="3318" w:type="dxa"/>
            <w:gridSpan w:val="2"/>
          </w:tcPr>
          <w:p w:rsidR="00000000" w:rsidRDefault="00000000">
            <w:pPr>
              <w:spacing w:before="60" w:after="60"/>
              <w:jc w:val="center"/>
              <w:rPr>
                <w:noProof/>
                <w:szCs w:val="24"/>
                <w:lang w:val="fr-FR"/>
              </w:rPr>
            </w:pPr>
            <w:r>
              <w:rPr>
                <w:noProof/>
                <w:szCs w:val="24"/>
                <w:lang w:val="fr-FR"/>
              </w:rPr>
              <w:t>2003</w:t>
            </w:r>
          </w:p>
        </w:tc>
        <w:tc>
          <w:tcPr>
            <w:tcW w:w="2959" w:type="dxa"/>
            <w:gridSpan w:val="2"/>
          </w:tcPr>
          <w:p w:rsidR="00000000" w:rsidRDefault="00000000">
            <w:pPr>
              <w:spacing w:before="60" w:after="60"/>
              <w:jc w:val="center"/>
              <w:rPr>
                <w:noProof/>
                <w:szCs w:val="24"/>
                <w:lang w:val="fr-FR"/>
              </w:rPr>
            </w:pPr>
            <w:r>
              <w:rPr>
                <w:noProof/>
                <w:szCs w:val="24"/>
                <w:lang w:val="fr-FR"/>
              </w:rPr>
              <w:t>2004</w:t>
            </w:r>
          </w:p>
        </w:tc>
      </w:tr>
      <w:tr w:rsidR="00000000">
        <w:trPr>
          <w:cantSplit/>
          <w:trHeight w:val="573"/>
          <w:tblHeader/>
          <w:jc w:val="center"/>
        </w:trPr>
        <w:tc>
          <w:tcPr>
            <w:tcW w:w="3180" w:type="dxa"/>
            <w:vMerge/>
          </w:tcPr>
          <w:p w:rsidR="00000000" w:rsidRDefault="00000000">
            <w:pPr>
              <w:spacing w:before="60" w:after="60"/>
              <w:jc w:val="center"/>
              <w:rPr>
                <w:noProof/>
                <w:sz w:val="22"/>
                <w:szCs w:val="24"/>
                <w:lang w:val="fr-FR"/>
              </w:rPr>
            </w:pPr>
          </w:p>
        </w:tc>
        <w:tc>
          <w:tcPr>
            <w:tcW w:w="1812" w:type="dxa"/>
          </w:tcPr>
          <w:p w:rsidR="00000000" w:rsidRDefault="00000000">
            <w:pPr>
              <w:spacing w:before="60" w:after="60"/>
              <w:jc w:val="center"/>
              <w:rPr>
                <w:noProof/>
                <w:szCs w:val="24"/>
                <w:lang w:val="fr-FR"/>
              </w:rPr>
            </w:pPr>
            <w:r>
              <w:rPr>
                <w:noProof/>
                <w:szCs w:val="24"/>
                <w:lang w:val="fr-FR"/>
              </w:rPr>
              <w:t>Établissements préscolaires</w:t>
            </w:r>
          </w:p>
        </w:tc>
        <w:tc>
          <w:tcPr>
            <w:tcW w:w="1506" w:type="dxa"/>
          </w:tcPr>
          <w:p w:rsidR="00000000" w:rsidRDefault="00000000">
            <w:pPr>
              <w:spacing w:before="60" w:after="60"/>
              <w:jc w:val="center"/>
              <w:rPr>
                <w:noProof/>
                <w:szCs w:val="24"/>
                <w:lang w:val="fr-FR"/>
              </w:rPr>
            </w:pPr>
            <w:r>
              <w:rPr>
                <w:noProof/>
                <w:szCs w:val="24"/>
                <w:lang w:val="fr-FR"/>
              </w:rPr>
              <w:t>Nombre d’enfants</w:t>
            </w:r>
          </w:p>
        </w:tc>
        <w:tc>
          <w:tcPr>
            <w:tcW w:w="1638" w:type="dxa"/>
          </w:tcPr>
          <w:p w:rsidR="00000000" w:rsidRDefault="00000000">
            <w:pPr>
              <w:spacing w:before="60" w:after="60"/>
              <w:jc w:val="center"/>
              <w:rPr>
                <w:noProof/>
                <w:szCs w:val="24"/>
                <w:lang w:val="fr-FR"/>
              </w:rPr>
            </w:pPr>
            <w:r>
              <w:rPr>
                <w:noProof/>
                <w:szCs w:val="24"/>
                <w:lang w:val="fr-FR"/>
              </w:rPr>
              <w:t>Établissements préscolaires</w:t>
            </w:r>
          </w:p>
        </w:tc>
        <w:tc>
          <w:tcPr>
            <w:tcW w:w="1321" w:type="dxa"/>
          </w:tcPr>
          <w:p w:rsidR="00000000" w:rsidRDefault="00000000">
            <w:pPr>
              <w:spacing w:before="60" w:after="60"/>
              <w:jc w:val="center"/>
              <w:rPr>
                <w:noProof/>
                <w:szCs w:val="24"/>
                <w:lang w:val="fr-FR"/>
              </w:rPr>
            </w:pPr>
            <w:r>
              <w:rPr>
                <w:noProof/>
                <w:szCs w:val="24"/>
                <w:lang w:val="fr-FR"/>
              </w:rPr>
              <w:t>Nombre d’enfants</w:t>
            </w:r>
          </w:p>
        </w:tc>
      </w:tr>
      <w:tr w:rsidR="00000000">
        <w:trPr>
          <w:cantSplit/>
          <w:jc w:val="center"/>
        </w:trPr>
        <w:tc>
          <w:tcPr>
            <w:tcW w:w="3180" w:type="dxa"/>
          </w:tcPr>
          <w:p w:rsidR="00000000" w:rsidRDefault="00000000">
            <w:pPr>
              <w:spacing w:before="60" w:after="60"/>
              <w:rPr>
                <w:i/>
                <w:noProof/>
                <w:szCs w:val="24"/>
                <w:lang w:val="fr-FR"/>
              </w:rPr>
            </w:pPr>
            <w:r>
              <w:rPr>
                <w:noProof/>
                <w:szCs w:val="24"/>
                <w:lang w:val="fr-FR"/>
              </w:rPr>
              <w:t>Total</w:t>
            </w:r>
          </w:p>
        </w:tc>
        <w:tc>
          <w:tcPr>
            <w:tcW w:w="1812" w:type="dxa"/>
            <w:tcMar>
              <w:left w:w="108" w:type="dxa"/>
              <w:right w:w="454" w:type="dxa"/>
            </w:tcMar>
          </w:tcPr>
          <w:p w:rsidR="00000000" w:rsidRDefault="00000000">
            <w:pPr>
              <w:spacing w:before="60" w:after="60"/>
              <w:ind w:right="-313"/>
              <w:jc w:val="right"/>
              <w:rPr>
                <w:noProof/>
                <w:szCs w:val="24"/>
                <w:lang w:val="fr-FR"/>
              </w:rPr>
            </w:pPr>
            <w:r>
              <w:rPr>
                <w:noProof/>
                <w:szCs w:val="24"/>
                <w:lang w:val="fr-FR"/>
              </w:rPr>
              <w:t>1 225</w:t>
            </w:r>
          </w:p>
        </w:tc>
        <w:tc>
          <w:tcPr>
            <w:tcW w:w="1506" w:type="dxa"/>
            <w:tcMar>
              <w:left w:w="108" w:type="dxa"/>
              <w:right w:w="454" w:type="dxa"/>
            </w:tcMar>
          </w:tcPr>
          <w:p w:rsidR="00000000" w:rsidRDefault="00000000">
            <w:pPr>
              <w:spacing w:before="60" w:after="60"/>
              <w:ind w:right="-313"/>
              <w:jc w:val="right"/>
              <w:rPr>
                <w:noProof/>
                <w:szCs w:val="24"/>
                <w:lang w:val="fr-FR"/>
              </w:rPr>
            </w:pPr>
            <w:r>
              <w:rPr>
                <w:noProof/>
                <w:szCs w:val="24"/>
                <w:lang w:val="fr-FR"/>
              </w:rPr>
              <w:t>74 309</w:t>
            </w:r>
          </w:p>
        </w:tc>
        <w:tc>
          <w:tcPr>
            <w:tcW w:w="1638" w:type="dxa"/>
            <w:tcMar>
              <w:left w:w="108" w:type="dxa"/>
              <w:right w:w="454" w:type="dxa"/>
            </w:tcMar>
          </w:tcPr>
          <w:p w:rsidR="00000000" w:rsidRDefault="00000000">
            <w:pPr>
              <w:spacing w:before="60" w:after="60"/>
              <w:ind w:right="-313"/>
              <w:jc w:val="right"/>
              <w:rPr>
                <w:noProof/>
                <w:szCs w:val="24"/>
                <w:lang w:val="fr-FR"/>
              </w:rPr>
            </w:pPr>
            <w:r>
              <w:rPr>
                <w:noProof/>
                <w:szCs w:val="24"/>
                <w:lang w:val="fr-FR"/>
              </w:rPr>
              <w:t>1 247</w:t>
            </w:r>
          </w:p>
        </w:tc>
        <w:tc>
          <w:tcPr>
            <w:tcW w:w="1321" w:type="dxa"/>
            <w:tcMar>
              <w:left w:w="108" w:type="dxa"/>
              <w:right w:w="454" w:type="dxa"/>
            </w:tcMar>
          </w:tcPr>
          <w:p w:rsidR="00000000" w:rsidRDefault="00000000">
            <w:pPr>
              <w:spacing w:before="60" w:after="60"/>
              <w:ind w:right="-313"/>
              <w:jc w:val="right"/>
              <w:rPr>
                <w:noProof/>
                <w:szCs w:val="24"/>
                <w:lang w:val="fr-FR"/>
              </w:rPr>
            </w:pPr>
            <w:r>
              <w:rPr>
                <w:noProof/>
                <w:szCs w:val="24"/>
                <w:lang w:val="fr-FR"/>
              </w:rPr>
              <w:t>75 361</w:t>
            </w:r>
          </w:p>
        </w:tc>
      </w:tr>
      <w:tr w:rsidR="00000000">
        <w:trPr>
          <w:cantSplit/>
          <w:jc w:val="center"/>
        </w:trPr>
        <w:tc>
          <w:tcPr>
            <w:tcW w:w="3180" w:type="dxa"/>
          </w:tcPr>
          <w:p w:rsidR="00000000" w:rsidRDefault="00000000">
            <w:pPr>
              <w:spacing w:before="60" w:after="60"/>
              <w:rPr>
                <w:noProof/>
                <w:szCs w:val="24"/>
                <w:lang w:val="fr-FR"/>
              </w:rPr>
            </w:pPr>
            <w:r>
              <w:rPr>
                <w:noProof/>
                <w:szCs w:val="24"/>
                <w:lang w:val="fr-FR"/>
              </w:rPr>
              <w:t>Enseignement dispensé en:</w:t>
            </w:r>
          </w:p>
        </w:tc>
        <w:tc>
          <w:tcPr>
            <w:tcW w:w="1812" w:type="dxa"/>
            <w:tcMar>
              <w:left w:w="108" w:type="dxa"/>
              <w:right w:w="454" w:type="dxa"/>
            </w:tcMar>
          </w:tcPr>
          <w:p w:rsidR="00000000" w:rsidRDefault="00000000">
            <w:pPr>
              <w:spacing w:before="60" w:after="60"/>
              <w:ind w:right="-313"/>
              <w:jc w:val="right"/>
              <w:rPr>
                <w:noProof/>
                <w:szCs w:val="24"/>
                <w:lang w:val="fr-FR"/>
              </w:rPr>
            </w:pPr>
          </w:p>
        </w:tc>
        <w:tc>
          <w:tcPr>
            <w:tcW w:w="1506" w:type="dxa"/>
            <w:tcMar>
              <w:left w:w="108" w:type="dxa"/>
              <w:right w:w="454" w:type="dxa"/>
            </w:tcMar>
          </w:tcPr>
          <w:p w:rsidR="00000000" w:rsidRDefault="00000000">
            <w:pPr>
              <w:spacing w:before="60" w:after="60"/>
              <w:ind w:right="-313"/>
              <w:jc w:val="right"/>
              <w:rPr>
                <w:noProof/>
                <w:szCs w:val="24"/>
                <w:lang w:val="fr-FR"/>
              </w:rPr>
            </w:pPr>
          </w:p>
        </w:tc>
        <w:tc>
          <w:tcPr>
            <w:tcW w:w="1638" w:type="dxa"/>
            <w:tcMar>
              <w:left w:w="108" w:type="dxa"/>
              <w:right w:w="454" w:type="dxa"/>
            </w:tcMar>
          </w:tcPr>
          <w:p w:rsidR="00000000" w:rsidRDefault="00000000">
            <w:pPr>
              <w:spacing w:before="60" w:after="60"/>
              <w:ind w:right="-313"/>
              <w:jc w:val="right"/>
              <w:rPr>
                <w:noProof/>
                <w:szCs w:val="24"/>
                <w:lang w:val="fr-FR"/>
              </w:rPr>
            </w:pPr>
          </w:p>
        </w:tc>
        <w:tc>
          <w:tcPr>
            <w:tcW w:w="1321" w:type="dxa"/>
            <w:tcMar>
              <w:left w:w="108" w:type="dxa"/>
              <w:right w:w="454" w:type="dxa"/>
            </w:tcMar>
          </w:tcPr>
          <w:p w:rsidR="00000000" w:rsidRDefault="00000000">
            <w:pPr>
              <w:spacing w:before="60" w:after="60"/>
              <w:ind w:right="-313"/>
              <w:jc w:val="right"/>
              <w:rPr>
                <w:noProof/>
                <w:szCs w:val="24"/>
                <w:lang w:val="fr-FR"/>
              </w:rPr>
            </w:pPr>
          </w:p>
        </w:tc>
      </w:tr>
      <w:tr w:rsidR="00000000">
        <w:trPr>
          <w:cantSplit/>
          <w:jc w:val="center"/>
        </w:trPr>
        <w:tc>
          <w:tcPr>
            <w:tcW w:w="3180" w:type="dxa"/>
          </w:tcPr>
          <w:p w:rsidR="00000000" w:rsidRDefault="00000000">
            <w:pPr>
              <w:tabs>
                <w:tab w:val="left" w:pos="310"/>
              </w:tabs>
              <w:spacing w:before="60" w:after="60"/>
              <w:ind w:left="284"/>
              <w:rPr>
                <w:noProof/>
                <w:szCs w:val="24"/>
                <w:lang w:val="fr-FR"/>
              </w:rPr>
            </w:pPr>
            <w:r>
              <w:rPr>
                <w:noProof/>
                <w:szCs w:val="24"/>
                <w:lang w:val="fr-FR"/>
              </w:rPr>
              <w:t xml:space="preserve">géorgien </w:t>
            </w:r>
          </w:p>
        </w:tc>
        <w:tc>
          <w:tcPr>
            <w:tcW w:w="1812" w:type="dxa"/>
            <w:tcMar>
              <w:left w:w="108" w:type="dxa"/>
              <w:right w:w="454" w:type="dxa"/>
            </w:tcMar>
          </w:tcPr>
          <w:p w:rsidR="00000000" w:rsidRDefault="00000000">
            <w:pPr>
              <w:spacing w:before="60" w:after="60"/>
              <w:ind w:right="-313"/>
              <w:jc w:val="right"/>
              <w:rPr>
                <w:noProof/>
                <w:szCs w:val="24"/>
                <w:lang w:val="fr-FR"/>
              </w:rPr>
            </w:pPr>
            <w:r>
              <w:rPr>
                <w:noProof/>
                <w:szCs w:val="24"/>
                <w:lang w:val="fr-FR"/>
              </w:rPr>
              <w:t>1 143</w:t>
            </w:r>
          </w:p>
        </w:tc>
        <w:tc>
          <w:tcPr>
            <w:tcW w:w="1506" w:type="dxa"/>
            <w:tcMar>
              <w:left w:w="108" w:type="dxa"/>
              <w:right w:w="454" w:type="dxa"/>
            </w:tcMar>
          </w:tcPr>
          <w:p w:rsidR="00000000" w:rsidRDefault="00000000">
            <w:pPr>
              <w:spacing w:before="60" w:after="60"/>
              <w:ind w:right="-313"/>
              <w:jc w:val="right"/>
              <w:rPr>
                <w:noProof/>
                <w:szCs w:val="24"/>
                <w:lang w:val="fr-FR"/>
              </w:rPr>
            </w:pPr>
            <w:r>
              <w:rPr>
                <w:noProof/>
                <w:szCs w:val="24"/>
                <w:lang w:val="fr-FR"/>
              </w:rPr>
              <w:t>65 027</w:t>
            </w:r>
          </w:p>
        </w:tc>
        <w:tc>
          <w:tcPr>
            <w:tcW w:w="1638" w:type="dxa"/>
            <w:tcMar>
              <w:left w:w="108" w:type="dxa"/>
              <w:right w:w="454" w:type="dxa"/>
            </w:tcMar>
          </w:tcPr>
          <w:p w:rsidR="00000000" w:rsidRDefault="00000000">
            <w:pPr>
              <w:spacing w:before="60" w:after="60"/>
              <w:ind w:right="-313"/>
              <w:jc w:val="right"/>
              <w:rPr>
                <w:noProof/>
                <w:szCs w:val="24"/>
                <w:lang w:val="fr-FR"/>
              </w:rPr>
            </w:pPr>
            <w:r>
              <w:rPr>
                <w:noProof/>
                <w:szCs w:val="24"/>
                <w:lang w:val="fr-FR"/>
              </w:rPr>
              <w:t>1 159</w:t>
            </w:r>
          </w:p>
        </w:tc>
        <w:tc>
          <w:tcPr>
            <w:tcW w:w="1321" w:type="dxa"/>
            <w:tcMar>
              <w:left w:w="108" w:type="dxa"/>
              <w:right w:w="454" w:type="dxa"/>
            </w:tcMar>
          </w:tcPr>
          <w:p w:rsidR="00000000" w:rsidRDefault="00000000">
            <w:pPr>
              <w:spacing w:before="60" w:after="60"/>
              <w:ind w:right="-313"/>
              <w:jc w:val="right"/>
              <w:rPr>
                <w:noProof/>
                <w:szCs w:val="24"/>
                <w:lang w:val="fr-FR"/>
              </w:rPr>
            </w:pPr>
            <w:r>
              <w:rPr>
                <w:noProof/>
                <w:szCs w:val="24"/>
                <w:lang w:val="fr-FR"/>
              </w:rPr>
              <w:t>65 095</w:t>
            </w:r>
          </w:p>
        </w:tc>
      </w:tr>
      <w:tr w:rsidR="00000000">
        <w:trPr>
          <w:cantSplit/>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 xml:space="preserve">russe </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5</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112</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6</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225</w:t>
            </w:r>
          </w:p>
        </w:tc>
      </w:tr>
      <w:tr w:rsidR="00000000">
        <w:trPr>
          <w:cantSplit/>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azéri</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75</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w:t>
            </w:r>
          </w:p>
        </w:tc>
      </w:tr>
      <w:tr w:rsidR="00000000">
        <w:trPr>
          <w:cantSplit/>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arménien</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20</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99</w:t>
            </w:r>
          </w:p>
        </w:tc>
      </w:tr>
      <w:tr w:rsidR="00000000">
        <w:trPr>
          <w:cantSplit/>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géorgien - russe</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67</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8 541</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72</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9 424</w:t>
            </w:r>
          </w:p>
        </w:tc>
      </w:tr>
      <w:tr w:rsidR="00000000">
        <w:trPr>
          <w:cantSplit/>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géorgien - arménien</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152</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140</w:t>
            </w:r>
          </w:p>
        </w:tc>
      </w:tr>
      <w:tr w:rsidR="00000000">
        <w:trPr>
          <w:cantSplit/>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géorgien - azéri</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33</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88</w:t>
            </w:r>
          </w:p>
        </w:tc>
      </w:tr>
      <w:tr w:rsidR="00000000">
        <w:trPr>
          <w:cantSplit/>
          <w:trHeight w:val="85"/>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russe - arménien</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98</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80</w:t>
            </w:r>
          </w:p>
        </w:tc>
      </w:tr>
      <w:tr w:rsidR="00000000">
        <w:trPr>
          <w:cantSplit/>
          <w:trHeight w:val="85"/>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russe - azéri</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219</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2</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175</w:t>
            </w:r>
          </w:p>
        </w:tc>
      </w:tr>
      <w:tr w:rsidR="00000000">
        <w:trPr>
          <w:cantSplit/>
          <w:trHeight w:val="75"/>
          <w:jc w:val="center"/>
        </w:trPr>
        <w:tc>
          <w:tcPr>
            <w:tcW w:w="3180" w:type="dxa"/>
            <w:vAlign w:val="center"/>
          </w:tcPr>
          <w:p w:rsidR="00000000" w:rsidRDefault="00000000">
            <w:pPr>
              <w:tabs>
                <w:tab w:val="left" w:pos="310"/>
              </w:tabs>
              <w:spacing w:before="60" w:after="60"/>
              <w:ind w:left="284"/>
              <w:rPr>
                <w:noProof/>
                <w:szCs w:val="24"/>
                <w:lang w:val="fr-FR"/>
              </w:rPr>
            </w:pPr>
            <w:r>
              <w:rPr>
                <w:noProof/>
                <w:szCs w:val="24"/>
                <w:lang w:val="fr-FR"/>
              </w:rPr>
              <w:t xml:space="preserve">ossète </w:t>
            </w:r>
          </w:p>
        </w:tc>
        <w:tc>
          <w:tcPr>
            <w:tcW w:w="1812"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w:t>
            </w:r>
          </w:p>
        </w:tc>
        <w:tc>
          <w:tcPr>
            <w:tcW w:w="1506"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32</w:t>
            </w:r>
          </w:p>
        </w:tc>
        <w:tc>
          <w:tcPr>
            <w:tcW w:w="1638"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1</w:t>
            </w:r>
          </w:p>
        </w:tc>
        <w:tc>
          <w:tcPr>
            <w:tcW w:w="1321" w:type="dxa"/>
            <w:tcMar>
              <w:left w:w="108" w:type="dxa"/>
              <w:right w:w="454" w:type="dxa"/>
            </w:tcMar>
            <w:vAlign w:val="center"/>
          </w:tcPr>
          <w:p w:rsidR="00000000" w:rsidRDefault="00000000">
            <w:pPr>
              <w:spacing w:before="60" w:after="60"/>
              <w:ind w:right="-313"/>
              <w:jc w:val="right"/>
              <w:rPr>
                <w:noProof/>
                <w:szCs w:val="24"/>
                <w:lang w:val="fr-FR"/>
              </w:rPr>
            </w:pPr>
            <w:r>
              <w:rPr>
                <w:noProof/>
                <w:szCs w:val="24"/>
                <w:lang w:val="fr-FR"/>
              </w:rPr>
              <w:t>35</w:t>
            </w:r>
          </w:p>
        </w:tc>
      </w:tr>
    </w:tbl>
    <w:p w:rsidR="00000000" w:rsidRDefault="00000000">
      <w:pPr>
        <w:spacing w:before="240" w:after="240"/>
        <w:rPr>
          <w:iCs/>
          <w:noProof/>
          <w:szCs w:val="24"/>
          <w:lang w:val="fr-FR"/>
        </w:rPr>
      </w:pPr>
      <w:r>
        <w:rPr>
          <w:bCs/>
          <w:i/>
          <w:noProof/>
          <w:szCs w:val="24"/>
          <w:lang w:val="fr-FR"/>
        </w:rPr>
        <w:tab/>
        <w:t>Source:</w:t>
      </w:r>
      <w:r>
        <w:rPr>
          <w:bCs/>
          <w:iCs/>
          <w:noProof/>
          <w:szCs w:val="24"/>
          <w:lang w:val="fr-FR"/>
        </w:rPr>
        <w:t xml:space="preserve"> Ministère de l’éducation et des sciences de Géorgie; Département des statistiques.</w:t>
      </w:r>
    </w:p>
    <w:p w:rsidR="00000000" w:rsidRDefault="00000000">
      <w:pPr>
        <w:keepNext/>
        <w:spacing w:after="240"/>
        <w:jc w:val="center"/>
        <w:rPr>
          <w:b/>
          <w:bCs/>
          <w:noProof/>
          <w:lang w:val="fr-FR"/>
        </w:rPr>
      </w:pPr>
      <w:r>
        <w:rPr>
          <w:b/>
          <w:bCs/>
          <w:noProof/>
          <w:lang w:val="fr-FR"/>
        </w:rPr>
        <w:t>Capacités et état des établissements préscolaires</w:t>
      </w:r>
      <w:r>
        <w:rPr>
          <w:b/>
          <w:bCs/>
          <w:noProof/>
          <w:lang w:val="fr-FR"/>
        </w:rPr>
        <w:br/>
        <w:t>(en fin d’année)</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40"/>
        <w:gridCol w:w="1320"/>
        <w:gridCol w:w="1440"/>
        <w:gridCol w:w="1440"/>
        <w:gridCol w:w="1320"/>
      </w:tblGrid>
      <w:tr w:rsidR="00000000">
        <w:trPr>
          <w:tblHeader/>
        </w:trPr>
        <w:tc>
          <w:tcPr>
            <w:tcW w:w="3840" w:type="dxa"/>
            <w:tcMar>
              <w:left w:w="108" w:type="dxa"/>
              <w:right w:w="108" w:type="dxa"/>
            </w:tcMar>
          </w:tcPr>
          <w:p w:rsidR="00000000" w:rsidRDefault="00000000">
            <w:pPr>
              <w:spacing w:before="60" w:after="60"/>
              <w:jc w:val="center"/>
              <w:rPr>
                <w:bCs/>
                <w:noProof/>
                <w:szCs w:val="22"/>
                <w:lang w:val="fr-FR"/>
              </w:rPr>
            </w:pPr>
            <w:r>
              <w:rPr>
                <w:noProof/>
                <w:szCs w:val="22"/>
                <w:lang w:val="fr-FR"/>
              </w:rPr>
              <w:br w:type="page"/>
            </w:r>
          </w:p>
        </w:tc>
        <w:tc>
          <w:tcPr>
            <w:tcW w:w="1320" w:type="dxa"/>
            <w:tcMar>
              <w:left w:w="108" w:type="dxa"/>
              <w:right w:w="108" w:type="dxa"/>
            </w:tcMar>
          </w:tcPr>
          <w:p w:rsidR="00000000" w:rsidRDefault="00000000">
            <w:pPr>
              <w:spacing w:before="60" w:after="60"/>
              <w:jc w:val="center"/>
              <w:rPr>
                <w:bCs/>
                <w:noProof/>
                <w:szCs w:val="22"/>
                <w:lang w:val="fr-FR"/>
              </w:rPr>
            </w:pPr>
            <w:r>
              <w:rPr>
                <w:bCs/>
                <w:noProof/>
                <w:szCs w:val="22"/>
                <w:lang w:val="fr-FR"/>
              </w:rPr>
              <w:t>2002</w:t>
            </w:r>
          </w:p>
        </w:tc>
        <w:tc>
          <w:tcPr>
            <w:tcW w:w="1440" w:type="dxa"/>
            <w:tcMar>
              <w:left w:w="108" w:type="dxa"/>
              <w:right w:w="108" w:type="dxa"/>
            </w:tcMar>
          </w:tcPr>
          <w:p w:rsidR="00000000" w:rsidRDefault="00000000">
            <w:pPr>
              <w:spacing w:before="60" w:after="60"/>
              <w:jc w:val="center"/>
              <w:rPr>
                <w:bCs/>
                <w:noProof/>
                <w:szCs w:val="22"/>
                <w:lang w:val="fr-FR"/>
              </w:rPr>
            </w:pPr>
            <w:r>
              <w:rPr>
                <w:bCs/>
                <w:noProof/>
                <w:szCs w:val="22"/>
                <w:lang w:val="fr-FR"/>
              </w:rPr>
              <w:t>2003</w:t>
            </w:r>
          </w:p>
        </w:tc>
        <w:tc>
          <w:tcPr>
            <w:tcW w:w="1440" w:type="dxa"/>
            <w:tcMar>
              <w:left w:w="108" w:type="dxa"/>
              <w:right w:w="108" w:type="dxa"/>
            </w:tcMar>
          </w:tcPr>
          <w:p w:rsidR="00000000" w:rsidRDefault="00000000">
            <w:pPr>
              <w:spacing w:before="60" w:after="60"/>
              <w:jc w:val="center"/>
              <w:rPr>
                <w:bCs/>
                <w:noProof/>
                <w:szCs w:val="22"/>
                <w:lang w:val="fr-FR"/>
              </w:rPr>
            </w:pPr>
            <w:r>
              <w:rPr>
                <w:bCs/>
                <w:noProof/>
                <w:szCs w:val="22"/>
                <w:lang w:val="fr-FR"/>
              </w:rPr>
              <w:t>2004</w:t>
            </w:r>
          </w:p>
        </w:tc>
        <w:tc>
          <w:tcPr>
            <w:tcW w:w="1320" w:type="dxa"/>
            <w:tcMar>
              <w:left w:w="108" w:type="dxa"/>
              <w:right w:w="108" w:type="dxa"/>
            </w:tcMar>
          </w:tcPr>
          <w:p w:rsidR="00000000" w:rsidRDefault="00000000">
            <w:pPr>
              <w:spacing w:before="60" w:after="60"/>
              <w:jc w:val="center"/>
              <w:rPr>
                <w:bCs/>
                <w:noProof/>
                <w:szCs w:val="22"/>
                <w:lang w:val="fr-FR"/>
              </w:rPr>
            </w:pPr>
            <w:r>
              <w:rPr>
                <w:bCs/>
                <w:noProof/>
                <w:szCs w:val="22"/>
                <w:lang w:val="fr-FR"/>
              </w:rPr>
              <w:t>2005</w:t>
            </w:r>
          </w:p>
        </w:tc>
      </w:tr>
      <w:tr w:rsidR="00000000">
        <w:tc>
          <w:tcPr>
            <w:tcW w:w="3840" w:type="dxa"/>
            <w:tcMar>
              <w:left w:w="108" w:type="dxa"/>
              <w:right w:w="108" w:type="dxa"/>
            </w:tcMar>
          </w:tcPr>
          <w:p w:rsidR="00000000" w:rsidRDefault="00000000">
            <w:pPr>
              <w:spacing w:before="60" w:after="60"/>
              <w:ind w:left="12"/>
              <w:rPr>
                <w:noProof/>
                <w:szCs w:val="22"/>
                <w:lang w:val="fr-FR"/>
              </w:rPr>
            </w:pPr>
            <w:r>
              <w:rPr>
                <w:noProof/>
                <w:szCs w:val="22"/>
                <w:lang w:val="fr-FR"/>
              </w:rPr>
              <w:t>Superficie totale (en milliers de m</w:t>
            </w:r>
            <w:r>
              <w:rPr>
                <w:noProof/>
                <w:szCs w:val="22"/>
                <w:vertAlign w:val="superscript"/>
                <w:lang w:val="fr-FR"/>
              </w:rPr>
              <w:t>2</w:t>
            </w:r>
            <w:r>
              <w:rPr>
                <w:noProof/>
                <w:szCs w:val="22"/>
                <w:lang w:val="fr-FR"/>
              </w:rPr>
              <w:t>)</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1 243,7</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1 002,1</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996,0</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972,1</w:t>
            </w:r>
          </w:p>
        </w:tc>
      </w:tr>
      <w:tr w:rsidR="00000000">
        <w:tc>
          <w:tcPr>
            <w:tcW w:w="3840" w:type="dxa"/>
            <w:tcMar>
              <w:left w:w="108" w:type="dxa"/>
              <w:right w:w="108" w:type="dxa"/>
            </w:tcMar>
          </w:tcPr>
          <w:p w:rsidR="00000000" w:rsidRDefault="00000000">
            <w:pPr>
              <w:spacing w:before="60" w:after="60"/>
              <w:ind w:left="12"/>
              <w:rPr>
                <w:noProof/>
                <w:szCs w:val="22"/>
                <w:lang w:val="fr-FR"/>
              </w:rPr>
            </w:pPr>
            <w:r>
              <w:rPr>
                <w:noProof/>
                <w:szCs w:val="22"/>
                <w:lang w:val="fr-FR"/>
              </w:rPr>
              <w:t>Superficie totale des salles de récréation (en milliers de m</w:t>
            </w:r>
            <w:r>
              <w:rPr>
                <w:noProof/>
                <w:szCs w:val="22"/>
                <w:vertAlign w:val="superscript"/>
                <w:lang w:val="fr-FR"/>
              </w:rPr>
              <w:t>2</w:t>
            </w:r>
            <w:r>
              <w:rPr>
                <w:noProof/>
                <w:szCs w:val="22"/>
                <w:lang w:val="fr-FR"/>
              </w:rPr>
              <w:t>)</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581,2</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444,5</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558,2</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567,8</w:t>
            </w:r>
          </w:p>
        </w:tc>
      </w:tr>
      <w:tr w:rsidR="00000000">
        <w:tc>
          <w:tcPr>
            <w:tcW w:w="3840" w:type="dxa"/>
            <w:tcMar>
              <w:left w:w="108" w:type="dxa"/>
              <w:right w:w="108" w:type="dxa"/>
            </w:tcMar>
          </w:tcPr>
          <w:p w:rsidR="00000000" w:rsidRDefault="00000000">
            <w:pPr>
              <w:tabs>
                <w:tab w:val="left" w:pos="252"/>
              </w:tabs>
              <w:spacing w:before="60" w:after="60"/>
              <w:rPr>
                <w:noProof/>
                <w:szCs w:val="22"/>
                <w:lang w:val="fr-FR"/>
              </w:rPr>
            </w:pPr>
            <w:r>
              <w:rPr>
                <w:noProof/>
                <w:szCs w:val="22"/>
                <w:lang w:val="fr-FR"/>
              </w:rPr>
              <w:t>dont:</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c>
          <w:tcPr>
            <w:tcW w:w="1440" w:type="dxa"/>
            <w:tcMar>
              <w:left w:w="108" w:type="dxa"/>
              <w:right w:w="108" w:type="dxa"/>
            </w:tcMar>
            <w:vAlign w:val="bottom"/>
          </w:tcPr>
          <w:p w:rsidR="00000000" w:rsidRDefault="00000000">
            <w:pPr>
              <w:spacing w:before="60" w:after="60"/>
              <w:ind w:right="284"/>
              <w:jc w:val="right"/>
              <w:rPr>
                <w:noProof/>
                <w:szCs w:val="22"/>
                <w:lang w:val="fr-FR"/>
              </w:rPr>
            </w:pPr>
          </w:p>
        </w:tc>
        <w:tc>
          <w:tcPr>
            <w:tcW w:w="1440" w:type="dxa"/>
            <w:tcMar>
              <w:left w:w="108" w:type="dxa"/>
              <w:right w:w="108" w:type="dxa"/>
            </w:tcMar>
            <w:vAlign w:val="bottom"/>
          </w:tcPr>
          <w:p w:rsidR="00000000" w:rsidRDefault="00000000">
            <w:pPr>
              <w:spacing w:before="60" w:after="60"/>
              <w:ind w:right="284"/>
              <w:jc w:val="right"/>
              <w:rPr>
                <w:noProof/>
                <w:szCs w:val="22"/>
                <w:lang w:val="fr-FR"/>
              </w:rPr>
            </w:pP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tabs>
                <w:tab w:val="left" w:pos="252"/>
              </w:tabs>
              <w:spacing w:before="60" w:after="60"/>
              <w:ind w:left="284"/>
              <w:rPr>
                <w:noProof/>
                <w:szCs w:val="22"/>
                <w:lang w:val="fr-FR"/>
              </w:rPr>
            </w:pPr>
            <w:r>
              <w:rPr>
                <w:noProof/>
                <w:szCs w:val="22"/>
                <w:lang w:val="fr-FR"/>
              </w:rPr>
              <w:t xml:space="preserve">en zones urbaines </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462,7</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343,3</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431,0</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tabs>
                <w:tab w:val="left" w:pos="252"/>
              </w:tabs>
              <w:spacing w:before="60" w:after="60"/>
              <w:ind w:left="284"/>
              <w:rPr>
                <w:noProof/>
                <w:szCs w:val="22"/>
                <w:lang w:val="fr-FR"/>
              </w:rPr>
            </w:pPr>
            <w:r>
              <w:rPr>
                <w:noProof/>
                <w:szCs w:val="22"/>
                <w:lang w:val="fr-FR"/>
              </w:rPr>
              <w:t>en zones rurales</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118,5</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101,2</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127,2</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spacing w:before="60" w:after="60"/>
              <w:rPr>
                <w:noProof/>
                <w:szCs w:val="22"/>
                <w:lang w:val="fr-FR"/>
              </w:rPr>
            </w:pPr>
            <w:r>
              <w:rPr>
                <w:noProof/>
                <w:szCs w:val="22"/>
                <w:lang w:val="fr-FR"/>
              </w:rPr>
              <w:t xml:space="preserve">Espace moyen par enfant </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7,9</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6,0</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7,4</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spacing w:before="60" w:after="60"/>
              <w:rPr>
                <w:noProof/>
                <w:szCs w:val="22"/>
                <w:lang w:val="fr-FR"/>
              </w:rPr>
            </w:pPr>
            <w:r>
              <w:rPr>
                <w:noProof/>
                <w:szCs w:val="22"/>
                <w:lang w:val="fr-FR"/>
              </w:rPr>
              <w:t>dont:</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c>
          <w:tcPr>
            <w:tcW w:w="1440" w:type="dxa"/>
            <w:tcMar>
              <w:left w:w="108" w:type="dxa"/>
              <w:right w:w="108" w:type="dxa"/>
            </w:tcMar>
            <w:vAlign w:val="bottom"/>
          </w:tcPr>
          <w:p w:rsidR="00000000" w:rsidRDefault="00000000">
            <w:pPr>
              <w:spacing w:before="60" w:after="60"/>
              <w:ind w:right="284"/>
              <w:jc w:val="right"/>
              <w:rPr>
                <w:noProof/>
                <w:szCs w:val="22"/>
                <w:lang w:val="fr-FR"/>
              </w:rPr>
            </w:pPr>
          </w:p>
        </w:tc>
        <w:tc>
          <w:tcPr>
            <w:tcW w:w="1440" w:type="dxa"/>
            <w:tcMar>
              <w:left w:w="108" w:type="dxa"/>
              <w:right w:w="108" w:type="dxa"/>
            </w:tcMar>
            <w:vAlign w:val="bottom"/>
          </w:tcPr>
          <w:p w:rsidR="00000000" w:rsidRDefault="00000000">
            <w:pPr>
              <w:spacing w:before="60" w:after="60"/>
              <w:ind w:right="284"/>
              <w:jc w:val="right"/>
              <w:rPr>
                <w:noProof/>
                <w:szCs w:val="22"/>
                <w:lang w:val="fr-FR"/>
              </w:rPr>
            </w:pP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tabs>
                <w:tab w:val="left" w:pos="252"/>
              </w:tabs>
              <w:spacing w:before="60" w:after="60"/>
              <w:ind w:left="284"/>
              <w:rPr>
                <w:noProof/>
                <w:szCs w:val="22"/>
                <w:lang w:val="fr-FR"/>
              </w:rPr>
            </w:pPr>
            <w:r>
              <w:rPr>
                <w:noProof/>
                <w:szCs w:val="22"/>
                <w:lang w:val="fr-FR"/>
              </w:rPr>
              <w:t xml:space="preserve">en zones urbaines </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8,3</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6,1</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7,6</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tabs>
                <w:tab w:val="left" w:pos="252"/>
              </w:tabs>
              <w:spacing w:before="60" w:after="60"/>
              <w:ind w:left="284"/>
              <w:rPr>
                <w:noProof/>
                <w:szCs w:val="22"/>
                <w:lang w:val="fr-FR"/>
              </w:rPr>
            </w:pPr>
            <w:r>
              <w:rPr>
                <w:noProof/>
                <w:szCs w:val="22"/>
                <w:lang w:val="fr-FR"/>
              </w:rPr>
              <w:t>en zones rurales</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6,7</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5,6</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6,8</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p>
        </w:tc>
      </w:tr>
      <w:tr w:rsidR="00000000">
        <w:tc>
          <w:tcPr>
            <w:tcW w:w="3840" w:type="dxa"/>
            <w:tcMar>
              <w:left w:w="108" w:type="dxa"/>
              <w:right w:w="108" w:type="dxa"/>
            </w:tcMar>
          </w:tcPr>
          <w:p w:rsidR="00000000" w:rsidRDefault="00000000">
            <w:pPr>
              <w:keepNext/>
              <w:spacing w:before="60" w:after="60"/>
              <w:rPr>
                <w:noProof/>
                <w:szCs w:val="22"/>
                <w:lang w:val="fr-FR"/>
              </w:rPr>
            </w:pPr>
            <w:r>
              <w:rPr>
                <w:noProof/>
                <w:szCs w:val="22"/>
                <w:lang w:val="fr-FR"/>
              </w:rPr>
              <w:t>Nécessitant des réparations importantes</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970</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947</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897</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923</w:t>
            </w:r>
          </w:p>
        </w:tc>
      </w:tr>
      <w:tr w:rsidR="00000000">
        <w:tc>
          <w:tcPr>
            <w:tcW w:w="3840" w:type="dxa"/>
            <w:tcMar>
              <w:left w:w="108" w:type="dxa"/>
              <w:right w:w="108" w:type="dxa"/>
            </w:tcMar>
          </w:tcPr>
          <w:p w:rsidR="00000000" w:rsidRDefault="00000000">
            <w:pPr>
              <w:keepNext/>
              <w:tabs>
                <w:tab w:val="left" w:pos="252"/>
              </w:tabs>
              <w:spacing w:before="60" w:after="60"/>
              <w:ind w:left="284"/>
              <w:rPr>
                <w:noProof/>
                <w:szCs w:val="22"/>
                <w:lang w:val="fr-FR"/>
              </w:rPr>
            </w:pPr>
            <w:r>
              <w:rPr>
                <w:noProof/>
                <w:szCs w:val="22"/>
                <w:lang w:val="fr-FR"/>
              </w:rPr>
              <w:t>en très mauvais état</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140</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159</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144</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217</w:t>
            </w:r>
          </w:p>
        </w:tc>
      </w:tr>
      <w:tr w:rsidR="00000000">
        <w:tc>
          <w:tcPr>
            <w:tcW w:w="3840" w:type="dxa"/>
            <w:tcMar>
              <w:left w:w="108" w:type="dxa"/>
              <w:right w:w="108" w:type="dxa"/>
            </w:tcMar>
          </w:tcPr>
          <w:p w:rsidR="00000000" w:rsidRDefault="00000000">
            <w:pPr>
              <w:tabs>
                <w:tab w:val="left" w:pos="252"/>
              </w:tabs>
              <w:spacing w:before="60" w:after="60"/>
              <w:ind w:left="284"/>
              <w:rPr>
                <w:noProof/>
                <w:szCs w:val="22"/>
                <w:lang w:val="fr-FR"/>
              </w:rPr>
            </w:pPr>
            <w:r>
              <w:rPr>
                <w:noProof/>
                <w:szCs w:val="22"/>
                <w:lang w:val="fr-FR"/>
              </w:rPr>
              <w:t>en bon état</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74</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74</w:t>
            </w:r>
          </w:p>
        </w:tc>
        <w:tc>
          <w:tcPr>
            <w:tcW w:w="144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61</w:t>
            </w:r>
          </w:p>
        </w:tc>
        <w:tc>
          <w:tcPr>
            <w:tcW w:w="1320" w:type="dxa"/>
            <w:tcMar>
              <w:left w:w="108" w:type="dxa"/>
              <w:right w:w="108" w:type="dxa"/>
            </w:tcMar>
            <w:vAlign w:val="bottom"/>
          </w:tcPr>
          <w:p w:rsidR="00000000" w:rsidRDefault="00000000">
            <w:pPr>
              <w:spacing w:before="60" w:after="60"/>
              <w:ind w:right="284"/>
              <w:jc w:val="right"/>
              <w:rPr>
                <w:noProof/>
                <w:szCs w:val="22"/>
                <w:lang w:val="fr-FR"/>
              </w:rPr>
            </w:pPr>
            <w:r>
              <w:rPr>
                <w:noProof/>
                <w:szCs w:val="22"/>
                <w:lang w:val="fr-FR"/>
              </w:rPr>
              <w:t>49</w:t>
            </w:r>
          </w:p>
        </w:tc>
      </w:tr>
    </w:tbl>
    <w:p w:rsidR="00000000" w:rsidRDefault="00000000">
      <w:pPr>
        <w:spacing w:before="240" w:after="240"/>
        <w:rPr>
          <w:bCs/>
          <w:iCs/>
          <w:noProof/>
          <w:szCs w:val="24"/>
          <w:lang w:val="fr-FR"/>
        </w:rPr>
      </w:pPr>
      <w:r>
        <w:rPr>
          <w:bCs/>
          <w:i/>
          <w:noProof/>
          <w:szCs w:val="24"/>
          <w:lang w:val="fr-FR"/>
        </w:rPr>
        <w:tab/>
        <w:t>Source:</w:t>
      </w:r>
      <w:r>
        <w:rPr>
          <w:bCs/>
          <w:iCs/>
          <w:noProof/>
          <w:szCs w:val="24"/>
          <w:lang w:val="fr-FR"/>
        </w:rPr>
        <w:t xml:space="preserve"> Ministère de l’éducation et des sciences; Département des statistiques.</w:t>
      </w:r>
    </w:p>
    <w:p w:rsidR="00000000" w:rsidRDefault="00000000">
      <w:pPr>
        <w:keepNext/>
        <w:spacing w:after="240"/>
        <w:jc w:val="center"/>
        <w:rPr>
          <w:b/>
          <w:bCs/>
          <w:noProof/>
          <w:lang w:val="fr-FR"/>
        </w:rPr>
      </w:pPr>
      <w:r>
        <w:rPr>
          <w:b/>
          <w:bCs/>
          <w:noProof/>
          <w:lang w:val="fr-FR"/>
        </w:rPr>
        <w:t>Nombre d’enseignants par niveau d’études</w:t>
      </w:r>
      <w:r>
        <w:rPr>
          <w:b/>
          <w:bCs/>
          <w:noProof/>
          <w:lang w:val="fr-FR"/>
        </w:rPr>
        <w:br/>
        <w:t>(en fin d’année)</w:t>
      </w:r>
    </w:p>
    <w:tbl>
      <w:tblPr>
        <w:tblW w:w="0" w:type="auto"/>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44"/>
        <w:gridCol w:w="1320"/>
        <w:gridCol w:w="1440"/>
        <w:gridCol w:w="1440"/>
        <w:gridCol w:w="1319"/>
      </w:tblGrid>
      <w:tr w:rsidR="00000000">
        <w:trPr>
          <w:tblHeader/>
          <w:jc w:val="center"/>
        </w:trPr>
        <w:tc>
          <w:tcPr>
            <w:tcW w:w="3844" w:type="dxa"/>
            <w:tcMar>
              <w:left w:w="108" w:type="dxa"/>
              <w:right w:w="113" w:type="dxa"/>
            </w:tcMar>
          </w:tcPr>
          <w:p w:rsidR="00000000" w:rsidRDefault="00000000">
            <w:pPr>
              <w:keepNext/>
              <w:spacing w:before="60" w:after="60"/>
              <w:rPr>
                <w:noProof/>
                <w:szCs w:val="22"/>
                <w:lang w:val="fr-FR"/>
              </w:rPr>
            </w:pPr>
            <w:r>
              <w:rPr>
                <w:noProof/>
                <w:szCs w:val="22"/>
                <w:lang w:val="fr-FR"/>
              </w:rPr>
              <w:br w:type="page"/>
            </w:r>
          </w:p>
        </w:tc>
        <w:tc>
          <w:tcPr>
            <w:tcW w:w="1320" w:type="dxa"/>
            <w:tcMar>
              <w:left w:w="108" w:type="dxa"/>
              <w:right w:w="113" w:type="dxa"/>
            </w:tcMar>
          </w:tcPr>
          <w:p w:rsidR="00000000" w:rsidRDefault="00000000">
            <w:pPr>
              <w:keepNext/>
              <w:spacing w:before="60" w:after="60"/>
              <w:jc w:val="center"/>
              <w:rPr>
                <w:bCs/>
                <w:noProof/>
                <w:szCs w:val="22"/>
                <w:lang w:val="fr-FR"/>
              </w:rPr>
            </w:pPr>
            <w:r>
              <w:rPr>
                <w:bCs/>
                <w:noProof/>
                <w:szCs w:val="22"/>
                <w:lang w:val="fr-FR"/>
              </w:rPr>
              <w:t>2002</w:t>
            </w:r>
          </w:p>
        </w:tc>
        <w:tc>
          <w:tcPr>
            <w:tcW w:w="1440" w:type="dxa"/>
            <w:tcMar>
              <w:left w:w="108" w:type="dxa"/>
              <w:right w:w="113" w:type="dxa"/>
            </w:tcMar>
          </w:tcPr>
          <w:p w:rsidR="00000000" w:rsidRDefault="00000000">
            <w:pPr>
              <w:keepNext/>
              <w:spacing w:before="60" w:after="60"/>
              <w:jc w:val="center"/>
              <w:rPr>
                <w:bCs/>
                <w:noProof/>
                <w:szCs w:val="22"/>
                <w:lang w:val="fr-FR"/>
              </w:rPr>
            </w:pPr>
            <w:r>
              <w:rPr>
                <w:bCs/>
                <w:noProof/>
                <w:szCs w:val="22"/>
                <w:lang w:val="fr-FR"/>
              </w:rPr>
              <w:t>2003</w:t>
            </w:r>
          </w:p>
        </w:tc>
        <w:tc>
          <w:tcPr>
            <w:tcW w:w="1440" w:type="dxa"/>
            <w:tcMar>
              <w:left w:w="108" w:type="dxa"/>
              <w:right w:w="113" w:type="dxa"/>
            </w:tcMar>
          </w:tcPr>
          <w:p w:rsidR="00000000" w:rsidRDefault="00000000">
            <w:pPr>
              <w:keepNext/>
              <w:spacing w:before="60" w:after="60"/>
              <w:jc w:val="center"/>
              <w:rPr>
                <w:bCs/>
                <w:noProof/>
                <w:szCs w:val="22"/>
                <w:lang w:val="fr-FR"/>
              </w:rPr>
            </w:pPr>
            <w:r>
              <w:rPr>
                <w:bCs/>
                <w:noProof/>
                <w:szCs w:val="22"/>
                <w:lang w:val="fr-FR"/>
              </w:rPr>
              <w:t>2004</w:t>
            </w:r>
          </w:p>
        </w:tc>
        <w:tc>
          <w:tcPr>
            <w:tcW w:w="1319" w:type="dxa"/>
            <w:tcMar>
              <w:left w:w="108" w:type="dxa"/>
              <w:right w:w="113" w:type="dxa"/>
            </w:tcMar>
          </w:tcPr>
          <w:p w:rsidR="00000000" w:rsidRDefault="00000000">
            <w:pPr>
              <w:keepNext/>
              <w:spacing w:before="60" w:after="60"/>
              <w:jc w:val="center"/>
              <w:rPr>
                <w:bCs/>
                <w:noProof/>
                <w:szCs w:val="22"/>
                <w:lang w:val="fr-FR"/>
              </w:rPr>
            </w:pPr>
            <w:r>
              <w:rPr>
                <w:bCs/>
                <w:noProof/>
                <w:szCs w:val="22"/>
                <w:lang w:val="fr-FR"/>
              </w:rPr>
              <w:t>2005</w:t>
            </w:r>
          </w:p>
        </w:tc>
      </w:tr>
      <w:tr w:rsidR="00000000">
        <w:trPr>
          <w:jc w:val="center"/>
        </w:trPr>
        <w:tc>
          <w:tcPr>
            <w:tcW w:w="3844" w:type="dxa"/>
            <w:tcMar>
              <w:left w:w="108" w:type="dxa"/>
              <w:right w:w="113" w:type="dxa"/>
            </w:tcMar>
          </w:tcPr>
          <w:p w:rsidR="00000000" w:rsidRDefault="00000000">
            <w:pPr>
              <w:keepNext/>
              <w:spacing w:before="60" w:after="60"/>
              <w:rPr>
                <w:noProof/>
                <w:szCs w:val="22"/>
                <w:lang w:val="fr-FR"/>
              </w:rPr>
            </w:pPr>
            <w:r>
              <w:rPr>
                <w:noProof/>
                <w:szCs w:val="22"/>
                <w:lang w:val="fr-FR"/>
              </w:rPr>
              <w:t>Nombre total d’enseignants ayant une formation:</w:t>
            </w:r>
          </w:p>
        </w:tc>
        <w:tc>
          <w:tcPr>
            <w:tcW w:w="132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7 303</w:t>
            </w:r>
          </w:p>
        </w:tc>
        <w:tc>
          <w:tcPr>
            <w:tcW w:w="144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7 655</w:t>
            </w:r>
          </w:p>
        </w:tc>
        <w:tc>
          <w:tcPr>
            <w:tcW w:w="144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7 783</w:t>
            </w:r>
          </w:p>
        </w:tc>
        <w:tc>
          <w:tcPr>
            <w:tcW w:w="1319"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6 883</w:t>
            </w:r>
          </w:p>
        </w:tc>
      </w:tr>
      <w:tr w:rsidR="00000000">
        <w:trPr>
          <w:jc w:val="center"/>
        </w:trPr>
        <w:tc>
          <w:tcPr>
            <w:tcW w:w="3844" w:type="dxa"/>
            <w:tcMar>
              <w:left w:w="108" w:type="dxa"/>
              <w:right w:w="113" w:type="dxa"/>
            </w:tcMar>
          </w:tcPr>
          <w:p w:rsidR="00000000" w:rsidRDefault="00000000">
            <w:pPr>
              <w:keepNext/>
              <w:tabs>
                <w:tab w:val="left" w:pos="256"/>
              </w:tabs>
              <w:spacing w:before="60" w:after="60"/>
              <w:ind w:left="284"/>
              <w:rPr>
                <w:noProof/>
                <w:szCs w:val="22"/>
                <w:lang w:val="fr-FR"/>
              </w:rPr>
            </w:pPr>
            <w:r>
              <w:rPr>
                <w:noProof/>
                <w:szCs w:val="22"/>
                <w:lang w:val="fr-FR"/>
              </w:rPr>
              <w:t>universitaire complète</w:t>
            </w:r>
          </w:p>
        </w:tc>
        <w:tc>
          <w:tcPr>
            <w:tcW w:w="132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3 739</w:t>
            </w:r>
          </w:p>
        </w:tc>
        <w:tc>
          <w:tcPr>
            <w:tcW w:w="144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4 019</w:t>
            </w:r>
          </w:p>
        </w:tc>
        <w:tc>
          <w:tcPr>
            <w:tcW w:w="144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4 162</w:t>
            </w:r>
          </w:p>
        </w:tc>
        <w:tc>
          <w:tcPr>
            <w:tcW w:w="1319"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3 732</w:t>
            </w:r>
          </w:p>
        </w:tc>
      </w:tr>
      <w:tr w:rsidR="00000000">
        <w:trPr>
          <w:jc w:val="center"/>
        </w:trPr>
        <w:tc>
          <w:tcPr>
            <w:tcW w:w="3844" w:type="dxa"/>
            <w:tcMar>
              <w:left w:w="108" w:type="dxa"/>
              <w:right w:w="113" w:type="dxa"/>
            </w:tcMar>
          </w:tcPr>
          <w:p w:rsidR="00000000" w:rsidRDefault="00000000">
            <w:pPr>
              <w:keepNext/>
              <w:tabs>
                <w:tab w:val="left" w:pos="256"/>
              </w:tabs>
              <w:spacing w:before="60" w:after="60"/>
              <w:ind w:left="284"/>
              <w:rPr>
                <w:noProof/>
                <w:szCs w:val="22"/>
                <w:lang w:val="fr-FR"/>
              </w:rPr>
            </w:pPr>
            <w:r>
              <w:rPr>
                <w:noProof/>
                <w:szCs w:val="22"/>
                <w:lang w:val="fr-FR"/>
              </w:rPr>
              <w:t>universitaire incomplète</w:t>
            </w:r>
          </w:p>
        </w:tc>
        <w:tc>
          <w:tcPr>
            <w:tcW w:w="132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190</w:t>
            </w:r>
          </w:p>
        </w:tc>
        <w:tc>
          <w:tcPr>
            <w:tcW w:w="144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199</w:t>
            </w:r>
          </w:p>
        </w:tc>
        <w:tc>
          <w:tcPr>
            <w:tcW w:w="1440"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181</w:t>
            </w:r>
          </w:p>
        </w:tc>
        <w:tc>
          <w:tcPr>
            <w:tcW w:w="1319" w:type="dxa"/>
            <w:tcMar>
              <w:left w:w="108" w:type="dxa"/>
              <w:right w:w="142" w:type="dxa"/>
            </w:tcMar>
          </w:tcPr>
          <w:p w:rsidR="00000000" w:rsidRDefault="00000000">
            <w:pPr>
              <w:keepNext/>
              <w:spacing w:before="60" w:after="60"/>
              <w:ind w:right="218"/>
              <w:jc w:val="right"/>
              <w:rPr>
                <w:noProof/>
                <w:szCs w:val="22"/>
                <w:lang w:val="fr-FR"/>
              </w:rPr>
            </w:pPr>
            <w:r>
              <w:rPr>
                <w:noProof/>
                <w:szCs w:val="22"/>
                <w:lang w:val="fr-FR"/>
              </w:rPr>
              <w:t>212</w:t>
            </w:r>
          </w:p>
        </w:tc>
      </w:tr>
      <w:tr w:rsidR="00000000">
        <w:trPr>
          <w:jc w:val="center"/>
        </w:trPr>
        <w:tc>
          <w:tcPr>
            <w:tcW w:w="3844" w:type="dxa"/>
            <w:tcMar>
              <w:left w:w="108" w:type="dxa"/>
              <w:right w:w="113" w:type="dxa"/>
            </w:tcMar>
          </w:tcPr>
          <w:p w:rsidR="00000000" w:rsidRDefault="00000000">
            <w:pPr>
              <w:spacing w:before="60" w:after="60"/>
              <w:ind w:left="284"/>
              <w:rPr>
                <w:noProof/>
                <w:szCs w:val="22"/>
                <w:lang w:val="fr-FR"/>
              </w:rPr>
            </w:pPr>
            <w:r>
              <w:rPr>
                <w:noProof/>
                <w:szCs w:val="22"/>
                <w:lang w:val="fr-FR"/>
              </w:rPr>
              <w:t>secondaire professionnelle</w:t>
            </w:r>
          </w:p>
        </w:tc>
        <w:tc>
          <w:tcPr>
            <w:tcW w:w="1320" w:type="dxa"/>
            <w:tcMar>
              <w:left w:w="108" w:type="dxa"/>
              <w:right w:w="142" w:type="dxa"/>
            </w:tcMar>
          </w:tcPr>
          <w:p w:rsidR="00000000" w:rsidRDefault="00000000">
            <w:pPr>
              <w:spacing w:before="60" w:after="60"/>
              <w:ind w:right="218"/>
              <w:jc w:val="right"/>
              <w:rPr>
                <w:noProof/>
                <w:szCs w:val="22"/>
                <w:lang w:val="fr-FR"/>
              </w:rPr>
            </w:pPr>
            <w:r>
              <w:rPr>
                <w:noProof/>
                <w:szCs w:val="22"/>
                <w:lang w:val="fr-FR"/>
              </w:rPr>
              <w:t>3 374</w:t>
            </w:r>
          </w:p>
        </w:tc>
        <w:tc>
          <w:tcPr>
            <w:tcW w:w="1440" w:type="dxa"/>
            <w:tcMar>
              <w:left w:w="108" w:type="dxa"/>
              <w:right w:w="142" w:type="dxa"/>
            </w:tcMar>
          </w:tcPr>
          <w:p w:rsidR="00000000" w:rsidRDefault="00000000">
            <w:pPr>
              <w:spacing w:before="60" w:after="60"/>
              <w:ind w:right="218"/>
              <w:jc w:val="right"/>
              <w:rPr>
                <w:noProof/>
                <w:szCs w:val="22"/>
                <w:lang w:val="fr-FR"/>
              </w:rPr>
            </w:pPr>
            <w:r>
              <w:rPr>
                <w:noProof/>
                <w:szCs w:val="22"/>
                <w:lang w:val="fr-FR"/>
              </w:rPr>
              <w:t>3 267</w:t>
            </w:r>
          </w:p>
        </w:tc>
        <w:tc>
          <w:tcPr>
            <w:tcW w:w="1440" w:type="dxa"/>
            <w:tcMar>
              <w:left w:w="108" w:type="dxa"/>
              <w:right w:w="142" w:type="dxa"/>
            </w:tcMar>
          </w:tcPr>
          <w:p w:rsidR="00000000" w:rsidRDefault="00000000">
            <w:pPr>
              <w:spacing w:before="60" w:after="60"/>
              <w:ind w:right="218"/>
              <w:jc w:val="right"/>
              <w:rPr>
                <w:noProof/>
                <w:szCs w:val="22"/>
                <w:lang w:val="fr-FR"/>
              </w:rPr>
            </w:pPr>
            <w:r>
              <w:rPr>
                <w:noProof/>
                <w:szCs w:val="22"/>
                <w:lang w:val="fr-FR"/>
              </w:rPr>
              <w:t>3 241</w:t>
            </w:r>
          </w:p>
        </w:tc>
        <w:tc>
          <w:tcPr>
            <w:tcW w:w="1319" w:type="dxa"/>
            <w:tcMar>
              <w:left w:w="108" w:type="dxa"/>
              <w:right w:w="142" w:type="dxa"/>
            </w:tcMar>
          </w:tcPr>
          <w:p w:rsidR="00000000" w:rsidRDefault="00000000">
            <w:pPr>
              <w:spacing w:before="60" w:after="60"/>
              <w:ind w:right="218"/>
              <w:jc w:val="right"/>
              <w:rPr>
                <w:noProof/>
                <w:szCs w:val="22"/>
                <w:lang w:val="fr-FR"/>
              </w:rPr>
            </w:pPr>
            <w:r>
              <w:rPr>
                <w:noProof/>
                <w:szCs w:val="22"/>
                <w:lang w:val="fr-FR"/>
              </w:rPr>
              <w:t>2 756</w:t>
            </w:r>
          </w:p>
        </w:tc>
      </w:tr>
      <w:tr w:rsidR="00000000">
        <w:trPr>
          <w:jc w:val="center"/>
        </w:trPr>
        <w:tc>
          <w:tcPr>
            <w:tcW w:w="3844" w:type="dxa"/>
            <w:tcMar>
              <w:left w:w="108" w:type="dxa"/>
              <w:right w:w="113" w:type="dxa"/>
            </w:tcMar>
          </w:tcPr>
          <w:p w:rsidR="00000000" w:rsidRDefault="00000000">
            <w:pPr>
              <w:spacing w:before="60" w:after="60"/>
              <w:ind w:left="284"/>
              <w:rPr>
                <w:noProof/>
                <w:szCs w:val="22"/>
                <w:lang w:val="fr-FR"/>
              </w:rPr>
            </w:pPr>
            <w:r>
              <w:rPr>
                <w:noProof/>
                <w:szCs w:val="22"/>
                <w:lang w:val="fr-FR"/>
              </w:rPr>
              <w:t>pédagogique ayant une formation</w:t>
            </w:r>
          </w:p>
        </w:tc>
        <w:tc>
          <w:tcPr>
            <w:tcW w:w="1320" w:type="dxa"/>
            <w:tcMar>
              <w:left w:w="108" w:type="dxa"/>
              <w:right w:w="142" w:type="dxa"/>
            </w:tcMar>
          </w:tcPr>
          <w:p w:rsidR="00000000" w:rsidRDefault="00000000">
            <w:pPr>
              <w:spacing w:before="60" w:after="60"/>
              <w:ind w:right="218"/>
              <w:jc w:val="right"/>
              <w:rPr>
                <w:noProof/>
                <w:szCs w:val="22"/>
                <w:lang w:val="fr-FR"/>
              </w:rPr>
            </w:pPr>
            <w:r>
              <w:rPr>
                <w:noProof/>
                <w:szCs w:val="22"/>
                <w:lang w:val="fr-FR"/>
              </w:rPr>
              <w:t>2 684</w:t>
            </w:r>
          </w:p>
        </w:tc>
        <w:tc>
          <w:tcPr>
            <w:tcW w:w="1440" w:type="dxa"/>
            <w:tcMar>
              <w:left w:w="108" w:type="dxa"/>
              <w:right w:w="142" w:type="dxa"/>
            </w:tcMar>
          </w:tcPr>
          <w:p w:rsidR="00000000" w:rsidRDefault="00000000">
            <w:pPr>
              <w:spacing w:before="60" w:after="60"/>
              <w:ind w:right="218"/>
              <w:jc w:val="right"/>
              <w:rPr>
                <w:noProof/>
                <w:szCs w:val="22"/>
                <w:lang w:val="fr-FR"/>
              </w:rPr>
            </w:pPr>
            <w:r>
              <w:rPr>
                <w:noProof/>
                <w:szCs w:val="22"/>
                <w:lang w:val="fr-FR"/>
              </w:rPr>
              <w:t>2 694</w:t>
            </w:r>
          </w:p>
        </w:tc>
        <w:tc>
          <w:tcPr>
            <w:tcW w:w="1440" w:type="dxa"/>
            <w:tcMar>
              <w:left w:w="108" w:type="dxa"/>
              <w:right w:w="142" w:type="dxa"/>
            </w:tcMar>
          </w:tcPr>
          <w:p w:rsidR="00000000" w:rsidRDefault="00000000">
            <w:pPr>
              <w:spacing w:before="60" w:after="60"/>
              <w:ind w:right="218"/>
              <w:jc w:val="right"/>
              <w:rPr>
                <w:noProof/>
                <w:szCs w:val="22"/>
                <w:lang w:val="fr-FR"/>
              </w:rPr>
            </w:pPr>
            <w:r>
              <w:rPr>
                <w:noProof/>
                <w:szCs w:val="22"/>
                <w:lang w:val="fr-FR"/>
              </w:rPr>
              <w:t>2 762</w:t>
            </w:r>
          </w:p>
        </w:tc>
        <w:tc>
          <w:tcPr>
            <w:tcW w:w="1319" w:type="dxa"/>
            <w:tcMar>
              <w:left w:w="108" w:type="dxa"/>
              <w:right w:w="142" w:type="dxa"/>
            </w:tcMar>
          </w:tcPr>
          <w:p w:rsidR="00000000" w:rsidRDefault="00000000">
            <w:pPr>
              <w:spacing w:before="60" w:after="60"/>
              <w:ind w:right="218"/>
              <w:jc w:val="right"/>
              <w:rPr>
                <w:noProof/>
                <w:szCs w:val="22"/>
                <w:lang w:val="fr-FR"/>
              </w:rPr>
            </w:pPr>
            <w:r>
              <w:rPr>
                <w:noProof/>
                <w:szCs w:val="22"/>
                <w:lang w:val="fr-FR"/>
              </w:rPr>
              <w:t>2 329</w:t>
            </w:r>
          </w:p>
        </w:tc>
      </w:tr>
    </w:tbl>
    <w:p w:rsidR="00000000" w:rsidRDefault="00000000">
      <w:pPr>
        <w:spacing w:before="240" w:after="240"/>
        <w:rPr>
          <w:bCs/>
          <w:iCs/>
          <w:noProof/>
          <w:szCs w:val="24"/>
          <w:lang w:val="fr-FR"/>
        </w:rPr>
      </w:pPr>
      <w:r>
        <w:rPr>
          <w:bCs/>
          <w:i/>
          <w:noProof/>
          <w:szCs w:val="24"/>
          <w:lang w:val="fr-FR"/>
        </w:rPr>
        <w:tab/>
        <w:t>Source:</w:t>
      </w:r>
      <w:r>
        <w:rPr>
          <w:bCs/>
          <w:iCs/>
          <w:noProof/>
          <w:szCs w:val="24"/>
          <w:lang w:val="fr-FR"/>
        </w:rPr>
        <w:t xml:space="preserve"> Ministère de l’éducation et des sciences; Département des statistiques.</w:t>
      </w:r>
    </w:p>
    <w:p w:rsidR="00000000" w:rsidRDefault="00000000">
      <w:pPr>
        <w:keepNext/>
        <w:spacing w:after="240"/>
        <w:jc w:val="center"/>
        <w:rPr>
          <w:b/>
          <w:bCs/>
          <w:noProof/>
          <w:lang w:val="fr-FR"/>
        </w:rPr>
      </w:pPr>
      <w:r>
        <w:rPr>
          <w:b/>
          <w:bCs/>
          <w:noProof/>
          <w:lang w:val="fr-FR"/>
        </w:rPr>
        <w:t>Nombre d’établissements d’enseignement général et d’élèves</w:t>
      </w:r>
      <w:r>
        <w:rPr>
          <w:b/>
          <w:bCs/>
          <w:noProof/>
          <w:lang w:val="fr-FR"/>
        </w:rPr>
        <w:br/>
        <w:t>(en début d’année scolaire)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40"/>
        <w:gridCol w:w="1320"/>
        <w:gridCol w:w="1440"/>
        <w:gridCol w:w="1440"/>
        <w:gridCol w:w="1316"/>
      </w:tblGrid>
      <w:tr w:rsidR="00000000">
        <w:trPr>
          <w:tblHeader/>
          <w:jc w:val="center"/>
        </w:trPr>
        <w:tc>
          <w:tcPr>
            <w:tcW w:w="3840" w:type="dxa"/>
          </w:tcPr>
          <w:p w:rsidR="00000000" w:rsidRDefault="00000000">
            <w:pPr>
              <w:spacing w:before="60" w:after="60"/>
              <w:rPr>
                <w:noProof/>
                <w:szCs w:val="22"/>
                <w:lang w:val="fr-FR"/>
              </w:rPr>
            </w:pPr>
          </w:p>
        </w:tc>
        <w:tc>
          <w:tcPr>
            <w:tcW w:w="1320" w:type="dxa"/>
          </w:tcPr>
          <w:p w:rsidR="00000000" w:rsidRDefault="00000000">
            <w:pPr>
              <w:spacing w:before="60" w:after="60"/>
              <w:jc w:val="center"/>
              <w:rPr>
                <w:bCs/>
                <w:noProof/>
                <w:szCs w:val="22"/>
                <w:lang w:val="fr-FR"/>
              </w:rPr>
            </w:pPr>
            <w:r>
              <w:rPr>
                <w:bCs/>
                <w:noProof/>
                <w:szCs w:val="22"/>
                <w:lang w:val="fr-FR"/>
              </w:rPr>
              <w:t>2002/2003</w:t>
            </w:r>
          </w:p>
        </w:tc>
        <w:tc>
          <w:tcPr>
            <w:tcW w:w="1440" w:type="dxa"/>
          </w:tcPr>
          <w:p w:rsidR="00000000" w:rsidRDefault="00000000">
            <w:pPr>
              <w:spacing w:before="60" w:after="60"/>
              <w:jc w:val="center"/>
              <w:rPr>
                <w:bCs/>
                <w:noProof/>
                <w:szCs w:val="22"/>
                <w:lang w:val="fr-FR"/>
              </w:rPr>
            </w:pPr>
            <w:r>
              <w:rPr>
                <w:bCs/>
                <w:noProof/>
                <w:szCs w:val="22"/>
                <w:lang w:val="fr-FR"/>
              </w:rPr>
              <w:t>2003/2004</w:t>
            </w:r>
          </w:p>
        </w:tc>
        <w:tc>
          <w:tcPr>
            <w:tcW w:w="1440" w:type="dxa"/>
          </w:tcPr>
          <w:p w:rsidR="00000000" w:rsidRDefault="00000000">
            <w:pPr>
              <w:spacing w:before="60" w:after="60"/>
              <w:jc w:val="center"/>
              <w:rPr>
                <w:bCs/>
                <w:noProof/>
                <w:szCs w:val="22"/>
                <w:lang w:val="fr-FR"/>
              </w:rPr>
            </w:pPr>
            <w:r>
              <w:rPr>
                <w:bCs/>
                <w:noProof/>
                <w:szCs w:val="22"/>
                <w:lang w:val="fr-FR"/>
              </w:rPr>
              <w:t>2004/2005</w:t>
            </w:r>
          </w:p>
        </w:tc>
        <w:tc>
          <w:tcPr>
            <w:tcW w:w="1316" w:type="dxa"/>
          </w:tcPr>
          <w:p w:rsidR="00000000" w:rsidRDefault="00000000">
            <w:pPr>
              <w:spacing w:before="60" w:after="60"/>
              <w:ind w:right="113"/>
              <w:jc w:val="center"/>
              <w:rPr>
                <w:bCs/>
                <w:noProof/>
                <w:szCs w:val="22"/>
                <w:lang w:val="fr-FR"/>
              </w:rPr>
            </w:pPr>
            <w:r>
              <w:rPr>
                <w:bCs/>
                <w:noProof/>
                <w:szCs w:val="22"/>
                <w:lang w:val="fr-FR"/>
              </w:rPr>
              <w:t>2005/2006</w:t>
            </w:r>
          </w:p>
        </w:tc>
      </w:tr>
      <w:tr w:rsidR="00000000">
        <w:trPr>
          <w:trHeight w:val="144"/>
          <w:jc w:val="center"/>
        </w:trPr>
        <w:tc>
          <w:tcPr>
            <w:tcW w:w="3840" w:type="dxa"/>
          </w:tcPr>
          <w:p w:rsidR="00000000" w:rsidRDefault="00000000">
            <w:pPr>
              <w:spacing w:before="60" w:after="60"/>
              <w:rPr>
                <w:b/>
                <w:noProof/>
                <w:szCs w:val="22"/>
                <w:lang w:val="fr-FR"/>
              </w:rPr>
            </w:pPr>
            <w:r>
              <w:rPr>
                <w:noProof/>
                <w:szCs w:val="22"/>
                <w:lang w:val="fr-FR"/>
              </w:rPr>
              <w:t>Établissements d’enseignement général</w:t>
            </w:r>
          </w:p>
        </w:tc>
        <w:tc>
          <w:tcPr>
            <w:tcW w:w="1320" w:type="dxa"/>
            <w:vAlign w:val="bottom"/>
          </w:tcPr>
          <w:p w:rsidR="00000000" w:rsidRDefault="00000000">
            <w:pPr>
              <w:spacing w:before="60" w:after="60"/>
              <w:ind w:right="284"/>
              <w:jc w:val="right"/>
              <w:rPr>
                <w:noProof/>
                <w:szCs w:val="22"/>
                <w:lang w:val="fr-FR"/>
              </w:rPr>
            </w:pPr>
            <w:r>
              <w:rPr>
                <w:noProof/>
                <w:szCs w:val="22"/>
                <w:lang w:val="fr-FR"/>
              </w:rPr>
              <w:t>3 305</w:t>
            </w:r>
          </w:p>
        </w:tc>
        <w:tc>
          <w:tcPr>
            <w:tcW w:w="1440" w:type="dxa"/>
            <w:vAlign w:val="bottom"/>
          </w:tcPr>
          <w:p w:rsidR="00000000" w:rsidRDefault="00000000">
            <w:pPr>
              <w:spacing w:before="60" w:after="60"/>
              <w:ind w:right="284"/>
              <w:jc w:val="right"/>
              <w:rPr>
                <w:noProof/>
                <w:szCs w:val="22"/>
                <w:lang w:val="fr-FR"/>
              </w:rPr>
            </w:pPr>
            <w:r>
              <w:rPr>
                <w:noProof/>
                <w:szCs w:val="22"/>
                <w:lang w:val="fr-FR"/>
              </w:rPr>
              <w:t>3 331</w:t>
            </w:r>
          </w:p>
        </w:tc>
        <w:tc>
          <w:tcPr>
            <w:tcW w:w="1440" w:type="dxa"/>
            <w:vAlign w:val="bottom"/>
          </w:tcPr>
          <w:p w:rsidR="00000000" w:rsidRDefault="00000000">
            <w:pPr>
              <w:spacing w:before="60" w:after="60"/>
              <w:ind w:right="284"/>
              <w:jc w:val="right"/>
              <w:rPr>
                <w:noProof/>
                <w:szCs w:val="22"/>
                <w:lang w:val="fr-FR"/>
              </w:rPr>
            </w:pPr>
            <w:r>
              <w:rPr>
                <w:noProof/>
                <w:szCs w:val="22"/>
                <w:lang w:val="fr-FR"/>
              </w:rPr>
              <w:t>3 343</w:t>
            </w:r>
          </w:p>
        </w:tc>
        <w:tc>
          <w:tcPr>
            <w:tcW w:w="1316" w:type="dxa"/>
            <w:vAlign w:val="bottom"/>
          </w:tcPr>
          <w:p w:rsidR="00000000" w:rsidRDefault="00000000">
            <w:pPr>
              <w:spacing w:before="60" w:after="60"/>
              <w:ind w:right="284"/>
              <w:jc w:val="right"/>
              <w:rPr>
                <w:noProof/>
                <w:szCs w:val="22"/>
                <w:lang w:val="fr-FR"/>
              </w:rPr>
            </w:pPr>
            <w:r>
              <w:rPr>
                <w:noProof/>
                <w:szCs w:val="22"/>
                <w:lang w:val="fr-FR"/>
              </w:rPr>
              <w:t>2 744</w:t>
            </w:r>
          </w:p>
        </w:tc>
      </w:tr>
      <w:tr w:rsidR="00000000">
        <w:trPr>
          <w:trHeight w:val="71"/>
          <w:jc w:val="center"/>
        </w:trPr>
        <w:tc>
          <w:tcPr>
            <w:tcW w:w="3840" w:type="dxa"/>
          </w:tcPr>
          <w:p w:rsidR="00000000" w:rsidRDefault="00000000">
            <w:pPr>
              <w:spacing w:before="60" w:after="60"/>
              <w:rPr>
                <w:noProof/>
                <w:szCs w:val="22"/>
                <w:lang w:val="fr-FR"/>
              </w:rPr>
            </w:pPr>
            <w:r>
              <w:rPr>
                <w:noProof/>
                <w:szCs w:val="22"/>
                <w:lang w:val="fr-FR"/>
              </w:rPr>
              <w:t>dont:</w:t>
            </w:r>
          </w:p>
        </w:tc>
        <w:tc>
          <w:tcPr>
            <w:tcW w:w="132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tabs>
                <w:tab w:val="decimal" w:pos="407"/>
              </w:tabs>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316" w:type="dxa"/>
            <w:vAlign w:val="bottom"/>
          </w:tcPr>
          <w:p w:rsidR="00000000" w:rsidRDefault="00000000">
            <w:pPr>
              <w:spacing w:before="60" w:after="60"/>
              <w:ind w:right="284"/>
              <w:jc w:val="right"/>
              <w:rPr>
                <w:noProof/>
                <w:szCs w:val="22"/>
                <w:lang w:val="fr-FR"/>
              </w:rPr>
            </w:pPr>
          </w:p>
        </w:tc>
      </w:tr>
      <w:tr w:rsidR="00000000">
        <w:trPr>
          <w:trHeight w:val="71"/>
          <w:jc w:val="center"/>
        </w:trPr>
        <w:tc>
          <w:tcPr>
            <w:tcW w:w="3840" w:type="dxa"/>
          </w:tcPr>
          <w:p w:rsidR="00000000" w:rsidRDefault="00000000">
            <w:pPr>
              <w:tabs>
                <w:tab w:val="left" w:pos="332"/>
              </w:tabs>
              <w:spacing w:before="60" w:after="60"/>
              <w:ind w:left="284"/>
              <w:rPr>
                <w:noProof/>
                <w:szCs w:val="22"/>
                <w:lang w:val="fr-FR"/>
              </w:rPr>
            </w:pPr>
            <w:r>
              <w:rPr>
                <w:noProof/>
                <w:szCs w:val="22"/>
                <w:lang w:val="fr-FR"/>
              </w:rPr>
              <w:t xml:space="preserve">Établissements publics </w:t>
            </w:r>
          </w:p>
        </w:tc>
        <w:tc>
          <w:tcPr>
            <w:tcW w:w="1320" w:type="dxa"/>
            <w:vAlign w:val="bottom"/>
          </w:tcPr>
          <w:p w:rsidR="00000000" w:rsidRDefault="00000000">
            <w:pPr>
              <w:spacing w:before="60" w:after="60"/>
              <w:ind w:right="284"/>
              <w:jc w:val="right"/>
              <w:rPr>
                <w:noProof/>
                <w:szCs w:val="22"/>
                <w:lang w:val="fr-FR"/>
              </w:rPr>
            </w:pPr>
            <w:r>
              <w:rPr>
                <w:noProof/>
                <w:szCs w:val="22"/>
                <w:lang w:val="fr-FR"/>
              </w:rPr>
              <w:t>3 174</w:t>
            </w:r>
          </w:p>
        </w:tc>
        <w:tc>
          <w:tcPr>
            <w:tcW w:w="1440" w:type="dxa"/>
            <w:vAlign w:val="bottom"/>
          </w:tcPr>
          <w:p w:rsidR="00000000" w:rsidRDefault="00000000">
            <w:pPr>
              <w:spacing w:before="60" w:after="60"/>
              <w:ind w:right="284"/>
              <w:jc w:val="right"/>
              <w:rPr>
                <w:noProof/>
                <w:szCs w:val="22"/>
                <w:lang w:val="fr-FR"/>
              </w:rPr>
            </w:pPr>
            <w:r>
              <w:rPr>
                <w:noProof/>
                <w:szCs w:val="22"/>
                <w:lang w:val="fr-FR"/>
              </w:rPr>
              <w:t>3 175</w:t>
            </w:r>
          </w:p>
        </w:tc>
        <w:tc>
          <w:tcPr>
            <w:tcW w:w="1440" w:type="dxa"/>
            <w:vAlign w:val="bottom"/>
          </w:tcPr>
          <w:p w:rsidR="00000000" w:rsidRDefault="00000000">
            <w:pPr>
              <w:spacing w:before="60" w:after="60"/>
              <w:ind w:right="284"/>
              <w:jc w:val="right"/>
              <w:rPr>
                <w:noProof/>
                <w:szCs w:val="22"/>
                <w:lang w:val="fr-FR"/>
              </w:rPr>
            </w:pPr>
            <w:r>
              <w:rPr>
                <w:noProof/>
                <w:szCs w:val="22"/>
                <w:lang w:val="fr-FR"/>
              </w:rPr>
              <w:t>3 167</w:t>
            </w:r>
          </w:p>
        </w:tc>
        <w:tc>
          <w:tcPr>
            <w:tcW w:w="1316" w:type="dxa"/>
            <w:vAlign w:val="bottom"/>
          </w:tcPr>
          <w:p w:rsidR="00000000" w:rsidRDefault="00000000">
            <w:pPr>
              <w:spacing w:before="60" w:after="60"/>
              <w:ind w:right="284"/>
              <w:jc w:val="right"/>
              <w:rPr>
                <w:noProof/>
                <w:szCs w:val="22"/>
                <w:lang w:val="fr-FR"/>
              </w:rPr>
            </w:pPr>
            <w:r>
              <w:rPr>
                <w:noProof/>
                <w:szCs w:val="22"/>
                <w:lang w:val="fr-FR"/>
              </w:rPr>
              <w:t>2 470</w:t>
            </w:r>
          </w:p>
        </w:tc>
      </w:tr>
      <w:tr w:rsidR="00000000">
        <w:trPr>
          <w:trHeight w:val="126"/>
          <w:jc w:val="center"/>
        </w:trPr>
        <w:tc>
          <w:tcPr>
            <w:tcW w:w="3840" w:type="dxa"/>
          </w:tcPr>
          <w:p w:rsidR="00000000" w:rsidRDefault="00000000">
            <w:pPr>
              <w:tabs>
                <w:tab w:val="left" w:pos="332"/>
              </w:tabs>
              <w:spacing w:before="60" w:after="60"/>
              <w:ind w:left="284"/>
              <w:rPr>
                <w:noProof/>
                <w:szCs w:val="22"/>
                <w:lang w:val="fr-FR"/>
              </w:rPr>
            </w:pPr>
            <w:r>
              <w:rPr>
                <w:noProof/>
                <w:szCs w:val="22"/>
                <w:lang w:val="fr-FR"/>
              </w:rPr>
              <w:t>parmi lesquels:</w:t>
            </w:r>
          </w:p>
        </w:tc>
        <w:tc>
          <w:tcPr>
            <w:tcW w:w="132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316" w:type="dxa"/>
            <w:vAlign w:val="bottom"/>
          </w:tcPr>
          <w:p w:rsidR="00000000" w:rsidRDefault="00000000">
            <w:pPr>
              <w:spacing w:before="60" w:after="60"/>
              <w:ind w:right="284"/>
              <w:jc w:val="right"/>
              <w:rPr>
                <w:noProof/>
                <w:szCs w:val="22"/>
                <w:lang w:val="fr-FR"/>
              </w:rPr>
            </w:pPr>
          </w:p>
        </w:tc>
      </w:tr>
      <w:tr w:rsidR="00000000">
        <w:trPr>
          <w:trHeight w:val="126"/>
          <w:jc w:val="center"/>
        </w:trPr>
        <w:tc>
          <w:tcPr>
            <w:tcW w:w="3840" w:type="dxa"/>
          </w:tcPr>
          <w:p w:rsidR="00000000" w:rsidRDefault="00000000">
            <w:pPr>
              <w:tabs>
                <w:tab w:val="left" w:pos="572"/>
              </w:tabs>
              <w:spacing w:before="60" w:after="60"/>
              <w:ind w:left="567"/>
              <w:rPr>
                <w:noProof/>
                <w:szCs w:val="22"/>
                <w:lang w:val="fr-FR"/>
              </w:rPr>
            </w:pPr>
            <w:r>
              <w:rPr>
                <w:noProof/>
                <w:szCs w:val="22"/>
                <w:lang w:val="fr-FR"/>
              </w:rPr>
              <w:t>écoles de jour</w:t>
            </w:r>
          </w:p>
        </w:tc>
        <w:tc>
          <w:tcPr>
            <w:tcW w:w="1320" w:type="dxa"/>
            <w:vAlign w:val="bottom"/>
          </w:tcPr>
          <w:p w:rsidR="00000000" w:rsidRDefault="00000000">
            <w:pPr>
              <w:spacing w:before="60" w:after="60"/>
              <w:ind w:right="284"/>
              <w:jc w:val="right"/>
              <w:rPr>
                <w:noProof/>
                <w:szCs w:val="22"/>
                <w:lang w:val="fr-FR"/>
              </w:rPr>
            </w:pPr>
            <w:r>
              <w:rPr>
                <w:noProof/>
                <w:szCs w:val="22"/>
                <w:lang w:val="fr-FR"/>
              </w:rPr>
              <w:t>3 147</w:t>
            </w:r>
          </w:p>
        </w:tc>
        <w:tc>
          <w:tcPr>
            <w:tcW w:w="1440" w:type="dxa"/>
            <w:vAlign w:val="bottom"/>
          </w:tcPr>
          <w:p w:rsidR="00000000" w:rsidRDefault="00000000">
            <w:pPr>
              <w:spacing w:before="60" w:after="60"/>
              <w:ind w:right="284"/>
              <w:jc w:val="right"/>
              <w:rPr>
                <w:noProof/>
                <w:szCs w:val="22"/>
                <w:lang w:val="fr-FR"/>
              </w:rPr>
            </w:pPr>
            <w:r>
              <w:rPr>
                <w:noProof/>
                <w:szCs w:val="22"/>
                <w:lang w:val="fr-FR"/>
              </w:rPr>
              <w:t>3 148</w:t>
            </w:r>
          </w:p>
        </w:tc>
        <w:tc>
          <w:tcPr>
            <w:tcW w:w="1440" w:type="dxa"/>
            <w:vAlign w:val="bottom"/>
          </w:tcPr>
          <w:p w:rsidR="00000000" w:rsidRDefault="00000000">
            <w:pPr>
              <w:spacing w:before="60" w:after="60"/>
              <w:ind w:right="284"/>
              <w:jc w:val="right"/>
              <w:rPr>
                <w:noProof/>
                <w:szCs w:val="22"/>
                <w:lang w:val="fr-FR"/>
              </w:rPr>
            </w:pPr>
            <w:r>
              <w:rPr>
                <w:noProof/>
                <w:szCs w:val="22"/>
                <w:lang w:val="fr-FR"/>
              </w:rPr>
              <w:t>3 147</w:t>
            </w:r>
          </w:p>
        </w:tc>
        <w:tc>
          <w:tcPr>
            <w:tcW w:w="1316" w:type="dxa"/>
            <w:vAlign w:val="bottom"/>
          </w:tcPr>
          <w:p w:rsidR="00000000" w:rsidRDefault="00000000">
            <w:pPr>
              <w:spacing w:before="60" w:after="60"/>
              <w:ind w:right="284"/>
              <w:jc w:val="right"/>
              <w:rPr>
                <w:noProof/>
                <w:szCs w:val="22"/>
                <w:lang w:val="fr-FR"/>
              </w:rPr>
            </w:pPr>
            <w:r>
              <w:rPr>
                <w:noProof/>
                <w:szCs w:val="22"/>
                <w:lang w:val="fr-FR"/>
              </w:rPr>
              <w:t>2 456</w:t>
            </w:r>
          </w:p>
        </w:tc>
      </w:tr>
      <w:tr w:rsidR="00000000">
        <w:trPr>
          <w:trHeight w:val="71"/>
          <w:jc w:val="center"/>
        </w:trPr>
        <w:tc>
          <w:tcPr>
            <w:tcW w:w="3840" w:type="dxa"/>
          </w:tcPr>
          <w:p w:rsidR="00000000" w:rsidRDefault="00000000">
            <w:pPr>
              <w:tabs>
                <w:tab w:val="left" w:pos="572"/>
              </w:tabs>
              <w:spacing w:before="60" w:after="60"/>
              <w:ind w:left="567"/>
              <w:rPr>
                <w:noProof/>
                <w:szCs w:val="22"/>
                <w:lang w:val="fr-FR"/>
              </w:rPr>
            </w:pPr>
            <w:r>
              <w:rPr>
                <w:noProof/>
                <w:szCs w:val="22"/>
                <w:lang w:val="fr-FR"/>
              </w:rPr>
              <w:t xml:space="preserve">écoles du soir </w:t>
            </w:r>
          </w:p>
        </w:tc>
        <w:tc>
          <w:tcPr>
            <w:tcW w:w="1320" w:type="dxa"/>
            <w:vAlign w:val="bottom"/>
          </w:tcPr>
          <w:p w:rsidR="00000000" w:rsidRDefault="00000000">
            <w:pPr>
              <w:spacing w:before="60" w:after="60"/>
              <w:ind w:right="284"/>
              <w:jc w:val="right"/>
              <w:rPr>
                <w:noProof/>
                <w:szCs w:val="22"/>
                <w:lang w:val="fr-FR"/>
              </w:rPr>
            </w:pPr>
            <w:r>
              <w:rPr>
                <w:noProof/>
                <w:szCs w:val="22"/>
                <w:lang w:val="fr-FR"/>
              </w:rPr>
              <w:t>27</w:t>
            </w:r>
          </w:p>
        </w:tc>
        <w:tc>
          <w:tcPr>
            <w:tcW w:w="1440" w:type="dxa"/>
            <w:vAlign w:val="bottom"/>
          </w:tcPr>
          <w:p w:rsidR="00000000" w:rsidRDefault="00000000">
            <w:pPr>
              <w:spacing w:before="60" w:after="60"/>
              <w:ind w:right="284"/>
              <w:jc w:val="right"/>
              <w:rPr>
                <w:noProof/>
                <w:szCs w:val="22"/>
                <w:lang w:val="fr-FR"/>
              </w:rPr>
            </w:pPr>
            <w:r>
              <w:rPr>
                <w:noProof/>
                <w:szCs w:val="22"/>
                <w:lang w:val="fr-FR"/>
              </w:rPr>
              <w:t>27</w:t>
            </w:r>
          </w:p>
        </w:tc>
        <w:tc>
          <w:tcPr>
            <w:tcW w:w="1440" w:type="dxa"/>
            <w:vAlign w:val="bottom"/>
          </w:tcPr>
          <w:p w:rsidR="00000000" w:rsidRDefault="00000000">
            <w:pPr>
              <w:spacing w:before="60" w:after="60"/>
              <w:ind w:right="284"/>
              <w:jc w:val="right"/>
              <w:rPr>
                <w:noProof/>
                <w:szCs w:val="22"/>
                <w:lang w:val="fr-FR"/>
              </w:rPr>
            </w:pPr>
            <w:r>
              <w:rPr>
                <w:noProof/>
                <w:szCs w:val="22"/>
                <w:lang w:val="fr-FR"/>
              </w:rPr>
              <w:t>20</w:t>
            </w:r>
          </w:p>
        </w:tc>
        <w:tc>
          <w:tcPr>
            <w:tcW w:w="1316" w:type="dxa"/>
            <w:vAlign w:val="bottom"/>
          </w:tcPr>
          <w:p w:rsidR="00000000" w:rsidRDefault="00000000">
            <w:pPr>
              <w:spacing w:before="60" w:after="60"/>
              <w:ind w:right="284"/>
              <w:jc w:val="right"/>
              <w:rPr>
                <w:noProof/>
                <w:szCs w:val="22"/>
                <w:lang w:val="fr-FR"/>
              </w:rPr>
            </w:pPr>
            <w:r>
              <w:rPr>
                <w:noProof/>
                <w:szCs w:val="22"/>
                <w:lang w:val="fr-FR"/>
              </w:rPr>
              <w:t>14</w:t>
            </w:r>
          </w:p>
        </w:tc>
      </w:tr>
      <w:tr w:rsidR="00000000">
        <w:trPr>
          <w:trHeight w:val="71"/>
          <w:jc w:val="center"/>
        </w:trPr>
        <w:tc>
          <w:tcPr>
            <w:tcW w:w="3840" w:type="dxa"/>
          </w:tcPr>
          <w:p w:rsidR="00000000" w:rsidRDefault="00000000">
            <w:pPr>
              <w:tabs>
                <w:tab w:val="left" w:pos="332"/>
              </w:tabs>
              <w:spacing w:before="60" w:after="60"/>
              <w:ind w:left="284"/>
              <w:rPr>
                <w:noProof/>
                <w:szCs w:val="22"/>
                <w:lang w:val="fr-FR"/>
              </w:rPr>
            </w:pPr>
            <w:r>
              <w:rPr>
                <w:noProof/>
                <w:szCs w:val="22"/>
                <w:lang w:val="fr-FR"/>
              </w:rPr>
              <w:t xml:space="preserve">Établissements privés </w:t>
            </w:r>
          </w:p>
        </w:tc>
        <w:tc>
          <w:tcPr>
            <w:tcW w:w="1320" w:type="dxa"/>
            <w:vAlign w:val="bottom"/>
          </w:tcPr>
          <w:p w:rsidR="00000000" w:rsidRDefault="00000000">
            <w:pPr>
              <w:spacing w:before="60" w:after="60"/>
              <w:ind w:right="284"/>
              <w:jc w:val="right"/>
              <w:rPr>
                <w:noProof/>
                <w:szCs w:val="22"/>
                <w:lang w:val="fr-FR"/>
              </w:rPr>
            </w:pPr>
            <w:r>
              <w:rPr>
                <w:noProof/>
                <w:szCs w:val="22"/>
                <w:lang w:val="fr-FR"/>
              </w:rPr>
              <w:t>131</w:t>
            </w:r>
          </w:p>
        </w:tc>
        <w:tc>
          <w:tcPr>
            <w:tcW w:w="1440" w:type="dxa"/>
            <w:vAlign w:val="bottom"/>
          </w:tcPr>
          <w:p w:rsidR="00000000" w:rsidRDefault="00000000">
            <w:pPr>
              <w:spacing w:before="60" w:after="60"/>
              <w:ind w:right="284"/>
              <w:jc w:val="right"/>
              <w:rPr>
                <w:noProof/>
                <w:szCs w:val="22"/>
                <w:lang w:val="fr-FR"/>
              </w:rPr>
            </w:pPr>
            <w:r>
              <w:rPr>
                <w:noProof/>
                <w:szCs w:val="22"/>
                <w:lang w:val="fr-FR"/>
              </w:rPr>
              <w:t>156</w:t>
            </w:r>
          </w:p>
        </w:tc>
        <w:tc>
          <w:tcPr>
            <w:tcW w:w="1440" w:type="dxa"/>
            <w:vAlign w:val="bottom"/>
          </w:tcPr>
          <w:p w:rsidR="00000000" w:rsidRDefault="00000000">
            <w:pPr>
              <w:spacing w:before="60" w:after="60"/>
              <w:ind w:right="284"/>
              <w:jc w:val="right"/>
              <w:rPr>
                <w:noProof/>
                <w:szCs w:val="22"/>
                <w:lang w:val="fr-FR"/>
              </w:rPr>
            </w:pPr>
            <w:r>
              <w:rPr>
                <w:noProof/>
                <w:szCs w:val="22"/>
                <w:lang w:val="fr-FR"/>
              </w:rPr>
              <w:t>176</w:t>
            </w:r>
          </w:p>
        </w:tc>
        <w:tc>
          <w:tcPr>
            <w:tcW w:w="1316" w:type="dxa"/>
            <w:vAlign w:val="bottom"/>
          </w:tcPr>
          <w:p w:rsidR="00000000" w:rsidRDefault="00000000">
            <w:pPr>
              <w:spacing w:before="60" w:after="60"/>
              <w:ind w:right="284"/>
              <w:jc w:val="right"/>
              <w:rPr>
                <w:noProof/>
                <w:szCs w:val="22"/>
                <w:lang w:val="fr-FR"/>
              </w:rPr>
            </w:pPr>
            <w:r>
              <w:rPr>
                <w:noProof/>
                <w:szCs w:val="22"/>
                <w:lang w:val="fr-FR"/>
              </w:rPr>
              <w:t>260</w:t>
            </w:r>
          </w:p>
        </w:tc>
      </w:tr>
      <w:tr w:rsidR="00000000">
        <w:trPr>
          <w:jc w:val="center"/>
        </w:trPr>
        <w:tc>
          <w:tcPr>
            <w:tcW w:w="3840" w:type="dxa"/>
          </w:tcPr>
          <w:p w:rsidR="00000000" w:rsidRDefault="00000000">
            <w:pPr>
              <w:keepNext/>
              <w:spacing w:before="60" w:after="60"/>
              <w:rPr>
                <w:noProof/>
                <w:szCs w:val="22"/>
                <w:lang w:val="fr-FR"/>
              </w:rPr>
            </w:pPr>
            <w:r>
              <w:rPr>
                <w:noProof/>
                <w:szCs w:val="22"/>
                <w:lang w:val="fr-FR"/>
              </w:rPr>
              <w:t>Nombre d’élèves (en milliers)</w:t>
            </w:r>
          </w:p>
        </w:tc>
        <w:tc>
          <w:tcPr>
            <w:tcW w:w="1320" w:type="dxa"/>
            <w:vAlign w:val="bottom"/>
          </w:tcPr>
          <w:p w:rsidR="00000000" w:rsidRDefault="00000000">
            <w:pPr>
              <w:spacing w:before="60" w:after="60"/>
              <w:ind w:right="284"/>
              <w:jc w:val="right"/>
              <w:rPr>
                <w:noProof/>
                <w:szCs w:val="22"/>
                <w:lang w:val="fr-FR"/>
              </w:rPr>
            </w:pPr>
            <w:r>
              <w:rPr>
                <w:noProof/>
                <w:szCs w:val="22"/>
                <w:lang w:val="fr-FR"/>
              </w:rPr>
              <w:t>686,1</w:t>
            </w:r>
          </w:p>
        </w:tc>
        <w:tc>
          <w:tcPr>
            <w:tcW w:w="1440" w:type="dxa"/>
            <w:vAlign w:val="bottom"/>
          </w:tcPr>
          <w:p w:rsidR="00000000" w:rsidRDefault="00000000">
            <w:pPr>
              <w:spacing w:before="60" w:after="60"/>
              <w:ind w:right="284"/>
              <w:jc w:val="right"/>
              <w:rPr>
                <w:noProof/>
                <w:szCs w:val="22"/>
                <w:lang w:val="fr-FR"/>
              </w:rPr>
            </w:pPr>
            <w:r>
              <w:rPr>
                <w:noProof/>
                <w:szCs w:val="22"/>
                <w:lang w:val="fr-FR"/>
              </w:rPr>
              <w:t>671,9</w:t>
            </w:r>
          </w:p>
        </w:tc>
        <w:tc>
          <w:tcPr>
            <w:tcW w:w="1440" w:type="dxa"/>
            <w:vAlign w:val="bottom"/>
          </w:tcPr>
          <w:p w:rsidR="00000000" w:rsidRDefault="00000000">
            <w:pPr>
              <w:spacing w:before="60" w:after="60"/>
              <w:ind w:right="284"/>
              <w:jc w:val="right"/>
              <w:rPr>
                <w:noProof/>
                <w:szCs w:val="22"/>
                <w:lang w:val="fr-FR"/>
              </w:rPr>
            </w:pPr>
            <w:r>
              <w:rPr>
                <w:noProof/>
                <w:szCs w:val="22"/>
                <w:lang w:val="fr-FR"/>
              </w:rPr>
              <w:t>648,3</w:t>
            </w:r>
          </w:p>
        </w:tc>
        <w:tc>
          <w:tcPr>
            <w:tcW w:w="1316" w:type="dxa"/>
            <w:vAlign w:val="bottom"/>
          </w:tcPr>
          <w:p w:rsidR="00000000" w:rsidRDefault="00000000">
            <w:pPr>
              <w:spacing w:before="60" w:after="60"/>
              <w:ind w:right="284"/>
              <w:jc w:val="right"/>
              <w:rPr>
                <w:noProof/>
                <w:szCs w:val="22"/>
                <w:lang w:val="fr-FR"/>
              </w:rPr>
            </w:pPr>
            <w:r>
              <w:rPr>
                <w:noProof/>
                <w:szCs w:val="22"/>
                <w:lang w:val="fr-FR"/>
              </w:rPr>
              <w:t>634,7</w:t>
            </w:r>
          </w:p>
        </w:tc>
      </w:tr>
      <w:tr w:rsidR="00000000">
        <w:trPr>
          <w:trHeight w:val="71"/>
          <w:jc w:val="center"/>
        </w:trPr>
        <w:tc>
          <w:tcPr>
            <w:tcW w:w="3840" w:type="dxa"/>
          </w:tcPr>
          <w:p w:rsidR="00000000" w:rsidRDefault="00000000">
            <w:pPr>
              <w:keepNext/>
              <w:spacing w:before="60" w:after="60"/>
              <w:rPr>
                <w:noProof/>
                <w:szCs w:val="22"/>
                <w:lang w:val="fr-FR"/>
              </w:rPr>
            </w:pPr>
            <w:r>
              <w:rPr>
                <w:noProof/>
                <w:szCs w:val="22"/>
                <w:lang w:val="fr-FR"/>
              </w:rPr>
              <w:t>dont:</w:t>
            </w:r>
          </w:p>
        </w:tc>
        <w:tc>
          <w:tcPr>
            <w:tcW w:w="132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316" w:type="dxa"/>
            <w:vAlign w:val="bottom"/>
          </w:tcPr>
          <w:p w:rsidR="00000000" w:rsidRDefault="00000000">
            <w:pPr>
              <w:spacing w:before="60" w:after="60"/>
              <w:ind w:right="284"/>
              <w:jc w:val="right"/>
              <w:rPr>
                <w:noProof/>
                <w:szCs w:val="22"/>
                <w:lang w:val="fr-FR"/>
              </w:rPr>
            </w:pPr>
          </w:p>
        </w:tc>
      </w:tr>
      <w:tr w:rsidR="00000000">
        <w:trPr>
          <w:jc w:val="center"/>
        </w:trPr>
        <w:tc>
          <w:tcPr>
            <w:tcW w:w="3840" w:type="dxa"/>
          </w:tcPr>
          <w:p w:rsidR="00000000" w:rsidRDefault="00000000">
            <w:pPr>
              <w:keepNext/>
              <w:tabs>
                <w:tab w:val="left" w:pos="332"/>
              </w:tabs>
              <w:spacing w:before="60" w:after="60"/>
              <w:ind w:left="284"/>
              <w:rPr>
                <w:noProof/>
                <w:szCs w:val="22"/>
                <w:lang w:val="fr-FR"/>
              </w:rPr>
            </w:pPr>
            <w:r>
              <w:rPr>
                <w:noProof/>
                <w:szCs w:val="22"/>
                <w:lang w:val="fr-FR"/>
              </w:rPr>
              <w:t xml:space="preserve">élèves en établissement public </w:t>
            </w:r>
          </w:p>
        </w:tc>
        <w:tc>
          <w:tcPr>
            <w:tcW w:w="1320" w:type="dxa"/>
            <w:vAlign w:val="bottom"/>
          </w:tcPr>
          <w:p w:rsidR="00000000" w:rsidRDefault="00000000">
            <w:pPr>
              <w:spacing w:before="60" w:after="60"/>
              <w:ind w:right="284"/>
              <w:jc w:val="right"/>
              <w:rPr>
                <w:noProof/>
                <w:szCs w:val="22"/>
                <w:lang w:val="fr-FR"/>
              </w:rPr>
            </w:pPr>
            <w:r>
              <w:rPr>
                <w:noProof/>
                <w:szCs w:val="22"/>
                <w:lang w:val="fr-FR"/>
              </w:rPr>
              <w:t>670,8</w:t>
            </w:r>
          </w:p>
        </w:tc>
        <w:tc>
          <w:tcPr>
            <w:tcW w:w="1440" w:type="dxa"/>
            <w:vAlign w:val="bottom"/>
          </w:tcPr>
          <w:p w:rsidR="00000000" w:rsidRDefault="00000000">
            <w:pPr>
              <w:spacing w:before="60" w:after="60"/>
              <w:ind w:right="284"/>
              <w:jc w:val="right"/>
              <w:rPr>
                <w:noProof/>
                <w:szCs w:val="22"/>
                <w:lang w:val="fr-FR"/>
              </w:rPr>
            </w:pPr>
            <w:r>
              <w:rPr>
                <w:noProof/>
                <w:szCs w:val="22"/>
                <w:lang w:val="fr-FR"/>
              </w:rPr>
              <w:t>655,0</w:t>
            </w:r>
          </w:p>
        </w:tc>
        <w:tc>
          <w:tcPr>
            <w:tcW w:w="1440" w:type="dxa"/>
            <w:vAlign w:val="bottom"/>
          </w:tcPr>
          <w:p w:rsidR="00000000" w:rsidRDefault="00000000">
            <w:pPr>
              <w:spacing w:before="60" w:after="60"/>
              <w:ind w:right="284"/>
              <w:jc w:val="right"/>
              <w:rPr>
                <w:noProof/>
                <w:szCs w:val="22"/>
                <w:lang w:val="fr-FR"/>
              </w:rPr>
            </w:pPr>
            <w:r>
              <w:rPr>
                <w:noProof/>
                <w:szCs w:val="22"/>
                <w:lang w:val="fr-FR"/>
              </w:rPr>
              <w:t>627,3</w:t>
            </w:r>
          </w:p>
        </w:tc>
        <w:tc>
          <w:tcPr>
            <w:tcW w:w="1316" w:type="dxa"/>
            <w:vAlign w:val="bottom"/>
          </w:tcPr>
          <w:p w:rsidR="00000000" w:rsidRDefault="00000000">
            <w:pPr>
              <w:spacing w:before="60" w:after="60"/>
              <w:ind w:right="284"/>
              <w:jc w:val="right"/>
              <w:rPr>
                <w:noProof/>
                <w:szCs w:val="22"/>
                <w:lang w:val="fr-FR"/>
              </w:rPr>
            </w:pPr>
            <w:r>
              <w:rPr>
                <w:noProof/>
                <w:szCs w:val="22"/>
                <w:lang w:val="fr-FR"/>
              </w:rPr>
              <w:t>601,4</w:t>
            </w:r>
          </w:p>
        </w:tc>
      </w:tr>
      <w:tr w:rsidR="00000000">
        <w:trPr>
          <w:jc w:val="center"/>
        </w:trPr>
        <w:tc>
          <w:tcPr>
            <w:tcW w:w="3840" w:type="dxa"/>
          </w:tcPr>
          <w:p w:rsidR="00000000" w:rsidRDefault="00000000">
            <w:pPr>
              <w:keepNext/>
              <w:tabs>
                <w:tab w:val="left" w:pos="332"/>
              </w:tabs>
              <w:spacing w:before="60" w:after="60"/>
              <w:ind w:left="284"/>
              <w:rPr>
                <w:noProof/>
                <w:szCs w:val="22"/>
                <w:lang w:val="fr-FR"/>
              </w:rPr>
            </w:pPr>
            <w:r>
              <w:rPr>
                <w:noProof/>
                <w:szCs w:val="22"/>
                <w:lang w:val="fr-FR"/>
              </w:rPr>
              <w:t>parmi lesquels:</w:t>
            </w:r>
          </w:p>
        </w:tc>
        <w:tc>
          <w:tcPr>
            <w:tcW w:w="132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440" w:type="dxa"/>
            <w:vAlign w:val="bottom"/>
          </w:tcPr>
          <w:p w:rsidR="00000000" w:rsidRDefault="00000000">
            <w:pPr>
              <w:spacing w:before="60" w:after="60"/>
              <w:ind w:right="284"/>
              <w:jc w:val="right"/>
              <w:rPr>
                <w:noProof/>
                <w:szCs w:val="22"/>
                <w:lang w:val="fr-FR"/>
              </w:rPr>
            </w:pPr>
          </w:p>
        </w:tc>
        <w:tc>
          <w:tcPr>
            <w:tcW w:w="1316" w:type="dxa"/>
            <w:vAlign w:val="bottom"/>
          </w:tcPr>
          <w:p w:rsidR="00000000" w:rsidRDefault="00000000">
            <w:pPr>
              <w:spacing w:before="60" w:after="60"/>
              <w:ind w:right="284"/>
              <w:jc w:val="right"/>
              <w:rPr>
                <w:noProof/>
                <w:szCs w:val="22"/>
                <w:lang w:val="fr-FR"/>
              </w:rPr>
            </w:pPr>
          </w:p>
        </w:tc>
      </w:tr>
      <w:tr w:rsidR="00000000">
        <w:trPr>
          <w:jc w:val="center"/>
        </w:trPr>
        <w:tc>
          <w:tcPr>
            <w:tcW w:w="3840" w:type="dxa"/>
          </w:tcPr>
          <w:p w:rsidR="00000000" w:rsidRDefault="00000000">
            <w:pPr>
              <w:keepNext/>
              <w:tabs>
                <w:tab w:val="left" w:pos="572"/>
              </w:tabs>
              <w:spacing w:before="60" w:after="60"/>
              <w:ind w:left="567"/>
              <w:rPr>
                <w:noProof/>
                <w:szCs w:val="22"/>
                <w:lang w:val="fr-FR"/>
              </w:rPr>
            </w:pPr>
            <w:r>
              <w:rPr>
                <w:noProof/>
                <w:szCs w:val="22"/>
                <w:lang w:val="fr-FR"/>
              </w:rPr>
              <w:tab/>
              <w:t>Élèves en école de jour</w:t>
            </w:r>
          </w:p>
        </w:tc>
        <w:tc>
          <w:tcPr>
            <w:tcW w:w="1320" w:type="dxa"/>
            <w:vAlign w:val="bottom"/>
          </w:tcPr>
          <w:p w:rsidR="00000000" w:rsidRDefault="00000000">
            <w:pPr>
              <w:spacing w:before="60" w:after="60"/>
              <w:ind w:right="284"/>
              <w:jc w:val="right"/>
              <w:rPr>
                <w:noProof/>
                <w:szCs w:val="22"/>
                <w:lang w:val="fr-FR"/>
              </w:rPr>
            </w:pPr>
            <w:r>
              <w:rPr>
                <w:noProof/>
                <w:szCs w:val="22"/>
                <w:lang w:val="fr-FR"/>
              </w:rPr>
              <w:t>666,1</w:t>
            </w:r>
          </w:p>
        </w:tc>
        <w:tc>
          <w:tcPr>
            <w:tcW w:w="1440" w:type="dxa"/>
            <w:vAlign w:val="bottom"/>
          </w:tcPr>
          <w:p w:rsidR="00000000" w:rsidRDefault="00000000">
            <w:pPr>
              <w:spacing w:before="60" w:after="60"/>
              <w:ind w:right="284"/>
              <w:jc w:val="right"/>
              <w:rPr>
                <w:noProof/>
                <w:szCs w:val="22"/>
                <w:lang w:val="fr-FR"/>
              </w:rPr>
            </w:pPr>
            <w:r>
              <w:rPr>
                <w:noProof/>
                <w:szCs w:val="22"/>
                <w:lang w:val="fr-FR"/>
              </w:rPr>
              <w:t>650,1</w:t>
            </w:r>
          </w:p>
        </w:tc>
        <w:tc>
          <w:tcPr>
            <w:tcW w:w="1440" w:type="dxa"/>
            <w:vAlign w:val="bottom"/>
          </w:tcPr>
          <w:p w:rsidR="00000000" w:rsidRDefault="00000000">
            <w:pPr>
              <w:spacing w:before="60" w:after="60"/>
              <w:ind w:right="284"/>
              <w:jc w:val="right"/>
              <w:rPr>
                <w:noProof/>
                <w:szCs w:val="22"/>
                <w:lang w:val="fr-FR"/>
              </w:rPr>
            </w:pPr>
            <w:r>
              <w:rPr>
                <w:noProof/>
                <w:szCs w:val="22"/>
                <w:lang w:val="fr-FR"/>
              </w:rPr>
              <w:t>624,9</w:t>
            </w:r>
          </w:p>
        </w:tc>
        <w:tc>
          <w:tcPr>
            <w:tcW w:w="1316" w:type="dxa"/>
            <w:vAlign w:val="bottom"/>
          </w:tcPr>
          <w:p w:rsidR="00000000" w:rsidRDefault="00000000">
            <w:pPr>
              <w:spacing w:before="60" w:after="60"/>
              <w:ind w:right="284"/>
              <w:jc w:val="right"/>
              <w:rPr>
                <w:noProof/>
                <w:szCs w:val="22"/>
                <w:lang w:val="fr-FR"/>
              </w:rPr>
            </w:pPr>
            <w:r>
              <w:rPr>
                <w:noProof/>
                <w:szCs w:val="22"/>
                <w:lang w:val="fr-FR"/>
              </w:rPr>
              <w:t>601,3</w:t>
            </w:r>
          </w:p>
        </w:tc>
      </w:tr>
      <w:tr w:rsidR="00000000">
        <w:trPr>
          <w:trHeight w:val="71"/>
          <w:jc w:val="center"/>
        </w:trPr>
        <w:tc>
          <w:tcPr>
            <w:tcW w:w="3840" w:type="dxa"/>
          </w:tcPr>
          <w:p w:rsidR="00000000" w:rsidRDefault="00000000">
            <w:pPr>
              <w:keepNext/>
              <w:tabs>
                <w:tab w:val="left" w:pos="572"/>
              </w:tabs>
              <w:spacing w:before="60" w:after="60"/>
              <w:ind w:left="567"/>
              <w:rPr>
                <w:noProof/>
                <w:szCs w:val="22"/>
                <w:lang w:val="fr-FR"/>
              </w:rPr>
            </w:pPr>
            <w:r>
              <w:rPr>
                <w:noProof/>
                <w:szCs w:val="22"/>
                <w:lang w:val="fr-FR"/>
              </w:rPr>
              <w:tab/>
              <w:t xml:space="preserve">Élèves en école du soir </w:t>
            </w:r>
          </w:p>
        </w:tc>
        <w:tc>
          <w:tcPr>
            <w:tcW w:w="1320" w:type="dxa"/>
            <w:vAlign w:val="bottom"/>
          </w:tcPr>
          <w:p w:rsidR="00000000" w:rsidRDefault="00000000">
            <w:pPr>
              <w:spacing w:before="60" w:after="60"/>
              <w:ind w:right="284"/>
              <w:jc w:val="right"/>
              <w:rPr>
                <w:noProof/>
                <w:szCs w:val="22"/>
                <w:lang w:val="fr-FR"/>
              </w:rPr>
            </w:pPr>
            <w:r>
              <w:rPr>
                <w:noProof/>
                <w:szCs w:val="22"/>
                <w:lang w:val="fr-FR"/>
              </w:rPr>
              <w:t>4,7</w:t>
            </w:r>
          </w:p>
        </w:tc>
        <w:tc>
          <w:tcPr>
            <w:tcW w:w="1440" w:type="dxa"/>
            <w:vAlign w:val="bottom"/>
          </w:tcPr>
          <w:p w:rsidR="00000000" w:rsidRDefault="00000000">
            <w:pPr>
              <w:spacing w:before="60" w:after="60"/>
              <w:ind w:right="284"/>
              <w:jc w:val="right"/>
              <w:rPr>
                <w:noProof/>
                <w:szCs w:val="22"/>
                <w:lang w:val="fr-FR"/>
              </w:rPr>
            </w:pPr>
            <w:r>
              <w:rPr>
                <w:noProof/>
                <w:szCs w:val="22"/>
                <w:lang w:val="fr-FR"/>
              </w:rPr>
              <w:t>4,9</w:t>
            </w:r>
          </w:p>
        </w:tc>
        <w:tc>
          <w:tcPr>
            <w:tcW w:w="1440" w:type="dxa"/>
            <w:vAlign w:val="bottom"/>
          </w:tcPr>
          <w:p w:rsidR="00000000" w:rsidRDefault="00000000">
            <w:pPr>
              <w:spacing w:before="60" w:after="60"/>
              <w:ind w:right="284"/>
              <w:jc w:val="right"/>
              <w:rPr>
                <w:noProof/>
                <w:szCs w:val="22"/>
                <w:lang w:val="fr-FR"/>
              </w:rPr>
            </w:pPr>
            <w:r>
              <w:rPr>
                <w:noProof/>
                <w:szCs w:val="22"/>
                <w:lang w:val="fr-FR"/>
              </w:rPr>
              <w:t>2,4</w:t>
            </w:r>
          </w:p>
        </w:tc>
        <w:tc>
          <w:tcPr>
            <w:tcW w:w="1316" w:type="dxa"/>
            <w:vAlign w:val="bottom"/>
          </w:tcPr>
          <w:p w:rsidR="00000000" w:rsidRDefault="00000000">
            <w:pPr>
              <w:spacing w:before="60" w:after="60"/>
              <w:ind w:right="284"/>
              <w:jc w:val="right"/>
              <w:rPr>
                <w:noProof/>
                <w:szCs w:val="22"/>
                <w:lang w:val="fr-FR"/>
              </w:rPr>
            </w:pPr>
            <w:r>
              <w:rPr>
                <w:noProof/>
                <w:szCs w:val="22"/>
                <w:lang w:val="fr-FR"/>
              </w:rPr>
              <w:t>0,1</w:t>
            </w:r>
          </w:p>
        </w:tc>
      </w:tr>
      <w:tr w:rsidR="00000000">
        <w:trPr>
          <w:trHeight w:val="71"/>
          <w:jc w:val="center"/>
        </w:trPr>
        <w:tc>
          <w:tcPr>
            <w:tcW w:w="3840" w:type="dxa"/>
          </w:tcPr>
          <w:p w:rsidR="00000000" w:rsidRDefault="00000000">
            <w:pPr>
              <w:tabs>
                <w:tab w:val="left" w:pos="332"/>
              </w:tabs>
              <w:spacing w:before="60" w:after="60"/>
              <w:ind w:left="567"/>
              <w:rPr>
                <w:noProof/>
                <w:szCs w:val="22"/>
                <w:lang w:val="fr-FR"/>
              </w:rPr>
            </w:pPr>
            <w:r>
              <w:rPr>
                <w:noProof/>
                <w:szCs w:val="22"/>
                <w:lang w:val="fr-FR"/>
              </w:rPr>
              <w:t xml:space="preserve">Élèves en établissement privé </w:t>
            </w:r>
          </w:p>
        </w:tc>
        <w:tc>
          <w:tcPr>
            <w:tcW w:w="1320" w:type="dxa"/>
            <w:vAlign w:val="bottom"/>
          </w:tcPr>
          <w:p w:rsidR="00000000" w:rsidRDefault="00000000">
            <w:pPr>
              <w:spacing w:before="60" w:after="60"/>
              <w:ind w:right="284"/>
              <w:jc w:val="right"/>
              <w:rPr>
                <w:noProof/>
                <w:szCs w:val="22"/>
                <w:lang w:val="fr-FR"/>
              </w:rPr>
            </w:pPr>
            <w:r>
              <w:rPr>
                <w:noProof/>
                <w:szCs w:val="22"/>
                <w:lang w:val="fr-FR"/>
              </w:rPr>
              <w:t>15,3</w:t>
            </w:r>
          </w:p>
        </w:tc>
        <w:tc>
          <w:tcPr>
            <w:tcW w:w="1440" w:type="dxa"/>
            <w:vAlign w:val="bottom"/>
          </w:tcPr>
          <w:p w:rsidR="00000000" w:rsidRDefault="00000000">
            <w:pPr>
              <w:spacing w:before="60" w:after="60"/>
              <w:ind w:right="284"/>
              <w:jc w:val="right"/>
              <w:rPr>
                <w:noProof/>
                <w:szCs w:val="22"/>
                <w:lang w:val="fr-FR"/>
              </w:rPr>
            </w:pPr>
            <w:r>
              <w:rPr>
                <w:noProof/>
                <w:szCs w:val="22"/>
                <w:lang w:val="fr-FR"/>
              </w:rPr>
              <w:t>16,9</w:t>
            </w:r>
          </w:p>
        </w:tc>
        <w:tc>
          <w:tcPr>
            <w:tcW w:w="1440" w:type="dxa"/>
            <w:vAlign w:val="bottom"/>
          </w:tcPr>
          <w:p w:rsidR="00000000" w:rsidRDefault="00000000">
            <w:pPr>
              <w:spacing w:before="60" w:after="60"/>
              <w:ind w:right="284"/>
              <w:jc w:val="right"/>
              <w:rPr>
                <w:noProof/>
                <w:szCs w:val="22"/>
                <w:lang w:val="fr-FR"/>
              </w:rPr>
            </w:pPr>
            <w:r>
              <w:rPr>
                <w:noProof/>
                <w:szCs w:val="22"/>
                <w:lang w:val="fr-FR"/>
              </w:rPr>
              <w:t>21,0</w:t>
            </w:r>
          </w:p>
        </w:tc>
        <w:tc>
          <w:tcPr>
            <w:tcW w:w="1316" w:type="dxa"/>
            <w:vAlign w:val="bottom"/>
          </w:tcPr>
          <w:p w:rsidR="00000000" w:rsidRDefault="00000000">
            <w:pPr>
              <w:spacing w:before="60" w:after="60"/>
              <w:ind w:right="284"/>
              <w:jc w:val="right"/>
              <w:rPr>
                <w:noProof/>
                <w:szCs w:val="22"/>
                <w:lang w:val="fr-FR"/>
              </w:rPr>
            </w:pPr>
            <w:r>
              <w:rPr>
                <w:noProof/>
                <w:szCs w:val="22"/>
                <w:lang w:val="fr-FR"/>
              </w:rPr>
              <w:t>33,4</w:t>
            </w:r>
          </w:p>
        </w:tc>
      </w:tr>
    </w:tbl>
    <w:p w:rsidR="00000000" w:rsidRDefault="00000000">
      <w:pPr>
        <w:spacing w:before="240" w:after="240"/>
        <w:rPr>
          <w:bCs/>
          <w:iCs/>
          <w:noProof/>
          <w:szCs w:val="24"/>
          <w:lang w:val="fr-FR"/>
        </w:rPr>
      </w:pPr>
      <w:r>
        <w:rPr>
          <w:bCs/>
          <w:i/>
          <w:noProof/>
          <w:szCs w:val="24"/>
          <w:lang w:val="fr-FR"/>
        </w:rPr>
        <w:tab/>
        <w:t xml:space="preserve">Source: </w:t>
      </w:r>
      <w:r>
        <w:rPr>
          <w:bCs/>
          <w:iCs/>
          <w:noProof/>
          <w:szCs w:val="24"/>
          <w:lang w:val="fr-FR"/>
        </w:rPr>
        <w:t>Ministère de l’éducation et des sciences; Département des statistiques.</w:t>
      </w:r>
    </w:p>
    <w:p w:rsidR="00000000" w:rsidRDefault="00000000">
      <w:pPr>
        <w:keepNext/>
        <w:spacing w:after="240"/>
        <w:jc w:val="center"/>
        <w:rPr>
          <w:b/>
          <w:bCs/>
          <w:noProof/>
          <w:lang w:val="fr-FR"/>
        </w:rPr>
      </w:pPr>
      <w:r>
        <w:rPr>
          <w:b/>
          <w:bCs/>
          <w:noProof/>
          <w:lang w:val="fr-FR"/>
        </w:rPr>
        <w:t>Écoles d’enseignement général de jour (accueillant des élèves</w:t>
      </w:r>
      <w:r>
        <w:rPr>
          <w:b/>
          <w:bCs/>
          <w:noProof/>
          <w:lang w:val="fr-FR"/>
        </w:rPr>
        <w:br/>
        <w:t>handicapés physiques et mentaux) (en début d’année scolaire)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0"/>
        <w:gridCol w:w="1560"/>
        <w:gridCol w:w="1565"/>
        <w:gridCol w:w="1435"/>
      </w:tblGrid>
      <w:tr w:rsidR="00000000">
        <w:trPr>
          <w:tblHeader/>
        </w:trPr>
        <w:tc>
          <w:tcPr>
            <w:tcW w:w="4800" w:type="dxa"/>
          </w:tcPr>
          <w:p w:rsidR="00000000" w:rsidRDefault="00000000">
            <w:pPr>
              <w:keepNext/>
              <w:spacing w:before="60" w:after="60"/>
              <w:rPr>
                <w:bCs/>
                <w:noProof/>
                <w:szCs w:val="24"/>
                <w:lang w:val="fr-FR"/>
              </w:rPr>
            </w:pPr>
            <w:r>
              <w:rPr>
                <w:noProof/>
                <w:szCs w:val="24"/>
                <w:lang w:val="fr-FR"/>
              </w:rPr>
              <w:br w:type="page"/>
            </w:r>
            <w:r>
              <w:rPr>
                <w:noProof/>
                <w:szCs w:val="24"/>
                <w:lang w:val="fr-FR"/>
              </w:rPr>
              <w:br w:type="page"/>
            </w:r>
            <w:r>
              <w:rPr>
                <w:noProof/>
                <w:szCs w:val="24"/>
                <w:lang w:val="fr-FR"/>
              </w:rPr>
              <w:br w:type="page"/>
            </w:r>
          </w:p>
        </w:tc>
        <w:tc>
          <w:tcPr>
            <w:tcW w:w="1560" w:type="dxa"/>
          </w:tcPr>
          <w:p w:rsidR="00000000" w:rsidRDefault="00000000">
            <w:pPr>
              <w:keepNext/>
              <w:spacing w:before="60" w:after="60"/>
              <w:jc w:val="center"/>
              <w:rPr>
                <w:bCs/>
                <w:noProof/>
                <w:szCs w:val="24"/>
                <w:lang w:val="fr-FR"/>
              </w:rPr>
            </w:pPr>
            <w:r>
              <w:rPr>
                <w:bCs/>
                <w:noProof/>
                <w:szCs w:val="24"/>
                <w:lang w:val="fr-FR"/>
              </w:rPr>
              <w:t>2002/2003</w:t>
            </w:r>
          </w:p>
        </w:tc>
        <w:tc>
          <w:tcPr>
            <w:tcW w:w="1565" w:type="dxa"/>
          </w:tcPr>
          <w:p w:rsidR="00000000" w:rsidRDefault="00000000">
            <w:pPr>
              <w:keepNext/>
              <w:spacing w:before="60" w:after="60"/>
              <w:jc w:val="center"/>
              <w:rPr>
                <w:bCs/>
                <w:noProof/>
                <w:szCs w:val="24"/>
                <w:lang w:val="fr-FR"/>
              </w:rPr>
            </w:pPr>
            <w:r>
              <w:rPr>
                <w:bCs/>
                <w:noProof/>
                <w:szCs w:val="24"/>
                <w:lang w:val="fr-FR"/>
              </w:rPr>
              <w:t>2003/2004</w:t>
            </w:r>
          </w:p>
        </w:tc>
        <w:tc>
          <w:tcPr>
            <w:tcW w:w="1435" w:type="dxa"/>
          </w:tcPr>
          <w:p w:rsidR="00000000" w:rsidRDefault="00000000">
            <w:pPr>
              <w:keepNext/>
              <w:spacing w:before="60" w:after="60"/>
              <w:jc w:val="center"/>
              <w:rPr>
                <w:bCs/>
                <w:noProof/>
                <w:szCs w:val="24"/>
                <w:lang w:val="fr-FR"/>
              </w:rPr>
            </w:pPr>
            <w:r>
              <w:rPr>
                <w:bCs/>
                <w:noProof/>
                <w:szCs w:val="24"/>
                <w:lang w:val="fr-FR"/>
              </w:rPr>
              <w:t>2004/2005</w:t>
            </w:r>
          </w:p>
        </w:tc>
      </w:tr>
      <w:tr w:rsidR="00000000">
        <w:tc>
          <w:tcPr>
            <w:tcW w:w="4800" w:type="dxa"/>
          </w:tcPr>
          <w:p w:rsidR="00000000" w:rsidRDefault="00000000">
            <w:pPr>
              <w:spacing w:before="60" w:after="60"/>
              <w:rPr>
                <w:noProof/>
                <w:szCs w:val="24"/>
                <w:lang w:val="fr-FR"/>
              </w:rPr>
            </w:pPr>
            <w:r>
              <w:rPr>
                <w:noProof/>
                <w:szCs w:val="24"/>
                <w:lang w:val="fr-FR"/>
              </w:rPr>
              <w:t>Nombre total d’écoles d’enseignement général de jour</w:t>
            </w:r>
          </w:p>
        </w:tc>
        <w:tc>
          <w:tcPr>
            <w:tcW w:w="1560" w:type="dxa"/>
          </w:tcPr>
          <w:p w:rsidR="00000000" w:rsidRDefault="00000000">
            <w:pPr>
              <w:spacing w:before="60" w:after="60"/>
              <w:ind w:right="284"/>
              <w:jc w:val="right"/>
              <w:rPr>
                <w:noProof/>
                <w:szCs w:val="24"/>
                <w:lang w:val="fr-FR"/>
              </w:rPr>
            </w:pPr>
            <w:r>
              <w:rPr>
                <w:noProof/>
                <w:szCs w:val="24"/>
                <w:lang w:val="fr-FR"/>
              </w:rPr>
              <w:t>3 278</w:t>
            </w:r>
          </w:p>
        </w:tc>
        <w:tc>
          <w:tcPr>
            <w:tcW w:w="1565" w:type="dxa"/>
          </w:tcPr>
          <w:p w:rsidR="00000000" w:rsidRDefault="00000000">
            <w:pPr>
              <w:spacing w:before="60" w:after="60"/>
              <w:ind w:right="284"/>
              <w:jc w:val="right"/>
              <w:rPr>
                <w:noProof/>
                <w:szCs w:val="24"/>
                <w:lang w:val="fr-FR"/>
              </w:rPr>
            </w:pPr>
            <w:r>
              <w:rPr>
                <w:noProof/>
                <w:szCs w:val="24"/>
                <w:lang w:val="fr-FR"/>
              </w:rPr>
              <w:t>3 304</w:t>
            </w:r>
          </w:p>
        </w:tc>
        <w:tc>
          <w:tcPr>
            <w:tcW w:w="1435" w:type="dxa"/>
          </w:tcPr>
          <w:p w:rsidR="00000000" w:rsidRDefault="00000000">
            <w:pPr>
              <w:spacing w:before="60" w:after="60"/>
              <w:ind w:right="284"/>
              <w:jc w:val="right"/>
              <w:rPr>
                <w:noProof/>
                <w:szCs w:val="24"/>
                <w:lang w:val="fr-FR"/>
              </w:rPr>
            </w:pPr>
            <w:r>
              <w:rPr>
                <w:noProof/>
                <w:szCs w:val="24"/>
                <w:lang w:val="fr-FR"/>
              </w:rPr>
              <w:t>3 323</w:t>
            </w:r>
          </w:p>
        </w:tc>
      </w:tr>
      <w:tr w:rsidR="00000000">
        <w:tc>
          <w:tcPr>
            <w:tcW w:w="4800" w:type="dxa"/>
          </w:tcPr>
          <w:p w:rsidR="00000000" w:rsidRDefault="00000000">
            <w:pPr>
              <w:spacing w:before="60" w:after="60"/>
              <w:rPr>
                <w:noProof/>
                <w:szCs w:val="24"/>
                <w:lang w:val="fr-FR"/>
              </w:rPr>
            </w:pPr>
            <w:r>
              <w:rPr>
                <w:noProof/>
                <w:szCs w:val="24"/>
                <w:lang w:val="fr-FR"/>
              </w:rPr>
              <w:t>dont:</w:t>
            </w:r>
          </w:p>
        </w:tc>
        <w:tc>
          <w:tcPr>
            <w:tcW w:w="1560" w:type="dxa"/>
          </w:tcPr>
          <w:p w:rsidR="00000000" w:rsidRDefault="00000000">
            <w:pPr>
              <w:spacing w:before="60" w:after="60"/>
              <w:ind w:right="284"/>
              <w:jc w:val="right"/>
              <w:rPr>
                <w:noProof/>
                <w:szCs w:val="24"/>
                <w:lang w:val="fr-FR"/>
              </w:rPr>
            </w:pPr>
          </w:p>
        </w:tc>
        <w:tc>
          <w:tcPr>
            <w:tcW w:w="1565" w:type="dxa"/>
          </w:tcPr>
          <w:p w:rsidR="00000000" w:rsidRDefault="00000000">
            <w:pPr>
              <w:spacing w:before="60" w:after="60"/>
              <w:ind w:right="284"/>
              <w:jc w:val="right"/>
              <w:rPr>
                <w:noProof/>
                <w:szCs w:val="24"/>
                <w:lang w:val="fr-FR"/>
              </w:rPr>
            </w:pPr>
          </w:p>
        </w:tc>
        <w:tc>
          <w:tcPr>
            <w:tcW w:w="1435" w:type="dxa"/>
          </w:tcPr>
          <w:p w:rsidR="00000000" w:rsidRDefault="00000000">
            <w:pPr>
              <w:spacing w:before="60" w:after="60"/>
              <w:ind w:right="284"/>
              <w:jc w:val="right"/>
              <w:rPr>
                <w:noProof/>
                <w:szCs w:val="24"/>
                <w:lang w:val="fr-FR"/>
              </w:rPr>
            </w:pPr>
          </w:p>
        </w:tc>
      </w:tr>
      <w:tr w:rsidR="00000000">
        <w:trPr>
          <w:trHeight w:val="128"/>
        </w:trPr>
        <w:tc>
          <w:tcPr>
            <w:tcW w:w="4800" w:type="dxa"/>
          </w:tcPr>
          <w:p w:rsidR="00000000" w:rsidRDefault="00000000">
            <w:pPr>
              <w:tabs>
                <w:tab w:val="left" w:pos="252"/>
              </w:tabs>
              <w:spacing w:before="60" w:after="60"/>
              <w:rPr>
                <w:noProof/>
                <w:szCs w:val="24"/>
                <w:lang w:val="fr-FR"/>
              </w:rPr>
            </w:pPr>
            <w:r>
              <w:rPr>
                <w:noProof/>
                <w:szCs w:val="24"/>
                <w:lang w:val="fr-FR"/>
              </w:rPr>
              <w:tab/>
              <w:t xml:space="preserve">Établissements publics </w:t>
            </w:r>
          </w:p>
        </w:tc>
        <w:tc>
          <w:tcPr>
            <w:tcW w:w="1560" w:type="dxa"/>
          </w:tcPr>
          <w:p w:rsidR="00000000" w:rsidRDefault="00000000">
            <w:pPr>
              <w:spacing w:before="60" w:after="60"/>
              <w:ind w:right="284"/>
              <w:jc w:val="right"/>
              <w:rPr>
                <w:noProof/>
                <w:szCs w:val="24"/>
                <w:lang w:val="fr-FR"/>
              </w:rPr>
            </w:pPr>
            <w:r>
              <w:rPr>
                <w:noProof/>
                <w:szCs w:val="24"/>
                <w:lang w:val="fr-FR"/>
              </w:rPr>
              <w:t>3 147</w:t>
            </w:r>
          </w:p>
        </w:tc>
        <w:tc>
          <w:tcPr>
            <w:tcW w:w="1565" w:type="dxa"/>
          </w:tcPr>
          <w:p w:rsidR="00000000" w:rsidRDefault="00000000">
            <w:pPr>
              <w:spacing w:before="60" w:after="60"/>
              <w:ind w:right="284"/>
              <w:jc w:val="right"/>
              <w:rPr>
                <w:noProof/>
                <w:szCs w:val="24"/>
                <w:lang w:val="fr-FR"/>
              </w:rPr>
            </w:pPr>
            <w:r>
              <w:rPr>
                <w:noProof/>
                <w:szCs w:val="24"/>
                <w:lang w:val="fr-FR"/>
              </w:rPr>
              <w:t>3 148</w:t>
            </w:r>
          </w:p>
        </w:tc>
        <w:tc>
          <w:tcPr>
            <w:tcW w:w="1435" w:type="dxa"/>
          </w:tcPr>
          <w:p w:rsidR="00000000" w:rsidRDefault="00000000">
            <w:pPr>
              <w:spacing w:before="60" w:after="60"/>
              <w:ind w:right="284"/>
              <w:jc w:val="right"/>
              <w:rPr>
                <w:noProof/>
                <w:szCs w:val="24"/>
                <w:lang w:val="fr-FR"/>
              </w:rPr>
            </w:pPr>
            <w:r>
              <w:rPr>
                <w:noProof/>
                <w:szCs w:val="24"/>
                <w:lang w:val="fr-FR"/>
              </w:rPr>
              <w:t>3 147</w:t>
            </w:r>
          </w:p>
        </w:tc>
      </w:tr>
      <w:tr w:rsidR="00000000">
        <w:tc>
          <w:tcPr>
            <w:tcW w:w="4800" w:type="dxa"/>
          </w:tcPr>
          <w:p w:rsidR="00000000" w:rsidRDefault="00000000">
            <w:pPr>
              <w:tabs>
                <w:tab w:val="left" w:pos="252"/>
              </w:tabs>
              <w:spacing w:before="60" w:after="60"/>
              <w:rPr>
                <w:noProof/>
                <w:szCs w:val="24"/>
                <w:lang w:val="fr-FR"/>
              </w:rPr>
            </w:pPr>
            <w:r>
              <w:rPr>
                <w:noProof/>
                <w:szCs w:val="24"/>
                <w:lang w:val="fr-FR"/>
              </w:rPr>
              <w:tab/>
              <w:t>dont:</w:t>
            </w:r>
          </w:p>
        </w:tc>
        <w:tc>
          <w:tcPr>
            <w:tcW w:w="1560" w:type="dxa"/>
          </w:tcPr>
          <w:p w:rsidR="00000000" w:rsidRDefault="00000000">
            <w:pPr>
              <w:spacing w:before="60" w:after="60"/>
              <w:ind w:right="284"/>
              <w:jc w:val="right"/>
              <w:rPr>
                <w:noProof/>
                <w:szCs w:val="24"/>
                <w:lang w:val="fr-FR"/>
              </w:rPr>
            </w:pPr>
          </w:p>
        </w:tc>
        <w:tc>
          <w:tcPr>
            <w:tcW w:w="1565" w:type="dxa"/>
          </w:tcPr>
          <w:p w:rsidR="00000000" w:rsidRDefault="00000000">
            <w:pPr>
              <w:spacing w:before="60" w:after="60"/>
              <w:ind w:right="284"/>
              <w:jc w:val="right"/>
              <w:rPr>
                <w:noProof/>
                <w:szCs w:val="24"/>
                <w:lang w:val="fr-FR"/>
              </w:rPr>
            </w:pPr>
          </w:p>
        </w:tc>
        <w:tc>
          <w:tcPr>
            <w:tcW w:w="1435" w:type="dxa"/>
          </w:tcPr>
          <w:p w:rsidR="00000000" w:rsidRDefault="00000000">
            <w:pPr>
              <w:spacing w:before="60" w:after="60"/>
              <w:ind w:right="284"/>
              <w:jc w:val="right"/>
              <w:rPr>
                <w:noProof/>
                <w:szCs w:val="24"/>
                <w:lang w:val="fr-FR"/>
              </w:rPr>
            </w:pPr>
          </w:p>
        </w:tc>
      </w:tr>
      <w:tr w:rsidR="00000000">
        <w:tc>
          <w:tcPr>
            <w:tcW w:w="4800" w:type="dxa"/>
          </w:tcPr>
          <w:p w:rsidR="00000000" w:rsidRDefault="00000000">
            <w:pPr>
              <w:tabs>
                <w:tab w:val="left" w:pos="492"/>
              </w:tabs>
              <w:spacing w:before="60" w:after="60"/>
              <w:rPr>
                <w:noProof/>
                <w:szCs w:val="24"/>
                <w:lang w:val="fr-FR"/>
              </w:rPr>
            </w:pPr>
            <w:r>
              <w:rPr>
                <w:noProof/>
                <w:szCs w:val="24"/>
                <w:lang w:val="fr-FR"/>
              </w:rPr>
              <w:tab/>
              <w:t>écoles primaires</w:t>
            </w:r>
          </w:p>
        </w:tc>
        <w:tc>
          <w:tcPr>
            <w:tcW w:w="1560" w:type="dxa"/>
          </w:tcPr>
          <w:p w:rsidR="00000000" w:rsidRDefault="00000000">
            <w:pPr>
              <w:spacing w:before="60" w:after="60"/>
              <w:ind w:right="284"/>
              <w:jc w:val="right"/>
              <w:rPr>
                <w:noProof/>
                <w:szCs w:val="24"/>
                <w:lang w:val="fr-FR"/>
              </w:rPr>
            </w:pPr>
            <w:r>
              <w:rPr>
                <w:noProof/>
                <w:szCs w:val="24"/>
                <w:lang w:val="fr-FR"/>
              </w:rPr>
              <w:t>771</w:t>
            </w:r>
          </w:p>
        </w:tc>
        <w:tc>
          <w:tcPr>
            <w:tcW w:w="1565" w:type="dxa"/>
          </w:tcPr>
          <w:p w:rsidR="00000000" w:rsidRDefault="00000000">
            <w:pPr>
              <w:spacing w:before="60" w:after="60"/>
              <w:ind w:right="284"/>
              <w:jc w:val="right"/>
              <w:rPr>
                <w:noProof/>
                <w:szCs w:val="24"/>
                <w:lang w:val="fr-FR"/>
              </w:rPr>
            </w:pPr>
            <w:r>
              <w:rPr>
                <w:noProof/>
                <w:szCs w:val="24"/>
                <w:lang w:val="fr-FR"/>
              </w:rPr>
              <w:t>765</w:t>
            </w:r>
          </w:p>
        </w:tc>
        <w:tc>
          <w:tcPr>
            <w:tcW w:w="1435" w:type="dxa"/>
          </w:tcPr>
          <w:p w:rsidR="00000000" w:rsidRDefault="00000000">
            <w:pPr>
              <w:spacing w:before="60" w:after="60"/>
              <w:ind w:right="284"/>
              <w:jc w:val="right"/>
              <w:rPr>
                <w:noProof/>
                <w:szCs w:val="24"/>
                <w:lang w:val="fr-FR"/>
              </w:rPr>
            </w:pPr>
            <w:r>
              <w:rPr>
                <w:noProof/>
                <w:szCs w:val="24"/>
                <w:lang w:val="fr-FR"/>
              </w:rPr>
              <w:t>732</w:t>
            </w:r>
          </w:p>
        </w:tc>
      </w:tr>
      <w:tr w:rsidR="00000000">
        <w:trPr>
          <w:trHeight w:val="291"/>
        </w:trPr>
        <w:tc>
          <w:tcPr>
            <w:tcW w:w="4800" w:type="dxa"/>
          </w:tcPr>
          <w:p w:rsidR="00000000" w:rsidRDefault="00000000">
            <w:pPr>
              <w:tabs>
                <w:tab w:val="left" w:pos="492"/>
              </w:tabs>
              <w:spacing w:before="60" w:after="60"/>
              <w:rPr>
                <w:noProof/>
                <w:szCs w:val="24"/>
                <w:lang w:val="fr-FR"/>
              </w:rPr>
            </w:pPr>
            <w:r>
              <w:rPr>
                <w:noProof/>
                <w:szCs w:val="24"/>
                <w:lang w:val="fr-FR"/>
              </w:rPr>
              <w:tab/>
              <w:t>écoles de base</w:t>
            </w:r>
          </w:p>
        </w:tc>
        <w:tc>
          <w:tcPr>
            <w:tcW w:w="1560" w:type="dxa"/>
          </w:tcPr>
          <w:p w:rsidR="00000000" w:rsidRDefault="00000000">
            <w:pPr>
              <w:spacing w:before="60" w:after="60"/>
              <w:ind w:right="284"/>
              <w:jc w:val="right"/>
              <w:rPr>
                <w:noProof/>
                <w:szCs w:val="24"/>
                <w:lang w:val="fr-FR"/>
              </w:rPr>
            </w:pPr>
            <w:r>
              <w:rPr>
                <w:noProof/>
                <w:szCs w:val="24"/>
                <w:lang w:val="fr-FR"/>
              </w:rPr>
              <w:t>665</w:t>
            </w:r>
          </w:p>
        </w:tc>
        <w:tc>
          <w:tcPr>
            <w:tcW w:w="1565" w:type="dxa"/>
          </w:tcPr>
          <w:p w:rsidR="00000000" w:rsidRDefault="00000000">
            <w:pPr>
              <w:spacing w:before="60" w:after="60"/>
              <w:ind w:right="284"/>
              <w:jc w:val="right"/>
              <w:rPr>
                <w:noProof/>
                <w:szCs w:val="24"/>
                <w:lang w:val="fr-FR"/>
              </w:rPr>
            </w:pPr>
            <w:r>
              <w:rPr>
                <w:noProof/>
                <w:szCs w:val="24"/>
                <w:lang w:val="fr-FR"/>
              </w:rPr>
              <w:t>629</w:t>
            </w:r>
          </w:p>
        </w:tc>
        <w:tc>
          <w:tcPr>
            <w:tcW w:w="1435" w:type="dxa"/>
          </w:tcPr>
          <w:p w:rsidR="00000000" w:rsidRDefault="00000000">
            <w:pPr>
              <w:spacing w:before="60" w:after="60"/>
              <w:ind w:right="284"/>
              <w:jc w:val="right"/>
              <w:rPr>
                <w:noProof/>
                <w:szCs w:val="24"/>
                <w:lang w:val="fr-FR"/>
              </w:rPr>
            </w:pPr>
            <w:r>
              <w:rPr>
                <w:noProof/>
                <w:szCs w:val="24"/>
                <w:lang w:val="fr-FR"/>
              </w:rPr>
              <w:t>599</w:t>
            </w:r>
          </w:p>
        </w:tc>
      </w:tr>
      <w:tr w:rsidR="00000000">
        <w:tc>
          <w:tcPr>
            <w:tcW w:w="4800" w:type="dxa"/>
          </w:tcPr>
          <w:p w:rsidR="00000000" w:rsidRDefault="00000000">
            <w:pPr>
              <w:tabs>
                <w:tab w:val="left" w:pos="492"/>
              </w:tabs>
              <w:spacing w:before="60" w:after="60"/>
              <w:rPr>
                <w:noProof/>
                <w:szCs w:val="24"/>
                <w:lang w:val="fr-FR"/>
              </w:rPr>
            </w:pPr>
            <w:r>
              <w:rPr>
                <w:noProof/>
                <w:szCs w:val="24"/>
                <w:lang w:val="fr-FR"/>
              </w:rPr>
              <w:tab/>
              <w:t>écoles secondaires</w:t>
            </w:r>
          </w:p>
        </w:tc>
        <w:tc>
          <w:tcPr>
            <w:tcW w:w="1560" w:type="dxa"/>
          </w:tcPr>
          <w:p w:rsidR="00000000" w:rsidRDefault="00000000">
            <w:pPr>
              <w:spacing w:before="60" w:after="60"/>
              <w:ind w:right="284"/>
              <w:jc w:val="right"/>
              <w:rPr>
                <w:noProof/>
                <w:szCs w:val="24"/>
                <w:lang w:val="fr-FR"/>
              </w:rPr>
            </w:pPr>
            <w:r>
              <w:rPr>
                <w:noProof/>
                <w:szCs w:val="24"/>
                <w:lang w:val="fr-FR"/>
              </w:rPr>
              <w:t>1 694</w:t>
            </w:r>
          </w:p>
        </w:tc>
        <w:tc>
          <w:tcPr>
            <w:tcW w:w="1565" w:type="dxa"/>
          </w:tcPr>
          <w:p w:rsidR="00000000" w:rsidRDefault="00000000">
            <w:pPr>
              <w:spacing w:before="60" w:after="60"/>
              <w:ind w:right="284"/>
              <w:jc w:val="right"/>
              <w:rPr>
                <w:noProof/>
                <w:szCs w:val="24"/>
                <w:lang w:val="fr-FR"/>
              </w:rPr>
            </w:pPr>
            <w:r>
              <w:rPr>
                <w:noProof/>
                <w:szCs w:val="24"/>
                <w:lang w:val="fr-FR"/>
              </w:rPr>
              <w:t>1 737</w:t>
            </w:r>
          </w:p>
        </w:tc>
        <w:tc>
          <w:tcPr>
            <w:tcW w:w="1435" w:type="dxa"/>
          </w:tcPr>
          <w:p w:rsidR="00000000" w:rsidRDefault="00000000">
            <w:pPr>
              <w:spacing w:before="60" w:after="60"/>
              <w:ind w:right="284"/>
              <w:jc w:val="right"/>
              <w:rPr>
                <w:noProof/>
                <w:szCs w:val="24"/>
                <w:lang w:val="fr-FR"/>
              </w:rPr>
            </w:pPr>
            <w:r>
              <w:rPr>
                <w:noProof/>
                <w:szCs w:val="24"/>
                <w:lang w:val="fr-FR"/>
              </w:rPr>
              <w:t>1 816</w:t>
            </w:r>
          </w:p>
        </w:tc>
      </w:tr>
      <w:tr w:rsidR="00000000">
        <w:tc>
          <w:tcPr>
            <w:tcW w:w="4800" w:type="dxa"/>
          </w:tcPr>
          <w:p w:rsidR="00000000" w:rsidRDefault="00000000">
            <w:pPr>
              <w:tabs>
                <w:tab w:val="left" w:pos="252"/>
              </w:tabs>
              <w:spacing w:before="60" w:after="60"/>
              <w:rPr>
                <w:noProof/>
                <w:szCs w:val="24"/>
                <w:lang w:val="fr-FR"/>
              </w:rPr>
            </w:pPr>
            <w:r>
              <w:rPr>
                <w:noProof/>
                <w:szCs w:val="24"/>
                <w:lang w:val="fr-FR"/>
              </w:rPr>
              <w:tab/>
              <w:t>dont:</w:t>
            </w:r>
          </w:p>
        </w:tc>
        <w:tc>
          <w:tcPr>
            <w:tcW w:w="1560" w:type="dxa"/>
          </w:tcPr>
          <w:p w:rsidR="00000000" w:rsidRDefault="00000000">
            <w:pPr>
              <w:spacing w:before="60" w:after="60"/>
              <w:ind w:right="284"/>
              <w:jc w:val="right"/>
              <w:rPr>
                <w:noProof/>
                <w:szCs w:val="24"/>
                <w:lang w:val="fr-FR"/>
              </w:rPr>
            </w:pPr>
          </w:p>
        </w:tc>
        <w:tc>
          <w:tcPr>
            <w:tcW w:w="1565" w:type="dxa"/>
          </w:tcPr>
          <w:p w:rsidR="00000000" w:rsidRDefault="00000000">
            <w:pPr>
              <w:spacing w:before="60" w:after="60"/>
              <w:ind w:right="284"/>
              <w:jc w:val="right"/>
              <w:rPr>
                <w:noProof/>
                <w:szCs w:val="24"/>
                <w:lang w:val="fr-FR"/>
              </w:rPr>
            </w:pPr>
          </w:p>
        </w:tc>
        <w:tc>
          <w:tcPr>
            <w:tcW w:w="1435" w:type="dxa"/>
          </w:tcPr>
          <w:p w:rsidR="00000000" w:rsidRDefault="00000000">
            <w:pPr>
              <w:spacing w:before="60" w:after="60"/>
              <w:ind w:right="284"/>
              <w:jc w:val="right"/>
              <w:rPr>
                <w:noProof/>
                <w:szCs w:val="24"/>
                <w:lang w:val="fr-FR"/>
              </w:rPr>
            </w:pPr>
          </w:p>
        </w:tc>
      </w:tr>
      <w:tr w:rsidR="00000000">
        <w:tc>
          <w:tcPr>
            <w:tcW w:w="4800" w:type="dxa"/>
          </w:tcPr>
          <w:p w:rsidR="00000000" w:rsidRDefault="00000000">
            <w:pPr>
              <w:tabs>
                <w:tab w:val="left" w:pos="492"/>
              </w:tabs>
              <w:spacing w:before="60" w:after="60"/>
              <w:rPr>
                <w:noProof/>
                <w:szCs w:val="24"/>
                <w:lang w:val="fr-FR"/>
              </w:rPr>
            </w:pPr>
            <w:r>
              <w:rPr>
                <w:noProof/>
                <w:szCs w:val="24"/>
                <w:lang w:val="fr-FR"/>
              </w:rPr>
              <w:tab/>
              <w:t xml:space="preserve">écoles pour enfants handicapés physiques et </w:t>
            </w:r>
            <w:r>
              <w:rPr>
                <w:noProof/>
                <w:szCs w:val="24"/>
                <w:lang w:val="fr-FR"/>
              </w:rPr>
              <w:tab/>
              <w:t>mentaux</w:t>
            </w:r>
          </w:p>
        </w:tc>
        <w:tc>
          <w:tcPr>
            <w:tcW w:w="1560" w:type="dxa"/>
          </w:tcPr>
          <w:p w:rsidR="00000000" w:rsidRDefault="00000000">
            <w:pPr>
              <w:spacing w:before="60" w:after="60"/>
              <w:ind w:right="284"/>
              <w:jc w:val="right"/>
              <w:rPr>
                <w:noProof/>
                <w:szCs w:val="24"/>
                <w:lang w:val="fr-FR"/>
              </w:rPr>
            </w:pPr>
            <w:r>
              <w:rPr>
                <w:noProof/>
                <w:szCs w:val="24"/>
                <w:lang w:val="fr-FR"/>
              </w:rPr>
              <w:t>17</w:t>
            </w:r>
          </w:p>
        </w:tc>
        <w:tc>
          <w:tcPr>
            <w:tcW w:w="1565" w:type="dxa"/>
          </w:tcPr>
          <w:p w:rsidR="00000000" w:rsidRDefault="00000000">
            <w:pPr>
              <w:spacing w:before="60" w:after="60"/>
              <w:ind w:right="284"/>
              <w:jc w:val="right"/>
              <w:rPr>
                <w:noProof/>
                <w:szCs w:val="24"/>
                <w:lang w:val="fr-FR"/>
              </w:rPr>
            </w:pPr>
            <w:r>
              <w:rPr>
                <w:noProof/>
                <w:szCs w:val="24"/>
                <w:lang w:val="fr-FR"/>
              </w:rPr>
              <w:t>17</w:t>
            </w:r>
          </w:p>
        </w:tc>
        <w:tc>
          <w:tcPr>
            <w:tcW w:w="1435" w:type="dxa"/>
          </w:tcPr>
          <w:p w:rsidR="00000000" w:rsidRDefault="00000000">
            <w:pPr>
              <w:spacing w:before="60" w:after="60"/>
              <w:ind w:right="284"/>
              <w:jc w:val="right"/>
              <w:rPr>
                <w:noProof/>
                <w:szCs w:val="24"/>
                <w:lang w:val="fr-FR"/>
              </w:rPr>
            </w:pPr>
            <w:r>
              <w:rPr>
                <w:noProof/>
                <w:szCs w:val="24"/>
                <w:lang w:val="fr-FR"/>
              </w:rPr>
              <w:t>17</w:t>
            </w:r>
          </w:p>
        </w:tc>
      </w:tr>
      <w:tr w:rsidR="00000000">
        <w:tc>
          <w:tcPr>
            <w:tcW w:w="4800" w:type="dxa"/>
          </w:tcPr>
          <w:p w:rsidR="00000000" w:rsidRDefault="00000000">
            <w:pPr>
              <w:tabs>
                <w:tab w:val="left" w:pos="252"/>
              </w:tabs>
              <w:spacing w:before="60" w:after="60"/>
              <w:rPr>
                <w:noProof/>
                <w:szCs w:val="24"/>
                <w:lang w:val="fr-FR"/>
              </w:rPr>
            </w:pPr>
            <w:r>
              <w:rPr>
                <w:noProof/>
                <w:szCs w:val="24"/>
                <w:lang w:val="fr-FR"/>
              </w:rPr>
              <w:tab/>
              <w:t>Établissements privés</w:t>
            </w:r>
          </w:p>
        </w:tc>
        <w:tc>
          <w:tcPr>
            <w:tcW w:w="1560" w:type="dxa"/>
          </w:tcPr>
          <w:p w:rsidR="00000000" w:rsidRDefault="00000000">
            <w:pPr>
              <w:spacing w:before="60" w:after="60"/>
              <w:ind w:right="284"/>
              <w:jc w:val="right"/>
              <w:rPr>
                <w:noProof/>
                <w:szCs w:val="24"/>
                <w:lang w:val="fr-FR"/>
              </w:rPr>
            </w:pPr>
            <w:r>
              <w:rPr>
                <w:noProof/>
                <w:szCs w:val="24"/>
                <w:lang w:val="fr-FR"/>
              </w:rPr>
              <w:t>131</w:t>
            </w:r>
          </w:p>
        </w:tc>
        <w:tc>
          <w:tcPr>
            <w:tcW w:w="1565" w:type="dxa"/>
          </w:tcPr>
          <w:p w:rsidR="00000000" w:rsidRDefault="00000000">
            <w:pPr>
              <w:spacing w:before="60" w:after="60"/>
              <w:ind w:right="284"/>
              <w:jc w:val="right"/>
              <w:rPr>
                <w:noProof/>
                <w:szCs w:val="24"/>
                <w:lang w:val="fr-FR"/>
              </w:rPr>
            </w:pPr>
            <w:r>
              <w:rPr>
                <w:noProof/>
                <w:szCs w:val="24"/>
                <w:lang w:val="fr-FR"/>
              </w:rPr>
              <w:t>156</w:t>
            </w:r>
          </w:p>
        </w:tc>
        <w:tc>
          <w:tcPr>
            <w:tcW w:w="1435" w:type="dxa"/>
          </w:tcPr>
          <w:p w:rsidR="00000000" w:rsidRDefault="00000000">
            <w:pPr>
              <w:spacing w:before="60" w:after="60"/>
              <w:ind w:right="284"/>
              <w:jc w:val="right"/>
              <w:rPr>
                <w:noProof/>
                <w:szCs w:val="24"/>
                <w:lang w:val="fr-FR"/>
              </w:rPr>
            </w:pPr>
            <w:r>
              <w:rPr>
                <w:noProof/>
                <w:szCs w:val="24"/>
                <w:lang w:val="fr-FR"/>
              </w:rPr>
              <w:t>176</w:t>
            </w:r>
          </w:p>
        </w:tc>
      </w:tr>
      <w:tr w:rsidR="00000000">
        <w:tc>
          <w:tcPr>
            <w:tcW w:w="4800" w:type="dxa"/>
          </w:tcPr>
          <w:p w:rsidR="00000000" w:rsidRDefault="00000000">
            <w:pPr>
              <w:spacing w:before="60" w:after="60"/>
              <w:rPr>
                <w:noProof/>
                <w:szCs w:val="24"/>
                <w:lang w:val="fr-FR"/>
              </w:rPr>
            </w:pPr>
            <w:r>
              <w:rPr>
                <w:noProof/>
                <w:szCs w:val="24"/>
                <w:lang w:val="fr-FR"/>
              </w:rPr>
              <w:t>Nombre d’élèves (en milliers)</w:t>
            </w:r>
          </w:p>
        </w:tc>
        <w:tc>
          <w:tcPr>
            <w:tcW w:w="1560" w:type="dxa"/>
          </w:tcPr>
          <w:p w:rsidR="00000000" w:rsidRDefault="00000000">
            <w:pPr>
              <w:spacing w:before="60" w:after="60"/>
              <w:ind w:right="284"/>
              <w:jc w:val="right"/>
              <w:rPr>
                <w:noProof/>
                <w:szCs w:val="24"/>
                <w:lang w:val="fr-FR"/>
              </w:rPr>
            </w:pPr>
            <w:r>
              <w:rPr>
                <w:noProof/>
                <w:szCs w:val="24"/>
                <w:lang w:val="fr-FR"/>
              </w:rPr>
              <w:t>681,4</w:t>
            </w:r>
          </w:p>
        </w:tc>
        <w:tc>
          <w:tcPr>
            <w:tcW w:w="1565" w:type="dxa"/>
          </w:tcPr>
          <w:p w:rsidR="00000000" w:rsidRDefault="00000000">
            <w:pPr>
              <w:spacing w:before="60" w:after="60"/>
              <w:ind w:right="284"/>
              <w:jc w:val="right"/>
              <w:rPr>
                <w:noProof/>
                <w:szCs w:val="24"/>
                <w:lang w:val="fr-FR"/>
              </w:rPr>
            </w:pPr>
            <w:r>
              <w:rPr>
                <w:noProof/>
                <w:szCs w:val="24"/>
                <w:lang w:val="fr-FR"/>
              </w:rPr>
              <w:t>667,0</w:t>
            </w:r>
          </w:p>
        </w:tc>
        <w:tc>
          <w:tcPr>
            <w:tcW w:w="1435" w:type="dxa"/>
          </w:tcPr>
          <w:p w:rsidR="00000000" w:rsidRDefault="00000000">
            <w:pPr>
              <w:spacing w:before="60" w:after="60"/>
              <w:ind w:right="284"/>
              <w:jc w:val="right"/>
              <w:rPr>
                <w:noProof/>
                <w:szCs w:val="24"/>
                <w:lang w:val="fr-FR"/>
              </w:rPr>
            </w:pPr>
            <w:r>
              <w:rPr>
                <w:noProof/>
                <w:szCs w:val="24"/>
                <w:lang w:val="fr-FR"/>
              </w:rPr>
              <w:t>645,9</w:t>
            </w:r>
          </w:p>
        </w:tc>
      </w:tr>
      <w:tr w:rsidR="00000000">
        <w:tc>
          <w:tcPr>
            <w:tcW w:w="4800" w:type="dxa"/>
          </w:tcPr>
          <w:p w:rsidR="00000000" w:rsidRDefault="00000000">
            <w:pPr>
              <w:spacing w:before="60" w:after="60"/>
              <w:rPr>
                <w:noProof/>
                <w:szCs w:val="24"/>
                <w:lang w:val="fr-FR"/>
              </w:rPr>
            </w:pPr>
            <w:r>
              <w:rPr>
                <w:noProof/>
                <w:szCs w:val="24"/>
                <w:lang w:val="fr-FR"/>
              </w:rPr>
              <w:t>dont:</w:t>
            </w:r>
          </w:p>
        </w:tc>
        <w:tc>
          <w:tcPr>
            <w:tcW w:w="1560" w:type="dxa"/>
          </w:tcPr>
          <w:p w:rsidR="00000000" w:rsidRDefault="00000000">
            <w:pPr>
              <w:spacing w:before="60" w:after="60"/>
              <w:ind w:right="284"/>
              <w:jc w:val="right"/>
              <w:rPr>
                <w:noProof/>
                <w:szCs w:val="24"/>
                <w:lang w:val="fr-FR"/>
              </w:rPr>
            </w:pPr>
          </w:p>
        </w:tc>
        <w:tc>
          <w:tcPr>
            <w:tcW w:w="1565" w:type="dxa"/>
          </w:tcPr>
          <w:p w:rsidR="00000000" w:rsidRDefault="00000000">
            <w:pPr>
              <w:spacing w:before="60" w:after="60"/>
              <w:ind w:right="284"/>
              <w:jc w:val="right"/>
              <w:rPr>
                <w:noProof/>
                <w:szCs w:val="24"/>
                <w:lang w:val="fr-FR"/>
              </w:rPr>
            </w:pPr>
          </w:p>
        </w:tc>
        <w:tc>
          <w:tcPr>
            <w:tcW w:w="1435" w:type="dxa"/>
          </w:tcPr>
          <w:p w:rsidR="00000000" w:rsidRDefault="00000000">
            <w:pPr>
              <w:spacing w:before="60" w:after="60"/>
              <w:ind w:right="284"/>
              <w:jc w:val="right"/>
              <w:rPr>
                <w:noProof/>
                <w:szCs w:val="24"/>
                <w:lang w:val="fr-FR"/>
              </w:rPr>
            </w:pPr>
          </w:p>
        </w:tc>
      </w:tr>
      <w:tr w:rsidR="00000000">
        <w:tc>
          <w:tcPr>
            <w:tcW w:w="4800" w:type="dxa"/>
          </w:tcPr>
          <w:p w:rsidR="00000000" w:rsidRDefault="00000000">
            <w:pPr>
              <w:tabs>
                <w:tab w:val="left" w:pos="252"/>
              </w:tabs>
              <w:spacing w:before="60" w:after="60"/>
              <w:rPr>
                <w:noProof/>
                <w:szCs w:val="24"/>
                <w:lang w:val="fr-FR"/>
              </w:rPr>
            </w:pPr>
            <w:r>
              <w:rPr>
                <w:noProof/>
                <w:szCs w:val="24"/>
                <w:lang w:val="fr-FR"/>
              </w:rPr>
              <w:tab/>
              <w:t xml:space="preserve">élèves en établissements publics </w:t>
            </w:r>
          </w:p>
        </w:tc>
        <w:tc>
          <w:tcPr>
            <w:tcW w:w="1560" w:type="dxa"/>
          </w:tcPr>
          <w:p w:rsidR="00000000" w:rsidRDefault="00000000">
            <w:pPr>
              <w:spacing w:before="60" w:after="60"/>
              <w:ind w:right="284"/>
              <w:jc w:val="right"/>
              <w:rPr>
                <w:noProof/>
                <w:szCs w:val="24"/>
                <w:lang w:val="fr-FR"/>
              </w:rPr>
            </w:pPr>
            <w:r>
              <w:rPr>
                <w:noProof/>
                <w:szCs w:val="24"/>
                <w:lang w:val="fr-FR"/>
              </w:rPr>
              <w:t>664,0</w:t>
            </w:r>
          </w:p>
        </w:tc>
        <w:tc>
          <w:tcPr>
            <w:tcW w:w="1565" w:type="dxa"/>
          </w:tcPr>
          <w:p w:rsidR="00000000" w:rsidRDefault="00000000">
            <w:pPr>
              <w:spacing w:before="60" w:after="60"/>
              <w:ind w:right="284"/>
              <w:jc w:val="right"/>
              <w:rPr>
                <w:noProof/>
                <w:szCs w:val="24"/>
                <w:lang w:val="fr-FR"/>
              </w:rPr>
            </w:pPr>
            <w:r>
              <w:rPr>
                <w:noProof/>
                <w:szCs w:val="24"/>
                <w:lang w:val="fr-FR"/>
              </w:rPr>
              <w:t>650,1</w:t>
            </w:r>
          </w:p>
        </w:tc>
        <w:tc>
          <w:tcPr>
            <w:tcW w:w="1435" w:type="dxa"/>
          </w:tcPr>
          <w:p w:rsidR="00000000" w:rsidRDefault="00000000">
            <w:pPr>
              <w:spacing w:before="60" w:after="60"/>
              <w:ind w:right="284"/>
              <w:jc w:val="right"/>
              <w:rPr>
                <w:noProof/>
                <w:szCs w:val="24"/>
                <w:lang w:val="fr-FR"/>
              </w:rPr>
            </w:pPr>
            <w:r>
              <w:rPr>
                <w:noProof/>
                <w:szCs w:val="24"/>
                <w:lang w:val="fr-FR"/>
              </w:rPr>
              <w:t>624,9</w:t>
            </w:r>
          </w:p>
        </w:tc>
      </w:tr>
      <w:tr w:rsidR="00000000">
        <w:tc>
          <w:tcPr>
            <w:tcW w:w="4800" w:type="dxa"/>
          </w:tcPr>
          <w:p w:rsidR="00000000" w:rsidRDefault="00000000">
            <w:pPr>
              <w:tabs>
                <w:tab w:val="left" w:pos="252"/>
              </w:tabs>
              <w:spacing w:before="60" w:after="60"/>
              <w:rPr>
                <w:noProof/>
                <w:szCs w:val="24"/>
                <w:lang w:val="fr-FR"/>
              </w:rPr>
            </w:pPr>
            <w:r>
              <w:rPr>
                <w:noProof/>
                <w:szCs w:val="24"/>
                <w:lang w:val="fr-FR"/>
              </w:rPr>
              <w:tab/>
              <w:t>parmi lesquels:</w:t>
            </w:r>
          </w:p>
        </w:tc>
        <w:tc>
          <w:tcPr>
            <w:tcW w:w="1560" w:type="dxa"/>
          </w:tcPr>
          <w:p w:rsidR="00000000" w:rsidRDefault="00000000">
            <w:pPr>
              <w:spacing w:before="60" w:after="60"/>
              <w:ind w:right="284"/>
              <w:jc w:val="right"/>
              <w:rPr>
                <w:noProof/>
                <w:szCs w:val="24"/>
                <w:lang w:val="fr-FR"/>
              </w:rPr>
            </w:pPr>
          </w:p>
        </w:tc>
        <w:tc>
          <w:tcPr>
            <w:tcW w:w="1565" w:type="dxa"/>
          </w:tcPr>
          <w:p w:rsidR="00000000" w:rsidRDefault="00000000">
            <w:pPr>
              <w:spacing w:before="60" w:after="60"/>
              <w:ind w:right="284"/>
              <w:jc w:val="right"/>
              <w:rPr>
                <w:noProof/>
                <w:szCs w:val="24"/>
                <w:lang w:val="fr-FR"/>
              </w:rPr>
            </w:pPr>
          </w:p>
        </w:tc>
        <w:tc>
          <w:tcPr>
            <w:tcW w:w="1435" w:type="dxa"/>
          </w:tcPr>
          <w:p w:rsidR="00000000" w:rsidRDefault="00000000">
            <w:pPr>
              <w:spacing w:before="60" w:after="60"/>
              <w:ind w:right="284"/>
              <w:jc w:val="right"/>
              <w:rPr>
                <w:noProof/>
                <w:szCs w:val="24"/>
                <w:lang w:val="fr-FR"/>
              </w:rPr>
            </w:pPr>
          </w:p>
        </w:tc>
      </w:tr>
      <w:tr w:rsidR="00000000">
        <w:tc>
          <w:tcPr>
            <w:tcW w:w="4800" w:type="dxa"/>
          </w:tcPr>
          <w:p w:rsidR="00000000" w:rsidRDefault="00000000">
            <w:pPr>
              <w:tabs>
                <w:tab w:val="left" w:pos="492"/>
              </w:tabs>
              <w:spacing w:before="60" w:after="60"/>
              <w:rPr>
                <w:noProof/>
                <w:szCs w:val="24"/>
                <w:lang w:val="fr-FR"/>
              </w:rPr>
            </w:pPr>
            <w:r>
              <w:rPr>
                <w:noProof/>
                <w:szCs w:val="24"/>
                <w:lang w:val="fr-FR"/>
              </w:rPr>
              <w:tab/>
              <w:t>écoles primaires</w:t>
            </w:r>
          </w:p>
        </w:tc>
        <w:tc>
          <w:tcPr>
            <w:tcW w:w="1560" w:type="dxa"/>
          </w:tcPr>
          <w:p w:rsidR="00000000" w:rsidRDefault="00000000">
            <w:pPr>
              <w:spacing w:before="60" w:after="60"/>
              <w:ind w:right="284"/>
              <w:jc w:val="right"/>
              <w:rPr>
                <w:noProof/>
                <w:szCs w:val="24"/>
                <w:lang w:val="fr-FR"/>
              </w:rPr>
            </w:pPr>
            <w:r>
              <w:rPr>
                <w:noProof/>
                <w:szCs w:val="24"/>
                <w:lang w:val="fr-FR"/>
              </w:rPr>
              <w:t>18,4</w:t>
            </w:r>
          </w:p>
        </w:tc>
        <w:tc>
          <w:tcPr>
            <w:tcW w:w="1565" w:type="dxa"/>
          </w:tcPr>
          <w:p w:rsidR="00000000" w:rsidRDefault="00000000">
            <w:pPr>
              <w:spacing w:before="60" w:after="60"/>
              <w:ind w:right="284"/>
              <w:jc w:val="right"/>
              <w:rPr>
                <w:noProof/>
                <w:szCs w:val="24"/>
                <w:lang w:val="fr-FR"/>
              </w:rPr>
            </w:pPr>
            <w:r>
              <w:rPr>
                <w:noProof/>
                <w:szCs w:val="24"/>
                <w:lang w:val="fr-FR"/>
              </w:rPr>
              <w:t>18,3</w:t>
            </w:r>
          </w:p>
        </w:tc>
        <w:tc>
          <w:tcPr>
            <w:tcW w:w="1435" w:type="dxa"/>
          </w:tcPr>
          <w:p w:rsidR="00000000" w:rsidRDefault="00000000">
            <w:pPr>
              <w:spacing w:before="60" w:after="60"/>
              <w:ind w:right="284"/>
              <w:jc w:val="right"/>
              <w:rPr>
                <w:noProof/>
                <w:szCs w:val="24"/>
                <w:lang w:val="fr-FR"/>
              </w:rPr>
            </w:pPr>
            <w:r>
              <w:rPr>
                <w:noProof/>
                <w:szCs w:val="24"/>
                <w:lang w:val="fr-FR"/>
              </w:rPr>
              <w:t>13,5</w:t>
            </w:r>
          </w:p>
        </w:tc>
      </w:tr>
      <w:tr w:rsidR="00000000">
        <w:tc>
          <w:tcPr>
            <w:tcW w:w="4800" w:type="dxa"/>
          </w:tcPr>
          <w:p w:rsidR="00000000" w:rsidRDefault="00000000">
            <w:pPr>
              <w:tabs>
                <w:tab w:val="left" w:pos="492"/>
              </w:tabs>
              <w:spacing w:before="60" w:after="60"/>
              <w:rPr>
                <w:noProof/>
                <w:szCs w:val="24"/>
                <w:lang w:val="fr-FR"/>
              </w:rPr>
            </w:pPr>
            <w:r>
              <w:rPr>
                <w:noProof/>
                <w:szCs w:val="24"/>
                <w:lang w:val="fr-FR"/>
              </w:rPr>
              <w:tab/>
              <w:t>écoles de base</w:t>
            </w:r>
          </w:p>
        </w:tc>
        <w:tc>
          <w:tcPr>
            <w:tcW w:w="1560" w:type="dxa"/>
          </w:tcPr>
          <w:p w:rsidR="00000000" w:rsidRDefault="00000000">
            <w:pPr>
              <w:spacing w:before="60" w:after="60"/>
              <w:ind w:right="284"/>
              <w:jc w:val="right"/>
              <w:rPr>
                <w:noProof/>
                <w:szCs w:val="24"/>
                <w:lang w:val="fr-FR"/>
              </w:rPr>
            </w:pPr>
            <w:r>
              <w:rPr>
                <w:noProof/>
                <w:szCs w:val="24"/>
                <w:lang w:val="fr-FR"/>
              </w:rPr>
              <w:t>70,9</w:t>
            </w:r>
          </w:p>
        </w:tc>
        <w:tc>
          <w:tcPr>
            <w:tcW w:w="1565" w:type="dxa"/>
          </w:tcPr>
          <w:p w:rsidR="00000000" w:rsidRDefault="00000000">
            <w:pPr>
              <w:spacing w:before="60" w:after="60"/>
              <w:ind w:right="284"/>
              <w:jc w:val="right"/>
              <w:rPr>
                <w:noProof/>
                <w:szCs w:val="24"/>
                <w:lang w:val="fr-FR"/>
              </w:rPr>
            </w:pPr>
            <w:r>
              <w:rPr>
                <w:noProof/>
                <w:szCs w:val="24"/>
                <w:lang w:val="fr-FR"/>
              </w:rPr>
              <w:t>64,3</w:t>
            </w:r>
          </w:p>
        </w:tc>
        <w:tc>
          <w:tcPr>
            <w:tcW w:w="1435" w:type="dxa"/>
          </w:tcPr>
          <w:p w:rsidR="00000000" w:rsidRDefault="00000000">
            <w:pPr>
              <w:spacing w:before="60" w:after="60"/>
              <w:ind w:right="284"/>
              <w:jc w:val="right"/>
              <w:rPr>
                <w:noProof/>
                <w:szCs w:val="24"/>
                <w:lang w:val="fr-FR"/>
              </w:rPr>
            </w:pPr>
            <w:r>
              <w:rPr>
                <w:noProof/>
                <w:szCs w:val="24"/>
                <w:lang w:val="fr-FR"/>
              </w:rPr>
              <w:t>45,5</w:t>
            </w:r>
          </w:p>
        </w:tc>
      </w:tr>
      <w:tr w:rsidR="00000000">
        <w:tc>
          <w:tcPr>
            <w:tcW w:w="4800" w:type="dxa"/>
          </w:tcPr>
          <w:p w:rsidR="00000000" w:rsidRDefault="00000000">
            <w:pPr>
              <w:tabs>
                <w:tab w:val="left" w:pos="492"/>
              </w:tabs>
              <w:spacing w:before="60" w:after="60"/>
              <w:rPr>
                <w:bCs/>
                <w:noProof/>
                <w:szCs w:val="24"/>
                <w:lang w:val="fr-FR"/>
              </w:rPr>
            </w:pPr>
            <w:r>
              <w:rPr>
                <w:bCs/>
                <w:noProof/>
                <w:szCs w:val="24"/>
                <w:lang w:val="fr-FR"/>
              </w:rPr>
              <w:tab/>
            </w:r>
            <w:r>
              <w:rPr>
                <w:noProof/>
                <w:szCs w:val="24"/>
                <w:lang w:val="fr-FR"/>
              </w:rPr>
              <w:t>écoles secondaires</w:t>
            </w:r>
          </w:p>
        </w:tc>
        <w:tc>
          <w:tcPr>
            <w:tcW w:w="1560" w:type="dxa"/>
          </w:tcPr>
          <w:p w:rsidR="00000000" w:rsidRDefault="00000000">
            <w:pPr>
              <w:spacing w:before="60" w:after="60"/>
              <w:ind w:right="284"/>
              <w:jc w:val="right"/>
              <w:rPr>
                <w:noProof/>
                <w:szCs w:val="24"/>
                <w:lang w:val="fr-FR"/>
              </w:rPr>
            </w:pPr>
            <w:r>
              <w:rPr>
                <w:noProof/>
                <w:szCs w:val="24"/>
                <w:lang w:val="fr-FR"/>
              </w:rPr>
              <w:t>574,7</w:t>
            </w:r>
          </w:p>
        </w:tc>
        <w:tc>
          <w:tcPr>
            <w:tcW w:w="1565" w:type="dxa"/>
          </w:tcPr>
          <w:p w:rsidR="00000000" w:rsidRDefault="00000000">
            <w:pPr>
              <w:spacing w:before="60" w:after="60"/>
              <w:ind w:right="284"/>
              <w:jc w:val="right"/>
              <w:rPr>
                <w:bCs/>
                <w:noProof/>
                <w:szCs w:val="24"/>
                <w:lang w:val="fr-FR"/>
              </w:rPr>
            </w:pPr>
            <w:r>
              <w:rPr>
                <w:bCs/>
                <w:noProof/>
                <w:szCs w:val="24"/>
                <w:lang w:val="fr-FR"/>
              </w:rPr>
              <w:t>565,4</w:t>
            </w:r>
          </w:p>
        </w:tc>
        <w:tc>
          <w:tcPr>
            <w:tcW w:w="1435" w:type="dxa"/>
          </w:tcPr>
          <w:p w:rsidR="00000000" w:rsidRDefault="00000000">
            <w:pPr>
              <w:spacing w:before="60" w:after="60"/>
              <w:ind w:right="284"/>
              <w:jc w:val="right"/>
              <w:rPr>
                <w:bCs/>
                <w:noProof/>
                <w:szCs w:val="24"/>
                <w:lang w:val="fr-FR"/>
              </w:rPr>
            </w:pPr>
            <w:r>
              <w:rPr>
                <w:bCs/>
                <w:noProof/>
                <w:szCs w:val="24"/>
                <w:lang w:val="fr-FR"/>
              </w:rPr>
              <w:t>565,9</w:t>
            </w:r>
          </w:p>
        </w:tc>
      </w:tr>
      <w:tr w:rsidR="00000000">
        <w:tc>
          <w:tcPr>
            <w:tcW w:w="4800" w:type="dxa"/>
          </w:tcPr>
          <w:p w:rsidR="00000000" w:rsidRDefault="00000000">
            <w:pPr>
              <w:keepNext/>
              <w:spacing w:before="60" w:after="60"/>
              <w:rPr>
                <w:noProof/>
                <w:szCs w:val="24"/>
                <w:lang w:val="fr-FR"/>
              </w:rPr>
            </w:pPr>
            <w:r>
              <w:rPr>
                <w:noProof/>
                <w:szCs w:val="24"/>
                <w:lang w:val="fr-FR"/>
              </w:rPr>
              <w:t>dont:</w:t>
            </w:r>
          </w:p>
        </w:tc>
        <w:tc>
          <w:tcPr>
            <w:tcW w:w="1560" w:type="dxa"/>
          </w:tcPr>
          <w:p w:rsidR="00000000" w:rsidRDefault="00000000">
            <w:pPr>
              <w:spacing w:before="60" w:after="60"/>
              <w:ind w:right="284"/>
              <w:jc w:val="right"/>
              <w:rPr>
                <w:noProof/>
                <w:szCs w:val="24"/>
                <w:lang w:val="fr-FR"/>
              </w:rPr>
            </w:pPr>
          </w:p>
        </w:tc>
        <w:tc>
          <w:tcPr>
            <w:tcW w:w="1565" w:type="dxa"/>
          </w:tcPr>
          <w:p w:rsidR="00000000" w:rsidRDefault="00000000">
            <w:pPr>
              <w:spacing w:before="60" w:after="60"/>
              <w:ind w:right="284"/>
              <w:jc w:val="right"/>
              <w:rPr>
                <w:noProof/>
                <w:szCs w:val="24"/>
                <w:lang w:val="fr-FR"/>
              </w:rPr>
            </w:pPr>
          </w:p>
        </w:tc>
        <w:tc>
          <w:tcPr>
            <w:tcW w:w="1435" w:type="dxa"/>
          </w:tcPr>
          <w:p w:rsidR="00000000" w:rsidRDefault="00000000">
            <w:pPr>
              <w:spacing w:before="60" w:after="60"/>
              <w:ind w:right="284"/>
              <w:jc w:val="right"/>
              <w:rPr>
                <w:noProof/>
                <w:szCs w:val="24"/>
                <w:lang w:val="fr-FR"/>
              </w:rPr>
            </w:pPr>
          </w:p>
        </w:tc>
      </w:tr>
      <w:tr w:rsidR="00000000">
        <w:tc>
          <w:tcPr>
            <w:tcW w:w="4800" w:type="dxa"/>
          </w:tcPr>
          <w:p w:rsidR="00000000" w:rsidRDefault="00000000">
            <w:pPr>
              <w:keepNext/>
              <w:tabs>
                <w:tab w:val="left" w:pos="252"/>
              </w:tabs>
              <w:spacing w:before="60" w:after="60"/>
              <w:rPr>
                <w:noProof/>
                <w:szCs w:val="24"/>
                <w:lang w:val="fr-FR"/>
              </w:rPr>
            </w:pPr>
            <w:r>
              <w:rPr>
                <w:noProof/>
                <w:szCs w:val="24"/>
                <w:lang w:val="fr-FR"/>
              </w:rPr>
              <w:tab/>
              <w:t xml:space="preserve">élèves en établissement pour enfants handicapés </w:t>
            </w:r>
            <w:r>
              <w:rPr>
                <w:noProof/>
                <w:szCs w:val="24"/>
                <w:lang w:val="fr-FR"/>
              </w:rPr>
              <w:tab/>
              <w:t>physiques et mentaux</w:t>
            </w:r>
          </w:p>
        </w:tc>
        <w:tc>
          <w:tcPr>
            <w:tcW w:w="1560" w:type="dxa"/>
          </w:tcPr>
          <w:p w:rsidR="00000000" w:rsidRDefault="00000000">
            <w:pPr>
              <w:spacing w:before="60" w:after="60"/>
              <w:ind w:right="284"/>
              <w:jc w:val="right"/>
              <w:rPr>
                <w:noProof/>
                <w:szCs w:val="24"/>
                <w:lang w:val="fr-FR"/>
              </w:rPr>
            </w:pPr>
            <w:r>
              <w:rPr>
                <w:noProof/>
                <w:szCs w:val="24"/>
                <w:lang w:val="fr-FR"/>
              </w:rPr>
              <w:t>2,1</w:t>
            </w:r>
          </w:p>
        </w:tc>
        <w:tc>
          <w:tcPr>
            <w:tcW w:w="1565" w:type="dxa"/>
          </w:tcPr>
          <w:p w:rsidR="00000000" w:rsidRDefault="00000000">
            <w:pPr>
              <w:spacing w:before="60" w:after="60"/>
              <w:ind w:right="284"/>
              <w:jc w:val="right"/>
              <w:rPr>
                <w:noProof/>
                <w:szCs w:val="24"/>
                <w:lang w:val="fr-FR"/>
              </w:rPr>
            </w:pPr>
            <w:r>
              <w:rPr>
                <w:noProof/>
                <w:szCs w:val="24"/>
                <w:lang w:val="fr-FR"/>
              </w:rPr>
              <w:t>2,1</w:t>
            </w:r>
          </w:p>
        </w:tc>
        <w:tc>
          <w:tcPr>
            <w:tcW w:w="1435" w:type="dxa"/>
          </w:tcPr>
          <w:p w:rsidR="00000000" w:rsidRDefault="00000000">
            <w:pPr>
              <w:spacing w:before="60" w:after="60"/>
              <w:ind w:right="284"/>
              <w:jc w:val="right"/>
              <w:rPr>
                <w:noProof/>
                <w:szCs w:val="24"/>
                <w:lang w:val="fr-FR"/>
              </w:rPr>
            </w:pPr>
            <w:r>
              <w:rPr>
                <w:noProof/>
                <w:szCs w:val="24"/>
                <w:lang w:val="fr-FR"/>
              </w:rPr>
              <w:t>1,9</w:t>
            </w:r>
          </w:p>
        </w:tc>
      </w:tr>
      <w:tr w:rsidR="00000000">
        <w:tc>
          <w:tcPr>
            <w:tcW w:w="4800" w:type="dxa"/>
          </w:tcPr>
          <w:p w:rsidR="00000000" w:rsidRDefault="00000000">
            <w:pPr>
              <w:tabs>
                <w:tab w:val="left" w:pos="252"/>
              </w:tabs>
              <w:spacing w:before="60" w:after="60"/>
              <w:rPr>
                <w:noProof/>
                <w:szCs w:val="24"/>
                <w:lang w:val="fr-FR"/>
              </w:rPr>
            </w:pPr>
            <w:r>
              <w:rPr>
                <w:noProof/>
                <w:szCs w:val="24"/>
                <w:lang w:val="fr-FR"/>
              </w:rPr>
              <w:tab/>
              <w:t xml:space="preserve">élèves en établissement privé </w:t>
            </w:r>
          </w:p>
        </w:tc>
        <w:tc>
          <w:tcPr>
            <w:tcW w:w="1560" w:type="dxa"/>
          </w:tcPr>
          <w:p w:rsidR="00000000" w:rsidRDefault="00000000">
            <w:pPr>
              <w:spacing w:before="60" w:after="60"/>
              <w:ind w:right="284"/>
              <w:jc w:val="right"/>
              <w:rPr>
                <w:noProof/>
                <w:szCs w:val="24"/>
                <w:lang w:val="fr-FR"/>
              </w:rPr>
            </w:pPr>
            <w:r>
              <w:rPr>
                <w:noProof/>
                <w:szCs w:val="24"/>
                <w:lang w:val="fr-FR"/>
              </w:rPr>
              <w:t>15,3</w:t>
            </w:r>
          </w:p>
        </w:tc>
        <w:tc>
          <w:tcPr>
            <w:tcW w:w="1565" w:type="dxa"/>
          </w:tcPr>
          <w:p w:rsidR="00000000" w:rsidRDefault="00000000">
            <w:pPr>
              <w:spacing w:before="60" w:after="60"/>
              <w:ind w:right="284"/>
              <w:jc w:val="right"/>
              <w:rPr>
                <w:noProof/>
                <w:szCs w:val="24"/>
                <w:lang w:val="fr-FR"/>
              </w:rPr>
            </w:pPr>
            <w:r>
              <w:rPr>
                <w:noProof/>
                <w:szCs w:val="24"/>
                <w:lang w:val="fr-FR"/>
              </w:rPr>
              <w:t>16,9</w:t>
            </w:r>
          </w:p>
        </w:tc>
        <w:tc>
          <w:tcPr>
            <w:tcW w:w="1435" w:type="dxa"/>
          </w:tcPr>
          <w:p w:rsidR="00000000" w:rsidRDefault="00000000">
            <w:pPr>
              <w:spacing w:before="60" w:after="60"/>
              <w:ind w:right="284"/>
              <w:jc w:val="right"/>
              <w:rPr>
                <w:noProof/>
                <w:szCs w:val="24"/>
                <w:lang w:val="fr-FR"/>
              </w:rPr>
            </w:pPr>
            <w:r>
              <w:rPr>
                <w:noProof/>
                <w:szCs w:val="24"/>
                <w:lang w:val="fr-FR"/>
              </w:rPr>
              <w:t>21,0</w:t>
            </w:r>
          </w:p>
        </w:tc>
      </w:tr>
    </w:tbl>
    <w:p w:rsidR="00000000" w:rsidRDefault="00000000">
      <w:pPr>
        <w:spacing w:before="240" w:after="240"/>
        <w:rPr>
          <w:bCs/>
          <w:iCs/>
          <w:noProof/>
          <w:szCs w:val="24"/>
          <w:lang w:val="fr-FR"/>
        </w:rPr>
      </w:pPr>
      <w:r>
        <w:rPr>
          <w:bCs/>
          <w:i/>
          <w:noProof/>
          <w:szCs w:val="24"/>
          <w:lang w:val="fr-FR"/>
        </w:rPr>
        <w:tab/>
        <w:t>Source</w:t>
      </w:r>
      <w:r>
        <w:rPr>
          <w:bCs/>
          <w:iCs/>
          <w:noProof/>
          <w:szCs w:val="24"/>
          <w:lang w:val="fr-FR"/>
        </w:rPr>
        <w:t>: Ministère de l’éducation et des sciences; Département des statistiques.</w:t>
      </w:r>
    </w:p>
    <w:p w:rsidR="00000000" w:rsidRDefault="00000000">
      <w:pPr>
        <w:keepNext/>
        <w:spacing w:after="240"/>
        <w:jc w:val="center"/>
        <w:rPr>
          <w:b/>
          <w:bCs/>
          <w:noProof/>
          <w:lang w:val="fr-FR"/>
        </w:rPr>
      </w:pPr>
      <w:r>
        <w:rPr>
          <w:b/>
          <w:bCs/>
          <w:noProof/>
          <w:lang w:val="fr-FR"/>
        </w:rPr>
        <w:t>Répartition par niveau des élèves des écoles du soir</w:t>
      </w:r>
      <w:r>
        <w:rPr>
          <w:b/>
          <w:bCs/>
          <w:noProof/>
          <w:lang w:val="fr-FR"/>
        </w:rPr>
        <w:br/>
        <w:t>(en début d’année scolaire)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0"/>
        <w:gridCol w:w="1320"/>
        <w:gridCol w:w="1320"/>
        <w:gridCol w:w="1424"/>
      </w:tblGrid>
      <w:tr w:rsidR="00000000">
        <w:trPr>
          <w:trHeight w:val="61"/>
        </w:trPr>
        <w:tc>
          <w:tcPr>
            <w:tcW w:w="5280" w:type="dxa"/>
            <w:tcBorders>
              <w:bottom w:val="single" w:sz="4" w:space="0" w:color="auto"/>
            </w:tcBorders>
          </w:tcPr>
          <w:p w:rsidR="00000000" w:rsidRDefault="00000000">
            <w:pPr>
              <w:keepNext/>
              <w:spacing w:before="60" w:after="60"/>
              <w:jc w:val="center"/>
              <w:rPr>
                <w:noProof/>
                <w:szCs w:val="24"/>
                <w:lang w:val="fr-FR"/>
              </w:rPr>
            </w:pPr>
          </w:p>
        </w:tc>
        <w:tc>
          <w:tcPr>
            <w:tcW w:w="1320" w:type="dxa"/>
            <w:tcBorders>
              <w:bottom w:val="single" w:sz="4" w:space="0" w:color="auto"/>
            </w:tcBorders>
          </w:tcPr>
          <w:p w:rsidR="00000000" w:rsidRDefault="00000000">
            <w:pPr>
              <w:keepNext/>
              <w:spacing w:before="60" w:after="60"/>
              <w:jc w:val="center"/>
              <w:rPr>
                <w:bCs/>
                <w:noProof/>
                <w:szCs w:val="24"/>
                <w:lang w:val="fr-FR"/>
              </w:rPr>
            </w:pPr>
            <w:r>
              <w:rPr>
                <w:bCs/>
                <w:noProof/>
                <w:szCs w:val="24"/>
                <w:lang w:val="fr-FR"/>
              </w:rPr>
              <w:t>2002/2003</w:t>
            </w:r>
          </w:p>
        </w:tc>
        <w:tc>
          <w:tcPr>
            <w:tcW w:w="1320" w:type="dxa"/>
            <w:tcBorders>
              <w:bottom w:val="single" w:sz="4" w:space="0" w:color="auto"/>
            </w:tcBorders>
          </w:tcPr>
          <w:p w:rsidR="00000000" w:rsidRDefault="00000000">
            <w:pPr>
              <w:keepNext/>
              <w:spacing w:before="60" w:after="60"/>
              <w:jc w:val="center"/>
              <w:rPr>
                <w:bCs/>
                <w:noProof/>
                <w:szCs w:val="24"/>
                <w:lang w:val="fr-FR"/>
              </w:rPr>
            </w:pPr>
            <w:r>
              <w:rPr>
                <w:bCs/>
                <w:noProof/>
                <w:szCs w:val="24"/>
                <w:lang w:val="fr-FR"/>
              </w:rPr>
              <w:t>2003/2004</w:t>
            </w:r>
          </w:p>
        </w:tc>
        <w:tc>
          <w:tcPr>
            <w:tcW w:w="1424" w:type="dxa"/>
            <w:tcBorders>
              <w:bottom w:val="single" w:sz="4" w:space="0" w:color="auto"/>
            </w:tcBorders>
          </w:tcPr>
          <w:p w:rsidR="00000000" w:rsidRDefault="00000000">
            <w:pPr>
              <w:keepNext/>
              <w:spacing w:before="60" w:after="60"/>
              <w:jc w:val="center"/>
              <w:rPr>
                <w:bCs/>
                <w:noProof/>
                <w:szCs w:val="24"/>
                <w:lang w:val="fr-FR"/>
              </w:rPr>
            </w:pPr>
            <w:r>
              <w:rPr>
                <w:bCs/>
                <w:noProof/>
                <w:szCs w:val="24"/>
                <w:lang w:val="fr-FR"/>
              </w:rPr>
              <w:t>2004/2005</w:t>
            </w:r>
          </w:p>
        </w:tc>
      </w:tr>
      <w:tr w:rsidR="00000000">
        <w:trPr>
          <w:trHeight w:val="61"/>
        </w:trPr>
        <w:tc>
          <w:tcPr>
            <w:tcW w:w="5280" w:type="dxa"/>
            <w:tcBorders>
              <w:bottom w:val="single" w:sz="4" w:space="0" w:color="auto"/>
            </w:tcBorders>
          </w:tcPr>
          <w:p w:rsidR="00000000" w:rsidRDefault="00000000">
            <w:pPr>
              <w:keepNext/>
              <w:spacing w:before="60" w:after="60"/>
              <w:rPr>
                <w:noProof/>
                <w:szCs w:val="24"/>
                <w:lang w:val="fr-FR"/>
              </w:rPr>
            </w:pPr>
            <w:r>
              <w:rPr>
                <w:noProof/>
                <w:szCs w:val="24"/>
                <w:lang w:val="fr-FR"/>
              </w:rPr>
              <w:t>Nombre total d’élèves</w:t>
            </w:r>
          </w:p>
        </w:tc>
        <w:tc>
          <w:tcPr>
            <w:tcW w:w="1320" w:type="dxa"/>
            <w:tcBorders>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4 764</w:t>
            </w:r>
          </w:p>
        </w:tc>
        <w:tc>
          <w:tcPr>
            <w:tcW w:w="1320" w:type="dxa"/>
            <w:tcBorders>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4 938</w:t>
            </w:r>
          </w:p>
        </w:tc>
        <w:tc>
          <w:tcPr>
            <w:tcW w:w="1424" w:type="dxa"/>
            <w:tcBorders>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2 427</w:t>
            </w:r>
          </w:p>
        </w:tc>
      </w:tr>
      <w:tr w:rsidR="00000000">
        <w:trPr>
          <w:trHeight w:val="152"/>
        </w:trPr>
        <w:tc>
          <w:tcPr>
            <w:tcW w:w="5280" w:type="dxa"/>
            <w:tcBorders>
              <w:top w:val="single" w:sz="4" w:space="0" w:color="auto"/>
              <w:bottom w:val="single" w:sz="4" w:space="0" w:color="auto"/>
            </w:tcBorders>
          </w:tcPr>
          <w:p w:rsidR="00000000" w:rsidRDefault="00000000">
            <w:pPr>
              <w:keepNext/>
              <w:spacing w:before="60" w:after="60"/>
              <w:rPr>
                <w:noProof/>
                <w:szCs w:val="24"/>
                <w:lang w:val="fr-FR"/>
              </w:rPr>
            </w:pPr>
            <w:r>
              <w:rPr>
                <w:noProof/>
                <w:szCs w:val="24"/>
                <w:lang w:val="fr-FR"/>
              </w:rPr>
              <w:t>dont:</w:t>
            </w:r>
          </w:p>
        </w:tc>
        <w:tc>
          <w:tcPr>
            <w:tcW w:w="1320"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p>
        </w:tc>
        <w:tc>
          <w:tcPr>
            <w:tcW w:w="1320"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p>
        </w:tc>
        <w:tc>
          <w:tcPr>
            <w:tcW w:w="1424"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p>
        </w:tc>
      </w:tr>
      <w:tr w:rsidR="00000000">
        <w:trPr>
          <w:trHeight w:val="170"/>
        </w:trPr>
        <w:tc>
          <w:tcPr>
            <w:tcW w:w="5280" w:type="dxa"/>
            <w:tcBorders>
              <w:top w:val="single" w:sz="4" w:space="0" w:color="auto"/>
              <w:bottom w:val="single" w:sz="4" w:space="0" w:color="auto"/>
            </w:tcBorders>
          </w:tcPr>
          <w:p w:rsidR="00000000" w:rsidRDefault="00000000">
            <w:pPr>
              <w:tabs>
                <w:tab w:val="left" w:pos="252"/>
              </w:tabs>
              <w:spacing w:before="60" w:after="60"/>
              <w:ind w:left="284"/>
              <w:rPr>
                <w:noProof/>
                <w:szCs w:val="24"/>
                <w:lang w:val="fr-FR"/>
              </w:rPr>
            </w:pPr>
            <w:r>
              <w:rPr>
                <w:noProof/>
                <w:szCs w:val="24"/>
                <w:lang w:val="fr-FR"/>
              </w:rPr>
              <w:t>5</w:t>
            </w:r>
            <w:r>
              <w:rPr>
                <w:noProof/>
                <w:szCs w:val="24"/>
                <w:vertAlign w:val="superscript"/>
                <w:lang w:val="fr-FR"/>
              </w:rPr>
              <w:t>e</w:t>
            </w:r>
            <w:r>
              <w:rPr>
                <w:noProof/>
                <w:szCs w:val="24"/>
                <w:lang w:val="fr-FR"/>
              </w:rPr>
              <w:t xml:space="preserve"> à 9</w:t>
            </w:r>
            <w:r>
              <w:rPr>
                <w:noProof/>
                <w:szCs w:val="24"/>
                <w:vertAlign w:val="superscript"/>
                <w:lang w:val="fr-FR"/>
              </w:rPr>
              <w:t>e</w:t>
            </w:r>
          </w:p>
        </w:tc>
        <w:tc>
          <w:tcPr>
            <w:tcW w:w="1320"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1 190</w:t>
            </w:r>
          </w:p>
        </w:tc>
        <w:tc>
          <w:tcPr>
            <w:tcW w:w="1320"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1 104</w:t>
            </w:r>
          </w:p>
        </w:tc>
        <w:tc>
          <w:tcPr>
            <w:tcW w:w="1424"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672</w:t>
            </w:r>
          </w:p>
        </w:tc>
      </w:tr>
      <w:tr w:rsidR="00000000">
        <w:trPr>
          <w:trHeight w:val="61"/>
        </w:trPr>
        <w:tc>
          <w:tcPr>
            <w:tcW w:w="5280" w:type="dxa"/>
            <w:tcBorders>
              <w:top w:val="single" w:sz="4" w:space="0" w:color="auto"/>
              <w:bottom w:val="single" w:sz="4" w:space="0" w:color="auto"/>
            </w:tcBorders>
          </w:tcPr>
          <w:p w:rsidR="00000000" w:rsidRDefault="00000000">
            <w:pPr>
              <w:tabs>
                <w:tab w:val="left" w:pos="252"/>
              </w:tabs>
              <w:spacing w:before="60" w:after="60"/>
              <w:ind w:left="284"/>
              <w:rPr>
                <w:noProof/>
                <w:szCs w:val="24"/>
                <w:lang w:val="fr-FR"/>
              </w:rPr>
            </w:pPr>
            <w:r>
              <w:rPr>
                <w:noProof/>
                <w:szCs w:val="24"/>
                <w:lang w:val="fr-FR"/>
              </w:rPr>
              <w:t>10</w:t>
            </w:r>
            <w:r>
              <w:rPr>
                <w:noProof/>
                <w:szCs w:val="24"/>
                <w:vertAlign w:val="superscript"/>
                <w:lang w:val="fr-FR"/>
              </w:rPr>
              <w:t>e</w:t>
            </w:r>
          </w:p>
        </w:tc>
        <w:tc>
          <w:tcPr>
            <w:tcW w:w="1320"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1 418</w:t>
            </w:r>
          </w:p>
        </w:tc>
        <w:tc>
          <w:tcPr>
            <w:tcW w:w="1320"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1 607</w:t>
            </w:r>
          </w:p>
        </w:tc>
        <w:tc>
          <w:tcPr>
            <w:tcW w:w="1424" w:type="dxa"/>
            <w:tcBorders>
              <w:top w:val="single" w:sz="4" w:space="0" w:color="auto"/>
              <w:bottom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718</w:t>
            </w:r>
          </w:p>
        </w:tc>
      </w:tr>
      <w:tr w:rsidR="00000000">
        <w:trPr>
          <w:trHeight w:val="61"/>
        </w:trPr>
        <w:tc>
          <w:tcPr>
            <w:tcW w:w="5280" w:type="dxa"/>
            <w:tcBorders>
              <w:top w:val="single" w:sz="4" w:space="0" w:color="auto"/>
            </w:tcBorders>
          </w:tcPr>
          <w:p w:rsidR="00000000" w:rsidRDefault="00000000">
            <w:pPr>
              <w:tabs>
                <w:tab w:val="left" w:pos="252"/>
              </w:tabs>
              <w:spacing w:before="60" w:after="60"/>
              <w:ind w:left="284"/>
              <w:rPr>
                <w:noProof/>
                <w:szCs w:val="24"/>
                <w:lang w:val="fr-FR"/>
              </w:rPr>
            </w:pPr>
            <w:r>
              <w:rPr>
                <w:noProof/>
                <w:szCs w:val="24"/>
                <w:lang w:val="fr-FR"/>
              </w:rPr>
              <w:t>11</w:t>
            </w:r>
            <w:r>
              <w:rPr>
                <w:noProof/>
                <w:szCs w:val="24"/>
                <w:vertAlign w:val="superscript"/>
                <w:lang w:val="fr-FR"/>
              </w:rPr>
              <w:t>e</w:t>
            </w:r>
          </w:p>
        </w:tc>
        <w:tc>
          <w:tcPr>
            <w:tcW w:w="1320" w:type="dxa"/>
            <w:tcBorders>
              <w:top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2 156</w:t>
            </w:r>
          </w:p>
        </w:tc>
        <w:tc>
          <w:tcPr>
            <w:tcW w:w="1320" w:type="dxa"/>
            <w:tcBorders>
              <w:top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2 227</w:t>
            </w:r>
          </w:p>
        </w:tc>
        <w:tc>
          <w:tcPr>
            <w:tcW w:w="1424" w:type="dxa"/>
            <w:tcBorders>
              <w:top w:val="single" w:sz="4" w:space="0" w:color="auto"/>
            </w:tcBorders>
            <w:tcMar>
              <w:right w:w="482" w:type="dxa"/>
            </w:tcMar>
          </w:tcPr>
          <w:p w:rsidR="00000000" w:rsidRDefault="00000000">
            <w:pPr>
              <w:keepNext/>
              <w:spacing w:before="60" w:after="60"/>
              <w:ind w:right="-57"/>
              <w:jc w:val="right"/>
              <w:rPr>
                <w:noProof/>
                <w:szCs w:val="24"/>
                <w:lang w:val="fr-FR"/>
              </w:rPr>
            </w:pPr>
            <w:r>
              <w:rPr>
                <w:noProof/>
                <w:szCs w:val="24"/>
                <w:lang w:val="fr-FR"/>
              </w:rPr>
              <w:t>1 037</w:t>
            </w:r>
          </w:p>
        </w:tc>
      </w:tr>
    </w:tbl>
    <w:p w:rsidR="00000000" w:rsidRDefault="00000000">
      <w:pPr>
        <w:spacing w:before="240" w:after="240"/>
        <w:rPr>
          <w:iCs/>
          <w:noProof/>
          <w:szCs w:val="24"/>
          <w:lang w:val="fr-FR"/>
        </w:rPr>
      </w:pPr>
      <w:r>
        <w:rPr>
          <w:bCs/>
          <w:i/>
          <w:noProof/>
          <w:szCs w:val="24"/>
          <w:lang w:val="fr-FR"/>
        </w:rPr>
        <w:tab/>
        <w:t>Source</w:t>
      </w:r>
      <w:r>
        <w:rPr>
          <w:bCs/>
          <w:iCs/>
          <w:noProof/>
          <w:szCs w:val="24"/>
          <w:lang w:val="fr-FR"/>
        </w:rPr>
        <w:t>: Ministère de l’éducation et des sciences.</w:t>
      </w:r>
    </w:p>
    <w:p w:rsidR="00000000" w:rsidRDefault="00000000">
      <w:pPr>
        <w:keepNext/>
        <w:spacing w:after="240"/>
        <w:jc w:val="center"/>
        <w:rPr>
          <w:b/>
          <w:bCs/>
          <w:noProof/>
          <w:lang w:val="fr-FR"/>
        </w:rPr>
      </w:pPr>
      <w:r>
        <w:rPr>
          <w:b/>
          <w:bCs/>
          <w:noProof/>
          <w:lang w:val="fr-FR"/>
        </w:rPr>
        <w:t xml:space="preserve">Répartition par niveau des élèves des établissements d’enseignement général </w:t>
      </w:r>
      <w:r>
        <w:rPr>
          <w:b/>
          <w:bCs/>
          <w:noProof/>
          <w:lang w:val="fr-FR"/>
        </w:rPr>
        <w:br/>
        <w:t>(en début d’année scolaire)</w:t>
      </w:r>
    </w:p>
    <w:tbl>
      <w:tblPr>
        <w:tblW w:w="940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3"/>
        <w:gridCol w:w="2091"/>
        <w:gridCol w:w="2091"/>
        <w:gridCol w:w="2092"/>
      </w:tblGrid>
      <w:tr w:rsidR="00000000">
        <w:trPr>
          <w:tblHeader/>
        </w:trPr>
        <w:tc>
          <w:tcPr>
            <w:tcW w:w="3133" w:type="dxa"/>
            <w:tcBorders>
              <w:bottom w:val="single" w:sz="4" w:space="0" w:color="auto"/>
            </w:tcBorders>
          </w:tcPr>
          <w:p w:rsidR="00000000" w:rsidRDefault="00000000">
            <w:pPr>
              <w:spacing w:before="60" w:after="60"/>
              <w:rPr>
                <w:szCs w:val="24"/>
                <w:lang w:val="fr-FR"/>
              </w:rPr>
            </w:pPr>
          </w:p>
        </w:tc>
        <w:tc>
          <w:tcPr>
            <w:tcW w:w="2091" w:type="dxa"/>
            <w:tcBorders>
              <w:bottom w:val="single" w:sz="4" w:space="0" w:color="auto"/>
            </w:tcBorders>
          </w:tcPr>
          <w:p w:rsidR="00000000" w:rsidRDefault="00000000">
            <w:pPr>
              <w:spacing w:before="60" w:after="60"/>
              <w:jc w:val="center"/>
              <w:rPr>
                <w:bCs/>
                <w:szCs w:val="24"/>
                <w:lang w:val="fr-FR"/>
              </w:rPr>
            </w:pPr>
            <w:r>
              <w:rPr>
                <w:bCs/>
                <w:szCs w:val="24"/>
                <w:lang w:val="fr-FR"/>
              </w:rPr>
              <w:t>2003/2004</w:t>
            </w:r>
          </w:p>
        </w:tc>
        <w:tc>
          <w:tcPr>
            <w:tcW w:w="2091" w:type="dxa"/>
            <w:tcBorders>
              <w:bottom w:val="single" w:sz="4" w:space="0" w:color="auto"/>
            </w:tcBorders>
          </w:tcPr>
          <w:p w:rsidR="00000000" w:rsidRDefault="00000000">
            <w:pPr>
              <w:spacing w:before="60" w:after="60"/>
              <w:jc w:val="center"/>
              <w:rPr>
                <w:bCs/>
                <w:szCs w:val="24"/>
                <w:lang w:val="fr-FR"/>
              </w:rPr>
            </w:pPr>
            <w:r>
              <w:rPr>
                <w:bCs/>
                <w:szCs w:val="24"/>
                <w:lang w:val="fr-FR"/>
              </w:rPr>
              <w:t>2004/2005</w:t>
            </w:r>
          </w:p>
        </w:tc>
        <w:tc>
          <w:tcPr>
            <w:tcW w:w="2092" w:type="dxa"/>
            <w:tcBorders>
              <w:bottom w:val="single" w:sz="4" w:space="0" w:color="auto"/>
            </w:tcBorders>
          </w:tcPr>
          <w:p w:rsidR="00000000" w:rsidRDefault="00000000">
            <w:pPr>
              <w:spacing w:before="60" w:after="60"/>
              <w:jc w:val="center"/>
              <w:rPr>
                <w:bCs/>
                <w:szCs w:val="24"/>
                <w:lang w:val="fr-FR"/>
              </w:rPr>
            </w:pPr>
            <w:r>
              <w:rPr>
                <w:bCs/>
                <w:szCs w:val="24"/>
                <w:lang w:val="fr-FR"/>
              </w:rPr>
              <w:t>2005/2006</w:t>
            </w:r>
          </w:p>
        </w:tc>
      </w:tr>
      <w:tr w:rsidR="00000000">
        <w:tc>
          <w:tcPr>
            <w:tcW w:w="3133" w:type="dxa"/>
            <w:tcBorders>
              <w:bottom w:val="single" w:sz="4" w:space="0" w:color="auto"/>
            </w:tcBorders>
          </w:tcPr>
          <w:p w:rsidR="00000000" w:rsidRDefault="00000000">
            <w:pPr>
              <w:spacing w:before="60" w:after="60"/>
              <w:rPr>
                <w:szCs w:val="24"/>
                <w:lang w:val="fr-FR"/>
              </w:rPr>
            </w:pPr>
            <w:r>
              <w:rPr>
                <w:szCs w:val="24"/>
                <w:lang w:val="fr-FR"/>
              </w:rPr>
              <w:t xml:space="preserve">Nombre total d’élèves </w:t>
            </w:r>
          </w:p>
        </w:tc>
        <w:tc>
          <w:tcPr>
            <w:tcW w:w="2091" w:type="dxa"/>
            <w:tcBorders>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671 926</w:t>
            </w:r>
          </w:p>
        </w:tc>
        <w:tc>
          <w:tcPr>
            <w:tcW w:w="2091" w:type="dxa"/>
            <w:tcBorders>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648 300</w:t>
            </w:r>
          </w:p>
        </w:tc>
        <w:tc>
          <w:tcPr>
            <w:tcW w:w="2092" w:type="dxa"/>
            <w:tcBorders>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634 724</w:t>
            </w:r>
          </w:p>
        </w:tc>
      </w:tr>
      <w:tr w:rsidR="00000000">
        <w:tc>
          <w:tcPr>
            <w:tcW w:w="3133" w:type="dxa"/>
            <w:tcBorders>
              <w:top w:val="single" w:sz="4" w:space="0" w:color="auto"/>
              <w:bottom w:val="single" w:sz="4" w:space="0" w:color="auto"/>
            </w:tcBorders>
          </w:tcPr>
          <w:p w:rsidR="00000000" w:rsidRDefault="00000000">
            <w:pPr>
              <w:spacing w:before="60" w:after="60"/>
              <w:rPr>
                <w:szCs w:val="24"/>
                <w:lang w:val="fr-FR"/>
              </w:rPr>
            </w:pPr>
            <w:r>
              <w:rPr>
                <w:szCs w:val="24"/>
                <w:lang w:val="fr-FR"/>
              </w:rPr>
              <w:t>dont:</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fr-FR"/>
              </w:rPr>
            </w:pPr>
            <w:r>
              <w:rPr>
                <w:szCs w:val="24"/>
                <w:lang w:val="fr-FR"/>
              </w:rPr>
              <w:t>1</w:t>
            </w:r>
            <w:r>
              <w:rPr>
                <w:szCs w:val="24"/>
                <w:vertAlign w:val="superscript"/>
                <w:lang w:val="fr-FR"/>
              </w:rPr>
              <w:t>ère</w:t>
            </w:r>
            <w:r>
              <w:rPr>
                <w:szCs w:val="24"/>
                <w:lang w:val="fr-FR"/>
              </w:rPr>
              <w:t xml:space="preserve"> à 6</w:t>
            </w:r>
            <w:r>
              <w:rPr>
                <w:szCs w:val="24"/>
                <w:vertAlign w:val="superscript"/>
                <w:lang w:val="fr-FR"/>
              </w:rPr>
              <w:t>e</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363 951</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338 222</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326 597</w:t>
            </w: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de-CH"/>
              </w:rPr>
            </w:pPr>
            <w:r>
              <w:rPr>
                <w:szCs w:val="24"/>
                <w:lang w:val="de-CH"/>
              </w:rPr>
              <w:t>7</w:t>
            </w:r>
            <w:r>
              <w:rPr>
                <w:szCs w:val="24"/>
                <w:vertAlign w:val="superscript"/>
                <w:lang w:val="de-CH"/>
              </w:rPr>
              <w:t>e</w:t>
            </w:r>
            <w:r>
              <w:rPr>
                <w:szCs w:val="24"/>
                <w:lang w:val="de-CH"/>
              </w:rPr>
              <w:t xml:space="preserve"> à 9</w:t>
            </w:r>
            <w:r>
              <w:rPr>
                <w:szCs w:val="24"/>
                <w:vertAlign w:val="superscript"/>
                <w:lang w:val="de-CH"/>
              </w:rPr>
              <w:t>e</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213 087</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213 963</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200 488</w:t>
            </w: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de-CH"/>
              </w:rPr>
            </w:pPr>
            <w:r>
              <w:rPr>
                <w:szCs w:val="24"/>
                <w:lang w:val="de-CH"/>
              </w:rPr>
              <w:t>10</w:t>
            </w:r>
            <w:r>
              <w:rPr>
                <w:szCs w:val="24"/>
                <w:vertAlign w:val="superscript"/>
                <w:lang w:val="de-CH"/>
              </w:rPr>
              <w:t>e</w:t>
            </w:r>
            <w:r>
              <w:rPr>
                <w:szCs w:val="24"/>
                <w:lang w:val="de-CH"/>
              </w:rPr>
              <w:t>-11</w:t>
            </w:r>
            <w:r>
              <w:rPr>
                <w:szCs w:val="24"/>
                <w:vertAlign w:val="superscript"/>
                <w:lang w:val="de-CH"/>
              </w:rPr>
              <w:t>e</w:t>
            </w:r>
            <w:r>
              <w:rPr>
                <w:szCs w:val="24"/>
                <w:lang w:val="de-CH"/>
              </w:rPr>
              <w:t xml:space="preserve"> (12</w:t>
            </w:r>
            <w:r>
              <w:rPr>
                <w:szCs w:val="24"/>
                <w:vertAlign w:val="superscript"/>
                <w:lang w:val="de-CH"/>
              </w:rPr>
              <w:t>e</w:t>
            </w:r>
            <w:r>
              <w:rPr>
                <w:szCs w:val="24"/>
                <w:lang w:val="de-CH"/>
              </w:rPr>
              <w:t>)</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94 888</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96 115</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107 639</w:t>
            </w:r>
          </w:p>
        </w:tc>
      </w:tr>
      <w:tr w:rsidR="00000000">
        <w:tc>
          <w:tcPr>
            <w:tcW w:w="3133" w:type="dxa"/>
            <w:tcBorders>
              <w:top w:val="single" w:sz="4" w:space="0" w:color="auto"/>
              <w:bottom w:val="single" w:sz="4" w:space="0" w:color="auto"/>
            </w:tcBorders>
          </w:tcPr>
          <w:p w:rsidR="00000000" w:rsidRDefault="00000000">
            <w:pPr>
              <w:spacing w:before="60" w:after="60"/>
              <w:rPr>
                <w:szCs w:val="24"/>
                <w:lang w:val="fr-FR"/>
              </w:rPr>
            </w:pPr>
            <w:r>
              <w:rPr>
                <w:szCs w:val="24"/>
                <w:lang w:val="fr-FR"/>
              </w:rPr>
              <w:t>Élèves en établissement public</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655 024</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627 298</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601 362</w:t>
            </w:r>
          </w:p>
        </w:tc>
      </w:tr>
      <w:tr w:rsidR="00000000">
        <w:tc>
          <w:tcPr>
            <w:tcW w:w="3133" w:type="dxa"/>
            <w:tcBorders>
              <w:top w:val="single" w:sz="4" w:space="0" w:color="auto"/>
              <w:bottom w:val="single" w:sz="4" w:space="0" w:color="auto"/>
            </w:tcBorders>
          </w:tcPr>
          <w:p w:rsidR="00000000" w:rsidRDefault="00000000">
            <w:pPr>
              <w:spacing w:before="60" w:after="60"/>
              <w:rPr>
                <w:szCs w:val="24"/>
                <w:lang w:val="fr-FR"/>
              </w:rPr>
            </w:pPr>
            <w:r>
              <w:rPr>
                <w:szCs w:val="24"/>
                <w:lang w:val="fr-FR"/>
              </w:rPr>
              <w:t>dont:</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fr-FR"/>
              </w:rPr>
            </w:pPr>
            <w:r>
              <w:rPr>
                <w:szCs w:val="24"/>
                <w:lang w:val="fr-FR"/>
              </w:rPr>
              <w:t>1</w:t>
            </w:r>
            <w:r>
              <w:rPr>
                <w:szCs w:val="24"/>
                <w:vertAlign w:val="superscript"/>
                <w:lang w:val="fr-FR"/>
              </w:rPr>
              <w:t>ère</w:t>
            </w:r>
            <w:r>
              <w:rPr>
                <w:szCs w:val="24"/>
                <w:lang w:val="fr-FR"/>
              </w:rPr>
              <w:t xml:space="preserve"> à 6</w:t>
            </w:r>
            <w:r>
              <w:rPr>
                <w:szCs w:val="24"/>
                <w:vertAlign w:val="superscript"/>
                <w:lang w:val="fr-FR"/>
              </w:rPr>
              <w:t>e</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354 175</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326 356</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307 177</w:t>
            </w: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de-CH"/>
              </w:rPr>
            </w:pPr>
            <w:r>
              <w:rPr>
                <w:szCs w:val="24"/>
                <w:lang w:val="de-CH"/>
              </w:rPr>
              <w:t>7</w:t>
            </w:r>
            <w:r>
              <w:rPr>
                <w:szCs w:val="24"/>
                <w:vertAlign w:val="superscript"/>
                <w:lang w:val="de-CH"/>
              </w:rPr>
              <w:t>e</w:t>
            </w:r>
            <w:r>
              <w:rPr>
                <w:szCs w:val="24"/>
                <w:lang w:val="de-CH"/>
              </w:rPr>
              <w:t xml:space="preserve"> à 9</w:t>
            </w:r>
            <w:r>
              <w:rPr>
                <w:szCs w:val="24"/>
                <w:vertAlign w:val="superscript"/>
                <w:lang w:val="de-CH"/>
              </w:rPr>
              <w:t>e</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208 684</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207 789</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191 973</w:t>
            </w: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de-CH"/>
              </w:rPr>
            </w:pPr>
            <w:r>
              <w:rPr>
                <w:szCs w:val="24"/>
                <w:lang w:val="de-CH"/>
              </w:rPr>
              <w:t>10</w:t>
            </w:r>
            <w:r>
              <w:rPr>
                <w:szCs w:val="24"/>
                <w:vertAlign w:val="superscript"/>
                <w:lang w:val="de-CH"/>
              </w:rPr>
              <w:t>e</w:t>
            </w:r>
            <w:r>
              <w:rPr>
                <w:szCs w:val="24"/>
                <w:lang w:val="de-CH"/>
              </w:rPr>
              <w:t>-11</w:t>
            </w:r>
            <w:r>
              <w:rPr>
                <w:szCs w:val="24"/>
                <w:vertAlign w:val="superscript"/>
                <w:lang w:val="de-CH"/>
              </w:rPr>
              <w:t>e</w:t>
            </w:r>
            <w:r>
              <w:rPr>
                <w:szCs w:val="24"/>
                <w:lang w:val="de-CH"/>
              </w:rPr>
              <w:t xml:space="preserve"> (12</w:t>
            </w:r>
            <w:r>
              <w:rPr>
                <w:szCs w:val="24"/>
                <w:vertAlign w:val="superscript"/>
                <w:lang w:val="de-CH"/>
              </w:rPr>
              <w:t>e</w:t>
            </w:r>
            <w:r>
              <w:rPr>
                <w:szCs w:val="24"/>
                <w:lang w:val="de-CH"/>
              </w:rPr>
              <w:t>)</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92 165</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93 153</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102 212</w:t>
            </w:r>
          </w:p>
        </w:tc>
      </w:tr>
      <w:tr w:rsidR="00000000">
        <w:tc>
          <w:tcPr>
            <w:tcW w:w="3133" w:type="dxa"/>
            <w:tcBorders>
              <w:top w:val="single" w:sz="4" w:space="0" w:color="auto"/>
              <w:bottom w:val="single" w:sz="4" w:space="0" w:color="auto"/>
            </w:tcBorders>
          </w:tcPr>
          <w:p w:rsidR="00000000" w:rsidRDefault="00000000">
            <w:pPr>
              <w:spacing w:before="60" w:after="60"/>
              <w:rPr>
                <w:szCs w:val="24"/>
                <w:lang w:val="fr-FR"/>
              </w:rPr>
            </w:pPr>
            <w:r>
              <w:rPr>
                <w:szCs w:val="24"/>
                <w:lang w:val="fr-FR"/>
              </w:rPr>
              <w:t>Élèves en établissement privé</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16 902</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21 002</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33 362</w:t>
            </w:r>
          </w:p>
        </w:tc>
      </w:tr>
      <w:tr w:rsidR="00000000">
        <w:tc>
          <w:tcPr>
            <w:tcW w:w="3133" w:type="dxa"/>
            <w:tcBorders>
              <w:top w:val="single" w:sz="4" w:space="0" w:color="auto"/>
              <w:bottom w:val="single" w:sz="4" w:space="0" w:color="auto"/>
            </w:tcBorders>
          </w:tcPr>
          <w:p w:rsidR="00000000" w:rsidRDefault="00000000">
            <w:pPr>
              <w:keepNext/>
              <w:spacing w:before="60" w:after="60"/>
              <w:rPr>
                <w:szCs w:val="24"/>
                <w:lang w:val="fr-FR"/>
              </w:rPr>
            </w:pPr>
            <w:r>
              <w:rPr>
                <w:szCs w:val="24"/>
                <w:lang w:val="fr-FR"/>
              </w:rPr>
              <w:t xml:space="preserve">dont: </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p>
        </w:tc>
      </w:tr>
      <w:tr w:rsidR="00000000">
        <w:tc>
          <w:tcPr>
            <w:tcW w:w="3133" w:type="dxa"/>
            <w:tcBorders>
              <w:top w:val="single" w:sz="4" w:space="0" w:color="auto"/>
              <w:bottom w:val="single" w:sz="4" w:space="0" w:color="auto"/>
            </w:tcBorders>
          </w:tcPr>
          <w:p w:rsidR="00000000" w:rsidRDefault="00000000">
            <w:pPr>
              <w:keepNext/>
              <w:tabs>
                <w:tab w:val="left" w:pos="266"/>
              </w:tabs>
              <w:spacing w:before="60" w:after="60"/>
              <w:ind w:left="284"/>
              <w:rPr>
                <w:szCs w:val="24"/>
                <w:lang w:val="fr-FR"/>
              </w:rPr>
            </w:pPr>
            <w:r>
              <w:rPr>
                <w:szCs w:val="24"/>
                <w:lang w:val="fr-FR"/>
              </w:rPr>
              <w:t>1</w:t>
            </w:r>
            <w:r>
              <w:rPr>
                <w:szCs w:val="24"/>
                <w:vertAlign w:val="superscript"/>
                <w:lang w:val="fr-FR"/>
              </w:rPr>
              <w:t>ère</w:t>
            </w:r>
            <w:r>
              <w:rPr>
                <w:szCs w:val="24"/>
                <w:lang w:val="fr-FR"/>
              </w:rPr>
              <w:t xml:space="preserve"> à 6</w:t>
            </w:r>
            <w:r>
              <w:rPr>
                <w:szCs w:val="24"/>
                <w:vertAlign w:val="superscript"/>
                <w:lang w:val="fr-FR"/>
              </w:rPr>
              <w:t>e</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9 776</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11 866</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19 420</w:t>
            </w: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de-CH"/>
              </w:rPr>
            </w:pPr>
            <w:r>
              <w:rPr>
                <w:szCs w:val="24"/>
                <w:lang w:val="de-CH"/>
              </w:rPr>
              <w:t>7</w:t>
            </w:r>
            <w:r>
              <w:rPr>
                <w:szCs w:val="24"/>
                <w:vertAlign w:val="superscript"/>
                <w:lang w:val="de-CH"/>
              </w:rPr>
              <w:t>e</w:t>
            </w:r>
            <w:r>
              <w:rPr>
                <w:szCs w:val="24"/>
                <w:lang w:val="de-CH"/>
              </w:rPr>
              <w:t xml:space="preserve"> à 9</w:t>
            </w:r>
            <w:r>
              <w:rPr>
                <w:szCs w:val="24"/>
                <w:vertAlign w:val="superscript"/>
                <w:lang w:val="de-CH"/>
              </w:rPr>
              <w:t>e</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4 403</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6 174</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de-CH"/>
              </w:rPr>
            </w:pPr>
            <w:r>
              <w:rPr>
                <w:szCs w:val="24"/>
                <w:lang w:val="de-CH"/>
              </w:rPr>
              <w:t>8 515</w:t>
            </w:r>
          </w:p>
        </w:tc>
      </w:tr>
      <w:tr w:rsidR="00000000">
        <w:tc>
          <w:tcPr>
            <w:tcW w:w="3133" w:type="dxa"/>
            <w:tcBorders>
              <w:top w:val="single" w:sz="4" w:space="0" w:color="auto"/>
              <w:bottom w:val="single" w:sz="4" w:space="0" w:color="auto"/>
            </w:tcBorders>
          </w:tcPr>
          <w:p w:rsidR="00000000" w:rsidRDefault="00000000">
            <w:pPr>
              <w:tabs>
                <w:tab w:val="left" w:pos="266"/>
              </w:tabs>
              <w:spacing w:before="60" w:after="60"/>
              <w:ind w:left="284"/>
              <w:rPr>
                <w:szCs w:val="24"/>
                <w:lang w:val="de-CH"/>
              </w:rPr>
            </w:pPr>
            <w:r>
              <w:rPr>
                <w:szCs w:val="24"/>
                <w:lang w:val="de-CH"/>
              </w:rPr>
              <w:t>10</w:t>
            </w:r>
            <w:r>
              <w:rPr>
                <w:szCs w:val="24"/>
                <w:vertAlign w:val="superscript"/>
                <w:lang w:val="de-CH"/>
              </w:rPr>
              <w:t>e</w:t>
            </w:r>
            <w:r>
              <w:rPr>
                <w:szCs w:val="24"/>
                <w:lang w:val="de-CH"/>
              </w:rPr>
              <w:t>-11</w:t>
            </w:r>
            <w:r>
              <w:rPr>
                <w:szCs w:val="24"/>
                <w:vertAlign w:val="superscript"/>
                <w:lang w:val="de-CH"/>
              </w:rPr>
              <w:t>e</w:t>
            </w:r>
            <w:r>
              <w:rPr>
                <w:szCs w:val="24"/>
                <w:lang w:val="de-CH"/>
              </w:rPr>
              <w:t xml:space="preserve"> (12</w:t>
            </w:r>
            <w:r>
              <w:rPr>
                <w:szCs w:val="24"/>
                <w:vertAlign w:val="superscript"/>
                <w:lang w:val="de-CH"/>
              </w:rPr>
              <w:t>e</w:t>
            </w:r>
            <w:r>
              <w:rPr>
                <w:szCs w:val="24"/>
                <w:lang w:val="de-CH"/>
              </w:rPr>
              <w:t>)</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2 723</w:t>
            </w:r>
          </w:p>
        </w:tc>
        <w:tc>
          <w:tcPr>
            <w:tcW w:w="2091"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2 962</w:t>
            </w:r>
          </w:p>
        </w:tc>
        <w:tc>
          <w:tcPr>
            <w:tcW w:w="2092" w:type="dxa"/>
            <w:tcBorders>
              <w:top w:val="single" w:sz="4" w:space="0" w:color="auto"/>
              <w:bottom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5 427</w:t>
            </w:r>
          </w:p>
        </w:tc>
      </w:tr>
      <w:tr w:rsidR="00000000">
        <w:tc>
          <w:tcPr>
            <w:tcW w:w="3133" w:type="dxa"/>
            <w:tcBorders>
              <w:top w:val="single" w:sz="4" w:space="0" w:color="auto"/>
            </w:tcBorders>
          </w:tcPr>
          <w:p w:rsidR="00000000" w:rsidRDefault="00000000">
            <w:pPr>
              <w:spacing w:before="60" w:after="60"/>
              <w:rPr>
                <w:szCs w:val="24"/>
                <w:lang w:val="fr-FR"/>
              </w:rPr>
            </w:pPr>
            <w:r>
              <w:rPr>
                <w:szCs w:val="24"/>
                <w:lang w:val="fr-FR"/>
              </w:rPr>
              <w:t xml:space="preserve">Élèves déplacés à l’intérieur du pays </w:t>
            </w:r>
          </w:p>
        </w:tc>
        <w:tc>
          <w:tcPr>
            <w:tcW w:w="2091" w:type="dxa"/>
            <w:tcBorders>
              <w:top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17 963</w:t>
            </w:r>
          </w:p>
        </w:tc>
        <w:tc>
          <w:tcPr>
            <w:tcW w:w="2091" w:type="dxa"/>
            <w:tcBorders>
              <w:top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17 309</w:t>
            </w:r>
          </w:p>
        </w:tc>
        <w:tc>
          <w:tcPr>
            <w:tcW w:w="2092" w:type="dxa"/>
            <w:tcBorders>
              <w:top w:val="single" w:sz="4" w:space="0" w:color="auto"/>
            </w:tcBorders>
            <w:tcMar>
              <w:right w:w="680" w:type="dxa"/>
            </w:tcMar>
            <w:vAlign w:val="bottom"/>
          </w:tcPr>
          <w:p w:rsidR="00000000" w:rsidRDefault="00000000">
            <w:pPr>
              <w:spacing w:before="60" w:after="60"/>
              <w:jc w:val="right"/>
              <w:rPr>
                <w:szCs w:val="24"/>
                <w:lang w:val="fr-FR"/>
              </w:rPr>
            </w:pPr>
            <w:r>
              <w:rPr>
                <w:szCs w:val="24"/>
                <w:lang w:val="fr-FR"/>
              </w:rPr>
              <w:t>18 105</w:t>
            </w:r>
          </w:p>
        </w:tc>
      </w:tr>
    </w:tbl>
    <w:p w:rsidR="00000000" w:rsidRDefault="00000000">
      <w:pPr>
        <w:spacing w:before="240" w:after="240"/>
        <w:rPr>
          <w:iCs/>
          <w:noProof/>
          <w:szCs w:val="24"/>
          <w:lang w:val="fr-FR"/>
        </w:rPr>
      </w:pPr>
      <w:r>
        <w:rPr>
          <w:bCs/>
          <w:i/>
          <w:noProof/>
          <w:szCs w:val="24"/>
          <w:lang w:val="fr-FR"/>
        </w:rPr>
        <w:tab/>
        <w:t>Source:</w:t>
      </w:r>
      <w:r>
        <w:rPr>
          <w:bCs/>
          <w:iCs/>
          <w:noProof/>
          <w:szCs w:val="24"/>
          <w:lang w:val="fr-FR"/>
        </w:rPr>
        <w:t xml:space="preserve"> Ministère de l’éducation et des sciences.</w:t>
      </w:r>
    </w:p>
    <w:p w:rsidR="00000000" w:rsidRDefault="00000000">
      <w:pPr>
        <w:keepNext/>
        <w:spacing w:after="240"/>
        <w:jc w:val="center"/>
        <w:rPr>
          <w:b/>
          <w:bCs/>
          <w:noProof/>
          <w:lang w:val="fr-FR"/>
        </w:rPr>
      </w:pPr>
      <w:r>
        <w:rPr>
          <w:b/>
          <w:bCs/>
          <w:noProof/>
          <w:lang w:val="fr-FR"/>
        </w:rPr>
        <w:t>Répartition par niveau des élèves des établissements publics d’enseignement général</w:t>
      </w:r>
      <w:r>
        <w:rPr>
          <w:b/>
          <w:bCs/>
          <w:noProof/>
          <w:lang w:val="fr-FR"/>
        </w:rPr>
        <w:br/>
        <w:t>(en début d’année scolaire)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0"/>
        <w:gridCol w:w="2040"/>
        <w:gridCol w:w="2160"/>
        <w:gridCol w:w="2036"/>
      </w:tblGrid>
      <w:tr w:rsidR="00000000">
        <w:trPr>
          <w:trHeight w:val="198"/>
        </w:trPr>
        <w:tc>
          <w:tcPr>
            <w:tcW w:w="3120" w:type="dxa"/>
            <w:tcBorders>
              <w:bottom w:val="single" w:sz="4" w:space="0" w:color="auto"/>
            </w:tcBorders>
          </w:tcPr>
          <w:p w:rsidR="00000000" w:rsidRDefault="00000000">
            <w:pPr>
              <w:spacing w:before="40" w:after="40"/>
              <w:rPr>
                <w:szCs w:val="24"/>
                <w:lang w:val="fr-FR"/>
              </w:rPr>
            </w:pPr>
          </w:p>
        </w:tc>
        <w:tc>
          <w:tcPr>
            <w:tcW w:w="2040" w:type="dxa"/>
            <w:tcBorders>
              <w:bottom w:val="single" w:sz="4" w:space="0" w:color="auto"/>
            </w:tcBorders>
          </w:tcPr>
          <w:p w:rsidR="00000000" w:rsidRDefault="00000000">
            <w:pPr>
              <w:spacing w:before="40" w:after="40"/>
              <w:jc w:val="center"/>
              <w:rPr>
                <w:bCs/>
                <w:szCs w:val="24"/>
                <w:lang w:val="fr-FR"/>
              </w:rPr>
            </w:pPr>
            <w:r>
              <w:rPr>
                <w:bCs/>
                <w:szCs w:val="24"/>
                <w:lang w:val="fr-FR"/>
              </w:rPr>
              <w:t>2003/2004</w:t>
            </w:r>
          </w:p>
        </w:tc>
        <w:tc>
          <w:tcPr>
            <w:tcW w:w="2160" w:type="dxa"/>
            <w:tcBorders>
              <w:bottom w:val="single" w:sz="4" w:space="0" w:color="auto"/>
            </w:tcBorders>
          </w:tcPr>
          <w:p w:rsidR="00000000" w:rsidRDefault="00000000">
            <w:pPr>
              <w:spacing w:before="40" w:after="40"/>
              <w:jc w:val="center"/>
              <w:rPr>
                <w:bCs/>
                <w:szCs w:val="24"/>
                <w:lang w:val="fr-FR"/>
              </w:rPr>
            </w:pPr>
            <w:r>
              <w:rPr>
                <w:bCs/>
                <w:szCs w:val="24"/>
                <w:lang w:val="fr-FR"/>
              </w:rPr>
              <w:t>2004/2005</w:t>
            </w:r>
          </w:p>
        </w:tc>
        <w:tc>
          <w:tcPr>
            <w:tcW w:w="2036" w:type="dxa"/>
            <w:tcBorders>
              <w:bottom w:val="single" w:sz="4" w:space="0" w:color="auto"/>
            </w:tcBorders>
          </w:tcPr>
          <w:p w:rsidR="00000000" w:rsidRDefault="00000000">
            <w:pPr>
              <w:spacing w:before="40" w:after="40"/>
              <w:jc w:val="center"/>
              <w:rPr>
                <w:bCs/>
                <w:szCs w:val="24"/>
                <w:lang w:val="fr-FR"/>
              </w:rPr>
            </w:pPr>
            <w:r>
              <w:rPr>
                <w:bCs/>
                <w:szCs w:val="24"/>
                <w:lang w:val="fr-FR"/>
              </w:rPr>
              <w:t>2005/2006</w:t>
            </w:r>
          </w:p>
        </w:tc>
      </w:tr>
      <w:tr w:rsidR="00000000">
        <w:tc>
          <w:tcPr>
            <w:tcW w:w="3120" w:type="dxa"/>
            <w:tcBorders>
              <w:bottom w:val="single" w:sz="4" w:space="0" w:color="auto"/>
            </w:tcBorders>
          </w:tcPr>
          <w:p w:rsidR="00000000" w:rsidRDefault="00000000">
            <w:pPr>
              <w:spacing w:before="40" w:after="40"/>
              <w:rPr>
                <w:szCs w:val="24"/>
                <w:lang w:val="fr-FR"/>
              </w:rPr>
            </w:pPr>
            <w:r>
              <w:rPr>
                <w:szCs w:val="24"/>
                <w:lang w:val="fr-FR"/>
              </w:rPr>
              <w:t>Nombre total d’élèves</w:t>
            </w:r>
          </w:p>
        </w:tc>
        <w:tc>
          <w:tcPr>
            <w:tcW w:w="2040" w:type="dxa"/>
            <w:tcBorders>
              <w:bottom w:val="single" w:sz="4" w:space="0" w:color="auto"/>
            </w:tcBorders>
            <w:tcMar>
              <w:right w:w="851" w:type="dxa"/>
            </w:tcMar>
          </w:tcPr>
          <w:p w:rsidR="00000000" w:rsidRDefault="00000000">
            <w:pPr>
              <w:spacing w:before="40" w:after="40"/>
              <w:ind w:right="-131"/>
              <w:jc w:val="right"/>
              <w:rPr>
                <w:szCs w:val="24"/>
                <w:lang w:val="fr-FR"/>
              </w:rPr>
            </w:pPr>
            <w:r>
              <w:rPr>
                <w:szCs w:val="24"/>
                <w:lang w:val="fr-FR"/>
              </w:rPr>
              <w:t>650 086</w:t>
            </w:r>
          </w:p>
        </w:tc>
        <w:tc>
          <w:tcPr>
            <w:tcW w:w="2160" w:type="dxa"/>
            <w:tcBorders>
              <w:bottom w:val="single" w:sz="4" w:space="0" w:color="auto"/>
            </w:tcBorders>
            <w:tcMar>
              <w:right w:w="851" w:type="dxa"/>
            </w:tcMar>
          </w:tcPr>
          <w:p w:rsidR="00000000" w:rsidRDefault="00000000">
            <w:pPr>
              <w:spacing w:before="40" w:after="40"/>
              <w:ind w:right="-131"/>
              <w:jc w:val="right"/>
              <w:rPr>
                <w:szCs w:val="24"/>
                <w:lang w:val="fr-FR"/>
              </w:rPr>
            </w:pPr>
            <w:r>
              <w:rPr>
                <w:szCs w:val="24"/>
                <w:lang w:val="fr-FR"/>
              </w:rPr>
              <w:t>622 999</w:t>
            </w:r>
          </w:p>
        </w:tc>
        <w:tc>
          <w:tcPr>
            <w:tcW w:w="2036" w:type="dxa"/>
            <w:tcBorders>
              <w:bottom w:val="single" w:sz="4" w:space="0" w:color="auto"/>
            </w:tcBorders>
            <w:tcMar>
              <w:right w:w="851" w:type="dxa"/>
            </w:tcMar>
          </w:tcPr>
          <w:p w:rsidR="00000000" w:rsidRDefault="00000000">
            <w:pPr>
              <w:spacing w:before="40" w:after="40"/>
              <w:ind w:right="-135"/>
              <w:jc w:val="right"/>
              <w:rPr>
                <w:szCs w:val="24"/>
                <w:lang w:val="fr-FR"/>
              </w:rPr>
            </w:pPr>
            <w:r>
              <w:rPr>
                <w:szCs w:val="24"/>
                <w:lang w:val="fr-FR"/>
              </w:rPr>
              <w:t>601 362</w:t>
            </w:r>
          </w:p>
        </w:tc>
      </w:tr>
      <w:tr w:rsidR="00000000">
        <w:tc>
          <w:tcPr>
            <w:tcW w:w="3120" w:type="dxa"/>
            <w:tcBorders>
              <w:top w:val="single" w:sz="4" w:space="0" w:color="auto"/>
              <w:bottom w:val="single" w:sz="4" w:space="0" w:color="auto"/>
            </w:tcBorders>
          </w:tcPr>
          <w:p w:rsidR="00000000" w:rsidRDefault="00000000">
            <w:pPr>
              <w:spacing w:before="40" w:after="40"/>
              <w:rPr>
                <w:szCs w:val="24"/>
                <w:lang w:val="fr-FR"/>
              </w:rPr>
            </w:pPr>
            <w:r>
              <w:rPr>
                <w:szCs w:val="24"/>
                <w:lang w:val="fr-FR"/>
              </w:rPr>
              <w:t>dont:</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fr-FR"/>
              </w:rPr>
            </w:pP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fr-FR"/>
              </w:rPr>
            </w:pP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fr-FR"/>
              </w:rPr>
            </w:pP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fr-FR"/>
              </w:rPr>
            </w:pPr>
            <w:r>
              <w:rPr>
                <w:szCs w:val="24"/>
                <w:lang w:val="fr-FR"/>
              </w:rPr>
              <w:t>1</w:t>
            </w:r>
            <w:r>
              <w:rPr>
                <w:szCs w:val="24"/>
                <w:vertAlign w:val="superscript"/>
                <w:lang w:val="fr-FR"/>
              </w:rPr>
              <w:t>ère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fr-FR"/>
              </w:rPr>
            </w:pPr>
            <w:r>
              <w:rPr>
                <w:szCs w:val="24"/>
                <w:lang w:val="fr-FR"/>
              </w:rPr>
              <w:t>55 168</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fr-FR"/>
              </w:rPr>
            </w:pPr>
            <w:r>
              <w:rPr>
                <w:szCs w:val="24"/>
                <w:lang w:val="fr-FR"/>
              </w:rPr>
              <w:t>51 540</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fr-FR"/>
              </w:rPr>
            </w:pPr>
            <w:r>
              <w:rPr>
                <w:szCs w:val="24"/>
                <w:lang w:val="fr-FR"/>
              </w:rPr>
              <w:t>45 346</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fr-FR"/>
              </w:rPr>
            </w:pPr>
            <w:r>
              <w:rPr>
                <w:szCs w:val="24"/>
                <w:lang w:val="fr-FR"/>
              </w:rPr>
              <w:t>2</w:t>
            </w:r>
            <w:r>
              <w:rPr>
                <w:szCs w:val="24"/>
                <w:vertAlign w:val="superscript"/>
                <w:lang w:val="fr-FR"/>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55 827</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52 601</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50 036</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3</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57 107</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53 867</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51 526</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4</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56 186</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55 493</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53 130</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5</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60 836</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53 946</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54 051</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6</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69 051</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58 909</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53 088</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7</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72 550</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67 229</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57 811</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8</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72 212</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70 250</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65 723</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9</w:t>
            </w:r>
            <w:r>
              <w:rPr>
                <w:szCs w:val="24"/>
                <w:vertAlign w:val="superscript"/>
                <w:lang w:val="de-CH"/>
              </w:rPr>
              <w:t>e</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62 818</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69 638</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68 439</w:t>
            </w:r>
          </w:p>
        </w:tc>
      </w:tr>
      <w:tr w:rsidR="00000000">
        <w:tc>
          <w:tcPr>
            <w:tcW w:w="3120" w:type="dxa"/>
            <w:tcBorders>
              <w:top w:val="single" w:sz="4" w:space="0" w:color="auto"/>
              <w:bottom w:val="single" w:sz="4" w:space="0" w:color="auto"/>
            </w:tcBorders>
          </w:tcPr>
          <w:p w:rsidR="00000000" w:rsidRDefault="00000000">
            <w:pPr>
              <w:spacing w:before="40" w:after="40"/>
              <w:ind w:left="284"/>
              <w:rPr>
                <w:szCs w:val="24"/>
                <w:lang w:val="de-CH"/>
              </w:rPr>
            </w:pPr>
            <w:r>
              <w:rPr>
                <w:szCs w:val="24"/>
                <w:lang w:val="de-CH"/>
              </w:rPr>
              <w:t>10</w:t>
            </w:r>
            <w:r>
              <w:rPr>
                <w:szCs w:val="24"/>
                <w:vertAlign w:val="superscript"/>
                <w:lang w:val="de-CH"/>
              </w:rPr>
              <w:t>e</w:t>
            </w:r>
            <w:r>
              <w:rPr>
                <w:szCs w:val="24"/>
                <w:lang w:val="de-CH"/>
              </w:rPr>
              <w:t xml:space="preserve"> </w:t>
            </w:r>
          </w:p>
        </w:tc>
        <w:tc>
          <w:tcPr>
            <w:tcW w:w="204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46 055</w:t>
            </w:r>
          </w:p>
        </w:tc>
        <w:tc>
          <w:tcPr>
            <w:tcW w:w="2160" w:type="dxa"/>
            <w:tcBorders>
              <w:top w:val="single" w:sz="4" w:space="0" w:color="auto"/>
              <w:bottom w:val="single" w:sz="4" w:space="0" w:color="auto"/>
            </w:tcBorders>
            <w:tcMar>
              <w:right w:w="851" w:type="dxa"/>
            </w:tcMar>
          </w:tcPr>
          <w:p w:rsidR="00000000" w:rsidRDefault="00000000">
            <w:pPr>
              <w:spacing w:before="40" w:after="40"/>
              <w:ind w:right="-131"/>
              <w:jc w:val="right"/>
              <w:rPr>
                <w:szCs w:val="24"/>
                <w:lang w:val="de-CH"/>
              </w:rPr>
            </w:pPr>
            <w:r>
              <w:rPr>
                <w:szCs w:val="24"/>
                <w:lang w:val="de-CH"/>
              </w:rPr>
              <w:t>48 296</w:t>
            </w:r>
          </w:p>
        </w:tc>
        <w:tc>
          <w:tcPr>
            <w:tcW w:w="2036" w:type="dxa"/>
            <w:tcBorders>
              <w:top w:val="single" w:sz="4" w:space="0" w:color="auto"/>
              <w:bottom w:val="single" w:sz="4" w:space="0" w:color="auto"/>
            </w:tcBorders>
            <w:tcMar>
              <w:right w:w="851" w:type="dxa"/>
            </w:tcMar>
          </w:tcPr>
          <w:p w:rsidR="00000000" w:rsidRDefault="00000000">
            <w:pPr>
              <w:spacing w:before="40" w:after="40"/>
              <w:ind w:right="-135"/>
              <w:jc w:val="right"/>
              <w:rPr>
                <w:szCs w:val="24"/>
                <w:lang w:val="de-CH"/>
              </w:rPr>
            </w:pPr>
            <w:r>
              <w:rPr>
                <w:szCs w:val="24"/>
                <w:lang w:val="de-CH"/>
              </w:rPr>
              <w:t>56 619</w:t>
            </w:r>
          </w:p>
        </w:tc>
      </w:tr>
      <w:tr w:rsidR="00000000">
        <w:tc>
          <w:tcPr>
            <w:tcW w:w="3120" w:type="dxa"/>
            <w:tcBorders>
              <w:top w:val="single" w:sz="4" w:space="0" w:color="auto"/>
            </w:tcBorders>
          </w:tcPr>
          <w:p w:rsidR="00000000" w:rsidRDefault="00000000">
            <w:pPr>
              <w:spacing w:before="40" w:after="40"/>
              <w:ind w:left="284"/>
              <w:rPr>
                <w:szCs w:val="24"/>
                <w:lang w:val="de-CH"/>
              </w:rPr>
            </w:pPr>
            <w:r>
              <w:rPr>
                <w:szCs w:val="24"/>
                <w:lang w:val="de-CH"/>
              </w:rPr>
              <w:t>11</w:t>
            </w:r>
            <w:r>
              <w:rPr>
                <w:szCs w:val="24"/>
                <w:vertAlign w:val="superscript"/>
                <w:lang w:val="de-CH"/>
              </w:rPr>
              <w:t>e</w:t>
            </w:r>
            <w:r>
              <w:rPr>
                <w:szCs w:val="24"/>
                <w:lang w:val="de-CH"/>
              </w:rPr>
              <w:t xml:space="preserve"> (12</w:t>
            </w:r>
            <w:r>
              <w:rPr>
                <w:szCs w:val="24"/>
                <w:vertAlign w:val="superscript"/>
                <w:lang w:val="de-CH"/>
              </w:rPr>
              <w:t>e</w:t>
            </w:r>
            <w:r>
              <w:rPr>
                <w:szCs w:val="24"/>
                <w:lang w:val="de-CH"/>
              </w:rPr>
              <w:t>)</w:t>
            </w:r>
          </w:p>
        </w:tc>
        <w:tc>
          <w:tcPr>
            <w:tcW w:w="2040" w:type="dxa"/>
            <w:tcBorders>
              <w:top w:val="single" w:sz="4" w:space="0" w:color="auto"/>
            </w:tcBorders>
            <w:tcMar>
              <w:right w:w="851" w:type="dxa"/>
            </w:tcMar>
          </w:tcPr>
          <w:p w:rsidR="00000000" w:rsidRDefault="00000000">
            <w:pPr>
              <w:spacing w:before="40" w:after="40"/>
              <w:ind w:right="-131"/>
              <w:jc w:val="right"/>
              <w:rPr>
                <w:szCs w:val="24"/>
                <w:lang w:val="fr-FR"/>
              </w:rPr>
            </w:pPr>
            <w:r>
              <w:rPr>
                <w:szCs w:val="24"/>
                <w:lang w:val="fr-FR"/>
              </w:rPr>
              <w:t>42 276</w:t>
            </w:r>
          </w:p>
        </w:tc>
        <w:tc>
          <w:tcPr>
            <w:tcW w:w="2160" w:type="dxa"/>
            <w:tcBorders>
              <w:top w:val="single" w:sz="4" w:space="0" w:color="auto"/>
            </w:tcBorders>
            <w:tcMar>
              <w:right w:w="851" w:type="dxa"/>
            </w:tcMar>
          </w:tcPr>
          <w:p w:rsidR="00000000" w:rsidRDefault="00000000">
            <w:pPr>
              <w:spacing w:before="40" w:after="40"/>
              <w:ind w:right="-131"/>
              <w:jc w:val="right"/>
              <w:rPr>
                <w:szCs w:val="24"/>
                <w:lang w:val="fr-FR"/>
              </w:rPr>
            </w:pPr>
            <w:r>
              <w:rPr>
                <w:szCs w:val="24"/>
                <w:lang w:val="fr-FR"/>
              </w:rPr>
              <w:t>43 104</w:t>
            </w:r>
          </w:p>
        </w:tc>
        <w:tc>
          <w:tcPr>
            <w:tcW w:w="2036" w:type="dxa"/>
            <w:tcBorders>
              <w:top w:val="single" w:sz="4" w:space="0" w:color="auto"/>
            </w:tcBorders>
            <w:tcMar>
              <w:right w:w="851" w:type="dxa"/>
            </w:tcMar>
          </w:tcPr>
          <w:p w:rsidR="00000000" w:rsidRDefault="00000000">
            <w:pPr>
              <w:spacing w:before="40" w:after="40"/>
              <w:ind w:right="-135"/>
              <w:jc w:val="right"/>
              <w:rPr>
                <w:szCs w:val="24"/>
                <w:lang w:val="fr-FR"/>
              </w:rPr>
            </w:pPr>
            <w:r>
              <w:rPr>
                <w:szCs w:val="24"/>
                <w:lang w:val="fr-FR"/>
              </w:rPr>
              <w:t>45 593</w:t>
            </w:r>
          </w:p>
        </w:tc>
      </w:tr>
    </w:tbl>
    <w:p w:rsidR="00000000" w:rsidRDefault="00000000">
      <w:pPr>
        <w:spacing w:before="240" w:after="240"/>
        <w:rPr>
          <w:iCs/>
          <w:noProof/>
          <w:szCs w:val="24"/>
          <w:lang w:val="fr-FR"/>
        </w:rPr>
      </w:pPr>
      <w:r>
        <w:rPr>
          <w:bCs/>
          <w:i/>
          <w:noProof/>
          <w:szCs w:val="24"/>
          <w:lang w:val="fr-FR"/>
        </w:rPr>
        <w:tab/>
        <w:t>Source</w:t>
      </w:r>
      <w:r>
        <w:rPr>
          <w:bCs/>
          <w:iCs/>
          <w:noProof/>
          <w:szCs w:val="24"/>
          <w:lang w:val="fr-FR"/>
        </w:rPr>
        <w:t>: Ministère de l’éducation et des sciences.</w:t>
      </w:r>
    </w:p>
    <w:p w:rsidR="00000000" w:rsidRDefault="00000000">
      <w:pPr>
        <w:keepNext/>
        <w:spacing w:after="240"/>
        <w:jc w:val="center"/>
        <w:rPr>
          <w:b/>
          <w:bCs/>
          <w:noProof/>
          <w:lang w:val="fr-FR"/>
        </w:rPr>
      </w:pPr>
      <w:r>
        <w:rPr>
          <w:b/>
          <w:bCs/>
          <w:noProof/>
          <w:lang w:val="fr-FR"/>
        </w:rPr>
        <w:t>Répartition par niveau des élèves des établissements privés d’enseignement général</w:t>
      </w:r>
      <w:r>
        <w:rPr>
          <w:b/>
          <w:bCs/>
          <w:noProof/>
          <w:lang w:val="fr-FR"/>
        </w:rPr>
        <w:br/>
        <w:t>(en début d’année scolaire)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0"/>
        <w:gridCol w:w="2040"/>
        <w:gridCol w:w="2160"/>
        <w:gridCol w:w="2036"/>
      </w:tblGrid>
      <w:tr w:rsidR="00000000">
        <w:trPr>
          <w:trHeight w:val="198"/>
          <w:tblHeader/>
        </w:trPr>
        <w:tc>
          <w:tcPr>
            <w:tcW w:w="3120" w:type="dxa"/>
          </w:tcPr>
          <w:p w:rsidR="00000000" w:rsidRDefault="00000000">
            <w:pPr>
              <w:spacing w:before="40" w:after="40"/>
              <w:rPr>
                <w:szCs w:val="24"/>
                <w:lang w:val="fr-FR"/>
              </w:rPr>
            </w:pPr>
          </w:p>
        </w:tc>
        <w:tc>
          <w:tcPr>
            <w:tcW w:w="2040" w:type="dxa"/>
          </w:tcPr>
          <w:p w:rsidR="00000000" w:rsidRDefault="00000000">
            <w:pPr>
              <w:spacing w:before="40" w:after="40"/>
              <w:jc w:val="center"/>
              <w:rPr>
                <w:bCs/>
                <w:szCs w:val="24"/>
                <w:lang w:val="fr-FR"/>
              </w:rPr>
            </w:pPr>
            <w:r>
              <w:rPr>
                <w:bCs/>
                <w:szCs w:val="24"/>
                <w:lang w:val="fr-FR"/>
              </w:rPr>
              <w:t>2003/2004</w:t>
            </w:r>
          </w:p>
        </w:tc>
        <w:tc>
          <w:tcPr>
            <w:tcW w:w="2160" w:type="dxa"/>
          </w:tcPr>
          <w:p w:rsidR="00000000" w:rsidRDefault="00000000">
            <w:pPr>
              <w:spacing w:before="40" w:after="40"/>
              <w:jc w:val="center"/>
              <w:rPr>
                <w:bCs/>
                <w:szCs w:val="24"/>
                <w:lang w:val="fr-FR"/>
              </w:rPr>
            </w:pPr>
            <w:r>
              <w:rPr>
                <w:bCs/>
                <w:szCs w:val="24"/>
                <w:lang w:val="fr-FR"/>
              </w:rPr>
              <w:t>2004/2005</w:t>
            </w:r>
          </w:p>
        </w:tc>
        <w:tc>
          <w:tcPr>
            <w:tcW w:w="2036" w:type="dxa"/>
          </w:tcPr>
          <w:p w:rsidR="00000000" w:rsidRDefault="00000000">
            <w:pPr>
              <w:spacing w:before="40" w:after="40"/>
              <w:jc w:val="center"/>
              <w:rPr>
                <w:bCs/>
                <w:szCs w:val="24"/>
                <w:lang w:val="fr-FR"/>
              </w:rPr>
            </w:pPr>
            <w:r>
              <w:rPr>
                <w:bCs/>
                <w:szCs w:val="24"/>
                <w:lang w:val="fr-FR"/>
              </w:rPr>
              <w:t>2005/2006</w:t>
            </w:r>
          </w:p>
        </w:tc>
      </w:tr>
      <w:tr w:rsidR="00000000">
        <w:tc>
          <w:tcPr>
            <w:tcW w:w="3120" w:type="dxa"/>
          </w:tcPr>
          <w:p w:rsidR="00000000" w:rsidRDefault="00000000">
            <w:pPr>
              <w:spacing w:before="40" w:after="40"/>
              <w:rPr>
                <w:szCs w:val="24"/>
                <w:lang w:val="fr-FR"/>
              </w:rPr>
            </w:pPr>
            <w:r>
              <w:rPr>
                <w:szCs w:val="24"/>
                <w:lang w:val="fr-FR"/>
              </w:rPr>
              <w:t>Nombre total d’élèves</w:t>
            </w:r>
            <w:r>
              <w:rPr>
                <w:szCs w:val="24"/>
                <w:lang w:val="fr-FR"/>
              </w:rPr>
              <w:br/>
              <w:t>dont élèves en:</w:t>
            </w:r>
          </w:p>
        </w:tc>
        <w:tc>
          <w:tcPr>
            <w:tcW w:w="2040" w:type="dxa"/>
            <w:tcMar>
              <w:right w:w="108" w:type="dxa"/>
            </w:tcMar>
          </w:tcPr>
          <w:p w:rsidR="00000000" w:rsidRDefault="00000000">
            <w:pPr>
              <w:spacing w:before="40" w:after="40"/>
              <w:ind w:right="680"/>
              <w:jc w:val="right"/>
              <w:rPr>
                <w:szCs w:val="24"/>
                <w:lang w:val="de-CH"/>
              </w:rPr>
            </w:pPr>
            <w:r>
              <w:rPr>
                <w:szCs w:val="24"/>
                <w:lang w:val="de-CH"/>
              </w:rPr>
              <w:t>16 902</w:t>
            </w:r>
          </w:p>
        </w:tc>
        <w:tc>
          <w:tcPr>
            <w:tcW w:w="2160" w:type="dxa"/>
            <w:tcMar>
              <w:right w:w="108" w:type="dxa"/>
            </w:tcMar>
          </w:tcPr>
          <w:p w:rsidR="00000000" w:rsidRDefault="00000000">
            <w:pPr>
              <w:spacing w:before="40" w:after="40"/>
              <w:ind w:right="680"/>
              <w:jc w:val="right"/>
              <w:rPr>
                <w:szCs w:val="24"/>
                <w:lang w:val="de-CH"/>
              </w:rPr>
            </w:pPr>
            <w:r>
              <w:rPr>
                <w:szCs w:val="24"/>
                <w:lang w:val="de-CH"/>
              </w:rPr>
              <w:t>21 002</w:t>
            </w:r>
          </w:p>
        </w:tc>
        <w:tc>
          <w:tcPr>
            <w:tcW w:w="2036" w:type="dxa"/>
            <w:tcMar>
              <w:right w:w="108" w:type="dxa"/>
            </w:tcMar>
          </w:tcPr>
          <w:p w:rsidR="00000000" w:rsidRDefault="00000000">
            <w:pPr>
              <w:spacing w:before="40" w:after="40"/>
              <w:ind w:right="680"/>
              <w:jc w:val="right"/>
              <w:rPr>
                <w:szCs w:val="24"/>
                <w:lang w:val="de-CH"/>
              </w:rPr>
            </w:pPr>
            <w:r>
              <w:rPr>
                <w:szCs w:val="24"/>
                <w:lang w:val="de-CH"/>
              </w:rPr>
              <w:t>33 362</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1</w:t>
            </w:r>
            <w:r>
              <w:rPr>
                <w:szCs w:val="24"/>
                <w:vertAlign w:val="superscript"/>
                <w:lang w:val="de-CH"/>
              </w:rPr>
              <w:t>ère</w:t>
            </w:r>
          </w:p>
        </w:tc>
        <w:tc>
          <w:tcPr>
            <w:tcW w:w="2040" w:type="dxa"/>
            <w:tcMar>
              <w:right w:w="108" w:type="dxa"/>
            </w:tcMar>
          </w:tcPr>
          <w:p w:rsidR="00000000" w:rsidRDefault="00000000">
            <w:pPr>
              <w:spacing w:before="40" w:after="40"/>
              <w:ind w:right="680"/>
              <w:jc w:val="right"/>
              <w:rPr>
                <w:szCs w:val="24"/>
                <w:lang w:val="de-CH"/>
              </w:rPr>
            </w:pPr>
            <w:r>
              <w:rPr>
                <w:szCs w:val="24"/>
                <w:lang w:val="de-CH"/>
              </w:rPr>
              <w:t>18.44</w:t>
            </w:r>
          </w:p>
        </w:tc>
        <w:tc>
          <w:tcPr>
            <w:tcW w:w="2160" w:type="dxa"/>
            <w:tcMar>
              <w:right w:w="108" w:type="dxa"/>
            </w:tcMar>
          </w:tcPr>
          <w:p w:rsidR="00000000" w:rsidRDefault="00000000">
            <w:pPr>
              <w:spacing w:before="40" w:after="40"/>
              <w:ind w:right="680"/>
              <w:jc w:val="right"/>
              <w:rPr>
                <w:szCs w:val="24"/>
                <w:lang w:val="de-CH"/>
              </w:rPr>
            </w:pPr>
            <w:r>
              <w:rPr>
                <w:szCs w:val="24"/>
                <w:lang w:val="de-CH"/>
              </w:rPr>
              <w:t>22.17</w:t>
            </w:r>
          </w:p>
        </w:tc>
        <w:tc>
          <w:tcPr>
            <w:tcW w:w="2036" w:type="dxa"/>
            <w:tcMar>
              <w:right w:w="108" w:type="dxa"/>
            </w:tcMar>
          </w:tcPr>
          <w:p w:rsidR="00000000" w:rsidRDefault="00000000">
            <w:pPr>
              <w:spacing w:before="40" w:after="40"/>
              <w:ind w:right="680"/>
              <w:jc w:val="right"/>
              <w:rPr>
                <w:szCs w:val="24"/>
                <w:lang w:val="de-CH"/>
              </w:rPr>
            </w:pPr>
            <w:r>
              <w:rPr>
                <w:szCs w:val="24"/>
                <w:lang w:val="de-CH"/>
              </w:rPr>
              <w:t>35.64</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2</w:t>
            </w:r>
            <w:r>
              <w:rPr>
                <w:szCs w:val="24"/>
                <w:vertAlign w:val="superscript"/>
                <w:lang w:val="de-CH"/>
              </w:rPr>
              <w:t>e</w:t>
            </w:r>
          </w:p>
        </w:tc>
        <w:tc>
          <w:tcPr>
            <w:tcW w:w="2040" w:type="dxa"/>
            <w:tcMar>
              <w:right w:w="108" w:type="dxa"/>
            </w:tcMar>
          </w:tcPr>
          <w:p w:rsidR="00000000" w:rsidRDefault="00000000">
            <w:pPr>
              <w:spacing w:before="40" w:after="40"/>
              <w:ind w:right="680"/>
              <w:jc w:val="right"/>
              <w:rPr>
                <w:szCs w:val="24"/>
                <w:lang w:val="de-CH"/>
              </w:rPr>
            </w:pPr>
            <w:r>
              <w:rPr>
                <w:szCs w:val="24"/>
                <w:lang w:val="de-CH"/>
              </w:rPr>
              <w:t>16.92</w:t>
            </w:r>
          </w:p>
        </w:tc>
        <w:tc>
          <w:tcPr>
            <w:tcW w:w="2160" w:type="dxa"/>
            <w:tcMar>
              <w:right w:w="108" w:type="dxa"/>
            </w:tcMar>
          </w:tcPr>
          <w:p w:rsidR="00000000" w:rsidRDefault="00000000">
            <w:pPr>
              <w:spacing w:before="40" w:after="40"/>
              <w:ind w:right="680"/>
              <w:jc w:val="right"/>
              <w:rPr>
                <w:szCs w:val="24"/>
                <w:lang w:val="de-CH"/>
              </w:rPr>
            </w:pPr>
            <w:r>
              <w:rPr>
                <w:szCs w:val="24"/>
                <w:lang w:val="de-CH"/>
              </w:rPr>
              <w:t>21.86</w:t>
            </w:r>
          </w:p>
        </w:tc>
        <w:tc>
          <w:tcPr>
            <w:tcW w:w="2036" w:type="dxa"/>
            <w:tcMar>
              <w:right w:w="108" w:type="dxa"/>
            </w:tcMar>
          </w:tcPr>
          <w:p w:rsidR="00000000" w:rsidRDefault="00000000">
            <w:pPr>
              <w:spacing w:before="40" w:after="40"/>
              <w:ind w:right="680"/>
              <w:jc w:val="right"/>
              <w:rPr>
                <w:szCs w:val="24"/>
                <w:lang w:val="de-CH"/>
              </w:rPr>
            </w:pPr>
            <w:r>
              <w:rPr>
                <w:szCs w:val="24"/>
                <w:lang w:val="de-CH"/>
              </w:rPr>
              <w:t>34.82</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3</w:t>
            </w:r>
            <w:r>
              <w:rPr>
                <w:szCs w:val="24"/>
                <w:vertAlign w:val="superscript"/>
                <w:lang w:val="de-CH"/>
              </w:rPr>
              <w:t>e</w:t>
            </w:r>
          </w:p>
        </w:tc>
        <w:tc>
          <w:tcPr>
            <w:tcW w:w="2040" w:type="dxa"/>
            <w:tcMar>
              <w:right w:w="108" w:type="dxa"/>
            </w:tcMar>
          </w:tcPr>
          <w:p w:rsidR="00000000" w:rsidRDefault="00000000">
            <w:pPr>
              <w:spacing w:before="40" w:after="40"/>
              <w:ind w:right="680"/>
              <w:jc w:val="right"/>
              <w:rPr>
                <w:szCs w:val="24"/>
                <w:lang w:val="de-CH"/>
              </w:rPr>
            </w:pPr>
            <w:r>
              <w:rPr>
                <w:szCs w:val="24"/>
                <w:lang w:val="de-CH"/>
              </w:rPr>
              <w:t>15.65</w:t>
            </w:r>
          </w:p>
        </w:tc>
        <w:tc>
          <w:tcPr>
            <w:tcW w:w="2160" w:type="dxa"/>
            <w:tcMar>
              <w:right w:w="108" w:type="dxa"/>
            </w:tcMar>
          </w:tcPr>
          <w:p w:rsidR="00000000" w:rsidRDefault="00000000">
            <w:pPr>
              <w:spacing w:before="40" w:after="40"/>
              <w:ind w:right="680"/>
              <w:jc w:val="right"/>
              <w:rPr>
                <w:szCs w:val="24"/>
                <w:lang w:val="de-CH"/>
              </w:rPr>
            </w:pPr>
            <w:r>
              <w:rPr>
                <w:szCs w:val="24"/>
                <w:lang w:val="de-CH"/>
              </w:rPr>
              <w:t>19.74</w:t>
            </w:r>
          </w:p>
        </w:tc>
        <w:tc>
          <w:tcPr>
            <w:tcW w:w="2036" w:type="dxa"/>
            <w:tcMar>
              <w:right w:w="108" w:type="dxa"/>
            </w:tcMar>
          </w:tcPr>
          <w:p w:rsidR="00000000" w:rsidRDefault="00000000">
            <w:pPr>
              <w:spacing w:before="40" w:after="40"/>
              <w:ind w:right="680"/>
              <w:jc w:val="right"/>
              <w:rPr>
                <w:szCs w:val="24"/>
                <w:lang w:val="de-CH"/>
              </w:rPr>
            </w:pPr>
            <w:r>
              <w:rPr>
                <w:szCs w:val="24"/>
                <w:lang w:val="de-CH"/>
              </w:rPr>
              <w:t>35.49</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4</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15.29</w:t>
            </w:r>
          </w:p>
        </w:tc>
        <w:tc>
          <w:tcPr>
            <w:tcW w:w="2160" w:type="dxa"/>
            <w:tcMar>
              <w:right w:w="108" w:type="dxa"/>
            </w:tcMar>
          </w:tcPr>
          <w:p w:rsidR="00000000" w:rsidRDefault="00000000">
            <w:pPr>
              <w:spacing w:before="40" w:after="40"/>
              <w:ind w:right="680"/>
              <w:jc w:val="right"/>
              <w:rPr>
                <w:szCs w:val="24"/>
                <w:lang w:val="de-CH"/>
              </w:rPr>
            </w:pPr>
            <w:r>
              <w:rPr>
                <w:szCs w:val="24"/>
                <w:lang w:val="de-CH"/>
              </w:rPr>
              <w:t>19.08</w:t>
            </w:r>
          </w:p>
        </w:tc>
        <w:tc>
          <w:tcPr>
            <w:tcW w:w="2036" w:type="dxa"/>
            <w:tcMar>
              <w:right w:w="108" w:type="dxa"/>
            </w:tcMar>
          </w:tcPr>
          <w:p w:rsidR="00000000" w:rsidRDefault="00000000">
            <w:pPr>
              <w:spacing w:before="40" w:after="40"/>
              <w:ind w:right="680"/>
              <w:jc w:val="right"/>
              <w:rPr>
                <w:szCs w:val="24"/>
                <w:lang w:val="de-CH"/>
              </w:rPr>
            </w:pPr>
            <w:r>
              <w:rPr>
                <w:szCs w:val="24"/>
                <w:lang w:val="de-CH"/>
              </w:rPr>
              <w:t>30.94</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5</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15.06</w:t>
            </w:r>
          </w:p>
        </w:tc>
        <w:tc>
          <w:tcPr>
            <w:tcW w:w="2160" w:type="dxa"/>
            <w:tcMar>
              <w:right w:w="108" w:type="dxa"/>
            </w:tcMar>
          </w:tcPr>
          <w:p w:rsidR="00000000" w:rsidRDefault="00000000">
            <w:pPr>
              <w:spacing w:before="40" w:after="40"/>
              <w:ind w:right="680"/>
              <w:jc w:val="right"/>
              <w:rPr>
                <w:szCs w:val="24"/>
                <w:lang w:val="de-CH"/>
              </w:rPr>
            </w:pPr>
            <w:r>
              <w:rPr>
                <w:szCs w:val="24"/>
                <w:lang w:val="de-CH"/>
              </w:rPr>
              <w:t>18.06</w:t>
            </w:r>
          </w:p>
        </w:tc>
        <w:tc>
          <w:tcPr>
            <w:tcW w:w="2036" w:type="dxa"/>
            <w:tcMar>
              <w:right w:w="108" w:type="dxa"/>
            </w:tcMar>
          </w:tcPr>
          <w:p w:rsidR="00000000" w:rsidRDefault="00000000">
            <w:pPr>
              <w:spacing w:before="40" w:after="40"/>
              <w:ind w:right="680"/>
              <w:jc w:val="right"/>
              <w:rPr>
                <w:szCs w:val="24"/>
                <w:lang w:val="de-CH"/>
              </w:rPr>
            </w:pPr>
            <w:r>
              <w:rPr>
                <w:szCs w:val="24"/>
                <w:lang w:val="de-CH"/>
              </w:rPr>
              <w:t>28.68</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6</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16.40</w:t>
            </w:r>
          </w:p>
        </w:tc>
        <w:tc>
          <w:tcPr>
            <w:tcW w:w="2160" w:type="dxa"/>
            <w:tcMar>
              <w:right w:w="108" w:type="dxa"/>
            </w:tcMar>
          </w:tcPr>
          <w:p w:rsidR="00000000" w:rsidRDefault="00000000">
            <w:pPr>
              <w:spacing w:before="40" w:after="40"/>
              <w:ind w:right="680"/>
              <w:jc w:val="right"/>
              <w:rPr>
                <w:szCs w:val="24"/>
                <w:lang w:val="de-CH"/>
              </w:rPr>
            </w:pPr>
            <w:r>
              <w:rPr>
                <w:szCs w:val="24"/>
                <w:lang w:val="de-CH"/>
              </w:rPr>
              <w:t>17.75</w:t>
            </w:r>
          </w:p>
        </w:tc>
        <w:tc>
          <w:tcPr>
            <w:tcW w:w="2036" w:type="dxa"/>
            <w:tcMar>
              <w:right w:w="108" w:type="dxa"/>
            </w:tcMar>
          </w:tcPr>
          <w:p w:rsidR="00000000" w:rsidRDefault="00000000">
            <w:pPr>
              <w:spacing w:before="40" w:after="40"/>
              <w:ind w:right="680"/>
              <w:jc w:val="right"/>
              <w:rPr>
                <w:szCs w:val="24"/>
                <w:lang w:val="de-CH"/>
              </w:rPr>
            </w:pPr>
            <w:r>
              <w:rPr>
                <w:szCs w:val="24"/>
                <w:lang w:val="de-CH"/>
              </w:rPr>
              <w:t>28.63</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7</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16.52</w:t>
            </w:r>
          </w:p>
        </w:tc>
        <w:tc>
          <w:tcPr>
            <w:tcW w:w="2160" w:type="dxa"/>
            <w:tcMar>
              <w:right w:w="108" w:type="dxa"/>
            </w:tcMar>
          </w:tcPr>
          <w:p w:rsidR="00000000" w:rsidRDefault="00000000">
            <w:pPr>
              <w:spacing w:before="40" w:after="40"/>
              <w:ind w:right="680"/>
              <w:jc w:val="right"/>
              <w:rPr>
                <w:szCs w:val="24"/>
                <w:lang w:val="de-CH"/>
              </w:rPr>
            </w:pPr>
            <w:r>
              <w:rPr>
                <w:szCs w:val="24"/>
                <w:lang w:val="de-CH"/>
              </w:rPr>
              <w:t>20.88</w:t>
            </w:r>
          </w:p>
        </w:tc>
        <w:tc>
          <w:tcPr>
            <w:tcW w:w="2036" w:type="dxa"/>
            <w:tcMar>
              <w:right w:w="108" w:type="dxa"/>
            </w:tcMar>
          </w:tcPr>
          <w:p w:rsidR="00000000" w:rsidRDefault="00000000">
            <w:pPr>
              <w:spacing w:before="40" w:after="40"/>
              <w:ind w:right="680"/>
              <w:jc w:val="right"/>
              <w:rPr>
                <w:szCs w:val="24"/>
                <w:lang w:val="de-CH"/>
              </w:rPr>
            </w:pPr>
            <w:r>
              <w:rPr>
                <w:szCs w:val="24"/>
                <w:lang w:val="de-CH"/>
              </w:rPr>
              <w:t>27.74</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8</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14.64</w:t>
            </w:r>
          </w:p>
        </w:tc>
        <w:tc>
          <w:tcPr>
            <w:tcW w:w="2160" w:type="dxa"/>
            <w:tcMar>
              <w:right w:w="108" w:type="dxa"/>
            </w:tcMar>
          </w:tcPr>
          <w:p w:rsidR="00000000" w:rsidRDefault="00000000">
            <w:pPr>
              <w:spacing w:before="40" w:after="40"/>
              <w:ind w:right="680"/>
              <w:jc w:val="right"/>
              <w:rPr>
                <w:szCs w:val="24"/>
                <w:lang w:val="de-CH"/>
              </w:rPr>
            </w:pPr>
            <w:r>
              <w:rPr>
                <w:szCs w:val="24"/>
                <w:lang w:val="de-CH"/>
              </w:rPr>
              <w:t>20.84</w:t>
            </w:r>
          </w:p>
        </w:tc>
        <w:tc>
          <w:tcPr>
            <w:tcW w:w="2036" w:type="dxa"/>
            <w:tcMar>
              <w:right w:w="108" w:type="dxa"/>
            </w:tcMar>
          </w:tcPr>
          <w:p w:rsidR="00000000" w:rsidRDefault="00000000">
            <w:pPr>
              <w:spacing w:before="40" w:after="40"/>
              <w:ind w:right="680"/>
              <w:jc w:val="right"/>
              <w:rPr>
                <w:szCs w:val="24"/>
                <w:lang w:val="de-CH"/>
              </w:rPr>
            </w:pPr>
            <w:r>
              <w:rPr>
                <w:szCs w:val="24"/>
                <w:lang w:val="de-CH"/>
              </w:rPr>
              <w:t>28.89</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9</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12.87</w:t>
            </w:r>
          </w:p>
        </w:tc>
        <w:tc>
          <w:tcPr>
            <w:tcW w:w="2160" w:type="dxa"/>
            <w:tcMar>
              <w:right w:w="108" w:type="dxa"/>
            </w:tcMar>
          </w:tcPr>
          <w:p w:rsidR="00000000" w:rsidRDefault="00000000">
            <w:pPr>
              <w:spacing w:before="40" w:after="40"/>
              <w:ind w:right="680"/>
              <w:jc w:val="right"/>
              <w:rPr>
                <w:szCs w:val="24"/>
                <w:lang w:val="de-CH"/>
              </w:rPr>
            </w:pPr>
            <w:r>
              <w:rPr>
                <w:szCs w:val="24"/>
                <w:lang w:val="de-CH"/>
              </w:rPr>
              <w:t>20.02</w:t>
            </w:r>
          </w:p>
        </w:tc>
        <w:tc>
          <w:tcPr>
            <w:tcW w:w="2036" w:type="dxa"/>
            <w:tcMar>
              <w:right w:w="108" w:type="dxa"/>
            </w:tcMar>
          </w:tcPr>
          <w:p w:rsidR="00000000" w:rsidRDefault="00000000">
            <w:pPr>
              <w:spacing w:before="40" w:after="40"/>
              <w:ind w:right="680"/>
              <w:jc w:val="right"/>
              <w:rPr>
                <w:szCs w:val="24"/>
                <w:lang w:val="de-CH"/>
              </w:rPr>
            </w:pPr>
            <w:r>
              <w:rPr>
                <w:szCs w:val="24"/>
                <w:lang w:val="de-CH"/>
              </w:rPr>
              <w:t>28.52</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10</w:t>
            </w:r>
            <w:r>
              <w:rPr>
                <w:szCs w:val="24"/>
                <w:vertAlign w:val="superscript"/>
                <w:lang w:val="de-CH"/>
              </w:rPr>
              <w:t>e</w:t>
            </w:r>
            <w:r>
              <w:rPr>
                <w:szCs w:val="24"/>
                <w:lang w:val="de-CH"/>
              </w:rPr>
              <w:t xml:space="preserve"> </w:t>
            </w:r>
          </w:p>
        </w:tc>
        <w:tc>
          <w:tcPr>
            <w:tcW w:w="2040" w:type="dxa"/>
            <w:tcMar>
              <w:right w:w="108" w:type="dxa"/>
            </w:tcMar>
          </w:tcPr>
          <w:p w:rsidR="00000000" w:rsidRDefault="00000000">
            <w:pPr>
              <w:spacing w:before="40" w:after="40"/>
              <w:ind w:right="680"/>
              <w:jc w:val="right"/>
              <w:rPr>
                <w:szCs w:val="24"/>
                <w:lang w:val="de-CH"/>
              </w:rPr>
            </w:pPr>
            <w:r>
              <w:rPr>
                <w:szCs w:val="24"/>
                <w:lang w:val="de-CH"/>
              </w:rPr>
              <w:t>13.84</w:t>
            </w:r>
          </w:p>
        </w:tc>
        <w:tc>
          <w:tcPr>
            <w:tcW w:w="2160" w:type="dxa"/>
            <w:tcMar>
              <w:right w:w="108" w:type="dxa"/>
            </w:tcMar>
          </w:tcPr>
          <w:p w:rsidR="00000000" w:rsidRDefault="00000000">
            <w:pPr>
              <w:spacing w:before="40" w:after="40"/>
              <w:ind w:right="680"/>
              <w:jc w:val="right"/>
              <w:rPr>
                <w:szCs w:val="24"/>
                <w:lang w:val="de-CH"/>
              </w:rPr>
            </w:pPr>
            <w:r>
              <w:rPr>
                <w:szCs w:val="24"/>
                <w:lang w:val="de-CH"/>
              </w:rPr>
              <w:t>14.07</w:t>
            </w:r>
          </w:p>
        </w:tc>
        <w:tc>
          <w:tcPr>
            <w:tcW w:w="2036" w:type="dxa"/>
            <w:tcMar>
              <w:right w:w="108" w:type="dxa"/>
            </w:tcMar>
          </w:tcPr>
          <w:p w:rsidR="00000000" w:rsidRDefault="00000000">
            <w:pPr>
              <w:spacing w:before="40" w:after="40"/>
              <w:ind w:right="680"/>
              <w:jc w:val="right"/>
              <w:rPr>
                <w:szCs w:val="24"/>
                <w:lang w:val="de-CH"/>
              </w:rPr>
            </w:pPr>
            <w:r>
              <w:rPr>
                <w:szCs w:val="24"/>
                <w:lang w:val="de-CH"/>
              </w:rPr>
              <w:t>28.01</w:t>
            </w:r>
          </w:p>
        </w:tc>
      </w:tr>
      <w:tr w:rsidR="00000000">
        <w:tc>
          <w:tcPr>
            <w:tcW w:w="3120" w:type="dxa"/>
          </w:tcPr>
          <w:p w:rsidR="00000000" w:rsidRDefault="00000000">
            <w:pPr>
              <w:tabs>
                <w:tab w:val="left" w:pos="252"/>
              </w:tabs>
              <w:spacing w:before="40" w:after="40"/>
              <w:ind w:left="284"/>
              <w:rPr>
                <w:szCs w:val="24"/>
                <w:lang w:val="de-CH"/>
              </w:rPr>
            </w:pPr>
            <w:r>
              <w:rPr>
                <w:szCs w:val="24"/>
                <w:lang w:val="de-CH"/>
              </w:rPr>
              <w:t>11</w:t>
            </w:r>
            <w:r>
              <w:rPr>
                <w:szCs w:val="24"/>
                <w:vertAlign w:val="superscript"/>
                <w:lang w:val="de-CH"/>
              </w:rPr>
              <w:t>e</w:t>
            </w:r>
            <w:r>
              <w:rPr>
                <w:szCs w:val="24"/>
                <w:lang w:val="de-CH"/>
              </w:rPr>
              <w:t xml:space="preserve"> (12</w:t>
            </w:r>
            <w:r>
              <w:rPr>
                <w:szCs w:val="24"/>
                <w:vertAlign w:val="superscript"/>
                <w:lang w:val="de-CH"/>
              </w:rPr>
              <w:t>e</w:t>
            </w:r>
            <w:r>
              <w:rPr>
                <w:szCs w:val="24"/>
                <w:lang w:val="de-CH"/>
              </w:rPr>
              <w:t>)</w:t>
            </w:r>
          </w:p>
        </w:tc>
        <w:tc>
          <w:tcPr>
            <w:tcW w:w="2040" w:type="dxa"/>
            <w:tcMar>
              <w:right w:w="108" w:type="dxa"/>
            </w:tcMar>
          </w:tcPr>
          <w:p w:rsidR="00000000" w:rsidRDefault="00000000">
            <w:pPr>
              <w:spacing w:before="40" w:after="40"/>
              <w:ind w:right="680"/>
              <w:jc w:val="right"/>
              <w:rPr>
                <w:szCs w:val="24"/>
                <w:lang w:val="fr-FR"/>
              </w:rPr>
            </w:pPr>
            <w:r>
              <w:rPr>
                <w:szCs w:val="24"/>
                <w:lang w:val="fr-FR"/>
              </w:rPr>
              <w:t>13.39</w:t>
            </w:r>
          </w:p>
        </w:tc>
        <w:tc>
          <w:tcPr>
            <w:tcW w:w="2160" w:type="dxa"/>
            <w:tcMar>
              <w:right w:w="108" w:type="dxa"/>
            </w:tcMar>
          </w:tcPr>
          <w:p w:rsidR="00000000" w:rsidRDefault="00000000">
            <w:pPr>
              <w:spacing w:before="40" w:after="40"/>
              <w:ind w:right="680"/>
              <w:jc w:val="right"/>
              <w:rPr>
                <w:szCs w:val="24"/>
                <w:lang w:val="fr-FR"/>
              </w:rPr>
            </w:pPr>
            <w:r>
              <w:rPr>
                <w:szCs w:val="24"/>
                <w:lang w:val="fr-FR"/>
              </w:rPr>
              <w:t>15.55</w:t>
            </w:r>
          </w:p>
        </w:tc>
        <w:tc>
          <w:tcPr>
            <w:tcW w:w="2036" w:type="dxa"/>
            <w:tcMar>
              <w:right w:w="108" w:type="dxa"/>
            </w:tcMar>
          </w:tcPr>
          <w:p w:rsidR="00000000" w:rsidRDefault="00000000">
            <w:pPr>
              <w:spacing w:before="40" w:after="40"/>
              <w:ind w:right="680"/>
              <w:jc w:val="right"/>
              <w:rPr>
                <w:szCs w:val="24"/>
                <w:lang w:val="fr-FR"/>
              </w:rPr>
            </w:pPr>
            <w:r>
              <w:rPr>
                <w:szCs w:val="24"/>
                <w:lang w:val="fr-FR"/>
              </w:rPr>
              <w:t>26.26</w:t>
            </w:r>
          </w:p>
        </w:tc>
      </w:tr>
    </w:tbl>
    <w:p w:rsidR="00000000" w:rsidRDefault="00000000">
      <w:pPr>
        <w:spacing w:before="240" w:after="240"/>
        <w:rPr>
          <w:bCs/>
          <w:i/>
          <w:noProof/>
          <w:szCs w:val="24"/>
          <w:lang w:val="fr-FR"/>
        </w:rPr>
      </w:pPr>
      <w:r>
        <w:rPr>
          <w:bCs/>
          <w:i/>
          <w:noProof/>
          <w:szCs w:val="24"/>
          <w:lang w:val="fr-FR"/>
        </w:rPr>
        <w:tab/>
        <w:t>Source</w:t>
      </w:r>
      <w:r>
        <w:rPr>
          <w:bCs/>
          <w:iCs/>
          <w:noProof/>
          <w:szCs w:val="24"/>
          <w:lang w:val="fr-FR"/>
        </w:rPr>
        <w:t>: Ministère de l’éducation et des sciences</w:t>
      </w:r>
      <w:r>
        <w:rPr>
          <w:bCs/>
          <w:i/>
          <w:noProof/>
          <w:szCs w:val="24"/>
          <w:lang w:val="fr-FR"/>
        </w:rPr>
        <w:t>.</w:t>
      </w:r>
    </w:p>
    <w:p w:rsidR="00000000" w:rsidRDefault="00000000">
      <w:pPr>
        <w:keepNext/>
        <w:spacing w:after="240"/>
        <w:jc w:val="center"/>
        <w:rPr>
          <w:b/>
          <w:bCs/>
          <w:noProof/>
          <w:lang w:val="fr-FR"/>
        </w:rPr>
      </w:pPr>
      <w:r>
        <w:rPr>
          <w:b/>
          <w:bCs/>
          <w:noProof/>
          <w:lang w:val="fr-FR"/>
        </w:rPr>
        <w:t>Répartition par cycle de l’enseignement des élèves des établissement publics</w:t>
      </w:r>
      <w:r>
        <w:rPr>
          <w:b/>
          <w:bCs/>
          <w:noProof/>
          <w:lang w:val="fr-FR"/>
        </w:rPr>
        <w:br/>
        <w:t>d’enseignement général (en début d’année scolaire)</w:t>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560"/>
        <w:gridCol w:w="2040"/>
        <w:gridCol w:w="2280"/>
        <w:gridCol w:w="2076"/>
      </w:tblGrid>
      <w:tr w:rsidR="00000000">
        <w:trPr>
          <w:cantSplit/>
          <w:tblHeader/>
        </w:trPr>
        <w:tc>
          <w:tcPr>
            <w:tcW w:w="1320" w:type="dxa"/>
            <w:tcMar>
              <w:left w:w="108" w:type="dxa"/>
              <w:right w:w="108" w:type="dxa"/>
            </w:tcMar>
            <w:vAlign w:val="center"/>
          </w:tcPr>
          <w:p w:rsidR="00000000" w:rsidRDefault="00000000">
            <w:pPr>
              <w:spacing w:before="60" w:after="60"/>
              <w:jc w:val="center"/>
              <w:rPr>
                <w:noProof/>
                <w:sz w:val="22"/>
                <w:szCs w:val="24"/>
                <w:lang w:val="fr-FR"/>
              </w:rPr>
            </w:pPr>
            <w:r>
              <w:rPr>
                <w:noProof/>
                <w:sz w:val="22"/>
                <w:szCs w:val="24"/>
                <w:lang w:val="fr-FR"/>
              </w:rPr>
              <w:t>Année</w:t>
            </w:r>
          </w:p>
        </w:tc>
        <w:tc>
          <w:tcPr>
            <w:tcW w:w="1560" w:type="dxa"/>
            <w:tcMar>
              <w:left w:w="108" w:type="dxa"/>
              <w:right w:w="108" w:type="dxa"/>
            </w:tcMar>
            <w:vAlign w:val="center"/>
          </w:tcPr>
          <w:p w:rsidR="00000000" w:rsidRDefault="00000000">
            <w:pPr>
              <w:spacing w:before="60" w:after="60"/>
              <w:jc w:val="center"/>
              <w:rPr>
                <w:noProof/>
                <w:sz w:val="22"/>
                <w:szCs w:val="24"/>
                <w:lang w:val="fr-FR"/>
              </w:rPr>
            </w:pPr>
            <w:r>
              <w:rPr>
                <w:noProof/>
                <w:sz w:val="22"/>
                <w:szCs w:val="24"/>
                <w:lang w:val="fr-FR"/>
              </w:rPr>
              <w:t>Nombre total d’élèves</w:t>
            </w:r>
          </w:p>
        </w:tc>
        <w:tc>
          <w:tcPr>
            <w:tcW w:w="2040" w:type="dxa"/>
            <w:tcMar>
              <w:left w:w="108" w:type="dxa"/>
              <w:right w:w="108" w:type="dxa"/>
            </w:tcMar>
            <w:vAlign w:val="center"/>
          </w:tcPr>
          <w:p w:rsidR="00000000" w:rsidRDefault="00000000">
            <w:pPr>
              <w:spacing w:before="60" w:after="60"/>
              <w:jc w:val="center"/>
              <w:rPr>
                <w:noProof/>
                <w:sz w:val="22"/>
                <w:szCs w:val="24"/>
                <w:lang w:val="fr-FR"/>
              </w:rPr>
            </w:pPr>
            <w:r>
              <w:rPr>
                <w:noProof/>
                <w:sz w:val="22"/>
                <w:szCs w:val="24"/>
                <w:lang w:val="fr-FR"/>
              </w:rPr>
              <w:t>Nombre d’élèves du primaire (première phase de l’enseignement de base)</w:t>
            </w:r>
          </w:p>
        </w:tc>
        <w:tc>
          <w:tcPr>
            <w:tcW w:w="2280" w:type="dxa"/>
            <w:vAlign w:val="center"/>
          </w:tcPr>
          <w:p w:rsidR="00000000" w:rsidRDefault="00000000">
            <w:pPr>
              <w:spacing w:before="60" w:after="60"/>
              <w:jc w:val="center"/>
              <w:rPr>
                <w:noProof/>
                <w:sz w:val="22"/>
                <w:szCs w:val="24"/>
                <w:lang w:val="fr-FR"/>
              </w:rPr>
            </w:pPr>
            <w:r>
              <w:rPr>
                <w:noProof/>
                <w:sz w:val="22"/>
                <w:szCs w:val="24"/>
                <w:lang w:val="fr-FR"/>
              </w:rPr>
              <w:t>Nombre d’élèves de l’école fondamentale (seconde phase de l’enseignement de base et première phase de l’enseignement secondaire général)</w:t>
            </w:r>
          </w:p>
        </w:tc>
        <w:tc>
          <w:tcPr>
            <w:tcW w:w="2076" w:type="dxa"/>
            <w:vAlign w:val="center"/>
          </w:tcPr>
          <w:p w:rsidR="00000000" w:rsidRDefault="00000000">
            <w:pPr>
              <w:spacing w:before="60" w:after="60"/>
              <w:jc w:val="center"/>
              <w:rPr>
                <w:noProof/>
                <w:sz w:val="22"/>
                <w:szCs w:val="24"/>
                <w:lang w:val="fr-FR"/>
              </w:rPr>
            </w:pPr>
            <w:r>
              <w:rPr>
                <w:noProof/>
                <w:sz w:val="22"/>
                <w:szCs w:val="24"/>
                <w:lang w:val="fr-FR"/>
              </w:rPr>
              <w:t>Nombre d’élèves du secondaire général (seconde phase de l’enseignement secondaire général)</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2002/2003</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670 907</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377 016</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202 994</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90 897</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2003/2004</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655 024</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354 175</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208 684</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92 165</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2004/2005</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622 999</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325 205</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206 507</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91 287</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2005/2006</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601 326</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307 177</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191 973</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102 212</w:t>
            </w:r>
          </w:p>
        </w:tc>
      </w:tr>
      <w:tr w:rsidR="00000000">
        <w:trPr>
          <w:cantSplit/>
        </w:trPr>
        <w:tc>
          <w:tcPr>
            <w:tcW w:w="9276" w:type="dxa"/>
            <w:gridSpan w:val="5"/>
            <w:tcMar>
              <w:left w:w="108" w:type="dxa"/>
              <w:right w:w="567" w:type="dxa"/>
            </w:tcMar>
          </w:tcPr>
          <w:p w:rsidR="00000000" w:rsidRDefault="00000000">
            <w:pPr>
              <w:spacing w:before="60" w:after="60"/>
              <w:jc w:val="center"/>
              <w:rPr>
                <w:noProof/>
                <w:sz w:val="22"/>
                <w:szCs w:val="24"/>
                <w:lang w:val="fr-FR"/>
              </w:rPr>
            </w:pPr>
            <w:r>
              <w:rPr>
                <w:noProof/>
                <w:sz w:val="22"/>
                <w:szCs w:val="24"/>
                <w:lang w:val="fr-FR"/>
              </w:rPr>
              <w:t>dont filles:</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2002/2003</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328 351</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183 011</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99 073</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46 267</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2003/2004</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319 501</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171 152</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101 710</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46 639</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2004/2005</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305 746</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157 977</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101 018</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46 751</w:t>
            </w:r>
          </w:p>
        </w:tc>
      </w:tr>
      <w:tr w:rsidR="00000000">
        <w:trPr>
          <w:cantSplit/>
        </w:trPr>
        <w:tc>
          <w:tcPr>
            <w:tcW w:w="1320" w:type="dxa"/>
            <w:tcMar>
              <w:left w:w="108" w:type="dxa"/>
              <w:right w:w="108" w:type="dxa"/>
            </w:tcMar>
          </w:tcPr>
          <w:p w:rsidR="00000000" w:rsidRDefault="00000000">
            <w:pPr>
              <w:spacing w:before="60" w:after="60"/>
              <w:rPr>
                <w:noProof/>
                <w:sz w:val="22"/>
                <w:szCs w:val="24"/>
                <w:lang w:val="fr-FR"/>
              </w:rPr>
            </w:pPr>
            <w:r>
              <w:rPr>
                <w:noProof/>
                <w:sz w:val="22"/>
                <w:szCs w:val="24"/>
                <w:lang w:val="fr-FR"/>
              </w:rPr>
              <w:t>2005/2006</w:t>
            </w:r>
          </w:p>
        </w:tc>
        <w:tc>
          <w:tcPr>
            <w:tcW w:w="156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297 650</w:t>
            </w:r>
          </w:p>
        </w:tc>
        <w:tc>
          <w:tcPr>
            <w:tcW w:w="204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150 148</w:t>
            </w:r>
          </w:p>
        </w:tc>
        <w:tc>
          <w:tcPr>
            <w:tcW w:w="2280"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94 995</w:t>
            </w:r>
          </w:p>
        </w:tc>
        <w:tc>
          <w:tcPr>
            <w:tcW w:w="2076" w:type="dxa"/>
            <w:tcMar>
              <w:left w:w="108" w:type="dxa"/>
              <w:right w:w="567" w:type="dxa"/>
            </w:tcMar>
          </w:tcPr>
          <w:p w:rsidR="00000000" w:rsidRDefault="00000000">
            <w:pPr>
              <w:spacing w:before="60" w:after="60"/>
              <w:jc w:val="right"/>
              <w:rPr>
                <w:noProof/>
                <w:sz w:val="22"/>
                <w:szCs w:val="24"/>
                <w:lang w:val="fr-FR"/>
              </w:rPr>
            </w:pPr>
            <w:r>
              <w:rPr>
                <w:noProof/>
                <w:sz w:val="22"/>
                <w:szCs w:val="24"/>
                <w:lang w:val="fr-FR"/>
              </w:rPr>
              <w:t>52 507</w:t>
            </w:r>
          </w:p>
        </w:tc>
      </w:tr>
    </w:tbl>
    <w:p w:rsidR="00000000" w:rsidRDefault="00000000">
      <w:pPr>
        <w:spacing w:before="200" w:after="240"/>
        <w:rPr>
          <w:i/>
          <w:noProof/>
          <w:sz w:val="22"/>
          <w:szCs w:val="24"/>
          <w:lang w:val="fr-FR"/>
        </w:rPr>
      </w:pPr>
      <w:r>
        <w:rPr>
          <w:bCs/>
          <w:i/>
          <w:noProof/>
          <w:sz w:val="22"/>
          <w:szCs w:val="24"/>
          <w:lang w:val="fr-FR"/>
        </w:rPr>
        <w:tab/>
        <w:t>Source</w:t>
      </w:r>
      <w:r>
        <w:rPr>
          <w:bCs/>
          <w:iCs/>
          <w:noProof/>
          <w:sz w:val="22"/>
          <w:szCs w:val="24"/>
          <w:lang w:val="fr-FR"/>
        </w:rPr>
        <w:t>: Ministère de l’éducation et des sciences.</w:t>
      </w:r>
    </w:p>
    <w:p w:rsidR="00000000" w:rsidRDefault="00000000">
      <w:pPr>
        <w:keepNext/>
        <w:spacing w:after="240"/>
        <w:jc w:val="center"/>
        <w:rPr>
          <w:b/>
          <w:bCs/>
          <w:noProof/>
          <w:lang w:val="fr-FR"/>
        </w:rPr>
      </w:pPr>
      <w:r>
        <w:rPr>
          <w:b/>
          <w:bCs/>
          <w:noProof/>
          <w:lang w:val="fr-FR"/>
        </w:rPr>
        <w:br w:type="page"/>
        <w:t>Nombre d’enseignants dispensant un enseignement général en école de jour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2480"/>
        <w:gridCol w:w="2481"/>
      </w:tblGrid>
      <w:tr w:rsidR="00000000">
        <w:trPr>
          <w:trHeight w:val="82"/>
        </w:trPr>
        <w:tc>
          <w:tcPr>
            <w:tcW w:w="4395" w:type="dxa"/>
          </w:tcPr>
          <w:p w:rsidR="00000000" w:rsidRDefault="00000000">
            <w:pPr>
              <w:spacing w:before="60" w:after="60"/>
              <w:jc w:val="center"/>
              <w:rPr>
                <w:noProof/>
                <w:szCs w:val="24"/>
                <w:lang w:val="fr-FR"/>
              </w:rPr>
            </w:pPr>
          </w:p>
        </w:tc>
        <w:tc>
          <w:tcPr>
            <w:tcW w:w="2480" w:type="dxa"/>
          </w:tcPr>
          <w:p w:rsidR="00000000" w:rsidRDefault="00000000">
            <w:pPr>
              <w:spacing w:before="60" w:after="60"/>
              <w:jc w:val="center"/>
              <w:rPr>
                <w:bCs/>
                <w:noProof/>
                <w:szCs w:val="24"/>
                <w:lang w:val="fr-FR"/>
              </w:rPr>
            </w:pPr>
            <w:r>
              <w:rPr>
                <w:bCs/>
                <w:noProof/>
                <w:szCs w:val="24"/>
                <w:lang w:val="fr-FR"/>
              </w:rPr>
              <w:t>2004/2005</w:t>
            </w:r>
          </w:p>
        </w:tc>
        <w:tc>
          <w:tcPr>
            <w:tcW w:w="2481" w:type="dxa"/>
          </w:tcPr>
          <w:p w:rsidR="00000000" w:rsidRDefault="00000000">
            <w:pPr>
              <w:spacing w:before="60" w:after="60"/>
              <w:jc w:val="center"/>
              <w:rPr>
                <w:bCs/>
                <w:noProof/>
                <w:szCs w:val="24"/>
                <w:lang w:val="fr-FR"/>
              </w:rPr>
            </w:pPr>
            <w:r>
              <w:rPr>
                <w:bCs/>
                <w:noProof/>
                <w:szCs w:val="24"/>
                <w:lang w:val="fr-FR"/>
              </w:rPr>
              <w:t>2005/2006</w:t>
            </w:r>
          </w:p>
        </w:tc>
      </w:tr>
      <w:tr w:rsidR="00000000">
        <w:tc>
          <w:tcPr>
            <w:tcW w:w="4395" w:type="dxa"/>
          </w:tcPr>
          <w:p w:rsidR="00000000" w:rsidRDefault="00000000">
            <w:pPr>
              <w:spacing w:before="60" w:after="60"/>
              <w:rPr>
                <w:noProof/>
                <w:szCs w:val="24"/>
                <w:lang w:val="fr-FR"/>
              </w:rPr>
            </w:pPr>
            <w:r>
              <w:rPr>
                <w:noProof/>
                <w:szCs w:val="24"/>
                <w:lang w:val="fr-FR"/>
              </w:rPr>
              <w:t>Nombre total d’enseignants</w:t>
            </w:r>
          </w:p>
        </w:tc>
        <w:tc>
          <w:tcPr>
            <w:tcW w:w="2480" w:type="dxa"/>
            <w:tcMar>
              <w:right w:w="964" w:type="dxa"/>
            </w:tcMar>
          </w:tcPr>
          <w:p w:rsidR="00000000" w:rsidRDefault="00000000">
            <w:pPr>
              <w:spacing w:before="60" w:after="60"/>
              <w:jc w:val="right"/>
              <w:rPr>
                <w:b/>
                <w:bCs/>
                <w:noProof/>
                <w:szCs w:val="24"/>
                <w:lang w:val="fr-FR"/>
              </w:rPr>
            </w:pPr>
            <w:r>
              <w:rPr>
                <w:noProof/>
                <w:szCs w:val="24"/>
                <w:lang w:val="fr-FR"/>
              </w:rPr>
              <w:t>70 709</w:t>
            </w:r>
          </w:p>
        </w:tc>
        <w:tc>
          <w:tcPr>
            <w:tcW w:w="2481" w:type="dxa"/>
            <w:tcMar>
              <w:right w:w="964" w:type="dxa"/>
            </w:tcMar>
          </w:tcPr>
          <w:p w:rsidR="00000000" w:rsidRDefault="00000000">
            <w:pPr>
              <w:spacing w:before="60" w:after="60"/>
              <w:jc w:val="right"/>
              <w:rPr>
                <w:noProof/>
                <w:szCs w:val="24"/>
                <w:lang w:val="fr-FR"/>
              </w:rPr>
            </w:pPr>
            <w:r>
              <w:rPr>
                <w:noProof/>
                <w:szCs w:val="24"/>
                <w:lang w:val="fr-FR"/>
              </w:rPr>
              <w:t>68 992</w:t>
            </w:r>
          </w:p>
        </w:tc>
      </w:tr>
      <w:tr w:rsidR="00000000">
        <w:tc>
          <w:tcPr>
            <w:tcW w:w="4395" w:type="dxa"/>
          </w:tcPr>
          <w:p w:rsidR="00000000" w:rsidRDefault="00000000">
            <w:pPr>
              <w:spacing w:before="60" w:after="60"/>
              <w:rPr>
                <w:noProof/>
                <w:szCs w:val="24"/>
                <w:lang w:val="fr-FR"/>
              </w:rPr>
            </w:pPr>
            <w:r>
              <w:rPr>
                <w:noProof/>
                <w:szCs w:val="24"/>
                <w:lang w:val="fr-FR"/>
              </w:rPr>
              <w:t>dont:</w:t>
            </w:r>
          </w:p>
        </w:tc>
        <w:tc>
          <w:tcPr>
            <w:tcW w:w="2480" w:type="dxa"/>
            <w:tcMar>
              <w:right w:w="964" w:type="dxa"/>
            </w:tcMar>
          </w:tcPr>
          <w:p w:rsidR="00000000" w:rsidRDefault="00000000">
            <w:pPr>
              <w:spacing w:before="60" w:after="60"/>
              <w:jc w:val="right"/>
              <w:rPr>
                <w:b/>
                <w:bCs/>
                <w:noProof/>
                <w:szCs w:val="24"/>
                <w:lang w:val="fr-FR"/>
              </w:rPr>
            </w:pPr>
          </w:p>
        </w:tc>
        <w:tc>
          <w:tcPr>
            <w:tcW w:w="2481" w:type="dxa"/>
            <w:tcMar>
              <w:right w:w="964" w:type="dxa"/>
            </w:tcMar>
          </w:tcPr>
          <w:p w:rsidR="00000000" w:rsidRDefault="00000000">
            <w:pPr>
              <w:spacing w:before="60" w:after="60"/>
              <w:jc w:val="right"/>
              <w:rPr>
                <w:b/>
                <w:bCs/>
                <w:noProof/>
                <w:szCs w:val="24"/>
                <w:lang w:val="fr-FR"/>
              </w:rPr>
            </w:pPr>
          </w:p>
        </w:tc>
      </w:tr>
      <w:tr w:rsidR="00000000">
        <w:trPr>
          <w:trHeight w:val="61"/>
        </w:trPr>
        <w:tc>
          <w:tcPr>
            <w:tcW w:w="4395" w:type="dxa"/>
          </w:tcPr>
          <w:p w:rsidR="00000000" w:rsidRDefault="00000000">
            <w:pPr>
              <w:spacing w:before="60" w:after="60"/>
              <w:ind w:left="284"/>
              <w:rPr>
                <w:noProof/>
                <w:szCs w:val="24"/>
                <w:lang w:val="fr-FR"/>
              </w:rPr>
            </w:pPr>
            <w:r>
              <w:rPr>
                <w:noProof/>
                <w:szCs w:val="24"/>
                <w:lang w:val="fr-FR"/>
              </w:rPr>
              <w:t>Enseignants du primaire</w:t>
            </w:r>
          </w:p>
        </w:tc>
        <w:tc>
          <w:tcPr>
            <w:tcW w:w="2480" w:type="dxa"/>
            <w:tcMar>
              <w:right w:w="964" w:type="dxa"/>
            </w:tcMar>
          </w:tcPr>
          <w:p w:rsidR="00000000" w:rsidRDefault="00000000">
            <w:pPr>
              <w:spacing w:before="60" w:after="60"/>
              <w:jc w:val="right"/>
              <w:rPr>
                <w:noProof/>
                <w:szCs w:val="24"/>
                <w:lang w:val="fr-FR"/>
              </w:rPr>
            </w:pPr>
            <w:r>
              <w:rPr>
                <w:noProof/>
                <w:szCs w:val="24"/>
                <w:lang w:val="fr-FR"/>
              </w:rPr>
              <w:t>2 367</w:t>
            </w:r>
          </w:p>
        </w:tc>
        <w:tc>
          <w:tcPr>
            <w:tcW w:w="2481" w:type="dxa"/>
            <w:tcMar>
              <w:right w:w="964" w:type="dxa"/>
            </w:tcMar>
          </w:tcPr>
          <w:p w:rsidR="00000000" w:rsidRDefault="00000000">
            <w:pPr>
              <w:spacing w:before="60" w:after="60"/>
              <w:jc w:val="right"/>
              <w:rPr>
                <w:noProof/>
                <w:szCs w:val="24"/>
                <w:lang w:val="fr-FR"/>
              </w:rPr>
            </w:pPr>
            <w:r>
              <w:rPr>
                <w:noProof/>
                <w:szCs w:val="24"/>
                <w:lang w:val="fr-FR"/>
              </w:rPr>
              <w:t>669</w:t>
            </w:r>
          </w:p>
        </w:tc>
      </w:tr>
      <w:tr w:rsidR="00000000">
        <w:trPr>
          <w:trHeight w:val="61"/>
        </w:trPr>
        <w:tc>
          <w:tcPr>
            <w:tcW w:w="4395" w:type="dxa"/>
          </w:tcPr>
          <w:p w:rsidR="00000000" w:rsidRDefault="00000000">
            <w:pPr>
              <w:spacing w:before="60" w:after="60"/>
              <w:ind w:left="284"/>
              <w:rPr>
                <w:noProof/>
                <w:szCs w:val="24"/>
                <w:lang w:val="fr-FR"/>
              </w:rPr>
            </w:pPr>
            <w:r>
              <w:rPr>
                <w:noProof/>
                <w:szCs w:val="24"/>
                <w:lang w:val="fr-FR"/>
              </w:rPr>
              <w:t>Enseignants de l’école fondamentale</w:t>
            </w:r>
          </w:p>
        </w:tc>
        <w:tc>
          <w:tcPr>
            <w:tcW w:w="2480" w:type="dxa"/>
            <w:tcMar>
              <w:right w:w="964" w:type="dxa"/>
            </w:tcMar>
          </w:tcPr>
          <w:p w:rsidR="00000000" w:rsidRDefault="00000000">
            <w:pPr>
              <w:spacing w:before="60" w:after="60"/>
              <w:jc w:val="right"/>
              <w:rPr>
                <w:noProof/>
                <w:szCs w:val="24"/>
                <w:lang w:val="fr-FR"/>
              </w:rPr>
            </w:pPr>
            <w:r>
              <w:rPr>
                <w:noProof/>
                <w:szCs w:val="24"/>
                <w:lang w:val="fr-FR"/>
              </w:rPr>
              <w:t>8 603</w:t>
            </w:r>
          </w:p>
        </w:tc>
        <w:tc>
          <w:tcPr>
            <w:tcW w:w="2481" w:type="dxa"/>
            <w:tcMar>
              <w:right w:w="964" w:type="dxa"/>
            </w:tcMar>
          </w:tcPr>
          <w:p w:rsidR="00000000" w:rsidRDefault="00000000">
            <w:pPr>
              <w:spacing w:before="60" w:after="60"/>
              <w:jc w:val="right"/>
              <w:rPr>
                <w:noProof/>
                <w:szCs w:val="24"/>
                <w:lang w:val="fr-FR"/>
              </w:rPr>
            </w:pPr>
            <w:r>
              <w:rPr>
                <w:noProof/>
                <w:szCs w:val="24"/>
                <w:lang w:val="fr-FR"/>
              </w:rPr>
              <w:t>8 467</w:t>
            </w:r>
          </w:p>
        </w:tc>
      </w:tr>
      <w:tr w:rsidR="00000000">
        <w:tc>
          <w:tcPr>
            <w:tcW w:w="4395" w:type="dxa"/>
          </w:tcPr>
          <w:p w:rsidR="00000000" w:rsidRDefault="00000000">
            <w:pPr>
              <w:spacing w:before="60" w:after="60"/>
              <w:ind w:left="284"/>
              <w:rPr>
                <w:noProof/>
                <w:szCs w:val="24"/>
                <w:lang w:val="fr-FR"/>
              </w:rPr>
            </w:pPr>
            <w:r>
              <w:rPr>
                <w:noProof/>
                <w:szCs w:val="24"/>
                <w:lang w:val="fr-FR"/>
              </w:rPr>
              <w:t>Enseignants de l’école secondaire</w:t>
            </w:r>
          </w:p>
        </w:tc>
        <w:tc>
          <w:tcPr>
            <w:tcW w:w="2480" w:type="dxa"/>
            <w:tcMar>
              <w:right w:w="964" w:type="dxa"/>
            </w:tcMar>
          </w:tcPr>
          <w:p w:rsidR="00000000" w:rsidRDefault="00000000">
            <w:pPr>
              <w:spacing w:before="60" w:after="60"/>
              <w:jc w:val="right"/>
              <w:rPr>
                <w:noProof/>
                <w:szCs w:val="24"/>
                <w:lang w:val="fr-FR"/>
              </w:rPr>
            </w:pPr>
            <w:r>
              <w:rPr>
                <w:noProof/>
                <w:szCs w:val="24"/>
                <w:lang w:val="fr-FR"/>
              </w:rPr>
              <w:t>59 739</w:t>
            </w:r>
          </w:p>
        </w:tc>
        <w:tc>
          <w:tcPr>
            <w:tcW w:w="2481" w:type="dxa"/>
            <w:tcMar>
              <w:right w:w="964" w:type="dxa"/>
            </w:tcMar>
          </w:tcPr>
          <w:p w:rsidR="00000000" w:rsidRDefault="00000000">
            <w:pPr>
              <w:spacing w:before="60" w:after="60"/>
              <w:jc w:val="right"/>
              <w:rPr>
                <w:noProof/>
                <w:szCs w:val="24"/>
                <w:lang w:val="fr-FR"/>
              </w:rPr>
            </w:pPr>
            <w:r>
              <w:rPr>
                <w:noProof/>
                <w:szCs w:val="24"/>
                <w:lang w:val="fr-FR"/>
              </w:rPr>
              <w:t>59 856</w:t>
            </w:r>
          </w:p>
        </w:tc>
      </w:tr>
    </w:tbl>
    <w:p w:rsidR="00000000" w:rsidRDefault="00000000">
      <w:pPr>
        <w:spacing w:before="240" w:after="240"/>
        <w:rPr>
          <w:bCs/>
          <w:i/>
          <w:noProof/>
          <w:szCs w:val="24"/>
          <w:lang w:val="fr-FR"/>
        </w:rPr>
      </w:pPr>
      <w:r>
        <w:rPr>
          <w:bCs/>
          <w:i/>
          <w:noProof/>
          <w:szCs w:val="24"/>
          <w:lang w:val="fr-FR"/>
        </w:rPr>
        <w:tab/>
        <w:t>Source</w:t>
      </w:r>
      <w:r>
        <w:rPr>
          <w:bCs/>
          <w:iCs/>
          <w:noProof/>
          <w:szCs w:val="24"/>
          <w:lang w:val="fr-FR"/>
        </w:rPr>
        <w:t>: Ministère de l’éducation et des sciences</w:t>
      </w:r>
      <w:r>
        <w:rPr>
          <w:bCs/>
          <w:i/>
          <w:noProof/>
          <w:szCs w:val="24"/>
          <w:lang w:val="fr-FR"/>
        </w:rPr>
        <w:t>.</w:t>
      </w:r>
    </w:p>
    <w:p w:rsidR="00000000" w:rsidRDefault="00000000">
      <w:pPr>
        <w:keepNext/>
        <w:spacing w:after="240"/>
        <w:jc w:val="center"/>
        <w:rPr>
          <w:b/>
          <w:bCs/>
          <w:noProof/>
          <w:lang w:val="fr-FR"/>
        </w:rPr>
      </w:pPr>
      <w:r>
        <w:rPr>
          <w:b/>
          <w:bCs/>
          <w:noProof/>
          <w:lang w:val="fr-FR"/>
        </w:rPr>
        <w:t>Répartition par langue d’enseignement des élèves des écoles d’enseignement</w:t>
      </w:r>
      <w:r>
        <w:rPr>
          <w:b/>
          <w:bCs/>
          <w:noProof/>
          <w:lang w:val="fr-FR"/>
        </w:rPr>
        <w:br/>
        <w:t>général de jour (à l’exclusion des établissements pour enfants retardés</w:t>
      </w:r>
      <w:r>
        <w:rPr>
          <w:b/>
          <w:bCs/>
          <w:noProof/>
          <w:lang w:val="fr-FR"/>
        </w:rPr>
        <w:br/>
        <w:t>mentaux et handicapés physiques en début d’année scolaire)</w:t>
      </w: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4111"/>
        <w:gridCol w:w="1049"/>
        <w:gridCol w:w="1049"/>
        <w:gridCol w:w="1049"/>
        <w:gridCol w:w="1049"/>
        <w:gridCol w:w="1049"/>
      </w:tblGrid>
      <w:tr w:rsidR="00000000">
        <w:tblPrEx>
          <w:tblCellMar>
            <w:top w:w="0" w:type="dxa"/>
            <w:bottom w:w="0" w:type="dxa"/>
          </w:tblCellMar>
        </w:tblPrEx>
        <w:trPr>
          <w:cantSplit/>
          <w:tblHeader/>
        </w:trPr>
        <w:tc>
          <w:tcPr>
            <w:tcW w:w="4111" w:type="dxa"/>
            <w:vAlign w:val="center"/>
          </w:tcPr>
          <w:p w:rsidR="00000000" w:rsidRDefault="00000000">
            <w:pPr>
              <w:spacing w:before="40" w:after="40"/>
              <w:jc w:val="center"/>
              <w:rPr>
                <w:b/>
                <w:bCs/>
                <w:szCs w:val="24"/>
                <w:highlight w:val="yellow"/>
                <w:lang w:val="fr-FR"/>
              </w:rPr>
            </w:pPr>
            <w:r>
              <w:rPr>
                <w:b/>
                <w:bCs/>
                <w:szCs w:val="24"/>
                <w:lang w:val="fr-FR"/>
              </w:rPr>
              <w:t>Année</w:t>
            </w:r>
          </w:p>
        </w:tc>
        <w:tc>
          <w:tcPr>
            <w:tcW w:w="1049" w:type="dxa"/>
            <w:vAlign w:val="center"/>
          </w:tcPr>
          <w:p w:rsidR="00000000" w:rsidRDefault="00000000">
            <w:pPr>
              <w:spacing w:before="40" w:after="40"/>
              <w:jc w:val="center"/>
              <w:rPr>
                <w:bCs/>
                <w:szCs w:val="24"/>
                <w:lang w:val="fr-FR"/>
              </w:rPr>
            </w:pPr>
            <w:r>
              <w:rPr>
                <w:bCs/>
                <w:szCs w:val="24"/>
                <w:lang w:val="fr-FR"/>
              </w:rPr>
              <w:t>2000/</w:t>
            </w:r>
            <w:r>
              <w:rPr>
                <w:bCs/>
                <w:szCs w:val="24"/>
                <w:lang w:val="fr-FR"/>
              </w:rPr>
              <w:br/>
              <w:t>2001</w:t>
            </w:r>
          </w:p>
        </w:tc>
        <w:tc>
          <w:tcPr>
            <w:tcW w:w="1049" w:type="dxa"/>
            <w:vAlign w:val="center"/>
          </w:tcPr>
          <w:p w:rsidR="00000000" w:rsidRDefault="00000000">
            <w:pPr>
              <w:spacing w:before="40" w:after="40"/>
              <w:jc w:val="center"/>
              <w:rPr>
                <w:bCs/>
                <w:szCs w:val="24"/>
                <w:lang w:val="fr-FR"/>
              </w:rPr>
            </w:pPr>
            <w:r>
              <w:rPr>
                <w:bCs/>
                <w:szCs w:val="24"/>
                <w:lang w:val="fr-FR"/>
              </w:rPr>
              <w:t>2001/</w:t>
            </w:r>
            <w:r>
              <w:rPr>
                <w:bCs/>
                <w:szCs w:val="24"/>
                <w:lang w:val="fr-FR"/>
              </w:rPr>
              <w:br/>
              <w:t>2002</w:t>
            </w:r>
          </w:p>
        </w:tc>
        <w:tc>
          <w:tcPr>
            <w:tcW w:w="1049" w:type="dxa"/>
            <w:vAlign w:val="center"/>
          </w:tcPr>
          <w:p w:rsidR="00000000" w:rsidRDefault="00000000">
            <w:pPr>
              <w:spacing w:before="40" w:after="40"/>
              <w:jc w:val="center"/>
              <w:rPr>
                <w:bCs/>
                <w:szCs w:val="24"/>
                <w:lang w:val="fr-FR"/>
              </w:rPr>
            </w:pPr>
            <w:r>
              <w:rPr>
                <w:bCs/>
                <w:szCs w:val="24"/>
                <w:lang w:val="fr-FR"/>
              </w:rPr>
              <w:t>2002/</w:t>
            </w:r>
            <w:r>
              <w:rPr>
                <w:bCs/>
                <w:szCs w:val="24"/>
                <w:lang w:val="fr-FR"/>
              </w:rPr>
              <w:br/>
              <w:t>2003</w:t>
            </w:r>
          </w:p>
        </w:tc>
        <w:tc>
          <w:tcPr>
            <w:tcW w:w="1049" w:type="dxa"/>
            <w:vAlign w:val="center"/>
          </w:tcPr>
          <w:p w:rsidR="00000000" w:rsidRDefault="00000000">
            <w:pPr>
              <w:spacing w:before="40" w:after="40"/>
              <w:jc w:val="center"/>
              <w:rPr>
                <w:bCs/>
                <w:szCs w:val="24"/>
                <w:lang w:val="fr-FR"/>
              </w:rPr>
            </w:pPr>
            <w:r>
              <w:rPr>
                <w:bCs/>
                <w:szCs w:val="24"/>
                <w:lang w:val="fr-FR"/>
              </w:rPr>
              <w:t>2003/</w:t>
            </w:r>
            <w:r>
              <w:rPr>
                <w:bCs/>
                <w:szCs w:val="24"/>
                <w:lang w:val="fr-FR"/>
              </w:rPr>
              <w:br/>
              <w:t>2004</w:t>
            </w:r>
          </w:p>
        </w:tc>
        <w:tc>
          <w:tcPr>
            <w:tcW w:w="1049" w:type="dxa"/>
            <w:vAlign w:val="center"/>
          </w:tcPr>
          <w:p w:rsidR="00000000" w:rsidRDefault="00000000">
            <w:pPr>
              <w:spacing w:before="40" w:after="40"/>
              <w:jc w:val="center"/>
              <w:rPr>
                <w:bCs/>
                <w:szCs w:val="24"/>
                <w:lang w:val="fr-FR"/>
              </w:rPr>
            </w:pPr>
            <w:r>
              <w:rPr>
                <w:bCs/>
                <w:szCs w:val="24"/>
                <w:lang w:val="fr-FR"/>
              </w:rPr>
              <w:t>2004/</w:t>
            </w:r>
            <w:r>
              <w:rPr>
                <w:bCs/>
                <w:szCs w:val="24"/>
                <w:lang w:val="fr-FR"/>
              </w:rPr>
              <w:br/>
              <w:t>2005</w:t>
            </w:r>
          </w:p>
        </w:tc>
      </w:tr>
      <w:tr w:rsidR="00000000">
        <w:tblPrEx>
          <w:tblCellMar>
            <w:top w:w="0" w:type="dxa"/>
            <w:bottom w:w="0" w:type="dxa"/>
          </w:tblCellMar>
        </w:tblPrEx>
        <w:trPr>
          <w:cantSplit/>
        </w:trPr>
        <w:tc>
          <w:tcPr>
            <w:tcW w:w="4111" w:type="dxa"/>
            <w:vAlign w:val="bottom"/>
          </w:tcPr>
          <w:p w:rsidR="00000000" w:rsidRDefault="00000000">
            <w:pPr>
              <w:spacing w:before="40" w:after="40"/>
              <w:rPr>
                <w:szCs w:val="24"/>
                <w:lang w:val="fr-FR"/>
              </w:rPr>
            </w:pPr>
            <w:r>
              <w:rPr>
                <w:szCs w:val="24"/>
                <w:lang w:val="fr-FR"/>
              </w:rPr>
              <w:t>Nombre total d’élèves (en milliers)</w:t>
            </w:r>
          </w:p>
        </w:tc>
        <w:tc>
          <w:tcPr>
            <w:tcW w:w="1049" w:type="dxa"/>
            <w:tcMar>
              <w:right w:w="340" w:type="dxa"/>
            </w:tcMar>
            <w:vAlign w:val="bottom"/>
          </w:tcPr>
          <w:p w:rsidR="00000000" w:rsidRDefault="00000000">
            <w:pPr>
              <w:spacing w:before="40" w:after="40"/>
              <w:jc w:val="right"/>
              <w:rPr>
                <w:szCs w:val="24"/>
                <w:lang w:val="fr-FR"/>
              </w:rPr>
            </w:pPr>
            <w:r>
              <w:rPr>
                <w:szCs w:val="24"/>
                <w:lang w:val="fr-FR"/>
              </w:rPr>
              <w:t>697,4</w:t>
            </w:r>
          </w:p>
        </w:tc>
        <w:tc>
          <w:tcPr>
            <w:tcW w:w="1049" w:type="dxa"/>
            <w:tcMar>
              <w:right w:w="340" w:type="dxa"/>
            </w:tcMar>
            <w:vAlign w:val="bottom"/>
          </w:tcPr>
          <w:p w:rsidR="00000000" w:rsidRDefault="00000000">
            <w:pPr>
              <w:spacing w:before="40" w:after="40"/>
              <w:jc w:val="right"/>
              <w:rPr>
                <w:szCs w:val="24"/>
                <w:lang w:val="fr-FR"/>
              </w:rPr>
            </w:pPr>
            <w:r>
              <w:rPr>
                <w:szCs w:val="24"/>
                <w:lang w:val="fr-FR"/>
              </w:rPr>
              <w:t>680,8</w:t>
            </w:r>
          </w:p>
        </w:tc>
        <w:tc>
          <w:tcPr>
            <w:tcW w:w="1049" w:type="dxa"/>
            <w:tcMar>
              <w:right w:w="340" w:type="dxa"/>
            </w:tcMar>
            <w:vAlign w:val="bottom"/>
          </w:tcPr>
          <w:p w:rsidR="00000000" w:rsidRDefault="00000000">
            <w:pPr>
              <w:spacing w:before="40" w:after="40"/>
              <w:jc w:val="right"/>
              <w:rPr>
                <w:szCs w:val="24"/>
                <w:lang w:val="fr-FR"/>
              </w:rPr>
            </w:pPr>
            <w:r>
              <w:rPr>
                <w:szCs w:val="24"/>
                <w:lang w:val="fr-FR"/>
              </w:rPr>
              <w:t>664,0</w:t>
            </w:r>
          </w:p>
        </w:tc>
        <w:tc>
          <w:tcPr>
            <w:tcW w:w="1049" w:type="dxa"/>
            <w:tcMar>
              <w:right w:w="340" w:type="dxa"/>
            </w:tcMar>
            <w:vAlign w:val="bottom"/>
          </w:tcPr>
          <w:p w:rsidR="00000000" w:rsidRDefault="00000000">
            <w:pPr>
              <w:spacing w:before="40" w:after="40"/>
              <w:jc w:val="right"/>
              <w:rPr>
                <w:szCs w:val="24"/>
                <w:lang w:val="fr-FR"/>
              </w:rPr>
            </w:pPr>
            <w:r>
              <w:rPr>
                <w:szCs w:val="24"/>
                <w:lang w:val="fr-FR"/>
              </w:rPr>
              <w:t>647,9</w:t>
            </w:r>
          </w:p>
        </w:tc>
        <w:tc>
          <w:tcPr>
            <w:tcW w:w="1049" w:type="dxa"/>
            <w:tcMar>
              <w:right w:w="340" w:type="dxa"/>
            </w:tcMar>
            <w:vAlign w:val="bottom"/>
          </w:tcPr>
          <w:p w:rsidR="00000000" w:rsidRDefault="00000000">
            <w:pPr>
              <w:spacing w:before="40" w:after="40"/>
              <w:jc w:val="right"/>
              <w:rPr>
                <w:szCs w:val="24"/>
                <w:lang w:val="fr-FR"/>
              </w:rPr>
            </w:pPr>
            <w:r>
              <w:rPr>
                <w:szCs w:val="24"/>
                <w:lang w:val="fr-FR"/>
              </w:rPr>
              <w:t>620,6</w:t>
            </w:r>
          </w:p>
        </w:tc>
      </w:tr>
      <w:tr w:rsidR="00000000">
        <w:tblPrEx>
          <w:tblCellMar>
            <w:top w:w="0" w:type="dxa"/>
            <w:bottom w:w="0" w:type="dxa"/>
          </w:tblCellMar>
        </w:tblPrEx>
        <w:trPr>
          <w:cantSplit/>
        </w:trPr>
        <w:tc>
          <w:tcPr>
            <w:tcW w:w="4111" w:type="dxa"/>
            <w:vAlign w:val="bottom"/>
          </w:tcPr>
          <w:p w:rsidR="00000000" w:rsidRDefault="00000000">
            <w:pPr>
              <w:spacing w:before="40" w:after="40"/>
              <w:rPr>
                <w:szCs w:val="24"/>
                <w:lang w:val="fr-FR"/>
              </w:rPr>
            </w:pPr>
            <w:r>
              <w:rPr>
                <w:szCs w:val="24"/>
                <w:lang w:val="fr-FR"/>
              </w:rPr>
              <w:t xml:space="preserve">dont: </w:t>
            </w: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r>
      <w:tr w:rsidR="00000000">
        <w:tblPrEx>
          <w:tblCellMar>
            <w:top w:w="0" w:type="dxa"/>
            <w:bottom w:w="0" w:type="dxa"/>
          </w:tblCellMar>
        </w:tblPrEx>
        <w:trPr>
          <w:cantSplit/>
        </w:trPr>
        <w:tc>
          <w:tcPr>
            <w:tcW w:w="4111" w:type="dxa"/>
            <w:vAlign w:val="bottom"/>
          </w:tcPr>
          <w:p w:rsidR="00000000" w:rsidRDefault="00000000">
            <w:pPr>
              <w:spacing w:before="40" w:after="40"/>
              <w:ind w:left="284"/>
              <w:rPr>
                <w:szCs w:val="24"/>
                <w:lang w:val="fr-FR"/>
              </w:rPr>
            </w:pPr>
            <w:r>
              <w:rPr>
                <w:szCs w:val="24"/>
                <w:lang w:val="fr-FR"/>
              </w:rPr>
              <w:t>élèves recevant un enseignement:</w:t>
            </w: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c>
          <w:tcPr>
            <w:tcW w:w="1049" w:type="dxa"/>
            <w:tcMar>
              <w:right w:w="340" w:type="dxa"/>
            </w:tcMar>
            <w:vAlign w:val="bottom"/>
          </w:tcPr>
          <w:p w:rsidR="00000000" w:rsidRDefault="00000000">
            <w:pPr>
              <w:spacing w:before="40" w:after="40"/>
              <w:jc w:val="right"/>
              <w:rPr>
                <w:szCs w:val="24"/>
                <w:lang w:val="fr-FR"/>
              </w:rPr>
            </w:pPr>
          </w:p>
        </w:tc>
      </w:tr>
      <w:tr w:rsidR="00000000">
        <w:tblPrEx>
          <w:tblCellMar>
            <w:top w:w="0" w:type="dxa"/>
            <w:bottom w:w="0" w:type="dxa"/>
          </w:tblCellMar>
        </w:tblPrEx>
        <w:trPr>
          <w:cantSplit/>
          <w:trHeight w:val="227"/>
        </w:trPr>
        <w:tc>
          <w:tcPr>
            <w:tcW w:w="4111" w:type="dxa"/>
            <w:vAlign w:val="bottom"/>
          </w:tcPr>
          <w:p w:rsidR="00000000" w:rsidRDefault="00000000">
            <w:pPr>
              <w:spacing w:before="40" w:after="40"/>
              <w:ind w:left="567"/>
              <w:rPr>
                <w:szCs w:val="24"/>
                <w:lang w:val="fr-FR"/>
              </w:rPr>
            </w:pPr>
            <w:r>
              <w:rPr>
                <w:szCs w:val="24"/>
                <w:lang w:val="fr-FR"/>
              </w:rPr>
              <w:t>en géorgien</w:t>
            </w:r>
          </w:p>
        </w:tc>
        <w:tc>
          <w:tcPr>
            <w:tcW w:w="1049" w:type="dxa"/>
            <w:tcMar>
              <w:right w:w="340" w:type="dxa"/>
            </w:tcMar>
            <w:vAlign w:val="bottom"/>
          </w:tcPr>
          <w:p w:rsidR="00000000" w:rsidRDefault="00000000">
            <w:pPr>
              <w:spacing w:before="40" w:after="40"/>
              <w:jc w:val="right"/>
              <w:rPr>
                <w:szCs w:val="24"/>
                <w:lang w:val="fr-FR"/>
              </w:rPr>
            </w:pPr>
            <w:r>
              <w:rPr>
                <w:szCs w:val="24"/>
                <w:lang w:val="fr-FR"/>
              </w:rPr>
              <w:t>595,1</w:t>
            </w:r>
          </w:p>
        </w:tc>
        <w:tc>
          <w:tcPr>
            <w:tcW w:w="1049" w:type="dxa"/>
            <w:tcMar>
              <w:right w:w="340" w:type="dxa"/>
            </w:tcMar>
            <w:vAlign w:val="bottom"/>
          </w:tcPr>
          <w:p w:rsidR="00000000" w:rsidRDefault="00000000">
            <w:pPr>
              <w:spacing w:before="40" w:after="40"/>
              <w:jc w:val="right"/>
              <w:rPr>
                <w:szCs w:val="24"/>
                <w:lang w:val="fr-FR"/>
              </w:rPr>
            </w:pPr>
            <w:r>
              <w:rPr>
                <w:szCs w:val="24"/>
                <w:lang w:val="fr-FR"/>
              </w:rPr>
              <w:t>584,0</w:t>
            </w:r>
          </w:p>
        </w:tc>
        <w:tc>
          <w:tcPr>
            <w:tcW w:w="1049" w:type="dxa"/>
            <w:tcMar>
              <w:right w:w="340" w:type="dxa"/>
            </w:tcMar>
            <w:vAlign w:val="bottom"/>
          </w:tcPr>
          <w:p w:rsidR="00000000" w:rsidRDefault="00000000">
            <w:pPr>
              <w:spacing w:before="40" w:after="40"/>
              <w:jc w:val="right"/>
              <w:rPr>
                <w:szCs w:val="24"/>
                <w:lang w:val="fr-FR"/>
              </w:rPr>
            </w:pPr>
            <w:r>
              <w:rPr>
                <w:szCs w:val="24"/>
                <w:lang w:val="fr-FR"/>
              </w:rPr>
              <w:t>572,1</w:t>
            </w:r>
          </w:p>
        </w:tc>
        <w:tc>
          <w:tcPr>
            <w:tcW w:w="1049" w:type="dxa"/>
            <w:tcMar>
              <w:right w:w="340" w:type="dxa"/>
            </w:tcMar>
            <w:vAlign w:val="bottom"/>
          </w:tcPr>
          <w:p w:rsidR="00000000" w:rsidRDefault="00000000">
            <w:pPr>
              <w:spacing w:before="40" w:after="40"/>
              <w:jc w:val="right"/>
              <w:rPr>
                <w:szCs w:val="24"/>
                <w:lang w:val="fr-FR"/>
              </w:rPr>
            </w:pPr>
            <w:r>
              <w:rPr>
                <w:szCs w:val="24"/>
                <w:lang w:val="fr-FR"/>
              </w:rPr>
              <w:t>560,1</w:t>
            </w:r>
          </w:p>
        </w:tc>
        <w:tc>
          <w:tcPr>
            <w:tcW w:w="1049" w:type="dxa"/>
            <w:tcMar>
              <w:right w:w="340" w:type="dxa"/>
            </w:tcMar>
            <w:vAlign w:val="bottom"/>
          </w:tcPr>
          <w:p w:rsidR="00000000" w:rsidRDefault="00000000">
            <w:pPr>
              <w:spacing w:before="40" w:after="40"/>
              <w:jc w:val="right"/>
              <w:rPr>
                <w:szCs w:val="24"/>
                <w:lang w:val="fr-FR"/>
              </w:rPr>
            </w:pPr>
            <w:r>
              <w:rPr>
                <w:szCs w:val="24"/>
                <w:lang w:val="fr-FR"/>
              </w:rPr>
              <w:t>530,8</w:t>
            </w:r>
          </w:p>
        </w:tc>
      </w:tr>
      <w:tr w:rsidR="00000000">
        <w:tblPrEx>
          <w:tblCellMar>
            <w:top w:w="0" w:type="dxa"/>
            <w:bottom w:w="0" w:type="dxa"/>
          </w:tblCellMar>
        </w:tblPrEx>
        <w:trPr>
          <w:cantSplit/>
          <w:trHeight w:val="227"/>
        </w:trPr>
        <w:tc>
          <w:tcPr>
            <w:tcW w:w="4111" w:type="dxa"/>
            <w:vAlign w:val="bottom"/>
          </w:tcPr>
          <w:p w:rsidR="00000000" w:rsidRDefault="00000000">
            <w:pPr>
              <w:spacing w:before="40" w:after="40"/>
              <w:ind w:left="567"/>
              <w:rPr>
                <w:szCs w:val="24"/>
                <w:lang w:val="fr-FR"/>
              </w:rPr>
            </w:pPr>
            <w:r>
              <w:rPr>
                <w:szCs w:val="24"/>
                <w:lang w:val="fr-FR"/>
              </w:rPr>
              <w:t>en russe</w:t>
            </w:r>
          </w:p>
        </w:tc>
        <w:tc>
          <w:tcPr>
            <w:tcW w:w="1049" w:type="dxa"/>
            <w:tcMar>
              <w:right w:w="340" w:type="dxa"/>
            </w:tcMar>
            <w:vAlign w:val="bottom"/>
          </w:tcPr>
          <w:p w:rsidR="00000000" w:rsidRDefault="00000000">
            <w:pPr>
              <w:spacing w:before="40" w:after="40"/>
              <w:jc w:val="right"/>
              <w:rPr>
                <w:szCs w:val="24"/>
                <w:lang w:val="fr-FR"/>
              </w:rPr>
            </w:pPr>
            <w:r>
              <w:rPr>
                <w:szCs w:val="24"/>
                <w:lang w:val="fr-FR"/>
              </w:rPr>
              <w:t>38,1</w:t>
            </w:r>
          </w:p>
        </w:tc>
        <w:tc>
          <w:tcPr>
            <w:tcW w:w="1049" w:type="dxa"/>
            <w:tcMar>
              <w:right w:w="340" w:type="dxa"/>
            </w:tcMar>
            <w:vAlign w:val="bottom"/>
          </w:tcPr>
          <w:p w:rsidR="00000000" w:rsidRDefault="00000000">
            <w:pPr>
              <w:spacing w:before="40" w:after="40"/>
              <w:jc w:val="right"/>
              <w:rPr>
                <w:szCs w:val="24"/>
                <w:lang w:val="fr-FR"/>
              </w:rPr>
            </w:pPr>
            <w:r>
              <w:rPr>
                <w:szCs w:val="24"/>
                <w:lang w:val="fr-FR"/>
              </w:rPr>
              <w:t>35,9</w:t>
            </w:r>
          </w:p>
        </w:tc>
        <w:tc>
          <w:tcPr>
            <w:tcW w:w="1049" w:type="dxa"/>
            <w:tcMar>
              <w:right w:w="340" w:type="dxa"/>
            </w:tcMar>
            <w:vAlign w:val="bottom"/>
          </w:tcPr>
          <w:p w:rsidR="00000000" w:rsidRDefault="00000000">
            <w:pPr>
              <w:spacing w:before="40" w:after="40"/>
              <w:jc w:val="right"/>
              <w:rPr>
                <w:szCs w:val="24"/>
                <w:lang w:val="fr-FR"/>
              </w:rPr>
            </w:pPr>
            <w:r>
              <w:rPr>
                <w:szCs w:val="24"/>
                <w:lang w:val="fr-FR"/>
              </w:rPr>
              <w:t>34,0</w:t>
            </w:r>
          </w:p>
        </w:tc>
        <w:tc>
          <w:tcPr>
            <w:tcW w:w="1049" w:type="dxa"/>
            <w:tcMar>
              <w:right w:w="340" w:type="dxa"/>
            </w:tcMar>
            <w:vAlign w:val="bottom"/>
          </w:tcPr>
          <w:p w:rsidR="00000000" w:rsidRDefault="00000000">
            <w:pPr>
              <w:spacing w:before="40" w:after="40"/>
              <w:jc w:val="right"/>
              <w:rPr>
                <w:szCs w:val="24"/>
                <w:lang w:val="fr-FR"/>
              </w:rPr>
            </w:pPr>
            <w:r>
              <w:rPr>
                <w:szCs w:val="24"/>
                <w:lang w:val="fr-FR"/>
              </w:rPr>
              <w:t>32,1</w:t>
            </w:r>
          </w:p>
        </w:tc>
        <w:tc>
          <w:tcPr>
            <w:tcW w:w="1049" w:type="dxa"/>
            <w:tcMar>
              <w:right w:w="340" w:type="dxa"/>
            </w:tcMar>
            <w:vAlign w:val="bottom"/>
          </w:tcPr>
          <w:p w:rsidR="00000000" w:rsidRDefault="00000000">
            <w:pPr>
              <w:spacing w:before="40" w:after="40"/>
              <w:jc w:val="right"/>
              <w:rPr>
                <w:szCs w:val="24"/>
                <w:lang w:val="fr-FR"/>
              </w:rPr>
            </w:pPr>
            <w:r>
              <w:rPr>
                <w:szCs w:val="24"/>
                <w:lang w:val="fr-FR"/>
              </w:rPr>
              <w:t>34,1</w:t>
            </w:r>
          </w:p>
        </w:tc>
      </w:tr>
      <w:tr w:rsidR="00000000">
        <w:tblPrEx>
          <w:tblCellMar>
            <w:top w:w="0" w:type="dxa"/>
            <w:bottom w:w="0" w:type="dxa"/>
          </w:tblCellMar>
        </w:tblPrEx>
        <w:trPr>
          <w:cantSplit/>
          <w:trHeight w:val="227"/>
        </w:trPr>
        <w:tc>
          <w:tcPr>
            <w:tcW w:w="4111" w:type="dxa"/>
            <w:vAlign w:val="bottom"/>
          </w:tcPr>
          <w:p w:rsidR="00000000" w:rsidRDefault="00000000">
            <w:pPr>
              <w:spacing w:before="40" w:after="40"/>
              <w:ind w:left="567"/>
              <w:rPr>
                <w:szCs w:val="24"/>
                <w:lang w:val="fr-FR"/>
              </w:rPr>
            </w:pPr>
            <w:r>
              <w:rPr>
                <w:szCs w:val="24"/>
                <w:lang w:val="fr-FR"/>
              </w:rPr>
              <w:t>en azéri</w:t>
            </w:r>
          </w:p>
        </w:tc>
        <w:tc>
          <w:tcPr>
            <w:tcW w:w="1049" w:type="dxa"/>
            <w:tcMar>
              <w:right w:w="340" w:type="dxa"/>
            </w:tcMar>
            <w:vAlign w:val="bottom"/>
          </w:tcPr>
          <w:p w:rsidR="00000000" w:rsidRDefault="00000000">
            <w:pPr>
              <w:spacing w:before="40" w:after="40"/>
              <w:jc w:val="right"/>
              <w:rPr>
                <w:szCs w:val="24"/>
                <w:lang w:val="fr-FR"/>
              </w:rPr>
            </w:pPr>
            <w:r>
              <w:rPr>
                <w:szCs w:val="24"/>
                <w:lang w:val="fr-FR"/>
              </w:rPr>
              <w:t>38,2</w:t>
            </w:r>
          </w:p>
        </w:tc>
        <w:tc>
          <w:tcPr>
            <w:tcW w:w="1049" w:type="dxa"/>
            <w:tcMar>
              <w:right w:w="340" w:type="dxa"/>
            </w:tcMar>
            <w:vAlign w:val="bottom"/>
          </w:tcPr>
          <w:p w:rsidR="00000000" w:rsidRDefault="00000000">
            <w:pPr>
              <w:spacing w:before="40" w:after="40"/>
              <w:jc w:val="right"/>
              <w:rPr>
                <w:szCs w:val="24"/>
                <w:lang w:val="fr-FR"/>
              </w:rPr>
            </w:pPr>
            <w:r>
              <w:rPr>
                <w:szCs w:val="24"/>
                <w:lang w:val="fr-FR"/>
              </w:rPr>
              <w:t>36,8</w:t>
            </w:r>
          </w:p>
        </w:tc>
        <w:tc>
          <w:tcPr>
            <w:tcW w:w="1049" w:type="dxa"/>
            <w:tcMar>
              <w:right w:w="340" w:type="dxa"/>
            </w:tcMar>
            <w:vAlign w:val="bottom"/>
          </w:tcPr>
          <w:p w:rsidR="00000000" w:rsidRDefault="00000000">
            <w:pPr>
              <w:spacing w:before="40" w:after="40"/>
              <w:jc w:val="right"/>
              <w:rPr>
                <w:szCs w:val="24"/>
                <w:lang w:val="fr-FR"/>
              </w:rPr>
            </w:pPr>
            <w:r>
              <w:rPr>
                <w:szCs w:val="24"/>
                <w:lang w:val="fr-FR"/>
              </w:rPr>
              <w:t>35,4</w:t>
            </w:r>
          </w:p>
        </w:tc>
        <w:tc>
          <w:tcPr>
            <w:tcW w:w="1049" w:type="dxa"/>
            <w:tcMar>
              <w:right w:w="340" w:type="dxa"/>
            </w:tcMar>
            <w:vAlign w:val="bottom"/>
          </w:tcPr>
          <w:p w:rsidR="00000000" w:rsidRDefault="00000000">
            <w:pPr>
              <w:spacing w:before="40" w:after="40"/>
              <w:jc w:val="right"/>
              <w:rPr>
                <w:szCs w:val="24"/>
                <w:lang w:val="fr-FR"/>
              </w:rPr>
            </w:pPr>
            <w:r>
              <w:rPr>
                <w:szCs w:val="24"/>
                <w:lang w:val="fr-FR"/>
              </w:rPr>
              <w:t>34,3</w:t>
            </w:r>
          </w:p>
        </w:tc>
        <w:tc>
          <w:tcPr>
            <w:tcW w:w="1049" w:type="dxa"/>
            <w:tcMar>
              <w:right w:w="340" w:type="dxa"/>
            </w:tcMar>
            <w:vAlign w:val="bottom"/>
          </w:tcPr>
          <w:p w:rsidR="00000000" w:rsidRDefault="00000000">
            <w:pPr>
              <w:spacing w:before="40" w:after="40"/>
              <w:jc w:val="right"/>
              <w:rPr>
                <w:szCs w:val="24"/>
                <w:lang w:val="fr-FR"/>
              </w:rPr>
            </w:pPr>
            <w:r>
              <w:rPr>
                <w:szCs w:val="24"/>
                <w:lang w:val="fr-FR"/>
              </w:rPr>
              <w:t>33,5</w:t>
            </w:r>
          </w:p>
        </w:tc>
      </w:tr>
      <w:tr w:rsidR="00000000">
        <w:tblPrEx>
          <w:tblCellMar>
            <w:top w:w="0" w:type="dxa"/>
            <w:bottom w:w="0" w:type="dxa"/>
          </w:tblCellMar>
        </w:tblPrEx>
        <w:trPr>
          <w:cantSplit/>
          <w:trHeight w:val="227"/>
        </w:trPr>
        <w:tc>
          <w:tcPr>
            <w:tcW w:w="4111" w:type="dxa"/>
            <w:vAlign w:val="bottom"/>
          </w:tcPr>
          <w:p w:rsidR="00000000" w:rsidRDefault="00000000">
            <w:pPr>
              <w:spacing w:before="40" w:after="40"/>
              <w:ind w:left="567"/>
              <w:rPr>
                <w:szCs w:val="24"/>
                <w:lang w:val="fr-FR"/>
              </w:rPr>
            </w:pPr>
            <w:r>
              <w:rPr>
                <w:szCs w:val="24"/>
                <w:lang w:val="fr-FR"/>
              </w:rPr>
              <w:t>en arménien</w:t>
            </w:r>
          </w:p>
        </w:tc>
        <w:tc>
          <w:tcPr>
            <w:tcW w:w="1049" w:type="dxa"/>
            <w:tcMar>
              <w:right w:w="340" w:type="dxa"/>
            </w:tcMar>
            <w:vAlign w:val="bottom"/>
          </w:tcPr>
          <w:p w:rsidR="00000000" w:rsidRDefault="00000000">
            <w:pPr>
              <w:spacing w:before="40" w:after="40"/>
              <w:jc w:val="right"/>
              <w:rPr>
                <w:szCs w:val="24"/>
                <w:lang w:val="fr-FR"/>
              </w:rPr>
            </w:pPr>
            <w:r>
              <w:rPr>
                <w:szCs w:val="24"/>
                <w:lang w:val="fr-FR"/>
              </w:rPr>
              <w:t>25,8</w:t>
            </w:r>
          </w:p>
        </w:tc>
        <w:tc>
          <w:tcPr>
            <w:tcW w:w="1049" w:type="dxa"/>
            <w:tcMar>
              <w:right w:w="340" w:type="dxa"/>
            </w:tcMar>
            <w:vAlign w:val="bottom"/>
          </w:tcPr>
          <w:p w:rsidR="00000000" w:rsidRDefault="00000000">
            <w:pPr>
              <w:spacing w:before="40" w:after="40"/>
              <w:jc w:val="right"/>
              <w:rPr>
                <w:szCs w:val="24"/>
                <w:lang w:val="fr-FR"/>
              </w:rPr>
            </w:pPr>
            <w:r>
              <w:rPr>
                <w:szCs w:val="24"/>
                <w:lang w:val="fr-FR"/>
              </w:rPr>
              <w:t>23,9</w:t>
            </w:r>
          </w:p>
        </w:tc>
        <w:tc>
          <w:tcPr>
            <w:tcW w:w="1049" w:type="dxa"/>
            <w:tcMar>
              <w:right w:w="340" w:type="dxa"/>
            </w:tcMar>
            <w:vAlign w:val="bottom"/>
          </w:tcPr>
          <w:p w:rsidR="00000000" w:rsidRDefault="00000000">
            <w:pPr>
              <w:spacing w:before="40" w:after="40"/>
              <w:jc w:val="right"/>
              <w:rPr>
                <w:szCs w:val="24"/>
                <w:lang w:val="fr-FR"/>
              </w:rPr>
            </w:pPr>
            <w:r>
              <w:rPr>
                <w:szCs w:val="24"/>
                <w:lang w:val="fr-FR"/>
              </w:rPr>
              <w:t>22,3</w:t>
            </w:r>
          </w:p>
        </w:tc>
        <w:tc>
          <w:tcPr>
            <w:tcW w:w="1049" w:type="dxa"/>
            <w:tcMar>
              <w:right w:w="340" w:type="dxa"/>
            </w:tcMar>
            <w:vAlign w:val="bottom"/>
          </w:tcPr>
          <w:p w:rsidR="00000000" w:rsidRDefault="00000000">
            <w:pPr>
              <w:spacing w:before="40" w:after="40"/>
              <w:jc w:val="right"/>
              <w:rPr>
                <w:szCs w:val="24"/>
                <w:lang w:val="fr-FR"/>
              </w:rPr>
            </w:pPr>
            <w:r>
              <w:rPr>
                <w:szCs w:val="24"/>
                <w:lang w:val="fr-FR"/>
              </w:rPr>
              <w:t>21,2</w:t>
            </w:r>
          </w:p>
        </w:tc>
        <w:tc>
          <w:tcPr>
            <w:tcW w:w="1049" w:type="dxa"/>
            <w:tcMar>
              <w:right w:w="340" w:type="dxa"/>
            </w:tcMar>
            <w:vAlign w:val="bottom"/>
          </w:tcPr>
          <w:p w:rsidR="00000000" w:rsidRDefault="00000000">
            <w:pPr>
              <w:spacing w:before="40" w:after="40"/>
              <w:jc w:val="right"/>
              <w:rPr>
                <w:szCs w:val="24"/>
                <w:lang w:val="fr-FR"/>
              </w:rPr>
            </w:pPr>
            <w:r>
              <w:rPr>
                <w:szCs w:val="24"/>
                <w:lang w:val="fr-FR"/>
              </w:rPr>
              <w:t>21,6</w:t>
            </w:r>
          </w:p>
        </w:tc>
      </w:tr>
      <w:tr w:rsidR="00000000">
        <w:tblPrEx>
          <w:tblCellMar>
            <w:top w:w="0" w:type="dxa"/>
            <w:bottom w:w="0" w:type="dxa"/>
          </w:tblCellMar>
        </w:tblPrEx>
        <w:trPr>
          <w:cantSplit/>
          <w:trHeight w:val="227"/>
        </w:trPr>
        <w:tc>
          <w:tcPr>
            <w:tcW w:w="4111" w:type="dxa"/>
            <w:vAlign w:val="bottom"/>
          </w:tcPr>
          <w:p w:rsidR="00000000" w:rsidRDefault="00000000">
            <w:pPr>
              <w:spacing w:before="40" w:after="40"/>
              <w:ind w:left="567"/>
              <w:rPr>
                <w:szCs w:val="24"/>
                <w:lang w:val="fr-FR"/>
              </w:rPr>
            </w:pPr>
            <w:r>
              <w:rPr>
                <w:szCs w:val="24"/>
                <w:lang w:val="fr-FR"/>
              </w:rPr>
              <w:t>en abkhaze</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0,4</w:t>
            </w:r>
          </w:p>
        </w:tc>
      </w:tr>
      <w:tr w:rsidR="00000000">
        <w:tblPrEx>
          <w:tblCellMar>
            <w:top w:w="0" w:type="dxa"/>
            <w:bottom w:w="0" w:type="dxa"/>
          </w:tblCellMar>
        </w:tblPrEx>
        <w:trPr>
          <w:cantSplit/>
          <w:trHeight w:val="227"/>
        </w:trPr>
        <w:tc>
          <w:tcPr>
            <w:tcW w:w="4111" w:type="dxa"/>
            <w:vAlign w:val="bottom"/>
          </w:tcPr>
          <w:p w:rsidR="00000000" w:rsidRDefault="00000000">
            <w:pPr>
              <w:spacing w:before="40" w:after="40"/>
              <w:ind w:left="567"/>
              <w:rPr>
                <w:szCs w:val="24"/>
                <w:lang w:val="fr-FR"/>
              </w:rPr>
            </w:pPr>
            <w:r>
              <w:rPr>
                <w:szCs w:val="24"/>
                <w:lang w:val="fr-FR"/>
              </w:rPr>
              <w:t>en ossète</w:t>
            </w:r>
          </w:p>
        </w:tc>
        <w:tc>
          <w:tcPr>
            <w:tcW w:w="1049" w:type="dxa"/>
            <w:tcMar>
              <w:right w:w="340" w:type="dxa"/>
            </w:tcMar>
            <w:vAlign w:val="bottom"/>
          </w:tcPr>
          <w:p w:rsidR="00000000" w:rsidRDefault="00000000">
            <w:pPr>
              <w:spacing w:before="40" w:after="40"/>
              <w:jc w:val="right"/>
              <w:rPr>
                <w:szCs w:val="24"/>
                <w:lang w:val="fr-FR"/>
              </w:rPr>
            </w:pPr>
            <w:r>
              <w:rPr>
                <w:szCs w:val="24"/>
                <w:lang w:val="fr-FR"/>
              </w:rPr>
              <w:t>0,2</w:t>
            </w:r>
          </w:p>
        </w:tc>
        <w:tc>
          <w:tcPr>
            <w:tcW w:w="1049" w:type="dxa"/>
            <w:tcMar>
              <w:right w:w="340" w:type="dxa"/>
            </w:tcMar>
            <w:vAlign w:val="bottom"/>
          </w:tcPr>
          <w:p w:rsidR="00000000" w:rsidRDefault="00000000">
            <w:pPr>
              <w:spacing w:before="40" w:after="40"/>
              <w:jc w:val="right"/>
              <w:rPr>
                <w:szCs w:val="24"/>
                <w:lang w:val="fr-FR"/>
              </w:rPr>
            </w:pPr>
            <w:r>
              <w:rPr>
                <w:szCs w:val="24"/>
                <w:lang w:val="fr-FR"/>
              </w:rPr>
              <w:t>0,2</w:t>
            </w:r>
          </w:p>
        </w:tc>
        <w:tc>
          <w:tcPr>
            <w:tcW w:w="1049" w:type="dxa"/>
            <w:tcMar>
              <w:right w:w="340" w:type="dxa"/>
            </w:tcMar>
            <w:vAlign w:val="bottom"/>
          </w:tcPr>
          <w:p w:rsidR="00000000" w:rsidRDefault="00000000">
            <w:pPr>
              <w:spacing w:before="40" w:after="40"/>
              <w:jc w:val="right"/>
              <w:rPr>
                <w:szCs w:val="24"/>
                <w:lang w:val="fr-FR"/>
              </w:rPr>
            </w:pPr>
            <w:r>
              <w:rPr>
                <w:szCs w:val="24"/>
                <w:lang w:val="fr-FR"/>
              </w:rPr>
              <w:t>0,2</w:t>
            </w:r>
          </w:p>
        </w:tc>
        <w:tc>
          <w:tcPr>
            <w:tcW w:w="1049" w:type="dxa"/>
            <w:tcMar>
              <w:right w:w="340" w:type="dxa"/>
            </w:tcMar>
            <w:vAlign w:val="bottom"/>
          </w:tcPr>
          <w:p w:rsidR="00000000" w:rsidRDefault="00000000">
            <w:pPr>
              <w:spacing w:before="40" w:after="40"/>
              <w:jc w:val="right"/>
              <w:rPr>
                <w:szCs w:val="24"/>
                <w:lang w:val="fr-FR"/>
              </w:rPr>
            </w:pPr>
            <w:r>
              <w:rPr>
                <w:szCs w:val="24"/>
                <w:lang w:val="fr-FR"/>
              </w:rPr>
              <w:t>0,2</w:t>
            </w:r>
          </w:p>
        </w:tc>
        <w:tc>
          <w:tcPr>
            <w:tcW w:w="1049" w:type="dxa"/>
            <w:tcMar>
              <w:right w:w="340" w:type="dxa"/>
            </w:tcMar>
            <w:vAlign w:val="bottom"/>
          </w:tcPr>
          <w:p w:rsidR="00000000" w:rsidRDefault="00000000">
            <w:pPr>
              <w:spacing w:before="40" w:after="40"/>
              <w:jc w:val="right"/>
              <w:rPr>
                <w:szCs w:val="24"/>
                <w:lang w:val="fr-FR"/>
              </w:rPr>
            </w:pPr>
            <w:r>
              <w:rPr>
                <w:szCs w:val="24"/>
                <w:lang w:val="fr-FR"/>
              </w:rPr>
              <w:t>0,2</w:t>
            </w:r>
          </w:p>
        </w:tc>
      </w:tr>
      <w:tr w:rsidR="00000000">
        <w:tblPrEx>
          <w:tblCellMar>
            <w:top w:w="0" w:type="dxa"/>
            <w:bottom w:w="0" w:type="dxa"/>
          </w:tblCellMar>
        </w:tblPrEx>
        <w:trPr>
          <w:cantSplit/>
        </w:trPr>
        <w:tc>
          <w:tcPr>
            <w:tcW w:w="4111" w:type="dxa"/>
          </w:tcPr>
          <w:p w:rsidR="00000000" w:rsidRDefault="00000000">
            <w:pPr>
              <w:spacing w:before="40" w:after="40"/>
              <w:ind w:left="284"/>
              <w:rPr>
                <w:szCs w:val="24"/>
                <w:lang w:val="fr-FR"/>
              </w:rPr>
            </w:pPr>
            <w:r>
              <w:rPr>
                <w:szCs w:val="24"/>
                <w:lang w:val="fr-FR"/>
              </w:rPr>
              <w:t xml:space="preserve">proportion d’élèves recevant un enseignement dans les langues </w:t>
            </w:r>
            <w:proofErr w:type="spellStart"/>
            <w:r>
              <w:rPr>
                <w:szCs w:val="24"/>
                <w:lang w:val="fr-FR"/>
              </w:rPr>
              <w:t>ci</w:t>
            </w:r>
            <w:r>
              <w:rPr>
                <w:szCs w:val="24"/>
                <w:lang w:val="fr-FR"/>
              </w:rPr>
              <w:noBreakHyphen/>
              <w:t>après</w:t>
            </w:r>
            <w:proofErr w:type="spellEnd"/>
            <w:r>
              <w:rPr>
                <w:szCs w:val="24"/>
                <w:lang w:val="fr-FR"/>
              </w:rPr>
              <w:t xml:space="preserve"> par rapport au nombre total d’élèves:</w:t>
            </w:r>
          </w:p>
        </w:tc>
        <w:tc>
          <w:tcPr>
            <w:tcW w:w="1049" w:type="dxa"/>
            <w:tcMar>
              <w:right w:w="510" w:type="dxa"/>
            </w:tcMar>
          </w:tcPr>
          <w:p w:rsidR="00000000" w:rsidRDefault="00000000">
            <w:pPr>
              <w:spacing w:before="40" w:after="40"/>
              <w:ind w:right="-170"/>
              <w:jc w:val="right"/>
              <w:rPr>
                <w:szCs w:val="24"/>
                <w:lang w:val="fr-FR"/>
              </w:rPr>
            </w:pPr>
            <w:r>
              <w:rPr>
                <w:szCs w:val="24"/>
                <w:lang w:val="fr-FR"/>
              </w:rPr>
              <w:t>100</w:t>
            </w:r>
          </w:p>
        </w:tc>
        <w:tc>
          <w:tcPr>
            <w:tcW w:w="1049" w:type="dxa"/>
            <w:tcMar>
              <w:right w:w="510" w:type="dxa"/>
            </w:tcMar>
          </w:tcPr>
          <w:p w:rsidR="00000000" w:rsidRDefault="00000000">
            <w:pPr>
              <w:spacing w:before="40" w:after="40"/>
              <w:ind w:right="-181"/>
              <w:jc w:val="right"/>
              <w:rPr>
                <w:szCs w:val="24"/>
                <w:lang w:val="fr-FR"/>
              </w:rPr>
            </w:pPr>
            <w:r>
              <w:rPr>
                <w:szCs w:val="24"/>
                <w:lang w:val="fr-FR"/>
              </w:rPr>
              <w:t>100</w:t>
            </w:r>
          </w:p>
        </w:tc>
        <w:tc>
          <w:tcPr>
            <w:tcW w:w="1049" w:type="dxa"/>
            <w:tcMar>
              <w:right w:w="510" w:type="dxa"/>
            </w:tcMar>
          </w:tcPr>
          <w:p w:rsidR="00000000" w:rsidRDefault="00000000">
            <w:pPr>
              <w:spacing w:before="40" w:after="40"/>
              <w:ind w:right="-212"/>
              <w:jc w:val="right"/>
              <w:rPr>
                <w:szCs w:val="24"/>
                <w:lang w:val="fr-FR"/>
              </w:rPr>
            </w:pPr>
            <w:r>
              <w:rPr>
                <w:szCs w:val="24"/>
                <w:lang w:val="fr-FR"/>
              </w:rPr>
              <w:t>100</w:t>
            </w:r>
          </w:p>
        </w:tc>
        <w:tc>
          <w:tcPr>
            <w:tcW w:w="1049" w:type="dxa"/>
            <w:tcMar>
              <w:right w:w="510" w:type="dxa"/>
            </w:tcMar>
          </w:tcPr>
          <w:p w:rsidR="00000000" w:rsidRDefault="00000000">
            <w:pPr>
              <w:spacing w:before="40" w:after="40"/>
              <w:ind w:right="-243"/>
              <w:jc w:val="right"/>
              <w:rPr>
                <w:szCs w:val="24"/>
                <w:lang w:val="fr-FR"/>
              </w:rPr>
            </w:pPr>
            <w:r>
              <w:rPr>
                <w:szCs w:val="24"/>
                <w:lang w:val="fr-FR"/>
              </w:rPr>
              <w:t>100</w:t>
            </w:r>
          </w:p>
        </w:tc>
        <w:tc>
          <w:tcPr>
            <w:tcW w:w="1049" w:type="dxa"/>
            <w:tcMar>
              <w:right w:w="510" w:type="dxa"/>
            </w:tcMar>
          </w:tcPr>
          <w:p w:rsidR="00000000" w:rsidRDefault="00000000">
            <w:pPr>
              <w:spacing w:before="40" w:after="40"/>
              <w:ind w:right="-154"/>
              <w:jc w:val="right"/>
              <w:rPr>
                <w:szCs w:val="24"/>
                <w:lang w:val="fr-FR"/>
              </w:rPr>
            </w:pPr>
            <w:r>
              <w:rPr>
                <w:szCs w:val="24"/>
                <w:lang w:val="fr-FR"/>
              </w:rPr>
              <w:t>100</w:t>
            </w:r>
          </w:p>
        </w:tc>
      </w:tr>
      <w:tr w:rsidR="00000000">
        <w:tblPrEx>
          <w:tblCellMar>
            <w:top w:w="0" w:type="dxa"/>
            <w:bottom w:w="0" w:type="dxa"/>
          </w:tblCellMar>
        </w:tblPrEx>
        <w:trPr>
          <w:cantSplit/>
        </w:trPr>
        <w:tc>
          <w:tcPr>
            <w:tcW w:w="4111" w:type="dxa"/>
            <w:vAlign w:val="bottom"/>
          </w:tcPr>
          <w:p w:rsidR="00000000" w:rsidRDefault="00000000">
            <w:pPr>
              <w:spacing w:before="40" w:after="40"/>
              <w:ind w:left="567"/>
              <w:rPr>
                <w:szCs w:val="24"/>
                <w:lang w:val="fr-FR"/>
              </w:rPr>
            </w:pPr>
            <w:r>
              <w:rPr>
                <w:szCs w:val="24"/>
                <w:lang w:val="fr-FR"/>
              </w:rPr>
              <w:t>géorgien</w:t>
            </w:r>
          </w:p>
        </w:tc>
        <w:tc>
          <w:tcPr>
            <w:tcW w:w="1049" w:type="dxa"/>
            <w:tcMar>
              <w:right w:w="340" w:type="dxa"/>
            </w:tcMar>
            <w:vAlign w:val="bottom"/>
          </w:tcPr>
          <w:p w:rsidR="00000000" w:rsidRDefault="00000000">
            <w:pPr>
              <w:spacing w:before="40" w:after="40"/>
              <w:jc w:val="right"/>
              <w:rPr>
                <w:szCs w:val="24"/>
                <w:lang w:val="fr-FR"/>
              </w:rPr>
            </w:pPr>
            <w:r>
              <w:rPr>
                <w:szCs w:val="24"/>
                <w:lang w:val="fr-FR"/>
              </w:rPr>
              <w:t>85,3</w:t>
            </w:r>
          </w:p>
        </w:tc>
        <w:tc>
          <w:tcPr>
            <w:tcW w:w="1049" w:type="dxa"/>
            <w:tcMar>
              <w:right w:w="340" w:type="dxa"/>
            </w:tcMar>
            <w:vAlign w:val="bottom"/>
          </w:tcPr>
          <w:p w:rsidR="00000000" w:rsidRDefault="00000000">
            <w:pPr>
              <w:spacing w:before="40" w:after="40"/>
              <w:jc w:val="right"/>
              <w:rPr>
                <w:szCs w:val="24"/>
                <w:lang w:val="fr-FR"/>
              </w:rPr>
            </w:pPr>
            <w:r>
              <w:rPr>
                <w:szCs w:val="24"/>
                <w:lang w:val="fr-FR"/>
              </w:rPr>
              <w:t>85,8</w:t>
            </w:r>
          </w:p>
        </w:tc>
        <w:tc>
          <w:tcPr>
            <w:tcW w:w="1049" w:type="dxa"/>
            <w:tcMar>
              <w:right w:w="340" w:type="dxa"/>
            </w:tcMar>
            <w:vAlign w:val="bottom"/>
          </w:tcPr>
          <w:p w:rsidR="00000000" w:rsidRDefault="00000000">
            <w:pPr>
              <w:spacing w:before="40" w:after="40"/>
              <w:jc w:val="right"/>
              <w:rPr>
                <w:szCs w:val="24"/>
                <w:lang w:val="fr-FR"/>
              </w:rPr>
            </w:pPr>
            <w:r>
              <w:rPr>
                <w:szCs w:val="24"/>
                <w:lang w:val="fr-FR"/>
              </w:rPr>
              <w:t>86,2</w:t>
            </w:r>
          </w:p>
        </w:tc>
        <w:tc>
          <w:tcPr>
            <w:tcW w:w="1049" w:type="dxa"/>
            <w:tcMar>
              <w:right w:w="340" w:type="dxa"/>
            </w:tcMar>
            <w:vAlign w:val="bottom"/>
          </w:tcPr>
          <w:p w:rsidR="00000000" w:rsidRDefault="00000000">
            <w:pPr>
              <w:spacing w:before="40" w:after="40"/>
              <w:jc w:val="right"/>
              <w:rPr>
                <w:szCs w:val="24"/>
                <w:lang w:val="fr-FR"/>
              </w:rPr>
            </w:pPr>
            <w:r>
              <w:rPr>
                <w:szCs w:val="24"/>
                <w:lang w:val="fr-FR"/>
              </w:rPr>
              <w:t>86,4</w:t>
            </w:r>
          </w:p>
        </w:tc>
        <w:tc>
          <w:tcPr>
            <w:tcW w:w="1049" w:type="dxa"/>
            <w:tcMar>
              <w:right w:w="340" w:type="dxa"/>
            </w:tcMar>
            <w:vAlign w:val="bottom"/>
          </w:tcPr>
          <w:p w:rsidR="00000000" w:rsidRDefault="00000000">
            <w:pPr>
              <w:spacing w:before="40" w:after="40"/>
              <w:jc w:val="right"/>
              <w:rPr>
                <w:szCs w:val="24"/>
                <w:lang w:val="fr-FR"/>
              </w:rPr>
            </w:pPr>
            <w:r>
              <w:rPr>
                <w:szCs w:val="24"/>
                <w:lang w:val="fr-FR"/>
              </w:rPr>
              <w:t>85,5</w:t>
            </w:r>
          </w:p>
        </w:tc>
      </w:tr>
      <w:tr w:rsidR="00000000">
        <w:tblPrEx>
          <w:tblCellMar>
            <w:top w:w="0" w:type="dxa"/>
            <w:bottom w:w="0" w:type="dxa"/>
          </w:tblCellMar>
        </w:tblPrEx>
        <w:trPr>
          <w:cantSplit/>
        </w:trPr>
        <w:tc>
          <w:tcPr>
            <w:tcW w:w="4111" w:type="dxa"/>
            <w:vAlign w:val="bottom"/>
          </w:tcPr>
          <w:p w:rsidR="00000000" w:rsidRDefault="00000000">
            <w:pPr>
              <w:spacing w:before="40" w:after="40"/>
              <w:ind w:left="567"/>
              <w:rPr>
                <w:szCs w:val="24"/>
                <w:lang w:val="fr-FR"/>
              </w:rPr>
            </w:pPr>
            <w:r>
              <w:rPr>
                <w:szCs w:val="24"/>
                <w:lang w:val="fr-FR"/>
              </w:rPr>
              <w:t>russe</w:t>
            </w:r>
          </w:p>
        </w:tc>
        <w:tc>
          <w:tcPr>
            <w:tcW w:w="1049" w:type="dxa"/>
            <w:tcMar>
              <w:right w:w="340" w:type="dxa"/>
            </w:tcMar>
            <w:vAlign w:val="bottom"/>
          </w:tcPr>
          <w:p w:rsidR="00000000" w:rsidRDefault="00000000">
            <w:pPr>
              <w:spacing w:before="40" w:after="40"/>
              <w:jc w:val="right"/>
              <w:rPr>
                <w:szCs w:val="24"/>
                <w:lang w:val="fr-FR"/>
              </w:rPr>
            </w:pPr>
            <w:r>
              <w:rPr>
                <w:szCs w:val="24"/>
                <w:lang w:val="fr-FR"/>
              </w:rPr>
              <w:t>5,5</w:t>
            </w:r>
          </w:p>
        </w:tc>
        <w:tc>
          <w:tcPr>
            <w:tcW w:w="1049" w:type="dxa"/>
            <w:tcMar>
              <w:right w:w="340" w:type="dxa"/>
            </w:tcMar>
            <w:vAlign w:val="bottom"/>
          </w:tcPr>
          <w:p w:rsidR="00000000" w:rsidRDefault="00000000">
            <w:pPr>
              <w:spacing w:before="40" w:after="40"/>
              <w:jc w:val="right"/>
              <w:rPr>
                <w:szCs w:val="24"/>
                <w:lang w:val="fr-FR"/>
              </w:rPr>
            </w:pPr>
            <w:r>
              <w:rPr>
                <w:szCs w:val="24"/>
                <w:lang w:val="fr-FR"/>
              </w:rPr>
              <w:t>5,3</w:t>
            </w:r>
          </w:p>
        </w:tc>
        <w:tc>
          <w:tcPr>
            <w:tcW w:w="1049" w:type="dxa"/>
            <w:tcMar>
              <w:right w:w="340" w:type="dxa"/>
            </w:tcMar>
            <w:vAlign w:val="bottom"/>
          </w:tcPr>
          <w:p w:rsidR="00000000" w:rsidRDefault="00000000">
            <w:pPr>
              <w:spacing w:before="40" w:after="40"/>
              <w:jc w:val="right"/>
              <w:rPr>
                <w:szCs w:val="24"/>
                <w:lang w:val="fr-FR"/>
              </w:rPr>
            </w:pPr>
            <w:r>
              <w:rPr>
                <w:szCs w:val="24"/>
                <w:lang w:val="fr-FR"/>
              </w:rPr>
              <w:t>5,1</w:t>
            </w:r>
          </w:p>
        </w:tc>
        <w:tc>
          <w:tcPr>
            <w:tcW w:w="1049" w:type="dxa"/>
            <w:tcMar>
              <w:right w:w="340" w:type="dxa"/>
            </w:tcMar>
            <w:vAlign w:val="bottom"/>
          </w:tcPr>
          <w:p w:rsidR="00000000" w:rsidRDefault="00000000">
            <w:pPr>
              <w:spacing w:before="40" w:after="40"/>
              <w:jc w:val="right"/>
              <w:rPr>
                <w:szCs w:val="24"/>
                <w:lang w:val="fr-FR"/>
              </w:rPr>
            </w:pPr>
            <w:r>
              <w:rPr>
                <w:szCs w:val="24"/>
                <w:lang w:val="fr-FR"/>
              </w:rPr>
              <w:t>5,0</w:t>
            </w:r>
          </w:p>
        </w:tc>
        <w:tc>
          <w:tcPr>
            <w:tcW w:w="1049" w:type="dxa"/>
            <w:tcMar>
              <w:right w:w="340" w:type="dxa"/>
            </w:tcMar>
            <w:vAlign w:val="bottom"/>
          </w:tcPr>
          <w:p w:rsidR="00000000" w:rsidRDefault="00000000">
            <w:pPr>
              <w:spacing w:before="40" w:after="40"/>
              <w:jc w:val="right"/>
              <w:rPr>
                <w:szCs w:val="24"/>
                <w:lang w:val="fr-FR"/>
              </w:rPr>
            </w:pPr>
            <w:r>
              <w:rPr>
                <w:szCs w:val="24"/>
                <w:lang w:val="fr-FR"/>
              </w:rPr>
              <w:t>5,5</w:t>
            </w:r>
          </w:p>
        </w:tc>
      </w:tr>
      <w:tr w:rsidR="00000000">
        <w:tblPrEx>
          <w:tblCellMar>
            <w:top w:w="0" w:type="dxa"/>
            <w:bottom w:w="0" w:type="dxa"/>
          </w:tblCellMar>
        </w:tblPrEx>
        <w:trPr>
          <w:cantSplit/>
        </w:trPr>
        <w:tc>
          <w:tcPr>
            <w:tcW w:w="4111" w:type="dxa"/>
            <w:vAlign w:val="bottom"/>
          </w:tcPr>
          <w:p w:rsidR="00000000" w:rsidRDefault="00000000">
            <w:pPr>
              <w:spacing w:before="40" w:after="40"/>
              <w:ind w:left="567"/>
              <w:rPr>
                <w:szCs w:val="24"/>
                <w:lang w:val="fr-FR"/>
              </w:rPr>
            </w:pPr>
            <w:r>
              <w:rPr>
                <w:szCs w:val="24"/>
                <w:lang w:val="fr-FR"/>
              </w:rPr>
              <w:t>azéri</w:t>
            </w:r>
          </w:p>
        </w:tc>
        <w:tc>
          <w:tcPr>
            <w:tcW w:w="1049" w:type="dxa"/>
            <w:tcMar>
              <w:right w:w="340" w:type="dxa"/>
            </w:tcMar>
            <w:vAlign w:val="bottom"/>
          </w:tcPr>
          <w:p w:rsidR="00000000" w:rsidRDefault="00000000">
            <w:pPr>
              <w:spacing w:before="40" w:after="40"/>
              <w:jc w:val="right"/>
              <w:rPr>
                <w:szCs w:val="24"/>
                <w:lang w:val="fr-FR"/>
              </w:rPr>
            </w:pPr>
            <w:r>
              <w:rPr>
                <w:szCs w:val="24"/>
                <w:lang w:val="fr-FR"/>
              </w:rPr>
              <w:t>5,5</w:t>
            </w:r>
          </w:p>
        </w:tc>
        <w:tc>
          <w:tcPr>
            <w:tcW w:w="1049" w:type="dxa"/>
            <w:tcMar>
              <w:right w:w="340" w:type="dxa"/>
            </w:tcMar>
            <w:vAlign w:val="bottom"/>
          </w:tcPr>
          <w:p w:rsidR="00000000" w:rsidRDefault="00000000">
            <w:pPr>
              <w:spacing w:before="40" w:after="40"/>
              <w:jc w:val="right"/>
              <w:rPr>
                <w:szCs w:val="24"/>
                <w:lang w:val="fr-FR"/>
              </w:rPr>
            </w:pPr>
            <w:r>
              <w:rPr>
                <w:szCs w:val="24"/>
                <w:lang w:val="fr-FR"/>
              </w:rPr>
              <w:t>5,4</w:t>
            </w:r>
          </w:p>
        </w:tc>
        <w:tc>
          <w:tcPr>
            <w:tcW w:w="1049" w:type="dxa"/>
            <w:tcMar>
              <w:right w:w="340" w:type="dxa"/>
            </w:tcMar>
            <w:vAlign w:val="bottom"/>
          </w:tcPr>
          <w:p w:rsidR="00000000" w:rsidRDefault="00000000">
            <w:pPr>
              <w:spacing w:before="40" w:after="40"/>
              <w:jc w:val="right"/>
              <w:rPr>
                <w:szCs w:val="24"/>
                <w:lang w:val="fr-FR"/>
              </w:rPr>
            </w:pPr>
            <w:r>
              <w:rPr>
                <w:szCs w:val="24"/>
                <w:lang w:val="fr-FR"/>
              </w:rPr>
              <w:t>5,3</w:t>
            </w:r>
          </w:p>
        </w:tc>
        <w:tc>
          <w:tcPr>
            <w:tcW w:w="1049" w:type="dxa"/>
            <w:tcMar>
              <w:right w:w="340" w:type="dxa"/>
            </w:tcMar>
            <w:vAlign w:val="bottom"/>
          </w:tcPr>
          <w:p w:rsidR="00000000" w:rsidRDefault="00000000">
            <w:pPr>
              <w:spacing w:before="40" w:after="40"/>
              <w:jc w:val="right"/>
              <w:rPr>
                <w:szCs w:val="24"/>
                <w:lang w:val="fr-FR"/>
              </w:rPr>
            </w:pPr>
            <w:r>
              <w:rPr>
                <w:szCs w:val="24"/>
                <w:lang w:val="fr-FR"/>
              </w:rPr>
              <w:t>5,3</w:t>
            </w:r>
          </w:p>
        </w:tc>
        <w:tc>
          <w:tcPr>
            <w:tcW w:w="1049" w:type="dxa"/>
            <w:tcMar>
              <w:right w:w="340" w:type="dxa"/>
            </w:tcMar>
            <w:vAlign w:val="bottom"/>
          </w:tcPr>
          <w:p w:rsidR="00000000" w:rsidRDefault="00000000">
            <w:pPr>
              <w:spacing w:before="40" w:after="40"/>
              <w:jc w:val="right"/>
              <w:rPr>
                <w:szCs w:val="24"/>
                <w:lang w:val="fr-FR"/>
              </w:rPr>
            </w:pPr>
            <w:r>
              <w:rPr>
                <w:szCs w:val="24"/>
                <w:lang w:val="fr-FR"/>
              </w:rPr>
              <w:t>5,4</w:t>
            </w:r>
          </w:p>
        </w:tc>
      </w:tr>
      <w:tr w:rsidR="00000000">
        <w:tblPrEx>
          <w:tblCellMar>
            <w:top w:w="0" w:type="dxa"/>
            <w:bottom w:w="0" w:type="dxa"/>
          </w:tblCellMar>
        </w:tblPrEx>
        <w:trPr>
          <w:cantSplit/>
        </w:trPr>
        <w:tc>
          <w:tcPr>
            <w:tcW w:w="4111" w:type="dxa"/>
            <w:vAlign w:val="bottom"/>
          </w:tcPr>
          <w:p w:rsidR="00000000" w:rsidRDefault="00000000">
            <w:pPr>
              <w:spacing w:before="40" w:after="40"/>
              <w:ind w:left="567"/>
              <w:rPr>
                <w:szCs w:val="24"/>
                <w:lang w:val="fr-FR"/>
              </w:rPr>
            </w:pPr>
            <w:r>
              <w:rPr>
                <w:szCs w:val="24"/>
                <w:lang w:val="fr-FR"/>
              </w:rPr>
              <w:t>arménien</w:t>
            </w:r>
          </w:p>
        </w:tc>
        <w:tc>
          <w:tcPr>
            <w:tcW w:w="1049" w:type="dxa"/>
            <w:tcMar>
              <w:right w:w="340" w:type="dxa"/>
            </w:tcMar>
            <w:vAlign w:val="bottom"/>
          </w:tcPr>
          <w:p w:rsidR="00000000" w:rsidRDefault="00000000">
            <w:pPr>
              <w:spacing w:before="40" w:after="40"/>
              <w:jc w:val="right"/>
              <w:rPr>
                <w:szCs w:val="24"/>
                <w:lang w:val="fr-FR"/>
              </w:rPr>
            </w:pPr>
            <w:r>
              <w:rPr>
                <w:szCs w:val="24"/>
                <w:lang w:val="fr-FR"/>
              </w:rPr>
              <w:t>3,7</w:t>
            </w:r>
          </w:p>
        </w:tc>
        <w:tc>
          <w:tcPr>
            <w:tcW w:w="1049" w:type="dxa"/>
            <w:tcMar>
              <w:right w:w="340" w:type="dxa"/>
            </w:tcMar>
            <w:vAlign w:val="bottom"/>
          </w:tcPr>
          <w:p w:rsidR="00000000" w:rsidRDefault="00000000">
            <w:pPr>
              <w:spacing w:before="40" w:after="40"/>
              <w:jc w:val="right"/>
              <w:rPr>
                <w:szCs w:val="24"/>
                <w:lang w:val="fr-FR"/>
              </w:rPr>
            </w:pPr>
            <w:r>
              <w:rPr>
                <w:szCs w:val="24"/>
                <w:lang w:val="fr-FR"/>
              </w:rPr>
              <w:t>3,5</w:t>
            </w:r>
          </w:p>
        </w:tc>
        <w:tc>
          <w:tcPr>
            <w:tcW w:w="1049" w:type="dxa"/>
            <w:tcMar>
              <w:right w:w="340" w:type="dxa"/>
            </w:tcMar>
            <w:vAlign w:val="bottom"/>
          </w:tcPr>
          <w:p w:rsidR="00000000" w:rsidRDefault="00000000">
            <w:pPr>
              <w:spacing w:before="40" w:after="40"/>
              <w:jc w:val="right"/>
              <w:rPr>
                <w:szCs w:val="24"/>
                <w:lang w:val="fr-FR"/>
              </w:rPr>
            </w:pPr>
            <w:r>
              <w:rPr>
                <w:szCs w:val="24"/>
                <w:lang w:val="fr-FR"/>
              </w:rPr>
              <w:t>3,4</w:t>
            </w:r>
          </w:p>
        </w:tc>
        <w:tc>
          <w:tcPr>
            <w:tcW w:w="1049" w:type="dxa"/>
            <w:tcMar>
              <w:right w:w="340" w:type="dxa"/>
            </w:tcMar>
            <w:vAlign w:val="bottom"/>
          </w:tcPr>
          <w:p w:rsidR="00000000" w:rsidRDefault="00000000">
            <w:pPr>
              <w:spacing w:before="40" w:after="40"/>
              <w:jc w:val="right"/>
              <w:rPr>
                <w:szCs w:val="24"/>
                <w:lang w:val="fr-FR"/>
              </w:rPr>
            </w:pPr>
            <w:r>
              <w:rPr>
                <w:szCs w:val="24"/>
                <w:lang w:val="fr-FR"/>
              </w:rPr>
              <w:t>3,3</w:t>
            </w:r>
          </w:p>
        </w:tc>
        <w:tc>
          <w:tcPr>
            <w:tcW w:w="1049" w:type="dxa"/>
            <w:tcMar>
              <w:right w:w="340" w:type="dxa"/>
            </w:tcMar>
            <w:vAlign w:val="bottom"/>
          </w:tcPr>
          <w:p w:rsidR="00000000" w:rsidRDefault="00000000">
            <w:pPr>
              <w:spacing w:before="40" w:after="40"/>
              <w:jc w:val="right"/>
              <w:rPr>
                <w:szCs w:val="24"/>
                <w:lang w:val="fr-FR"/>
              </w:rPr>
            </w:pPr>
            <w:r>
              <w:rPr>
                <w:szCs w:val="24"/>
                <w:lang w:val="fr-FR"/>
              </w:rPr>
              <w:t>3,5</w:t>
            </w:r>
          </w:p>
        </w:tc>
      </w:tr>
      <w:tr w:rsidR="00000000">
        <w:tblPrEx>
          <w:tblCellMar>
            <w:top w:w="0" w:type="dxa"/>
            <w:bottom w:w="0" w:type="dxa"/>
          </w:tblCellMar>
        </w:tblPrEx>
        <w:trPr>
          <w:cantSplit/>
        </w:trPr>
        <w:tc>
          <w:tcPr>
            <w:tcW w:w="4111" w:type="dxa"/>
            <w:vAlign w:val="bottom"/>
          </w:tcPr>
          <w:p w:rsidR="00000000" w:rsidRDefault="00000000">
            <w:pPr>
              <w:spacing w:before="40" w:after="40"/>
              <w:ind w:left="567"/>
              <w:rPr>
                <w:szCs w:val="24"/>
                <w:lang w:val="fr-FR"/>
              </w:rPr>
            </w:pPr>
            <w:r>
              <w:rPr>
                <w:szCs w:val="24"/>
                <w:lang w:val="fr-FR"/>
              </w:rPr>
              <w:t>abkhaze</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340" w:type="dxa"/>
            </w:tcMar>
            <w:vAlign w:val="bottom"/>
          </w:tcPr>
          <w:p w:rsidR="00000000" w:rsidRDefault="00000000">
            <w:pPr>
              <w:spacing w:before="40" w:after="40"/>
              <w:jc w:val="right"/>
              <w:rPr>
                <w:szCs w:val="24"/>
                <w:lang w:val="fr-FR"/>
              </w:rPr>
            </w:pPr>
            <w:r>
              <w:rPr>
                <w:szCs w:val="24"/>
                <w:lang w:val="fr-FR"/>
              </w:rPr>
              <w:t>...</w:t>
            </w:r>
          </w:p>
        </w:tc>
        <w:tc>
          <w:tcPr>
            <w:tcW w:w="1049" w:type="dxa"/>
            <w:tcMar>
              <w:right w:w="227" w:type="dxa"/>
            </w:tcMar>
            <w:vAlign w:val="bottom"/>
          </w:tcPr>
          <w:p w:rsidR="00000000" w:rsidRDefault="00000000">
            <w:pPr>
              <w:spacing w:before="40" w:after="40"/>
              <w:jc w:val="right"/>
              <w:rPr>
                <w:szCs w:val="24"/>
                <w:lang w:val="fr-FR"/>
              </w:rPr>
            </w:pPr>
            <w:r>
              <w:rPr>
                <w:szCs w:val="24"/>
                <w:lang w:val="fr-FR"/>
              </w:rPr>
              <w:t>0,07</w:t>
            </w:r>
          </w:p>
        </w:tc>
      </w:tr>
      <w:tr w:rsidR="00000000">
        <w:tblPrEx>
          <w:tblCellMar>
            <w:top w:w="0" w:type="dxa"/>
            <w:bottom w:w="0" w:type="dxa"/>
          </w:tblCellMar>
        </w:tblPrEx>
        <w:trPr>
          <w:cantSplit/>
        </w:trPr>
        <w:tc>
          <w:tcPr>
            <w:tcW w:w="4111" w:type="dxa"/>
            <w:vAlign w:val="bottom"/>
          </w:tcPr>
          <w:p w:rsidR="00000000" w:rsidRDefault="00000000">
            <w:pPr>
              <w:spacing w:before="40" w:after="40"/>
              <w:ind w:left="567"/>
              <w:rPr>
                <w:szCs w:val="24"/>
                <w:lang w:val="fr-FR"/>
              </w:rPr>
            </w:pPr>
            <w:r>
              <w:rPr>
                <w:szCs w:val="24"/>
                <w:lang w:val="fr-FR"/>
              </w:rPr>
              <w:t>ossète</w:t>
            </w:r>
          </w:p>
        </w:tc>
        <w:tc>
          <w:tcPr>
            <w:tcW w:w="1049" w:type="dxa"/>
            <w:tcMar>
              <w:right w:w="227" w:type="dxa"/>
            </w:tcMar>
            <w:vAlign w:val="bottom"/>
          </w:tcPr>
          <w:p w:rsidR="00000000" w:rsidRDefault="00000000">
            <w:pPr>
              <w:spacing w:before="40" w:after="40"/>
              <w:jc w:val="right"/>
              <w:rPr>
                <w:szCs w:val="24"/>
                <w:lang w:val="fr-FR"/>
              </w:rPr>
            </w:pPr>
            <w:r>
              <w:rPr>
                <w:szCs w:val="24"/>
                <w:lang w:val="fr-FR"/>
              </w:rPr>
              <w:t>0,03</w:t>
            </w:r>
          </w:p>
        </w:tc>
        <w:tc>
          <w:tcPr>
            <w:tcW w:w="1049" w:type="dxa"/>
            <w:tcMar>
              <w:right w:w="227" w:type="dxa"/>
            </w:tcMar>
            <w:vAlign w:val="bottom"/>
          </w:tcPr>
          <w:p w:rsidR="00000000" w:rsidRDefault="00000000">
            <w:pPr>
              <w:spacing w:before="40" w:after="40"/>
              <w:jc w:val="right"/>
              <w:rPr>
                <w:szCs w:val="24"/>
                <w:lang w:val="fr-FR"/>
              </w:rPr>
            </w:pPr>
            <w:r>
              <w:rPr>
                <w:szCs w:val="24"/>
                <w:lang w:val="fr-FR"/>
              </w:rPr>
              <w:t>0,03</w:t>
            </w:r>
          </w:p>
        </w:tc>
        <w:tc>
          <w:tcPr>
            <w:tcW w:w="1049" w:type="dxa"/>
            <w:tcMar>
              <w:right w:w="227" w:type="dxa"/>
            </w:tcMar>
            <w:vAlign w:val="bottom"/>
          </w:tcPr>
          <w:p w:rsidR="00000000" w:rsidRDefault="00000000">
            <w:pPr>
              <w:spacing w:before="40" w:after="40"/>
              <w:jc w:val="right"/>
              <w:rPr>
                <w:szCs w:val="24"/>
                <w:lang w:val="fr-FR"/>
              </w:rPr>
            </w:pPr>
            <w:r>
              <w:rPr>
                <w:szCs w:val="24"/>
                <w:lang w:val="fr-FR"/>
              </w:rPr>
              <w:t>0,03</w:t>
            </w:r>
          </w:p>
        </w:tc>
        <w:tc>
          <w:tcPr>
            <w:tcW w:w="1049" w:type="dxa"/>
            <w:tcMar>
              <w:right w:w="227" w:type="dxa"/>
            </w:tcMar>
            <w:vAlign w:val="bottom"/>
          </w:tcPr>
          <w:p w:rsidR="00000000" w:rsidRDefault="00000000">
            <w:pPr>
              <w:spacing w:before="40" w:after="40"/>
              <w:jc w:val="right"/>
              <w:rPr>
                <w:szCs w:val="24"/>
                <w:lang w:val="fr-FR"/>
              </w:rPr>
            </w:pPr>
            <w:r>
              <w:rPr>
                <w:szCs w:val="24"/>
                <w:lang w:val="fr-FR"/>
              </w:rPr>
              <w:t>0,03</w:t>
            </w:r>
          </w:p>
        </w:tc>
        <w:tc>
          <w:tcPr>
            <w:tcW w:w="1049" w:type="dxa"/>
            <w:tcMar>
              <w:right w:w="227" w:type="dxa"/>
            </w:tcMar>
            <w:vAlign w:val="bottom"/>
          </w:tcPr>
          <w:p w:rsidR="00000000" w:rsidRDefault="00000000">
            <w:pPr>
              <w:spacing w:before="40" w:after="40"/>
              <w:jc w:val="right"/>
              <w:rPr>
                <w:szCs w:val="24"/>
                <w:lang w:val="fr-FR"/>
              </w:rPr>
            </w:pPr>
            <w:r>
              <w:rPr>
                <w:szCs w:val="24"/>
                <w:lang w:val="fr-FR"/>
              </w:rPr>
              <w:t>0,03</w:t>
            </w:r>
          </w:p>
        </w:tc>
      </w:tr>
    </w:tbl>
    <w:p w:rsidR="00000000" w:rsidRDefault="00000000">
      <w:pPr>
        <w:spacing w:before="240" w:after="240"/>
        <w:rPr>
          <w:iCs/>
          <w:noProof/>
          <w:szCs w:val="24"/>
          <w:lang w:val="fr-FR"/>
        </w:rPr>
      </w:pPr>
      <w:r>
        <w:rPr>
          <w:bCs/>
          <w:i/>
          <w:noProof/>
          <w:szCs w:val="24"/>
          <w:lang w:val="fr-FR"/>
        </w:rPr>
        <w:tab/>
        <w:t>Source</w:t>
      </w:r>
      <w:r>
        <w:rPr>
          <w:bCs/>
          <w:iCs/>
          <w:noProof/>
          <w:szCs w:val="24"/>
          <w:lang w:val="fr-FR"/>
        </w:rPr>
        <w:t>: Ministère de l’éducation et des sciences.</w:t>
      </w:r>
    </w:p>
    <w:p w:rsidR="00000000" w:rsidRDefault="00000000">
      <w:pPr>
        <w:keepNext/>
        <w:spacing w:after="240"/>
        <w:jc w:val="center"/>
        <w:rPr>
          <w:b/>
          <w:bCs/>
          <w:noProof/>
          <w:lang w:val="fr-FR"/>
        </w:rPr>
      </w:pPr>
      <w:r>
        <w:rPr>
          <w:b/>
          <w:bCs/>
          <w:noProof/>
          <w:lang w:val="fr-FR"/>
        </w:rPr>
        <w:t>Élèves ayant abandonné l’école et raisons de l’abandon scolaire</w:t>
      </w:r>
      <w:r>
        <w:rPr>
          <w:b/>
          <w:bCs/>
          <w:noProof/>
          <w:lang w:val="fr-FR"/>
        </w:rPr>
        <w:br/>
        <w:t>(années scolaires 2004/2005 et 2005/2006)</w:t>
      </w:r>
    </w:p>
    <w:tbl>
      <w:tblPr>
        <w:tblW w:w="94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1939"/>
        <w:gridCol w:w="1939"/>
      </w:tblGrid>
      <w:tr w:rsidR="00000000">
        <w:trPr>
          <w:cantSplit/>
          <w:trHeight w:val="234"/>
        </w:trPr>
        <w:tc>
          <w:tcPr>
            <w:tcW w:w="5529" w:type="dxa"/>
            <w:vMerge w:val="restart"/>
          </w:tcPr>
          <w:p w:rsidR="00000000" w:rsidRDefault="00000000">
            <w:pPr>
              <w:spacing w:before="60" w:after="60"/>
              <w:jc w:val="center"/>
              <w:rPr>
                <w:bCs/>
                <w:noProof/>
                <w:szCs w:val="24"/>
                <w:lang w:val="fr-FR"/>
              </w:rPr>
            </w:pPr>
          </w:p>
        </w:tc>
        <w:tc>
          <w:tcPr>
            <w:tcW w:w="1939" w:type="dxa"/>
          </w:tcPr>
          <w:p w:rsidR="00000000" w:rsidRDefault="00000000">
            <w:pPr>
              <w:spacing w:before="60" w:after="60"/>
              <w:jc w:val="center"/>
              <w:rPr>
                <w:bCs/>
                <w:noProof/>
                <w:szCs w:val="24"/>
                <w:lang w:val="fr-FR"/>
              </w:rPr>
            </w:pPr>
            <w:r>
              <w:rPr>
                <w:bCs/>
                <w:noProof/>
                <w:szCs w:val="24"/>
                <w:lang w:val="fr-FR"/>
              </w:rPr>
              <w:t>2004/2005</w:t>
            </w:r>
          </w:p>
        </w:tc>
        <w:tc>
          <w:tcPr>
            <w:tcW w:w="1939" w:type="dxa"/>
          </w:tcPr>
          <w:p w:rsidR="00000000" w:rsidRDefault="00000000">
            <w:pPr>
              <w:spacing w:before="60" w:after="60"/>
              <w:jc w:val="center"/>
              <w:rPr>
                <w:bCs/>
                <w:noProof/>
                <w:szCs w:val="24"/>
                <w:lang w:val="fr-FR"/>
              </w:rPr>
            </w:pPr>
            <w:r>
              <w:rPr>
                <w:bCs/>
                <w:noProof/>
                <w:szCs w:val="24"/>
                <w:lang w:val="fr-FR"/>
              </w:rPr>
              <w:t>2005/2006</w:t>
            </w:r>
          </w:p>
        </w:tc>
      </w:tr>
      <w:tr w:rsidR="00000000">
        <w:trPr>
          <w:cantSplit/>
          <w:trHeight w:val="110"/>
        </w:trPr>
        <w:tc>
          <w:tcPr>
            <w:tcW w:w="5529" w:type="dxa"/>
            <w:vMerge/>
          </w:tcPr>
          <w:p w:rsidR="00000000" w:rsidRDefault="00000000">
            <w:pPr>
              <w:spacing w:before="60" w:after="60"/>
              <w:jc w:val="center"/>
              <w:rPr>
                <w:noProof/>
                <w:szCs w:val="24"/>
                <w:lang w:val="fr-FR"/>
              </w:rPr>
            </w:pPr>
          </w:p>
        </w:tc>
        <w:tc>
          <w:tcPr>
            <w:tcW w:w="1939" w:type="dxa"/>
          </w:tcPr>
          <w:p w:rsidR="00000000" w:rsidRDefault="00000000">
            <w:pPr>
              <w:spacing w:before="60" w:after="60"/>
              <w:jc w:val="center"/>
              <w:rPr>
                <w:noProof/>
                <w:szCs w:val="24"/>
                <w:lang w:val="fr-FR"/>
              </w:rPr>
            </w:pPr>
            <w:r>
              <w:rPr>
                <w:bCs/>
                <w:noProof/>
                <w:szCs w:val="24"/>
                <w:lang w:val="fr-FR"/>
              </w:rPr>
              <w:t>Nombre d’élèves</w:t>
            </w:r>
          </w:p>
        </w:tc>
        <w:tc>
          <w:tcPr>
            <w:tcW w:w="1939" w:type="dxa"/>
          </w:tcPr>
          <w:p w:rsidR="00000000" w:rsidRDefault="00000000">
            <w:pPr>
              <w:spacing w:before="60" w:after="60"/>
              <w:jc w:val="center"/>
              <w:rPr>
                <w:noProof/>
                <w:szCs w:val="24"/>
                <w:lang w:val="fr-FR"/>
              </w:rPr>
            </w:pPr>
            <w:r>
              <w:rPr>
                <w:bCs/>
                <w:noProof/>
                <w:szCs w:val="24"/>
                <w:lang w:val="fr-FR"/>
              </w:rPr>
              <w:t>Nombre d’élèves</w:t>
            </w:r>
          </w:p>
        </w:tc>
      </w:tr>
      <w:tr w:rsidR="00000000">
        <w:trPr>
          <w:trHeight w:val="142"/>
        </w:trPr>
        <w:tc>
          <w:tcPr>
            <w:tcW w:w="5529" w:type="dxa"/>
          </w:tcPr>
          <w:p w:rsidR="00000000" w:rsidRDefault="00000000">
            <w:pPr>
              <w:spacing w:before="60" w:after="60"/>
              <w:rPr>
                <w:noProof/>
                <w:szCs w:val="24"/>
                <w:lang w:val="fr-FR"/>
              </w:rPr>
            </w:pPr>
            <w:r>
              <w:rPr>
                <w:noProof/>
                <w:szCs w:val="24"/>
                <w:lang w:val="fr-FR"/>
              </w:rPr>
              <w:t>Élèves transférés dans:</w:t>
            </w:r>
          </w:p>
        </w:tc>
        <w:tc>
          <w:tcPr>
            <w:tcW w:w="1939" w:type="dxa"/>
            <w:vAlign w:val="bottom"/>
          </w:tcPr>
          <w:p w:rsidR="00000000" w:rsidRDefault="00000000">
            <w:pPr>
              <w:spacing w:before="60" w:after="60"/>
              <w:jc w:val="right"/>
              <w:rPr>
                <w:noProof/>
                <w:szCs w:val="24"/>
                <w:lang w:val="fr-FR"/>
              </w:rPr>
            </w:pPr>
          </w:p>
        </w:tc>
        <w:tc>
          <w:tcPr>
            <w:tcW w:w="1939" w:type="dxa"/>
            <w:vAlign w:val="bottom"/>
          </w:tcPr>
          <w:p w:rsidR="00000000" w:rsidRDefault="00000000">
            <w:pPr>
              <w:spacing w:before="60" w:after="60"/>
              <w:jc w:val="right"/>
              <w:rPr>
                <w:noProof/>
                <w:szCs w:val="24"/>
                <w:lang w:val="fr-FR"/>
              </w:rPr>
            </w:pP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une autre école publique de jour</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30 398</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33 728</w:t>
            </w:r>
          </w:p>
        </w:tc>
      </w:tr>
      <w:tr w:rsidR="00000000">
        <w:trPr>
          <w:trHeight w:val="178"/>
        </w:trPr>
        <w:tc>
          <w:tcPr>
            <w:tcW w:w="5529" w:type="dxa"/>
          </w:tcPr>
          <w:p w:rsidR="00000000" w:rsidRDefault="00000000">
            <w:pPr>
              <w:spacing w:before="60" w:after="60"/>
              <w:ind w:left="284"/>
              <w:rPr>
                <w:noProof/>
                <w:szCs w:val="24"/>
                <w:lang w:val="fr-FR"/>
              </w:rPr>
            </w:pPr>
            <w:r>
              <w:rPr>
                <w:noProof/>
                <w:szCs w:val="24"/>
                <w:lang w:val="fr-FR"/>
              </w:rPr>
              <w:t>une autre école privée de jour</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2 879</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3 769</w:t>
            </w: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une autre école du soir</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955</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735</w:t>
            </w:r>
          </w:p>
        </w:tc>
      </w:tr>
      <w:tr w:rsidR="00000000">
        <w:trPr>
          <w:trHeight w:val="86"/>
        </w:trPr>
        <w:tc>
          <w:tcPr>
            <w:tcW w:w="5529" w:type="dxa"/>
          </w:tcPr>
          <w:p w:rsidR="00000000" w:rsidRDefault="00000000">
            <w:pPr>
              <w:spacing w:before="60" w:after="60"/>
              <w:ind w:left="284"/>
              <w:rPr>
                <w:noProof/>
                <w:szCs w:val="24"/>
                <w:lang w:val="fr-FR"/>
              </w:rPr>
            </w:pPr>
            <w:r>
              <w:rPr>
                <w:noProof/>
                <w:szCs w:val="24"/>
                <w:lang w:val="fr-FR"/>
              </w:rPr>
              <w:t xml:space="preserve">une école d’enseignement primaire professionnel –général </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557</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575</w:t>
            </w:r>
          </w:p>
        </w:tc>
      </w:tr>
      <w:tr w:rsidR="00000000">
        <w:trPr>
          <w:trHeight w:val="103"/>
        </w:trPr>
        <w:tc>
          <w:tcPr>
            <w:tcW w:w="5529" w:type="dxa"/>
          </w:tcPr>
          <w:p w:rsidR="00000000" w:rsidRDefault="00000000">
            <w:pPr>
              <w:spacing w:before="60" w:after="60"/>
              <w:ind w:left="284"/>
              <w:rPr>
                <w:noProof/>
                <w:szCs w:val="24"/>
                <w:lang w:val="fr-FR"/>
              </w:rPr>
            </w:pPr>
            <w:r>
              <w:rPr>
                <w:noProof/>
                <w:szCs w:val="24"/>
                <w:lang w:val="fr-FR"/>
              </w:rPr>
              <w:t>une école d’enseignement primaire professionnel – non général</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198</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283</w:t>
            </w:r>
          </w:p>
        </w:tc>
      </w:tr>
      <w:tr w:rsidR="00000000">
        <w:trPr>
          <w:trHeight w:val="122"/>
        </w:trPr>
        <w:tc>
          <w:tcPr>
            <w:tcW w:w="5529" w:type="dxa"/>
          </w:tcPr>
          <w:p w:rsidR="00000000" w:rsidRDefault="00000000">
            <w:pPr>
              <w:spacing w:before="60" w:after="60"/>
              <w:ind w:left="284"/>
              <w:rPr>
                <w:noProof/>
                <w:szCs w:val="24"/>
                <w:lang w:val="fr-FR"/>
              </w:rPr>
            </w:pPr>
            <w:r>
              <w:rPr>
                <w:noProof/>
                <w:szCs w:val="24"/>
                <w:lang w:val="fr-FR"/>
              </w:rPr>
              <w:t>une école secondaire d’enseignement professionnel</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1 653</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1 910</w:t>
            </w:r>
          </w:p>
        </w:tc>
      </w:tr>
      <w:tr w:rsidR="00000000">
        <w:trPr>
          <w:trHeight w:val="154"/>
        </w:trPr>
        <w:tc>
          <w:tcPr>
            <w:tcW w:w="5529" w:type="dxa"/>
          </w:tcPr>
          <w:p w:rsidR="00000000" w:rsidRDefault="00000000">
            <w:pPr>
              <w:spacing w:before="60" w:after="60"/>
              <w:ind w:left="284"/>
              <w:rPr>
                <w:noProof/>
                <w:szCs w:val="24"/>
                <w:lang w:val="fr-FR"/>
              </w:rPr>
            </w:pPr>
            <w:r>
              <w:rPr>
                <w:noProof/>
                <w:szCs w:val="24"/>
                <w:lang w:val="fr-FR"/>
              </w:rPr>
              <w:t>une école d’enseignement spécialisé – institution d’éducation</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294</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270</w:t>
            </w:r>
          </w:p>
        </w:tc>
      </w:tr>
      <w:tr w:rsidR="00000000">
        <w:trPr>
          <w:trHeight w:val="75"/>
        </w:trPr>
        <w:tc>
          <w:tcPr>
            <w:tcW w:w="5529" w:type="dxa"/>
          </w:tcPr>
          <w:p w:rsidR="00000000" w:rsidRDefault="00000000">
            <w:pPr>
              <w:spacing w:before="60" w:after="60"/>
              <w:rPr>
                <w:noProof/>
                <w:szCs w:val="24"/>
                <w:lang w:val="fr-FR"/>
              </w:rPr>
            </w:pPr>
            <w:r>
              <w:rPr>
                <w:noProof/>
                <w:szCs w:val="24"/>
                <w:lang w:val="fr-FR"/>
              </w:rPr>
              <w:t>Raisons de l’abandon scolaire:</w:t>
            </w:r>
          </w:p>
        </w:tc>
        <w:tc>
          <w:tcPr>
            <w:tcW w:w="1939" w:type="dxa"/>
            <w:tcMar>
              <w:right w:w="680" w:type="dxa"/>
            </w:tcMar>
            <w:vAlign w:val="bottom"/>
          </w:tcPr>
          <w:p w:rsidR="00000000" w:rsidRDefault="00000000">
            <w:pPr>
              <w:spacing w:before="60" w:after="60"/>
              <w:jc w:val="right"/>
              <w:rPr>
                <w:noProof/>
                <w:szCs w:val="24"/>
                <w:lang w:val="fr-FR"/>
              </w:rPr>
            </w:pPr>
          </w:p>
        </w:tc>
        <w:tc>
          <w:tcPr>
            <w:tcW w:w="1939" w:type="dxa"/>
            <w:tcMar>
              <w:right w:w="680" w:type="dxa"/>
            </w:tcMar>
            <w:vAlign w:val="bottom"/>
          </w:tcPr>
          <w:p w:rsidR="00000000" w:rsidRDefault="00000000">
            <w:pPr>
              <w:spacing w:before="60" w:after="60"/>
              <w:jc w:val="right"/>
              <w:rPr>
                <w:noProof/>
                <w:szCs w:val="24"/>
                <w:lang w:val="fr-FR"/>
              </w:rPr>
            </w:pP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Maladie</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336</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287</w:t>
            </w: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Décès</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441</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150</w:t>
            </w: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Départ à l’étranger</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2 977</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2 817</w:t>
            </w: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Abandon</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960</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853</w:t>
            </w: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Emploi</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1 401</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1 338</w:t>
            </w:r>
          </w:p>
        </w:tc>
      </w:tr>
      <w:tr w:rsidR="00000000">
        <w:trPr>
          <w:trHeight w:val="75"/>
        </w:trPr>
        <w:tc>
          <w:tcPr>
            <w:tcW w:w="5529" w:type="dxa"/>
          </w:tcPr>
          <w:p w:rsidR="00000000" w:rsidRDefault="00000000">
            <w:pPr>
              <w:spacing w:before="60" w:after="60"/>
              <w:ind w:left="284"/>
              <w:rPr>
                <w:noProof/>
                <w:szCs w:val="24"/>
                <w:lang w:val="fr-FR"/>
              </w:rPr>
            </w:pPr>
            <w:r>
              <w:rPr>
                <w:noProof/>
                <w:szCs w:val="24"/>
                <w:lang w:val="fr-FR"/>
              </w:rPr>
              <w:t>Mariage</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532</w:t>
            </w:r>
          </w:p>
        </w:tc>
        <w:tc>
          <w:tcPr>
            <w:tcW w:w="1939" w:type="dxa"/>
            <w:tcMar>
              <w:right w:w="680" w:type="dxa"/>
            </w:tcMar>
            <w:vAlign w:val="bottom"/>
          </w:tcPr>
          <w:p w:rsidR="00000000" w:rsidRDefault="00000000">
            <w:pPr>
              <w:spacing w:before="60" w:after="60"/>
              <w:jc w:val="right"/>
              <w:rPr>
                <w:noProof/>
                <w:szCs w:val="24"/>
                <w:lang w:val="fr-FR"/>
              </w:rPr>
            </w:pPr>
            <w:r>
              <w:rPr>
                <w:noProof/>
                <w:szCs w:val="24"/>
                <w:lang w:val="fr-FR"/>
              </w:rPr>
              <w:t>560</w:t>
            </w:r>
          </w:p>
        </w:tc>
      </w:tr>
    </w:tbl>
    <w:p w:rsidR="00000000" w:rsidRDefault="00000000">
      <w:pPr>
        <w:spacing w:before="240" w:after="240"/>
        <w:rPr>
          <w:i/>
          <w:noProof/>
          <w:szCs w:val="24"/>
          <w:lang w:val="fr-FR"/>
        </w:rPr>
      </w:pPr>
      <w:r>
        <w:rPr>
          <w:bCs/>
          <w:i/>
          <w:noProof/>
          <w:szCs w:val="24"/>
          <w:lang w:val="fr-FR"/>
        </w:rPr>
        <w:tab/>
        <w:t>Source</w:t>
      </w:r>
      <w:r>
        <w:rPr>
          <w:bCs/>
          <w:iCs/>
          <w:noProof/>
          <w:szCs w:val="24"/>
          <w:lang w:val="fr-FR"/>
        </w:rPr>
        <w:t>: Ministère de l’éducation et des sciences.</w:t>
      </w:r>
    </w:p>
    <w:p w:rsidR="00000000" w:rsidRDefault="00000000">
      <w:pPr>
        <w:keepNext/>
        <w:spacing w:after="240"/>
        <w:jc w:val="center"/>
        <w:rPr>
          <w:b/>
          <w:bCs/>
        </w:rPr>
      </w:pPr>
      <w:r>
        <w:rPr>
          <w:b/>
          <w:bCs/>
        </w:rPr>
        <w:t>IX.  MESURES DE PROTECTION SPÉCIALES</w:t>
      </w:r>
    </w:p>
    <w:p w:rsidR="00000000" w:rsidRDefault="00000000">
      <w:pPr>
        <w:keepNext/>
        <w:spacing w:after="240"/>
        <w:jc w:val="center"/>
        <w:rPr>
          <w:b/>
          <w:bCs/>
        </w:rPr>
      </w:pPr>
      <w:r>
        <w:rPr>
          <w:b/>
          <w:bCs/>
        </w:rPr>
        <w:t>A.  Enfants en situation d’urgence</w:t>
      </w:r>
    </w:p>
    <w:p w:rsidR="00000000" w:rsidRDefault="00000000">
      <w:pPr>
        <w:keepNext/>
        <w:spacing w:after="240"/>
        <w:rPr>
          <w:b/>
          <w:bCs/>
        </w:rPr>
      </w:pPr>
      <w:r>
        <w:rPr>
          <w:b/>
          <w:bCs/>
        </w:rPr>
        <w:t>1.</w:t>
      </w:r>
      <w:r>
        <w:rPr>
          <w:b/>
          <w:bCs/>
        </w:rPr>
        <w:tab/>
        <w:t>Enfants réfugiés et enfants déplacés dans leur propre pays</w:t>
      </w:r>
    </w:p>
    <w:p w:rsidR="00000000" w:rsidRDefault="00000000">
      <w:pPr>
        <w:spacing w:after="240"/>
      </w:pPr>
      <w:r>
        <w:t>226.</w:t>
      </w:r>
      <w:r>
        <w:tab/>
        <w:t xml:space="preserve">Dans ses observations finales, le Comité réitère les recommandations qu’il a faites à la suite de l’examen du rapport initial. De plus, il invite instamment l’État partie à accorder une attention particulière à la situation des enfants déplacés à l’intérieur du pays et à leur famille, tout en continuant à défendre leur droit de rentrer chez eux de leur plein gré dans la sécurité et la dignité. Il recommande en outre à l’État partie de modifier la loi de 1998 sur les réfugiés et les règlements connexes afin de respecter pleinement les engagements pris en vertu de la Convention relative au statut des réfugiés de 1951 et du Protocole y relatif de 1967 en conférant un statut juridique clair aux réfugiés présumés. </w:t>
      </w:r>
    </w:p>
    <w:p w:rsidR="00000000" w:rsidRDefault="00000000">
      <w:pPr>
        <w:spacing w:after="240"/>
      </w:pPr>
      <w:r>
        <w:t>227.</w:t>
      </w:r>
      <w:r>
        <w:tab/>
        <w:t xml:space="preserve">La Géorgie continue de mettre l’accent sur le droit inaliénable des personnes déplacées à l’intérieur du pays et des réfugiés de retourner chez eux dans la sécurité et la dignité. Pendant la période considérée, aucune disposition concrète n’a été prise pour engager le processus de retour organisé, en raison de la position </w:t>
      </w:r>
      <w:proofErr w:type="spellStart"/>
      <w:r>
        <w:t>contre</w:t>
      </w:r>
      <w:r>
        <w:noBreakHyphen/>
        <w:t>productive</w:t>
      </w:r>
      <w:proofErr w:type="spellEnd"/>
      <w:r>
        <w:t xml:space="preserve"> des régimes séparatistes des régions sécessionnistes, à savoir l’Abkhazie et l’Ossétie du Sud. Dans sa résolution 1716 du 13 octobre 2006, le Conseil de sécurité a mis particulièrement l’accent sur ces problèmes en engageant les dirigeants </w:t>
      </w:r>
      <w:proofErr w:type="spellStart"/>
      <w:r>
        <w:t>abkhazes</w:t>
      </w:r>
      <w:proofErr w:type="spellEnd"/>
      <w:r>
        <w:t xml:space="preserve"> à prendre véritablement en compte la nécessité d’un retour dans la dignité des personnes déplacées et des réfugiés, notamment en ce qui concerne leurs préoccupations en matière de sécurité et de droits de l’homme, et à donner publiquement à la population locale, en particulier dans le district de </w:t>
      </w:r>
      <w:proofErr w:type="spellStart"/>
      <w:r>
        <w:t>Gali</w:t>
      </w:r>
      <w:proofErr w:type="spellEnd"/>
      <w:r>
        <w:t xml:space="preserve">, l’assurance que son droit de résidence et son identité seraient respectés. D’autre part, le Conseil a demandé instamment à l’une et l’autre partie d’établir sans retard la version définitive de l’ensemble de documents traitant, notamment, de la question du retour des réfugiés et des personnes déplacées dans le district de </w:t>
      </w:r>
      <w:proofErr w:type="spellStart"/>
      <w:r>
        <w:t>Gali</w:t>
      </w:r>
      <w:proofErr w:type="spellEnd"/>
      <w:r>
        <w:t xml:space="preserve">, et de prendre les mesures nécessaires pour assurer la protection et la dignité de la population civile, y compris les rapatriés. </w:t>
      </w:r>
    </w:p>
    <w:p w:rsidR="00000000" w:rsidRDefault="00000000">
      <w:pPr>
        <w:spacing w:after="240"/>
      </w:pPr>
      <w:r>
        <w:t>228.</w:t>
      </w:r>
      <w:r>
        <w:tab/>
        <w:t xml:space="preserve">Dans le même temps, le Gouvernement géorgien, de concert avec les organismes internationaux de secours humanitaire, fait de son mieux pour répondre aux besoins des personnes déplacées dans toute la Géorgie afin qu’elles puissent retrouver leur place au sein de la société. À cet égard, une attention particulière est portée aux enfants des familles déplacées. </w:t>
      </w:r>
    </w:p>
    <w:p w:rsidR="00000000" w:rsidRDefault="00000000">
      <w:pPr>
        <w:spacing w:after="240"/>
      </w:pPr>
      <w:r>
        <w:t>229.</w:t>
      </w:r>
      <w:r>
        <w:tab/>
        <w:t xml:space="preserve">Par exemple, au cours du seul été 2005, l’État a pris en charge les vacances de 440 enfants géorgiens dans des stations balnéaires de la mer Noire. Parmi eux, 322 enfants étaient issus de familles déplacées d’Abkhazie et 88 de familles de la région de </w:t>
      </w:r>
      <w:proofErr w:type="spellStart"/>
      <w:r>
        <w:t>Tskhinvali</w:t>
      </w:r>
      <w:proofErr w:type="spellEnd"/>
      <w:r>
        <w:t xml:space="preserve"> en Ossétie du Sud. D’autre part, en 2005, des allocations forfaitaires en espèces ont été versées aux orphelins et aux mères d’enfants nombreux appartenant à des groupes de personnes déplacées. </w:t>
      </w:r>
    </w:p>
    <w:p w:rsidR="00000000" w:rsidRDefault="00000000">
      <w:pPr>
        <w:keepNext/>
        <w:tabs>
          <w:tab w:val="left" w:pos="2997"/>
        </w:tabs>
        <w:spacing w:after="240"/>
        <w:rPr>
          <w:b/>
          <w:bCs/>
        </w:rPr>
      </w:pPr>
      <w:r>
        <w:rPr>
          <w:b/>
          <w:bCs/>
        </w:rPr>
        <w:t>Relèvement économique</w:t>
      </w:r>
    </w:p>
    <w:p w:rsidR="00000000" w:rsidRDefault="00000000">
      <w:pPr>
        <w:spacing w:after="240"/>
      </w:pPr>
      <w:r>
        <w:t>230.</w:t>
      </w:r>
      <w:r>
        <w:tab/>
        <w:t>La Géorgie commence à mettre en œuvre des projets de relèvement économique visant à appuyer aussi bien le processus de règlement pacifique que le retour des personnes déplacées et des réfugiés.</w:t>
      </w:r>
    </w:p>
    <w:p w:rsidR="00000000" w:rsidRDefault="00000000">
      <w:pPr>
        <w:spacing w:after="240"/>
      </w:pPr>
      <w:r>
        <w:t>231.</w:t>
      </w:r>
      <w:r>
        <w:tab/>
        <w:t xml:space="preserve">À cet égard, les efforts de l’OSCE ainsi que des partenaires de la Géorgie (pays d’Europe et </w:t>
      </w:r>
      <w:proofErr w:type="spellStart"/>
      <w:r>
        <w:t>États</w:t>
      </w:r>
      <w:r>
        <w:noBreakHyphen/>
        <w:t>Unis</w:t>
      </w:r>
      <w:proofErr w:type="spellEnd"/>
      <w:r>
        <w:t xml:space="preserve">) pour promouvoir le relèvement économique de la région de </w:t>
      </w:r>
      <w:proofErr w:type="spellStart"/>
      <w:r>
        <w:t>Tskhinvali</w:t>
      </w:r>
      <w:proofErr w:type="spellEnd"/>
      <w:r>
        <w:t xml:space="preserve"> méritent une mention particulière. La Conférence des donateurs qui s’est tenue à Bruxelles le 14 juin 2006 sous l’égide de l’OSCE devrait stimuler considérablement ce processus.</w:t>
      </w:r>
    </w:p>
    <w:p w:rsidR="00000000" w:rsidRDefault="00000000">
      <w:pPr>
        <w:spacing w:after="240"/>
      </w:pPr>
      <w:r>
        <w:t>232.</w:t>
      </w:r>
      <w:r>
        <w:tab/>
        <w:t>La Conférence a permis de recueillir l’équivalent d’environ 7,9 millions d’</w:t>
      </w:r>
      <w:proofErr w:type="spellStart"/>
      <w:r>
        <w:t>euros</w:t>
      </w:r>
      <w:proofErr w:type="spellEnd"/>
      <w:r>
        <w:t xml:space="preserve"> pour financer une série de projets destinés au relèvement social et économique de la région que toutes les parties ont approuvé. Le Premier Ministre géorgien a confirmé que le pays était disposé à consacrer des fonds équivalant au montant de l’assistance fournie par les donateurs au relèvement économique de la région.</w:t>
      </w:r>
    </w:p>
    <w:p w:rsidR="00000000" w:rsidRDefault="00000000">
      <w:pPr>
        <w:keepNext/>
        <w:spacing w:after="240"/>
      </w:pPr>
      <w:r>
        <w:t>233.</w:t>
      </w:r>
      <w:r>
        <w:tab/>
        <w:t>Pour ce qui est des questions juridiques mentionnées dans les observations finales du Comité, il y a lieu de noter que, selon le Ministère de la justice, après que la Géorgie eut adhéré à la Convention relative au statut des réfugiés de 1951 et à son Protocole de 1967, plusieurs changements ont été apportés à la loi sur les réfugiés, en particulier:</w:t>
      </w:r>
    </w:p>
    <w:p w:rsidR="00000000" w:rsidRDefault="00000000">
      <w:pPr>
        <w:numPr>
          <w:ilvl w:val="0"/>
          <w:numId w:val="153"/>
        </w:numPr>
        <w:spacing w:after="240"/>
      </w:pPr>
      <w:r>
        <w:t>Aux termes de l’article 2 de la loi, le statut de réfugié ne peut être accordé à une personne qui n’est pas considérée comme telle en vertu de la Convention relative au statut des réfugiés et de son Protocole de 1967;</w:t>
      </w:r>
    </w:p>
    <w:p w:rsidR="00000000" w:rsidRDefault="00000000">
      <w:pPr>
        <w:numPr>
          <w:ilvl w:val="0"/>
          <w:numId w:val="153"/>
        </w:numPr>
        <w:spacing w:after="240"/>
      </w:pPr>
      <w:r>
        <w:t>Aux termes de l’article 4 de la loi, le Ministère des réfugiés et de l’hébergement des réfugiés se prononce sur l’octroi du statut de réfugié dans les quatre mois suivant l’enregistrement de la demande faite par une personne. Conformément au même article, une personne à qui le statut de réfugié a été accordé a l’obligation de se déclarer chaque année au Ministère des réfugiés et de l’hébergement, qui établit les procédures appropriées;</w:t>
      </w:r>
    </w:p>
    <w:p w:rsidR="00000000" w:rsidRDefault="00000000">
      <w:pPr>
        <w:numPr>
          <w:ilvl w:val="0"/>
          <w:numId w:val="153"/>
        </w:numPr>
        <w:spacing w:after="240"/>
      </w:pPr>
      <w:r>
        <w:t>Un recours peut être exercé devant les tribunaux, conformément à la loi, contre tout refus par le Ministère de l’octroi du statut de réfugié;</w:t>
      </w:r>
    </w:p>
    <w:p w:rsidR="00000000" w:rsidRDefault="00000000">
      <w:pPr>
        <w:numPr>
          <w:ilvl w:val="0"/>
          <w:numId w:val="153"/>
        </w:numPr>
        <w:spacing w:after="240"/>
      </w:pPr>
      <w:r>
        <w:t>Conformément à l’article 9 de la loi, les décisions concernant la privation du statut de réfugié ou la suspension de ce statut sont prises par le Ministère des réfugiés et de l’hébergement; un recours peut être exercé contre une décision de cette nature devant les tribunaux dans un délai d’un mois conformément à la loi.</w:t>
      </w:r>
    </w:p>
    <w:p w:rsidR="00000000" w:rsidRDefault="00000000">
      <w:pPr>
        <w:spacing w:after="240"/>
      </w:pPr>
      <w:r>
        <w:t>234.</w:t>
      </w:r>
      <w:r>
        <w:tab/>
        <w:t xml:space="preserve">En 2006, le Ministère des réfugiés et de l’hébergement a élaboré un projet de stratégie nationale pour les personnes déplacées en Géorgie, qui vise à atteindre deux objectifs principaux: a) instaurer les conditions requises pour que les personnes déplacées puissent vivre dignement et s’intégrer dans la société géorgienne et b) créer les conditions nécessaires pour qu’elles puissent retourner chez elles de leur plein gré, dans la dignité et la sécurité. Ces objectifs doivent être atteints grâce à un ensemble d’activités et de mesures qui sont indiquées dans la stratégie et présentées plus en détail dans le plan d’action accompagnant </w:t>
      </w:r>
      <w:proofErr w:type="spellStart"/>
      <w:r>
        <w:t>celle</w:t>
      </w:r>
      <w:r>
        <w:noBreakHyphen/>
        <w:t>ci</w:t>
      </w:r>
      <w:proofErr w:type="spellEnd"/>
      <w:r>
        <w:t>.</w:t>
      </w:r>
    </w:p>
    <w:p w:rsidR="00000000" w:rsidRDefault="00000000">
      <w:pPr>
        <w:spacing w:after="240"/>
      </w:pPr>
      <w:r>
        <w:t>235.</w:t>
      </w:r>
      <w:r>
        <w:tab/>
        <w:t>La stratégie en question doit être approuvée par le Gouvernement géorgien et sera appliquée par tous les organismes publics compétents aussi bien au niveau national que local.</w:t>
      </w:r>
    </w:p>
    <w:p w:rsidR="00000000" w:rsidRDefault="00000000">
      <w:pPr>
        <w:spacing w:after="240"/>
      </w:pPr>
      <w:r>
        <w:t>236.</w:t>
      </w:r>
      <w:r>
        <w:tab/>
        <w:t>Par ailleurs, il convient de noter que le Ministère des réfugiés et de l’hébergement a élaboré un projet de décret gouvernemental sur la délivrance des documents de voyage aux réfugiés. Ce texte est actuellement examiné sous l’angle juridique par les instances compétentes de l’État.</w:t>
      </w:r>
    </w:p>
    <w:p w:rsidR="00000000" w:rsidRDefault="00000000">
      <w:pPr>
        <w:keepNext/>
        <w:spacing w:after="240"/>
        <w:jc w:val="center"/>
        <w:rPr>
          <w:b/>
          <w:bCs/>
        </w:rPr>
      </w:pPr>
      <w:r>
        <w:rPr>
          <w:b/>
          <w:bCs/>
        </w:rPr>
        <w:t>B.  Enfants en situation d’exploitation</w:t>
      </w:r>
    </w:p>
    <w:p w:rsidR="00000000" w:rsidRDefault="00000000">
      <w:pPr>
        <w:keepNext/>
        <w:spacing w:after="240"/>
      </w:pPr>
      <w:r>
        <w:rPr>
          <w:b/>
          <w:bCs/>
        </w:rPr>
        <w:t>1.</w:t>
      </w:r>
      <w:r>
        <w:rPr>
          <w:b/>
          <w:bCs/>
        </w:rPr>
        <w:tab/>
        <w:t>Exploitation économique, notamment travail des enfants (art. 32)</w:t>
      </w:r>
    </w:p>
    <w:p w:rsidR="00000000" w:rsidRDefault="00000000">
      <w:pPr>
        <w:keepNext/>
        <w:spacing w:after="240"/>
      </w:pPr>
      <w:r>
        <w:t>237.</w:t>
      </w:r>
      <w:r>
        <w:tab/>
        <w:t xml:space="preserve">Dans ses observations finales, le Comité recommande à l’État partie, conformément à l’article 32 de la Convention, ainsi qu’aux Conventions de l’OIT </w:t>
      </w:r>
      <w:r>
        <w:rPr>
          <w:rFonts w:eastAsia="MS Mincho"/>
        </w:rPr>
        <w:t>n</w:t>
      </w:r>
      <w:r>
        <w:rPr>
          <w:rFonts w:eastAsia="MS Mincho"/>
          <w:vertAlign w:val="superscript"/>
        </w:rPr>
        <w:t>os</w:t>
      </w:r>
      <w:r>
        <w:t> 138 (concernant l’âge minimum d’admission à l’emploi) et 182, que l’État partie a ratifiées:</w:t>
      </w:r>
    </w:p>
    <w:p w:rsidR="00000000" w:rsidRDefault="00000000">
      <w:pPr>
        <w:spacing w:after="240"/>
      </w:pPr>
      <w:r>
        <w:tab/>
        <w:t>a)</w:t>
      </w:r>
      <w:r>
        <w:tab/>
        <w:t>De prendre des mesures pour assurer l’application de l’article 32 de la Convention, ainsi que des Conventions n</w:t>
      </w:r>
      <w:r>
        <w:rPr>
          <w:vertAlign w:val="superscript"/>
        </w:rPr>
        <w:t>os</w:t>
      </w:r>
      <w:r>
        <w:t xml:space="preserve"> 138 et 182, en tenant dûment compte des recommandations de l’OIT </w:t>
      </w:r>
      <w:r>
        <w:rPr>
          <w:rFonts w:eastAsia="MS Mincho"/>
        </w:rPr>
        <w:t>n</w:t>
      </w:r>
      <w:r>
        <w:rPr>
          <w:rFonts w:eastAsia="MS Mincho"/>
          <w:vertAlign w:val="superscript"/>
        </w:rPr>
        <w:t>os</w:t>
      </w:r>
      <w:r>
        <w:t> 146 concernant l’âge minimum d’admission à l’emploi, de 1973, et 190 concernant l’interdiction des pires formes de travail des enfants, de 1999;</w:t>
      </w:r>
    </w:p>
    <w:p w:rsidR="00000000" w:rsidRDefault="00000000">
      <w:pPr>
        <w:spacing w:after="240"/>
      </w:pPr>
      <w:r>
        <w:tab/>
        <w:t>b)</w:t>
      </w:r>
      <w:r>
        <w:tab/>
        <w:t xml:space="preserve">De poursuivre sa coopération avec le Programme international pour l’abolition du travail des enfants, et de renforcer sa coopération avec les ONG travaillant dans ce domaine et son soutien à </w:t>
      </w:r>
      <w:proofErr w:type="spellStart"/>
      <w:r>
        <w:t>celles</w:t>
      </w:r>
      <w:r>
        <w:noBreakHyphen/>
        <w:t>ci</w:t>
      </w:r>
      <w:proofErr w:type="spellEnd"/>
      <w:r>
        <w:t>.</w:t>
      </w:r>
    </w:p>
    <w:p w:rsidR="00000000" w:rsidRDefault="00000000">
      <w:pPr>
        <w:spacing w:after="240"/>
      </w:pPr>
      <w:r>
        <w:t>238.</w:t>
      </w:r>
      <w:r>
        <w:tab/>
        <w:t xml:space="preserve">On notera à cet égard que la Géorgie a accédé à la Convention </w:t>
      </w:r>
      <w:r>
        <w:rPr>
          <w:rFonts w:eastAsia="MS Mincho"/>
        </w:rPr>
        <w:t>n</w:t>
      </w:r>
      <w:r>
        <w:rPr>
          <w:rFonts w:eastAsia="MS Mincho"/>
          <w:vertAlign w:val="superscript"/>
        </w:rPr>
        <w:t>o</w:t>
      </w:r>
      <w:r>
        <w:t> 182 de l’OIT le 18 mai 2002. Des renseignements détaillés sur cette question ont été communiqués dans le rapport sur l’application de cette Convention par la Géorgie présenté en septembre 2006, conformément à l’article 22 de la Charte de l’OIT.</w:t>
      </w:r>
    </w:p>
    <w:p w:rsidR="00000000" w:rsidRDefault="00000000">
      <w:pPr>
        <w:spacing w:after="240"/>
      </w:pPr>
      <w:r>
        <w:t>239.</w:t>
      </w:r>
      <w:r>
        <w:tab/>
        <w:t>Les dispositions des Conventions de l’OIT précitées sont prises en compte dans la législation géorgienne sur le travail, à savoir le Code du travail que le Parlement a adopté le 25 mai 2006.</w:t>
      </w:r>
    </w:p>
    <w:p w:rsidR="00000000" w:rsidRDefault="00000000">
      <w:pPr>
        <w:spacing w:after="240"/>
      </w:pPr>
      <w:r>
        <w:t>240.</w:t>
      </w:r>
      <w:r>
        <w:tab/>
        <w:t>D’après le Ministère du travail, de la santé et des affaires sociales, le nouveau Code du travail est entré en vigueur en juillet 2006. En application de son article 4, une personne physique est habilitée à travailler à l’âge de 16 ans; le travail d’une personne de moins de 16 ans est subordonné au consentement de son représentant légal ou de l’organisme de garde ou de tutelle, à condition que le travail à accomplir n’aille pas à l’encontre de l’intérêt du mineur, ne porte pas préjudice à son épanouissement moral, physique ou mental et ne limite pas en quoi que ce soit son droit et sa capacité de recevoir une instruction primaire et de base, laquelle est obligatoire. Il n’est permis d’engager un mineur âgé de moins de 14 ans que pour un travail lié à une activité sportive, artistique ou culturelle, ou pour des campagnes de publicité.</w:t>
      </w:r>
    </w:p>
    <w:p w:rsidR="00000000" w:rsidRDefault="00000000">
      <w:pPr>
        <w:spacing w:after="240"/>
      </w:pPr>
      <w:r>
        <w:t>241.</w:t>
      </w:r>
      <w:r>
        <w:tab/>
        <w:t>En vertu du paragraphe 5 de l’article 4 du nouveau Code du travail, il est interdit d’employer des personnes n’ayant pas atteint l’âge requis d’admission à l’emploi dans des conditions pénibles, nocives ou dangereuses. Le paragraphe 4 du même article interdit d’employer de telles personnes dans le secteur du jeu, dans des établissements de divertissement nocturne, dans des productions à caractère érotique ou pornographique, ainsi que dans le cadre de la fabrication, du transport ou de la vente de produits pharmaceutiques ou de substances toxiques.</w:t>
      </w:r>
    </w:p>
    <w:p w:rsidR="00000000" w:rsidRDefault="00000000">
      <w:pPr>
        <w:spacing w:after="240"/>
      </w:pPr>
      <w:r>
        <w:t>242.</w:t>
      </w:r>
      <w:r>
        <w:tab/>
        <w:t>À l’heure actuelle, il n’existe pas de registre des formes de travail dangereuses en Géorgie et il s’avère donc impossible de déterminer où des activités de cette sorte ont lieu. Pour remédier à ce problème, un document intitulé «Liste des emplois pénibles, nocifs ou dangereux» a été élaboré et adressé pour approbation aux syndicats et aux organisations patronales. Au terme de cette procédure, la liste sera adoptée par le Ministère du travail, de la santé et des affaires sociales, dans un délai de quatre mois à compter de l’approbation du Code du travail, conformément au paragraphe 1 b) de l’article 54 du Code.</w:t>
      </w:r>
    </w:p>
    <w:p w:rsidR="00000000" w:rsidRDefault="00000000">
      <w:pPr>
        <w:spacing w:after="240"/>
      </w:pPr>
      <w:r>
        <w:t>243.</w:t>
      </w:r>
      <w:r>
        <w:tab/>
        <w:t xml:space="preserve">Conformément à l’article 18 du Code du travail, il est interdit de faire </w:t>
      </w:r>
      <w:proofErr w:type="spellStart"/>
      <w:r>
        <w:t>faire</w:t>
      </w:r>
      <w:proofErr w:type="spellEnd"/>
      <w:r>
        <w:t xml:space="preserve"> à une personne n’ayant pas l’âge légal un travail de nuit (de 22 heures à 6 heures).</w:t>
      </w:r>
    </w:p>
    <w:p w:rsidR="00000000" w:rsidRDefault="00000000">
      <w:pPr>
        <w:spacing w:after="240"/>
      </w:pPr>
      <w:r>
        <w:t>244.</w:t>
      </w:r>
      <w:r>
        <w:tab/>
        <w:t>Le Service d’inspection du travail a été supprimé en Géorgie en 2006. Pour le moment, il n’existe donc aucune institution pour assurer au niveau de l’État la surveillance des violations des lois régissant les conditions de travail des enfants. Lorsqu’une infraction se produit, une plainte peut être déposée devant un tribunal. Les tribunaux sont autorisés à infliger des sanctions à l’employeur conformément à l’article 42</w:t>
      </w:r>
      <w:r>
        <w:noBreakHyphen/>
        <w:t xml:space="preserve">2 du Code des infractions administratives. </w:t>
      </w:r>
    </w:p>
    <w:p w:rsidR="00000000" w:rsidRDefault="00000000">
      <w:pPr>
        <w:keepNext/>
        <w:spacing w:after="240"/>
        <w:rPr>
          <w:b/>
          <w:bCs/>
        </w:rPr>
      </w:pPr>
      <w:r>
        <w:rPr>
          <w:b/>
          <w:bCs/>
        </w:rPr>
        <w:t>2.</w:t>
      </w:r>
      <w:r>
        <w:rPr>
          <w:b/>
          <w:bCs/>
        </w:rPr>
        <w:tab/>
        <w:t>Exploitation sexuelle/vente, traite et enlèvement (art. 34 et 35)</w:t>
      </w:r>
    </w:p>
    <w:p w:rsidR="00000000" w:rsidRDefault="00000000">
      <w:pPr>
        <w:keepNext/>
        <w:spacing w:after="240"/>
      </w:pPr>
      <w:r>
        <w:t>245.</w:t>
      </w:r>
      <w:r>
        <w:tab/>
        <w:t>Dans ses observations finales, le Comité recommande à l’État partie:</w:t>
      </w:r>
    </w:p>
    <w:p w:rsidR="00000000" w:rsidRDefault="00000000">
      <w:pPr>
        <w:spacing w:after="240"/>
        <w:ind w:firstLine="567"/>
      </w:pPr>
      <w:r>
        <w:t>a)</w:t>
      </w:r>
      <w:r>
        <w:tab/>
        <w:t>De prendre des mesures pour réduire et prévenir l’exploitation sexuelle et la traite, notamment en sensibilisant les professionnels et le grand public au problème des enfants victimes de sévices sexuels et de la traite, par des activités d’éducation, y compris des campagnes dans les médias;</w:t>
      </w:r>
    </w:p>
    <w:p w:rsidR="00000000" w:rsidRDefault="00000000">
      <w:pPr>
        <w:spacing w:after="240"/>
        <w:ind w:firstLine="567"/>
      </w:pPr>
      <w:r>
        <w:t>b)</w:t>
      </w:r>
      <w:r>
        <w:tab/>
        <w:t xml:space="preserve">D’accroître la protection accordée aux enfants victimes de l’exploitation sexuelle et de la traite, par des mesures de prévention et de réinsertion sociale, la garantie de l’accès aux soins de santé et à une prise en charge psychologique de manière coordonnée, y compris en renforçant la coopération avec les ONG compte tenu de la Déclaration, du Programme d’action et de l’Engagement global adoptés dans le cadre du Congrès mondial contre l’exploitation sexuelle des enfants à des fins commerciales en 1996 et en 2001; </w:t>
      </w:r>
    </w:p>
    <w:p w:rsidR="00000000" w:rsidRDefault="00000000">
      <w:pPr>
        <w:spacing w:after="240"/>
        <w:ind w:firstLine="567"/>
      </w:pPr>
      <w:r>
        <w:t>c)</w:t>
      </w:r>
      <w:r>
        <w:tab/>
        <w:t>De veiller à la mise en place d’un mécanisme confidentiel, accessible aux enfants et adapté à leurs besoins pour recevoir et traiter immédiatement les plaintes de tous les enfants, y compris ceux âgés de 15 à 18 ans;</w:t>
      </w:r>
    </w:p>
    <w:p w:rsidR="00000000" w:rsidRDefault="00000000">
      <w:pPr>
        <w:spacing w:after="240"/>
        <w:ind w:firstLine="567"/>
      </w:pPr>
      <w:r>
        <w:t>d)</w:t>
      </w:r>
      <w:r>
        <w:tab/>
        <w:t>De former les responsables de l’application des lois, les travailleurs sociaux et les magistrats quant à la manière dont ils doivent procéder pour recevoir les plaintes, y donner suite, ouvrir une enquête et engager des poursuites au sujet des cas présumés de violence sexuelle, d’une façon adaptée à la sensibilité des enfants;</w:t>
      </w:r>
    </w:p>
    <w:p w:rsidR="00000000" w:rsidRDefault="00000000">
      <w:pPr>
        <w:spacing w:after="240"/>
        <w:ind w:firstLine="567"/>
      </w:pPr>
      <w:r>
        <w:t>e)</w:t>
      </w:r>
      <w:r>
        <w:tab/>
        <w:t>De ratifier le Protocole facultatif à la Convention relative aux droits de l’enfant, concernant la vente d’enfants, la prostitution des enfants et la pornographie mettant en scène des enfants;</w:t>
      </w:r>
    </w:p>
    <w:p w:rsidR="00000000" w:rsidRDefault="00000000">
      <w:pPr>
        <w:spacing w:after="240"/>
        <w:ind w:firstLine="567"/>
      </w:pPr>
      <w:r>
        <w:t>f)</w:t>
      </w:r>
      <w:r>
        <w:tab/>
        <w:t>De demander une assistance technique, notamment à l’UNICEF.</w:t>
      </w:r>
    </w:p>
    <w:p w:rsidR="00000000" w:rsidRDefault="00000000">
      <w:pPr>
        <w:spacing w:after="240"/>
      </w:pPr>
      <w:r>
        <w:t>246.</w:t>
      </w:r>
      <w:r>
        <w:tab/>
        <w:t>D’après les renseignements communiqués par le Bureau du Procureur général, l’article 143</w:t>
      </w:r>
      <w:r>
        <w:noBreakHyphen/>
        <w:t>2 du Code pénal vise la traite des mineurs; le délit en question est passible de huit à douze ans d’emprisonnement.</w:t>
      </w:r>
    </w:p>
    <w:p w:rsidR="00000000" w:rsidRDefault="00000000">
      <w:pPr>
        <w:keepNext/>
        <w:spacing w:after="240"/>
      </w:pPr>
      <w:r>
        <w:t>247.</w:t>
      </w:r>
      <w:r>
        <w:tab/>
        <w:t>L’article 143</w:t>
      </w:r>
      <w:r>
        <w:noBreakHyphen/>
        <w:t>2 définit comme suit la traite des mineurs, qui constitue une infraction pénale:</w:t>
      </w:r>
    </w:p>
    <w:p w:rsidR="00000000" w:rsidRDefault="00000000">
      <w:pPr>
        <w:spacing w:after="240"/>
        <w:ind w:left="567" w:firstLine="567"/>
      </w:pPr>
      <w:r>
        <w:t>«L’achat ou la vente d’un mineur ou l’accomplissement de toute autre forme de transaction illicite, ainsi que le fait d’attirer, de loger, de cacher, de recruter, de transporter, de transférer, d’héberger ou de recevoir un mineur à des fins d’exploitation.».</w:t>
      </w:r>
    </w:p>
    <w:p w:rsidR="00000000" w:rsidRDefault="00000000">
      <w:pPr>
        <w:keepNext/>
        <w:spacing w:after="240"/>
      </w:pPr>
      <w:r>
        <w:t>248.</w:t>
      </w:r>
      <w:r>
        <w:tab/>
        <w:t>Le même article prévoit également des circonstances aggravantes suivantes:</w:t>
      </w:r>
    </w:p>
    <w:p w:rsidR="00000000" w:rsidRDefault="00000000">
      <w:pPr>
        <w:spacing w:after="240"/>
        <w:ind w:firstLine="567"/>
      </w:pPr>
      <w:r>
        <w:t>a)</w:t>
      </w:r>
      <w:r>
        <w:tab/>
        <w:t>Si la traite est commise: a) par abus d’autorité; b) à l’égard d’une personne dont on sait qu’elle se trouve dans une situation de vulnérabilité ou de dépendance matérielle ou autre à l’égard du coupable, la peine applicable est de onze à quinze ans d’emprisonnement.</w:t>
      </w:r>
    </w:p>
    <w:p w:rsidR="00000000" w:rsidRDefault="00000000">
      <w:pPr>
        <w:spacing w:after="240"/>
        <w:ind w:firstLine="567"/>
      </w:pPr>
      <w:r>
        <w:t>b)</w:t>
      </w:r>
      <w:r>
        <w:tab/>
        <w:t xml:space="preserve">Si la traite est commise: a) de façon répétée/à plusieurs reprises (infractions multiples); b) en usant de contrainte, de chantage ou de tromperie; c) à l’égard de deux mineurs ou plus; d) en emmenant la victime à l’étranger; e) avec la menace ou l’utilisation de la force mettant en péril la vie ou la santé de la personne, l’infraction est passible de quatorze à </w:t>
      </w:r>
      <w:proofErr w:type="spellStart"/>
      <w:r>
        <w:t>dix</w:t>
      </w:r>
      <w:r>
        <w:noBreakHyphen/>
        <w:t>sept</w:t>
      </w:r>
      <w:proofErr w:type="spellEnd"/>
      <w:r>
        <w:t> ans d’emprisonnement.</w:t>
      </w:r>
    </w:p>
    <w:p w:rsidR="00000000" w:rsidRDefault="00000000">
      <w:pPr>
        <w:spacing w:after="240"/>
        <w:ind w:firstLine="567"/>
      </w:pPr>
      <w:r>
        <w:t>c)</w:t>
      </w:r>
      <w:r>
        <w:tab/>
        <w:t xml:space="preserve">Les actes susmentionnés lorsqu’ils: a) sont commis par un groupe organisé ou b) causent la mort d’une victime mineure ou toute autre conséquence grave sont passibles de </w:t>
      </w:r>
      <w:proofErr w:type="spellStart"/>
      <w:r>
        <w:t>dix</w:t>
      </w:r>
      <w:r>
        <w:noBreakHyphen/>
        <w:t>sept</w:t>
      </w:r>
      <w:proofErr w:type="spellEnd"/>
      <w:r>
        <w:t xml:space="preserve"> à vingt ans d’emprisonnement.</w:t>
      </w:r>
    </w:p>
    <w:p w:rsidR="00000000" w:rsidRDefault="00000000">
      <w:pPr>
        <w:spacing w:after="240"/>
      </w:pPr>
      <w:r>
        <w:t>249.</w:t>
      </w:r>
      <w:r>
        <w:tab/>
        <w:t>L’article 143</w:t>
      </w:r>
      <w:r>
        <w:noBreakHyphen/>
        <w:t>1 du Code pénal définit le terme «exploitation» comme l’utilisation d’une personne: a) à des fins de travail forcé; b) en vue de l’associer à des activités criminelles ou toute autre activité contraire à l’ordre public ou de la livrer à la prostitution; c) pour l’exploiter sexuellement ou obtenir d’elle tout autre service sexuel; d) pour le prélèvement ou toute autre utilisation d’un organe du corps humain ou d’une partie d’un organe humain; e) en vue de la réduire à des conditions qui constituent une forme d’esclavage moderne.</w:t>
      </w:r>
    </w:p>
    <w:p w:rsidR="00000000" w:rsidRDefault="00000000">
      <w:pPr>
        <w:spacing w:after="240"/>
      </w:pPr>
      <w:r>
        <w:t>250.</w:t>
      </w:r>
      <w:r>
        <w:tab/>
        <w:t>L’article 143</w:t>
      </w:r>
      <w:r>
        <w:noBreakHyphen/>
        <w:t>1 définit comme suit l’expression «forcer une personne à vivre dans des conditions qui constituent une forme d’esclavage moderne»: «La confiscation des documents d’identité d’une personne, la restriction de son droit d’aller et venir librement, l’interdiction des contacts avec sa famille, y compris par le courrier et le téléphone, l’isolement culturel; le fait de contraindre une personne à travailler dans des conditions dégradantes pour sa réputation et sa dignité ou sans salaire ou pour un salaire insuffisant.».</w:t>
      </w:r>
    </w:p>
    <w:p w:rsidR="00000000" w:rsidRDefault="00000000">
      <w:pPr>
        <w:spacing w:after="240"/>
      </w:pPr>
      <w:r>
        <w:t>251.</w:t>
      </w:r>
      <w:r>
        <w:tab/>
        <w:t>Il convient de préciser que la note à l’article 143</w:t>
      </w:r>
      <w:r>
        <w:noBreakHyphen/>
        <w:t xml:space="preserve">1 signalée plus haut s’applique </w:t>
      </w:r>
      <w:r>
        <w:rPr>
          <w:i/>
          <w:iCs/>
        </w:rPr>
        <w:t>mutatis mutandis</w:t>
      </w:r>
      <w:r>
        <w:t xml:space="preserve"> à l’article 143</w:t>
      </w:r>
      <w:r>
        <w:noBreakHyphen/>
        <w:t>2.</w:t>
      </w:r>
    </w:p>
    <w:p w:rsidR="00000000" w:rsidRDefault="00000000">
      <w:pPr>
        <w:spacing w:after="240"/>
      </w:pPr>
      <w:r>
        <w:t>252.</w:t>
      </w:r>
      <w:r>
        <w:tab/>
        <w:t>Il convient particulièrement de signaler que la traite des personnes a été érigée en infraction pénale le 6 juin 2003, conformément aux articles 143</w:t>
      </w:r>
      <w:r>
        <w:noBreakHyphen/>
        <w:t>1 et 143</w:t>
      </w:r>
      <w:r>
        <w:noBreakHyphen/>
        <w:t>2 du Code pénal. Le régime des peines et des circonstances aggravantes a été complètement modifié en vertu d’amendements en date du 28 avril et du 25 juillet 2006 afin de lutter efficacement contre la traite des êtres humains.</w:t>
      </w:r>
    </w:p>
    <w:p w:rsidR="00000000" w:rsidRDefault="00000000">
      <w:pPr>
        <w:keepNext/>
        <w:spacing w:after="240"/>
        <w:jc w:val="center"/>
        <w:rPr>
          <w:b/>
          <w:bCs/>
        </w:rPr>
      </w:pPr>
      <w:r>
        <w:rPr>
          <w:b/>
          <w:bCs/>
        </w:rPr>
        <w:t>Données statistiques sur la traite des mineurs</w:t>
      </w:r>
    </w:p>
    <w:tbl>
      <w:tblPr>
        <w:tblW w:w="0" w:type="auto"/>
        <w:jc w:val="center"/>
        <w:tblInd w:w="-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55"/>
        <w:gridCol w:w="3360"/>
        <w:gridCol w:w="3411"/>
      </w:tblGrid>
      <w:tr w:rsidR="00000000">
        <w:tblPrEx>
          <w:tblCellMar>
            <w:top w:w="0" w:type="dxa"/>
            <w:bottom w:w="0" w:type="dxa"/>
          </w:tblCellMar>
        </w:tblPrEx>
        <w:trPr>
          <w:jc w:val="center"/>
        </w:trPr>
        <w:tc>
          <w:tcPr>
            <w:tcW w:w="2455" w:type="dxa"/>
            <w:vAlign w:val="center"/>
          </w:tcPr>
          <w:p w:rsidR="00000000" w:rsidRDefault="00000000">
            <w:pPr>
              <w:spacing w:before="60" w:after="60"/>
              <w:jc w:val="center"/>
            </w:pPr>
            <w:r>
              <w:t>Année</w:t>
            </w:r>
          </w:p>
        </w:tc>
        <w:tc>
          <w:tcPr>
            <w:tcW w:w="3360" w:type="dxa"/>
            <w:vAlign w:val="center"/>
          </w:tcPr>
          <w:p w:rsidR="00000000" w:rsidRDefault="00000000">
            <w:pPr>
              <w:spacing w:before="60" w:after="60"/>
              <w:jc w:val="center"/>
            </w:pPr>
            <w:r>
              <w:t xml:space="preserve">Nombre de procédures pénales engagées </w:t>
            </w:r>
          </w:p>
        </w:tc>
        <w:tc>
          <w:tcPr>
            <w:tcW w:w="3411" w:type="dxa"/>
            <w:vAlign w:val="center"/>
          </w:tcPr>
          <w:p w:rsidR="00000000" w:rsidRDefault="00000000">
            <w:pPr>
              <w:spacing w:before="60" w:after="60"/>
              <w:jc w:val="center"/>
            </w:pPr>
            <w:r>
              <w:t>Nombre d’affaires transmises au tribunal</w:t>
            </w:r>
          </w:p>
        </w:tc>
      </w:tr>
      <w:tr w:rsidR="00000000">
        <w:tblPrEx>
          <w:tblCellMar>
            <w:top w:w="0" w:type="dxa"/>
            <w:bottom w:w="0" w:type="dxa"/>
          </w:tblCellMar>
        </w:tblPrEx>
        <w:trPr>
          <w:jc w:val="center"/>
        </w:trPr>
        <w:tc>
          <w:tcPr>
            <w:tcW w:w="2455" w:type="dxa"/>
            <w:vAlign w:val="center"/>
          </w:tcPr>
          <w:p w:rsidR="00000000" w:rsidRDefault="00000000">
            <w:pPr>
              <w:spacing w:before="60" w:after="60"/>
              <w:jc w:val="center"/>
            </w:pPr>
            <w:r>
              <w:t>2004</w:t>
            </w:r>
          </w:p>
        </w:tc>
        <w:tc>
          <w:tcPr>
            <w:tcW w:w="3360" w:type="dxa"/>
            <w:vAlign w:val="center"/>
          </w:tcPr>
          <w:p w:rsidR="00000000" w:rsidRDefault="00000000">
            <w:pPr>
              <w:spacing w:before="60" w:after="60"/>
              <w:jc w:val="center"/>
            </w:pPr>
            <w:r>
              <w:t>6</w:t>
            </w:r>
          </w:p>
        </w:tc>
        <w:tc>
          <w:tcPr>
            <w:tcW w:w="3411" w:type="dxa"/>
            <w:vAlign w:val="center"/>
          </w:tcPr>
          <w:p w:rsidR="00000000" w:rsidRDefault="00000000">
            <w:pPr>
              <w:spacing w:before="60" w:after="60"/>
              <w:jc w:val="center"/>
            </w:pPr>
            <w:r>
              <w:t>3</w:t>
            </w:r>
          </w:p>
        </w:tc>
      </w:tr>
      <w:tr w:rsidR="00000000">
        <w:tblPrEx>
          <w:tblCellMar>
            <w:top w:w="0" w:type="dxa"/>
            <w:bottom w:w="0" w:type="dxa"/>
          </w:tblCellMar>
        </w:tblPrEx>
        <w:trPr>
          <w:jc w:val="center"/>
        </w:trPr>
        <w:tc>
          <w:tcPr>
            <w:tcW w:w="2455" w:type="dxa"/>
            <w:vAlign w:val="center"/>
          </w:tcPr>
          <w:p w:rsidR="00000000" w:rsidRDefault="00000000">
            <w:pPr>
              <w:spacing w:before="60" w:after="60"/>
              <w:jc w:val="center"/>
            </w:pPr>
            <w:r>
              <w:t>2005</w:t>
            </w:r>
          </w:p>
        </w:tc>
        <w:tc>
          <w:tcPr>
            <w:tcW w:w="3360" w:type="dxa"/>
            <w:vAlign w:val="center"/>
          </w:tcPr>
          <w:p w:rsidR="00000000" w:rsidRDefault="00000000">
            <w:pPr>
              <w:spacing w:before="60" w:after="60"/>
              <w:jc w:val="center"/>
            </w:pPr>
            <w:r>
              <w:t>5</w:t>
            </w:r>
          </w:p>
        </w:tc>
        <w:tc>
          <w:tcPr>
            <w:tcW w:w="3411" w:type="dxa"/>
            <w:vAlign w:val="center"/>
          </w:tcPr>
          <w:p w:rsidR="00000000" w:rsidRDefault="00000000">
            <w:pPr>
              <w:spacing w:before="60" w:after="60"/>
              <w:jc w:val="center"/>
            </w:pPr>
            <w:r>
              <w:t>2</w:t>
            </w:r>
          </w:p>
        </w:tc>
      </w:tr>
    </w:tbl>
    <w:p w:rsidR="00000000" w:rsidRDefault="00000000">
      <w:pPr>
        <w:keepNext/>
        <w:spacing w:before="240" w:after="240"/>
        <w:ind w:firstLine="567"/>
        <w:rPr>
          <w:b/>
          <w:bCs/>
        </w:rPr>
      </w:pPr>
      <w:r>
        <w:rPr>
          <w:b/>
          <w:bCs/>
        </w:rPr>
        <w:t>Protection, réadaptation et réinsertion des mineurs victimes de la traite</w:t>
      </w:r>
    </w:p>
    <w:p w:rsidR="00000000" w:rsidRDefault="00000000">
      <w:pPr>
        <w:spacing w:after="240"/>
      </w:pPr>
      <w:r>
        <w:t>253.</w:t>
      </w:r>
      <w:r>
        <w:tab/>
        <w:t>D’après le Bureau du Procureur général, en vertu des modifications apportées récemment à la législation, les autorités compétentes peuvent fournir des informations au sujet des mesures de protection, de réadaptation et de réinsertion des mineurs victimes de la traite prévues dans les lois géorgiennes. Le plan d’action concernant la lutte contre la traite des personnes en Géorgie et la loi géorgienne sur la lutte contre la traite des êtres humains instituent des mécanismes efficaces en matière de protection, de réadaptation et de réinsertion des victimes de la traite, y compris les mineurs.</w:t>
      </w:r>
    </w:p>
    <w:p w:rsidR="00000000" w:rsidRDefault="00000000">
      <w:pPr>
        <w:spacing w:after="240"/>
      </w:pPr>
      <w:r>
        <w:t>254.</w:t>
      </w:r>
      <w:r>
        <w:tab/>
        <w:t>La question du statut de la victime de la traite dans la législation géorgienne mérite une attention particulière. En vertu de la loi sur la lutte contre la traite des êtres humains, le statut d’une victime, dans une affaire de traite, est déterminé par un groupe de travail permanent (dont la composition, les activités et les pouvoirs sont arrêtés par le Conseil de coordination conformément à la législation en vigueur) opérant sous l’autorité du Conseil de coordination une fois que la personne concernée a demandé la protection (</w:t>
      </w:r>
      <w:proofErr w:type="spellStart"/>
      <w:r>
        <w:t>quarante</w:t>
      </w:r>
      <w:r>
        <w:noBreakHyphen/>
        <w:t>huit</w:t>
      </w:r>
      <w:proofErr w:type="spellEnd"/>
      <w:r>
        <w:t xml:space="preserve"> heures au plus tard après la demande). La personne qui obtient le statut de victime de la traite bénéficie du droit à un logement temporaire (refuge), sans que cela implique qu’elle jouit automatiquement des droits garantis par le Code de procédure pénale. </w:t>
      </w:r>
    </w:p>
    <w:p w:rsidR="00000000" w:rsidRDefault="00000000">
      <w:pPr>
        <w:spacing w:after="240"/>
      </w:pPr>
      <w:r>
        <w:t>255.</w:t>
      </w:r>
      <w:r>
        <w:tab/>
        <w:t>Dans ce contexte, il convient de préciser que le statut de victime de la traite, au regard de la loi sur la lutte contre la traite des êtres humains, dépend de la disposition de la victime à coopérer avec les autorités de police et de justice dans le cadre de la procédure pénale concernant l’infraction en cause. Une victime de la traite a droit à une période de réflexion pouvant aller jusqu’à trente jours à compter de la date à laquelle elle s’est adressée à l’autorité publique compétente pour décider si elle souhaite coopérer ou non. Pendant cette période, la personne ne sera pas obligée de témoigner devant les instances chargées des poursuites pénales</w:t>
      </w:r>
      <w:r>
        <w:rPr>
          <w:rStyle w:val="FootnoteReference"/>
        </w:rPr>
        <w:footnoteReference w:id="12"/>
      </w:r>
      <w:r>
        <w:t>. Si la victime refuse de coopérer avec les autorités, elle sera protégée en application des dispositions pertinentes de la loi, mais ne sera pas considérée comme une victime au sens de la définition du Code de procédure pénale.</w:t>
      </w:r>
    </w:p>
    <w:p w:rsidR="00000000" w:rsidRDefault="00000000">
      <w:pPr>
        <w:spacing w:after="240"/>
      </w:pPr>
      <w:r>
        <w:t>256.</w:t>
      </w:r>
      <w:r>
        <w:tab/>
        <w:t>Le système juridique géorgien comporte, par rapport à la Convention relative aux droits de l’enfant, certaines particularités en ce qui concerne la protection des mineurs victimes de la traite, l’assistance à ces mineurs et leur réadaptation et réinsertion:</w:t>
      </w:r>
    </w:p>
    <w:p w:rsidR="00000000" w:rsidRDefault="00000000">
      <w:pPr>
        <w:numPr>
          <w:ilvl w:val="0"/>
          <w:numId w:val="154"/>
        </w:numPr>
        <w:spacing w:after="240"/>
      </w:pPr>
      <w:r>
        <w:t>La loi sur la lutte contre la traite des êtres humains fait obligation aux organismes de l’État compétents de prendre en considération l’âge, le sexe et les besoins particuliers des victimes, notamment des enfants sur le plan du logement, de l’éducation et des soins;</w:t>
      </w:r>
    </w:p>
    <w:p w:rsidR="00000000" w:rsidRDefault="00000000">
      <w:pPr>
        <w:numPr>
          <w:ilvl w:val="0"/>
          <w:numId w:val="154"/>
        </w:numPr>
        <w:spacing w:after="240"/>
      </w:pPr>
      <w:r>
        <w:t>Aux termes de la loi, les enfants et les parties victimes de la traite ont droit à une protection dans le cadre des mécanismes prévus par la Convention relative aux droits de l’enfant, la Convention européenne sur la lutte contre la traite des êtres humains et les principes directeurs des organisations internationales sur la protection des droits des enfants victimes de la traite;</w:t>
      </w:r>
    </w:p>
    <w:p w:rsidR="00000000" w:rsidRDefault="00000000">
      <w:pPr>
        <w:numPr>
          <w:ilvl w:val="0"/>
          <w:numId w:val="154"/>
        </w:numPr>
        <w:spacing w:after="240"/>
      </w:pPr>
      <w:r>
        <w:t>Conformément à la loi, si l’âge de la victime n’a pas pu être déterminé et si l’on est fondé à penser qu’il s’agit d’un mineur, la personne concernée est considérée comme mineure et a droit à des mesures de protection spéciales en attendant que son âge soit déterminé.</w:t>
      </w:r>
    </w:p>
    <w:p w:rsidR="00000000" w:rsidRDefault="00000000">
      <w:pPr>
        <w:spacing w:after="240"/>
      </w:pPr>
      <w:r>
        <w:t>257.</w:t>
      </w:r>
      <w:r>
        <w:tab/>
        <w:t>En outre, la loi sur la lutte contre la traite des êtres humains prévoit des mécanismes efficaces pour la protection, la réadaptation et la réinsertion des victimes de la traite (y compris les mineurs) et notamment:</w:t>
      </w:r>
    </w:p>
    <w:p w:rsidR="00000000" w:rsidRDefault="00000000">
      <w:pPr>
        <w:numPr>
          <w:ilvl w:val="0"/>
          <w:numId w:val="155"/>
        </w:numPr>
        <w:spacing w:after="240"/>
      </w:pPr>
      <w:r>
        <w:t>La création d’un fonds public pour la protection des personnes victimes de la traite des êtres humains et l’assistance à ces personnes, qui doit veiller à ce qu’elles soient indemnisées et financer les mesures de protection, d’assistance et de réinsertion en leur faveur;</w:t>
      </w:r>
    </w:p>
    <w:p w:rsidR="00000000" w:rsidRDefault="00000000">
      <w:pPr>
        <w:numPr>
          <w:ilvl w:val="0"/>
          <w:numId w:val="155"/>
        </w:numPr>
        <w:spacing w:after="240"/>
      </w:pPr>
      <w:r>
        <w:t xml:space="preserve">La création d’un conseil de coordination </w:t>
      </w:r>
      <w:proofErr w:type="spellStart"/>
      <w:r>
        <w:t>interinstitutions</w:t>
      </w:r>
      <w:proofErr w:type="spellEnd"/>
      <w:r>
        <w:t xml:space="preserve"> pour assurer le bon fonctionnement des organismes publics chargés de prévenir et de combattre la traite, de protéger les victimes, de leur porter assistance et d’aider à leur réadaptation, ainsi que de coordonner, de suivre et d’évaluer les activités de ces organismes;</w:t>
      </w:r>
    </w:p>
    <w:p w:rsidR="00000000" w:rsidRDefault="00000000">
      <w:pPr>
        <w:numPr>
          <w:ilvl w:val="0"/>
          <w:numId w:val="155"/>
        </w:numPr>
        <w:spacing w:after="240"/>
      </w:pPr>
      <w:r>
        <w:t>Des mesures pour favoriser la création de places d’hébergement temporaire pour les victimes de la traite en tant que moyen de protéger leurs droits et leurs intérêts et de les aider à se réadapter et à retrouver leur place au sein de leur famille et de la société, en habilitant toute personne physique ou morale à créer une entité à but non lucratif aux fins de fournir aux victimes de la traite des places d’hébergement temporaire répondant aux normes minima, y compris sur le plan de la sécurité, avec des chambres séparées pour les mineurs;</w:t>
      </w:r>
    </w:p>
    <w:p w:rsidR="00000000" w:rsidRDefault="00000000">
      <w:pPr>
        <w:numPr>
          <w:ilvl w:val="0"/>
          <w:numId w:val="155"/>
        </w:numPr>
        <w:spacing w:after="240"/>
      </w:pPr>
      <w:r>
        <w:t>L’exemption de peine en cas d’acte illicite commis par la victime avant d’avoir obtenu le statut de victime;</w:t>
      </w:r>
    </w:p>
    <w:p w:rsidR="00000000" w:rsidRDefault="00000000">
      <w:pPr>
        <w:numPr>
          <w:ilvl w:val="0"/>
          <w:numId w:val="155"/>
        </w:numPr>
        <w:spacing w:after="240"/>
      </w:pPr>
      <w:r>
        <w:t>La mise en place par le Ministère de la justice d’un service d’aide juridique gratuite offrant une assistance aux victimes de la traite, et exécution par l’Association des jeunes juristes géorgiens avec le concours d’</w:t>
      </w:r>
      <w:proofErr w:type="spellStart"/>
      <w:r>
        <w:t>USAID</w:t>
      </w:r>
      <w:proofErr w:type="spellEnd"/>
      <w:r>
        <w:t>, d’un projet intitulé «Non à la traite des personnes» qui prévoit une assistance juridique gratuite aux victimes de la traite, y compris les mineurs.</w:t>
      </w:r>
    </w:p>
    <w:p w:rsidR="00000000" w:rsidRDefault="00000000">
      <w:pPr>
        <w:spacing w:after="240"/>
      </w:pPr>
      <w:r>
        <w:t>258.</w:t>
      </w:r>
      <w:r>
        <w:tab/>
        <w:t>La loi sur la lutte contre la traite des êtres humains fait obligation aux services compétents de l’État de prendre des mesures pour assurer la protection de l’intégrité des victimes de la traite ainsi que leur réadaptation physique et psychologique, avec leur consentement et dans le respect total de la confidentialité de leurs données personnelles.</w:t>
      </w:r>
    </w:p>
    <w:p w:rsidR="00000000" w:rsidRDefault="00000000">
      <w:pPr>
        <w:spacing w:after="240"/>
      </w:pPr>
      <w:r>
        <w:t>259.</w:t>
      </w:r>
      <w:r>
        <w:tab/>
        <w:t>À l’heure actuelle, les organismes publics et les organisations internationales et non gouvernementales compétents travaillent à la mise au point d’un mécanisme de référence − il s’agit d’un document qui contiendra des directives précises concernant l’identification des victimes de la traite, l’assistance (réadaptation, protection) à ces victimes et la réinsertion.</w:t>
      </w:r>
    </w:p>
    <w:p w:rsidR="00000000" w:rsidRDefault="00000000">
      <w:pPr>
        <w:spacing w:after="240"/>
      </w:pPr>
      <w:r>
        <w:t>260.</w:t>
      </w:r>
      <w:r>
        <w:tab/>
        <w:t xml:space="preserve">En particulier, le représentant de l’UNICEF est devenu membre de la Commission temporaire </w:t>
      </w:r>
      <w:proofErr w:type="spellStart"/>
      <w:r>
        <w:t>interinstitutions</w:t>
      </w:r>
      <w:proofErr w:type="spellEnd"/>
      <w:r>
        <w:t xml:space="preserve"> sur la lutte contre la traite. Il espère que cette instance contribuera beaucoup à l’élaboration d’outils et de règles pour la protection des mineurs victimes de la traite.</w:t>
      </w:r>
    </w:p>
    <w:p w:rsidR="00000000" w:rsidRDefault="00000000">
      <w:pPr>
        <w:keepNext/>
        <w:spacing w:after="240"/>
        <w:ind w:left="567"/>
        <w:rPr>
          <w:b/>
          <w:bCs/>
        </w:rPr>
      </w:pPr>
      <w:r>
        <w:rPr>
          <w:b/>
          <w:bCs/>
        </w:rPr>
        <w:t>Pénalisation de l’exploitation sexuelle des mineurs et mesures prises pour combattre ce phénomène</w:t>
      </w:r>
    </w:p>
    <w:p w:rsidR="00000000" w:rsidRDefault="00000000">
      <w:pPr>
        <w:spacing w:after="240"/>
      </w:pPr>
      <w:r>
        <w:t>261.</w:t>
      </w:r>
      <w:r>
        <w:tab/>
        <w:t>La législation géorgienne érige en infraction pénale diverses formes d’exploitation sexuelle comme le fait d’associer un mineur à une activité contraire à l’ordre public</w:t>
      </w:r>
      <w:r>
        <w:rPr>
          <w:rStyle w:val="FootnoteReference"/>
        </w:rPr>
        <w:footnoteReference w:id="13"/>
      </w:r>
      <w:r>
        <w:t>, le viol</w:t>
      </w:r>
      <w:r>
        <w:rPr>
          <w:rStyle w:val="FootnoteReference"/>
        </w:rPr>
        <w:footnoteReference w:id="14"/>
      </w:r>
      <w:r>
        <w:t>, la violence sexuelle</w:t>
      </w:r>
      <w:r>
        <w:rPr>
          <w:rStyle w:val="FootnoteReference"/>
        </w:rPr>
        <w:footnoteReference w:id="15"/>
      </w:r>
      <w:r>
        <w:t>, le fait de contraindre un mineur à des rapports sexuels ou à toute autre forme de comportement sexuel</w:t>
      </w:r>
      <w:r>
        <w:rPr>
          <w:rStyle w:val="FootnoteReference"/>
        </w:rPr>
        <w:footnoteReference w:id="16"/>
      </w:r>
      <w:r>
        <w:t>, et la prostitution</w:t>
      </w:r>
      <w:r>
        <w:rPr>
          <w:rStyle w:val="FootnoteReference"/>
        </w:rPr>
        <w:footnoteReference w:id="17"/>
      </w:r>
      <w:r>
        <w:t>. Il convient de souligner que le fait de commettre de telles infractions contre des mineurs constitue une circonstance aggravante. Comme on l’a déjà fait observer plus haut, la traite des mineurs</w:t>
      </w:r>
      <w:r>
        <w:rPr>
          <w:rStyle w:val="FootnoteReference"/>
        </w:rPr>
        <w:footnoteReference w:id="18"/>
      </w:r>
      <w:r>
        <w:t xml:space="preserve"> est considérée comme une infraction pénale dont le principal but est l’exploitation sexuelle du mineur. En outre, le droit géorgien proscrit des actes comme les rapports sexuels ou toute autre forme de comportement sexuel avec une personne âgée de moins de 16 ans</w:t>
      </w:r>
      <w:r>
        <w:rPr>
          <w:rStyle w:val="FootnoteReference"/>
        </w:rPr>
        <w:footnoteReference w:id="19"/>
      </w:r>
      <w:r>
        <w:t xml:space="preserve"> et les comportements pervers</w:t>
      </w:r>
      <w:r>
        <w:rPr>
          <w:rStyle w:val="FootnoteReference"/>
        </w:rPr>
        <w:footnoteReference w:id="20"/>
      </w:r>
      <w:r>
        <w:t>.</w:t>
      </w:r>
    </w:p>
    <w:p w:rsidR="00000000" w:rsidRDefault="00000000">
      <w:pPr>
        <w:spacing w:after="240"/>
      </w:pPr>
      <w:r>
        <w:t>262.</w:t>
      </w:r>
      <w:r>
        <w:tab/>
      </w:r>
      <w:r>
        <w:rPr>
          <w:b/>
          <w:bCs/>
        </w:rPr>
        <w:t>Implication d’un mineur dans une activité contraire à l’ordre public</w:t>
      </w:r>
      <w:r>
        <w:t xml:space="preserve">: Le paragraphe 3 de l’article 171 incrimine les actes suivants: le fait de prostituer un mineur, sans recours à la violence, à la menace de la violence ou à la tromperie, qui constitue une infraction pénale passible de deux à cinq ans d’emprisonnement. </w:t>
      </w:r>
    </w:p>
    <w:p w:rsidR="00000000" w:rsidRDefault="00000000">
      <w:pPr>
        <w:spacing w:after="240"/>
      </w:pPr>
      <w:r>
        <w:t>263.</w:t>
      </w:r>
      <w:r>
        <w:tab/>
      </w:r>
      <w:r>
        <w:rPr>
          <w:b/>
          <w:bCs/>
        </w:rPr>
        <w:t>Viol</w:t>
      </w:r>
      <w:r>
        <w:t>: Le viol, c’</w:t>
      </w:r>
      <w:proofErr w:type="spellStart"/>
      <w:r>
        <w:t>est</w:t>
      </w:r>
      <w:r>
        <w:noBreakHyphen/>
        <w:t>à</w:t>
      </w:r>
      <w:r>
        <w:noBreakHyphen/>
        <w:t>dire</w:t>
      </w:r>
      <w:proofErr w:type="spellEnd"/>
      <w:r>
        <w:t xml:space="preserve"> un contact sexuel obtenu par la violence, la menace de la violence ou l’exploitation, de toute autre façon, de la position vulnérable de la victime, est passible de quatre à six ans d’emprisonnement. Le paragraphe 3 d) de l’article 137 vise le viol commis contre un mineur en connaissance de cause en tant que circonstance aggravante, pouvant emporter une peine de neuf à douze ans d’emprisonnement. En vertu du paragraphe 5, le viol commis contre une personne âgée de moins de 14 ans est passible de quinze à vingt ans d’emprisonnement.</w:t>
      </w:r>
    </w:p>
    <w:p w:rsidR="00000000" w:rsidRDefault="00000000">
      <w:pPr>
        <w:spacing w:after="240"/>
      </w:pPr>
      <w:r>
        <w:t>264.</w:t>
      </w:r>
      <w:r>
        <w:tab/>
      </w:r>
      <w:r>
        <w:rPr>
          <w:b/>
          <w:bCs/>
        </w:rPr>
        <w:t>Violence sexuelle</w:t>
      </w:r>
      <w:r>
        <w:t>: Les violences à caractère homosexuel ou lesbien ou toute autre forme d’acte sexuel déviant commis en usant de la violence ou de la menace de la violence  ou en tirant parti de la position vulnérable de la victime sont passibles de quatre à six ans d’emprisonnement. Ces mêmes actes, commis en connaissance de cause à l’égard d’un mineur, constituent aux termes du paragraphe 3 d) du même article une circonstance aggravante supplémentaire, et sont passibles de neuf à douze ans d’emprisonnement. En vertu du paragraphe 5, la commission d’actes de cette nature à l’égard d’une personne âgée de moins de 14 ans est passible de quinze à vingt ans d’emprisonnement.</w:t>
      </w:r>
    </w:p>
    <w:p w:rsidR="00000000" w:rsidRDefault="00000000">
      <w:pPr>
        <w:spacing w:after="240"/>
      </w:pPr>
      <w:r>
        <w:t>265.</w:t>
      </w:r>
      <w:r>
        <w:tab/>
      </w:r>
      <w:r>
        <w:rPr>
          <w:b/>
          <w:bCs/>
        </w:rPr>
        <w:t>Contrainte exercée en vue d’obtenir des rapports sexuels ou toute autre forme de comportement sexuel</w:t>
      </w:r>
      <w:r>
        <w:t>: Le fait de forcer une personne à avoir des rapports sexuels ou des contacts sexuels de caractère homosexuel, lesbien ou de toute autre sorte sous la menace de porter atteinte à sa réputation ou d’endommager ses biens ou en exploitant une situation de dépendance, notamment financière ou professionnelle, est passible d’une amende, d’un an de rééducation par le travail ou d’une peine d’emprisonnement allant jusqu’à deux ans. Le même délit est, lorsqu’il est commis envers un mineur, puni de deux ans de travaux d’intérêt général ou d’un à trois ans d’emprisonnement.</w:t>
      </w:r>
    </w:p>
    <w:p w:rsidR="00000000" w:rsidRDefault="00000000">
      <w:pPr>
        <w:spacing w:after="240"/>
      </w:pPr>
      <w:r>
        <w:t>266.</w:t>
      </w:r>
      <w:r>
        <w:tab/>
      </w:r>
      <w:r>
        <w:rPr>
          <w:b/>
          <w:bCs/>
        </w:rPr>
        <w:t>Prostitution</w:t>
      </w:r>
      <w:r>
        <w:t>: Le fait de forcer une personne à se prostituer en usant de la violence, de la menace de la violence, de la menace de porter atteinte à ses biens, de la tromperie ou du chantage est passible d’une peine pouvant aller jusqu’à deux ans d’emprisonnement. Le même acte commis en bande organisée ou en connaissance de cause à l’égard d’un mineur est passible de cinq à sept ans d’emprisonnement.</w:t>
      </w:r>
    </w:p>
    <w:p w:rsidR="00000000" w:rsidRDefault="00000000">
      <w:pPr>
        <w:spacing w:after="240"/>
      </w:pPr>
      <w:r>
        <w:t>267.</w:t>
      </w:r>
      <w:r>
        <w:tab/>
      </w:r>
      <w:r>
        <w:rPr>
          <w:b/>
          <w:bCs/>
        </w:rPr>
        <w:t>Rapports sexuels ou toute autre sorte de comportement sexuel avec une personne âgée de moins de 16 ans</w:t>
      </w:r>
      <w:r>
        <w:t>: Les rapports hétérosexuels, homosexuels ou lesbiens ou toute autre forme d’acte sexuel déviant commis par un adulte en connaissance de cause avec une personne âgée de moins de 16 ans sont passibles d’une peine restrictive de liberté de trois ans ou d’un à trois ans d’emprisonnement.</w:t>
      </w:r>
    </w:p>
    <w:p w:rsidR="00000000" w:rsidRDefault="00000000">
      <w:pPr>
        <w:spacing w:after="240"/>
      </w:pPr>
      <w:r>
        <w:t>268.</w:t>
      </w:r>
      <w:r>
        <w:tab/>
      </w:r>
      <w:r>
        <w:rPr>
          <w:b/>
          <w:bCs/>
        </w:rPr>
        <w:t>Conduite perverse</w:t>
      </w:r>
      <w:r>
        <w:t>: La conduite perverse sans contrainte dont se rend coupable en connaissance de cause un individu à l’égard d’une personne âgée de moins de 16 ans est passible d’une amende ou d’une peine de rééducation par le travail allant jusqu’à un an ou d’une peine d’emprisonnement allant jusqu’à deux ans.</w:t>
      </w:r>
    </w:p>
    <w:p w:rsidR="00000000" w:rsidRDefault="00000000">
      <w:pPr>
        <w:spacing w:after="240"/>
      </w:pPr>
      <w:r>
        <w:t>269.</w:t>
      </w:r>
      <w:r>
        <w:tab/>
        <w:t xml:space="preserve">On trouvera </w:t>
      </w:r>
      <w:proofErr w:type="spellStart"/>
      <w:r>
        <w:t>ci</w:t>
      </w:r>
      <w:r>
        <w:noBreakHyphen/>
        <w:t>après</w:t>
      </w:r>
      <w:proofErr w:type="spellEnd"/>
      <w:r>
        <w:t xml:space="preserve"> des données statistiques sur les infractions liées à l’exploitation sexuelle des mineurs:</w:t>
      </w:r>
    </w:p>
    <w:p w:rsidR="00000000" w:rsidRDefault="00000000">
      <w:pPr>
        <w:keepNext/>
        <w:spacing w:after="240"/>
        <w:jc w:val="center"/>
        <w:rPr>
          <w:b/>
          <w:bCs/>
        </w:rPr>
      </w:pPr>
      <w:r>
        <w:rPr>
          <w:u w:val="single"/>
        </w:rPr>
        <w:br w:type="page"/>
      </w:r>
      <w:r>
        <w:rPr>
          <w:b/>
          <w:bCs/>
        </w:rPr>
        <w:t>Fait d’impliquer un mineur dans une activité contraire</w:t>
      </w:r>
      <w:r>
        <w:rPr>
          <w:b/>
          <w:bCs/>
        </w:rPr>
        <w:br/>
        <w:t>à l’ordre public</w:t>
      </w:r>
    </w:p>
    <w:tbl>
      <w:tblPr>
        <w:tblW w:w="49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0"/>
        <w:gridCol w:w="3720"/>
        <w:gridCol w:w="3479"/>
      </w:tblGrid>
      <w:tr w:rsidR="00000000">
        <w:tblPrEx>
          <w:tblCellMar>
            <w:top w:w="0" w:type="dxa"/>
            <w:bottom w:w="0" w:type="dxa"/>
          </w:tblCellMar>
        </w:tblPrEx>
        <w:tc>
          <w:tcPr>
            <w:tcW w:w="2160" w:type="dxa"/>
            <w:noWrap/>
            <w:vAlign w:val="center"/>
          </w:tcPr>
          <w:p w:rsidR="00000000" w:rsidRDefault="00000000">
            <w:pPr>
              <w:spacing w:before="60" w:after="60"/>
              <w:jc w:val="center"/>
            </w:pPr>
            <w:r>
              <w:t>Année</w:t>
            </w:r>
          </w:p>
        </w:tc>
        <w:tc>
          <w:tcPr>
            <w:tcW w:w="3720" w:type="dxa"/>
            <w:noWrap/>
            <w:vAlign w:val="center"/>
          </w:tcPr>
          <w:p w:rsidR="00000000" w:rsidRDefault="00000000">
            <w:pPr>
              <w:spacing w:before="60" w:after="60"/>
              <w:jc w:val="center"/>
            </w:pPr>
            <w:r>
              <w:t>Nombre d’enquêtes engagées</w:t>
            </w:r>
          </w:p>
        </w:tc>
        <w:tc>
          <w:tcPr>
            <w:tcW w:w="3479" w:type="dxa"/>
            <w:noWrap/>
            <w:vAlign w:val="center"/>
          </w:tcPr>
          <w:p w:rsidR="00000000" w:rsidRDefault="00000000">
            <w:pPr>
              <w:spacing w:before="60" w:after="60"/>
              <w:jc w:val="center"/>
            </w:pPr>
            <w:r>
              <w:t>Affaires transmises au tribunal</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2001</w:t>
            </w:r>
          </w:p>
        </w:tc>
        <w:tc>
          <w:tcPr>
            <w:tcW w:w="3720" w:type="dxa"/>
            <w:noWrap/>
            <w:vAlign w:val="center"/>
          </w:tcPr>
          <w:p w:rsidR="00000000" w:rsidRDefault="00000000">
            <w:pPr>
              <w:spacing w:before="60" w:after="60"/>
              <w:ind w:right="590"/>
              <w:jc w:val="center"/>
            </w:pPr>
            <w:r>
              <w:t>12</w:t>
            </w:r>
          </w:p>
        </w:tc>
        <w:tc>
          <w:tcPr>
            <w:tcW w:w="3479" w:type="dxa"/>
            <w:noWrap/>
            <w:vAlign w:val="center"/>
          </w:tcPr>
          <w:p w:rsidR="00000000" w:rsidRDefault="00000000">
            <w:pPr>
              <w:spacing w:before="60" w:after="60"/>
              <w:ind w:right="590"/>
              <w:jc w:val="center"/>
            </w:pPr>
            <w:r>
              <w:t>1</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2002</w:t>
            </w:r>
          </w:p>
        </w:tc>
        <w:tc>
          <w:tcPr>
            <w:tcW w:w="3720" w:type="dxa"/>
            <w:noWrap/>
            <w:vAlign w:val="center"/>
          </w:tcPr>
          <w:p w:rsidR="00000000" w:rsidRDefault="00000000">
            <w:pPr>
              <w:spacing w:before="60" w:after="60"/>
              <w:ind w:right="590"/>
              <w:jc w:val="center"/>
            </w:pPr>
            <w:r>
              <w:t>8</w:t>
            </w:r>
          </w:p>
        </w:tc>
        <w:tc>
          <w:tcPr>
            <w:tcW w:w="3479" w:type="dxa"/>
            <w:noWrap/>
            <w:vAlign w:val="center"/>
          </w:tcPr>
          <w:p w:rsidR="00000000" w:rsidRDefault="00000000">
            <w:pPr>
              <w:spacing w:before="60" w:after="60"/>
              <w:ind w:right="590"/>
              <w:jc w:val="center"/>
            </w:pPr>
            <w:r>
              <w:t>2</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2003</w:t>
            </w:r>
          </w:p>
        </w:tc>
        <w:tc>
          <w:tcPr>
            <w:tcW w:w="3720" w:type="dxa"/>
            <w:noWrap/>
            <w:vAlign w:val="center"/>
          </w:tcPr>
          <w:p w:rsidR="00000000" w:rsidRDefault="00000000">
            <w:pPr>
              <w:spacing w:before="60" w:after="60"/>
              <w:ind w:right="590"/>
              <w:jc w:val="center"/>
            </w:pPr>
            <w:r>
              <w:t>10</w:t>
            </w:r>
          </w:p>
        </w:tc>
        <w:tc>
          <w:tcPr>
            <w:tcW w:w="3479" w:type="dxa"/>
            <w:noWrap/>
            <w:vAlign w:val="center"/>
          </w:tcPr>
          <w:p w:rsidR="00000000" w:rsidRDefault="00000000">
            <w:pPr>
              <w:spacing w:before="60" w:after="60"/>
              <w:ind w:right="590"/>
              <w:jc w:val="center"/>
            </w:pPr>
            <w:r>
              <w:t>3</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2004</w:t>
            </w:r>
          </w:p>
        </w:tc>
        <w:tc>
          <w:tcPr>
            <w:tcW w:w="3720" w:type="dxa"/>
            <w:noWrap/>
            <w:vAlign w:val="center"/>
          </w:tcPr>
          <w:p w:rsidR="00000000" w:rsidRDefault="00000000">
            <w:pPr>
              <w:spacing w:before="60" w:after="60"/>
              <w:ind w:right="590"/>
              <w:jc w:val="center"/>
            </w:pPr>
            <w:r>
              <w:t>8</w:t>
            </w:r>
          </w:p>
        </w:tc>
        <w:tc>
          <w:tcPr>
            <w:tcW w:w="3479" w:type="dxa"/>
            <w:noWrap/>
            <w:vAlign w:val="center"/>
          </w:tcPr>
          <w:p w:rsidR="00000000" w:rsidRDefault="00000000">
            <w:pPr>
              <w:spacing w:before="60" w:after="60"/>
              <w:ind w:right="590"/>
              <w:jc w:val="center"/>
            </w:pPr>
            <w:r>
              <w:t>6</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2005</w:t>
            </w:r>
          </w:p>
        </w:tc>
        <w:tc>
          <w:tcPr>
            <w:tcW w:w="3720" w:type="dxa"/>
            <w:noWrap/>
            <w:vAlign w:val="center"/>
          </w:tcPr>
          <w:p w:rsidR="00000000" w:rsidRDefault="00000000">
            <w:pPr>
              <w:spacing w:before="60" w:after="60"/>
              <w:ind w:right="590"/>
              <w:jc w:val="center"/>
            </w:pPr>
            <w:r>
              <w:t>4</w:t>
            </w:r>
          </w:p>
        </w:tc>
        <w:tc>
          <w:tcPr>
            <w:tcW w:w="3479" w:type="dxa"/>
            <w:noWrap/>
            <w:vAlign w:val="center"/>
          </w:tcPr>
          <w:p w:rsidR="00000000" w:rsidRDefault="00000000">
            <w:pPr>
              <w:spacing w:before="60" w:after="60"/>
              <w:ind w:right="590"/>
              <w:jc w:val="center"/>
            </w:pPr>
            <w:r>
              <w:t>-</w:t>
            </w:r>
          </w:p>
        </w:tc>
      </w:tr>
    </w:tbl>
    <w:p w:rsidR="00000000" w:rsidRDefault="00000000">
      <w:pPr>
        <w:keepNext/>
        <w:spacing w:before="240" w:after="240"/>
        <w:jc w:val="center"/>
        <w:rPr>
          <w:b/>
          <w:bCs/>
        </w:rPr>
      </w:pPr>
      <w:r>
        <w:rPr>
          <w:b/>
          <w:bCs/>
        </w:rPr>
        <w:t>Viol sur mineur</w:t>
      </w:r>
    </w:p>
    <w:tbl>
      <w:tblPr>
        <w:tblW w:w="49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0"/>
        <w:gridCol w:w="3720"/>
        <w:gridCol w:w="3479"/>
      </w:tblGrid>
      <w:tr w:rsidR="00000000">
        <w:tblPrEx>
          <w:tblCellMar>
            <w:top w:w="0" w:type="dxa"/>
            <w:bottom w:w="0" w:type="dxa"/>
          </w:tblCellMar>
        </w:tblPrEx>
        <w:tc>
          <w:tcPr>
            <w:tcW w:w="2160" w:type="dxa"/>
            <w:noWrap/>
            <w:vAlign w:val="center"/>
          </w:tcPr>
          <w:p w:rsidR="00000000" w:rsidRDefault="00000000">
            <w:pPr>
              <w:spacing w:before="60" w:after="60"/>
              <w:jc w:val="center"/>
            </w:pPr>
            <w:r>
              <w:t>Année</w:t>
            </w:r>
          </w:p>
        </w:tc>
        <w:tc>
          <w:tcPr>
            <w:tcW w:w="3720" w:type="dxa"/>
            <w:noWrap/>
            <w:vAlign w:val="center"/>
          </w:tcPr>
          <w:p w:rsidR="00000000" w:rsidRDefault="00000000">
            <w:pPr>
              <w:keepNext/>
              <w:spacing w:before="60" w:after="60"/>
              <w:jc w:val="center"/>
            </w:pPr>
            <w:r>
              <w:t>Nombre d’enquêtes engagées</w:t>
            </w:r>
          </w:p>
        </w:tc>
        <w:tc>
          <w:tcPr>
            <w:tcW w:w="3479" w:type="dxa"/>
            <w:noWrap/>
            <w:vAlign w:val="center"/>
          </w:tcPr>
          <w:p w:rsidR="00000000" w:rsidRDefault="00000000">
            <w:pPr>
              <w:keepNext/>
              <w:spacing w:before="60" w:after="60"/>
              <w:jc w:val="center"/>
            </w:pPr>
            <w:r>
              <w:t>Affaires transmises au tribunal</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2001</w:t>
            </w:r>
          </w:p>
        </w:tc>
        <w:tc>
          <w:tcPr>
            <w:tcW w:w="3720" w:type="dxa"/>
            <w:noWrap/>
            <w:vAlign w:val="center"/>
          </w:tcPr>
          <w:p w:rsidR="00000000" w:rsidRDefault="00000000">
            <w:pPr>
              <w:keepNext/>
              <w:spacing w:before="60" w:after="60"/>
              <w:ind w:right="590"/>
              <w:jc w:val="center"/>
            </w:pPr>
            <w:r>
              <w:t>1</w:t>
            </w:r>
          </w:p>
        </w:tc>
        <w:tc>
          <w:tcPr>
            <w:tcW w:w="3479" w:type="dxa"/>
            <w:noWrap/>
            <w:vAlign w:val="center"/>
          </w:tcPr>
          <w:p w:rsidR="00000000" w:rsidRDefault="00000000">
            <w:pPr>
              <w:keepNext/>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2002</w:t>
            </w:r>
          </w:p>
        </w:tc>
        <w:tc>
          <w:tcPr>
            <w:tcW w:w="3720" w:type="dxa"/>
            <w:noWrap/>
            <w:vAlign w:val="center"/>
          </w:tcPr>
          <w:p w:rsidR="00000000" w:rsidRDefault="00000000">
            <w:pPr>
              <w:keepNext/>
              <w:spacing w:before="60" w:after="60"/>
              <w:ind w:right="590"/>
              <w:jc w:val="center"/>
            </w:pPr>
            <w:r>
              <w:t>2</w:t>
            </w:r>
          </w:p>
        </w:tc>
        <w:tc>
          <w:tcPr>
            <w:tcW w:w="3479" w:type="dxa"/>
            <w:noWrap/>
            <w:vAlign w:val="center"/>
          </w:tcPr>
          <w:p w:rsidR="00000000" w:rsidRDefault="00000000">
            <w:pPr>
              <w:keepNext/>
              <w:spacing w:before="60" w:after="60"/>
              <w:ind w:right="590"/>
              <w:jc w:val="center"/>
            </w:pPr>
            <w:r>
              <w:t>1</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2003</w:t>
            </w:r>
          </w:p>
        </w:tc>
        <w:tc>
          <w:tcPr>
            <w:tcW w:w="3720" w:type="dxa"/>
            <w:noWrap/>
            <w:vAlign w:val="center"/>
          </w:tcPr>
          <w:p w:rsidR="00000000" w:rsidRDefault="00000000">
            <w:pPr>
              <w:spacing w:before="60" w:after="60"/>
              <w:ind w:right="590"/>
              <w:jc w:val="center"/>
            </w:pPr>
            <w:r>
              <w:t>1</w:t>
            </w:r>
          </w:p>
        </w:tc>
        <w:tc>
          <w:tcPr>
            <w:tcW w:w="3479" w:type="dxa"/>
            <w:noWrap/>
            <w:vAlign w:val="center"/>
          </w:tcPr>
          <w:p w:rsidR="00000000" w:rsidRDefault="00000000">
            <w:pPr>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2004</w:t>
            </w:r>
          </w:p>
        </w:tc>
        <w:tc>
          <w:tcPr>
            <w:tcW w:w="3720" w:type="dxa"/>
            <w:noWrap/>
            <w:vAlign w:val="center"/>
          </w:tcPr>
          <w:p w:rsidR="00000000" w:rsidRDefault="00000000">
            <w:pPr>
              <w:spacing w:before="60" w:after="60"/>
              <w:ind w:right="590"/>
              <w:jc w:val="center"/>
            </w:pPr>
            <w:r>
              <w:t>1</w:t>
            </w:r>
          </w:p>
        </w:tc>
        <w:tc>
          <w:tcPr>
            <w:tcW w:w="3479" w:type="dxa"/>
            <w:noWrap/>
            <w:vAlign w:val="center"/>
          </w:tcPr>
          <w:p w:rsidR="00000000" w:rsidRDefault="00000000">
            <w:pPr>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2005</w:t>
            </w:r>
          </w:p>
        </w:tc>
        <w:tc>
          <w:tcPr>
            <w:tcW w:w="3720" w:type="dxa"/>
            <w:noWrap/>
            <w:vAlign w:val="center"/>
          </w:tcPr>
          <w:p w:rsidR="00000000" w:rsidRDefault="00000000">
            <w:pPr>
              <w:spacing w:before="60" w:after="60"/>
              <w:ind w:right="590"/>
              <w:jc w:val="center"/>
            </w:pPr>
            <w:r>
              <w:t>8</w:t>
            </w:r>
          </w:p>
        </w:tc>
        <w:tc>
          <w:tcPr>
            <w:tcW w:w="3479" w:type="dxa"/>
            <w:noWrap/>
            <w:vAlign w:val="center"/>
          </w:tcPr>
          <w:p w:rsidR="00000000" w:rsidRDefault="00000000">
            <w:pPr>
              <w:spacing w:before="60" w:after="60"/>
              <w:ind w:right="590"/>
              <w:jc w:val="center"/>
            </w:pPr>
            <w:r>
              <w:t>2</w:t>
            </w:r>
          </w:p>
        </w:tc>
      </w:tr>
    </w:tbl>
    <w:p w:rsidR="00000000" w:rsidRDefault="00000000">
      <w:pPr>
        <w:keepNext/>
        <w:spacing w:before="240" w:after="240"/>
        <w:jc w:val="center"/>
        <w:rPr>
          <w:b/>
          <w:bCs/>
        </w:rPr>
      </w:pPr>
      <w:r>
        <w:rPr>
          <w:b/>
          <w:bCs/>
        </w:rPr>
        <w:t>Rapports sexuels ou toute autre sorte de comportement sexuel</w:t>
      </w:r>
      <w:r>
        <w:rPr>
          <w:b/>
          <w:bCs/>
        </w:rPr>
        <w:br/>
        <w:t>avec une personne âgée de moins de 16 ans</w:t>
      </w:r>
    </w:p>
    <w:tbl>
      <w:tblPr>
        <w:tblW w:w="49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9"/>
        <w:gridCol w:w="3720"/>
        <w:gridCol w:w="3480"/>
      </w:tblGrid>
      <w:tr w:rsidR="00000000">
        <w:tblPrEx>
          <w:tblCellMar>
            <w:top w:w="0" w:type="dxa"/>
            <w:bottom w:w="0" w:type="dxa"/>
          </w:tblCellMar>
        </w:tblPrEx>
        <w:tc>
          <w:tcPr>
            <w:tcW w:w="2160" w:type="dxa"/>
            <w:noWrap/>
            <w:vAlign w:val="center"/>
          </w:tcPr>
          <w:p w:rsidR="00000000" w:rsidRDefault="00000000">
            <w:pPr>
              <w:spacing w:before="60" w:after="60"/>
              <w:jc w:val="center"/>
            </w:pPr>
            <w:r>
              <w:t>Année</w:t>
            </w:r>
          </w:p>
        </w:tc>
        <w:tc>
          <w:tcPr>
            <w:tcW w:w="3720" w:type="dxa"/>
            <w:noWrap/>
            <w:vAlign w:val="center"/>
          </w:tcPr>
          <w:p w:rsidR="00000000" w:rsidRDefault="00000000">
            <w:pPr>
              <w:spacing w:before="60" w:after="60"/>
              <w:jc w:val="center"/>
            </w:pPr>
            <w:r>
              <w:t>Nombre d’enquêtes engagées</w:t>
            </w:r>
          </w:p>
        </w:tc>
        <w:tc>
          <w:tcPr>
            <w:tcW w:w="3480" w:type="dxa"/>
            <w:noWrap/>
            <w:vAlign w:val="center"/>
          </w:tcPr>
          <w:p w:rsidR="00000000" w:rsidRDefault="00000000">
            <w:pPr>
              <w:spacing w:before="60" w:after="60"/>
              <w:jc w:val="center"/>
            </w:pPr>
            <w:r>
              <w:t>Affaires transmises au tribunal</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2001</w:t>
            </w:r>
          </w:p>
        </w:tc>
        <w:tc>
          <w:tcPr>
            <w:tcW w:w="3720" w:type="dxa"/>
            <w:noWrap/>
            <w:vAlign w:val="center"/>
          </w:tcPr>
          <w:p w:rsidR="00000000" w:rsidRDefault="00000000">
            <w:pPr>
              <w:spacing w:before="60" w:after="60"/>
              <w:ind w:right="590"/>
              <w:jc w:val="center"/>
            </w:pPr>
            <w:r>
              <w:t>5</w:t>
            </w:r>
          </w:p>
        </w:tc>
        <w:tc>
          <w:tcPr>
            <w:tcW w:w="3480" w:type="dxa"/>
            <w:noWrap/>
            <w:vAlign w:val="center"/>
          </w:tcPr>
          <w:p w:rsidR="00000000" w:rsidRDefault="00000000">
            <w:pPr>
              <w:spacing w:before="60" w:after="60"/>
              <w:ind w:right="590"/>
              <w:jc w:val="center"/>
            </w:pPr>
            <w:r>
              <w:t>1</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2002</w:t>
            </w:r>
          </w:p>
        </w:tc>
        <w:tc>
          <w:tcPr>
            <w:tcW w:w="3720" w:type="dxa"/>
            <w:noWrap/>
            <w:vAlign w:val="center"/>
          </w:tcPr>
          <w:p w:rsidR="00000000" w:rsidRDefault="00000000">
            <w:pPr>
              <w:spacing w:before="60" w:after="60"/>
              <w:ind w:right="590"/>
              <w:jc w:val="center"/>
            </w:pPr>
            <w:r>
              <w:t>4</w:t>
            </w:r>
          </w:p>
        </w:tc>
        <w:tc>
          <w:tcPr>
            <w:tcW w:w="3480" w:type="dxa"/>
            <w:noWrap/>
            <w:vAlign w:val="center"/>
          </w:tcPr>
          <w:p w:rsidR="00000000" w:rsidRDefault="00000000">
            <w:pPr>
              <w:spacing w:before="60" w:after="60"/>
              <w:ind w:right="590"/>
              <w:jc w:val="center"/>
            </w:pPr>
            <w:r>
              <w:t>2</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2003</w:t>
            </w:r>
          </w:p>
        </w:tc>
        <w:tc>
          <w:tcPr>
            <w:tcW w:w="3720" w:type="dxa"/>
            <w:noWrap/>
            <w:vAlign w:val="center"/>
          </w:tcPr>
          <w:p w:rsidR="00000000" w:rsidRDefault="00000000">
            <w:pPr>
              <w:spacing w:before="60" w:after="60"/>
              <w:ind w:right="590"/>
              <w:jc w:val="center"/>
            </w:pPr>
            <w:r>
              <w:t>9</w:t>
            </w:r>
          </w:p>
        </w:tc>
        <w:tc>
          <w:tcPr>
            <w:tcW w:w="3480" w:type="dxa"/>
            <w:noWrap/>
            <w:vAlign w:val="center"/>
          </w:tcPr>
          <w:p w:rsidR="00000000" w:rsidRDefault="00000000">
            <w:pPr>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2004</w:t>
            </w:r>
          </w:p>
        </w:tc>
        <w:tc>
          <w:tcPr>
            <w:tcW w:w="3720" w:type="dxa"/>
            <w:noWrap/>
            <w:vAlign w:val="center"/>
          </w:tcPr>
          <w:p w:rsidR="00000000" w:rsidRDefault="00000000">
            <w:pPr>
              <w:spacing w:before="60" w:after="60"/>
              <w:ind w:right="590"/>
              <w:jc w:val="center"/>
            </w:pPr>
            <w:r>
              <w:t>8</w:t>
            </w:r>
          </w:p>
        </w:tc>
        <w:tc>
          <w:tcPr>
            <w:tcW w:w="3480" w:type="dxa"/>
            <w:noWrap/>
            <w:vAlign w:val="center"/>
          </w:tcPr>
          <w:p w:rsidR="00000000" w:rsidRDefault="00000000">
            <w:pPr>
              <w:spacing w:before="60" w:after="60"/>
              <w:ind w:right="590"/>
              <w:jc w:val="center"/>
            </w:pPr>
            <w:r>
              <w:t>5</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2005</w:t>
            </w:r>
          </w:p>
        </w:tc>
        <w:tc>
          <w:tcPr>
            <w:tcW w:w="3720" w:type="dxa"/>
            <w:noWrap/>
            <w:vAlign w:val="center"/>
          </w:tcPr>
          <w:p w:rsidR="00000000" w:rsidRDefault="00000000">
            <w:pPr>
              <w:spacing w:before="60" w:after="60"/>
              <w:ind w:right="590"/>
              <w:jc w:val="center"/>
            </w:pPr>
            <w:r>
              <w:t>8</w:t>
            </w:r>
          </w:p>
        </w:tc>
        <w:tc>
          <w:tcPr>
            <w:tcW w:w="3480" w:type="dxa"/>
            <w:noWrap/>
            <w:vAlign w:val="center"/>
          </w:tcPr>
          <w:p w:rsidR="00000000" w:rsidRDefault="00000000">
            <w:pPr>
              <w:spacing w:before="60" w:after="60"/>
              <w:ind w:right="590"/>
              <w:jc w:val="center"/>
            </w:pPr>
            <w:r>
              <w:t>-</w:t>
            </w:r>
          </w:p>
        </w:tc>
      </w:tr>
    </w:tbl>
    <w:p w:rsidR="00000000" w:rsidRDefault="00000000">
      <w:pPr>
        <w:keepNext/>
        <w:spacing w:before="240" w:after="240"/>
        <w:jc w:val="center"/>
        <w:rPr>
          <w:b/>
          <w:bCs/>
        </w:rPr>
      </w:pPr>
      <w:r>
        <w:rPr>
          <w:b/>
          <w:bCs/>
        </w:rPr>
        <w:t>Conduite perverse avec une personne âgée de moins de 16 ans</w:t>
      </w:r>
    </w:p>
    <w:tbl>
      <w:tblPr>
        <w:tblW w:w="49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9"/>
        <w:gridCol w:w="3720"/>
        <w:gridCol w:w="3480"/>
      </w:tblGrid>
      <w:tr w:rsidR="00000000">
        <w:tblPrEx>
          <w:tblCellMar>
            <w:top w:w="0" w:type="dxa"/>
            <w:bottom w:w="0" w:type="dxa"/>
          </w:tblCellMar>
        </w:tblPrEx>
        <w:tc>
          <w:tcPr>
            <w:tcW w:w="2160" w:type="dxa"/>
            <w:noWrap/>
            <w:vAlign w:val="center"/>
          </w:tcPr>
          <w:p w:rsidR="00000000" w:rsidRDefault="00000000">
            <w:pPr>
              <w:spacing w:before="60" w:after="60"/>
              <w:jc w:val="center"/>
            </w:pPr>
            <w:r>
              <w:t>Année</w:t>
            </w:r>
          </w:p>
        </w:tc>
        <w:tc>
          <w:tcPr>
            <w:tcW w:w="3720" w:type="dxa"/>
            <w:noWrap/>
            <w:vAlign w:val="center"/>
          </w:tcPr>
          <w:p w:rsidR="00000000" w:rsidRDefault="00000000">
            <w:pPr>
              <w:spacing w:before="60" w:after="60"/>
              <w:jc w:val="center"/>
            </w:pPr>
            <w:r>
              <w:t>Nombre d’enquêtes engagées</w:t>
            </w:r>
          </w:p>
        </w:tc>
        <w:tc>
          <w:tcPr>
            <w:tcW w:w="3480" w:type="dxa"/>
            <w:noWrap/>
            <w:vAlign w:val="center"/>
          </w:tcPr>
          <w:p w:rsidR="00000000" w:rsidRDefault="00000000">
            <w:pPr>
              <w:spacing w:before="60" w:after="60"/>
              <w:jc w:val="center"/>
            </w:pPr>
            <w:r>
              <w:t>Affaires transmises au tribunal</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2001</w:t>
            </w:r>
          </w:p>
        </w:tc>
        <w:tc>
          <w:tcPr>
            <w:tcW w:w="3720" w:type="dxa"/>
            <w:noWrap/>
            <w:vAlign w:val="center"/>
          </w:tcPr>
          <w:p w:rsidR="00000000" w:rsidRDefault="00000000">
            <w:pPr>
              <w:spacing w:before="60" w:after="60"/>
              <w:ind w:right="590"/>
              <w:jc w:val="center"/>
            </w:pPr>
            <w:r>
              <w:t>3</w:t>
            </w:r>
          </w:p>
        </w:tc>
        <w:tc>
          <w:tcPr>
            <w:tcW w:w="3480" w:type="dxa"/>
            <w:noWrap/>
            <w:vAlign w:val="center"/>
          </w:tcPr>
          <w:p w:rsidR="00000000" w:rsidRDefault="00000000">
            <w:pPr>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2002</w:t>
            </w:r>
          </w:p>
        </w:tc>
        <w:tc>
          <w:tcPr>
            <w:tcW w:w="3720" w:type="dxa"/>
            <w:noWrap/>
            <w:vAlign w:val="center"/>
          </w:tcPr>
          <w:p w:rsidR="00000000" w:rsidRDefault="00000000">
            <w:pPr>
              <w:spacing w:before="60" w:after="60"/>
              <w:ind w:right="590"/>
              <w:jc w:val="center"/>
            </w:pPr>
            <w:r>
              <w:t>4</w:t>
            </w:r>
          </w:p>
        </w:tc>
        <w:tc>
          <w:tcPr>
            <w:tcW w:w="3480" w:type="dxa"/>
            <w:noWrap/>
            <w:vAlign w:val="center"/>
          </w:tcPr>
          <w:p w:rsidR="00000000" w:rsidRDefault="00000000">
            <w:pPr>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2003</w:t>
            </w:r>
          </w:p>
        </w:tc>
        <w:tc>
          <w:tcPr>
            <w:tcW w:w="3720" w:type="dxa"/>
            <w:noWrap/>
            <w:vAlign w:val="center"/>
          </w:tcPr>
          <w:p w:rsidR="00000000" w:rsidRDefault="00000000">
            <w:pPr>
              <w:spacing w:before="60" w:after="60"/>
              <w:ind w:right="590"/>
              <w:jc w:val="center"/>
            </w:pPr>
            <w:r>
              <w:t>4</w:t>
            </w:r>
          </w:p>
        </w:tc>
        <w:tc>
          <w:tcPr>
            <w:tcW w:w="3480" w:type="dxa"/>
            <w:noWrap/>
            <w:vAlign w:val="center"/>
          </w:tcPr>
          <w:p w:rsidR="00000000" w:rsidRDefault="00000000">
            <w:pPr>
              <w:spacing w:before="60" w:after="60"/>
              <w:ind w:right="590"/>
              <w:jc w:val="center"/>
            </w:pPr>
            <w:r>
              <w:t>-</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2004</w:t>
            </w:r>
          </w:p>
        </w:tc>
        <w:tc>
          <w:tcPr>
            <w:tcW w:w="3720" w:type="dxa"/>
            <w:noWrap/>
            <w:vAlign w:val="center"/>
          </w:tcPr>
          <w:p w:rsidR="00000000" w:rsidRDefault="00000000">
            <w:pPr>
              <w:spacing w:before="60" w:after="60"/>
              <w:ind w:right="590"/>
              <w:jc w:val="center"/>
            </w:pPr>
            <w:r>
              <w:t>9</w:t>
            </w:r>
          </w:p>
        </w:tc>
        <w:tc>
          <w:tcPr>
            <w:tcW w:w="3480" w:type="dxa"/>
            <w:noWrap/>
            <w:vAlign w:val="center"/>
          </w:tcPr>
          <w:p w:rsidR="00000000" w:rsidRDefault="00000000">
            <w:pPr>
              <w:spacing w:before="60" w:after="60"/>
              <w:ind w:right="590"/>
              <w:jc w:val="center"/>
            </w:pPr>
            <w:r>
              <w:t>3</w:t>
            </w:r>
          </w:p>
        </w:tc>
      </w:tr>
      <w:tr w:rsidR="00000000">
        <w:tblPrEx>
          <w:tblCellMar>
            <w:top w:w="0" w:type="dxa"/>
            <w:bottom w:w="0" w:type="dxa"/>
          </w:tblCellMar>
        </w:tblPrEx>
        <w:tc>
          <w:tcPr>
            <w:tcW w:w="2160" w:type="dxa"/>
            <w:noWrap/>
            <w:vAlign w:val="center"/>
          </w:tcPr>
          <w:p w:rsidR="00000000" w:rsidRDefault="00000000">
            <w:pPr>
              <w:spacing w:before="60" w:after="60"/>
              <w:jc w:val="center"/>
            </w:pPr>
            <w:r>
              <w:t>2005</w:t>
            </w:r>
          </w:p>
        </w:tc>
        <w:tc>
          <w:tcPr>
            <w:tcW w:w="3720" w:type="dxa"/>
            <w:noWrap/>
            <w:vAlign w:val="center"/>
          </w:tcPr>
          <w:p w:rsidR="00000000" w:rsidRDefault="00000000">
            <w:pPr>
              <w:spacing w:before="60" w:after="60"/>
              <w:ind w:right="590"/>
              <w:jc w:val="center"/>
            </w:pPr>
            <w:r>
              <w:t>15</w:t>
            </w:r>
          </w:p>
        </w:tc>
        <w:tc>
          <w:tcPr>
            <w:tcW w:w="3480" w:type="dxa"/>
            <w:noWrap/>
            <w:vAlign w:val="center"/>
          </w:tcPr>
          <w:p w:rsidR="00000000" w:rsidRDefault="00000000">
            <w:pPr>
              <w:spacing w:before="60" w:after="60"/>
              <w:ind w:right="590"/>
              <w:jc w:val="center"/>
            </w:pPr>
            <w:r>
              <w:t>4</w:t>
            </w:r>
          </w:p>
        </w:tc>
      </w:tr>
    </w:tbl>
    <w:p w:rsidR="00000000" w:rsidRDefault="00000000">
      <w:pPr>
        <w:keepNext/>
        <w:spacing w:before="240" w:after="240"/>
        <w:rPr>
          <w:b/>
          <w:bCs/>
        </w:rPr>
      </w:pPr>
      <w:r>
        <w:rPr>
          <w:b/>
          <w:bCs/>
        </w:rPr>
        <w:t>3.</w:t>
      </w:r>
      <w:r>
        <w:rPr>
          <w:b/>
          <w:bCs/>
        </w:rPr>
        <w:tab/>
        <w:t>Toxicomanie (art. 33)/problème des «enfants des rues»</w:t>
      </w:r>
    </w:p>
    <w:p w:rsidR="00000000" w:rsidRDefault="00000000">
      <w:pPr>
        <w:spacing w:after="240"/>
      </w:pPr>
      <w:r>
        <w:t>270.</w:t>
      </w:r>
      <w:r>
        <w:tab/>
        <w:t>Dans ses observations finales, le Comité recommande à l’État partie:</w:t>
      </w:r>
    </w:p>
    <w:p w:rsidR="00000000" w:rsidRDefault="00000000">
      <w:pPr>
        <w:spacing w:after="240"/>
        <w:ind w:firstLine="567"/>
      </w:pPr>
      <w:r>
        <w:t>a)</w:t>
      </w:r>
      <w:r>
        <w:tab/>
        <w:t>De réaliser une étude pour évaluer l’étendue et les causes de ce phénomène et d’envisager de mettre en place, avec la participation des enfants des rues, une stratégie globale visant à freiner l’accroissement de leur nombre, afin de prévenir et limiter ce phénomène, et ce dans l’intérêt supérieur des enfants;</w:t>
      </w:r>
    </w:p>
    <w:p w:rsidR="00000000" w:rsidRDefault="00000000">
      <w:pPr>
        <w:spacing w:after="240"/>
        <w:ind w:firstLine="567"/>
      </w:pPr>
      <w:r>
        <w:t>b)</w:t>
      </w:r>
      <w:r>
        <w:tab/>
        <w:t>De redoubler d’efforts pour protéger les enfants des rues et garantir leur accès à l’éducation et aux services de santé;</w:t>
      </w:r>
    </w:p>
    <w:p w:rsidR="00000000" w:rsidRDefault="00000000">
      <w:pPr>
        <w:spacing w:after="240"/>
        <w:ind w:firstLine="567"/>
      </w:pPr>
      <w:r>
        <w:t>c)</w:t>
      </w:r>
      <w:r>
        <w:tab/>
        <w:t>De renforcer dans ce contexte l’appui et l’assistance aux familles;</w:t>
      </w:r>
    </w:p>
    <w:p w:rsidR="00000000" w:rsidRDefault="00000000">
      <w:pPr>
        <w:spacing w:after="240"/>
        <w:ind w:firstLine="567"/>
      </w:pPr>
      <w:r>
        <w:t>d)</w:t>
      </w:r>
      <w:r>
        <w:tab/>
        <w:t>De continuer à appuyer les ONG qui viennent en aide à ces enfants.</w:t>
      </w:r>
    </w:p>
    <w:p w:rsidR="00000000" w:rsidRDefault="00000000">
      <w:pPr>
        <w:spacing w:after="240"/>
      </w:pPr>
      <w:r>
        <w:t>271.</w:t>
      </w:r>
      <w:r>
        <w:tab/>
        <w:t>D’autre part, le Comité réitère sa précédente recommandation à cet égard et encourage l’État partie à renforcer les mesures préventives et à soutenir des programmes de réadaptation destinés aux enfants victimes de la consommation d’alcool, de drogues et de substances toxiques, notamment en sollicitant l’assistance de l’UNICEF et de l’OMS.</w:t>
      </w:r>
    </w:p>
    <w:p w:rsidR="00000000" w:rsidRDefault="00000000">
      <w:pPr>
        <w:spacing w:after="240"/>
      </w:pPr>
      <w:r>
        <w:t>272.</w:t>
      </w:r>
      <w:r>
        <w:tab/>
        <w:t>D’après le Ministère du travail, de la santé et des affaires sociales</w:t>
      </w:r>
      <w:r>
        <w:rPr>
          <w:rStyle w:val="FootnoteReference"/>
        </w:rPr>
        <w:footnoteReference w:id="21"/>
      </w:r>
      <w:r>
        <w:t>, l’examen de la situation économique et sociale en Géorgie, en particulier dans la capitale de Tbilissi, a révélé au grand jour le problème de ce que l’on appelle les «enfants des rues», et en particulier des enfants et des adolescents en situation vulnérable. Les enfants et adolescents ont besoin rapidement d’une réadaptation et d’acquérir des qualifications professionnelles pour pouvoir retrouver leur place dans la société. À cet effet, la municipalité de Tbilissi a mis en œuvre en 2005</w:t>
      </w:r>
      <w:r>
        <w:noBreakHyphen/>
        <w:t xml:space="preserve">2006 plusieurs programmes sociaux dont ceux passés en revue </w:t>
      </w:r>
      <w:proofErr w:type="spellStart"/>
      <w:r>
        <w:t>ci</w:t>
      </w:r>
      <w:r>
        <w:noBreakHyphen/>
        <w:t>après</w:t>
      </w:r>
      <w:proofErr w:type="spellEnd"/>
      <w:r>
        <w:t>:</w:t>
      </w:r>
    </w:p>
    <w:p w:rsidR="00000000" w:rsidRDefault="00000000">
      <w:pPr>
        <w:spacing w:after="240"/>
        <w:ind w:firstLine="567"/>
      </w:pPr>
      <w:r>
        <w:t>a)</w:t>
      </w:r>
      <w:r>
        <w:tab/>
        <w:t>Programme pour l’intégration sociale des enfants des rues.</w:t>
      </w:r>
    </w:p>
    <w:p w:rsidR="00000000" w:rsidRDefault="00000000">
      <w:pPr>
        <w:spacing w:after="240"/>
      </w:pPr>
      <w:r>
        <w:t>273.</w:t>
      </w:r>
      <w:r>
        <w:tab/>
        <w:t>En raison de la situation évoquée plus haut, il a été nécessaire de créer des centres spéciaux pour exécuter le programme dont, par exemple, le Centre pour l’adaptation sociale des enfants, inauguré officiellement en juin 2005. Les principales activités de ce centre sont les suivantes:</w:t>
      </w:r>
    </w:p>
    <w:p w:rsidR="00000000" w:rsidRDefault="00000000">
      <w:pPr>
        <w:numPr>
          <w:ilvl w:val="0"/>
          <w:numId w:val="156"/>
        </w:numPr>
        <w:spacing w:after="240"/>
      </w:pPr>
      <w:r>
        <w:t>Examen de l’état de santé mentale et physique des enfants et des adolescents;</w:t>
      </w:r>
    </w:p>
    <w:p w:rsidR="00000000" w:rsidRDefault="00000000">
      <w:pPr>
        <w:numPr>
          <w:ilvl w:val="0"/>
          <w:numId w:val="156"/>
        </w:numPr>
        <w:spacing w:after="240"/>
      </w:pPr>
      <w:r>
        <w:t>Examen des relations des enfants et des adolescents avec leur famille;</w:t>
      </w:r>
    </w:p>
    <w:p w:rsidR="00000000" w:rsidRDefault="00000000">
      <w:pPr>
        <w:numPr>
          <w:ilvl w:val="0"/>
          <w:numId w:val="156"/>
        </w:numPr>
        <w:spacing w:after="240"/>
      </w:pPr>
      <w:r>
        <w:t>Élaboration des meilleures stratégies pour l’amélioration des conditions sanitaires et du niveau de vie des enfants et des adolescents et pour leur épanouissement;</w:t>
      </w:r>
    </w:p>
    <w:p w:rsidR="00000000" w:rsidRDefault="00000000">
      <w:pPr>
        <w:numPr>
          <w:ilvl w:val="0"/>
          <w:numId w:val="156"/>
        </w:numPr>
        <w:spacing w:after="240"/>
      </w:pPr>
      <w:r>
        <w:t>Installation des enfants et des adolescents dans le milieu le plus adapté;</w:t>
      </w:r>
    </w:p>
    <w:p w:rsidR="00000000" w:rsidRDefault="00000000">
      <w:pPr>
        <w:numPr>
          <w:ilvl w:val="0"/>
          <w:numId w:val="156"/>
        </w:numPr>
        <w:spacing w:after="240"/>
      </w:pPr>
      <w:r>
        <w:t>Identification des enfants et des adolescents vulnérables, étude de leurs relations familiales et coopération avec leur famille;</w:t>
      </w:r>
    </w:p>
    <w:p w:rsidR="00000000" w:rsidRDefault="00000000">
      <w:pPr>
        <w:numPr>
          <w:ilvl w:val="0"/>
          <w:numId w:val="156"/>
        </w:numPr>
        <w:spacing w:after="240"/>
      </w:pPr>
      <w:r>
        <w:t>Examen de la situation des enfants et des adolescents ayant des problèmes de santé spécifiques (examen pédiatrique, dépistage de la tuberculose, des maladies de la peau et des maladies vénériennes, du VIH/sida, tests de consommation de substances toxiques);</w:t>
      </w:r>
    </w:p>
    <w:p w:rsidR="00000000" w:rsidRDefault="00000000">
      <w:pPr>
        <w:numPr>
          <w:ilvl w:val="0"/>
          <w:numId w:val="156"/>
        </w:numPr>
        <w:spacing w:after="240"/>
      </w:pPr>
      <w:r>
        <w:t>Examen de l’état psychique des enfants et adolescents;</w:t>
      </w:r>
    </w:p>
    <w:p w:rsidR="00000000" w:rsidRDefault="00000000">
      <w:pPr>
        <w:numPr>
          <w:ilvl w:val="0"/>
          <w:numId w:val="156"/>
        </w:numPr>
        <w:spacing w:after="240"/>
      </w:pPr>
      <w:r>
        <w:t>Aide psychologique;</w:t>
      </w:r>
    </w:p>
    <w:p w:rsidR="00000000" w:rsidRDefault="00000000">
      <w:pPr>
        <w:spacing w:after="240"/>
        <w:ind w:firstLine="567"/>
      </w:pPr>
      <w:r>
        <w:t>b)</w:t>
      </w:r>
      <w:r>
        <w:tab/>
        <w:t>Programme d’assistance aux enfants délaissés (activités d’éveil cognitif à l’intention des enfants sans abri dans les centres et facilitation de leur placement professionnel ultérieur);</w:t>
      </w:r>
    </w:p>
    <w:p w:rsidR="00000000" w:rsidRDefault="00000000">
      <w:pPr>
        <w:spacing w:after="240"/>
        <w:ind w:firstLine="567"/>
      </w:pPr>
      <w:r>
        <w:t>c)</w:t>
      </w:r>
      <w:r>
        <w:tab/>
        <w:t>Programme de formation, d’éducation complémentaire et d’enseignement des métiers (études de marché pour déterminer les branches d’activité où la demande est forte et évaluation des compétences des enfants placés dans des centres ou issus de familles socialement vulnérables, afin de les former à ces métiers et de faciliter leur placement professionnel).</w:t>
      </w:r>
    </w:p>
    <w:p w:rsidR="00000000" w:rsidRDefault="00000000">
      <w:pPr>
        <w:spacing w:after="240"/>
      </w:pPr>
      <w:r>
        <w:t>274.</w:t>
      </w:r>
      <w:r>
        <w:tab/>
        <w:t>Avec le concours de l’UNICEF et de l’ONG World Vision International, un projet intitulé «Aider les enfants des rues» a été exécuté en 2005</w:t>
      </w:r>
      <w:r>
        <w:noBreakHyphen/>
        <w:t xml:space="preserve">2006. Il visait à soutenir la réinsertion sociale des enfants des rues et des enfants vulnérables. Dans le cadre de ce projet, des activités de formation à l’intention des participants au projet ont été conçues conformément à la méthode de l’ONG canadienne </w:t>
      </w:r>
      <w:proofErr w:type="spellStart"/>
      <w:r>
        <w:t>Street</w:t>
      </w:r>
      <w:proofErr w:type="spellEnd"/>
      <w:r>
        <w:t xml:space="preserve"> Kids International, adaptées aux conditions locales. La formation a été organisée dans quatre grandes villes de Géorgie: Tbilissi, </w:t>
      </w:r>
      <w:proofErr w:type="spellStart"/>
      <w:r>
        <w:t>Kutaisi</w:t>
      </w:r>
      <w:proofErr w:type="spellEnd"/>
      <w:r>
        <w:t xml:space="preserve">, </w:t>
      </w:r>
      <w:proofErr w:type="spellStart"/>
      <w:r>
        <w:t>Batumi</w:t>
      </w:r>
      <w:proofErr w:type="spellEnd"/>
      <w:r>
        <w:t xml:space="preserve"> et </w:t>
      </w:r>
      <w:proofErr w:type="spellStart"/>
      <w:r>
        <w:t>Telavi</w:t>
      </w:r>
      <w:proofErr w:type="spellEnd"/>
      <w:r>
        <w:t>, et les sujets suivants ont été traités: compétences décisionnelles, prévention des toxicomanies particulièrement nocives et prévention des maladies sexuellement transmissibles. Cent cinquante formateurs appartenant à des organismes de l’État et des ONG ont été formés. Des enfants des rues ont participé à cette formation.</w:t>
      </w:r>
    </w:p>
    <w:p w:rsidR="00000000" w:rsidRDefault="00000000">
      <w:pPr>
        <w:spacing w:after="240"/>
      </w:pPr>
      <w:r>
        <w:t>275.</w:t>
      </w:r>
      <w:r>
        <w:tab/>
        <w:t>En avril 2006, un amendement à l’article 171 du Code pénal a été adopté, en vertu duquel le fait d’inciter des mineurs à utiliser dans un cadre non médical des substances soporifiques et pharmaceutiques est passible d’une peine allant d’une restriction de liberté à trois ans d’emprisonnement.</w:t>
      </w:r>
    </w:p>
    <w:p w:rsidR="00000000" w:rsidRDefault="00000000">
      <w:pPr>
        <w:spacing w:after="240"/>
      </w:pPr>
      <w:r>
        <w:t>276.</w:t>
      </w:r>
      <w:r>
        <w:tab/>
        <w:t>Les questions relatives à la toxicomanie et à l’alcoolisme sont abordées dans des termes généraux dans le programme scolaire, principalement dans le «programme pour l’éducation civique».</w:t>
      </w:r>
    </w:p>
    <w:p w:rsidR="00000000" w:rsidRDefault="00000000">
      <w:pPr>
        <w:spacing w:after="240"/>
      </w:pPr>
      <w:r>
        <w:t>277.</w:t>
      </w:r>
      <w:r>
        <w:tab/>
        <w:t>D’après le Ministère de l’intérieur, pendant la période considérée, huit jeunes ont été inculpés de délits visés à l’article 273 du Code pénal (production illicite, achat, stockage ou utilisation illicite sans prescription médicale d’une petite quantité de stupéfiants ou de substances analogues ou de leurs précurseurs) et condamnés.</w:t>
      </w:r>
    </w:p>
    <w:p w:rsidR="00000000" w:rsidRDefault="00000000">
      <w:pPr>
        <w:keepNext/>
        <w:spacing w:after="240"/>
        <w:jc w:val="center"/>
        <w:rPr>
          <w:b/>
          <w:bCs/>
        </w:rPr>
      </w:pPr>
      <w:r>
        <w:rPr>
          <w:b/>
          <w:bCs/>
        </w:rPr>
        <w:t>C.  Enfants en conflit avec la loi</w:t>
      </w:r>
    </w:p>
    <w:p w:rsidR="00000000" w:rsidRDefault="00000000">
      <w:pPr>
        <w:keepNext/>
        <w:spacing w:after="240"/>
      </w:pPr>
      <w:r>
        <w:rPr>
          <w:b/>
          <w:bCs/>
        </w:rPr>
        <w:t>1.</w:t>
      </w:r>
      <w:r>
        <w:rPr>
          <w:b/>
          <w:bCs/>
        </w:rPr>
        <w:tab/>
        <w:t>Administration de la justice pour mineurs (art. 40)</w:t>
      </w:r>
    </w:p>
    <w:p w:rsidR="00000000" w:rsidRDefault="00000000">
      <w:pPr>
        <w:spacing w:after="240"/>
      </w:pPr>
      <w:r>
        <w:t>278.</w:t>
      </w:r>
      <w:r>
        <w:tab/>
        <w:t>Dans ses observations finales, le Comité réitère sa précédente recommandation visant à ce que l’État partie:</w:t>
      </w:r>
    </w:p>
    <w:p w:rsidR="00000000" w:rsidRDefault="00000000">
      <w:pPr>
        <w:spacing w:after="240"/>
        <w:ind w:firstLine="567"/>
        <w:rPr>
          <w:bCs/>
        </w:rPr>
      </w:pPr>
      <w:r>
        <w:t>a)</w:t>
      </w:r>
      <w:r>
        <w:tab/>
        <w:t>Veille à l’application intégrale des normes relatives à la justice pour mineurs et, en particulier,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compte tenu également des discussions du Comité à l’occasion de la journée de débat général qu’il a consacrée à l’administration de la justice pour mineurs en 1995;</w:t>
      </w:r>
    </w:p>
    <w:p w:rsidR="00000000" w:rsidRDefault="00000000">
      <w:pPr>
        <w:spacing w:after="240"/>
        <w:ind w:firstLine="567"/>
        <w:rPr>
          <w:bCs/>
        </w:rPr>
      </w:pPr>
      <w:r>
        <w:rPr>
          <w:bCs/>
        </w:rPr>
        <w:t>b)</w:t>
      </w:r>
      <w:r>
        <w:rPr>
          <w:bCs/>
        </w:rPr>
        <w:tab/>
        <w:t xml:space="preserve">Ne recoure à la détention, y compris la détention préventive, qu’en dernier ressort et pour la durée la plus courte possible et mette au point des mesures de remplacement, telles que travaux d’intérêt général et placement dans des centres à régime </w:t>
      </w:r>
      <w:proofErr w:type="spellStart"/>
      <w:r>
        <w:rPr>
          <w:bCs/>
        </w:rPr>
        <w:t>semi</w:t>
      </w:r>
      <w:r>
        <w:rPr>
          <w:bCs/>
        </w:rPr>
        <w:noBreakHyphen/>
        <w:t>ouvert</w:t>
      </w:r>
      <w:proofErr w:type="spellEnd"/>
      <w:r>
        <w:rPr>
          <w:bCs/>
        </w:rPr>
        <w:t>, pour prendre en charge les jeunes délinquants d’une façon plus efficace et appropriée;</w:t>
      </w:r>
    </w:p>
    <w:p w:rsidR="00000000" w:rsidRDefault="00000000">
      <w:pPr>
        <w:spacing w:after="240"/>
        <w:ind w:firstLine="567"/>
        <w:rPr>
          <w:bCs/>
        </w:rPr>
      </w:pPr>
      <w:r>
        <w:rPr>
          <w:bCs/>
        </w:rPr>
        <w:t>c)</w:t>
      </w:r>
      <w:r>
        <w:rPr>
          <w:bCs/>
        </w:rPr>
        <w:tab/>
        <w:t>Compte tenu de l’article 39 de la Convention, prenne les mesures appropriées pour faciliter la réadaptation et la réinsertion sociale des enfants qui ont eu maille à partir avec la justice pour mineurs, notamment en prévoyant un enseignement approprié et un système de contrôle adéquat pour faciliter la réinsertion;</w:t>
      </w:r>
    </w:p>
    <w:p w:rsidR="00000000" w:rsidRDefault="00000000">
      <w:pPr>
        <w:spacing w:after="240"/>
        <w:ind w:firstLine="567"/>
        <w:rPr>
          <w:bCs/>
        </w:rPr>
      </w:pPr>
      <w:r>
        <w:rPr>
          <w:bCs/>
        </w:rPr>
        <w:t>d)</w:t>
      </w:r>
      <w:r>
        <w:rPr>
          <w:bCs/>
        </w:rPr>
        <w:tab/>
        <w:t>Mette l’accent sur la prévention, notamment en privilégiant le rôle de la famille et de la collectivité, afin de prévenir la délinquance juvénile;</w:t>
      </w:r>
    </w:p>
    <w:p w:rsidR="00000000" w:rsidRDefault="00000000">
      <w:pPr>
        <w:spacing w:after="240"/>
        <w:ind w:firstLine="567"/>
        <w:rPr>
          <w:bCs/>
        </w:rPr>
      </w:pPr>
      <w:r>
        <w:rPr>
          <w:bCs/>
        </w:rPr>
        <w:t>e)</w:t>
      </w:r>
      <w:r>
        <w:rPr>
          <w:bCs/>
        </w:rPr>
        <w:tab/>
        <w:t xml:space="preserve">Sollicite une assistance technique dans le domaine de la justice pour mineurs, notamment auprès du </w:t>
      </w:r>
      <w:proofErr w:type="spellStart"/>
      <w:r>
        <w:rPr>
          <w:bCs/>
        </w:rPr>
        <w:t>Haut</w:t>
      </w:r>
      <w:r>
        <w:rPr>
          <w:bCs/>
        </w:rPr>
        <w:noBreakHyphen/>
        <w:t>Commissariat</w:t>
      </w:r>
      <w:proofErr w:type="spellEnd"/>
      <w:r>
        <w:rPr>
          <w:bCs/>
        </w:rPr>
        <w:t xml:space="preserve"> aux droits de l’homme et de l’UNICEF.</w:t>
      </w:r>
    </w:p>
    <w:p w:rsidR="00000000" w:rsidRDefault="00000000">
      <w:pPr>
        <w:spacing w:after="240"/>
        <w:rPr>
          <w:bCs/>
        </w:rPr>
      </w:pPr>
      <w:r>
        <w:rPr>
          <w:bCs/>
        </w:rPr>
        <w:t>279.</w:t>
      </w:r>
      <w:r>
        <w:rPr>
          <w:bCs/>
        </w:rPr>
        <w:tab/>
        <w:t>D’après le Ministère de l’intérieur, au cours de la période considérée (2000</w:t>
      </w:r>
      <w:r>
        <w:rPr>
          <w:bCs/>
        </w:rPr>
        <w:noBreakHyphen/>
        <w:t>2005), des procédures pénales ont été engagées contre 2 050 mineurs, dont 14 jeunes filles. Les données ventilées par année concernant ces poursuites sont les suivantes:</w:t>
      </w:r>
    </w:p>
    <w:p w:rsidR="00000000" w:rsidRDefault="00000000">
      <w:pPr>
        <w:spacing w:after="240"/>
        <w:ind w:left="567"/>
        <w:rPr>
          <w:bCs/>
        </w:rPr>
      </w:pPr>
      <w:r>
        <w:rPr>
          <w:bCs/>
        </w:rPr>
        <w:t>2000 − 424 mineurs, dont 1 fille;</w:t>
      </w:r>
    </w:p>
    <w:p w:rsidR="00000000" w:rsidRDefault="00000000">
      <w:pPr>
        <w:spacing w:after="240"/>
        <w:ind w:left="567"/>
        <w:rPr>
          <w:bCs/>
        </w:rPr>
      </w:pPr>
      <w:r>
        <w:rPr>
          <w:bCs/>
        </w:rPr>
        <w:t>2001 − 382 mineurs, dont 1 fille;</w:t>
      </w:r>
    </w:p>
    <w:p w:rsidR="00000000" w:rsidRDefault="00000000">
      <w:pPr>
        <w:spacing w:after="240"/>
        <w:ind w:left="567"/>
        <w:rPr>
          <w:bCs/>
        </w:rPr>
      </w:pPr>
      <w:r>
        <w:rPr>
          <w:bCs/>
        </w:rPr>
        <w:t>2002 − 294 mineurs, dont 1 fille;</w:t>
      </w:r>
    </w:p>
    <w:p w:rsidR="00000000" w:rsidRDefault="00000000">
      <w:pPr>
        <w:spacing w:after="240"/>
        <w:ind w:left="567"/>
        <w:rPr>
          <w:bCs/>
        </w:rPr>
      </w:pPr>
      <w:r>
        <w:rPr>
          <w:bCs/>
        </w:rPr>
        <w:t>2003 − 372 mineurs, dont 5 filles;</w:t>
      </w:r>
    </w:p>
    <w:p w:rsidR="00000000" w:rsidRDefault="00000000">
      <w:pPr>
        <w:spacing w:after="240"/>
        <w:ind w:left="567"/>
        <w:rPr>
          <w:bCs/>
        </w:rPr>
      </w:pPr>
      <w:r>
        <w:rPr>
          <w:bCs/>
        </w:rPr>
        <w:t>2004 − 446 mineurs, dont 3 filles;</w:t>
      </w:r>
    </w:p>
    <w:p w:rsidR="00000000" w:rsidRDefault="00000000">
      <w:pPr>
        <w:spacing w:after="240"/>
        <w:ind w:left="567"/>
        <w:rPr>
          <w:bCs/>
        </w:rPr>
      </w:pPr>
      <w:r>
        <w:rPr>
          <w:bCs/>
        </w:rPr>
        <w:t>2005 − 132 mineurs, dont 2 filles.</w:t>
      </w:r>
    </w:p>
    <w:p w:rsidR="00000000" w:rsidRDefault="00000000">
      <w:pPr>
        <w:spacing w:after="240"/>
        <w:rPr>
          <w:bCs/>
        </w:rPr>
      </w:pPr>
      <w:r>
        <w:rPr>
          <w:bCs/>
        </w:rPr>
        <w:t>280.</w:t>
      </w:r>
      <w:r>
        <w:rPr>
          <w:bCs/>
        </w:rPr>
        <w:tab/>
        <w:t>Le nombre de mineurs condamnés par année a été le suivant: 2000 − 27; 2001 − 24; 2002 − 22; 2003 − 20; 2004 − 13; 2005 − 19.</w:t>
      </w:r>
    </w:p>
    <w:p w:rsidR="00000000" w:rsidRDefault="00000000">
      <w:pPr>
        <w:spacing w:after="240"/>
        <w:rPr>
          <w:bCs/>
        </w:rPr>
      </w:pPr>
      <w:r>
        <w:rPr>
          <w:bCs/>
        </w:rPr>
        <w:t>281.</w:t>
      </w:r>
      <w:r>
        <w:rPr>
          <w:bCs/>
        </w:rPr>
        <w:tab/>
        <w:t>D’après le Ministère de l’intérieur, au cours de la période considérée (2000</w:t>
      </w:r>
      <w:r>
        <w:rPr>
          <w:bCs/>
        </w:rPr>
        <w:noBreakHyphen/>
        <w:t>2005), les délits dont les mineurs ont été le plus souvent victimes sont les infractions à caractère sexuel visées à l’article 140 du Code pénal (rapports sexuels ou toute autre sorte de comportement sexuel avec une personne âgée de moins de 16 ans) et la traite (art. 143</w:t>
      </w:r>
      <w:r>
        <w:rPr>
          <w:bCs/>
        </w:rPr>
        <w:noBreakHyphen/>
        <w:t>2 du Code pénal).</w:t>
      </w:r>
    </w:p>
    <w:p w:rsidR="00000000" w:rsidRDefault="00000000">
      <w:pPr>
        <w:spacing w:after="240"/>
      </w:pPr>
      <w:r>
        <w:rPr>
          <w:bCs/>
        </w:rPr>
        <w:t>282.</w:t>
      </w:r>
      <w:r>
        <w:rPr>
          <w:bCs/>
        </w:rPr>
        <w:tab/>
        <w:t>D’après le Ministère de l’intérieur, des enquêtes pénales ont été menées en 2005 dans le cadre de quatre affaires de suicide de mineur.</w:t>
      </w:r>
    </w:p>
    <w:p w:rsidR="00000000" w:rsidRDefault="00000000">
      <w:pPr>
        <w:spacing w:after="240"/>
      </w:pPr>
      <w:r>
        <w:t>283.</w:t>
      </w:r>
      <w:r>
        <w:tab/>
        <w:t>De 2000 à 2005, aucun cas de torture ou autre peine ou traitement inhumain ou dégradant sur la personne d’un mineur n’a été enregistré.</w:t>
      </w:r>
    </w:p>
    <w:p w:rsidR="00000000" w:rsidRDefault="00000000">
      <w:pPr>
        <w:spacing w:after="240"/>
      </w:pPr>
      <w:r>
        <w:t>284.</w:t>
      </w:r>
      <w:r>
        <w:tab/>
        <w:t>Des données statistiques sur les infractions commises par des mineurs pendant la période 2000</w:t>
      </w:r>
      <w:r>
        <w:noBreakHyphen/>
        <w:t xml:space="preserve">2005 sont présentées dans le tableau </w:t>
      </w:r>
      <w:proofErr w:type="spellStart"/>
      <w:r>
        <w:t>ci</w:t>
      </w:r>
      <w:r>
        <w:noBreakHyphen/>
        <w:t>après</w:t>
      </w:r>
      <w:proofErr w:type="spellEnd"/>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1080"/>
        <w:gridCol w:w="960"/>
        <w:gridCol w:w="980"/>
        <w:gridCol w:w="960"/>
        <w:gridCol w:w="960"/>
        <w:gridCol w:w="906"/>
      </w:tblGrid>
      <w:tr w:rsidR="00000000">
        <w:tblPrEx>
          <w:tblCellMar>
            <w:top w:w="0" w:type="dxa"/>
            <w:bottom w:w="0" w:type="dxa"/>
          </w:tblCellMar>
        </w:tblPrEx>
        <w:trPr>
          <w:cantSplit/>
        </w:trPr>
        <w:tc>
          <w:tcPr>
            <w:tcW w:w="3550" w:type="dxa"/>
            <w:vMerge w:val="restart"/>
            <w:vAlign w:val="center"/>
          </w:tcPr>
          <w:p w:rsidR="00000000" w:rsidRDefault="00000000">
            <w:pPr>
              <w:spacing w:before="40" w:after="40"/>
              <w:jc w:val="center"/>
            </w:pPr>
            <w:r>
              <w:t>Type d’infraction</w:t>
            </w:r>
          </w:p>
        </w:tc>
        <w:tc>
          <w:tcPr>
            <w:tcW w:w="5846" w:type="dxa"/>
            <w:gridSpan w:val="6"/>
          </w:tcPr>
          <w:p w:rsidR="00000000" w:rsidRDefault="00000000">
            <w:pPr>
              <w:spacing w:before="40" w:after="40"/>
              <w:jc w:val="center"/>
            </w:pPr>
            <w:r>
              <w:t>Nombre d’infractions commises</w:t>
            </w:r>
          </w:p>
        </w:tc>
      </w:tr>
      <w:tr w:rsidR="00000000">
        <w:tblPrEx>
          <w:tblCellMar>
            <w:top w:w="0" w:type="dxa"/>
            <w:bottom w:w="0" w:type="dxa"/>
          </w:tblCellMar>
        </w:tblPrEx>
        <w:trPr>
          <w:cantSplit/>
        </w:trPr>
        <w:tc>
          <w:tcPr>
            <w:tcW w:w="3550" w:type="dxa"/>
            <w:vMerge/>
          </w:tcPr>
          <w:p w:rsidR="00000000" w:rsidRDefault="00000000">
            <w:pPr>
              <w:spacing w:before="40" w:after="40"/>
              <w:jc w:val="center"/>
            </w:pPr>
          </w:p>
        </w:tc>
        <w:tc>
          <w:tcPr>
            <w:tcW w:w="1080" w:type="dxa"/>
          </w:tcPr>
          <w:p w:rsidR="00000000" w:rsidRDefault="00000000">
            <w:pPr>
              <w:spacing w:before="40" w:after="40"/>
              <w:jc w:val="center"/>
            </w:pPr>
            <w:r>
              <w:t>2000</w:t>
            </w:r>
          </w:p>
        </w:tc>
        <w:tc>
          <w:tcPr>
            <w:tcW w:w="960" w:type="dxa"/>
          </w:tcPr>
          <w:p w:rsidR="00000000" w:rsidRDefault="00000000">
            <w:pPr>
              <w:spacing w:before="40" w:after="40"/>
              <w:jc w:val="center"/>
            </w:pPr>
            <w:r>
              <w:t>2001</w:t>
            </w:r>
          </w:p>
        </w:tc>
        <w:tc>
          <w:tcPr>
            <w:tcW w:w="980" w:type="dxa"/>
          </w:tcPr>
          <w:p w:rsidR="00000000" w:rsidRDefault="00000000">
            <w:pPr>
              <w:spacing w:before="40" w:after="40"/>
              <w:jc w:val="center"/>
            </w:pPr>
            <w:r>
              <w:t>2002</w:t>
            </w:r>
          </w:p>
        </w:tc>
        <w:tc>
          <w:tcPr>
            <w:tcW w:w="960" w:type="dxa"/>
          </w:tcPr>
          <w:p w:rsidR="00000000" w:rsidRDefault="00000000">
            <w:pPr>
              <w:spacing w:before="40" w:after="40"/>
              <w:jc w:val="center"/>
            </w:pPr>
            <w:r>
              <w:t>2003</w:t>
            </w:r>
          </w:p>
        </w:tc>
        <w:tc>
          <w:tcPr>
            <w:tcW w:w="960" w:type="dxa"/>
          </w:tcPr>
          <w:p w:rsidR="00000000" w:rsidRDefault="00000000">
            <w:pPr>
              <w:spacing w:before="40" w:after="40"/>
              <w:jc w:val="center"/>
            </w:pPr>
            <w:r>
              <w:t>2004</w:t>
            </w:r>
          </w:p>
        </w:tc>
        <w:tc>
          <w:tcPr>
            <w:tcW w:w="906" w:type="dxa"/>
          </w:tcPr>
          <w:p w:rsidR="00000000" w:rsidRDefault="00000000">
            <w:pPr>
              <w:spacing w:before="40" w:after="40"/>
              <w:jc w:val="center"/>
            </w:pPr>
            <w:r>
              <w:t>2005</w:t>
            </w:r>
          </w:p>
        </w:tc>
      </w:tr>
      <w:tr w:rsidR="00000000">
        <w:tblPrEx>
          <w:tblCellMar>
            <w:top w:w="0" w:type="dxa"/>
            <w:bottom w:w="0" w:type="dxa"/>
          </w:tblCellMar>
        </w:tblPrEx>
        <w:tc>
          <w:tcPr>
            <w:tcW w:w="3550" w:type="dxa"/>
          </w:tcPr>
          <w:p w:rsidR="00000000" w:rsidRDefault="00000000">
            <w:pPr>
              <w:spacing w:before="40" w:after="40"/>
            </w:pPr>
            <w:r>
              <w:t>Meurtre</w:t>
            </w:r>
          </w:p>
        </w:tc>
        <w:tc>
          <w:tcPr>
            <w:tcW w:w="1080" w:type="dxa"/>
            <w:vAlign w:val="bottom"/>
          </w:tcPr>
          <w:p w:rsidR="00000000" w:rsidRDefault="00000000">
            <w:pPr>
              <w:spacing w:before="40" w:after="40"/>
              <w:ind w:right="120"/>
              <w:jc w:val="right"/>
            </w:pPr>
            <w:r>
              <w:t>5</w:t>
            </w:r>
          </w:p>
        </w:tc>
        <w:tc>
          <w:tcPr>
            <w:tcW w:w="960" w:type="dxa"/>
            <w:vAlign w:val="bottom"/>
          </w:tcPr>
          <w:p w:rsidR="00000000" w:rsidRDefault="00000000">
            <w:pPr>
              <w:spacing w:before="40" w:after="40"/>
              <w:ind w:right="120"/>
              <w:jc w:val="right"/>
            </w:pPr>
            <w:r>
              <w:t>8</w:t>
            </w:r>
          </w:p>
        </w:tc>
        <w:tc>
          <w:tcPr>
            <w:tcW w:w="980" w:type="dxa"/>
            <w:vAlign w:val="bottom"/>
          </w:tcPr>
          <w:p w:rsidR="00000000" w:rsidRDefault="00000000">
            <w:pPr>
              <w:spacing w:before="40" w:after="40"/>
              <w:ind w:right="120"/>
              <w:jc w:val="right"/>
            </w:pPr>
            <w:r>
              <w:t>5</w:t>
            </w:r>
          </w:p>
        </w:tc>
        <w:tc>
          <w:tcPr>
            <w:tcW w:w="960" w:type="dxa"/>
            <w:vAlign w:val="bottom"/>
          </w:tcPr>
          <w:p w:rsidR="00000000" w:rsidRDefault="00000000">
            <w:pPr>
              <w:spacing w:before="40" w:after="40"/>
              <w:ind w:right="120"/>
              <w:jc w:val="right"/>
            </w:pPr>
            <w:r>
              <w:t>5</w:t>
            </w:r>
          </w:p>
        </w:tc>
        <w:tc>
          <w:tcPr>
            <w:tcW w:w="960" w:type="dxa"/>
            <w:vAlign w:val="bottom"/>
          </w:tcPr>
          <w:p w:rsidR="00000000" w:rsidRDefault="00000000">
            <w:pPr>
              <w:spacing w:before="40" w:after="40"/>
              <w:ind w:right="120"/>
              <w:jc w:val="right"/>
            </w:pPr>
            <w:r>
              <w:t>7</w:t>
            </w:r>
          </w:p>
        </w:tc>
        <w:tc>
          <w:tcPr>
            <w:tcW w:w="906" w:type="dxa"/>
            <w:vAlign w:val="bottom"/>
          </w:tcPr>
          <w:p w:rsidR="00000000" w:rsidRDefault="00000000">
            <w:pPr>
              <w:spacing w:before="40" w:after="40"/>
              <w:ind w:right="120"/>
              <w:jc w:val="right"/>
            </w:pPr>
            <w:r>
              <w:t>5</w:t>
            </w:r>
          </w:p>
        </w:tc>
      </w:tr>
      <w:tr w:rsidR="00000000">
        <w:tblPrEx>
          <w:tblCellMar>
            <w:top w:w="0" w:type="dxa"/>
            <w:bottom w:w="0" w:type="dxa"/>
          </w:tblCellMar>
        </w:tblPrEx>
        <w:tc>
          <w:tcPr>
            <w:tcW w:w="3550" w:type="dxa"/>
          </w:tcPr>
          <w:p w:rsidR="00000000" w:rsidRDefault="00000000">
            <w:pPr>
              <w:spacing w:before="40" w:after="40"/>
            </w:pPr>
            <w:r>
              <w:t>Tentative de meurtre</w:t>
            </w:r>
          </w:p>
        </w:tc>
        <w:tc>
          <w:tcPr>
            <w:tcW w:w="1080" w:type="dxa"/>
            <w:vAlign w:val="bottom"/>
          </w:tcPr>
          <w:p w:rsidR="00000000" w:rsidRDefault="00000000">
            <w:pPr>
              <w:spacing w:before="40" w:after="40"/>
              <w:ind w:right="120"/>
              <w:jc w:val="right"/>
            </w:pPr>
            <w:r>
              <w:t>6</w:t>
            </w:r>
          </w:p>
        </w:tc>
        <w:tc>
          <w:tcPr>
            <w:tcW w:w="960" w:type="dxa"/>
            <w:vAlign w:val="bottom"/>
          </w:tcPr>
          <w:p w:rsidR="00000000" w:rsidRDefault="00000000">
            <w:pPr>
              <w:spacing w:before="40" w:after="40"/>
              <w:ind w:right="120"/>
              <w:jc w:val="right"/>
            </w:pPr>
            <w:r>
              <w:t>8</w:t>
            </w:r>
          </w:p>
        </w:tc>
        <w:tc>
          <w:tcPr>
            <w:tcW w:w="980" w:type="dxa"/>
            <w:vAlign w:val="bottom"/>
          </w:tcPr>
          <w:p w:rsidR="00000000" w:rsidRDefault="00000000">
            <w:pPr>
              <w:spacing w:before="40" w:after="40"/>
              <w:ind w:right="120"/>
              <w:jc w:val="right"/>
            </w:pPr>
            <w:r>
              <w:t>4</w:t>
            </w:r>
          </w:p>
        </w:tc>
        <w:tc>
          <w:tcPr>
            <w:tcW w:w="960" w:type="dxa"/>
            <w:vAlign w:val="bottom"/>
          </w:tcPr>
          <w:p w:rsidR="00000000" w:rsidRDefault="00000000">
            <w:pPr>
              <w:spacing w:before="40" w:after="40"/>
              <w:ind w:right="120"/>
              <w:jc w:val="right"/>
            </w:pPr>
            <w:r>
              <w:t>5</w:t>
            </w:r>
          </w:p>
        </w:tc>
        <w:tc>
          <w:tcPr>
            <w:tcW w:w="960" w:type="dxa"/>
            <w:vAlign w:val="bottom"/>
          </w:tcPr>
          <w:p w:rsidR="00000000" w:rsidRDefault="00000000">
            <w:pPr>
              <w:spacing w:before="40" w:after="40"/>
              <w:ind w:right="120"/>
              <w:jc w:val="right"/>
            </w:pPr>
            <w:r>
              <w:t>1</w:t>
            </w:r>
          </w:p>
        </w:tc>
        <w:tc>
          <w:tcPr>
            <w:tcW w:w="906" w:type="dxa"/>
            <w:vAlign w:val="bottom"/>
          </w:tcPr>
          <w:p w:rsidR="00000000" w:rsidRDefault="00000000">
            <w:pPr>
              <w:spacing w:before="40" w:after="40"/>
              <w:ind w:right="120"/>
              <w:jc w:val="right"/>
            </w:pPr>
            <w:r>
              <w:t>7</w:t>
            </w:r>
          </w:p>
        </w:tc>
      </w:tr>
      <w:tr w:rsidR="00000000">
        <w:tblPrEx>
          <w:tblCellMar>
            <w:top w:w="0" w:type="dxa"/>
            <w:bottom w:w="0" w:type="dxa"/>
          </w:tblCellMar>
        </w:tblPrEx>
        <w:tc>
          <w:tcPr>
            <w:tcW w:w="3550" w:type="dxa"/>
          </w:tcPr>
          <w:p w:rsidR="00000000" w:rsidRDefault="00000000">
            <w:pPr>
              <w:spacing w:before="40" w:after="40"/>
            </w:pPr>
            <w:r>
              <w:t>Blessure grave volontaire</w:t>
            </w:r>
          </w:p>
        </w:tc>
        <w:tc>
          <w:tcPr>
            <w:tcW w:w="1080" w:type="dxa"/>
            <w:vAlign w:val="bottom"/>
          </w:tcPr>
          <w:p w:rsidR="00000000" w:rsidRDefault="00000000">
            <w:pPr>
              <w:spacing w:before="40" w:after="40"/>
              <w:ind w:right="120"/>
              <w:jc w:val="right"/>
            </w:pPr>
            <w:r>
              <w:t>6</w:t>
            </w:r>
          </w:p>
        </w:tc>
        <w:tc>
          <w:tcPr>
            <w:tcW w:w="960" w:type="dxa"/>
            <w:vAlign w:val="bottom"/>
          </w:tcPr>
          <w:p w:rsidR="00000000" w:rsidRDefault="00000000">
            <w:pPr>
              <w:spacing w:before="40" w:after="40"/>
              <w:ind w:right="120"/>
              <w:jc w:val="right"/>
            </w:pPr>
            <w:r>
              <w:t>8</w:t>
            </w:r>
          </w:p>
        </w:tc>
        <w:tc>
          <w:tcPr>
            <w:tcW w:w="980" w:type="dxa"/>
            <w:vAlign w:val="bottom"/>
          </w:tcPr>
          <w:p w:rsidR="00000000" w:rsidRDefault="00000000">
            <w:pPr>
              <w:spacing w:before="40" w:after="40"/>
              <w:ind w:right="120"/>
              <w:jc w:val="right"/>
            </w:pPr>
            <w:r>
              <w:t>13</w:t>
            </w:r>
          </w:p>
        </w:tc>
        <w:tc>
          <w:tcPr>
            <w:tcW w:w="960" w:type="dxa"/>
            <w:vAlign w:val="bottom"/>
          </w:tcPr>
          <w:p w:rsidR="00000000" w:rsidRDefault="00000000">
            <w:pPr>
              <w:spacing w:before="40" w:after="40"/>
              <w:ind w:right="120"/>
              <w:jc w:val="right"/>
            </w:pPr>
            <w:r>
              <w:t>12</w:t>
            </w:r>
          </w:p>
        </w:tc>
        <w:tc>
          <w:tcPr>
            <w:tcW w:w="960" w:type="dxa"/>
            <w:vAlign w:val="bottom"/>
          </w:tcPr>
          <w:p w:rsidR="00000000" w:rsidRDefault="00000000">
            <w:pPr>
              <w:spacing w:before="40" w:after="40"/>
              <w:ind w:right="120"/>
              <w:jc w:val="right"/>
            </w:pPr>
            <w:r>
              <w:t>7</w:t>
            </w:r>
          </w:p>
        </w:tc>
        <w:tc>
          <w:tcPr>
            <w:tcW w:w="906" w:type="dxa"/>
            <w:vAlign w:val="bottom"/>
          </w:tcPr>
          <w:p w:rsidR="00000000" w:rsidRDefault="00000000">
            <w:pPr>
              <w:spacing w:before="40" w:after="40"/>
              <w:ind w:right="120"/>
              <w:jc w:val="right"/>
            </w:pPr>
            <w:r>
              <w:t>11</w:t>
            </w:r>
          </w:p>
        </w:tc>
      </w:tr>
      <w:tr w:rsidR="00000000">
        <w:tblPrEx>
          <w:tblCellMar>
            <w:top w:w="0" w:type="dxa"/>
            <w:bottom w:w="0" w:type="dxa"/>
          </w:tblCellMar>
        </w:tblPrEx>
        <w:tc>
          <w:tcPr>
            <w:tcW w:w="3550" w:type="dxa"/>
          </w:tcPr>
          <w:p w:rsidR="00000000" w:rsidRDefault="00000000">
            <w:pPr>
              <w:spacing w:before="40" w:after="40"/>
            </w:pPr>
            <w:r>
              <w:t>Viol ou tentative de viol</w:t>
            </w:r>
          </w:p>
        </w:tc>
        <w:tc>
          <w:tcPr>
            <w:tcW w:w="1080" w:type="dxa"/>
            <w:vAlign w:val="bottom"/>
          </w:tcPr>
          <w:p w:rsidR="00000000" w:rsidRDefault="00000000">
            <w:pPr>
              <w:spacing w:before="40" w:after="40"/>
              <w:ind w:right="120"/>
              <w:jc w:val="right"/>
            </w:pPr>
            <w:r>
              <w:t>7</w:t>
            </w:r>
          </w:p>
        </w:tc>
        <w:tc>
          <w:tcPr>
            <w:tcW w:w="960" w:type="dxa"/>
            <w:vAlign w:val="bottom"/>
          </w:tcPr>
          <w:p w:rsidR="00000000" w:rsidRDefault="00000000">
            <w:pPr>
              <w:spacing w:before="40" w:after="40"/>
              <w:ind w:right="120"/>
              <w:jc w:val="right"/>
            </w:pPr>
            <w:r>
              <w:t>3</w:t>
            </w:r>
          </w:p>
        </w:tc>
        <w:tc>
          <w:tcPr>
            <w:tcW w:w="980" w:type="dxa"/>
            <w:vAlign w:val="bottom"/>
          </w:tcPr>
          <w:p w:rsidR="00000000" w:rsidRDefault="00000000">
            <w:pPr>
              <w:spacing w:before="40" w:after="40"/>
              <w:ind w:right="120"/>
              <w:jc w:val="right"/>
            </w:pPr>
            <w:r>
              <w:t>5</w:t>
            </w:r>
          </w:p>
        </w:tc>
        <w:tc>
          <w:tcPr>
            <w:tcW w:w="960" w:type="dxa"/>
            <w:vAlign w:val="bottom"/>
          </w:tcPr>
          <w:p w:rsidR="00000000" w:rsidRDefault="00000000">
            <w:pPr>
              <w:spacing w:before="40" w:after="40"/>
              <w:ind w:right="120"/>
              <w:jc w:val="right"/>
            </w:pPr>
            <w:r>
              <w:t>5</w:t>
            </w:r>
          </w:p>
        </w:tc>
        <w:tc>
          <w:tcPr>
            <w:tcW w:w="960" w:type="dxa"/>
            <w:vAlign w:val="bottom"/>
          </w:tcPr>
          <w:p w:rsidR="00000000" w:rsidRDefault="00000000">
            <w:pPr>
              <w:spacing w:before="40" w:after="40"/>
              <w:ind w:right="120"/>
              <w:jc w:val="right"/>
            </w:pPr>
            <w:r>
              <w:t>6</w:t>
            </w:r>
          </w:p>
        </w:tc>
        <w:tc>
          <w:tcPr>
            <w:tcW w:w="906" w:type="dxa"/>
            <w:vAlign w:val="bottom"/>
          </w:tcPr>
          <w:p w:rsidR="00000000" w:rsidRDefault="00000000">
            <w:pPr>
              <w:spacing w:before="40" w:after="40"/>
              <w:ind w:right="120"/>
              <w:jc w:val="right"/>
            </w:pPr>
            <w:r>
              <w:t>4</w:t>
            </w:r>
          </w:p>
        </w:tc>
      </w:tr>
      <w:tr w:rsidR="00000000">
        <w:tblPrEx>
          <w:tblCellMar>
            <w:top w:w="0" w:type="dxa"/>
            <w:bottom w:w="0" w:type="dxa"/>
          </w:tblCellMar>
        </w:tblPrEx>
        <w:tc>
          <w:tcPr>
            <w:tcW w:w="3550" w:type="dxa"/>
          </w:tcPr>
          <w:p w:rsidR="00000000" w:rsidRDefault="00000000">
            <w:pPr>
              <w:spacing w:before="40" w:after="40"/>
            </w:pPr>
            <w:r>
              <w:t>Vol</w:t>
            </w:r>
          </w:p>
        </w:tc>
        <w:tc>
          <w:tcPr>
            <w:tcW w:w="1080" w:type="dxa"/>
            <w:vAlign w:val="bottom"/>
          </w:tcPr>
          <w:p w:rsidR="00000000" w:rsidRDefault="00000000">
            <w:pPr>
              <w:spacing w:before="40" w:after="40"/>
              <w:ind w:right="120"/>
              <w:jc w:val="right"/>
            </w:pPr>
            <w:r>
              <w:t>411</w:t>
            </w:r>
          </w:p>
        </w:tc>
        <w:tc>
          <w:tcPr>
            <w:tcW w:w="960" w:type="dxa"/>
            <w:vAlign w:val="bottom"/>
          </w:tcPr>
          <w:p w:rsidR="00000000" w:rsidRDefault="00000000">
            <w:pPr>
              <w:spacing w:before="40" w:after="40"/>
              <w:ind w:right="120"/>
              <w:jc w:val="right"/>
            </w:pPr>
            <w:r>
              <w:t>466</w:t>
            </w:r>
          </w:p>
        </w:tc>
        <w:tc>
          <w:tcPr>
            <w:tcW w:w="980" w:type="dxa"/>
            <w:vAlign w:val="bottom"/>
          </w:tcPr>
          <w:p w:rsidR="00000000" w:rsidRDefault="00000000">
            <w:pPr>
              <w:spacing w:before="40" w:after="40"/>
              <w:ind w:right="120"/>
              <w:jc w:val="right"/>
            </w:pPr>
            <w:r>
              <w:t>467</w:t>
            </w:r>
          </w:p>
        </w:tc>
        <w:tc>
          <w:tcPr>
            <w:tcW w:w="960" w:type="dxa"/>
            <w:vAlign w:val="bottom"/>
          </w:tcPr>
          <w:p w:rsidR="00000000" w:rsidRDefault="00000000">
            <w:pPr>
              <w:spacing w:before="40" w:after="40"/>
              <w:ind w:right="120"/>
              <w:jc w:val="right"/>
            </w:pPr>
            <w:r>
              <w:t>389</w:t>
            </w:r>
          </w:p>
        </w:tc>
        <w:tc>
          <w:tcPr>
            <w:tcW w:w="960" w:type="dxa"/>
            <w:vAlign w:val="bottom"/>
          </w:tcPr>
          <w:p w:rsidR="00000000" w:rsidRDefault="00000000">
            <w:pPr>
              <w:spacing w:before="40" w:after="40"/>
              <w:ind w:right="120"/>
              <w:jc w:val="right"/>
            </w:pPr>
            <w:r>
              <w:t>309</w:t>
            </w:r>
          </w:p>
        </w:tc>
        <w:tc>
          <w:tcPr>
            <w:tcW w:w="906" w:type="dxa"/>
            <w:vAlign w:val="bottom"/>
          </w:tcPr>
          <w:p w:rsidR="00000000" w:rsidRDefault="00000000">
            <w:pPr>
              <w:spacing w:before="40" w:after="40"/>
              <w:ind w:right="120"/>
              <w:jc w:val="right"/>
            </w:pPr>
            <w:r>
              <w:t>407</w:t>
            </w:r>
          </w:p>
        </w:tc>
      </w:tr>
      <w:tr w:rsidR="00000000">
        <w:tblPrEx>
          <w:tblCellMar>
            <w:top w:w="0" w:type="dxa"/>
            <w:bottom w:w="0" w:type="dxa"/>
          </w:tblCellMar>
        </w:tblPrEx>
        <w:tc>
          <w:tcPr>
            <w:tcW w:w="3550" w:type="dxa"/>
          </w:tcPr>
          <w:p w:rsidR="00000000" w:rsidRDefault="00000000">
            <w:pPr>
              <w:spacing w:before="40" w:after="40"/>
            </w:pPr>
            <w:r>
              <w:t>Spoliation</w:t>
            </w:r>
          </w:p>
        </w:tc>
        <w:tc>
          <w:tcPr>
            <w:tcW w:w="1080" w:type="dxa"/>
            <w:vAlign w:val="bottom"/>
          </w:tcPr>
          <w:p w:rsidR="00000000" w:rsidRDefault="00000000">
            <w:pPr>
              <w:spacing w:before="40" w:after="40"/>
              <w:ind w:right="120"/>
              <w:jc w:val="right"/>
            </w:pPr>
            <w:r>
              <w:t>24</w:t>
            </w:r>
          </w:p>
        </w:tc>
        <w:tc>
          <w:tcPr>
            <w:tcW w:w="960" w:type="dxa"/>
            <w:vAlign w:val="bottom"/>
          </w:tcPr>
          <w:p w:rsidR="00000000" w:rsidRDefault="00000000">
            <w:pPr>
              <w:spacing w:before="40" w:after="40"/>
              <w:ind w:right="120"/>
              <w:jc w:val="right"/>
            </w:pPr>
            <w:r>
              <w:t>43</w:t>
            </w:r>
          </w:p>
        </w:tc>
        <w:tc>
          <w:tcPr>
            <w:tcW w:w="980" w:type="dxa"/>
            <w:vAlign w:val="bottom"/>
          </w:tcPr>
          <w:p w:rsidR="00000000" w:rsidRDefault="00000000">
            <w:pPr>
              <w:spacing w:before="40" w:after="40"/>
              <w:ind w:right="120"/>
              <w:jc w:val="right"/>
            </w:pPr>
            <w:r>
              <w:t>43</w:t>
            </w:r>
          </w:p>
        </w:tc>
        <w:tc>
          <w:tcPr>
            <w:tcW w:w="960" w:type="dxa"/>
            <w:vAlign w:val="bottom"/>
          </w:tcPr>
          <w:p w:rsidR="00000000" w:rsidRDefault="00000000">
            <w:pPr>
              <w:spacing w:before="40" w:after="40"/>
              <w:ind w:right="120"/>
              <w:jc w:val="right"/>
            </w:pPr>
            <w:r>
              <w:t>29</w:t>
            </w:r>
          </w:p>
        </w:tc>
        <w:tc>
          <w:tcPr>
            <w:tcW w:w="960" w:type="dxa"/>
            <w:vAlign w:val="bottom"/>
          </w:tcPr>
          <w:p w:rsidR="00000000" w:rsidRDefault="00000000">
            <w:pPr>
              <w:spacing w:before="40" w:after="40"/>
              <w:ind w:right="120"/>
              <w:jc w:val="right"/>
            </w:pPr>
            <w:r>
              <w:t>48</w:t>
            </w:r>
          </w:p>
        </w:tc>
        <w:tc>
          <w:tcPr>
            <w:tcW w:w="906" w:type="dxa"/>
            <w:vAlign w:val="bottom"/>
          </w:tcPr>
          <w:p w:rsidR="00000000" w:rsidRDefault="00000000">
            <w:pPr>
              <w:spacing w:before="40" w:after="40"/>
              <w:ind w:right="120"/>
              <w:jc w:val="right"/>
            </w:pPr>
            <w:r>
              <w:t>47</w:t>
            </w:r>
          </w:p>
        </w:tc>
      </w:tr>
      <w:tr w:rsidR="00000000">
        <w:tblPrEx>
          <w:tblCellMar>
            <w:top w:w="0" w:type="dxa"/>
            <w:bottom w:w="0" w:type="dxa"/>
          </w:tblCellMar>
        </w:tblPrEx>
        <w:tc>
          <w:tcPr>
            <w:tcW w:w="3550" w:type="dxa"/>
          </w:tcPr>
          <w:p w:rsidR="00000000" w:rsidRDefault="00000000">
            <w:pPr>
              <w:spacing w:before="40" w:after="40"/>
            </w:pPr>
            <w:r>
              <w:t>Vol à main armée</w:t>
            </w:r>
          </w:p>
        </w:tc>
        <w:tc>
          <w:tcPr>
            <w:tcW w:w="1080" w:type="dxa"/>
            <w:vAlign w:val="bottom"/>
          </w:tcPr>
          <w:p w:rsidR="00000000" w:rsidRDefault="00000000">
            <w:pPr>
              <w:spacing w:before="40" w:after="40"/>
              <w:ind w:right="120"/>
              <w:jc w:val="right"/>
            </w:pPr>
            <w:r>
              <w:t>23</w:t>
            </w:r>
          </w:p>
        </w:tc>
        <w:tc>
          <w:tcPr>
            <w:tcW w:w="960" w:type="dxa"/>
            <w:vAlign w:val="bottom"/>
          </w:tcPr>
          <w:p w:rsidR="00000000" w:rsidRDefault="00000000">
            <w:pPr>
              <w:spacing w:before="40" w:after="40"/>
              <w:ind w:right="120"/>
              <w:jc w:val="right"/>
            </w:pPr>
            <w:r>
              <w:t>21</w:t>
            </w:r>
          </w:p>
        </w:tc>
        <w:tc>
          <w:tcPr>
            <w:tcW w:w="980" w:type="dxa"/>
            <w:vAlign w:val="bottom"/>
          </w:tcPr>
          <w:p w:rsidR="00000000" w:rsidRDefault="00000000">
            <w:pPr>
              <w:spacing w:before="40" w:after="40"/>
              <w:ind w:right="120"/>
              <w:jc w:val="right"/>
            </w:pPr>
            <w:r>
              <w:t>33</w:t>
            </w:r>
          </w:p>
        </w:tc>
        <w:tc>
          <w:tcPr>
            <w:tcW w:w="960" w:type="dxa"/>
            <w:vAlign w:val="bottom"/>
          </w:tcPr>
          <w:p w:rsidR="00000000" w:rsidRDefault="00000000">
            <w:pPr>
              <w:spacing w:before="40" w:after="40"/>
              <w:ind w:right="120"/>
              <w:jc w:val="right"/>
            </w:pPr>
            <w:r>
              <w:t>29</w:t>
            </w:r>
          </w:p>
        </w:tc>
        <w:tc>
          <w:tcPr>
            <w:tcW w:w="960" w:type="dxa"/>
            <w:vAlign w:val="bottom"/>
          </w:tcPr>
          <w:p w:rsidR="00000000" w:rsidRDefault="00000000">
            <w:pPr>
              <w:spacing w:before="40" w:after="40"/>
              <w:ind w:right="120"/>
              <w:jc w:val="right"/>
            </w:pPr>
            <w:r>
              <w:t>39</w:t>
            </w:r>
          </w:p>
        </w:tc>
        <w:tc>
          <w:tcPr>
            <w:tcW w:w="906" w:type="dxa"/>
            <w:vAlign w:val="bottom"/>
          </w:tcPr>
          <w:p w:rsidR="00000000" w:rsidRDefault="00000000">
            <w:pPr>
              <w:spacing w:before="40" w:after="40"/>
              <w:ind w:right="120"/>
              <w:jc w:val="right"/>
            </w:pPr>
            <w:r>
              <w:t>60</w:t>
            </w:r>
          </w:p>
        </w:tc>
      </w:tr>
      <w:tr w:rsidR="00000000">
        <w:tblPrEx>
          <w:tblCellMar>
            <w:top w:w="0" w:type="dxa"/>
            <w:bottom w:w="0" w:type="dxa"/>
          </w:tblCellMar>
        </w:tblPrEx>
        <w:tc>
          <w:tcPr>
            <w:tcW w:w="3550" w:type="dxa"/>
          </w:tcPr>
          <w:p w:rsidR="00000000" w:rsidRDefault="00000000">
            <w:pPr>
              <w:spacing w:before="40" w:after="40"/>
            </w:pPr>
            <w:r>
              <w:t>Vandalisme</w:t>
            </w:r>
          </w:p>
        </w:tc>
        <w:tc>
          <w:tcPr>
            <w:tcW w:w="1080" w:type="dxa"/>
            <w:vAlign w:val="bottom"/>
          </w:tcPr>
          <w:p w:rsidR="00000000" w:rsidRDefault="00000000">
            <w:pPr>
              <w:spacing w:before="40" w:after="40"/>
              <w:ind w:right="120"/>
              <w:jc w:val="right"/>
            </w:pPr>
            <w:r>
              <w:t>16</w:t>
            </w:r>
          </w:p>
        </w:tc>
        <w:tc>
          <w:tcPr>
            <w:tcW w:w="960" w:type="dxa"/>
            <w:vAlign w:val="bottom"/>
          </w:tcPr>
          <w:p w:rsidR="00000000" w:rsidRDefault="00000000">
            <w:pPr>
              <w:spacing w:before="40" w:after="40"/>
              <w:ind w:right="120"/>
              <w:jc w:val="right"/>
            </w:pPr>
            <w:r>
              <w:t>7</w:t>
            </w:r>
          </w:p>
        </w:tc>
        <w:tc>
          <w:tcPr>
            <w:tcW w:w="980" w:type="dxa"/>
            <w:vAlign w:val="bottom"/>
          </w:tcPr>
          <w:p w:rsidR="00000000" w:rsidRDefault="00000000">
            <w:pPr>
              <w:spacing w:before="40" w:after="40"/>
              <w:ind w:right="120"/>
              <w:jc w:val="right"/>
            </w:pPr>
            <w:r>
              <w:t>9</w:t>
            </w:r>
          </w:p>
        </w:tc>
        <w:tc>
          <w:tcPr>
            <w:tcW w:w="960" w:type="dxa"/>
            <w:vAlign w:val="bottom"/>
          </w:tcPr>
          <w:p w:rsidR="00000000" w:rsidRDefault="00000000">
            <w:pPr>
              <w:spacing w:before="40" w:after="40"/>
              <w:ind w:right="120"/>
              <w:jc w:val="right"/>
            </w:pPr>
            <w:r>
              <w:t>15</w:t>
            </w:r>
          </w:p>
        </w:tc>
        <w:tc>
          <w:tcPr>
            <w:tcW w:w="960" w:type="dxa"/>
            <w:vAlign w:val="bottom"/>
          </w:tcPr>
          <w:p w:rsidR="00000000" w:rsidRDefault="00000000">
            <w:pPr>
              <w:spacing w:before="40" w:after="40"/>
              <w:ind w:right="120"/>
              <w:jc w:val="right"/>
            </w:pPr>
            <w:r>
              <w:t>13</w:t>
            </w:r>
          </w:p>
        </w:tc>
        <w:tc>
          <w:tcPr>
            <w:tcW w:w="906" w:type="dxa"/>
            <w:vAlign w:val="bottom"/>
          </w:tcPr>
          <w:p w:rsidR="00000000" w:rsidRDefault="00000000">
            <w:pPr>
              <w:spacing w:before="40" w:after="40"/>
              <w:ind w:right="120"/>
              <w:jc w:val="right"/>
            </w:pPr>
            <w:r>
              <w:t>26</w:t>
            </w:r>
          </w:p>
        </w:tc>
      </w:tr>
      <w:tr w:rsidR="00000000">
        <w:tblPrEx>
          <w:tblCellMar>
            <w:top w:w="0" w:type="dxa"/>
            <w:bottom w:w="0" w:type="dxa"/>
          </w:tblCellMar>
        </w:tblPrEx>
        <w:tc>
          <w:tcPr>
            <w:tcW w:w="3550" w:type="dxa"/>
          </w:tcPr>
          <w:p w:rsidR="00000000" w:rsidRDefault="00000000">
            <w:pPr>
              <w:spacing w:before="40" w:after="40"/>
            </w:pPr>
            <w:r>
              <w:t>Trafic illicite de stupéfiants</w:t>
            </w:r>
          </w:p>
        </w:tc>
        <w:tc>
          <w:tcPr>
            <w:tcW w:w="1080" w:type="dxa"/>
            <w:vAlign w:val="bottom"/>
          </w:tcPr>
          <w:p w:rsidR="00000000" w:rsidRDefault="00000000">
            <w:pPr>
              <w:spacing w:before="40" w:after="40"/>
              <w:ind w:right="120"/>
              <w:jc w:val="right"/>
            </w:pPr>
            <w:r>
              <w:t>19</w:t>
            </w:r>
          </w:p>
        </w:tc>
        <w:tc>
          <w:tcPr>
            <w:tcW w:w="960" w:type="dxa"/>
            <w:vAlign w:val="bottom"/>
          </w:tcPr>
          <w:p w:rsidR="00000000" w:rsidRDefault="00000000">
            <w:pPr>
              <w:spacing w:before="40" w:after="40"/>
              <w:ind w:right="120"/>
              <w:jc w:val="right"/>
            </w:pPr>
            <w:r>
              <w:t>28</w:t>
            </w:r>
          </w:p>
        </w:tc>
        <w:tc>
          <w:tcPr>
            <w:tcW w:w="980" w:type="dxa"/>
            <w:vAlign w:val="bottom"/>
          </w:tcPr>
          <w:p w:rsidR="00000000" w:rsidRDefault="00000000">
            <w:pPr>
              <w:spacing w:before="40" w:after="40"/>
              <w:ind w:right="120"/>
              <w:jc w:val="right"/>
            </w:pPr>
            <w:r>
              <w:t>30</w:t>
            </w:r>
          </w:p>
        </w:tc>
        <w:tc>
          <w:tcPr>
            <w:tcW w:w="960" w:type="dxa"/>
            <w:vAlign w:val="bottom"/>
          </w:tcPr>
          <w:p w:rsidR="00000000" w:rsidRDefault="00000000">
            <w:pPr>
              <w:spacing w:before="40" w:after="40"/>
              <w:ind w:right="120"/>
              <w:jc w:val="right"/>
            </w:pPr>
            <w:r>
              <w:t>32</w:t>
            </w:r>
          </w:p>
        </w:tc>
        <w:tc>
          <w:tcPr>
            <w:tcW w:w="960" w:type="dxa"/>
            <w:vAlign w:val="bottom"/>
          </w:tcPr>
          <w:p w:rsidR="00000000" w:rsidRDefault="00000000">
            <w:pPr>
              <w:spacing w:before="40" w:after="40"/>
              <w:ind w:right="120"/>
              <w:jc w:val="right"/>
            </w:pPr>
            <w:r>
              <w:t>24</w:t>
            </w:r>
          </w:p>
        </w:tc>
        <w:tc>
          <w:tcPr>
            <w:tcW w:w="906" w:type="dxa"/>
            <w:vAlign w:val="bottom"/>
          </w:tcPr>
          <w:p w:rsidR="00000000" w:rsidRDefault="00000000">
            <w:pPr>
              <w:spacing w:before="40" w:after="40"/>
              <w:ind w:right="120"/>
              <w:jc w:val="right"/>
            </w:pPr>
            <w:r>
              <w:t>21</w:t>
            </w:r>
          </w:p>
        </w:tc>
      </w:tr>
      <w:tr w:rsidR="00000000">
        <w:tblPrEx>
          <w:tblCellMar>
            <w:top w:w="0" w:type="dxa"/>
            <w:bottom w:w="0" w:type="dxa"/>
          </w:tblCellMar>
        </w:tblPrEx>
        <w:tc>
          <w:tcPr>
            <w:tcW w:w="3550" w:type="dxa"/>
          </w:tcPr>
          <w:p w:rsidR="00000000" w:rsidRDefault="00000000">
            <w:pPr>
              <w:spacing w:before="40" w:after="40"/>
            </w:pPr>
            <w:r>
              <w:t>Achat, stockage, port, fabrication, trafic ou vente illicite d’armes, de munitions ou d’explosifs</w:t>
            </w:r>
          </w:p>
        </w:tc>
        <w:tc>
          <w:tcPr>
            <w:tcW w:w="1080" w:type="dxa"/>
            <w:vAlign w:val="bottom"/>
          </w:tcPr>
          <w:p w:rsidR="00000000" w:rsidRDefault="00000000">
            <w:pPr>
              <w:spacing w:before="40" w:after="40"/>
              <w:ind w:right="120"/>
              <w:jc w:val="right"/>
            </w:pPr>
            <w:r>
              <w:t>23</w:t>
            </w:r>
          </w:p>
        </w:tc>
        <w:tc>
          <w:tcPr>
            <w:tcW w:w="960" w:type="dxa"/>
            <w:vAlign w:val="bottom"/>
          </w:tcPr>
          <w:p w:rsidR="00000000" w:rsidRDefault="00000000">
            <w:pPr>
              <w:spacing w:before="40" w:after="40"/>
              <w:ind w:right="120"/>
              <w:jc w:val="right"/>
            </w:pPr>
            <w:r>
              <w:t>6</w:t>
            </w:r>
          </w:p>
        </w:tc>
        <w:tc>
          <w:tcPr>
            <w:tcW w:w="980" w:type="dxa"/>
            <w:vAlign w:val="bottom"/>
          </w:tcPr>
          <w:p w:rsidR="00000000" w:rsidRDefault="00000000">
            <w:pPr>
              <w:spacing w:before="40" w:after="40"/>
              <w:ind w:right="120"/>
              <w:jc w:val="right"/>
            </w:pPr>
            <w:r>
              <w:t>8</w:t>
            </w:r>
          </w:p>
        </w:tc>
        <w:tc>
          <w:tcPr>
            <w:tcW w:w="960" w:type="dxa"/>
            <w:vAlign w:val="bottom"/>
          </w:tcPr>
          <w:p w:rsidR="00000000" w:rsidRDefault="00000000">
            <w:pPr>
              <w:spacing w:before="40" w:after="40"/>
              <w:ind w:right="120"/>
              <w:jc w:val="right"/>
            </w:pPr>
            <w:r>
              <w:t>11</w:t>
            </w:r>
          </w:p>
        </w:tc>
        <w:tc>
          <w:tcPr>
            <w:tcW w:w="960" w:type="dxa"/>
            <w:vAlign w:val="bottom"/>
          </w:tcPr>
          <w:p w:rsidR="00000000" w:rsidRDefault="00000000">
            <w:pPr>
              <w:spacing w:before="40" w:after="40"/>
              <w:ind w:right="120"/>
              <w:jc w:val="right"/>
            </w:pPr>
            <w:r>
              <w:t>18</w:t>
            </w:r>
          </w:p>
        </w:tc>
        <w:tc>
          <w:tcPr>
            <w:tcW w:w="906" w:type="dxa"/>
            <w:vAlign w:val="bottom"/>
          </w:tcPr>
          <w:p w:rsidR="00000000" w:rsidRDefault="00000000">
            <w:pPr>
              <w:spacing w:before="40" w:after="40"/>
              <w:ind w:right="120"/>
              <w:jc w:val="right"/>
            </w:pPr>
            <w:r>
              <w:t>22</w:t>
            </w:r>
          </w:p>
        </w:tc>
      </w:tr>
    </w:tbl>
    <w:p w:rsidR="00000000" w:rsidRDefault="00000000">
      <w:pPr>
        <w:keepNext/>
        <w:spacing w:before="240" w:after="240"/>
        <w:rPr>
          <w:b/>
          <w:bCs/>
        </w:rPr>
      </w:pPr>
      <w:r>
        <w:rPr>
          <w:b/>
          <w:bCs/>
        </w:rPr>
        <w:t>2.</w:t>
      </w:r>
      <w:r>
        <w:rPr>
          <w:b/>
          <w:bCs/>
        </w:rPr>
        <w:tab/>
        <w:t>Enfants privés de leur liberté (art. 37 b) à d))</w:t>
      </w:r>
    </w:p>
    <w:p w:rsidR="00000000" w:rsidRDefault="00000000">
      <w:pPr>
        <w:spacing w:after="240"/>
      </w:pPr>
      <w:r>
        <w:t>285.</w:t>
      </w:r>
      <w:r>
        <w:tab/>
        <w:t>Selon le Ministère de la justice, l’exécution des peines d’emprisonnement par des mineurs est régie par la loi sur les prisons (chap. XVI) et l’ordonnance y relative du Ministère de la justice, en date du 28 décembre 1999. D’après ladite loi, un détenu de moins de 18 ans doit être placé dans un centre éducatif fermé pour mineurs (art. 82). Le même article précise que les mineurs condamnés pour des infractions graves doivent être séparés des autres détenus.</w:t>
      </w:r>
    </w:p>
    <w:p w:rsidR="00000000" w:rsidRDefault="00000000">
      <w:pPr>
        <w:spacing w:after="240"/>
      </w:pPr>
      <w:r>
        <w:t>286.</w:t>
      </w:r>
      <w:r>
        <w:tab/>
        <w:t>En vertu du paragraphe 2 de l’article 84, un mineur qui a atteint l’âge de 18 ans mais qui n’a pas encore 20 ans peut être laissé dans le centre éducatif fermé pour qu’il y purge le reste de sa peine.</w:t>
      </w:r>
    </w:p>
    <w:p w:rsidR="00000000" w:rsidRDefault="00000000">
      <w:pPr>
        <w:spacing w:after="240"/>
      </w:pPr>
      <w:r>
        <w:t>287.</w:t>
      </w:r>
      <w:r>
        <w:tab/>
        <w:t>Les questions relatives à l’arrestation et à la garde à vue des mineurs ne sont pas régies par un texte législatif distinct.</w:t>
      </w:r>
    </w:p>
    <w:p w:rsidR="00000000" w:rsidRDefault="00000000">
      <w:pPr>
        <w:spacing w:after="240"/>
      </w:pPr>
      <w:r>
        <w:t>288.</w:t>
      </w:r>
      <w:r>
        <w:tab/>
        <w:t>De 2000 à 2005, le nombre total d’enfants détenus était d’environ 130 (garçons uniquement). Ce nombre ne comprend pas les mineurs condamnés.</w:t>
      </w:r>
    </w:p>
    <w:p w:rsidR="00000000" w:rsidRDefault="00000000">
      <w:pPr>
        <w:spacing w:after="240"/>
      </w:pPr>
      <w:r>
        <w:t>289.</w:t>
      </w:r>
      <w:r>
        <w:tab/>
        <w:t>En 2000, le nombre total de personnes privées de liberté s’élevait à 8 349, dont 219 femmes et 98 mineurs, 7 688, dont 227 femmes et 64 mineurs en 2001, 6 749, dont 180 femmes et mineurs en 2002, 6 274, dont 158 femmes et 79 mineurs en 2003, 6 654, dont 184 femmes et 84 mineurs en 2004, 9 051, dont 184 femmes et 115 mineurs en 2005. Le nombre total de personnes privées de liberté est actuellement de 11 414, dont 11 045 hommes, 369 femmes et 176 mineurs.</w:t>
      </w:r>
    </w:p>
    <w:p w:rsidR="00000000" w:rsidRDefault="00000000">
      <w:pPr>
        <w:spacing w:after="240"/>
      </w:pPr>
      <w:r>
        <w:t>290.</w:t>
      </w:r>
      <w:r>
        <w:tab/>
        <w:t>En octobre 2005, sur le site du centre pénitentiaire pour femmes de Tbilissi, un établissement pénitentiaire pour mineurs d’une capacité 108 détenus a été bâti. Il a ainsi été possible de transférer les détenus mineurs de la prison n</w:t>
      </w:r>
      <w:r>
        <w:rPr>
          <w:vertAlign w:val="superscript"/>
        </w:rPr>
        <w:t>o</w:t>
      </w:r>
      <w:r>
        <w:t> 5 de Tbilissi dans le nouveau centre. À l’heure actuelle, 199 mineurs y sont placés.</w:t>
      </w:r>
    </w:p>
    <w:p w:rsidR="00000000" w:rsidRDefault="00000000">
      <w:pPr>
        <w:spacing w:after="240"/>
      </w:pPr>
      <w:r>
        <w:t>291.</w:t>
      </w:r>
      <w:r>
        <w:tab/>
        <w:t>Qualitativement, la situation au centre pénitentiaire pour mineurs diffère de celle d’autres établissements pénitentiaires du point de vue des conditions de vie, des normes sanitaires, de la nutrition et des rations.</w:t>
      </w:r>
    </w:p>
    <w:p w:rsidR="00000000" w:rsidRDefault="00000000">
      <w:pPr>
        <w:spacing w:after="240"/>
      </w:pPr>
      <w:r>
        <w:t>292.</w:t>
      </w:r>
      <w:r>
        <w:tab/>
        <w:t>Jusqu’à octobre 2005, les détenus mineurs en détention provisoire étaient placés dans des locaux spéciaux dans les établissements pénitentiaires pour adultes, en particulier le centre pénitentiaire n</w:t>
      </w:r>
      <w:r>
        <w:rPr>
          <w:vertAlign w:val="superscript"/>
        </w:rPr>
        <w:t>o</w:t>
      </w:r>
      <w:r>
        <w:t xml:space="preserve"> 2 de </w:t>
      </w:r>
      <w:proofErr w:type="spellStart"/>
      <w:r>
        <w:t>Kutaisi</w:t>
      </w:r>
      <w:proofErr w:type="spellEnd"/>
      <w:r>
        <w:t>, le centre pénitentiaire n</w:t>
      </w:r>
      <w:r>
        <w:rPr>
          <w:vertAlign w:val="superscript"/>
        </w:rPr>
        <w:t>o</w:t>
      </w:r>
      <w:r>
        <w:t xml:space="preserve"> 3 de </w:t>
      </w:r>
      <w:proofErr w:type="spellStart"/>
      <w:r>
        <w:t>Batumi</w:t>
      </w:r>
      <w:proofErr w:type="spellEnd"/>
      <w:r>
        <w:t>, le centre pénitentiaire n</w:t>
      </w:r>
      <w:r>
        <w:rPr>
          <w:vertAlign w:val="superscript"/>
        </w:rPr>
        <w:t>o</w:t>
      </w:r>
      <w:r>
        <w:t xml:space="preserve"> 1 de </w:t>
      </w:r>
      <w:proofErr w:type="spellStart"/>
      <w:r>
        <w:t>Zugdidi</w:t>
      </w:r>
      <w:proofErr w:type="spellEnd"/>
      <w:r>
        <w:t xml:space="preserve"> et le centre pénitentiaire n</w:t>
      </w:r>
      <w:r>
        <w:rPr>
          <w:vertAlign w:val="superscript"/>
        </w:rPr>
        <w:t>o</w:t>
      </w:r>
      <w:r>
        <w:t> 1 de Tbilissi. D’après les statistiques communiquées par les centres, au cours de la période 2000</w:t>
      </w:r>
      <w:r>
        <w:noBreakHyphen/>
        <w:t>2005, le nombre de mineurs en détention provisoire s’établissait comme suit:</w:t>
      </w:r>
    </w:p>
    <w:p w:rsidR="00000000" w:rsidRDefault="00000000">
      <w:pPr>
        <w:numPr>
          <w:ilvl w:val="0"/>
          <w:numId w:val="157"/>
        </w:numPr>
        <w:spacing w:after="240"/>
      </w:pPr>
      <w:r>
        <w:t>Centre pénitentiaire n</w:t>
      </w:r>
      <w:r>
        <w:rPr>
          <w:vertAlign w:val="superscript"/>
        </w:rPr>
        <w:t>o</w:t>
      </w:r>
      <w:r>
        <w:t xml:space="preserve"> 2 de </w:t>
      </w:r>
      <w:proofErr w:type="spellStart"/>
      <w:r>
        <w:t>Kutaisi</w:t>
      </w:r>
      <w:proofErr w:type="spellEnd"/>
      <w:r>
        <w:t>: 2000 − 125; 2001 − 109; 2002 − 67; 2003 − 60; 2004 − 147; 2005 − 200; 2006 − 34.</w:t>
      </w:r>
    </w:p>
    <w:p w:rsidR="00000000" w:rsidRDefault="00000000">
      <w:pPr>
        <w:numPr>
          <w:ilvl w:val="0"/>
          <w:numId w:val="157"/>
        </w:numPr>
        <w:spacing w:after="240"/>
      </w:pPr>
      <w:r>
        <w:t>Centre pénitentiaire n</w:t>
      </w:r>
      <w:r>
        <w:rPr>
          <w:vertAlign w:val="superscript"/>
        </w:rPr>
        <w:t>o</w:t>
      </w:r>
      <w:r>
        <w:t xml:space="preserve"> 3 de </w:t>
      </w:r>
      <w:proofErr w:type="spellStart"/>
      <w:r>
        <w:t>Batumi</w:t>
      </w:r>
      <w:proofErr w:type="spellEnd"/>
      <w:r>
        <w:t>: 2000 − 6; 2001 − 9; 2002 − 10; 2003 − 9; 2004 − 11; 2005 − 11.</w:t>
      </w:r>
    </w:p>
    <w:p w:rsidR="00000000" w:rsidRDefault="00000000">
      <w:pPr>
        <w:numPr>
          <w:ilvl w:val="0"/>
          <w:numId w:val="157"/>
        </w:numPr>
        <w:spacing w:after="240"/>
      </w:pPr>
      <w:r>
        <w:t>Centre pénitentiaire n</w:t>
      </w:r>
      <w:r>
        <w:rPr>
          <w:vertAlign w:val="superscript"/>
        </w:rPr>
        <w:t>o</w:t>
      </w:r>
      <w:r>
        <w:t xml:space="preserve"> 1 de </w:t>
      </w:r>
      <w:proofErr w:type="spellStart"/>
      <w:r>
        <w:t>Zugdidi</w:t>
      </w:r>
      <w:proofErr w:type="spellEnd"/>
      <w:r>
        <w:t>: 2000 − 5; 2001 − 3; 2002 − 4; 2003 − 5; 2004 − 6; 2005 − 10.</w:t>
      </w:r>
    </w:p>
    <w:p w:rsidR="00000000" w:rsidRDefault="00000000">
      <w:pPr>
        <w:numPr>
          <w:ilvl w:val="0"/>
          <w:numId w:val="157"/>
        </w:numPr>
        <w:spacing w:after="240"/>
      </w:pPr>
      <w:r>
        <w:t>Centre pénitentiaire n</w:t>
      </w:r>
      <w:r>
        <w:rPr>
          <w:vertAlign w:val="superscript"/>
        </w:rPr>
        <w:t>o</w:t>
      </w:r>
      <w:r>
        <w:t> 1 de Tbilissi: 2001 − 80; 2002 − 80; 2003 − 120; 2004 − 130; 2005 − 150.</w:t>
      </w:r>
    </w:p>
    <w:p w:rsidR="00000000" w:rsidRDefault="00000000">
      <w:pPr>
        <w:spacing w:after="240"/>
      </w:pPr>
      <w:r>
        <w:t>293.</w:t>
      </w:r>
      <w:r>
        <w:tab/>
        <w:t>Pendant la période considérée, la durée maximum de la détention a été réduite et mise en conformité avec l’article 18 de la Constitution géorgienne. En particulier, la limite de neuf mois pour la détention avant jugement a été ramenée à quatre mois et la limite de trente mois pour la détention pendant le procès a été réduite à douze. Ces dispositions ont pris effet le 1</w:t>
      </w:r>
      <w:r>
        <w:rPr>
          <w:vertAlign w:val="superscript"/>
        </w:rPr>
        <w:t>er</w:t>
      </w:r>
      <w:r>
        <w:t> janvier 2006. En outre, la loi prévoit à présent qu’au cours de la procédure la période de détention ne doit pas dépasser six mois devant un tribunal de première instance, quatre mois devant une cour d’appel, et deux mois devant la Cour de cassation.</w:t>
      </w:r>
    </w:p>
    <w:p w:rsidR="00000000" w:rsidRDefault="00000000">
      <w:pPr>
        <w:spacing w:after="200"/>
      </w:pPr>
      <w:r>
        <w:t>294.</w:t>
      </w:r>
      <w:r>
        <w:tab/>
        <w:t>Selon le Ministère de la justice en octobre 2004, conformément à une ordonnance du Ministre de la justice, un Conseil de surveillance publique du système pénitentiaire a été constitué, aux fins d’avoir un dispositif efficace et équitable pour assurer un contrôle public du système pénitentiaire et de ses activités. En novembre 2005, ce conseil a été aboli sur ordonnance du Ministre de la justice pour manque d’efficacité. La même ordonnance a chargé le département compétent du Ministère de la justice d’élaborer un projet de loi pour le contrôle du système pénitentiaire, conformément à l’article 93 de la loi sur les prisons.</w:t>
      </w:r>
    </w:p>
    <w:p w:rsidR="00000000" w:rsidRDefault="00000000">
      <w:pPr>
        <w:spacing w:after="200"/>
      </w:pPr>
      <w:r>
        <w:t>295.</w:t>
      </w:r>
      <w:r>
        <w:tab/>
        <w:t>Sur la base de ce qui précède, en décembre 2005, des commissions de contrôle public du système pénitentiaire</w:t>
      </w:r>
      <w:r>
        <w:rPr>
          <w:rStyle w:val="FootnoteReference"/>
        </w:rPr>
        <w:footnoteReference w:id="22"/>
      </w:r>
      <w:r>
        <w:t xml:space="preserve"> ont été créées dans plusieurs établissements pénitentiaires, en particulier à la prison n</w:t>
      </w:r>
      <w:r>
        <w:rPr>
          <w:vertAlign w:val="superscript"/>
        </w:rPr>
        <w:t>o</w:t>
      </w:r>
      <w:r>
        <w:t xml:space="preserve"> 3 de </w:t>
      </w:r>
      <w:proofErr w:type="spellStart"/>
      <w:r>
        <w:t>Batumi</w:t>
      </w:r>
      <w:proofErr w:type="spellEnd"/>
      <w:r>
        <w:t>, à la prison n</w:t>
      </w:r>
      <w:r>
        <w:rPr>
          <w:vertAlign w:val="superscript"/>
        </w:rPr>
        <w:t>o</w:t>
      </w:r>
      <w:r>
        <w:t xml:space="preserve"> 4 de </w:t>
      </w:r>
      <w:proofErr w:type="spellStart"/>
      <w:r>
        <w:t>Zugdidi</w:t>
      </w:r>
      <w:proofErr w:type="spellEnd"/>
      <w:r>
        <w:t>, à la prison n</w:t>
      </w:r>
      <w:r>
        <w:rPr>
          <w:vertAlign w:val="superscript"/>
        </w:rPr>
        <w:t>o</w:t>
      </w:r>
      <w:r>
        <w:t xml:space="preserve"> 2 de </w:t>
      </w:r>
      <w:proofErr w:type="spellStart"/>
      <w:r>
        <w:t>Kutaisi</w:t>
      </w:r>
      <w:proofErr w:type="spellEnd"/>
      <w:r>
        <w:t xml:space="preserve"> et dans l’établissement pénitentiaire spécial à régime strict. Dans d’autres établissements pénitentiaires, la création de commissions semblables est en cours.</w:t>
      </w:r>
    </w:p>
    <w:p w:rsidR="00000000" w:rsidRDefault="00000000">
      <w:pPr>
        <w:keepNext/>
        <w:spacing w:after="200"/>
        <w:rPr>
          <w:b/>
          <w:bCs/>
        </w:rPr>
      </w:pPr>
      <w:r>
        <w:rPr>
          <w:b/>
          <w:bCs/>
        </w:rPr>
        <w:t>3.</w:t>
      </w:r>
      <w:r>
        <w:rPr>
          <w:b/>
          <w:bCs/>
        </w:rPr>
        <w:tab/>
        <w:t>Enfants appartenant à une minorité ou à un groupe autochtone (art. 30)</w:t>
      </w:r>
    </w:p>
    <w:p w:rsidR="00000000" w:rsidRDefault="00000000">
      <w:pPr>
        <w:spacing w:after="200"/>
      </w:pPr>
      <w:r>
        <w:t>296.</w:t>
      </w:r>
      <w:r>
        <w:tab/>
        <w:t>On se reportera au deuxième rapport périodique de la Géorgie au titre du Pacte international relatif aux droits civils et politiques qui contient dans les observations concernant l’article 27, des informations concernant l’exercice des droits des minorités ethniques (par. 387 à 406 et 409).</w:t>
      </w:r>
    </w:p>
    <w:p w:rsidR="00000000" w:rsidRDefault="00000000">
      <w:pPr>
        <w:spacing w:after="200"/>
      </w:pPr>
      <w:r>
        <w:t>297.</w:t>
      </w:r>
      <w:r>
        <w:tab/>
        <w:t>En outre, des renseignements sont donnés plus haut sur la question de la scolarisation des enfants appartenant à des minorités ethniques.</w:t>
      </w:r>
    </w:p>
    <w:p w:rsidR="00000000" w:rsidRDefault="00000000">
      <w:pPr>
        <w:keepNext/>
        <w:spacing w:after="200"/>
        <w:jc w:val="center"/>
        <w:rPr>
          <w:b/>
          <w:bCs/>
        </w:rPr>
      </w:pPr>
      <w:r>
        <w:rPr>
          <w:b/>
          <w:bCs/>
        </w:rPr>
        <w:t>X.  PROTOCOLES FACULTATIFS</w:t>
      </w:r>
    </w:p>
    <w:p w:rsidR="00000000" w:rsidRDefault="00000000">
      <w:pPr>
        <w:spacing w:after="200"/>
      </w:pPr>
      <w:r>
        <w:t>298.</w:t>
      </w:r>
      <w:r>
        <w:tab/>
        <w:t>Dans ses observations finales, le Comité encourage l’État partie à ratifier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spacing w:after="200"/>
      </w:pPr>
      <w:r>
        <w:t>299.</w:t>
      </w:r>
      <w:r>
        <w:tab/>
        <w:t>Le 21 juin 2002, la Géorgie a adhéré au Protocole facultatif à la Convention relative aux droits de l’enfant, concernant l’implication des enfants dans les conflits armés.</w:t>
      </w:r>
    </w:p>
    <w:p w:rsidR="00000000" w:rsidRDefault="00000000">
      <w:pPr>
        <w:spacing w:after="200"/>
      </w:pPr>
      <w:r>
        <w:t>300.</w:t>
      </w:r>
      <w:r>
        <w:tab/>
        <w:t>Le 28 juin 2005, la Géorgie a adhéré au Protocole facultatif à la Convention relative aux droits de l’enfant, concernant la vente d’enfants, la prostitution des enfants et la pornographie mettant en scène des enfants.</w:t>
      </w:r>
    </w:p>
    <w:p w:rsidR="00000000" w:rsidRDefault="00000000">
      <w:pPr>
        <w:keepNext/>
        <w:spacing w:after="200"/>
        <w:jc w:val="center"/>
        <w:rPr>
          <w:b/>
          <w:bCs/>
        </w:rPr>
      </w:pPr>
      <w:r>
        <w:rPr>
          <w:b/>
          <w:bCs/>
        </w:rPr>
        <w:t>XI.  OBSERVATIONS FINALES</w:t>
      </w:r>
    </w:p>
    <w:p w:rsidR="00000000" w:rsidRDefault="00000000">
      <w:pPr>
        <w:spacing w:after="200"/>
      </w:pPr>
      <w:r>
        <w:t>301.</w:t>
      </w:r>
      <w:r>
        <w:tab/>
        <w:t>Dans ses observations finales, le Comité recommande que le deuxième rapport périodique et les réponses écrites présentées par l’État partie soient largement diffusés auprès du grand public et qu’il soit envisagé de publier le rapport ainsi que les comptes rendus analytiques des débats correspondants et les observations finales adoptées par le Comité à l’issue de l’examen du rapport.</w:t>
      </w:r>
    </w:p>
    <w:p w:rsidR="00000000" w:rsidRDefault="00000000">
      <w:pPr>
        <w:spacing w:after="200"/>
      </w:pPr>
      <w:r>
        <w:t>302.</w:t>
      </w:r>
      <w:r>
        <w:tab/>
        <w:t>Avec l’assistance du bureau de l’UNICEF pour la Géorgie, le deuxième rapport périodique au titre de la Convention a été traduit en géorgien, publié et diffusé largement auprès du grand public.</w:t>
      </w:r>
    </w:p>
    <w:p w:rsidR="00000000" w:rsidRDefault="00000000">
      <w:pPr>
        <w:spacing w:after="200"/>
        <w:jc w:val="center"/>
      </w:pPr>
      <w: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tNusx">
    <w:altName w:val="Times New Roman"/>
    <w:charset w:val="00"/>
    <w:family w:val="auto"/>
    <w:pitch w:val="variable"/>
    <w:sig w:usb0="00000087" w:usb1="00000000" w:usb2="00000000" w:usb3="00000000" w:csb0="0000001B" w:csb1="00000000"/>
  </w:font>
  <w:font w:name="Academic">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43697  (F)    031007    111007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deuxième rapport de la Géorgie, voir le document CRC/C/104/Add.1, pour l’examen de ce document par le Comité, voir les documents CRC/C/SR.914 et CRC/C/SR.915 et pour les observations finales du Comité, voir le document CRC/C/15/Add.222.</w:t>
      </w:r>
    </w:p>
  </w:footnote>
  <w:footnote w:id="2">
    <w:p w:rsidR="00000000" w:rsidRDefault="00000000">
      <w:pPr>
        <w:pStyle w:val="FootnoteText"/>
        <w:spacing w:after="240"/>
      </w:pPr>
      <w:r>
        <w:rPr>
          <w:rStyle w:val="FootnoteReference"/>
        </w:rPr>
        <w:footnoteRef/>
      </w:r>
      <w:r>
        <w:t xml:space="preserve"> Des informations détaillées à ce sujet figurent dans les deuxième et troisième rapports périodiques sur l’application de la Convention internationale sur l’élimination de toutes les formes de discrimination raciale présentés en un seul document par la Géorgie (CERD/C/461/Add.1, par. 3 à 21).</w:t>
      </w:r>
    </w:p>
  </w:footnote>
  <w:footnote w:id="3">
    <w:p w:rsidR="00000000" w:rsidRDefault="00000000">
      <w:pPr>
        <w:pStyle w:val="FootnoteText"/>
        <w:spacing w:after="240"/>
      </w:pPr>
      <w:r>
        <w:rPr>
          <w:rStyle w:val="FootnoteReference"/>
        </w:rPr>
        <w:footnoteRef/>
      </w:r>
      <w:r>
        <w:t xml:space="preserve"> Loi sur les statistiques, art. 17 c).</w:t>
      </w:r>
    </w:p>
  </w:footnote>
  <w:footnote w:id="4">
    <w:p w:rsidR="00000000" w:rsidRDefault="00000000">
      <w:pPr>
        <w:pStyle w:val="FootnoteText"/>
        <w:spacing w:after="240"/>
      </w:pPr>
      <w:r>
        <w:rPr>
          <w:rStyle w:val="FootnoteReference"/>
        </w:rPr>
        <w:footnoteRef/>
      </w:r>
      <w:r>
        <w:t xml:space="preserve"> Code de procédure pénale, art. 44 (38).</w:t>
      </w:r>
    </w:p>
  </w:footnote>
  <w:footnote w:id="5">
    <w:p w:rsidR="00000000" w:rsidRDefault="00000000">
      <w:pPr>
        <w:pStyle w:val="FootnoteText"/>
        <w:spacing w:after="240"/>
      </w:pPr>
      <w:r>
        <w:rPr>
          <w:rStyle w:val="FootnoteReference"/>
        </w:rPr>
        <w:footnoteRef/>
      </w:r>
      <w:r>
        <w:t xml:space="preserve"> Ibid., et art. 44 (37) et 80 du Code pénal.</w:t>
      </w:r>
    </w:p>
  </w:footnote>
  <w:footnote w:id="6">
    <w:p w:rsidR="00000000" w:rsidRDefault="00000000">
      <w:pPr>
        <w:pStyle w:val="FootnoteText"/>
        <w:spacing w:after="240"/>
      </w:pPr>
      <w:r>
        <w:rPr>
          <w:rStyle w:val="FootnoteReference"/>
        </w:rPr>
        <w:footnoteRef/>
      </w:r>
      <w:r>
        <w:t xml:space="preserve"> Ibid., art. 33.</w:t>
      </w:r>
    </w:p>
  </w:footnote>
  <w:footnote w:id="7">
    <w:p w:rsidR="00000000" w:rsidRDefault="00000000">
      <w:pPr>
        <w:pStyle w:val="FootnoteText"/>
        <w:spacing w:after="240"/>
      </w:pPr>
      <w:r>
        <w:rPr>
          <w:rStyle w:val="FootnoteReference"/>
        </w:rPr>
        <w:footnoteRef/>
      </w:r>
      <w:r>
        <w:t xml:space="preserve"> Code de procédure pénale, art. 306.</w:t>
      </w:r>
    </w:p>
  </w:footnote>
  <w:footnote w:id="8">
    <w:p w:rsidR="00000000" w:rsidRDefault="00000000">
      <w:pPr>
        <w:pStyle w:val="FootnoteText"/>
        <w:spacing w:after="240"/>
        <w:rPr>
          <w:lang w:val="en-GB"/>
        </w:rPr>
      </w:pPr>
      <w:r>
        <w:rPr>
          <w:rStyle w:val="FootnoteReference"/>
        </w:rPr>
        <w:footnoteRef/>
      </w:r>
      <w:r>
        <w:rPr>
          <w:lang w:val="en-GB"/>
        </w:rPr>
        <w:t xml:space="preserve"> Ibid., art. 647.</w:t>
      </w:r>
    </w:p>
  </w:footnote>
  <w:footnote w:id="9">
    <w:p w:rsidR="00000000" w:rsidRDefault="00000000">
      <w:pPr>
        <w:pStyle w:val="FootnoteText"/>
        <w:spacing w:after="240"/>
        <w:rPr>
          <w:lang w:val="en-GB"/>
        </w:rPr>
      </w:pPr>
      <w:r>
        <w:rPr>
          <w:rStyle w:val="FootnoteReference"/>
        </w:rPr>
        <w:footnoteRef/>
      </w:r>
      <w:r>
        <w:rPr>
          <w:lang w:val="en-GB"/>
        </w:rPr>
        <w:t xml:space="preserve"> Ibid., art. 480.</w:t>
      </w:r>
    </w:p>
  </w:footnote>
  <w:footnote w:id="10">
    <w:p w:rsidR="00000000" w:rsidRDefault="00000000">
      <w:pPr>
        <w:pStyle w:val="FootnoteText"/>
        <w:spacing w:after="240"/>
      </w:pPr>
      <w:r>
        <w:rPr>
          <w:rStyle w:val="FootnoteReference"/>
        </w:rPr>
        <w:footnoteRef/>
      </w:r>
      <w:r>
        <w:t xml:space="preserve"> Au sujet du droit à la liberté de circulation en général, on voudra bien se reporter au troisième rapport périodique de la Géorgie au titre du Pacte international relatif aux droits civils et politiques (par. 223 à 225).</w:t>
      </w:r>
    </w:p>
  </w:footnote>
  <w:footnote w:id="11">
    <w:p w:rsidR="00000000" w:rsidRDefault="00000000">
      <w:pPr>
        <w:pStyle w:val="FootnoteText"/>
        <w:spacing w:after="240"/>
      </w:pPr>
      <w:r>
        <w:rPr>
          <w:rStyle w:val="FootnoteReference"/>
        </w:rPr>
        <w:footnoteRef/>
      </w:r>
      <w:r>
        <w:t xml:space="preserve"> Conformément au paragraphe 2 de l’article 1251 du Code civil, lorsque l’adoption se fait dans le pays, les parents ont le droit d’autoriser une (ou des) personne(s) précise(s) à adopter leur enfant.</w:t>
      </w:r>
    </w:p>
  </w:footnote>
  <w:footnote w:id="12">
    <w:p w:rsidR="00000000" w:rsidRDefault="00000000">
      <w:pPr>
        <w:pStyle w:val="FootnoteText"/>
        <w:spacing w:after="240"/>
      </w:pPr>
      <w:r>
        <w:rPr>
          <w:rStyle w:val="FootnoteReference"/>
        </w:rPr>
        <w:footnoteRef/>
      </w:r>
      <w:r>
        <w:t xml:space="preserve"> Code pénal, art. 371.</w:t>
      </w:r>
    </w:p>
  </w:footnote>
  <w:footnote w:id="13">
    <w:p w:rsidR="00000000" w:rsidRDefault="00000000">
      <w:pPr>
        <w:pStyle w:val="FootnoteText"/>
        <w:spacing w:after="240"/>
        <w:rPr>
          <w:lang w:val="fr-FR"/>
        </w:rPr>
      </w:pPr>
      <w:r>
        <w:rPr>
          <w:rStyle w:val="FootnoteReference"/>
        </w:rPr>
        <w:footnoteRef/>
      </w:r>
      <w:r>
        <w:rPr>
          <w:lang w:val="fr-FR"/>
        </w:rPr>
        <w:t xml:space="preserve"> Code pénal, art. 171.</w:t>
      </w:r>
    </w:p>
  </w:footnote>
  <w:footnote w:id="14">
    <w:p w:rsidR="00000000" w:rsidRDefault="00000000">
      <w:pPr>
        <w:pStyle w:val="FootnoteText"/>
        <w:spacing w:after="240"/>
        <w:rPr>
          <w:lang w:val="en-GB"/>
        </w:rPr>
      </w:pPr>
      <w:r>
        <w:rPr>
          <w:rStyle w:val="FootnoteReference"/>
        </w:rPr>
        <w:footnoteRef/>
      </w:r>
      <w:r>
        <w:rPr>
          <w:lang w:val="en-GB"/>
        </w:rPr>
        <w:t xml:space="preserve"> Ibid., art. 137.</w:t>
      </w:r>
    </w:p>
  </w:footnote>
  <w:footnote w:id="15">
    <w:p w:rsidR="00000000" w:rsidRDefault="00000000">
      <w:pPr>
        <w:pStyle w:val="FootnoteText"/>
        <w:spacing w:after="240"/>
        <w:rPr>
          <w:lang w:val="en-GB"/>
        </w:rPr>
      </w:pPr>
      <w:r>
        <w:rPr>
          <w:rStyle w:val="FootnoteReference"/>
        </w:rPr>
        <w:footnoteRef/>
      </w:r>
      <w:r>
        <w:rPr>
          <w:lang w:val="en-GB"/>
        </w:rPr>
        <w:t xml:space="preserve"> Ibid., art. 138.</w:t>
      </w:r>
    </w:p>
  </w:footnote>
  <w:footnote w:id="16">
    <w:p w:rsidR="00000000" w:rsidRDefault="00000000">
      <w:pPr>
        <w:pStyle w:val="FootnoteText"/>
        <w:spacing w:after="240"/>
        <w:rPr>
          <w:lang w:val="en-GB"/>
        </w:rPr>
      </w:pPr>
      <w:r>
        <w:rPr>
          <w:rStyle w:val="FootnoteReference"/>
        </w:rPr>
        <w:footnoteRef/>
      </w:r>
      <w:r>
        <w:rPr>
          <w:lang w:val="en-GB"/>
        </w:rPr>
        <w:t xml:space="preserve"> Ibid., art. 139.</w:t>
      </w:r>
    </w:p>
  </w:footnote>
  <w:footnote w:id="17">
    <w:p w:rsidR="00000000" w:rsidRDefault="00000000">
      <w:pPr>
        <w:pStyle w:val="FootnoteText"/>
        <w:spacing w:after="240"/>
        <w:rPr>
          <w:lang w:val="en-GB"/>
        </w:rPr>
      </w:pPr>
      <w:r>
        <w:rPr>
          <w:rStyle w:val="FootnoteReference"/>
        </w:rPr>
        <w:footnoteRef/>
      </w:r>
      <w:r>
        <w:rPr>
          <w:lang w:val="en-GB"/>
        </w:rPr>
        <w:t xml:space="preserve"> Ibid., art. 253.</w:t>
      </w:r>
    </w:p>
  </w:footnote>
  <w:footnote w:id="18">
    <w:p w:rsidR="00000000" w:rsidRDefault="00000000">
      <w:pPr>
        <w:pStyle w:val="FootnoteText"/>
        <w:spacing w:after="240"/>
        <w:rPr>
          <w:lang w:val="en-GB"/>
        </w:rPr>
      </w:pPr>
      <w:r>
        <w:rPr>
          <w:rStyle w:val="FootnoteReference"/>
        </w:rPr>
        <w:footnoteRef/>
      </w:r>
      <w:r>
        <w:rPr>
          <w:lang w:val="en-GB"/>
        </w:rPr>
        <w:t xml:space="preserve"> Ibid., art. 143, par. 2.</w:t>
      </w:r>
    </w:p>
  </w:footnote>
  <w:footnote w:id="19">
    <w:p w:rsidR="00000000" w:rsidRDefault="00000000">
      <w:pPr>
        <w:pStyle w:val="FootnoteText"/>
        <w:spacing w:after="240"/>
        <w:rPr>
          <w:lang w:val="en-GB"/>
        </w:rPr>
      </w:pPr>
      <w:r>
        <w:rPr>
          <w:rStyle w:val="FootnoteReference"/>
        </w:rPr>
        <w:footnoteRef/>
      </w:r>
      <w:r>
        <w:rPr>
          <w:lang w:val="en-GB"/>
        </w:rPr>
        <w:t xml:space="preserve"> Ibid., art. 140.</w:t>
      </w:r>
    </w:p>
  </w:footnote>
  <w:footnote w:id="20">
    <w:p w:rsidR="00000000" w:rsidRDefault="00000000">
      <w:pPr>
        <w:pStyle w:val="FootnoteText"/>
        <w:spacing w:after="240"/>
        <w:rPr>
          <w:lang w:val="en-GB"/>
        </w:rPr>
      </w:pPr>
      <w:r>
        <w:rPr>
          <w:rStyle w:val="FootnoteReference"/>
        </w:rPr>
        <w:footnoteRef/>
      </w:r>
      <w:r>
        <w:rPr>
          <w:lang w:val="en-GB"/>
        </w:rPr>
        <w:t xml:space="preserve"> Ibid., art. 141.</w:t>
      </w:r>
    </w:p>
  </w:footnote>
  <w:footnote w:id="21">
    <w:p w:rsidR="00000000" w:rsidRDefault="00000000">
      <w:pPr>
        <w:pStyle w:val="FootnoteText"/>
        <w:spacing w:after="240"/>
      </w:pPr>
      <w:r>
        <w:rPr>
          <w:rStyle w:val="FootnoteReference"/>
        </w:rPr>
        <w:footnoteRef/>
      </w:r>
      <w:r>
        <w:t xml:space="preserve"> Voir le rapport de la Géorgie sur l’application de la Convention </w:t>
      </w:r>
      <w:r>
        <w:rPr>
          <w:rFonts w:eastAsia="MS Mincho"/>
        </w:rPr>
        <w:t>n</w:t>
      </w:r>
      <w:r>
        <w:rPr>
          <w:rFonts w:eastAsia="MS Mincho"/>
          <w:vertAlign w:val="superscript"/>
        </w:rPr>
        <w:t>o</w:t>
      </w:r>
      <w:r>
        <w:t xml:space="preserve"> 182 de l’OIT présenté conformément à l’article 22 de la Charte de l’OIT en septembre 2006. </w:t>
      </w:r>
    </w:p>
  </w:footnote>
  <w:footnote w:id="22">
    <w:p w:rsidR="00000000" w:rsidRDefault="00000000">
      <w:pPr>
        <w:pStyle w:val="FootnoteText"/>
      </w:pPr>
      <w:r>
        <w:rPr>
          <w:rStyle w:val="FootnoteReference"/>
        </w:rPr>
        <w:footnoteRef/>
      </w:r>
      <w:r>
        <w:t xml:space="preserve"> Les membres des commissions ont été dûment formés au Centre de formation pour le système pénitentiaire et la probation, avec l’assistance financière de l’ONG Prison Reform International.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CRC/C/GEO/3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CRC/C/GEO/3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27A430A"/>
    <w:multiLevelType w:val="hybridMultilevel"/>
    <w:tmpl w:val="1A8CF73E"/>
    <w:lvl w:ilvl="0" w:tplc="5DF884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28008F5"/>
    <w:multiLevelType w:val="hybridMultilevel"/>
    <w:tmpl w:val="48E85CE8"/>
    <w:lvl w:ilvl="0" w:tplc="8AC2E090">
      <w:numFmt w:val="bullet"/>
      <w:lvlText w:val="-"/>
      <w:lvlJc w:val="left"/>
      <w:pPr>
        <w:tabs>
          <w:tab w:val="num" w:pos="720"/>
        </w:tabs>
        <w:ind w:left="720" w:hanging="360"/>
      </w:pPr>
      <w:rPr>
        <w:rFonts w:ascii="LitNusx" w:eastAsia="Times New Roman" w:hAnsi="LitNusx" w:cs="Times New Roman" w:hint="default"/>
      </w:rPr>
    </w:lvl>
    <w:lvl w:ilvl="1" w:tplc="CC3CB7B2">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8085598"/>
    <w:multiLevelType w:val="hybridMultilevel"/>
    <w:tmpl w:val="CA28008C"/>
    <w:lvl w:ilvl="0" w:tplc="04190003">
      <w:start w:val="1"/>
      <w:numFmt w:val="bullet"/>
      <w:lvlText w:val="o"/>
      <w:lvlJc w:val="left"/>
      <w:pPr>
        <w:tabs>
          <w:tab w:val="num" w:pos="1080"/>
        </w:tabs>
        <w:ind w:left="1080" w:hanging="360"/>
      </w:pPr>
      <w:rPr>
        <w:rFonts w:ascii="Courier New" w:hAnsi="Courier New" w:cs="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CB6423"/>
    <w:multiLevelType w:val="hybridMultilevel"/>
    <w:tmpl w:val="999EAB76"/>
    <w:lvl w:ilvl="0" w:tplc="F33CFEF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AF5591"/>
    <w:multiLevelType w:val="hybridMultilevel"/>
    <w:tmpl w:val="E67CB370"/>
    <w:lvl w:ilvl="0" w:tplc="B80C5C2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0DF11A55"/>
    <w:multiLevelType w:val="hybridMultilevel"/>
    <w:tmpl w:val="A8F2F534"/>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0E2D76E4"/>
    <w:multiLevelType w:val="hybridMultilevel"/>
    <w:tmpl w:val="D1D2E232"/>
    <w:lvl w:ilvl="0" w:tplc="082CE062">
      <w:start w:val="1"/>
      <w:numFmt w:val="bullet"/>
      <w:lvlText w:val=""/>
      <w:lvlJc w:val="left"/>
      <w:pPr>
        <w:tabs>
          <w:tab w:val="num" w:pos="648"/>
        </w:tabs>
        <w:ind w:left="648" w:hanging="28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0E6866AE"/>
    <w:multiLevelType w:val="hybridMultilevel"/>
    <w:tmpl w:val="B61E115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17B43A3"/>
    <w:multiLevelType w:val="hybridMultilevel"/>
    <w:tmpl w:val="AFA0149A"/>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12FB4A66"/>
    <w:multiLevelType w:val="hybridMultilevel"/>
    <w:tmpl w:val="0060C2BE"/>
    <w:lvl w:ilvl="0" w:tplc="7D0CC098">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3AE29A4"/>
    <w:multiLevelType w:val="hybridMultilevel"/>
    <w:tmpl w:val="6C08CF0E"/>
    <w:lvl w:ilvl="0" w:tplc="780242C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72B12C5"/>
    <w:multiLevelType w:val="hybridMultilevel"/>
    <w:tmpl w:val="6480F1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17914CFB"/>
    <w:multiLevelType w:val="hybridMultilevel"/>
    <w:tmpl w:val="EED2AD06"/>
    <w:lvl w:ilvl="0" w:tplc="75D281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7F5502A"/>
    <w:multiLevelType w:val="hybridMultilevel"/>
    <w:tmpl w:val="36665C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19E23C3C"/>
    <w:multiLevelType w:val="hybridMultilevel"/>
    <w:tmpl w:val="204A41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1B984921"/>
    <w:multiLevelType w:val="hybridMultilevel"/>
    <w:tmpl w:val="A342C4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C633893"/>
    <w:multiLevelType w:val="hybridMultilevel"/>
    <w:tmpl w:val="17C8BE06"/>
    <w:lvl w:ilvl="0" w:tplc="F6302A56">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1D405609"/>
    <w:multiLevelType w:val="hybridMultilevel"/>
    <w:tmpl w:val="85C2F4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0871BCF"/>
    <w:multiLevelType w:val="hybridMultilevel"/>
    <w:tmpl w:val="275A1682"/>
    <w:lvl w:ilvl="0" w:tplc="41DE5E26">
      <w:start w:val="1"/>
      <w:numFmt w:val="bullet"/>
      <w:pStyle w:val="Hyperlink"/>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8C5494"/>
    <w:multiLevelType w:val="hybridMultilevel"/>
    <w:tmpl w:val="B800486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20922901"/>
    <w:multiLevelType w:val="hybridMultilevel"/>
    <w:tmpl w:val="83025D38"/>
    <w:lvl w:ilvl="0" w:tplc="F6302A56">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28404C80"/>
    <w:multiLevelType w:val="hybridMultilevel"/>
    <w:tmpl w:val="47F265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2B3F49C6"/>
    <w:multiLevelType w:val="singleLevel"/>
    <w:tmpl w:val="E3B2C61A"/>
    <w:lvl w:ilvl="0">
      <w:start w:val="1"/>
      <w:numFmt w:val="lowerRoman"/>
      <w:pStyle w:val="ParaNo"/>
      <w:lvlText w:val="%1)"/>
      <w:lvlJc w:val="right"/>
      <w:pPr>
        <w:tabs>
          <w:tab w:val="num" w:pos="927"/>
        </w:tabs>
        <w:ind w:left="567" w:firstLine="0"/>
      </w:pPr>
    </w:lvl>
  </w:abstractNum>
  <w:abstractNum w:abstractNumId="40">
    <w:nsid w:val="2B8B3E43"/>
    <w:multiLevelType w:val="hybridMultilevel"/>
    <w:tmpl w:val="9456390A"/>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C5E5B11"/>
    <w:multiLevelType w:val="hybridMultilevel"/>
    <w:tmpl w:val="BB30A95C"/>
    <w:lvl w:ilvl="0" w:tplc="95AED440">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2E5D5A27"/>
    <w:multiLevelType w:val="hybridMultilevel"/>
    <w:tmpl w:val="E9B8BC42"/>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2EE37CF7"/>
    <w:multiLevelType w:val="hybridMultilevel"/>
    <w:tmpl w:val="65C005CC"/>
    <w:lvl w:ilvl="0" w:tplc="B0206690">
      <w:start w:val="213"/>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302A75A7"/>
    <w:multiLevelType w:val="singleLevel"/>
    <w:tmpl w:val="3496DD40"/>
    <w:lvl w:ilvl="0">
      <w:start w:val="1"/>
      <w:numFmt w:val="decimal"/>
      <w:lvlText w:val="(%1)"/>
      <w:lvlJc w:val="left"/>
      <w:pPr>
        <w:tabs>
          <w:tab w:val="num" w:pos="1440"/>
        </w:tabs>
        <w:ind w:left="1440" w:hanging="720"/>
      </w:pPr>
    </w:lvl>
  </w:abstractNum>
  <w:abstractNum w:abstractNumId="45">
    <w:nsid w:val="311A7890"/>
    <w:multiLevelType w:val="hybridMultilevel"/>
    <w:tmpl w:val="15AA7D7E"/>
    <w:lvl w:ilvl="0" w:tplc="E230D148">
      <w:start w:val="1"/>
      <w:numFmt w:val="bullet"/>
      <w:lvlText w:val=""/>
      <w:lvlJc w:val="left"/>
      <w:pPr>
        <w:tabs>
          <w:tab w:val="num" w:pos="-32767"/>
        </w:tabs>
        <w:ind w:left="851" w:hanging="284"/>
      </w:pPr>
      <w:rPr>
        <w:rFonts w:ascii="Symbol" w:hAnsi="Symbol" w:hint="default"/>
      </w:rPr>
    </w:lvl>
    <w:lvl w:ilvl="1" w:tplc="B03EB130">
      <w:start w:val="1"/>
      <w:numFmt w:val="bullet"/>
      <w:lvlText w:val="­"/>
      <w:lvlJc w:val="left"/>
      <w:pPr>
        <w:tabs>
          <w:tab w:val="num" w:pos="-32254"/>
        </w:tabs>
        <w:ind w:left="1364" w:hanging="284"/>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6255761"/>
    <w:multiLevelType w:val="singleLevel"/>
    <w:tmpl w:val="0409000F"/>
    <w:lvl w:ilvl="0">
      <w:start w:val="1"/>
      <w:numFmt w:val="decimal"/>
      <w:lvlText w:val="%1."/>
      <w:lvlJc w:val="left"/>
      <w:pPr>
        <w:tabs>
          <w:tab w:val="num" w:pos="360"/>
        </w:tabs>
        <w:ind w:left="360" w:hanging="360"/>
      </w:pPr>
    </w:lvl>
  </w:abstractNum>
  <w:abstractNum w:abstractNumId="47">
    <w:nsid w:val="36A061C4"/>
    <w:multiLevelType w:val="hybridMultilevel"/>
    <w:tmpl w:val="B24228C2"/>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79C1E44"/>
    <w:multiLevelType w:val="hybridMultilevel"/>
    <w:tmpl w:val="BB565F88"/>
    <w:lvl w:ilvl="0" w:tplc="BBCAE2C8">
      <w:numFmt w:val="bullet"/>
      <w:lvlText w:val="-"/>
      <w:lvlJc w:val="left"/>
      <w:pPr>
        <w:tabs>
          <w:tab w:val="num" w:pos="1008"/>
        </w:tabs>
        <w:ind w:left="1008" w:hanging="648"/>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A2C5EFA"/>
    <w:multiLevelType w:val="hybridMultilevel"/>
    <w:tmpl w:val="F456171C"/>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3CB061AB"/>
    <w:multiLevelType w:val="singleLevel"/>
    <w:tmpl w:val="243A09C4"/>
    <w:lvl w:ilvl="0">
      <w:start w:val="1"/>
      <w:numFmt w:val="decimal"/>
      <w:pStyle w:val="Bullet"/>
      <w:lvlText w:val="%1."/>
      <w:lvlJc w:val="left"/>
      <w:pPr>
        <w:tabs>
          <w:tab w:val="num" w:pos="360"/>
        </w:tabs>
        <w:ind w:left="-1" w:firstLine="1"/>
      </w:pPr>
      <w:rPr>
        <w:rFonts w:hint="default"/>
      </w:rPr>
    </w:lvl>
  </w:abstractNum>
  <w:abstractNum w:abstractNumId="51">
    <w:nsid w:val="3CCF130B"/>
    <w:multiLevelType w:val="hybridMultilevel"/>
    <w:tmpl w:val="7938D8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3CE4258B"/>
    <w:multiLevelType w:val="hybridMultilevel"/>
    <w:tmpl w:val="FBE8AFF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3DCB48D7"/>
    <w:multiLevelType w:val="hybridMultilevel"/>
    <w:tmpl w:val="3670B38E"/>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0221049"/>
    <w:multiLevelType w:val="singleLevel"/>
    <w:tmpl w:val="04D4B0C4"/>
    <w:lvl w:ilvl="0">
      <w:start w:val="1"/>
      <w:numFmt w:val="decimal"/>
      <w:lvlText w:val="%1."/>
      <w:lvlJc w:val="left"/>
      <w:pPr>
        <w:tabs>
          <w:tab w:val="num" w:pos="360"/>
        </w:tabs>
        <w:ind w:left="360" w:hanging="360"/>
      </w:pPr>
    </w:lvl>
  </w:abstractNum>
  <w:abstractNum w:abstractNumId="55">
    <w:nsid w:val="432A629A"/>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
    <w:nsid w:val="43554EE4"/>
    <w:multiLevelType w:val="hybridMultilevel"/>
    <w:tmpl w:val="9E0E0908"/>
    <w:lvl w:ilvl="0" w:tplc="22BA870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444B2C99"/>
    <w:multiLevelType w:val="hybridMultilevel"/>
    <w:tmpl w:val="2432F858"/>
    <w:lvl w:ilvl="0" w:tplc="780242C8">
      <w:start w:val="1"/>
      <w:numFmt w:val="bullet"/>
      <w:lvlText w:val="–"/>
      <w:lvlJc w:val="left"/>
      <w:pPr>
        <w:tabs>
          <w:tab w:val="num" w:pos="1134"/>
        </w:tabs>
        <w:ind w:left="1134" w:hanging="567"/>
      </w:pPr>
      <w:rPr>
        <w:rFonts w:ascii="Times New Roman" w:hAnsi="Times New Roman" w:cs="Times New Roman" w:hint="default"/>
      </w:rPr>
    </w:lvl>
    <w:lvl w:ilvl="1" w:tplc="CCBAB390">
      <w:start w:val="1"/>
      <w:numFmt w:val="bullet"/>
      <w:lvlText w:val=""/>
      <w:lvlJc w:val="left"/>
      <w:pPr>
        <w:tabs>
          <w:tab w:val="num" w:pos="1701"/>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452D144C"/>
    <w:multiLevelType w:val="singleLevel"/>
    <w:tmpl w:val="7C4C0A7C"/>
    <w:lvl w:ilvl="0">
      <w:start w:val="1"/>
      <w:numFmt w:val="decimal"/>
      <w:lvlText w:val="(%1)"/>
      <w:lvlJc w:val="left"/>
      <w:pPr>
        <w:tabs>
          <w:tab w:val="num" w:pos="720"/>
        </w:tabs>
        <w:ind w:left="720" w:hanging="720"/>
      </w:pPr>
    </w:lvl>
  </w:abstractNum>
  <w:abstractNum w:abstractNumId="59">
    <w:nsid w:val="4675394C"/>
    <w:multiLevelType w:val="hybridMultilevel"/>
    <w:tmpl w:val="AE22ED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46C23194"/>
    <w:multiLevelType w:val="hybridMultilevel"/>
    <w:tmpl w:val="8938AD3A"/>
    <w:lvl w:ilvl="0" w:tplc="53764064">
      <w:start w:val="1"/>
      <w:numFmt w:val="bullet"/>
      <w:lvlText w:val=""/>
      <w:lvlJc w:val="left"/>
      <w:pPr>
        <w:tabs>
          <w:tab w:val="num" w:pos="1210"/>
        </w:tabs>
        <w:ind w:left="850" w:hanging="283"/>
      </w:pPr>
      <w:rPr>
        <w:rFonts w:ascii="Symbol" w:hAnsi="Symbol" w:hint="default"/>
      </w:rPr>
    </w:lvl>
    <w:lvl w:ilvl="1" w:tplc="04090003">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6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2">
    <w:nsid w:val="490C02FF"/>
    <w:multiLevelType w:val="hybridMultilevel"/>
    <w:tmpl w:val="23EA115A"/>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4A207A94"/>
    <w:multiLevelType w:val="hybridMultilevel"/>
    <w:tmpl w:val="020AB84E"/>
    <w:lvl w:ilvl="0" w:tplc="F68C066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AD212B1"/>
    <w:multiLevelType w:val="hybridMultilevel"/>
    <w:tmpl w:val="9022E6B8"/>
    <w:lvl w:ilvl="0" w:tplc="C772EC9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4B6106C8"/>
    <w:multiLevelType w:val="hybridMultilevel"/>
    <w:tmpl w:val="CFD25E1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F6302A56">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4CDE2ED7"/>
    <w:multiLevelType w:val="hybridMultilevel"/>
    <w:tmpl w:val="DE76D1C4"/>
    <w:lvl w:ilvl="0" w:tplc="47D66180">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67">
    <w:nsid w:val="4DD65A5D"/>
    <w:multiLevelType w:val="hybridMultilevel"/>
    <w:tmpl w:val="64EC0F72"/>
    <w:lvl w:ilvl="0" w:tplc="B31CE5B8">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68">
    <w:nsid w:val="4E5A0D49"/>
    <w:multiLevelType w:val="hybridMultilevel"/>
    <w:tmpl w:val="CCAC9C44"/>
    <w:lvl w:ilvl="0" w:tplc="B5C85CCE">
      <w:start w:val="8"/>
      <w:numFmt w:val="upperLetter"/>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69">
    <w:nsid w:val="4E8203D7"/>
    <w:multiLevelType w:val="hybridMultilevel"/>
    <w:tmpl w:val="F6386D26"/>
    <w:lvl w:ilvl="0" w:tplc="723AA81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4EFA2598"/>
    <w:multiLevelType w:val="singleLevel"/>
    <w:tmpl w:val="0409000F"/>
    <w:lvl w:ilvl="0">
      <w:start w:val="1"/>
      <w:numFmt w:val="decimal"/>
      <w:lvlText w:val="%1."/>
      <w:lvlJc w:val="left"/>
      <w:pPr>
        <w:tabs>
          <w:tab w:val="num" w:pos="360"/>
        </w:tabs>
        <w:ind w:left="360" w:hanging="360"/>
      </w:pPr>
    </w:lvl>
  </w:abstractNum>
  <w:abstractNum w:abstractNumId="71">
    <w:nsid w:val="4F621834"/>
    <w:multiLevelType w:val="hybridMultilevel"/>
    <w:tmpl w:val="AF26C32A"/>
    <w:lvl w:ilvl="0" w:tplc="2C10E222">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3">
    <w:nsid w:val="50150DE0"/>
    <w:multiLevelType w:val="hybridMultilevel"/>
    <w:tmpl w:val="F6FCB1F8"/>
    <w:lvl w:ilvl="0" w:tplc="797AA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512411F2"/>
    <w:multiLevelType w:val="hybridMultilevel"/>
    <w:tmpl w:val="DF5ED228"/>
    <w:lvl w:ilvl="0" w:tplc="04190015">
      <w:start w:val="1"/>
      <w:numFmt w:val="upp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52C0657C"/>
    <w:multiLevelType w:val="hybridMultilevel"/>
    <w:tmpl w:val="0E28696C"/>
    <w:lvl w:ilvl="0" w:tplc="4A90E3CC">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52FE1827"/>
    <w:multiLevelType w:val="hybridMultilevel"/>
    <w:tmpl w:val="6AA8186C"/>
    <w:lvl w:ilvl="0" w:tplc="041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53C320FE"/>
    <w:multiLevelType w:val="hybridMultilevel"/>
    <w:tmpl w:val="E31AF518"/>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8">
    <w:nsid w:val="54505834"/>
    <w:multiLevelType w:val="hybridMultilevel"/>
    <w:tmpl w:val="FE5C92BA"/>
    <w:lvl w:ilvl="0" w:tplc="E3F261C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55E203F6"/>
    <w:multiLevelType w:val="hybridMultilevel"/>
    <w:tmpl w:val="47F265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56C51A44"/>
    <w:multiLevelType w:val="hybridMultilevel"/>
    <w:tmpl w:val="A7EEC82A"/>
    <w:lvl w:ilvl="0" w:tplc="5DF884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56D86400"/>
    <w:multiLevelType w:val="hybridMultilevel"/>
    <w:tmpl w:val="41D05B9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2">
    <w:nsid w:val="587263CD"/>
    <w:multiLevelType w:val="hybridMultilevel"/>
    <w:tmpl w:val="E60CFD88"/>
    <w:lvl w:ilvl="0" w:tplc="F33CFEF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5A077F0C"/>
    <w:multiLevelType w:val="hybridMultilevel"/>
    <w:tmpl w:val="C218AA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5">
    <w:nsid w:val="5C2A0FEA"/>
    <w:multiLevelType w:val="hybridMultilevel"/>
    <w:tmpl w:val="8B0AA0A0"/>
    <w:lvl w:ilvl="0" w:tplc="04190001">
      <w:start w:val="1"/>
      <w:numFmt w:val="bullet"/>
      <w:lvlText w:val=""/>
      <w:lvlJc w:val="left"/>
      <w:pPr>
        <w:tabs>
          <w:tab w:val="num" w:pos="720"/>
        </w:tabs>
        <w:ind w:left="720" w:hanging="360"/>
      </w:pPr>
      <w:rPr>
        <w:rFonts w:ascii="Symbol" w:hAnsi="Symbol" w:hint="default"/>
      </w:rPr>
    </w:lvl>
    <w:lvl w:ilvl="1" w:tplc="6CFA3800">
      <w:start w:val="1"/>
      <w:numFmt w:val="bullet"/>
      <w:lvlText w:val=""/>
      <w:lvlJc w:val="left"/>
      <w:pPr>
        <w:tabs>
          <w:tab w:val="num" w:pos="1440"/>
        </w:tabs>
        <w:ind w:left="1440" w:hanging="360"/>
      </w:pPr>
      <w:rPr>
        <w:rFonts w:ascii="Wingdings" w:hAnsi="Wingdings" w:hint="default"/>
        <w:color w:val="auto"/>
      </w:rPr>
    </w:lvl>
    <w:lvl w:ilvl="2" w:tplc="F6302A56">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5E44121F"/>
    <w:multiLevelType w:val="hybridMultilevel"/>
    <w:tmpl w:val="B16E7192"/>
    <w:lvl w:ilvl="0" w:tplc="F4421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60711B56"/>
    <w:multiLevelType w:val="hybridMultilevel"/>
    <w:tmpl w:val="91A8402E"/>
    <w:lvl w:ilvl="0" w:tplc="29D4F428">
      <w:start w:val="1"/>
      <w:numFmt w:val="decimal"/>
      <w:lvlText w:val="%1."/>
      <w:lvlJc w:val="left"/>
      <w:pPr>
        <w:tabs>
          <w:tab w:val="num" w:pos="1440"/>
        </w:tabs>
        <w:ind w:left="1440" w:hanging="360"/>
      </w:pPr>
      <w:rPr>
        <w:rFonts w:hint="default"/>
        <w:lang w:val="en-GB"/>
      </w:rPr>
    </w:lvl>
    <w:lvl w:ilvl="1" w:tplc="77FCA4AE">
      <w:start w:val="3"/>
      <w:numFmt w:val="upperLetter"/>
      <w:lvlText w:val="%2."/>
      <w:lvlJc w:val="left"/>
      <w:pPr>
        <w:tabs>
          <w:tab w:val="num" w:pos="2160"/>
        </w:tabs>
        <w:ind w:left="2160" w:hanging="36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8">
    <w:nsid w:val="60C22D69"/>
    <w:multiLevelType w:val="hybridMultilevel"/>
    <w:tmpl w:val="A4169066"/>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61D44DCF"/>
    <w:multiLevelType w:val="hybridMultilevel"/>
    <w:tmpl w:val="0E28696C"/>
    <w:lvl w:ilvl="0" w:tplc="B9C698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62080B75"/>
    <w:multiLevelType w:val="hybridMultilevel"/>
    <w:tmpl w:val="831405C8"/>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62675E29"/>
    <w:multiLevelType w:val="hybridMultilevel"/>
    <w:tmpl w:val="34F64FA4"/>
    <w:lvl w:ilvl="0" w:tplc="04190003">
      <w:start w:val="1"/>
      <w:numFmt w:val="bullet"/>
      <w:lvlText w:val="o"/>
      <w:lvlJc w:val="left"/>
      <w:pPr>
        <w:tabs>
          <w:tab w:val="num" w:pos="720"/>
        </w:tabs>
        <w:ind w:left="72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62AC3D51"/>
    <w:multiLevelType w:val="hybridMultilevel"/>
    <w:tmpl w:val="2C983CF4"/>
    <w:lvl w:ilvl="0" w:tplc="E3F261C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62DB448F"/>
    <w:multiLevelType w:val="singleLevel"/>
    <w:tmpl w:val="0C090017"/>
    <w:lvl w:ilvl="0">
      <w:start w:val="1"/>
      <w:numFmt w:val="lowerLetter"/>
      <w:lvlText w:val="%1)"/>
      <w:lvlJc w:val="left"/>
      <w:pPr>
        <w:tabs>
          <w:tab w:val="num" w:pos="360"/>
        </w:tabs>
        <w:ind w:left="360" w:hanging="360"/>
      </w:pPr>
      <w:rPr>
        <w:rFonts w:hint="default"/>
      </w:rPr>
    </w:lvl>
  </w:abstractNum>
  <w:abstractNum w:abstractNumId="94">
    <w:nsid w:val="644E4D6B"/>
    <w:multiLevelType w:val="hybridMultilevel"/>
    <w:tmpl w:val="8E1EA9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5">
    <w:nsid w:val="648916C5"/>
    <w:multiLevelType w:val="multilevel"/>
    <w:tmpl w:val="15AA7D7E"/>
    <w:lvl w:ilvl="0">
      <w:start w:val="1"/>
      <w:numFmt w:val="bullet"/>
      <w:lvlText w:val=""/>
      <w:lvlJc w:val="left"/>
      <w:pPr>
        <w:tabs>
          <w:tab w:val="num" w:pos="-32767"/>
        </w:tabs>
        <w:ind w:left="851" w:hanging="284"/>
      </w:pPr>
      <w:rPr>
        <w:rFonts w:ascii="Symbol" w:hAnsi="Symbol" w:hint="default"/>
      </w:rPr>
    </w:lvl>
    <w:lvl w:ilvl="1">
      <w:start w:val="1"/>
      <w:numFmt w:val="bullet"/>
      <w:lvlText w:val="­"/>
      <w:lvlJc w:val="left"/>
      <w:pPr>
        <w:tabs>
          <w:tab w:val="num" w:pos="-32254"/>
        </w:tabs>
        <w:ind w:left="1364" w:hanging="284"/>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
    <w:nsid w:val="65D15DFE"/>
    <w:multiLevelType w:val="singleLevel"/>
    <w:tmpl w:val="475E6D3C"/>
    <w:lvl w:ilvl="0">
      <w:start w:val="1"/>
      <w:numFmt w:val="decimal"/>
      <w:lvlText w:val="%1."/>
      <w:lvlJc w:val="left"/>
      <w:pPr>
        <w:tabs>
          <w:tab w:val="num" w:pos="360"/>
        </w:tabs>
        <w:ind w:left="360" w:hanging="360"/>
      </w:pPr>
    </w:lvl>
  </w:abstractNum>
  <w:abstractNum w:abstractNumId="97">
    <w:nsid w:val="662A1C70"/>
    <w:multiLevelType w:val="hybridMultilevel"/>
    <w:tmpl w:val="736685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8374A9E"/>
    <w:multiLevelType w:val="hybridMultilevel"/>
    <w:tmpl w:val="8C80A3A0"/>
    <w:lvl w:ilvl="0" w:tplc="C5DAEDDA">
      <w:start w:val="1"/>
      <w:numFmt w:val="bullet"/>
      <w:lvlText w:val=""/>
      <w:lvlJc w:val="left"/>
      <w:pPr>
        <w:tabs>
          <w:tab w:val="num" w:pos="360"/>
        </w:tabs>
        <w:ind w:left="360" w:hanging="360"/>
      </w:pPr>
      <w:rPr>
        <w:rFonts w:ascii="Wingdings" w:hAnsi="Wingdings"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69B815C4"/>
    <w:multiLevelType w:val="hybridMultilevel"/>
    <w:tmpl w:val="B272355E"/>
    <w:lvl w:ilvl="0" w:tplc="A0B6FB00">
      <w:start w:val="12"/>
      <w:numFmt w:val="decimal"/>
      <w:lvlText w:val="%1"/>
      <w:lvlJc w:val="left"/>
      <w:pPr>
        <w:tabs>
          <w:tab w:val="num" w:pos="577"/>
        </w:tabs>
        <w:ind w:left="577" w:hanging="390"/>
      </w:pPr>
      <w:rPr>
        <w:rFonts w:ascii="Academic" w:hAnsi="Academic" w:hint="default"/>
      </w:rPr>
    </w:lvl>
    <w:lvl w:ilvl="1" w:tplc="04190001">
      <w:start w:val="1"/>
      <w:numFmt w:val="bullet"/>
      <w:lvlText w:val=""/>
      <w:lvlJc w:val="left"/>
      <w:pPr>
        <w:tabs>
          <w:tab w:val="num" w:pos="1267"/>
        </w:tabs>
        <w:ind w:left="1267" w:hanging="360"/>
      </w:pPr>
      <w:rPr>
        <w:rFonts w:ascii="Symbol" w:hAnsi="Symbol" w:hint="default"/>
      </w:rPr>
    </w:lvl>
    <w:lvl w:ilvl="2" w:tplc="8318CBE6">
      <w:start w:val="5"/>
      <w:numFmt w:val="decimal"/>
      <w:lvlText w:val="%3."/>
      <w:lvlJc w:val="left"/>
      <w:pPr>
        <w:tabs>
          <w:tab w:val="num" w:pos="2167"/>
        </w:tabs>
        <w:ind w:left="2167" w:hanging="360"/>
      </w:pPr>
      <w:rPr>
        <w:rFonts w:hint="default"/>
      </w:rPr>
    </w:lvl>
    <w:lvl w:ilvl="3" w:tplc="04190001">
      <w:start w:val="1"/>
      <w:numFmt w:val="bullet"/>
      <w:lvlText w:val=""/>
      <w:lvlJc w:val="left"/>
      <w:pPr>
        <w:tabs>
          <w:tab w:val="num" w:pos="2707"/>
        </w:tabs>
        <w:ind w:left="2707" w:hanging="360"/>
      </w:pPr>
      <w:rPr>
        <w:rFonts w:ascii="Symbol" w:hAnsi="Symbol" w:hint="default"/>
      </w:r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100">
    <w:nsid w:val="6C5A02D8"/>
    <w:multiLevelType w:val="hybridMultilevel"/>
    <w:tmpl w:val="E78ECEDE"/>
    <w:lvl w:ilvl="0" w:tplc="BBE85A34">
      <w:start w:val="222"/>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01">
    <w:nsid w:val="6CEE30C9"/>
    <w:multiLevelType w:val="hybridMultilevel"/>
    <w:tmpl w:val="A2FC2796"/>
    <w:lvl w:ilvl="0" w:tplc="F33CFEF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6CF12B33"/>
    <w:multiLevelType w:val="hybridMultilevel"/>
    <w:tmpl w:val="09CAE8F0"/>
    <w:lvl w:ilvl="0" w:tplc="5DF884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6D3F56FF"/>
    <w:multiLevelType w:val="hybridMultilevel"/>
    <w:tmpl w:val="624C61F8"/>
    <w:lvl w:ilvl="0" w:tplc="723AA81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6EBE4E8E"/>
    <w:multiLevelType w:val="hybridMultilevel"/>
    <w:tmpl w:val="0E28696C"/>
    <w:lvl w:ilvl="0" w:tplc="5A9A20C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70292472"/>
    <w:multiLevelType w:val="hybridMultilevel"/>
    <w:tmpl w:val="E5D267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70523E95"/>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
    <w:nsid w:val="70E84C6D"/>
    <w:multiLevelType w:val="hybridMultilevel"/>
    <w:tmpl w:val="FBDCAFE4"/>
    <w:lvl w:ilvl="0" w:tplc="555AB0C4">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08">
    <w:nsid w:val="7491227C"/>
    <w:multiLevelType w:val="hybridMultilevel"/>
    <w:tmpl w:val="BFF47166"/>
    <w:lvl w:ilvl="0" w:tplc="0419000F">
      <w:start w:val="1"/>
      <w:numFmt w:val="decimal"/>
      <w:lvlText w:val="%1."/>
      <w:lvlJc w:val="left"/>
      <w:pPr>
        <w:tabs>
          <w:tab w:val="num" w:pos="720"/>
        </w:tabs>
        <w:ind w:left="720" w:hanging="360"/>
      </w:pPr>
      <w:rPr>
        <w:rFonts w:hint="default"/>
      </w:rPr>
    </w:lvl>
    <w:lvl w:ilvl="1" w:tplc="E2962BD6">
      <w:start w:val="2"/>
      <w:numFmt w:val="lowerLetter"/>
      <w:lvlText w:val="(%2)"/>
      <w:lvlJc w:val="left"/>
      <w:pPr>
        <w:tabs>
          <w:tab w:val="num" w:pos="1440"/>
        </w:tabs>
        <w:ind w:left="1440" w:hanging="360"/>
      </w:pPr>
      <w:rPr>
        <w:rFonts w:hint="default"/>
        <w:i/>
      </w:rPr>
    </w:lvl>
    <w:lvl w:ilvl="2" w:tplc="B8703992">
      <w:start w:val="1"/>
      <w:numFmt w:val="upperLetter"/>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9">
    <w:nsid w:val="77B64511"/>
    <w:multiLevelType w:val="hybridMultilevel"/>
    <w:tmpl w:val="7A14B72A"/>
    <w:lvl w:ilvl="0" w:tplc="E5E89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7ACA643D"/>
    <w:multiLevelType w:val="singleLevel"/>
    <w:tmpl w:val="0409000F"/>
    <w:lvl w:ilvl="0">
      <w:start w:val="1"/>
      <w:numFmt w:val="decimal"/>
      <w:lvlText w:val="%1."/>
      <w:lvlJc w:val="left"/>
      <w:pPr>
        <w:tabs>
          <w:tab w:val="num" w:pos="360"/>
        </w:tabs>
        <w:ind w:left="360" w:hanging="360"/>
      </w:pPr>
    </w:lvl>
  </w:abstractNum>
  <w:abstractNum w:abstractNumId="111">
    <w:nsid w:val="7CF349BD"/>
    <w:multiLevelType w:val="singleLevel"/>
    <w:tmpl w:val="1AEC463A"/>
    <w:lvl w:ilvl="0">
      <w:start w:val="1"/>
      <w:numFmt w:val="lowerRoman"/>
      <w:pStyle w:val="Rom2"/>
      <w:lvlText w:val="%1)"/>
      <w:lvlJc w:val="right"/>
      <w:pPr>
        <w:tabs>
          <w:tab w:val="num" w:pos="504"/>
        </w:tabs>
        <w:ind w:left="504" w:hanging="216"/>
      </w:pPr>
    </w:lvl>
  </w:abstractNum>
  <w:abstractNum w:abstractNumId="112">
    <w:nsid w:val="7DBF6B58"/>
    <w:multiLevelType w:val="singleLevel"/>
    <w:tmpl w:val="0409000F"/>
    <w:lvl w:ilvl="0">
      <w:start w:val="1"/>
      <w:numFmt w:val="decimal"/>
      <w:lvlText w:val="%1."/>
      <w:lvlJc w:val="left"/>
      <w:pPr>
        <w:tabs>
          <w:tab w:val="num" w:pos="360"/>
        </w:tabs>
        <w:ind w:left="360" w:hanging="360"/>
      </w:pPr>
    </w:lvl>
  </w:abstractNum>
  <w:abstractNum w:abstractNumId="113">
    <w:nsid w:val="7F326E42"/>
    <w:multiLevelType w:val="hybridMultilevel"/>
    <w:tmpl w:val="51021208"/>
    <w:lvl w:ilvl="0" w:tplc="797AA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1"/>
  </w:num>
  <w:num w:numId="3">
    <w:abstractNumId w:val="39"/>
  </w:num>
  <w:num w:numId="4">
    <w:abstractNumId w:val="111"/>
  </w:num>
  <w:num w:numId="5">
    <w:abstractNumId w:val="39"/>
  </w:num>
  <w:num w:numId="6">
    <w:abstractNumId w:val="111"/>
  </w:num>
  <w:num w:numId="7">
    <w:abstractNumId w:val="111"/>
  </w:num>
  <w:num w:numId="8">
    <w:abstractNumId w:val="111"/>
  </w:num>
  <w:num w:numId="9">
    <w:abstractNumId w:val="111"/>
  </w:num>
  <w:num w:numId="10">
    <w:abstractNumId w:val="50"/>
  </w:num>
  <w:num w:numId="11">
    <w:abstractNumId w:val="50"/>
  </w:num>
  <w:num w:numId="12">
    <w:abstractNumId w:val="111"/>
  </w:num>
  <w:num w:numId="13">
    <w:abstractNumId w:val="50"/>
  </w:num>
  <w:num w:numId="14">
    <w:abstractNumId w:val="111"/>
  </w:num>
  <w:num w:numId="15">
    <w:abstractNumId w:val="111"/>
  </w:num>
  <w:num w:numId="16">
    <w:abstractNumId w:val="111"/>
  </w:num>
  <w:num w:numId="17">
    <w:abstractNumId w:val="111"/>
  </w:num>
  <w:num w:numId="18">
    <w:abstractNumId w:val="111"/>
  </w:num>
  <w:num w:numId="19">
    <w:abstractNumId w:val="111"/>
  </w:num>
  <w:num w:numId="20">
    <w:abstractNumId w:val="39"/>
  </w:num>
  <w:num w:numId="21">
    <w:abstractNumId w:val="39"/>
  </w:num>
  <w:num w:numId="22">
    <w:abstractNumId w:val="39"/>
  </w:num>
  <w:num w:numId="23">
    <w:abstractNumId w:val="39"/>
  </w:num>
  <w:num w:numId="24">
    <w:abstractNumId w:val="39"/>
  </w:num>
  <w:num w:numId="25">
    <w:abstractNumId w:val="50"/>
  </w:num>
  <w:num w:numId="26">
    <w:abstractNumId w:val="50"/>
  </w:num>
  <w:num w:numId="27">
    <w:abstractNumId w:val="39"/>
  </w:num>
  <w:num w:numId="28">
    <w:abstractNumId w:val="50"/>
  </w:num>
  <w:num w:numId="29">
    <w:abstractNumId w:val="50"/>
  </w:num>
  <w:num w:numId="30">
    <w:abstractNumId w:val="50"/>
  </w:num>
  <w:num w:numId="31">
    <w:abstractNumId w:val="39"/>
  </w:num>
  <w:num w:numId="32">
    <w:abstractNumId w:val="39"/>
  </w:num>
  <w:num w:numId="33">
    <w:abstractNumId w:val="111"/>
  </w:num>
  <w:num w:numId="34">
    <w:abstractNumId w:val="39"/>
  </w:num>
  <w:num w:numId="35">
    <w:abstractNumId w:val="111"/>
  </w:num>
  <w:num w:numId="36">
    <w:abstractNumId w:val="111"/>
  </w:num>
  <w:num w:numId="37">
    <w:abstractNumId w:val="39"/>
  </w:num>
  <w:num w:numId="38">
    <w:abstractNumId w:val="111"/>
  </w:num>
  <w:num w:numId="39">
    <w:abstractNumId w:val="39"/>
  </w:num>
  <w:num w:numId="40">
    <w:abstractNumId w:val="39"/>
  </w:num>
  <w:num w:numId="41">
    <w:abstractNumId w:val="39"/>
  </w:num>
  <w:num w:numId="42">
    <w:abstractNumId w:val="111"/>
  </w:num>
  <w:num w:numId="43">
    <w:abstractNumId w:val="39"/>
  </w:num>
  <w:num w:numId="44">
    <w:abstractNumId w:val="111"/>
  </w:num>
  <w:num w:numId="45">
    <w:abstractNumId w:val="39"/>
  </w:num>
  <w:num w:numId="46">
    <w:abstractNumId w:val="39"/>
  </w:num>
  <w:num w:numId="47">
    <w:abstractNumId w:val="72"/>
  </w:num>
  <w:num w:numId="48">
    <w:abstractNumId w:val="29"/>
  </w:num>
  <w:num w:numId="49">
    <w:abstractNumId w:val="25"/>
  </w:num>
  <w:num w:numId="50">
    <w:abstractNumId w:val="82"/>
  </w:num>
  <w:num w:numId="51">
    <w:abstractNumId w:val="101"/>
  </w:num>
  <w:num w:numId="52">
    <w:abstractNumId w:val="16"/>
  </w:num>
  <w:num w:numId="53">
    <w:abstractNumId w:val="69"/>
  </w:num>
  <w:num w:numId="54">
    <w:abstractNumId w:val="103"/>
  </w:num>
  <w:num w:numId="55">
    <w:abstractNumId w:val="56"/>
  </w:num>
  <w:num w:numId="56">
    <w:abstractNumId w:val="92"/>
  </w:num>
  <w:num w:numId="57">
    <w:abstractNumId w:val="86"/>
  </w:num>
  <w:num w:numId="58">
    <w:abstractNumId w:val="21"/>
  </w:num>
  <w:num w:numId="59">
    <w:abstractNumId w:val="42"/>
  </w:num>
  <w:num w:numId="60">
    <w:abstractNumId w:val="59"/>
  </w:num>
  <w:num w:numId="61">
    <w:abstractNumId w:val="93"/>
  </w:num>
  <w:num w:numId="62">
    <w:abstractNumId w:val="97"/>
  </w:num>
  <w:num w:numId="63">
    <w:abstractNumId w:val="24"/>
  </w:num>
  <w:num w:numId="64">
    <w:abstractNumId w:val="63"/>
  </w:num>
  <w:num w:numId="65">
    <w:abstractNumId w:val="53"/>
  </w:num>
  <w:num w:numId="66">
    <w:abstractNumId w:val="28"/>
  </w:num>
  <w:num w:numId="67">
    <w:abstractNumId w:val="83"/>
  </w:num>
  <w:num w:numId="68">
    <w:abstractNumId w:val="99"/>
  </w:num>
  <w:num w:numId="69">
    <w:abstractNumId w:val="36"/>
  </w:num>
  <w:num w:numId="70">
    <w:abstractNumId w:val="85"/>
  </w:num>
  <w:num w:numId="71">
    <w:abstractNumId w:val="37"/>
  </w:num>
  <w:num w:numId="72">
    <w:abstractNumId w:val="33"/>
  </w:num>
  <w:num w:numId="73">
    <w:abstractNumId w:val="108"/>
  </w:num>
  <w:num w:numId="74">
    <w:abstractNumId w:val="98"/>
  </w:num>
  <w:num w:numId="75">
    <w:abstractNumId w:val="52"/>
  </w:num>
  <w:num w:numId="76">
    <w:abstractNumId w:val="22"/>
  </w:num>
  <w:num w:numId="77">
    <w:abstractNumId w:val="19"/>
  </w:num>
  <w:num w:numId="78">
    <w:abstractNumId w:val="13"/>
  </w:num>
  <w:num w:numId="79">
    <w:abstractNumId w:val="31"/>
  </w:num>
  <w:num w:numId="80">
    <w:abstractNumId w:val="91"/>
  </w:num>
  <w:num w:numId="81">
    <w:abstractNumId w:val="65"/>
  </w:num>
  <w:num w:numId="82">
    <w:abstractNumId w:val="88"/>
  </w:num>
  <w:num w:numId="83">
    <w:abstractNumId w:val="77"/>
  </w:num>
  <w:num w:numId="84">
    <w:abstractNumId w:val="81"/>
  </w:num>
  <w:num w:numId="85">
    <w:abstractNumId w:val="49"/>
  </w:num>
  <w:num w:numId="86">
    <w:abstractNumId w:val="14"/>
  </w:num>
  <w:num w:numId="87">
    <w:abstractNumId w:val="48"/>
  </w:num>
  <w:num w:numId="88">
    <w:abstractNumId w:val="90"/>
  </w:num>
  <w:num w:numId="89">
    <w:abstractNumId w:val="76"/>
  </w:num>
  <w:num w:numId="90">
    <w:abstractNumId w:val="94"/>
  </w:num>
  <w:num w:numId="91">
    <w:abstractNumId w:val="34"/>
  </w:num>
  <w:num w:numId="92">
    <w:abstractNumId w:val="32"/>
  </w:num>
  <w:num w:numId="93">
    <w:abstractNumId w:val="62"/>
  </w:num>
  <w:num w:numId="94">
    <w:abstractNumId w:val="20"/>
  </w:num>
  <w:num w:numId="95">
    <w:abstractNumId w:val="30"/>
  </w:num>
  <w:num w:numId="96">
    <w:abstractNumId w:val="51"/>
  </w:num>
  <w:num w:numId="97">
    <w:abstractNumId w:val="105"/>
  </w:num>
  <w:num w:numId="98">
    <w:abstractNumId w:val="87"/>
  </w:num>
  <w:num w:numId="99">
    <w:abstractNumId w:val="38"/>
  </w:num>
  <w:num w:numId="100">
    <w:abstractNumId w:val="79"/>
  </w:num>
  <w:num w:numId="101">
    <w:abstractNumId w:val="74"/>
  </w:num>
  <w:num w:numId="102">
    <w:abstractNumId w:val="68"/>
  </w:num>
  <w:num w:numId="103">
    <w:abstractNumId w:val="71"/>
  </w:num>
  <w:num w:numId="104">
    <w:abstractNumId w:val="57"/>
  </w:num>
  <w:num w:numId="105">
    <w:abstractNumId w:val="26"/>
  </w:num>
  <w:num w:numId="106">
    <w:abstractNumId w:val="75"/>
  </w:num>
  <w:num w:numId="107">
    <w:abstractNumId w:val="109"/>
  </w:num>
  <w:num w:numId="108">
    <w:abstractNumId w:val="104"/>
  </w:num>
  <w:num w:numId="109">
    <w:abstractNumId w:val="89"/>
  </w:num>
  <w:num w:numId="110">
    <w:abstractNumId w:val="35"/>
  </w:num>
  <w:num w:numId="111">
    <w:abstractNumId w:val="45"/>
  </w:num>
  <w:num w:numId="112">
    <w:abstractNumId w:val="60"/>
  </w:num>
  <w:num w:numId="113">
    <w:abstractNumId w:val="47"/>
  </w:num>
  <w:num w:numId="114">
    <w:abstractNumId w:val="40"/>
  </w:num>
  <w:num w:numId="115">
    <w:abstractNumId w:val="15"/>
  </w:num>
  <w:num w:numId="116">
    <w:abstractNumId w:val="46"/>
  </w:num>
  <w:num w:numId="117">
    <w:abstractNumId w:val="54"/>
  </w:num>
  <w:num w:numId="118">
    <w:abstractNumId w:val="110"/>
  </w:num>
  <w:num w:numId="119">
    <w:abstractNumId w:val="70"/>
  </w:num>
  <w:num w:numId="120">
    <w:abstractNumId w:val="112"/>
  </w:num>
  <w:num w:numId="121">
    <w:abstractNumId w:val="61"/>
  </w:num>
  <w:num w:numId="122">
    <w:abstractNumId w:val="96"/>
  </w:num>
  <w:num w:numId="123">
    <w:abstractNumId w:val="1"/>
  </w:num>
  <w:num w:numId="124">
    <w:abstractNumId w:val="0"/>
  </w:num>
  <w:num w:numId="125">
    <w:abstractNumId w:val="44"/>
  </w:num>
  <w:num w:numId="126">
    <w:abstractNumId w:val="10"/>
  </w:num>
  <w:num w:numId="127">
    <w:abstractNumId w:val="27"/>
  </w:num>
  <w:num w:numId="128">
    <w:abstractNumId w:val="17"/>
  </w:num>
  <w:num w:numId="129">
    <w:abstractNumId w:val="58"/>
  </w:num>
  <w:num w:numId="130">
    <w:abstractNumId w:val="84"/>
  </w:num>
  <w:num w:numId="131">
    <w:abstractNumId w:val="2"/>
  </w:num>
  <w:num w:numId="132">
    <w:abstractNumId w:val="3"/>
  </w:num>
  <w:num w:numId="133">
    <w:abstractNumId w:val="8"/>
  </w:num>
  <w:num w:numId="134">
    <w:abstractNumId w:val="9"/>
  </w:num>
  <w:num w:numId="135">
    <w:abstractNumId w:val="7"/>
  </w:num>
  <w:num w:numId="136">
    <w:abstractNumId w:val="6"/>
  </w:num>
  <w:num w:numId="137">
    <w:abstractNumId w:val="5"/>
  </w:num>
  <w:num w:numId="138">
    <w:abstractNumId w:val="4"/>
  </w:num>
  <w:num w:numId="139">
    <w:abstractNumId w:val="18"/>
  </w:num>
  <w:num w:numId="140">
    <w:abstractNumId w:val="23"/>
  </w:num>
  <w:num w:numId="141">
    <w:abstractNumId w:val="11"/>
  </w:num>
  <w:num w:numId="142">
    <w:abstractNumId w:val="55"/>
  </w:num>
  <w:num w:numId="143">
    <w:abstractNumId w:val="106"/>
  </w:num>
  <w:num w:numId="144">
    <w:abstractNumId w:val="95"/>
  </w:num>
  <w:num w:numId="145">
    <w:abstractNumId w:val="80"/>
  </w:num>
  <w:num w:numId="146">
    <w:abstractNumId w:val="67"/>
  </w:num>
  <w:num w:numId="147">
    <w:abstractNumId w:val="12"/>
  </w:num>
  <w:num w:numId="148">
    <w:abstractNumId w:val="66"/>
  </w:num>
  <w:num w:numId="149">
    <w:abstractNumId w:val="102"/>
  </w:num>
  <w:num w:numId="150">
    <w:abstractNumId w:val="107"/>
  </w:num>
  <w:num w:numId="151">
    <w:abstractNumId w:val="43"/>
  </w:num>
  <w:num w:numId="152">
    <w:abstractNumId w:val="100"/>
  </w:num>
  <w:num w:numId="153">
    <w:abstractNumId w:val="78"/>
  </w:num>
  <w:num w:numId="154">
    <w:abstractNumId w:val="73"/>
  </w:num>
  <w:num w:numId="155">
    <w:abstractNumId w:val="113"/>
  </w:num>
  <w:num w:numId="156">
    <w:abstractNumId w:val="41"/>
  </w:num>
  <w:num w:numId="157">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3">
    <w:name w:val="heading 3"/>
    <w:basedOn w:val="Normal"/>
    <w:next w:val="Normal"/>
    <w:qFormat/>
    <w:pPr>
      <w:keepNext/>
      <w:spacing w:after="240"/>
      <w:outlineLvl w:val="2"/>
    </w:pPr>
    <w:rPr>
      <w:lang w:eastAsia="en-US"/>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Rom1">
    <w:name w:val="Rom1"/>
    <w:basedOn w:val="Normal"/>
    <w:pPr>
      <w:numPr>
        <w:numId w:val="2"/>
      </w:numPr>
      <w:tabs>
        <w:tab w:val="clear" w:pos="504"/>
      </w:tabs>
      <w:spacing w:after="240"/>
      <w:ind w:left="1135" w:hanging="284"/>
    </w:pPr>
    <w:rPr>
      <w:lang w:val="en-GB" w:eastAsia="en-US"/>
    </w:rPr>
  </w:style>
  <w:style w:type="paragraph" w:customStyle="1" w:styleId="Rom2">
    <w:name w:val="Rom2"/>
    <w:basedOn w:val="Normal"/>
    <w:pPr>
      <w:numPr>
        <w:numId w:val="3"/>
      </w:numPr>
      <w:tabs>
        <w:tab w:val="clear" w:pos="927"/>
      </w:tabs>
      <w:spacing w:after="240"/>
      <w:ind w:left="1702" w:hanging="284"/>
    </w:pPr>
    <w:rPr>
      <w:lang w:val="en-GB" w:eastAsia="en-US"/>
    </w:rPr>
  </w:style>
  <w:style w:type="paragraph" w:customStyle="1" w:styleId="ParaNo">
    <w:name w:val="ParaNo."/>
    <w:basedOn w:val="Normal"/>
    <w:pPr>
      <w:numPr>
        <w:numId w:val="1"/>
      </w:numPr>
      <w:tabs>
        <w:tab w:val="clear" w:pos="360"/>
        <w:tab w:val="left" w:pos="737"/>
      </w:tabs>
      <w:spacing w:after="240"/>
    </w:pPr>
    <w:rPr>
      <w:lang w:eastAsia="en-US"/>
    </w:rPr>
  </w:style>
  <w:style w:type="paragraph" w:customStyle="1" w:styleId="Bullet">
    <w:name w:val="Bullet"/>
    <w:basedOn w:val="Normal"/>
    <w:pPr>
      <w:numPr>
        <w:numId w:val="110"/>
      </w:numPr>
      <w:spacing w:after="240"/>
    </w:pPr>
    <w:rPr>
      <w:lang w:val="en-GB"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tistics.g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76</Pages>
  <Words>28377</Words>
  <Characters>148903</Characters>
  <Application>Microsoft Office Word</Application>
  <DocSecurity>4</DocSecurity>
  <Lines>4421</Lines>
  <Paragraphs>2775</Paragraphs>
  <ScaleCrop>false</ScaleCrop>
  <HeadingPairs>
    <vt:vector size="2" baseType="variant">
      <vt:variant>
        <vt:lpstr>Titre</vt:lpstr>
      </vt:variant>
      <vt:variant>
        <vt:i4>1</vt:i4>
      </vt:variant>
    </vt:vector>
  </HeadingPairs>
  <TitlesOfParts>
    <vt:vector size="1" baseType="lpstr">
      <vt:lpstr>CRC/C/GEO/3</vt:lpstr>
    </vt:vector>
  </TitlesOfParts>
  <Company/>
  <LinksUpToDate>false</LinksUpToDate>
  <CharactersWithSpaces>174900</CharactersWithSpaces>
  <SharedDoc>false</SharedDoc>
  <HLinks>
    <vt:vector size="6" baseType="variant">
      <vt:variant>
        <vt:i4>786526</vt:i4>
      </vt:variant>
      <vt:variant>
        <vt:i4>3</vt:i4>
      </vt:variant>
      <vt:variant>
        <vt:i4>0</vt:i4>
      </vt:variant>
      <vt:variant>
        <vt:i4>5</vt:i4>
      </vt:variant>
      <vt:variant>
        <vt:lpwstr>http://www.statistics.ge/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CRC/C/GEO/3</dc:title>
  <dc:subject/>
  <dc:creator>Secchi</dc:creator>
  <cp:keywords/>
  <dc:description/>
  <cp:lastModifiedBy>Secchi</cp:lastModifiedBy>
  <cp:revision>2</cp:revision>
  <cp:lastPrinted>2007-10-11T10:50:00Z</cp:lastPrinted>
  <dcterms:created xsi:type="dcterms:W3CDTF">2007-10-11T12:04:00Z</dcterms:created>
  <dcterms:modified xsi:type="dcterms:W3CDTF">2007-10-11T12:04:00Z</dcterms:modified>
</cp:coreProperties>
</file>