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CRC</w:t>
            </w:r>
            <w:r>
              <w:t>/C/BLR/Q/3-4</w:t>
            </w:r>
          </w:p>
        </w:tc>
      </w:tr>
      <w:tr w:rsidR="0000000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4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Convención sobre los</w:t>
            </w:r>
            <w:r>
              <w:rPr>
                <w:b/>
                <w:sz w:val="40"/>
                <w:szCs w:val="40"/>
              </w:rPr>
              <w:br/>
              <w:t>Derechos 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general</w:t>
            </w:r>
          </w:p>
          <w:p w:rsidR="00000000" w:rsidRDefault="00000000">
            <w:r>
              <w:t>2 de noviembre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Comité de los Derechos del Niño</w:t>
      </w:r>
    </w:p>
    <w:p w:rsidR="00000000" w:rsidRDefault="00000000">
      <w:pPr>
        <w:rPr>
          <w:b/>
        </w:rPr>
      </w:pPr>
      <w:r>
        <w:rPr>
          <w:b/>
        </w:rPr>
        <w:t>56º período de sesiones</w:t>
      </w:r>
    </w:p>
    <w:p w:rsidR="00000000" w:rsidRDefault="00000000">
      <w:r>
        <w:t>17 de enero a 4 de febrero de 2011</w:t>
      </w:r>
    </w:p>
    <w:p w:rsidR="00000000" w:rsidRDefault="00000000">
      <w:pPr>
        <w:pStyle w:val="HChG"/>
      </w:pPr>
      <w:r>
        <w:tab/>
      </w:r>
      <w:r>
        <w:tab/>
        <w:t>Aplicación de la Convención sobre los Derechos del Niño</w:t>
      </w:r>
    </w:p>
    <w:p w:rsidR="00000000" w:rsidRDefault="00000000">
      <w:pPr>
        <w:pStyle w:val="H1G"/>
      </w:pPr>
      <w:r>
        <w:tab/>
      </w:r>
      <w:r>
        <w:tab/>
        <w:t>Lista de cuestiones que requieren información adicional</w:t>
      </w:r>
      <w:r>
        <w:br/>
        <w:t>y actualizada en relación con los informes periódicos tercero</w:t>
      </w:r>
      <w:r>
        <w:br/>
        <w:t>y cuarto combinados de Belarús</w:t>
      </w:r>
    </w:p>
    <w:p w:rsidR="00000000" w:rsidRDefault="00000000">
      <w:pPr>
        <w:pStyle w:val="SingleTxtG"/>
        <w:rPr>
          <w:b/>
        </w:rPr>
      </w:pPr>
      <w:r>
        <w:rPr>
          <w:b/>
        </w:rPr>
        <w:t>Se pide al Estado parte que presente por escrito información adicional y actualizada, de ser posible antes del 19 de noviembre de 2010 y sin exceder las 30 páginas.</w:t>
      </w:r>
    </w:p>
    <w:p w:rsidR="00000000" w:rsidRDefault="00000000">
      <w:pPr>
        <w:pStyle w:val="SingleTxtG"/>
        <w:rPr>
          <w:i/>
        </w:rPr>
      </w:pPr>
      <w:r>
        <w:rPr>
          <w:i/>
        </w:rPr>
        <w:t>En el diálogo con el Estado parte, el Comité puede abordar todos los aspectos de los derechos del niño contemplados en la Convención.</w:t>
      </w:r>
    </w:p>
    <w:p w:rsidR="00000000" w:rsidRDefault="00000000">
      <w:pPr>
        <w:pStyle w:val="HChG"/>
      </w:pPr>
      <w:r>
        <w:tab/>
      </w:r>
      <w:r>
        <w:tab/>
        <w:t>Parte I</w:t>
      </w:r>
    </w:p>
    <w:p w:rsidR="00000000" w:rsidRDefault="00000000">
      <w:pPr>
        <w:pStyle w:val="SingleTxtG"/>
      </w:pPr>
      <w:r>
        <w:t>1.</w:t>
      </w:r>
      <w:r>
        <w:tab/>
        <w:t>Sírvanse explicar la situación actual en Belarús con respecto a la legislación relativa a la Convención, en particular la relación entre la Ley de derechos del niño, el Código del Matrimonio y la Familia y los decretos presidenciales pertinentes, y señalar si el Estado parte ha revisado su legislación para garantizar que sea plenamente compatible con la Convención y refleje los principios generales de esta (arts. 2, 3, 6 y 12).</w:t>
      </w:r>
    </w:p>
    <w:p w:rsidR="00000000" w:rsidRDefault="00000000">
      <w:pPr>
        <w:pStyle w:val="SingleTxtG"/>
      </w:pPr>
      <w:r>
        <w:t>2.</w:t>
      </w:r>
      <w:r>
        <w:tab/>
        <w:t>Rogamos proporcionen información sobre los mandatos de la Comisión Nacional de los Derechos del Niño, la Comisión de Asuntos de los Jóvenes y la Comisión de Asuntos de los Menores.</w:t>
      </w:r>
    </w:p>
    <w:p w:rsidR="00000000" w:rsidRDefault="00000000">
      <w:pPr>
        <w:pStyle w:val="SingleTxtG"/>
      </w:pPr>
      <w:r>
        <w:t>3.</w:t>
      </w:r>
      <w:r>
        <w:tab/>
        <w:t>Sírvanse describir la relación entre el Plan de acción nacional para mejorar la situación de la infancia y proteger sus derechos correspondiente a 2004-2010 y el programa presidencial Niños de Belarús 2006-2010, y señalar si estos dos instrumentos han sido prorrogados.</w:t>
      </w:r>
    </w:p>
    <w:p w:rsidR="00000000" w:rsidRDefault="00000000">
      <w:pPr>
        <w:pStyle w:val="SingleTxtG"/>
      </w:pPr>
      <w:r>
        <w:t>4.</w:t>
      </w:r>
      <w:r>
        <w:tab/>
        <w:t>Infórmese sobre los avances en el establecimiento de un mecanismo de vigilancia independiente conforme a los Principios de París, facultado para recibir y examinar denuncias presentadas por los niños o en su nombre sobre violaciones de sus derechos.</w:t>
      </w:r>
    </w:p>
    <w:p w:rsidR="00000000" w:rsidRDefault="00000000">
      <w:pPr>
        <w:pStyle w:val="SingleTxtG"/>
        <w:keepNext/>
      </w:pPr>
      <w:r>
        <w:t>5.</w:t>
      </w:r>
      <w:r>
        <w:tab/>
        <w:t>Sírvanse explicar si el derecho de los niños a crear sus propias asociaciones está garantizado por la ley.</w:t>
      </w:r>
    </w:p>
    <w:p w:rsidR="00000000" w:rsidRDefault="00000000">
      <w:pPr>
        <w:pStyle w:val="SingleTxtG"/>
      </w:pPr>
      <w:r>
        <w:t>6.</w:t>
      </w:r>
      <w:r>
        <w:tab/>
        <w:t xml:space="preserve">Facilítese información sobre las actividades de las brigadas civiles que, al parecer, patrullan las instituciones de enseñanza, incluidas las de enseñanza general y los institutos de formación profesional, así como sobre los clubes de Jóvenes amigos de las milicias. </w:t>
      </w:r>
    </w:p>
    <w:p w:rsidR="00000000" w:rsidRDefault="00000000">
      <w:pPr>
        <w:pStyle w:val="SingleTxtG"/>
      </w:pPr>
      <w:r>
        <w:t>7.</w:t>
      </w:r>
      <w:r>
        <w:tab/>
        <w:t xml:space="preserve">Sírvanse enumerar las medidas concretas adoptadas por el Estado parte para prestar apoyo a las familias con miras a prevenir su separación. </w:t>
      </w:r>
    </w:p>
    <w:p w:rsidR="00000000" w:rsidRDefault="00000000">
      <w:pPr>
        <w:pStyle w:val="SingleTxtG"/>
      </w:pPr>
      <w:r>
        <w:t>8.</w:t>
      </w:r>
      <w:r>
        <w:tab/>
        <w:t>Rogamos proporcionen información sobre las estrategias, programas o planes nacionales del Estado parte en el ámbito de la salud mental de los niños que se centren en la prevención, en particular la prevención del suicidio infantil.</w:t>
      </w:r>
    </w:p>
    <w:p w:rsidR="00000000" w:rsidRDefault="00000000">
      <w:pPr>
        <w:pStyle w:val="SingleTxtG"/>
      </w:pPr>
      <w:r>
        <w:t>9.</w:t>
      </w:r>
      <w:r>
        <w:tab/>
        <w:t>Sírvanse indicar si el Estado parte ha establecido un procedimiento para remitir a los niños víctimas de violencia, abusos, trata de personas y delitos conexos a servicios que les presten asistencia para su recuperación y rehabilitación.</w:t>
      </w:r>
    </w:p>
    <w:p w:rsidR="00000000" w:rsidRDefault="00000000">
      <w:pPr>
        <w:pStyle w:val="SingleTxtG"/>
      </w:pPr>
      <w:r>
        <w:t>10.</w:t>
      </w:r>
      <w:r>
        <w:tab/>
        <w:t>Rogamos informen sobre los avances en el establecimiento de un sistema especializado de justicia juvenil. Sírvanse indicar si los niños tienen derecho a ser oídos en los procedimientos judiciales, si hay alternativas a la privación de libertad, si se capacita al personal y si hay tribunales especializados de justicia juvenil, y enumerar las medidas que se han adoptado en favor de la reinserción de los niños. Infórmese acerca del régimen y las condiciones del trabajo "correctivo" al que puede condenarse a los niños como alternativa a la prisión, y aclárese si se pretende que los niños participen en obras públicas y, en ese caso, proporciónese información sobre la duración, la frecuencia y las condiciones de ese trabajo.</w:t>
      </w:r>
    </w:p>
    <w:p w:rsidR="00000000" w:rsidRDefault="00000000">
      <w:pPr>
        <w:pStyle w:val="SingleTxtG"/>
      </w:pPr>
      <w:r>
        <w:t>11.</w:t>
      </w:r>
      <w:r>
        <w:tab/>
        <w:t>Sírvanse explicar cómo asegura el Estado parte que los niños privados de libertad permanezcan separados de los adultos y sean tratados con humanidad y respeto, atendiendo a sus necesidades específicas, en todas las etapas de la investigación, la detención y la privación de libertad.</w:t>
      </w:r>
    </w:p>
    <w:p w:rsidR="00000000" w:rsidRDefault="00000000">
      <w:pPr>
        <w:pStyle w:val="SingleTxtG"/>
      </w:pPr>
      <w:r>
        <w:t>12.</w:t>
      </w:r>
      <w:r>
        <w:tab/>
        <w:t>Rogamos proporcionen información acerca del disfrute de los derechos consagrados en la Convención por parte de los niños de las minorías étnicas y religiosas, entre otros, los niños romaníes, en particular en lo relativo al acceso a los servicios sociales y de salud y a la educación, así como a la posibilidad de recibir educación en su idioma materno o conforme a sus creencias religiosas.</w:t>
      </w:r>
    </w:p>
    <w:p w:rsidR="00000000" w:rsidRDefault="00000000">
      <w:pPr>
        <w:pStyle w:val="HChG"/>
      </w:pPr>
      <w:r>
        <w:tab/>
      </w:r>
      <w:r>
        <w:tab/>
        <w:t>Parte II</w:t>
      </w:r>
    </w:p>
    <w:p w:rsidR="00000000" w:rsidRDefault="00000000">
      <w:pPr>
        <w:pStyle w:val="SingleTxtG"/>
        <w:rPr>
          <w:b/>
        </w:rPr>
      </w:pPr>
      <w:r>
        <w:rPr>
          <w:b/>
        </w:rPr>
        <w:t>En esta sección, se invita al Estado parte a actualizar brevemente (en tres páginas como máximo) la información proporcionada en su informe en relación con:</w:t>
      </w:r>
    </w:p>
    <w:p w:rsidR="00000000" w:rsidRDefault="00000000">
      <w:pPr>
        <w:pStyle w:val="SingleTxtG"/>
      </w:pPr>
      <w:r>
        <w:tab/>
        <w:t>a)</w:t>
      </w:r>
      <w:r>
        <w:tab/>
        <w:t>Los nuevos proyectos de ley o nuevas leyes y sus respectivos reglamentos;</w:t>
      </w:r>
    </w:p>
    <w:p w:rsidR="00000000" w:rsidRDefault="00000000">
      <w:pPr>
        <w:pStyle w:val="SingleTxtG"/>
      </w:pPr>
      <w:r>
        <w:tab/>
        <w:t>b)</w:t>
      </w:r>
      <w:r>
        <w:tab/>
        <w:t>Las nuevas instituciones (y sus mandatos) o reformas institucionales;</w:t>
      </w:r>
    </w:p>
    <w:p w:rsidR="00000000" w:rsidRDefault="00000000">
      <w:pPr>
        <w:pStyle w:val="SingleTxtG"/>
      </w:pPr>
      <w:r>
        <w:tab/>
        <w:t>c)</w:t>
      </w:r>
      <w:r>
        <w:tab/>
        <w:t>Las políticas, los programas y los planes de acción adoptados recientemente y su alcance y financiación;</w:t>
      </w:r>
    </w:p>
    <w:p w:rsidR="00000000" w:rsidRDefault="00000000">
      <w:pPr>
        <w:pStyle w:val="SingleTxtG"/>
      </w:pPr>
      <w:r>
        <w:tab/>
        <w:t>d)</w:t>
      </w:r>
      <w:r>
        <w:tab/>
        <w:t>Las ratificaciones recientes de instrumentos de derechos humanos.</w:t>
      </w:r>
    </w:p>
    <w:p w:rsidR="00000000" w:rsidRDefault="00000000">
      <w:pPr>
        <w:pStyle w:val="HChG"/>
      </w:pPr>
      <w:r>
        <w:tab/>
      </w:r>
      <w:r>
        <w:tab/>
        <w:t>Parte III</w:t>
      </w:r>
    </w:p>
    <w:p w:rsidR="00000000" w:rsidRDefault="00000000">
      <w:pPr>
        <w:pStyle w:val="H1G"/>
      </w:pPr>
      <w:r>
        <w:tab/>
      </w:r>
      <w:r>
        <w:tab/>
        <w:t>Datos, estadísticas y demás información de que se disponga</w:t>
      </w:r>
    </w:p>
    <w:p w:rsidR="00000000" w:rsidRDefault="00000000">
      <w:pPr>
        <w:pStyle w:val="SingleTxtG"/>
      </w:pPr>
      <w:r>
        <w:t>1.</w:t>
      </w:r>
      <w:r>
        <w:tab/>
        <w:t>Sírvanse proporcionar datos correspondientes a 2007, 2008 y 2009 sobre el número de causas en las que los tribunales hayan invocado directamente las disposiciones de la Convención.</w:t>
      </w:r>
    </w:p>
    <w:p w:rsidR="00000000" w:rsidRDefault="00000000">
      <w:pPr>
        <w:pStyle w:val="SingleTxtG"/>
      </w:pPr>
      <w:r>
        <w:t>2.</w:t>
      </w:r>
      <w:r>
        <w:tab/>
        <w:t>Rogamos aporten datos correspondientes a 2007, 2008 y 2009 sobre el número y el resultado de las denuncias de violaciones de los derechos del niño, presentadas por niños o en su nombre ante:</w:t>
      </w:r>
    </w:p>
    <w:p w:rsidR="00000000" w:rsidRDefault="00000000">
      <w:pPr>
        <w:pStyle w:val="SingleTxtG"/>
      </w:pPr>
      <w:r>
        <w:tab/>
        <w:t>a)</w:t>
      </w:r>
      <w:r>
        <w:tab/>
        <w:t>La Comisión Nacional de los Derechos del Niño;</w:t>
      </w:r>
    </w:p>
    <w:p w:rsidR="00000000" w:rsidRDefault="00000000">
      <w:pPr>
        <w:pStyle w:val="SingleTxtG"/>
      </w:pPr>
      <w:r>
        <w:tab/>
        <w:t>b)</w:t>
      </w:r>
      <w:r>
        <w:tab/>
        <w:t>La Comisión de Asuntos de los Menores;</w:t>
      </w:r>
    </w:p>
    <w:p w:rsidR="00000000" w:rsidRDefault="00000000">
      <w:pPr>
        <w:pStyle w:val="SingleTxtG"/>
      </w:pPr>
      <w:r>
        <w:tab/>
        <w:t>c)</w:t>
      </w:r>
      <w:r>
        <w:tab/>
        <w:t>Los organismos de tutela y guarda;</w:t>
      </w:r>
    </w:p>
    <w:p w:rsidR="00000000" w:rsidRDefault="00000000">
      <w:pPr>
        <w:pStyle w:val="SingleTxtG"/>
      </w:pPr>
      <w:r>
        <w:tab/>
        <w:t>d)</w:t>
      </w:r>
      <w:r>
        <w:tab/>
        <w:t>La Fiscalía y los tribunales.</w:t>
      </w:r>
    </w:p>
    <w:p w:rsidR="00000000" w:rsidRDefault="00000000">
      <w:pPr>
        <w:pStyle w:val="SingleTxtG"/>
      </w:pPr>
      <w:r>
        <w:t>3.</w:t>
      </w:r>
      <w:r>
        <w:tab/>
        <w:t>Sírvanse proporcionar datos correspondientes a 2007, 2008 y 2009, desglosados por edad, sexo, etnia y región, sobre:</w:t>
      </w:r>
    </w:p>
    <w:p w:rsidR="00000000" w:rsidRDefault="00000000">
      <w:pPr>
        <w:pStyle w:val="SingleTxtG"/>
      </w:pPr>
      <w:r>
        <w:tab/>
        <w:t>a)</w:t>
      </w:r>
      <w:r>
        <w:tab/>
        <w:t>El número de niños apátridas o en riesgo de apatridia;</w:t>
      </w:r>
    </w:p>
    <w:p w:rsidR="00000000" w:rsidRDefault="00000000">
      <w:pPr>
        <w:pStyle w:val="SingleTxtG"/>
      </w:pPr>
      <w:r>
        <w:tab/>
        <w:t>b)</w:t>
      </w:r>
      <w:r>
        <w:tab/>
        <w:t>El número de niños privados de la atención parental, como porcentaje del total de niños, desglosado según el tipo de atención que reciben (institucional, de tipo familiar, etc.);</w:t>
      </w:r>
    </w:p>
    <w:p w:rsidR="00000000" w:rsidRDefault="00000000">
      <w:pPr>
        <w:pStyle w:val="SingleTxtG"/>
      </w:pPr>
      <w:r>
        <w:tab/>
        <w:t>c)</w:t>
      </w:r>
      <w:r>
        <w:tab/>
        <w:t>El número de niños con discapacidad, como porcentaje del total de niños, desglosado por tipo de discapacidad, entorno en el que crecen (familia biológica, institución, cuidados alternativos, etc.), y tipo de educación que reciben los que están en edad escolar;</w:t>
      </w:r>
    </w:p>
    <w:p w:rsidR="00000000" w:rsidRDefault="00000000">
      <w:pPr>
        <w:pStyle w:val="SingleTxtG"/>
      </w:pPr>
      <w:r>
        <w:tab/>
        <w:t>d)</w:t>
      </w:r>
      <w:r>
        <w:tab/>
        <w:t>El número de personas menores de 18 años que se encuentran en detención policial y prisión preventiva; y</w:t>
      </w:r>
    </w:p>
    <w:p w:rsidR="00000000" w:rsidRDefault="00000000">
      <w:pPr>
        <w:pStyle w:val="SingleTxtG"/>
      </w:pPr>
      <w:r>
        <w:tab/>
        <w:t>e)</w:t>
      </w:r>
      <w:r>
        <w:tab/>
        <w:t>El número de personas menores de 18 años y menores de 16 años, respectivamente, que han sido objeto de medidas punitivas o de otro tipo, desglosado por edad y tipo de medida aplicada.</w:t>
      </w:r>
    </w:p>
    <w:p w:rsidR="00000000" w:rsidRDefault="00000000">
      <w:pPr>
        <w:pStyle w:val="SingleTxtG"/>
      </w:pPr>
      <w:r>
        <w:t>4.</w:t>
      </w:r>
      <w:r>
        <w:tab/>
        <w:t>Facilítense datos correspondientes a 2007, 2008 y 2009, desglosados por región, sobre:</w:t>
      </w:r>
    </w:p>
    <w:p w:rsidR="00000000" w:rsidRDefault="00000000">
      <w:pPr>
        <w:pStyle w:val="SingleTxtG"/>
      </w:pPr>
      <w:r>
        <w:tab/>
        <w:t>a)</w:t>
      </w:r>
      <w:r>
        <w:tab/>
        <w:t>El número de casos registrados de violencia física y psicológica, incluida la violencia sexual contra los niños, desglosado por tipo de violencia;</w:t>
      </w:r>
    </w:p>
    <w:p w:rsidR="00000000" w:rsidRDefault="00000000">
      <w:pPr>
        <w:pStyle w:val="SingleTxtG"/>
      </w:pPr>
      <w:r>
        <w:tab/>
        <w:t>b)</w:t>
      </w:r>
      <w:r>
        <w:tab/>
        <w:t>El número de casos de separación temporal (de uno o ambos padres), y de privación y restitución de la patria potestad;</w:t>
      </w:r>
    </w:p>
    <w:p w:rsidR="00000000" w:rsidRDefault="00000000">
      <w:pPr>
        <w:pStyle w:val="SingleTxtG"/>
      </w:pPr>
      <w:r>
        <w:tab/>
        <w:t>c)</w:t>
      </w:r>
      <w:r>
        <w:tab/>
        <w:t>Las tasas de mortalidad de lactantes y de niños menores de 5 años, así como el número y porcentaje de niños afectados por la tuberculosis, el VIH/SIDA, la carencia de yodo, problemas de nutrición, embarazos, abortos, infecciones de trasmisión sexual, y el uso indebido de drogas y alcohol; y</w:t>
      </w:r>
    </w:p>
    <w:p w:rsidR="00000000" w:rsidRDefault="00000000">
      <w:pPr>
        <w:pStyle w:val="SingleTxtG"/>
      </w:pPr>
      <w:r>
        <w:tab/>
        <w:t>d)</w:t>
      </w:r>
      <w:r>
        <w:tab/>
        <w:t>Las tasas de matriculación escolar y de asistencia a la escuela.</w:t>
      </w:r>
    </w:p>
    <w:p w:rsidR="00000000" w:rsidRDefault="00000000">
      <w:pPr>
        <w:pStyle w:val="SingleTxtG"/>
      </w:pPr>
      <w:r>
        <w:t>Además, el Estado parte podrá citar las áreas que afectan a los niños y que, en su opinión, son importantes para la aplicación de la Convención.</w:t>
      </w:r>
    </w:p>
    <w:p w:rsidR="00000000" w:rsidRDefault="0000000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GE.10-46308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GE.10-46308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GE.10-46308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191110    221110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CRC/C/BLR/Q/3-4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CRC/C/BLR/Q/3-4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rPr>
      <w:b/>
      <w:sz w:val="1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1112</Words>
  <Characters>6118</Characters>
  <Application>Microsoft Office Word</Application>
  <DocSecurity>4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CRC/C/BLR/Q/3-4   10-46308</vt:lpstr>
    </vt:vector>
  </TitlesOfParts>
  <Company/>
  <LinksUpToDate>false</LinksUpToDate>
  <CharactersWithSpaces>7216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CRC/C/BLR/Q/3-4   10-46308</dc:title>
  <dc:subject>Final</dc:subject>
  <dc:creator>Juan Carlos Korol</dc:creator>
  <cp:keywords/>
  <dc:description/>
  <cp:lastModifiedBy>Admieng</cp:lastModifiedBy>
  <cp:revision>2</cp:revision>
  <cp:lastPrinted>2008-01-15T07:58:00Z</cp:lastPrinted>
  <dcterms:created xsi:type="dcterms:W3CDTF">2010-11-22T08:36:00Z</dcterms:created>
  <dcterms:modified xsi:type="dcterms:W3CDTF">2010-11-22T08:36:00Z</dcterms:modified>
</cp:coreProperties>
</file>