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94" w:rsidRPr="00FA3966" w:rsidRDefault="003D4A2B" w:rsidP="00483E94">
      <w:pPr>
        <w:spacing w:after="360"/>
        <w:jc w:val="right"/>
        <w:outlineLvl w:val="0"/>
        <w:rPr>
          <w:b/>
          <w:lang w:val="fr-FR"/>
        </w:rPr>
      </w:pPr>
      <w:r>
        <w:fldChar w:fldCharType="begin"/>
      </w:r>
      <w:r>
        <w:instrText xml:space="preserve"> HYPERLINK "https://undocs.org/fr/A/74/56" </w:instrText>
      </w:r>
      <w:r>
        <w:fldChar w:fldCharType="separate"/>
      </w:r>
      <w:r w:rsidR="00BF2F2F" w:rsidRPr="00BF2F2F">
        <w:rPr>
          <w:rStyle w:val="Lienhypertexte"/>
          <w:b/>
          <w:lang w:val="fr-FR"/>
        </w:rPr>
        <w:t>A/74/56</w:t>
      </w:r>
      <w:r>
        <w:rPr>
          <w:rStyle w:val="Lienhypertexte"/>
          <w:b/>
          <w:lang w:val="fr-FR"/>
        </w:rPr>
        <w:fldChar w:fldCharType="end"/>
      </w:r>
    </w:p>
    <w:p w:rsidR="00483E94" w:rsidRPr="00FA3966" w:rsidRDefault="001D12EC" w:rsidP="00483E94">
      <w:pPr>
        <w:ind w:left="1134"/>
        <w:rPr>
          <w:lang w:val="fr-FR"/>
        </w:rPr>
      </w:pPr>
      <w:r>
        <w:rPr>
          <w:noProof/>
          <w:lang w:eastAsia="fr-CH"/>
        </w:rPr>
        <w:drawing>
          <wp:inline distT="0" distB="0" distL="0" distR="0">
            <wp:extent cx="1190625" cy="1019175"/>
            <wp:effectExtent l="0" t="0" r="9525" b="952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rsidR="00483E94" w:rsidRPr="00FA3966" w:rsidRDefault="00483E94" w:rsidP="00483E94">
      <w:pPr>
        <w:pStyle w:val="SMG"/>
        <w:spacing w:before="0" w:after="1080"/>
        <w:rPr>
          <w:lang w:val="fr-FR"/>
        </w:rPr>
      </w:pPr>
      <w:r w:rsidRPr="00FA3966">
        <w:rPr>
          <w:lang w:val="fr-FR"/>
        </w:rPr>
        <w:t>Nations Unies</w:t>
      </w:r>
    </w:p>
    <w:p w:rsidR="00483E94" w:rsidRPr="00FA3966" w:rsidRDefault="00483E94" w:rsidP="00483E94">
      <w:pPr>
        <w:pStyle w:val="SLG"/>
        <w:spacing w:after="960"/>
        <w:rPr>
          <w:lang w:val="fr-FR"/>
        </w:rPr>
      </w:pPr>
      <w:r w:rsidRPr="00FA3966">
        <w:rPr>
          <w:lang w:val="fr-FR"/>
        </w:rPr>
        <w:t xml:space="preserve">Rapport du </w:t>
      </w:r>
      <w:r w:rsidR="00BF2F2F" w:rsidRPr="005E282F">
        <w:rPr>
          <w:bCs/>
        </w:rPr>
        <w:t xml:space="preserve">Comité </w:t>
      </w:r>
      <w:r w:rsidR="00BF2F2F">
        <w:rPr>
          <w:bCs/>
        </w:rPr>
        <w:br/>
      </w:r>
      <w:r w:rsidR="00BF2F2F" w:rsidRPr="005E282F">
        <w:rPr>
          <w:bCs/>
        </w:rPr>
        <w:t>des disparitions forcées</w:t>
      </w:r>
    </w:p>
    <w:p w:rsidR="00483E94" w:rsidRPr="00FA3966" w:rsidRDefault="00C9089E" w:rsidP="00483E94">
      <w:pPr>
        <w:ind w:left="1134"/>
        <w:rPr>
          <w:b/>
          <w:sz w:val="36"/>
          <w:szCs w:val="36"/>
          <w:lang w:val="fr-FR"/>
        </w:rPr>
      </w:pPr>
      <w:r w:rsidRPr="00BF2F2F">
        <w:rPr>
          <w:b/>
          <w:bCs/>
          <w:sz w:val="36"/>
          <w:szCs w:val="36"/>
        </w:rPr>
        <w:t>Quinzième</w:t>
      </w:r>
      <w:r w:rsidR="00483E94">
        <w:rPr>
          <w:b/>
          <w:sz w:val="36"/>
          <w:szCs w:val="36"/>
          <w:lang w:val="fr-FR"/>
        </w:rPr>
        <w:t xml:space="preserve"> </w:t>
      </w:r>
      <w:r w:rsidR="00483E94" w:rsidRPr="00FA3966">
        <w:rPr>
          <w:b/>
          <w:sz w:val="36"/>
          <w:szCs w:val="36"/>
          <w:lang w:val="fr-FR"/>
        </w:rPr>
        <w:t>session</w:t>
      </w:r>
    </w:p>
    <w:p w:rsidR="00483E94" w:rsidRDefault="00483E94" w:rsidP="00483E94">
      <w:pPr>
        <w:spacing w:after="120"/>
        <w:ind w:left="1134" w:right="1134"/>
        <w:rPr>
          <w:b/>
          <w:sz w:val="36"/>
          <w:szCs w:val="36"/>
          <w:lang w:val="fr-FR"/>
        </w:rPr>
      </w:pPr>
      <w:r w:rsidRPr="00FA3966">
        <w:rPr>
          <w:b/>
          <w:sz w:val="36"/>
          <w:szCs w:val="36"/>
          <w:lang w:val="fr-FR"/>
        </w:rPr>
        <w:t>(</w:t>
      </w:r>
      <w:r w:rsidR="00BF2F2F">
        <w:rPr>
          <w:b/>
          <w:bCs/>
          <w:sz w:val="36"/>
          <w:szCs w:val="36"/>
        </w:rPr>
        <w:t>5-16 </w:t>
      </w:r>
      <w:r w:rsidR="00C9089E" w:rsidRPr="00BF2F2F">
        <w:rPr>
          <w:b/>
          <w:bCs/>
          <w:sz w:val="36"/>
          <w:szCs w:val="36"/>
        </w:rPr>
        <w:t>novembre 2018</w:t>
      </w:r>
      <w:r w:rsidRPr="00FA3966">
        <w:rPr>
          <w:b/>
          <w:sz w:val="36"/>
          <w:szCs w:val="36"/>
          <w:lang w:val="fr-FR"/>
        </w:rPr>
        <w:t>)</w:t>
      </w:r>
    </w:p>
    <w:p w:rsidR="00BF2F2F" w:rsidRPr="00FA3966" w:rsidRDefault="00C9089E" w:rsidP="00BF2F2F">
      <w:pPr>
        <w:ind w:left="1134"/>
        <w:rPr>
          <w:b/>
          <w:sz w:val="36"/>
          <w:szCs w:val="36"/>
          <w:lang w:val="fr-FR"/>
        </w:rPr>
      </w:pPr>
      <w:r w:rsidRPr="00BF2F2F">
        <w:rPr>
          <w:b/>
          <w:bCs/>
          <w:sz w:val="36"/>
          <w:szCs w:val="36"/>
        </w:rPr>
        <w:t>Seizième</w:t>
      </w:r>
      <w:r w:rsidR="00BF2F2F" w:rsidRPr="00BF2F2F">
        <w:rPr>
          <w:b/>
          <w:bCs/>
          <w:sz w:val="36"/>
          <w:szCs w:val="36"/>
          <w:lang w:val="fr-FR"/>
        </w:rPr>
        <w:t xml:space="preserve"> </w:t>
      </w:r>
      <w:r w:rsidR="00BF2F2F" w:rsidRPr="00FA3966">
        <w:rPr>
          <w:b/>
          <w:sz w:val="36"/>
          <w:szCs w:val="36"/>
          <w:lang w:val="fr-FR"/>
        </w:rPr>
        <w:t>session</w:t>
      </w:r>
    </w:p>
    <w:p w:rsidR="00BF2F2F" w:rsidRPr="00FA3966" w:rsidRDefault="00BF2F2F" w:rsidP="00BF2F2F">
      <w:pPr>
        <w:spacing w:after="120"/>
        <w:ind w:left="1134" w:right="1134"/>
        <w:rPr>
          <w:b/>
          <w:sz w:val="36"/>
          <w:szCs w:val="36"/>
          <w:lang w:val="fr-FR"/>
        </w:rPr>
      </w:pPr>
      <w:r w:rsidRPr="00FA3966">
        <w:rPr>
          <w:b/>
          <w:sz w:val="36"/>
          <w:szCs w:val="36"/>
          <w:lang w:val="fr-FR"/>
        </w:rPr>
        <w:t>(</w:t>
      </w:r>
      <w:r>
        <w:rPr>
          <w:b/>
          <w:bCs/>
          <w:sz w:val="36"/>
          <w:szCs w:val="36"/>
        </w:rPr>
        <w:t>8-18 </w:t>
      </w:r>
      <w:r w:rsidR="00C9089E" w:rsidRPr="00BF2F2F">
        <w:rPr>
          <w:b/>
          <w:bCs/>
          <w:sz w:val="36"/>
          <w:szCs w:val="36"/>
        </w:rPr>
        <w:t>avril 2019</w:t>
      </w:r>
      <w:r w:rsidRPr="00FA3966">
        <w:rPr>
          <w:b/>
          <w:sz w:val="36"/>
          <w:szCs w:val="36"/>
          <w:lang w:val="fr-FR"/>
        </w:rPr>
        <w:t>)</w:t>
      </w:r>
    </w:p>
    <w:p w:rsidR="00483E94" w:rsidRPr="00FA3966" w:rsidRDefault="00483E94" w:rsidP="00FA1D61">
      <w:pPr>
        <w:pStyle w:val="SMG"/>
        <w:spacing w:before="4000" w:after="0"/>
        <w:ind w:right="0"/>
        <w:rPr>
          <w:lang w:val="fr-FR"/>
        </w:rPr>
      </w:pPr>
      <w:r w:rsidRPr="00FA3966">
        <w:rPr>
          <w:lang w:val="fr-FR"/>
        </w:rPr>
        <w:t>Assemblée générale</w:t>
      </w:r>
      <w:r w:rsidR="00665893" w:rsidRPr="00665893">
        <w:rPr>
          <w:noProof/>
          <w:lang w:eastAsia="fr-CH"/>
        </w:rPr>
        <w:t xml:space="preserve"> </w:t>
      </w:r>
    </w:p>
    <w:p w:rsidR="00483E94" w:rsidRPr="00FA3966" w:rsidRDefault="00483E94" w:rsidP="00483E94">
      <w:pPr>
        <w:ind w:left="1134"/>
        <w:rPr>
          <w:b/>
          <w:sz w:val="28"/>
          <w:szCs w:val="28"/>
          <w:lang w:val="fr-FR"/>
        </w:rPr>
      </w:pPr>
      <w:r w:rsidRPr="00FA3966">
        <w:rPr>
          <w:b/>
          <w:sz w:val="28"/>
          <w:szCs w:val="28"/>
          <w:lang w:val="fr-FR"/>
        </w:rPr>
        <w:t>Documents officiels</w:t>
      </w:r>
    </w:p>
    <w:p w:rsidR="00483E94" w:rsidRPr="00FA3966" w:rsidRDefault="00C9089E" w:rsidP="00483E94">
      <w:pPr>
        <w:ind w:left="1134" w:right="1134"/>
        <w:rPr>
          <w:b/>
          <w:sz w:val="28"/>
          <w:szCs w:val="28"/>
          <w:lang w:val="fr-FR"/>
        </w:rPr>
      </w:pPr>
      <w:r w:rsidRPr="00BF2F2F">
        <w:rPr>
          <w:b/>
          <w:bCs/>
          <w:sz w:val="28"/>
          <w:szCs w:val="28"/>
        </w:rPr>
        <w:t>Soixante-quatorzième</w:t>
      </w:r>
      <w:r w:rsidR="00483E94">
        <w:rPr>
          <w:b/>
          <w:sz w:val="28"/>
          <w:szCs w:val="28"/>
          <w:lang w:val="fr-FR"/>
        </w:rPr>
        <w:t xml:space="preserve"> </w:t>
      </w:r>
      <w:r w:rsidR="00483E94" w:rsidRPr="00FA3966">
        <w:rPr>
          <w:b/>
          <w:sz w:val="28"/>
          <w:szCs w:val="28"/>
          <w:lang w:val="fr-FR"/>
        </w:rPr>
        <w:t>session</w:t>
      </w:r>
    </w:p>
    <w:p w:rsidR="00483E94" w:rsidRDefault="00665893" w:rsidP="00483E94">
      <w:pPr>
        <w:ind w:left="1134" w:right="1134"/>
        <w:rPr>
          <w:b/>
          <w:sz w:val="28"/>
          <w:szCs w:val="28"/>
          <w:lang w:val="fr-FR"/>
        </w:rPr>
      </w:pPr>
      <w:r>
        <w:rPr>
          <w:noProof/>
          <w:lang w:eastAsia="fr-CH"/>
        </w:rPr>
        <w:drawing>
          <wp:anchor distT="0" distB="0" distL="114300" distR="114300" simplePos="0" relativeHeight="251661312" behindDoc="0" locked="0" layoutInCell="1" allowOverlap="1" wp14:anchorId="3EDC42E6" wp14:editId="22FF3B36">
            <wp:simplePos x="0" y="0"/>
            <wp:positionH relativeFrom="column">
              <wp:posOffset>5485867</wp:posOffset>
            </wp:positionH>
            <wp:positionV relativeFrom="paragraph">
              <wp:posOffset>999490</wp:posOffset>
            </wp:positionV>
            <wp:extent cx="561975" cy="561975"/>
            <wp:effectExtent l="0" t="0" r="9525" b="9525"/>
            <wp:wrapNone/>
            <wp:docPr id="4" name="Image 2" descr="https://undocs.org/m2/QRCode.ashx?DS=A/74/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74/56&amp;Size=2&amp;Lang=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E94" w:rsidRPr="00FA3966">
        <w:rPr>
          <w:b/>
          <w:sz w:val="28"/>
          <w:szCs w:val="28"/>
          <w:lang w:val="fr-FR"/>
        </w:rPr>
        <w:t>Supplément n</w:t>
      </w:r>
      <w:r w:rsidR="00483E94" w:rsidRPr="00FA3966">
        <w:rPr>
          <w:b/>
          <w:sz w:val="28"/>
          <w:szCs w:val="28"/>
          <w:vertAlign w:val="superscript"/>
          <w:lang w:val="fr-FR"/>
        </w:rPr>
        <w:t>o</w:t>
      </w:r>
      <w:r w:rsidR="00BF2F2F">
        <w:rPr>
          <w:b/>
          <w:sz w:val="28"/>
          <w:szCs w:val="28"/>
          <w:lang w:val="fr-FR"/>
        </w:rPr>
        <w:t> 56</w:t>
      </w:r>
      <w:r w:rsidR="00FB1C8F">
        <w:rPr>
          <w:b/>
          <w:sz w:val="28"/>
          <w:szCs w:val="28"/>
          <w:lang w:val="fr-FR"/>
        </w:rPr>
        <w:t xml:space="preserve"> </w:t>
      </w:r>
      <w:r w:rsidR="00483E94" w:rsidRPr="00FA3966">
        <w:rPr>
          <w:b/>
          <w:sz w:val="28"/>
          <w:szCs w:val="28"/>
          <w:lang w:val="fr-FR"/>
        </w:rPr>
        <w:t>(</w:t>
      </w:r>
      <w:r w:rsidR="00BF2F2F">
        <w:rPr>
          <w:b/>
          <w:sz w:val="28"/>
          <w:szCs w:val="28"/>
          <w:lang w:val="fr-FR"/>
        </w:rPr>
        <w:t>A/74/56</w:t>
      </w:r>
      <w:r w:rsidR="00483E94" w:rsidRPr="00FA3966">
        <w:rPr>
          <w:b/>
          <w:sz w:val="28"/>
          <w:szCs w:val="28"/>
          <w:lang w:val="fr-FR"/>
        </w:rPr>
        <w:t>)</w:t>
      </w:r>
    </w:p>
    <w:p w:rsidR="00483E94" w:rsidRDefault="00483E94" w:rsidP="00C451B9">
      <w:pPr>
        <w:sectPr w:rsidR="00483E94" w:rsidSect="00BF2F2F">
          <w:footerReference w:type="first" r:id="rId9"/>
          <w:endnotePr>
            <w:numFmt w:val="decimal"/>
          </w:endnotePr>
          <w:type w:val="oddPage"/>
          <w:pgSz w:w="11907" w:h="16840" w:code="9"/>
          <w:pgMar w:top="1417" w:right="1134" w:bottom="1134" w:left="1134" w:header="850" w:footer="567" w:gutter="0"/>
          <w:cols w:space="720"/>
          <w:titlePg/>
          <w:docGrid w:linePitch="272"/>
        </w:sectPr>
      </w:pPr>
    </w:p>
    <w:p w:rsidR="00541BE4" w:rsidRPr="00AB7881" w:rsidRDefault="00AB7881" w:rsidP="00541BE4">
      <w:pPr>
        <w:spacing w:after="1200"/>
        <w:jc w:val="right"/>
        <w:outlineLvl w:val="0"/>
        <w:rPr>
          <w:rStyle w:val="Lienhypertexte"/>
          <w:b/>
          <w:lang w:val="fr-FR"/>
        </w:rPr>
      </w:pPr>
      <w:r>
        <w:rPr>
          <w:b/>
          <w:lang w:val="fr-FR"/>
        </w:rPr>
        <w:lastRenderedPageBreak/>
        <w:fldChar w:fldCharType="begin"/>
      </w:r>
      <w:r>
        <w:rPr>
          <w:b/>
          <w:lang w:val="fr-FR"/>
        </w:rPr>
        <w:instrText xml:space="preserve"> HYPERLINK "https://undocs.org/fr/A/74/56</w:instrText>
      </w:r>
      <w:r>
        <w:rPr>
          <w:b/>
          <w:lang w:val="fr-FR"/>
        </w:rPr>
        <w:cr/>
        <w:instrText xml:space="preserve">" </w:instrText>
      </w:r>
      <w:r>
        <w:rPr>
          <w:b/>
          <w:lang w:val="fr-FR"/>
        </w:rPr>
        <w:fldChar w:fldCharType="separate"/>
      </w:r>
      <w:r w:rsidR="00BF2F2F" w:rsidRPr="00AB7881">
        <w:rPr>
          <w:rStyle w:val="Lienhypertexte"/>
          <w:b/>
          <w:lang w:val="fr-FR"/>
        </w:rPr>
        <w:t>A/74/56</w:t>
      </w:r>
    </w:p>
    <w:p w:rsidR="00541BE4" w:rsidRPr="00FA3966" w:rsidRDefault="00AB7881" w:rsidP="00541BE4">
      <w:pPr>
        <w:rPr>
          <w:b/>
          <w:sz w:val="24"/>
          <w:szCs w:val="24"/>
          <w:lang w:val="fr-FR"/>
        </w:rPr>
      </w:pPr>
      <w:r>
        <w:rPr>
          <w:b/>
          <w:lang w:val="fr-FR"/>
        </w:rPr>
        <w:fldChar w:fldCharType="end"/>
      </w:r>
      <w:r w:rsidR="00541BE4" w:rsidRPr="00FA3966">
        <w:rPr>
          <w:b/>
          <w:sz w:val="24"/>
          <w:szCs w:val="24"/>
          <w:lang w:val="fr-FR"/>
        </w:rPr>
        <w:t>Assemblée générale</w:t>
      </w:r>
    </w:p>
    <w:p w:rsidR="00541BE4" w:rsidRPr="00FA3966" w:rsidRDefault="00541BE4" w:rsidP="00541BE4">
      <w:pPr>
        <w:rPr>
          <w:sz w:val="24"/>
          <w:szCs w:val="24"/>
          <w:lang w:val="fr-FR"/>
        </w:rPr>
      </w:pPr>
      <w:r w:rsidRPr="00FA3966">
        <w:rPr>
          <w:sz w:val="24"/>
          <w:szCs w:val="24"/>
          <w:lang w:val="fr-FR"/>
        </w:rPr>
        <w:t>Documents officiels</w:t>
      </w:r>
    </w:p>
    <w:p w:rsidR="00541BE4" w:rsidRPr="00FA3966" w:rsidRDefault="00C9089E" w:rsidP="00541BE4">
      <w:pPr>
        <w:rPr>
          <w:sz w:val="24"/>
          <w:szCs w:val="24"/>
          <w:lang w:val="fr-FR"/>
        </w:rPr>
      </w:pPr>
      <w:r w:rsidRPr="00A83F61">
        <w:rPr>
          <w:bCs/>
          <w:sz w:val="24"/>
          <w:szCs w:val="24"/>
        </w:rPr>
        <w:t xml:space="preserve">Soixante-quatorzième </w:t>
      </w:r>
      <w:r w:rsidR="00541BE4" w:rsidRPr="00FA3966">
        <w:rPr>
          <w:sz w:val="24"/>
          <w:szCs w:val="24"/>
          <w:lang w:val="fr-FR"/>
        </w:rPr>
        <w:t>session</w:t>
      </w:r>
    </w:p>
    <w:p w:rsidR="00541BE4" w:rsidRPr="00FA3966" w:rsidRDefault="00541BE4" w:rsidP="00541BE4">
      <w:pPr>
        <w:spacing w:after="1080"/>
        <w:rPr>
          <w:b/>
          <w:sz w:val="24"/>
          <w:szCs w:val="24"/>
          <w:lang w:val="fr-FR"/>
        </w:rPr>
      </w:pPr>
      <w:r w:rsidRPr="00FA3966">
        <w:rPr>
          <w:sz w:val="24"/>
          <w:szCs w:val="24"/>
          <w:lang w:val="fr-FR"/>
        </w:rPr>
        <w:t>Supplément n</w:t>
      </w:r>
      <w:r w:rsidRPr="00FA3966">
        <w:rPr>
          <w:sz w:val="24"/>
          <w:szCs w:val="24"/>
          <w:vertAlign w:val="superscript"/>
          <w:lang w:val="fr-FR"/>
        </w:rPr>
        <w:t>o</w:t>
      </w:r>
      <w:r w:rsidR="00E82A70">
        <w:rPr>
          <w:sz w:val="24"/>
          <w:szCs w:val="24"/>
          <w:lang w:val="fr-FR"/>
        </w:rPr>
        <w:t> 56</w:t>
      </w:r>
      <w:r w:rsidR="00FB1C8F">
        <w:rPr>
          <w:sz w:val="24"/>
          <w:szCs w:val="24"/>
          <w:lang w:val="fr-FR"/>
        </w:rPr>
        <w:t xml:space="preserve"> </w:t>
      </w:r>
      <w:r w:rsidRPr="00FA3966">
        <w:rPr>
          <w:sz w:val="24"/>
          <w:szCs w:val="24"/>
          <w:lang w:val="fr-FR"/>
        </w:rPr>
        <w:t>(</w:t>
      </w:r>
      <w:r w:rsidR="00BF2F2F">
        <w:rPr>
          <w:sz w:val="24"/>
          <w:szCs w:val="24"/>
          <w:lang w:val="fr-FR"/>
        </w:rPr>
        <w:t>A/74/56</w:t>
      </w:r>
      <w:r w:rsidRPr="00FA3966">
        <w:rPr>
          <w:sz w:val="24"/>
          <w:szCs w:val="24"/>
          <w:lang w:val="fr-FR"/>
        </w:rPr>
        <w:t>)</w:t>
      </w:r>
    </w:p>
    <w:p w:rsidR="00541BE4" w:rsidRPr="00FA3966" w:rsidRDefault="00541BE4" w:rsidP="00DF4D0D">
      <w:pPr>
        <w:pStyle w:val="SMG"/>
        <w:spacing w:before="0" w:after="960"/>
        <w:rPr>
          <w:szCs w:val="40"/>
          <w:lang w:val="fr-FR"/>
        </w:rPr>
      </w:pPr>
      <w:r w:rsidRPr="00FA3966">
        <w:rPr>
          <w:lang w:val="fr-FR"/>
        </w:rPr>
        <w:t xml:space="preserve">Rapport du </w:t>
      </w:r>
      <w:r w:rsidR="00DA0AE3" w:rsidRPr="005E282F">
        <w:rPr>
          <w:bCs/>
        </w:rPr>
        <w:t>Comité</w:t>
      </w:r>
      <w:r w:rsidR="00DA0AE3">
        <w:rPr>
          <w:bCs/>
        </w:rPr>
        <w:t xml:space="preserve"> </w:t>
      </w:r>
      <w:r w:rsidR="00C27BF3">
        <w:rPr>
          <w:bCs/>
        </w:rPr>
        <w:br/>
      </w:r>
      <w:r w:rsidR="00C9089E" w:rsidRPr="00DA0AE3">
        <w:rPr>
          <w:bCs/>
        </w:rPr>
        <w:t>des disparitions forcées</w:t>
      </w:r>
    </w:p>
    <w:p w:rsidR="00541BE4" w:rsidRDefault="000A1CA1" w:rsidP="00DF4D0D">
      <w:pPr>
        <w:spacing w:after="120"/>
        <w:ind w:left="1134"/>
        <w:rPr>
          <w:b/>
          <w:sz w:val="28"/>
          <w:szCs w:val="28"/>
          <w:lang w:val="fr-FR"/>
        </w:rPr>
      </w:pPr>
      <w:r w:rsidRPr="000A1CA1">
        <w:rPr>
          <w:b/>
          <w:bCs/>
          <w:sz w:val="28"/>
          <w:szCs w:val="28"/>
        </w:rPr>
        <w:t>Quinzième</w:t>
      </w:r>
      <w:r w:rsidR="00541BE4">
        <w:rPr>
          <w:b/>
          <w:sz w:val="28"/>
          <w:szCs w:val="28"/>
          <w:lang w:val="fr-FR"/>
        </w:rPr>
        <w:t xml:space="preserve"> </w:t>
      </w:r>
      <w:r w:rsidR="00541BE4" w:rsidRPr="00FA3966">
        <w:rPr>
          <w:b/>
          <w:sz w:val="28"/>
          <w:szCs w:val="28"/>
          <w:lang w:val="fr-FR"/>
        </w:rPr>
        <w:t>session</w:t>
      </w:r>
      <w:r w:rsidR="00541BE4">
        <w:rPr>
          <w:b/>
          <w:sz w:val="28"/>
          <w:szCs w:val="28"/>
          <w:lang w:val="fr-FR"/>
        </w:rPr>
        <w:br/>
      </w:r>
      <w:r w:rsidR="00541BE4" w:rsidRPr="00FA3966">
        <w:rPr>
          <w:b/>
          <w:sz w:val="28"/>
          <w:szCs w:val="28"/>
          <w:lang w:val="fr-FR"/>
        </w:rPr>
        <w:t>(</w:t>
      </w:r>
      <w:r w:rsidR="00D5390B">
        <w:rPr>
          <w:b/>
          <w:sz w:val="28"/>
          <w:szCs w:val="28"/>
          <w:lang w:val="fr-FR"/>
        </w:rPr>
        <w:t>5-16 novembre 2018</w:t>
      </w:r>
      <w:r w:rsidR="00541BE4" w:rsidRPr="00FA3966">
        <w:rPr>
          <w:b/>
          <w:sz w:val="28"/>
          <w:szCs w:val="28"/>
          <w:lang w:val="fr-FR"/>
        </w:rPr>
        <w:t>)</w:t>
      </w:r>
    </w:p>
    <w:p w:rsidR="00D5390B" w:rsidRPr="00FA3966" w:rsidRDefault="00D5390B" w:rsidP="00DF4D0D">
      <w:pPr>
        <w:spacing w:after="120"/>
        <w:ind w:left="1134"/>
        <w:rPr>
          <w:b/>
          <w:sz w:val="28"/>
          <w:szCs w:val="28"/>
          <w:lang w:val="fr-FR"/>
        </w:rPr>
      </w:pPr>
      <w:r>
        <w:rPr>
          <w:b/>
          <w:sz w:val="28"/>
          <w:szCs w:val="28"/>
          <w:lang w:val="fr-FR"/>
        </w:rPr>
        <w:t>Seizième session</w:t>
      </w:r>
      <w:r>
        <w:rPr>
          <w:b/>
          <w:sz w:val="28"/>
          <w:szCs w:val="28"/>
          <w:lang w:val="fr-FR"/>
        </w:rPr>
        <w:br/>
        <w:t>(8-18 avril 2019)</w:t>
      </w:r>
    </w:p>
    <w:p w:rsidR="00DF4D0D" w:rsidRDefault="001D12EC" w:rsidP="00DF4D0D">
      <w:pPr>
        <w:spacing w:before="5200"/>
        <w:ind w:left="1134"/>
        <w:outlineLvl w:val="0"/>
      </w:pPr>
      <w:r>
        <w:rPr>
          <w:noProof/>
          <w:lang w:eastAsia="fr-CH"/>
        </w:rPr>
        <w:drawing>
          <wp:inline distT="0" distB="0" distL="0" distR="0" wp14:anchorId="2099E800" wp14:editId="4B6600B8">
            <wp:extent cx="5334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25" t="-133" r="-125" b="-133"/>
                    <a:stretch>
                      <a:fillRect/>
                    </a:stretch>
                  </pic:blipFill>
                  <pic:spPr bwMode="auto">
                    <a:xfrm>
                      <a:off x="0" y="0"/>
                      <a:ext cx="533400" cy="495300"/>
                    </a:xfrm>
                    <a:prstGeom prst="rect">
                      <a:avLst/>
                    </a:prstGeom>
                    <a:noFill/>
                    <a:ln>
                      <a:noFill/>
                    </a:ln>
                  </pic:spPr>
                </pic:pic>
              </a:graphicData>
            </a:graphic>
          </wp:inline>
        </w:drawing>
      </w:r>
      <w:r w:rsidR="00DF4D0D">
        <w:t xml:space="preserve"> </w:t>
      </w:r>
    </w:p>
    <w:p w:rsidR="00541BE4" w:rsidRPr="00FA3966" w:rsidRDefault="00541BE4" w:rsidP="00541BE4">
      <w:pPr>
        <w:ind w:left="1134"/>
        <w:outlineLvl w:val="0"/>
        <w:rPr>
          <w:b/>
          <w:sz w:val="24"/>
          <w:szCs w:val="24"/>
          <w:lang w:val="fr-FR"/>
        </w:rPr>
      </w:pPr>
      <w:r w:rsidRPr="00FA3966">
        <w:rPr>
          <w:b/>
          <w:noProof/>
          <w:sz w:val="28"/>
          <w:lang w:val="fr-FR"/>
        </w:rPr>
        <w:t>Nations Unies</w:t>
      </w:r>
      <w:r w:rsidRPr="00FA3966">
        <w:rPr>
          <w:b/>
          <w:sz w:val="28"/>
          <w:lang w:val="fr-FR"/>
        </w:rPr>
        <w:t xml:space="preserve"> • New York, </w:t>
      </w:r>
      <w:r w:rsidR="00D5390B">
        <w:rPr>
          <w:b/>
          <w:sz w:val="28"/>
          <w:lang w:val="fr-FR"/>
        </w:rPr>
        <w:t>2019</w:t>
      </w:r>
    </w:p>
    <w:p w:rsidR="00541BE4" w:rsidRPr="00FA3966" w:rsidRDefault="00541BE4" w:rsidP="00541BE4">
      <w:pPr>
        <w:spacing w:before="4800" w:after="120"/>
        <w:ind w:left="1134"/>
        <w:rPr>
          <w:i/>
          <w:lang w:val="fr-FR"/>
        </w:rPr>
      </w:pPr>
      <w:r w:rsidRPr="00FA3966">
        <w:rPr>
          <w:lang w:val="fr-FR"/>
        </w:rPr>
        <w:br w:type="page"/>
      </w:r>
      <w:r w:rsidRPr="00FA3966">
        <w:rPr>
          <w:i/>
          <w:lang w:val="fr-FR"/>
        </w:rPr>
        <w:lastRenderedPageBreak/>
        <w:t>Note</w:t>
      </w:r>
    </w:p>
    <w:p w:rsidR="00541BE4" w:rsidRPr="00FA3966" w:rsidRDefault="00541BE4" w:rsidP="00270821">
      <w:pPr>
        <w:pStyle w:val="SingleTxtG"/>
        <w:ind w:firstLine="567"/>
        <w:rPr>
          <w:lang w:val="fr-FR"/>
        </w:rPr>
      </w:pPr>
      <w:r w:rsidRPr="00FA3966">
        <w:rPr>
          <w:bCs/>
          <w:lang w:val="fr-FR"/>
        </w:rPr>
        <w:t>Les cotes des documents de l’Organisation des Nations Unies se composent de lettres majuscules et de chiffres. La simple mention d’une cote dans un texte signifie qu’il s’agit d’un document de l’Organisation.</w:t>
      </w:r>
    </w:p>
    <w:p w:rsidR="00541BE4" w:rsidRDefault="00541BE4" w:rsidP="00C451B9">
      <w:pPr>
        <w:sectPr w:rsidR="00541BE4" w:rsidSect="00BF2F2F">
          <w:headerReference w:type="default" r:id="rId11"/>
          <w:footerReference w:type="default" r:id="rId12"/>
          <w:headerReference w:type="first" r:id="rId13"/>
          <w:footerReference w:type="first" r:id="rId14"/>
          <w:endnotePr>
            <w:numFmt w:val="decimal"/>
          </w:endnotePr>
          <w:type w:val="oddPage"/>
          <w:pgSz w:w="11907" w:h="16840" w:code="9"/>
          <w:pgMar w:top="1417" w:right="1134" w:bottom="1134" w:left="1134" w:header="850" w:footer="567" w:gutter="0"/>
          <w:cols w:space="720"/>
          <w:titlePg/>
          <w:docGrid w:linePitch="272"/>
        </w:sectPr>
      </w:pPr>
    </w:p>
    <w:p w:rsidR="00EF7D1D" w:rsidRDefault="00EF7D1D" w:rsidP="00EF7D1D">
      <w:pPr>
        <w:spacing w:after="120"/>
        <w:rPr>
          <w:sz w:val="28"/>
          <w:lang w:val="fr-FR"/>
        </w:rPr>
      </w:pPr>
      <w:r w:rsidRPr="00FA3966">
        <w:rPr>
          <w:sz w:val="28"/>
          <w:lang w:val="fr-FR"/>
        </w:rPr>
        <w:lastRenderedPageBreak/>
        <w:t>Table des matières</w:t>
      </w:r>
    </w:p>
    <w:p w:rsidR="00D5390B" w:rsidRPr="00D5390B" w:rsidRDefault="00D5390B" w:rsidP="00D5390B">
      <w:pPr>
        <w:tabs>
          <w:tab w:val="right" w:pos="9638"/>
        </w:tabs>
        <w:spacing w:after="120"/>
        <w:ind w:left="283"/>
        <w:rPr>
          <w:i/>
          <w:sz w:val="18"/>
        </w:rPr>
      </w:pPr>
      <w:r w:rsidRPr="00D5390B">
        <w:rPr>
          <w:i/>
          <w:sz w:val="18"/>
        </w:rPr>
        <w:t>Chapitre</w:t>
      </w:r>
      <w:r w:rsidRPr="00D5390B">
        <w:rPr>
          <w:i/>
          <w:sz w:val="18"/>
        </w:rPr>
        <w:tab/>
        <w:t>Page</w:t>
      </w:r>
    </w:p>
    <w:p w:rsidR="00D5390B" w:rsidRDefault="00D5390B" w:rsidP="00D5390B">
      <w:pPr>
        <w:tabs>
          <w:tab w:val="right" w:pos="850"/>
          <w:tab w:val="right" w:leader="dot" w:pos="8787"/>
          <w:tab w:val="right" w:pos="9638"/>
        </w:tabs>
        <w:spacing w:after="120"/>
        <w:ind w:left="1134" w:hanging="1134"/>
      </w:pPr>
      <w:r>
        <w:tab/>
        <w:t>I.</w:t>
      </w:r>
      <w:r>
        <w:tab/>
      </w:r>
      <w:r w:rsidR="006D2C4F" w:rsidRPr="005E282F">
        <w:rPr>
          <w:bCs/>
        </w:rPr>
        <w:t>Questions d’organisation et questions diverses</w:t>
      </w:r>
      <w:r>
        <w:tab/>
      </w:r>
      <w:r>
        <w:tab/>
      </w:r>
      <w:r w:rsidR="002C0370">
        <w:t>1</w:t>
      </w:r>
    </w:p>
    <w:p w:rsidR="00D5390B" w:rsidRDefault="00D5390B" w:rsidP="00D5390B">
      <w:pPr>
        <w:tabs>
          <w:tab w:val="right" w:leader="dot" w:pos="8787"/>
          <w:tab w:val="right" w:pos="9638"/>
        </w:tabs>
        <w:spacing w:after="120"/>
        <w:ind w:left="1559" w:hanging="425"/>
      </w:pPr>
      <w:r>
        <w:t>A.</w:t>
      </w:r>
      <w:r>
        <w:tab/>
      </w:r>
      <w:r w:rsidR="006D2C4F" w:rsidRPr="005E282F">
        <w:t>États parties à la Convention</w:t>
      </w:r>
      <w:r>
        <w:tab/>
      </w:r>
      <w:r>
        <w:tab/>
      </w:r>
      <w:r w:rsidR="002C0370">
        <w:t>1</w:t>
      </w:r>
    </w:p>
    <w:p w:rsidR="00D5390B" w:rsidRDefault="00D5390B" w:rsidP="00D5390B">
      <w:pPr>
        <w:tabs>
          <w:tab w:val="right" w:leader="dot" w:pos="8787"/>
          <w:tab w:val="right" w:pos="9638"/>
        </w:tabs>
        <w:spacing w:after="120"/>
        <w:ind w:left="1559" w:hanging="425"/>
      </w:pPr>
      <w:r>
        <w:t>B.</w:t>
      </w:r>
      <w:r>
        <w:tab/>
      </w:r>
      <w:r w:rsidR="006D2C4F" w:rsidRPr="005E282F">
        <w:t>Séances et sessions</w:t>
      </w:r>
      <w:r>
        <w:tab/>
      </w:r>
      <w:r>
        <w:tab/>
      </w:r>
      <w:r w:rsidR="00F2188D">
        <w:t>1</w:t>
      </w:r>
    </w:p>
    <w:p w:rsidR="00D5390B" w:rsidRDefault="00D5390B" w:rsidP="00D5390B">
      <w:pPr>
        <w:tabs>
          <w:tab w:val="right" w:leader="dot" w:pos="8787"/>
          <w:tab w:val="right" w:pos="9638"/>
        </w:tabs>
        <w:spacing w:after="120"/>
        <w:ind w:left="1559" w:hanging="425"/>
      </w:pPr>
      <w:r>
        <w:t>C.</w:t>
      </w:r>
      <w:r>
        <w:tab/>
      </w:r>
      <w:r w:rsidR="006D2C4F" w:rsidRPr="005E282F">
        <w:t>Composition du Comité et participation</w:t>
      </w:r>
      <w:r>
        <w:tab/>
      </w:r>
      <w:r>
        <w:tab/>
      </w:r>
      <w:r w:rsidR="00F2188D">
        <w:t>2</w:t>
      </w:r>
    </w:p>
    <w:p w:rsidR="00D5390B" w:rsidRDefault="00D5390B" w:rsidP="00D5390B">
      <w:pPr>
        <w:tabs>
          <w:tab w:val="right" w:leader="dot" w:pos="8787"/>
          <w:tab w:val="right" w:pos="9638"/>
        </w:tabs>
        <w:spacing w:after="120"/>
        <w:ind w:left="1559" w:hanging="425"/>
      </w:pPr>
      <w:r>
        <w:t>D.</w:t>
      </w:r>
      <w:r>
        <w:tab/>
      </w:r>
      <w:r w:rsidR="006D2C4F" w:rsidRPr="005E282F">
        <w:t>Décisions du Comité</w:t>
      </w:r>
      <w:r>
        <w:tab/>
      </w:r>
      <w:r>
        <w:tab/>
      </w:r>
      <w:r w:rsidR="00F2188D">
        <w:t>2</w:t>
      </w:r>
    </w:p>
    <w:p w:rsidR="00D5390B" w:rsidRDefault="00D5390B" w:rsidP="00D5390B">
      <w:pPr>
        <w:tabs>
          <w:tab w:val="right" w:leader="dot" w:pos="8787"/>
          <w:tab w:val="right" w:pos="9638"/>
        </w:tabs>
        <w:spacing w:after="120"/>
        <w:ind w:left="1559" w:hanging="425"/>
      </w:pPr>
      <w:r>
        <w:t>E.</w:t>
      </w:r>
      <w:r>
        <w:tab/>
      </w:r>
      <w:r w:rsidR="006D2C4F" w:rsidRPr="005E282F">
        <w:t>Adoption du rapport annuel</w:t>
      </w:r>
      <w:r>
        <w:tab/>
      </w:r>
      <w:r>
        <w:tab/>
      </w:r>
      <w:r w:rsidR="00F2188D">
        <w:t>4</w:t>
      </w:r>
    </w:p>
    <w:p w:rsidR="00D5390B" w:rsidRDefault="00D5390B" w:rsidP="00D5390B">
      <w:pPr>
        <w:tabs>
          <w:tab w:val="right" w:pos="850"/>
          <w:tab w:val="right" w:leader="dot" w:pos="8787"/>
          <w:tab w:val="right" w:pos="9638"/>
        </w:tabs>
        <w:spacing w:after="120"/>
        <w:ind w:left="1134" w:hanging="1134"/>
      </w:pPr>
      <w:r>
        <w:tab/>
        <w:t>II.</w:t>
      </w:r>
      <w:r>
        <w:tab/>
      </w:r>
      <w:r w:rsidR="006D2C4F" w:rsidRPr="005E282F">
        <w:rPr>
          <w:bCs/>
        </w:rPr>
        <w:t>Méthodes de travail</w:t>
      </w:r>
      <w:r>
        <w:tab/>
      </w:r>
      <w:r>
        <w:tab/>
      </w:r>
      <w:r w:rsidR="00F2188D">
        <w:t>5</w:t>
      </w:r>
    </w:p>
    <w:p w:rsidR="00D5390B" w:rsidRDefault="00D5390B" w:rsidP="00D5390B">
      <w:pPr>
        <w:tabs>
          <w:tab w:val="right" w:pos="850"/>
          <w:tab w:val="right" w:leader="dot" w:pos="8787"/>
          <w:tab w:val="right" w:pos="9638"/>
        </w:tabs>
        <w:spacing w:after="120"/>
        <w:ind w:left="1134" w:hanging="1134"/>
      </w:pPr>
      <w:r>
        <w:tab/>
        <w:t>III.</w:t>
      </w:r>
      <w:r>
        <w:tab/>
      </w:r>
      <w:r w:rsidR="006D2C4F" w:rsidRPr="005E282F">
        <w:rPr>
          <w:bCs/>
        </w:rPr>
        <w:t>Relations avec les parties prenantes</w:t>
      </w:r>
      <w:r>
        <w:tab/>
      </w:r>
      <w:r>
        <w:tab/>
      </w:r>
      <w:r w:rsidR="00F2188D">
        <w:t>6</w:t>
      </w:r>
    </w:p>
    <w:p w:rsidR="00D5390B" w:rsidRDefault="00D5390B" w:rsidP="00D5390B">
      <w:pPr>
        <w:tabs>
          <w:tab w:val="right" w:leader="dot" w:pos="8787"/>
          <w:tab w:val="right" w:pos="9638"/>
        </w:tabs>
        <w:spacing w:after="120"/>
        <w:ind w:left="1559" w:hanging="425"/>
      </w:pPr>
      <w:r>
        <w:t>A.</w:t>
      </w:r>
      <w:r>
        <w:tab/>
      </w:r>
      <w:r w:rsidR="006D2C4F" w:rsidRPr="005E282F">
        <w:t>Réunions avec les États Membres</w:t>
      </w:r>
      <w:r>
        <w:tab/>
      </w:r>
      <w:r>
        <w:tab/>
      </w:r>
      <w:r w:rsidR="00F2188D">
        <w:t>6</w:t>
      </w:r>
    </w:p>
    <w:p w:rsidR="00D5390B" w:rsidRDefault="00D5390B" w:rsidP="00D5390B">
      <w:pPr>
        <w:tabs>
          <w:tab w:val="right" w:leader="dot" w:pos="8787"/>
          <w:tab w:val="right" w:pos="9638"/>
        </w:tabs>
        <w:spacing w:after="120"/>
        <w:ind w:left="1559" w:hanging="425"/>
      </w:pPr>
      <w:r>
        <w:t>B.</w:t>
      </w:r>
      <w:r>
        <w:tab/>
      </w:r>
      <w:r w:rsidR="006D2C4F" w:rsidRPr="005E282F">
        <w:t>Réunion avec les institutions nationales des droits de l’homme</w:t>
      </w:r>
      <w:r>
        <w:tab/>
      </w:r>
      <w:r>
        <w:tab/>
      </w:r>
      <w:r w:rsidR="00F2188D">
        <w:t>6</w:t>
      </w:r>
    </w:p>
    <w:p w:rsidR="00D5390B" w:rsidRDefault="00D5390B" w:rsidP="00D5390B">
      <w:pPr>
        <w:tabs>
          <w:tab w:val="right" w:leader="dot" w:pos="8787"/>
          <w:tab w:val="right" w:pos="9638"/>
        </w:tabs>
        <w:spacing w:after="120"/>
        <w:ind w:left="1559" w:hanging="425"/>
      </w:pPr>
      <w:r>
        <w:t>C.</w:t>
      </w:r>
      <w:r>
        <w:tab/>
      </w:r>
      <w:r w:rsidR="006D2C4F" w:rsidRPr="005E282F">
        <w:t>Réunions avec les organisations non gouvernementales et la société civile</w:t>
      </w:r>
      <w:r>
        <w:tab/>
      </w:r>
      <w:r>
        <w:tab/>
      </w:r>
      <w:r w:rsidR="00F2188D">
        <w:t>7</w:t>
      </w:r>
    </w:p>
    <w:p w:rsidR="00D5390B" w:rsidRDefault="00D5390B" w:rsidP="00D5390B">
      <w:pPr>
        <w:tabs>
          <w:tab w:val="right" w:leader="dot" w:pos="8787"/>
          <w:tab w:val="right" w:pos="9638"/>
        </w:tabs>
        <w:spacing w:after="120"/>
        <w:ind w:left="1559" w:hanging="425"/>
      </w:pPr>
      <w:r>
        <w:t>D.</w:t>
      </w:r>
      <w:r>
        <w:tab/>
      </w:r>
      <w:r w:rsidR="006D2C4F" w:rsidRPr="005E282F">
        <w:t>Réunions avec d’autres parties prenantes</w:t>
      </w:r>
      <w:r>
        <w:tab/>
      </w:r>
      <w:r>
        <w:tab/>
      </w:r>
      <w:r w:rsidR="00F2188D">
        <w:t>7</w:t>
      </w:r>
    </w:p>
    <w:p w:rsidR="00D5390B" w:rsidRDefault="00D5390B" w:rsidP="00D5390B">
      <w:pPr>
        <w:tabs>
          <w:tab w:val="right" w:pos="850"/>
          <w:tab w:val="right" w:leader="dot" w:pos="8787"/>
          <w:tab w:val="right" w:pos="9638"/>
        </w:tabs>
        <w:spacing w:after="120"/>
        <w:ind w:left="1134" w:hanging="1134"/>
      </w:pPr>
      <w:r>
        <w:tab/>
        <w:t>IV.</w:t>
      </w:r>
      <w:r>
        <w:tab/>
      </w:r>
      <w:r w:rsidR="0028138A" w:rsidRPr="005E282F">
        <w:rPr>
          <w:bCs/>
        </w:rPr>
        <w:t xml:space="preserve">Examen des rapports soumis par les États parties en application </w:t>
      </w:r>
      <w:r w:rsidR="0028138A">
        <w:rPr>
          <w:bCs/>
        </w:rPr>
        <w:br/>
      </w:r>
      <w:r w:rsidR="0028138A" w:rsidRPr="005E282F">
        <w:rPr>
          <w:bCs/>
        </w:rPr>
        <w:t>du paragraphe 1 de l’article 29 de la Convention</w:t>
      </w:r>
      <w:r>
        <w:tab/>
      </w:r>
      <w:r>
        <w:tab/>
      </w:r>
      <w:r w:rsidR="00F2188D">
        <w:t>9</w:t>
      </w:r>
    </w:p>
    <w:p w:rsidR="00D5390B" w:rsidRDefault="00D5390B" w:rsidP="00D5390B">
      <w:pPr>
        <w:tabs>
          <w:tab w:val="right" w:pos="850"/>
          <w:tab w:val="right" w:leader="dot" w:pos="8787"/>
          <w:tab w:val="right" w:pos="9638"/>
        </w:tabs>
        <w:spacing w:after="120"/>
        <w:ind w:left="1134" w:hanging="1134"/>
      </w:pPr>
      <w:r>
        <w:tab/>
        <w:t>V.</w:t>
      </w:r>
      <w:r>
        <w:tab/>
      </w:r>
      <w:r w:rsidR="0028138A" w:rsidRPr="005E282F">
        <w:rPr>
          <w:bCs/>
        </w:rPr>
        <w:t>Adoption du rapport sur le suivi des observations finales</w:t>
      </w:r>
      <w:r>
        <w:tab/>
      </w:r>
      <w:r>
        <w:tab/>
      </w:r>
      <w:r w:rsidR="00F2188D">
        <w:t>10</w:t>
      </w:r>
    </w:p>
    <w:p w:rsidR="00D5390B" w:rsidRDefault="00D5390B" w:rsidP="00D5390B">
      <w:pPr>
        <w:tabs>
          <w:tab w:val="right" w:pos="850"/>
          <w:tab w:val="right" w:leader="dot" w:pos="8787"/>
          <w:tab w:val="right" w:pos="9638"/>
        </w:tabs>
        <w:spacing w:after="120"/>
        <w:ind w:left="1134" w:hanging="1134"/>
      </w:pPr>
      <w:r>
        <w:tab/>
        <w:t>VI.</w:t>
      </w:r>
      <w:r>
        <w:tab/>
      </w:r>
      <w:r w:rsidR="0028138A" w:rsidRPr="005E282F">
        <w:rPr>
          <w:bCs/>
        </w:rPr>
        <w:t>Adoption des listes de points</w:t>
      </w:r>
      <w:r>
        <w:tab/>
      </w:r>
      <w:r>
        <w:tab/>
      </w:r>
      <w:r w:rsidR="00F2188D">
        <w:t>11</w:t>
      </w:r>
    </w:p>
    <w:p w:rsidR="00D5390B" w:rsidRDefault="00D5390B" w:rsidP="00D5390B">
      <w:pPr>
        <w:tabs>
          <w:tab w:val="right" w:pos="850"/>
          <w:tab w:val="right" w:leader="dot" w:pos="8787"/>
          <w:tab w:val="right" w:pos="9638"/>
        </w:tabs>
        <w:spacing w:after="120"/>
        <w:ind w:left="1134" w:hanging="1134"/>
      </w:pPr>
      <w:r>
        <w:tab/>
        <w:t>VII.</w:t>
      </w:r>
      <w:r>
        <w:tab/>
      </w:r>
      <w:r w:rsidR="0028138A" w:rsidRPr="005E282F">
        <w:rPr>
          <w:bCs/>
        </w:rPr>
        <w:t>Établissement de rapports au titre de la Convention</w:t>
      </w:r>
      <w:r>
        <w:tab/>
      </w:r>
      <w:r>
        <w:tab/>
      </w:r>
      <w:r w:rsidR="00F2188D">
        <w:t>12</w:t>
      </w:r>
    </w:p>
    <w:p w:rsidR="00D5390B" w:rsidRDefault="00D5390B" w:rsidP="00D5390B">
      <w:pPr>
        <w:tabs>
          <w:tab w:val="right" w:pos="850"/>
          <w:tab w:val="right" w:leader="dot" w:pos="8787"/>
          <w:tab w:val="right" w:pos="9638"/>
        </w:tabs>
        <w:spacing w:after="120"/>
        <w:ind w:left="1134" w:hanging="1134"/>
      </w:pPr>
      <w:r>
        <w:tab/>
        <w:t>VIII.</w:t>
      </w:r>
      <w:r>
        <w:tab/>
      </w:r>
      <w:r w:rsidR="0028138A" w:rsidRPr="005E282F">
        <w:rPr>
          <w:bCs/>
        </w:rPr>
        <w:t>Représailles</w:t>
      </w:r>
      <w:r>
        <w:tab/>
      </w:r>
      <w:r>
        <w:tab/>
      </w:r>
      <w:r w:rsidR="00F2188D">
        <w:t>13</w:t>
      </w:r>
    </w:p>
    <w:p w:rsidR="00D5390B" w:rsidRDefault="00D5390B" w:rsidP="00D5390B">
      <w:pPr>
        <w:tabs>
          <w:tab w:val="right" w:pos="850"/>
          <w:tab w:val="right" w:leader="dot" w:pos="8787"/>
          <w:tab w:val="right" w:pos="9638"/>
        </w:tabs>
        <w:spacing w:after="120"/>
        <w:ind w:left="1134" w:hanging="1134"/>
      </w:pPr>
      <w:r>
        <w:tab/>
        <w:t>IX.</w:t>
      </w:r>
      <w:r>
        <w:tab/>
      </w:r>
      <w:r w:rsidR="0028138A" w:rsidRPr="005E282F">
        <w:rPr>
          <w:bCs/>
        </w:rPr>
        <w:t xml:space="preserve">Examen des renseignements complémentaires soumis par les États parties </w:t>
      </w:r>
      <w:r w:rsidR="0028138A">
        <w:rPr>
          <w:bCs/>
        </w:rPr>
        <w:br/>
      </w:r>
      <w:r w:rsidR="0028138A" w:rsidRPr="005E282F">
        <w:rPr>
          <w:bCs/>
        </w:rPr>
        <w:t>en application du paragraphe 4 de l’article 29 de la Convention</w:t>
      </w:r>
      <w:r>
        <w:tab/>
      </w:r>
      <w:r>
        <w:tab/>
      </w:r>
      <w:r w:rsidR="00E71087">
        <w:t>14</w:t>
      </w:r>
    </w:p>
    <w:p w:rsidR="00D5390B" w:rsidRDefault="00D5390B" w:rsidP="00D5390B">
      <w:pPr>
        <w:tabs>
          <w:tab w:val="right" w:pos="850"/>
          <w:tab w:val="right" w:leader="dot" w:pos="8787"/>
          <w:tab w:val="right" w:pos="9638"/>
        </w:tabs>
        <w:spacing w:after="120"/>
        <w:ind w:left="1134" w:hanging="1134"/>
      </w:pPr>
      <w:r>
        <w:tab/>
        <w:t>X.</w:t>
      </w:r>
      <w:r>
        <w:tab/>
      </w:r>
      <w:r w:rsidR="0028138A" w:rsidRPr="005E282F">
        <w:rPr>
          <w:bCs/>
        </w:rPr>
        <w:t>Procédure d’action en urgence en application de l’article 30 de la Convention</w:t>
      </w:r>
      <w:r>
        <w:tab/>
      </w:r>
      <w:r>
        <w:tab/>
      </w:r>
      <w:r w:rsidR="00E71087">
        <w:t>15</w:t>
      </w:r>
    </w:p>
    <w:p w:rsidR="00D5390B" w:rsidRDefault="00D5390B" w:rsidP="00D5390B">
      <w:pPr>
        <w:tabs>
          <w:tab w:val="right" w:leader="dot" w:pos="8787"/>
          <w:tab w:val="right" w:pos="9638"/>
        </w:tabs>
        <w:spacing w:after="120"/>
        <w:ind w:left="1559" w:hanging="425"/>
      </w:pPr>
      <w:r>
        <w:t>A.</w:t>
      </w:r>
      <w:r>
        <w:tab/>
      </w:r>
      <w:r w:rsidR="0028138A" w:rsidRPr="005E282F">
        <w:rPr>
          <w:bCs/>
        </w:rPr>
        <w:t>Demandes d’action en urgence reçues et enregistrées depuis la création du Comité</w:t>
      </w:r>
      <w:r>
        <w:tab/>
      </w:r>
      <w:r>
        <w:tab/>
      </w:r>
      <w:r w:rsidR="00E71087">
        <w:t>15</w:t>
      </w:r>
    </w:p>
    <w:p w:rsidR="00D5390B" w:rsidRDefault="00D5390B" w:rsidP="00D5390B">
      <w:pPr>
        <w:tabs>
          <w:tab w:val="right" w:leader="dot" w:pos="8787"/>
          <w:tab w:val="right" w:pos="9638"/>
        </w:tabs>
        <w:spacing w:after="120"/>
        <w:ind w:left="1559" w:hanging="425"/>
      </w:pPr>
      <w:r>
        <w:t>B.</w:t>
      </w:r>
      <w:r>
        <w:tab/>
      </w:r>
      <w:r w:rsidR="0028138A" w:rsidRPr="005E282F">
        <w:rPr>
          <w:bCs/>
        </w:rPr>
        <w:t>Suite donnée aux demandes d’action en urgence après leur en</w:t>
      </w:r>
      <w:r w:rsidR="0028138A">
        <w:rPr>
          <w:bCs/>
        </w:rPr>
        <w:t>registrement </w:t>
      </w:r>
      <w:r w:rsidR="0028138A" w:rsidRPr="005E282F">
        <w:rPr>
          <w:bCs/>
        </w:rPr>
        <w:t xml:space="preserve">: </w:t>
      </w:r>
      <w:r w:rsidR="0028138A">
        <w:rPr>
          <w:bCs/>
        </w:rPr>
        <w:br/>
      </w:r>
      <w:r w:rsidR="0028138A" w:rsidRPr="005E282F">
        <w:rPr>
          <w:bCs/>
        </w:rPr>
        <w:t>tendances observées depuis la q</w:t>
      </w:r>
      <w:r w:rsidR="0028138A">
        <w:rPr>
          <w:bCs/>
        </w:rPr>
        <w:t>uatorzième session (jusqu’au 18 </w:t>
      </w:r>
      <w:r w:rsidR="0028138A" w:rsidRPr="005E282F">
        <w:rPr>
          <w:bCs/>
        </w:rPr>
        <w:t>avril 2019)</w:t>
      </w:r>
      <w:r>
        <w:tab/>
      </w:r>
      <w:r>
        <w:tab/>
      </w:r>
      <w:r w:rsidR="00E71087">
        <w:t>15</w:t>
      </w:r>
    </w:p>
    <w:p w:rsidR="00D5390B" w:rsidRDefault="00D5390B" w:rsidP="00D5390B">
      <w:pPr>
        <w:tabs>
          <w:tab w:val="right" w:leader="dot" w:pos="8787"/>
          <w:tab w:val="right" w:pos="9638"/>
        </w:tabs>
        <w:spacing w:after="120"/>
        <w:ind w:left="1559" w:hanging="425"/>
      </w:pPr>
      <w:r>
        <w:t>C.</w:t>
      </w:r>
      <w:r>
        <w:tab/>
      </w:r>
      <w:r w:rsidR="00E71087" w:rsidRPr="000A0ECE">
        <w:t xml:space="preserve">Actions en urgence suspendues, clôturées, ou maintenues ouvertes </w:t>
      </w:r>
      <w:r w:rsidR="00E71087">
        <w:br/>
      </w:r>
      <w:r w:rsidR="00E71087" w:rsidRPr="000A0ECE">
        <w:t xml:space="preserve">aux fins de la protection des personnes en faveur </w:t>
      </w:r>
      <w:r w:rsidR="00E71087">
        <w:br/>
      </w:r>
      <w:r w:rsidR="00E71087" w:rsidRPr="000A0ECE">
        <w:t>desquelles des mesures provisoires ont été autorisées</w:t>
      </w:r>
      <w:r>
        <w:tab/>
      </w:r>
      <w:r>
        <w:tab/>
      </w:r>
      <w:r w:rsidR="00E71087">
        <w:t>19</w:t>
      </w:r>
    </w:p>
    <w:p w:rsidR="00D5390B" w:rsidRDefault="00D5390B" w:rsidP="00D5390B">
      <w:pPr>
        <w:tabs>
          <w:tab w:val="right" w:leader="dot" w:pos="8787"/>
          <w:tab w:val="right" w:pos="9638"/>
        </w:tabs>
        <w:spacing w:after="120"/>
        <w:ind w:left="1559" w:hanging="425"/>
      </w:pPr>
      <w:r>
        <w:t>D.</w:t>
      </w:r>
      <w:r>
        <w:tab/>
      </w:r>
      <w:r w:rsidR="00E71087" w:rsidRPr="000A0ECE">
        <w:t xml:space="preserve">Mesures prises pour donner suite aux décisions adoptées par le Comité </w:t>
      </w:r>
      <w:r w:rsidR="00E71087">
        <w:br/>
      </w:r>
      <w:r w:rsidR="00E71087" w:rsidRPr="000A0ECE">
        <w:t>en séance plénière à ses quinzième et seizième sessions</w:t>
      </w:r>
      <w:r>
        <w:tab/>
      </w:r>
      <w:r>
        <w:tab/>
      </w:r>
      <w:r w:rsidR="00E71087">
        <w:t>20</w:t>
      </w:r>
    </w:p>
    <w:p w:rsidR="00D5390B" w:rsidRDefault="00D5390B" w:rsidP="00D5390B">
      <w:pPr>
        <w:tabs>
          <w:tab w:val="right" w:pos="850"/>
          <w:tab w:val="right" w:leader="dot" w:pos="8787"/>
          <w:tab w:val="right" w:pos="9638"/>
        </w:tabs>
        <w:spacing w:after="120"/>
        <w:ind w:left="1134" w:hanging="1134"/>
      </w:pPr>
      <w:r>
        <w:tab/>
        <w:t>XI.</w:t>
      </w:r>
      <w:r>
        <w:tab/>
      </w:r>
      <w:r w:rsidR="0028138A" w:rsidRPr="005E282F">
        <w:rPr>
          <w:bCs/>
        </w:rPr>
        <w:t>Procédure de communication prévue à l’article 31 de la Convention</w:t>
      </w:r>
      <w:r>
        <w:tab/>
      </w:r>
      <w:r w:rsidR="002C0370">
        <w:tab/>
      </w:r>
      <w:r w:rsidR="00AF3065">
        <w:t>21</w:t>
      </w:r>
    </w:p>
    <w:p w:rsidR="00D5390B" w:rsidRDefault="00D5390B" w:rsidP="00D5390B">
      <w:pPr>
        <w:tabs>
          <w:tab w:val="right" w:pos="850"/>
          <w:tab w:val="right" w:leader="dot" w:pos="8787"/>
          <w:tab w:val="right" w:pos="9638"/>
        </w:tabs>
        <w:spacing w:after="120"/>
        <w:ind w:left="1134" w:hanging="1134"/>
      </w:pPr>
      <w:r>
        <w:tab/>
        <w:t>XII.</w:t>
      </w:r>
      <w:r>
        <w:tab/>
      </w:r>
      <w:r w:rsidR="0028138A" w:rsidRPr="005E282F">
        <w:rPr>
          <w:bCs/>
        </w:rPr>
        <w:t>Visites prévues à l’article 33 de la Convention</w:t>
      </w:r>
      <w:r>
        <w:tab/>
      </w:r>
      <w:r w:rsidR="002C0370">
        <w:tab/>
      </w:r>
      <w:r w:rsidR="00AF3065">
        <w:t>22</w:t>
      </w:r>
    </w:p>
    <w:p w:rsidR="00D5390B" w:rsidRDefault="00D5390B" w:rsidP="00D5390B">
      <w:pPr>
        <w:tabs>
          <w:tab w:val="right" w:pos="850"/>
          <w:tab w:val="right" w:leader="dot" w:pos="8787"/>
          <w:tab w:val="right" w:pos="9638"/>
        </w:tabs>
        <w:spacing w:after="120"/>
        <w:ind w:left="1134" w:hanging="1134"/>
      </w:pPr>
      <w:r>
        <w:tab/>
        <w:t>XIII.</w:t>
      </w:r>
      <w:r>
        <w:tab/>
      </w:r>
      <w:r w:rsidR="0028138A" w:rsidRPr="005E282F">
        <w:rPr>
          <w:bCs/>
        </w:rPr>
        <w:t>Principes directeurs concernant la recherche de personnes disparues</w:t>
      </w:r>
      <w:r>
        <w:tab/>
      </w:r>
      <w:r w:rsidR="002C0370">
        <w:tab/>
      </w:r>
      <w:r w:rsidR="00AF3065">
        <w:t>23</w:t>
      </w:r>
    </w:p>
    <w:p w:rsidR="00D5390B" w:rsidRPr="00D5390B" w:rsidRDefault="00D5390B" w:rsidP="00D5390B">
      <w:pPr>
        <w:tabs>
          <w:tab w:val="right" w:pos="850"/>
        </w:tabs>
        <w:spacing w:after="120"/>
      </w:pPr>
      <w:r>
        <w:tab/>
        <w:t>Annexe</w:t>
      </w:r>
    </w:p>
    <w:p w:rsidR="00D5390B" w:rsidRDefault="00D5390B" w:rsidP="00D5390B">
      <w:pPr>
        <w:tabs>
          <w:tab w:val="right" w:pos="850"/>
          <w:tab w:val="right" w:leader="dot" w:pos="8787"/>
          <w:tab w:val="right" w:pos="9638"/>
        </w:tabs>
        <w:spacing w:after="120"/>
        <w:ind w:left="1134" w:hanging="1134"/>
      </w:pPr>
      <w:r>
        <w:tab/>
      </w:r>
      <w:r>
        <w:tab/>
      </w:r>
      <w:r w:rsidR="0028138A" w:rsidRPr="005E282F">
        <w:t>États</w:t>
      </w:r>
      <w:r w:rsidR="0028138A">
        <w:t xml:space="preserve"> parties à la Convention, au 18 </w:t>
      </w:r>
      <w:r w:rsidR="0028138A" w:rsidRPr="005E282F">
        <w:t>avril 2019, et état de la soumission de leurs rapports</w:t>
      </w:r>
      <w:r>
        <w:tab/>
      </w:r>
      <w:r w:rsidR="002C0370">
        <w:tab/>
      </w:r>
      <w:r w:rsidR="00AF3065">
        <w:t>24</w:t>
      </w:r>
    </w:p>
    <w:p w:rsidR="00D5390B" w:rsidRPr="00D5390B" w:rsidRDefault="00D5390B" w:rsidP="00D5390B"/>
    <w:p w:rsidR="00CD044C" w:rsidRDefault="00CD044C" w:rsidP="00C451B9"/>
    <w:p w:rsidR="00BF2F2F" w:rsidRDefault="00BF2F2F" w:rsidP="00C451B9">
      <w:pPr>
        <w:sectPr w:rsidR="00BF2F2F" w:rsidSect="00BF2F2F">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1417" w:right="1134" w:bottom="1134" w:left="1134" w:header="850" w:footer="567" w:gutter="0"/>
          <w:pgNumType w:fmt="lowerRoman" w:start="3"/>
          <w:cols w:space="720"/>
          <w:titlePg/>
          <w:docGrid w:linePitch="272"/>
        </w:sectPr>
      </w:pPr>
    </w:p>
    <w:p w:rsidR="003F0DDF" w:rsidRPr="003F0DDF" w:rsidRDefault="00F5490F" w:rsidP="00F5490F">
      <w:pPr>
        <w:pStyle w:val="HChG"/>
      </w:pPr>
      <w:r>
        <w:lastRenderedPageBreak/>
        <w:tab/>
      </w:r>
      <w:r>
        <w:tab/>
        <w:t>Chapitre I</w:t>
      </w:r>
      <w:r>
        <w:br/>
      </w:r>
      <w:r w:rsidR="003F0DDF" w:rsidRPr="003F0DDF">
        <w:t>Questions d’organisation et questions diverses</w:t>
      </w:r>
      <w:bookmarkStart w:id="0" w:name="_Toc326162631"/>
      <w:bookmarkStart w:id="1" w:name="_Toc326220746"/>
      <w:bookmarkStart w:id="2" w:name="_Toc460489528"/>
      <w:bookmarkStart w:id="3" w:name="_Toc522200453"/>
      <w:bookmarkEnd w:id="0"/>
      <w:bookmarkEnd w:id="1"/>
      <w:bookmarkEnd w:id="2"/>
      <w:bookmarkEnd w:id="3"/>
    </w:p>
    <w:p w:rsidR="003F0DDF" w:rsidRPr="003F0DDF" w:rsidRDefault="00F5490F" w:rsidP="00F5490F">
      <w:pPr>
        <w:pStyle w:val="H1G"/>
      </w:pPr>
      <w:r>
        <w:tab/>
      </w:r>
      <w:r w:rsidR="003F0DDF" w:rsidRPr="003F0DDF">
        <w:t>A.</w:t>
      </w:r>
      <w:r w:rsidR="003F0DDF" w:rsidRPr="003F0DDF">
        <w:tab/>
        <w:t>États parties à la Convention</w:t>
      </w:r>
      <w:bookmarkStart w:id="4" w:name="_Toc326162632"/>
      <w:bookmarkStart w:id="5" w:name="_Toc326220747"/>
      <w:bookmarkStart w:id="6" w:name="_Toc460489529"/>
      <w:bookmarkStart w:id="7" w:name="_Toc522200454"/>
      <w:bookmarkEnd w:id="4"/>
      <w:bookmarkEnd w:id="5"/>
      <w:bookmarkEnd w:id="6"/>
      <w:bookmarkEnd w:id="7"/>
    </w:p>
    <w:p w:rsidR="003F0DDF" w:rsidRPr="003F0DDF" w:rsidRDefault="00F5490F" w:rsidP="003F0DDF">
      <w:pPr>
        <w:pStyle w:val="SingleTxtG"/>
      </w:pPr>
      <w:r>
        <w:t>1.</w:t>
      </w:r>
      <w:r>
        <w:tab/>
      </w:r>
      <w:r w:rsidRPr="00F5490F">
        <w:rPr>
          <w:spacing w:val="-2"/>
        </w:rPr>
        <w:t>Au 18 </w:t>
      </w:r>
      <w:r w:rsidR="003F0DDF" w:rsidRPr="00F5490F">
        <w:rPr>
          <w:spacing w:val="-2"/>
        </w:rPr>
        <w:t>avril 2019, date de clôture de la seizième session du Comi</w:t>
      </w:r>
      <w:r w:rsidRPr="00F5490F">
        <w:rPr>
          <w:spacing w:val="-2"/>
        </w:rPr>
        <w:t>té des disparitions forcées, 59 </w:t>
      </w:r>
      <w:r w:rsidR="003F0DDF" w:rsidRPr="00F5490F">
        <w:rPr>
          <w:spacing w:val="-2"/>
        </w:rPr>
        <w:t>États étaient parties à la Convention internationale pour la protection de toutes les personnes contre</w:t>
      </w:r>
      <w:r w:rsidRPr="00F5490F">
        <w:rPr>
          <w:spacing w:val="-2"/>
        </w:rPr>
        <w:t xml:space="preserve"> les disparitions forcées et 98 </w:t>
      </w:r>
      <w:r w:rsidR="003F0DDF" w:rsidRPr="00F5490F">
        <w:rPr>
          <w:spacing w:val="-2"/>
        </w:rPr>
        <w:t xml:space="preserve">États en étaient signataires. La Convention a été adoptée par l’Assemblée </w:t>
      </w:r>
      <w:r w:rsidRPr="00F5490F">
        <w:rPr>
          <w:spacing w:val="-2"/>
        </w:rPr>
        <w:t>générale dans sa résolution </w:t>
      </w:r>
      <w:hyperlink r:id="rId21" w:history="1">
        <w:r w:rsidRPr="00F5490F">
          <w:rPr>
            <w:rStyle w:val="Lienhypertexte"/>
            <w:spacing w:val="-2"/>
          </w:rPr>
          <w:t>61/177</w:t>
        </w:r>
      </w:hyperlink>
      <w:r w:rsidRPr="00F5490F">
        <w:rPr>
          <w:spacing w:val="-2"/>
        </w:rPr>
        <w:t xml:space="preserve"> du 20 </w:t>
      </w:r>
      <w:r w:rsidR="003F0DDF" w:rsidRPr="00F5490F">
        <w:rPr>
          <w:spacing w:val="-2"/>
        </w:rPr>
        <w:t>décembre 2006 et ouverte à la sign</w:t>
      </w:r>
      <w:r w:rsidRPr="00F5490F">
        <w:rPr>
          <w:spacing w:val="-2"/>
        </w:rPr>
        <w:t>ature et à la ratification le 6 </w:t>
      </w:r>
      <w:r w:rsidR="003F0DDF" w:rsidRPr="00F5490F">
        <w:rPr>
          <w:spacing w:val="-2"/>
        </w:rPr>
        <w:t>février 2007. Conformément au paragraphe 1 de son article 39, elle est entrée en vigueur le 23</w:t>
      </w:r>
      <w:r w:rsidRPr="00F5490F">
        <w:rPr>
          <w:spacing w:val="-2"/>
        </w:rPr>
        <w:t> </w:t>
      </w:r>
      <w:r w:rsidR="003F0DDF" w:rsidRPr="00F5490F">
        <w:rPr>
          <w:spacing w:val="-2"/>
        </w:rPr>
        <w:t>décembre 2010.</w:t>
      </w:r>
    </w:p>
    <w:p w:rsidR="003F0DDF" w:rsidRPr="003F0DDF" w:rsidRDefault="003F0DDF" w:rsidP="003F0DDF">
      <w:pPr>
        <w:pStyle w:val="SingleTxtG"/>
      </w:pPr>
      <w:r w:rsidRPr="003F0DDF">
        <w:t>2.</w:t>
      </w:r>
      <w:r w:rsidRPr="003F0DDF">
        <w:tab/>
        <w:t>La liste actualisée des États parties à la Convention ainsi que des informations sur les déclarations faites en vertu des articles 31 et 32 et sur les réserves formulées sont disponibles sur le site Web du Bureau des affaires juridiques du Secrétariat</w:t>
      </w:r>
      <w:r w:rsidRPr="00F5490F">
        <w:rPr>
          <w:rStyle w:val="Appelnotedebasdep"/>
        </w:rPr>
        <w:footnoteReference w:id="2"/>
      </w:r>
      <w:r w:rsidRPr="003F0DDF">
        <w:t>.</w:t>
      </w:r>
    </w:p>
    <w:p w:rsidR="003F0DDF" w:rsidRPr="003F0DDF" w:rsidRDefault="00F5490F" w:rsidP="00F5490F">
      <w:pPr>
        <w:pStyle w:val="H1G"/>
      </w:pPr>
      <w:r>
        <w:tab/>
      </w:r>
      <w:r w:rsidR="003F0DDF" w:rsidRPr="003F0DDF">
        <w:t>B.</w:t>
      </w:r>
      <w:r w:rsidR="003F0DDF" w:rsidRPr="003F0DDF">
        <w:tab/>
        <w:t>Séances et sessions</w:t>
      </w:r>
      <w:bookmarkStart w:id="8" w:name="_Toc326162633"/>
      <w:bookmarkStart w:id="9" w:name="_Toc326220748"/>
      <w:bookmarkStart w:id="10" w:name="_Toc460489530"/>
      <w:bookmarkStart w:id="11" w:name="_Toc522200455"/>
      <w:bookmarkEnd w:id="8"/>
      <w:bookmarkEnd w:id="9"/>
      <w:bookmarkEnd w:id="10"/>
      <w:bookmarkEnd w:id="11"/>
    </w:p>
    <w:p w:rsidR="003F0DDF" w:rsidRPr="003F0DDF" w:rsidRDefault="003F0DDF" w:rsidP="003F0DDF">
      <w:pPr>
        <w:pStyle w:val="SingleTxtG"/>
      </w:pPr>
      <w:r w:rsidRPr="003F0DDF">
        <w:t>3.</w:t>
      </w:r>
      <w:r w:rsidRPr="003F0DDF">
        <w:tab/>
        <w:t>Le Comité a tenu sa quinzième session à l’Office des Na</w:t>
      </w:r>
      <w:r w:rsidR="00AF2778">
        <w:t>tions Unies à Genève du 5 </w:t>
      </w:r>
      <w:r w:rsidR="00F5490F">
        <w:t>au 16 </w:t>
      </w:r>
      <w:r w:rsidRPr="003F0DDF">
        <w:t>n</w:t>
      </w:r>
      <w:r w:rsidR="00F5490F">
        <w:t>ovembre 2018. Il s’est réuni 21 </w:t>
      </w:r>
      <w:r w:rsidRPr="003F0DDF">
        <w:t>fois en séance plénière et a adopté l’ordre du jour (</w:t>
      </w:r>
      <w:proofErr w:type="spellStart"/>
      <w:r w:rsidR="003D4A2B">
        <w:fldChar w:fldCharType="begin"/>
      </w:r>
      <w:r w:rsidR="003D4A2B">
        <w:instrText xml:space="preserve"> HYPERLINK "https://undocs.org/fr/CED/C/15/1" </w:instrText>
      </w:r>
      <w:r w:rsidR="003D4A2B">
        <w:fldChar w:fldCharType="separate"/>
      </w:r>
      <w:r w:rsidRPr="004A4977">
        <w:rPr>
          <w:rStyle w:val="Lienhypertexte"/>
        </w:rPr>
        <w:t>CED</w:t>
      </w:r>
      <w:proofErr w:type="spellEnd"/>
      <w:r w:rsidRPr="004A4977">
        <w:rPr>
          <w:rStyle w:val="Lienhypertexte"/>
        </w:rPr>
        <w:t>/C/15/1</w:t>
      </w:r>
      <w:r w:rsidR="003D4A2B">
        <w:rPr>
          <w:rStyle w:val="Lienhypertexte"/>
        </w:rPr>
        <w:fldChar w:fldCharType="end"/>
      </w:r>
      <w:r w:rsidRPr="003F0DDF">
        <w:t>) à sa 256</w:t>
      </w:r>
      <w:r w:rsidRPr="00F5490F">
        <w:rPr>
          <w:vertAlign w:val="superscript"/>
        </w:rPr>
        <w:t>e</w:t>
      </w:r>
      <w:r w:rsidR="00F5490F">
        <w:t> </w:t>
      </w:r>
      <w:r w:rsidRPr="003F0DDF">
        <w:t>séance. La quinzième session a été ouverte par le Chef du Service des traités relatifs aux droits de l’homme du Haut-Commissariat des Nations Unies aux droits de l’homme (</w:t>
      </w:r>
      <w:proofErr w:type="spellStart"/>
      <w:r w:rsidRPr="003F0DDF">
        <w:t>HCDH</w:t>
      </w:r>
      <w:proofErr w:type="spellEnd"/>
      <w:r w:rsidRPr="003F0DDF">
        <w:t>).</w:t>
      </w:r>
      <w:bookmarkStart w:id="12" w:name="_Hlk14448626"/>
      <w:bookmarkEnd w:id="12"/>
    </w:p>
    <w:p w:rsidR="003F0DDF" w:rsidRPr="003F0DDF" w:rsidRDefault="003F0DDF" w:rsidP="003F0DDF">
      <w:pPr>
        <w:pStyle w:val="SingleTxtG"/>
      </w:pPr>
      <w:r w:rsidRPr="003F0DDF">
        <w:t>4.</w:t>
      </w:r>
      <w:r w:rsidRPr="003F0DDF">
        <w:tab/>
        <w:t>Dans sa déclaration liminaire, le Chef du Service des traités relatifs aux droits de l’homme a salué la toute récente ratification de la Convention par la Gambie et dit combien il était important de promouvoir encore la ratification. La coopération entre le Comité et le Groupe de travail sur les disparitions forcées ou involontaires était essentielle</w:t>
      </w:r>
      <w:r w:rsidR="00F5490F">
        <w:t> </w:t>
      </w:r>
      <w:r w:rsidRPr="003F0DDF">
        <w:t xml:space="preserve">; elle devrait être consolidée à l’avenir. Citant le cas du journaliste saoudien Jamal </w:t>
      </w:r>
      <w:proofErr w:type="spellStart"/>
      <w:r w:rsidRPr="003F0DDF">
        <w:t>Khashoggi</w:t>
      </w:r>
      <w:proofErr w:type="spellEnd"/>
      <w:r w:rsidRPr="003F0DDF">
        <w:t>, il a rappelé que les enquêtes sur les disparitions forcées devraient toujours être rapides, approfondies, efficaces, impartiales et transparentes. Le Comité devrait renforcer la coordination avec les coordonnateurs et les rapporteurs chargés de la question des représailles au sein d’autres organes conventionnels, d’autres mécanismes des droits de l’homme et du Bureau du Sous-Secrétaire général aux droits de l’homme. Il a conclu en soulignant qu’il était crucial d’encourager les États à fournir des effectifs pour appuyer les travaux des organes conventionnels.</w:t>
      </w:r>
    </w:p>
    <w:p w:rsidR="003F0DDF" w:rsidRPr="003F0DDF" w:rsidRDefault="003F0DDF" w:rsidP="003F0DDF">
      <w:pPr>
        <w:pStyle w:val="SingleTxtG"/>
      </w:pPr>
      <w:r w:rsidRPr="003F0DDF">
        <w:t>5.</w:t>
      </w:r>
      <w:r w:rsidRPr="003F0DDF">
        <w:tab/>
        <w:t>Le Comité a tenu sa seizième session à l’Office des Nat</w:t>
      </w:r>
      <w:r w:rsidR="00F5490F">
        <w:t>ions Unies à Genève, du 8 au 18 </w:t>
      </w:r>
      <w:r w:rsidRPr="003F0DDF">
        <w:t>avril 2019. I</w:t>
      </w:r>
      <w:r w:rsidR="00F5490F">
        <w:t>l s’est réuni 18 </w:t>
      </w:r>
      <w:r w:rsidRPr="003F0DDF">
        <w:t>fois en séance plénière et a adopté l’ordr</w:t>
      </w:r>
      <w:r w:rsidR="00F5490F">
        <w:t>e du jour (</w:t>
      </w:r>
      <w:proofErr w:type="spellStart"/>
      <w:r w:rsidR="003D4A2B">
        <w:fldChar w:fldCharType="begin"/>
      </w:r>
      <w:r w:rsidR="003D4A2B">
        <w:instrText xml:space="preserve"> HYPERLINK "https://undocs.org/fr/CED/C/16/1" </w:instrText>
      </w:r>
      <w:r w:rsidR="003D4A2B">
        <w:fldChar w:fldCharType="separate"/>
      </w:r>
      <w:r w:rsidR="00F5490F" w:rsidRPr="004A4977">
        <w:rPr>
          <w:rStyle w:val="Lienhypertexte"/>
        </w:rPr>
        <w:t>CED</w:t>
      </w:r>
      <w:proofErr w:type="spellEnd"/>
      <w:r w:rsidR="00F5490F" w:rsidRPr="004A4977">
        <w:rPr>
          <w:rStyle w:val="Lienhypertexte"/>
        </w:rPr>
        <w:t>/C/16/1</w:t>
      </w:r>
      <w:r w:rsidR="003D4A2B">
        <w:rPr>
          <w:rStyle w:val="Lienhypertexte"/>
        </w:rPr>
        <w:fldChar w:fldCharType="end"/>
      </w:r>
      <w:r w:rsidR="00F5490F">
        <w:t>) à sa 276</w:t>
      </w:r>
      <w:r w:rsidR="00F5490F" w:rsidRPr="00F5490F">
        <w:rPr>
          <w:vertAlign w:val="superscript"/>
        </w:rPr>
        <w:t>e</w:t>
      </w:r>
      <w:r w:rsidR="00F5490F">
        <w:t> </w:t>
      </w:r>
      <w:r w:rsidRPr="003F0DDF">
        <w:t xml:space="preserve">séance. La seizième session a été ouverte par la Chef de la Section des droits civils, politiques, économiques, sociaux et culturels du Service des traités relatifs aux droits de l’homme du </w:t>
      </w:r>
      <w:proofErr w:type="spellStart"/>
      <w:r w:rsidRPr="003F0DDF">
        <w:t>HCDH</w:t>
      </w:r>
      <w:proofErr w:type="spellEnd"/>
      <w:r w:rsidRPr="003F0DDF">
        <w:t>.</w:t>
      </w:r>
    </w:p>
    <w:p w:rsidR="003F0DDF" w:rsidRPr="003F0DDF" w:rsidRDefault="003F0DDF" w:rsidP="003F0DDF">
      <w:pPr>
        <w:pStyle w:val="SingleTxtG"/>
      </w:pPr>
      <w:r w:rsidRPr="003F0DDF">
        <w:t>6.</w:t>
      </w:r>
      <w:r w:rsidRPr="003F0DDF">
        <w:tab/>
        <w:t>Dans sa déclaration liminaire, la Chef de la Section des droits civils, politiques, économiques, sociaux et culturels s’est référée à l’observation générale n</w:t>
      </w:r>
      <w:r w:rsidRPr="003F0DDF">
        <w:rPr>
          <w:vertAlign w:val="superscript"/>
        </w:rPr>
        <w:t>o</w:t>
      </w:r>
      <w:r w:rsidRPr="003F0DDF">
        <w:t> 36 (2018) du Comité des droits de l’homme sur le droit à la vie, dans laquelle le Comité note, entre autres, que les disparitions forcées mettent toujours le droit à la vie gravemen</w:t>
      </w:r>
      <w:r w:rsidR="00F5490F">
        <w:t>t en danger. Dans sa résolution </w:t>
      </w:r>
      <w:hyperlink r:id="rId22" w:history="1">
        <w:r w:rsidRPr="006005F0">
          <w:rPr>
            <w:rStyle w:val="Lienhypertexte"/>
          </w:rPr>
          <w:t>73/178</w:t>
        </w:r>
      </w:hyperlink>
      <w:r w:rsidRPr="003F0DDF">
        <w:t xml:space="preserve"> sur les personnes disparues, l’Assemblée générale a demandé à tous les États qui n’avaient pas encore signé ou ratifié la Convention, ou qui n’y avait pas encore adhéré, d’envisager de le faire et de reconnaître la compétence du Comité en application des articles 31 et 32 de la Convention. Le Mexique a fait un grand pas vers l’élimination des disparitions forcées en acceptant toutes les recommandations qu’il avait reçues sur la question au cours de l’Examen périodique universel. Pour conclure, elle a salué le travail accompli et les progrès réalisés en vue de l’adoption des principes directeurs concernant la recherche de personnes disparues.</w:t>
      </w:r>
    </w:p>
    <w:p w:rsidR="003F0DDF" w:rsidRPr="003F0DDF" w:rsidRDefault="00A84714" w:rsidP="00A84714">
      <w:pPr>
        <w:pStyle w:val="H1G"/>
      </w:pPr>
      <w:r>
        <w:lastRenderedPageBreak/>
        <w:tab/>
      </w:r>
      <w:r w:rsidR="003F0DDF" w:rsidRPr="003F0DDF">
        <w:t>C.</w:t>
      </w:r>
      <w:r w:rsidR="003F0DDF" w:rsidRPr="003F0DDF">
        <w:tab/>
        <w:t>Composition du Comité et participation</w:t>
      </w:r>
      <w:bookmarkStart w:id="13" w:name="_Toc326162634"/>
      <w:bookmarkStart w:id="14" w:name="_Toc326220749"/>
      <w:bookmarkStart w:id="15" w:name="_Toc460489531"/>
      <w:bookmarkStart w:id="16" w:name="_Toc522200456"/>
      <w:bookmarkEnd w:id="13"/>
      <w:bookmarkEnd w:id="14"/>
      <w:bookmarkEnd w:id="15"/>
      <w:bookmarkEnd w:id="16"/>
    </w:p>
    <w:p w:rsidR="003F0DDF" w:rsidRPr="003F0DDF" w:rsidRDefault="003F0DDF" w:rsidP="003F0DDF">
      <w:pPr>
        <w:pStyle w:val="SingleTxtG"/>
      </w:pPr>
      <w:r w:rsidRPr="003F0DDF">
        <w:t>7.</w:t>
      </w:r>
      <w:r w:rsidRPr="003F0DDF">
        <w:tab/>
        <w:t xml:space="preserve">Tous les membres du Comité ont participé aux quinzième et seizième sessions. La liste des membres actuels, avec mention de la durée de leur mandat, peut être consultée à l’adresse </w:t>
      </w:r>
      <w:hyperlink r:id="rId23" w:history="1">
        <w:r w:rsidRPr="009E5913">
          <w:rPr>
            <w:rStyle w:val="Lienhypertexte"/>
          </w:rPr>
          <w:t>www.ohchr.org/EN/HRBodies/CED/Pages/Membership.aspx</w:t>
        </w:r>
      </w:hyperlink>
      <w:r w:rsidRPr="003F0DDF">
        <w:t xml:space="preserve">. </w:t>
      </w:r>
    </w:p>
    <w:p w:rsidR="003F0DDF" w:rsidRPr="003F0DDF" w:rsidRDefault="009E5913" w:rsidP="009E5913">
      <w:pPr>
        <w:pStyle w:val="H1G"/>
      </w:pPr>
      <w:r>
        <w:tab/>
      </w:r>
      <w:r w:rsidR="003F0DDF" w:rsidRPr="003F0DDF">
        <w:t>D.</w:t>
      </w:r>
      <w:r w:rsidR="003F0DDF" w:rsidRPr="003F0DDF">
        <w:tab/>
        <w:t>Décisions du Comité</w:t>
      </w:r>
      <w:bookmarkStart w:id="17" w:name="_Toc326162639"/>
      <w:bookmarkStart w:id="18" w:name="_Toc326220754"/>
      <w:bookmarkStart w:id="19" w:name="_Toc460489532"/>
      <w:bookmarkStart w:id="20" w:name="_Toc522200457"/>
      <w:bookmarkStart w:id="21" w:name="_Toc326162635"/>
      <w:bookmarkStart w:id="22" w:name="_Toc326220750"/>
      <w:bookmarkEnd w:id="17"/>
      <w:bookmarkEnd w:id="18"/>
      <w:bookmarkEnd w:id="19"/>
      <w:bookmarkEnd w:id="20"/>
    </w:p>
    <w:p w:rsidR="003F0DDF" w:rsidRPr="003F0DDF" w:rsidRDefault="003F0DDF" w:rsidP="003F0DDF">
      <w:pPr>
        <w:pStyle w:val="SingleTxtG"/>
      </w:pPr>
      <w:r w:rsidRPr="003F0DDF">
        <w:t>8.</w:t>
      </w:r>
      <w:r w:rsidRPr="003F0DDF">
        <w:tab/>
        <w:t>À sa quinzième sessio</w:t>
      </w:r>
      <w:r w:rsidR="009E5913">
        <w:t>n, le Comité a notamment décidé </w:t>
      </w:r>
      <w:r w:rsidRPr="003F0DDF">
        <w:t>:</w:t>
      </w:r>
    </w:p>
    <w:p w:rsidR="003F0DDF" w:rsidRPr="003F0DDF" w:rsidRDefault="003F0DDF" w:rsidP="009E5913">
      <w:pPr>
        <w:pStyle w:val="SingleTxtG"/>
        <w:ind w:firstLine="567"/>
      </w:pPr>
      <w:r w:rsidRPr="003F0DDF">
        <w:t>a)</w:t>
      </w:r>
      <w:r w:rsidRPr="003F0DDF">
        <w:tab/>
        <w:t>De désigner des rapporteurs de pays chargés d’établir les listes de points concernant les rapports soumis par l’État plurinational de Bolivie et la Slovaquie en application du paragraphe 1 d</w:t>
      </w:r>
      <w:r w:rsidR="009E5913">
        <w:t>e l’article 29 de la Convention </w:t>
      </w:r>
      <w:r w:rsidRPr="003F0DDF">
        <w:t>;</w:t>
      </w:r>
    </w:p>
    <w:p w:rsidR="003F0DDF" w:rsidRPr="003F0DDF" w:rsidRDefault="003F0DDF" w:rsidP="009E5913">
      <w:pPr>
        <w:pStyle w:val="SingleTxtG"/>
        <w:ind w:firstLine="567"/>
      </w:pPr>
      <w:r w:rsidRPr="003F0DDF">
        <w:t>b)</w:t>
      </w:r>
      <w:r w:rsidRPr="003F0DDF">
        <w:tab/>
        <w:t>D’adopter les observations finales concernant les rapports soumis par le Japon et le Portugal en application du paragraphe 1 de l’artic</w:t>
      </w:r>
      <w:r w:rsidR="009E5913">
        <w:t>le 29 de la Convention </w:t>
      </w:r>
      <w:r w:rsidRPr="003F0DDF">
        <w:t>;</w:t>
      </w:r>
    </w:p>
    <w:p w:rsidR="003F0DDF" w:rsidRPr="003F0DDF" w:rsidRDefault="003F0DDF" w:rsidP="009E5913">
      <w:pPr>
        <w:pStyle w:val="SingleTxtG"/>
        <w:ind w:firstLine="567"/>
      </w:pPr>
      <w:r w:rsidRPr="003F0DDF">
        <w:t>c)</w:t>
      </w:r>
      <w:r w:rsidRPr="003F0DDF">
        <w:tab/>
        <w:t>D’adopter les observations du Comité concernant les renseignements complémentaires soumis par le Mexique en application du paragraphe 4 d</w:t>
      </w:r>
      <w:r w:rsidR="009E5913">
        <w:t>e l’article 29 de la Convention </w:t>
      </w:r>
      <w:r w:rsidRPr="003F0DDF">
        <w:t>;</w:t>
      </w:r>
    </w:p>
    <w:p w:rsidR="003F0DDF" w:rsidRPr="003F0DDF" w:rsidRDefault="003F0DDF" w:rsidP="009E5913">
      <w:pPr>
        <w:pStyle w:val="SingleTxtG"/>
        <w:ind w:firstLine="567"/>
      </w:pPr>
      <w:r w:rsidRPr="003F0DDF">
        <w:t>d)</w:t>
      </w:r>
      <w:r w:rsidRPr="003F0DDF">
        <w:tab/>
        <w:t>D’adopter les listes de points concernant les rapports soumis par le Chili, l’Italie et le Pérou en application du paragraphe 1 d</w:t>
      </w:r>
      <w:r w:rsidR="009E5913">
        <w:t>e l’article 29 de la Convention </w:t>
      </w:r>
      <w:r w:rsidRPr="003F0DDF">
        <w:t>;</w:t>
      </w:r>
    </w:p>
    <w:p w:rsidR="003F0DDF" w:rsidRPr="003F0DDF" w:rsidRDefault="003F0DDF" w:rsidP="009E5913">
      <w:pPr>
        <w:pStyle w:val="SingleTxtG"/>
        <w:ind w:firstLine="567"/>
      </w:pPr>
      <w:r w:rsidRPr="003F0DDF">
        <w:t>e)</w:t>
      </w:r>
      <w:r w:rsidRPr="003F0DDF">
        <w:tab/>
        <w:t>D’adopter le rapport sur le suivi des observations finales concernant les rapports soumis par la Bosnie-Herzégovine, la Colombie, Cuba, l’Équateur et le Sénégal en application du paragraphe 1 d</w:t>
      </w:r>
      <w:r w:rsidR="009E5913">
        <w:t>e l’article 29 de la Convention </w:t>
      </w:r>
      <w:r w:rsidRPr="003F0DDF">
        <w:t>;</w:t>
      </w:r>
    </w:p>
    <w:p w:rsidR="003F0DDF" w:rsidRPr="003F0DDF" w:rsidRDefault="003F0DDF" w:rsidP="009E5913">
      <w:pPr>
        <w:pStyle w:val="SingleTxtG"/>
        <w:ind w:firstLine="567"/>
      </w:pPr>
      <w:r w:rsidRPr="003F0DDF">
        <w:t>f)</w:t>
      </w:r>
      <w:r w:rsidRPr="003F0DDF">
        <w:tab/>
        <w:t>D’adopter un rapport de s</w:t>
      </w:r>
      <w:r w:rsidR="009E5913">
        <w:t>uivi sur les actions en urgence </w:t>
      </w:r>
      <w:r w:rsidRPr="003F0DDF">
        <w:t>;</w:t>
      </w:r>
    </w:p>
    <w:p w:rsidR="003F0DDF" w:rsidRPr="003F0DDF" w:rsidRDefault="003F0DDF" w:rsidP="009E5913">
      <w:pPr>
        <w:pStyle w:val="SingleTxtG"/>
        <w:ind w:firstLine="567"/>
      </w:pPr>
      <w:r w:rsidRPr="003F0DDF">
        <w:t>g)</w:t>
      </w:r>
      <w:r w:rsidRPr="003F0DDF">
        <w:tab/>
        <w:t>D’adopter une liste de points en l’absence du rapport devant être soumis par le Nigéria à sa seizième s</w:t>
      </w:r>
      <w:r w:rsidR="009E5913">
        <w:t>ession </w:t>
      </w:r>
      <w:r w:rsidRPr="003F0DDF">
        <w:t>;</w:t>
      </w:r>
    </w:p>
    <w:p w:rsidR="003F0DDF" w:rsidRPr="003F0DDF" w:rsidRDefault="003F0DDF" w:rsidP="009E5913">
      <w:pPr>
        <w:pStyle w:val="SingleTxtG"/>
        <w:ind w:firstLine="567"/>
      </w:pPr>
      <w:r w:rsidRPr="003F0DDF">
        <w:t>h)</w:t>
      </w:r>
      <w:r w:rsidRPr="003F0DDF">
        <w:tab/>
        <w:t>D’adresser au secrétariat de la Commission du droit international la déclaration relative au projet d’articles sur les crimes contre l’humanité qu’il avait a</w:t>
      </w:r>
      <w:r w:rsidR="009E5913">
        <w:t>doptée à sa quatorzième session </w:t>
      </w:r>
      <w:r w:rsidRPr="003F0DDF">
        <w:t>;</w:t>
      </w:r>
    </w:p>
    <w:p w:rsidR="003F0DDF" w:rsidRPr="003F0DDF" w:rsidRDefault="003F0DDF" w:rsidP="009E5913">
      <w:pPr>
        <w:pStyle w:val="SingleTxtG"/>
        <w:ind w:firstLine="567"/>
      </w:pPr>
      <w:r w:rsidRPr="003F0DDF">
        <w:t>i)</w:t>
      </w:r>
      <w:r w:rsidRPr="003F0DDF">
        <w:tab/>
        <w:t>De réaffirmer sa décision d’examiner en l’absence de rapport la situation des États parties dont le rapport était attendu depuis plus de cin</w:t>
      </w:r>
      <w:r w:rsidR="009E5913">
        <w:t>q ans (Brésil, Mali et Nigéria) </w:t>
      </w:r>
      <w:r w:rsidRPr="003F0DDF">
        <w:t>;</w:t>
      </w:r>
    </w:p>
    <w:p w:rsidR="003F0DDF" w:rsidRPr="003F0DDF" w:rsidRDefault="003F0DDF" w:rsidP="009E5913">
      <w:pPr>
        <w:pStyle w:val="SingleTxtG"/>
        <w:ind w:firstLine="567"/>
      </w:pPr>
      <w:r w:rsidRPr="003F0DDF">
        <w:t>j)</w:t>
      </w:r>
      <w:r w:rsidRPr="003F0DDF">
        <w:tab/>
        <w:t>D’engager un processus consultatif avec l’ensemble des parties prenantes intéressées sur le projet de principes directeurs concernant la r</w:t>
      </w:r>
      <w:r w:rsidR="009E5913">
        <w:t>echerche de personnes disparues </w:t>
      </w:r>
      <w:r w:rsidRPr="003F0DDF">
        <w:t>;</w:t>
      </w:r>
    </w:p>
    <w:p w:rsidR="003F0DDF" w:rsidRPr="003F0DDF" w:rsidRDefault="003F0DDF" w:rsidP="009E5913">
      <w:pPr>
        <w:pStyle w:val="SingleTxtG"/>
        <w:ind w:firstLine="567"/>
      </w:pPr>
      <w:r w:rsidRPr="003F0DDF">
        <w:t>k)</w:t>
      </w:r>
      <w:r w:rsidRPr="003F0DDF">
        <w:tab/>
        <w:t>D’adresser des lettres à tous les États qui avaient exprimé le souhait de ratifier la Convention au cours de l’Examen périod</w:t>
      </w:r>
      <w:r w:rsidR="009E5913">
        <w:t>ique universel en novembre 2018 </w:t>
      </w:r>
      <w:r w:rsidRPr="003F0DDF">
        <w:t>;</w:t>
      </w:r>
    </w:p>
    <w:p w:rsidR="003F0DDF" w:rsidRPr="003F0DDF" w:rsidRDefault="003F0DDF" w:rsidP="009E5913">
      <w:pPr>
        <w:pStyle w:val="SingleTxtG"/>
        <w:ind w:firstLine="567"/>
      </w:pPr>
      <w:r w:rsidRPr="003F0DDF">
        <w:t>l)</w:t>
      </w:r>
      <w:r w:rsidRPr="003F0DDF">
        <w:tab/>
        <w:t>De faire mention, dans son prochain rapport annuel à l’Assemblée générale, des États parties qui ne coopéraient pas à la procédure d’action en ur</w:t>
      </w:r>
      <w:r w:rsidR="009E5913">
        <w:t>gence au titre de la Convention </w:t>
      </w:r>
      <w:r w:rsidRPr="003F0DDF">
        <w:t>;</w:t>
      </w:r>
    </w:p>
    <w:p w:rsidR="003F0DDF" w:rsidRPr="003F0DDF" w:rsidRDefault="003F0DDF" w:rsidP="009E5913">
      <w:pPr>
        <w:pStyle w:val="SingleTxtG"/>
        <w:ind w:firstLine="567"/>
      </w:pPr>
      <w:r w:rsidRPr="003F0DDF">
        <w:t>m)</w:t>
      </w:r>
      <w:r w:rsidRPr="003F0DDF">
        <w:tab/>
        <w:t>D’adresser un rappel à l’Iraq afin qu’il soumette les renseignements complémentaires au titre du paragraphe 4 de l’article 29 de la Conven</w:t>
      </w:r>
      <w:r w:rsidR="009E5913">
        <w:t>tion attendus en septembre 2018 </w:t>
      </w:r>
      <w:r w:rsidRPr="003F0DDF">
        <w:t>;</w:t>
      </w:r>
      <w:bookmarkStart w:id="23" w:name="_Hlk14689660"/>
      <w:bookmarkEnd w:id="23"/>
    </w:p>
    <w:p w:rsidR="003F0DDF" w:rsidRPr="003F0DDF" w:rsidRDefault="003F0DDF" w:rsidP="009E5913">
      <w:pPr>
        <w:pStyle w:val="SingleTxtG"/>
        <w:ind w:firstLine="567"/>
      </w:pPr>
      <w:r w:rsidRPr="003F0DDF">
        <w:t>n)</w:t>
      </w:r>
      <w:r w:rsidRPr="003F0DDF">
        <w:tab/>
        <w:t>De demander à nouveau à l’ensemble des parties prenantes de promouvoir la ratification de la Convention, y compris dans le cadre de</w:t>
      </w:r>
      <w:r w:rsidR="00167899">
        <w:t xml:space="preserve"> la campagne lancée par le Haut</w:t>
      </w:r>
      <w:r w:rsidR="00167899">
        <w:noBreakHyphen/>
      </w:r>
      <w:r w:rsidRPr="003F0DDF">
        <w:t>Commissaire en 2017 en vue de doubler le nombre de ratifications sur une période de cinq ans ;</w:t>
      </w:r>
    </w:p>
    <w:p w:rsidR="003F0DDF" w:rsidRPr="003F0DDF" w:rsidRDefault="003F0DDF" w:rsidP="009E5913">
      <w:pPr>
        <w:pStyle w:val="SingleTxtG"/>
        <w:ind w:firstLine="567"/>
      </w:pPr>
      <w:r w:rsidRPr="003F0DDF">
        <w:t>o)</w:t>
      </w:r>
      <w:r w:rsidRPr="003F0DDF">
        <w:tab/>
        <w:t xml:space="preserve">D’adopter le rapport informel sur les </w:t>
      </w:r>
      <w:r w:rsidR="00167899">
        <w:t>travaux de sa quinzième session </w:t>
      </w:r>
      <w:r w:rsidRPr="003F0DDF">
        <w:t>;</w:t>
      </w:r>
    </w:p>
    <w:p w:rsidR="003F0DDF" w:rsidRPr="003F0DDF" w:rsidRDefault="003F0DDF" w:rsidP="009E5913">
      <w:pPr>
        <w:pStyle w:val="SingleTxtG"/>
        <w:ind w:firstLine="567"/>
      </w:pPr>
      <w:r w:rsidRPr="003F0DDF">
        <w:t>p)</w:t>
      </w:r>
      <w:r w:rsidRPr="003F0DDF">
        <w:tab/>
        <w:t>D’adopter la liste des points à inscrire à l’ordre du jour provisoire de sa seizième session.</w:t>
      </w:r>
    </w:p>
    <w:p w:rsidR="003F0DDF" w:rsidRPr="003F0DDF" w:rsidRDefault="003F0DDF" w:rsidP="003F0DDF">
      <w:pPr>
        <w:pStyle w:val="SingleTxtG"/>
      </w:pPr>
      <w:r w:rsidRPr="003F0DDF">
        <w:t>9.</w:t>
      </w:r>
      <w:r w:rsidRPr="003F0DDF">
        <w:tab/>
        <w:t>À sa seizième sessio</w:t>
      </w:r>
      <w:r w:rsidR="00167899">
        <w:t>n, le Comité a notamment décidé </w:t>
      </w:r>
      <w:r w:rsidRPr="003F0DDF">
        <w:t>:</w:t>
      </w:r>
    </w:p>
    <w:p w:rsidR="003F0DDF" w:rsidRPr="003F0DDF" w:rsidRDefault="003F0DDF" w:rsidP="00B95EA1">
      <w:pPr>
        <w:pStyle w:val="SingleTxtG"/>
        <w:ind w:firstLine="567"/>
      </w:pPr>
      <w:r w:rsidRPr="003F0DDF">
        <w:lastRenderedPageBreak/>
        <w:t>a)</w:t>
      </w:r>
      <w:r w:rsidRPr="003F0DDF">
        <w:tab/>
        <w:t xml:space="preserve">De désigner des rapporteurs de pays chargés d’établir les listes de points concernant les rapports soumis par la Mongolie et la Suisse en application du paragraphe 1 de l’article 29 de la Convention, ainsi qu’un nouveau rapporteur pour </w:t>
      </w:r>
      <w:r w:rsidR="00B95EA1">
        <w:t>l’État plurinational de Bolivie </w:t>
      </w:r>
      <w:r w:rsidRPr="003F0DDF">
        <w:t>;</w:t>
      </w:r>
    </w:p>
    <w:p w:rsidR="003F0DDF" w:rsidRPr="003F0DDF" w:rsidRDefault="003F0DDF" w:rsidP="00B95EA1">
      <w:pPr>
        <w:pStyle w:val="SingleTxtG"/>
        <w:ind w:firstLine="567"/>
      </w:pPr>
      <w:r w:rsidRPr="003F0DDF">
        <w:t>b)</w:t>
      </w:r>
      <w:r w:rsidRPr="003F0DDF">
        <w:tab/>
        <w:t>D’adopter les observations finales concernant les rapports soumis par le Chili, l’Italie et le Pérou en application du paragraphe 1 d</w:t>
      </w:r>
      <w:r w:rsidR="00B95EA1">
        <w:t>e l’article 29 de la Convention </w:t>
      </w:r>
      <w:r w:rsidRPr="003F0DDF">
        <w:t>;</w:t>
      </w:r>
    </w:p>
    <w:p w:rsidR="003F0DDF" w:rsidRPr="003F0DDF" w:rsidRDefault="003F0DDF" w:rsidP="00B95EA1">
      <w:pPr>
        <w:pStyle w:val="SingleTxtG"/>
        <w:ind w:firstLine="567"/>
      </w:pPr>
      <w:r w:rsidRPr="003F0DDF">
        <w:t>c)</w:t>
      </w:r>
      <w:r w:rsidRPr="003F0DDF">
        <w:tab/>
        <w:t>D’adopter les listes de points concernant les rapports soumis par l’État plurinati</w:t>
      </w:r>
      <w:r w:rsidR="00B95EA1">
        <w:t>onal de Bolivie et la Slovaquie </w:t>
      </w:r>
      <w:r w:rsidRPr="003F0DDF">
        <w:t>;</w:t>
      </w:r>
    </w:p>
    <w:p w:rsidR="003F0DDF" w:rsidRPr="003F0DDF" w:rsidRDefault="003F0DDF" w:rsidP="00B95EA1">
      <w:pPr>
        <w:pStyle w:val="SingleTxtG"/>
        <w:ind w:firstLine="567"/>
      </w:pPr>
      <w:r w:rsidRPr="003F0DDF">
        <w:t>d)</w:t>
      </w:r>
      <w:r w:rsidRPr="003F0DDF">
        <w:tab/>
        <w:t>D’adopter un rapport de s</w:t>
      </w:r>
      <w:r w:rsidR="00B95EA1">
        <w:t>uivi sur les actions en urgence </w:t>
      </w:r>
      <w:r w:rsidRPr="003F0DDF">
        <w:t>;</w:t>
      </w:r>
    </w:p>
    <w:p w:rsidR="003F0DDF" w:rsidRPr="003F0DDF" w:rsidRDefault="003F0DDF" w:rsidP="00B95EA1">
      <w:pPr>
        <w:pStyle w:val="SingleTxtG"/>
        <w:ind w:firstLine="567"/>
      </w:pPr>
      <w:r w:rsidRPr="003F0DDF">
        <w:t>e)</w:t>
      </w:r>
      <w:r w:rsidRPr="003F0DDF">
        <w:tab/>
        <w:t>De reporter à sa dix-septième session l’adoption d’une liste de points en l’absence du rapport deva</w:t>
      </w:r>
      <w:r w:rsidR="00B95EA1">
        <w:t>nt être soumis par le Nigéria </w:t>
      </w:r>
      <w:r w:rsidRPr="003F0DDF">
        <w:t>;</w:t>
      </w:r>
    </w:p>
    <w:p w:rsidR="003F0DDF" w:rsidRPr="003F0DDF" w:rsidRDefault="003F0DDF" w:rsidP="00B95EA1">
      <w:pPr>
        <w:pStyle w:val="SingleTxtG"/>
        <w:ind w:firstLine="567"/>
      </w:pPr>
      <w:r w:rsidRPr="003F0DDF">
        <w:t>f)</w:t>
      </w:r>
      <w:r w:rsidRPr="003F0DDF">
        <w:tab/>
        <w:t>De demander au secrétariat d’adresser aux Missions permanentes du Brésil et du Mali auprès de l’Office des Nations Unies et des autres organisations internationales à Genève des notes verbales par lesquelles il les prierait de soumettre leurs rapports en retard en 2019 et leur rappellerait que, pour les rapports attendus depuis plus de cinq ans, le Comité procède à l’adoption de listes des</w:t>
      </w:r>
      <w:r w:rsidR="00B95EA1">
        <w:t xml:space="preserve"> points en l’absence de rapport </w:t>
      </w:r>
      <w:r w:rsidRPr="003F0DDF">
        <w:t>;</w:t>
      </w:r>
    </w:p>
    <w:p w:rsidR="003F0DDF" w:rsidRPr="003F0DDF" w:rsidRDefault="003F0DDF" w:rsidP="00B95EA1">
      <w:pPr>
        <w:pStyle w:val="SingleTxtG"/>
        <w:ind w:firstLine="567"/>
      </w:pPr>
      <w:r w:rsidRPr="003F0DDF">
        <w:t>g)</w:t>
      </w:r>
      <w:r w:rsidRPr="003F0DDF">
        <w:tab/>
        <w:t>D’adresser un rappel à l’Iraq afin qu’il soumette dès que possible les renseignements complémentaires au titre du paragraphe 4 de l’article 29 de la Convention q</w:t>
      </w:r>
      <w:r w:rsidR="00B95EA1">
        <w:t>u’il aurait déjà dû communiquer </w:t>
      </w:r>
      <w:r w:rsidRPr="003F0DDF">
        <w:t>;</w:t>
      </w:r>
      <w:bookmarkStart w:id="24" w:name="_Hlk14697997"/>
      <w:bookmarkEnd w:id="24"/>
    </w:p>
    <w:p w:rsidR="003F0DDF" w:rsidRPr="003F0DDF" w:rsidRDefault="003F0DDF" w:rsidP="00B95EA1">
      <w:pPr>
        <w:pStyle w:val="SingleTxtG"/>
        <w:ind w:firstLine="567"/>
      </w:pPr>
      <w:r w:rsidRPr="003F0DDF">
        <w:t>h)</w:t>
      </w:r>
      <w:r w:rsidRPr="003F0DDF">
        <w:tab/>
        <w:t>D’adopter les principes directeurs concernant la r</w:t>
      </w:r>
      <w:r w:rsidR="00B95EA1">
        <w:t>echerche de personnes disparues </w:t>
      </w:r>
      <w:r w:rsidRPr="003F0DDF">
        <w:t>;</w:t>
      </w:r>
    </w:p>
    <w:p w:rsidR="003F0DDF" w:rsidRPr="003F0DDF" w:rsidRDefault="003F0DDF" w:rsidP="00B95EA1">
      <w:pPr>
        <w:pStyle w:val="SingleTxtG"/>
        <w:ind w:firstLine="567"/>
      </w:pPr>
      <w:r w:rsidRPr="003F0DDF">
        <w:t>i)</w:t>
      </w:r>
      <w:r w:rsidRPr="003F0DDF">
        <w:tab/>
        <w:t>D’adopter des directives sur l’adoption de listes de</w:t>
      </w:r>
      <w:r w:rsidR="00B95EA1">
        <w:t xml:space="preserve"> points en l’absence de rapport </w:t>
      </w:r>
      <w:r w:rsidRPr="003F0DDF">
        <w:t>;</w:t>
      </w:r>
    </w:p>
    <w:p w:rsidR="003F0DDF" w:rsidRPr="003F0DDF" w:rsidRDefault="003F0DDF" w:rsidP="00B95EA1">
      <w:pPr>
        <w:pStyle w:val="SingleTxtG"/>
        <w:ind w:firstLine="567"/>
      </w:pPr>
      <w:r w:rsidRPr="003F0DDF">
        <w:t>j)</w:t>
      </w:r>
      <w:r w:rsidRPr="003F0DDF">
        <w:tab/>
      </w:r>
      <w:r w:rsidRPr="00B95EA1">
        <w:rPr>
          <w:spacing w:val="-2"/>
        </w:rPr>
        <w:t>De demander au secrétariat de continuer à étudier, avec les Missions permanentes de l’Argentine et de la France auprès de l’Organisation des Nations Unies à New York, la possibilité d’organiser un dialogue de fond sur l’application de la Convention au cours de la cinquième réunion des États parties, qu</w:t>
      </w:r>
      <w:r w:rsidR="00B95EA1" w:rsidRPr="00B95EA1">
        <w:rPr>
          <w:spacing w:val="-2"/>
        </w:rPr>
        <w:t>i se tiendrait à New York le 25 juin 2019 </w:t>
      </w:r>
      <w:r w:rsidRPr="003F0DDF">
        <w:t>;</w:t>
      </w:r>
    </w:p>
    <w:p w:rsidR="003F0DDF" w:rsidRPr="003F0DDF" w:rsidRDefault="003F0DDF" w:rsidP="00B95EA1">
      <w:pPr>
        <w:pStyle w:val="SingleTxtG"/>
        <w:ind w:firstLine="567"/>
      </w:pPr>
      <w:r w:rsidRPr="003F0DDF">
        <w:t>k)</w:t>
      </w:r>
      <w:r w:rsidRPr="003F0DDF">
        <w:tab/>
        <w:t>De communiquer la position du Comité concernant l’examen du système des organes conventionnels de 2020 au cours de la prochaine réunion des présidents des organes conventionnels, ainsi qu’à la Haute-Co</w:t>
      </w:r>
      <w:r w:rsidR="00B95EA1">
        <w:t>mmissaire aux droits de l’homme </w:t>
      </w:r>
      <w:r w:rsidRPr="003F0DDF">
        <w:t>;</w:t>
      </w:r>
    </w:p>
    <w:p w:rsidR="003F0DDF" w:rsidRPr="003F0DDF" w:rsidRDefault="003F0DDF" w:rsidP="00B95EA1">
      <w:pPr>
        <w:pStyle w:val="SingleTxtG"/>
        <w:ind w:firstLine="567"/>
      </w:pPr>
      <w:r w:rsidRPr="003F0DDF">
        <w:t>l)</w:t>
      </w:r>
      <w:r w:rsidRPr="003F0DDF">
        <w:tab/>
        <w:t xml:space="preserve">De prier le Secrétaire général de rendre compte, dans son prochain rapport sur la mise en œuvre de la résolution </w:t>
      </w:r>
      <w:hyperlink r:id="rId24" w:history="1">
        <w:r w:rsidRPr="00B95EA1">
          <w:rPr>
            <w:rStyle w:val="Lienhypertexte"/>
          </w:rPr>
          <w:t>68/268</w:t>
        </w:r>
      </w:hyperlink>
      <w:r w:rsidRPr="003F0DDF">
        <w:t xml:space="preserve"> de l’Assemblée générale, de toutes les activités du Comité dont la résolution ne faisait pas mention, y compris les actions en urgence, les activités relatives à la procédure de traitement des renseignements complémentaires soumis par les États parties en application du paragraphe 4 de l’article 29 de la Convention, et les visites effectuées en application de l’article 33 de la Convention</w:t>
      </w:r>
      <w:r w:rsidR="00356E1A">
        <w:t> </w:t>
      </w:r>
      <w:r w:rsidRPr="003F0DDF">
        <w:t>;</w:t>
      </w:r>
    </w:p>
    <w:p w:rsidR="003F0DDF" w:rsidRPr="003F0DDF" w:rsidRDefault="003F0DDF" w:rsidP="00B95EA1">
      <w:pPr>
        <w:pStyle w:val="SingleTxtG"/>
        <w:ind w:firstLine="567"/>
      </w:pPr>
      <w:r w:rsidRPr="003F0DDF">
        <w:t>m)</w:t>
      </w:r>
      <w:r w:rsidRPr="003F0DDF">
        <w:tab/>
        <w:t xml:space="preserve">De prier à nouveau le </w:t>
      </w:r>
      <w:proofErr w:type="spellStart"/>
      <w:r w:rsidRPr="003F0DDF">
        <w:t>HCDH</w:t>
      </w:r>
      <w:proofErr w:type="spellEnd"/>
      <w:r w:rsidRPr="003F0DDF">
        <w:t xml:space="preserve"> d’exploiter la cinquième semaine de temps de réunion que l’Assemblée gé</w:t>
      </w:r>
      <w:r w:rsidR="00356E1A">
        <w:t>nérale avait accordée au Comité </w:t>
      </w:r>
      <w:r w:rsidRPr="003F0DDF">
        <w:t>;</w:t>
      </w:r>
    </w:p>
    <w:p w:rsidR="003F0DDF" w:rsidRPr="003F0DDF" w:rsidRDefault="003F0DDF" w:rsidP="00B95EA1">
      <w:pPr>
        <w:pStyle w:val="SingleTxtG"/>
        <w:ind w:firstLine="567"/>
      </w:pPr>
      <w:r w:rsidRPr="003F0DDF">
        <w:t>n)</w:t>
      </w:r>
      <w:r w:rsidRPr="003F0DDF">
        <w:tab/>
        <w:t>De réaffirmer sa décision de tenir des réunions régulières avec le Groupe de travail sur les disparitions forcées o</w:t>
      </w:r>
      <w:r w:rsidR="00356E1A">
        <w:t>u involontaires </w:t>
      </w:r>
      <w:r w:rsidRPr="003F0DDF">
        <w:t>;</w:t>
      </w:r>
    </w:p>
    <w:p w:rsidR="003F0DDF" w:rsidRPr="003F0DDF" w:rsidRDefault="003F0DDF" w:rsidP="00B95EA1">
      <w:pPr>
        <w:pStyle w:val="SingleTxtG"/>
        <w:ind w:firstLine="567"/>
      </w:pPr>
      <w:r w:rsidRPr="003F0DDF">
        <w:t>o)</w:t>
      </w:r>
      <w:r w:rsidRPr="003F0DDF">
        <w:tab/>
        <w:t xml:space="preserve">De demander au </w:t>
      </w:r>
      <w:proofErr w:type="spellStart"/>
      <w:r w:rsidRPr="003F0DDF">
        <w:t>HCDH</w:t>
      </w:r>
      <w:proofErr w:type="spellEnd"/>
      <w:r w:rsidRPr="003F0DDF">
        <w:t xml:space="preserve"> de mettre à jour la fiche d’information sur les dispar</w:t>
      </w:r>
      <w:r w:rsidR="00356E1A">
        <w:t>itions forcées ou involontaires </w:t>
      </w:r>
      <w:r w:rsidRPr="003F0DDF">
        <w:t>;</w:t>
      </w:r>
    </w:p>
    <w:p w:rsidR="003F0DDF" w:rsidRPr="003F0DDF" w:rsidRDefault="003F0DDF" w:rsidP="00B95EA1">
      <w:pPr>
        <w:pStyle w:val="SingleTxtG"/>
        <w:ind w:firstLine="567"/>
      </w:pPr>
      <w:r w:rsidRPr="003F0DDF">
        <w:t>p)</w:t>
      </w:r>
      <w:r w:rsidRPr="003F0DDF">
        <w:tab/>
        <w:t>D’adresser à la Mission permanente de l’Argentine une note verbale concernant sa procéd</w:t>
      </w:r>
      <w:r w:rsidR="00356E1A">
        <w:t>ure de suivi des communications </w:t>
      </w:r>
      <w:r w:rsidRPr="003F0DDF">
        <w:t>;</w:t>
      </w:r>
    </w:p>
    <w:p w:rsidR="003F0DDF" w:rsidRPr="003F0DDF" w:rsidRDefault="003F0DDF" w:rsidP="00B95EA1">
      <w:pPr>
        <w:pStyle w:val="SingleTxtG"/>
        <w:ind w:firstLine="567"/>
      </w:pPr>
      <w:r w:rsidRPr="003F0DDF">
        <w:t>q)</w:t>
      </w:r>
      <w:r w:rsidRPr="003F0DDF">
        <w:tab/>
        <w:t>D’adresser à la Mission permanente du Mexique une note verbale réitérant sa demande de visite au titre d</w:t>
      </w:r>
      <w:r w:rsidR="00356E1A">
        <w:t>e l’article 33 de la Convention </w:t>
      </w:r>
      <w:r w:rsidRPr="003F0DDF">
        <w:t>;</w:t>
      </w:r>
    </w:p>
    <w:p w:rsidR="003F0DDF" w:rsidRPr="003F0DDF" w:rsidRDefault="003F0DDF" w:rsidP="00B95EA1">
      <w:pPr>
        <w:pStyle w:val="SingleTxtG"/>
        <w:ind w:firstLine="567"/>
      </w:pPr>
      <w:r w:rsidRPr="003F0DDF">
        <w:t>r)</w:t>
      </w:r>
      <w:r w:rsidRPr="003F0DDF">
        <w:tab/>
        <w:t xml:space="preserve">D’adopter le rapport annuel qu’il devait soumettre à l’Assemblée générale à </w:t>
      </w:r>
      <w:r w:rsidR="00356E1A">
        <w:t>sa soixante-quatorzième session </w:t>
      </w:r>
      <w:r w:rsidRPr="003F0DDF">
        <w:t>;</w:t>
      </w:r>
    </w:p>
    <w:p w:rsidR="003F0DDF" w:rsidRPr="003F0DDF" w:rsidRDefault="003F0DDF" w:rsidP="00B95EA1">
      <w:pPr>
        <w:pStyle w:val="SingleTxtG"/>
        <w:ind w:firstLine="567"/>
      </w:pPr>
      <w:r w:rsidRPr="003F0DDF">
        <w:t>s)</w:t>
      </w:r>
      <w:r w:rsidRPr="003F0DDF">
        <w:tab/>
        <w:t>D’adopter la liste des points à inscrire à l’ordre du jour provisoire de sa dix-septième session.</w:t>
      </w:r>
    </w:p>
    <w:p w:rsidR="003F0DDF" w:rsidRPr="003F0DDF" w:rsidRDefault="00356E1A" w:rsidP="00356E1A">
      <w:pPr>
        <w:pStyle w:val="H1G"/>
      </w:pPr>
      <w:bookmarkStart w:id="25" w:name="_Toc326162644"/>
      <w:bookmarkStart w:id="26" w:name="_Toc326220759"/>
      <w:bookmarkEnd w:id="21"/>
      <w:bookmarkEnd w:id="22"/>
      <w:r>
        <w:lastRenderedPageBreak/>
        <w:tab/>
      </w:r>
      <w:r w:rsidR="003F0DDF" w:rsidRPr="003F0DDF">
        <w:t>E.</w:t>
      </w:r>
      <w:r w:rsidR="003F0DDF" w:rsidRPr="003F0DDF">
        <w:tab/>
        <w:t>Adoption du rapport annuel</w:t>
      </w:r>
      <w:bookmarkStart w:id="27" w:name="_Toc460489533"/>
      <w:bookmarkStart w:id="28" w:name="_Toc522200458"/>
      <w:bookmarkEnd w:id="25"/>
      <w:bookmarkEnd w:id="26"/>
      <w:bookmarkEnd w:id="27"/>
      <w:bookmarkEnd w:id="28"/>
    </w:p>
    <w:p w:rsidR="000A0ECE" w:rsidRDefault="003F0DDF" w:rsidP="003F0DDF">
      <w:pPr>
        <w:pStyle w:val="SingleTxtG"/>
      </w:pPr>
      <w:r w:rsidRPr="003F0DDF">
        <w:t>10.</w:t>
      </w:r>
      <w:r w:rsidRPr="003F0DDF">
        <w:tab/>
        <w:t>À la fin de sa seizième session, en application du paragraphe 1 de l’article 36 de la Convention, le Comité a adopté son huitième rapport à l’Assemblée générale, qui porte sur les travaux de ses quinzième et seizième sessions.</w:t>
      </w:r>
    </w:p>
    <w:p w:rsidR="000A0ECE" w:rsidRPr="000A0ECE" w:rsidRDefault="000A0ECE" w:rsidP="009B3061">
      <w:pPr>
        <w:pStyle w:val="HChG"/>
      </w:pPr>
      <w:r>
        <w:br w:type="page"/>
      </w:r>
      <w:r w:rsidR="009B3061">
        <w:lastRenderedPageBreak/>
        <w:tab/>
      </w:r>
      <w:r w:rsidR="009B3061">
        <w:tab/>
      </w:r>
      <w:r w:rsidRPr="000A0ECE">
        <w:t xml:space="preserve">Chapitre II </w:t>
      </w:r>
      <w:r w:rsidR="009B3061">
        <w:br/>
      </w:r>
      <w:r w:rsidRPr="000A0ECE">
        <w:t>Méthodes de travail</w:t>
      </w:r>
      <w:bookmarkStart w:id="29" w:name="_Toc326162645"/>
      <w:bookmarkStart w:id="30" w:name="_Toc326220760"/>
      <w:bookmarkStart w:id="31" w:name="_Toc460489535"/>
      <w:bookmarkStart w:id="32" w:name="_Toc522200459"/>
      <w:bookmarkEnd w:id="29"/>
      <w:bookmarkEnd w:id="30"/>
      <w:bookmarkEnd w:id="31"/>
      <w:bookmarkEnd w:id="32"/>
    </w:p>
    <w:p w:rsidR="000A0ECE" w:rsidRPr="000A0ECE" w:rsidRDefault="000A0ECE" w:rsidP="000A0ECE">
      <w:pPr>
        <w:pStyle w:val="SingleTxtG"/>
      </w:pPr>
      <w:r w:rsidRPr="000A0ECE">
        <w:t>11.</w:t>
      </w:r>
      <w:r w:rsidRPr="000A0ECE">
        <w:tab/>
        <w:t>Au cours de ses quinzième et seizième sessions, le Comité a utilisé l’anglais, l’espagnol et le français comme langues de travail.</w:t>
      </w:r>
    </w:p>
    <w:p w:rsidR="000A0ECE" w:rsidRPr="000A0ECE" w:rsidRDefault="000A0ECE" w:rsidP="000A0ECE">
      <w:pPr>
        <w:pStyle w:val="SingleTxtG"/>
      </w:pPr>
      <w:r w:rsidRPr="000A0ECE">
        <w:t>12.</w:t>
      </w:r>
      <w:r w:rsidRPr="000A0ECE">
        <w:tab/>
        <w:t xml:space="preserve">À ses quinzième et seizième sessions, le Comité a </w:t>
      </w:r>
      <w:r w:rsidR="009B3061">
        <w:t>examiné les questions suivantes </w:t>
      </w:r>
      <w:r w:rsidRPr="000A0ECE">
        <w:t>:</w:t>
      </w:r>
    </w:p>
    <w:p w:rsidR="000A0ECE" w:rsidRPr="000A0ECE" w:rsidRDefault="000A0ECE" w:rsidP="009B3061">
      <w:pPr>
        <w:pStyle w:val="SingleTxtG"/>
        <w:ind w:firstLine="567"/>
      </w:pPr>
      <w:r w:rsidRPr="000A0ECE">
        <w:t>a)</w:t>
      </w:r>
      <w:r w:rsidRPr="000A0ECE">
        <w:tab/>
        <w:t>Méthodes de travail relatives aux ar</w:t>
      </w:r>
      <w:r w:rsidR="009B3061">
        <w:t>ticles 29 à 34 de la Convention </w:t>
      </w:r>
      <w:r w:rsidRPr="000A0ECE">
        <w:t>;</w:t>
      </w:r>
    </w:p>
    <w:p w:rsidR="000A0ECE" w:rsidRPr="000A0ECE" w:rsidRDefault="000A0ECE" w:rsidP="009B3061">
      <w:pPr>
        <w:pStyle w:val="SingleTxtG"/>
        <w:ind w:firstLine="567"/>
      </w:pPr>
      <w:r w:rsidRPr="000A0ECE">
        <w:t>b)</w:t>
      </w:r>
      <w:r w:rsidRPr="000A0ECE">
        <w:tab/>
        <w:t>Stratégie visant à inciter un plus grand nombre de pays à rati</w:t>
      </w:r>
      <w:r w:rsidR="009B3061">
        <w:t>fier la Convention </w:t>
      </w:r>
      <w:r w:rsidRPr="000A0ECE">
        <w:t>;</w:t>
      </w:r>
    </w:p>
    <w:p w:rsidR="000A0ECE" w:rsidRPr="000A0ECE" w:rsidRDefault="000A0ECE" w:rsidP="009B3061">
      <w:pPr>
        <w:pStyle w:val="SingleTxtG"/>
        <w:ind w:firstLine="567"/>
      </w:pPr>
      <w:r w:rsidRPr="000A0ECE">
        <w:t>c</w:t>
      </w:r>
      <w:r w:rsidR="009B3061">
        <w:t>)</w:t>
      </w:r>
      <w:r w:rsidR="009B3061">
        <w:tab/>
        <w:t>Ressources allouées au Comité </w:t>
      </w:r>
      <w:r w:rsidRPr="000A0ECE">
        <w:t>;</w:t>
      </w:r>
    </w:p>
    <w:p w:rsidR="000A0ECE" w:rsidRDefault="000A0ECE" w:rsidP="009B3061">
      <w:pPr>
        <w:pStyle w:val="SingleTxtG"/>
        <w:ind w:firstLine="567"/>
      </w:pPr>
      <w:r w:rsidRPr="000A0ECE">
        <w:t>d)</w:t>
      </w:r>
      <w:r w:rsidRPr="000A0ECE">
        <w:tab/>
        <w:t>Questions diverses.</w:t>
      </w:r>
    </w:p>
    <w:p w:rsidR="000A0ECE" w:rsidRPr="000A0ECE" w:rsidRDefault="000A0ECE" w:rsidP="0039625F">
      <w:pPr>
        <w:pStyle w:val="HChG"/>
      </w:pPr>
      <w:r>
        <w:br w:type="page"/>
      </w:r>
      <w:r w:rsidR="0039625F">
        <w:lastRenderedPageBreak/>
        <w:tab/>
      </w:r>
      <w:r w:rsidR="0039625F">
        <w:tab/>
      </w:r>
      <w:r w:rsidRPr="000A0ECE">
        <w:t xml:space="preserve">Chapitre III </w:t>
      </w:r>
      <w:r w:rsidR="0039625F">
        <w:br/>
      </w:r>
      <w:r w:rsidRPr="000A0ECE">
        <w:t>Relations avec les parties prenantes</w:t>
      </w:r>
      <w:bookmarkStart w:id="33" w:name="_Toc460489537"/>
      <w:bookmarkStart w:id="34" w:name="_Toc522200460"/>
      <w:bookmarkEnd w:id="33"/>
      <w:bookmarkEnd w:id="34"/>
    </w:p>
    <w:p w:rsidR="000A0ECE" w:rsidRPr="000A0ECE" w:rsidRDefault="0039625F" w:rsidP="0039625F">
      <w:pPr>
        <w:pStyle w:val="H1G"/>
      </w:pPr>
      <w:bookmarkStart w:id="35" w:name="_Toc326162650"/>
      <w:bookmarkStart w:id="36" w:name="_Toc326220765"/>
      <w:r>
        <w:tab/>
      </w:r>
      <w:r w:rsidR="000A0ECE" w:rsidRPr="000A0ECE">
        <w:t>A.</w:t>
      </w:r>
      <w:r w:rsidR="000A0ECE" w:rsidRPr="000A0ECE">
        <w:tab/>
        <w:t>Réunions avec les États Membres</w:t>
      </w:r>
      <w:bookmarkStart w:id="37" w:name="_Toc460489538"/>
      <w:bookmarkStart w:id="38" w:name="_Toc522200461"/>
      <w:bookmarkEnd w:id="35"/>
      <w:bookmarkEnd w:id="36"/>
      <w:bookmarkEnd w:id="37"/>
      <w:bookmarkEnd w:id="38"/>
    </w:p>
    <w:p w:rsidR="000A0ECE" w:rsidRPr="000A0ECE" w:rsidRDefault="0039625F" w:rsidP="000A0ECE">
      <w:pPr>
        <w:pStyle w:val="SingleTxtG"/>
      </w:pPr>
      <w:r>
        <w:t>13.</w:t>
      </w:r>
      <w:r>
        <w:tab/>
        <w:t>Le 13 </w:t>
      </w:r>
      <w:r w:rsidR="000A0ECE" w:rsidRPr="000A0ECE">
        <w:t>novembre 2018, le Comité a tenu une réunion publique avec les États Membr</w:t>
      </w:r>
      <w:r>
        <w:t>es, à laquelle ont participé 23 États </w:t>
      </w:r>
      <w:r w:rsidR="000A0ECE" w:rsidRPr="000A0ECE">
        <w:t xml:space="preserve">: Albanie, Allemagne, Argentine, Autriche, Belgique, Chili, Colombie, Chypre, France, Iraq, Japon, Liban, Maroc, Mexique, Nicaragua, Norvège, Oman, Philippines, Qatar, République </w:t>
      </w:r>
      <w:r>
        <w:t>démocratique populaire lao, Sri </w:t>
      </w:r>
      <w:r w:rsidR="000A0ECE" w:rsidRPr="000A0ECE">
        <w:t>Lanka, Togo et Uruguay. Au cours de la séance, l’Argentine, la France, le Japon et le Mexique ont réaffirmé l’attachement de leur pays aux travaux du Comité et à l’objectif de doublement du nombre de ratifications de la Convention sur une période de cinq ans. L’Argentine a fait observer que le groupe d’amis de la Convention était coprésidé par l’Argentine et la France et a annoncé que la campagne du groupe en faveur de la ratification de la Convention avait été relancée en juin 2018 avec la distribution à tous les États non parties d’une note signée par les Ministres des affaires étrangères de l’Argentine et de la France. Le Japon s’est félicité des travaux du Comité et a réaffirmé s’efforcer en permanence de contribuer à l’augmentation du nombre d’États parties à la Convention parmi les pays d’Asie. La France, le Japon et le Mexique ont posé des questions sur la procédure de suivi et les travaux du Comité relatifs aux débats thématiques sur la recherche et la localisation des personnes disparues et sur le pr</w:t>
      </w:r>
      <w:r>
        <w:t>ojet de principes directeurs </w:t>
      </w:r>
      <w:r w:rsidR="000A0ECE" w:rsidRPr="000A0ECE">
        <w:t xml:space="preserve">; le Comité a répondu à ces questions. Le Comité a fait part de son intention d’adresser des lettres à tous les États ayant accepté les recommandations les invitant à ratifier la Convention au cours du dernier Examen périodique universel. Il a également souligné l’importance de nouer de larges partenariats visant à promouvoir la ratification de la Convention. </w:t>
      </w:r>
    </w:p>
    <w:p w:rsidR="000A0ECE" w:rsidRPr="000A0ECE" w:rsidRDefault="0039625F" w:rsidP="000A0ECE">
      <w:pPr>
        <w:pStyle w:val="SingleTxtG"/>
      </w:pPr>
      <w:r>
        <w:t>14.</w:t>
      </w:r>
      <w:r>
        <w:tab/>
        <w:t>Le 15 </w:t>
      </w:r>
      <w:r w:rsidR="000A0ECE" w:rsidRPr="000A0ECE">
        <w:t>avril 2019, le Comité a tenu avec les États Membres une réunion publique à laquelle ont participé les représen</w:t>
      </w:r>
      <w:r>
        <w:t>tants de 37 </w:t>
      </w:r>
      <w:r w:rsidR="000A0ECE" w:rsidRPr="000A0ECE">
        <w:t>États. L’Argentine, le Chili, la France, le Gabon, l’Iraq, le Japon, le Mexique, la Mongolie, le Pérou et la Suisse y ont fait des déclarations. De nombreuses délégations ont salué les travaux du Comité et souligné leur importance. Le Chili, la France, le Gabon et le Pérou ont évoqué l’utilité d’une meilleure harmonisation de la jurisprudence des divers organes conventionnels et la nécessité d’améliorer la collaboration entre eux. Le Gabon a déclaré qu’une harmonisation accrue pourrait aider les États à aligner leur législation nationale sur les diverses conventions. Le Japon a souligné qu’il était essentiel que le Comité examine attentivement les rapports des États parties et a encouragé d’autres États à envisager de promouvoir davantage la Convention, notamment par des efforts de financement. La Suisse a demandé un complément d’information sur l’examen de la situation des États parties qui n’avaient pas soumis de rapport. Le Mexique a demandé des informations sur le calendrier fixé pour l’adoption de la version finale des principes directeurs concernant la recherche de personnes disparues et sur les modalités de leur diffusion prochaine. Le Mexique a également demandé que les données relatives aux actions en urgence fassent l’objet d’une mise à jour plus rigoureuse, d’un examen attentif de la part du Comité et de rapports de suivi sur leur état d’avancement. Le Président a réaffirmé l’engagement du Comité à coopérer avec d’autres organes conventionnels, exposé les critères d’examen de la situation dans les États parties qui n’avaient pas soumis de rapport et exprimé l’intention du Comité d’adopter les principes directeurs concernant la recherche de personnes disparues à la session en cours. Les États Membres et les membres du Comité ont insisté sur la nécessité d’une visibilité accrue et d’une ratification plus large de la Convention.</w:t>
      </w:r>
    </w:p>
    <w:p w:rsidR="000A0ECE" w:rsidRPr="000A0ECE" w:rsidRDefault="0039625F" w:rsidP="0039625F">
      <w:pPr>
        <w:pStyle w:val="H1G"/>
      </w:pPr>
      <w:bookmarkStart w:id="39" w:name="_Toc460489541"/>
      <w:bookmarkStart w:id="40" w:name="_Toc522200463"/>
      <w:r>
        <w:tab/>
      </w:r>
      <w:r w:rsidR="000A0ECE" w:rsidRPr="000A0ECE">
        <w:t>B.</w:t>
      </w:r>
      <w:r w:rsidR="000A0ECE" w:rsidRPr="000A0ECE">
        <w:tab/>
        <w:t>Réunion avec les institutions nationales des droits de l’homme</w:t>
      </w:r>
      <w:bookmarkEnd w:id="39"/>
      <w:bookmarkEnd w:id="40"/>
    </w:p>
    <w:p w:rsidR="000A0ECE" w:rsidRPr="000A0ECE" w:rsidRDefault="00C9089E" w:rsidP="000A0ECE">
      <w:pPr>
        <w:pStyle w:val="SingleTxtG"/>
      </w:pPr>
      <w:r>
        <w:t>15.</w:t>
      </w:r>
      <w:r>
        <w:tab/>
        <w:t>Le 13 </w:t>
      </w:r>
      <w:r w:rsidR="000A0ECE" w:rsidRPr="000A0ECE">
        <w:t xml:space="preserve">novembre 2018, le Comité a tenu une réunion publique avec l’Alliance globale des institutions nationales des droits de l’homme. La représentante de l’Alliance à Genève a souligné combien il importait que le Comité et les institutions nationales des droits de l’homme travaillent en étroite collaboration et a appelé l’attention sur leurs priorités communes, qui étaient de promouvoir la ratification de la Convention dans toutes </w:t>
      </w:r>
      <w:bookmarkStart w:id="41" w:name="_GoBack"/>
      <w:bookmarkEnd w:id="41"/>
      <w:r w:rsidR="000A0ECE" w:rsidRPr="000A0ECE">
        <w:lastRenderedPageBreak/>
        <w:t xml:space="preserve">les régions et d’encourager les États parties à honorer leurs obligations. La treizième conférence internationale annuelle de l’Alliance mondiale s’était tenue à Marrakech (Maroc) en octobre 2018 ; à cette occasion, les institutions nationales du monde entier avaient adopté une déclaration sur le rôle déterminant que les défenseurs des droits de l’homme jouaient dans la réalisation de l’ensemble de ces droits. La représentante a souligné l’existence d’autres problèmes liés à l’égalité des sexes, les défenseuses des droits de l’homme étant souvent plus exposées au risque de violation de leurs droits. Étant donné que les défenseurs des droits de l’homme étaient de plus en plus menacés de disparition forcée, la Déclaration de Marrakech apportait une contribution importante aux travaux du Comité. Les membres du Comité ont rappelé qu’ils étaient convaincus que les institutions nationales jouaient un rôle inestimable dans les travaux du Comité comme dans le système international de défense des droits de l’homme. Ils ont également souligné combien il importait que les institutions nationales des droits de l’homme se conforment pleinement aux Principes concernant le statut des institutions nationales pour la promotion et la protection des droits de l’homme (Principes de Paris). </w:t>
      </w:r>
    </w:p>
    <w:p w:rsidR="000A0ECE" w:rsidRPr="000A0ECE" w:rsidRDefault="00C9089E" w:rsidP="00C9089E">
      <w:pPr>
        <w:pStyle w:val="H1G"/>
      </w:pPr>
      <w:r>
        <w:tab/>
      </w:r>
      <w:r w:rsidR="000A0ECE" w:rsidRPr="000A0ECE">
        <w:t>C.</w:t>
      </w:r>
      <w:r w:rsidR="000A0ECE" w:rsidRPr="000A0ECE">
        <w:tab/>
        <w:t xml:space="preserve">Réunions avec les organisations non gouvernementales </w:t>
      </w:r>
      <w:r>
        <w:br/>
      </w:r>
      <w:r w:rsidR="000A0ECE" w:rsidRPr="000A0ECE">
        <w:t>et la société civile</w:t>
      </w:r>
      <w:bookmarkStart w:id="42" w:name="_Toc460489542"/>
      <w:bookmarkStart w:id="43" w:name="_Toc522200464"/>
      <w:bookmarkEnd w:id="42"/>
      <w:bookmarkEnd w:id="43"/>
    </w:p>
    <w:p w:rsidR="000A0ECE" w:rsidRPr="000A0ECE" w:rsidRDefault="006851DC" w:rsidP="000A0ECE">
      <w:pPr>
        <w:pStyle w:val="SingleTxtG"/>
      </w:pPr>
      <w:r>
        <w:t>16.</w:t>
      </w:r>
      <w:r>
        <w:tab/>
        <w:t>Le 13 </w:t>
      </w:r>
      <w:r w:rsidR="000A0ECE" w:rsidRPr="000A0ECE">
        <w:t xml:space="preserve">novembre 2018, le Comité a tenu une réunion publique avec des représentants d’organisations non gouvernementales (ONG) et de la société civile. Un représentant de l’organisation </w:t>
      </w:r>
      <w:proofErr w:type="spellStart"/>
      <w:r w:rsidR="000A0ECE" w:rsidRPr="000A0ECE">
        <w:t>Families</w:t>
      </w:r>
      <w:proofErr w:type="spellEnd"/>
      <w:r w:rsidR="000A0ECE" w:rsidRPr="000A0ECE">
        <w:t xml:space="preserve"> of </w:t>
      </w:r>
      <w:proofErr w:type="spellStart"/>
      <w:r w:rsidR="000A0ECE" w:rsidRPr="000A0ECE">
        <w:t>Victims</w:t>
      </w:r>
      <w:proofErr w:type="spellEnd"/>
      <w:r w:rsidR="000A0ECE" w:rsidRPr="000A0ECE">
        <w:t xml:space="preserve"> of </w:t>
      </w:r>
      <w:proofErr w:type="spellStart"/>
      <w:r w:rsidR="000A0ECE" w:rsidRPr="000A0ECE">
        <w:t>Involuntary</w:t>
      </w:r>
      <w:proofErr w:type="spellEnd"/>
      <w:r w:rsidR="000A0ECE" w:rsidRPr="000A0ECE">
        <w:t xml:space="preserve"> </w:t>
      </w:r>
      <w:proofErr w:type="spellStart"/>
      <w:r w:rsidR="000A0ECE" w:rsidRPr="000A0ECE">
        <w:t>Disappearance</w:t>
      </w:r>
      <w:proofErr w:type="spellEnd"/>
      <w:r w:rsidR="000A0ECE" w:rsidRPr="000A0ECE">
        <w:t xml:space="preserve"> a commencé par évoquer la situation des victimes de disparition forcée et de leur famille aux Philippines. Fait positif, les Philippines avaient été parmi les premiers pays d’Asie à criminaliser la disparition forcée dans leur législation nationale. Néanmoins, des inquiétudes avaient été exprimées quant au fait que la loi n’avait pas encore été pleinement mise en œuvre, et le représentant a regretté que les Philippines n’aient pas encore adhéré à la Convention. Le représentant de la Fédération latino-américaine des associations des familles de détenus-disparus a présenté la situation dans plusieurs pays d’Amérique latine, dont l’Argentine, le Chili, la Colombie, le Honduras, le Mexique et le Pérou. Le représentant de Gen</w:t>
      </w:r>
      <w:r w:rsidR="0050095B">
        <w:t>ève pour les droits de l’homme − </w:t>
      </w:r>
      <w:r w:rsidR="000A0ECE" w:rsidRPr="000A0ECE">
        <w:t>Formation internationale s’est félicité des méthodes de travail et du règlement intérieur du Comité, notamment de la priorité accordée à certains pays dans les rapports de suivi et de sa proposition d’examiner la mise en œuvre de la Convention en l’absence de rapport. En revanche, il s’est inquiété du financement du Comité, et notamment du manque d’effectifs supplémentaires. Un représentant de la Coalition internationale contre les disparitions forcées a mentionné la campagne que son organisation menait en faveur de la ratification de la Convent</w:t>
      </w:r>
      <w:r w:rsidR="0050095B">
        <w:t>ion et de l’adhésion à celle-ci </w:t>
      </w:r>
      <w:r w:rsidR="000A0ECE" w:rsidRPr="000A0ECE">
        <w:t xml:space="preserve">; se référant aux exemples du Bangladesh, du Pakistan et de Sri Lanka, il a également noté la lenteur du processus de ratification en regard de la récurrence du crime de disparition forcée. Le Comité a réaffirmé son soutien au travail des ONG et de la société civile, lequel conditionnait la progression de ses travaux. </w:t>
      </w:r>
    </w:p>
    <w:p w:rsidR="000A0ECE" w:rsidRPr="000A0ECE" w:rsidRDefault="0050095B" w:rsidP="000A0ECE">
      <w:pPr>
        <w:pStyle w:val="SingleTxtG"/>
      </w:pPr>
      <w:r>
        <w:t>17.</w:t>
      </w:r>
      <w:r>
        <w:tab/>
        <w:t>Le 15 </w:t>
      </w:r>
      <w:r w:rsidR="000A0ECE" w:rsidRPr="000A0ECE">
        <w:t xml:space="preserve">avril 2019, le Comité a de nouveau tenu une réunion publique avec des représentants d’ONG et de la société civile. Le représentant de Genève pour les droits de l’homme a souligné le rôle unique de la Convention et du Comité et insisté sur le fait que le Comité avait accompli des progrès considérables depuis sa création. Il a évoqué les principes directeurs et leur importance pour l’ensemble des victimes et pour la recherche des personnes disparues. Il a en outre exprimé l’inquiétude de son organisation face à la lenteur avec laquelle augmentait le nombre de ratifications de la Convention. Une déclaration écrite de l’association </w:t>
      </w:r>
      <w:proofErr w:type="spellStart"/>
      <w:r w:rsidR="000A0ECE" w:rsidRPr="000A0ECE">
        <w:t>Todos</w:t>
      </w:r>
      <w:proofErr w:type="spellEnd"/>
      <w:r w:rsidR="000A0ECE" w:rsidRPr="000A0ECE">
        <w:t xml:space="preserve"> los </w:t>
      </w:r>
      <w:proofErr w:type="spellStart"/>
      <w:r w:rsidR="000A0ECE" w:rsidRPr="000A0ECE">
        <w:t>niños</w:t>
      </w:r>
      <w:proofErr w:type="spellEnd"/>
      <w:r w:rsidR="000A0ECE" w:rsidRPr="000A0ECE">
        <w:t xml:space="preserve"> </w:t>
      </w:r>
      <w:proofErr w:type="spellStart"/>
      <w:r w:rsidR="000A0ECE" w:rsidRPr="000A0ECE">
        <w:t>robados</w:t>
      </w:r>
      <w:proofErr w:type="spellEnd"/>
      <w:r w:rsidR="000A0ECE" w:rsidRPr="000A0ECE">
        <w:t xml:space="preserve"> son </w:t>
      </w:r>
      <w:proofErr w:type="spellStart"/>
      <w:r w:rsidR="000A0ECE" w:rsidRPr="000A0ECE">
        <w:t>también</w:t>
      </w:r>
      <w:proofErr w:type="spellEnd"/>
      <w:r w:rsidR="000A0ECE" w:rsidRPr="000A0ECE">
        <w:t xml:space="preserve"> mis </w:t>
      </w:r>
      <w:proofErr w:type="spellStart"/>
      <w:r w:rsidR="000A0ECE" w:rsidRPr="000A0ECE">
        <w:t>niños</w:t>
      </w:r>
      <w:proofErr w:type="spellEnd"/>
      <w:r w:rsidR="000A0ECE" w:rsidRPr="000A0ECE">
        <w:t xml:space="preserve"> a été lue en son nom. Le Comité s’est félicité de la contribution et de la coopération des ONG et de l</w:t>
      </w:r>
      <w:r>
        <w:t>a société civile à ses travaux.</w:t>
      </w:r>
    </w:p>
    <w:p w:rsidR="000A0ECE" w:rsidRPr="000A0ECE" w:rsidRDefault="0050095B" w:rsidP="0050095B">
      <w:pPr>
        <w:pStyle w:val="H1G"/>
      </w:pPr>
      <w:r>
        <w:tab/>
      </w:r>
      <w:r w:rsidR="000A0ECE" w:rsidRPr="000A0ECE">
        <w:t>D.</w:t>
      </w:r>
      <w:r w:rsidR="000A0ECE" w:rsidRPr="000A0ECE">
        <w:tab/>
        <w:t>Réunions avec d’autres parties prenantes</w:t>
      </w:r>
    </w:p>
    <w:p w:rsidR="000A0ECE" w:rsidRPr="000A0ECE" w:rsidRDefault="000A0ECE" w:rsidP="000A0ECE">
      <w:pPr>
        <w:pStyle w:val="SingleTxtG"/>
      </w:pPr>
      <w:r w:rsidRPr="000A0ECE">
        <w:t>18.</w:t>
      </w:r>
      <w:r w:rsidRPr="000A0ECE">
        <w:tab/>
        <w:t>À sa quinzième session, le Comité a tenu sa première réunion privée conjointe officielle avec le Comité contre la torture. Les questions relatives à la coopération bilatérale ont été examinées, notamment dans la perspective de l’examen de 2020.</w:t>
      </w:r>
    </w:p>
    <w:p w:rsidR="000A0ECE" w:rsidRPr="000A0ECE" w:rsidRDefault="000A0ECE" w:rsidP="000A0ECE">
      <w:pPr>
        <w:pStyle w:val="SingleTxtG"/>
      </w:pPr>
      <w:r w:rsidRPr="000A0ECE">
        <w:lastRenderedPageBreak/>
        <w:t>19.</w:t>
      </w:r>
      <w:r w:rsidRPr="000A0ECE">
        <w:tab/>
        <w:t xml:space="preserve">Le Comité a également tenu des réunions privées avec l’association </w:t>
      </w:r>
      <w:proofErr w:type="spellStart"/>
      <w:r w:rsidRPr="000A0ECE">
        <w:t>Todos</w:t>
      </w:r>
      <w:proofErr w:type="spellEnd"/>
      <w:r w:rsidRPr="000A0ECE">
        <w:t xml:space="preserve"> los </w:t>
      </w:r>
      <w:proofErr w:type="spellStart"/>
      <w:r w:rsidRPr="000A0ECE">
        <w:t>niños</w:t>
      </w:r>
      <w:proofErr w:type="spellEnd"/>
      <w:r w:rsidRPr="000A0ECE">
        <w:t xml:space="preserve"> </w:t>
      </w:r>
      <w:proofErr w:type="spellStart"/>
      <w:r w:rsidRPr="000A0ECE">
        <w:t>robados</w:t>
      </w:r>
      <w:proofErr w:type="spellEnd"/>
      <w:r w:rsidRPr="000A0ECE">
        <w:t xml:space="preserve"> son </w:t>
      </w:r>
      <w:proofErr w:type="spellStart"/>
      <w:r w:rsidRPr="000A0ECE">
        <w:t>también</w:t>
      </w:r>
      <w:proofErr w:type="spellEnd"/>
      <w:r w:rsidRPr="000A0ECE">
        <w:t xml:space="preserve"> mis </w:t>
      </w:r>
      <w:proofErr w:type="spellStart"/>
      <w:r w:rsidRPr="000A0ECE">
        <w:t>niños</w:t>
      </w:r>
      <w:proofErr w:type="spellEnd"/>
      <w:r w:rsidRPr="000A0ECE">
        <w:t xml:space="preserve"> et avec des représentants de l’Académie de droit international humanitaire et des droits de l’homme de Genève au sujet de l’examen du système des organes conventionnels de 2020.</w:t>
      </w:r>
    </w:p>
    <w:p w:rsidR="000A0ECE" w:rsidRDefault="000A0ECE" w:rsidP="000A0ECE">
      <w:pPr>
        <w:pStyle w:val="SingleTxtG"/>
      </w:pPr>
      <w:r w:rsidRPr="000A0ECE">
        <w:t>20.</w:t>
      </w:r>
      <w:r w:rsidRPr="000A0ECE">
        <w:tab/>
        <w:t xml:space="preserve">À sa seizième session, le Comité a tenu des réunions </w:t>
      </w:r>
      <w:r w:rsidR="0050095B">
        <w:t>avec d’autres parties prenantes </w:t>
      </w:r>
      <w:r w:rsidRPr="000A0ECE">
        <w:t xml:space="preserve">: le Chef du Service des organes conventionnels du </w:t>
      </w:r>
      <w:proofErr w:type="spellStart"/>
      <w:r w:rsidRPr="000A0ECE">
        <w:t>HCDH</w:t>
      </w:r>
      <w:proofErr w:type="spellEnd"/>
      <w:r w:rsidRPr="000A0ECE">
        <w:t>, des représentants du Comité international de la Croix-Rouge (CICR) et des représentants des Missions permanentes du Mali et du Brésil auprès de l’Office des Nations Unies et des autres organisations internationales à Genève.</w:t>
      </w:r>
    </w:p>
    <w:p w:rsidR="000A0ECE" w:rsidRPr="000A0ECE" w:rsidRDefault="000A0ECE" w:rsidP="0050095B">
      <w:pPr>
        <w:pStyle w:val="HChG"/>
      </w:pPr>
      <w:r>
        <w:br w:type="page"/>
      </w:r>
      <w:r w:rsidR="0050095B">
        <w:lastRenderedPageBreak/>
        <w:tab/>
      </w:r>
      <w:r w:rsidR="0050095B">
        <w:tab/>
      </w:r>
      <w:r w:rsidRPr="000A0ECE">
        <w:t xml:space="preserve">Chapitre IV </w:t>
      </w:r>
      <w:r w:rsidR="0050095B">
        <w:br/>
      </w:r>
      <w:r w:rsidRPr="000A0ECE">
        <w:t xml:space="preserve">Examen des rapports soumis par les États parties </w:t>
      </w:r>
      <w:r w:rsidR="0050095B">
        <w:br/>
      </w:r>
      <w:r w:rsidRPr="000A0ECE">
        <w:t xml:space="preserve">en application du paragraphe 1 de l’article 29 </w:t>
      </w:r>
      <w:r w:rsidR="0050095B">
        <w:br/>
      </w:r>
      <w:r w:rsidRPr="000A0ECE">
        <w:t>de la Convention</w:t>
      </w:r>
      <w:bookmarkStart w:id="44" w:name="_Toc460489543"/>
      <w:bookmarkStart w:id="45" w:name="_Toc522200465"/>
      <w:bookmarkStart w:id="46" w:name="_Hlk14698671"/>
      <w:bookmarkEnd w:id="44"/>
      <w:bookmarkEnd w:id="45"/>
      <w:bookmarkEnd w:id="46"/>
    </w:p>
    <w:p w:rsidR="000A0ECE" w:rsidRPr="000A0ECE" w:rsidRDefault="000A0ECE" w:rsidP="000A0ECE">
      <w:pPr>
        <w:pStyle w:val="SingleTxtG"/>
      </w:pPr>
      <w:r w:rsidRPr="000A0ECE">
        <w:t>21.</w:t>
      </w:r>
      <w:r w:rsidRPr="000A0ECE">
        <w:tab/>
        <w:t>À sa quinzième session, le Comité a examiné les rapports du Japon (</w:t>
      </w:r>
      <w:proofErr w:type="spellStart"/>
      <w:r w:rsidR="003D4A2B">
        <w:fldChar w:fldCharType="begin"/>
      </w:r>
      <w:r w:rsidR="003D4A2B">
        <w:instrText xml:space="preserve"> HYPERLINK "https://undocs.org/fr/CED/C/JPN/1" </w:instrText>
      </w:r>
      <w:r w:rsidR="003D4A2B">
        <w:fldChar w:fldCharType="separate"/>
      </w:r>
      <w:r w:rsidRPr="00A73B51">
        <w:rPr>
          <w:rStyle w:val="Lienhypertexte"/>
        </w:rPr>
        <w:t>CED</w:t>
      </w:r>
      <w:proofErr w:type="spellEnd"/>
      <w:r w:rsidRPr="00A73B51">
        <w:rPr>
          <w:rStyle w:val="Lienhypertexte"/>
        </w:rPr>
        <w:t>/C/</w:t>
      </w:r>
      <w:proofErr w:type="spellStart"/>
      <w:r w:rsidRPr="00A73B51">
        <w:rPr>
          <w:rStyle w:val="Lienhypertexte"/>
        </w:rPr>
        <w:t>JPN</w:t>
      </w:r>
      <w:proofErr w:type="spellEnd"/>
      <w:r w:rsidRPr="00A73B51">
        <w:rPr>
          <w:rStyle w:val="Lienhypertexte"/>
        </w:rPr>
        <w:t>/1</w:t>
      </w:r>
      <w:r w:rsidR="003D4A2B">
        <w:rPr>
          <w:rStyle w:val="Lienhypertexte"/>
        </w:rPr>
        <w:fldChar w:fldCharType="end"/>
      </w:r>
      <w:r w:rsidRPr="000A0ECE">
        <w:t>) et du Portugal (</w:t>
      </w:r>
      <w:proofErr w:type="spellStart"/>
      <w:r w:rsidR="003D4A2B">
        <w:fldChar w:fldCharType="begin"/>
      </w:r>
      <w:r w:rsidR="003D4A2B">
        <w:instrText xml:space="preserve"> HYPERLINK "h</w:instrText>
      </w:r>
      <w:r w:rsidR="003D4A2B">
        <w:instrText xml:space="preserve">ttps://undocs.org/fr/CED/C/PRT/1" </w:instrText>
      </w:r>
      <w:r w:rsidR="003D4A2B">
        <w:fldChar w:fldCharType="separate"/>
      </w:r>
      <w:r w:rsidRPr="00A73B51">
        <w:rPr>
          <w:rStyle w:val="Lienhypertexte"/>
        </w:rPr>
        <w:t>CED</w:t>
      </w:r>
      <w:proofErr w:type="spellEnd"/>
      <w:r w:rsidRPr="00A73B51">
        <w:rPr>
          <w:rStyle w:val="Lienhypertexte"/>
        </w:rPr>
        <w:t>/C/</w:t>
      </w:r>
      <w:proofErr w:type="spellStart"/>
      <w:r w:rsidRPr="00A73B51">
        <w:rPr>
          <w:rStyle w:val="Lienhypertexte"/>
        </w:rPr>
        <w:t>PRT</w:t>
      </w:r>
      <w:proofErr w:type="spellEnd"/>
      <w:r w:rsidRPr="00A73B51">
        <w:rPr>
          <w:rStyle w:val="Lienhypertexte"/>
        </w:rPr>
        <w:t>/1</w:t>
      </w:r>
      <w:r w:rsidR="003D4A2B">
        <w:rPr>
          <w:rStyle w:val="Lienhypertexte"/>
        </w:rPr>
        <w:fldChar w:fldCharType="end"/>
      </w:r>
      <w:r w:rsidRPr="000A0ECE">
        <w:t xml:space="preserve">), et a adopté des observations finales concernant ces rapports (voir </w:t>
      </w:r>
      <w:hyperlink r:id="rId25" w:history="1">
        <w:proofErr w:type="spellStart"/>
        <w:r w:rsidRPr="00A73B51">
          <w:rPr>
            <w:rStyle w:val="Lienhypertexte"/>
          </w:rPr>
          <w:t>CED</w:t>
        </w:r>
        <w:proofErr w:type="spellEnd"/>
        <w:r w:rsidRPr="00A73B51">
          <w:rPr>
            <w:rStyle w:val="Lienhypertexte"/>
          </w:rPr>
          <w:t>/C/</w:t>
        </w:r>
        <w:proofErr w:type="spellStart"/>
        <w:r w:rsidRPr="00A73B51">
          <w:rPr>
            <w:rStyle w:val="Lienhypertexte"/>
          </w:rPr>
          <w:t>JPN</w:t>
        </w:r>
        <w:proofErr w:type="spellEnd"/>
        <w:r w:rsidRPr="00A73B51">
          <w:rPr>
            <w:rStyle w:val="Lienhypertexte"/>
          </w:rPr>
          <w:t>/CO/1</w:t>
        </w:r>
      </w:hyperlink>
      <w:r w:rsidRPr="000A0ECE">
        <w:t xml:space="preserve"> et </w:t>
      </w:r>
      <w:hyperlink r:id="rId26" w:history="1">
        <w:proofErr w:type="spellStart"/>
        <w:r w:rsidRPr="00A73B51">
          <w:rPr>
            <w:rStyle w:val="Lienhypertexte"/>
          </w:rPr>
          <w:t>CED</w:t>
        </w:r>
        <w:proofErr w:type="spellEnd"/>
        <w:r w:rsidRPr="00A73B51">
          <w:rPr>
            <w:rStyle w:val="Lienhypertexte"/>
          </w:rPr>
          <w:t>/C/</w:t>
        </w:r>
        <w:proofErr w:type="spellStart"/>
        <w:r w:rsidRPr="00A73B51">
          <w:rPr>
            <w:rStyle w:val="Lienhypertexte"/>
          </w:rPr>
          <w:t>PRT</w:t>
        </w:r>
        <w:proofErr w:type="spellEnd"/>
        <w:r w:rsidRPr="00A73B51">
          <w:rPr>
            <w:rStyle w:val="Lienhypertexte"/>
          </w:rPr>
          <w:t>/CO/1</w:t>
        </w:r>
      </w:hyperlink>
      <w:r w:rsidRPr="000A0ECE">
        <w:t xml:space="preserve">). </w:t>
      </w:r>
    </w:p>
    <w:p w:rsidR="000A0ECE" w:rsidRDefault="000A0ECE" w:rsidP="000A0ECE">
      <w:pPr>
        <w:pStyle w:val="SingleTxtG"/>
      </w:pPr>
      <w:r w:rsidRPr="000A0ECE">
        <w:t>22.</w:t>
      </w:r>
      <w:r w:rsidRPr="000A0ECE">
        <w:tab/>
        <w:t>À sa seizième session, le Comité a examiné les rapports du Chili (</w:t>
      </w:r>
      <w:proofErr w:type="spellStart"/>
      <w:r w:rsidR="003D4A2B">
        <w:fldChar w:fldCharType="begin"/>
      </w:r>
      <w:r w:rsidR="003D4A2B">
        <w:instrText xml:space="preserve"> HYPERLINK "https://undocs.org/fr/CED/C/CHL/1" </w:instrText>
      </w:r>
      <w:r w:rsidR="003D4A2B">
        <w:fldChar w:fldCharType="separate"/>
      </w:r>
      <w:r w:rsidRPr="00A73B51">
        <w:rPr>
          <w:rStyle w:val="Lienhypertexte"/>
        </w:rPr>
        <w:t>CED</w:t>
      </w:r>
      <w:proofErr w:type="spellEnd"/>
      <w:r w:rsidRPr="00A73B51">
        <w:rPr>
          <w:rStyle w:val="Lienhypertexte"/>
        </w:rPr>
        <w:t>/C/</w:t>
      </w:r>
      <w:proofErr w:type="spellStart"/>
      <w:r w:rsidRPr="00A73B51">
        <w:rPr>
          <w:rStyle w:val="Lienhypertexte"/>
        </w:rPr>
        <w:t>CHL</w:t>
      </w:r>
      <w:proofErr w:type="spellEnd"/>
      <w:r w:rsidRPr="00A73B51">
        <w:rPr>
          <w:rStyle w:val="Lienhypertexte"/>
        </w:rPr>
        <w:t>/1</w:t>
      </w:r>
      <w:r w:rsidR="003D4A2B">
        <w:rPr>
          <w:rStyle w:val="Lienhypertexte"/>
        </w:rPr>
        <w:fldChar w:fldCharType="end"/>
      </w:r>
      <w:r w:rsidRPr="000A0ECE">
        <w:t>), de l’Italie (</w:t>
      </w:r>
      <w:proofErr w:type="spellStart"/>
      <w:r w:rsidR="003D4A2B">
        <w:fldChar w:fldCharType="begin"/>
      </w:r>
      <w:r w:rsidR="003D4A2B">
        <w:instrText xml:space="preserve"> HYPERLINK "https://undocs.org/fr/CED/C/ITA/1" </w:instrText>
      </w:r>
      <w:r w:rsidR="003D4A2B">
        <w:fldChar w:fldCharType="separate"/>
      </w:r>
      <w:r w:rsidRPr="00A73B51">
        <w:rPr>
          <w:rStyle w:val="Lienhypertexte"/>
        </w:rPr>
        <w:t>CED</w:t>
      </w:r>
      <w:proofErr w:type="spellEnd"/>
      <w:r w:rsidRPr="00A73B51">
        <w:rPr>
          <w:rStyle w:val="Lienhypertexte"/>
        </w:rPr>
        <w:t>/C/</w:t>
      </w:r>
      <w:proofErr w:type="spellStart"/>
      <w:r w:rsidRPr="00A73B51">
        <w:rPr>
          <w:rStyle w:val="Lienhypertexte"/>
        </w:rPr>
        <w:t>ITA</w:t>
      </w:r>
      <w:proofErr w:type="spellEnd"/>
      <w:r w:rsidRPr="00A73B51">
        <w:rPr>
          <w:rStyle w:val="Lienhypertexte"/>
        </w:rPr>
        <w:t>/1</w:t>
      </w:r>
      <w:r w:rsidR="003D4A2B">
        <w:rPr>
          <w:rStyle w:val="Lienhypertexte"/>
        </w:rPr>
        <w:fldChar w:fldCharType="end"/>
      </w:r>
      <w:r w:rsidRPr="000A0ECE">
        <w:t>) et du Pérou (</w:t>
      </w:r>
      <w:proofErr w:type="spellStart"/>
      <w:r w:rsidR="003D4A2B">
        <w:fldChar w:fldCharType="begin"/>
      </w:r>
      <w:r w:rsidR="003D4A2B">
        <w:instrText xml:space="preserve"> HYPERLINK "https://undocs.org/fr/CED/C/PER/1" </w:instrText>
      </w:r>
      <w:r w:rsidR="003D4A2B">
        <w:fldChar w:fldCharType="separate"/>
      </w:r>
      <w:r w:rsidRPr="00A73B51">
        <w:rPr>
          <w:rStyle w:val="Lienhypertexte"/>
        </w:rPr>
        <w:t>CED</w:t>
      </w:r>
      <w:proofErr w:type="spellEnd"/>
      <w:r w:rsidRPr="00A73B51">
        <w:rPr>
          <w:rStyle w:val="Lienhypertexte"/>
        </w:rPr>
        <w:t>/C/PER/1</w:t>
      </w:r>
      <w:r w:rsidR="003D4A2B">
        <w:rPr>
          <w:rStyle w:val="Lienhypertexte"/>
        </w:rPr>
        <w:fldChar w:fldCharType="end"/>
      </w:r>
      <w:r w:rsidRPr="000A0ECE">
        <w:t>), et a adopté des observations finales concernant ces rapports (</w:t>
      </w:r>
      <w:proofErr w:type="spellStart"/>
      <w:r w:rsidR="003D4A2B">
        <w:fldChar w:fldCharType="begin"/>
      </w:r>
      <w:r w:rsidR="003D4A2B">
        <w:instrText xml:space="preserve"> HYPERLINK "https://undocs.org/fr/CED/C/CHL/CO/1" </w:instrText>
      </w:r>
      <w:r w:rsidR="003D4A2B">
        <w:fldChar w:fldCharType="separate"/>
      </w:r>
      <w:r w:rsidRPr="00A73B51">
        <w:rPr>
          <w:rStyle w:val="Lienhypertexte"/>
        </w:rPr>
        <w:t>CED</w:t>
      </w:r>
      <w:proofErr w:type="spellEnd"/>
      <w:r w:rsidRPr="00A73B51">
        <w:rPr>
          <w:rStyle w:val="Lienhypertexte"/>
        </w:rPr>
        <w:t>/C/</w:t>
      </w:r>
      <w:proofErr w:type="spellStart"/>
      <w:r w:rsidRPr="00A73B51">
        <w:rPr>
          <w:rStyle w:val="Lienhypertexte"/>
        </w:rPr>
        <w:t>CHL</w:t>
      </w:r>
      <w:proofErr w:type="spellEnd"/>
      <w:r w:rsidRPr="00A73B51">
        <w:rPr>
          <w:rStyle w:val="Lienhypertexte"/>
        </w:rPr>
        <w:t>/CO/1</w:t>
      </w:r>
      <w:r w:rsidR="003D4A2B">
        <w:rPr>
          <w:rStyle w:val="Lienhypertexte"/>
        </w:rPr>
        <w:fldChar w:fldCharType="end"/>
      </w:r>
      <w:r w:rsidRPr="000A0ECE">
        <w:t xml:space="preserve">, </w:t>
      </w:r>
      <w:hyperlink r:id="rId27" w:history="1">
        <w:proofErr w:type="spellStart"/>
        <w:r w:rsidRPr="00A73B51">
          <w:rPr>
            <w:rStyle w:val="Lienhypertexte"/>
          </w:rPr>
          <w:t>CED</w:t>
        </w:r>
        <w:proofErr w:type="spellEnd"/>
        <w:r w:rsidRPr="00A73B51">
          <w:rPr>
            <w:rStyle w:val="Lienhypertexte"/>
          </w:rPr>
          <w:t>/C/</w:t>
        </w:r>
        <w:proofErr w:type="spellStart"/>
        <w:r w:rsidRPr="00A73B51">
          <w:rPr>
            <w:rStyle w:val="Lienhypertexte"/>
          </w:rPr>
          <w:t>ITA</w:t>
        </w:r>
        <w:proofErr w:type="spellEnd"/>
        <w:r w:rsidRPr="00A73B51">
          <w:rPr>
            <w:rStyle w:val="Lienhypertexte"/>
          </w:rPr>
          <w:t>/CO/1</w:t>
        </w:r>
      </w:hyperlink>
      <w:r w:rsidRPr="000A0ECE">
        <w:t xml:space="preserve"> et </w:t>
      </w:r>
      <w:hyperlink r:id="rId28" w:history="1">
        <w:proofErr w:type="spellStart"/>
        <w:r w:rsidRPr="00A73B51">
          <w:rPr>
            <w:rStyle w:val="Lienhypertexte"/>
          </w:rPr>
          <w:t>CED</w:t>
        </w:r>
        <w:proofErr w:type="spellEnd"/>
        <w:r w:rsidRPr="00A73B51">
          <w:rPr>
            <w:rStyle w:val="Lienhypertexte"/>
          </w:rPr>
          <w:t>/C/PER/CO/1</w:t>
        </w:r>
      </w:hyperlink>
      <w:r w:rsidRPr="000A0ECE">
        <w:t>).</w:t>
      </w:r>
    </w:p>
    <w:p w:rsidR="000A0ECE" w:rsidRPr="000A0ECE" w:rsidRDefault="000A0ECE" w:rsidP="001D7DD8">
      <w:pPr>
        <w:pStyle w:val="HChG"/>
      </w:pPr>
      <w:r>
        <w:br w:type="page"/>
      </w:r>
      <w:r w:rsidR="001D7DD8">
        <w:lastRenderedPageBreak/>
        <w:tab/>
      </w:r>
      <w:r w:rsidR="001D7DD8">
        <w:tab/>
      </w:r>
      <w:r w:rsidRPr="000A0ECE">
        <w:t xml:space="preserve">Chapitre V </w:t>
      </w:r>
      <w:r w:rsidR="001D7DD8">
        <w:br/>
      </w:r>
      <w:r w:rsidRPr="000A0ECE">
        <w:t>Adoption du rapport sur le suivi des observations finales</w:t>
      </w:r>
      <w:bookmarkStart w:id="47" w:name="_Toc460489544"/>
      <w:bookmarkStart w:id="48" w:name="_Toc522200466"/>
      <w:bookmarkEnd w:id="47"/>
      <w:bookmarkEnd w:id="48"/>
    </w:p>
    <w:p w:rsidR="000A0ECE" w:rsidRDefault="000A0ECE" w:rsidP="000A0ECE">
      <w:pPr>
        <w:pStyle w:val="SingleTxtG"/>
      </w:pPr>
      <w:r w:rsidRPr="000A0ECE">
        <w:t>23.</w:t>
      </w:r>
      <w:r w:rsidRPr="000A0ECE">
        <w:tab/>
        <w:t>À sa quinzième session, le Comité a adopté son rapport sur le suivi des observations finales (</w:t>
      </w:r>
      <w:proofErr w:type="spellStart"/>
      <w:r w:rsidR="003D4A2B">
        <w:fldChar w:fldCharType="begin"/>
      </w:r>
      <w:r w:rsidR="003D4A2B">
        <w:instrText xml:space="preserve"> H</w:instrText>
      </w:r>
      <w:r w:rsidR="003D4A2B">
        <w:instrText xml:space="preserve">YPERLINK "https://undocs.org/fr/CED/C/15/2" </w:instrText>
      </w:r>
      <w:r w:rsidR="003D4A2B">
        <w:fldChar w:fldCharType="separate"/>
      </w:r>
      <w:r w:rsidRPr="00A831CF">
        <w:rPr>
          <w:rStyle w:val="Lienhypertexte"/>
        </w:rPr>
        <w:t>CED</w:t>
      </w:r>
      <w:proofErr w:type="spellEnd"/>
      <w:r w:rsidRPr="00A831CF">
        <w:rPr>
          <w:rStyle w:val="Lienhypertexte"/>
        </w:rPr>
        <w:t>/C/15/2</w:t>
      </w:r>
      <w:r w:rsidR="003D4A2B">
        <w:rPr>
          <w:rStyle w:val="Lienhypertexte"/>
        </w:rPr>
        <w:fldChar w:fldCharType="end"/>
      </w:r>
      <w:r w:rsidRPr="000A0ECE">
        <w:t>), dans lequel il présentait les renseignements qu’il avait reçus, entre ses treizième et quinzième sessions, sur la mise en œuvre des observations finales concernant la Bosnie-Herzégovine (</w:t>
      </w:r>
      <w:proofErr w:type="spellStart"/>
      <w:r w:rsidR="003D4A2B">
        <w:fldChar w:fldCharType="begin"/>
      </w:r>
      <w:r w:rsidR="003D4A2B">
        <w:instrText xml:space="preserve"> HYPERLIN</w:instrText>
      </w:r>
      <w:r w:rsidR="003D4A2B">
        <w:instrText xml:space="preserve">K "https://undocs.org/fr/CED/C/BIH/CO/1/Add.1" </w:instrText>
      </w:r>
      <w:r w:rsidR="003D4A2B">
        <w:fldChar w:fldCharType="separate"/>
      </w:r>
      <w:r w:rsidRPr="00A831CF">
        <w:rPr>
          <w:rStyle w:val="Lienhypertexte"/>
        </w:rPr>
        <w:t>CED</w:t>
      </w:r>
      <w:proofErr w:type="spellEnd"/>
      <w:r w:rsidRPr="00A831CF">
        <w:rPr>
          <w:rStyle w:val="Lienhypertexte"/>
        </w:rPr>
        <w:t>/C/</w:t>
      </w:r>
      <w:proofErr w:type="spellStart"/>
      <w:r w:rsidRPr="00A831CF">
        <w:rPr>
          <w:rStyle w:val="Lienhypertexte"/>
        </w:rPr>
        <w:t>BIH</w:t>
      </w:r>
      <w:proofErr w:type="spellEnd"/>
      <w:r w:rsidRPr="00A831CF">
        <w:rPr>
          <w:rStyle w:val="Lienhypertexte"/>
        </w:rPr>
        <w:t>/CO/1/Add.1</w:t>
      </w:r>
      <w:r w:rsidR="003D4A2B">
        <w:rPr>
          <w:rStyle w:val="Lienhypertexte"/>
        </w:rPr>
        <w:fldChar w:fldCharType="end"/>
      </w:r>
      <w:r w:rsidRPr="000A0ECE">
        <w:t>), la Colombie (</w:t>
      </w:r>
      <w:proofErr w:type="spellStart"/>
      <w:r w:rsidR="003D4A2B">
        <w:fldChar w:fldCharType="begin"/>
      </w:r>
      <w:r w:rsidR="003D4A2B">
        <w:instrText xml:space="preserve"> HYPERLINK "https://undocs.org/fr/CED/C/COL/CO/1/Add.1" </w:instrText>
      </w:r>
      <w:r w:rsidR="003D4A2B">
        <w:fldChar w:fldCharType="separate"/>
      </w:r>
      <w:r w:rsidRPr="00A831CF">
        <w:rPr>
          <w:rStyle w:val="Lienhypertexte"/>
        </w:rPr>
        <w:t>CED</w:t>
      </w:r>
      <w:proofErr w:type="spellEnd"/>
      <w:r w:rsidRPr="00A831CF">
        <w:rPr>
          <w:rStyle w:val="Lienhypertexte"/>
        </w:rPr>
        <w:t>/C/COL/CO/1/Add.1</w:t>
      </w:r>
      <w:r w:rsidR="003D4A2B">
        <w:rPr>
          <w:rStyle w:val="Lienhypertexte"/>
        </w:rPr>
        <w:fldChar w:fldCharType="end"/>
      </w:r>
      <w:r w:rsidRPr="000A0ECE">
        <w:t>), Cuba (</w:t>
      </w:r>
      <w:proofErr w:type="spellStart"/>
      <w:r w:rsidR="003D4A2B">
        <w:fldChar w:fldCharType="begin"/>
      </w:r>
      <w:r w:rsidR="003D4A2B">
        <w:instrText xml:space="preserve"> HYPERLINK "https://undocs.org/fr/CED/C/CUB/CO/1/Add.1" </w:instrText>
      </w:r>
      <w:r w:rsidR="003D4A2B">
        <w:fldChar w:fldCharType="separate"/>
      </w:r>
      <w:r w:rsidRPr="00A831CF">
        <w:rPr>
          <w:rStyle w:val="Lienhypertexte"/>
        </w:rPr>
        <w:t>CED</w:t>
      </w:r>
      <w:proofErr w:type="spellEnd"/>
      <w:r w:rsidRPr="00A831CF">
        <w:rPr>
          <w:rStyle w:val="Lienhypertexte"/>
        </w:rPr>
        <w:t>/C/</w:t>
      </w:r>
      <w:proofErr w:type="spellStart"/>
      <w:r w:rsidRPr="00A831CF">
        <w:rPr>
          <w:rStyle w:val="Lienhypertexte"/>
        </w:rPr>
        <w:t>CUB</w:t>
      </w:r>
      <w:proofErr w:type="spellEnd"/>
      <w:r w:rsidRPr="00A831CF">
        <w:rPr>
          <w:rStyle w:val="Lienhypertexte"/>
        </w:rPr>
        <w:t>/CO/1/Add.1</w:t>
      </w:r>
      <w:r w:rsidR="003D4A2B">
        <w:rPr>
          <w:rStyle w:val="Lienhypertexte"/>
        </w:rPr>
        <w:fldChar w:fldCharType="end"/>
      </w:r>
      <w:r w:rsidRPr="000A0ECE">
        <w:t>), l’Équateur (</w:t>
      </w:r>
      <w:proofErr w:type="spellStart"/>
      <w:r w:rsidR="003D4A2B">
        <w:fldChar w:fldCharType="begin"/>
      </w:r>
      <w:r w:rsidR="003D4A2B">
        <w:instrText xml:space="preserve"> HYPERLINK "https://undocs.org/fr/CED/C/ECU/CO/1/Add.1" </w:instrText>
      </w:r>
      <w:r w:rsidR="003D4A2B">
        <w:fldChar w:fldCharType="separate"/>
      </w:r>
      <w:r w:rsidRPr="00A831CF">
        <w:rPr>
          <w:rStyle w:val="Lienhypertexte"/>
        </w:rPr>
        <w:t>CED</w:t>
      </w:r>
      <w:proofErr w:type="spellEnd"/>
      <w:r w:rsidRPr="00A831CF">
        <w:rPr>
          <w:rStyle w:val="Lienhypertexte"/>
        </w:rPr>
        <w:t>/C/ECU/CO/1/Add.1</w:t>
      </w:r>
      <w:r w:rsidR="003D4A2B">
        <w:rPr>
          <w:rStyle w:val="Lienhypertexte"/>
        </w:rPr>
        <w:fldChar w:fldCharType="end"/>
      </w:r>
      <w:r w:rsidRPr="000A0ECE">
        <w:t>) et le Sénégal (</w:t>
      </w:r>
      <w:proofErr w:type="spellStart"/>
      <w:r w:rsidR="003D4A2B">
        <w:fldChar w:fldCharType="begin"/>
      </w:r>
      <w:r w:rsidR="003D4A2B">
        <w:instrText xml:space="preserve"> HYPERLINK "https://undocs.org/fr/CED/C/SEN/CO/1/Add.1" </w:instrText>
      </w:r>
      <w:r w:rsidR="003D4A2B">
        <w:fldChar w:fldCharType="separate"/>
      </w:r>
      <w:r w:rsidRPr="00A831CF">
        <w:rPr>
          <w:rStyle w:val="Lienhypertexte"/>
        </w:rPr>
        <w:t>CED</w:t>
      </w:r>
      <w:proofErr w:type="spellEnd"/>
      <w:r w:rsidRPr="00A831CF">
        <w:rPr>
          <w:rStyle w:val="Lienhypertexte"/>
        </w:rPr>
        <w:t>/C/SEN/CO/1/Add.1</w:t>
      </w:r>
      <w:r w:rsidR="003D4A2B">
        <w:rPr>
          <w:rStyle w:val="Lienhypertexte"/>
        </w:rPr>
        <w:fldChar w:fldCharType="end"/>
      </w:r>
      <w:r w:rsidRPr="000A0ECE">
        <w:t>), ainsi que les évaluations et les décisions qu’il avait adoptées à sa qui</w:t>
      </w:r>
      <w:r>
        <w:t>nzième session.</w:t>
      </w:r>
    </w:p>
    <w:p w:rsidR="000A0ECE" w:rsidRPr="000A0ECE" w:rsidRDefault="000A0ECE" w:rsidP="00C86244">
      <w:pPr>
        <w:pStyle w:val="HChG"/>
      </w:pPr>
      <w:r>
        <w:br w:type="page"/>
      </w:r>
      <w:r w:rsidR="00C86244">
        <w:lastRenderedPageBreak/>
        <w:tab/>
      </w:r>
      <w:r w:rsidR="00C86244">
        <w:tab/>
      </w:r>
      <w:r w:rsidRPr="000A0ECE">
        <w:t xml:space="preserve">Chapitre VI </w:t>
      </w:r>
      <w:r w:rsidR="00C86244">
        <w:br/>
      </w:r>
      <w:r w:rsidRPr="000A0ECE">
        <w:t>Adoption des listes de points</w:t>
      </w:r>
      <w:bookmarkStart w:id="49" w:name="_Toc460489545"/>
      <w:bookmarkStart w:id="50" w:name="_Toc522200467"/>
      <w:bookmarkEnd w:id="49"/>
      <w:bookmarkEnd w:id="50"/>
    </w:p>
    <w:p w:rsidR="000A0ECE" w:rsidRPr="000A0ECE" w:rsidRDefault="000A0ECE" w:rsidP="000A0ECE">
      <w:pPr>
        <w:pStyle w:val="SingleTxtG"/>
      </w:pPr>
      <w:r w:rsidRPr="000A0ECE">
        <w:t>24.</w:t>
      </w:r>
      <w:r w:rsidRPr="000A0ECE">
        <w:tab/>
        <w:t>À sa quinzième session, le Comité a adopté les listes de points concernant le Chili (</w:t>
      </w:r>
      <w:proofErr w:type="spellStart"/>
      <w:r w:rsidR="003D4A2B">
        <w:fldChar w:fldCharType="begin"/>
      </w:r>
      <w:r w:rsidR="003D4A2B">
        <w:instrText xml:space="preserve"> HYPERLINK "https://undocs.org/fr/CED/C/CHL/Q/1" </w:instrText>
      </w:r>
      <w:r w:rsidR="003D4A2B">
        <w:fldChar w:fldCharType="separate"/>
      </w:r>
      <w:r w:rsidRPr="00C86244">
        <w:rPr>
          <w:rStyle w:val="Lienhypertexte"/>
        </w:rPr>
        <w:t>CED</w:t>
      </w:r>
      <w:proofErr w:type="spellEnd"/>
      <w:r w:rsidRPr="00C86244">
        <w:rPr>
          <w:rStyle w:val="Lienhypertexte"/>
        </w:rPr>
        <w:t>/C/</w:t>
      </w:r>
      <w:proofErr w:type="spellStart"/>
      <w:r w:rsidRPr="00C86244">
        <w:rPr>
          <w:rStyle w:val="Lienhypertexte"/>
        </w:rPr>
        <w:t>CHL</w:t>
      </w:r>
      <w:proofErr w:type="spellEnd"/>
      <w:r w:rsidRPr="00C86244">
        <w:rPr>
          <w:rStyle w:val="Lienhypertexte"/>
        </w:rPr>
        <w:t>/Q/1</w:t>
      </w:r>
      <w:r w:rsidR="003D4A2B">
        <w:rPr>
          <w:rStyle w:val="Lienhypertexte"/>
        </w:rPr>
        <w:fldChar w:fldCharType="end"/>
      </w:r>
      <w:r w:rsidRPr="000A0ECE">
        <w:t>), l’Italie (</w:t>
      </w:r>
      <w:proofErr w:type="spellStart"/>
      <w:r w:rsidR="003D4A2B">
        <w:fldChar w:fldCharType="begin"/>
      </w:r>
      <w:r w:rsidR="003D4A2B">
        <w:instrText xml:space="preserve"> HYPERLINK "https://undocs.org/fr/CED/C/ITA/Q/1" </w:instrText>
      </w:r>
      <w:r w:rsidR="003D4A2B">
        <w:fldChar w:fldCharType="separate"/>
      </w:r>
      <w:r w:rsidRPr="00C86244">
        <w:rPr>
          <w:rStyle w:val="Lienhypertexte"/>
        </w:rPr>
        <w:t>CED</w:t>
      </w:r>
      <w:proofErr w:type="spellEnd"/>
      <w:r w:rsidRPr="00C86244">
        <w:rPr>
          <w:rStyle w:val="Lienhypertexte"/>
        </w:rPr>
        <w:t>/C/</w:t>
      </w:r>
      <w:proofErr w:type="spellStart"/>
      <w:r w:rsidRPr="00C86244">
        <w:rPr>
          <w:rStyle w:val="Lienhypertexte"/>
        </w:rPr>
        <w:t>ITA</w:t>
      </w:r>
      <w:proofErr w:type="spellEnd"/>
      <w:r w:rsidRPr="00C86244">
        <w:rPr>
          <w:rStyle w:val="Lienhypertexte"/>
        </w:rPr>
        <w:t>/Q/1</w:t>
      </w:r>
      <w:r w:rsidR="003D4A2B">
        <w:rPr>
          <w:rStyle w:val="Lienhypertexte"/>
        </w:rPr>
        <w:fldChar w:fldCharType="end"/>
      </w:r>
      <w:r w:rsidRPr="000A0ECE">
        <w:t>) et le Pérou (</w:t>
      </w:r>
      <w:proofErr w:type="spellStart"/>
      <w:r w:rsidR="003D4A2B">
        <w:fldChar w:fldCharType="begin"/>
      </w:r>
      <w:r w:rsidR="003D4A2B">
        <w:instrText xml:space="preserve"> HYPERLINK "https://undocs.org/fr/CED/C/PER/Q/1" </w:instrText>
      </w:r>
      <w:r w:rsidR="003D4A2B">
        <w:fldChar w:fldCharType="separate"/>
      </w:r>
      <w:r w:rsidRPr="00C86244">
        <w:rPr>
          <w:rStyle w:val="Lienhypertexte"/>
        </w:rPr>
        <w:t>CED</w:t>
      </w:r>
      <w:proofErr w:type="spellEnd"/>
      <w:r w:rsidRPr="00C86244">
        <w:rPr>
          <w:rStyle w:val="Lienhypertexte"/>
        </w:rPr>
        <w:t>/C/PER/Q/1</w:t>
      </w:r>
      <w:r w:rsidR="003D4A2B">
        <w:rPr>
          <w:rStyle w:val="Lienhypertexte"/>
        </w:rPr>
        <w:fldChar w:fldCharType="end"/>
      </w:r>
      <w:r w:rsidRPr="000A0ECE">
        <w:t>).</w:t>
      </w:r>
    </w:p>
    <w:p w:rsidR="000A0ECE" w:rsidRDefault="000A0ECE" w:rsidP="000A0ECE">
      <w:pPr>
        <w:pStyle w:val="SingleTxtG"/>
      </w:pPr>
      <w:r w:rsidRPr="000A0ECE">
        <w:t>25.</w:t>
      </w:r>
      <w:r w:rsidRPr="000A0ECE">
        <w:tab/>
        <w:t>À sa seizième session, le Comité a adopté les listes de points concernant l’État plurinational de Bolivie (</w:t>
      </w:r>
      <w:proofErr w:type="spellStart"/>
      <w:r w:rsidR="003D4A2B">
        <w:fldChar w:fldCharType="begin"/>
      </w:r>
      <w:r w:rsidR="003D4A2B">
        <w:instrText xml:space="preserve"> HYPERLINK "https://undocs.org/fr/CED/C/BOL/Q/1" </w:instrText>
      </w:r>
      <w:r w:rsidR="003D4A2B">
        <w:fldChar w:fldCharType="separate"/>
      </w:r>
      <w:r w:rsidRPr="00C86244">
        <w:rPr>
          <w:rStyle w:val="Lienhypertexte"/>
        </w:rPr>
        <w:t>CED</w:t>
      </w:r>
      <w:proofErr w:type="spellEnd"/>
      <w:r w:rsidRPr="00C86244">
        <w:rPr>
          <w:rStyle w:val="Lienhypertexte"/>
        </w:rPr>
        <w:t>/C/BOL/Q/1</w:t>
      </w:r>
      <w:r w:rsidR="003D4A2B">
        <w:rPr>
          <w:rStyle w:val="Lienhypertexte"/>
        </w:rPr>
        <w:fldChar w:fldCharType="end"/>
      </w:r>
      <w:r w:rsidRPr="000A0ECE">
        <w:t>) et la Slovaquie (</w:t>
      </w:r>
      <w:proofErr w:type="spellStart"/>
      <w:r w:rsidR="003D4A2B">
        <w:fldChar w:fldCharType="begin"/>
      </w:r>
      <w:r w:rsidR="003D4A2B">
        <w:instrText xml:space="preserve"> HYPERLINK "https://undocs.org/fr/CED/C/SVK/Q/1" </w:instrText>
      </w:r>
      <w:r w:rsidR="003D4A2B">
        <w:fldChar w:fldCharType="separate"/>
      </w:r>
      <w:r w:rsidRPr="00C86244">
        <w:rPr>
          <w:rStyle w:val="Lienhypertexte"/>
        </w:rPr>
        <w:t>CED</w:t>
      </w:r>
      <w:proofErr w:type="spellEnd"/>
      <w:r w:rsidRPr="00C86244">
        <w:rPr>
          <w:rStyle w:val="Lienhypertexte"/>
        </w:rPr>
        <w:t>/C/</w:t>
      </w:r>
      <w:proofErr w:type="spellStart"/>
      <w:r w:rsidRPr="00C86244">
        <w:rPr>
          <w:rStyle w:val="Lienhypertexte"/>
        </w:rPr>
        <w:t>SVK</w:t>
      </w:r>
      <w:proofErr w:type="spellEnd"/>
      <w:r w:rsidRPr="00C86244">
        <w:rPr>
          <w:rStyle w:val="Lienhypertexte"/>
        </w:rPr>
        <w:t>/Q/1</w:t>
      </w:r>
      <w:r w:rsidR="003D4A2B">
        <w:rPr>
          <w:rStyle w:val="Lienhypertexte"/>
        </w:rPr>
        <w:fldChar w:fldCharType="end"/>
      </w:r>
      <w:r w:rsidRPr="000A0ECE">
        <w:t>).</w:t>
      </w:r>
    </w:p>
    <w:p w:rsidR="000A0ECE" w:rsidRPr="000A0ECE" w:rsidRDefault="000A0ECE" w:rsidP="00DA1C52">
      <w:pPr>
        <w:pStyle w:val="HChG"/>
      </w:pPr>
      <w:r>
        <w:br w:type="page"/>
      </w:r>
      <w:r w:rsidR="00DA1C52">
        <w:lastRenderedPageBreak/>
        <w:tab/>
      </w:r>
      <w:r w:rsidR="00DA1C52">
        <w:tab/>
        <w:t xml:space="preserve">Chapitre VII </w:t>
      </w:r>
      <w:r w:rsidR="00DA1C52">
        <w:br/>
      </w:r>
      <w:r w:rsidRPr="000A0ECE">
        <w:t>Établissement de rapports au titre de la Convention</w:t>
      </w:r>
      <w:bookmarkStart w:id="51" w:name="_Toc460489546"/>
      <w:bookmarkStart w:id="52" w:name="_Toc522200468"/>
      <w:bookmarkEnd w:id="51"/>
      <w:bookmarkEnd w:id="52"/>
    </w:p>
    <w:p w:rsidR="000A0ECE" w:rsidRPr="000A0ECE" w:rsidRDefault="000A0ECE" w:rsidP="000A0ECE">
      <w:pPr>
        <w:pStyle w:val="SingleTxtG"/>
      </w:pPr>
      <w:r w:rsidRPr="000A0ECE">
        <w:t>26.</w:t>
      </w:r>
      <w:r w:rsidRPr="000A0ECE">
        <w:tab/>
        <w:t>À sa quinzième session, le Comité a remercié l’ensemble des États parties ayant soumis leur rapport dans les délais impartis et a encouragé les autres à suivre leur exemple. Le Comité s’est déclaré profondément préoccupé par le grand nombre de rapports en retard, en particulier dans le cas du Brésil, du Mali et du Nigéria, qui ont été parmi les premiers à ratifier la Convention. Il a noté que les rapports du Belize, du Cambodge, du Costa Rica, de la Grèce, du Lesotho, de Malte, du Maroc, de la Mauritanie, de la Mongolie, du Niger, du Panama, du Samoa, de Sri Lanka, du Togo, de l’Ukraine et de la Zambie avaient beaucoup de retard. Rappelant que la soumission des rapports en temps voulu était une condition préalable au bon fonctionnement du Comité, le Président a exhorté les États parties à s’acquitter de l’obligation juridique qui leur incombait de soumettre leur rapport dans les délais fixés.</w:t>
      </w:r>
    </w:p>
    <w:p w:rsidR="000A0ECE" w:rsidRPr="000A0ECE" w:rsidRDefault="000A0ECE" w:rsidP="000A0ECE">
      <w:pPr>
        <w:pStyle w:val="SingleTxtG"/>
      </w:pPr>
      <w:r w:rsidRPr="000A0ECE">
        <w:t>27.</w:t>
      </w:r>
      <w:r w:rsidRPr="000A0ECE">
        <w:tab/>
        <w:t>Entre les quinzième et seizième sessions, la Grèce, la Mongolie et la Suisse ont s</w:t>
      </w:r>
      <w:r w:rsidR="00C30429">
        <w:t>oumis leurs rapports au Comité.</w:t>
      </w:r>
    </w:p>
    <w:p w:rsidR="000A0ECE" w:rsidRPr="000A0ECE" w:rsidRDefault="000A0ECE" w:rsidP="000A0ECE">
      <w:pPr>
        <w:pStyle w:val="SingleTxtG"/>
      </w:pPr>
      <w:r w:rsidRPr="000A0ECE">
        <w:t>28.</w:t>
      </w:r>
      <w:r w:rsidRPr="000A0ECE">
        <w:tab/>
        <w:t xml:space="preserve">En février 2019, le Comité a adressé : un premier rappel à la République centrafricaine et à Sri Lanka ; un deuxième rappel au Belize, à </w:t>
      </w:r>
      <w:r w:rsidR="00C30429">
        <w:t>Malte, au Niger et à l’Ukraine </w:t>
      </w:r>
      <w:r w:rsidRPr="000A0ECE">
        <w:t>; un troisiè</w:t>
      </w:r>
      <w:r w:rsidR="00C30429">
        <w:t>me rappel au Lesotho et au Togo</w:t>
      </w:r>
      <w:r w:rsidRPr="000A0ECE">
        <w:t> ; un quatrième</w:t>
      </w:r>
      <w:r w:rsidR="00C30429">
        <w:t xml:space="preserve"> rappel au Cambodge et au Maroc</w:t>
      </w:r>
      <w:r w:rsidRPr="000A0ECE">
        <w:t> ; un cinquième rappel au Costa Rica, à la Mauritanie et au Samoa  et un sixième rappel au Panama et à la Zambie.</w:t>
      </w:r>
    </w:p>
    <w:p w:rsidR="000A0ECE" w:rsidRDefault="000A0ECE" w:rsidP="000A0ECE">
      <w:pPr>
        <w:pStyle w:val="SingleTxtG"/>
      </w:pPr>
      <w:r w:rsidRPr="000A0ECE">
        <w:t>29.</w:t>
      </w:r>
      <w:r w:rsidRPr="000A0ECE">
        <w:tab/>
        <w:t>En raison de la pénurie d’effectifs au secrétariat, le Comité a décidé de reporter à une date ultérieure l’adoption d’une liste de points en l’absence du rapport du Nigéria. La liste complète des États parties et l’état de soumission de leurs rapports figurent dans l’annexe au présent document.</w:t>
      </w:r>
    </w:p>
    <w:p w:rsidR="000A0ECE" w:rsidRPr="000A0ECE" w:rsidRDefault="000A0ECE" w:rsidP="00725D1D">
      <w:pPr>
        <w:pStyle w:val="HChG"/>
      </w:pPr>
      <w:r>
        <w:br w:type="page"/>
      </w:r>
      <w:r w:rsidR="00725D1D">
        <w:lastRenderedPageBreak/>
        <w:tab/>
      </w:r>
      <w:r w:rsidR="00725D1D">
        <w:tab/>
        <w:t xml:space="preserve">Chapitre VIII </w:t>
      </w:r>
      <w:r w:rsidR="00725D1D">
        <w:br/>
      </w:r>
      <w:r w:rsidRPr="000A0ECE">
        <w:t>Représailles</w:t>
      </w:r>
      <w:bookmarkStart w:id="53" w:name="_Toc460489547"/>
      <w:bookmarkStart w:id="54" w:name="_Toc522200469"/>
      <w:bookmarkEnd w:id="53"/>
      <w:bookmarkEnd w:id="54"/>
    </w:p>
    <w:p w:rsidR="000A0ECE" w:rsidRDefault="000A0ECE" w:rsidP="000A0ECE">
      <w:pPr>
        <w:pStyle w:val="SingleTxtG"/>
      </w:pPr>
      <w:r w:rsidRPr="000A0ECE">
        <w:t>30.</w:t>
      </w:r>
      <w:r w:rsidRPr="000A0ECE">
        <w:tab/>
        <w:t>Le Comité a noté avec satisfaction qu’au cours de la période considérée, il n’avait reçu aucune allégation de la part de particuliers concernant des actes d’intimidation ou de représailles contre des personnes coopérant ou cherchant à coopérer avec le Comité.</w:t>
      </w:r>
    </w:p>
    <w:p w:rsidR="000A0ECE" w:rsidRPr="000A0ECE" w:rsidRDefault="000A0ECE" w:rsidP="00011C11">
      <w:pPr>
        <w:pStyle w:val="HChG"/>
      </w:pPr>
      <w:r>
        <w:br w:type="page"/>
      </w:r>
      <w:r w:rsidR="00011C11">
        <w:lastRenderedPageBreak/>
        <w:tab/>
      </w:r>
      <w:r w:rsidR="00011C11">
        <w:tab/>
      </w:r>
      <w:r w:rsidRPr="000A0ECE">
        <w:t xml:space="preserve">Chapitre IX </w:t>
      </w:r>
      <w:r w:rsidR="00011C11">
        <w:br/>
      </w:r>
      <w:r w:rsidRPr="000A0ECE">
        <w:t xml:space="preserve">Examen des renseignements complémentaires soumis </w:t>
      </w:r>
      <w:r w:rsidR="00011C11">
        <w:br/>
      </w:r>
      <w:r w:rsidRPr="000A0ECE">
        <w:t xml:space="preserve">par les États parties en application du paragraphe 4 </w:t>
      </w:r>
      <w:r w:rsidR="00011C11">
        <w:br/>
      </w:r>
      <w:r w:rsidRPr="000A0ECE">
        <w:t>de l’article 29 de la Convention</w:t>
      </w:r>
    </w:p>
    <w:p w:rsidR="000A0ECE" w:rsidRPr="000A0ECE" w:rsidRDefault="000A0ECE" w:rsidP="000A0ECE">
      <w:pPr>
        <w:pStyle w:val="SingleTxtG"/>
      </w:pPr>
      <w:r w:rsidRPr="000A0ECE">
        <w:t>31.</w:t>
      </w:r>
      <w:r w:rsidRPr="000A0ECE">
        <w:tab/>
        <w:t>Le Comité a élaboré une nouvelle procédure de suivi pour l’examen des renseignements complémentaires soumis par les États parties en application du paragraphe 4 de l’article 29 de la Convention. Le Mexique ayant soumis des renseignements complémentaires, le Comité a convié l’État partie à un dialogue au titr</w:t>
      </w:r>
      <w:r w:rsidR="00011C11">
        <w:t>e du suivi, qui s’est tenu le 9 </w:t>
      </w:r>
      <w:r w:rsidRPr="000A0ECE">
        <w:t>novembre 2018. Le Comité a ensuite adopté des observations au titre du suivi (</w:t>
      </w:r>
      <w:proofErr w:type="spellStart"/>
      <w:r w:rsidR="003D4A2B">
        <w:fldChar w:fldCharType="begin"/>
      </w:r>
      <w:r w:rsidR="003D4A2B">
        <w:instrText xml:space="preserve"> HYPERLINK "https:</w:instrText>
      </w:r>
      <w:r w:rsidR="003D4A2B">
        <w:instrText xml:space="preserve">//undocs.org/fr/CED/C/MEX/FAI/1" </w:instrText>
      </w:r>
      <w:r w:rsidR="003D4A2B">
        <w:fldChar w:fldCharType="separate"/>
      </w:r>
      <w:r w:rsidRPr="00011C11">
        <w:rPr>
          <w:rStyle w:val="Lienhypertexte"/>
        </w:rPr>
        <w:t>CED</w:t>
      </w:r>
      <w:proofErr w:type="spellEnd"/>
      <w:r w:rsidRPr="00011C11">
        <w:rPr>
          <w:rStyle w:val="Lienhypertexte"/>
        </w:rPr>
        <w:t>/C/</w:t>
      </w:r>
      <w:proofErr w:type="spellStart"/>
      <w:r w:rsidRPr="00011C11">
        <w:rPr>
          <w:rStyle w:val="Lienhypertexte"/>
        </w:rPr>
        <w:t>MEX</w:t>
      </w:r>
      <w:proofErr w:type="spellEnd"/>
      <w:r w:rsidRPr="00011C11">
        <w:rPr>
          <w:rStyle w:val="Lienhypertexte"/>
        </w:rPr>
        <w:t>/FAI/1</w:t>
      </w:r>
      <w:r w:rsidR="003D4A2B">
        <w:rPr>
          <w:rStyle w:val="Lienhypertexte"/>
        </w:rPr>
        <w:fldChar w:fldCharType="end"/>
      </w:r>
      <w:r w:rsidRPr="000A0ECE">
        <w:t xml:space="preserve">). </w:t>
      </w:r>
    </w:p>
    <w:p w:rsidR="000A0ECE" w:rsidRDefault="000A0ECE" w:rsidP="000A0ECE">
      <w:pPr>
        <w:pStyle w:val="SingleTxtG"/>
      </w:pPr>
      <w:r w:rsidRPr="000A0ECE">
        <w:t>32.</w:t>
      </w:r>
      <w:r w:rsidRPr="000A0ECE">
        <w:tab/>
        <w:t>En février 2019, un rappel a été adressé à l’Iraq pour qu’il soumette les renseignements complémentaires attendus en septembre 2018.</w:t>
      </w:r>
    </w:p>
    <w:p w:rsidR="000A0ECE" w:rsidRPr="000A0ECE" w:rsidRDefault="000A0ECE" w:rsidP="009C7AE3">
      <w:pPr>
        <w:pStyle w:val="HChG"/>
      </w:pPr>
      <w:r>
        <w:br w:type="page"/>
      </w:r>
      <w:r w:rsidR="009C7AE3">
        <w:lastRenderedPageBreak/>
        <w:tab/>
      </w:r>
      <w:r w:rsidR="009C7AE3">
        <w:tab/>
      </w:r>
      <w:r w:rsidRPr="000A0ECE">
        <w:t xml:space="preserve">Chapitre X </w:t>
      </w:r>
      <w:r w:rsidR="009C7AE3">
        <w:br/>
      </w:r>
      <w:r w:rsidRPr="000A0ECE">
        <w:t>Procédure d’action en urgence en application de l’article 30 de la Convention</w:t>
      </w:r>
      <w:bookmarkStart w:id="55" w:name="_Toc460489548"/>
      <w:bookmarkStart w:id="56" w:name="_Toc522200470"/>
      <w:bookmarkEnd w:id="55"/>
      <w:bookmarkEnd w:id="56"/>
    </w:p>
    <w:p w:rsidR="000A0ECE" w:rsidRPr="000A0ECE" w:rsidRDefault="009C7AE3" w:rsidP="009C7AE3">
      <w:pPr>
        <w:pStyle w:val="H1G"/>
      </w:pPr>
      <w:r>
        <w:tab/>
      </w:r>
      <w:r w:rsidR="000A0ECE" w:rsidRPr="000A0ECE">
        <w:t>A.</w:t>
      </w:r>
      <w:r w:rsidR="000A0ECE" w:rsidRPr="000A0ECE">
        <w:tab/>
        <w:t>Demandes d’action en urgence reçues et enregistrées depuis la création du Comité</w:t>
      </w:r>
      <w:bookmarkStart w:id="57" w:name="_Toc522200471"/>
      <w:bookmarkEnd w:id="57"/>
    </w:p>
    <w:p w:rsidR="000A0ECE" w:rsidRPr="000A0ECE" w:rsidRDefault="009C7AE3" w:rsidP="000A0ECE">
      <w:pPr>
        <w:pStyle w:val="SingleTxtG"/>
      </w:pPr>
      <w:r>
        <w:t>33.</w:t>
      </w:r>
      <w:r>
        <w:tab/>
        <w:t>Entre 2012 et le 18 </w:t>
      </w:r>
      <w:r w:rsidR="000A0ECE" w:rsidRPr="000A0ECE">
        <w:t>a</w:t>
      </w:r>
      <w:r>
        <w:t>vril 2019, le Comité a reçu 659 </w:t>
      </w:r>
      <w:r w:rsidR="000A0ECE" w:rsidRPr="000A0ECE">
        <w:t xml:space="preserve">demandes d’action en urgence, dont 85 au cours de la </w:t>
      </w:r>
      <w:r>
        <w:t>période considérée. Sur les 659 </w:t>
      </w:r>
      <w:r w:rsidR="000A0ECE" w:rsidRPr="000A0ECE">
        <w:t>demandes, 570 ont été enregistrées. Leur répartition, par année et par pays, est présentée ci-après.</w:t>
      </w:r>
    </w:p>
    <w:p w:rsidR="000A0ECE" w:rsidRPr="009C7AE3" w:rsidRDefault="000A0ECE" w:rsidP="009C7AE3">
      <w:pPr>
        <w:pStyle w:val="H23G"/>
      </w:pPr>
      <w:r w:rsidRPr="009C7AE3">
        <w:t>Demandes d’action en urgence enregistrées, par année et par pays</w:t>
      </w:r>
    </w:p>
    <w:tbl>
      <w:tblPr>
        <w:tblW w:w="9637" w:type="dxa"/>
        <w:tblLayout w:type="fixed"/>
        <w:tblCellMar>
          <w:left w:w="0" w:type="dxa"/>
          <w:right w:w="0" w:type="dxa"/>
        </w:tblCellMar>
        <w:tblLook w:val="04A0" w:firstRow="1" w:lastRow="0" w:firstColumn="1" w:lastColumn="0" w:noHBand="0" w:noVBand="1"/>
      </w:tblPr>
      <w:tblGrid>
        <w:gridCol w:w="709"/>
        <w:gridCol w:w="599"/>
        <w:gridCol w:w="555"/>
        <w:gridCol w:w="555"/>
        <w:gridCol w:w="556"/>
        <w:gridCol w:w="555"/>
        <w:gridCol w:w="555"/>
        <w:gridCol w:w="555"/>
        <w:gridCol w:w="556"/>
        <w:gridCol w:w="555"/>
        <w:gridCol w:w="555"/>
        <w:gridCol w:w="555"/>
        <w:gridCol w:w="556"/>
        <w:gridCol w:w="555"/>
        <w:gridCol w:w="470"/>
        <w:gridCol w:w="450"/>
        <w:gridCol w:w="746"/>
      </w:tblGrid>
      <w:tr w:rsidR="009C7AE3" w:rsidRPr="009C7AE3" w:rsidTr="009D1CD0">
        <w:trPr>
          <w:cantSplit/>
          <w:trHeight w:val="929"/>
          <w:tblHeader/>
        </w:trPr>
        <w:tc>
          <w:tcPr>
            <w:tcW w:w="709" w:type="dxa"/>
            <w:tcBorders>
              <w:top w:val="single" w:sz="4" w:space="0" w:color="auto"/>
              <w:bottom w:val="single" w:sz="12" w:space="0" w:color="auto"/>
            </w:tcBorders>
            <w:shd w:val="clear" w:color="auto" w:fill="auto"/>
            <w:vAlign w:val="bottom"/>
          </w:tcPr>
          <w:p w:rsidR="000A0ECE" w:rsidRPr="009C7AE3" w:rsidRDefault="000A0ECE" w:rsidP="009C7AE3">
            <w:pPr>
              <w:spacing w:before="80" w:after="80" w:line="200" w:lineRule="exact"/>
              <w:ind w:right="113"/>
              <w:rPr>
                <w:i/>
                <w:sz w:val="16"/>
              </w:rPr>
            </w:pPr>
            <w:r w:rsidRPr="009C7AE3">
              <w:rPr>
                <w:i/>
                <w:sz w:val="16"/>
              </w:rPr>
              <w:t>Année</w:t>
            </w:r>
          </w:p>
        </w:tc>
        <w:tc>
          <w:tcPr>
            <w:tcW w:w="599"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Argentine</w:t>
            </w:r>
          </w:p>
        </w:tc>
        <w:tc>
          <w:tcPr>
            <w:tcW w:w="555"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Arménie</w:t>
            </w:r>
          </w:p>
        </w:tc>
        <w:tc>
          <w:tcPr>
            <w:tcW w:w="555"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Brésil</w:t>
            </w:r>
          </w:p>
        </w:tc>
        <w:tc>
          <w:tcPr>
            <w:tcW w:w="556"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Cambodge</w:t>
            </w:r>
          </w:p>
        </w:tc>
        <w:tc>
          <w:tcPr>
            <w:tcW w:w="555"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Colombie</w:t>
            </w:r>
          </w:p>
        </w:tc>
        <w:tc>
          <w:tcPr>
            <w:tcW w:w="555"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Cuba</w:t>
            </w:r>
          </w:p>
        </w:tc>
        <w:tc>
          <w:tcPr>
            <w:tcW w:w="555"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Honduras</w:t>
            </w:r>
          </w:p>
        </w:tc>
        <w:tc>
          <w:tcPr>
            <w:tcW w:w="556"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Iraq</w:t>
            </w:r>
          </w:p>
        </w:tc>
        <w:tc>
          <w:tcPr>
            <w:tcW w:w="555"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Kazakhstan</w:t>
            </w:r>
          </w:p>
        </w:tc>
        <w:tc>
          <w:tcPr>
            <w:tcW w:w="555"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Lituanie</w:t>
            </w:r>
          </w:p>
        </w:tc>
        <w:tc>
          <w:tcPr>
            <w:tcW w:w="555"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Mauritanie</w:t>
            </w:r>
          </w:p>
        </w:tc>
        <w:tc>
          <w:tcPr>
            <w:tcW w:w="556"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Mexique</w:t>
            </w:r>
          </w:p>
        </w:tc>
        <w:tc>
          <w:tcPr>
            <w:tcW w:w="555"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Maroc</w:t>
            </w:r>
          </w:p>
        </w:tc>
        <w:tc>
          <w:tcPr>
            <w:tcW w:w="470"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Sri Lanka</w:t>
            </w:r>
          </w:p>
        </w:tc>
        <w:tc>
          <w:tcPr>
            <w:tcW w:w="450" w:type="dxa"/>
            <w:tcBorders>
              <w:top w:val="single" w:sz="4" w:space="0" w:color="auto"/>
              <w:bottom w:val="single" w:sz="12" w:space="0" w:color="auto"/>
            </w:tcBorders>
            <w:shd w:val="clear" w:color="auto" w:fill="auto"/>
            <w:textDirection w:val="btLr"/>
            <w:vAlign w:val="bottom"/>
          </w:tcPr>
          <w:p w:rsidR="000A0ECE" w:rsidRPr="009C7AE3" w:rsidRDefault="000A0ECE" w:rsidP="00682621">
            <w:pPr>
              <w:spacing w:before="80" w:after="80" w:line="200" w:lineRule="exact"/>
              <w:ind w:left="57" w:right="57"/>
              <w:rPr>
                <w:i/>
                <w:sz w:val="16"/>
              </w:rPr>
            </w:pPr>
            <w:r w:rsidRPr="009C7AE3">
              <w:rPr>
                <w:i/>
                <w:sz w:val="16"/>
              </w:rPr>
              <w:t>Togo</w:t>
            </w:r>
          </w:p>
        </w:tc>
        <w:tc>
          <w:tcPr>
            <w:tcW w:w="746" w:type="dxa"/>
            <w:tcBorders>
              <w:top w:val="single" w:sz="4" w:space="0" w:color="auto"/>
              <w:bottom w:val="single" w:sz="12" w:space="0" w:color="auto"/>
            </w:tcBorders>
            <w:shd w:val="clear" w:color="auto" w:fill="auto"/>
            <w:vAlign w:val="bottom"/>
          </w:tcPr>
          <w:p w:rsidR="000A0ECE" w:rsidRPr="009D1CD0" w:rsidRDefault="000A0ECE" w:rsidP="009C7AE3">
            <w:pPr>
              <w:spacing w:before="80" w:after="80" w:line="200" w:lineRule="exact"/>
              <w:ind w:right="113"/>
              <w:rPr>
                <w:b/>
                <w:i/>
                <w:sz w:val="16"/>
              </w:rPr>
            </w:pPr>
            <w:r w:rsidRPr="009D1CD0">
              <w:rPr>
                <w:b/>
                <w:i/>
                <w:sz w:val="16"/>
              </w:rPr>
              <w:t>Total annuel</w:t>
            </w:r>
          </w:p>
        </w:tc>
      </w:tr>
      <w:tr w:rsidR="009C7AE3" w:rsidRPr="009C7AE3" w:rsidTr="009D1CD0">
        <w:trPr>
          <w:cantSplit/>
          <w:trHeight w:hRule="exact" w:val="113"/>
          <w:tblHeader/>
        </w:trPr>
        <w:tc>
          <w:tcPr>
            <w:tcW w:w="709" w:type="dxa"/>
            <w:tcBorders>
              <w:top w:val="single" w:sz="12" w:space="0" w:color="auto"/>
            </w:tcBorders>
            <w:shd w:val="clear" w:color="auto" w:fill="auto"/>
          </w:tcPr>
          <w:p w:rsidR="009C7AE3" w:rsidRPr="009C7AE3" w:rsidRDefault="009C7AE3" w:rsidP="009C7AE3">
            <w:pPr>
              <w:spacing w:before="40" w:after="120"/>
              <w:ind w:right="113"/>
            </w:pPr>
          </w:p>
        </w:tc>
        <w:tc>
          <w:tcPr>
            <w:tcW w:w="599"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5"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5"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6"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5"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5"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5"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6"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5"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5"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5"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6"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555"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470"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450" w:type="dxa"/>
            <w:tcBorders>
              <w:top w:val="single" w:sz="12" w:space="0" w:color="auto"/>
            </w:tcBorders>
            <w:shd w:val="clear" w:color="auto" w:fill="auto"/>
            <w:textDirection w:val="btLr"/>
          </w:tcPr>
          <w:p w:rsidR="009C7AE3" w:rsidRPr="009C7AE3" w:rsidRDefault="009C7AE3" w:rsidP="009C7AE3">
            <w:pPr>
              <w:spacing w:before="40" w:after="120"/>
              <w:ind w:right="113"/>
            </w:pPr>
          </w:p>
        </w:tc>
        <w:tc>
          <w:tcPr>
            <w:tcW w:w="746" w:type="dxa"/>
            <w:tcBorders>
              <w:top w:val="single" w:sz="12" w:space="0" w:color="auto"/>
            </w:tcBorders>
            <w:shd w:val="clear" w:color="auto" w:fill="auto"/>
          </w:tcPr>
          <w:p w:rsidR="009C7AE3" w:rsidRPr="009D1CD0" w:rsidRDefault="009C7AE3" w:rsidP="009C7AE3">
            <w:pPr>
              <w:spacing w:before="40" w:after="120"/>
              <w:ind w:right="113"/>
              <w:rPr>
                <w:b/>
              </w:rPr>
            </w:pPr>
          </w:p>
        </w:tc>
      </w:tr>
      <w:tr w:rsidR="00682621" w:rsidRPr="009C7AE3" w:rsidTr="009D1CD0">
        <w:tc>
          <w:tcPr>
            <w:tcW w:w="709" w:type="dxa"/>
            <w:shd w:val="clear" w:color="auto" w:fill="auto"/>
          </w:tcPr>
          <w:p w:rsidR="000A0ECE" w:rsidRPr="009C7AE3" w:rsidRDefault="000A0ECE" w:rsidP="009C7AE3">
            <w:pPr>
              <w:spacing w:before="40" w:after="120"/>
              <w:ind w:right="113"/>
            </w:pPr>
            <w:bookmarkStart w:id="58" w:name="_Toc522200472"/>
            <w:r w:rsidRPr="009C7AE3">
              <w:t>2012</w:t>
            </w:r>
          </w:p>
        </w:tc>
        <w:tc>
          <w:tcPr>
            <w:tcW w:w="599"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5</w:t>
            </w:r>
          </w:p>
        </w:tc>
        <w:tc>
          <w:tcPr>
            <w:tcW w:w="555" w:type="dxa"/>
            <w:shd w:val="clear" w:color="auto" w:fill="auto"/>
          </w:tcPr>
          <w:p w:rsidR="000A0ECE" w:rsidRPr="009C7AE3" w:rsidRDefault="000A0ECE" w:rsidP="00F93E27">
            <w:pPr>
              <w:spacing w:before="40" w:after="120"/>
              <w:ind w:right="113"/>
              <w:jc w:val="right"/>
            </w:pPr>
            <w:r w:rsidRPr="009C7AE3">
              <w:t>–</w:t>
            </w:r>
          </w:p>
        </w:tc>
        <w:tc>
          <w:tcPr>
            <w:tcW w:w="470" w:type="dxa"/>
            <w:shd w:val="clear" w:color="auto" w:fill="auto"/>
          </w:tcPr>
          <w:p w:rsidR="000A0ECE" w:rsidRPr="009C7AE3" w:rsidRDefault="000A0ECE" w:rsidP="00F93E27">
            <w:pPr>
              <w:spacing w:before="40" w:after="120"/>
              <w:ind w:right="113"/>
              <w:jc w:val="right"/>
            </w:pPr>
            <w:r w:rsidRPr="009C7AE3">
              <w:t>–</w:t>
            </w:r>
          </w:p>
        </w:tc>
        <w:tc>
          <w:tcPr>
            <w:tcW w:w="450" w:type="dxa"/>
            <w:shd w:val="clear" w:color="auto" w:fill="auto"/>
          </w:tcPr>
          <w:p w:rsidR="000A0ECE" w:rsidRPr="009C7AE3" w:rsidRDefault="000A0ECE" w:rsidP="00F93E27">
            <w:pPr>
              <w:spacing w:before="40" w:after="120"/>
              <w:ind w:right="113"/>
              <w:jc w:val="right"/>
            </w:pPr>
            <w:r w:rsidRPr="009C7AE3">
              <w:t>–</w:t>
            </w:r>
          </w:p>
        </w:tc>
        <w:tc>
          <w:tcPr>
            <w:tcW w:w="746" w:type="dxa"/>
            <w:shd w:val="clear" w:color="auto" w:fill="auto"/>
          </w:tcPr>
          <w:p w:rsidR="000A0ECE" w:rsidRPr="009D1CD0" w:rsidRDefault="000A0ECE" w:rsidP="00F93E27">
            <w:pPr>
              <w:spacing w:before="40" w:after="120"/>
              <w:ind w:right="113"/>
              <w:jc w:val="right"/>
              <w:rPr>
                <w:b/>
              </w:rPr>
            </w:pPr>
            <w:r w:rsidRPr="009D1CD0">
              <w:rPr>
                <w:b/>
              </w:rPr>
              <w:t>5</w:t>
            </w:r>
          </w:p>
        </w:tc>
      </w:tr>
      <w:tr w:rsidR="00682621" w:rsidRPr="009C7AE3" w:rsidTr="009D1CD0">
        <w:tc>
          <w:tcPr>
            <w:tcW w:w="709" w:type="dxa"/>
            <w:shd w:val="clear" w:color="auto" w:fill="auto"/>
          </w:tcPr>
          <w:p w:rsidR="000A0ECE" w:rsidRPr="009C7AE3" w:rsidRDefault="000A0ECE" w:rsidP="009C7AE3">
            <w:pPr>
              <w:spacing w:before="40" w:after="120"/>
              <w:ind w:right="113"/>
            </w:pPr>
            <w:r w:rsidRPr="009C7AE3">
              <w:t>2013</w:t>
            </w:r>
          </w:p>
        </w:tc>
        <w:tc>
          <w:tcPr>
            <w:tcW w:w="599"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1</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6</w:t>
            </w:r>
            <w:r w:rsidRPr="00821061">
              <w:rPr>
                <w:i/>
                <w:vertAlign w:val="superscript"/>
              </w:rPr>
              <w:t>a</w:t>
            </w:r>
          </w:p>
        </w:tc>
        <w:tc>
          <w:tcPr>
            <w:tcW w:w="555" w:type="dxa"/>
            <w:shd w:val="clear" w:color="auto" w:fill="auto"/>
          </w:tcPr>
          <w:p w:rsidR="000A0ECE" w:rsidRPr="009C7AE3" w:rsidRDefault="000A0ECE" w:rsidP="00F93E27">
            <w:pPr>
              <w:spacing w:before="40" w:after="120"/>
              <w:ind w:right="113"/>
              <w:jc w:val="right"/>
            </w:pPr>
            <w:r w:rsidRPr="009C7AE3">
              <w:t>–</w:t>
            </w:r>
          </w:p>
        </w:tc>
        <w:tc>
          <w:tcPr>
            <w:tcW w:w="470" w:type="dxa"/>
            <w:shd w:val="clear" w:color="auto" w:fill="auto"/>
          </w:tcPr>
          <w:p w:rsidR="000A0ECE" w:rsidRPr="009C7AE3" w:rsidRDefault="000A0ECE" w:rsidP="00F93E27">
            <w:pPr>
              <w:spacing w:before="40" w:after="120"/>
              <w:ind w:right="113"/>
              <w:jc w:val="right"/>
            </w:pPr>
            <w:r w:rsidRPr="009C7AE3">
              <w:t>–</w:t>
            </w:r>
          </w:p>
        </w:tc>
        <w:tc>
          <w:tcPr>
            <w:tcW w:w="450" w:type="dxa"/>
            <w:shd w:val="clear" w:color="auto" w:fill="auto"/>
          </w:tcPr>
          <w:p w:rsidR="000A0ECE" w:rsidRPr="009C7AE3" w:rsidRDefault="000A0ECE" w:rsidP="00F93E27">
            <w:pPr>
              <w:spacing w:before="40" w:after="120"/>
              <w:ind w:right="113"/>
              <w:jc w:val="right"/>
            </w:pPr>
            <w:r w:rsidRPr="009C7AE3">
              <w:t>–</w:t>
            </w:r>
          </w:p>
        </w:tc>
        <w:tc>
          <w:tcPr>
            <w:tcW w:w="746" w:type="dxa"/>
            <w:shd w:val="clear" w:color="auto" w:fill="auto"/>
          </w:tcPr>
          <w:p w:rsidR="000A0ECE" w:rsidRPr="009D1CD0" w:rsidRDefault="000A0ECE" w:rsidP="00F93E27">
            <w:pPr>
              <w:spacing w:before="40" w:after="120"/>
              <w:ind w:right="113"/>
              <w:jc w:val="right"/>
              <w:rPr>
                <w:b/>
              </w:rPr>
            </w:pPr>
            <w:r w:rsidRPr="009D1CD0">
              <w:rPr>
                <w:b/>
              </w:rPr>
              <w:t>7</w:t>
            </w:r>
          </w:p>
        </w:tc>
      </w:tr>
      <w:tr w:rsidR="00682621" w:rsidRPr="009C7AE3" w:rsidTr="009D1CD0">
        <w:tc>
          <w:tcPr>
            <w:tcW w:w="709" w:type="dxa"/>
            <w:shd w:val="clear" w:color="auto" w:fill="auto"/>
          </w:tcPr>
          <w:p w:rsidR="000A0ECE" w:rsidRPr="009C7AE3" w:rsidRDefault="000A0ECE" w:rsidP="009C7AE3">
            <w:pPr>
              <w:spacing w:before="40" w:after="120"/>
              <w:ind w:right="113"/>
            </w:pPr>
            <w:r w:rsidRPr="009C7AE3">
              <w:t>2014</w:t>
            </w:r>
          </w:p>
        </w:tc>
        <w:tc>
          <w:tcPr>
            <w:tcW w:w="599"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1</w:t>
            </w:r>
          </w:p>
        </w:tc>
        <w:tc>
          <w:tcPr>
            <w:tcW w:w="556" w:type="dxa"/>
            <w:shd w:val="clear" w:color="auto" w:fill="auto"/>
          </w:tcPr>
          <w:p w:rsidR="000A0ECE" w:rsidRPr="009C7AE3" w:rsidRDefault="000A0ECE" w:rsidP="00F93E27">
            <w:pPr>
              <w:spacing w:before="40" w:after="120"/>
              <w:ind w:right="113"/>
              <w:jc w:val="right"/>
            </w:pPr>
            <w:r w:rsidRPr="009C7AE3">
              <w:t>1</w:t>
            </w:r>
          </w:p>
        </w:tc>
        <w:tc>
          <w:tcPr>
            <w:tcW w:w="555" w:type="dxa"/>
            <w:shd w:val="clear" w:color="auto" w:fill="auto"/>
          </w:tcPr>
          <w:p w:rsidR="000A0ECE" w:rsidRPr="009C7AE3" w:rsidRDefault="000A0ECE" w:rsidP="00F93E27">
            <w:pPr>
              <w:spacing w:before="40" w:after="120"/>
              <w:ind w:right="113"/>
              <w:jc w:val="right"/>
            </w:pPr>
            <w:r w:rsidRPr="009C7AE3">
              <w:t>1</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5</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43</w:t>
            </w:r>
          </w:p>
        </w:tc>
        <w:tc>
          <w:tcPr>
            <w:tcW w:w="555" w:type="dxa"/>
            <w:shd w:val="clear" w:color="auto" w:fill="auto"/>
          </w:tcPr>
          <w:p w:rsidR="000A0ECE" w:rsidRPr="009C7AE3" w:rsidRDefault="000A0ECE" w:rsidP="00F93E27">
            <w:pPr>
              <w:spacing w:before="40" w:after="120"/>
              <w:ind w:right="113"/>
              <w:jc w:val="right"/>
            </w:pPr>
            <w:r w:rsidRPr="009C7AE3">
              <w:t>–</w:t>
            </w:r>
          </w:p>
        </w:tc>
        <w:tc>
          <w:tcPr>
            <w:tcW w:w="470" w:type="dxa"/>
            <w:shd w:val="clear" w:color="auto" w:fill="auto"/>
          </w:tcPr>
          <w:p w:rsidR="000A0ECE" w:rsidRPr="009C7AE3" w:rsidRDefault="000A0ECE" w:rsidP="00F93E27">
            <w:pPr>
              <w:spacing w:before="40" w:after="120"/>
              <w:ind w:right="113"/>
              <w:jc w:val="right"/>
            </w:pPr>
            <w:r w:rsidRPr="009C7AE3">
              <w:t>–</w:t>
            </w:r>
          </w:p>
        </w:tc>
        <w:tc>
          <w:tcPr>
            <w:tcW w:w="450" w:type="dxa"/>
            <w:shd w:val="clear" w:color="auto" w:fill="auto"/>
          </w:tcPr>
          <w:p w:rsidR="000A0ECE" w:rsidRPr="009C7AE3" w:rsidRDefault="000A0ECE" w:rsidP="00F93E27">
            <w:pPr>
              <w:spacing w:before="40" w:after="120"/>
              <w:ind w:right="113"/>
              <w:jc w:val="right"/>
            </w:pPr>
            <w:r w:rsidRPr="009C7AE3">
              <w:t>–</w:t>
            </w:r>
          </w:p>
        </w:tc>
        <w:tc>
          <w:tcPr>
            <w:tcW w:w="746" w:type="dxa"/>
            <w:shd w:val="clear" w:color="auto" w:fill="auto"/>
          </w:tcPr>
          <w:p w:rsidR="000A0ECE" w:rsidRPr="009D1CD0" w:rsidRDefault="000A0ECE" w:rsidP="00F93E27">
            <w:pPr>
              <w:spacing w:before="40" w:after="120"/>
              <w:ind w:right="113"/>
              <w:jc w:val="right"/>
              <w:rPr>
                <w:b/>
              </w:rPr>
            </w:pPr>
            <w:r w:rsidRPr="009D1CD0">
              <w:rPr>
                <w:b/>
              </w:rPr>
              <w:t>51</w:t>
            </w:r>
          </w:p>
        </w:tc>
      </w:tr>
      <w:tr w:rsidR="00682621" w:rsidRPr="009C7AE3" w:rsidTr="009D1CD0">
        <w:tc>
          <w:tcPr>
            <w:tcW w:w="709" w:type="dxa"/>
            <w:shd w:val="clear" w:color="auto" w:fill="auto"/>
          </w:tcPr>
          <w:p w:rsidR="000A0ECE" w:rsidRPr="009C7AE3" w:rsidRDefault="000A0ECE" w:rsidP="009C7AE3">
            <w:pPr>
              <w:spacing w:before="40" w:after="120"/>
              <w:ind w:right="113"/>
            </w:pPr>
            <w:r w:rsidRPr="009C7AE3">
              <w:t>2015</w:t>
            </w:r>
          </w:p>
        </w:tc>
        <w:tc>
          <w:tcPr>
            <w:tcW w:w="599"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3</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42</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165</w:t>
            </w:r>
          </w:p>
        </w:tc>
        <w:tc>
          <w:tcPr>
            <w:tcW w:w="555" w:type="dxa"/>
            <w:shd w:val="clear" w:color="auto" w:fill="auto"/>
          </w:tcPr>
          <w:p w:rsidR="000A0ECE" w:rsidRPr="009C7AE3" w:rsidRDefault="000A0ECE" w:rsidP="00F93E27">
            <w:pPr>
              <w:spacing w:before="40" w:after="120"/>
              <w:ind w:right="113"/>
              <w:jc w:val="right"/>
            </w:pPr>
            <w:r w:rsidRPr="009C7AE3">
              <w:t>–</w:t>
            </w:r>
          </w:p>
        </w:tc>
        <w:tc>
          <w:tcPr>
            <w:tcW w:w="470" w:type="dxa"/>
            <w:shd w:val="clear" w:color="auto" w:fill="auto"/>
          </w:tcPr>
          <w:p w:rsidR="000A0ECE" w:rsidRPr="009C7AE3" w:rsidRDefault="000A0ECE" w:rsidP="00F93E27">
            <w:pPr>
              <w:spacing w:before="40" w:after="120"/>
              <w:ind w:right="113"/>
              <w:jc w:val="right"/>
            </w:pPr>
            <w:r w:rsidRPr="009C7AE3">
              <w:t>–</w:t>
            </w:r>
          </w:p>
        </w:tc>
        <w:tc>
          <w:tcPr>
            <w:tcW w:w="450" w:type="dxa"/>
            <w:shd w:val="clear" w:color="auto" w:fill="auto"/>
          </w:tcPr>
          <w:p w:rsidR="000A0ECE" w:rsidRPr="009C7AE3" w:rsidRDefault="000A0ECE" w:rsidP="00F93E27">
            <w:pPr>
              <w:spacing w:before="40" w:after="120"/>
              <w:ind w:right="113"/>
              <w:jc w:val="right"/>
            </w:pPr>
            <w:r w:rsidRPr="009C7AE3">
              <w:t>–</w:t>
            </w:r>
          </w:p>
        </w:tc>
        <w:tc>
          <w:tcPr>
            <w:tcW w:w="746" w:type="dxa"/>
            <w:shd w:val="clear" w:color="auto" w:fill="auto"/>
          </w:tcPr>
          <w:p w:rsidR="000A0ECE" w:rsidRPr="009D1CD0" w:rsidRDefault="000A0ECE" w:rsidP="00F93E27">
            <w:pPr>
              <w:spacing w:before="40" w:after="120"/>
              <w:ind w:right="113"/>
              <w:jc w:val="right"/>
              <w:rPr>
                <w:b/>
              </w:rPr>
            </w:pPr>
            <w:r w:rsidRPr="009D1CD0">
              <w:rPr>
                <w:b/>
              </w:rPr>
              <w:t>210</w:t>
            </w:r>
          </w:p>
        </w:tc>
      </w:tr>
      <w:tr w:rsidR="00682621" w:rsidRPr="009C7AE3" w:rsidTr="009D1CD0">
        <w:tc>
          <w:tcPr>
            <w:tcW w:w="709" w:type="dxa"/>
            <w:shd w:val="clear" w:color="auto" w:fill="auto"/>
          </w:tcPr>
          <w:p w:rsidR="000A0ECE" w:rsidRPr="009C7AE3" w:rsidRDefault="000A0ECE" w:rsidP="009C7AE3">
            <w:pPr>
              <w:spacing w:before="40" w:after="120"/>
              <w:ind w:right="113"/>
            </w:pPr>
            <w:r w:rsidRPr="009C7AE3">
              <w:t>2016</w:t>
            </w:r>
          </w:p>
        </w:tc>
        <w:tc>
          <w:tcPr>
            <w:tcW w:w="599"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4</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22</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58</w:t>
            </w:r>
          </w:p>
        </w:tc>
        <w:tc>
          <w:tcPr>
            <w:tcW w:w="555" w:type="dxa"/>
            <w:shd w:val="clear" w:color="auto" w:fill="auto"/>
          </w:tcPr>
          <w:p w:rsidR="000A0ECE" w:rsidRPr="009C7AE3" w:rsidRDefault="000A0ECE" w:rsidP="00F93E27">
            <w:pPr>
              <w:spacing w:before="40" w:after="120"/>
              <w:ind w:right="113"/>
              <w:jc w:val="right"/>
            </w:pPr>
            <w:r w:rsidRPr="009C7AE3">
              <w:t>1</w:t>
            </w:r>
          </w:p>
        </w:tc>
        <w:tc>
          <w:tcPr>
            <w:tcW w:w="470" w:type="dxa"/>
            <w:shd w:val="clear" w:color="auto" w:fill="auto"/>
          </w:tcPr>
          <w:p w:rsidR="000A0ECE" w:rsidRPr="009C7AE3" w:rsidRDefault="000A0ECE" w:rsidP="00F93E27">
            <w:pPr>
              <w:spacing w:before="40" w:after="120"/>
              <w:ind w:right="113"/>
              <w:jc w:val="right"/>
            </w:pPr>
            <w:r w:rsidRPr="009C7AE3">
              <w:t>–</w:t>
            </w:r>
          </w:p>
        </w:tc>
        <w:tc>
          <w:tcPr>
            <w:tcW w:w="450" w:type="dxa"/>
            <w:shd w:val="clear" w:color="auto" w:fill="auto"/>
          </w:tcPr>
          <w:p w:rsidR="000A0ECE" w:rsidRPr="009C7AE3" w:rsidRDefault="000A0ECE" w:rsidP="00F93E27">
            <w:pPr>
              <w:spacing w:before="40" w:after="120"/>
              <w:ind w:right="113"/>
              <w:jc w:val="right"/>
            </w:pPr>
            <w:r w:rsidRPr="009C7AE3">
              <w:t>–</w:t>
            </w:r>
          </w:p>
        </w:tc>
        <w:tc>
          <w:tcPr>
            <w:tcW w:w="746" w:type="dxa"/>
            <w:shd w:val="clear" w:color="auto" w:fill="auto"/>
          </w:tcPr>
          <w:p w:rsidR="000A0ECE" w:rsidRPr="009D1CD0" w:rsidRDefault="000A0ECE" w:rsidP="00F93E27">
            <w:pPr>
              <w:spacing w:before="40" w:after="120"/>
              <w:ind w:right="113"/>
              <w:jc w:val="right"/>
              <w:rPr>
                <w:b/>
              </w:rPr>
            </w:pPr>
            <w:r w:rsidRPr="009D1CD0">
              <w:rPr>
                <w:b/>
              </w:rPr>
              <w:t>85</w:t>
            </w:r>
          </w:p>
        </w:tc>
      </w:tr>
      <w:tr w:rsidR="00682621" w:rsidRPr="009C7AE3" w:rsidTr="009D1CD0">
        <w:tc>
          <w:tcPr>
            <w:tcW w:w="709" w:type="dxa"/>
            <w:shd w:val="clear" w:color="auto" w:fill="auto"/>
          </w:tcPr>
          <w:p w:rsidR="000A0ECE" w:rsidRPr="009C7AE3" w:rsidRDefault="000A0ECE" w:rsidP="009C7AE3">
            <w:pPr>
              <w:spacing w:before="40" w:after="120"/>
              <w:ind w:right="113"/>
            </w:pPr>
            <w:r w:rsidRPr="009C7AE3">
              <w:t>2017</w:t>
            </w:r>
          </w:p>
        </w:tc>
        <w:tc>
          <w:tcPr>
            <w:tcW w:w="599" w:type="dxa"/>
            <w:shd w:val="clear" w:color="auto" w:fill="auto"/>
          </w:tcPr>
          <w:p w:rsidR="000A0ECE" w:rsidRPr="009C7AE3" w:rsidRDefault="000A0ECE" w:rsidP="00F93E27">
            <w:pPr>
              <w:spacing w:before="40" w:after="120"/>
              <w:ind w:right="113"/>
              <w:jc w:val="right"/>
            </w:pPr>
            <w:r w:rsidRPr="009C7AE3">
              <w:t>2</w:t>
            </w:r>
          </w:p>
        </w:tc>
        <w:tc>
          <w:tcPr>
            <w:tcW w:w="555" w:type="dxa"/>
            <w:shd w:val="clear" w:color="auto" w:fill="auto"/>
          </w:tcPr>
          <w:p w:rsidR="000A0ECE" w:rsidRPr="009C7AE3" w:rsidRDefault="000A0ECE" w:rsidP="00F93E27">
            <w:pPr>
              <w:spacing w:before="40" w:after="120"/>
              <w:ind w:right="113"/>
              <w:jc w:val="right"/>
            </w:pPr>
            <w:r w:rsidRPr="009C7AE3">
              <w:t>1</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3</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43</w:t>
            </w:r>
          </w:p>
        </w:tc>
        <w:tc>
          <w:tcPr>
            <w:tcW w:w="555" w:type="dxa"/>
            <w:shd w:val="clear" w:color="auto" w:fill="auto"/>
          </w:tcPr>
          <w:p w:rsidR="000A0ECE" w:rsidRPr="009C7AE3" w:rsidRDefault="000A0ECE" w:rsidP="00F93E27">
            <w:pPr>
              <w:spacing w:before="40" w:after="120"/>
              <w:ind w:right="113"/>
              <w:jc w:val="right"/>
            </w:pPr>
            <w:r w:rsidRPr="009C7AE3">
              <w:t>2</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1</w:t>
            </w:r>
          </w:p>
        </w:tc>
        <w:tc>
          <w:tcPr>
            <w:tcW w:w="556" w:type="dxa"/>
            <w:shd w:val="clear" w:color="auto" w:fill="auto"/>
          </w:tcPr>
          <w:p w:rsidR="000A0ECE" w:rsidRPr="009C7AE3" w:rsidRDefault="000A0ECE" w:rsidP="00F93E27">
            <w:pPr>
              <w:spacing w:before="40" w:after="120"/>
              <w:ind w:right="113"/>
              <w:jc w:val="right"/>
            </w:pPr>
            <w:r w:rsidRPr="009C7AE3">
              <w:t>31</w:t>
            </w:r>
          </w:p>
        </w:tc>
        <w:tc>
          <w:tcPr>
            <w:tcW w:w="555" w:type="dxa"/>
            <w:shd w:val="clear" w:color="auto" w:fill="auto"/>
          </w:tcPr>
          <w:p w:rsidR="000A0ECE" w:rsidRPr="009C7AE3" w:rsidRDefault="000A0ECE" w:rsidP="00F93E27">
            <w:pPr>
              <w:spacing w:before="40" w:after="120"/>
              <w:ind w:right="113"/>
              <w:jc w:val="right"/>
            </w:pPr>
            <w:r w:rsidRPr="009C7AE3">
              <w:t>2</w:t>
            </w:r>
          </w:p>
        </w:tc>
        <w:tc>
          <w:tcPr>
            <w:tcW w:w="470" w:type="dxa"/>
            <w:shd w:val="clear" w:color="auto" w:fill="auto"/>
          </w:tcPr>
          <w:p w:rsidR="000A0ECE" w:rsidRPr="009C7AE3" w:rsidRDefault="000A0ECE" w:rsidP="00F93E27">
            <w:pPr>
              <w:spacing w:before="40" w:after="120"/>
              <w:ind w:right="113"/>
              <w:jc w:val="right"/>
            </w:pPr>
            <w:r w:rsidRPr="009C7AE3">
              <w:t>1</w:t>
            </w:r>
          </w:p>
        </w:tc>
        <w:tc>
          <w:tcPr>
            <w:tcW w:w="450" w:type="dxa"/>
            <w:shd w:val="clear" w:color="auto" w:fill="auto"/>
          </w:tcPr>
          <w:p w:rsidR="000A0ECE" w:rsidRPr="009C7AE3" w:rsidRDefault="000A0ECE" w:rsidP="00F93E27">
            <w:pPr>
              <w:spacing w:before="40" w:after="120"/>
              <w:ind w:right="113"/>
              <w:jc w:val="right"/>
            </w:pPr>
            <w:r w:rsidRPr="009C7AE3">
              <w:t>–</w:t>
            </w:r>
          </w:p>
        </w:tc>
        <w:tc>
          <w:tcPr>
            <w:tcW w:w="746" w:type="dxa"/>
            <w:shd w:val="clear" w:color="auto" w:fill="auto"/>
          </w:tcPr>
          <w:p w:rsidR="000A0ECE" w:rsidRPr="009D1CD0" w:rsidRDefault="000A0ECE" w:rsidP="00F93E27">
            <w:pPr>
              <w:spacing w:before="40" w:after="120"/>
              <w:ind w:right="113"/>
              <w:jc w:val="right"/>
              <w:rPr>
                <w:b/>
              </w:rPr>
            </w:pPr>
            <w:r w:rsidRPr="009D1CD0">
              <w:rPr>
                <w:b/>
              </w:rPr>
              <w:t>86</w:t>
            </w:r>
          </w:p>
        </w:tc>
      </w:tr>
      <w:tr w:rsidR="00682621" w:rsidRPr="009C7AE3" w:rsidTr="009D1CD0">
        <w:tc>
          <w:tcPr>
            <w:tcW w:w="709" w:type="dxa"/>
            <w:shd w:val="clear" w:color="auto" w:fill="auto"/>
          </w:tcPr>
          <w:p w:rsidR="000A0ECE" w:rsidRPr="009C7AE3" w:rsidRDefault="000A0ECE" w:rsidP="009C7AE3">
            <w:pPr>
              <w:spacing w:before="40" w:after="120"/>
              <w:ind w:right="113"/>
            </w:pPr>
            <w:r w:rsidRPr="009C7AE3">
              <w:t>2018</w:t>
            </w:r>
          </w:p>
        </w:tc>
        <w:tc>
          <w:tcPr>
            <w:tcW w:w="599"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9</w:t>
            </w:r>
          </w:p>
        </w:tc>
        <w:tc>
          <w:tcPr>
            <w:tcW w:w="555" w:type="dxa"/>
            <w:shd w:val="clear" w:color="auto" w:fill="auto"/>
          </w:tcPr>
          <w:p w:rsidR="000A0ECE" w:rsidRPr="009C7AE3" w:rsidRDefault="000A0ECE" w:rsidP="00F93E27">
            <w:pPr>
              <w:spacing w:before="40" w:after="120"/>
              <w:ind w:right="113"/>
              <w:jc w:val="right"/>
            </w:pPr>
            <w:r w:rsidRPr="009C7AE3">
              <w:t>1</w:t>
            </w:r>
          </w:p>
        </w:tc>
        <w:tc>
          <w:tcPr>
            <w:tcW w:w="555" w:type="dxa"/>
            <w:shd w:val="clear" w:color="auto" w:fill="auto"/>
          </w:tcPr>
          <w:p w:rsidR="000A0ECE" w:rsidRPr="009C7AE3" w:rsidRDefault="000A0ECE" w:rsidP="00F93E27">
            <w:pPr>
              <w:spacing w:before="40" w:after="120"/>
              <w:ind w:right="113"/>
              <w:jc w:val="right"/>
            </w:pPr>
            <w:r w:rsidRPr="009C7AE3">
              <w:t>14</w:t>
            </w:r>
          </w:p>
        </w:tc>
        <w:tc>
          <w:tcPr>
            <w:tcW w:w="556" w:type="dxa"/>
            <w:shd w:val="clear" w:color="auto" w:fill="auto"/>
          </w:tcPr>
          <w:p w:rsidR="000A0ECE" w:rsidRPr="009C7AE3" w:rsidRDefault="000A0ECE" w:rsidP="00F93E27">
            <w:pPr>
              <w:spacing w:before="40" w:after="120"/>
              <w:ind w:right="113"/>
              <w:jc w:val="right"/>
            </w:pPr>
            <w:r w:rsidRPr="009C7AE3">
              <w:t>50</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5" w:type="dxa"/>
            <w:shd w:val="clear" w:color="auto" w:fill="auto"/>
          </w:tcPr>
          <w:p w:rsidR="000A0ECE" w:rsidRPr="009C7AE3" w:rsidRDefault="000A0ECE" w:rsidP="00F93E27">
            <w:pPr>
              <w:spacing w:before="40" w:after="120"/>
              <w:ind w:right="113"/>
              <w:jc w:val="right"/>
            </w:pPr>
            <w:r w:rsidRPr="009C7AE3">
              <w:t>–</w:t>
            </w:r>
          </w:p>
        </w:tc>
        <w:tc>
          <w:tcPr>
            <w:tcW w:w="556" w:type="dxa"/>
            <w:shd w:val="clear" w:color="auto" w:fill="auto"/>
          </w:tcPr>
          <w:p w:rsidR="000A0ECE" w:rsidRPr="009C7AE3" w:rsidRDefault="000A0ECE" w:rsidP="00F93E27">
            <w:pPr>
              <w:spacing w:before="40" w:after="120"/>
              <w:ind w:right="113"/>
              <w:jc w:val="right"/>
            </w:pPr>
            <w:r w:rsidRPr="009C7AE3">
              <w:t>42</w:t>
            </w:r>
          </w:p>
        </w:tc>
        <w:tc>
          <w:tcPr>
            <w:tcW w:w="555" w:type="dxa"/>
            <w:shd w:val="clear" w:color="auto" w:fill="auto"/>
          </w:tcPr>
          <w:p w:rsidR="000A0ECE" w:rsidRPr="009C7AE3" w:rsidRDefault="000A0ECE" w:rsidP="00F93E27">
            <w:pPr>
              <w:spacing w:before="40" w:after="120"/>
              <w:ind w:right="113"/>
              <w:jc w:val="right"/>
            </w:pPr>
            <w:r w:rsidRPr="009C7AE3">
              <w:t>–</w:t>
            </w:r>
          </w:p>
        </w:tc>
        <w:tc>
          <w:tcPr>
            <w:tcW w:w="470" w:type="dxa"/>
            <w:shd w:val="clear" w:color="auto" w:fill="auto"/>
          </w:tcPr>
          <w:p w:rsidR="000A0ECE" w:rsidRPr="009C7AE3" w:rsidRDefault="000A0ECE" w:rsidP="00F93E27">
            <w:pPr>
              <w:spacing w:before="40" w:after="120"/>
              <w:ind w:right="113"/>
              <w:jc w:val="right"/>
            </w:pPr>
            <w:r w:rsidRPr="009C7AE3">
              <w:t>–</w:t>
            </w:r>
          </w:p>
        </w:tc>
        <w:tc>
          <w:tcPr>
            <w:tcW w:w="450" w:type="dxa"/>
            <w:shd w:val="clear" w:color="auto" w:fill="auto"/>
          </w:tcPr>
          <w:p w:rsidR="000A0ECE" w:rsidRPr="009C7AE3" w:rsidRDefault="000A0ECE" w:rsidP="00F93E27">
            <w:pPr>
              <w:spacing w:before="40" w:after="120"/>
              <w:ind w:right="113"/>
              <w:jc w:val="right"/>
            </w:pPr>
            <w:r w:rsidRPr="009C7AE3">
              <w:t>2</w:t>
            </w:r>
          </w:p>
        </w:tc>
        <w:tc>
          <w:tcPr>
            <w:tcW w:w="746" w:type="dxa"/>
            <w:shd w:val="clear" w:color="auto" w:fill="auto"/>
          </w:tcPr>
          <w:p w:rsidR="000A0ECE" w:rsidRPr="009D1CD0" w:rsidRDefault="000A0ECE" w:rsidP="00F93E27">
            <w:pPr>
              <w:spacing w:before="40" w:after="120"/>
              <w:ind w:right="113"/>
              <w:jc w:val="right"/>
              <w:rPr>
                <w:b/>
              </w:rPr>
            </w:pPr>
            <w:r w:rsidRPr="009D1CD0">
              <w:rPr>
                <w:b/>
              </w:rPr>
              <w:t>118</w:t>
            </w:r>
          </w:p>
        </w:tc>
      </w:tr>
      <w:tr w:rsidR="00682621" w:rsidRPr="009C7AE3" w:rsidTr="009D1CD0">
        <w:tc>
          <w:tcPr>
            <w:tcW w:w="709" w:type="dxa"/>
            <w:tcBorders>
              <w:bottom w:val="single" w:sz="4" w:space="0" w:color="auto"/>
            </w:tcBorders>
            <w:shd w:val="clear" w:color="auto" w:fill="auto"/>
          </w:tcPr>
          <w:p w:rsidR="000A0ECE" w:rsidRPr="009C7AE3" w:rsidRDefault="000A0ECE" w:rsidP="009C7AE3">
            <w:pPr>
              <w:spacing w:before="40" w:after="120"/>
              <w:ind w:right="113"/>
            </w:pPr>
            <w:r w:rsidRPr="009C7AE3">
              <w:t>2019</w:t>
            </w:r>
            <w:r w:rsidRPr="0049560F">
              <w:rPr>
                <w:i/>
                <w:vertAlign w:val="superscript"/>
              </w:rPr>
              <w:t>b</w:t>
            </w:r>
          </w:p>
        </w:tc>
        <w:tc>
          <w:tcPr>
            <w:tcW w:w="599"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555"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555"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556" w:type="dxa"/>
            <w:tcBorders>
              <w:bottom w:val="single" w:sz="4" w:space="0" w:color="auto"/>
            </w:tcBorders>
            <w:shd w:val="clear" w:color="auto" w:fill="auto"/>
          </w:tcPr>
          <w:p w:rsidR="000A0ECE" w:rsidRPr="009C7AE3" w:rsidRDefault="000A0ECE" w:rsidP="00F93E27">
            <w:pPr>
              <w:spacing w:before="40" w:after="120"/>
              <w:ind w:right="113"/>
              <w:jc w:val="right"/>
            </w:pPr>
            <w:r w:rsidRPr="009C7AE3">
              <w:t>1</w:t>
            </w:r>
          </w:p>
        </w:tc>
        <w:tc>
          <w:tcPr>
            <w:tcW w:w="555"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555"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555"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556"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555"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555" w:type="dxa"/>
            <w:tcBorders>
              <w:bottom w:val="single" w:sz="4" w:space="0" w:color="auto"/>
            </w:tcBorders>
            <w:shd w:val="clear" w:color="auto" w:fill="auto"/>
          </w:tcPr>
          <w:p w:rsidR="000A0ECE" w:rsidRPr="009C7AE3" w:rsidRDefault="000A0ECE" w:rsidP="00F93E27">
            <w:pPr>
              <w:spacing w:before="40" w:after="120"/>
              <w:ind w:right="113"/>
              <w:jc w:val="right"/>
            </w:pPr>
            <w:r w:rsidRPr="009C7AE3">
              <w:t>1</w:t>
            </w:r>
          </w:p>
        </w:tc>
        <w:tc>
          <w:tcPr>
            <w:tcW w:w="555"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556" w:type="dxa"/>
            <w:tcBorders>
              <w:bottom w:val="single" w:sz="4" w:space="0" w:color="auto"/>
            </w:tcBorders>
            <w:shd w:val="clear" w:color="auto" w:fill="auto"/>
          </w:tcPr>
          <w:p w:rsidR="000A0ECE" w:rsidRPr="009C7AE3" w:rsidRDefault="000A0ECE" w:rsidP="00F93E27">
            <w:pPr>
              <w:spacing w:before="40" w:after="120"/>
              <w:ind w:right="113"/>
              <w:jc w:val="right"/>
            </w:pPr>
            <w:r w:rsidRPr="009C7AE3">
              <w:t>6</w:t>
            </w:r>
          </w:p>
        </w:tc>
        <w:tc>
          <w:tcPr>
            <w:tcW w:w="555"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470"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450" w:type="dxa"/>
            <w:tcBorders>
              <w:bottom w:val="single" w:sz="4" w:space="0" w:color="auto"/>
            </w:tcBorders>
            <w:shd w:val="clear" w:color="auto" w:fill="auto"/>
          </w:tcPr>
          <w:p w:rsidR="000A0ECE" w:rsidRPr="009C7AE3" w:rsidRDefault="000A0ECE" w:rsidP="00F93E27">
            <w:pPr>
              <w:spacing w:before="40" w:after="120"/>
              <w:ind w:right="113"/>
              <w:jc w:val="right"/>
            </w:pPr>
            <w:r w:rsidRPr="009C7AE3">
              <w:t>–</w:t>
            </w:r>
          </w:p>
        </w:tc>
        <w:tc>
          <w:tcPr>
            <w:tcW w:w="746" w:type="dxa"/>
            <w:tcBorders>
              <w:bottom w:val="single" w:sz="4" w:space="0" w:color="auto"/>
            </w:tcBorders>
            <w:shd w:val="clear" w:color="auto" w:fill="auto"/>
          </w:tcPr>
          <w:p w:rsidR="000A0ECE" w:rsidRPr="009D1CD0" w:rsidRDefault="000A0ECE" w:rsidP="00F93E27">
            <w:pPr>
              <w:spacing w:before="40" w:after="120"/>
              <w:ind w:right="113"/>
              <w:jc w:val="right"/>
              <w:rPr>
                <w:b/>
              </w:rPr>
            </w:pPr>
            <w:r w:rsidRPr="009D1CD0">
              <w:rPr>
                <w:b/>
              </w:rPr>
              <w:t>8</w:t>
            </w:r>
          </w:p>
        </w:tc>
      </w:tr>
      <w:tr w:rsidR="00682621" w:rsidRPr="009C7AE3" w:rsidTr="009D1CD0">
        <w:tc>
          <w:tcPr>
            <w:tcW w:w="709" w:type="dxa"/>
            <w:tcBorders>
              <w:top w:val="single" w:sz="4" w:space="0" w:color="auto"/>
              <w:bottom w:val="single" w:sz="12" w:space="0" w:color="auto"/>
            </w:tcBorders>
            <w:shd w:val="clear" w:color="auto" w:fill="auto"/>
          </w:tcPr>
          <w:p w:rsidR="000A0ECE" w:rsidRPr="00C50CB9" w:rsidRDefault="000A0ECE" w:rsidP="00C50CB9">
            <w:pPr>
              <w:spacing w:before="80" w:after="80"/>
              <w:ind w:left="113"/>
              <w:jc w:val="right"/>
              <w:rPr>
                <w:b/>
                <w:bCs/>
              </w:rPr>
            </w:pPr>
            <w:r w:rsidRPr="00C50CB9">
              <w:rPr>
                <w:b/>
                <w:bCs/>
              </w:rPr>
              <w:t>Total</w:t>
            </w:r>
          </w:p>
        </w:tc>
        <w:tc>
          <w:tcPr>
            <w:tcW w:w="599" w:type="dxa"/>
            <w:tcBorders>
              <w:top w:val="single" w:sz="4" w:space="0" w:color="auto"/>
              <w:bottom w:val="single" w:sz="12" w:space="0" w:color="auto"/>
            </w:tcBorders>
            <w:shd w:val="clear" w:color="auto" w:fill="auto"/>
          </w:tcPr>
          <w:p w:rsidR="000A0ECE" w:rsidRPr="00C50CB9" w:rsidRDefault="000A0ECE" w:rsidP="00C50CB9">
            <w:pPr>
              <w:spacing w:before="40" w:after="120"/>
              <w:ind w:right="113"/>
              <w:jc w:val="right"/>
              <w:rPr>
                <w:b/>
                <w:bCs/>
              </w:rPr>
            </w:pPr>
            <w:r w:rsidRPr="00C50CB9">
              <w:rPr>
                <w:b/>
              </w:rPr>
              <w:t>2</w:t>
            </w:r>
          </w:p>
        </w:tc>
        <w:tc>
          <w:tcPr>
            <w:tcW w:w="555"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1</w:t>
            </w:r>
          </w:p>
        </w:tc>
        <w:tc>
          <w:tcPr>
            <w:tcW w:w="555"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1</w:t>
            </w:r>
          </w:p>
        </w:tc>
        <w:tc>
          <w:tcPr>
            <w:tcW w:w="556"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2</w:t>
            </w:r>
          </w:p>
        </w:tc>
        <w:tc>
          <w:tcPr>
            <w:tcW w:w="555"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21</w:t>
            </w:r>
          </w:p>
        </w:tc>
        <w:tc>
          <w:tcPr>
            <w:tcW w:w="555"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1</w:t>
            </w:r>
          </w:p>
        </w:tc>
        <w:tc>
          <w:tcPr>
            <w:tcW w:w="555"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14</w:t>
            </w:r>
          </w:p>
        </w:tc>
        <w:tc>
          <w:tcPr>
            <w:tcW w:w="556"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162</w:t>
            </w:r>
          </w:p>
        </w:tc>
        <w:tc>
          <w:tcPr>
            <w:tcW w:w="555"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2</w:t>
            </w:r>
          </w:p>
        </w:tc>
        <w:tc>
          <w:tcPr>
            <w:tcW w:w="555"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1</w:t>
            </w:r>
          </w:p>
        </w:tc>
        <w:tc>
          <w:tcPr>
            <w:tcW w:w="555"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1</w:t>
            </w:r>
          </w:p>
        </w:tc>
        <w:tc>
          <w:tcPr>
            <w:tcW w:w="556"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356</w:t>
            </w:r>
          </w:p>
        </w:tc>
        <w:tc>
          <w:tcPr>
            <w:tcW w:w="555"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3</w:t>
            </w:r>
          </w:p>
        </w:tc>
        <w:tc>
          <w:tcPr>
            <w:tcW w:w="470"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1</w:t>
            </w:r>
          </w:p>
        </w:tc>
        <w:tc>
          <w:tcPr>
            <w:tcW w:w="450"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2</w:t>
            </w:r>
          </w:p>
        </w:tc>
        <w:tc>
          <w:tcPr>
            <w:tcW w:w="746" w:type="dxa"/>
            <w:tcBorders>
              <w:top w:val="single" w:sz="4" w:space="0" w:color="auto"/>
              <w:bottom w:val="single" w:sz="12" w:space="0" w:color="auto"/>
            </w:tcBorders>
            <w:shd w:val="clear" w:color="auto" w:fill="auto"/>
          </w:tcPr>
          <w:p w:rsidR="000A0ECE" w:rsidRPr="00C50CB9" w:rsidRDefault="000A0ECE" w:rsidP="00F93E27">
            <w:pPr>
              <w:spacing w:before="40" w:after="120"/>
              <w:ind w:right="113"/>
              <w:jc w:val="right"/>
              <w:rPr>
                <w:b/>
                <w:bCs/>
              </w:rPr>
            </w:pPr>
            <w:r w:rsidRPr="00C50CB9">
              <w:rPr>
                <w:b/>
              </w:rPr>
              <w:t>570</w:t>
            </w:r>
          </w:p>
        </w:tc>
      </w:tr>
    </w:tbl>
    <w:bookmarkEnd w:id="58"/>
    <w:p w:rsidR="000A0ECE" w:rsidRPr="00EC7ED0" w:rsidRDefault="000A0ECE" w:rsidP="00FF4B08">
      <w:pPr>
        <w:kinsoku/>
        <w:overflowPunct/>
        <w:autoSpaceDE/>
        <w:autoSpaceDN/>
        <w:adjustRightInd/>
        <w:snapToGrid/>
        <w:spacing w:before="120"/>
        <w:ind w:right="1134" w:firstLine="170"/>
      </w:pPr>
      <w:proofErr w:type="spellStart"/>
      <w:r w:rsidRPr="00EC7ED0">
        <w:rPr>
          <w:rFonts w:eastAsia="Times New Roman"/>
          <w:i/>
          <w:sz w:val="18"/>
          <w:vertAlign w:val="superscript"/>
        </w:rPr>
        <w:t>a</w:t>
      </w:r>
      <w:proofErr w:type="spellEnd"/>
      <w:r w:rsidR="00FF4B08" w:rsidRPr="00EC7ED0">
        <w:rPr>
          <w:rFonts w:eastAsia="Times New Roman"/>
          <w:sz w:val="18"/>
        </w:rPr>
        <w:t xml:space="preserve">  </w:t>
      </w:r>
      <w:r w:rsidRPr="00EC7ED0">
        <w:rPr>
          <w:rFonts w:eastAsia="Times New Roman"/>
          <w:sz w:val="18"/>
        </w:rPr>
        <w:t>L</w:t>
      </w:r>
      <w:r w:rsidR="00821061">
        <w:rPr>
          <w:rFonts w:eastAsia="Times New Roman"/>
          <w:sz w:val="18"/>
        </w:rPr>
        <w:t xml:space="preserve">a demande d’action en urgence </w:t>
      </w:r>
      <w:r w:rsidR="00821061" w:rsidRPr="00821061">
        <w:rPr>
          <w:rFonts w:eastAsia="MS Mincho"/>
          <w:sz w:val="18"/>
        </w:rPr>
        <w:t>n</w:t>
      </w:r>
      <w:r w:rsidR="00821061" w:rsidRPr="00821061">
        <w:rPr>
          <w:rFonts w:eastAsia="MS Mincho"/>
          <w:sz w:val="18"/>
          <w:vertAlign w:val="superscript"/>
        </w:rPr>
        <w:t>o</w:t>
      </w:r>
      <w:r w:rsidR="00821061">
        <w:rPr>
          <w:rFonts w:eastAsia="Times New Roman"/>
          <w:sz w:val="18"/>
        </w:rPr>
        <w:t> </w:t>
      </w:r>
      <w:r w:rsidRPr="00EC7ED0">
        <w:rPr>
          <w:rFonts w:eastAsia="Times New Roman"/>
          <w:sz w:val="18"/>
        </w:rPr>
        <w:t>9/2013 concerne deux personnes. Elle est donc comptabilisée deux fois.</w:t>
      </w:r>
    </w:p>
    <w:p w:rsidR="000A0ECE" w:rsidRPr="00EC7ED0" w:rsidRDefault="000A0ECE" w:rsidP="00FF4B08">
      <w:pPr>
        <w:kinsoku/>
        <w:overflowPunct/>
        <w:autoSpaceDE/>
        <w:autoSpaceDN/>
        <w:adjustRightInd/>
        <w:snapToGrid/>
        <w:spacing w:after="240"/>
        <w:ind w:right="1134" w:firstLine="170"/>
      </w:pPr>
      <w:r w:rsidRPr="00EC7ED0">
        <w:rPr>
          <w:i/>
          <w:vertAlign w:val="superscript"/>
        </w:rPr>
        <w:t>b</w:t>
      </w:r>
      <w:r w:rsidR="00FF4B08" w:rsidRPr="00EC7ED0">
        <w:t xml:space="preserve"> </w:t>
      </w:r>
      <w:r w:rsidRPr="00EC7ED0">
        <w:t xml:space="preserve"> </w:t>
      </w:r>
      <w:r w:rsidR="00FF4B08" w:rsidRPr="00EC7ED0">
        <w:rPr>
          <w:rFonts w:eastAsia="Times New Roman"/>
          <w:sz w:val="18"/>
        </w:rPr>
        <w:t>Au 18 </w:t>
      </w:r>
      <w:r w:rsidRPr="00EC7ED0">
        <w:rPr>
          <w:rFonts w:eastAsia="Times New Roman"/>
          <w:sz w:val="18"/>
        </w:rPr>
        <w:t>avril 2019.</w:t>
      </w:r>
    </w:p>
    <w:p w:rsidR="000A0ECE" w:rsidRPr="000A0ECE" w:rsidRDefault="009D648F" w:rsidP="009D648F">
      <w:pPr>
        <w:pStyle w:val="H1G"/>
      </w:pPr>
      <w:r>
        <w:tab/>
      </w:r>
      <w:r w:rsidR="000A0ECE" w:rsidRPr="000A0ECE">
        <w:t>B.</w:t>
      </w:r>
      <w:r w:rsidR="000A0ECE" w:rsidRPr="000A0ECE">
        <w:tab/>
        <w:t xml:space="preserve">Suite donnée aux demandes d’action en urgence </w:t>
      </w:r>
      <w:r>
        <w:br/>
      </w:r>
      <w:r w:rsidR="000A0ECE" w:rsidRPr="000A0ECE">
        <w:t>après leur enregistreme</w:t>
      </w:r>
      <w:r>
        <w:t>nt </w:t>
      </w:r>
      <w:r w:rsidR="000A0ECE" w:rsidRPr="000A0ECE">
        <w:t xml:space="preserve">: tendances observées </w:t>
      </w:r>
      <w:r>
        <w:br/>
      </w:r>
      <w:r w:rsidR="000A0ECE" w:rsidRPr="000A0ECE">
        <w:t>depuis l</w:t>
      </w:r>
      <w:r>
        <w:t>a quatorzième session (jusqu’au </w:t>
      </w:r>
      <w:r w:rsidR="000A0ECE" w:rsidRPr="000A0ECE">
        <w:t>18 avril 2019)</w:t>
      </w:r>
      <w:bookmarkStart w:id="59" w:name="_Toc522200473"/>
      <w:bookmarkEnd w:id="59"/>
    </w:p>
    <w:p w:rsidR="000A0ECE" w:rsidRPr="000A0ECE" w:rsidRDefault="0030559B" w:rsidP="0030559B">
      <w:pPr>
        <w:pStyle w:val="H23G"/>
      </w:pPr>
      <w:r>
        <w:tab/>
      </w:r>
      <w:r w:rsidR="000A0ECE" w:rsidRPr="000A0ECE">
        <w:t>1.</w:t>
      </w:r>
      <w:r w:rsidR="000A0ECE" w:rsidRPr="000A0ECE">
        <w:tab/>
        <w:t>Relation avec les États parties</w:t>
      </w:r>
      <w:bookmarkStart w:id="60" w:name="_Toc522200474"/>
      <w:bookmarkEnd w:id="60"/>
    </w:p>
    <w:p w:rsidR="000A0ECE" w:rsidRPr="000A0ECE" w:rsidRDefault="000A0ECE" w:rsidP="000A0ECE">
      <w:pPr>
        <w:pStyle w:val="SingleTxtG"/>
      </w:pPr>
      <w:r w:rsidRPr="000A0ECE">
        <w:t>34.</w:t>
      </w:r>
      <w:r w:rsidRPr="000A0ECE">
        <w:tab/>
        <w:t xml:space="preserve">Le Comité se tient en relation avec les États parties par l’intermédiaire de leur mission permanente. Il estime qu’il serait nécessaire d’établir des contacts plus directs avec les autorités chargées de rechercher les personnes disparues et d’enquêter sur leur disparition, de manière à leur faire part directement de ses préoccupations et recommandations chaque fois qu’il convient, ce qui donnerait plus de poids aux recommandations qu’il formule au sujet des demandes d’action en urgence. </w:t>
      </w:r>
    </w:p>
    <w:p w:rsidR="000A0ECE" w:rsidRPr="000A0ECE" w:rsidRDefault="000A0ECE" w:rsidP="000A0ECE">
      <w:pPr>
        <w:pStyle w:val="SingleTxtG"/>
      </w:pPr>
      <w:r w:rsidRPr="000A0ECE">
        <w:t>35.</w:t>
      </w:r>
      <w:r w:rsidRPr="000A0ECE">
        <w:tab/>
        <w:t xml:space="preserve">La majorité des demandes d’action en urgence enregistrées sont encore liées à des événements qui se sont produits au Mexique et en Iraq. </w:t>
      </w:r>
    </w:p>
    <w:p w:rsidR="000A0ECE" w:rsidRPr="000A0ECE" w:rsidRDefault="000A0ECE" w:rsidP="000A0ECE">
      <w:pPr>
        <w:pStyle w:val="SingleTxtG"/>
      </w:pPr>
      <w:r w:rsidRPr="000A0ECE">
        <w:t>36.</w:t>
      </w:r>
      <w:r w:rsidRPr="000A0ECE">
        <w:tab/>
        <w:t>Le Mexique a répon</w:t>
      </w:r>
      <w:r w:rsidR="00EC7ED0">
        <w:t>du à la grande majorité des 356 </w:t>
      </w:r>
      <w:r w:rsidRPr="000A0ECE">
        <w:t>demandes d’action en urgence enregistrées. Au cours de la période considérée, la Mission permanente du Mexique auprès de l’Office des Nations Unies et des autres organisations internationales à Genève a tenu une réunion avec le secrétariat du Comité</w:t>
      </w:r>
      <w:r w:rsidR="00EC7ED0">
        <w:t> </w:t>
      </w:r>
      <w:r w:rsidRPr="000A0ECE">
        <w:t xml:space="preserve">; à cette occasion, elle a exprimé sa préoccupation face à l’enregistrement de cas dans lesquels les actes allégués avaient été commis non par des personnes agissant avec l’autorisation, l’appui ou l’acquiescement de </w:t>
      </w:r>
      <w:r w:rsidRPr="000A0ECE">
        <w:lastRenderedPageBreak/>
        <w:t>l’État, au sens de l’article 2 de la Convention, mais par des groupes criminels. S’agissant des procédures d’action en urgence dans lesquelles l’État partie a répondu aux demandes et recommandations du Comité, les tendances ci-après se dégagent :</w:t>
      </w:r>
    </w:p>
    <w:p w:rsidR="000A0ECE" w:rsidRPr="000A0ECE" w:rsidRDefault="000A0ECE" w:rsidP="00EC7ED0">
      <w:pPr>
        <w:pStyle w:val="SingleTxtG"/>
        <w:ind w:firstLine="567"/>
      </w:pPr>
      <w:r w:rsidRPr="000A0ECE">
        <w:t>a)</w:t>
      </w:r>
      <w:r w:rsidRPr="000A0ECE">
        <w:tab/>
        <w:t>Dans toutes les procédures d’action en urgence engagées, il continue à ressortir des observations de l’État partie et des commentaires des auteurs que les mesures prises sont ponctuelles et isolées, et qu’elles ne semblent pas s’inscrire dans une stratégie d’enquête et de recherche préalablement définie, ni indiquer que des procédures de recherche exh</w:t>
      </w:r>
      <w:r w:rsidR="00EC7ED0">
        <w:t>austives ont été mises en place </w:t>
      </w:r>
      <w:r w:rsidRPr="000A0ECE">
        <w:t>;</w:t>
      </w:r>
    </w:p>
    <w:p w:rsidR="000A0ECE" w:rsidRPr="000A0ECE" w:rsidRDefault="000A0ECE" w:rsidP="00EC7ED0">
      <w:pPr>
        <w:pStyle w:val="SingleTxtG"/>
        <w:ind w:firstLine="567"/>
      </w:pPr>
      <w:r w:rsidRPr="000A0ECE">
        <w:t>b)</w:t>
      </w:r>
      <w:r w:rsidRPr="000A0ECE">
        <w:tab/>
        <w:t>Dans bien des cas, c’est à la demande des membres de la famille et des proches de personnes disparues, ou de leurs représentants, que les autorités compétentes ouvrent une enquête. Lorsque les membres de la famille et les proches des personnes disparues ou leurs représentants ne sont pas en mesure d’identifier des pistes sur lesquelles se fonder pour enquêter dans l’affaire en cause ou de persuader les autorités de prendre les mesures voulues, les dossiers restent généralement au point mort</w:t>
      </w:r>
      <w:r w:rsidR="00EC7ED0">
        <w:t> </w:t>
      </w:r>
      <w:r w:rsidRPr="000A0ECE">
        <w:t>;</w:t>
      </w:r>
    </w:p>
    <w:p w:rsidR="000A0ECE" w:rsidRPr="000A0ECE" w:rsidRDefault="000A0ECE" w:rsidP="00EC7ED0">
      <w:pPr>
        <w:pStyle w:val="SingleTxtG"/>
        <w:ind w:firstLine="567"/>
      </w:pPr>
      <w:r w:rsidRPr="000A0ECE">
        <w:t>c)</w:t>
      </w:r>
      <w:r w:rsidRPr="000A0ECE">
        <w:tab/>
        <w:t>La première étape des recherches consiste presque toujours à envoyer des lettres aux hôpitaux et aux centres de détention pour leur demander officiellement des informations. La plupart de ces lettres demeurent sans réponse. Le Comité s’est dit préoccupé de ce qu’en pareil cas le ministère public ne semblait pas faire pleinement usage de ses attributions, qui l’autorisent notamment à prendre des mesures contraignantes, pour obtenir des autorités compétentes qu’elles fournissent les informations demandées. Le Comité a également été informé de cas dans lesquels des mesures contraignantes, telles que des ordonnances de placement en détention, ont été prescrites mais n’ont pas été suivies d’effet de la part des autorités compétentes</w:t>
      </w:r>
      <w:r w:rsidR="00EC7ED0">
        <w:t> </w:t>
      </w:r>
      <w:r w:rsidRPr="000A0ECE">
        <w:t>;</w:t>
      </w:r>
    </w:p>
    <w:p w:rsidR="000A0ECE" w:rsidRPr="000A0ECE" w:rsidRDefault="000A0ECE" w:rsidP="00EC7ED0">
      <w:pPr>
        <w:pStyle w:val="SingleTxtG"/>
        <w:ind w:firstLine="567"/>
      </w:pPr>
      <w:r w:rsidRPr="000A0ECE">
        <w:t>d)</w:t>
      </w:r>
      <w:r w:rsidRPr="000A0ECE">
        <w:tab/>
        <w:t xml:space="preserve">D’une manière générale, les enquêtes </w:t>
      </w:r>
      <w:r w:rsidRPr="000A0ECE">
        <w:rPr>
          <w:i/>
          <w:iCs/>
        </w:rPr>
        <w:t>in situ</w:t>
      </w:r>
      <w:r w:rsidRPr="000A0ECE">
        <w:t xml:space="preserve"> demeurent très rares. Dans bien des cas, les auteurs de demandes d’action en urgence disent au Comité que les autorités chargées de l’enquête redoutent de se rendre sur les lieux où elles pourraient trouver de</w:t>
      </w:r>
      <w:r w:rsidR="00EC7ED0">
        <w:t>s éléments de preuve pertinents </w:t>
      </w:r>
      <w:r w:rsidRPr="000A0ECE">
        <w:t>;</w:t>
      </w:r>
    </w:p>
    <w:p w:rsidR="000A0ECE" w:rsidRPr="000A0ECE" w:rsidRDefault="000A0ECE" w:rsidP="00EC7ED0">
      <w:pPr>
        <w:pStyle w:val="SingleTxtG"/>
        <w:ind w:firstLine="567"/>
      </w:pPr>
      <w:r w:rsidRPr="000A0ECE">
        <w:t>e)</w:t>
      </w:r>
      <w:r w:rsidRPr="000A0ECE">
        <w:tab/>
        <w:t>Les auteurs allèguent souvent que les autorités chargées de l’enquête sont directement ou indirectement impliquées dans les faits en cause et que les procédures de recher</w:t>
      </w:r>
      <w:r w:rsidR="00EC7ED0">
        <w:t>che et d’enquête n’avancent pas </w:t>
      </w:r>
      <w:r w:rsidRPr="000A0ECE">
        <w:t>;</w:t>
      </w:r>
    </w:p>
    <w:p w:rsidR="000A0ECE" w:rsidRPr="000A0ECE" w:rsidRDefault="000A0ECE" w:rsidP="00EC7ED0">
      <w:pPr>
        <w:pStyle w:val="SingleTxtG"/>
        <w:ind w:firstLine="567"/>
      </w:pPr>
      <w:r w:rsidRPr="000A0ECE">
        <w:t>f)</w:t>
      </w:r>
      <w:r w:rsidRPr="000A0ECE">
        <w:tab/>
        <w:t>Les enquêtes prescrites par le ministère public ne sont pas instruites. Il arrive souvent que les autorités n’interviennent pas et, selon certaines allégations, elles entravent parfois les procédures de recherche et d’enquête. Dans les affaires concernées, le Comité a demandé à l’État partie de mettre en place des mécanismes officiels précis qui contraignent les équipes chargées de rechercher les personnes disparues et d’enquêter sur leur disparition forcée à rendre compte périodiquement et en toute transparence des progrès accomplis et des difficultés rencontrées. Il a aussi été demandé à l’État partie de prendre toutes les mesures voulues pour que toute intervention des autorités de l’État susceptible d’avoir nui à l’efficacité des procédures de recherche et d’enquête en cours donne lieu à une enquête et aux sanctions qui s’imposent</w:t>
      </w:r>
      <w:r w:rsidR="00EC7ED0">
        <w:t> </w:t>
      </w:r>
      <w:r w:rsidRPr="000A0ECE">
        <w:t>;</w:t>
      </w:r>
    </w:p>
    <w:p w:rsidR="000A0ECE" w:rsidRPr="000A0ECE" w:rsidRDefault="000A0ECE" w:rsidP="00EC7ED0">
      <w:pPr>
        <w:pStyle w:val="SingleTxtG"/>
        <w:ind w:firstLine="567"/>
      </w:pPr>
      <w:r w:rsidRPr="000A0ECE">
        <w:t>g)</w:t>
      </w:r>
      <w:r w:rsidRPr="000A0ECE">
        <w:tab/>
        <w:t xml:space="preserve">On constate toujours un morcellement des enquêtes entre les différentes institutions, notamment entre les institutions de l’État fédéral et celles des États fédérés. On constate également une absence de coordination </w:t>
      </w:r>
      <w:proofErr w:type="spellStart"/>
      <w:r w:rsidRPr="000A0ECE">
        <w:t>interinstitutions</w:t>
      </w:r>
      <w:proofErr w:type="spellEnd"/>
      <w:r w:rsidRPr="000A0ECE">
        <w:t xml:space="preserve"> et de stratégie commune. À cet égard, il a été dit qu’il était particulièrement difficile de regrouper tous les éléments de preuve dans une seule et même enquête. Le morcellement des enquêtes et l’absence de coordination contribuent à prolonger de manière excessive la durée des enquêtes</w:t>
      </w:r>
      <w:r w:rsidR="006F4C17">
        <w:t> </w:t>
      </w:r>
      <w:r w:rsidRPr="000A0ECE">
        <w:t>;</w:t>
      </w:r>
    </w:p>
    <w:p w:rsidR="000A0ECE" w:rsidRPr="000A0ECE" w:rsidRDefault="000A0ECE" w:rsidP="00EC7ED0">
      <w:pPr>
        <w:pStyle w:val="SingleTxtG"/>
        <w:ind w:firstLine="567"/>
      </w:pPr>
      <w:r w:rsidRPr="000A0ECE">
        <w:t>h)</w:t>
      </w:r>
      <w:r w:rsidRPr="000A0ECE">
        <w:tab/>
        <w:t>Des menaces et des actes d’intimidation ont été signalés à l’encontre de membres de la famille de personnes disparues qui cherchaient à faire progresser les enquêtes, en particulier dans les cas où les forces militaires seraient impliquées.</w:t>
      </w:r>
    </w:p>
    <w:p w:rsidR="000A0ECE" w:rsidRPr="000A0ECE" w:rsidRDefault="000A0ECE" w:rsidP="000A0ECE">
      <w:pPr>
        <w:pStyle w:val="SingleTxtG"/>
      </w:pPr>
      <w:r w:rsidRPr="000A0ECE">
        <w:t>37.</w:t>
      </w:r>
      <w:r w:rsidRPr="000A0ECE">
        <w:tab/>
        <w:t>Au moment de la rédaction du présent rapport,</w:t>
      </w:r>
      <w:r w:rsidR="006F4C17">
        <w:t xml:space="preserve"> le Comité avait enregistré 162 </w:t>
      </w:r>
      <w:r w:rsidRPr="000A0ECE">
        <w:t>actions en urgence concernant des événements survenus en Iraq. Dix-huit des actions en urgence concernant l’Iraq demeurent sans réponse, en dépit des quatre rappels envoyés. Lorsque des réponses ont été communiquées par l’État partie, leur teneur a été jugée préoccupante par le Comité pour les raisons suivantes</w:t>
      </w:r>
      <w:r w:rsidR="006F4C17">
        <w:t> : a) </w:t>
      </w:r>
      <w:r w:rsidRPr="000A0ECE">
        <w:t xml:space="preserve">l’État partie ne fournit aucune information sur les mesures prises pour rechercher les personnes disparues ou enquêter sur </w:t>
      </w:r>
      <w:r w:rsidR="006F4C17">
        <w:lastRenderedPageBreak/>
        <w:t>leur disparition ; b) </w:t>
      </w:r>
      <w:r w:rsidRPr="000A0ECE">
        <w:t>il arrive que l’État partie fournisse des informations sans lien avec les événements décrits dans les act</w:t>
      </w:r>
      <w:r w:rsidR="006F4C17">
        <w:t>ions en urgence visées ; c) </w:t>
      </w:r>
      <w:r w:rsidRPr="000A0ECE">
        <w:t>s’agissant d’une action en urgence en particulier, l’État partie a affirmé que la personne disparue avait été retrouvée, alors que les membres de sa famille et ses représentants ont indiqué qu’elle était toujours portée disparue. En l’occurrence, le Comité a demandé à l’État partie de vérifier les informations fournies et de présenter des éléments de preuve attestant que la personne retrouvée était bien celle dont la disparition avait motivé l’action en urgence.</w:t>
      </w:r>
    </w:p>
    <w:p w:rsidR="000A0ECE" w:rsidRPr="000A0ECE" w:rsidRDefault="000A0ECE" w:rsidP="000A0ECE">
      <w:pPr>
        <w:pStyle w:val="SingleTxtG"/>
      </w:pPr>
      <w:r w:rsidRPr="000A0ECE">
        <w:t>38.</w:t>
      </w:r>
      <w:r w:rsidRPr="000A0ECE">
        <w:tab/>
        <w:t>Il est arrivé que l’État partie indique que les personnes disparues étaient des terroristes et que ces cas ne pouvaient être considérés comme des disparitions forcées. Le Comité a souligné que, tant qu’une personne est détenue au secret et que l’on ignore ce qu’il est advenu d’elle, il est important de continuer à la considérer comme une personne disparue.</w:t>
      </w:r>
    </w:p>
    <w:p w:rsidR="000A0ECE" w:rsidRPr="000A0ECE" w:rsidRDefault="000A0ECE" w:rsidP="000A0ECE">
      <w:pPr>
        <w:pStyle w:val="SingleTxtG"/>
      </w:pPr>
      <w:r w:rsidRPr="000A0ECE">
        <w:t>39.</w:t>
      </w:r>
      <w:r w:rsidRPr="000A0ECE">
        <w:tab/>
        <w:t>Quant aux demandes d’action en urgence concernant d’autres États parties, le Comité appelle l’at</w:t>
      </w:r>
      <w:r w:rsidR="006F4C17">
        <w:t>tention sur les points suivants </w:t>
      </w:r>
      <w:r w:rsidRPr="000A0ECE">
        <w:t>:</w:t>
      </w:r>
    </w:p>
    <w:p w:rsidR="000A0ECE" w:rsidRPr="000A0ECE" w:rsidRDefault="006F4C17" w:rsidP="006F4C17">
      <w:pPr>
        <w:pStyle w:val="SingleTxtG"/>
        <w:ind w:firstLine="567"/>
      </w:pPr>
      <w:r>
        <w:t>a)</w:t>
      </w:r>
      <w:r>
        <w:tab/>
        <w:t>Arménie </w:t>
      </w:r>
      <w:r w:rsidR="000A0ECE" w:rsidRPr="000A0ECE">
        <w:t xml:space="preserve">: dans l’affaire concernant Ara </w:t>
      </w:r>
      <w:proofErr w:type="spellStart"/>
      <w:r w:rsidR="000A0ECE" w:rsidRPr="000A0ECE">
        <w:t>Khachatryan</w:t>
      </w:r>
      <w:proofErr w:type="spellEnd"/>
      <w:r w:rsidR="000A0ECE" w:rsidRPr="000A0ECE">
        <w:t xml:space="preserve"> (action en urgence n</w:t>
      </w:r>
      <w:r w:rsidR="000A0ECE" w:rsidRPr="000A0ECE">
        <w:rPr>
          <w:vertAlign w:val="superscript"/>
        </w:rPr>
        <w:t>o</w:t>
      </w:r>
      <w:r w:rsidR="000A0ECE" w:rsidRPr="000A0ECE">
        <w:t> 376/2017), l’État partie a envoyé une réponse dans laquelle il souligne qu’une enquête préliminaire est en cours depuis 2011. Cette réponse a été communiquée aux auteurs de la demande afin de recueillir leurs commentaires. Au vu des informations reçues, le Comité a envoyé une lettre de suivi dans laquelle il rappelle à l’État partie l’obligation qui est la sienne de prendre des mesures concrètes pour rechercher la personne disparue et de veiller à ce que la famille et les proches de la personne disparue ainsi que leurs représentants soient dûment tenus informés et puissent participer aux procédures de recherche et d’enquête. Les informations communiquées par l’État partie n’attestaient pas l’élaboration d’une stratégie ou d’un plan d’enquête quelconque</w:t>
      </w:r>
      <w:r w:rsidR="00B8712F">
        <w:t> </w:t>
      </w:r>
      <w:r w:rsidR="000A0ECE" w:rsidRPr="000A0ECE">
        <w:t>; l’enquêteur principal chargé de l’affaire avait été remplacé à sept reprises, ce qui a compr</w:t>
      </w:r>
      <w:r w:rsidR="00B8712F">
        <w:t>omis la continuité de l’enquête </w:t>
      </w:r>
      <w:r w:rsidR="000A0ECE" w:rsidRPr="000A0ECE">
        <w:t>; les membres de la famille n’avaient eu connaissance d’aucune mesure prise par les autorités chargées de la recherche et de l’en</w:t>
      </w:r>
      <w:r w:rsidR="00B8712F">
        <w:t>quête </w:t>
      </w:r>
      <w:r w:rsidR="000A0ECE" w:rsidRPr="000A0ECE">
        <w:t>;</w:t>
      </w:r>
    </w:p>
    <w:p w:rsidR="000A0ECE" w:rsidRPr="000A0ECE" w:rsidRDefault="00B8712F" w:rsidP="006F4C17">
      <w:pPr>
        <w:pStyle w:val="SingleTxtG"/>
        <w:ind w:firstLine="567"/>
      </w:pPr>
      <w:r>
        <w:t>b)</w:t>
      </w:r>
      <w:r>
        <w:tab/>
        <w:t>Brésil </w:t>
      </w:r>
      <w:r w:rsidR="000A0ECE" w:rsidRPr="000A0ECE">
        <w:t xml:space="preserve">: dans l’affaire concernant </w:t>
      </w:r>
      <w:proofErr w:type="spellStart"/>
      <w:r w:rsidR="000A0ECE" w:rsidRPr="000A0ECE">
        <w:t>Davi</w:t>
      </w:r>
      <w:proofErr w:type="spellEnd"/>
      <w:r w:rsidR="000A0ECE" w:rsidRPr="000A0ECE">
        <w:t xml:space="preserve"> Santos </w:t>
      </w:r>
      <w:proofErr w:type="spellStart"/>
      <w:r w:rsidR="000A0ECE" w:rsidRPr="000A0ECE">
        <w:t>Fiuza</w:t>
      </w:r>
      <w:proofErr w:type="spellEnd"/>
      <w:r w:rsidR="000A0ECE" w:rsidRPr="000A0ECE">
        <w:t xml:space="preserve"> (action en urgence </w:t>
      </w:r>
      <w:r>
        <w:rPr>
          <w:rFonts w:eastAsia="MS Mincho"/>
        </w:rPr>
        <w:t>n</w:t>
      </w:r>
      <w:r>
        <w:rPr>
          <w:rFonts w:eastAsia="MS Mincho"/>
          <w:vertAlign w:val="superscript"/>
        </w:rPr>
        <w:t>o</w:t>
      </w:r>
      <w:r>
        <w:t> </w:t>
      </w:r>
      <w:r w:rsidR="000A0ECE" w:rsidRPr="000A0ECE">
        <w:t xml:space="preserve">61/2014), l’État partie a informé le Comité que les résultats de quatre années de recherches et d’enquêtes sur la disparition de M. Santos </w:t>
      </w:r>
      <w:proofErr w:type="spellStart"/>
      <w:r w:rsidR="000A0ECE" w:rsidRPr="000A0ECE">
        <w:t>Fiuza</w:t>
      </w:r>
      <w:proofErr w:type="spellEnd"/>
      <w:r w:rsidR="000A0ECE" w:rsidRPr="000A0ECE">
        <w:t xml:space="preserve"> avaient été envoyés au Bureau du Procureur général de l’État de Bahia. Ces résultats ont mis en évidenc</w:t>
      </w:r>
      <w:r>
        <w:t>e la possible implication de 17 </w:t>
      </w:r>
      <w:r w:rsidR="000A0ECE" w:rsidRPr="000A0ECE">
        <w:t>membres de la police de l’État de Bahia (police militaire). Le ministère public brésilien examine actuellement ces informations en vue de déterminer la respon</w:t>
      </w:r>
      <w:r>
        <w:t>sabilité individuelle de ces 17 </w:t>
      </w:r>
      <w:r w:rsidR="000A0ECE" w:rsidRPr="000A0ECE">
        <w:t>personnes et d’engager des poursuites. Cette réponse a été transmise à l’auteur, qui n’a pas formulé d’observations m</w:t>
      </w:r>
      <w:r>
        <w:t>algré l’envoi d’un rappel le 13 </w:t>
      </w:r>
      <w:r w:rsidR="000A0ECE" w:rsidRPr="000A0ECE">
        <w:t>février 2019</w:t>
      </w:r>
      <w:r>
        <w:t> ;</w:t>
      </w:r>
    </w:p>
    <w:p w:rsidR="000A0ECE" w:rsidRPr="000A0ECE" w:rsidRDefault="00B8712F" w:rsidP="006F4C17">
      <w:pPr>
        <w:pStyle w:val="SingleTxtG"/>
        <w:ind w:firstLine="567"/>
      </w:pPr>
      <w:r>
        <w:t>c)</w:t>
      </w:r>
      <w:r>
        <w:tab/>
        <w:t>Cambodge </w:t>
      </w:r>
      <w:r w:rsidR="000A0ECE" w:rsidRPr="000A0ECE">
        <w:t xml:space="preserve">: la demande d’action en urgence enregistrée au nom du mineur </w:t>
      </w:r>
      <w:proofErr w:type="spellStart"/>
      <w:r w:rsidR="000A0ECE" w:rsidRPr="000A0ECE">
        <w:t>Khem</w:t>
      </w:r>
      <w:proofErr w:type="spellEnd"/>
      <w:r w:rsidR="000A0ECE" w:rsidRPr="000A0ECE">
        <w:t xml:space="preserve"> </w:t>
      </w:r>
      <w:proofErr w:type="spellStart"/>
      <w:r w:rsidR="000A0ECE" w:rsidRPr="000A0ECE">
        <w:t>Sophath</w:t>
      </w:r>
      <w:proofErr w:type="spellEnd"/>
      <w:r w:rsidR="000A0ECE" w:rsidRPr="000A0ECE">
        <w:t xml:space="preserve"> (action en urgence n</w:t>
      </w:r>
      <w:r w:rsidR="000A0ECE" w:rsidRPr="000A0ECE">
        <w:rPr>
          <w:vertAlign w:val="superscript"/>
        </w:rPr>
        <w:t>o</w:t>
      </w:r>
      <w:r>
        <w:t> </w:t>
      </w:r>
      <w:r w:rsidR="000A0ECE" w:rsidRPr="000A0ECE">
        <w:t xml:space="preserve">11/2014) est toujours en instance. Une nouvelle lettre de suivi a été envoyée à l’État partie en avril 2019, dans laquelle le Comité lui demande de fournir des renseignements complémentaires et lui rappelle l’obligation qui lui incombe de prendre des mesures de recherche et d’enquêter sur la base de toutes les hypothèses formulées dans le dossier, y compris celles donnant à penser que des agents de l’État pourraient avoir participé aux faits en cause. Le Comité s’est déclaré préoccupé par le manque de collaboration de l’État partie et a insisté sur la nécessité de prendre des mesures concrètes pour rechercher la personne disparue. Le Comité a clôturé la procédure d’action en urgence enregistrée au nom de </w:t>
      </w:r>
      <w:proofErr w:type="spellStart"/>
      <w:r w:rsidR="000A0ECE" w:rsidRPr="000A0ECE">
        <w:t>Mouen</w:t>
      </w:r>
      <w:proofErr w:type="spellEnd"/>
      <w:r w:rsidR="000A0ECE" w:rsidRPr="000A0ECE">
        <w:t xml:space="preserve"> </w:t>
      </w:r>
      <w:proofErr w:type="spellStart"/>
      <w:r w:rsidR="000A0ECE" w:rsidRPr="000A0ECE">
        <w:t>Sum</w:t>
      </w:r>
      <w:proofErr w:type="spellEnd"/>
      <w:r w:rsidR="000A0ECE" w:rsidRPr="000A0ECE">
        <w:t xml:space="preserve"> (action en urgence n</w:t>
      </w:r>
      <w:r w:rsidR="000A0ECE" w:rsidRPr="000A0ECE">
        <w:rPr>
          <w:vertAlign w:val="superscript"/>
        </w:rPr>
        <w:t>o</w:t>
      </w:r>
      <w:r>
        <w:t> </w:t>
      </w:r>
      <w:r w:rsidR="000A0ECE" w:rsidRPr="000A0ECE">
        <w:t>568/2019), l’État partie ayant rapidement répondu à cette demande d’action en urgence en informant le Comité que l’int</w:t>
      </w:r>
      <w:r>
        <w:t>éressé avait été retrouvé le 31 </w:t>
      </w:r>
      <w:r w:rsidR="000A0ECE" w:rsidRPr="000A0ECE">
        <w:t>mars 2019 et rendu à sa famille. Cette information a été confirmée par les membres de la famille ;</w:t>
      </w:r>
    </w:p>
    <w:p w:rsidR="000A0ECE" w:rsidRPr="000A0ECE" w:rsidRDefault="000A0ECE" w:rsidP="006F4C17">
      <w:pPr>
        <w:pStyle w:val="SingleTxtG"/>
        <w:ind w:firstLine="567"/>
      </w:pPr>
      <w:r w:rsidRPr="000A0ECE">
        <w:t>d)</w:t>
      </w:r>
      <w:r w:rsidRPr="000A0ECE">
        <w:tab/>
        <w:t>Colombie</w:t>
      </w:r>
      <w:r w:rsidR="00B8712F">
        <w:t> </w:t>
      </w:r>
      <w:r w:rsidRPr="000A0ECE">
        <w:t xml:space="preserve">: il ressort des renseignements communiqués par l’État partie au sujet des demandes d’action en urgence enregistrées que les enquêtes et les recherches sont souvent au point mort au bout de quelques mois. Dans différentes affaires, les auteurs ont fait savoir que les lettres du Comité avaient débouché sur des mesures concrètes, même si ces dernières étaient généralement isolées et ne s’inscrivaient pas dans une stratégie de recherche </w:t>
      </w:r>
      <w:r w:rsidR="00B8712F">
        <w:t>et d’enquête clairement définie </w:t>
      </w:r>
      <w:r w:rsidRPr="000A0ECE">
        <w:t>;</w:t>
      </w:r>
    </w:p>
    <w:p w:rsidR="000A0ECE" w:rsidRPr="000A0ECE" w:rsidRDefault="00B8712F" w:rsidP="006F4C17">
      <w:pPr>
        <w:pStyle w:val="SingleTxtG"/>
        <w:ind w:firstLine="567"/>
      </w:pPr>
      <w:r>
        <w:lastRenderedPageBreak/>
        <w:t>e)</w:t>
      </w:r>
      <w:r>
        <w:tab/>
        <w:t>Cuba </w:t>
      </w:r>
      <w:r w:rsidR="000A0ECE" w:rsidRPr="000A0ECE">
        <w:t xml:space="preserve">: une nouvelle demande d’action en urgence a été enregistrée au nom de César </w:t>
      </w:r>
      <w:proofErr w:type="spellStart"/>
      <w:r w:rsidR="000A0ECE" w:rsidRPr="000A0ECE">
        <w:t>Iván</w:t>
      </w:r>
      <w:proofErr w:type="spellEnd"/>
      <w:r w:rsidR="000A0ECE" w:rsidRPr="000A0ECE">
        <w:t xml:space="preserve"> Mendoza </w:t>
      </w:r>
      <w:proofErr w:type="spellStart"/>
      <w:r w:rsidR="000A0ECE" w:rsidRPr="000A0ECE">
        <w:t>Regal</w:t>
      </w:r>
      <w:proofErr w:type="spellEnd"/>
      <w:r w:rsidR="000A0ECE" w:rsidRPr="000A0ECE">
        <w:t xml:space="preserve"> (action en urgence n</w:t>
      </w:r>
      <w:r w:rsidR="000A0ECE" w:rsidRPr="000A0ECE">
        <w:rPr>
          <w:vertAlign w:val="superscript"/>
        </w:rPr>
        <w:t>o</w:t>
      </w:r>
      <w:r>
        <w:t> </w:t>
      </w:r>
      <w:r w:rsidR="000A0ECE" w:rsidRPr="000A0ECE">
        <w:t>542/2018), défenseur des droits de l’homme qui serait détenu par le Département de la sûreté de l’État. Au moment de la rédaction du présent rapport, on ignore toujours où il se trouve et quelles sont les accusations portées contre lui. L’État partie a informé le Comité que l’intéressé avait été placé en détention provisoire pour association illicite et qu’il avait été libéré dans l’attente de son procès. Toutefois, les auteurs ont demandé à l’État partie d’apporter la preuve que son intégrité physique et sa sécurité personnelle sont préserv</w:t>
      </w:r>
      <w:r>
        <w:t>ées en le présentant aux médias </w:t>
      </w:r>
      <w:r w:rsidR="000A0ECE" w:rsidRPr="000A0ECE">
        <w:t>;</w:t>
      </w:r>
    </w:p>
    <w:p w:rsidR="000A0ECE" w:rsidRPr="000A0ECE" w:rsidRDefault="00B8712F" w:rsidP="006F4C17">
      <w:pPr>
        <w:pStyle w:val="SingleTxtG"/>
        <w:ind w:firstLine="567"/>
      </w:pPr>
      <w:r>
        <w:t>f)</w:t>
      </w:r>
      <w:r>
        <w:tab/>
        <w:t>Honduras </w:t>
      </w:r>
      <w:r w:rsidR="000A0ECE" w:rsidRPr="000A0ECE">
        <w:t>: l’État partie a répondu</w:t>
      </w:r>
      <w:r>
        <w:t xml:space="preserve"> aux demandes concernant les 14 </w:t>
      </w:r>
      <w:r w:rsidR="000A0ECE" w:rsidRPr="000A0ECE">
        <w:t>actions en urgence enregistré</w:t>
      </w:r>
      <w:r>
        <w:t>es. En ce qui concerne les 13 </w:t>
      </w:r>
      <w:r w:rsidR="000A0ECE" w:rsidRPr="000A0ECE">
        <w:t>actions en urgence relatives à des migrants disparus, les observations de l’État partie sont très générales et ne fournissent pas d’informations concrètes sur les cas individuels. Elles révèlent également que les autorités chargées de l’enquête n’ont pas sollicité l’entraide judiciaire internationale prévue à l’article 14 de la Convention en vue de déterminer un couloir de migration et de clarifier les faits. Le Comité attend les observations des auteurs</w:t>
      </w:r>
      <w:r>
        <w:t> </w:t>
      </w:r>
      <w:r w:rsidR="000A0ECE" w:rsidRPr="000A0ECE">
        <w:t>;</w:t>
      </w:r>
    </w:p>
    <w:p w:rsidR="000A0ECE" w:rsidRPr="000A0ECE" w:rsidRDefault="00B8712F" w:rsidP="006F4C17">
      <w:pPr>
        <w:pStyle w:val="SingleTxtG"/>
        <w:ind w:firstLine="567"/>
      </w:pPr>
      <w:r>
        <w:t>g)</w:t>
      </w:r>
      <w:r>
        <w:tab/>
        <w:t>Lituanie </w:t>
      </w:r>
      <w:r w:rsidR="000A0ECE" w:rsidRPr="000A0ECE">
        <w:t xml:space="preserve">: une nouvelle demande d’action en urgence a été enregistrée au nom de </w:t>
      </w:r>
      <w:proofErr w:type="spellStart"/>
      <w:r w:rsidR="000A0ECE" w:rsidRPr="000A0ECE">
        <w:t>Deimantė</w:t>
      </w:r>
      <w:proofErr w:type="spellEnd"/>
      <w:r w:rsidR="000A0ECE" w:rsidRPr="000A0ECE">
        <w:t xml:space="preserve"> </w:t>
      </w:r>
      <w:proofErr w:type="spellStart"/>
      <w:r w:rsidR="000A0ECE" w:rsidRPr="000A0ECE">
        <w:t>St</w:t>
      </w:r>
      <w:r>
        <w:t>ankūnaitė</w:t>
      </w:r>
      <w:proofErr w:type="spellEnd"/>
      <w:r>
        <w:t xml:space="preserve"> (action en urgence </w:t>
      </w:r>
      <w:r>
        <w:rPr>
          <w:rFonts w:eastAsia="MS Mincho"/>
        </w:rPr>
        <w:t>n</w:t>
      </w:r>
      <w:r>
        <w:rPr>
          <w:rFonts w:eastAsia="MS Mincho"/>
          <w:vertAlign w:val="superscript"/>
        </w:rPr>
        <w:t>o</w:t>
      </w:r>
      <w:r w:rsidR="008E137A">
        <w:t> 5</w:t>
      </w:r>
      <w:r w:rsidR="000A0ECE" w:rsidRPr="000A0ECE">
        <w:t>69/2019), victime d’exploitation</w:t>
      </w:r>
      <w:r>
        <w:t xml:space="preserve"> sexuelle disparue à l’âge de 8 </w:t>
      </w:r>
      <w:r w:rsidR="000A0ECE" w:rsidRPr="000A0ECE">
        <w:t>ans. L’État partie a répondu qu’elle avait été retrouvée et qu’elle était sous la protection de la loi. Toutefois, l’auteur de l’action en urgence a demandé à l’État partie d’indiquer où la victime se trouve exactement et d</w:t>
      </w:r>
      <w:r>
        <w:t>e lui permettre de la contacter </w:t>
      </w:r>
      <w:r w:rsidR="000A0ECE" w:rsidRPr="000A0ECE">
        <w:t>;</w:t>
      </w:r>
    </w:p>
    <w:p w:rsidR="000A0ECE" w:rsidRPr="000A0ECE" w:rsidRDefault="00B8712F" w:rsidP="006F4C17">
      <w:pPr>
        <w:pStyle w:val="SingleTxtG"/>
        <w:ind w:firstLine="567"/>
      </w:pPr>
      <w:r>
        <w:t>h)</w:t>
      </w:r>
      <w:r>
        <w:tab/>
        <w:t>Togo </w:t>
      </w:r>
      <w:r w:rsidR="000A0ECE" w:rsidRPr="000A0ECE">
        <w:t>: en ce qui concerne les cas d’</w:t>
      </w:r>
      <w:proofErr w:type="spellStart"/>
      <w:r w:rsidR="000A0ECE" w:rsidRPr="000A0ECE">
        <w:t>Atsou</w:t>
      </w:r>
      <w:proofErr w:type="spellEnd"/>
      <w:r w:rsidR="000A0ECE" w:rsidRPr="000A0ECE">
        <w:t xml:space="preserve"> </w:t>
      </w:r>
      <w:proofErr w:type="spellStart"/>
      <w:r w:rsidR="000A0ECE" w:rsidRPr="000A0ECE">
        <w:t>Adzi</w:t>
      </w:r>
      <w:proofErr w:type="spellEnd"/>
      <w:r w:rsidR="000A0ECE" w:rsidRPr="000A0ECE">
        <w:t xml:space="preserve"> et de </w:t>
      </w:r>
      <w:proofErr w:type="spellStart"/>
      <w:r w:rsidR="000A0ECE" w:rsidRPr="000A0ECE">
        <w:t>Messan</w:t>
      </w:r>
      <w:proofErr w:type="spellEnd"/>
      <w:r w:rsidR="000A0ECE" w:rsidRPr="000A0ECE">
        <w:t xml:space="preserve"> </w:t>
      </w:r>
      <w:proofErr w:type="spellStart"/>
      <w:r w:rsidR="000A0ECE" w:rsidRPr="000A0ECE">
        <w:t>K</w:t>
      </w:r>
      <w:r>
        <w:t>oku</w:t>
      </w:r>
      <w:proofErr w:type="spellEnd"/>
      <w:r>
        <w:t xml:space="preserve"> </w:t>
      </w:r>
      <w:proofErr w:type="spellStart"/>
      <w:r>
        <w:t>Adzi</w:t>
      </w:r>
      <w:proofErr w:type="spellEnd"/>
      <w:r>
        <w:t xml:space="preserve"> (actions en urgence </w:t>
      </w:r>
      <w:r>
        <w:rPr>
          <w:rFonts w:eastAsia="MS Mincho"/>
        </w:rPr>
        <w:t>n</w:t>
      </w:r>
      <w:r>
        <w:rPr>
          <w:rFonts w:eastAsia="MS Mincho"/>
          <w:vertAlign w:val="superscript"/>
        </w:rPr>
        <w:t>os</w:t>
      </w:r>
      <w:r>
        <w:t> </w:t>
      </w:r>
      <w:r w:rsidR="000A0ECE" w:rsidRPr="000A0ECE">
        <w:t>543/2018 et 544/2018), l’État partie a répondu en mettant en doute le fait que ces personnes étaient détenues par la police au moment de leur disparition et en faisant observer qu’elles ne figuraient pas dans le registre national. Toutefois, les auteurs ont répondu que l’État partie n’avait pas démontré avoir mené une enquête approfondie sur la voiture de police dans laquelle, selon des témoins oculaires, ces personnes ont disparu. Le Comité a envoyé une lettre de suivi dans laquelle il exprime sa préoccupation face à l’absence de progrès dans la recherche de ces personnes et dans l’enquête sur leur disparition.</w:t>
      </w:r>
    </w:p>
    <w:p w:rsidR="000A0ECE" w:rsidRPr="000A0ECE" w:rsidRDefault="000A0ECE" w:rsidP="000A0ECE">
      <w:pPr>
        <w:pStyle w:val="SingleTxtG"/>
      </w:pPr>
      <w:r w:rsidRPr="000A0ECE">
        <w:t>40.</w:t>
      </w:r>
      <w:r w:rsidRPr="000A0ECE">
        <w:tab/>
        <w:t>Dans toutes les demandes d’action en urgence enregistrées, le Comité n’a de cesse de rappeler combien il est important que les activités de recherche soient menées le plus tôt possible après la disparition de la personne ; que des stratégies soient mises en place pour chercher la personne disparue</w:t>
      </w:r>
      <w:r w:rsidR="00B8712F">
        <w:t xml:space="preserve"> et enquêter sur sa disparition </w:t>
      </w:r>
      <w:r w:rsidRPr="000A0ECE">
        <w:t>; et qu’il importe de ne pas perdre de vue que cette enquête est nécessaire notamment pour identifier les responsables, ce qui peut se révéler essentiel pour retrouver la personne disparue.</w:t>
      </w:r>
    </w:p>
    <w:p w:rsidR="000A0ECE" w:rsidRPr="000A0ECE" w:rsidRDefault="00B8712F" w:rsidP="00B8712F">
      <w:pPr>
        <w:pStyle w:val="H23G"/>
      </w:pPr>
      <w:r>
        <w:tab/>
      </w:r>
      <w:r w:rsidR="000A0ECE" w:rsidRPr="000A0ECE">
        <w:t>2.</w:t>
      </w:r>
      <w:r w:rsidR="000A0ECE" w:rsidRPr="000A0ECE">
        <w:tab/>
        <w:t>Relation avec les auteurs</w:t>
      </w:r>
      <w:bookmarkStart w:id="61" w:name="_Toc522200475"/>
      <w:bookmarkEnd w:id="61"/>
    </w:p>
    <w:p w:rsidR="000A0ECE" w:rsidRPr="000A0ECE" w:rsidRDefault="000A0ECE" w:rsidP="000A0ECE">
      <w:pPr>
        <w:pStyle w:val="SingleTxtG"/>
      </w:pPr>
      <w:r w:rsidRPr="000A0ECE">
        <w:t>41.</w:t>
      </w:r>
      <w:r w:rsidRPr="000A0ECE">
        <w:tab/>
        <w:t>Le secrétariat continue à entretenir des échanges réguliers avec les auteurs de demandes d’action en urgence, essentiellement au moyen de lettres qu’il leur adresse au nom du Comité, mais aussi de manière directe, par courrier électronique et par téléphone. Des éléments récurrents ressortent de ces échanges, comme indiqué ci-après.</w:t>
      </w:r>
    </w:p>
    <w:p w:rsidR="000A0ECE" w:rsidRPr="000A0ECE" w:rsidRDefault="000A0ECE" w:rsidP="000A0ECE">
      <w:pPr>
        <w:pStyle w:val="SingleTxtG"/>
      </w:pPr>
      <w:r w:rsidRPr="000A0ECE">
        <w:t>42.</w:t>
      </w:r>
      <w:r w:rsidRPr="000A0ECE">
        <w:tab/>
      </w:r>
      <w:r w:rsidRPr="00675490">
        <w:rPr>
          <w:spacing w:val="-2"/>
        </w:rPr>
        <w:t>Les auteurs continuent de mettre en avant l’importance que revêt l’appui du Comité, dans lequel ils ont trouvé un interlocuteur après avoir fait plusieurs tentatives infructueuses auprès des autorités nationales. À l’exception des cas liés aux événements en Iraq, les auteurs de demandes d’action en urgence soulignent également que, comme suite aux lettres du Comité, ils ont pu obtenir des réponses à des demandes ponctuelles, principalement sur la mise en œuvre de mesures d’enquête précises recommandées par le Comité.</w:t>
      </w:r>
    </w:p>
    <w:p w:rsidR="000A0ECE" w:rsidRPr="000A0ECE" w:rsidRDefault="000A0ECE" w:rsidP="000A0ECE">
      <w:pPr>
        <w:pStyle w:val="SingleTxtG"/>
      </w:pPr>
      <w:r w:rsidRPr="000A0ECE">
        <w:t>43.</w:t>
      </w:r>
      <w:r w:rsidRPr="000A0ECE">
        <w:tab/>
        <w:t xml:space="preserve">Cependant, dans la majorité des cas, les auteurs continuent de signaler un manque de continuité dans les mesures prises. Dans bien des cas, très peu de temps après l’enregistrement des demandes d’action en urgence, les auteurs constatent avec déception que l’État ne s’acquitte pas de ses devoirs en matière de recherche et d’enquête. Ils soulignent avec inquiétude que les autorités compétentes ne prennent pas les mesures d’enquête qui s’imposent pour chercher et retrouver les personnes disparues, même </w:t>
      </w:r>
      <w:r w:rsidRPr="000A0ECE">
        <w:lastRenderedPageBreak/>
        <w:t>lorsqu’il existe des indices pertinents sur lesquels elles pourraient s’appuyer pour faire avancer l’enquête et les recherches.</w:t>
      </w:r>
    </w:p>
    <w:p w:rsidR="000A0ECE" w:rsidRPr="000A0ECE" w:rsidRDefault="000A0ECE" w:rsidP="000A0ECE">
      <w:pPr>
        <w:pStyle w:val="SingleTxtG"/>
      </w:pPr>
      <w:r w:rsidRPr="000A0ECE">
        <w:t>44.</w:t>
      </w:r>
      <w:r w:rsidRPr="000A0ECE">
        <w:tab/>
      </w:r>
      <w:r w:rsidRPr="007B25B5">
        <w:rPr>
          <w:spacing w:val="-2"/>
        </w:rPr>
        <w:t>Les auteurs des demandes d’action en urgence font valoir comme précédemment que, dans les affaires les plus anciennes, les autorités nationales prennent de moins en moins de mesures pour chercher et retrouver les personnes disparues et se contentent de prendre des mesures d’ordre formel ou de conduire des investigations qui ont déjà été réalisées. Dans d’autres cas, ils font valoir que les autorités nationales n’ont pas pris les mesures voulues, par exemple, pour que tous les témoins des faits soient dûment interrogés en temps utile aux fins de la recherche des personnes disparues et des enquêtes sur leur disparition, ou pour analyser comme il se doit les éléments de preuve disponibles (voir par exemple les affaires dans lesquelles il s’écoule plusieurs mois entre la transmission des registres d’appels téléphoniques aux autorités compétentes et le moment où ceux-ci sont analysés).</w:t>
      </w:r>
    </w:p>
    <w:p w:rsidR="000A0ECE" w:rsidRPr="000A0ECE" w:rsidRDefault="000A0ECE" w:rsidP="000A0ECE">
      <w:pPr>
        <w:pStyle w:val="SingleTxtG"/>
      </w:pPr>
      <w:r w:rsidRPr="000A0ECE">
        <w:t>45.</w:t>
      </w:r>
      <w:r w:rsidRPr="000A0ECE">
        <w:tab/>
        <w:t>L’une des principales tendances observées est que les familles et les proches des personnes disparues ont des difficultés à participer à la recherche de la personne et à l’enquête sur sa disparition. Ce problème est dû principalement au manque d’information sur les procédures en cours. Les auteurs des demandes soulignent que s’ils n’en font pas la demande, les autorités ne leur communiquent aucun renseignement sur les mesures prises, même lorsqu’elles prévoient des activités auxquelles il pourrait être utile qu’ils participent.</w:t>
      </w:r>
    </w:p>
    <w:p w:rsidR="000A0ECE" w:rsidRPr="000A0ECE" w:rsidRDefault="000A0ECE" w:rsidP="000A0ECE">
      <w:pPr>
        <w:pStyle w:val="SingleTxtG"/>
      </w:pPr>
      <w:r w:rsidRPr="000A0ECE">
        <w:t>46.</w:t>
      </w:r>
      <w:r w:rsidRPr="000A0ECE">
        <w:tab/>
        <w:t xml:space="preserve">Il a également été noté que, lorsque les autorités ont pris contact avec des membres de la famille et des proches conformément aux obligations découlant de la Convention, elles l’ont fait d’une manière qui </w:t>
      </w:r>
      <w:proofErr w:type="spellStart"/>
      <w:r w:rsidRPr="000A0ECE">
        <w:t>victimisait</w:t>
      </w:r>
      <w:proofErr w:type="spellEnd"/>
      <w:r w:rsidRPr="000A0ECE">
        <w:t xml:space="preserve"> à nouveau ces personnes. En pareil cas, le Comité a rappelé à l’État partie la teneur du paragraphe 2 de l’article 24 de la Convention. Il a en outre précisé que les modalités d’information de la famille et des proches des personnes disparues faisaient partie intégrante des responsabilités de l’État partie et que cette obligation visait à permettre à la famille et aux proches de la personne disparue, ainsi qu’à leurs représentants, de prendre part aux procédures d’</w:t>
      </w:r>
      <w:r w:rsidR="00D26275">
        <w:t>enquête, tout au long de celles</w:t>
      </w:r>
      <w:r w:rsidR="00D26275">
        <w:noBreakHyphen/>
      </w:r>
      <w:r w:rsidRPr="000A0ECE">
        <w:t>ci, et ce, de manière active et éclairée. Il a également souligné que les États parties étaient tenus d’informer correctement la famille et les proches de la personne disparue de leurs droits et de leur expliquer comment les exercer.</w:t>
      </w:r>
    </w:p>
    <w:p w:rsidR="000A0ECE" w:rsidRPr="000A0ECE" w:rsidRDefault="000A0ECE" w:rsidP="000A0ECE">
      <w:pPr>
        <w:pStyle w:val="SingleTxtG"/>
      </w:pPr>
      <w:r w:rsidRPr="000A0ECE">
        <w:t>47.</w:t>
      </w:r>
      <w:r w:rsidRPr="000A0ECE">
        <w:tab/>
      </w:r>
      <w:r w:rsidRPr="00627EDC">
        <w:rPr>
          <w:spacing w:val="-3"/>
        </w:rPr>
        <w:t>Dans le cas du Mexique, les auteurs indiquent souvent que l’appui aux membres de la famille et aux proches des personnes disparues est très limité et qu’il n’est pas adapté à leurs besoins. Dans les affaires où ce problème a été signalé, le Comité a rappelé à l’État partie combien il importait que les mesures d’appui et de protection soient définies et mises en œuvre en concertation avec les bénéficiaires pour faire en sorte qu’elles répondent à leurs besoins.</w:t>
      </w:r>
      <w:r w:rsidRPr="000A0ECE">
        <w:t xml:space="preserve"> </w:t>
      </w:r>
    </w:p>
    <w:p w:rsidR="000A0ECE" w:rsidRPr="000A0ECE" w:rsidRDefault="000A0ECE" w:rsidP="000A0ECE">
      <w:pPr>
        <w:pStyle w:val="SingleTxtG"/>
      </w:pPr>
      <w:r w:rsidRPr="000A0ECE">
        <w:t>48.</w:t>
      </w:r>
      <w:r w:rsidRPr="000A0ECE">
        <w:tab/>
      </w:r>
      <w:r w:rsidRPr="00627EDC">
        <w:rPr>
          <w:spacing w:val="-2"/>
        </w:rPr>
        <w:t>Le Comité demeure préoccupé par les menaces, les pressions et les représailles que subiraient les auteurs de demandes d’action en urgence, en particulier les auteurs de demandes portant sur des faits survenus au Mexique et en Colombie. Dans le cadre de ces actions en urgence, le Comité demande aux États parties de prendre des mesures provisoires pour protéger les personnes en danger. Le Comité rappelle également combien il importe que ces mesures provisoires de protection soient placées sous la responsabilité d’autorités qui ne fassent pas l’objet d’allégations concernant une éventuelle implication dans les faits en cause. Il importe aussi que les modalités d’application des mesures de protection soient fixées de concert avec les bénéficiaires et leurs représentants, afin que ces mesures soient pleinement adaptées à leurs besoins. Dans cette optique, le Comité prie l’État partie d’organiser régulièrement des réunions de coordination entre les autorités chargées de la mise en œuvre des mesures provisoires, les bénéficiaires et leurs représentants.</w:t>
      </w:r>
    </w:p>
    <w:p w:rsidR="000A0ECE" w:rsidRPr="000A0ECE" w:rsidRDefault="002F6CEE" w:rsidP="002F6CEE">
      <w:pPr>
        <w:pStyle w:val="H1G"/>
      </w:pPr>
      <w:r>
        <w:tab/>
      </w:r>
      <w:r w:rsidR="000A0ECE" w:rsidRPr="000A0ECE">
        <w:t>C.</w:t>
      </w:r>
      <w:r w:rsidR="000A0ECE" w:rsidRPr="000A0ECE">
        <w:tab/>
        <w:t xml:space="preserve">Actions en urgence suspendues, clôturées, ou maintenues ouvertes </w:t>
      </w:r>
      <w:r>
        <w:br/>
      </w:r>
      <w:r w:rsidR="000A0ECE" w:rsidRPr="000A0ECE">
        <w:t xml:space="preserve">aux fins de la protection des personnes en faveur </w:t>
      </w:r>
      <w:r>
        <w:br/>
      </w:r>
      <w:r w:rsidR="000A0ECE" w:rsidRPr="000A0ECE">
        <w:t>desquelles des mesures provisoires ont été autorisées</w:t>
      </w:r>
      <w:bookmarkStart w:id="62" w:name="_Toc522200476"/>
      <w:bookmarkEnd w:id="62"/>
    </w:p>
    <w:p w:rsidR="000A0ECE" w:rsidRPr="000A0ECE" w:rsidRDefault="000A0ECE" w:rsidP="000A0ECE">
      <w:pPr>
        <w:pStyle w:val="SingleTxtG"/>
      </w:pPr>
      <w:r w:rsidRPr="000A0ECE">
        <w:t>49.</w:t>
      </w:r>
      <w:r w:rsidRPr="000A0ECE">
        <w:tab/>
        <w:t>En application des critères adoptés par le Comité en séance plénière à sa huitième session</w:t>
      </w:r>
      <w:r w:rsidR="0045397D">
        <w:t> :</w:t>
      </w:r>
    </w:p>
    <w:p w:rsidR="000A0ECE" w:rsidRPr="000A0ECE" w:rsidRDefault="000A0ECE" w:rsidP="002F6CEE">
      <w:pPr>
        <w:pStyle w:val="SingleTxtG"/>
        <w:ind w:firstLine="567"/>
      </w:pPr>
      <w:r w:rsidRPr="000A0ECE">
        <w:t>a)</w:t>
      </w:r>
      <w:r w:rsidRPr="000A0ECE">
        <w:tab/>
        <w:t xml:space="preserve">Une action en urgence est suspendue lorsque la personne disparue a été retrouvée, mais qu’elle est toujours en détention. En effet, en pareil cas, cette personne est </w:t>
      </w:r>
      <w:r w:rsidRPr="000A0ECE">
        <w:lastRenderedPageBreak/>
        <w:t>particulièrement exposée au risque de disparaître à nouveau et de ne plus bénéficier de la protection de la loi</w:t>
      </w:r>
      <w:r w:rsidR="002F6CEE">
        <w:t> </w:t>
      </w:r>
      <w:r w:rsidRPr="000A0ECE">
        <w:t>;</w:t>
      </w:r>
    </w:p>
    <w:p w:rsidR="000A0ECE" w:rsidRPr="000A0ECE" w:rsidRDefault="000A0ECE" w:rsidP="002F6CEE">
      <w:pPr>
        <w:pStyle w:val="SingleTxtG"/>
        <w:ind w:firstLine="567"/>
      </w:pPr>
      <w:r w:rsidRPr="000A0ECE">
        <w:t>b)</w:t>
      </w:r>
      <w:r w:rsidRPr="000A0ECE">
        <w:tab/>
        <w:t>Une action en urgence est clôturée lorsque la personne disparue a été retrouvée libre, quand elle a été retrouvée puis libérée ou quand elle a été retrouvée morte et que les membres de la famille ou les aute</w:t>
      </w:r>
      <w:r w:rsidR="002F6CEE">
        <w:t>urs ne contestent pas ces faits </w:t>
      </w:r>
      <w:r w:rsidRPr="000A0ECE">
        <w:t>;</w:t>
      </w:r>
    </w:p>
    <w:p w:rsidR="000A0ECE" w:rsidRPr="000A0ECE" w:rsidRDefault="000A0ECE" w:rsidP="002F6CEE">
      <w:pPr>
        <w:pStyle w:val="SingleTxtG"/>
        <w:ind w:firstLine="567"/>
      </w:pPr>
      <w:r w:rsidRPr="000A0ECE">
        <w:t>c)</w:t>
      </w:r>
      <w:r w:rsidRPr="000A0ECE">
        <w:tab/>
        <w:t>Une action en urgence est maintenue ouverte si la personne disparue a été retrouvée, mais que les personnes en faveur desquelles des mesures de protection ont été autorisées dans le cadre de l’action en urgence demeurent menacées. Dans ce cas, le Comité se contente d’assurer le suivi des mesures de protection autorisées.</w:t>
      </w:r>
    </w:p>
    <w:p w:rsidR="000A0ECE" w:rsidRPr="000A0ECE" w:rsidRDefault="000A0ECE" w:rsidP="000A0ECE">
      <w:pPr>
        <w:pStyle w:val="SingleTxtG"/>
      </w:pPr>
      <w:r w:rsidRPr="000A0ECE">
        <w:t>50.</w:t>
      </w:r>
      <w:r w:rsidRPr="000A0ECE">
        <w:tab/>
        <w:t>Lorsqu’il est informé par l’auteur ou l’État partie qu’une personne disparue a été retrouvée, le Comité attend la confirmation de l’information avant de clore ou de suspendre l’action en urgence.</w:t>
      </w:r>
    </w:p>
    <w:p w:rsidR="000A0ECE" w:rsidRPr="000A0ECE" w:rsidRDefault="000A0ECE" w:rsidP="000A0ECE">
      <w:pPr>
        <w:pStyle w:val="SingleTxtG"/>
      </w:pPr>
      <w:r w:rsidRPr="000A0ECE">
        <w:t>51.</w:t>
      </w:r>
      <w:r w:rsidRPr="000A0ECE">
        <w:tab/>
        <w:t>À la date d’établissement du présent rapport, le Comité avai</w:t>
      </w:r>
      <w:r w:rsidR="002F6CEE">
        <w:t>t clôturé 51 actions en urgence : dans 29 </w:t>
      </w:r>
      <w:r w:rsidRPr="000A0ECE">
        <w:t xml:space="preserve">cas, les personnes disparues avaient été retrouvées vivantes et remises en </w:t>
      </w:r>
      <w:r w:rsidR="002F6CEE">
        <w:t>liberté vivantes et dans les 22 </w:t>
      </w:r>
      <w:r w:rsidRPr="000A0ECE">
        <w:t>autres, les personnes disparues avaient été retrouvées mortes.</w:t>
      </w:r>
    </w:p>
    <w:p w:rsidR="000A0ECE" w:rsidRPr="000A0ECE" w:rsidRDefault="000A0ECE" w:rsidP="000A0ECE">
      <w:pPr>
        <w:pStyle w:val="SingleTxtG"/>
      </w:pPr>
      <w:r w:rsidRPr="000A0ECE">
        <w:t>52.</w:t>
      </w:r>
      <w:r w:rsidRPr="000A0ECE">
        <w:tab/>
        <w:t>En</w:t>
      </w:r>
      <w:r w:rsidR="002F6CEE">
        <w:t xml:space="preserve"> outre, le Comité a suspendu 13 </w:t>
      </w:r>
      <w:r w:rsidRPr="000A0ECE">
        <w:t>procédures d’action en urgence, car les personnes disparues ont été retrouvées, mais demeurent en détention.</w:t>
      </w:r>
    </w:p>
    <w:p w:rsidR="000A0ECE" w:rsidRPr="000A0ECE" w:rsidRDefault="000A0ECE" w:rsidP="000A0ECE">
      <w:pPr>
        <w:pStyle w:val="SingleTxtG"/>
      </w:pPr>
      <w:r w:rsidRPr="000A0ECE">
        <w:t>53.</w:t>
      </w:r>
      <w:r w:rsidRPr="000A0ECE">
        <w:tab/>
        <w:t>Dans deux actions en urgence, la personne disparue a été retrouvée morte, mais l’action en urgence demeure ouverte, parce que les personnes en faveur desquelles des mesures de protection ont été autorisées continuent de recevoir des menaces.</w:t>
      </w:r>
    </w:p>
    <w:p w:rsidR="000A0ECE" w:rsidRPr="000A0ECE" w:rsidRDefault="002F6CEE" w:rsidP="002F6CEE">
      <w:pPr>
        <w:pStyle w:val="H1G"/>
      </w:pPr>
      <w:r>
        <w:tab/>
      </w:r>
      <w:r w:rsidR="000A0ECE" w:rsidRPr="000A0ECE">
        <w:t>D.</w:t>
      </w:r>
      <w:r w:rsidR="000A0ECE" w:rsidRPr="000A0ECE">
        <w:tab/>
        <w:t>Mesures prises pour donner suite aux décisions adoptées par le Comité en séance plénière à ses quinzième et seizième sessions</w:t>
      </w:r>
      <w:bookmarkStart w:id="63" w:name="_Toc522200477"/>
      <w:bookmarkEnd w:id="63"/>
    </w:p>
    <w:p w:rsidR="000A0ECE" w:rsidRPr="000A0ECE" w:rsidRDefault="000A0ECE" w:rsidP="000A0ECE">
      <w:pPr>
        <w:pStyle w:val="SingleTxtG"/>
        <w:rPr>
          <w:bCs/>
        </w:rPr>
      </w:pPr>
      <w:r w:rsidRPr="000A0ECE">
        <w:t>54.</w:t>
      </w:r>
      <w:r w:rsidRPr="000A0ECE">
        <w:tab/>
        <w:t>Le Comité rappelle que le nombre d’actions en urgence enregistrées continue d’augmenter. Cet état de fait exige d’affecter d’urgence un plus grand nombre de fonctionnaires du secrétariat du Haut-Commissariat au traitement de</w:t>
      </w:r>
      <w:r w:rsidR="002F6CEE">
        <w:t>s demandes d’action en urgence.</w:t>
      </w:r>
    </w:p>
    <w:p w:rsidR="000A0ECE" w:rsidRPr="000A0ECE" w:rsidRDefault="000A0ECE" w:rsidP="000A0ECE">
      <w:pPr>
        <w:pStyle w:val="SingleTxtG"/>
      </w:pPr>
      <w:r w:rsidRPr="000A0ECE">
        <w:t>55.</w:t>
      </w:r>
      <w:r w:rsidRPr="000A0ECE">
        <w:tab/>
        <w:t>Le Comité a tenu compte de la position de divers États parties s’agissant des actions en urgence dans lesquelles les actes allégués ne peuvent être clairement attribués à des personnes qui agissent avec l’autorisation, l’appui ou l’acquiescement de l’État. À cet égard, le Comité rappelle qu’il considère que les États parties doivent mener une enquête approfondie sur les faits en se basant sur toutes les hypothèses formulées dans le dossier, ce qui implique notamment de vérifier qu’ils présentent les caractérist</w:t>
      </w:r>
      <w:r w:rsidR="00D04089">
        <w:t>iques d’une disparition forcée.</w:t>
      </w:r>
    </w:p>
    <w:p w:rsidR="000A0ECE" w:rsidRPr="000A0ECE" w:rsidRDefault="000A0ECE" w:rsidP="000A0ECE">
      <w:pPr>
        <w:pStyle w:val="SingleTxtG"/>
        <w:rPr>
          <w:bCs/>
        </w:rPr>
      </w:pPr>
      <w:r w:rsidRPr="000A0ECE">
        <w:t>56.</w:t>
      </w:r>
      <w:r w:rsidRPr="000A0ECE">
        <w:tab/>
        <w:t>Le Comité considère qu’il a compétence pour engager des actions en urgence dans les cas où la Commission interaméricaine des droits de l’homme a pris des mesures provisoires et demandé que la personne disparue soit recherchée et localisée. Les actions en urgence ont une portée plus la</w:t>
      </w:r>
      <w:r w:rsidR="00D04089">
        <w:t>rge que ces mesures provisoires </w:t>
      </w:r>
      <w:r w:rsidRPr="000A0ECE">
        <w:t>; on ne saurait donc considérer qu’il y a litis</w:t>
      </w:r>
      <w:r w:rsidR="00D04089">
        <w:t>pendance au titre du paragraphe 2 </w:t>
      </w:r>
      <w:r w:rsidRPr="000A0ECE">
        <w:t>e) de l’article 30 de la Convention. Dans de tels cas, le Comité et la Commission interaméricaine se concertent afin d’éviter le chev</w:t>
      </w:r>
      <w:r w:rsidR="00D04089">
        <w:t>auchement des actions engagées.</w:t>
      </w:r>
    </w:p>
    <w:p w:rsidR="000A0ECE" w:rsidRDefault="000A0ECE" w:rsidP="000A0ECE">
      <w:pPr>
        <w:pStyle w:val="SingleTxtG"/>
      </w:pPr>
      <w:r w:rsidRPr="000A0ECE">
        <w:t>57.</w:t>
      </w:r>
      <w:r w:rsidRPr="000A0ECE">
        <w:tab/>
        <w:t>Le Comité considère également qu’il a compétence pour enregistrer les actions en urgence relatives à la disparition de personnes qu’un État partie renvoie dans un État non partie, compte tenu de l’obligation de coopératio</w:t>
      </w:r>
      <w:r w:rsidR="00D04089">
        <w:t>n entre les États parties (art. </w:t>
      </w:r>
      <w:r w:rsidRPr="000A0ECE">
        <w:t>14 et 15) et de l’obli</w:t>
      </w:r>
      <w:r w:rsidR="00D04089">
        <w:t>gation de non-refoulement (art. </w:t>
      </w:r>
      <w:r w:rsidRPr="000A0ECE">
        <w:t>16) qui découlent de la Convention.</w:t>
      </w:r>
    </w:p>
    <w:p w:rsidR="000A0ECE" w:rsidRPr="000A0ECE" w:rsidRDefault="000A0ECE" w:rsidP="00C033C4">
      <w:pPr>
        <w:pStyle w:val="HChG"/>
      </w:pPr>
      <w:r>
        <w:br w:type="page"/>
      </w:r>
      <w:r w:rsidR="00C033C4">
        <w:lastRenderedPageBreak/>
        <w:tab/>
      </w:r>
      <w:r w:rsidR="00C033C4">
        <w:tab/>
        <w:t xml:space="preserve">Chapitre XI </w:t>
      </w:r>
      <w:r w:rsidR="00C033C4">
        <w:br/>
      </w:r>
      <w:r w:rsidRPr="000A0ECE">
        <w:t xml:space="preserve">Procédure de communication prévue à l’article 31 </w:t>
      </w:r>
      <w:r w:rsidR="00C033C4">
        <w:br/>
      </w:r>
      <w:r w:rsidRPr="000A0ECE">
        <w:t>de la Convention</w:t>
      </w:r>
      <w:bookmarkStart w:id="64" w:name="_Toc460489559"/>
      <w:bookmarkStart w:id="65" w:name="_Toc522200478"/>
      <w:bookmarkEnd w:id="64"/>
      <w:bookmarkEnd w:id="65"/>
    </w:p>
    <w:p w:rsidR="000A0ECE" w:rsidRPr="000A0ECE" w:rsidRDefault="000A0ECE" w:rsidP="000A0ECE">
      <w:pPr>
        <w:pStyle w:val="SingleTxtG"/>
      </w:pPr>
      <w:r w:rsidRPr="000A0ECE">
        <w:t>58.</w:t>
      </w:r>
      <w:r w:rsidRPr="000A0ECE">
        <w:tab/>
        <w:t xml:space="preserve">Le Comité n’a enregistré aucune nouvelle plainte émanant de particuliers au </w:t>
      </w:r>
      <w:r w:rsidR="00C033C4">
        <w:t>cours de la période considérée.</w:t>
      </w:r>
    </w:p>
    <w:p w:rsidR="000A0ECE" w:rsidRDefault="000A0ECE" w:rsidP="000A0ECE">
      <w:pPr>
        <w:pStyle w:val="SingleTxtG"/>
      </w:pPr>
      <w:r w:rsidRPr="000A0ECE">
        <w:t>59.</w:t>
      </w:r>
      <w:r w:rsidRPr="000A0ECE">
        <w:tab/>
        <w:t xml:space="preserve">En ce qui concerne l’affaire </w:t>
      </w:r>
      <w:proofErr w:type="spellStart"/>
      <w:r w:rsidR="00C033C4">
        <w:rPr>
          <w:i/>
          <w:iCs/>
        </w:rPr>
        <w:t>Yrusta</w:t>
      </w:r>
      <w:proofErr w:type="spellEnd"/>
      <w:r w:rsidR="00C033C4">
        <w:rPr>
          <w:i/>
          <w:iCs/>
        </w:rPr>
        <w:t xml:space="preserve"> et </w:t>
      </w:r>
      <w:proofErr w:type="spellStart"/>
      <w:r w:rsidR="00C033C4">
        <w:rPr>
          <w:i/>
          <w:iCs/>
        </w:rPr>
        <w:t>del</w:t>
      </w:r>
      <w:proofErr w:type="spellEnd"/>
      <w:r w:rsidR="00C033C4">
        <w:rPr>
          <w:i/>
          <w:iCs/>
        </w:rPr>
        <w:t xml:space="preserve"> Valle </w:t>
      </w:r>
      <w:proofErr w:type="spellStart"/>
      <w:r w:rsidR="00C033C4">
        <w:rPr>
          <w:i/>
          <w:iCs/>
        </w:rPr>
        <w:t>Yrusta</w:t>
      </w:r>
      <w:proofErr w:type="spellEnd"/>
      <w:r w:rsidR="00C033C4">
        <w:rPr>
          <w:i/>
          <w:iCs/>
        </w:rPr>
        <w:t xml:space="preserve"> c. </w:t>
      </w:r>
      <w:r w:rsidRPr="000A0ECE">
        <w:rPr>
          <w:i/>
          <w:iCs/>
        </w:rPr>
        <w:t>Argentine</w:t>
      </w:r>
      <w:r w:rsidRPr="000A0ECE">
        <w:t xml:space="preserve"> (</w:t>
      </w:r>
      <w:proofErr w:type="spellStart"/>
      <w:r w:rsidR="003D4A2B">
        <w:fldChar w:fldCharType="begin"/>
      </w:r>
      <w:r w:rsidR="003D4A2B">
        <w:instrText xml:space="preserve"> H</w:instrText>
      </w:r>
      <w:r w:rsidR="003D4A2B">
        <w:instrText xml:space="preserve">YPERLINK "https://undocs.org/fr/CED/C/10/D/1/2013" </w:instrText>
      </w:r>
      <w:r w:rsidR="003D4A2B">
        <w:fldChar w:fldCharType="separate"/>
      </w:r>
      <w:r w:rsidRPr="00C033C4">
        <w:rPr>
          <w:rStyle w:val="Lienhypertexte"/>
        </w:rPr>
        <w:t>CED</w:t>
      </w:r>
      <w:proofErr w:type="spellEnd"/>
      <w:r w:rsidRPr="00C033C4">
        <w:rPr>
          <w:rStyle w:val="Lienhypertexte"/>
        </w:rPr>
        <w:t>/C/10/D/1/2013</w:t>
      </w:r>
      <w:r w:rsidR="003D4A2B">
        <w:rPr>
          <w:rStyle w:val="Lienhypertexte"/>
        </w:rPr>
        <w:fldChar w:fldCharType="end"/>
      </w:r>
      <w:r w:rsidRPr="000A0ECE">
        <w:t>), le Comité a examiné les informations communiquées par les parties. Compte tenu de ces informations, il a estimé que les mesures prises par l’État partie n’avaient pas permis la pleine mise en œuvre de ses recommandations, en particulier des su</w:t>
      </w:r>
      <w:r w:rsidR="00C033C4">
        <w:t>ivantes </w:t>
      </w:r>
      <w:r w:rsidRPr="000A0ECE">
        <w:t>: reconnaître la qualité de victime aux auteures, afin qu’elles puissent participer effectivement aux enquêtes conduites sur la mort et la d</w:t>
      </w:r>
      <w:r w:rsidR="00C033C4">
        <w:t>isparition forcée de leur frère </w:t>
      </w:r>
      <w:r w:rsidRPr="000A0ECE">
        <w:t>; poursuivre, juger et punir les respo</w:t>
      </w:r>
      <w:r w:rsidR="00C033C4">
        <w:t>nsables des violations commises</w:t>
      </w:r>
      <w:r w:rsidRPr="000A0ECE">
        <w:t> ; et accorder aux auteures une réparation et les indemniser rapidement, équitablement et de manière adéquate en application des paragraphes 4 et 5 de l’article 24 de la Convention. Le Comité a donc décidé de continuer d’appliquer la procédure de suivi et d’adresser une note verbale à la mission permanente de l’État partie et un courrier aux auteures afin de les en informer.</w:t>
      </w:r>
    </w:p>
    <w:p w:rsidR="000A0ECE" w:rsidRPr="000A0ECE" w:rsidRDefault="000A0ECE" w:rsidP="00342C0C">
      <w:pPr>
        <w:pStyle w:val="HChG"/>
      </w:pPr>
      <w:r>
        <w:br w:type="page"/>
      </w:r>
      <w:r w:rsidR="00342C0C">
        <w:lastRenderedPageBreak/>
        <w:tab/>
      </w:r>
      <w:r w:rsidR="00342C0C">
        <w:tab/>
        <w:t xml:space="preserve">Chapitre XII </w:t>
      </w:r>
      <w:r w:rsidR="00342C0C">
        <w:br/>
      </w:r>
      <w:r w:rsidRPr="000A0ECE">
        <w:t>Visites prévues à l’article 33 de la Convention</w:t>
      </w:r>
      <w:bookmarkStart w:id="66" w:name="_Toc460489560"/>
      <w:bookmarkStart w:id="67" w:name="_Toc522200479"/>
      <w:bookmarkEnd w:id="66"/>
      <w:bookmarkEnd w:id="67"/>
    </w:p>
    <w:p w:rsidR="000A0ECE" w:rsidRPr="000A0ECE" w:rsidRDefault="000A0ECE" w:rsidP="000A0ECE">
      <w:pPr>
        <w:pStyle w:val="SingleTxtG"/>
      </w:pPr>
      <w:r w:rsidRPr="000A0ECE">
        <w:t>60.</w:t>
      </w:r>
      <w:r w:rsidRPr="000A0ECE">
        <w:tab/>
        <w:t>En janvier 2019, comme suite à son précédent échange de correspondance avec le Mexique, qui avait commencé en mai 2013, le Comité a envoyé un rappel à la Mission permanente du Mexique auprès de l’Office des Nations Unies et d’autres organisations internationales à Genève, réitérant sa demande de visite au Mexique et invitant l’État partie à engager avec lui un dialogue constructif sur les modalités et</w:t>
      </w:r>
      <w:r w:rsidR="00342C0C">
        <w:t xml:space="preserve"> le calendrier de cette visite.</w:t>
      </w:r>
    </w:p>
    <w:p w:rsidR="000A0ECE" w:rsidRDefault="000A0ECE" w:rsidP="000A0ECE">
      <w:pPr>
        <w:pStyle w:val="SingleTxtG"/>
      </w:pPr>
      <w:r w:rsidRPr="000A0ECE">
        <w:t>61.</w:t>
      </w:r>
      <w:r w:rsidRPr="000A0ECE">
        <w:tab/>
        <w:t>À sa seizième session, le Comité a rencontré des représentants de la Mission permanente du Mexique pour débattre de cette question.</w:t>
      </w:r>
    </w:p>
    <w:p w:rsidR="000A0ECE" w:rsidRPr="000A0ECE" w:rsidRDefault="000A0ECE" w:rsidP="00D33A14">
      <w:pPr>
        <w:pStyle w:val="HChG"/>
      </w:pPr>
      <w:r>
        <w:br w:type="page"/>
      </w:r>
      <w:r w:rsidR="00D33A14">
        <w:lastRenderedPageBreak/>
        <w:tab/>
      </w:r>
      <w:r w:rsidR="00D33A14">
        <w:tab/>
        <w:t xml:space="preserve">Chapitre XIII </w:t>
      </w:r>
      <w:r w:rsidR="00D33A14">
        <w:br/>
      </w:r>
      <w:r w:rsidRPr="000A0ECE">
        <w:t xml:space="preserve">Principes directeurs concernant la recherche </w:t>
      </w:r>
      <w:r w:rsidR="00D33A14">
        <w:br/>
      </w:r>
      <w:r w:rsidRPr="000A0ECE">
        <w:t>de personnes disparues</w:t>
      </w:r>
    </w:p>
    <w:p w:rsidR="000A0ECE" w:rsidRPr="000A0ECE" w:rsidRDefault="000A0ECE" w:rsidP="000A0ECE">
      <w:pPr>
        <w:pStyle w:val="SingleTxtG"/>
      </w:pPr>
      <w:r w:rsidRPr="000A0ECE">
        <w:t>62.</w:t>
      </w:r>
      <w:r w:rsidRPr="000A0ECE">
        <w:tab/>
        <w:t>À sa quinzième session, le Comité a élaboré un projet de principes directeurs concernant la recherche de personnes disparues. Le Comité a décidé de mener un large processus de consultation et lancé un appe</w:t>
      </w:r>
      <w:r w:rsidR="00D33A14">
        <w:t>l à contributions écrites du 25 novembre 2018 au 25 </w:t>
      </w:r>
      <w:r w:rsidRPr="000A0ECE">
        <w:t xml:space="preserve">janvier 2019. </w:t>
      </w:r>
    </w:p>
    <w:p w:rsidR="000A0ECE" w:rsidRPr="000A0ECE" w:rsidRDefault="00D33A14" w:rsidP="000A0ECE">
      <w:pPr>
        <w:pStyle w:val="SingleTxtG"/>
      </w:pPr>
      <w:r>
        <w:t>63.</w:t>
      </w:r>
      <w:r>
        <w:tab/>
        <w:t>Au total, 46 </w:t>
      </w:r>
      <w:r w:rsidR="000A0ECE" w:rsidRPr="000A0ECE">
        <w:t>communication</w:t>
      </w:r>
      <w:r>
        <w:t>s ont été reçues, à savoir : 28 </w:t>
      </w:r>
      <w:r w:rsidR="000A0ECE" w:rsidRPr="000A0ECE">
        <w:t>communications émanant d’organisations de victimes et de la société civile</w:t>
      </w:r>
      <w:r w:rsidR="000A0ECE" w:rsidRPr="00F5490F">
        <w:rPr>
          <w:rStyle w:val="Appelnotedebasdep"/>
        </w:rPr>
        <w:footnoteReference w:id="3"/>
      </w:r>
      <w:r>
        <w:t>, une</w:t>
      </w:r>
      <w:r w:rsidR="000A0ECE" w:rsidRPr="000A0ECE">
        <w:t xml:space="preserve"> d’une institution nationale des droits de l’homme</w:t>
      </w:r>
      <w:r w:rsidR="000A0ECE" w:rsidRPr="00F5490F">
        <w:rPr>
          <w:rStyle w:val="Appelnotedebasdep"/>
        </w:rPr>
        <w:footnoteReference w:id="4"/>
      </w:r>
      <w:r>
        <w:t>, trois</w:t>
      </w:r>
      <w:r w:rsidR="000A0ECE" w:rsidRPr="000A0ECE">
        <w:t xml:space="preserve"> d’institutions spécialisées et d’organismes des Nations Unies</w:t>
      </w:r>
      <w:r w:rsidR="000A0ECE" w:rsidRPr="00F5490F">
        <w:rPr>
          <w:rStyle w:val="Appelnotedebasdep"/>
        </w:rPr>
        <w:footnoteReference w:id="5"/>
      </w:r>
      <w:r>
        <w:t>, deux</w:t>
      </w:r>
      <w:r w:rsidR="000A0ECE" w:rsidRPr="000A0ECE">
        <w:t xml:space="preserve"> d’organisations intergouvernementales</w:t>
      </w:r>
      <w:r w:rsidR="000A0ECE" w:rsidRPr="00F5490F">
        <w:rPr>
          <w:rStyle w:val="Appelnotedebasdep"/>
        </w:rPr>
        <w:footnoteReference w:id="6"/>
      </w:r>
      <w:r>
        <w:t>, neuf</w:t>
      </w:r>
      <w:r w:rsidR="000A0ECE" w:rsidRPr="000A0ECE">
        <w:t xml:space="preserve"> d’États parties</w:t>
      </w:r>
      <w:r w:rsidR="000A0ECE" w:rsidRPr="00F5490F">
        <w:rPr>
          <w:rStyle w:val="Appelnotedebasdep"/>
        </w:rPr>
        <w:footnoteReference w:id="7"/>
      </w:r>
      <w:r>
        <w:t xml:space="preserve"> et trois</w:t>
      </w:r>
      <w:r w:rsidR="000A0ECE" w:rsidRPr="000A0ECE">
        <w:t xml:space="preserve"> du milieu universitaire</w:t>
      </w:r>
      <w:r w:rsidR="000A0ECE" w:rsidRPr="00F5490F">
        <w:rPr>
          <w:rStyle w:val="Appelnotedebasdep"/>
        </w:rPr>
        <w:footnoteReference w:id="8"/>
      </w:r>
      <w:r w:rsidR="000A0ECE" w:rsidRPr="000A0ECE">
        <w:t xml:space="preserve">. Le processus de consultation a reçu, en particulier, l’appui du </w:t>
      </w:r>
      <w:proofErr w:type="spellStart"/>
      <w:r w:rsidR="000A0ECE" w:rsidRPr="000A0ECE">
        <w:t>HCDH</w:t>
      </w:r>
      <w:proofErr w:type="spellEnd"/>
      <w:r w:rsidR="000A0ECE" w:rsidRPr="000A0ECE">
        <w:t xml:space="preserve"> au Mexique, de l’Institut allemand des droits de l’homme, de la Fondation Heinrich Böll et de l’</w:t>
      </w:r>
      <w:proofErr w:type="spellStart"/>
      <w:r w:rsidR="000A0ECE" w:rsidRPr="000A0ECE">
        <w:t>Universidad</w:t>
      </w:r>
      <w:proofErr w:type="spellEnd"/>
      <w:r w:rsidR="000A0ECE" w:rsidRPr="000A0ECE">
        <w:t xml:space="preserve"> </w:t>
      </w:r>
      <w:proofErr w:type="spellStart"/>
      <w:r w:rsidR="000A0ECE" w:rsidRPr="000A0ECE">
        <w:t>Externado</w:t>
      </w:r>
      <w:proofErr w:type="spellEnd"/>
      <w:r w:rsidR="000A0ECE" w:rsidRPr="000A0ECE">
        <w:t xml:space="preserve"> de </w:t>
      </w:r>
      <w:proofErr w:type="spellStart"/>
      <w:r w:rsidR="000A0ECE" w:rsidRPr="000A0ECE">
        <w:t>Colombia</w:t>
      </w:r>
      <w:proofErr w:type="spellEnd"/>
      <w:r w:rsidR="000A0ECE" w:rsidRPr="000A0ECE">
        <w:t>, qui ont organisé à Berlin, Bogotá et Mexico des ateliers destinés à permettre aux particuliers et aux organisations nationales, internationales et régionales de discuter de ces principes.</w:t>
      </w:r>
    </w:p>
    <w:p w:rsidR="000A0ECE" w:rsidRPr="000A0ECE" w:rsidRDefault="000A0ECE" w:rsidP="000A0ECE">
      <w:pPr>
        <w:pStyle w:val="SingleTxtG"/>
      </w:pPr>
      <w:r w:rsidRPr="000A0ECE">
        <w:t>64.</w:t>
      </w:r>
      <w:r w:rsidRPr="000A0ECE">
        <w:tab/>
        <w:t xml:space="preserve">À sa seizième session, le Comité a poursuivi l’examen d’une version révisée du projet de principes directeurs établie par deux rapporteurs du Comité sur la base des communications reçues de diverses parties prenantes au cours du processus de consultation. Il était saisi d’une note analytique relative aux contributions établie par Gabriella </w:t>
      </w:r>
      <w:proofErr w:type="spellStart"/>
      <w:r w:rsidRPr="000A0ECE">
        <w:t>Citroni</w:t>
      </w:r>
      <w:proofErr w:type="spellEnd"/>
      <w:r w:rsidRPr="000A0ECE">
        <w:t>, Conseillère juridique principale, TRIAL International, et la Fondation suis</w:t>
      </w:r>
      <w:r w:rsidR="004C4A97">
        <w:t>se pour la paix. Le 16 </w:t>
      </w:r>
      <w:r w:rsidRPr="000A0ECE">
        <w:t>avril 2019, au terme d’un long processus d’analyse et d’examen du projet, le Comité a adopté les principes directeurs concernant la recherche de personnes disparues (</w:t>
      </w:r>
      <w:proofErr w:type="spellStart"/>
      <w:r w:rsidR="003D4A2B">
        <w:fldChar w:fldCharType="begin"/>
      </w:r>
      <w:r w:rsidR="003D4A2B">
        <w:instrText xml:space="preserve"> HY</w:instrText>
      </w:r>
      <w:r w:rsidR="003D4A2B">
        <w:instrText xml:space="preserve">PERLINK "https://undocs.org/fr/CED/C/7" </w:instrText>
      </w:r>
      <w:r w:rsidR="003D4A2B">
        <w:fldChar w:fldCharType="separate"/>
      </w:r>
      <w:r w:rsidRPr="004C4A97">
        <w:rPr>
          <w:rStyle w:val="Lienhypertexte"/>
        </w:rPr>
        <w:t>CED</w:t>
      </w:r>
      <w:proofErr w:type="spellEnd"/>
      <w:r w:rsidRPr="004C4A97">
        <w:rPr>
          <w:rStyle w:val="Lienhypertexte"/>
        </w:rPr>
        <w:t>/C/7</w:t>
      </w:r>
      <w:r w:rsidR="003D4A2B">
        <w:rPr>
          <w:rStyle w:val="Lienhypertexte"/>
        </w:rPr>
        <w:fldChar w:fldCharType="end"/>
      </w:r>
      <w:r w:rsidR="004C4A97">
        <w:t>).</w:t>
      </w:r>
    </w:p>
    <w:p w:rsidR="000A0ECE" w:rsidRPr="000A0ECE" w:rsidRDefault="000A0ECE" w:rsidP="000A0ECE">
      <w:pPr>
        <w:pStyle w:val="SingleTxtG"/>
      </w:pPr>
      <w:r w:rsidRPr="000A0ECE">
        <w:t>65.</w:t>
      </w:r>
      <w:r w:rsidRPr="000A0ECE">
        <w:tab/>
        <w:t>Le Comité remercie toutes les parties prenantes ayant contribué et participé au processus qui a conduit à l’adoption des principes directeurs. Il invite toutes les parties intéressées à diffuser les principes directeurs aussi largement que possible et à assurer la collecte des bonnes pratiques relatives à leur application.</w:t>
      </w:r>
    </w:p>
    <w:p w:rsidR="000A0ECE" w:rsidRPr="000A0ECE" w:rsidRDefault="000A0ECE" w:rsidP="004B2721">
      <w:pPr>
        <w:pStyle w:val="HChG"/>
      </w:pPr>
      <w:r>
        <w:br w:type="page"/>
      </w:r>
      <w:bookmarkStart w:id="68" w:name="_Toc522200480"/>
      <w:r w:rsidRPr="000A0ECE">
        <w:lastRenderedPageBreak/>
        <w:t>Annexe</w:t>
      </w:r>
      <w:bookmarkEnd w:id="68"/>
    </w:p>
    <w:p w:rsidR="000A0ECE" w:rsidRPr="000A0ECE" w:rsidRDefault="004B2721" w:rsidP="004B2721">
      <w:pPr>
        <w:pStyle w:val="HChG"/>
      </w:pPr>
      <w:bookmarkStart w:id="69" w:name="_Toc326162664"/>
      <w:bookmarkStart w:id="70" w:name="_Toc326220779"/>
      <w:bookmarkStart w:id="71" w:name="_Toc460489562"/>
      <w:bookmarkStart w:id="72" w:name="_Toc522200481"/>
      <w:r>
        <w:tab/>
      </w:r>
      <w:r w:rsidR="006F36FF">
        <w:tab/>
      </w:r>
      <w:r w:rsidR="000A0ECE" w:rsidRPr="000A0ECE">
        <w:t>États</w:t>
      </w:r>
      <w:r>
        <w:t xml:space="preserve"> parties à la Convention, au 18 </w:t>
      </w:r>
      <w:r w:rsidR="000A0ECE" w:rsidRPr="000A0ECE">
        <w:t xml:space="preserve">avril 2019, </w:t>
      </w:r>
      <w:r w:rsidR="006F36FF">
        <w:br/>
      </w:r>
      <w:r w:rsidR="000A0ECE" w:rsidRPr="000A0ECE">
        <w:t>et état de la soumission de leurs rapports</w:t>
      </w:r>
      <w:bookmarkEnd w:id="69"/>
      <w:bookmarkEnd w:id="70"/>
      <w:bookmarkEnd w:id="71"/>
      <w:bookmarkEnd w:id="72"/>
    </w:p>
    <w:tbl>
      <w:tblPr>
        <w:tblW w:w="9635" w:type="dxa"/>
        <w:tblLayout w:type="fixed"/>
        <w:tblCellMar>
          <w:left w:w="0" w:type="dxa"/>
          <w:right w:w="0" w:type="dxa"/>
        </w:tblCellMar>
        <w:tblLook w:val="04A0" w:firstRow="1" w:lastRow="0" w:firstColumn="1" w:lastColumn="0" w:noHBand="0" w:noVBand="1"/>
      </w:tblPr>
      <w:tblGrid>
        <w:gridCol w:w="2410"/>
        <w:gridCol w:w="1843"/>
        <w:gridCol w:w="1701"/>
        <w:gridCol w:w="2268"/>
        <w:gridCol w:w="1413"/>
      </w:tblGrid>
      <w:tr w:rsidR="00093A04" w:rsidRPr="004B2721" w:rsidTr="007D5093">
        <w:trPr>
          <w:tblHeader/>
        </w:trPr>
        <w:tc>
          <w:tcPr>
            <w:tcW w:w="2410" w:type="dxa"/>
            <w:tcBorders>
              <w:top w:val="single" w:sz="4" w:space="0" w:color="auto"/>
              <w:bottom w:val="single" w:sz="12" w:space="0" w:color="auto"/>
            </w:tcBorders>
            <w:shd w:val="clear" w:color="auto" w:fill="auto"/>
            <w:vAlign w:val="bottom"/>
          </w:tcPr>
          <w:p w:rsidR="000A0ECE" w:rsidRPr="004B2721" w:rsidRDefault="000A0ECE" w:rsidP="004B2721">
            <w:pPr>
              <w:spacing w:before="80" w:after="80" w:line="200" w:lineRule="exact"/>
              <w:ind w:right="113"/>
              <w:rPr>
                <w:i/>
                <w:sz w:val="16"/>
              </w:rPr>
            </w:pPr>
            <w:r w:rsidRPr="004B2721">
              <w:rPr>
                <w:i/>
                <w:sz w:val="16"/>
              </w:rPr>
              <w:t xml:space="preserve">État partie </w:t>
            </w:r>
            <w:r w:rsidR="002D13AB">
              <w:rPr>
                <w:i/>
                <w:sz w:val="16"/>
              </w:rPr>
              <w:br/>
            </w:r>
            <w:r w:rsidR="00B269B4">
              <w:rPr>
                <w:i/>
                <w:sz w:val="16"/>
              </w:rPr>
              <w:t>(P</w:t>
            </w:r>
            <w:r w:rsidRPr="004B2721">
              <w:rPr>
                <w:i/>
                <w:sz w:val="16"/>
              </w:rPr>
              <w:t>ar ordre de ratification)</w:t>
            </w:r>
          </w:p>
        </w:tc>
        <w:tc>
          <w:tcPr>
            <w:tcW w:w="1843" w:type="dxa"/>
            <w:tcBorders>
              <w:top w:val="single" w:sz="4" w:space="0" w:color="auto"/>
              <w:bottom w:val="single" w:sz="12" w:space="0" w:color="auto"/>
            </w:tcBorders>
            <w:shd w:val="clear" w:color="auto" w:fill="auto"/>
            <w:vAlign w:val="bottom"/>
          </w:tcPr>
          <w:p w:rsidR="000A0ECE" w:rsidRPr="004B2721" w:rsidRDefault="000A0ECE" w:rsidP="004B2721">
            <w:pPr>
              <w:spacing w:before="80" w:after="80" w:line="200" w:lineRule="exact"/>
              <w:ind w:right="113"/>
              <w:rPr>
                <w:i/>
                <w:sz w:val="16"/>
              </w:rPr>
            </w:pPr>
            <w:r w:rsidRPr="004B2721">
              <w:rPr>
                <w:i/>
                <w:sz w:val="16"/>
              </w:rPr>
              <w:t>Ratification</w:t>
            </w:r>
          </w:p>
        </w:tc>
        <w:tc>
          <w:tcPr>
            <w:tcW w:w="1701" w:type="dxa"/>
            <w:tcBorders>
              <w:top w:val="single" w:sz="4" w:space="0" w:color="auto"/>
              <w:bottom w:val="single" w:sz="12" w:space="0" w:color="auto"/>
            </w:tcBorders>
            <w:shd w:val="clear" w:color="auto" w:fill="auto"/>
            <w:vAlign w:val="bottom"/>
          </w:tcPr>
          <w:p w:rsidR="000A0ECE" w:rsidRPr="004B2721" w:rsidRDefault="000A0ECE" w:rsidP="004B2721">
            <w:pPr>
              <w:spacing w:before="80" w:after="80" w:line="200" w:lineRule="exact"/>
              <w:ind w:right="113"/>
              <w:rPr>
                <w:i/>
                <w:sz w:val="16"/>
              </w:rPr>
            </w:pPr>
            <w:r w:rsidRPr="004B2721">
              <w:rPr>
                <w:i/>
                <w:sz w:val="16"/>
              </w:rPr>
              <w:t>Entrée en vigueur</w:t>
            </w:r>
          </w:p>
        </w:tc>
        <w:tc>
          <w:tcPr>
            <w:tcW w:w="2268" w:type="dxa"/>
            <w:tcBorders>
              <w:top w:val="single" w:sz="4" w:space="0" w:color="auto"/>
              <w:bottom w:val="single" w:sz="12" w:space="0" w:color="auto"/>
            </w:tcBorders>
            <w:shd w:val="clear" w:color="auto" w:fill="auto"/>
            <w:vAlign w:val="bottom"/>
          </w:tcPr>
          <w:p w:rsidR="000A0ECE" w:rsidRPr="004B2721" w:rsidRDefault="000A0ECE" w:rsidP="004B2721">
            <w:pPr>
              <w:spacing w:before="80" w:after="80" w:line="200" w:lineRule="exact"/>
              <w:ind w:right="113"/>
              <w:rPr>
                <w:i/>
                <w:sz w:val="16"/>
              </w:rPr>
            </w:pPr>
            <w:r w:rsidRPr="004B2721">
              <w:rPr>
                <w:i/>
                <w:sz w:val="16"/>
              </w:rPr>
              <w:t xml:space="preserve">Date limite pour l’établissement </w:t>
            </w:r>
            <w:r w:rsidR="002D13AB">
              <w:rPr>
                <w:i/>
                <w:sz w:val="16"/>
              </w:rPr>
              <w:t>du rapport en </w:t>
            </w:r>
            <w:r w:rsidRPr="004B2721">
              <w:rPr>
                <w:i/>
                <w:sz w:val="16"/>
              </w:rPr>
              <w:t>application du paragraphe 1 de l’article 29</w:t>
            </w:r>
          </w:p>
        </w:tc>
        <w:tc>
          <w:tcPr>
            <w:tcW w:w="1413" w:type="dxa"/>
            <w:tcBorders>
              <w:top w:val="single" w:sz="4" w:space="0" w:color="auto"/>
              <w:bottom w:val="single" w:sz="12" w:space="0" w:color="auto"/>
            </w:tcBorders>
            <w:shd w:val="clear" w:color="auto" w:fill="auto"/>
            <w:vAlign w:val="bottom"/>
          </w:tcPr>
          <w:p w:rsidR="000A0ECE" w:rsidRPr="004B2721" w:rsidRDefault="000A0ECE" w:rsidP="004B2721">
            <w:pPr>
              <w:spacing w:before="80" w:after="80" w:line="200" w:lineRule="exact"/>
              <w:ind w:right="113"/>
              <w:rPr>
                <w:i/>
                <w:sz w:val="16"/>
              </w:rPr>
            </w:pPr>
            <w:r w:rsidRPr="004B2721">
              <w:rPr>
                <w:i/>
                <w:sz w:val="16"/>
              </w:rPr>
              <w:t>Rapport soumis</w:t>
            </w:r>
          </w:p>
        </w:tc>
      </w:tr>
      <w:tr w:rsidR="002D13AB" w:rsidRPr="004B2721" w:rsidTr="007D5093">
        <w:trPr>
          <w:trHeight w:hRule="exact" w:val="113"/>
          <w:tblHeader/>
        </w:trPr>
        <w:tc>
          <w:tcPr>
            <w:tcW w:w="2410" w:type="dxa"/>
            <w:tcBorders>
              <w:top w:val="single" w:sz="12" w:space="0" w:color="auto"/>
            </w:tcBorders>
            <w:shd w:val="clear" w:color="auto" w:fill="auto"/>
          </w:tcPr>
          <w:p w:rsidR="004B2721" w:rsidRPr="004B2721" w:rsidRDefault="004B2721" w:rsidP="004B2721">
            <w:pPr>
              <w:spacing w:before="40" w:after="120"/>
              <w:ind w:right="113"/>
            </w:pPr>
          </w:p>
        </w:tc>
        <w:tc>
          <w:tcPr>
            <w:tcW w:w="1843" w:type="dxa"/>
            <w:tcBorders>
              <w:top w:val="single" w:sz="12" w:space="0" w:color="auto"/>
            </w:tcBorders>
            <w:shd w:val="clear" w:color="auto" w:fill="auto"/>
          </w:tcPr>
          <w:p w:rsidR="004B2721" w:rsidRPr="004B2721" w:rsidRDefault="004B2721" w:rsidP="004B2721">
            <w:pPr>
              <w:spacing w:before="40" w:after="120"/>
              <w:ind w:right="113"/>
            </w:pPr>
          </w:p>
        </w:tc>
        <w:tc>
          <w:tcPr>
            <w:tcW w:w="1701" w:type="dxa"/>
            <w:tcBorders>
              <w:top w:val="single" w:sz="12" w:space="0" w:color="auto"/>
            </w:tcBorders>
            <w:shd w:val="clear" w:color="auto" w:fill="auto"/>
          </w:tcPr>
          <w:p w:rsidR="004B2721" w:rsidRPr="004B2721" w:rsidRDefault="004B2721" w:rsidP="004B2721">
            <w:pPr>
              <w:spacing w:before="40" w:after="120"/>
              <w:ind w:right="113"/>
            </w:pPr>
          </w:p>
        </w:tc>
        <w:tc>
          <w:tcPr>
            <w:tcW w:w="2268" w:type="dxa"/>
            <w:tcBorders>
              <w:top w:val="single" w:sz="12" w:space="0" w:color="auto"/>
            </w:tcBorders>
            <w:shd w:val="clear" w:color="auto" w:fill="auto"/>
          </w:tcPr>
          <w:p w:rsidR="004B2721" w:rsidRPr="004B2721" w:rsidRDefault="004B2721" w:rsidP="004B2721">
            <w:pPr>
              <w:spacing w:before="40" w:after="120"/>
              <w:ind w:right="113"/>
            </w:pPr>
          </w:p>
        </w:tc>
        <w:tc>
          <w:tcPr>
            <w:tcW w:w="1413" w:type="dxa"/>
            <w:tcBorders>
              <w:top w:val="single" w:sz="12" w:space="0" w:color="auto"/>
            </w:tcBorders>
            <w:shd w:val="clear" w:color="auto" w:fill="auto"/>
          </w:tcPr>
          <w:p w:rsidR="004B2721" w:rsidRPr="004B2721" w:rsidRDefault="004B2721" w:rsidP="004B2721">
            <w:pPr>
              <w:spacing w:before="40" w:after="120"/>
              <w:ind w:right="113"/>
            </w:pPr>
          </w:p>
        </w:tc>
      </w:tr>
      <w:tr w:rsidR="007D5093"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Albanie</w:t>
            </w:r>
            <w:r w:rsidRPr="00904A5E">
              <w:rPr>
                <w:bCs/>
              </w:rPr>
              <w:t>*</w:t>
            </w:r>
          </w:p>
        </w:tc>
        <w:tc>
          <w:tcPr>
            <w:tcW w:w="1843" w:type="dxa"/>
            <w:shd w:val="clear" w:color="auto" w:fill="auto"/>
          </w:tcPr>
          <w:p w:rsidR="000A0ECE" w:rsidRPr="004B2721" w:rsidRDefault="009B132A" w:rsidP="004B2721">
            <w:pPr>
              <w:spacing w:before="40" w:after="120"/>
              <w:ind w:right="113"/>
            </w:pPr>
            <w:r>
              <w:t>8 </w:t>
            </w:r>
            <w:r w:rsidR="000A0ECE" w:rsidRPr="004B2721">
              <w:t>nov. 2007</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11</w:t>
            </w:r>
            <w:r w:rsidR="00671DDE">
              <w:t> </w:t>
            </w:r>
            <w:r w:rsidRPr="004B2721">
              <w:t>nov. 2015</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Argentine</w:t>
            </w:r>
            <w:r w:rsidRPr="00904A5E">
              <w:rPr>
                <w:bCs/>
              </w:rPr>
              <w:t>*</w:t>
            </w:r>
          </w:p>
        </w:tc>
        <w:tc>
          <w:tcPr>
            <w:tcW w:w="1843" w:type="dxa"/>
            <w:shd w:val="clear" w:color="auto" w:fill="auto"/>
          </w:tcPr>
          <w:p w:rsidR="000A0ECE" w:rsidRPr="004B2721" w:rsidRDefault="009B132A" w:rsidP="004B2721">
            <w:pPr>
              <w:spacing w:before="40" w:after="120"/>
              <w:ind w:right="113"/>
            </w:pPr>
            <w:r>
              <w:t>14 </w:t>
            </w:r>
            <w:r w:rsidR="000A0ECE" w:rsidRPr="004B2721">
              <w:t>déc. 2007</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21</w:t>
            </w:r>
            <w:r w:rsidR="00671DDE">
              <w:t> </w:t>
            </w:r>
            <w:r w:rsidRPr="004B2721">
              <w:t>déc. 2012</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Mexique</w:t>
            </w:r>
          </w:p>
        </w:tc>
        <w:tc>
          <w:tcPr>
            <w:tcW w:w="1843" w:type="dxa"/>
            <w:shd w:val="clear" w:color="auto" w:fill="auto"/>
          </w:tcPr>
          <w:p w:rsidR="000A0ECE" w:rsidRPr="004B2721" w:rsidRDefault="009B132A" w:rsidP="004B2721">
            <w:pPr>
              <w:spacing w:before="40" w:after="120"/>
              <w:ind w:right="113"/>
            </w:pPr>
            <w:r>
              <w:t>18 </w:t>
            </w:r>
            <w:r w:rsidR="000A0ECE" w:rsidRPr="004B2721">
              <w:t>mars 2008</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11</w:t>
            </w:r>
            <w:r w:rsidR="00671DDE">
              <w:t> </w:t>
            </w:r>
            <w:r w:rsidRPr="004B2721">
              <w:t>mars 2014</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Honduras</w:t>
            </w:r>
          </w:p>
        </w:tc>
        <w:tc>
          <w:tcPr>
            <w:tcW w:w="1843" w:type="dxa"/>
            <w:shd w:val="clear" w:color="auto" w:fill="auto"/>
          </w:tcPr>
          <w:p w:rsidR="000A0ECE" w:rsidRPr="004B2721" w:rsidRDefault="000A0ECE" w:rsidP="004B2721">
            <w:pPr>
              <w:spacing w:before="40" w:after="120"/>
              <w:ind w:right="113"/>
            </w:pPr>
            <w:r w:rsidRPr="004B2721">
              <w:t>1</w:t>
            </w:r>
            <w:r w:rsidRPr="009B132A">
              <w:rPr>
                <w:vertAlign w:val="superscript"/>
              </w:rPr>
              <w:t>er</w:t>
            </w:r>
            <w:r w:rsidR="009B132A">
              <w:t> </w:t>
            </w:r>
            <w:r w:rsidRPr="004B2721">
              <w:t>avril 2008</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4</w:t>
            </w:r>
            <w:r w:rsidR="00671DDE">
              <w:t> </w:t>
            </w:r>
            <w:r w:rsidRPr="004B2721">
              <w:t>févr. 2016</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France</w:t>
            </w:r>
            <w:r w:rsidRPr="00904A5E">
              <w:rPr>
                <w:bCs/>
              </w:rPr>
              <w:t>*</w:t>
            </w:r>
          </w:p>
        </w:tc>
        <w:tc>
          <w:tcPr>
            <w:tcW w:w="1843" w:type="dxa"/>
            <w:shd w:val="clear" w:color="auto" w:fill="auto"/>
          </w:tcPr>
          <w:p w:rsidR="000A0ECE" w:rsidRPr="004B2721" w:rsidRDefault="009B132A" w:rsidP="004B2721">
            <w:pPr>
              <w:spacing w:before="40" w:after="120"/>
              <w:ind w:right="113"/>
            </w:pPr>
            <w:r>
              <w:t>23 </w:t>
            </w:r>
            <w:r w:rsidR="000A0ECE" w:rsidRPr="004B2721">
              <w:t>sept. 2008</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21</w:t>
            </w:r>
            <w:r w:rsidR="00671DDE">
              <w:t> </w:t>
            </w:r>
            <w:r w:rsidRPr="004B2721">
              <w:t>déc. 2012</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Sénégal</w:t>
            </w:r>
          </w:p>
        </w:tc>
        <w:tc>
          <w:tcPr>
            <w:tcW w:w="1843" w:type="dxa"/>
            <w:shd w:val="clear" w:color="auto" w:fill="auto"/>
          </w:tcPr>
          <w:p w:rsidR="000A0ECE" w:rsidRPr="004B2721" w:rsidRDefault="009B132A" w:rsidP="004B2721">
            <w:pPr>
              <w:spacing w:before="40" w:after="120"/>
              <w:ind w:right="113"/>
            </w:pPr>
            <w:r>
              <w:t>11 </w:t>
            </w:r>
            <w:r w:rsidR="000A0ECE" w:rsidRPr="004B2721">
              <w:t>déc. 2008</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28</w:t>
            </w:r>
            <w:r w:rsidR="00671DDE">
              <w:t> </w:t>
            </w:r>
            <w:r w:rsidRPr="004B2721">
              <w:t>avril 2015</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Bolivie</w:t>
            </w:r>
          </w:p>
        </w:tc>
        <w:tc>
          <w:tcPr>
            <w:tcW w:w="1843" w:type="dxa"/>
            <w:shd w:val="clear" w:color="auto" w:fill="auto"/>
          </w:tcPr>
          <w:p w:rsidR="000A0ECE" w:rsidRPr="004B2721" w:rsidRDefault="009B132A" w:rsidP="004B2721">
            <w:pPr>
              <w:spacing w:before="40" w:after="120"/>
              <w:ind w:right="113"/>
            </w:pPr>
            <w:r>
              <w:t>17 </w:t>
            </w:r>
            <w:r w:rsidR="000A0ECE" w:rsidRPr="004B2721">
              <w:t>déc. 2008</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28</w:t>
            </w:r>
            <w:r w:rsidR="00671DDE">
              <w:t> </w:t>
            </w:r>
            <w:r w:rsidRPr="004B2721">
              <w:t>sept. 2018</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Cuba</w:t>
            </w:r>
          </w:p>
        </w:tc>
        <w:tc>
          <w:tcPr>
            <w:tcW w:w="1843" w:type="dxa"/>
            <w:shd w:val="clear" w:color="auto" w:fill="auto"/>
          </w:tcPr>
          <w:p w:rsidR="000A0ECE" w:rsidRPr="004B2721" w:rsidRDefault="009B132A" w:rsidP="004B2721">
            <w:pPr>
              <w:spacing w:before="40" w:after="120"/>
              <w:ind w:right="113"/>
            </w:pPr>
            <w:r>
              <w:t>2 </w:t>
            </w:r>
            <w:r w:rsidR="000A0ECE" w:rsidRPr="004B2721">
              <w:t>févr.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24</w:t>
            </w:r>
            <w:r w:rsidR="00671DDE">
              <w:t> </w:t>
            </w:r>
            <w:r w:rsidRPr="004B2721">
              <w:t>avril 2015</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Kazakhstan</w:t>
            </w:r>
          </w:p>
        </w:tc>
        <w:tc>
          <w:tcPr>
            <w:tcW w:w="1843" w:type="dxa"/>
            <w:shd w:val="clear" w:color="auto" w:fill="auto"/>
          </w:tcPr>
          <w:p w:rsidR="000A0ECE" w:rsidRPr="004B2721" w:rsidRDefault="009B132A" w:rsidP="004B2721">
            <w:pPr>
              <w:spacing w:before="40" w:after="120"/>
              <w:ind w:right="113"/>
            </w:pPr>
            <w:r>
              <w:t>27 </w:t>
            </w:r>
            <w:r w:rsidR="000A0ECE" w:rsidRPr="004B2721">
              <w:t>févr.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3</w:t>
            </w:r>
            <w:r w:rsidR="00671DDE">
              <w:t> </w:t>
            </w:r>
            <w:r w:rsidRPr="004B2721">
              <w:t>juin 2014</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Uruguay</w:t>
            </w:r>
            <w:r w:rsidRPr="00904A5E">
              <w:rPr>
                <w:bCs/>
              </w:rPr>
              <w:t>*</w:t>
            </w:r>
          </w:p>
        </w:tc>
        <w:tc>
          <w:tcPr>
            <w:tcW w:w="1843" w:type="dxa"/>
            <w:shd w:val="clear" w:color="auto" w:fill="auto"/>
          </w:tcPr>
          <w:p w:rsidR="000A0ECE" w:rsidRPr="004B2721" w:rsidRDefault="009B132A" w:rsidP="004B2721">
            <w:pPr>
              <w:spacing w:before="40" w:after="120"/>
              <w:ind w:right="113"/>
            </w:pPr>
            <w:r>
              <w:t>4 </w:t>
            </w:r>
            <w:r w:rsidR="000A0ECE" w:rsidRPr="004B2721">
              <w:t>mars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4</w:t>
            </w:r>
            <w:r w:rsidR="00671DDE">
              <w:t> </w:t>
            </w:r>
            <w:r w:rsidRPr="004B2721">
              <w:t>sept. 2012</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Mali</w:t>
            </w:r>
            <w:r w:rsidRPr="00904A5E">
              <w:rPr>
                <w:bCs/>
              </w:rPr>
              <w:t>*</w:t>
            </w:r>
          </w:p>
        </w:tc>
        <w:tc>
          <w:tcPr>
            <w:tcW w:w="1843" w:type="dxa"/>
            <w:shd w:val="clear" w:color="auto" w:fill="auto"/>
          </w:tcPr>
          <w:p w:rsidR="000A0ECE" w:rsidRPr="004B2721" w:rsidRDefault="000A0ECE" w:rsidP="004B2721">
            <w:pPr>
              <w:spacing w:before="40" w:after="120"/>
              <w:ind w:right="113"/>
            </w:pPr>
            <w:r w:rsidRPr="004B2721">
              <w:t>1</w:t>
            </w:r>
            <w:r w:rsidRPr="009B132A">
              <w:rPr>
                <w:vertAlign w:val="superscript"/>
              </w:rPr>
              <w:t>er</w:t>
            </w:r>
            <w:r w:rsidR="009B132A">
              <w:t> </w:t>
            </w:r>
            <w:r w:rsidRPr="004B2721">
              <w:t>juill.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Japon</w:t>
            </w:r>
            <w:r w:rsidRPr="00904A5E">
              <w:rPr>
                <w:bCs/>
              </w:rPr>
              <w:t>*</w:t>
            </w:r>
          </w:p>
        </w:tc>
        <w:tc>
          <w:tcPr>
            <w:tcW w:w="1843" w:type="dxa"/>
            <w:shd w:val="clear" w:color="auto" w:fill="auto"/>
          </w:tcPr>
          <w:p w:rsidR="000A0ECE" w:rsidRPr="004B2721" w:rsidRDefault="009B132A" w:rsidP="004B2721">
            <w:pPr>
              <w:spacing w:before="40" w:after="120"/>
              <w:ind w:right="113"/>
            </w:pPr>
            <w:r>
              <w:t>23 </w:t>
            </w:r>
            <w:r w:rsidR="000A0ECE" w:rsidRPr="004B2721">
              <w:t>juill.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22</w:t>
            </w:r>
            <w:r w:rsidR="00671DDE">
              <w:t> </w:t>
            </w:r>
            <w:r w:rsidRPr="004B2721">
              <w:t>juill. 2016</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Nigéria</w:t>
            </w:r>
          </w:p>
        </w:tc>
        <w:tc>
          <w:tcPr>
            <w:tcW w:w="1843" w:type="dxa"/>
            <w:shd w:val="clear" w:color="auto" w:fill="auto"/>
          </w:tcPr>
          <w:p w:rsidR="000A0ECE" w:rsidRPr="004B2721" w:rsidRDefault="009B132A" w:rsidP="004B2721">
            <w:pPr>
              <w:spacing w:before="40" w:after="120"/>
              <w:ind w:right="113"/>
            </w:pPr>
            <w:r>
              <w:t>27 </w:t>
            </w:r>
            <w:r w:rsidR="000A0ECE" w:rsidRPr="004B2721">
              <w:t>juill.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Espagne</w:t>
            </w:r>
            <w:r w:rsidRPr="00904A5E">
              <w:rPr>
                <w:bCs/>
              </w:rPr>
              <w:t>*</w:t>
            </w:r>
          </w:p>
        </w:tc>
        <w:tc>
          <w:tcPr>
            <w:tcW w:w="1843" w:type="dxa"/>
            <w:shd w:val="clear" w:color="auto" w:fill="auto"/>
          </w:tcPr>
          <w:p w:rsidR="000A0ECE" w:rsidRPr="004B2721" w:rsidRDefault="009B132A" w:rsidP="004B2721">
            <w:pPr>
              <w:spacing w:before="40" w:after="120"/>
              <w:ind w:right="113"/>
            </w:pPr>
            <w:r>
              <w:t>24 </w:t>
            </w:r>
            <w:r w:rsidR="000A0ECE" w:rsidRPr="004B2721">
              <w:t>sept.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26</w:t>
            </w:r>
            <w:r w:rsidR="00671DDE">
              <w:t> </w:t>
            </w:r>
            <w:r w:rsidRPr="004B2721">
              <w:t>déc. 2012</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Allemagne</w:t>
            </w:r>
            <w:r w:rsidRPr="00904A5E">
              <w:rPr>
                <w:bCs/>
              </w:rPr>
              <w:t>*</w:t>
            </w:r>
          </w:p>
        </w:tc>
        <w:tc>
          <w:tcPr>
            <w:tcW w:w="1843" w:type="dxa"/>
            <w:shd w:val="clear" w:color="auto" w:fill="auto"/>
          </w:tcPr>
          <w:p w:rsidR="000A0ECE" w:rsidRPr="004B2721" w:rsidRDefault="009B132A" w:rsidP="004B2721">
            <w:pPr>
              <w:spacing w:before="40" w:after="120"/>
              <w:ind w:right="113"/>
            </w:pPr>
            <w:r>
              <w:t>24 </w:t>
            </w:r>
            <w:r w:rsidR="000A0ECE" w:rsidRPr="004B2721">
              <w:t>sept.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25</w:t>
            </w:r>
            <w:r w:rsidR="00671DDE">
              <w:t> </w:t>
            </w:r>
            <w:r w:rsidRPr="004B2721">
              <w:t>mars 2013</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Équateur</w:t>
            </w:r>
            <w:r w:rsidRPr="00904A5E">
              <w:rPr>
                <w:bCs/>
              </w:rPr>
              <w:t>*</w:t>
            </w:r>
          </w:p>
        </w:tc>
        <w:tc>
          <w:tcPr>
            <w:tcW w:w="1843" w:type="dxa"/>
            <w:shd w:val="clear" w:color="auto" w:fill="auto"/>
          </w:tcPr>
          <w:p w:rsidR="000A0ECE" w:rsidRPr="004B2721" w:rsidRDefault="009B132A" w:rsidP="004B2721">
            <w:pPr>
              <w:spacing w:before="40" w:after="120"/>
              <w:ind w:right="113"/>
            </w:pPr>
            <w:r>
              <w:t>20 </w:t>
            </w:r>
            <w:r w:rsidR="000A0ECE" w:rsidRPr="004B2721">
              <w:t>oct.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5</w:t>
            </w:r>
            <w:r w:rsidR="00671DDE">
              <w:t> </w:t>
            </w:r>
            <w:r w:rsidRPr="004B2721">
              <w:t>juin 2015</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Burkina Faso</w:t>
            </w:r>
          </w:p>
        </w:tc>
        <w:tc>
          <w:tcPr>
            <w:tcW w:w="1843" w:type="dxa"/>
            <w:shd w:val="clear" w:color="auto" w:fill="auto"/>
          </w:tcPr>
          <w:p w:rsidR="000A0ECE" w:rsidRPr="004B2721" w:rsidRDefault="009B132A" w:rsidP="004B2721">
            <w:pPr>
              <w:spacing w:before="40" w:after="120"/>
              <w:ind w:right="113"/>
            </w:pPr>
            <w:r>
              <w:t>3 </w:t>
            </w:r>
            <w:r w:rsidR="000A0ECE" w:rsidRPr="004B2721">
              <w:t>déc.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7</w:t>
            </w:r>
            <w:r w:rsidR="00671DDE">
              <w:t> </w:t>
            </w:r>
            <w:r w:rsidRPr="004B2721">
              <w:t>oct. 2014</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Chili</w:t>
            </w:r>
            <w:r w:rsidRPr="00904A5E">
              <w:rPr>
                <w:bCs/>
              </w:rPr>
              <w:t>*</w:t>
            </w:r>
          </w:p>
        </w:tc>
        <w:tc>
          <w:tcPr>
            <w:tcW w:w="1843" w:type="dxa"/>
            <w:shd w:val="clear" w:color="auto" w:fill="auto"/>
          </w:tcPr>
          <w:p w:rsidR="000A0ECE" w:rsidRPr="004B2721" w:rsidRDefault="009B132A" w:rsidP="004B2721">
            <w:pPr>
              <w:spacing w:before="40" w:after="120"/>
              <w:ind w:right="113"/>
            </w:pPr>
            <w:r>
              <w:t>8 </w:t>
            </w:r>
            <w:r w:rsidR="000A0ECE" w:rsidRPr="004B2721">
              <w:t>déc. 2009</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1</w:t>
            </w:r>
            <w:r w:rsidRPr="00671DDE">
              <w:rPr>
                <w:vertAlign w:val="superscript"/>
              </w:rPr>
              <w:t>er</w:t>
            </w:r>
            <w:r w:rsidR="00671DDE">
              <w:rPr>
                <w:vertAlign w:val="superscript"/>
              </w:rPr>
              <w:t> </w:t>
            </w:r>
            <w:r w:rsidRPr="004B2721">
              <w:t>déc. 2017</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Paraguay</w:t>
            </w:r>
          </w:p>
        </w:tc>
        <w:tc>
          <w:tcPr>
            <w:tcW w:w="1843" w:type="dxa"/>
            <w:shd w:val="clear" w:color="auto" w:fill="auto"/>
          </w:tcPr>
          <w:p w:rsidR="000A0ECE" w:rsidRPr="004B2721" w:rsidRDefault="009B132A" w:rsidP="004B2721">
            <w:pPr>
              <w:spacing w:before="40" w:after="120"/>
              <w:ind w:right="113"/>
            </w:pPr>
            <w:r>
              <w:t>3 </w:t>
            </w:r>
            <w:r w:rsidR="000A0ECE" w:rsidRPr="004B2721">
              <w:t>août 2010</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28</w:t>
            </w:r>
            <w:r w:rsidR="00671DDE">
              <w:t> </w:t>
            </w:r>
            <w:r w:rsidRPr="004B2721">
              <w:t>août 2013</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Iraq</w:t>
            </w:r>
          </w:p>
        </w:tc>
        <w:tc>
          <w:tcPr>
            <w:tcW w:w="1843" w:type="dxa"/>
            <w:shd w:val="clear" w:color="auto" w:fill="auto"/>
          </w:tcPr>
          <w:p w:rsidR="000A0ECE" w:rsidRPr="004B2721" w:rsidRDefault="009B132A" w:rsidP="004B2721">
            <w:pPr>
              <w:spacing w:before="40" w:after="120"/>
              <w:ind w:right="113"/>
            </w:pPr>
            <w:r>
              <w:t>23 </w:t>
            </w:r>
            <w:r w:rsidR="000A0ECE" w:rsidRPr="004B2721">
              <w:t>nov. 2010</w:t>
            </w:r>
          </w:p>
        </w:tc>
        <w:tc>
          <w:tcPr>
            <w:tcW w:w="1701" w:type="dxa"/>
            <w:shd w:val="clear" w:color="auto" w:fill="auto"/>
          </w:tcPr>
          <w:p w:rsidR="000A0ECE" w:rsidRPr="004B2721" w:rsidRDefault="00671DDE" w:rsidP="004B2721">
            <w:pPr>
              <w:spacing w:before="40" w:after="120"/>
              <w:ind w:right="113"/>
            </w:pPr>
            <w:r>
              <w:t>23 </w:t>
            </w:r>
            <w:r w:rsidR="000A0ECE" w:rsidRPr="004B2721">
              <w:t>déc. 2010</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déc. 2012</w:t>
            </w:r>
          </w:p>
        </w:tc>
        <w:tc>
          <w:tcPr>
            <w:tcW w:w="1413" w:type="dxa"/>
            <w:shd w:val="clear" w:color="auto" w:fill="auto"/>
          </w:tcPr>
          <w:p w:rsidR="000A0ECE" w:rsidRPr="004B2721" w:rsidRDefault="000A0ECE" w:rsidP="004B2721">
            <w:pPr>
              <w:spacing w:before="40" w:after="120"/>
              <w:ind w:right="113"/>
            </w:pPr>
            <w:r w:rsidRPr="004B2721">
              <w:t>26</w:t>
            </w:r>
            <w:r w:rsidR="00671DDE">
              <w:t> </w:t>
            </w:r>
            <w:r w:rsidRPr="004B2721">
              <w:t>juin 2014</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Brésil</w:t>
            </w:r>
          </w:p>
        </w:tc>
        <w:tc>
          <w:tcPr>
            <w:tcW w:w="1843" w:type="dxa"/>
            <w:shd w:val="clear" w:color="auto" w:fill="auto"/>
          </w:tcPr>
          <w:p w:rsidR="000A0ECE" w:rsidRPr="004B2721" w:rsidRDefault="009B132A" w:rsidP="004B2721">
            <w:pPr>
              <w:spacing w:before="40" w:after="120"/>
              <w:ind w:right="113"/>
            </w:pPr>
            <w:r>
              <w:t>29 </w:t>
            </w:r>
            <w:r w:rsidR="000A0ECE" w:rsidRPr="004B2721">
              <w:t>nov. 2010</w:t>
            </w:r>
          </w:p>
        </w:tc>
        <w:tc>
          <w:tcPr>
            <w:tcW w:w="1701" w:type="dxa"/>
            <w:shd w:val="clear" w:color="auto" w:fill="auto"/>
          </w:tcPr>
          <w:p w:rsidR="000A0ECE" w:rsidRPr="004B2721" w:rsidRDefault="000A0ECE" w:rsidP="004B2721">
            <w:pPr>
              <w:spacing w:before="40" w:after="120"/>
              <w:ind w:right="113"/>
            </w:pPr>
            <w:r w:rsidRPr="004B2721">
              <w:t>2</w:t>
            </w:r>
            <w:r w:rsidR="00671DDE">
              <w:t>9 </w:t>
            </w:r>
            <w:r w:rsidRPr="004B2721">
              <w:t>déc. 2010</w:t>
            </w:r>
          </w:p>
        </w:tc>
        <w:tc>
          <w:tcPr>
            <w:tcW w:w="2268" w:type="dxa"/>
            <w:shd w:val="clear" w:color="auto" w:fill="auto"/>
          </w:tcPr>
          <w:p w:rsidR="000A0ECE" w:rsidRPr="004B2721" w:rsidRDefault="000A0ECE" w:rsidP="004B2721">
            <w:pPr>
              <w:spacing w:before="40" w:after="120"/>
              <w:ind w:right="113"/>
            </w:pPr>
            <w:r w:rsidRPr="004B2721">
              <w:t>29</w:t>
            </w:r>
            <w:r w:rsidR="00671DDE">
              <w:t> </w:t>
            </w:r>
            <w:r w:rsidRPr="004B2721">
              <w:t>déc. 2012</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Gabon</w:t>
            </w:r>
          </w:p>
        </w:tc>
        <w:tc>
          <w:tcPr>
            <w:tcW w:w="1843" w:type="dxa"/>
            <w:shd w:val="clear" w:color="auto" w:fill="auto"/>
          </w:tcPr>
          <w:p w:rsidR="000A0ECE" w:rsidRPr="004B2721" w:rsidRDefault="009B132A" w:rsidP="004B2721">
            <w:pPr>
              <w:spacing w:before="40" w:after="120"/>
              <w:ind w:right="113"/>
            </w:pPr>
            <w:r>
              <w:t>19 </w:t>
            </w:r>
            <w:r w:rsidR="000A0ECE" w:rsidRPr="004B2721">
              <w:t>janv. 2011</w:t>
            </w:r>
          </w:p>
        </w:tc>
        <w:tc>
          <w:tcPr>
            <w:tcW w:w="1701" w:type="dxa"/>
            <w:shd w:val="clear" w:color="auto" w:fill="auto"/>
          </w:tcPr>
          <w:p w:rsidR="000A0ECE" w:rsidRPr="004B2721" w:rsidRDefault="00671DDE" w:rsidP="004B2721">
            <w:pPr>
              <w:spacing w:before="40" w:after="120"/>
              <w:ind w:right="113"/>
            </w:pPr>
            <w:r>
              <w:t>18 </w:t>
            </w:r>
            <w:r w:rsidR="000A0ECE" w:rsidRPr="004B2721">
              <w:t>févr. 2011</w:t>
            </w:r>
          </w:p>
        </w:tc>
        <w:tc>
          <w:tcPr>
            <w:tcW w:w="2268" w:type="dxa"/>
            <w:shd w:val="clear" w:color="auto" w:fill="auto"/>
          </w:tcPr>
          <w:p w:rsidR="000A0ECE" w:rsidRPr="004B2721" w:rsidRDefault="000A0ECE" w:rsidP="004B2721">
            <w:pPr>
              <w:spacing w:before="40" w:after="120"/>
              <w:ind w:right="113"/>
            </w:pPr>
            <w:r w:rsidRPr="004B2721">
              <w:t>18</w:t>
            </w:r>
            <w:r w:rsidR="00671DDE">
              <w:t> </w:t>
            </w:r>
            <w:r w:rsidRPr="004B2721">
              <w:t>févr. 2013</w:t>
            </w:r>
          </w:p>
        </w:tc>
        <w:tc>
          <w:tcPr>
            <w:tcW w:w="1413" w:type="dxa"/>
            <w:shd w:val="clear" w:color="auto" w:fill="auto"/>
          </w:tcPr>
          <w:p w:rsidR="000A0ECE" w:rsidRPr="004B2721" w:rsidRDefault="000A0ECE" w:rsidP="004B2721">
            <w:pPr>
              <w:spacing w:before="40" w:after="120"/>
              <w:ind w:right="113"/>
            </w:pPr>
            <w:r w:rsidRPr="004B2721">
              <w:t>10</w:t>
            </w:r>
            <w:r w:rsidR="00671DDE">
              <w:t> </w:t>
            </w:r>
            <w:r w:rsidRPr="004B2721">
              <w:t>juin 2015</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Arménie</w:t>
            </w:r>
          </w:p>
        </w:tc>
        <w:tc>
          <w:tcPr>
            <w:tcW w:w="1843" w:type="dxa"/>
            <w:shd w:val="clear" w:color="auto" w:fill="auto"/>
          </w:tcPr>
          <w:p w:rsidR="000A0ECE" w:rsidRPr="004B2721" w:rsidRDefault="009B132A" w:rsidP="004B2721">
            <w:pPr>
              <w:spacing w:before="40" w:after="120"/>
              <w:ind w:right="113"/>
            </w:pPr>
            <w:r>
              <w:t>24 </w:t>
            </w:r>
            <w:r w:rsidR="000A0ECE" w:rsidRPr="004B2721">
              <w:t>janv. 2011</w:t>
            </w:r>
          </w:p>
        </w:tc>
        <w:tc>
          <w:tcPr>
            <w:tcW w:w="1701" w:type="dxa"/>
            <w:shd w:val="clear" w:color="auto" w:fill="auto"/>
          </w:tcPr>
          <w:p w:rsidR="000A0ECE" w:rsidRPr="004B2721" w:rsidRDefault="00671DDE" w:rsidP="004B2721">
            <w:pPr>
              <w:spacing w:before="40" w:after="120"/>
              <w:ind w:right="113"/>
            </w:pPr>
            <w:r>
              <w:t>23 </w:t>
            </w:r>
            <w:r w:rsidR="000A0ECE" w:rsidRPr="004B2721">
              <w:t>févr. 2011</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févr. 2013</w:t>
            </w:r>
          </w:p>
        </w:tc>
        <w:tc>
          <w:tcPr>
            <w:tcW w:w="1413" w:type="dxa"/>
            <w:shd w:val="clear" w:color="auto" w:fill="auto"/>
          </w:tcPr>
          <w:p w:rsidR="000A0ECE" w:rsidRPr="004B2721" w:rsidRDefault="000A0ECE" w:rsidP="004B2721">
            <w:pPr>
              <w:spacing w:before="40" w:after="120"/>
              <w:ind w:right="113"/>
            </w:pPr>
            <w:r w:rsidRPr="004B2721">
              <w:t>14</w:t>
            </w:r>
            <w:r w:rsidR="00671DDE">
              <w:t> </w:t>
            </w:r>
            <w:r w:rsidRPr="004B2721">
              <w:t>oct. 2013</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Pays-Bas</w:t>
            </w:r>
            <w:r w:rsidRPr="00904A5E">
              <w:rPr>
                <w:bCs/>
              </w:rPr>
              <w:t>*</w:t>
            </w:r>
          </w:p>
        </w:tc>
        <w:tc>
          <w:tcPr>
            <w:tcW w:w="1843" w:type="dxa"/>
            <w:shd w:val="clear" w:color="auto" w:fill="auto"/>
          </w:tcPr>
          <w:p w:rsidR="000A0ECE" w:rsidRPr="004B2721" w:rsidRDefault="009B132A" w:rsidP="004B2721">
            <w:pPr>
              <w:spacing w:before="40" w:after="120"/>
              <w:ind w:right="113"/>
            </w:pPr>
            <w:r>
              <w:t>23 </w:t>
            </w:r>
            <w:r w:rsidR="000A0ECE" w:rsidRPr="004B2721">
              <w:t>mars 2011</w:t>
            </w:r>
          </w:p>
        </w:tc>
        <w:tc>
          <w:tcPr>
            <w:tcW w:w="1701" w:type="dxa"/>
            <w:shd w:val="clear" w:color="auto" w:fill="auto"/>
          </w:tcPr>
          <w:p w:rsidR="000A0ECE" w:rsidRPr="004B2721" w:rsidRDefault="00671DDE" w:rsidP="004B2721">
            <w:pPr>
              <w:spacing w:before="40" w:after="120"/>
              <w:ind w:right="113"/>
            </w:pPr>
            <w:r>
              <w:t>22 </w:t>
            </w:r>
            <w:r w:rsidR="000A0ECE" w:rsidRPr="004B2721">
              <w:t>avril 2011</w:t>
            </w:r>
          </w:p>
        </w:tc>
        <w:tc>
          <w:tcPr>
            <w:tcW w:w="2268" w:type="dxa"/>
            <w:shd w:val="clear" w:color="auto" w:fill="auto"/>
          </w:tcPr>
          <w:p w:rsidR="000A0ECE" w:rsidRPr="004B2721" w:rsidRDefault="000A0ECE" w:rsidP="004B2721">
            <w:pPr>
              <w:spacing w:before="40" w:after="120"/>
              <w:ind w:right="113"/>
            </w:pPr>
            <w:r w:rsidRPr="004B2721">
              <w:t>22</w:t>
            </w:r>
            <w:r w:rsidR="00671DDE">
              <w:t> </w:t>
            </w:r>
            <w:r w:rsidRPr="004B2721">
              <w:t>avril 2013</w:t>
            </w:r>
          </w:p>
        </w:tc>
        <w:tc>
          <w:tcPr>
            <w:tcW w:w="1413" w:type="dxa"/>
            <w:shd w:val="clear" w:color="auto" w:fill="auto"/>
          </w:tcPr>
          <w:p w:rsidR="000A0ECE" w:rsidRPr="004B2721" w:rsidRDefault="000A0ECE" w:rsidP="004B2721">
            <w:pPr>
              <w:spacing w:before="40" w:after="120"/>
              <w:ind w:right="113"/>
            </w:pPr>
            <w:r w:rsidRPr="004B2721">
              <w:t>11</w:t>
            </w:r>
            <w:r w:rsidR="00671DDE">
              <w:t> </w:t>
            </w:r>
            <w:r w:rsidRPr="004B2721">
              <w:t>juin 2013</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Zambie</w:t>
            </w:r>
          </w:p>
        </w:tc>
        <w:tc>
          <w:tcPr>
            <w:tcW w:w="1843" w:type="dxa"/>
            <w:shd w:val="clear" w:color="auto" w:fill="auto"/>
          </w:tcPr>
          <w:p w:rsidR="000A0ECE" w:rsidRPr="004B2721" w:rsidRDefault="009B132A" w:rsidP="004B2721">
            <w:pPr>
              <w:spacing w:before="40" w:after="120"/>
              <w:ind w:right="113"/>
            </w:pPr>
            <w:r>
              <w:t>4 </w:t>
            </w:r>
            <w:r w:rsidR="000A0ECE" w:rsidRPr="004B2721">
              <w:t>avril 2011</w:t>
            </w:r>
          </w:p>
        </w:tc>
        <w:tc>
          <w:tcPr>
            <w:tcW w:w="1701" w:type="dxa"/>
            <w:shd w:val="clear" w:color="auto" w:fill="auto"/>
          </w:tcPr>
          <w:p w:rsidR="000A0ECE" w:rsidRPr="004B2721" w:rsidRDefault="00671DDE" w:rsidP="004B2721">
            <w:pPr>
              <w:spacing w:before="40" w:after="120"/>
              <w:ind w:right="113"/>
            </w:pPr>
            <w:r>
              <w:t>4 </w:t>
            </w:r>
            <w:r w:rsidR="000A0ECE" w:rsidRPr="004B2721">
              <w:t>mai 2011</w:t>
            </w:r>
          </w:p>
        </w:tc>
        <w:tc>
          <w:tcPr>
            <w:tcW w:w="2268" w:type="dxa"/>
            <w:shd w:val="clear" w:color="auto" w:fill="auto"/>
          </w:tcPr>
          <w:p w:rsidR="000A0ECE" w:rsidRPr="004B2721" w:rsidRDefault="000A0ECE" w:rsidP="004B2721">
            <w:pPr>
              <w:spacing w:before="40" w:after="120"/>
              <w:ind w:right="113"/>
            </w:pPr>
            <w:r w:rsidRPr="004B2721">
              <w:t>4</w:t>
            </w:r>
            <w:r w:rsidR="00671DDE">
              <w:t> </w:t>
            </w:r>
            <w:r w:rsidRPr="004B2721">
              <w:t>mai 2013</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Serbie</w:t>
            </w:r>
            <w:r w:rsidRPr="00904A5E">
              <w:rPr>
                <w:bCs/>
              </w:rPr>
              <w:t>*</w:t>
            </w:r>
          </w:p>
        </w:tc>
        <w:tc>
          <w:tcPr>
            <w:tcW w:w="1843" w:type="dxa"/>
            <w:shd w:val="clear" w:color="auto" w:fill="auto"/>
          </w:tcPr>
          <w:p w:rsidR="000A0ECE" w:rsidRPr="004B2721" w:rsidRDefault="00671DDE" w:rsidP="004B2721">
            <w:pPr>
              <w:spacing w:before="40" w:after="120"/>
              <w:ind w:right="113"/>
            </w:pPr>
            <w:r>
              <w:t>18 </w:t>
            </w:r>
            <w:r w:rsidR="000A0ECE" w:rsidRPr="004B2721">
              <w:t>mai 2011</w:t>
            </w:r>
          </w:p>
        </w:tc>
        <w:tc>
          <w:tcPr>
            <w:tcW w:w="1701" w:type="dxa"/>
            <w:shd w:val="clear" w:color="auto" w:fill="auto"/>
          </w:tcPr>
          <w:p w:rsidR="000A0ECE" w:rsidRPr="004B2721" w:rsidRDefault="00671DDE" w:rsidP="004B2721">
            <w:pPr>
              <w:spacing w:before="40" w:after="120"/>
              <w:ind w:right="113"/>
            </w:pPr>
            <w:r>
              <w:t>17 </w:t>
            </w:r>
            <w:r w:rsidR="000A0ECE" w:rsidRPr="004B2721">
              <w:t>juin 2011</w:t>
            </w:r>
          </w:p>
        </w:tc>
        <w:tc>
          <w:tcPr>
            <w:tcW w:w="2268" w:type="dxa"/>
            <w:shd w:val="clear" w:color="auto" w:fill="auto"/>
          </w:tcPr>
          <w:p w:rsidR="000A0ECE" w:rsidRPr="004B2721" w:rsidRDefault="000A0ECE" w:rsidP="004B2721">
            <w:pPr>
              <w:spacing w:before="40" w:after="120"/>
              <w:ind w:right="113"/>
            </w:pPr>
            <w:r w:rsidRPr="004B2721">
              <w:t>17</w:t>
            </w:r>
            <w:r w:rsidR="00671DDE">
              <w:t> </w:t>
            </w:r>
            <w:r w:rsidRPr="004B2721">
              <w:t>juin 2013</w:t>
            </w:r>
          </w:p>
        </w:tc>
        <w:tc>
          <w:tcPr>
            <w:tcW w:w="1413" w:type="dxa"/>
            <w:shd w:val="clear" w:color="auto" w:fill="auto"/>
          </w:tcPr>
          <w:p w:rsidR="000A0ECE" w:rsidRPr="004B2721" w:rsidRDefault="000A0ECE" w:rsidP="004B2721">
            <w:pPr>
              <w:spacing w:before="40" w:after="120"/>
              <w:ind w:right="113"/>
            </w:pPr>
            <w:r w:rsidRPr="004B2721">
              <w:t>30</w:t>
            </w:r>
            <w:r w:rsidR="00671DDE">
              <w:t> </w:t>
            </w:r>
            <w:r w:rsidRPr="004B2721">
              <w:t>déc. 2013</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Belgique</w:t>
            </w:r>
            <w:r w:rsidRPr="00904A5E">
              <w:rPr>
                <w:bCs/>
              </w:rPr>
              <w:t>*</w:t>
            </w:r>
          </w:p>
        </w:tc>
        <w:tc>
          <w:tcPr>
            <w:tcW w:w="1843" w:type="dxa"/>
            <w:shd w:val="clear" w:color="auto" w:fill="auto"/>
          </w:tcPr>
          <w:p w:rsidR="000A0ECE" w:rsidRPr="004B2721" w:rsidRDefault="00671DDE" w:rsidP="004B2721">
            <w:pPr>
              <w:spacing w:before="40" w:after="120"/>
              <w:ind w:right="113"/>
            </w:pPr>
            <w:r>
              <w:t>2 </w:t>
            </w:r>
            <w:r w:rsidR="000A0ECE" w:rsidRPr="004B2721">
              <w:t>juin 2011</w:t>
            </w:r>
          </w:p>
        </w:tc>
        <w:tc>
          <w:tcPr>
            <w:tcW w:w="1701" w:type="dxa"/>
            <w:shd w:val="clear" w:color="auto" w:fill="auto"/>
          </w:tcPr>
          <w:p w:rsidR="000A0ECE" w:rsidRPr="004B2721" w:rsidRDefault="00671DDE" w:rsidP="004B2721">
            <w:pPr>
              <w:spacing w:before="40" w:after="120"/>
              <w:ind w:right="113"/>
            </w:pPr>
            <w:r>
              <w:t>2 </w:t>
            </w:r>
            <w:r w:rsidR="000A0ECE" w:rsidRPr="004B2721">
              <w:t>juill. 2011</w:t>
            </w:r>
          </w:p>
        </w:tc>
        <w:tc>
          <w:tcPr>
            <w:tcW w:w="2268" w:type="dxa"/>
            <w:shd w:val="clear" w:color="auto" w:fill="auto"/>
          </w:tcPr>
          <w:p w:rsidR="000A0ECE" w:rsidRPr="004B2721" w:rsidRDefault="000A0ECE" w:rsidP="004B2721">
            <w:pPr>
              <w:spacing w:before="40" w:after="120"/>
              <w:ind w:right="113"/>
            </w:pPr>
            <w:r w:rsidRPr="004B2721">
              <w:t>2</w:t>
            </w:r>
            <w:r w:rsidR="00671DDE">
              <w:t> </w:t>
            </w:r>
            <w:r w:rsidRPr="004B2721">
              <w:t>juill. 2013</w:t>
            </w:r>
          </w:p>
        </w:tc>
        <w:tc>
          <w:tcPr>
            <w:tcW w:w="1413" w:type="dxa"/>
            <w:shd w:val="clear" w:color="auto" w:fill="auto"/>
          </w:tcPr>
          <w:p w:rsidR="000A0ECE" w:rsidRPr="004B2721" w:rsidRDefault="000A0ECE" w:rsidP="004B2721">
            <w:pPr>
              <w:spacing w:before="40" w:after="120"/>
              <w:ind w:right="113"/>
            </w:pPr>
            <w:r w:rsidRPr="004B2721">
              <w:t>8</w:t>
            </w:r>
            <w:r w:rsidR="00671DDE">
              <w:t> </w:t>
            </w:r>
            <w:r w:rsidRPr="004B2721">
              <w:t>juill. 2013</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Panama</w:t>
            </w:r>
          </w:p>
        </w:tc>
        <w:tc>
          <w:tcPr>
            <w:tcW w:w="1843" w:type="dxa"/>
            <w:shd w:val="clear" w:color="auto" w:fill="auto"/>
          </w:tcPr>
          <w:p w:rsidR="000A0ECE" w:rsidRPr="004B2721" w:rsidRDefault="00671DDE" w:rsidP="004B2721">
            <w:pPr>
              <w:spacing w:before="40" w:after="120"/>
              <w:ind w:right="113"/>
            </w:pPr>
            <w:r>
              <w:t>24 </w:t>
            </w:r>
            <w:r w:rsidR="000A0ECE" w:rsidRPr="004B2721">
              <w:t>juin 2011</w:t>
            </w:r>
          </w:p>
        </w:tc>
        <w:tc>
          <w:tcPr>
            <w:tcW w:w="1701" w:type="dxa"/>
            <w:shd w:val="clear" w:color="auto" w:fill="auto"/>
          </w:tcPr>
          <w:p w:rsidR="000A0ECE" w:rsidRPr="004B2721" w:rsidRDefault="00671DDE" w:rsidP="004B2721">
            <w:pPr>
              <w:spacing w:before="40" w:after="120"/>
              <w:ind w:right="113"/>
            </w:pPr>
            <w:r>
              <w:t>24 </w:t>
            </w:r>
            <w:r w:rsidR="000A0ECE" w:rsidRPr="004B2721">
              <w:t>juill. 2011</w:t>
            </w:r>
          </w:p>
        </w:tc>
        <w:tc>
          <w:tcPr>
            <w:tcW w:w="2268" w:type="dxa"/>
            <w:shd w:val="clear" w:color="auto" w:fill="auto"/>
          </w:tcPr>
          <w:p w:rsidR="000A0ECE" w:rsidRPr="004B2721" w:rsidRDefault="000A0ECE" w:rsidP="004B2721">
            <w:pPr>
              <w:spacing w:before="40" w:after="120"/>
              <w:ind w:right="113"/>
            </w:pPr>
            <w:r w:rsidRPr="004B2721">
              <w:t>24</w:t>
            </w:r>
            <w:r w:rsidR="00671DDE">
              <w:t> </w:t>
            </w:r>
            <w:r w:rsidRPr="004B2721">
              <w:t>juill. 2013</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Tunisie</w:t>
            </w:r>
          </w:p>
        </w:tc>
        <w:tc>
          <w:tcPr>
            <w:tcW w:w="1843" w:type="dxa"/>
            <w:shd w:val="clear" w:color="auto" w:fill="auto"/>
          </w:tcPr>
          <w:p w:rsidR="000A0ECE" w:rsidRPr="004B2721" w:rsidRDefault="00671DDE" w:rsidP="004B2721">
            <w:pPr>
              <w:spacing w:before="40" w:after="120"/>
              <w:ind w:right="113"/>
            </w:pPr>
            <w:r>
              <w:t>29 </w:t>
            </w:r>
            <w:r w:rsidR="000A0ECE" w:rsidRPr="004B2721">
              <w:t>juin 2011</w:t>
            </w:r>
          </w:p>
        </w:tc>
        <w:tc>
          <w:tcPr>
            <w:tcW w:w="1701" w:type="dxa"/>
            <w:shd w:val="clear" w:color="auto" w:fill="auto"/>
          </w:tcPr>
          <w:p w:rsidR="000A0ECE" w:rsidRPr="004B2721" w:rsidRDefault="000A0ECE" w:rsidP="004B2721">
            <w:pPr>
              <w:spacing w:before="40" w:after="120"/>
              <w:ind w:right="113"/>
            </w:pPr>
            <w:r w:rsidRPr="004B2721">
              <w:t>29</w:t>
            </w:r>
            <w:r w:rsidR="00671DDE">
              <w:t> </w:t>
            </w:r>
            <w:r w:rsidRPr="004B2721">
              <w:t>juill. 2011</w:t>
            </w:r>
          </w:p>
        </w:tc>
        <w:tc>
          <w:tcPr>
            <w:tcW w:w="2268" w:type="dxa"/>
            <w:shd w:val="clear" w:color="auto" w:fill="auto"/>
          </w:tcPr>
          <w:p w:rsidR="000A0ECE" w:rsidRPr="004B2721" w:rsidRDefault="000A0ECE" w:rsidP="004B2721">
            <w:pPr>
              <w:spacing w:before="40" w:after="120"/>
              <w:ind w:right="113"/>
            </w:pPr>
            <w:r w:rsidRPr="004B2721">
              <w:t>29</w:t>
            </w:r>
            <w:r w:rsidR="00671DDE">
              <w:t> </w:t>
            </w:r>
            <w:r w:rsidRPr="004B2721">
              <w:t>juill. 2013</w:t>
            </w:r>
          </w:p>
        </w:tc>
        <w:tc>
          <w:tcPr>
            <w:tcW w:w="1413" w:type="dxa"/>
            <w:shd w:val="clear" w:color="auto" w:fill="auto"/>
          </w:tcPr>
          <w:p w:rsidR="000A0ECE" w:rsidRPr="004B2721" w:rsidRDefault="000A0ECE" w:rsidP="004B2721">
            <w:pPr>
              <w:spacing w:before="40" w:after="120"/>
              <w:ind w:right="113"/>
            </w:pPr>
            <w:r w:rsidRPr="004B2721">
              <w:t>25</w:t>
            </w:r>
            <w:r w:rsidR="00671DDE">
              <w:t> </w:t>
            </w:r>
            <w:r w:rsidRPr="004B2721">
              <w:t>sept. 2014</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lastRenderedPageBreak/>
              <w:t>Monténégro</w:t>
            </w:r>
            <w:r w:rsidRPr="00904A5E">
              <w:rPr>
                <w:bCs/>
              </w:rPr>
              <w:t>*</w:t>
            </w:r>
          </w:p>
        </w:tc>
        <w:tc>
          <w:tcPr>
            <w:tcW w:w="1843" w:type="dxa"/>
            <w:shd w:val="clear" w:color="auto" w:fill="auto"/>
          </w:tcPr>
          <w:p w:rsidR="000A0ECE" w:rsidRPr="004B2721" w:rsidRDefault="000A0ECE" w:rsidP="004B2721">
            <w:pPr>
              <w:spacing w:before="40" w:after="120"/>
              <w:ind w:right="113"/>
            </w:pPr>
            <w:r w:rsidRPr="004B2721">
              <w:t>20</w:t>
            </w:r>
            <w:r w:rsidR="00671DDE">
              <w:t> </w:t>
            </w:r>
            <w:r w:rsidRPr="004B2721">
              <w:t>sept. 2011</w:t>
            </w:r>
          </w:p>
        </w:tc>
        <w:tc>
          <w:tcPr>
            <w:tcW w:w="1701" w:type="dxa"/>
            <w:shd w:val="clear" w:color="auto" w:fill="auto"/>
          </w:tcPr>
          <w:p w:rsidR="000A0ECE" w:rsidRPr="004B2721" w:rsidRDefault="000A0ECE" w:rsidP="004B2721">
            <w:pPr>
              <w:spacing w:before="40" w:after="120"/>
              <w:ind w:right="113"/>
            </w:pPr>
            <w:r w:rsidRPr="004B2721">
              <w:t>20</w:t>
            </w:r>
            <w:r w:rsidR="00671DDE">
              <w:t> </w:t>
            </w:r>
            <w:r w:rsidRPr="004B2721">
              <w:t>oct. 2011</w:t>
            </w:r>
          </w:p>
        </w:tc>
        <w:tc>
          <w:tcPr>
            <w:tcW w:w="2268" w:type="dxa"/>
            <w:shd w:val="clear" w:color="auto" w:fill="auto"/>
          </w:tcPr>
          <w:p w:rsidR="000A0ECE" w:rsidRPr="004B2721" w:rsidRDefault="000A0ECE" w:rsidP="004B2721">
            <w:pPr>
              <w:spacing w:before="40" w:after="120"/>
              <w:ind w:right="113"/>
            </w:pPr>
            <w:r w:rsidRPr="004B2721">
              <w:t>20</w:t>
            </w:r>
            <w:r w:rsidR="00671DDE">
              <w:t> </w:t>
            </w:r>
            <w:r w:rsidRPr="004B2721">
              <w:t>oct. 2013</w:t>
            </w:r>
          </w:p>
        </w:tc>
        <w:tc>
          <w:tcPr>
            <w:tcW w:w="1413" w:type="dxa"/>
            <w:shd w:val="clear" w:color="auto" w:fill="auto"/>
          </w:tcPr>
          <w:p w:rsidR="000A0ECE" w:rsidRPr="004B2721" w:rsidRDefault="000A0ECE" w:rsidP="004B2721">
            <w:pPr>
              <w:spacing w:before="40" w:after="120"/>
              <w:ind w:right="113"/>
            </w:pPr>
            <w:r w:rsidRPr="004B2721">
              <w:t>30</w:t>
            </w:r>
            <w:r w:rsidR="00671DDE">
              <w:t> </w:t>
            </w:r>
            <w:r w:rsidRPr="004B2721">
              <w:t>janv. 2014</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Costa Rica</w:t>
            </w:r>
          </w:p>
        </w:tc>
        <w:tc>
          <w:tcPr>
            <w:tcW w:w="1843" w:type="dxa"/>
            <w:shd w:val="clear" w:color="auto" w:fill="auto"/>
          </w:tcPr>
          <w:p w:rsidR="000A0ECE" w:rsidRPr="004B2721" w:rsidRDefault="000A0ECE" w:rsidP="004B2721">
            <w:pPr>
              <w:spacing w:before="40" w:after="120"/>
              <w:ind w:right="113"/>
            </w:pPr>
            <w:r w:rsidRPr="004B2721">
              <w:t>16</w:t>
            </w:r>
            <w:r w:rsidR="00671DDE">
              <w:t> </w:t>
            </w:r>
            <w:r w:rsidRPr="004B2721">
              <w:t>févr. 2012</w:t>
            </w:r>
          </w:p>
        </w:tc>
        <w:tc>
          <w:tcPr>
            <w:tcW w:w="1701" w:type="dxa"/>
            <w:shd w:val="clear" w:color="auto" w:fill="auto"/>
          </w:tcPr>
          <w:p w:rsidR="000A0ECE" w:rsidRPr="004B2721" w:rsidRDefault="000A0ECE" w:rsidP="004B2721">
            <w:pPr>
              <w:spacing w:before="40" w:after="120"/>
              <w:ind w:right="113"/>
            </w:pPr>
            <w:r w:rsidRPr="004B2721">
              <w:t>17</w:t>
            </w:r>
            <w:r w:rsidR="00671DDE">
              <w:t> </w:t>
            </w:r>
            <w:r w:rsidRPr="004B2721">
              <w:t>mars 2012</w:t>
            </w:r>
          </w:p>
        </w:tc>
        <w:tc>
          <w:tcPr>
            <w:tcW w:w="2268" w:type="dxa"/>
            <w:shd w:val="clear" w:color="auto" w:fill="auto"/>
          </w:tcPr>
          <w:p w:rsidR="000A0ECE" w:rsidRPr="004B2721" w:rsidRDefault="000A0ECE" w:rsidP="004B2721">
            <w:pPr>
              <w:spacing w:before="40" w:after="120"/>
              <w:ind w:right="113"/>
            </w:pPr>
            <w:r w:rsidRPr="004B2721">
              <w:t>17</w:t>
            </w:r>
            <w:r w:rsidR="00671DDE">
              <w:t> </w:t>
            </w:r>
            <w:r w:rsidRPr="004B2721">
              <w:t>mars 2014</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Bosnie-Herzégovine</w:t>
            </w:r>
            <w:r w:rsidRPr="00904A5E">
              <w:rPr>
                <w:bCs/>
              </w:rPr>
              <w:t>*</w:t>
            </w:r>
          </w:p>
        </w:tc>
        <w:tc>
          <w:tcPr>
            <w:tcW w:w="1843" w:type="dxa"/>
            <w:shd w:val="clear" w:color="auto" w:fill="auto"/>
          </w:tcPr>
          <w:p w:rsidR="000A0ECE" w:rsidRPr="004B2721" w:rsidRDefault="000A0ECE" w:rsidP="004B2721">
            <w:pPr>
              <w:spacing w:before="40" w:after="120"/>
              <w:ind w:right="113"/>
            </w:pPr>
            <w:r w:rsidRPr="004B2721">
              <w:t>30</w:t>
            </w:r>
            <w:r w:rsidR="00671DDE">
              <w:t> </w:t>
            </w:r>
            <w:r w:rsidRPr="004B2721">
              <w:t>mars 2012</w:t>
            </w:r>
          </w:p>
        </w:tc>
        <w:tc>
          <w:tcPr>
            <w:tcW w:w="1701" w:type="dxa"/>
            <w:shd w:val="clear" w:color="auto" w:fill="auto"/>
          </w:tcPr>
          <w:p w:rsidR="000A0ECE" w:rsidRPr="004B2721" w:rsidRDefault="000A0ECE" w:rsidP="004B2721">
            <w:pPr>
              <w:spacing w:before="40" w:after="120"/>
              <w:ind w:right="113"/>
            </w:pPr>
            <w:r w:rsidRPr="004B2721">
              <w:t>29</w:t>
            </w:r>
            <w:r w:rsidR="00671DDE">
              <w:t> </w:t>
            </w:r>
            <w:r w:rsidRPr="004B2721">
              <w:t>avril 2012</w:t>
            </w:r>
          </w:p>
        </w:tc>
        <w:tc>
          <w:tcPr>
            <w:tcW w:w="2268" w:type="dxa"/>
            <w:shd w:val="clear" w:color="auto" w:fill="auto"/>
          </w:tcPr>
          <w:p w:rsidR="000A0ECE" w:rsidRPr="004B2721" w:rsidRDefault="000A0ECE" w:rsidP="004B2721">
            <w:pPr>
              <w:spacing w:before="40" w:after="120"/>
              <w:ind w:right="113"/>
            </w:pPr>
            <w:r w:rsidRPr="004B2721">
              <w:t>29</w:t>
            </w:r>
            <w:r w:rsidR="00671DDE">
              <w:t> </w:t>
            </w:r>
            <w:r w:rsidRPr="004B2721">
              <w:t>avril 2014</w:t>
            </w:r>
          </w:p>
        </w:tc>
        <w:tc>
          <w:tcPr>
            <w:tcW w:w="1413" w:type="dxa"/>
            <w:shd w:val="clear" w:color="auto" w:fill="auto"/>
          </w:tcPr>
          <w:p w:rsidR="000A0ECE" w:rsidRPr="004B2721" w:rsidRDefault="000A0ECE" w:rsidP="004B2721">
            <w:pPr>
              <w:spacing w:before="40" w:after="120"/>
              <w:ind w:right="113"/>
            </w:pPr>
            <w:r w:rsidRPr="004B2721">
              <w:t>26</w:t>
            </w:r>
            <w:r w:rsidR="00671DDE">
              <w:t> </w:t>
            </w:r>
            <w:r w:rsidRPr="004B2721">
              <w:t>janv. 2015</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Autriche</w:t>
            </w:r>
            <w:r w:rsidRPr="00904A5E">
              <w:rPr>
                <w:bCs/>
              </w:rPr>
              <w:t>*</w:t>
            </w:r>
          </w:p>
        </w:tc>
        <w:tc>
          <w:tcPr>
            <w:tcW w:w="1843" w:type="dxa"/>
            <w:shd w:val="clear" w:color="auto" w:fill="auto"/>
          </w:tcPr>
          <w:p w:rsidR="000A0ECE" w:rsidRPr="004B2721" w:rsidRDefault="000A0ECE" w:rsidP="004B2721">
            <w:pPr>
              <w:spacing w:before="40" w:after="120"/>
              <w:ind w:right="113"/>
            </w:pPr>
            <w:r w:rsidRPr="004B2721">
              <w:t>7</w:t>
            </w:r>
            <w:r w:rsidR="00671DDE">
              <w:t> </w:t>
            </w:r>
            <w:r w:rsidRPr="004B2721">
              <w:t>juin 2012</w:t>
            </w:r>
          </w:p>
        </w:tc>
        <w:tc>
          <w:tcPr>
            <w:tcW w:w="1701" w:type="dxa"/>
            <w:shd w:val="clear" w:color="auto" w:fill="auto"/>
          </w:tcPr>
          <w:p w:rsidR="000A0ECE" w:rsidRPr="004B2721" w:rsidRDefault="000A0ECE" w:rsidP="004B2721">
            <w:pPr>
              <w:spacing w:before="40" w:after="120"/>
              <w:ind w:right="113"/>
            </w:pPr>
            <w:r w:rsidRPr="004B2721">
              <w:t>7</w:t>
            </w:r>
            <w:r w:rsidR="00671DDE">
              <w:t> </w:t>
            </w:r>
            <w:r w:rsidRPr="004B2721">
              <w:t>juill. 2012</w:t>
            </w:r>
          </w:p>
        </w:tc>
        <w:tc>
          <w:tcPr>
            <w:tcW w:w="2268" w:type="dxa"/>
            <w:shd w:val="clear" w:color="auto" w:fill="auto"/>
          </w:tcPr>
          <w:p w:rsidR="000A0ECE" w:rsidRPr="004B2721" w:rsidRDefault="000A0ECE" w:rsidP="004B2721">
            <w:pPr>
              <w:spacing w:before="40" w:after="120"/>
              <w:ind w:right="113"/>
            </w:pPr>
            <w:r w:rsidRPr="004B2721">
              <w:t>7</w:t>
            </w:r>
            <w:r w:rsidR="00671DDE">
              <w:t> </w:t>
            </w:r>
            <w:r w:rsidRPr="004B2721">
              <w:t>juill. 2014</w:t>
            </w:r>
          </w:p>
        </w:tc>
        <w:tc>
          <w:tcPr>
            <w:tcW w:w="1413" w:type="dxa"/>
            <w:shd w:val="clear" w:color="auto" w:fill="auto"/>
          </w:tcPr>
          <w:p w:rsidR="000A0ECE" w:rsidRPr="004B2721" w:rsidRDefault="000A0ECE" w:rsidP="004B2721">
            <w:pPr>
              <w:spacing w:before="40" w:after="120"/>
              <w:ind w:right="113"/>
            </w:pPr>
            <w:r w:rsidRPr="004B2721">
              <w:t>3</w:t>
            </w:r>
            <w:r w:rsidR="00671DDE">
              <w:t>1 </w:t>
            </w:r>
            <w:r w:rsidRPr="004B2721">
              <w:t>mai 2016</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Colombie</w:t>
            </w:r>
          </w:p>
        </w:tc>
        <w:tc>
          <w:tcPr>
            <w:tcW w:w="1843" w:type="dxa"/>
            <w:shd w:val="clear" w:color="auto" w:fill="auto"/>
          </w:tcPr>
          <w:p w:rsidR="000A0ECE" w:rsidRPr="004B2721" w:rsidRDefault="000A0ECE" w:rsidP="004B2721">
            <w:pPr>
              <w:spacing w:before="40" w:after="120"/>
              <w:ind w:right="113"/>
            </w:pPr>
            <w:r w:rsidRPr="004B2721">
              <w:t>11</w:t>
            </w:r>
            <w:r w:rsidR="00671DDE">
              <w:t> </w:t>
            </w:r>
            <w:r w:rsidRPr="004B2721">
              <w:t>juill. 2012</w:t>
            </w:r>
          </w:p>
        </w:tc>
        <w:tc>
          <w:tcPr>
            <w:tcW w:w="1701" w:type="dxa"/>
            <w:shd w:val="clear" w:color="auto" w:fill="auto"/>
          </w:tcPr>
          <w:p w:rsidR="000A0ECE" w:rsidRPr="004B2721" w:rsidRDefault="000A0ECE" w:rsidP="004B2721">
            <w:pPr>
              <w:spacing w:before="40" w:after="120"/>
              <w:ind w:right="113"/>
            </w:pPr>
            <w:r w:rsidRPr="004B2721">
              <w:t>10</w:t>
            </w:r>
            <w:r w:rsidR="00671DDE">
              <w:t> </w:t>
            </w:r>
            <w:r w:rsidRPr="004B2721">
              <w:t>août 2012</w:t>
            </w:r>
          </w:p>
        </w:tc>
        <w:tc>
          <w:tcPr>
            <w:tcW w:w="2268" w:type="dxa"/>
            <w:shd w:val="clear" w:color="auto" w:fill="auto"/>
          </w:tcPr>
          <w:p w:rsidR="000A0ECE" w:rsidRPr="004B2721" w:rsidRDefault="000A0ECE" w:rsidP="004B2721">
            <w:pPr>
              <w:spacing w:before="40" w:after="120"/>
              <w:ind w:right="113"/>
            </w:pPr>
            <w:r w:rsidRPr="004B2721">
              <w:t>10</w:t>
            </w:r>
            <w:r w:rsidR="00671DDE">
              <w:t> </w:t>
            </w:r>
            <w:r w:rsidRPr="004B2721">
              <w:t>août 2014</w:t>
            </w:r>
          </w:p>
        </w:tc>
        <w:tc>
          <w:tcPr>
            <w:tcW w:w="1413" w:type="dxa"/>
            <w:shd w:val="clear" w:color="auto" w:fill="auto"/>
          </w:tcPr>
          <w:p w:rsidR="000A0ECE" w:rsidRPr="004B2721" w:rsidRDefault="00671DDE" w:rsidP="004B2721">
            <w:pPr>
              <w:spacing w:before="40" w:after="120"/>
              <w:ind w:right="113"/>
            </w:pPr>
            <w:r>
              <w:t>17 </w:t>
            </w:r>
            <w:r w:rsidR="000A0ECE" w:rsidRPr="004B2721">
              <w:t>déc. 2014</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Pérou</w:t>
            </w:r>
            <w:r w:rsidRPr="00904A5E">
              <w:rPr>
                <w:bCs/>
              </w:rPr>
              <w:t>*</w:t>
            </w:r>
          </w:p>
        </w:tc>
        <w:tc>
          <w:tcPr>
            <w:tcW w:w="1843" w:type="dxa"/>
            <w:shd w:val="clear" w:color="auto" w:fill="auto"/>
          </w:tcPr>
          <w:p w:rsidR="000A0ECE" w:rsidRPr="004B2721" w:rsidRDefault="000A0ECE" w:rsidP="004B2721">
            <w:pPr>
              <w:spacing w:before="40" w:after="120"/>
              <w:ind w:right="113"/>
            </w:pPr>
            <w:r w:rsidRPr="004B2721">
              <w:t>26</w:t>
            </w:r>
            <w:r w:rsidR="00671DDE">
              <w:t> </w:t>
            </w:r>
            <w:r w:rsidRPr="004B2721">
              <w:t>sept. 2012</w:t>
            </w:r>
          </w:p>
        </w:tc>
        <w:tc>
          <w:tcPr>
            <w:tcW w:w="1701" w:type="dxa"/>
            <w:shd w:val="clear" w:color="auto" w:fill="auto"/>
          </w:tcPr>
          <w:p w:rsidR="000A0ECE" w:rsidRPr="004B2721" w:rsidRDefault="000A0ECE" w:rsidP="004B2721">
            <w:pPr>
              <w:spacing w:before="40" w:after="120"/>
              <w:ind w:right="113"/>
            </w:pPr>
            <w:r w:rsidRPr="004B2721">
              <w:t>26</w:t>
            </w:r>
            <w:r w:rsidR="00671DDE">
              <w:t> </w:t>
            </w:r>
            <w:r w:rsidRPr="004B2721">
              <w:t>oct. 2012</w:t>
            </w:r>
          </w:p>
        </w:tc>
        <w:tc>
          <w:tcPr>
            <w:tcW w:w="2268" w:type="dxa"/>
            <w:shd w:val="clear" w:color="auto" w:fill="auto"/>
          </w:tcPr>
          <w:p w:rsidR="000A0ECE" w:rsidRPr="004B2721" w:rsidRDefault="000A0ECE" w:rsidP="004B2721">
            <w:pPr>
              <w:spacing w:before="40" w:after="120"/>
              <w:ind w:right="113"/>
            </w:pPr>
            <w:r w:rsidRPr="004B2721">
              <w:t>26</w:t>
            </w:r>
            <w:r w:rsidR="00671DDE">
              <w:t> </w:t>
            </w:r>
            <w:r w:rsidRPr="004B2721">
              <w:t>oct. 2014</w:t>
            </w:r>
          </w:p>
        </w:tc>
        <w:tc>
          <w:tcPr>
            <w:tcW w:w="1413" w:type="dxa"/>
            <w:shd w:val="clear" w:color="auto" w:fill="auto"/>
          </w:tcPr>
          <w:p w:rsidR="000A0ECE" w:rsidRPr="004B2721" w:rsidRDefault="000A0ECE" w:rsidP="004B2721">
            <w:pPr>
              <w:spacing w:before="40" w:after="120"/>
              <w:ind w:right="113"/>
            </w:pPr>
            <w:r w:rsidRPr="004B2721">
              <w:t>8</w:t>
            </w:r>
            <w:r w:rsidR="00671DDE">
              <w:t> </w:t>
            </w:r>
            <w:r w:rsidRPr="004B2721">
              <w:t>août 2016</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Mauritanie</w:t>
            </w:r>
          </w:p>
        </w:tc>
        <w:tc>
          <w:tcPr>
            <w:tcW w:w="1843" w:type="dxa"/>
            <w:shd w:val="clear" w:color="auto" w:fill="auto"/>
          </w:tcPr>
          <w:p w:rsidR="000A0ECE" w:rsidRPr="004B2721" w:rsidRDefault="000A0ECE" w:rsidP="004B2721">
            <w:pPr>
              <w:spacing w:before="40" w:after="120"/>
              <w:ind w:right="113"/>
            </w:pPr>
            <w:r w:rsidRPr="004B2721">
              <w:t>3</w:t>
            </w:r>
            <w:r w:rsidR="00671DDE">
              <w:t> </w:t>
            </w:r>
            <w:r w:rsidRPr="004B2721">
              <w:t>oct. 2012</w:t>
            </w:r>
          </w:p>
        </w:tc>
        <w:tc>
          <w:tcPr>
            <w:tcW w:w="1701" w:type="dxa"/>
            <w:shd w:val="clear" w:color="auto" w:fill="auto"/>
          </w:tcPr>
          <w:p w:rsidR="000A0ECE" w:rsidRPr="004B2721" w:rsidRDefault="000A0ECE" w:rsidP="004B2721">
            <w:pPr>
              <w:spacing w:before="40" w:after="120"/>
              <w:ind w:right="113"/>
            </w:pPr>
            <w:r w:rsidRPr="004B2721">
              <w:t>2</w:t>
            </w:r>
            <w:r w:rsidR="00671DDE">
              <w:t> </w:t>
            </w:r>
            <w:r w:rsidRPr="004B2721">
              <w:t>nov. 2012</w:t>
            </w:r>
          </w:p>
        </w:tc>
        <w:tc>
          <w:tcPr>
            <w:tcW w:w="2268" w:type="dxa"/>
            <w:shd w:val="clear" w:color="auto" w:fill="auto"/>
          </w:tcPr>
          <w:p w:rsidR="000A0ECE" w:rsidRPr="004B2721" w:rsidRDefault="000A0ECE" w:rsidP="004B2721">
            <w:pPr>
              <w:spacing w:before="40" w:after="120"/>
              <w:ind w:right="113"/>
            </w:pPr>
            <w:r w:rsidRPr="004B2721">
              <w:t>2</w:t>
            </w:r>
            <w:r w:rsidR="00671DDE">
              <w:t> </w:t>
            </w:r>
            <w:r w:rsidRPr="004B2721">
              <w:t>nov. 2014</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Samoa</w:t>
            </w:r>
          </w:p>
        </w:tc>
        <w:tc>
          <w:tcPr>
            <w:tcW w:w="1843" w:type="dxa"/>
            <w:shd w:val="clear" w:color="auto" w:fill="auto"/>
          </w:tcPr>
          <w:p w:rsidR="000A0ECE" w:rsidRPr="004B2721" w:rsidRDefault="000A0ECE" w:rsidP="004B2721">
            <w:pPr>
              <w:spacing w:before="40" w:after="120"/>
              <w:ind w:right="113"/>
            </w:pPr>
            <w:r w:rsidRPr="004B2721">
              <w:t>27</w:t>
            </w:r>
            <w:r w:rsidR="00671DDE">
              <w:t> </w:t>
            </w:r>
            <w:r w:rsidRPr="004B2721">
              <w:t>nov. 2012</w:t>
            </w:r>
          </w:p>
        </w:tc>
        <w:tc>
          <w:tcPr>
            <w:tcW w:w="1701" w:type="dxa"/>
            <w:shd w:val="clear" w:color="auto" w:fill="auto"/>
          </w:tcPr>
          <w:p w:rsidR="000A0ECE" w:rsidRPr="004B2721" w:rsidRDefault="000A0ECE" w:rsidP="004B2721">
            <w:pPr>
              <w:spacing w:before="40" w:after="120"/>
              <w:ind w:right="113"/>
            </w:pPr>
            <w:r w:rsidRPr="004B2721">
              <w:t>27</w:t>
            </w:r>
            <w:r w:rsidR="00671DDE">
              <w:t> </w:t>
            </w:r>
            <w:r w:rsidRPr="004B2721">
              <w:t>déc. 2012</w:t>
            </w:r>
          </w:p>
        </w:tc>
        <w:tc>
          <w:tcPr>
            <w:tcW w:w="2268" w:type="dxa"/>
            <w:shd w:val="clear" w:color="auto" w:fill="auto"/>
          </w:tcPr>
          <w:p w:rsidR="000A0ECE" w:rsidRPr="004B2721" w:rsidRDefault="000A0ECE" w:rsidP="004B2721">
            <w:pPr>
              <w:spacing w:before="40" w:after="120"/>
              <w:ind w:right="113"/>
            </w:pPr>
            <w:r w:rsidRPr="004B2721">
              <w:t>27</w:t>
            </w:r>
            <w:r w:rsidR="00671DDE">
              <w:t> </w:t>
            </w:r>
            <w:r w:rsidRPr="004B2721">
              <w:t>déc. 2014</w:t>
            </w:r>
          </w:p>
        </w:tc>
        <w:tc>
          <w:tcPr>
            <w:tcW w:w="1413" w:type="dxa"/>
            <w:shd w:val="clear" w:color="auto" w:fill="auto"/>
          </w:tcPr>
          <w:p w:rsidR="000A0ECE" w:rsidRPr="004B2721" w:rsidRDefault="000A0ECE" w:rsidP="004B2721">
            <w:pPr>
              <w:spacing w:before="40" w:after="120"/>
              <w:ind w:right="113"/>
            </w:pPr>
          </w:p>
        </w:tc>
      </w:tr>
      <w:tr w:rsidR="007D5093"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Maroc</w:t>
            </w:r>
          </w:p>
        </w:tc>
        <w:tc>
          <w:tcPr>
            <w:tcW w:w="1843" w:type="dxa"/>
            <w:shd w:val="clear" w:color="auto" w:fill="auto"/>
          </w:tcPr>
          <w:p w:rsidR="000A0ECE" w:rsidRPr="004B2721" w:rsidRDefault="000A0ECE" w:rsidP="004B2721">
            <w:pPr>
              <w:spacing w:before="40" w:after="120"/>
              <w:ind w:right="113"/>
            </w:pPr>
            <w:r w:rsidRPr="004B2721">
              <w:t>14</w:t>
            </w:r>
            <w:r w:rsidR="00671DDE">
              <w:t> </w:t>
            </w:r>
            <w:r w:rsidRPr="004B2721">
              <w:t>mai 2013</w:t>
            </w:r>
          </w:p>
        </w:tc>
        <w:tc>
          <w:tcPr>
            <w:tcW w:w="1701" w:type="dxa"/>
            <w:shd w:val="clear" w:color="auto" w:fill="auto"/>
          </w:tcPr>
          <w:p w:rsidR="000A0ECE" w:rsidRPr="004B2721" w:rsidRDefault="000A0ECE" w:rsidP="004B2721">
            <w:pPr>
              <w:spacing w:before="40" w:after="120"/>
              <w:ind w:right="113"/>
            </w:pPr>
            <w:r w:rsidRPr="004B2721">
              <w:t>13</w:t>
            </w:r>
            <w:r w:rsidR="00671DDE">
              <w:t> </w:t>
            </w:r>
            <w:r w:rsidRPr="004B2721">
              <w:t>juin 2013</w:t>
            </w:r>
          </w:p>
        </w:tc>
        <w:tc>
          <w:tcPr>
            <w:tcW w:w="2268" w:type="dxa"/>
            <w:shd w:val="clear" w:color="auto" w:fill="auto"/>
          </w:tcPr>
          <w:p w:rsidR="000A0ECE" w:rsidRPr="004B2721" w:rsidRDefault="000A0ECE" w:rsidP="004B2721">
            <w:pPr>
              <w:spacing w:before="40" w:after="120"/>
              <w:ind w:right="113"/>
            </w:pPr>
            <w:r w:rsidRPr="004B2721">
              <w:t>13</w:t>
            </w:r>
            <w:r w:rsidR="00671DDE">
              <w:t> </w:t>
            </w:r>
            <w:r w:rsidRPr="004B2721">
              <w:t>juin 2015</w:t>
            </w:r>
          </w:p>
        </w:tc>
        <w:tc>
          <w:tcPr>
            <w:tcW w:w="1413" w:type="dxa"/>
            <w:shd w:val="clear" w:color="auto" w:fill="auto"/>
          </w:tcPr>
          <w:p w:rsidR="000A0ECE" w:rsidRPr="004B2721" w:rsidRDefault="000A0ECE" w:rsidP="004B2721">
            <w:pPr>
              <w:spacing w:before="40" w:after="120"/>
              <w:ind w:right="113"/>
            </w:pPr>
          </w:p>
        </w:tc>
      </w:tr>
      <w:tr w:rsidR="007D5093"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Cambodge</w:t>
            </w:r>
          </w:p>
        </w:tc>
        <w:tc>
          <w:tcPr>
            <w:tcW w:w="1843" w:type="dxa"/>
            <w:shd w:val="clear" w:color="auto" w:fill="auto"/>
          </w:tcPr>
          <w:p w:rsidR="000A0ECE" w:rsidRPr="004B2721" w:rsidRDefault="000A0ECE" w:rsidP="004B2721">
            <w:pPr>
              <w:spacing w:before="40" w:after="120"/>
              <w:ind w:right="113"/>
            </w:pPr>
            <w:r w:rsidRPr="004B2721">
              <w:t>27</w:t>
            </w:r>
            <w:r w:rsidR="00671DDE">
              <w:t> </w:t>
            </w:r>
            <w:r w:rsidRPr="004B2721">
              <w:t>juin 2013</w:t>
            </w:r>
          </w:p>
        </w:tc>
        <w:tc>
          <w:tcPr>
            <w:tcW w:w="1701" w:type="dxa"/>
            <w:shd w:val="clear" w:color="auto" w:fill="auto"/>
          </w:tcPr>
          <w:p w:rsidR="000A0ECE" w:rsidRPr="004B2721" w:rsidRDefault="000A0ECE" w:rsidP="004B2721">
            <w:pPr>
              <w:spacing w:before="40" w:after="120"/>
              <w:ind w:right="113"/>
            </w:pPr>
            <w:r w:rsidRPr="004B2721">
              <w:t>27</w:t>
            </w:r>
            <w:r w:rsidR="00671DDE">
              <w:t> </w:t>
            </w:r>
            <w:r w:rsidRPr="004B2721">
              <w:t>juill. 2013</w:t>
            </w:r>
          </w:p>
        </w:tc>
        <w:tc>
          <w:tcPr>
            <w:tcW w:w="2268" w:type="dxa"/>
            <w:shd w:val="clear" w:color="auto" w:fill="auto"/>
          </w:tcPr>
          <w:p w:rsidR="000A0ECE" w:rsidRPr="004B2721" w:rsidRDefault="000A0ECE" w:rsidP="004B2721">
            <w:pPr>
              <w:spacing w:before="40" w:after="120"/>
              <w:ind w:right="113"/>
            </w:pPr>
            <w:r w:rsidRPr="004B2721">
              <w:t>27</w:t>
            </w:r>
            <w:r w:rsidR="00671DDE">
              <w:t> </w:t>
            </w:r>
            <w:r w:rsidRPr="004B2721">
              <w:t>juill. 2015</w:t>
            </w:r>
          </w:p>
        </w:tc>
        <w:tc>
          <w:tcPr>
            <w:tcW w:w="1413" w:type="dxa"/>
            <w:shd w:val="clear" w:color="auto" w:fill="auto"/>
          </w:tcPr>
          <w:p w:rsidR="000A0ECE" w:rsidRPr="004B2721" w:rsidRDefault="000A0ECE" w:rsidP="004B2721">
            <w:pPr>
              <w:spacing w:before="40" w:after="120"/>
              <w:ind w:right="113"/>
            </w:pPr>
          </w:p>
        </w:tc>
      </w:tr>
      <w:tr w:rsidR="007D5093"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Lituanie</w:t>
            </w:r>
            <w:r w:rsidRPr="00904A5E">
              <w:rPr>
                <w:bCs/>
              </w:rPr>
              <w:t>*</w:t>
            </w:r>
          </w:p>
        </w:tc>
        <w:tc>
          <w:tcPr>
            <w:tcW w:w="1843" w:type="dxa"/>
            <w:shd w:val="clear" w:color="auto" w:fill="auto"/>
          </w:tcPr>
          <w:p w:rsidR="000A0ECE" w:rsidRPr="004B2721" w:rsidRDefault="000A0ECE" w:rsidP="004B2721">
            <w:pPr>
              <w:spacing w:before="40" w:after="120"/>
              <w:ind w:right="113"/>
            </w:pPr>
            <w:r w:rsidRPr="004B2721">
              <w:t>14</w:t>
            </w:r>
            <w:r w:rsidR="00671DDE">
              <w:t> </w:t>
            </w:r>
            <w:r w:rsidRPr="004B2721">
              <w:t>août 2013</w:t>
            </w:r>
          </w:p>
        </w:tc>
        <w:tc>
          <w:tcPr>
            <w:tcW w:w="1701" w:type="dxa"/>
            <w:shd w:val="clear" w:color="auto" w:fill="auto"/>
          </w:tcPr>
          <w:p w:rsidR="000A0ECE" w:rsidRPr="004B2721" w:rsidRDefault="000A0ECE" w:rsidP="004B2721">
            <w:pPr>
              <w:spacing w:before="40" w:after="120"/>
              <w:ind w:right="113"/>
            </w:pPr>
            <w:r w:rsidRPr="004B2721">
              <w:t>13</w:t>
            </w:r>
            <w:r w:rsidR="00671DDE">
              <w:t> </w:t>
            </w:r>
            <w:r w:rsidRPr="004B2721">
              <w:t>sept. 2013</w:t>
            </w:r>
          </w:p>
        </w:tc>
        <w:tc>
          <w:tcPr>
            <w:tcW w:w="2268" w:type="dxa"/>
            <w:shd w:val="clear" w:color="auto" w:fill="auto"/>
          </w:tcPr>
          <w:p w:rsidR="000A0ECE" w:rsidRPr="004B2721" w:rsidRDefault="000A0ECE" w:rsidP="004B2721">
            <w:pPr>
              <w:spacing w:before="40" w:after="120"/>
              <w:ind w:right="113"/>
            </w:pPr>
            <w:r w:rsidRPr="004B2721">
              <w:t>13</w:t>
            </w:r>
            <w:r w:rsidR="00671DDE">
              <w:t> </w:t>
            </w:r>
            <w:r w:rsidRPr="004B2721">
              <w:t>sept. 2015</w:t>
            </w:r>
          </w:p>
        </w:tc>
        <w:tc>
          <w:tcPr>
            <w:tcW w:w="1413" w:type="dxa"/>
            <w:shd w:val="clear" w:color="auto" w:fill="auto"/>
          </w:tcPr>
          <w:p w:rsidR="000A0ECE" w:rsidRPr="004B2721" w:rsidRDefault="000A0ECE" w:rsidP="004B2721">
            <w:pPr>
              <w:spacing w:before="40" w:after="120"/>
              <w:ind w:right="113"/>
            </w:pPr>
            <w:r w:rsidRPr="004B2721">
              <w:t>6</w:t>
            </w:r>
            <w:r w:rsidR="00671DDE">
              <w:t> </w:t>
            </w:r>
            <w:r w:rsidRPr="004B2721">
              <w:t>oct. 2015</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Lesotho</w:t>
            </w:r>
            <w:r w:rsidRPr="00904A5E">
              <w:rPr>
                <w:b/>
              </w:rPr>
              <w:t xml:space="preserve"> </w:t>
            </w:r>
          </w:p>
        </w:tc>
        <w:tc>
          <w:tcPr>
            <w:tcW w:w="1843" w:type="dxa"/>
            <w:shd w:val="clear" w:color="auto" w:fill="auto"/>
          </w:tcPr>
          <w:p w:rsidR="000A0ECE" w:rsidRPr="004B2721" w:rsidRDefault="000A0ECE" w:rsidP="004B2721">
            <w:pPr>
              <w:spacing w:before="40" w:after="120"/>
              <w:ind w:right="113"/>
            </w:pPr>
            <w:r w:rsidRPr="004B2721">
              <w:t>6</w:t>
            </w:r>
            <w:r w:rsidR="00671DDE">
              <w:t> </w:t>
            </w:r>
            <w:r w:rsidRPr="004B2721">
              <w:t>déc. 2013</w:t>
            </w:r>
          </w:p>
        </w:tc>
        <w:tc>
          <w:tcPr>
            <w:tcW w:w="1701" w:type="dxa"/>
            <w:shd w:val="clear" w:color="auto" w:fill="auto"/>
          </w:tcPr>
          <w:p w:rsidR="000A0ECE" w:rsidRPr="004B2721" w:rsidRDefault="000A0ECE" w:rsidP="004B2721">
            <w:pPr>
              <w:spacing w:before="40" w:after="120"/>
              <w:ind w:right="113"/>
            </w:pPr>
            <w:r w:rsidRPr="004B2721">
              <w:t>5</w:t>
            </w:r>
            <w:r w:rsidR="00671DDE">
              <w:t> </w:t>
            </w:r>
            <w:r w:rsidRPr="004B2721">
              <w:t>janv. 2014</w:t>
            </w:r>
          </w:p>
        </w:tc>
        <w:tc>
          <w:tcPr>
            <w:tcW w:w="2268" w:type="dxa"/>
            <w:shd w:val="clear" w:color="auto" w:fill="auto"/>
          </w:tcPr>
          <w:p w:rsidR="000A0ECE" w:rsidRPr="004B2721" w:rsidRDefault="000A0ECE" w:rsidP="004B2721">
            <w:pPr>
              <w:spacing w:before="40" w:after="120"/>
              <w:ind w:right="113"/>
            </w:pPr>
            <w:r w:rsidRPr="004B2721">
              <w:t>5</w:t>
            </w:r>
            <w:r w:rsidR="00671DDE">
              <w:t> </w:t>
            </w:r>
            <w:r w:rsidRPr="004B2721">
              <w:t>janv. 2016</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Portugal</w:t>
            </w:r>
            <w:r w:rsidRPr="00904A5E">
              <w:rPr>
                <w:bCs/>
              </w:rPr>
              <w:t>*</w:t>
            </w:r>
            <w:r w:rsidRPr="00904A5E">
              <w:rPr>
                <w:b/>
              </w:rPr>
              <w:t xml:space="preserve"> </w:t>
            </w:r>
          </w:p>
        </w:tc>
        <w:tc>
          <w:tcPr>
            <w:tcW w:w="1843" w:type="dxa"/>
            <w:shd w:val="clear" w:color="auto" w:fill="auto"/>
          </w:tcPr>
          <w:p w:rsidR="000A0ECE" w:rsidRPr="004B2721" w:rsidRDefault="000A0ECE" w:rsidP="004B2721">
            <w:pPr>
              <w:spacing w:before="40" w:after="120"/>
              <w:ind w:right="113"/>
            </w:pPr>
            <w:r w:rsidRPr="004B2721">
              <w:t>27</w:t>
            </w:r>
            <w:r w:rsidR="00671DDE">
              <w:t> </w:t>
            </w:r>
            <w:r w:rsidRPr="004B2721">
              <w:t>janv. 2014</w:t>
            </w:r>
          </w:p>
        </w:tc>
        <w:tc>
          <w:tcPr>
            <w:tcW w:w="1701" w:type="dxa"/>
            <w:shd w:val="clear" w:color="auto" w:fill="auto"/>
          </w:tcPr>
          <w:p w:rsidR="000A0ECE" w:rsidRPr="004B2721" w:rsidRDefault="000A0ECE" w:rsidP="004B2721">
            <w:pPr>
              <w:spacing w:before="40" w:after="120"/>
              <w:ind w:right="113"/>
            </w:pPr>
            <w:r w:rsidRPr="004B2721">
              <w:t>26</w:t>
            </w:r>
            <w:r w:rsidR="00671DDE">
              <w:t> </w:t>
            </w:r>
            <w:r w:rsidRPr="004B2721">
              <w:t>févr. 2014</w:t>
            </w:r>
          </w:p>
        </w:tc>
        <w:tc>
          <w:tcPr>
            <w:tcW w:w="2268" w:type="dxa"/>
            <w:shd w:val="clear" w:color="auto" w:fill="auto"/>
          </w:tcPr>
          <w:p w:rsidR="000A0ECE" w:rsidRPr="004B2721" w:rsidRDefault="000A0ECE" w:rsidP="004B2721">
            <w:pPr>
              <w:spacing w:before="40" w:after="120"/>
              <w:ind w:right="113"/>
            </w:pPr>
            <w:r w:rsidRPr="004B2721">
              <w:t>26</w:t>
            </w:r>
            <w:r w:rsidR="00671DDE">
              <w:t> </w:t>
            </w:r>
            <w:r w:rsidRPr="004B2721">
              <w:t>févr. 2016</w:t>
            </w:r>
          </w:p>
        </w:tc>
        <w:tc>
          <w:tcPr>
            <w:tcW w:w="1413" w:type="dxa"/>
            <w:shd w:val="clear" w:color="auto" w:fill="auto"/>
          </w:tcPr>
          <w:p w:rsidR="000A0ECE" w:rsidRPr="004B2721" w:rsidRDefault="000A0ECE" w:rsidP="004B2721">
            <w:pPr>
              <w:spacing w:before="40" w:after="120"/>
              <w:ind w:right="113"/>
            </w:pPr>
            <w:r w:rsidRPr="004B2721">
              <w:t>22</w:t>
            </w:r>
            <w:r w:rsidR="00671DDE">
              <w:t> </w:t>
            </w:r>
            <w:r w:rsidRPr="004B2721">
              <w:t>juin 2016</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Togo</w:t>
            </w:r>
          </w:p>
        </w:tc>
        <w:tc>
          <w:tcPr>
            <w:tcW w:w="1843" w:type="dxa"/>
            <w:shd w:val="clear" w:color="auto" w:fill="auto"/>
          </w:tcPr>
          <w:p w:rsidR="000A0ECE" w:rsidRPr="004B2721" w:rsidRDefault="000A0ECE" w:rsidP="004B2721">
            <w:pPr>
              <w:spacing w:before="40" w:after="120"/>
              <w:ind w:right="113"/>
            </w:pPr>
            <w:r w:rsidRPr="004B2721">
              <w:t>21</w:t>
            </w:r>
            <w:r w:rsidR="00671DDE">
              <w:t> </w:t>
            </w:r>
            <w:r w:rsidRPr="004B2721">
              <w:t>juill. 2014</w:t>
            </w:r>
          </w:p>
        </w:tc>
        <w:tc>
          <w:tcPr>
            <w:tcW w:w="1701" w:type="dxa"/>
            <w:shd w:val="clear" w:color="auto" w:fill="auto"/>
          </w:tcPr>
          <w:p w:rsidR="000A0ECE" w:rsidRPr="004B2721" w:rsidRDefault="000A0ECE" w:rsidP="004B2721">
            <w:pPr>
              <w:spacing w:before="40" w:after="120"/>
              <w:ind w:right="113"/>
            </w:pPr>
            <w:r w:rsidRPr="004B2721">
              <w:t>20</w:t>
            </w:r>
            <w:r w:rsidR="00671DDE">
              <w:t> </w:t>
            </w:r>
            <w:r w:rsidRPr="004B2721">
              <w:t>août 2014</w:t>
            </w:r>
          </w:p>
        </w:tc>
        <w:tc>
          <w:tcPr>
            <w:tcW w:w="2268" w:type="dxa"/>
            <w:shd w:val="clear" w:color="auto" w:fill="auto"/>
          </w:tcPr>
          <w:p w:rsidR="000A0ECE" w:rsidRPr="004B2721" w:rsidRDefault="000A0ECE" w:rsidP="004B2721">
            <w:pPr>
              <w:spacing w:before="40" w:after="120"/>
              <w:ind w:right="113"/>
            </w:pPr>
            <w:r w:rsidRPr="004B2721">
              <w:t>20</w:t>
            </w:r>
            <w:r w:rsidR="00671DDE">
              <w:t> </w:t>
            </w:r>
            <w:r w:rsidRPr="004B2721">
              <w:t>août 2016</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Slovaquie</w:t>
            </w:r>
            <w:r w:rsidRPr="00904A5E">
              <w:rPr>
                <w:bCs/>
              </w:rPr>
              <w:t>*</w:t>
            </w:r>
          </w:p>
        </w:tc>
        <w:tc>
          <w:tcPr>
            <w:tcW w:w="1843" w:type="dxa"/>
            <w:shd w:val="clear" w:color="auto" w:fill="auto"/>
          </w:tcPr>
          <w:p w:rsidR="000A0ECE" w:rsidRPr="004B2721" w:rsidRDefault="000A0ECE" w:rsidP="004B2721">
            <w:pPr>
              <w:spacing w:before="40" w:after="120"/>
              <w:ind w:right="113"/>
            </w:pPr>
            <w:r w:rsidRPr="004B2721">
              <w:t>15</w:t>
            </w:r>
            <w:r w:rsidR="00671DDE">
              <w:t> </w:t>
            </w:r>
            <w:r w:rsidRPr="004B2721">
              <w:t>déc. 2014</w:t>
            </w:r>
          </w:p>
        </w:tc>
        <w:tc>
          <w:tcPr>
            <w:tcW w:w="1701" w:type="dxa"/>
            <w:shd w:val="clear" w:color="auto" w:fill="auto"/>
          </w:tcPr>
          <w:p w:rsidR="000A0ECE" w:rsidRPr="004B2721" w:rsidRDefault="000A0ECE" w:rsidP="004B2721">
            <w:pPr>
              <w:spacing w:before="40" w:after="120"/>
              <w:ind w:right="113"/>
            </w:pPr>
            <w:r w:rsidRPr="004B2721">
              <w:t>14</w:t>
            </w:r>
            <w:r w:rsidR="00671DDE">
              <w:t> </w:t>
            </w:r>
            <w:r w:rsidRPr="004B2721">
              <w:t>janv. 2015</w:t>
            </w:r>
          </w:p>
        </w:tc>
        <w:tc>
          <w:tcPr>
            <w:tcW w:w="2268" w:type="dxa"/>
            <w:shd w:val="clear" w:color="auto" w:fill="auto"/>
          </w:tcPr>
          <w:p w:rsidR="000A0ECE" w:rsidRPr="004B2721" w:rsidRDefault="000A0ECE" w:rsidP="004B2721">
            <w:pPr>
              <w:spacing w:before="40" w:after="120"/>
              <w:ind w:right="113"/>
            </w:pPr>
            <w:r w:rsidRPr="004B2721">
              <w:t>14</w:t>
            </w:r>
            <w:r w:rsidR="00671DDE">
              <w:t> </w:t>
            </w:r>
            <w:r w:rsidRPr="004B2721">
              <w:t>janv. 2017</w:t>
            </w:r>
          </w:p>
        </w:tc>
        <w:tc>
          <w:tcPr>
            <w:tcW w:w="1413" w:type="dxa"/>
            <w:shd w:val="clear" w:color="auto" w:fill="auto"/>
          </w:tcPr>
          <w:p w:rsidR="000A0ECE" w:rsidRPr="004B2721" w:rsidRDefault="000A0ECE" w:rsidP="004B2721">
            <w:pPr>
              <w:spacing w:before="40" w:after="120"/>
              <w:ind w:right="113"/>
            </w:pPr>
            <w:r w:rsidRPr="004B2721">
              <w:t>26</w:t>
            </w:r>
            <w:r w:rsidR="00671DDE">
              <w:t> </w:t>
            </w:r>
            <w:r w:rsidRPr="004B2721">
              <w:t>avril 2018</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Mongolie</w:t>
            </w:r>
          </w:p>
        </w:tc>
        <w:tc>
          <w:tcPr>
            <w:tcW w:w="1843" w:type="dxa"/>
            <w:shd w:val="clear" w:color="auto" w:fill="auto"/>
          </w:tcPr>
          <w:p w:rsidR="000A0ECE" w:rsidRPr="004B2721" w:rsidRDefault="000A0ECE" w:rsidP="004B2721">
            <w:pPr>
              <w:spacing w:before="40" w:after="120"/>
              <w:ind w:right="113"/>
            </w:pPr>
            <w:r w:rsidRPr="004B2721">
              <w:t>12</w:t>
            </w:r>
            <w:r w:rsidR="00671DDE">
              <w:t> </w:t>
            </w:r>
            <w:r w:rsidRPr="004B2721">
              <w:t>févr. 2015</w:t>
            </w:r>
          </w:p>
        </w:tc>
        <w:tc>
          <w:tcPr>
            <w:tcW w:w="1701" w:type="dxa"/>
            <w:shd w:val="clear" w:color="auto" w:fill="auto"/>
          </w:tcPr>
          <w:p w:rsidR="000A0ECE" w:rsidRPr="004B2721" w:rsidRDefault="000A0ECE" w:rsidP="004B2721">
            <w:pPr>
              <w:spacing w:before="40" w:after="120"/>
              <w:ind w:right="113"/>
            </w:pPr>
            <w:r w:rsidRPr="004B2721">
              <w:t>14</w:t>
            </w:r>
            <w:r w:rsidR="00671DDE">
              <w:t> </w:t>
            </w:r>
            <w:r w:rsidRPr="004B2721">
              <w:t>mars 2015</w:t>
            </w:r>
          </w:p>
        </w:tc>
        <w:tc>
          <w:tcPr>
            <w:tcW w:w="2268" w:type="dxa"/>
            <w:shd w:val="clear" w:color="auto" w:fill="auto"/>
          </w:tcPr>
          <w:p w:rsidR="000A0ECE" w:rsidRPr="004B2721" w:rsidRDefault="000A0ECE" w:rsidP="004B2721">
            <w:pPr>
              <w:spacing w:before="40" w:after="120"/>
              <w:ind w:right="113"/>
            </w:pPr>
            <w:r w:rsidRPr="004B2721">
              <w:t>14</w:t>
            </w:r>
            <w:r w:rsidR="00671DDE">
              <w:t> </w:t>
            </w:r>
            <w:r w:rsidRPr="004B2721">
              <w:t>mars 2017</w:t>
            </w:r>
          </w:p>
        </w:tc>
        <w:tc>
          <w:tcPr>
            <w:tcW w:w="1413" w:type="dxa"/>
            <w:shd w:val="clear" w:color="auto" w:fill="auto"/>
          </w:tcPr>
          <w:p w:rsidR="000A0ECE" w:rsidRPr="004B2721" w:rsidRDefault="000A0ECE" w:rsidP="004B2721">
            <w:pPr>
              <w:spacing w:before="40" w:after="120"/>
              <w:ind w:right="113"/>
            </w:pPr>
            <w:r w:rsidRPr="004B2721">
              <w:t>27</w:t>
            </w:r>
            <w:r w:rsidR="00671DDE">
              <w:t> </w:t>
            </w:r>
            <w:r w:rsidRPr="004B2721">
              <w:t>déc. 2018</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Malte</w:t>
            </w:r>
          </w:p>
        </w:tc>
        <w:tc>
          <w:tcPr>
            <w:tcW w:w="1843" w:type="dxa"/>
            <w:shd w:val="clear" w:color="auto" w:fill="auto"/>
          </w:tcPr>
          <w:p w:rsidR="000A0ECE" w:rsidRPr="004B2721" w:rsidRDefault="000A0ECE" w:rsidP="004B2721">
            <w:pPr>
              <w:spacing w:before="40" w:after="120"/>
              <w:ind w:right="113"/>
            </w:pPr>
            <w:r w:rsidRPr="004B2721">
              <w:t>27</w:t>
            </w:r>
            <w:r w:rsidR="00671DDE">
              <w:t> </w:t>
            </w:r>
            <w:r w:rsidRPr="004B2721">
              <w:t>mars 2015</w:t>
            </w:r>
          </w:p>
        </w:tc>
        <w:tc>
          <w:tcPr>
            <w:tcW w:w="1701" w:type="dxa"/>
            <w:shd w:val="clear" w:color="auto" w:fill="auto"/>
          </w:tcPr>
          <w:p w:rsidR="000A0ECE" w:rsidRPr="004B2721" w:rsidRDefault="000A0ECE" w:rsidP="004B2721">
            <w:pPr>
              <w:spacing w:before="40" w:after="120"/>
              <w:ind w:right="113"/>
            </w:pPr>
            <w:r w:rsidRPr="004B2721">
              <w:t>26</w:t>
            </w:r>
            <w:r w:rsidR="00671DDE">
              <w:t> </w:t>
            </w:r>
            <w:r w:rsidRPr="004B2721">
              <w:t>avril 2015</w:t>
            </w:r>
          </w:p>
        </w:tc>
        <w:tc>
          <w:tcPr>
            <w:tcW w:w="2268" w:type="dxa"/>
            <w:shd w:val="clear" w:color="auto" w:fill="auto"/>
          </w:tcPr>
          <w:p w:rsidR="000A0ECE" w:rsidRPr="004B2721" w:rsidRDefault="000A0ECE" w:rsidP="004B2721">
            <w:pPr>
              <w:spacing w:before="40" w:after="120"/>
              <w:ind w:right="113"/>
            </w:pPr>
            <w:r w:rsidRPr="004B2721">
              <w:t>26</w:t>
            </w:r>
            <w:r w:rsidR="00671DDE">
              <w:t> </w:t>
            </w:r>
            <w:r w:rsidRPr="004B2721">
              <w:t>avril 2017</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Grèce</w:t>
            </w:r>
          </w:p>
        </w:tc>
        <w:tc>
          <w:tcPr>
            <w:tcW w:w="1843" w:type="dxa"/>
            <w:shd w:val="clear" w:color="auto" w:fill="auto"/>
          </w:tcPr>
          <w:p w:rsidR="000A0ECE" w:rsidRPr="004B2721" w:rsidRDefault="000A0ECE" w:rsidP="004B2721">
            <w:pPr>
              <w:spacing w:before="40" w:after="120"/>
              <w:ind w:right="113"/>
            </w:pPr>
            <w:r w:rsidRPr="004B2721">
              <w:t>9</w:t>
            </w:r>
            <w:r w:rsidR="00671DDE">
              <w:t> </w:t>
            </w:r>
            <w:r w:rsidRPr="004B2721">
              <w:t>juill. 2015</w:t>
            </w:r>
          </w:p>
        </w:tc>
        <w:tc>
          <w:tcPr>
            <w:tcW w:w="1701" w:type="dxa"/>
            <w:shd w:val="clear" w:color="auto" w:fill="auto"/>
          </w:tcPr>
          <w:p w:rsidR="000A0ECE" w:rsidRPr="004B2721" w:rsidRDefault="000A0ECE" w:rsidP="004B2721">
            <w:pPr>
              <w:spacing w:before="40" w:after="120"/>
              <w:ind w:right="113"/>
            </w:pPr>
            <w:r w:rsidRPr="004B2721">
              <w:t>8</w:t>
            </w:r>
            <w:r w:rsidR="00671DDE">
              <w:t> </w:t>
            </w:r>
            <w:r w:rsidRPr="004B2721">
              <w:t>août 2015</w:t>
            </w:r>
          </w:p>
        </w:tc>
        <w:tc>
          <w:tcPr>
            <w:tcW w:w="2268" w:type="dxa"/>
            <w:shd w:val="clear" w:color="auto" w:fill="auto"/>
          </w:tcPr>
          <w:p w:rsidR="000A0ECE" w:rsidRPr="004B2721" w:rsidRDefault="000A0ECE" w:rsidP="004B2721">
            <w:pPr>
              <w:spacing w:before="40" w:after="120"/>
              <w:ind w:right="113"/>
            </w:pPr>
            <w:r w:rsidRPr="004B2721">
              <w:t>8</w:t>
            </w:r>
            <w:r w:rsidR="00671DDE">
              <w:t> </w:t>
            </w:r>
            <w:r w:rsidRPr="004B2721">
              <w:t>août 2017</w:t>
            </w:r>
          </w:p>
        </w:tc>
        <w:tc>
          <w:tcPr>
            <w:tcW w:w="1413" w:type="dxa"/>
            <w:shd w:val="clear" w:color="auto" w:fill="auto"/>
          </w:tcPr>
          <w:p w:rsidR="000A0ECE" w:rsidRPr="004B2721" w:rsidRDefault="000A0ECE" w:rsidP="004B2721">
            <w:pPr>
              <w:spacing w:before="40" w:after="120"/>
              <w:ind w:right="113"/>
            </w:pPr>
            <w:r w:rsidRPr="004B2721">
              <w:t>1</w:t>
            </w:r>
            <w:r w:rsidRPr="00671DDE">
              <w:rPr>
                <w:vertAlign w:val="superscript"/>
              </w:rPr>
              <w:t>er</w:t>
            </w:r>
            <w:r w:rsidR="00671DDE">
              <w:t> </w:t>
            </w:r>
            <w:r w:rsidRPr="004B2721">
              <w:t>févr. 2019</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Niger</w:t>
            </w:r>
          </w:p>
        </w:tc>
        <w:tc>
          <w:tcPr>
            <w:tcW w:w="1843" w:type="dxa"/>
            <w:shd w:val="clear" w:color="auto" w:fill="auto"/>
          </w:tcPr>
          <w:p w:rsidR="000A0ECE" w:rsidRPr="004B2721" w:rsidRDefault="000A0ECE" w:rsidP="004B2721">
            <w:pPr>
              <w:spacing w:before="40" w:after="120"/>
              <w:ind w:right="113"/>
            </w:pPr>
            <w:r w:rsidRPr="004B2721">
              <w:t>24</w:t>
            </w:r>
            <w:r w:rsidR="00671DDE">
              <w:t> </w:t>
            </w:r>
            <w:r w:rsidRPr="004B2721">
              <w:t>juill. 2015</w:t>
            </w:r>
          </w:p>
        </w:tc>
        <w:tc>
          <w:tcPr>
            <w:tcW w:w="1701" w:type="dxa"/>
            <w:shd w:val="clear" w:color="auto" w:fill="auto"/>
          </w:tcPr>
          <w:p w:rsidR="000A0ECE" w:rsidRPr="004B2721" w:rsidRDefault="000A0ECE" w:rsidP="004B2721">
            <w:pPr>
              <w:spacing w:before="40" w:after="120"/>
              <w:ind w:right="113"/>
            </w:pPr>
            <w:r w:rsidRPr="004B2721">
              <w:t>23</w:t>
            </w:r>
            <w:r w:rsidR="00671DDE">
              <w:t> </w:t>
            </w:r>
            <w:r w:rsidRPr="004B2721">
              <w:t>août 2015</w:t>
            </w:r>
          </w:p>
        </w:tc>
        <w:tc>
          <w:tcPr>
            <w:tcW w:w="2268" w:type="dxa"/>
            <w:shd w:val="clear" w:color="auto" w:fill="auto"/>
          </w:tcPr>
          <w:p w:rsidR="000A0ECE" w:rsidRPr="004B2721" w:rsidRDefault="000A0ECE" w:rsidP="004B2721">
            <w:pPr>
              <w:spacing w:before="40" w:after="120"/>
              <w:ind w:right="113"/>
            </w:pPr>
            <w:r w:rsidRPr="004B2721">
              <w:t>23</w:t>
            </w:r>
            <w:r w:rsidR="00671DDE">
              <w:t> </w:t>
            </w:r>
            <w:r w:rsidRPr="004B2721">
              <w:t>août 2017</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Belize</w:t>
            </w:r>
          </w:p>
        </w:tc>
        <w:tc>
          <w:tcPr>
            <w:tcW w:w="1843" w:type="dxa"/>
            <w:shd w:val="clear" w:color="auto" w:fill="auto"/>
          </w:tcPr>
          <w:p w:rsidR="000A0ECE" w:rsidRPr="004B2721" w:rsidRDefault="000A0ECE" w:rsidP="004B2721">
            <w:pPr>
              <w:spacing w:before="40" w:after="120"/>
              <w:ind w:right="113"/>
            </w:pPr>
            <w:r w:rsidRPr="004B2721">
              <w:t>14</w:t>
            </w:r>
            <w:r w:rsidR="00671DDE">
              <w:t> </w:t>
            </w:r>
            <w:r w:rsidRPr="004B2721">
              <w:t>août 2015</w:t>
            </w:r>
          </w:p>
        </w:tc>
        <w:tc>
          <w:tcPr>
            <w:tcW w:w="1701" w:type="dxa"/>
            <w:shd w:val="clear" w:color="auto" w:fill="auto"/>
          </w:tcPr>
          <w:p w:rsidR="000A0ECE" w:rsidRPr="004B2721" w:rsidRDefault="000A0ECE" w:rsidP="004B2721">
            <w:pPr>
              <w:spacing w:before="40" w:after="120"/>
              <w:ind w:right="113"/>
            </w:pPr>
            <w:r w:rsidRPr="004B2721">
              <w:t>13</w:t>
            </w:r>
            <w:r w:rsidR="00671DDE">
              <w:t> </w:t>
            </w:r>
            <w:r w:rsidRPr="004B2721">
              <w:t>sept. 2015</w:t>
            </w:r>
          </w:p>
        </w:tc>
        <w:tc>
          <w:tcPr>
            <w:tcW w:w="2268" w:type="dxa"/>
            <w:shd w:val="clear" w:color="auto" w:fill="auto"/>
          </w:tcPr>
          <w:p w:rsidR="000A0ECE" w:rsidRPr="004B2721" w:rsidRDefault="000A0ECE" w:rsidP="004B2721">
            <w:pPr>
              <w:spacing w:before="40" w:after="120"/>
              <w:ind w:right="113"/>
            </w:pPr>
            <w:r w:rsidRPr="004B2721">
              <w:t>13</w:t>
            </w:r>
            <w:r w:rsidR="00671DDE">
              <w:t> </w:t>
            </w:r>
            <w:r w:rsidRPr="004B2721">
              <w:t>sept. 2017</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Ukraine</w:t>
            </w:r>
            <w:r w:rsidRPr="00904A5E">
              <w:rPr>
                <w:bCs/>
              </w:rPr>
              <w:t>*</w:t>
            </w:r>
          </w:p>
        </w:tc>
        <w:tc>
          <w:tcPr>
            <w:tcW w:w="1843" w:type="dxa"/>
            <w:shd w:val="clear" w:color="auto" w:fill="auto"/>
          </w:tcPr>
          <w:p w:rsidR="000A0ECE" w:rsidRPr="004B2721" w:rsidRDefault="000A0ECE" w:rsidP="004B2721">
            <w:pPr>
              <w:spacing w:before="40" w:after="120"/>
              <w:ind w:right="113"/>
            </w:pPr>
            <w:r w:rsidRPr="004B2721">
              <w:t>14</w:t>
            </w:r>
            <w:r w:rsidR="00671DDE">
              <w:t> </w:t>
            </w:r>
            <w:r w:rsidRPr="004B2721">
              <w:t>août 2015</w:t>
            </w:r>
          </w:p>
        </w:tc>
        <w:tc>
          <w:tcPr>
            <w:tcW w:w="1701" w:type="dxa"/>
            <w:shd w:val="clear" w:color="auto" w:fill="auto"/>
          </w:tcPr>
          <w:p w:rsidR="000A0ECE" w:rsidRPr="004B2721" w:rsidRDefault="000A0ECE" w:rsidP="004B2721">
            <w:pPr>
              <w:spacing w:before="40" w:after="120"/>
              <w:ind w:right="113"/>
            </w:pPr>
            <w:r w:rsidRPr="004B2721">
              <w:t>13</w:t>
            </w:r>
            <w:r w:rsidR="00671DDE">
              <w:t> </w:t>
            </w:r>
            <w:r w:rsidRPr="004B2721">
              <w:t>sept. 2015</w:t>
            </w:r>
          </w:p>
        </w:tc>
        <w:tc>
          <w:tcPr>
            <w:tcW w:w="2268" w:type="dxa"/>
            <w:shd w:val="clear" w:color="auto" w:fill="auto"/>
          </w:tcPr>
          <w:p w:rsidR="000A0ECE" w:rsidRPr="004B2721" w:rsidRDefault="000A0ECE" w:rsidP="004B2721">
            <w:pPr>
              <w:spacing w:before="40" w:after="120"/>
              <w:ind w:right="113"/>
            </w:pPr>
            <w:r w:rsidRPr="004B2721">
              <w:t>13</w:t>
            </w:r>
            <w:r w:rsidR="00671DDE">
              <w:t> </w:t>
            </w:r>
            <w:r w:rsidRPr="004B2721">
              <w:t xml:space="preserve">sept. 2017 </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Italie</w:t>
            </w:r>
          </w:p>
        </w:tc>
        <w:tc>
          <w:tcPr>
            <w:tcW w:w="1843" w:type="dxa"/>
            <w:shd w:val="clear" w:color="auto" w:fill="auto"/>
          </w:tcPr>
          <w:p w:rsidR="000A0ECE" w:rsidRPr="004B2721" w:rsidRDefault="000A0ECE" w:rsidP="004B2721">
            <w:pPr>
              <w:spacing w:before="40" w:after="120"/>
              <w:ind w:right="113"/>
            </w:pPr>
            <w:r w:rsidRPr="004B2721">
              <w:t>8</w:t>
            </w:r>
            <w:r w:rsidR="00671DDE">
              <w:t> </w:t>
            </w:r>
            <w:r w:rsidRPr="004B2721">
              <w:t>oct. 2015</w:t>
            </w:r>
          </w:p>
        </w:tc>
        <w:tc>
          <w:tcPr>
            <w:tcW w:w="1701" w:type="dxa"/>
            <w:shd w:val="clear" w:color="auto" w:fill="auto"/>
          </w:tcPr>
          <w:p w:rsidR="000A0ECE" w:rsidRPr="004B2721" w:rsidRDefault="000A0ECE" w:rsidP="004B2721">
            <w:pPr>
              <w:spacing w:before="40" w:after="120"/>
              <w:ind w:right="113"/>
            </w:pPr>
            <w:r w:rsidRPr="004B2721">
              <w:t>7</w:t>
            </w:r>
            <w:r w:rsidR="00671DDE">
              <w:t> </w:t>
            </w:r>
            <w:r w:rsidRPr="004B2721">
              <w:t>nov. 2015</w:t>
            </w:r>
          </w:p>
        </w:tc>
        <w:tc>
          <w:tcPr>
            <w:tcW w:w="2268" w:type="dxa"/>
            <w:shd w:val="clear" w:color="auto" w:fill="auto"/>
          </w:tcPr>
          <w:p w:rsidR="000A0ECE" w:rsidRPr="004B2721" w:rsidRDefault="000A0ECE" w:rsidP="004B2721">
            <w:pPr>
              <w:spacing w:before="40" w:after="120"/>
              <w:ind w:right="113"/>
            </w:pPr>
            <w:r w:rsidRPr="004B2721">
              <w:t>7</w:t>
            </w:r>
            <w:r w:rsidR="00671DDE">
              <w:t> </w:t>
            </w:r>
            <w:r w:rsidRPr="004B2721">
              <w:t>nov. 2017</w:t>
            </w:r>
          </w:p>
        </w:tc>
        <w:tc>
          <w:tcPr>
            <w:tcW w:w="1413" w:type="dxa"/>
            <w:shd w:val="clear" w:color="auto" w:fill="auto"/>
          </w:tcPr>
          <w:p w:rsidR="000A0ECE" w:rsidRPr="004B2721" w:rsidRDefault="000A0ECE" w:rsidP="004B2721">
            <w:pPr>
              <w:spacing w:before="40" w:after="120"/>
              <w:ind w:right="113"/>
            </w:pPr>
            <w:r w:rsidRPr="004B2721">
              <w:t>22</w:t>
            </w:r>
            <w:r w:rsidR="00671DDE">
              <w:t> </w:t>
            </w:r>
            <w:r w:rsidRPr="004B2721">
              <w:t>déc. 2017</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rPr>
              <w:t>Sri Lanka</w:t>
            </w:r>
          </w:p>
        </w:tc>
        <w:tc>
          <w:tcPr>
            <w:tcW w:w="1843" w:type="dxa"/>
            <w:shd w:val="clear" w:color="auto" w:fill="auto"/>
          </w:tcPr>
          <w:p w:rsidR="000A0ECE" w:rsidRPr="004B2721" w:rsidRDefault="000A0ECE" w:rsidP="004B2721">
            <w:pPr>
              <w:spacing w:before="40" w:after="120"/>
              <w:ind w:right="113"/>
            </w:pPr>
            <w:r w:rsidRPr="004B2721">
              <w:t>25</w:t>
            </w:r>
            <w:r w:rsidR="00671DDE">
              <w:t> </w:t>
            </w:r>
            <w:r w:rsidRPr="004B2721">
              <w:t>mai 2016</w:t>
            </w:r>
          </w:p>
        </w:tc>
        <w:tc>
          <w:tcPr>
            <w:tcW w:w="1701" w:type="dxa"/>
            <w:shd w:val="clear" w:color="auto" w:fill="auto"/>
          </w:tcPr>
          <w:p w:rsidR="000A0ECE" w:rsidRPr="004B2721" w:rsidRDefault="000A0ECE" w:rsidP="004B2721">
            <w:pPr>
              <w:spacing w:before="40" w:after="120"/>
              <w:ind w:right="113"/>
            </w:pPr>
            <w:r w:rsidRPr="004B2721">
              <w:t>24</w:t>
            </w:r>
            <w:r w:rsidR="00671DDE">
              <w:t> </w:t>
            </w:r>
            <w:r w:rsidRPr="004B2721">
              <w:t>juin 2016</w:t>
            </w:r>
          </w:p>
        </w:tc>
        <w:tc>
          <w:tcPr>
            <w:tcW w:w="2268" w:type="dxa"/>
            <w:shd w:val="clear" w:color="auto" w:fill="auto"/>
          </w:tcPr>
          <w:p w:rsidR="000A0ECE" w:rsidRPr="004B2721" w:rsidRDefault="000A0ECE" w:rsidP="004B2721">
            <w:pPr>
              <w:spacing w:before="40" w:after="120"/>
              <w:ind w:right="113"/>
            </w:pPr>
            <w:r w:rsidRPr="004B2721">
              <w:t>24</w:t>
            </w:r>
            <w:r w:rsidR="00671DDE">
              <w:t> </w:t>
            </w:r>
            <w:r w:rsidRPr="004B2721">
              <w:t>juin 2018</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République centrafricaine</w:t>
            </w:r>
          </w:p>
        </w:tc>
        <w:tc>
          <w:tcPr>
            <w:tcW w:w="1843" w:type="dxa"/>
            <w:shd w:val="clear" w:color="auto" w:fill="auto"/>
          </w:tcPr>
          <w:p w:rsidR="000A0ECE" w:rsidRPr="004B2721" w:rsidRDefault="000A0ECE" w:rsidP="004B2721">
            <w:pPr>
              <w:spacing w:before="40" w:after="120"/>
              <w:ind w:right="113"/>
            </w:pPr>
            <w:r w:rsidRPr="004B2721">
              <w:t>11</w:t>
            </w:r>
            <w:r w:rsidR="00671DDE">
              <w:t> </w:t>
            </w:r>
            <w:r w:rsidRPr="004B2721">
              <w:t>oct. 2016</w:t>
            </w:r>
          </w:p>
        </w:tc>
        <w:tc>
          <w:tcPr>
            <w:tcW w:w="1701" w:type="dxa"/>
            <w:shd w:val="clear" w:color="auto" w:fill="auto"/>
          </w:tcPr>
          <w:p w:rsidR="000A0ECE" w:rsidRPr="004B2721" w:rsidRDefault="000A0ECE" w:rsidP="004B2721">
            <w:pPr>
              <w:spacing w:before="40" w:after="120"/>
              <w:ind w:right="113"/>
            </w:pPr>
            <w:r w:rsidRPr="004B2721">
              <w:t>10</w:t>
            </w:r>
            <w:r w:rsidR="00671DDE">
              <w:t> </w:t>
            </w:r>
            <w:r w:rsidRPr="004B2721">
              <w:t>nov. 2016</w:t>
            </w:r>
          </w:p>
        </w:tc>
        <w:tc>
          <w:tcPr>
            <w:tcW w:w="2268" w:type="dxa"/>
            <w:shd w:val="clear" w:color="auto" w:fill="auto"/>
          </w:tcPr>
          <w:p w:rsidR="000A0ECE" w:rsidRPr="004B2721" w:rsidRDefault="000A0ECE" w:rsidP="004B2721">
            <w:pPr>
              <w:spacing w:before="40" w:after="120"/>
              <w:ind w:right="113"/>
            </w:pPr>
            <w:r w:rsidRPr="004B2721">
              <w:t>10</w:t>
            </w:r>
            <w:r w:rsidR="00671DDE">
              <w:t> </w:t>
            </w:r>
            <w:r w:rsidRPr="004B2721">
              <w:t>nov. 2018</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Suisse</w:t>
            </w:r>
            <w:r w:rsidRPr="00904A5E">
              <w:rPr>
                <w:bCs/>
              </w:rPr>
              <w:t>*</w:t>
            </w:r>
          </w:p>
        </w:tc>
        <w:tc>
          <w:tcPr>
            <w:tcW w:w="1843" w:type="dxa"/>
            <w:shd w:val="clear" w:color="auto" w:fill="auto"/>
          </w:tcPr>
          <w:p w:rsidR="000A0ECE" w:rsidRPr="004B2721" w:rsidRDefault="000A0ECE" w:rsidP="004B2721">
            <w:pPr>
              <w:spacing w:before="40" w:after="120"/>
              <w:ind w:right="113"/>
            </w:pPr>
            <w:r w:rsidRPr="004B2721">
              <w:t>2</w:t>
            </w:r>
            <w:r w:rsidR="00671DDE">
              <w:t> </w:t>
            </w:r>
            <w:r w:rsidRPr="004B2721">
              <w:t>déc. 2016</w:t>
            </w:r>
          </w:p>
        </w:tc>
        <w:tc>
          <w:tcPr>
            <w:tcW w:w="1701" w:type="dxa"/>
            <w:shd w:val="clear" w:color="auto" w:fill="auto"/>
          </w:tcPr>
          <w:p w:rsidR="000A0ECE" w:rsidRPr="004B2721" w:rsidRDefault="000A0ECE" w:rsidP="004B2721">
            <w:pPr>
              <w:spacing w:before="40" w:after="120"/>
              <w:ind w:right="113"/>
            </w:pPr>
            <w:r w:rsidRPr="004B2721">
              <w:t>1</w:t>
            </w:r>
            <w:r w:rsidRPr="00671DDE">
              <w:rPr>
                <w:vertAlign w:val="superscript"/>
              </w:rPr>
              <w:t>er</w:t>
            </w:r>
            <w:r w:rsidR="00671DDE">
              <w:t> </w:t>
            </w:r>
            <w:r w:rsidRPr="004B2721">
              <w:t>janv. 2017</w:t>
            </w:r>
          </w:p>
        </w:tc>
        <w:tc>
          <w:tcPr>
            <w:tcW w:w="2268" w:type="dxa"/>
            <w:shd w:val="clear" w:color="auto" w:fill="auto"/>
          </w:tcPr>
          <w:p w:rsidR="000A0ECE" w:rsidRPr="004B2721" w:rsidRDefault="000A0ECE" w:rsidP="004B2721">
            <w:pPr>
              <w:spacing w:before="40" w:after="120"/>
              <w:ind w:right="113"/>
            </w:pPr>
            <w:r w:rsidRPr="004B2721">
              <w:t>1</w:t>
            </w:r>
            <w:r w:rsidRPr="00671DDE">
              <w:rPr>
                <w:vertAlign w:val="superscript"/>
              </w:rPr>
              <w:t>er</w:t>
            </w:r>
            <w:r w:rsidR="00671DDE">
              <w:t> </w:t>
            </w:r>
            <w:r w:rsidRPr="004B2721">
              <w:t>janv. 2019</w:t>
            </w:r>
          </w:p>
        </w:tc>
        <w:tc>
          <w:tcPr>
            <w:tcW w:w="1413" w:type="dxa"/>
            <w:shd w:val="clear" w:color="auto" w:fill="auto"/>
          </w:tcPr>
          <w:p w:rsidR="000A0ECE" w:rsidRPr="004B2721" w:rsidRDefault="000A0ECE" w:rsidP="004B2721">
            <w:pPr>
              <w:spacing w:before="40" w:after="120"/>
              <w:ind w:right="113"/>
            </w:pPr>
            <w:r w:rsidRPr="004B2721">
              <w:t>21</w:t>
            </w:r>
            <w:r w:rsidR="00671DDE">
              <w:t> </w:t>
            </w:r>
            <w:r w:rsidRPr="004B2721">
              <w:t>déc. 2018</w:t>
            </w: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Seychelles</w:t>
            </w:r>
          </w:p>
        </w:tc>
        <w:tc>
          <w:tcPr>
            <w:tcW w:w="1843" w:type="dxa"/>
            <w:shd w:val="clear" w:color="auto" w:fill="auto"/>
          </w:tcPr>
          <w:p w:rsidR="000A0ECE" w:rsidRPr="004B2721" w:rsidRDefault="000A0ECE" w:rsidP="004B2721">
            <w:pPr>
              <w:spacing w:before="40" w:after="120"/>
              <w:ind w:right="113"/>
            </w:pPr>
            <w:r w:rsidRPr="004B2721">
              <w:t>18</w:t>
            </w:r>
            <w:r w:rsidR="00671DDE">
              <w:t> </w:t>
            </w:r>
            <w:r w:rsidRPr="004B2721">
              <w:t>janv. 2017</w:t>
            </w:r>
          </w:p>
        </w:tc>
        <w:tc>
          <w:tcPr>
            <w:tcW w:w="1701" w:type="dxa"/>
            <w:shd w:val="clear" w:color="auto" w:fill="auto"/>
          </w:tcPr>
          <w:p w:rsidR="000A0ECE" w:rsidRPr="004B2721" w:rsidRDefault="000A0ECE" w:rsidP="004B2721">
            <w:pPr>
              <w:spacing w:before="40" w:after="120"/>
              <w:ind w:right="113"/>
            </w:pPr>
            <w:r w:rsidRPr="004B2721">
              <w:t>17</w:t>
            </w:r>
            <w:r w:rsidR="00671DDE">
              <w:t> </w:t>
            </w:r>
            <w:r w:rsidRPr="004B2721">
              <w:t>févr. 2017</w:t>
            </w:r>
          </w:p>
        </w:tc>
        <w:tc>
          <w:tcPr>
            <w:tcW w:w="2268" w:type="dxa"/>
            <w:shd w:val="clear" w:color="auto" w:fill="auto"/>
          </w:tcPr>
          <w:p w:rsidR="000A0ECE" w:rsidRPr="004B2721" w:rsidRDefault="000A0ECE" w:rsidP="004B2721">
            <w:pPr>
              <w:spacing w:before="40" w:after="120"/>
              <w:ind w:right="113"/>
            </w:pPr>
            <w:r w:rsidRPr="004B2721">
              <w:t>17</w:t>
            </w:r>
            <w:r w:rsidR="00671DDE">
              <w:t> </w:t>
            </w:r>
            <w:r w:rsidRPr="004B2721">
              <w:t>févr. 2019</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Tchéquie</w:t>
            </w:r>
            <w:r w:rsidRPr="00904A5E">
              <w:rPr>
                <w:bCs/>
              </w:rPr>
              <w:t>*</w:t>
            </w:r>
          </w:p>
        </w:tc>
        <w:tc>
          <w:tcPr>
            <w:tcW w:w="1843" w:type="dxa"/>
            <w:shd w:val="clear" w:color="auto" w:fill="auto"/>
          </w:tcPr>
          <w:p w:rsidR="000A0ECE" w:rsidRPr="004B2721" w:rsidRDefault="000A0ECE" w:rsidP="004B2721">
            <w:pPr>
              <w:spacing w:before="40" w:after="120"/>
              <w:ind w:right="113"/>
            </w:pPr>
            <w:r w:rsidRPr="004B2721">
              <w:t>8</w:t>
            </w:r>
            <w:r w:rsidR="00671DDE">
              <w:t> </w:t>
            </w:r>
            <w:r w:rsidRPr="004B2721">
              <w:t>févr. 2017</w:t>
            </w:r>
          </w:p>
        </w:tc>
        <w:tc>
          <w:tcPr>
            <w:tcW w:w="1701" w:type="dxa"/>
            <w:shd w:val="clear" w:color="auto" w:fill="auto"/>
          </w:tcPr>
          <w:p w:rsidR="000A0ECE" w:rsidRPr="004B2721" w:rsidRDefault="000A0ECE" w:rsidP="004B2721">
            <w:pPr>
              <w:spacing w:before="40" w:after="120"/>
              <w:ind w:right="113"/>
            </w:pPr>
            <w:r w:rsidRPr="004B2721">
              <w:t>10</w:t>
            </w:r>
            <w:r w:rsidR="00671DDE">
              <w:t> </w:t>
            </w:r>
            <w:r w:rsidRPr="004B2721">
              <w:t>mars 2017</w:t>
            </w:r>
          </w:p>
        </w:tc>
        <w:tc>
          <w:tcPr>
            <w:tcW w:w="2268" w:type="dxa"/>
            <w:shd w:val="clear" w:color="auto" w:fill="auto"/>
          </w:tcPr>
          <w:p w:rsidR="000A0ECE" w:rsidRPr="004B2721" w:rsidRDefault="000A0ECE" w:rsidP="004B2721">
            <w:pPr>
              <w:spacing w:before="40" w:after="120"/>
              <w:ind w:right="113"/>
            </w:pPr>
            <w:r w:rsidRPr="004B2721">
              <w:t>10</w:t>
            </w:r>
            <w:r w:rsidR="00671DDE">
              <w:t> </w:t>
            </w:r>
            <w:r w:rsidRPr="004B2721">
              <w:t>mars 2019</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Malawi</w:t>
            </w:r>
            <w:r w:rsidRPr="00904A5E">
              <w:rPr>
                <w:bCs/>
              </w:rPr>
              <w:t>*</w:t>
            </w:r>
          </w:p>
        </w:tc>
        <w:tc>
          <w:tcPr>
            <w:tcW w:w="1843" w:type="dxa"/>
            <w:shd w:val="clear" w:color="auto" w:fill="auto"/>
          </w:tcPr>
          <w:p w:rsidR="000A0ECE" w:rsidRPr="004B2721" w:rsidRDefault="000A0ECE" w:rsidP="004B2721">
            <w:pPr>
              <w:spacing w:before="40" w:after="120"/>
              <w:ind w:right="113"/>
            </w:pPr>
            <w:r w:rsidRPr="004B2721">
              <w:t>14</w:t>
            </w:r>
            <w:r w:rsidR="00671DDE">
              <w:t> </w:t>
            </w:r>
            <w:r w:rsidRPr="004B2721">
              <w:t>juill. 2017</w:t>
            </w:r>
          </w:p>
        </w:tc>
        <w:tc>
          <w:tcPr>
            <w:tcW w:w="1701" w:type="dxa"/>
            <w:shd w:val="clear" w:color="auto" w:fill="auto"/>
          </w:tcPr>
          <w:p w:rsidR="000A0ECE" w:rsidRPr="004B2721" w:rsidRDefault="000A0ECE" w:rsidP="004B2721">
            <w:pPr>
              <w:spacing w:before="40" w:after="120"/>
              <w:ind w:right="113"/>
            </w:pPr>
            <w:r w:rsidRPr="004B2721">
              <w:t>13</w:t>
            </w:r>
            <w:r w:rsidR="00671DDE">
              <w:t> </w:t>
            </w:r>
            <w:r w:rsidRPr="004B2721">
              <w:t>août 2017</w:t>
            </w:r>
          </w:p>
        </w:tc>
        <w:tc>
          <w:tcPr>
            <w:tcW w:w="2268" w:type="dxa"/>
            <w:shd w:val="clear" w:color="auto" w:fill="auto"/>
          </w:tcPr>
          <w:p w:rsidR="000A0ECE" w:rsidRPr="004B2721" w:rsidRDefault="000A0ECE" w:rsidP="004B2721">
            <w:pPr>
              <w:spacing w:before="40" w:after="120"/>
              <w:ind w:right="113"/>
            </w:pPr>
            <w:r w:rsidRPr="004B2721">
              <w:t>13</w:t>
            </w:r>
            <w:r w:rsidR="00671DDE">
              <w:t> </w:t>
            </w:r>
            <w:r w:rsidRPr="004B2721">
              <w:t>août 2019</w:t>
            </w:r>
          </w:p>
        </w:tc>
        <w:tc>
          <w:tcPr>
            <w:tcW w:w="1413" w:type="dxa"/>
            <w:shd w:val="clear" w:color="auto" w:fill="auto"/>
          </w:tcPr>
          <w:p w:rsidR="000A0ECE" w:rsidRPr="004B2721" w:rsidRDefault="000A0ECE" w:rsidP="004B2721">
            <w:pPr>
              <w:spacing w:before="40" w:after="120"/>
              <w:ind w:right="113"/>
            </w:pPr>
          </w:p>
        </w:tc>
      </w:tr>
      <w:tr w:rsidR="002D13AB" w:rsidRPr="004B2721" w:rsidTr="007D5093">
        <w:tc>
          <w:tcPr>
            <w:tcW w:w="2410" w:type="dxa"/>
            <w:shd w:val="clear" w:color="auto" w:fill="auto"/>
          </w:tcPr>
          <w:p w:rsidR="000A0ECE" w:rsidRPr="00904A5E" w:rsidRDefault="000A0ECE" w:rsidP="004B2721">
            <w:pPr>
              <w:spacing w:before="40" w:after="120"/>
              <w:ind w:right="113"/>
              <w:rPr>
                <w:b/>
              </w:rPr>
            </w:pPr>
            <w:r w:rsidRPr="00904A5E">
              <w:rPr>
                <w:b/>
                <w:bCs/>
              </w:rPr>
              <w:t>Bénin</w:t>
            </w:r>
          </w:p>
        </w:tc>
        <w:tc>
          <w:tcPr>
            <w:tcW w:w="1843" w:type="dxa"/>
            <w:shd w:val="clear" w:color="auto" w:fill="auto"/>
          </w:tcPr>
          <w:p w:rsidR="000A0ECE" w:rsidRPr="004B2721" w:rsidRDefault="000A0ECE" w:rsidP="004B2721">
            <w:pPr>
              <w:spacing w:before="40" w:after="120"/>
              <w:ind w:right="113"/>
            </w:pPr>
            <w:r w:rsidRPr="004B2721">
              <w:t>2</w:t>
            </w:r>
            <w:r w:rsidR="00671DDE">
              <w:t> </w:t>
            </w:r>
            <w:r w:rsidRPr="004B2721">
              <w:t>nov. 2017</w:t>
            </w:r>
          </w:p>
        </w:tc>
        <w:tc>
          <w:tcPr>
            <w:tcW w:w="1701" w:type="dxa"/>
            <w:shd w:val="clear" w:color="auto" w:fill="auto"/>
          </w:tcPr>
          <w:p w:rsidR="000A0ECE" w:rsidRPr="004B2721" w:rsidRDefault="000A0ECE" w:rsidP="004B2721">
            <w:pPr>
              <w:spacing w:before="40" w:after="120"/>
              <w:ind w:right="113"/>
            </w:pPr>
            <w:r w:rsidRPr="004B2721">
              <w:t>2</w:t>
            </w:r>
            <w:r w:rsidR="00671DDE">
              <w:t> </w:t>
            </w:r>
            <w:r w:rsidRPr="004B2721">
              <w:t>déc. 2017</w:t>
            </w:r>
          </w:p>
        </w:tc>
        <w:tc>
          <w:tcPr>
            <w:tcW w:w="2268" w:type="dxa"/>
            <w:shd w:val="clear" w:color="auto" w:fill="auto"/>
          </w:tcPr>
          <w:p w:rsidR="000A0ECE" w:rsidRPr="004B2721" w:rsidRDefault="000A0ECE" w:rsidP="004B2721">
            <w:pPr>
              <w:spacing w:before="40" w:after="120"/>
              <w:ind w:right="113"/>
            </w:pPr>
            <w:r w:rsidRPr="004B2721">
              <w:t>2</w:t>
            </w:r>
            <w:r w:rsidR="00671DDE">
              <w:t> </w:t>
            </w:r>
            <w:r w:rsidRPr="004B2721">
              <w:t>déc. 2019</w:t>
            </w:r>
          </w:p>
        </w:tc>
        <w:tc>
          <w:tcPr>
            <w:tcW w:w="1413" w:type="dxa"/>
            <w:shd w:val="clear" w:color="auto" w:fill="auto"/>
          </w:tcPr>
          <w:p w:rsidR="000A0ECE" w:rsidRPr="004B2721" w:rsidRDefault="000A0ECE" w:rsidP="004B2721">
            <w:pPr>
              <w:spacing w:before="40" w:after="120"/>
              <w:ind w:right="113"/>
            </w:pPr>
          </w:p>
        </w:tc>
      </w:tr>
      <w:tr w:rsidR="007D5093" w:rsidRPr="004B2721" w:rsidTr="007D5093">
        <w:tc>
          <w:tcPr>
            <w:tcW w:w="2410" w:type="dxa"/>
            <w:tcBorders>
              <w:bottom w:val="single" w:sz="12" w:space="0" w:color="auto"/>
            </w:tcBorders>
            <w:shd w:val="clear" w:color="auto" w:fill="auto"/>
          </w:tcPr>
          <w:p w:rsidR="000A0ECE" w:rsidRPr="00904A5E" w:rsidRDefault="000A0ECE" w:rsidP="004B2721">
            <w:pPr>
              <w:spacing w:before="40" w:after="120"/>
              <w:ind w:right="113"/>
              <w:rPr>
                <w:b/>
              </w:rPr>
            </w:pPr>
            <w:r w:rsidRPr="00904A5E">
              <w:rPr>
                <w:b/>
                <w:bCs/>
              </w:rPr>
              <w:t>Gambie</w:t>
            </w:r>
          </w:p>
        </w:tc>
        <w:tc>
          <w:tcPr>
            <w:tcW w:w="1843" w:type="dxa"/>
            <w:tcBorders>
              <w:bottom w:val="single" w:sz="12" w:space="0" w:color="auto"/>
            </w:tcBorders>
            <w:shd w:val="clear" w:color="auto" w:fill="auto"/>
          </w:tcPr>
          <w:p w:rsidR="000A0ECE" w:rsidRPr="004B2721" w:rsidRDefault="000A0ECE" w:rsidP="004B2721">
            <w:pPr>
              <w:spacing w:before="40" w:after="120"/>
              <w:ind w:right="113"/>
            </w:pPr>
            <w:r w:rsidRPr="004B2721">
              <w:t>28</w:t>
            </w:r>
            <w:r w:rsidR="00671DDE">
              <w:t> </w:t>
            </w:r>
            <w:r w:rsidRPr="004B2721">
              <w:t>sept. 2018</w:t>
            </w:r>
          </w:p>
        </w:tc>
        <w:tc>
          <w:tcPr>
            <w:tcW w:w="1701" w:type="dxa"/>
            <w:tcBorders>
              <w:bottom w:val="single" w:sz="12" w:space="0" w:color="auto"/>
            </w:tcBorders>
            <w:shd w:val="clear" w:color="auto" w:fill="auto"/>
          </w:tcPr>
          <w:p w:rsidR="000A0ECE" w:rsidRPr="004B2721" w:rsidRDefault="000A0ECE" w:rsidP="004B2721">
            <w:pPr>
              <w:spacing w:before="40" w:after="120"/>
              <w:ind w:right="113"/>
            </w:pPr>
            <w:r w:rsidRPr="004B2721">
              <w:t>28</w:t>
            </w:r>
            <w:r w:rsidR="00671DDE">
              <w:t> </w:t>
            </w:r>
            <w:r w:rsidRPr="004B2721">
              <w:t>oct. 2018</w:t>
            </w:r>
          </w:p>
        </w:tc>
        <w:tc>
          <w:tcPr>
            <w:tcW w:w="2268" w:type="dxa"/>
            <w:tcBorders>
              <w:bottom w:val="single" w:sz="12" w:space="0" w:color="auto"/>
            </w:tcBorders>
            <w:shd w:val="clear" w:color="auto" w:fill="auto"/>
          </w:tcPr>
          <w:p w:rsidR="000A0ECE" w:rsidRPr="004B2721" w:rsidRDefault="000A0ECE" w:rsidP="004B2721">
            <w:pPr>
              <w:spacing w:before="40" w:after="120"/>
              <w:ind w:right="113"/>
            </w:pPr>
            <w:r w:rsidRPr="004B2721">
              <w:t>28</w:t>
            </w:r>
            <w:r w:rsidR="00671DDE">
              <w:t> </w:t>
            </w:r>
            <w:r w:rsidRPr="004B2721">
              <w:t>oct. 2020</w:t>
            </w:r>
          </w:p>
        </w:tc>
        <w:tc>
          <w:tcPr>
            <w:tcW w:w="1413" w:type="dxa"/>
            <w:tcBorders>
              <w:bottom w:val="single" w:sz="12" w:space="0" w:color="auto"/>
            </w:tcBorders>
            <w:shd w:val="clear" w:color="auto" w:fill="auto"/>
          </w:tcPr>
          <w:p w:rsidR="000A0ECE" w:rsidRPr="004B2721" w:rsidRDefault="000A0ECE" w:rsidP="004B2721">
            <w:pPr>
              <w:spacing w:before="40" w:after="120"/>
              <w:ind w:right="113"/>
            </w:pPr>
          </w:p>
        </w:tc>
      </w:tr>
    </w:tbl>
    <w:p w:rsidR="000A0ECE" w:rsidRPr="00CE51AB" w:rsidRDefault="00CE51AB" w:rsidP="00E111F8">
      <w:pPr>
        <w:spacing w:before="120"/>
        <w:rPr>
          <w:color w:val="0000FF"/>
        </w:rPr>
      </w:pPr>
      <w:bookmarkStart w:id="73" w:name="_Toc460489568"/>
      <w:bookmarkStart w:id="74" w:name="_Toc522200483"/>
      <w:bookmarkStart w:id="75" w:name="_Toc326162697"/>
      <w:bookmarkStart w:id="76" w:name="_Toc326220812"/>
      <w:r w:rsidRPr="00E111F8">
        <w:rPr>
          <w:i/>
          <w:iCs/>
          <w:sz w:val="18"/>
          <w:szCs w:val="18"/>
        </w:rPr>
        <w:t>Note </w:t>
      </w:r>
      <w:r w:rsidR="000A0ECE" w:rsidRPr="00E111F8">
        <w:rPr>
          <w:iCs/>
          <w:sz w:val="18"/>
          <w:szCs w:val="18"/>
        </w:rPr>
        <w:t>:</w:t>
      </w:r>
      <w:r w:rsidRPr="00E111F8">
        <w:rPr>
          <w:sz w:val="18"/>
          <w:szCs w:val="18"/>
        </w:rPr>
        <w:t xml:space="preserve">  </w:t>
      </w:r>
      <w:r w:rsidR="000A0ECE" w:rsidRPr="00E111F8">
        <w:rPr>
          <w:sz w:val="18"/>
          <w:szCs w:val="18"/>
        </w:rPr>
        <w:t xml:space="preserve">Les États parties marqués d’un astérisque ont fait des déclarations par lesquelles ils reconnaissent la compétence du Comité </w:t>
      </w:r>
      <w:r w:rsidR="00E111F8">
        <w:rPr>
          <w:sz w:val="18"/>
          <w:szCs w:val="18"/>
        </w:rPr>
        <w:t>au </w:t>
      </w:r>
      <w:r w:rsidR="000A0ECE" w:rsidRPr="00E111F8">
        <w:rPr>
          <w:sz w:val="18"/>
          <w:szCs w:val="18"/>
        </w:rPr>
        <w:t>titre des articles 31 et/ou 32 de la Convention. Le texte intégral des déclarations et réserves formulées par les États parties est disponible à l’adress</w:t>
      </w:r>
      <w:r w:rsidRPr="00E111F8">
        <w:rPr>
          <w:sz w:val="18"/>
          <w:szCs w:val="18"/>
        </w:rPr>
        <w:t xml:space="preserve">e </w:t>
      </w:r>
      <w:hyperlink r:id="rId29" w:history="1">
        <w:r w:rsidRPr="00E111F8">
          <w:rPr>
            <w:rStyle w:val="Lienhypertexte"/>
            <w:sz w:val="18"/>
            <w:szCs w:val="18"/>
          </w:rPr>
          <w:t>http://treaties.un.org/Pages/ViewDetails.aspx</w:t>
        </w:r>
        <w:r w:rsidR="000A0ECE" w:rsidRPr="00E111F8">
          <w:rPr>
            <w:rStyle w:val="Lienhypertexte"/>
            <w:sz w:val="18"/>
            <w:szCs w:val="18"/>
          </w:rPr>
          <w:t>?src=TREATY&amp;mtdsg_no=IV-16&amp;chapter=4&amp;lang=fr</w:t>
        </w:r>
      </w:hyperlink>
      <w:r w:rsidR="000A0ECE" w:rsidRPr="000A0ECE">
        <w:t>.</w:t>
      </w:r>
      <w:bookmarkEnd w:id="73"/>
      <w:bookmarkEnd w:id="74"/>
    </w:p>
    <w:bookmarkEnd w:id="75"/>
    <w:bookmarkEnd w:id="76"/>
    <w:p w:rsidR="00EF7D1D" w:rsidRPr="000A0ECE" w:rsidRDefault="001844CC" w:rsidP="00E111F8">
      <w:pPr>
        <w:pStyle w:val="SingleTxtG"/>
        <w:spacing w:before="120" w:after="0"/>
        <w:jc w:val="center"/>
        <w:rPr>
          <w:u w:val="single"/>
        </w:rPr>
      </w:pPr>
      <w:r w:rsidRPr="0001369E">
        <w:rPr>
          <w:noProof/>
          <w:u w:val="single"/>
          <w:lang w:eastAsia="fr-CH"/>
        </w:rPr>
        <mc:AlternateContent>
          <mc:Choice Requires="wps">
            <w:drawing>
              <wp:anchor distT="45720" distB="45720" distL="114300" distR="114300" simplePos="0" relativeHeight="251663360" behindDoc="0" locked="0" layoutInCell="1" allowOverlap="1" wp14:anchorId="7BF7A9C3" wp14:editId="67388C0F">
                <wp:simplePos x="0" y="0"/>
                <wp:positionH relativeFrom="column">
                  <wp:posOffset>-9740</wp:posOffset>
                </wp:positionH>
                <wp:positionV relativeFrom="paragraph">
                  <wp:posOffset>351790</wp:posOffset>
                </wp:positionV>
                <wp:extent cx="2260800" cy="1404620"/>
                <wp:effectExtent l="0" t="0" r="635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800" cy="1404620"/>
                        </a:xfrm>
                        <a:prstGeom prst="rect">
                          <a:avLst/>
                        </a:prstGeom>
                        <a:solidFill>
                          <a:srgbClr val="FFFFFF"/>
                        </a:solidFill>
                        <a:ln w="9525">
                          <a:noFill/>
                          <a:miter lim="800000"/>
                          <a:headEnd/>
                          <a:tailEnd/>
                        </a:ln>
                      </wps:spPr>
                      <wps:txbx>
                        <w:txbxContent>
                          <w:p w:rsidR="001844CC" w:rsidRPr="00B950B4" w:rsidRDefault="001844CC" w:rsidP="001844CC">
                            <w:pPr>
                              <w:pStyle w:val="Pieddepage"/>
                              <w:ind w:right="1134"/>
                            </w:pPr>
                            <w:r w:rsidRPr="00B950B4">
                              <w:t>GE.19-12763</w:t>
                            </w:r>
                            <w:r>
                              <w:t xml:space="preserve">  (F)</w:t>
                            </w:r>
                          </w:p>
                          <w:p w:rsidR="001844CC" w:rsidRDefault="001844CC" w:rsidP="001844CC">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7A9C3" id="_x0000_t202" coordsize="21600,21600" o:spt="202" path="m,l,21600r21600,l21600,xe">
                <v:stroke joinstyle="miter"/>
                <v:path gradientshapeok="t" o:connecttype="rect"/>
              </v:shapetype>
              <v:shape id="Text Box 2" o:spid="_x0000_s1026" type="#_x0000_t202" style="position:absolute;left:0;text-align:left;margin-left:-.75pt;margin-top:27.7pt;width:17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oY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" stroked="f">
                <v:textbox style="mso-fit-shape-to-text:t">
                  <w:txbxContent>
                    <w:p w:rsidR="001844CC" w:rsidRPr="00B950B4" w:rsidRDefault="001844CC" w:rsidP="001844CC">
                      <w:pPr>
                        <w:pStyle w:val="Pieddepage"/>
                        <w:ind w:right="1134"/>
                      </w:pPr>
                      <w:r w:rsidRPr="00B950B4">
                        <w:t>GE.19-12763</w:t>
                      </w:r>
                      <w:r>
                        <w:t xml:space="preserve">  (F)</w:t>
                      </w:r>
                    </w:p>
                    <w:p w:rsidR="001844CC" w:rsidRDefault="001844CC" w:rsidP="001844CC">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v:shape>
            </w:pict>
          </mc:Fallback>
        </mc:AlternateContent>
      </w:r>
      <w:r w:rsidR="000A0ECE">
        <w:rPr>
          <w:u w:val="single"/>
        </w:rPr>
        <w:tab/>
      </w:r>
      <w:r w:rsidR="000A0ECE">
        <w:rPr>
          <w:u w:val="single"/>
        </w:rPr>
        <w:tab/>
      </w:r>
      <w:r w:rsidR="000A0ECE">
        <w:rPr>
          <w:u w:val="single"/>
        </w:rPr>
        <w:tab/>
      </w:r>
    </w:p>
    <w:sectPr w:rsidR="00EF7D1D" w:rsidRPr="000A0ECE" w:rsidSect="00BF2F2F">
      <w:headerReference w:type="default" r:id="rId30"/>
      <w:footerReference w:type="default" r:id="rId31"/>
      <w:endnotePr>
        <w:numFmt w:val="decimal"/>
      </w:endnotePr>
      <w:type w:val="oddPage"/>
      <w:pgSz w:w="11907" w:h="16840" w:code="9"/>
      <w:pgMar w:top="1417" w:right="1134" w:bottom="1134" w:left="1134" w:header="85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9E" w:rsidRDefault="00C9089E"/>
  </w:endnote>
  <w:endnote w:type="continuationSeparator" w:id="0">
    <w:p w:rsidR="00C9089E" w:rsidRDefault="00C9089E">
      <w:pPr>
        <w:pStyle w:val="Pieddepage"/>
      </w:pPr>
    </w:p>
  </w:endnote>
  <w:endnote w:type="continuationNotice" w:id="1">
    <w:p w:rsidR="00C9089E" w:rsidRPr="00C451B9" w:rsidRDefault="00C9089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Default="00C9089E">
    <w:pPr>
      <w:pStyle w:val="Pieddepage"/>
    </w:pPr>
    <w:r>
      <w:rPr>
        <w:noProof/>
        <w:lang w:eastAsia="fr-CH"/>
      </w:rPr>
      <w:drawing>
        <wp:anchor distT="0" distB="0" distL="114300" distR="114300" simplePos="0" relativeHeight="251659776" behindDoc="0" locked="0" layoutInCell="1" allowOverlap="0" wp14:anchorId="29B2DB2B" wp14:editId="4D8EC5A1">
          <wp:simplePos x="0" y="0"/>
          <wp:positionH relativeFrom="margin">
            <wp:posOffset>4284875</wp:posOffset>
          </wp:positionH>
          <wp:positionV relativeFrom="margin">
            <wp:posOffset>9271000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Default="00C908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Default="00C9089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Pr="00BF2F2F" w:rsidRDefault="00C9089E" w:rsidP="00BF2F2F">
    <w:pPr>
      <w:pStyle w:val="Pieddepage"/>
      <w:tabs>
        <w:tab w:val="right" w:pos="9638"/>
      </w:tabs>
    </w:pPr>
    <w:r w:rsidRPr="00BF2F2F">
      <w:rPr>
        <w:b/>
        <w:sz w:val="18"/>
      </w:rPr>
      <w:fldChar w:fldCharType="begin"/>
    </w:r>
    <w:r w:rsidRPr="00BF2F2F">
      <w:rPr>
        <w:b/>
        <w:sz w:val="18"/>
      </w:rPr>
      <w:instrText xml:space="preserve"> PAGE  \* MERGEFORMAT </w:instrText>
    </w:r>
    <w:r w:rsidRPr="00BF2F2F">
      <w:rPr>
        <w:b/>
        <w:sz w:val="18"/>
      </w:rPr>
      <w:fldChar w:fldCharType="separate"/>
    </w:r>
    <w:r w:rsidR="00762E53">
      <w:rPr>
        <w:b/>
        <w:noProof/>
        <w:sz w:val="18"/>
      </w:rPr>
      <w:t>16</w:t>
    </w:r>
    <w:r w:rsidRPr="00BF2F2F">
      <w:rPr>
        <w:b/>
        <w:sz w:val="18"/>
      </w:rPr>
      <w:fldChar w:fldCharType="end"/>
    </w:r>
    <w:r>
      <w:rPr>
        <w:b/>
        <w:sz w:val="18"/>
      </w:rPr>
      <w:tab/>
    </w:r>
    <w:r>
      <w:t>GE.19-12763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Pr="00BF2F2F" w:rsidRDefault="00C9089E" w:rsidP="00BF2F2F">
    <w:pPr>
      <w:pStyle w:val="Pieddepage"/>
      <w:tabs>
        <w:tab w:val="right" w:pos="9638"/>
      </w:tabs>
      <w:rPr>
        <w:b/>
        <w:sz w:val="18"/>
      </w:rPr>
    </w:pPr>
    <w:r>
      <w:t>GE.19-12763</w:t>
    </w:r>
    <w:r>
      <w:tab/>
    </w:r>
    <w:r w:rsidRPr="00BF2F2F">
      <w:rPr>
        <w:b/>
        <w:sz w:val="18"/>
      </w:rPr>
      <w:fldChar w:fldCharType="begin"/>
    </w:r>
    <w:r w:rsidRPr="00BF2F2F">
      <w:rPr>
        <w:b/>
        <w:sz w:val="18"/>
      </w:rPr>
      <w:instrText xml:space="preserve"> PAGE  \* MERGEFORMAT </w:instrText>
    </w:r>
    <w:r w:rsidRPr="00BF2F2F">
      <w:rPr>
        <w:b/>
        <w:sz w:val="18"/>
      </w:rPr>
      <w:fldChar w:fldCharType="separate"/>
    </w:r>
    <w:r w:rsidR="00665893">
      <w:rPr>
        <w:b/>
        <w:noProof/>
        <w:sz w:val="18"/>
      </w:rPr>
      <w:t>xxv</w:t>
    </w:r>
    <w:r w:rsidRPr="00BF2F2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Pr="00BF2F2F" w:rsidRDefault="00C9089E" w:rsidP="00BF2F2F">
    <w:pPr>
      <w:pStyle w:val="Pieddepage"/>
      <w:tabs>
        <w:tab w:val="right" w:pos="9638"/>
      </w:tabs>
      <w:spacing w:before="120"/>
      <w:rPr>
        <w:b/>
        <w:sz w:val="18"/>
      </w:rPr>
    </w:pPr>
    <w:r>
      <w:rPr>
        <w:sz w:val="20"/>
      </w:rPr>
      <w:t>GE.19-12763  (F)</w:t>
    </w:r>
    <w:r w:rsidR="009B33EA">
      <w:rPr>
        <w:sz w:val="20"/>
      </w:rPr>
      <w:t xml:space="preserve">    150819    190819</w:t>
    </w:r>
    <w:r>
      <w:rPr>
        <w:sz w:val="20"/>
      </w:rPr>
      <w:tab/>
    </w:r>
    <w:r>
      <w:rPr>
        <w:b/>
        <w:sz w:val="18"/>
      </w:rPr>
      <w:fldChar w:fldCharType="begin"/>
    </w:r>
    <w:r>
      <w:rPr>
        <w:b/>
        <w:sz w:val="18"/>
      </w:rPr>
      <w:instrText xml:space="preserve"> PAGE  \* MERGEFORMAT </w:instrText>
    </w:r>
    <w:r>
      <w:rPr>
        <w:b/>
        <w:sz w:val="18"/>
      </w:rPr>
      <w:fldChar w:fldCharType="separate"/>
    </w:r>
    <w:r w:rsidR="00762E53">
      <w:rPr>
        <w:b/>
        <w:noProof/>
        <w:sz w:val="18"/>
      </w:rPr>
      <w:t>iii</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Pr="00BF2F2F" w:rsidRDefault="00C9089E" w:rsidP="00BF2F2F">
    <w:pPr>
      <w:pStyle w:val="Pieddepage"/>
      <w:tabs>
        <w:tab w:val="right" w:pos="9638"/>
      </w:tabs>
      <w:rPr>
        <w:b/>
        <w:sz w:val="18"/>
      </w:rPr>
    </w:pPr>
    <w:r>
      <w:t>GE.19-12763</w:t>
    </w:r>
    <w:r>
      <w:tab/>
    </w:r>
    <w:r w:rsidRPr="00BF2F2F">
      <w:rPr>
        <w:b/>
        <w:sz w:val="18"/>
      </w:rPr>
      <w:fldChar w:fldCharType="begin"/>
    </w:r>
    <w:r w:rsidRPr="00BF2F2F">
      <w:rPr>
        <w:b/>
        <w:sz w:val="18"/>
      </w:rPr>
      <w:instrText xml:space="preserve"> PAGE  \* MERGEFORMAT </w:instrText>
    </w:r>
    <w:r w:rsidRPr="00BF2F2F">
      <w:rPr>
        <w:b/>
        <w:sz w:val="18"/>
      </w:rPr>
      <w:fldChar w:fldCharType="separate"/>
    </w:r>
    <w:r w:rsidR="00762E53">
      <w:rPr>
        <w:b/>
        <w:noProof/>
        <w:sz w:val="18"/>
      </w:rPr>
      <w:t>17</w:t>
    </w:r>
    <w:r w:rsidRPr="00BF2F2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9E" w:rsidRPr="00D27D5E" w:rsidRDefault="00C9089E" w:rsidP="00D27D5E">
      <w:pPr>
        <w:tabs>
          <w:tab w:val="right" w:pos="2155"/>
        </w:tabs>
        <w:spacing w:after="80"/>
        <w:ind w:left="680"/>
        <w:rPr>
          <w:u w:val="single"/>
        </w:rPr>
      </w:pPr>
      <w:r>
        <w:rPr>
          <w:u w:val="single"/>
        </w:rPr>
        <w:tab/>
      </w:r>
    </w:p>
  </w:footnote>
  <w:footnote w:type="continuationSeparator" w:id="0">
    <w:p w:rsidR="00C9089E" w:rsidRPr="00D171D4" w:rsidRDefault="00C9089E" w:rsidP="00D171D4">
      <w:pPr>
        <w:tabs>
          <w:tab w:val="right" w:pos="2155"/>
        </w:tabs>
        <w:spacing w:after="80"/>
        <w:ind w:left="680"/>
        <w:rPr>
          <w:u w:val="single"/>
        </w:rPr>
      </w:pPr>
      <w:r w:rsidRPr="00D171D4">
        <w:rPr>
          <w:u w:val="single"/>
        </w:rPr>
        <w:tab/>
      </w:r>
    </w:p>
  </w:footnote>
  <w:footnote w:type="continuationNotice" w:id="1">
    <w:p w:rsidR="00C9089E" w:rsidRPr="00C451B9" w:rsidRDefault="00C9089E" w:rsidP="00C451B9">
      <w:pPr>
        <w:spacing w:line="240" w:lineRule="auto"/>
        <w:rPr>
          <w:sz w:val="2"/>
          <w:szCs w:val="2"/>
        </w:rPr>
      </w:pPr>
    </w:p>
  </w:footnote>
  <w:footnote w:id="2">
    <w:p w:rsidR="00C9089E" w:rsidRPr="00AA5BF7" w:rsidRDefault="00C9089E" w:rsidP="00F5490F">
      <w:pPr>
        <w:pStyle w:val="Notedebasdepage"/>
        <w:rPr>
          <w:lang w:val="fr-FR"/>
        </w:rPr>
      </w:pPr>
      <w:r>
        <w:rPr>
          <w:lang w:val="fr-FR"/>
        </w:rPr>
        <w:tab/>
      </w:r>
      <w:r w:rsidRPr="00F5490F">
        <w:rPr>
          <w:rStyle w:val="Appelnotedebasdep"/>
        </w:rPr>
        <w:footnoteRef/>
      </w:r>
      <w:r>
        <w:rPr>
          <w:lang w:val="fr-FR"/>
        </w:rPr>
        <w:tab/>
      </w:r>
      <w:hyperlink r:id="rId1" w:history="1">
        <w:r w:rsidRPr="00A84714">
          <w:rPr>
            <w:rStyle w:val="Lienhypertexte"/>
            <w:lang w:val="fr-FR"/>
          </w:rPr>
          <w:t>https://treaties.un.org/Pages/ViewDetails.aspx?src=TREATY&amp;mtdsg_no=IV-16&amp;chapter=4&amp;clang=_fr</w:t>
        </w:r>
      </w:hyperlink>
      <w:r>
        <w:rPr>
          <w:lang w:val="fr-FR"/>
        </w:rPr>
        <w:t>.</w:t>
      </w:r>
    </w:p>
  </w:footnote>
  <w:footnote w:id="3">
    <w:p w:rsidR="00C9089E" w:rsidRPr="00AA5BF7" w:rsidRDefault="00C9089E" w:rsidP="00F5490F">
      <w:pPr>
        <w:pStyle w:val="Notedebasdepage"/>
        <w:rPr>
          <w:szCs w:val="18"/>
          <w:lang w:val="fr-FR"/>
        </w:rPr>
      </w:pPr>
      <w:r w:rsidRPr="0031477F">
        <w:rPr>
          <w:rFonts w:eastAsia="Times New Roman"/>
          <w:szCs w:val="18"/>
          <w:lang w:val="fr-FR"/>
        </w:rPr>
        <w:tab/>
      </w:r>
      <w:r w:rsidRPr="00F5490F">
        <w:rPr>
          <w:rStyle w:val="Appelnotedebasdep"/>
        </w:rPr>
        <w:footnoteRef/>
      </w:r>
      <w:r>
        <w:rPr>
          <w:lang w:val="fr-FR"/>
        </w:rPr>
        <w:tab/>
      </w:r>
      <w:proofErr w:type="spellStart"/>
      <w:r>
        <w:rPr>
          <w:lang w:val="fr-FR"/>
        </w:rPr>
        <w:t>Asociación</w:t>
      </w:r>
      <w:proofErr w:type="spellEnd"/>
      <w:r>
        <w:rPr>
          <w:lang w:val="fr-FR"/>
        </w:rPr>
        <w:t xml:space="preserve"> </w:t>
      </w:r>
      <w:proofErr w:type="spellStart"/>
      <w:r>
        <w:rPr>
          <w:lang w:val="fr-FR"/>
        </w:rPr>
        <w:t>Abuelas</w:t>
      </w:r>
      <w:proofErr w:type="spellEnd"/>
      <w:r>
        <w:rPr>
          <w:lang w:val="fr-FR"/>
        </w:rPr>
        <w:t xml:space="preserve"> de Plaza </w:t>
      </w:r>
      <w:r w:rsidR="004C4A97">
        <w:rPr>
          <w:lang w:val="fr-FR"/>
        </w:rPr>
        <w:t>de Mayo, Argentine </w:t>
      </w:r>
      <w:r>
        <w:rPr>
          <w:lang w:val="fr-FR"/>
        </w:rPr>
        <w:t xml:space="preserve">; </w:t>
      </w:r>
      <w:proofErr w:type="spellStart"/>
      <w:r>
        <w:rPr>
          <w:lang w:val="fr-FR"/>
        </w:rPr>
        <w:t>African</w:t>
      </w:r>
      <w:proofErr w:type="spellEnd"/>
      <w:r>
        <w:rPr>
          <w:lang w:val="fr-FR"/>
        </w:rPr>
        <w:t xml:space="preserve"> Network </w:t>
      </w:r>
      <w:proofErr w:type="spellStart"/>
      <w:r>
        <w:rPr>
          <w:lang w:val="fr-FR"/>
        </w:rPr>
        <w:t>against</w:t>
      </w:r>
      <w:proofErr w:type="spellEnd"/>
      <w:r>
        <w:rPr>
          <w:lang w:val="fr-FR"/>
        </w:rPr>
        <w:t xml:space="preserve"> </w:t>
      </w:r>
      <w:proofErr w:type="spellStart"/>
      <w:r>
        <w:rPr>
          <w:lang w:val="fr-FR"/>
        </w:rPr>
        <w:t>Extrajudicial</w:t>
      </w:r>
      <w:proofErr w:type="spellEnd"/>
      <w:r>
        <w:rPr>
          <w:lang w:val="fr-FR"/>
        </w:rPr>
        <w:t xml:space="preserve"> </w:t>
      </w:r>
      <w:proofErr w:type="spellStart"/>
      <w:r>
        <w:rPr>
          <w:lang w:val="fr-FR"/>
        </w:rPr>
        <w:t>Killings</w:t>
      </w:r>
      <w:proofErr w:type="spellEnd"/>
      <w:r>
        <w:rPr>
          <w:lang w:val="fr-FR"/>
        </w:rPr>
        <w:t xml:space="preserve"> and </w:t>
      </w:r>
      <w:proofErr w:type="spellStart"/>
      <w:r>
        <w:rPr>
          <w:lang w:val="fr-FR"/>
        </w:rPr>
        <w:t>Enforced</w:t>
      </w:r>
      <w:proofErr w:type="spellEnd"/>
      <w:r>
        <w:rPr>
          <w:lang w:val="fr-FR"/>
        </w:rPr>
        <w:t xml:space="preserve"> </w:t>
      </w:r>
      <w:proofErr w:type="spellStart"/>
      <w:r>
        <w:rPr>
          <w:lang w:val="fr-FR"/>
        </w:rPr>
        <w:t>Disappearances</w:t>
      </w:r>
      <w:proofErr w:type="spellEnd"/>
      <w:r w:rsidR="004C4A97">
        <w:rPr>
          <w:lang w:val="fr-FR"/>
        </w:rPr>
        <w:t> </w:t>
      </w:r>
      <w:r>
        <w:rPr>
          <w:lang w:val="fr-FR"/>
        </w:rPr>
        <w:t xml:space="preserve">; Association nationale de promotion et de protection </w:t>
      </w:r>
      <w:r w:rsidR="004C4A97">
        <w:rPr>
          <w:lang w:val="fr-FR"/>
        </w:rPr>
        <w:t>des droits de l’homme, Cameroun </w:t>
      </w:r>
      <w:r>
        <w:rPr>
          <w:lang w:val="fr-FR"/>
        </w:rPr>
        <w:t xml:space="preserve">; </w:t>
      </w:r>
      <w:proofErr w:type="spellStart"/>
      <w:r>
        <w:rPr>
          <w:lang w:val="fr-FR"/>
        </w:rPr>
        <w:t>Associació</w:t>
      </w:r>
      <w:proofErr w:type="spellEnd"/>
      <w:r>
        <w:rPr>
          <w:lang w:val="fr-FR"/>
        </w:rPr>
        <w:t xml:space="preserve"> per a la </w:t>
      </w:r>
      <w:proofErr w:type="spellStart"/>
      <w:r>
        <w:rPr>
          <w:lang w:val="fr-FR"/>
        </w:rPr>
        <w:t>recuperació</w:t>
      </w:r>
      <w:proofErr w:type="spellEnd"/>
      <w:r>
        <w:rPr>
          <w:lang w:val="fr-FR"/>
        </w:rPr>
        <w:t xml:space="preserve"> de la</w:t>
      </w:r>
      <w:r w:rsidR="004C4A97">
        <w:rPr>
          <w:lang w:val="fr-FR"/>
        </w:rPr>
        <w:t xml:space="preserve"> </w:t>
      </w:r>
      <w:proofErr w:type="spellStart"/>
      <w:r w:rsidR="004C4A97">
        <w:rPr>
          <w:lang w:val="fr-FR"/>
        </w:rPr>
        <w:t>memòria</w:t>
      </w:r>
      <w:proofErr w:type="spellEnd"/>
      <w:r w:rsidR="004C4A97">
        <w:rPr>
          <w:lang w:val="fr-FR"/>
        </w:rPr>
        <w:t xml:space="preserve"> </w:t>
      </w:r>
      <w:proofErr w:type="spellStart"/>
      <w:r w:rsidR="004C4A97">
        <w:rPr>
          <w:lang w:val="fr-FR"/>
        </w:rPr>
        <w:t>històrica</w:t>
      </w:r>
      <w:proofErr w:type="spellEnd"/>
      <w:r w:rsidR="004C4A97">
        <w:rPr>
          <w:lang w:val="fr-FR"/>
        </w:rPr>
        <w:t xml:space="preserve"> de </w:t>
      </w:r>
      <w:proofErr w:type="spellStart"/>
      <w:r w:rsidR="004C4A97">
        <w:rPr>
          <w:lang w:val="fr-FR"/>
        </w:rPr>
        <w:t>Catalunya</w:t>
      </w:r>
      <w:proofErr w:type="spellEnd"/>
      <w:r w:rsidR="004C4A97">
        <w:rPr>
          <w:lang w:val="fr-FR"/>
        </w:rPr>
        <w:t> </w:t>
      </w:r>
      <w:r>
        <w:rPr>
          <w:lang w:val="fr-FR"/>
        </w:rPr>
        <w:t>; As</w:t>
      </w:r>
      <w:r w:rsidR="004C4A97">
        <w:rPr>
          <w:lang w:val="fr-FR"/>
        </w:rPr>
        <w:t xml:space="preserve">ia Justice and </w:t>
      </w:r>
      <w:proofErr w:type="spellStart"/>
      <w:r w:rsidR="004C4A97">
        <w:rPr>
          <w:lang w:val="fr-FR"/>
        </w:rPr>
        <w:t>Rights</w:t>
      </w:r>
      <w:proofErr w:type="spellEnd"/>
      <w:r w:rsidR="004C4A97">
        <w:rPr>
          <w:lang w:val="fr-FR"/>
        </w:rPr>
        <w:t> </w:t>
      </w:r>
      <w:r>
        <w:rPr>
          <w:lang w:val="fr-FR"/>
        </w:rPr>
        <w:t xml:space="preserve">; Asian </w:t>
      </w:r>
      <w:proofErr w:type="spellStart"/>
      <w:r>
        <w:rPr>
          <w:lang w:val="fr-FR"/>
        </w:rPr>
        <w:t>Federation</w:t>
      </w:r>
      <w:proofErr w:type="spellEnd"/>
      <w:r>
        <w:rPr>
          <w:lang w:val="fr-FR"/>
        </w:rPr>
        <w:t xml:space="preserve"> Against </w:t>
      </w:r>
      <w:proofErr w:type="spellStart"/>
      <w:r>
        <w:rPr>
          <w:lang w:val="fr-FR"/>
        </w:rPr>
        <w:t>Involuntary</w:t>
      </w:r>
      <w:proofErr w:type="spellEnd"/>
      <w:r>
        <w:rPr>
          <w:lang w:val="fr-FR"/>
        </w:rPr>
        <w:t xml:space="preserve"> </w:t>
      </w:r>
      <w:proofErr w:type="spellStart"/>
      <w:r>
        <w:rPr>
          <w:lang w:val="fr-FR"/>
        </w:rPr>
        <w:t>Disappearances</w:t>
      </w:r>
      <w:proofErr w:type="spellEnd"/>
      <w:r w:rsidR="004C4A97">
        <w:rPr>
          <w:lang w:val="fr-FR"/>
        </w:rPr>
        <w:t> </w:t>
      </w:r>
      <w:r>
        <w:rPr>
          <w:lang w:val="fr-FR"/>
        </w:rPr>
        <w:t xml:space="preserve">; </w:t>
      </w:r>
      <w:proofErr w:type="spellStart"/>
      <w:r>
        <w:rPr>
          <w:lang w:val="fr-FR"/>
        </w:rPr>
        <w:t>Ciudadanos</w:t>
      </w:r>
      <w:proofErr w:type="spellEnd"/>
      <w:r>
        <w:rPr>
          <w:lang w:val="fr-FR"/>
        </w:rPr>
        <w:t xml:space="preserve"> en </w:t>
      </w:r>
      <w:proofErr w:type="spellStart"/>
      <w:r>
        <w:rPr>
          <w:lang w:val="fr-FR"/>
        </w:rPr>
        <w:t>Apoyo</w:t>
      </w:r>
      <w:proofErr w:type="spellEnd"/>
      <w:r>
        <w:rPr>
          <w:lang w:val="fr-FR"/>
        </w:rPr>
        <w:t xml:space="preserve"> a los </w:t>
      </w:r>
      <w:proofErr w:type="spellStart"/>
      <w:r>
        <w:rPr>
          <w:lang w:val="fr-FR"/>
        </w:rPr>
        <w:t>Derechos</w:t>
      </w:r>
      <w:proofErr w:type="spellEnd"/>
      <w:r>
        <w:rPr>
          <w:lang w:val="fr-FR"/>
        </w:rPr>
        <w:t xml:space="preserve"> </w:t>
      </w:r>
      <w:proofErr w:type="spellStart"/>
      <w:r>
        <w:rPr>
          <w:lang w:val="fr-FR"/>
        </w:rPr>
        <w:t>Humanos</w:t>
      </w:r>
      <w:proofErr w:type="spellEnd"/>
      <w:r>
        <w:rPr>
          <w:lang w:val="fr-FR"/>
        </w:rPr>
        <w:t xml:space="preserve"> and Centro de </w:t>
      </w:r>
      <w:proofErr w:type="spellStart"/>
      <w:r>
        <w:rPr>
          <w:lang w:val="fr-FR"/>
        </w:rPr>
        <w:t>Derechos</w:t>
      </w:r>
      <w:proofErr w:type="spellEnd"/>
      <w:r>
        <w:rPr>
          <w:lang w:val="fr-FR"/>
        </w:rPr>
        <w:t xml:space="preserve"> </w:t>
      </w:r>
      <w:proofErr w:type="spellStart"/>
      <w:r w:rsidR="004C4A97">
        <w:rPr>
          <w:lang w:val="fr-FR"/>
        </w:rPr>
        <w:t>Humanos</w:t>
      </w:r>
      <w:proofErr w:type="spellEnd"/>
      <w:r w:rsidR="004C4A97">
        <w:rPr>
          <w:lang w:val="fr-FR"/>
        </w:rPr>
        <w:t xml:space="preserve"> de las </w:t>
      </w:r>
      <w:proofErr w:type="spellStart"/>
      <w:r w:rsidR="004C4A97">
        <w:rPr>
          <w:lang w:val="fr-FR"/>
        </w:rPr>
        <w:t>Mujeres</w:t>
      </w:r>
      <w:proofErr w:type="spellEnd"/>
      <w:r w:rsidR="004C4A97">
        <w:rPr>
          <w:lang w:val="fr-FR"/>
        </w:rPr>
        <w:t>, Mexique </w:t>
      </w:r>
      <w:r>
        <w:rPr>
          <w:lang w:val="fr-FR"/>
        </w:rPr>
        <w:t xml:space="preserve">; </w:t>
      </w:r>
      <w:proofErr w:type="spellStart"/>
      <w:r>
        <w:rPr>
          <w:lang w:val="fr-FR"/>
        </w:rPr>
        <w:t>Campaña</w:t>
      </w:r>
      <w:proofErr w:type="spellEnd"/>
      <w:r>
        <w:rPr>
          <w:lang w:val="fr-FR"/>
        </w:rPr>
        <w:t xml:space="preserve"> </w:t>
      </w:r>
      <w:proofErr w:type="spellStart"/>
      <w:r>
        <w:rPr>
          <w:lang w:val="fr-FR"/>
        </w:rPr>
        <w:t>Nacional</w:t>
      </w:r>
      <w:proofErr w:type="spellEnd"/>
      <w:r>
        <w:rPr>
          <w:lang w:val="fr-FR"/>
        </w:rPr>
        <w:t xml:space="preserve"> contra la</w:t>
      </w:r>
      <w:r w:rsidR="004C4A97">
        <w:rPr>
          <w:lang w:val="fr-FR"/>
        </w:rPr>
        <w:t xml:space="preserve"> </w:t>
      </w:r>
      <w:proofErr w:type="spellStart"/>
      <w:r w:rsidR="004C4A97">
        <w:rPr>
          <w:lang w:val="fr-FR"/>
        </w:rPr>
        <w:t>Desaparición</w:t>
      </w:r>
      <w:proofErr w:type="spellEnd"/>
      <w:r w:rsidR="004C4A97">
        <w:rPr>
          <w:lang w:val="fr-FR"/>
        </w:rPr>
        <w:t xml:space="preserve"> </w:t>
      </w:r>
      <w:proofErr w:type="spellStart"/>
      <w:r w:rsidR="004C4A97">
        <w:rPr>
          <w:lang w:val="fr-FR"/>
        </w:rPr>
        <w:t>Forzada</w:t>
      </w:r>
      <w:proofErr w:type="spellEnd"/>
      <w:r w:rsidR="004C4A97">
        <w:rPr>
          <w:lang w:val="fr-FR"/>
        </w:rPr>
        <w:t xml:space="preserve"> en </w:t>
      </w:r>
      <w:proofErr w:type="spellStart"/>
      <w:r w:rsidR="004C4A97">
        <w:rPr>
          <w:lang w:val="fr-FR"/>
        </w:rPr>
        <w:t>México</w:t>
      </w:r>
      <w:proofErr w:type="spellEnd"/>
      <w:r w:rsidR="004C4A97">
        <w:rPr>
          <w:lang w:val="fr-FR"/>
        </w:rPr>
        <w:t> </w:t>
      </w:r>
      <w:r>
        <w:rPr>
          <w:lang w:val="fr-FR"/>
        </w:rPr>
        <w:t xml:space="preserve">; Centro de </w:t>
      </w:r>
      <w:proofErr w:type="spellStart"/>
      <w:r>
        <w:rPr>
          <w:lang w:val="fr-FR"/>
        </w:rPr>
        <w:t>Derechos</w:t>
      </w:r>
      <w:proofErr w:type="spellEnd"/>
      <w:r>
        <w:rPr>
          <w:lang w:val="fr-FR"/>
        </w:rPr>
        <w:t xml:space="preserve"> </w:t>
      </w:r>
      <w:proofErr w:type="spellStart"/>
      <w:r w:rsidR="004C4A97">
        <w:rPr>
          <w:lang w:val="fr-FR"/>
        </w:rPr>
        <w:t>Humanos</w:t>
      </w:r>
      <w:proofErr w:type="spellEnd"/>
      <w:r w:rsidR="004C4A97">
        <w:rPr>
          <w:lang w:val="fr-FR"/>
        </w:rPr>
        <w:t xml:space="preserve"> Paso </w:t>
      </w:r>
      <w:proofErr w:type="spellStart"/>
      <w:r w:rsidR="004C4A97">
        <w:rPr>
          <w:lang w:val="fr-FR"/>
        </w:rPr>
        <w:t>del</w:t>
      </w:r>
      <w:proofErr w:type="spellEnd"/>
      <w:r w:rsidR="004C4A97">
        <w:rPr>
          <w:lang w:val="fr-FR"/>
        </w:rPr>
        <w:t xml:space="preserve"> Norte, Mexique </w:t>
      </w:r>
      <w:r>
        <w:rPr>
          <w:lang w:val="fr-FR"/>
        </w:rPr>
        <w:t xml:space="preserve">; Centro de </w:t>
      </w:r>
      <w:proofErr w:type="spellStart"/>
      <w:r>
        <w:rPr>
          <w:lang w:val="fr-FR"/>
        </w:rPr>
        <w:t>Estudios</w:t>
      </w:r>
      <w:proofErr w:type="spellEnd"/>
      <w:r>
        <w:rPr>
          <w:lang w:val="fr-FR"/>
        </w:rPr>
        <w:t xml:space="preserve"> </w:t>
      </w:r>
      <w:proofErr w:type="spellStart"/>
      <w:r>
        <w:rPr>
          <w:lang w:val="fr-FR"/>
        </w:rPr>
        <w:t>Legales</w:t>
      </w:r>
      <w:proofErr w:type="spellEnd"/>
      <w:r>
        <w:rPr>
          <w:lang w:val="fr-FR"/>
        </w:rPr>
        <w:t xml:space="preserve"> y Sociales, Argentine</w:t>
      </w:r>
      <w:r w:rsidR="004C4A97">
        <w:rPr>
          <w:lang w:val="fr-FR"/>
        </w:rPr>
        <w:t> </w:t>
      </w:r>
      <w:r>
        <w:rPr>
          <w:lang w:val="fr-FR"/>
        </w:rPr>
        <w:t xml:space="preserve">; Comité des familles de </w:t>
      </w:r>
      <w:r w:rsidR="004C4A97">
        <w:rPr>
          <w:lang w:val="fr-FR"/>
        </w:rPr>
        <w:t>détenus et disparus du Honduras </w:t>
      </w:r>
      <w:r>
        <w:rPr>
          <w:lang w:val="fr-FR"/>
        </w:rPr>
        <w:t>; Commissi</w:t>
      </w:r>
      <w:r w:rsidR="004C4A97">
        <w:rPr>
          <w:lang w:val="fr-FR"/>
        </w:rPr>
        <w:t>on des droits de l'homme, Pérou </w:t>
      </w:r>
      <w:r>
        <w:rPr>
          <w:lang w:val="fr-FR"/>
        </w:rPr>
        <w:t xml:space="preserve">; Comité de </w:t>
      </w:r>
      <w:proofErr w:type="spellStart"/>
      <w:r>
        <w:rPr>
          <w:lang w:val="fr-FR"/>
        </w:rPr>
        <w:t>Derechos</w:t>
      </w:r>
      <w:proofErr w:type="spellEnd"/>
      <w:r>
        <w:rPr>
          <w:lang w:val="fr-FR"/>
        </w:rPr>
        <w:t xml:space="preserve"> </w:t>
      </w:r>
      <w:proofErr w:type="spellStart"/>
      <w:r>
        <w:rPr>
          <w:lang w:val="fr-FR"/>
        </w:rPr>
        <w:t>Humanos</w:t>
      </w:r>
      <w:proofErr w:type="spellEnd"/>
      <w:r>
        <w:rPr>
          <w:lang w:val="fr-FR"/>
        </w:rPr>
        <w:t xml:space="preserve"> de Base </w:t>
      </w:r>
      <w:r w:rsidR="004C4A97">
        <w:rPr>
          <w:lang w:val="fr-FR"/>
        </w:rPr>
        <w:t xml:space="preserve">de Chiapas </w:t>
      </w:r>
      <w:proofErr w:type="spellStart"/>
      <w:r w:rsidR="004C4A97">
        <w:rPr>
          <w:lang w:val="fr-FR"/>
        </w:rPr>
        <w:t>Digna</w:t>
      </w:r>
      <w:proofErr w:type="spellEnd"/>
      <w:r w:rsidR="004C4A97">
        <w:rPr>
          <w:lang w:val="fr-FR"/>
        </w:rPr>
        <w:t xml:space="preserve"> Ochoa, Mexique </w:t>
      </w:r>
      <w:r>
        <w:rPr>
          <w:lang w:val="fr-FR"/>
        </w:rPr>
        <w:t xml:space="preserve">; </w:t>
      </w:r>
      <w:proofErr w:type="spellStart"/>
      <w:r>
        <w:rPr>
          <w:lang w:val="fr-FR"/>
        </w:rPr>
        <w:t>Coordinación</w:t>
      </w:r>
      <w:proofErr w:type="spellEnd"/>
      <w:r>
        <w:rPr>
          <w:lang w:val="fr-FR"/>
        </w:rPr>
        <w:t xml:space="preserve"> </w:t>
      </w:r>
      <w:proofErr w:type="spellStart"/>
      <w:r>
        <w:rPr>
          <w:lang w:val="fr-FR"/>
        </w:rPr>
        <w:t>Colombia</w:t>
      </w:r>
      <w:proofErr w:type="spellEnd"/>
      <w:r>
        <w:rPr>
          <w:lang w:val="fr-FR"/>
        </w:rPr>
        <w:t xml:space="preserve"> </w:t>
      </w:r>
      <w:r w:rsidR="004C4A97">
        <w:rPr>
          <w:lang w:val="fr-FR"/>
        </w:rPr>
        <w:t xml:space="preserve">Europa </w:t>
      </w:r>
      <w:proofErr w:type="spellStart"/>
      <w:r w:rsidR="004C4A97">
        <w:rPr>
          <w:lang w:val="fr-FR"/>
        </w:rPr>
        <w:t>Estados</w:t>
      </w:r>
      <w:proofErr w:type="spellEnd"/>
      <w:r w:rsidR="004C4A97">
        <w:rPr>
          <w:lang w:val="fr-FR"/>
        </w:rPr>
        <w:t xml:space="preserve"> </w:t>
      </w:r>
      <w:proofErr w:type="spellStart"/>
      <w:r w:rsidR="004C4A97">
        <w:rPr>
          <w:lang w:val="fr-FR"/>
        </w:rPr>
        <w:t>Unidos</w:t>
      </w:r>
      <w:proofErr w:type="spellEnd"/>
      <w:r w:rsidR="004C4A97">
        <w:rPr>
          <w:lang w:val="fr-FR"/>
        </w:rPr>
        <w:t>, Colombie </w:t>
      </w:r>
      <w:r>
        <w:rPr>
          <w:lang w:val="fr-FR"/>
        </w:rPr>
        <w:t>; Coordinateur nation</w:t>
      </w:r>
      <w:r w:rsidR="004C4A97">
        <w:rPr>
          <w:lang w:val="fr-FR"/>
        </w:rPr>
        <w:t>al des droits de l’homme, Pérou </w:t>
      </w:r>
      <w:r>
        <w:rPr>
          <w:lang w:val="fr-FR"/>
        </w:rPr>
        <w:t>; Équipe argentin</w:t>
      </w:r>
      <w:r w:rsidR="004C4A97">
        <w:rPr>
          <w:lang w:val="fr-FR"/>
        </w:rPr>
        <w:t>e d'anthropologie médico-légale </w:t>
      </w:r>
      <w:r>
        <w:rPr>
          <w:lang w:val="fr-FR"/>
        </w:rPr>
        <w:t xml:space="preserve">; </w:t>
      </w:r>
      <w:proofErr w:type="spellStart"/>
      <w:r>
        <w:rPr>
          <w:lang w:val="fr-FR"/>
        </w:rPr>
        <w:t>Corporación</w:t>
      </w:r>
      <w:proofErr w:type="spellEnd"/>
      <w:r>
        <w:rPr>
          <w:lang w:val="fr-FR"/>
        </w:rPr>
        <w:t xml:space="preserve"> </w:t>
      </w:r>
      <w:proofErr w:type="spellStart"/>
      <w:r>
        <w:rPr>
          <w:lang w:val="fr-FR"/>
        </w:rPr>
        <w:t>Equipo</w:t>
      </w:r>
      <w:proofErr w:type="spellEnd"/>
      <w:r>
        <w:rPr>
          <w:lang w:val="fr-FR"/>
        </w:rPr>
        <w:t xml:space="preserve"> </w:t>
      </w:r>
      <w:proofErr w:type="spellStart"/>
      <w:r>
        <w:rPr>
          <w:lang w:val="fr-FR"/>
        </w:rPr>
        <w:t>Colombiano</w:t>
      </w:r>
      <w:proofErr w:type="spellEnd"/>
      <w:r>
        <w:rPr>
          <w:lang w:val="fr-FR"/>
        </w:rPr>
        <w:t xml:space="preserve"> </w:t>
      </w:r>
      <w:proofErr w:type="spellStart"/>
      <w:r>
        <w:rPr>
          <w:lang w:val="fr-FR"/>
        </w:rPr>
        <w:t>Interdisciplinario</w:t>
      </w:r>
      <w:proofErr w:type="spellEnd"/>
      <w:r>
        <w:rPr>
          <w:lang w:val="fr-FR"/>
        </w:rPr>
        <w:t xml:space="preserve"> de </w:t>
      </w:r>
      <w:proofErr w:type="spellStart"/>
      <w:r>
        <w:rPr>
          <w:lang w:val="fr-FR"/>
        </w:rPr>
        <w:t>Trabajo</w:t>
      </w:r>
      <w:proofErr w:type="spellEnd"/>
      <w:r>
        <w:rPr>
          <w:lang w:val="fr-FR"/>
        </w:rPr>
        <w:t xml:space="preserve"> </w:t>
      </w:r>
      <w:proofErr w:type="spellStart"/>
      <w:r>
        <w:rPr>
          <w:lang w:val="fr-FR"/>
        </w:rPr>
        <w:t>Forense</w:t>
      </w:r>
      <w:proofErr w:type="spellEnd"/>
      <w:r>
        <w:rPr>
          <w:lang w:val="fr-FR"/>
        </w:rPr>
        <w:t xml:space="preserve"> y </w:t>
      </w:r>
      <w:proofErr w:type="spellStart"/>
      <w:r>
        <w:rPr>
          <w:lang w:val="fr-FR"/>
        </w:rPr>
        <w:t>Asistencia</w:t>
      </w:r>
      <w:proofErr w:type="spellEnd"/>
      <w:r>
        <w:rPr>
          <w:lang w:val="fr-FR"/>
        </w:rPr>
        <w:t xml:space="preserve"> </w:t>
      </w:r>
      <w:proofErr w:type="spellStart"/>
      <w:r>
        <w:rPr>
          <w:lang w:val="fr-FR"/>
        </w:rPr>
        <w:t>Psicosocial</w:t>
      </w:r>
      <w:proofErr w:type="spellEnd"/>
      <w:r w:rsidR="004C4A97">
        <w:rPr>
          <w:lang w:val="fr-FR"/>
        </w:rPr>
        <w:t> </w:t>
      </w:r>
      <w:r>
        <w:rPr>
          <w:lang w:val="fr-FR"/>
        </w:rPr>
        <w:t>; Fondation guatémaltèqu</w:t>
      </w:r>
      <w:r w:rsidR="004C4A97">
        <w:rPr>
          <w:lang w:val="fr-FR"/>
        </w:rPr>
        <w:t>e d'anthropologie médico-légale </w:t>
      </w:r>
      <w:r>
        <w:rPr>
          <w:lang w:val="fr-FR"/>
        </w:rPr>
        <w:t xml:space="preserve">; </w:t>
      </w:r>
      <w:proofErr w:type="spellStart"/>
      <w:r>
        <w:rPr>
          <w:lang w:val="fr-FR"/>
        </w:rPr>
        <w:t>European</w:t>
      </w:r>
      <w:proofErr w:type="spellEnd"/>
      <w:r>
        <w:rPr>
          <w:lang w:val="fr-FR"/>
        </w:rPr>
        <w:t xml:space="preserve"> Center for </w:t>
      </w:r>
      <w:proofErr w:type="spellStart"/>
      <w:r>
        <w:rPr>
          <w:lang w:val="fr-FR"/>
        </w:rPr>
        <w:t>Constitu</w:t>
      </w:r>
      <w:r w:rsidR="004C4A97">
        <w:rPr>
          <w:lang w:val="fr-FR"/>
        </w:rPr>
        <w:t>tional</w:t>
      </w:r>
      <w:proofErr w:type="spellEnd"/>
      <w:r w:rsidR="004C4A97">
        <w:rPr>
          <w:lang w:val="fr-FR"/>
        </w:rPr>
        <w:t xml:space="preserve"> and </w:t>
      </w:r>
      <w:proofErr w:type="spellStart"/>
      <w:r w:rsidR="004C4A97">
        <w:rPr>
          <w:lang w:val="fr-FR"/>
        </w:rPr>
        <w:t>Human</w:t>
      </w:r>
      <w:proofErr w:type="spellEnd"/>
      <w:r w:rsidR="004C4A97">
        <w:rPr>
          <w:lang w:val="fr-FR"/>
        </w:rPr>
        <w:t xml:space="preserve"> </w:t>
      </w:r>
      <w:proofErr w:type="spellStart"/>
      <w:r w:rsidR="004C4A97">
        <w:rPr>
          <w:lang w:val="fr-FR"/>
        </w:rPr>
        <w:t>Rights</w:t>
      </w:r>
      <w:proofErr w:type="spellEnd"/>
      <w:r w:rsidR="004C4A97">
        <w:rPr>
          <w:lang w:val="fr-FR"/>
        </w:rPr>
        <w:t>, Berlin </w:t>
      </w:r>
      <w:r>
        <w:rPr>
          <w:lang w:val="fr-FR"/>
        </w:rPr>
        <w:t xml:space="preserve">; </w:t>
      </w:r>
      <w:proofErr w:type="spellStart"/>
      <w:r>
        <w:rPr>
          <w:lang w:val="fr-FR"/>
        </w:rPr>
        <w:t>Fundación</w:t>
      </w:r>
      <w:proofErr w:type="spellEnd"/>
      <w:r>
        <w:rPr>
          <w:lang w:val="fr-FR"/>
        </w:rPr>
        <w:t xml:space="preserve"> para la </w:t>
      </w:r>
      <w:proofErr w:type="spellStart"/>
      <w:r>
        <w:rPr>
          <w:lang w:val="fr-FR"/>
        </w:rPr>
        <w:t>Justicia</w:t>
      </w:r>
      <w:proofErr w:type="spellEnd"/>
      <w:r>
        <w:rPr>
          <w:lang w:val="fr-FR"/>
        </w:rPr>
        <w:t xml:space="preserve"> y el </w:t>
      </w:r>
      <w:proofErr w:type="spellStart"/>
      <w:r>
        <w:rPr>
          <w:lang w:val="fr-FR"/>
        </w:rPr>
        <w:t>Estado</w:t>
      </w:r>
      <w:proofErr w:type="spellEnd"/>
      <w:r>
        <w:rPr>
          <w:lang w:val="fr-FR"/>
        </w:rPr>
        <w:t xml:space="preserve"> </w:t>
      </w:r>
      <w:proofErr w:type="spellStart"/>
      <w:r w:rsidR="004C4A97">
        <w:rPr>
          <w:lang w:val="fr-FR"/>
        </w:rPr>
        <w:t>Democrático</w:t>
      </w:r>
      <w:proofErr w:type="spellEnd"/>
      <w:r w:rsidR="004C4A97">
        <w:rPr>
          <w:lang w:val="fr-FR"/>
        </w:rPr>
        <w:t xml:space="preserve"> de </w:t>
      </w:r>
      <w:proofErr w:type="spellStart"/>
      <w:r w:rsidR="004C4A97">
        <w:rPr>
          <w:lang w:val="fr-FR"/>
        </w:rPr>
        <w:t>Derecho</w:t>
      </w:r>
      <w:proofErr w:type="spellEnd"/>
      <w:r w:rsidR="004C4A97">
        <w:rPr>
          <w:lang w:val="fr-FR"/>
        </w:rPr>
        <w:t>, Mexique </w:t>
      </w:r>
      <w:r>
        <w:rPr>
          <w:lang w:val="fr-FR"/>
        </w:rPr>
        <w:t xml:space="preserve">; </w:t>
      </w:r>
      <w:proofErr w:type="spellStart"/>
      <w:r>
        <w:rPr>
          <w:lang w:val="fr-FR"/>
        </w:rPr>
        <w:t>Idheas</w:t>
      </w:r>
      <w:proofErr w:type="spellEnd"/>
      <w:r>
        <w:rPr>
          <w:lang w:val="fr-FR"/>
        </w:rPr>
        <w:t xml:space="preserve">, </w:t>
      </w:r>
      <w:proofErr w:type="spellStart"/>
      <w:r>
        <w:rPr>
          <w:lang w:val="fr-FR"/>
        </w:rPr>
        <w:t>Litigio</w:t>
      </w:r>
      <w:proofErr w:type="spellEnd"/>
      <w:r>
        <w:rPr>
          <w:lang w:val="fr-FR"/>
        </w:rPr>
        <w:t xml:space="preserve"> </w:t>
      </w:r>
      <w:proofErr w:type="spellStart"/>
      <w:r>
        <w:rPr>
          <w:lang w:val="fr-FR"/>
        </w:rPr>
        <w:t>Estratégico</w:t>
      </w:r>
      <w:proofErr w:type="spellEnd"/>
      <w:r>
        <w:rPr>
          <w:lang w:val="fr-FR"/>
        </w:rPr>
        <w:t xml:space="preserve"> en </w:t>
      </w:r>
      <w:proofErr w:type="spellStart"/>
      <w:r>
        <w:rPr>
          <w:lang w:val="fr-FR"/>
        </w:rPr>
        <w:t>Derechos</w:t>
      </w:r>
      <w:proofErr w:type="spellEnd"/>
      <w:r>
        <w:rPr>
          <w:lang w:val="fr-FR"/>
        </w:rPr>
        <w:t xml:space="preserve"> </w:t>
      </w:r>
      <w:proofErr w:type="spellStart"/>
      <w:r>
        <w:rPr>
          <w:lang w:val="fr-FR"/>
        </w:rPr>
        <w:t>Huma</w:t>
      </w:r>
      <w:r w:rsidR="004C4A97">
        <w:rPr>
          <w:lang w:val="fr-FR"/>
        </w:rPr>
        <w:t>nos</w:t>
      </w:r>
      <w:proofErr w:type="spellEnd"/>
      <w:r w:rsidR="004C4A97">
        <w:rPr>
          <w:lang w:val="fr-FR"/>
        </w:rPr>
        <w:t>, Mexique </w:t>
      </w:r>
      <w:r>
        <w:rPr>
          <w:lang w:val="fr-FR"/>
        </w:rPr>
        <w:t xml:space="preserve">; </w:t>
      </w:r>
      <w:proofErr w:type="spellStart"/>
      <w:r>
        <w:rPr>
          <w:lang w:val="fr-FR"/>
        </w:rPr>
        <w:t>Initiators</w:t>
      </w:r>
      <w:proofErr w:type="spellEnd"/>
      <w:r>
        <w:rPr>
          <w:lang w:val="fr-FR"/>
        </w:rPr>
        <w:t xml:space="preserve"> </w:t>
      </w:r>
      <w:proofErr w:type="spellStart"/>
      <w:r>
        <w:rPr>
          <w:lang w:val="fr-FR"/>
        </w:rPr>
        <w:t>Organization</w:t>
      </w:r>
      <w:proofErr w:type="spellEnd"/>
      <w:r>
        <w:rPr>
          <w:lang w:val="fr-FR"/>
        </w:rPr>
        <w:t xml:space="preserve"> for </w:t>
      </w:r>
      <w:proofErr w:type="spellStart"/>
      <w:r>
        <w:rPr>
          <w:lang w:val="fr-FR"/>
        </w:rPr>
        <w:t>Human</w:t>
      </w:r>
      <w:proofErr w:type="spellEnd"/>
      <w:r w:rsidR="004C4A97">
        <w:rPr>
          <w:lang w:val="fr-FR"/>
        </w:rPr>
        <w:t xml:space="preserve"> </w:t>
      </w:r>
      <w:proofErr w:type="spellStart"/>
      <w:r w:rsidR="004C4A97">
        <w:rPr>
          <w:lang w:val="fr-FR"/>
        </w:rPr>
        <w:t>Rights</w:t>
      </w:r>
      <w:proofErr w:type="spellEnd"/>
      <w:r w:rsidR="004C4A97">
        <w:rPr>
          <w:lang w:val="fr-FR"/>
        </w:rPr>
        <w:t xml:space="preserve"> and </w:t>
      </w:r>
      <w:proofErr w:type="spellStart"/>
      <w:r w:rsidR="004C4A97">
        <w:rPr>
          <w:lang w:val="fr-FR"/>
        </w:rPr>
        <w:t>Democracy</w:t>
      </w:r>
      <w:proofErr w:type="spellEnd"/>
      <w:r w:rsidR="004C4A97">
        <w:rPr>
          <w:lang w:val="fr-FR"/>
        </w:rPr>
        <w:t>, Pays-Bas </w:t>
      </w:r>
      <w:r>
        <w:rPr>
          <w:lang w:val="fr-FR"/>
        </w:rPr>
        <w:t xml:space="preserve">; </w:t>
      </w:r>
      <w:proofErr w:type="spellStart"/>
      <w:r>
        <w:rPr>
          <w:lang w:val="fr-FR"/>
        </w:rPr>
        <w:t>Madres</w:t>
      </w:r>
      <w:proofErr w:type="spellEnd"/>
      <w:r>
        <w:rPr>
          <w:lang w:val="fr-FR"/>
        </w:rPr>
        <w:t xml:space="preserve"> de Plaza de </w:t>
      </w:r>
      <w:r w:rsidR="004C4A97">
        <w:rPr>
          <w:lang w:val="fr-FR"/>
        </w:rPr>
        <w:t xml:space="preserve">Mayo Línea </w:t>
      </w:r>
      <w:proofErr w:type="spellStart"/>
      <w:r w:rsidR="004C4A97">
        <w:rPr>
          <w:lang w:val="fr-FR"/>
        </w:rPr>
        <w:t>Fundadora</w:t>
      </w:r>
      <w:proofErr w:type="spellEnd"/>
      <w:r w:rsidR="004C4A97">
        <w:rPr>
          <w:lang w:val="fr-FR"/>
        </w:rPr>
        <w:t>, Argentine </w:t>
      </w:r>
      <w:r>
        <w:rPr>
          <w:lang w:val="fr-FR"/>
        </w:rPr>
        <w:t xml:space="preserve">; </w:t>
      </w:r>
      <w:proofErr w:type="spellStart"/>
      <w:r>
        <w:rPr>
          <w:lang w:val="fr-FR"/>
        </w:rPr>
        <w:t>Movimiento</w:t>
      </w:r>
      <w:proofErr w:type="spellEnd"/>
      <w:r>
        <w:rPr>
          <w:lang w:val="fr-FR"/>
        </w:rPr>
        <w:t xml:space="preserve"> </w:t>
      </w:r>
      <w:proofErr w:type="spellStart"/>
      <w:r>
        <w:rPr>
          <w:lang w:val="fr-FR"/>
        </w:rPr>
        <w:t>Nacional</w:t>
      </w:r>
      <w:proofErr w:type="spellEnd"/>
      <w:r>
        <w:rPr>
          <w:lang w:val="fr-FR"/>
        </w:rPr>
        <w:t xml:space="preserve"> de </w:t>
      </w:r>
      <w:proofErr w:type="spellStart"/>
      <w:r>
        <w:rPr>
          <w:lang w:val="fr-FR"/>
        </w:rPr>
        <w:t>Víctimas</w:t>
      </w:r>
      <w:proofErr w:type="spellEnd"/>
      <w:r>
        <w:rPr>
          <w:lang w:val="fr-FR"/>
        </w:rPr>
        <w:t xml:space="preserve"> de </w:t>
      </w:r>
      <w:proofErr w:type="spellStart"/>
      <w:r>
        <w:rPr>
          <w:lang w:val="fr-FR"/>
        </w:rPr>
        <w:t>Crímenes</w:t>
      </w:r>
      <w:proofErr w:type="spellEnd"/>
      <w:r>
        <w:rPr>
          <w:lang w:val="fr-FR"/>
        </w:rPr>
        <w:t xml:space="preserve"> de </w:t>
      </w:r>
      <w:proofErr w:type="spellStart"/>
      <w:r>
        <w:rPr>
          <w:lang w:val="fr-FR"/>
        </w:rPr>
        <w:t>Estado</w:t>
      </w:r>
      <w:proofErr w:type="spellEnd"/>
      <w:r>
        <w:rPr>
          <w:lang w:val="fr-FR"/>
        </w:rPr>
        <w:t xml:space="preserve"> de </w:t>
      </w:r>
      <w:proofErr w:type="spellStart"/>
      <w:r>
        <w:rPr>
          <w:lang w:val="fr-FR"/>
        </w:rPr>
        <w:t>Colombia</w:t>
      </w:r>
      <w:proofErr w:type="spellEnd"/>
      <w:r w:rsidR="004C4A97">
        <w:rPr>
          <w:lang w:val="fr-FR"/>
        </w:rPr>
        <w:t> </w:t>
      </w:r>
      <w:r>
        <w:rPr>
          <w:lang w:val="fr-FR"/>
        </w:rPr>
        <w:t>; Société roumaine indépendante pour les droits de l'hom</w:t>
      </w:r>
      <w:r w:rsidR="004C4A97">
        <w:rPr>
          <w:lang w:val="fr-FR"/>
        </w:rPr>
        <w:t>me </w:t>
      </w:r>
      <w:r>
        <w:rPr>
          <w:lang w:val="fr-FR"/>
        </w:rPr>
        <w:t xml:space="preserve">; Réseau suisse </w:t>
      </w:r>
      <w:r w:rsidR="004C4A97">
        <w:rPr>
          <w:lang w:val="fr-FR"/>
        </w:rPr>
        <w:t>pour les études internationales </w:t>
      </w:r>
      <w:r>
        <w:rPr>
          <w:lang w:val="fr-FR"/>
        </w:rPr>
        <w:t xml:space="preserve">; Trudy </w:t>
      </w:r>
      <w:proofErr w:type="spellStart"/>
      <w:r>
        <w:rPr>
          <w:lang w:val="fr-FR"/>
        </w:rPr>
        <w:t>Huskamp</w:t>
      </w:r>
      <w:proofErr w:type="spellEnd"/>
      <w:r>
        <w:rPr>
          <w:lang w:val="fr-FR"/>
        </w:rPr>
        <w:t xml:space="preserve"> Peterson, ar</w:t>
      </w:r>
      <w:r w:rsidR="004C4A97">
        <w:rPr>
          <w:lang w:val="fr-FR"/>
        </w:rPr>
        <w:t>chiviste, États-Unis d'Amérique </w:t>
      </w:r>
      <w:r>
        <w:rPr>
          <w:lang w:val="fr-FR"/>
        </w:rPr>
        <w:t xml:space="preserve">; Truth </w:t>
      </w:r>
      <w:proofErr w:type="spellStart"/>
      <w:r>
        <w:rPr>
          <w:lang w:val="fr-FR"/>
        </w:rPr>
        <w:t>Now</w:t>
      </w:r>
      <w:proofErr w:type="spellEnd"/>
      <w:r>
        <w:rPr>
          <w:lang w:val="fr-FR"/>
        </w:rPr>
        <w:t>, Chypre.</w:t>
      </w:r>
    </w:p>
  </w:footnote>
  <w:footnote w:id="4">
    <w:p w:rsidR="00C9089E" w:rsidRPr="00AA5BF7" w:rsidRDefault="00C9089E" w:rsidP="00F5490F">
      <w:pPr>
        <w:pStyle w:val="Notedebasdepage"/>
        <w:rPr>
          <w:szCs w:val="18"/>
        </w:rPr>
      </w:pPr>
      <w:r w:rsidRPr="0031477F">
        <w:rPr>
          <w:szCs w:val="18"/>
          <w:lang w:val="fr-FR"/>
        </w:rPr>
        <w:tab/>
      </w:r>
      <w:r w:rsidRPr="00F5490F">
        <w:rPr>
          <w:rStyle w:val="Appelnotedebasdep"/>
        </w:rPr>
        <w:footnoteRef/>
      </w:r>
      <w:r>
        <w:rPr>
          <w:lang w:val="fr-FR"/>
        </w:rPr>
        <w:tab/>
        <w:t>Commission nationale des droits de l’homme, Mexique.</w:t>
      </w:r>
    </w:p>
  </w:footnote>
  <w:footnote w:id="5">
    <w:p w:rsidR="00C9089E" w:rsidRPr="00AA5BF7" w:rsidRDefault="00C9089E" w:rsidP="00F5490F">
      <w:pPr>
        <w:pStyle w:val="Notedebasdepage"/>
        <w:rPr>
          <w:szCs w:val="18"/>
        </w:rPr>
      </w:pPr>
      <w:r w:rsidRPr="0031477F">
        <w:rPr>
          <w:szCs w:val="18"/>
          <w:lang w:val="fr-FR"/>
        </w:rPr>
        <w:tab/>
      </w:r>
      <w:r w:rsidRPr="00F5490F">
        <w:rPr>
          <w:rStyle w:val="Appelnotedebasdep"/>
        </w:rPr>
        <w:footnoteRef/>
      </w:r>
      <w:r>
        <w:rPr>
          <w:lang w:val="fr-FR"/>
        </w:rPr>
        <w:tab/>
        <w:t xml:space="preserve">CICR, </w:t>
      </w:r>
      <w:proofErr w:type="spellStart"/>
      <w:r>
        <w:rPr>
          <w:lang w:val="fr-FR"/>
        </w:rPr>
        <w:t>HCDH</w:t>
      </w:r>
      <w:proofErr w:type="spellEnd"/>
      <w:r>
        <w:rPr>
          <w:lang w:val="fr-FR"/>
        </w:rPr>
        <w:t xml:space="preserve"> Mexique et Fonds des Nations Unies pour l'enfance.</w:t>
      </w:r>
    </w:p>
  </w:footnote>
  <w:footnote w:id="6">
    <w:p w:rsidR="00C9089E" w:rsidRPr="00AA5BF7" w:rsidRDefault="00C9089E" w:rsidP="00F5490F">
      <w:pPr>
        <w:pStyle w:val="Notedebasdepage"/>
        <w:rPr>
          <w:szCs w:val="18"/>
        </w:rPr>
      </w:pPr>
      <w:r w:rsidRPr="0031477F">
        <w:rPr>
          <w:szCs w:val="18"/>
          <w:lang w:val="fr-FR"/>
        </w:rPr>
        <w:tab/>
      </w:r>
      <w:r w:rsidRPr="00F5490F">
        <w:rPr>
          <w:rStyle w:val="Appelnotedebasdep"/>
        </w:rPr>
        <w:footnoteRef/>
      </w:r>
      <w:r>
        <w:rPr>
          <w:lang w:val="fr-FR"/>
        </w:rPr>
        <w:tab/>
        <w:t>Commission internationale pour les personnes disparues et Commission interaméricaine des droits de l’homme.</w:t>
      </w:r>
    </w:p>
  </w:footnote>
  <w:footnote w:id="7">
    <w:p w:rsidR="00C9089E" w:rsidRPr="00AA5BF7" w:rsidRDefault="00C9089E" w:rsidP="00F5490F">
      <w:pPr>
        <w:pStyle w:val="Notedebasdepage"/>
      </w:pPr>
      <w:r>
        <w:rPr>
          <w:szCs w:val="18"/>
          <w:lang w:val="fr-FR"/>
        </w:rPr>
        <w:tab/>
      </w:r>
      <w:r w:rsidRPr="00F5490F">
        <w:rPr>
          <w:rStyle w:val="Appelnotedebasdep"/>
        </w:rPr>
        <w:footnoteRef/>
      </w:r>
      <w:r>
        <w:rPr>
          <w:lang w:val="fr-FR"/>
        </w:rPr>
        <w:tab/>
        <w:t>Argentine, Autriche, Colombie, Équateur, France, Maroc, Pérou, Sri Lanka et Ukraine.</w:t>
      </w:r>
    </w:p>
  </w:footnote>
  <w:footnote w:id="8">
    <w:p w:rsidR="00C9089E" w:rsidRPr="00AA5BF7" w:rsidRDefault="00C9089E" w:rsidP="00F5490F">
      <w:pPr>
        <w:pStyle w:val="Notedebasdepage"/>
        <w:rPr>
          <w:szCs w:val="18"/>
        </w:rPr>
      </w:pPr>
      <w:r>
        <w:rPr>
          <w:lang w:val="fr-FR"/>
        </w:rPr>
        <w:tab/>
      </w:r>
      <w:r w:rsidRPr="00F5490F">
        <w:rPr>
          <w:rStyle w:val="Appelnotedebasdep"/>
        </w:rPr>
        <w:footnoteRef/>
      </w:r>
      <w:r>
        <w:rPr>
          <w:lang w:val="fr-FR"/>
        </w:rPr>
        <w:tab/>
        <w:t>Université de Bournemouth, Royaume-Uni de Grande-Bretagne</w:t>
      </w:r>
      <w:r w:rsidR="004C4A97">
        <w:rPr>
          <w:lang w:val="fr-FR"/>
        </w:rPr>
        <w:t xml:space="preserve"> et d’Irlande du Nord </w:t>
      </w:r>
      <w:r>
        <w:rPr>
          <w:lang w:val="fr-FR"/>
        </w:rPr>
        <w:t xml:space="preserve">; Institut des sciences juridiques, </w:t>
      </w:r>
      <w:r w:rsidR="004C4A97">
        <w:rPr>
          <w:lang w:val="fr-FR"/>
        </w:rPr>
        <w:t>Académie polonaise des sciences </w:t>
      </w:r>
      <w:r>
        <w:rPr>
          <w:lang w:val="fr-FR"/>
        </w:rPr>
        <w:t xml:space="preserve">; et </w:t>
      </w:r>
      <w:proofErr w:type="spellStart"/>
      <w:r>
        <w:rPr>
          <w:lang w:val="fr-FR"/>
        </w:rPr>
        <w:t>Néstor</w:t>
      </w:r>
      <w:proofErr w:type="spellEnd"/>
      <w:r>
        <w:rPr>
          <w:lang w:val="fr-FR"/>
        </w:rPr>
        <w:t xml:space="preserve"> Oswaldo Arias Avila, spécialiste des droits de l'homme, </w:t>
      </w:r>
      <w:proofErr w:type="spellStart"/>
      <w:r>
        <w:rPr>
          <w:lang w:val="fr-FR"/>
        </w:rPr>
        <w:t>Universidad</w:t>
      </w:r>
      <w:proofErr w:type="spellEnd"/>
      <w:r>
        <w:rPr>
          <w:lang w:val="fr-FR"/>
        </w:rPr>
        <w:t xml:space="preserve"> </w:t>
      </w:r>
      <w:proofErr w:type="spellStart"/>
      <w:r>
        <w:rPr>
          <w:lang w:val="fr-FR"/>
        </w:rPr>
        <w:t>Complutense</w:t>
      </w:r>
      <w:proofErr w:type="spellEnd"/>
      <w:r>
        <w:rPr>
          <w:lang w:val="fr-FR"/>
        </w:rPr>
        <w:t xml:space="preserve"> de Madrid.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Default="00C9089E" w:rsidP="00E37E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Default="00C9089E" w:rsidP="00BF2F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Pr="00BF2F2F" w:rsidRDefault="002D145F" w:rsidP="00BF2F2F">
    <w:pPr>
      <w:pStyle w:val="En-tte"/>
    </w:pPr>
    <w:fldSimple w:instr=" TITLE  \* MERGEFORMAT ">
      <w:r w:rsidR="00665893">
        <w:t>A/74/56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Default="002D145F" w:rsidP="00BF2F2F">
    <w:pPr>
      <w:pStyle w:val="En-tte"/>
      <w:jc w:val="right"/>
    </w:pPr>
    <w:fldSimple w:instr=" TITLE  \* MERGEFORMAT ">
      <w:r w:rsidR="00665893">
        <w:t>A/74/56</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Default="002D145F" w:rsidP="00BF2F2F">
    <w:pPr>
      <w:pStyle w:val="En-tte"/>
      <w:jc w:val="right"/>
    </w:pPr>
    <w:fldSimple w:instr=" TITLE  \* MERGEFORMAT ">
      <w:r w:rsidR="00665893">
        <w:t>A/74/56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9E" w:rsidRDefault="002D145F" w:rsidP="00BF2F2F">
    <w:pPr>
      <w:pStyle w:val="En-tte"/>
      <w:jc w:val="right"/>
    </w:pPr>
    <w:fldSimple w:instr=" TITLE  \* MERGEFORMAT ">
      <w:r w:rsidR="00665893">
        <w:t>A/74/56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24"/>
    <w:rsid w:val="000067A6"/>
    <w:rsid w:val="00011C11"/>
    <w:rsid w:val="0001470D"/>
    <w:rsid w:val="00016165"/>
    <w:rsid w:val="00016AC5"/>
    <w:rsid w:val="00021907"/>
    <w:rsid w:val="000233A5"/>
    <w:rsid w:val="0002445D"/>
    <w:rsid w:val="00024C50"/>
    <w:rsid w:val="00025E92"/>
    <w:rsid w:val="000276A3"/>
    <w:rsid w:val="00031C3D"/>
    <w:rsid w:val="00032060"/>
    <w:rsid w:val="00040539"/>
    <w:rsid w:val="00040598"/>
    <w:rsid w:val="00047F10"/>
    <w:rsid w:val="00052157"/>
    <w:rsid w:val="0005346D"/>
    <w:rsid w:val="00055FE4"/>
    <w:rsid w:val="000641CE"/>
    <w:rsid w:val="00067310"/>
    <w:rsid w:val="00077E35"/>
    <w:rsid w:val="0008669E"/>
    <w:rsid w:val="00090599"/>
    <w:rsid w:val="00093A04"/>
    <w:rsid w:val="00096270"/>
    <w:rsid w:val="000A0ECE"/>
    <w:rsid w:val="000A1501"/>
    <w:rsid w:val="000A1CA1"/>
    <w:rsid w:val="000A2494"/>
    <w:rsid w:val="000A6B7E"/>
    <w:rsid w:val="000C6CDB"/>
    <w:rsid w:val="000D5C25"/>
    <w:rsid w:val="000E4F06"/>
    <w:rsid w:val="000E5601"/>
    <w:rsid w:val="000F41F2"/>
    <w:rsid w:val="0010373B"/>
    <w:rsid w:val="00125446"/>
    <w:rsid w:val="00126DCC"/>
    <w:rsid w:val="001358D9"/>
    <w:rsid w:val="00141E26"/>
    <w:rsid w:val="00143EB9"/>
    <w:rsid w:val="00145051"/>
    <w:rsid w:val="0015389C"/>
    <w:rsid w:val="00160540"/>
    <w:rsid w:val="00166C68"/>
    <w:rsid w:val="00167899"/>
    <w:rsid w:val="00174814"/>
    <w:rsid w:val="00181A90"/>
    <w:rsid w:val="001844CC"/>
    <w:rsid w:val="00190D5D"/>
    <w:rsid w:val="00192660"/>
    <w:rsid w:val="00192EEB"/>
    <w:rsid w:val="00194484"/>
    <w:rsid w:val="0019559B"/>
    <w:rsid w:val="001A2040"/>
    <w:rsid w:val="001A20FB"/>
    <w:rsid w:val="001A376F"/>
    <w:rsid w:val="001B09BB"/>
    <w:rsid w:val="001C3D8D"/>
    <w:rsid w:val="001C6497"/>
    <w:rsid w:val="001D12EC"/>
    <w:rsid w:val="001D7DD8"/>
    <w:rsid w:val="001D7F8A"/>
    <w:rsid w:val="001E0447"/>
    <w:rsid w:val="001E1495"/>
    <w:rsid w:val="001E34CB"/>
    <w:rsid w:val="001E3FEB"/>
    <w:rsid w:val="001E4541"/>
    <w:rsid w:val="001E4A02"/>
    <w:rsid w:val="001E4E3F"/>
    <w:rsid w:val="001E5979"/>
    <w:rsid w:val="001E653B"/>
    <w:rsid w:val="001E6DF0"/>
    <w:rsid w:val="001F3E68"/>
    <w:rsid w:val="001F4931"/>
    <w:rsid w:val="001F6DE4"/>
    <w:rsid w:val="001F6EA4"/>
    <w:rsid w:val="00200CBA"/>
    <w:rsid w:val="00204B66"/>
    <w:rsid w:val="002059CE"/>
    <w:rsid w:val="00206AD4"/>
    <w:rsid w:val="00224B8B"/>
    <w:rsid w:val="00225A8C"/>
    <w:rsid w:val="00231A7F"/>
    <w:rsid w:val="00242BBD"/>
    <w:rsid w:val="0024586F"/>
    <w:rsid w:val="00246BC8"/>
    <w:rsid w:val="00251F95"/>
    <w:rsid w:val="00252317"/>
    <w:rsid w:val="00257E5F"/>
    <w:rsid w:val="002659F1"/>
    <w:rsid w:val="00270821"/>
    <w:rsid w:val="00271E41"/>
    <w:rsid w:val="0028138A"/>
    <w:rsid w:val="00284C19"/>
    <w:rsid w:val="00286E23"/>
    <w:rsid w:val="002876A1"/>
    <w:rsid w:val="00287CA6"/>
    <w:rsid w:val="00287E79"/>
    <w:rsid w:val="00290049"/>
    <w:rsid w:val="002928F9"/>
    <w:rsid w:val="00294D5B"/>
    <w:rsid w:val="002A2A2C"/>
    <w:rsid w:val="002A5D07"/>
    <w:rsid w:val="002C0370"/>
    <w:rsid w:val="002D13AB"/>
    <w:rsid w:val="002D145F"/>
    <w:rsid w:val="002D25CA"/>
    <w:rsid w:val="002D3DA4"/>
    <w:rsid w:val="002D64CF"/>
    <w:rsid w:val="002E2F5C"/>
    <w:rsid w:val="002F0C48"/>
    <w:rsid w:val="002F6820"/>
    <w:rsid w:val="002F6CEE"/>
    <w:rsid w:val="003016B7"/>
    <w:rsid w:val="0030559B"/>
    <w:rsid w:val="00305BCD"/>
    <w:rsid w:val="0030754C"/>
    <w:rsid w:val="00317E54"/>
    <w:rsid w:val="00322DF1"/>
    <w:rsid w:val="00324EBF"/>
    <w:rsid w:val="0032556C"/>
    <w:rsid w:val="00330508"/>
    <w:rsid w:val="0033286A"/>
    <w:rsid w:val="00333130"/>
    <w:rsid w:val="0034168A"/>
    <w:rsid w:val="00342C0C"/>
    <w:rsid w:val="00346E32"/>
    <w:rsid w:val="003515AA"/>
    <w:rsid w:val="00356E1A"/>
    <w:rsid w:val="00364F13"/>
    <w:rsid w:val="0036776C"/>
    <w:rsid w:val="00372A7A"/>
    <w:rsid w:val="00372D1D"/>
    <w:rsid w:val="00374106"/>
    <w:rsid w:val="0037679A"/>
    <w:rsid w:val="0038047C"/>
    <w:rsid w:val="00390EEF"/>
    <w:rsid w:val="00394410"/>
    <w:rsid w:val="0039625F"/>
    <w:rsid w:val="003976D5"/>
    <w:rsid w:val="003B53B6"/>
    <w:rsid w:val="003D3C77"/>
    <w:rsid w:val="003D4A2B"/>
    <w:rsid w:val="003D6C68"/>
    <w:rsid w:val="003E01D0"/>
    <w:rsid w:val="003E49B9"/>
    <w:rsid w:val="003E5F12"/>
    <w:rsid w:val="003E786C"/>
    <w:rsid w:val="003F0DDF"/>
    <w:rsid w:val="003F2A89"/>
    <w:rsid w:val="003F4433"/>
    <w:rsid w:val="003F4A54"/>
    <w:rsid w:val="0040144C"/>
    <w:rsid w:val="004067AE"/>
    <w:rsid w:val="00410521"/>
    <w:rsid w:val="00413BB0"/>
    <w:rsid w:val="004159D0"/>
    <w:rsid w:val="00417326"/>
    <w:rsid w:val="00422499"/>
    <w:rsid w:val="004342E2"/>
    <w:rsid w:val="00434354"/>
    <w:rsid w:val="00440BC8"/>
    <w:rsid w:val="0045397D"/>
    <w:rsid w:val="00454F8D"/>
    <w:rsid w:val="004567EB"/>
    <w:rsid w:val="00460E72"/>
    <w:rsid w:val="00467412"/>
    <w:rsid w:val="00476265"/>
    <w:rsid w:val="00481132"/>
    <w:rsid w:val="00483E94"/>
    <w:rsid w:val="00490F56"/>
    <w:rsid w:val="00491F39"/>
    <w:rsid w:val="0049560F"/>
    <w:rsid w:val="004A4977"/>
    <w:rsid w:val="004A49A5"/>
    <w:rsid w:val="004A66A2"/>
    <w:rsid w:val="004B2721"/>
    <w:rsid w:val="004B51CD"/>
    <w:rsid w:val="004C4A97"/>
    <w:rsid w:val="004C54C0"/>
    <w:rsid w:val="004C56B2"/>
    <w:rsid w:val="004D00B2"/>
    <w:rsid w:val="004D6046"/>
    <w:rsid w:val="004E4963"/>
    <w:rsid w:val="004E6809"/>
    <w:rsid w:val="004E7F24"/>
    <w:rsid w:val="004F49A4"/>
    <w:rsid w:val="0050095B"/>
    <w:rsid w:val="005111B1"/>
    <w:rsid w:val="0051457E"/>
    <w:rsid w:val="00516D6F"/>
    <w:rsid w:val="0051714B"/>
    <w:rsid w:val="00520F80"/>
    <w:rsid w:val="005239FF"/>
    <w:rsid w:val="00523DB8"/>
    <w:rsid w:val="00533150"/>
    <w:rsid w:val="00541BE4"/>
    <w:rsid w:val="00543B57"/>
    <w:rsid w:val="00543C47"/>
    <w:rsid w:val="00543D5E"/>
    <w:rsid w:val="00550C89"/>
    <w:rsid w:val="00552260"/>
    <w:rsid w:val="00552777"/>
    <w:rsid w:val="00555494"/>
    <w:rsid w:val="00555CBA"/>
    <w:rsid w:val="005629D6"/>
    <w:rsid w:val="00565B29"/>
    <w:rsid w:val="00567F8A"/>
    <w:rsid w:val="00571BC1"/>
    <w:rsid w:val="00571F41"/>
    <w:rsid w:val="00575476"/>
    <w:rsid w:val="00584373"/>
    <w:rsid w:val="00591DB3"/>
    <w:rsid w:val="005939ED"/>
    <w:rsid w:val="005947BC"/>
    <w:rsid w:val="00595E8A"/>
    <w:rsid w:val="005A0268"/>
    <w:rsid w:val="005A6014"/>
    <w:rsid w:val="005B473C"/>
    <w:rsid w:val="005C549A"/>
    <w:rsid w:val="005D7719"/>
    <w:rsid w:val="005E1B9B"/>
    <w:rsid w:val="005E32D1"/>
    <w:rsid w:val="005E5D1F"/>
    <w:rsid w:val="006005F0"/>
    <w:rsid w:val="0060120D"/>
    <w:rsid w:val="0061113B"/>
    <w:rsid w:val="00611D43"/>
    <w:rsid w:val="00612D48"/>
    <w:rsid w:val="00613A5E"/>
    <w:rsid w:val="00614FBD"/>
    <w:rsid w:val="00616B45"/>
    <w:rsid w:val="006241C6"/>
    <w:rsid w:val="006244EE"/>
    <w:rsid w:val="00627593"/>
    <w:rsid w:val="00627EDC"/>
    <w:rsid w:val="00630D9B"/>
    <w:rsid w:val="00631953"/>
    <w:rsid w:val="0063208D"/>
    <w:rsid w:val="00643814"/>
    <w:rsid w:val="006439EC"/>
    <w:rsid w:val="00645090"/>
    <w:rsid w:val="00647059"/>
    <w:rsid w:val="00647162"/>
    <w:rsid w:val="0065029A"/>
    <w:rsid w:val="00650770"/>
    <w:rsid w:val="00661667"/>
    <w:rsid w:val="00661E96"/>
    <w:rsid w:val="00665786"/>
    <w:rsid w:val="00665893"/>
    <w:rsid w:val="00671C93"/>
    <w:rsid w:val="00671DDE"/>
    <w:rsid w:val="00671F00"/>
    <w:rsid w:val="006729C8"/>
    <w:rsid w:val="00675490"/>
    <w:rsid w:val="00675501"/>
    <w:rsid w:val="00682621"/>
    <w:rsid w:val="006851DC"/>
    <w:rsid w:val="0068562A"/>
    <w:rsid w:val="006957F9"/>
    <w:rsid w:val="006A6B31"/>
    <w:rsid w:val="006A6C95"/>
    <w:rsid w:val="006A7B29"/>
    <w:rsid w:val="006B0EB2"/>
    <w:rsid w:val="006B0FF8"/>
    <w:rsid w:val="006B4590"/>
    <w:rsid w:val="006C340C"/>
    <w:rsid w:val="006D2C4F"/>
    <w:rsid w:val="006E492F"/>
    <w:rsid w:val="006F1D0B"/>
    <w:rsid w:val="006F27A8"/>
    <w:rsid w:val="006F3493"/>
    <w:rsid w:val="006F3544"/>
    <w:rsid w:val="006F36FF"/>
    <w:rsid w:val="006F4C17"/>
    <w:rsid w:val="006F5A52"/>
    <w:rsid w:val="00702F0F"/>
    <w:rsid w:val="0070347C"/>
    <w:rsid w:val="007102D2"/>
    <w:rsid w:val="00714647"/>
    <w:rsid w:val="00714A66"/>
    <w:rsid w:val="007176C1"/>
    <w:rsid w:val="00720BC0"/>
    <w:rsid w:val="0072116B"/>
    <w:rsid w:val="00725063"/>
    <w:rsid w:val="00725D1D"/>
    <w:rsid w:val="00732E72"/>
    <w:rsid w:val="00741D90"/>
    <w:rsid w:val="007607B1"/>
    <w:rsid w:val="00762E53"/>
    <w:rsid w:val="00765296"/>
    <w:rsid w:val="00766D28"/>
    <w:rsid w:val="007723C2"/>
    <w:rsid w:val="007815B9"/>
    <w:rsid w:val="00785F1F"/>
    <w:rsid w:val="00790B9D"/>
    <w:rsid w:val="00796316"/>
    <w:rsid w:val="007A1C58"/>
    <w:rsid w:val="007A20D2"/>
    <w:rsid w:val="007A79CD"/>
    <w:rsid w:val="007B25B5"/>
    <w:rsid w:val="007D2668"/>
    <w:rsid w:val="007D3119"/>
    <w:rsid w:val="007D5093"/>
    <w:rsid w:val="007F1867"/>
    <w:rsid w:val="007F1EC4"/>
    <w:rsid w:val="007F55CB"/>
    <w:rsid w:val="007F6597"/>
    <w:rsid w:val="007F768E"/>
    <w:rsid w:val="008021D4"/>
    <w:rsid w:val="008079D6"/>
    <w:rsid w:val="008149F9"/>
    <w:rsid w:val="00821061"/>
    <w:rsid w:val="008245B7"/>
    <w:rsid w:val="0082755E"/>
    <w:rsid w:val="00831A18"/>
    <w:rsid w:val="00837345"/>
    <w:rsid w:val="00844750"/>
    <w:rsid w:val="00851A74"/>
    <w:rsid w:val="00853AB8"/>
    <w:rsid w:val="00854C34"/>
    <w:rsid w:val="0085586A"/>
    <w:rsid w:val="0086750D"/>
    <w:rsid w:val="00895DE5"/>
    <w:rsid w:val="008A0FA8"/>
    <w:rsid w:val="008A1EC0"/>
    <w:rsid w:val="008B44C4"/>
    <w:rsid w:val="008B6DFA"/>
    <w:rsid w:val="008C322B"/>
    <w:rsid w:val="008C4B74"/>
    <w:rsid w:val="008D1156"/>
    <w:rsid w:val="008D59DB"/>
    <w:rsid w:val="008E0319"/>
    <w:rsid w:val="008E137A"/>
    <w:rsid w:val="008E4DE2"/>
    <w:rsid w:val="008E7CE2"/>
    <w:rsid w:val="008E7FAE"/>
    <w:rsid w:val="008F1431"/>
    <w:rsid w:val="00904A5E"/>
    <w:rsid w:val="00911BF7"/>
    <w:rsid w:val="0091594A"/>
    <w:rsid w:val="009230F1"/>
    <w:rsid w:val="00935490"/>
    <w:rsid w:val="009418DE"/>
    <w:rsid w:val="009516B7"/>
    <w:rsid w:val="0095776B"/>
    <w:rsid w:val="00957CE5"/>
    <w:rsid w:val="009624E2"/>
    <w:rsid w:val="00977EC8"/>
    <w:rsid w:val="00983432"/>
    <w:rsid w:val="009A3048"/>
    <w:rsid w:val="009A6C26"/>
    <w:rsid w:val="009B132A"/>
    <w:rsid w:val="009B17AD"/>
    <w:rsid w:val="009B3061"/>
    <w:rsid w:val="009B33EA"/>
    <w:rsid w:val="009B3F8C"/>
    <w:rsid w:val="009B45E0"/>
    <w:rsid w:val="009B540F"/>
    <w:rsid w:val="009C4E63"/>
    <w:rsid w:val="009C7AE3"/>
    <w:rsid w:val="009D1CD0"/>
    <w:rsid w:val="009D3A8C"/>
    <w:rsid w:val="009D648F"/>
    <w:rsid w:val="009E1BA9"/>
    <w:rsid w:val="009E2876"/>
    <w:rsid w:val="009E2F0B"/>
    <w:rsid w:val="009E5913"/>
    <w:rsid w:val="009E7956"/>
    <w:rsid w:val="009F072F"/>
    <w:rsid w:val="009F26C1"/>
    <w:rsid w:val="009F3F95"/>
    <w:rsid w:val="00A023FC"/>
    <w:rsid w:val="00A0338D"/>
    <w:rsid w:val="00A05DD1"/>
    <w:rsid w:val="00A077E9"/>
    <w:rsid w:val="00A14F2A"/>
    <w:rsid w:val="00A2492E"/>
    <w:rsid w:val="00A31163"/>
    <w:rsid w:val="00A34593"/>
    <w:rsid w:val="00A364DB"/>
    <w:rsid w:val="00A45E90"/>
    <w:rsid w:val="00A4770F"/>
    <w:rsid w:val="00A50D6B"/>
    <w:rsid w:val="00A51050"/>
    <w:rsid w:val="00A56945"/>
    <w:rsid w:val="00A57027"/>
    <w:rsid w:val="00A5750C"/>
    <w:rsid w:val="00A72C35"/>
    <w:rsid w:val="00A73B51"/>
    <w:rsid w:val="00A752BB"/>
    <w:rsid w:val="00A81F93"/>
    <w:rsid w:val="00A831CF"/>
    <w:rsid w:val="00A83F61"/>
    <w:rsid w:val="00A84714"/>
    <w:rsid w:val="00A9247E"/>
    <w:rsid w:val="00AA7796"/>
    <w:rsid w:val="00AB7881"/>
    <w:rsid w:val="00AC67A1"/>
    <w:rsid w:val="00AC7977"/>
    <w:rsid w:val="00AC7E56"/>
    <w:rsid w:val="00AE2617"/>
    <w:rsid w:val="00AE352C"/>
    <w:rsid w:val="00AE79AC"/>
    <w:rsid w:val="00AF2778"/>
    <w:rsid w:val="00AF3065"/>
    <w:rsid w:val="00B01AAD"/>
    <w:rsid w:val="00B101DB"/>
    <w:rsid w:val="00B10DD9"/>
    <w:rsid w:val="00B21751"/>
    <w:rsid w:val="00B256F0"/>
    <w:rsid w:val="00B269B4"/>
    <w:rsid w:val="00B31D7D"/>
    <w:rsid w:val="00B32E2D"/>
    <w:rsid w:val="00B43741"/>
    <w:rsid w:val="00B45642"/>
    <w:rsid w:val="00B52F29"/>
    <w:rsid w:val="00B5388D"/>
    <w:rsid w:val="00B5722C"/>
    <w:rsid w:val="00B61990"/>
    <w:rsid w:val="00B6249B"/>
    <w:rsid w:val="00B70CCD"/>
    <w:rsid w:val="00B7180A"/>
    <w:rsid w:val="00B75E66"/>
    <w:rsid w:val="00B773BF"/>
    <w:rsid w:val="00B8712F"/>
    <w:rsid w:val="00B93C7D"/>
    <w:rsid w:val="00B95EA1"/>
    <w:rsid w:val="00BC3F20"/>
    <w:rsid w:val="00BD03A2"/>
    <w:rsid w:val="00BD28B2"/>
    <w:rsid w:val="00BD5A8D"/>
    <w:rsid w:val="00BD7343"/>
    <w:rsid w:val="00BF0556"/>
    <w:rsid w:val="00BF2F2F"/>
    <w:rsid w:val="00BF37EE"/>
    <w:rsid w:val="00C024A1"/>
    <w:rsid w:val="00C02C42"/>
    <w:rsid w:val="00C033C4"/>
    <w:rsid w:val="00C10FB1"/>
    <w:rsid w:val="00C11282"/>
    <w:rsid w:val="00C12CA3"/>
    <w:rsid w:val="00C14108"/>
    <w:rsid w:val="00C261F8"/>
    <w:rsid w:val="00C27662"/>
    <w:rsid w:val="00C27BF3"/>
    <w:rsid w:val="00C30429"/>
    <w:rsid w:val="00C33100"/>
    <w:rsid w:val="00C451B9"/>
    <w:rsid w:val="00C467A6"/>
    <w:rsid w:val="00C50CB9"/>
    <w:rsid w:val="00C51D9C"/>
    <w:rsid w:val="00C54DA4"/>
    <w:rsid w:val="00C55118"/>
    <w:rsid w:val="00C577D1"/>
    <w:rsid w:val="00C57A2D"/>
    <w:rsid w:val="00C6018C"/>
    <w:rsid w:val="00C67D23"/>
    <w:rsid w:val="00C71827"/>
    <w:rsid w:val="00C825E5"/>
    <w:rsid w:val="00C86244"/>
    <w:rsid w:val="00C9089E"/>
    <w:rsid w:val="00C95EB8"/>
    <w:rsid w:val="00CB02C5"/>
    <w:rsid w:val="00CB39CD"/>
    <w:rsid w:val="00CC7CE6"/>
    <w:rsid w:val="00CD044C"/>
    <w:rsid w:val="00CD1A71"/>
    <w:rsid w:val="00CD1FBB"/>
    <w:rsid w:val="00CE033D"/>
    <w:rsid w:val="00CE08E5"/>
    <w:rsid w:val="00CE51AB"/>
    <w:rsid w:val="00D016B5"/>
    <w:rsid w:val="00D034F1"/>
    <w:rsid w:val="00D04089"/>
    <w:rsid w:val="00D14F42"/>
    <w:rsid w:val="00D171D4"/>
    <w:rsid w:val="00D26275"/>
    <w:rsid w:val="00D26F76"/>
    <w:rsid w:val="00D27D5E"/>
    <w:rsid w:val="00D32B08"/>
    <w:rsid w:val="00D33A14"/>
    <w:rsid w:val="00D407D1"/>
    <w:rsid w:val="00D43E5F"/>
    <w:rsid w:val="00D51CE6"/>
    <w:rsid w:val="00D5390B"/>
    <w:rsid w:val="00D639BD"/>
    <w:rsid w:val="00D65777"/>
    <w:rsid w:val="00D66E0D"/>
    <w:rsid w:val="00D7425A"/>
    <w:rsid w:val="00D74F7E"/>
    <w:rsid w:val="00D7695F"/>
    <w:rsid w:val="00D83B6C"/>
    <w:rsid w:val="00D9039B"/>
    <w:rsid w:val="00D93582"/>
    <w:rsid w:val="00DA0AE3"/>
    <w:rsid w:val="00DA1C52"/>
    <w:rsid w:val="00DA41A2"/>
    <w:rsid w:val="00DA43A1"/>
    <w:rsid w:val="00DA5E1D"/>
    <w:rsid w:val="00DB7E24"/>
    <w:rsid w:val="00DC4353"/>
    <w:rsid w:val="00DC4F43"/>
    <w:rsid w:val="00DE6D90"/>
    <w:rsid w:val="00DF002F"/>
    <w:rsid w:val="00DF128E"/>
    <w:rsid w:val="00DF4D0D"/>
    <w:rsid w:val="00E0244D"/>
    <w:rsid w:val="00E026DF"/>
    <w:rsid w:val="00E02F48"/>
    <w:rsid w:val="00E03712"/>
    <w:rsid w:val="00E06B3F"/>
    <w:rsid w:val="00E10A73"/>
    <w:rsid w:val="00E111F8"/>
    <w:rsid w:val="00E14F27"/>
    <w:rsid w:val="00E171D2"/>
    <w:rsid w:val="00E25534"/>
    <w:rsid w:val="00E26EF3"/>
    <w:rsid w:val="00E319B6"/>
    <w:rsid w:val="00E32145"/>
    <w:rsid w:val="00E32F5A"/>
    <w:rsid w:val="00E37E21"/>
    <w:rsid w:val="00E510F3"/>
    <w:rsid w:val="00E60012"/>
    <w:rsid w:val="00E62CFF"/>
    <w:rsid w:val="00E665EE"/>
    <w:rsid w:val="00E679AE"/>
    <w:rsid w:val="00E71087"/>
    <w:rsid w:val="00E71570"/>
    <w:rsid w:val="00E73B13"/>
    <w:rsid w:val="00E75C58"/>
    <w:rsid w:val="00E76819"/>
    <w:rsid w:val="00E81E94"/>
    <w:rsid w:val="00E82607"/>
    <w:rsid w:val="00E82A70"/>
    <w:rsid w:val="00E84A82"/>
    <w:rsid w:val="00E85025"/>
    <w:rsid w:val="00E9483E"/>
    <w:rsid w:val="00E96710"/>
    <w:rsid w:val="00EA3B1D"/>
    <w:rsid w:val="00EB77B9"/>
    <w:rsid w:val="00EB7D07"/>
    <w:rsid w:val="00EC7ED0"/>
    <w:rsid w:val="00ED3A26"/>
    <w:rsid w:val="00EF33E0"/>
    <w:rsid w:val="00EF70BB"/>
    <w:rsid w:val="00EF7D1D"/>
    <w:rsid w:val="00F02FA9"/>
    <w:rsid w:val="00F06660"/>
    <w:rsid w:val="00F115C8"/>
    <w:rsid w:val="00F116EB"/>
    <w:rsid w:val="00F1794E"/>
    <w:rsid w:val="00F17DC0"/>
    <w:rsid w:val="00F211AF"/>
    <w:rsid w:val="00F2188D"/>
    <w:rsid w:val="00F25EC3"/>
    <w:rsid w:val="00F32ADB"/>
    <w:rsid w:val="00F32C98"/>
    <w:rsid w:val="00F37E12"/>
    <w:rsid w:val="00F41186"/>
    <w:rsid w:val="00F424BD"/>
    <w:rsid w:val="00F515AD"/>
    <w:rsid w:val="00F5490F"/>
    <w:rsid w:val="00F57DD7"/>
    <w:rsid w:val="00F636AD"/>
    <w:rsid w:val="00F734D9"/>
    <w:rsid w:val="00F73F83"/>
    <w:rsid w:val="00F74902"/>
    <w:rsid w:val="00F85A4E"/>
    <w:rsid w:val="00F9353A"/>
    <w:rsid w:val="00F93E27"/>
    <w:rsid w:val="00F94EBB"/>
    <w:rsid w:val="00F965C2"/>
    <w:rsid w:val="00FA1D61"/>
    <w:rsid w:val="00FA27D4"/>
    <w:rsid w:val="00FA5A79"/>
    <w:rsid w:val="00FB0BFE"/>
    <w:rsid w:val="00FB1C8F"/>
    <w:rsid w:val="00FB4300"/>
    <w:rsid w:val="00FB4C51"/>
    <w:rsid w:val="00FB734D"/>
    <w:rsid w:val="00FC21B2"/>
    <w:rsid w:val="00FD02A2"/>
    <w:rsid w:val="00FD5E64"/>
    <w:rsid w:val="00FD7985"/>
    <w:rsid w:val="00FE6526"/>
    <w:rsid w:val="00FF1DBD"/>
    <w:rsid w:val="00FF1E4B"/>
    <w:rsid w:val="00FF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3D8EC0A"/>
  <w15:docId w15:val="{9786E938-0C37-4377-8172-3D3EECFA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semiHidden="1" w:uiPriority="99" w:qFormat="1"/>
    <w:lsdException w:name="Emphasis" w:semiHidden="1"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5722C"/>
    <w:pPr>
      <w:suppressAutoHyphens/>
      <w:kinsoku w:val="0"/>
      <w:overflowPunct w:val="0"/>
      <w:autoSpaceDE w:val="0"/>
      <w:autoSpaceDN w:val="0"/>
      <w:adjustRightInd w:val="0"/>
      <w:snapToGrid w:val="0"/>
      <w:spacing w:line="240" w:lineRule="atLeast"/>
    </w:pPr>
    <w:rPr>
      <w:rFonts w:eastAsiaTheme="minorHAnsi"/>
      <w:lang w:val="fr-CH" w:eastAsia="en-US"/>
    </w:rPr>
  </w:style>
  <w:style w:type="paragraph" w:styleId="Titre1">
    <w:name w:val="heading 1"/>
    <w:aliases w:val="Table_G"/>
    <w:basedOn w:val="SingleTxtG"/>
    <w:next w:val="SingleTxtG"/>
    <w:link w:val="Titre1Car"/>
    <w:qFormat/>
    <w:rsid w:val="00B5722C"/>
    <w:pPr>
      <w:keepNext/>
      <w:keepLines/>
      <w:spacing w:after="0" w:line="240" w:lineRule="auto"/>
      <w:ind w:right="0"/>
      <w:jc w:val="left"/>
      <w:outlineLvl w:val="0"/>
    </w:pPr>
  </w:style>
  <w:style w:type="paragraph" w:styleId="Titre2">
    <w:name w:val="heading 2"/>
    <w:basedOn w:val="Normal"/>
    <w:next w:val="Normal"/>
    <w:link w:val="Titre2Car"/>
    <w:semiHidden/>
    <w:qFormat/>
    <w:rsid w:val="00B5722C"/>
    <w:pPr>
      <w:outlineLvl w:val="1"/>
    </w:pPr>
  </w:style>
  <w:style w:type="paragraph" w:styleId="Titre3">
    <w:name w:val="heading 3"/>
    <w:basedOn w:val="Normal"/>
    <w:next w:val="Normal"/>
    <w:link w:val="Titre3Car"/>
    <w:semiHidden/>
    <w:qFormat/>
    <w:rsid w:val="00B5722C"/>
    <w:pPr>
      <w:outlineLvl w:val="2"/>
    </w:pPr>
  </w:style>
  <w:style w:type="paragraph" w:styleId="Titre4">
    <w:name w:val="heading 4"/>
    <w:basedOn w:val="Normal"/>
    <w:next w:val="Normal"/>
    <w:link w:val="Titre4Car"/>
    <w:semiHidden/>
    <w:qFormat/>
    <w:rsid w:val="00B5722C"/>
    <w:pPr>
      <w:outlineLvl w:val="3"/>
    </w:pPr>
  </w:style>
  <w:style w:type="paragraph" w:styleId="Titre5">
    <w:name w:val="heading 5"/>
    <w:basedOn w:val="Normal"/>
    <w:next w:val="Normal"/>
    <w:link w:val="Titre5Car"/>
    <w:semiHidden/>
    <w:qFormat/>
    <w:rsid w:val="00B5722C"/>
    <w:pPr>
      <w:outlineLvl w:val="4"/>
    </w:pPr>
  </w:style>
  <w:style w:type="paragraph" w:styleId="Titre6">
    <w:name w:val="heading 6"/>
    <w:basedOn w:val="Normal"/>
    <w:next w:val="Normal"/>
    <w:link w:val="Titre6Car"/>
    <w:semiHidden/>
    <w:qFormat/>
    <w:rsid w:val="00B5722C"/>
    <w:pPr>
      <w:outlineLvl w:val="5"/>
    </w:pPr>
  </w:style>
  <w:style w:type="paragraph" w:styleId="Titre7">
    <w:name w:val="heading 7"/>
    <w:basedOn w:val="Normal"/>
    <w:next w:val="Normal"/>
    <w:link w:val="Titre7Car"/>
    <w:semiHidden/>
    <w:qFormat/>
    <w:rsid w:val="00B5722C"/>
    <w:pPr>
      <w:outlineLvl w:val="6"/>
    </w:pPr>
  </w:style>
  <w:style w:type="paragraph" w:styleId="Titre8">
    <w:name w:val="heading 8"/>
    <w:basedOn w:val="Normal"/>
    <w:next w:val="Normal"/>
    <w:link w:val="Titre8Car"/>
    <w:semiHidden/>
    <w:qFormat/>
    <w:rsid w:val="00B5722C"/>
    <w:pPr>
      <w:outlineLvl w:val="7"/>
    </w:pPr>
  </w:style>
  <w:style w:type="paragraph" w:styleId="Titre9">
    <w:name w:val="heading 9"/>
    <w:basedOn w:val="Normal"/>
    <w:next w:val="Normal"/>
    <w:link w:val="Titre9Car"/>
    <w:semiHidden/>
    <w:qFormat/>
    <w:rsid w:val="00B5722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B5722C"/>
    <w:pPr>
      <w:spacing w:after="120"/>
      <w:ind w:left="1134" w:right="1134"/>
      <w:jc w:val="both"/>
    </w:pPr>
  </w:style>
  <w:style w:type="paragraph" w:styleId="Notedefin">
    <w:name w:val="endnote text"/>
    <w:aliases w:val="2_G"/>
    <w:basedOn w:val="Notedebasdepage"/>
    <w:link w:val="NotedefinCar"/>
    <w:qFormat/>
    <w:rsid w:val="00B5722C"/>
  </w:style>
  <w:style w:type="paragraph" w:styleId="Notedebasdepage">
    <w:name w:val="footnote text"/>
    <w:aliases w:val="5_G"/>
    <w:basedOn w:val="Normal"/>
    <w:link w:val="NotedebasdepageCar"/>
    <w:qFormat/>
    <w:rsid w:val="00B5722C"/>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B5722C"/>
    <w:pPr>
      <w:spacing w:line="240" w:lineRule="auto"/>
    </w:pPr>
    <w:rPr>
      <w:sz w:val="16"/>
    </w:rPr>
  </w:style>
  <w:style w:type="character" w:styleId="Appeldenotedefin">
    <w:name w:val="endnote reference"/>
    <w:aliases w:val="1_G"/>
    <w:basedOn w:val="Appelnotedebasdep"/>
    <w:qFormat/>
    <w:rsid w:val="00B5722C"/>
    <w:rPr>
      <w:rFonts w:ascii="Times New Roman" w:hAnsi="Times New Roman"/>
      <w:sz w:val="18"/>
      <w:vertAlign w:val="superscript"/>
      <w:lang w:val="fr-CH"/>
    </w:rPr>
  </w:style>
  <w:style w:type="character" w:styleId="Appelnotedebasdep">
    <w:name w:val="footnote reference"/>
    <w:aliases w:val="4_G"/>
    <w:basedOn w:val="Policepardfaut"/>
    <w:qFormat/>
    <w:rsid w:val="00B5722C"/>
    <w:rPr>
      <w:rFonts w:ascii="Times New Roman" w:hAnsi="Times New Roman"/>
      <w:sz w:val="18"/>
      <w:vertAlign w:val="superscript"/>
      <w:lang w:val="fr-CH"/>
    </w:rPr>
  </w:style>
  <w:style w:type="character" w:styleId="Numrodepage">
    <w:name w:val="page number"/>
    <w:aliases w:val="7_G"/>
    <w:basedOn w:val="Policepardfaut"/>
    <w:qFormat/>
    <w:rsid w:val="00B5722C"/>
    <w:rPr>
      <w:rFonts w:ascii="Times New Roman" w:hAnsi="Times New Roman"/>
      <w:b/>
      <w:sz w:val="18"/>
      <w:lang w:val="fr-CH"/>
    </w:rPr>
  </w:style>
  <w:style w:type="paragraph" w:styleId="En-tte">
    <w:name w:val="header"/>
    <w:aliases w:val="6_G"/>
    <w:basedOn w:val="Normal"/>
    <w:next w:val="Normal"/>
    <w:link w:val="En-tteCar"/>
    <w:qFormat/>
    <w:rsid w:val="00B5722C"/>
    <w:pPr>
      <w:pBdr>
        <w:bottom w:val="single" w:sz="4" w:space="4" w:color="auto"/>
      </w:pBdr>
      <w:spacing w:line="240" w:lineRule="auto"/>
    </w:pPr>
    <w:rPr>
      <w:b/>
      <w:sz w:val="18"/>
    </w:rPr>
  </w:style>
  <w:style w:type="paragraph" w:customStyle="1" w:styleId="H1G">
    <w:name w:val="_ H_1_G"/>
    <w:basedOn w:val="Normal"/>
    <w:next w:val="Normal"/>
    <w:qFormat/>
    <w:rsid w:val="00B5722C"/>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B5722C"/>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B5722C"/>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B5722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5722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5722C"/>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B5722C"/>
    <w:pPr>
      <w:keepNext/>
      <w:keepLines/>
      <w:spacing w:before="240" w:after="240" w:line="420" w:lineRule="exact"/>
      <w:ind w:left="1134" w:right="1134"/>
    </w:pPr>
    <w:rPr>
      <w:b/>
      <w:sz w:val="40"/>
    </w:rPr>
  </w:style>
  <w:style w:type="paragraph" w:customStyle="1" w:styleId="SLG">
    <w:name w:val="__S_L_G"/>
    <w:basedOn w:val="Normal"/>
    <w:next w:val="Normal"/>
    <w:rsid w:val="00B5722C"/>
    <w:pPr>
      <w:keepNext/>
      <w:keepLines/>
      <w:spacing w:before="240" w:after="240" w:line="580" w:lineRule="exact"/>
      <w:ind w:left="1134" w:right="1134"/>
    </w:pPr>
    <w:rPr>
      <w:b/>
      <w:sz w:val="56"/>
    </w:rPr>
  </w:style>
  <w:style w:type="paragraph" w:customStyle="1" w:styleId="SSG">
    <w:name w:val="__S_S_G"/>
    <w:basedOn w:val="Normal"/>
    <w:next w:val="Normal"/>
    <w:rsid w:val="00B5722C"/>
    <w:pPr>
      <w:keepNext/>
      <w:keepLines/>
      <w:spacing w:before="240" w:after="240" w:line="300" w:lineRule="exact"/>
      <w:ind w:left="1134" w:right="1134"/>
    </w:pPr>
    <w:rPr>
      <w:b/>
      <w:sz w:val="28"/>
    </w:rPr>
  </w:style>
  <w:style w:type="paragraph" w:customStyle="1" w:styleId="XLargeG">
    <w:name w:val="__XLarge_G"/>
    <w:basedOn w:val="Normal"/>
    <w:next w:val="Normal"/>
    <w:rsid w:val="00B5722C"/>
    <w:pPr>
      <w:keepNext/>
      <w:keepLines/>
      <w:spacing w:before="240" w:after="240" w:line="420" w:lineRule="exact"/>
      <w:ind w:left="1134" w:right="1134"/>
    </w:pPr>
    <w:rPr>
      <w:b/>
      <w:sz w:val="40"/>
    </w:rPr>
  </w:style>
  <w:style w:type="paragraph" w:customStyle="1" w:styleId="Bullet1G">
    <w:name w:val="_Bullet 1_G"/>
    <w:basedOn w:val="Normal"/>
    <w:qFormat/>
    <w:rsid w:val="00B5722C"/>
    <w:pPr>
      <w:numPr>
        <w:numId w:val="4"/>
      </w:numPr>
      <w:spacing w:after="120"/>
      <w:ind w:right="1134"/>
      <w:jc w:val="both"/>
    </w:pPr>
  </w:style>
  <w:style w:type="paragraph" w:customStyle="1" w:styleId="Bullet2G">
    <w:name w:val="_Bullet 2_G"/>
    <w:basedOn w:val="Normal"/>
    <w:qFormat/>
    <w:rsid w:val="00B5722C"/>
    <w:pPr>
      <w:numPr>
        <w:numId w:val="5"/>
      </w:numPr>
      <w:spacing w:after="120"/>
      <w:ind w:right="1134"/>
      <w:jc w:val="both"/>
    </w:pPr>
  </w:style>
  <w:style w:type="table" w:styleId="Grilledutableau">
    <w:name w:val="Table Grid"/>
    <w:basedOn w:val="TableauNormal"/>
    <w:rsid w:val="00B5722C"/>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Policepardfaut"/>
    <w:link w:val="SingleTxtG"/>
    <w:rsid w:val="00541BE4"/>
    <w:rPr>
      <w:rFonts w:eastAsiaTheme="minorHAnsi"/>
      <w:lang w:val="fr-CH" w:eastAsia="en-US"/>
    </w:rPr>
  </w:style>
  <w:style w:type="character" w:styleId="Lienhypertexte">
    <w:name w:val="Hyperlink"/>
    <w:basedOn w:val="Policepardfaut"/>
    <w:semiHidden/>
    <w:rsid w:val="00B5722C"/>
    <w:rPr>
      <w:color w:val="0000FF"/>
      <w:u w:val="none"/>
    </w:rPr>
  </w:style>
  <w:style w:type="character" w:styleId="Lienhypertextesuivivisit">
    <w:name w:val="FollowedHyperlink"/>
    <w:basedOn w:val="Policepardfaut"/>
    <w:semiHidden/>
    <w:rsid w:val="00B5722C"/>
    <w:rPr>
      <w:color w:val="0000FF"/>
      <w:u w:val="none"/>
    </w:rPr>
  </w:style>
  <w:style w:type="paragraph" w:customStyle="1" w:styleId="ParNoG">
    <w:name w:val="_ParNo_G"/>
    <w:basedOn w:val="Normal"/>
    <w:qFormat/>
    <w:rsid w:val="00B5722C"/>
    <w:pPr>
      <w:numPr>
        <w:numId w:val="6"/>
      </w:numPr>
      <w:tabs>
        <w:tab w:val="clear" w:pos="1701"/>
      </w:tabs>
      <w:spacing w:after="120"/>
      <w:ind w:right="1134"/>
      <w:jc w:val="both"/>
    </w:pPr>
  </w:style>
  <w:style w:type="paragraph" w:styleId="Textedebulles">
    <w:name w:val="Balloon Text"/>
    <w:basedOn w:val="Normal"/>
    <w:link w:val="TextedebullesCar"/>
    <w:uiPriority w:val="99"/>
    <w:semiHidden/>
    <w:rsid w:val="00550C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7A6"/>
    <w:rPr>
      <w:rFonts w:ascii="Tahoma" w:hAnsi="Tahoma" w:cs="Tahoma"/>
      <w:sz w:val="16"/>
      <w:szCs w:val="16"/>
      <w:lang w:val="fr-CH" w:eastAsia="en-US"/>
    </w:rPr>
  </w:style>
  <w:style w:type="character" w:customStyle="1" w:styleId="En-tteCar">
    <w:name w:val="En-tête Car"/>
    <w:aliases w:val="6_G Car"/>
    <w:basedOn w:val="Policepardfaut"/>
    <w:link w:val="En-tte"/>
    <w:rsid w:val="00B5722C"/>
    <w:rPr>
      <w:rFonts w:eastAsiaTheme="minorHAnsi"/>
      <w:b/>
      <w:sz w:val="18"/>
      <w:lang w:val="fr-CH" w:eastAsia="en-US"/>
    </w:rPr>
  </w:style>
  <w:style w:type="character" w:customStyle="1" w:styleId="NotedebasdepageCar">
    <w:name w:val="Note de bas de page Car"/>
    <w:aliases w:val="5_G Car"/>
    <w:basedOn w:val="Policepardfaut"/>
    <w:link w:val="Notedebasdepage"/>
    <w:rsid w:val="00B5722C"/>
    <w:rPr>
      <w:rFonts w:eastAsiaTheme="minorHAnsi"/>
      <w:sz w:val="18"/>
      <w:lang w:val="fr-CH" w:eastAsia="en-US"/>
    </w:rPr>
  </w:style>
  <w:style w:type="character" w:customStyle="1" w:styleId="NotedefinCar">
    <w:name w:val="Note de fin Car"/>
    <w:aliases w:val="2_G Car"/>
    <w:basedOn w:val="Policepardfaut"/>
    <w:link w:val="Notedefin"/>
    <w:rsid w:val="00B5722C"/>
    <w:rPr>
      <w:rFonts w:eastAsiaTheme="minorHAnsi"/>
      <w:sz w:val="18"/>
      <w:lang w:val="fr-CH" w:eastAsia="en-US"/>
    </w:rPr>
  </w:style>
  <w:style w:type="character" w:customStyle="1" w:styleId="PieddepageCar">
    <w:name w:val="Pied de page Car"/>
    <w:aliases w:val="3_G Car"/>
    <w:basedOn w:val="Policepardfaut"/>
    <w:link w:val="Pieddepage"/>
    <w:rsid w:val="00B5722C"/>
    <w:rPr>
      <w:rFonts w:eastAsiaTheme="minorHAnsi"/>
      <w:sz w:val="16"/>
      <w:lang w:val="fr-CH" w:eastAsia="en-US"/>
    </w:rPr>
  </w:style>
  <w:style w:type="character" w:customStyle="1" w:styleId="Titre1Car">
    <w:name w:val="Titre 1 Car"/>
    <w:aliases w:val="Table_G Car"/>
    <w:basedOn w:val="Policepardfaut"/>
    <w:link w:val="Titre1"/>
    <w:rsid w:val="00B5722C"/>
    <w:rPr>
      <w:rFonts w:eastAsiaTheme="minorHAnsi"/>
      <w:lang w:val="fr-CH" w:eastAsia="en-US"/>
    </w:rPr>
  </w:style>
  <w:style w:type="character" w:customStyle="1" w:styleId="Titre2Car">
    <w:name w:val="Titre 2 Car"/>
    <w:basedOn w:val="Policepardfaut"/>
    <w:link w:val="Titre2"/>
    <w:semiHidden/>
    <w:rsid w:val="00B5722C"/>
    <w:rPr>
      <w:rFonts w:eastAsiaTheme="minorHAnsi"/>
      <w:lang w:val="fr-CH" w:eastAsia="en-US"/>
    </w:rPr>
  </w:style>
  <w:style w:type="character" w:customStyle="1" w:styleId="Titre3Car">
    <w:name w:val="Titre 3 Car"/>
    <w:basedOn w:val="Policepardfaut"/>
    <w:link w:val="Titre3"/>
    <w:semiHidden/>
    <w:rsid w:val="00B5722C"/>
    <w:rPr>
      <w:rFonts w:eastAsiaTheme="minorHAnsi"/>
      <w:lang w:val="fr-CH" w:eastAsia="en-US"/>
    </w:rPr>
  </w:style>
  <w:style w:type="character" w:customStyle="1" w:styleId="Titre4Car">
    <w:name w:val="Titre 4 Car"/>
    <w:basedOn w:val="Policepardfaut"/>
    <w:link w:val="Titre4"/>
    <w:semiHidden/>
    <w:rsid w:val="00B5722C"/>
    <w:rPr>
      <w:rFonts w:eastAsiaTheme="minorHAnsi"/>
      <w:lang w:val="fr-CH" w:eastAsia="en-US"/>
    </w:rPr>
  </w:style>
  <w:style w:type="character" w:customStyle="1" w:styleId="Titre5Car">
    <w:name w:val="Titre 5 Car"/>
    <w:basedOn w:val="Policepardfaut"/>
    <w:link w:val="Titre5"/>
    <w:semiHidden/>
    <w:rsid w:val="00B5722C"/>
    <w:rPr>
      <w:rFonts w:eastAsiaTheme="minorHAnsi"/>
      <w:lang w:val="fr-CH" w:eastAsia="en-US"/>
    </w:rPr>
  </w:style>
  <w:style w:type="character" w:customStyle="1" w:styleId="Titre6Car">
    <w:name w:val="Titre 6 Car"/>
    <w:basedOn w:val="Policepardfaut"/>
    <w:link w:val="Titre6"/>
    <w:semiHidden/>
    <w:rsid w:val="00B5722C"/>
    <w:rPr>
      <w:rFonts w:eastAsiaTheme="minorHAnsi"/>
      <w:lang w:val="fr-CH" w:eastAsia="en-US"/>
    </w:rPr>
  </w:style>
  <w:style w:type="character" w:customStyle="1" w:styleId="Titre7Car">
    <w:name w:val="Titre 7 Car"/>
    <w:basedOn w:val="Policepardfaut"/>
    <w:link w:val="Titre7"/>
    <w:semiHidden/>
    <w:rsid w:val="00B5722C"/>
    <w:rPr>
      <w:rFonts w:eastAsiaTheme="minorHAnsi"/>
      <w:lang w:val="fr-CH" w:eastAsia="en-US"/>
    </w:rPr>
  </w:style>
  <w:style w:type="character" w:customStyle="1" w:styleId="Titre8Car">
    <w:name w:val="Titre 8 Car"/>
    <w:basedOn w:val="Policepardfaut"/>
    <w:link w:val="Titre8"/>
    <w:semiHidden/>
    <w:rsid w:val="00B5722C"/>
    <w:rPr>
      <w:rFonts w:eastAsiaTheme="minorHAnsi"/>
      <w:lang w:val="fr-CH" w:eastAsia="en-US"/>
    </w:rPr>
  </w:style>
  <w:style w:type="character" w:customStyle="1" w:styleId="Titre9Car">
    <w:name w:val="Titre 9 Car"/>
    <w:basedOn w:val="Policepardfaut"/>
    <w:link w:val="Titre9"/>
    <w:semiHidden/>
    <w:rsid w:val="00B5722C"/>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s://undocs.org/fr/CED/C/PRT/CO/1" TargetMode="External"/><Relationship Id="rId3" Type="http://schemas.openxmlformats.org/officeDocument/2006/relationships/settings" Target="settings.xml"/><Relationship Id="rId21" Type="http://schemas.openxmlformats.org/officeDocument/2006/relationships/hyperlink" Target="https://undocs.org/fr/A/RES/61/177%20"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undocs.org/fr/CED/C/JPN/CO/1%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s://treaties.un.org/Pages/ViewDetails.aspx?src=TREATY&amp;mtdsg_no=IV-16&amp;chapter=4&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undocs.org/fr/A/RES/68/268%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ohchr.org/EN/HRBodies/CED/Pages/Membership.aspx" TargetMode="External"/><Relationship Id="rId28" Type="http://schemas.openxmlformats.org/officeDocument/2006/relationships/hyperlink" Target="https://undocs.org/fr/CED/C/PER/CO/1" TargetMode="External"/><Relationship Id="rId10" Type="http://schemas.openxmlformats.org/officeDocument/2006/relationships/image" Target="media/image4.png"/><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undocs.org/fr/A/RES/73/178%20" TargetMode="External"/><Relationship Id="rId27" Type="http://schemas.openxmlformats.org/officeDocument/2006/relationships/hyperlink" Target="https://undocs.org/fr/CED/C/ITA/CO/1%20" TargetMode="Externa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IV-16&amp;chapter=4&amp;clang=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Rapport_AG.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Rapport_AG.dotm</Template>
  <TotalTime>1</TotalTime>
  <Pages>31</Pages>
  <Words>9895</Words>
  <Characters>51261</Characters>
  <Application>Microsoft Office Word</Application>
  <DocSecurity>0</DocSecurity>
  <Lines>1348</Lines>
  <Paragraphs>702</Paragraphs>
  <ScaleCrop>false</ScaleCrop>
  <HeadingPairs>
    <vt:vector size="2" baseType="variant">
      <vt:variant>
        <vt:lpstr>Titre</vt:lpstr>
      </vt:variant>
      <vt:variant>
        <vt:i4>1</vt:i4>
      </vt:variant>
    </vt:vector>
  </HeadingPairs>
  <TitlesOfParts>
    <vt:vector size="1" baseType="lpstr">
      <vt:lpstr>A/74/56</vt:lpstr>
    </vt:vector>
  </TitlesOfParts>
  <Manager>Corinne</Manager>
  <Company>CSD</Company>
  <LinksUpToDate>false</LinksUpToDate>
  <CharactersWithSpaces>60454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A/74/56</dc:title>
  <dc:subject/>
  <dc:creator>Brianne MAGNAT</dc:creator>
  <cp:keywords/>
  <dc:description/>
  <cp:lastModifiedBy>Brianne Magnat</cp:lastModifiedBy>
  <cp:revision>2</cp:revision>
  <cp:lastPrinted>2019-08-16T14:36:00Z</cp:lastPrinted>
  <dcterms:created xsi:type="dcterms:W3CDTF">2019-08-19T15:25:00Z</dcterms:created>
  <dcterms:modified xsi:type="dcterms:W3CDTF">2019-08-19T15:25:00Z</dcterms:modified>
</cp:coreProperties>
</file>