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94" w:rsidRPr="00FA3966" w:rsidRDefault="00352943" w:rsidP="00483E94">
      <w:pPr>
        <w:spacing w:after="360"/>
        <w:jc w:val="right"/>
        <w:outlineLvl w:val="0"/>
        <w:rPr>
          <w:b/>
          <w:lang w:val="fr-FR"/>
        </w:rPr>
      </w:pPr>
      <w:hyperlink r:id="rId8" w:history="1">
        <w:r w:rsidR="00D040D5" w:rsidRPr="0045124A">
          <w:rPr>
            <w:rStyle w:val="Lienhypertexte"/>
            <w:b/>
            <w:lang w:val="fr-FR"/>
          </w:rPr>
          <w:t>A/73/18</w:t>
        </w:r>
      </w:hyperlink>
    </w:p>
    <w:p w:rsidR="00483E94" w:rsidRPr="00FA3966" w:rsidRDefault="001D12EC" w:rsidP="00483E94">
      <w:pPr>
        <w:ind w:left="1134"/>
        <w:rPr>
          <w:lang w:val="fr-FR"/>
        </w:rPr>
      </w:pPr>
      <w:r>
        <w:rPr>
          <w:noProof/>
          <w:lang w:eastAsia="fr-CH"/>
        </w:rPr>
        <w:drawing>
          <wp:inline distT="0" distB="0" distL="0" distR="0" wp14:anchorId="2D0EF933" wp14:editId="327AEE80">
            <wp:extent cx="1190625" cy="1019175"/>
            <wp:effectExtent l="0" t="0" r="9525" b="952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rsidR="00483E94" w:rsidRPr="00FA3966" w:rsidRDefault="00483E94" w:rsidP="00483E94">
      <w:pPr>
        <w:pStyle w:val="SMG"/>
        <w:spacing w:before="0" w:after="1080"/>
        <w:rPr>
          <w:lang w:val="fr-FR"/>
        </w:rPr>
      </w:pPr>
      <w:r w:rsidRPr="00FA3966">
        <w:rPr>
          <w:lang w:val="fr-FR"/>
        </w:rPr>
        <w:t>Nations Unies</w:t>
      </w:r>
    </w:p>
    <w:p w:rsidR="00483E94" w:rsidRPr="00FA3966" w:rsidRDefault="00483E94" w:rsidP="00483E94">
      <w:pPr>
        <w:pStyle w:val="SLG"/>
        <w:spacing w:after="960"/>
        <w:rPr>
          <w:lang w:val="fr-FR"/>
        </w:rPr>
      </w:pPr>
      <w:r w:rsidRPr="00FA3966">
        <w:rPr>
          <w:lang w:val="fr-FR"/>
        </w:rPr>
        <w:t xml:space="preserve">Rapport du </w:t>
      </w:r>
      <w:r w:rsidR="0045124A">
        <w:rPr>
          <w:lang w:val="fr-FR"/>
        </w:rPr>
        <w:t>Comité</w:t>
      </w:r>
      <w:r w:rsidR="0045124A">
        <w:rPr>
          <w:lang w:val="fr-FR"/>
        </w:rPr>
        <w:br/>
        <w:t>pour l</w:t>
      </w:r>
      <w:r w:rsidR="009D7A41">
        <w:rPr>
          <w:lang w:val="fr-FR"/>
        </w:rPr>
        <w:t>’</w:t>
      </w:r>
      <w:r w:rsidR="0045124A">
        <w:rPr>
          <w:lang w:val="fr-FR"/>
        </w:rPr>
        <w:t>élimination de</w:t>
      </w:r>
      <w:r w:rsidR="0045124A">
        <w:rPr>
          <w:lang w:val="fr-FR"/>
        </w:rPr>
        <w:br/>
        <w:t>la discrimination raciale</w:t>
      </w:r>
    </w:p>
    <w:p w:rsidR="0045124A" w:rsidRPr="00FA3966" w:rsidRDefault="0045124A" w:rsidP="0045124A">
      <w:pPr>
        <w:ind w:left="1134"/>
        <w:rPr>
          <w:b/>
          <w:sz w:val="36"/>
          <w:szCs w:val="36"/>
          <w:lang w:val="fr-FR"/>
        </w:rPr>
      </w:pPr>
      <w:r w:rsidRPr="005957EC">
        <w:rPr>
          <w:b/>
          <w:sz w:val="36"/>
          <w:szCs w:val="36"/>
          <w:lang w:val="fr-FR"/>
        </w:rPr>
        <w:t>Quatre-vingt-</w:t>
      </w:r>
      <w:r>
        <w:rPr>
          <w:b/>
          <w:sz w:val="36"/>
          <w:szCs w:val="36"/>
          <w:lang w:val="fr-FR"/>
        </w:rPr>
        <w:t>treiz</w:t>
      </w:r>
      <w:r w:rsidRPr="005957EC">
        <w:rPr>
          <w:b/>
          <w:sz w:val="36"/>
          <w:szCs w:val="36"/>
          <w:lang w:val="fr-FR"/>
        </w:rPr>
        <w:t xml:space="preserve">ième </w:t>
      </w:r>
      <w:r w:rsidRPr="00FA3966">
        <w:rPr>
          <w:b/>
          <w:sz w:val="36"/>
          <w:szCs w:val="36"/>
          <w:lang w:val="fr-FR"/>
        </w:rPr>
        <w:t>session</w:t>
      </w:r>
    </w:p>
    <w:p w:rsidR="00483E94" w:rsidRDefault="0045124A" w:rsidP="0045124A">
      <w:pPr>
        <w:spacing w:after="120"/>
        <w:ind w:left="1134" w:right="1134"/>
        <w:rPr>
          <w:b/>
          <w:sz w:val="36"/>
          <w:szCs w:val="36"/>
          <w:lang w:val="fr-FR"/>
        </w:rPr>
      </w:pPr>
      <w:r w:rsidRPr="00FA3966">
        <w:rPr>
          <w:b/>
          <w:sz w:val="36"/>
          <w:szCs w:val="36"/>
          <w:lang w:val="fr-FR"/>
        </w:rPr>
        <w:t>(</w:t>
      </w:r>
      <w:r>
        <w:rPr>
          <w:b/>
          <w:sz w:val="36"/>
          <w:szCs w:val="36"/>
          <w:lang w:val="fr-FR"/>
        </w:rPr>
        <w:t>31 juillet-25 août 2017</w:t>
      </w:r>
      <w:r w:rsidRPr="00FA3966">
        <w:rPr>
          <w:b/>
          <w:sz w:val="36"/>
          <w:szCs w:val="36"/>
          <w:lang w:val="fr-FR"/>
        </w:rPr>
        <w:t>)</w:t>
      </w:r>
    </w:p>
    <w:p w:rsidR="0045124A" w:rsidRPr="00FA3966" w:rsidRDefault="0045124A" w:rsidP="0045124A">
      <w:pPr>
        <w:ind w:left="1134"/>
        <w:rPr>
          <w:b/>
          <w:sz w:val="36"/>
          <w:szCs w:val="36"/>
          <w:lang w:val="fr-FR"/>
        </w:rPr>
      </w:pPr>
      <w:r w:rsidRPr="005957EC">
        <w:rPr>
          <w:b/>
          <w:sz w:val="36"/>
          <w:szCs w:val="36"/>
          <w:lang w:val="fr-FR"/>
        </w:rPr>
        <w:t>Quatre-vingt-</w:t>
      </w:r>
      <w:r>
        <w:rPr>
          <w:b/>
          <w:sz w:val="36"/>
          <w:szCs w:val="36"/>
          <w:lang w:val="fr-FR"/>
        </w:rPr>
        <w:t>quatorzième</w:t>
      </w:r>
      <w:r w:rsidRPr="005957EC">
        <w:rPr>
          <w:b/>
          <w:sz w:val="36"/>
          <w:szCs w:val="36"/>
          <w:lang w:val="fr-FR"/>
        </w:rPr>
        <w:t xml:space="preserve"> </w:t>
      </w:r>
      <w:r w:rsidRPr="00FA3966">
        <w:rPr>
          <w:b/>
          <w:sz w:val="36"/>
          <w:szCs w:val="36"/>
          <w:lang w:val="fr-FR"/>
        </w:rPr>
        <w:t>session</w:t>
      </w:r>
    </w:p>
    <w:p w:rsidR="0045124A" w:rsidRDefault="0045124A" w:rsidP="0045124A">
      <w:pPr>
        <w:spacing w:after="120"/>
        <w:ind w:left="1134" w:right="1134"/>
        <w:rPr>
          <w:b/>
          <w:sz w:val="36"/>
          <w:szCs w:val="36"/>
          <w:lang w:val="fr-FR"/>
        </w:rPr>
      </w:pPr>
      <w:r w:rsidRPr="00FA3966">
        <w:rPr>
          <w:b/>
          <w:sz w:val="36"/>
          <w:szCs w:val="36"/>
          <w:lang w:val="fr-FR"/>
        </w:rPr>
        <w:t>(</w:t>
      </w:r>
      <w:r>
        <w:rPr>
          <w:b/>
          <w:sz w:val="36"/>
          <w:szCs w:val="36"/>
          <w:lang w:val="fr-FR"/>
        </w:rPr>
        <w:t>20 novembre-8 décembre 2017</w:t>
      </w:r>
      <w:r w:rsidRPr="00FA3966">
        <w:rPr>
          <w:b/>
          <w:sz w:val="36"/>
          <w:szCs w:val="36"/>
          <w:lang w:val="fr-FR"/>
        </w:rPr>
        <w:t>)</w:t>
      </w:r>
    </w:p>
    <w:p w:rsidR="0045124A" w:rsidRPr="00FA3966" w:rsidRDefault="0045124A" w:rsidP="0045124A">
      <w:pPr>
        <w:ind w:left="1134"/>
        <w:rPr>
          <w:b/>
          <w:sz w:val="36"/>
          <w:szCs w:val="36"/>
          <w:lang w:val="fr-FR"/>
        </w:rPr>
      </w:pPr>
      <w:r w:rsidRPr="005957EC">
        <w:rPr>
          <w:b/>
          <w:sz w:val="36"/>
          <w:szCs w:val="36"/>
          <w:lang w:val="fr-FR"/>
        </w:rPr>
        <w:t>Quatre-vingt-</w:t>
      </w:r>
      <w:r>
        <w:rPr>
          <w:b/>
          <w:sz w:val="36"/>
          <w:szCs w:val="36"/>
          <w:lang w:val="fr-FR"/>
        </w:rPr>
        <w:t>quinzième</w:t>
      </w:r>
      <w:r w:rsidRPr="005957EC">
        <w:rPr>
          <w:b/>
          <w:sz w:val="36"/>
          <w:szCs w:val="36"/>
          <w:lang w:val="fr-FR"/>
        </w:rPr>
        <w:t xml:space="preserve"> </w:t>
      </w:r>
      <w:r w:rsidRPr="00FA3966">
        <w:rPr>
          <w:b/>
          <w:sz w:val="36"/>
          <w:szCs w:val="36"/>
          <w:lang w:val="fr-FR"/>
        </w:rPr>
        <w:t>session</w:t>
      </w:r>
    </w:p>
    <w:p w:rsidR="0045124A" w:rsidRPr="00FA3966" w:rsidRDefault="0045124A" w:rsidP="0045124A">
      <w:pPr>
        <w:spacing w:after="120"/>
        <w:ind w:left="1134" w:right="1134"/>
        <w:rPr>
          <w:b/>
          <w:sz w:val="36"/>
          <w:szCs w:val="36"/>
          <w:lang w:val="fr-FR"/>
        </w:rPr>
      </w:pPr>
      <w:r w:rsidRPr="00FA3966">
        <w:rPr>
          <w:b/>
          <w:sz w:val="36"/>
          <w:szCs w:val="36"/>
          <w:lang w:val="fr-FR"/>
        </w:rPr>
        <w:t>(</w:t>
      </w:r>
      <w:r>
        <w:rPr>
          <w:b/>
          <w:sz w:val="36"/>
          <w:szCs w:val="36"/>
          <w:lang w:val="fr-FR"/>
        </w:rPr>
        <w:t>23 avril-11 mai 2018</w:t>
      </w:r>
      <w:r w:rsidRPr="00FA3966">
        <w:rPr>
          <w:b/>
          <w:sz w:val="36"/>
          <w:szCs w:val="36"/>
          <w:lang w:val="fr-FR"/>
        </w:rPr>
        <w:t>)</w:t>
      </w:r>
    </w:p>
    <w:p w:rsidR="00483E94" w:rsidRPr="00FA3966" w:rsidRDefault="00483E94" w:rsidP="00F5152C">
      <w:pPr>
        <w:pStyle w:val="SMG"/>
        <w:spacing w:before="3600" w:after="0"/>
        <w:ind w:right="0"/>
        <w:rPr>
          <w:lang w:val="fr-FR"/>
        </w:rPr>
      </w:pPr>
      <w:r w:rsidRPr="00FA3966">
        <w:rPr>
          <w:lang w:val="fr-FR"/>
        </w:rPr>
        <w:t>Assemblée générale</w:t>
      </w:r>
    </w:p>
    <w:p w:rsidR="00483E94" w:rsidRPr="00FA3966" w:rsidRDefault="00483E94" w:rsidP="00483E94">
      <w:pPr>
        <w:ind w:left="1134"/>
        <w:rPr>
          <w:b/>
          <w:sz w:val="28"/>
          <w:szCs w:val="28"/>
          <w:lang w:val="fr-FR"/>
        </w:rPr>
      </w:pPr>
      <w:r w:rsidRPr="00FA3966">
        <w:rPr>
          <w:b/>
          <w:sz w:val="28"/>
          <w:szCs w:val="28"/>
          <w:lang w:val="fr-FR"/>
        </w:rPr>
        <w:t>Documents officiels</w:t>
      </w:r>
    </w:p>
    <w:p w:rsidR="00F5152C" w:rsidRPr="00FA3966" w:rsidRDefault="00F5152C" w:rsidP="00F5152C">
      <w:pPr>
        <w:ind w:left="1134" w:right="1134"/>
        <w:rPr>
          <w:b/>
          <w:sz w:val="28"/>
          <w:szCs w:val="28"/>
          <w:lang w:val="fr-FR"/>
        </w:rPr>
      </w:pPr>
      <w:r>
        <w:rPr>
          <w:b/>
          <w:sz w:val="28"/>
          <w:szCs w:val="28"/>
          <w:lang w:val="fr-FR"/>
        </w:rPr>
        <w:t xml:space="preserve">Soixante-treizième </w:t>
      </w:r>
      <w:r w:rsidRPr="00FA3966">
        <w:rPr>
          <w:b/>
          <w:sz w:val="28"/>
          <w:szCs w:val="28"/>
          <w:lang w:val="fr-FR"/>
        </w:rPr>
        <w:t>session</w:t>
      </w:r>
    </w:p>
    <w:p w:rsidR="00483E94" w:rsidRDefault="00F5152C" w:rsidP="00F5152C">
      <w:pPr>
        <w:ind w:left="1134" w:right="1134"/>
        <w:rPr>
          <w:b/>
          <w:sz w:val="28"/>
          <w:szCs w:val="28"/>
          <w:lang w:val="fr-FR"/>
        </w:rPr>
      </w:pPr>
      <w:r w:rsidRPr="00FA3966">
        <w:rPr>
          <w:b/>
          <w:sz w:val="28"/>
          <w:szCs w:val="28"/>
          <w:lang w:val="fr-FR"/>
        </w:rPr>
        <w:t>Supplément n</w:t>
      </w:r>
      <w:r w:rsidRPr="00FA3966">
        <w:rPr>
          <w:b/>
          <w:sz w:val="28"/>
          <w:szCs w:val="28"/>
          <w:vertAlign w:val="superscript"/>
          <w:lang w:val="fr-FR"/>
        </w:rPr>
        <w:t>o</w:t>
      </w:r>
      <w:r>
        <w:rPr>
          <w:b/>
          <w:sz w:val="28"/>
          <w:szCs w:val="28"/>
          <w:lang w:val="fr-FR"/>
        </w:rPr>
        <w:t> 18</w:t>
      </w:r>
    </w:p>
    <w:p w:rsidR="00483E94" w:rsidRDefault="00483E94" w:rsidP="00C451B9">
      <w:pPr>
        <w:sectPr w:rsidR="00483E94" w:rsidSect="00D040D5">
          <w:footerReference w:type="first" r:id="rId10"/>
          <w:endnotePr>
            <w:numFmt w:val="decimal"/>
          </w:endnotePr>
          <w:type w:val="oddPage"/>
          <w:pgSz w:w="11907" w:h="16840" w:code="9"/>
          <w:pgMar w:top="1417" w:right="1134" w:bottom="1134" w:left="1134" w:header="850" w:footer="567" w:gutter="0"/>
          <w:cols w:space="720"/>
          <w:titlePg/>
          <w:docGrid w:linePitch="272"/>
        </w:sectPr>
      </w:pPr>
    </w:p>
    <w:p w:rsidR="00541BE4" w:rsidRPr="00FA3966" w:rsidRDefault="00352943" w:rsidP="00541BE4">
      <w:pPr>
        <w:spacing w:after="1200"/>
        <w:jc w:val="right"/>
        <w:outlineLvl w:val="0"/>
        <w:rPr>
          <w:b/>
          <w:lang w:val="fr-FR"/>
        </w:rPr>
      </w:pPr>
      <w:hyperlink r:id="rId11" w:history="1">
        <w:r w:rsidR="00D040D5" w:rsidRPr="006A1F8C">
          <w:rPr>
            <w:rStyle w:val="Lienhypertexte"/>
            <w:b/>
            <w:lang w:val="fr-FR"/>
          </w:rPr>
          <w:t>A/73/18</w:t>
        </w:r>
      </w:hyperlink>
    </w:p>
    <w:p w:rsidR="00541BE4" w:rsidRPr="00FA3966" w:rsidRDefault="00541BE4" w:rsidP="00541BE4">
      <w:pPr>
        <w:rPr>
          <w:b/>
          <w:sz w:val="24"/>
          <w:szCs w:val="24"/>
          <w:lang w:val="fr-FR"/>
        </w:rPr>
      </w:pPr>
      <w:r w:rsidRPr="00FA3966">
        <w:rPr>
          <w:b/>
          <w:sz w:val="24"/>
          <w:szCs w:val="24"/>
          <w:lang w:val="fr-FR"/>
        </w:rPr>
        <w:t>Assemblée générale</w:t>
      </w:r>
    </w:p>
    <w:p w:rsidR="00541BE4" w:rsidRPr="00FA3966" w:rsidRDefault="00541BE4" w:rsidP="00541BE4">
      <w:pPr>
        <w:rPr>
          <w:sz w:val="24"/>
          <w:szCs w:val="24"/>
          <w:lang w:val="fr-FR"/>
        </w:rPr>
      </w:pPr>
      <w:r w:rsidRPr="00FA3966">
        <w:rPr>
          <w:sz w:val="24"/>
          <w:szCs w:val="24"/>
          <w:lang w:val="fr-FR"/>
        </w:rPr>
        <w:t>Documents officiels</w:t>
      </w:r>
    </w:p>
    <w:p w:rsidR="00541BE4" w:rsidRPr="00FA3966" w:rsidRDefault="006A1F8C" w:rsidP="00541BE4">
      <w:pPr>
        <w:rPr>
          <w:sz w:val="24"/>
          <w:szCs w:val="24"/>
          <w:lang w:val="fr-FR"/>
        </w:rPr>
      </w:pPr>
      <w:r>
        <w:rPr>
          <w:sz w:val="24"/>
          <w:szCs w:val="24"/>
          <w:lang w:val="fr-FR"/>
        </w:rPr>
        <w:t>Soixante-treizième</w:t>
      </w:r>
      <w:r w:rsidR="00541BE4">
        <w:rPr>
          <w:sz w:val="24"/>
          <w:szCs w:val="24"/>
          <w:lang w:val="fr-FR"/>
        </w:rPr>
        <w:t xml:space="preserve"> </w:t>
      </w:r>
      <w:r w:rsidR="00541BE4" w:rsidRPr="00FA3966">
        <w:rPr>
          <w:sz w:val="24"/>
          <w:szCs w:val="24"/>
          <w:lang w:val="fr-FR"/>
        </w:rPr>
        <w:t>session</w:t>
      </w:r>
    </w:p>
    <w:p w:rsidR="00541BE4" w:rsidRPr="00FA3966" w:rsidRDefault="00541BE4" w:rsidP="00541BE4">
      <w:pPr>
        <w:spacing w:after="1080"/>
        <w:rPr>
          <w:b/>
          <w:sz w:val="24"/>
          <w:szCs w:val="24"/>
          <w:lang w:val="fr-FR"/>
        </w:rPr>
      </w:pPr>
      <w:r w:rsidRPr="00FA3966">
        <w:rPr>
          <w:sz w:val="24"/>
          <w:szCs w:val="24"/>
          <w:lang w:val="fr-FR"/>
        </w:rPr>
        <w:t>Supplément n</w:t>
      </w:r>
      <w:r w:rsidRPr="00FA3966">
        <w:rPr>
          <w:sz w:val="24"/>
          <w:szCs w:val="24"/>
          <w:vertAlign w:val="superscript"/>
          <w:lang w:val="fr-FR"/>
        </w:rPr>
        <w:t>o</w:t>
      </w:r>
      <w:r w:rsidRPr="00FA3966">
        <w:rPr>
          <w:sz w:val="24"/>
          <w:szCs w:val="24"/>
          <w:lang w:val="fr-FR"/>
        </w:rPr>
        <w:t xml:space="preserve"> </w:t>
      </w:r>
      <w:r w:rsidR="006A1F8C">
        <w:rPr>
          <w:sz w:val="24"/>
          <w:szCs w:val="24"/>
          <w:lang w:val="fr-FR"/>
        </w:rPr>
        <w:t>18</w:t>
      </w:r>
    </w:p>
    <w:p w:rsidR="00541BE4" w:rsidRPr="00FA3966" w:rsidRDefault="00541BE4" w:rsidP="00DF4D0D">
      <w:pPr>
        <w:pStyle w:val="SMG"/>
        <w:spacing w:before="0" w:after="960"/>
        <w:rPr>
          <w:szCs w:val="40"/>
          <w:lang w:val="fr-FR"/>
        </w:rPr>
      </w:pPr>
      <w:r w:rsidRPr="00FA3966">
        <w:rPr>
          <w:lang w:val="fr-FR"/>
        </w:rPr>
        <w:t xml:space="preserve">Rapport du </w:t>
      </w:r>
      <w:r w:rsidR="006A1F8C">
        <w:rPr>
          <w:lang w:val="fr-FR"/>
        </w:rPr>
        <w:t>Comité pour l</w:t>
      </w:r>
      <w:r w:rsidR="009D7A41">
        <w:rPr>
          <w:lang w:val="fr-FR"/>
        </w:rPr>
        <w:t>’</w:t>
      </w:r>
      <w:r w:rsidR="006A1F8C">
        <w:rPr>
          <w:lang w:val="fr-FR"/>
        </w:rPr>
        <w:t>élimination</w:t>
      </w:r>
      <w:r w:rsidR="006A1F8C">
        <w:rPr>
          <w:lang w:val="fr-FR"/>
        </w:rPr>
        <w:br/>
        <w:t>de la discrimination raciale</w:t>
      </w:r>
    </w:p>
    <w:p w:rsidR="006A1F8C" w:rsidRDefault="006A1F8C" w:rsidP="006A1F8C">
      <w:pPr>
        <w:spacing w:after="120"/>
        <w:ind w:left="1134"/>
        <w:rPr>
          <w:b/>
          <w:sz w:val="28"/>
          <w:szCs w:val="28"/>
          <w:lang w:val="fr-FR"/>
        </w:rPr>
      </w:pPr>
      <w:r>
        <w:rPr>
          <w:b/>
          <w:sz w:val="28"/>
          <w:szCs w:val="28"/>
          <w:lang w:val="fr-FR"/>
        </w:rPr>
        <w:t xml:space="preserve">Quatre-vingt-treizième </w:t>
      </w:r>
      <w:r w:rsidRPr="00FA3966">
        <w:rPr>
          <w:b/>
          <w:sz w:val="28"/>
          <w:szCs w:val="28"/>
          <w:lang w:val="fr-FR"/>
        </w:rPr>
        <w:t>session</w:t>
      </w:r>
      <w:r>
        <w:rPr>
          <w:b/>
          <w:sz w:val="28"/>
          <w:szCs w:val="28"/>
          <w:lang w:val="fr-FR"/>
        </w:rPr>
        <w:br/>
      </w:r>
      <w:r w:rsidRPr="00FA3966">
        <w:rPr>
          <w:b/>
          <w:sz w:val="28"/>
          <w:szCs w:val="28"/>
          <w:lang w:val="fr-FR"/>
        </w:rPr>
        <w:t>(</w:t>
      </w:r>
      <w:r>
        <w:rPr>
          <w:b/>
          <w:sz w:val="28"/>
          <w:szCs w:val="28"/>
          <w:lang w:val="fr-FR"/>
        </w:rPr>
        <w:t>31 juillet-25 août 2017</w:t>
      </w:r>
      <w:r w:rsidRPr="00FA3966">
        <w:rPr>
          <w:b/>
          <w:sz w:val="28"/>
          <w:szCs w:val="28"/>
          <w:lang w:val="fr-FR"/>
        </w:rPr>
        <w:t>)</w:t>
      </w:r>
    </w:p>
    <w:p w:rsidR="006A1F8C" w:rsidRDefault="006A1F8C" w:rsidP="006A1F8C">
      <w:pPr>
        <w:spacing w:after="120"/>
        <w:ind w:left="1134"/>
        <w:rPr>
          <w:b/>
          <w:sz w:val="28"/>
          <w:szCs w:val="28"/>
          <w:lang w:val="fr-FR"/>
        </w:rPr>
      </w:pPr>
      <w:r>
        <w:rPr>
          <w:b/>
          <w:sz w:val="28"/>
          <w:szCs w:val="28"/>
          <w:lang w:val="fr-FR"/>
        </w:rPr>
        <w:t xml:space="preserve">Quatre-vingt-quatorzième </w:t>
      </w:r>
      <w:r w:rsidRPr="00FA3966">
        <w:rPr>
          <w:b/>
          <w:sz w:val="28"/>
          <w:szCs w:val="28"/>
          <w:lang w:val="fr-FR"/>
        </w:rPr>
        <w:t>session</w:t>
      </w:r>
      <w:r>
        <w:rPr>
          <w:b/>
          <w:sz w:val="28"/>
          <w:szCs w:val="28"/>
          <w:lang w:val="fr-FR"/>
        </w:rPr>
        <w:br/>
      </w:r>
      <w:r w:rsidRPr="00FA3966">
        <w:rPr>
          <w:b/>
          <w:sz w:val="28"/>
          <w:szCs w:val="28"/>
          <w:lang w:val="fr-FR"/>
        </w:rPr>
        <w:t>(</w:t>
      </w:r>
      <w:r>
        <w:rPr>
          <w:b/>
          <w:sz w:val="28"/>
          <w:szCs w:val="28"/>
          <w:lang w:val="fr-FR"/>
        </w:rPr>
        <w:t>20 novembre-8 décembre 2017</w:t>
      </w:r>
      <w:r w:rsidRPr="00FA3966">
        <w:rPr>
          <w:b/>
          <w:sz w:val="28"/>
          <w:szCs w:val="28"/>
          <w:lang w:val="fr-FR"/>
        </w:rPr>
        <w:t>)</w:t>
      </w:r>
    </w:p>
    <w:p w:rsidR="00541BE4" w:rsidRPr="00FA3966" w:rsidRDefault="006A1F8C" w:rsidP="006A1F8C">
      <w:pPr>
        <w:spacing w:after="120"/>
        <w:ind w:left="1134"/>
        <w:rPr>
          <w:b/>
          <w:sz w:val="28"/>
          <w:szCs w:val="28"/>
          <w:lang w:val="fr-FR"/>
        </w:rPr>
      </w:pPr>
      <w:r>
        <w:rPr>
          <w:b/>
          <w:sz w:val="28"/>
          <w:szCs w:val="28"/>
          <w:lang w:val="fr-FR"/>
        </w:rPr>
        <w:t xml:space="preserve">Quatre-vingt-quinzième </w:t>
      </w:r>
      <w:r w:rsidRPr="00FA3966">
        <w:rPr>
          <w:b/>
          <w:sz w:val="28"/>
          <w:szCs w:val="28"/>
          <w:lang w:val="fr-FR"/>
        </w:rPr>
        <w:t>session</w:t>
      </w:r>
      <w:r>
        <w:rPr>
          <w:b/>
          <w:sz w:val="28"/>
          <w:szCs w:val="28"/>
          <w:lang w:val="fr-FR"/>
        </w:rPr>
        <w:br/>
      </w:r>
      <w:r w:rsidRPr="00FA3966">
        <w:rPr>
          <w:b/>
          <w:sz w:val="28"/>
          <w:szCs w:val="28"/>
          <w:lang w:val="fr-FR"/>
        </w:rPr>
        <w:t>(</w:t>
      </w:r>
      <w:r>
        <w:rPr>
          <w:b/>
          <w:sz w:val="28"/>
          <w:szCs w:val="28"/>
          <w:lang w:val="fr-FR"/>
        </w:rPr>
        <w:t>23 avril-11 mai 2018</w:t>
      </w:r>
      <w:r w:rsidRPr="00FA3966">
        <w:rPr>
          <w:b/>
          <w:sz w:val="28"/>
          <w:szCs w:val="28"/>
          <w:lang w:val="fr-FR"/>
        </w:rPr>
        <w:t>)</w:t>
      </w:r>
    </w:p>
    <w:p w:rsidR="00DF4D0D" w:rsidRDefault="001D12EC" w:rsidP="00DF4D0D">
      <w:pPr>
        <w:spacing w:before="5200"/>
        <w:ind w:left="1134"/>
        <w:outlineLvl w:val="0"/>
      </w:pPr>
      <w:r>
        <w:rPr>
          <w:noProof/>
          <w:lang w:eastAsia="fr-CH"/>
        </w:rPr>
        <w:drawing>
          <wp:inline distT="0" distB="0" distL="0" distR="0" wp14:anchorId="311C659D" wp14:editId="29730BF5">
            <wp:extent cx="5334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3400" cy="495300"/>
                    </a:xfrm>
                    <a:prstGeom prst="rect">
                      <a:avLst/>
                    </a:prstGeom>
                    <a:noFill/>
                    <a:ln>
                      <a:noFill/>
                    </a:ln>
                  </pic:spPr>
                </pic:pic>
              </a:graphicData>
            </a:graphic>
          </wp:inline>
        </w:drawing>
      </w:r>
      <w:r w:rsidR="00DF4D0D">
        <w:t xml:space="preserve"> </w:t>
      </w:r>
    </w:p>
    <w:p w:rsidR="00541BE4" w:rsidRPr="00FA3966" w:rsidRDefault="00541BE4" w:rsidP="00541BE4">
      <w:pPr>
        <w:ind w:left="1134"/>
        <w:outlineLvl w:val="0"/>
        <w:rPr>
          <w:b/>
          <w:sz w:val="24"/>
          <w:szCs w:val="24"/>
          <w:lang w:val="fr-FR"/>
        </w:rPr>
      </w:pPr>
      <w:r w:rsidRPr="00FA3966">
        <w:rPr>
          <w:b/>
          <w:noProof/>
          <w:sz w:val="28"/>
          <w:lang w:val="fr-FR"/>
        </w:rPr>
        <w:t>Nations Unies</w:t>
      </w:r>
      <w:r w:rsidRPr="00FA3966">
        <w:rPr>
          <w:b/>
          <w:sz w:val="28"/>
          <w:lang w:val="fr-FR"/>
        </w:rPr>
        <w:t xml:space="preserve"> • New York, </w:t>
      </w:r>
      <w:r w:rsidR="006A1F8C">
        <w:rPr>
          <w:b/>
          <w:sz w:val="28"/>
          <w:lang w:val="fr-FR"/>
        </w:rPr>
        <w:t>2018</w:t>
      </w:r>
    </w:p>
    <w:p w:rsidR="00541BE4" w:rsidRPr="00FA3966" w:rsidRDefault="00541BE4" w:rsidP="00541BE4">
      <w:pPr>
        <w:spacing w:before="4800" w:after="120"/>
        <w:ind w:left="1134"/>
        <w:rPr>
          <w:i/>
          <w:lang w:val="fr-FR"/>
        </w:rPr>
      </w:pPr>
      <w:r w:rsidRPr="00FA3966">
        <w:rPr>
          <w:lang w:val="fr-FR"/>
        </w:rPr>
        <w:br w:type="page"/>
      </w:r>
      <w:r w:rsidRPr="00FA3966">
        <w:rPr>
          <w:i/>
          <w:lang w:val="fr-FR"/>
        </w:rPr>
        <w:lastRenderedPageBreak/>
        <w:t>Note</w:t>
      </w:r>
    </w:p>
    <w:p w:rsidR="00541BE4" w:rsidRPr="00FA3966" w:rsidRDefault="00541BE4" w:rsidP="00270821">
      <w:pPr>
        <w:pStyle w:val="SingleTxtG"/>
        <w:ind w:firstLine="567"/>
        <w:rPr>
          <w:lang w:val="fr-FR"/>
        </w:rPr>
      </w:pPr>
      <w:r w:rsidRPr="00FA3966">
        <w:rPr>
          <w:bCs/>
          <w:lang w:val="fr-FR"/>
        </w:rPr>
        <w:t>Les cotes des documents de l</w:t>
      </w:r>
      <w:r w:rsidR="009D7A41">
        <w:rPr>
          <w:bCs/>
          <w:lang w:val="fr-FR"/>
        </w:rPr>
        <w:t>’</w:t>
      </w:r>
      <w:r w:rsidRPr="00FA3966">
        <w:rPr>
          <w:bCs/>
          <w:lang w:val="fr-FR"/>
        </w:rPr>
        <w:t>Organisation des Nations Unies se composent de lettres majuscules et de chiffres. La simple mention d</w:t>
      </w:r>
      <w:r w:rsidR="009D7A41">
        <w:rPr>
          <w:bCs/>
          <w:lang w:val="fr-FR"/>
        </w:rPr>
        <w:t>’</w:t>
      </w:r>
      <w:r w:rsidRPr="00FA3966">
        <w:rPr>
          <w:bCs/>
          <w:lang w:val="fr-FR"/>
        </w:rPr>
        <w:t>une cote dans un texte signifie qu</w:t>
      </w:r>
      <w:r w:rsidR="009D7A41">
        <w:rPr>
          <w:bCs/>
          <w:lang w:val="fr-FR"/>
        </w:rPr>
        <w:t>’</w:t>
      </w:r>
      <w:r w:rsidRPr="00FA3966">
        <w:rPr>
          <w:bCs/>
          <w:lang w:val="fr-FR"/>
        </w:rPr>
        <w:t>il s</w:t>
      </w:r>
      <w:r w:rsidR="009D7A41">
        <w:rPr>
          <w:bCs/>
          <w:lang w:val="fr-FR"/>
        </w:rPr>
        <w:t>’</w:t>
      </w:r>
      <w:r w:rsidRPr="00FA3966">
        <w:rPr>
          <w:bCs/>
          <w:lang w:val="fr-FR"/>
        </w:rPr>
        <w:t>agit d</w:t>
      </w:r>
      <w:r w:rsidR="009D7A41">
        <w:rPr>
          <w:bCs/>
          <w:lang w:val="fr-FR"/>
        </w:rPr>
        <w:t>’</w:t>
      </w:r>
      <w:r w:rsidRPr="00FA3966">
        <w:rPr>
          <w:bCs/>
          <w:lang w:val="fr-FR"/>
        </w:rPr>
        <w:t>un document de l</w:t>
      </w:r>
      <w:r w:rsidR="009D7A41">
        <w:rPr>
          <w:bCs/>
          <w:lang w:val="fr-FR"/>
        </w:rPr>
        <w:t>’</w:t>
      </w:r>
      <w:r w:rsidRPr="00FA3966">
        <w:rPr>
          <w:bCs/>
          <w:lang w:val="fr-FR"/>
        </w:rPr>
        <w:t>Organisation.</w:t>
      </w:r>
    </w:p>
    <w:p w:rsidR="00541BE4" w:rsidRDefault="00541BE4" w:rsidP="00C451B9">
      <w:pPr>
        <w:sectPr w:rsidR="00541BE4" w:rsidSect="00D040D5">
          <w:headerReference w:type="default" r:id="rId13"/>
          <w:footerReference w:type="default" r:id="rId14"/>
          <w:headerReference w:type="first" r:id="rId15"/>
          <w:footerReference w:type="first" r:id="rId16"/>
          <w:endnotePr>
            <w:numFmt w:val="decimal"/>
          </w:endnotePr>
          <w:type w:val="oddPage"/>
          <w:pgSz w:w="11907" w:h="16840" w:code="9"/>
          <w:pgMar w:top="1417" w:right="1134" w:bottom="1134" w:left="1134" w:header="850" w:footer="567" w:gutter="0"/>
          <w:cols w:space="720"/>
          <w:titlePg/>
          <w:docGrid w:linePitch="272"/>
        </w:sectPr>
      </w:pPr>
    </w:p>
    <w:p w:rsidR="00EF7D1D" w:rsidRPr="00FA3966" w:rsidRDefault="00EF7D1D" w:rsidP="00EF7D1D">
      <w:pPr>
        <w:spacing w:after="120"/>
        <w:rPr>
          <w:sz w:val="28"/>
          <w:lang w:val="fr-FR"/>
        </w:rPr>
      </w:pPr>
      <w:r w:rsidRPr="00FA3966">
        <w:rPr>
          <w:sz w:val="28"/>
          <w:lang w:val="fr-FR"/>
        </w:rPr>
        <w:lastRenderedPageBreak/>
        <w:t>Table des matières</w:t>
      </w:r>
    </w:p>
    <w:p w:rsidR="001D2203" w:rsidRPr="00AA27A5" w:rsidRDefault="001D2203" w:rsidP="001D2203">
      <w:pPr>
        <w:tabs>
          <w:tab w:val="right" w:pos="9638"/>
        </w:tabs>
        <w:spacing w:after="120"/>
        <w:ind w:left="283"/>
        <w:rPr>
          <w:i/>
          <w:sz w:val="18"/>
        </w:rPr>
      </w:pPr>
      <w:r w:rsidRPr="00AA27A5">
        <w:rPr>
          <w:i/>
          <w:sz w:val="18"/>
        </w:rPr>
        <w:tab/>
        <w:t>Page</w:t>
      </w:r>
    </w:p>
    <w:p w:rsidR="0095229A" w:rsidRDefault="0095229A" w:rsidP="0095229A">
      <w:pPr>
        <w:tabs>
          <w:tab w:val="right" w:pos="850"/>
          <w:tab w:val="right" w:leader="dot" w:pos="8787"/>
          <w:tab w:val="right" w:pos="9638"/>
        </w:tabs>
        <w:spacing w:after="120"/>
        <w:ind w:left="1134" w:hanging="1134"/>
      </w:pPr>
      <w:r>
        <w:tab/>
      </w:r>
      <w:r>
        <w:tab/>
      </w:r>
      <w:r w:rsidRPr="00A65EFA">
        <w:rPr>
          <w:lang w:val="fr-FR"/>
        </w:rPr>
        <w:t>Lettre d</w:t>
      </w:r>
      <w:r>
        <w:rPr>
          <w:lang w:val="fr-FR"/>
        </w:rPr>
        <w:t>’</w:t>
      </w:r>
      <w:r w:rsidRPr="00A65EFA">
        <w:rPr>
          <w:lang w:val="fr-FR"/>
        </w:rPr>
        <w:t>envoi</w:t>
      </w:r>
      <w:r>
        <w:tab/>
      </w:r>
      <w:r>
        <w:tab/>
        <w:t>1</w:t>
      </w:r>
    </w:p>
    <w:p w:rsidR="0095229A" w:rsidRDefault="0095229A" w:rsidP="0095229A">
      <w:pPr>
        <w:tabs>
          <w:tab w:val="right" w:pos="850"/>
          <w:tab w:val="right" w:leader="dot" w:pos="8787"/>
          <w:tab w:val="right" w:pos="9638"/>
        </w:tabs>
        <w:spacing w:after="120"/>
        <w:ind w:left="1134" w:hanging="1134"/>
      </w:pPr>
      <w:r>
        <w:tab/>
        <w:t>I.</w:t>
      </w:r>
      <w:r>
        <w:tab/>
      </w:r>
      <w:r w:rsidRPr="00A65EFA">
        <w:rPr>
          <w:lang w:val="fr-FR"/>
        </w:rPr>
        <w:t>Questions d</w:t>
      </w:r>
      <w:r>
        <w:rPr>
          <w:lang w:val="fr-FR"/>
        </w:rPr>
        <w:t>’</w:t>
      </w:r>
      <w:r w:rsidRPr="00A65EFA">
        <w:rPr>
          <w:lang w:val="fr-FR"/>
        </w:rPr>
        <w:t>organisation et questions connexes</w:t>
      </w:r>
      <w:r>
        <w:tab/>
      </w:r>
      <w:r>
        <w:tab/>
        <w:t>2</w:t>
      </w:r>
    </w:p>
    <w:p w:rsidR="0095229A" w:rsidRDefault="0095229A" w:rsidP="0095229A">
      <w:pPr>
        <w:tabs>
          <w:tab w:val="right" w:leader="dot" w:pos="8787"/>
          <w:tab w:val="right" w:pos="9638"/>
        </w:tabs>
        <w:spacing w:after="120"/>
        <w:ind w:left="1559" w:hanging="425"/>
      </w:pPr>
      <w:r>
        <w:t>A.</w:t>
      </w:r>
      <w:r>
        <w:tab/>
      </w:r>
      <w:r w:rsidRPr="00A65EFA">
        <w:rPr>
          <w:lang w:val="fr-FR"/>
        </w:rPr>
        <w:t>États parties à la Convention internationale sur l</w:t>
      </w:r>
      <w:r>
        <w:rPr>
          <w:lang w:val="fr-FR"/>
        </w:rPr>
        <w:t>’</w:t>
      </w:r>
      <w:r w:rsidRPr="00A65EFA">
        <w:rPr>
          <w:lang w:val="fr-FR"/>
        </w:rPr>
        <w:t xml:space="preserve">élimination </w:t>
      </w:r>
      <w:r>
        <w:rPr>
          <w:lang w:val="fr-FR"/>
        </w:rPr>
        <w:br/>
      </w:r>
      <w:r w:rsidRPr="00A65EFA">
        <w:rPr>
          <w:lang w:val="fr-FR"/>
        </w:rPr>
        <w:t>de toutes les formes de discrimination raciale</w:t>
      </w:r>
      <w:r>
        <w:tab/>
      </w:r>
      <w:r>
        <w:tab/>
        <w:t>2</w:t>
      </w:r>
    </w:p>
    <w:p w:rsidR="0095229A" w:rsidRDefault="0095229A" w:rsidP="0095229A">
      <w:pPr>
        <w:tabs>
          <w:tab w:val="right" w:leader="dot" w:pos="8787"/>
          <w:tab w:val="right" w:pos="9638"/>
        </w:tabs>
        <w:spacing w:after="120"/>
        <w:ind w:left="1559" w:hanging="425"/>
      </w:pPr>
      <w:r>
        <w:t>B.</w:t>
      </w:r>
      <w:r>
        <w:tab/>
      </w:r>
      <w:r w:rsidRPr="00A65EFA">
        <w:rPr>
          <w:lang w:val="fr-FR"/>
        </w:rPr>
        <w:t>Sessions et ordres du jour</w:t>
      </w:r>
      <w:r>
        <w:tab/>
      </w:r>
      <w:r>
        <w:tab/>
        <w:t>2</w:t>
      </w:r>
    </w:p>
    <w:p w:rsidR="0095229A" w:rsidRDefault="0095229A" w:rsidP="0095229A">
      <w:pPr>
        <w:tabs>
          <w:tab w:val="right" w:leader="dot" w:pos="8787"/>
          <w:tab w:val="right" w:pos="9638"/>
        </w:tabs>
        <w:spacing w:after="120"/>
        <w:ind w:left="1559" w:hanging="425"/>
      </w:pPr>
      <w:r>
        <w:t>C.</w:t>
      </w:r>
      <w:r>
        <w:tab/>
      </w:r>
      <w:r w:rsidRPr="00A65EFA">
        <w:rPr>
          <w:lang w:val="fr-FR"/>
        </w:rPr>
        <w:t>Composition</w:t>
      </w:r>
      <w:r>
        <w:tab/>
      </w:r>
      <w:r>
        <w:tab/>
        <w:t>2</w:t>
      </w:r>
    </w:p>
    <w:p w:rsidR="0095229A" w:rsidRDefault="0095229A" w:rsidP="0095229A">
      <w:pPr>
        <w:tabs>
          <w:tab w:val="right" w:leader="dot" w:pos="8787"/>
          <w:tab w:val="right" w:pos="9638"/>
        </w:tabs>
        <w:spacing w:after="120"/>
        <w:ind w:left="1559" w:hanging="425"/>
      </w:pPr>
      <w:r>
        <w:t>D.</w:t>
      </w:r>
      <w:r>
        <w:tab/>
      </w:r>
      <w:r w:rsidRPr="00A65EFA">
        <w:rPr>
          <w:lang w:val="fr-FR"/>
        </w:rPr>
        <w:t>Bureau du Comité</w:t>
      </w:r>
      <w:r>
        <w:tab/>
      </w:r>
      <w:r>
        <w:tab/>
        <w:t>4</w:t>
      </w:r>
    </w:p>
    <w:p w:rsidR="0095229A" w:rsidRDefault="0095229A" w:rsidP="0095229A">
      <w:pPr>
        <w:tabs>
          <w:tab w:val="right" w:leader="dot" w:pos="8787"/>
          <w:tab w:val="right" w:pos="9638"/>
        </w:tabs>
        <w:spacing w:after="120"/>
        <w:ind w:left="1559" w:hanging="425"/>
      </w:pPr>
      <w:r>
        <w:t>E.</w:t>
      </w:r>
      <w:r>
        <w:tab/>
      </w:r>
      <w:r w:rsidRPr="00A65EFA">
        <w:rPr>
          <w:lang w:val="fr-FR"/>
        </w:rPr>
        <w:t>Coopération avec l</w:t>
      </w:r>
      <w:r>
        <w:rPr>
          <w:lang w:val="fr-FR"/>
        </w:rPr>
        <w:t>’</w:t>
      </w:r>
      <w:r w:rsidRPr="00A65EFA">
        <w:rPr>
          <w:lang w:val="fr-FR"/>
        </w:rPr>
        <w:t>Organisation internationale du Travail, le Haut</w:t>
      </w:r>
      <w:r w:rsidRPr="00A65EFA">
        <w:rPr>
          <w:lang w:val="fr-FR"/>
        </w:rPr>
        <w:noBreakHyphen/>
        <w:t xml:space="preserve">Commissariat </w:t>
      </w:r>
      <w:r>
        <w:rPr>
          <w:lang w:val="fr-FR"/>
        </w:rPr>
        <w:br/>
      </w:r>
      <w:r w:rsidRPr="00A65EFA">
        <w:rPr>
          <w:lang w:val="fr-FR"/>
        </w:rPr>
        <w:t>des Nations Unies pour les réfugiés, l</w:t>
      </w:r>
      <w:r>
        <w:rPr>
          <w:lang w:val="fr-FR"/>
        </w:rPr>
        <w:t>’</w:t>
      </w:r>
      <w:r w:rsidRPr="00A65EFA">
        <w:rPr>
          <w:lang w:val="fr-FR"/>
        </w:rPr>
        <w:t>Organisation des Nations Unies pour l</w:t>
      </w:r>
      <w:r>
        <w:rPr>
          <w:lang w:val="fr-FR"/>
        </w:rPr>
        <w:t>’</w:t>
      </w:r>
      <w:r w:rsidRPr="00A65EFA">
        <w:rPr>
          <w:lang w:val="fr-FR"/>
        </w:rPr>
        <w:t xml:space="preserve">éducation, </w:t>
      </w:r>
      <w:r>
        <w:rPr>
          <w:lang w:val="fr-FR"/>
        </w:rPr>
        <w:br/>
      </w:r>
      <w:r w:rsidRPr="00A65EFA">
        <w:rPr>
          <w:lang w:val="fr-FR"/>
        </w:rPr>
        <w:t>la science et la culture, les procédures spéciales du Conseil des droits de l</w:t>
      </w:r>
      <w:r>
        <w:rPr>
          <w:lang w:val="fr-FR"/>
        </w:rPr>
        <w:t>’</w:t>
      </w:r>
      <w:r w:rsidRPr="00A65EFA">
        <w:rPr>
          <w:lang w:val="fr-FR"/>
        </w:rPr>
        <w:t xml:space="preserve">homme </w:t>
      </w:r>
      <w:r>
        <w:rPr>
          <w:lang w:val="fr-FR"/>
        </w:rPr>
        <w:br/>
      </w:r>
      <w:r w:rsidRPr="00A65EFA">
        <w:rPr>
          <w:lang w:val="fr-FR"/>
        </w:rPr>
        <w:t>et les mécanismes régionaux des droits de l</w:t>
      </w:r>
      <w:r>
        <w:rPr>
          <w:lang w:val="fr-FR"/>
        </w:rPr>
        <w:t>’</w:t>
      </w:r>
      <w:r w:rsidRPr="00A65EFA">
        <w:rPr>
          <w:lang w:val="fr-FR"/>
        </w:rPr>
        <w:t>homme</w:t>
      </w:r>
      <w:r>
        <w:tab/>
      </w:r>
      <w:r>
        <w:tab/>
        <w:t>4</w:t>
      </w:r>
    </w:p>
    <w:p w:rsidR="0095229A" w:rsidRDefault="0095229A" w:rsidP="0095229A">
      <w:pPr>
        <w:tabs>
          <w:tab w:val="right" w:leader="dot" w:pos="8787"/>
          <w:tab w:val="right" w:pos="9638"/>
        </w:tabs>
        <w:spacing w:after="120"/>
        <w:ind w:left="1559" w:hanging="425"/>
      </w:pPr>
      <w:r>
        <w:t>F.</w:t>
      </w:r>
      <w:r>
        <w:tab/>
      </w:r>
      <w:r>
        <w:rPr>
          <w:lang w:val="fr-FR"/>
        </w:rPr>
        <w:t>Questions diverses</w:t>
      </w:r>
      <w:r>
        <w:tab/>
      </w:r>
      <w:r>
        <w:tab/>
        <w:t>4</w:t>
      </w:r>
    </w:p>
    <w:p w:rsidR="0095229A" w:rsidRDefault="0095229A" w:rsidP="0095229A">
      <w:pPr>
        <w:tabs>
          <w:tab w:val="right" w:leader="dot" w:pos="8787"/>
          <w:tab w:val="right" w:pos="9638"/>
        </w:tabs>
        <w:spacing w:after="120"/>
        <w:ind w:left="1559" w:hanging="425"/>
      </w:pPr>
      <w:r>
        <w:t>G.</w:t>
      </w:r>
      <w:r>
        <w:tab/>
      </w:r>
      <w:r>
        <w:rPr>
          <w:lang w:val="fr-FR"/>
        </w:rPr>
        <w:t>Adoption du rapport</w:t>
      </w:r>
      <w:r>
        <w:tab/>
      </w:r>
      <w:r>
        <w:tab/>
        <w:t>4</w:t>
      </w:r>
    </w:p>
    <w:p w:rsidR="0095229A" w:rsidRDefault="0095229A" w:rsidP="0095229A">
      <w:pPr>
        <w:tabs>
          <w:tab w:val="right" w:pos="850"/>
          <w:tab w:val="right" w:leader="dot" w:pos="8787"/>
          <w:tab w:val="right" w:pos="9638"/>
        </w:tabs>
        <w:spacing w:after="120"/>
        <w:ind w:left="1134" w:hanging="1134"/>
      </w:pPr>
      <w:r>
        <w:tab/>
        <w:t>II.</w:t>
      </w:r>
      <w:r>
        <w:tab/>
      </w:r>
      <w:r w:rsidRPr="00A65EFA">
        <w:rPr>
          <w:lang w:val="fr-FR"/>
        </w:rPr>
        <w:t>Prévention de la discrimination raciale, y compris les procédures d</w:t>
      </w:r>
      <w:r>
        <w:rPr>
          <w:lang w:val="fr-FR"/>
        </w:rPr>
        <w:t>’</w:t>
      </w:r>
      <w:r w:rsidRPr="00A65EFA">
        <w:rPr>
          <w:lang w:val="fr-FR"/>
        </w:rPr>
        <w:t xml:space="preserve">alerte rapide </w:t>
      </w:r>
      <w:r>
        <w:rPr>
          <w:lang w:val="fr-FR"/>
        </w:rPr>
        <w:br/>
      </w:r>
      <w:r w:rsidRPr="00A65EFA">
        <w:rPr>
          <w:lang w:val="fr-FR"/>
        </w:rPr>
        <w:t>et d</w:t>
      </w:r>
      <w:r>
        <w:rPr>
          <w:lang w:val="fr-FR"/>
        </w:rPr>
        <w:t>’</w:t>
      </w:r>
      <w:r w:rsidRPr="00A65EFA">
        <w:rPr>
          <w:lang w:val="fr-FR"/>
        </w:rPr>
        <w:t>action urgente</w:t>
      </w:r>
      <w:r>
        <w:tab/>
      </w:r>
      <w:r>
        <w:tab/>
        <w:t>5</w:t>
      </w:r>
    </w:p>
    <w:p w:rsidR="0095229A" w:rsidRDefault="0095229A" w:rsidP="0095229A">
      <w:pPr>
        <w:tabs>
          <w:tab w:val="right" w:leader="dot" w:pos="8787"/>
          <w:tab w:val="right" w:pos="9638"/>
        </w:tabs>
        <w:spacing w:after="120"/>
        <w:ind w:left="1559" w:hanging="425"/>
      </w:pPr>
      <w:r>
        <w:t>A.</w:t>
      </w:r>
      <w:r>
        <w:tab/>
      </w:r>
      <w:r w:rsidRPr="00EC049E">
        <w:rPr>
          <w:lang w:val="fr-FR"/>
        </w:rPr>
        <w:t>Décisions</w:t>
      </w:r>
      <w:r>
        <w:tab/>
      </w:r>
      <w:r>
        <w:tab/>
        <w:t>5</w:t>
      </w:r>
    </w:p>
    <w:p w:rsidR="0095229A" w:rsidRDefault="0095229A" w:rsidP="0095229A">
      <w:pPr>
        <w:tabs>
          <w:tab w:val="right" w:leader="dot" w:pos="8787"/>
          <w:tab w:val="right" w:pos="9638"/>
        </w:tabs>
        <w:spacing w:after="120"/>
        <w:ind w:left="1559" w:hanging="425"/>
      </w:pPr>
      <w:r>
        <w:t>B.</w:t>
      </w:r>
      <w:r>
        <w:tab/>
      </w:r>
      <w:r>
        <w:rPr>
          <w:lang w:val="fr-FR"/>
        </w:rPr>
        <w:t>Déclarations</w:t>
      </w:r>
      <w:r>
        <w:tab/>
      </w:r>
      <w:r>
        <w:tab/>
        <w:t>9</w:t>
      </w:r>
    </w:p>
    <w:p w:rsidR="0095229A" w:rsidRDefault="0095229A" w:rsidP="0095229A">
      <w:pPr>
        <w:tabs>
          <w:tab w:val="right" w:leader="dot" w:pos="8787"/>
          <w:tab w:val="right" w:pos="9638"/>
        </w:tabs>
        <w:spacing w:after="120"/>
        <w:ind w:left="1559" w:hanging="425"/>
      </w:pPr>
      <w:r>
        <w:t>C.</w:t>
      </w:r>
      <w:r>
        <w:tab/>
      </w:r>
      <w:r>
        <w:rPr>
          <w:lang w:val="fr-FR"/>
        </w:rPr>
        <w:t>Examen de la situation au titre des procédures d’alerte rapide et d’action urgente</w:t>
      </w:r>
      <w:r>
        <w:tab/>
      </w:r>
      <w:r>
        <w:tab/>
        <w:t>12</w:t>
      </w:r>
    </w:p>
    <w:p w:rsidR="0095229A" w:rsidRDefault="0095229A" w:rsidP="0095229A">
      <w:pPr>
        <w:tabs>
          <w:tab w:val="right" w:pos="850"/>
          <w:tab w:val="right" w:leader="dot" w:pos="8787"/>
          <w:tab w:val="right" w:pos="9638"/>
        </w:tabs>
        <w:spacing w:after="120"/>
        <w:ind w:left="1134" w:hanging="1134"/>
      </w:pPr>
      <w:r>
        <w:tab/>
        <w:t>III.</w:t>
      </w:r>
      <w:r>
        <w:tab/>
      </w:r>
      <w:r w:rsidRPr="009772CA">
        <w:rPr>
          <w:lang w:val="fr-FR"/>
        </w:rPr>
        <w:t>Examen des rapports, observations et renseignements soumis par les États part</w:t>
      </w:r>
      <w:r>
        <w:rPr>
          <w:lang w:val="fr-FR"/>
        </w:rPr>
        <w:t xml:space="preserve">ies </w:t>
      </w:r>
      <w:r>
        <w:rPr>
          <w:lang w:val="fr-FR"/>
        </w:rPr>
        <w:br/>
        <w:t>en application de l’article </w:t>
      </w:r>
      <w:r w:rsidRPr="009772CA">
        <w:rPr>
          <w:lang w:val="fr-FR"/>
        </w:rPr>
        <w:t>9 de la Convention</w:t>
      </w:r>
      <w:r>
        <w:tab/>
      </w:r>
      <w:r>
        <w:tab/>
        <w:t>13</w:t>
      </w:r>
    </w:p>
    <w:p w:rsidR="0095229A" w:rsidRDefault="0095229A" w:rsidP="0095229A">
      <w:pPr>
        <w:tabs>
          <w:tab w:val="right" w:pos="850"/>
          <w:tab w:val="right" w:leader="dot" w:pos="8787"/>
          <w:tab w:val="right" w:pos="9638"/>
        </w:tabs>
        <w:spacing w:after="120"/>
        <w:ind w:left="1134" w:hanging="1134"/>
      </w:pPr>
      <w:r>
        <w:tab/>
        <w:t>IV.</w:t>
      </w:r>
      <w:r>
        <w:tab/>
      </w:r>
      <w:r w:rsidRPr="00DF3E52">
        <w:rPr>
          <w:lang w:val="fr-FR"/>
        </w:rPr>
        <w:t>Suite donnée à l</w:t>
      </w:r>
      <w:r>
        <w:rPr>
          <w:lang w:val="fr-FR"/>
        </w:rPr>
        <w:t>’</w:t>
      </w:r>
      <w:r w:rsidRPr="00DF3E52">
        <w:rPr>
          <w:lang w:val="fr-FR"/>
        </w:rPr>
        <w:t>examen des rapports soumis par les États parties en application de l</w:t>
      </w:r>
      <w:r>
        <w:rPr>
          <w:lang w:val="fr-FR"/>
        </w:rPr>
        <w:t>’</w:t>
      </w:r>
      <w:r w:rsidRPr="00DF3E52">
        <w:rPr>
          <w:lang w:val="fr-FR"/>
        </w:rPr>
        <w:t xml:space="preserve">article 9 </w:t>
      </w:r>
      <w:r w:rsidRPr="00DF3E52">
        <w:rPr>
          <w:lang w:val="fr-FR"/>
        </w:rPr>
        <w:br/>
        <w:t>de la Convention</w:t>
      </w:r>
      <w:r>
        <w:tab/>
      </w:r>
      <w:r>
        <w:tab/>
        <w:t>14</w:t>
      </w:r>
    </w:p>
    <w:p w:rsidR="0095229A" w:rsidRDefault="0095229A" w:rsidP="0095229A">
      <w:pPr>
        <w:tabs>
          <w:tab w:val="right" w:pos="850"/>
          <w:tab w:val="right" w:leader="dot" w:pos="8787"/>
          <w:tab w:val="right" w:pos="9638"/>
        </w:tabs>
        <w:spacing w:after="120"/>
        <w:ind w:left="1134" w:hanging="1134"/>
      </w:pPr>
      <w:r>
        <w:tab/>
        <w:t>V.</w:t>
      </w:r>
      <w:r>
        <w:tab/>
      </w:r>
      <w:r>
        <w:rPr>
          <w:lang w:val="fr-FR"/>
        </w:rPr>
        <w:t>Examen des communications soumises en vertu de l’article 11 de la Convention</w:t>
      </w:r>
      <w:r>
        <w:tab/>
      </w:r>
      <w:r>
        <w:tab/>
        <w:t>15</w:t>
      </w:r>
    </w:p>
    <w:p w:rsidR="0095229A" w:rsidRDefault="0095229A" w:rsidP="0095229A">
      <w:pPr>
        <w:tabs>
          <w:tab w:val="right" w:pos="850"/>
          <w:tab w:val="right" w:leader="dot" w:pos="8787"/>
          <w:tab w:val="right" w:pos="9638"/>
        </w:tabs>
        <w:spacing w:after="120"/>
        <w:ind w:left="1134" w:hanging="1134"/>
      </w:pPr>
      <w:r>
        <w:tab/>
        <w:t>VI.</w:t>
      </w:r>
      <w:r>
        <w:tab/>
      </w:r>
      <w:r w:rsidRPr="00413A05">
        <w:rPr>
          <w:lang w:val="fr-FR"/>
        </w:rPr>
        <w:t>Représailles</w:t>
      </w:r>
      <w:r>
        <w:tab/>
      </w:r>
      <w:r>
        <w:tab/>
        <w:t>16</w:t>
      </w:r>
    </w:p>
    <w:p w:rsidR="0095229A" w:rsidRDefault="0095229A" w:rsidP="0095229A">
      <w:pPr>
        <w:tabs>
          <w:tab w:val="right" w:pos="850"/>
          <w:tab w:val="right" w:leader="dot" w:pos="8787"/>
          <w:tab w:val="right" w:pos="9638"/>
        </w:tabs>
        <w:spacing w:after="120"/>
        <w:ind w:left="1134" w:hanging="1134"/>
      </w:pPr>
      <w:r>
        <w:tab/>
        <w:t>VII.</w:t>
      </w:r>
      <w:r>
        <w:tab/>
      </w:r>
      <w:r>
        <w:rPr>
          <w:lang w:val="fr-FR"/>
        </w:rPr>
        <w:t>États parties dont les rapports sont très en retard</w:t>
      </w:r>
      <w:r>
        <w:tab/>
      </w:r>
      <w:r>
        <w:tab/>
        <w:t>17</w:t>
      </w:r>
    </w:p>
    <w:p w:rsidR="0095229A" w:rsidRDefault="0095229A" w:rsidP="0095229A">
      <w:pPr>
        <w:tabs>
          <w:tab w:val="right" w:leader="dot" w:pos="8787"/>
          <w:tab w:val="right" w:pos="9638"/>
        </w:tabs>
        <w:spacing w:after="120"/>
        <w:ind w:left="1559" w:hanging="425"/>
      </w:pPr>
      <w:r>
        <w:t>A.</w:t>
      </w:r>
      <w:r>
        <w:tab/>
      </w:r>
      <w:r w:rsidRPr="00A65EFA">
        <w:rPr>
          <w:lang w:val="fr-FR"/>
        </w:rPr>
        <w:t>Rapports en retard d</w:t>
      </w:r>
      <w:r>
        <w:rPr>
          <w:lang w:val="fr-FR"/>
        </w:rPr>
        <w:t>’</w:t>
      </w:r>
      <w:r w:rsidRPr="00A65EFA">
        <w:rPr>
          <w:lang w:val="fr-FR"/>
        </w:rPr>
        <w:t>au moins dix ans</w:t>
      </w:r>
      <w:r>
        <w:tab/>
      </w:r>
      <w:r>
        <w:tab/>
        <w:t>17</w:t>
      </w:r>
    </w:p>
    <w:p w:rsidR="0095229A" w:rsidRDefault="0095229A" w:rsidP="0095229A">
      <w:pPr>
        <w:tabs>
          <w:tab w:val="right" w:leader="dot" w:pos="8787"/>
          <w:tab w:val="right" w:pos="9638"/>
        </w:tabs>
        <w:spacing w:after="120"/>
        <w:ind w:left="1559" w:hanging="425"/>
      </w:pPr>
      <w:r>
        <w:t>B.</w:t>
      </w:r>
      <w:r>
        <w:tab/>
      </w:r>
      <w:r w:rsidRPr="00A65EFA">
        <w:t>Rapports en retard d</w:t>
      </w:r>
      <w:r>
        <w:t>’</w:t>
      </w:r>
      <w:r w:rsidRPr="00A65EFA">
        <w:t>au moins cinq ans</w:t>
      </w:r>
      <w:r>
        <w:tab/>
      </w:r>
      <w:r>
        <w:tab/>
        <w:t>18</w:t>
      </w:r>
    </w:p>
    <w:p w:rsidR="0095229A" w:rsidRDefault="0095229A" w:rsidP="0095229A">
      <w:pPr>
        <w:tabs>
          <w:tab w:val="right" w:leader="dot" w:pos="8787"/>
          <w:tab w:val="right" w:pos="9638"/>
        </w:tabs>
        <w:spacing w:after="120"/>
        <w:ind w:left="1559" w:hanging="425"/>
      </w:pPr>
      <w:r>
        <w:t>C.</w:t>
      </w:r>
      <w:r>
        <w:tab/>
      </w:r>
      <w:r w:rsidRPr="00A65EFA">
        <w:t xml:space="preserve">Décisions prises par le Comité pour faire en sorte que les États parties </w:t>
      </w:r>
      <w:r>
        <w:br/>
      </w:r>
      <w:r w:rsidRPr="00A65EFA">
        <w:t>soumettent leurs rapports</w:t>
      </w:r>
      <w:r>
        <w:tab/>
      </w:r>
      <w:r>
        <w:tab/>
        <w:t>19</w:t>
      </w:r>
    </w:p>
    <w:p w:rsidR="0095229A" w:rsidRDefault="0095229A" w:rsidP="0095229A">
      <w:pPr>
        <w:tabs>
          <w:tab w:val="right" w:pos="850"/>
          <w:tab w:val="right" w:leader="dot" w:pos="8787"/>
          <w:tab w:val="right" w:pos="9638"/>
        </w:tabs>
        <w:spacing w:after="120"/>
        <w:ind w:left="1134" w:hanging="1134"/>
      </w:pPr>
      <w:r>
        <w:tab/>
        <w:t>VIII.</w:t>
      </w:r>
      <w:r>
        <w:tab/>
      </w:r>
      <w:r>
        <w:rPr>
          <w:lang w:val="fr-FR"/>
        </w:rPr>
        <w:t>Examen des communications soumises en vertu de l’article 14 de la Convention</w:t>
      </w:r>
      <w:r>
        <w:tab/>
      </w:r>
      <w:r>
        <w:tab/>
        <w:t>20</w:t>
      </w:r>
    </w:p>
    <w:p w:rsidR="0095229A" w:rsidRDefault="0095229A" w:rsidP="0095229A">
      <w:pPr>
        <w:tabs>
          <w:tab w:val="right" w:pos="850"/>
          <w:tab w:val="right" w:leader="dot" w:pos="8787"/>
          <w:tab w:val="right" w:pos="9638"/>
        </w:tabs>
        <w:spacing w:after="120"/>
        <w:ind w:left="1134" w:hanging="1134"/>
      </w:pPr>
      <w:r>
        <w:tab/>
        <w:t>IX.</w:t>
      </w:r>
      <w:r>
        <w:tab/>
      </w:r>
      <w:r>
        <w:rPr>
          <w:lang w:val="fr-FR"/>
        </w:rPr>
        <w:t>Suivi des communications individuelles</w:t>
      </w:r>
      <w:r>
        <w:tab/>
      </w:r>
      <w:r>
        <w:tab/>
        <w:t>22</w:t>
      </w:r>
    </w:p>
    <w:p w:rsidR="0095229A" w:rsidRDefault="0095229A" w:rsidP="0095229A">
      <w:pPr>
        <w:tabs>
          <w:tab w:val="right" w:pos="850"/>
          <w:tab w:val="right" w:leader="dot" w:pos="8787"/>
          <w:tab w:val="right" w:pos="9638"/>
        </w:tabs>
        <w:spacing w:after="120"/>
        <w:ind w:left="1134" w:hanging="1134"/>
      </w:pPr>
      <w:r>
        <w:tab/>
        <w:t>X.</w:t>
      </w:r>
      <w:r>
        <w:tab/>
      </w:r>
      <w:r>
        <w:rPr>
          <w:lang w:val="fr-FR"/>
        </w:rPr>
        <w:t xml:space="preserve">Examen de copies des pétitions, de copies des rapports et d’autres renseignements relatifs </w:t>
      </w:r>
      <w:r>
        <w:rPr>
          <w:lang w:val="fr-FR"/>
        </w:rPr>
        <w:br/>
        <w:t xml:space="preserve">aux territoires sous tutelle et aux territoires non autonomes auxquels s’applique </w:t>
      </w:r>
      <w:r>
        <w:rPr>
          <w:lang w:val="fr-FR"/>
        </w:rPr>
        <w:br/>
        <w:t>la résolution 1514 (XV) de l’Assemblée générale, conformément à l’article 15</w:t>
      </w:r>
      <w:r>
        <w:rPr>
          <w:lang w:val="fr-FR"/>
        </w:rPr>
        <w:br/>
        <w:t>de la Convention</w:t>
      </w:r>
      <w:r>
        <w:tab/>
      </w:r>
      <w:r>
        <w:tab/>
        <w:t>25</w:t>
      </w:r>
    </w:p>
    <w:p w:rsidR="0095229A" w:rsidRDefault="0095229A" w:rsidP="0095229A">
      <w:pPr>
        <w:tabs>
          <w:tab w:val="right" w:pos="850"/>
          <w:tab w:val="right" w:leader="dot" w:pos="8787"/>
          <w:tab w:val="right" w:pos="9638"/>
        </w:tabs>
        <w:spacing w:after="120"/>
        <w:ind w:left="1134" w:hanging="1134"/>
      </w:pPr>
      <w:r>
        <w:tab/>
        <w:t>XI.</w:t>
      </w:r>
      <w:r>
        <w:tab/>
      </w:r>
      <w:r>
        <w:rPr>
          <w:lang w:val="fr-FR"/>
        </w:rPr>
        <w:t xml:space="preserve">Suivi de la Conférence mondiale contre le racisme, la discrimination raciale, la xénophobie </w:t>
      </w:r>
      <w:r>
        <w:rPr>
          <w:lang w:val="fr-FR"/>
        </w:rPr>
        <w:br/>
        <w:t>et l’intolérance qui y est associée, et de la Conférence d’examen de Durban</w:t>
      </w:r>
      <w:r>
        <w:tab/>
      </w:r>
      <w:r>
        <w:tab/>
        <w:t>26</w:t>
      </w:r>
    </w:p>
    <w:p w:rsidR="0095229A" w:rsidRDefault="0095229A" w:rsidP="0095229A">
      <w:pPr>
        <w:tabs>
          <w:tab w:val="right" w:pos="850"/>
          <w:tab w:val="right" w:leader="dot" w:pos="8787"/>
          <w:tab w:val="right" w:pos="9638"/>
        </w:tabs>
        <w:spacing w:after="120"/>
        <w:ind w:left="1134" w:hanging="1134"/>
      </w:pPr>
      <w:r>
        <w:tab/>
        <w:t>XII.</w:t>
      </w:r>
      <w:r>
        <w:tab/>
      </w:r>
      <w:r w:rsidRPr="00BC3BA2">
        <w:rPr>
          <w:lang w:val="fr-FR"/>
        </w:rPr>
        <w:t>Débat thématique sur la discrimination raciale dans le monde d</w:t>
      </w:r>
      <w:r>
        <w:rPr>
          <w:lang w:val="fr-FR"/>
        </w:rPr>
        <w:t>’</w:t>
      </w:r>
      <w:r w:rsidRPr="00BC3BA2">
        <w:rPr>
          <w:lang w:val="fr-FR"/>
        </w:rPr>
        <w:t>aujourd</w:t>
      </w:r>
      <w:r>
        <w:rPr>
          <w:lang w:val="fr-FR"/>
        </w:rPr>
        <w:t>’</w:t>
      </w:r>
      <w:r w:rsidRPr="00BC3BA2">
        <w:rPr>
          <w:lang w:val="fr-FR"/>
        </w:rPr>
        <w:t>hui</w:t>
      </w:r>
      <w:r>
        <w:rPr>
          <w:lang w:val="fr-FR"/>
        </w:rPr>
        <w:t> :</w:t>
      </w:r>
      <w:r w:rsidRPr="00BC3BA2">
        <w:rPr>
          <w:lang w:val="fr-FR"/>
        </w:rPr>
        <w:t xml:space="preserve"> profilage racial, </w:t>
      </w:r>
      <w:r>
        <w:rPr>
          <w:lang w:val="fr-FR"/>
        </w:rPr>
        <w:br/>
      </w:r>
      <w:r w:rsidRPr="00BC3BA2">
        <w:rPr>
          <w:lang w:val="fr-FR"/>
        </w:rPr>
        <w:t>nettoyage ethnique et problèmes et défis mondiaux actuels</w:t>
      </w:r>
      <w:r>
        <w:tab/>
      </w:r>
      <w:r>
        <w:tab/>
        <w:t>27</w:t>
      </w:r>
    </w:p>
    <w:p w:rsidR="0095229A" w:rsidRPr="00C036E4" w:rsidRDefault="0095229A" w:rsidP="0095229A">
      <w:pPr>
        <w:tabs>
          <w:tab w:val="right" w:pos="850"/>
        </w:tabs>
        <w:spacing w:after="120"/>
      </w:pPr>
      <w:r>
        <w:tab/>
        <w:t>Annexes</w:t>
      </w:r>
    </w:p>
    <w:p w:rsidR="001D2203" w:rsidRPr="00AA27A5" w:rsidRDefault="0095229A" w:rsidP="001D2203">
      <w:pPr>
        <w:tabs>
          <w:tab w:val="right" w:pos="850"/>
          <w:tab w:val="right" w:leader="dot" w:pos="8787"/>
          <w:tab w:val="right" w:pos="9638"/>
        </w:tabs>
        <w:spacing w:after="120"/>
        <w:ind w:left="1134" w:hanging="1134"/>
      </w:pPr>
      <w:r>
        <w:tab/>
      </w:r>
      <w:r>
        <w:tab/>
      </w:r>
      <w:r w:rsidRPr="00A65EFA">
        <w:t xml:space="preserve">Renseignements sur la suite donnée aux communications pour lesquelles </w:t>
      </w:r>
      <w:r>
        <w:br/>
      </w:r>
      <w:r w:rsidRPr="00A65EFA">
        <w:t>le Comité a adopté des recommandations</w:t>
      </w:r>
      <w:r>
        <w:tab/>
      </w:r>
      <w:r>
        <w:tab/>
        <w:t>28</w:t>
      </w:r>
    </w:p>
    <w:p w:rsidR="00D040D5" w:rsidRDefault="00D040D5" w:rsidP="00C451B9">
      <w:pPr>
        <w:sectPr w:rsidR="00D040D5" w:rsidSect="00D040D5">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1417" w:right="1134" w:bottom="1134" w:left="1134" w:header="850" w:footer="567" w:gutter="0"/>
          <w:pgNumType w:fmt="lowerRoman" w:start="3"/>
          <w:cols w:space="720"/>
          <w:titlePg/>
          <w:docGrid w:linePitch="272"/>
        </w:sectPr>
      </w:pPr>
    </w:p>
    <w:p w:rsidR="00D177AD" w:rsidRPr="00A65EFA" w:rsidRDefault="00D177AD" w:rsidP="00D177AD">
      <w:pPr>
        <w:pStyle w:val="HChG"/>
      </w:pPr>
      <w:r>
        <w:rPr>
          <w:lang w:val="fr-FR"/>
        </w:rPr>
        <w:lastRenderedPageBreak/>
        <w:tab/>
      </w:r>
      <w:r w:rsidRPr="00A65EFA">
        <w:rPr>
          <w:lang w:val="fr-FR"/>
        </w:rPr>
        <w:tab/>
        <w:t>Lettre d</w:t>
      </w:r>
      <w:r w:rsidR="009D7A41">
        <w:rPr>
          <w:lang w:val="fr-FR"/>
        </w:rPr>
        <w:t>’</w:t>
      </w:r>
      <w:r w:rsidRPr="00A65EFA">
        <w:rPr>
          <w:lang w:val="fr-FR"/>
        </w:rPr>
        <w:t>envoi</w:t>
      </w:r>
    </w:p>
    <w:p w:rsidR="00D177AD" w:rsidRPr="00A65EFA" w:rsidRDefault="00D177AD" w:rsidP="00D177AD">
      <w:pPr>
        <w:pStyle w:val="SingleTxtG"/>
        <w:jc w:val="right"/>
      </w:pPr>
      <w:r>
        <w:rPr>
          <w:lang w:val="fr-FR"/>
        </w:rPr>
        <w:t>6</w:t>
      </w:r>
      <w:r w:rsidRPr="00A65EFA">
        <w:rPr>
          <w:lang w:val="fr-FR"/>
        </w:rPr>
        <w:t> août 201</w:t>
      </w:r>
      <w:r>
        <w:rPr>
          <w:lang w:val="fr-FR"/>
        </w:rPr>
        <w:t>8</w:t>
      </w:r>
    </w:p>
    <w:p w:rsidR="00D177AD" w:rsidRPr="00A65EFA" w:rsidRDefault="00D177AD" w:rsidP="00D177AD">
      <w:pPr>
        <w:pStyle w:val="SingleTxtG"/>
        <w:spacing w:after="100" w:line="220" w:lineRule="atLeast"/>
        <w:ind w:firstLine="567"/>
        <w:rPr>
          <w:lang w:val="fr-FR"/>
        </w:rPr>
      </w:pPr>
      <w:r w:rsidRPr="00A65EFA">
        <w:rPr>
          <w:lang w:val="fr-FR"/>
        </w:rPr>
        <w:t>Monsieur le Secrétaire général</w:t>
      </w:r>
      <w:r>
        <w:rPr>
          <w:lang w:val="fr-FR"/>
        </w:rPr>
        <w:t>,</w:t>
      </w:r>
    </w:p>
    <w:p w:rsidR="00D177AD" w:rsidRPr="00A65EFA" w:rsidRDefault="00D177AD" w:rsidP="00D177AD">
      <w:pPr>
        <w:pStyle w:val="SingleTxtG"/>
        <w:spacing w:after="100" w:line="220" w:lineRule="atLeast"/>
        <w:ind w:firstLine="567"/>
      </w:pPr>
      <w:r w:rsidRPr="00A65EFA">
        <w:rPr>
          <w:lang w:val="fr-FR"/>
        </w:rPr>
        <w:t>J</w:t>
      </w:r>
      <w:r w:rsidR="009D7A41">
        <w:rPr>
          <w:lang w:val="fr-FR"/>
        </w:rPr>
        <w:t>’</w:t>
      </w:r>
      <w:r w:rsidRPr="00A65EFA">
        <w:rPr>
          <w:lang w:val="fr-FR"/>
        </w:rPr>
        <w:t>ai l</w:t>
      </w:r>
      <w:r w:rsidR="009D7A41">
        <w:rPr>
          <w:lang w:val="fr-FR"/>
        </w:rPr>
        <w:t>’</w:t>
      </w:r>
      <w:r w:rsidRPr="00A65EFA">
        <w:rPr>
          <w:lang w:val="fr-FR"/>
        </w:rPr>
        <w:t>honneur de vous faire tenir le rapport annuel du Comité pour l</w:t>
      </w:r>
      <w:r w:rsidR="009D7A41">
        <w:rPr>
          <w:lang w:val="fr-FR"/>
        </w:rPr>
        <w:t>’</w:t>
      </w:r>
      <w:r w:rsidRPr="00A65EFA">
        <w:rPr>
          <w:lang w:val="fr-FR"/>
        </w:rPr>
        <w:t>élimination de la discrimination raciale.</w:t>
      </w:r>
    </w:p>
    <w:p w:rsidR="00D177AD" w:rsidRPr="00816426" w:rsidRDefault="00D177AD" w:rsidP="00D177AD">
      <w:pPr>
        <w:pStyle w:val="SingleTxtG"/>
        <w:spacing w:after="100" w:line="220" w:lineRule="atLeast"/>
        <w:ind w:firstLine="567"/>
        <w:rPr>
          <w:rFonts w:eastAsia="Times New Roman"/>
        </w:rPr>
      </w:pPr>
      <w:r w:rsidRPr="00816426">
        <w:rPr>
          <w:rFonts w:eastAsia="Times New Roman"/>
          <w:lang w:val="fr-FR"/>
        </w:rPr>
        <w:t>Ce rapport comprend des renseignements relatifs a</w:t>
      </w:r>
      <w:r>
        <w:rPr>
          <w:rFonts w:eastAsia="Times New Roman"/>
          <w:lang w:val="fr-FR"/>
        </w:rPr>
        <w:t>ux quatre-vingt-treizième, quatre</w:t>
      </w:r>
      <w:r>
        <w:rPr>
          <w:rFonts w:eastAsia="Times New Roman"/>
          <w:lang w:val="fr-FR"/>
        </w:rPr>
        <w:noBreakHyphen/>
      </w:r>
      <w:r w:rsidRPr="00816426">
        <w:rPr>
          <w:rFonts w:eastAsia="Times New Roman"/>
          <w:lang w:val="fr-FR"/>
        </w:rPr>
        <w:t>vingt-</w:t>
      </w:r>
      <w:r>
        <w:rPr>
          <w:rFonts w:eastAsia="Times New Roman"/>
          <w:lang w:val="fr-FR"/>
        </w:rPr>
        <w:t>quator</w:t>
      </w:r>
      <w:r w:rsidRPr="00816426">
        <w:rPr>
          <w:rFonts w:eastAsia="Times New Roman"/>
          <w:lang w:val="fr-FR"/>
        </w:rPr>
        <w:t>zième et quatre-vingt-</w:t>
      </w:r>
      <w:r>
        <w:rPr>
          <w:rFonts w:eastAsia="Times New Roman"/>
          <w:lang w:val="fr-FR"/>
        </w:rPr>
        <w:t>quin</w:t>
      </w:r>
      <w:r w:rsidRPr="00816426">
        <w:rPr>
          <w:rFonts w:eastAsia="Times New Roman"/>
          <w:lang w:val="fr-FR"/>
        </w:rPr>
        <w:t xml:space="preserve">zième sessions (tenues respectivement du </w:t>
      </w:r>
      <w:r>
        <w:rPr>
          <w:rFonts w:eastAsia="Times New Roman"/>
          <w:lang w:val="fr-FR"/>
        </w:rPr>
        <w:t>31</w:t>
      </w:r>
      <w:r w:rsidR="00616C60">
        <w:rPr>
          <w:rFonts w:eastAsia="Times New Roman"/>
          <w:lang w:val="fr-FR"/>
        </w:rPr>
        <w:t> </w:t>
      </w:r>
      <w:r>
        <w:rPr>
          <w:rFonts w:eastAsia="Times New Roman"/>
          <w:lang w:val="fr-FR"/>
        </w:rPr>
        <w:t xml:space="preserve">juillet </w:t>
      </w:r>
      <w:r w:rsidRPr="00816426">
        <w:rPr>
          <w:rFonts w:eastAsia="Times New Roman"/>
          <w:lang w:val="fr-FR"/>
        </w:rPr>
        <w:t>au 2</w:t>
      </w:r>
      <w:r>
        <w:rPr>
          <w:rFonts w:eastAsia="Times New Roman"/>
          <w:lang w:val="fr-FR"/>
        </w:rPr>
        <w:t>5</w:t>
      </w:r>
      <w:r w:rsidRPr="00816426">
        <w:rPr>
          <w:rFonts w:eastAsia="Times New Roman"/>
          <w:lang w:val="fr-FR"/>
        </w:rPr>
        <w:t> août 201</w:t>
      </w:r>
      <w:r>
        <w:rPr>
          <w:rFonts w:eastAsia="Times New Roman"/>
          <w:lang w:val="fr-FR"/>
        </w:rPr>
        <w:t>7</w:t>
      </w:r>
      <w:r w:rsidRPr="00816426">
        <w:rPr>
          <w:rFonts w:eastAsia="Times New Roman"/>
          <w:lang w:val="fr-FR"/>
        </w:rPr>
        <w:t>, du 2</w:t>
      </w:r>
      <w:r>
        <w:rPr>
          <w:rFonts w:eastAsia="Times New Roman"/>
          <w:lang w:val="fr-FR"/>
        </w:rPr>
        <w:t>0</w:t>
      </w:r>
      <w:r w:rsidRPr="00816426">
        <w:rPr>
          <w:rFonts w:eastAsia="Times New Roman"/>
          <w:lang w:val="fr-FR"/>
        </w:rPr>
        <w:t xml:space="preserve"> novembre au </w:t>
      </w:r>
      <w:r>
        <w:rPr>
          <w:rFonts w:eastAsia="Times New Roman"/>
          <w:lang w:val="fr-FR"/>
        </w:rPr>
        <w:t>8</w:t>
      </w:r>
      <w:r w:rsidRPr="00816426">
        <w:rPr>
          <w:rFonts w:eastAsia="Times New Roman"/>
          <w:lang w:val="fr-FR"/>
        </w:rPr>
        <w:t> décembre 201</w:t>
      </w:r>
      <w:r>
        <w:rPr>
          <w:rFonts w:eastAsia="Times New Roman"/>
          <w:lang w:val="fr-FR"/>
        </w:rPr>
        <w:t>7</w:t>
      </w:r>
      <w:r w:rsidRPr="00816426">
        <w:rPr>
          <w:rFonts w:eastAsia="Times New Roman"/>
          <w:lang w:val="fr-FR"/>
        </w:rPr>
        <w:t xml:space="preserve"> et du 2</w:t>
      </w:r>
      <w:r>
        <w:rPr>
          <w:rFonts w:eastAsia="Times New Roman"/>
          <w:lang w:val="fr-FR"/>
        </w:rPr>
        <w:t>3</w:t>
      </w:r>
      <w:r w:rsidRPr="00816426">
        <w:rPr>
          <w:rFonts w:eastAsia="Times New Roman"/>
          <w:lang w:val="fr-FR"/>
        </w:rPr>
        <w:t> avril au 1</w:t>
      </w:r>
      <w:r>
        <w:rPr>
          <w:rFonts w:eastAsia="Times New Roman"/>
          <w:lang w:val="fr-FR"/>
        </w:rPr>
        <w:t>1</w:t>
      </w:r>
      <w:r w:rsidRPr="00816426">
        <w:rPr>
          <w:rFonts w:eastAsia="Times New Roman"/>
          <w:lang w:val="fr-FR"/>
        </w:rPr>
        <w:t> mai 201</w:t>
      </w:r>
      <w:r>
        <w:rPr>
          <w:rFonts w:eastAsia="Times New Roman"/>
          <w:lang w:val="fr-FR"/>
        </w:rPr>
        <w:t>8</w:t>
      </w:r>
      <w:r w:rsidRPr="00816426">
        <w:rPr>
          <w:rFonts w:eastAsia="Times New Roman"/>
          <w:lang w:val="fr-FR"/>
        </w:rPr>
        <w:t>).</w:t>
      </w:r>
    </w:p>
    <w:p w:rsidR="00D177AD" w:rsidRPr="00CA0562" w:rsidRDefault="00D177AD" w:rsidP="00D177AD">
      <w:pPr>
        <w:pStyle w:val="SingleTxtG"/>
        <w:spacing w:after="100"/>
        <w:ind w:firstLine="567"/>
        <w:rPr>
          <w:rFonts w:eastAsia="Times New Roman"/>
          <w:spacing w:val="-1"/>
        </w:rPr>
      </w:pPr>
      <w:r w:rsidRPr="00CA0562">
        <w:rPr>
          <w:rFonts w:eastAsia="Times New Roman"/>
          <w:spacing w:val="-1"/>
          <w:lang w:val="fr-FR"/>
        </w:rPr>
        <w:t>Désormais, 17</w:t>
      </w:r>
      <w:r>
        <w:rPr>
          <w:rFonts w:eastAsia="Times New Roman"/>
          <w:spacing w:val="-1"/>
          <w:lang w:val="fr-FR"/>
        </w:rPr>
        <w:t>9</w:t>
      </w:r>
      <w:r w:rsidRPr="00CA0562">
        <w:rPr>
          <w:rFonts w:eastAsia="Times New Roman"/>
          <w:spacing w:val="-1"/>
          <w:lang w:val="fr-FR"/>
        </w:rPr>
        <w:t> États ont ratifié la Convention internationale sur l</w:t>
      </w:r>
      <w:r w:rsidR="009D7A41">
        <w:rPr>
          <w:rFonts w:eastAsia="Times New Roman"/>
          <w:spacing w:val="-1"/>
          <w:lang w:val="fr-FR"/>
        </w:rPr>
        <w:t>’</w:t>
      </w:r>
      <w:r w:rsidRPr="00CA0562">
        <w:rPr>
          <w:rFonts w:eastAsia="Times New Roman"/>
          <w:spacing w:val="-1"/>
          <w:lang w:val="fr-FR"/>
        </w:rPr>
        <w:t>élimination de toutes les formes de discrimination raciale, qui constitue la base normative sur laquelle doivent reposer les efforts internationaux en matière de lutte contre la discrimination raciale.</w:t>
      </w:r>
    </w:p>
    <w:p w:rsidR="00616C60" w:rsidRDefault="00D177AD" w:rsidP="00D177AD">
      <w:pPr>
        <w:pStyle w:val="SingleTxtG"/>
        <w:spacing w:after="100"/>
        <w:ind w:firstLine="567"/>
        <w:rPr>
          <w:rFonts w:eastAsia="Times New Roman"/>
          <w:lang w:val="fr-FR"/>
        </w:rPr>
      </w:pPr>
      <w:r w:rsidRPr="00816426">
        <w:rPr>
          <w:rFonts w:eastAsia="Times New Roman"/>
          <w:lang w:val="fr-FR"/>
        </w:rPr>
        <w:t>À ses quatre-vingt-</w:t>
      </w:r>
      <w:r>
        <w:rPr>
          <w:rFonts w:eastAsia="Times New Roman"/>
          <w:lang w:val="fr-FR"/>
        </w:rPr>
        <w:t>treiz</w:t>
      </w:r>
      <w:r w:rsidRPr="00816426">
        <w:rPr>
          <w:rFonts w:eastAsia="Times New Roman"/>
          <w:lang w:val="fr-FR"/>
        </w:rPr>
        <w:t>ième, quatre-vingt-</w:t>
      </w:r>
      <w:r>
        <w:rPr>
          <w:rFonts w:eastAsia="Times New Roman"/>
          <w:lang w:val="fr-FR"/>
        </w:rPr>
        <w:t>quator</w:t>
      </w:r>
      <w:r w:rsidRPr="00816426">
        <w:rPr>
          <w:rFonts w:eastAsia="Times New Roman"/>
          <w:lang w:val="fr-FR"/>
        </w:rPr>
        <w:t>zième et quatre-vingt-</w:t>
      </w:r>
      <w:r>
        <w:rPr>
          <w:rFonts w:eastAsia="Times New Roman"/>
          <w:lang w:val="fr-FR"/>
        </w:rPr>
        <w:t>quin</w:t>
      </w:r>
      <w:r w:rsidRPr="00816426">
        <w:rPr>
          <w:rFonts w:eastAsia="Times New Roman"/>
          <w:lang w:val="fr-FR"/>
        </w:rPr>
        <w:t>zième sessions, le Comité</w:t>
      </w:r>
      <w:r w:rsidRPr="00A65EFA">
        <w:rPr>
          <w:rFonts w:eastAsia="Times New Roman"/>
          <w:lang w:val="fr-FR"/>
        </w:rPr>
        <w:t xml:space="preserve"> a continué de s</w:t>
      </w:r>
      <w:r w:rsidR="009D7A41">
        <w:rPr>
          <w:rFonts w:eastAsia="Times New Roman"/>
          <w:lang w:val="fr-FR"/>
        </w:rPr>
        <w:t>’</w:t>
      </w:r>
      <w:r w:rsidRPr="00A65EFA">
        <w:rPr>
          <w:rFonts w:eastAsia="Times New Roman"/>
          <w:lang w:val="fr-FR"/>
        </w:rPr>
        <w:t>acquitter d</w:t>
      </w:r>
      <w:r w:rsidR="009D7A41">
        <w:rPr>
          <w:rFonts w:eastAsia="Times New Roman"/>
          <w:lang w:val="fr-FR"/>
        </w:rPr>
        <w:t>’</w:t>
      </w:r>
      <w:r w:rsidRPr="00A65EFA">
        <w:rPr>
          <w:rFonts w:eastAsia="Times New Roman"/>
          <w:lang w:val="fr-FR"/>
        </w:rPr>
        <w:t>un volume de travail important concernant l</w:t>
      </w:r>
      <w:r w:rsidR="009D7A41">
        <w:rPr>
          <w:rFonts w:eastAsia="Times New Roman"/>
          <w:lang w:val="fr-FR"/>
        </w:rPr>
        <w:t>’</w:t>
      </w:r>
      <w:r w:rsidRPr="00A65EFA">
        <w:rPr>
          <w:rFonts w:eastAsia="Times New Roman"/>
          <w:lang w:val="fr-FR"/>
        </w:rPr>
        <w:t xml:space="preserve">examen des rapports des États parties (voir chap. III) et </w:t>
      </w:r>
      <w:r>
        <w:rPr>
          <w:rFonts w:eastAsia="Times New Roman"/>
          <w:lang w:val="fr-FR"/>
        </w:rPr>
        <w:t xml:space="preserve">a organisé </w:t>
      </w:r>
      <w:r w:rsidRPr="00A65EFA">
        <w:rPr>
          <w:rFonts w:eastAsia="Times New Roman"/>
          <w:lang w:val="fr-FR"/>
        </w:rPr>
        <w:t xml:space="preserve">diverses activités connexes, </w:t>
      </w:r>
      <w:r>
        <w:rPr>
          <w:rFonts w:eastAsia="Times New Roman"/>
          <w:lang w:val="fr-FR"/>
        </w:rPr>
        <w:t>dont</w:t>
      </w:r>
      <w:r w:rsidRPr="00A65EFA">
        <w:rPr>
          <w:rFonts w:eastAsia="Times New Roman"/>
          <w:lang w:val="fr-FR"/>
        </w:rPr>
        <w:t xml:space="preserve"> une réunion </w:t>
      </w:r>
      <w:r>
        <w:rPr>
          <w:rFonts w:eastAsia="Times New Roman"/>
          <w:lang w:val="fr-FR"/>
        </w:rPr>
        <w:t xml:space="preserve">informelle </w:t>
      </w:r>
      <w:r w:rsidRPr="00A65EFA">
        <w:rPr>
          <w:rFonts w:eastAsia="Times New Roman"/>
          <w:lang w:val="fr-FR"/>
        </w:rPr>
        <w:t xml:space="preserve">avec les États parties </w:t>
      </w:r>
      <w:r>
        <w:rPr>
          <w:rFonts w:eastAsia="Times New Roman"/>
          <w:lang w:val="fr-FR"/>
        </w:rPr>
        <w:t xml:space="preserve">qui ne soumettent pas leur rapport, tenue le 24 août 2017, </w:t>
      </w:r>
      <w:r w:rsidRPr="00A65EFA">
        <w:rPr>
          <w:rFonts w:eastAsia="Times New Roman"/>
          <w:lang w:val="fr-FR"/>
        </w:rPr>
        <w:t>et un</w:t>
      </w:r>
      <w:r>
        <w:rPr>
          <w:rFonts w:eastAsia="Times New Roman"/>
          <w:lang w:val="fr-FR"/>
        </w:rPr>
        <w:t xml:space="preserve"> débat thématique, intitulé </w:t>
      </w:r>
      <w:r w:rsidR="00616C60">
        <w:rPr>
          <w:rFonts w:eastAsia="Times New Roman"/>
          <w:lang w:val="fr-FR"/>
        </w:rPr>
        <w:t>« </w:t>
      </w:r>
      <w:r>
        <w:rPr>
          <w:rFonts w:eastAsia="Times New Roman"/>
          <w:lang w:val="fr-FR"/>
        </w:rPr>
        <w:t>La discrimination raciale dans le monde d</w:t>
      </w:r>
      <w:r w:rsidR="009D7A41">
        <w:rPr>
          <w:rFonts w:eastAsia="Times New Roman"/>
          <w:lang w:val="fr-FR"/>
        </w:rPr>
        <w:t>’</w:t>
      </w:r>
      <w:r>
        <w:rPr>
          <w:rFonts w:eastAsia="Times New Roman"/>
          <w:lang w:val="fr-FR"/>
        </w:rPr>
        <w:t>aujourd</w:t>
      </w:r>
      <w:r w:rsidR="009D7A41">
        <w:rPr>
          <w:rFonts w:eastAsia="Times New Roman"/>
          <w:lang w:val="fr-FR"/>
        </w:rPr>
        <w:t>’</w:t>
      </w:r>
      <w:r>
        <w:rPr>
          <w:rFonts w:eastAsia="Times New Roman"/>
          <w:lang w:val="fr-FR"/>
        </w:rPr>
        <w:t>hui</w:t>
      </w:r>
      <w:r w:rsidR="00D725DA">
        <w:rPr>
          <w:rFonts w:eastAsia="Times New Roman"/>
          <w:lang w:val="fr-FR"/>
        </w:rPr>
        <w:t> :</w:t>
      </w:r>
      <w:r>
        <w:rPr>
          <w:rFonts w:eastAsia="Times New Roman"/>
          <w:lang w:val="fr-FR"/>
        </w:rPr>
        <w:t xml:space="preserve"> profilage racial,</w:t>
      </w:r>
      <w:r w:rsidRPr="00A65EFA">
        <w:rPr>
          <w:rFonts w:eastAsia="Times New Roman"/>
          <w:lang w:val="fr-FR"/>
        </w:rPr>
        <w:t xml:space="preserve"> </w:t>
      </w:r>
      <w:r>
        <w:rPr>
          <w:rFonts w:eastAsia="Times New Roman"/>
          <w:lang w:val="fr-FR"/>
        </w:rPr>
        <w:t>nettoyage ethnique et problèmes et défis actuels à l</w:t>
      </w:r>
      <w:r w:rsidR="009D7A41">
        <w:rPr>
          <w:rFonts w:eastAsia="Times New Roman"/>
          <w:lang w:val="fr-FR"/>
        </w:rPr>
        <w:t>’</w:t>
      </w:r>
      <w:r>
        <w:rPr>
          <w:rFonts w:eastAsia="Times New Roman"/>
          <w:lang w:val="fr-FR"/>
        </w:rPr>
        <w:t>échelon mondial</w:t>
      </w:r>
      <w:r w:rsidR="00616C60">
        <w:rPr>
          <w:rFonts w:eastAsia="Times New Roman"/>
          <w:lang w:val="fr-FR"/>
        </w:rPr>
        <w:t> »</w:t>
      </w:r>
      <w:r>
        <w:rPr>
          <w:rFonts w:eastAsia="Times New Roman"/>
          <w:lang w:val="fr-FR"/>
        </w:rPr>
        <w:t>, qui a eu lieu le 29 novembre 2017 dans le cadre de la quatre</w:t>
      </w:r>
      <w:r w:rsidR="00FF0957">
        <w:rPr>
          <w:rFonts w:eastAsia="Times New Roman"/>
          <w:lang w:val="fr-FR"/>
        </w:rPr>
        <w:noBreakHyphen/>
      </w:r>
      <w:r>
        <w:rPr>
          <w:rFonts w:eastAsia="Times New Roman"/>
          <w:lang w:val="fr-FR"/>
        </w:rPr>
        <w:t>vingt-quatorzième session.</w:t>
      </w:r>
      <w:r w:rsidRPr="00A65EFA">
        <w:rPr>
          <w:rFonts w:eastAsia="Times New Roman"/>
          <w:lang w:val="fr-FR"/>
        </w:rPr>
        <w:t xml:space="preserve"> </w:t>
      </w:r>
    </w:p>
    <w:p w:rsidR="00D177AD" w:rsidRPr="00A65EFA" w:rsidRDefault="00D177AD" w:rsidP="00D177AD">
      <w:pPr>
        <w:pStyle w:val="SingleTxtG"/>
        <w:spacing w:after="100"/>
        <w:ind w:firstLine="567"/>
        <w:rPr>
          <w:rFonts w:eastAsia="Times New Roman"/>
        </w:rPr>
      </w:pPr>
      <w:r>
        <w:rPr>
          <w:rFonts w:eastAsia="Times New Roman"/>
          <w:lang w:val="fr-FR"/>
        </w:rPr>
        <w:t xml:space="preserve">Il </w:t>
      </w:r>
      <w:r w:rsidRPr="00A65EFA">
        <w:rPr>
          <w:rFonts w:eastAsia="Times New Roman"/>
          <w:lang w:val="fr-FR"/>
        </w:rPr>
        <w:t xml:space="preserve">a examiné la situation </w:t>
      </w:r>
      <w:r>
        <w:rPr>
          <w:rFonts w:eastAsia="Times New Roman"/>
          <w:lang w:val="fr-FR"/>
        </w:rPr>
        <w:t xml:space="preserve">de </w:t>
      </w:r>
      <w:r w:rsidRPr="00A65EFA">
        <w:rPr>
          <w:rFonts w:eastAsia="Times New Roman"/>
          <w:lang w:val="fr-FR"/>
        </w:rPr>
        <w:t>plusieurs États parties au titre de ses procédures d</w:t>
      </w:r>
      <w:r w:rsidR="009D7A41">
        <w:rPr>
          <w:rFonts w:eastAsia="Times New Roman"/>
          <w:lang w:val="fr-FR"/>
        </w:rPr>
        <w:t>’</w:t>
      </w:r>
      <w:r w:rsidRPr="00A65EFA">
        <w:rPr>
          <w:rFonts w:eastAsia="Times New Roman"/>
          <w:lang w:val="fr-FR"/>
        </w:rPr>
        <w:t>alerte rapide et d</w:t>
      </w:r>
      <w:r w:rsidR="009D7A41">
        <w:rPr>
          <w:rFonts w:eastAsia="Times New Roman"/>
          <w:lang w:val="fr-FR"/>
        </w:rPr>
        <w:t>’</w:t>
      </w:r>
      <w:r w:rsidRPr="00A65EFA">
        <w:rPr>
          <w:rFonts w:eastAsia="Times New Roman"/>
          <w:lang w:val="fr-FR"/>
        </w:rPr>
        <w:t xml:space="preserve">action urgente (voir chap. II). Il a aussi examiné des informations communiquées par plusieurs États parties au titre de sa procédure de suivi </w:t>
      </w:r>
      <w:r w:rsidRPr="00A65EFA">
        <w:rPr>
          <w:rFonts w:eastAsia="Times New Roman"/>
        </w:rPr>
        <w:t>de l</w:t>
      </w:r>
      <w:r w:rsidR="009D7A41">
        <w:rPr>
          <w:rFonts w:eastAsia="Times New Roman"/>
        </w:rPr>
        <w:t>’</w:t>
      </w:r>
      <w:r w:rsidRPr="00A65EFA">
        <w:rPr>
          <w:rFonts w:eastAsia="Times New Roman"/>
        </w:rPr>
        <w:t>examen des rapports</w:t>
      </w:r>
      <w:r w:rsidRPr="00A65EFA">
        <w:rPr>
          <w:rFonts w:eastAsia="Times New Roman"/>
          <w:lang w:val="fr-FR"/>
        </w:rPr>
        <w:t xml:space="preserve"> (voir chap. IV). </w:t>
      </w:r>
      <w:r>
        <w:rPr>
          <w:rFonts w:eastAsia="Times New Roman"/>
          <w:lang w:val="fr-FR"/>
        </w:rPr>
        <w:t>Il</w:t>
      </w:r>
      <w:r w:rsidRPr="00A65EFA">
        <w:rPr>
          <w:rFonts w:eastAsia="Times New Roman"/>
          <w:lang w:val="fr-FR"/>
        </w:rPr>
        <w:t xml:space="preserve"> a également apporté sa contribution à la réunion plénière de l</w:t>
      </w:r>
      <w:r w:rsidR="009D7A41">
        <w:rPr>
          <w:rFonts w:eastAsia="Times New Roman"/>
          <w:lang w:val="fr-FR"/>
        </w:rPr>
        <w:t>’</w:t>
      </w:r>
      <w:r w:rsidRPr="00A65EFA">
        <w:rPr>
          <w:rFonts w:eastAsia="Times New Roman"/>
          <w:lang w:val="fr-FR"/>
        </w:rPr>
        <w:t>Assemblée générale qui s</w:t>
      </w:r>
      <w:r w:rsidR="009D7A41">
        <w:rPr>
          <w:rFonts w:eastAsia="Times New Roman"/>
          <w:lang w:val="fr-FR"/>
        </w:rPr>
        <w:t>’</w:t>
      </w:r>
      <w:r w:rsidRPr="00A65EFA">
        <w:rPr>
          <w:rFonts w:eastAsia="Times New Roman"/>
          <w:lang w:val="fr-FR"/>
        </w:rPr>
        <w:t xml:space="preserve">est tenue </w:t>
      </w:r>
      <w:r>
        <w:rPr>
          <w:rFonts w:eastAsia="Times New Roman"/>
          <w:lang w:val="fr-FR"/>
        </w:rPr>
        <w:t>à l</w:t>
      </w:r>
      <w:r w:rsidR="009D7A41">
        <w:rPr>
          <w:rFonts w:eastAsia="Times New Roman"/>
          <w:lang w:val="fr-FR"/>
        </w:rPr>
        <w:t>’</w:t>
      </w:r>
      <w:r>
        <w:rPr>
          <w:rFonts w:eastAsia="Times New Roman"/>
          <w:lang w:val="fr-FR"/>
        </w:rPr>
        <w:t xml:space="preserve">occasion </w:t>
      </w:r>
      <w:r w:rsidRPr="00A65EFA">
        <w:rPr>
          <w:rFonts w:eastAsia="Times New Roman"/>
          <w:lang w:val="fr-FR"/>
        </w:rPr>
        <w:t xml:space="preserve">de la </w:t>
      </w:r>
      <w:r w:rsidRPr="00A65EFA">
        <w:rPr>
          <w:rFonts w:eastAsia="Times New Roman"/>
        </w:rPr>
        <w:t>Journée internationale pour l</w:t>
      </w:r>
      <w:r w:rsidR="009D7A41">
        <w:rPr>
          <w:rFonts w:eastAsia="Times New Roman"/>
        </w:rPr>
        <w:t>’</w:t>
      </w:r>
      <w:r w:rsidRPr="00A65EFA">
        <w:rPr>
          <w:rFonts w:eastAsia="Times New Roman"/>
        </w:rPr>
        <w:t xml:space="preserve">élimination de la discrimination raciale </w:t>
      </w:r>
      <w:r>
        <w:rPr>
          <w:rFonts w:eastAsia="Times New Roman"/>
        </w:rPr>
        <w:t>ainsi qu</w:t>
      </w:r>
      <w:r w:rsidR="009D7A41">
        <w:rPr>
          <w:rFonts w:eastAsia="Times New Roman"/>
        </w:rPr>
        <w:t>’</w:t>
      </w:r>
      <w:r w:rsidRPr="00A65EFA">
        <w:rPr>
          <w:rFonts w:eastAsia="Times New Roman"/>
        </w:rPr>
        <w:t>au débat sur</w:t>
      </w:r>
      <w:r>
        <w:rPr>
          <w:rFonts w:eastAsia="Times New Roman"/>
        </w:rPr>
        <w:t xml:space="preserve"> la promotion de l</w:t>
      </w:r>
      <w:r w:rsidR="009D7A41">
        <w:rPr>
          <w:rFonts w:eastAsia="Times New Roman"/>
        </w:rPr>
        <w:t>’</w:t>
      </w:r>
      <w:r>
        <w:rPr>
          <w:rFonts w:eastAsia="Times New Roman"/>
        </w:rPr>
        <w:t>intolérance, de l</w:t>
      </w:r>
      <w:r w:rsidR="009D7A41">
        <w:rPr>
          <w:rFonts w:eastAsia="Times New Roman"/>
        </w:rPr>
        <w:t>’</w:t>
      </w:r>
      <w:r>
        <w:rPr>
          <w:rFonts w:eastAsia="Times New Roman"/>
        </w:rPr>
        <w:t>inclusion, de l</w:t>
      </w:r>
      <w:r w:rsidR="009D7A41">
        <w:rPr>
          <w:rFonts w:eastAsia="Times New Roman"/>
        </w:rPr>
        <w:t>’</w:t>
      </w:r>
      <w:r>
        <w:rPr>
          <w:rFonts w:eastAsia="Times New Roman"/>
        </w:rPr>
        <w:t xml:space="preserve">unité et du respect de la diversité dans le contexte de la lutte contre la discrimination raciale, qui a eu lieu dans le cadre </w:t>
      </w:r>
      <w:r w:rsidRPr="00A65EFA">
        <w:rPr>
          <w:rFonts w:eastAsia="Times New Roman"/>
        </w:rPr>
        <w:t>de la trente</w:t>
      </w:r>
      <w:r w:rsidRPr="00A65EFA">
        <w:rPr>
          <w:rFonts w:eastAsia="Times New Roman"/>
        </w:rPr>
        <w:noBreakHyphen/>
      </w:r>
      <w:r>
        <w:rPr>
          <w:rFonts w:eastAsia="Times New Roman"/>
        </w:rPr>
        <w:t>sept</w:t>
      </w:r>
      <w:r w:rsidRPr="00A65EFA">
        <w:rPr>
          <w:rFonts w:eastAsia="Times New Roman"/>
        </w:rPr>
        <w:t>ième session du Conseil des droits de l</w:t>
      </w:r>
      <w:r w:rsidR="009D7A41">
        <w:rPr>
          <w:rFonts w:eastAsia="Times New Roman"/>
        </w:rPr>
        <w:t>’</w:t>
      </w:r>
      <w:r w:rsidRPr="00A65EFA">
        <w:rPr>
          <w:rFonts w:eastAsia="Times New Roman"/>
        </w:rPr>
        <w:t xml:space="preserve">homme. En outre, </w:t>
      </w:r>
      <w:r>
        <w:rPr>
          <w:rFonts w:eastAsia="Times New Roman"/>
        </w:rPr>
        <w:t xml:space="preserve">il </w:t>
      </w:r>
      <w:r w:rsidRPr="00A65EFA">
        <w:rPr>
          <w:rFonts w:eastAsia="Times New Roman"/>
        </w:rPr>
        <w:t xml:space="preserve">a adopté une déclaration </w:t>
      </w:r>
      <w:r>
        <w:rPr>
          <w:rFonts w:eastAsia="Times New Roman"/>
        </w:rPr>
        <w:t>sur la discrimination raciale à l</w:t>
      </w:r>
      <w:r w:rsidR="009D7A41">
        <w:rPr>
          <w:rFonts w:eastAsia="Times New Roman"/>
        </w:rPr>
        <w:t>’</w:t>
      </w:r>
      <w:r>
        <w:rPr>
          <w:rFonts w:eastAsia="Times New Roman"/>
        </w:rPr>
        <w:t xml:space="preserve">égard des migrants et leur réduction en esclavage en Libye. </w:t>
      </w:r>
    </w:p>
    <w:p w:rsidR="00D177AD" w:rsidRPr="00A65EFA" w:rsidRDefault="00D177AD" w:rsidP="00D177AD">
      <w:pPr>
        <w:pStyle w:val="SingleTxtG"/>
        <w:spacing w:after="100"/>
        <w:ind w:firstLine="567"/>
        <w:rPr>
          <w:rFonts w:eastAsia="Times New Roman"/>
        </w:rPr>
      </w:pPr>
      <w:r w:rsidRPr="00A65EFA">
        <w:rPr>
          <w:rFonts w:eastAsia="Times New Roman"/>
          <w:lang w:val="fr-FR"/>
        </w:rPr>
        <w:t xml:space="preserve">Le Comité </w:t>
      </w:r>
      <w:r>
        <w:rPr>
          <w:rFonts w:eastAsia="Times New Roman"/>
          <w:lang w:val="fr-FR"/>
        </w:rPr>
        <w:t>s</w:t>
      </w:r>
      <w:r w:rsidR="009D7A41">
        <w:rPr>
          <w:rFonts w:eastAsia="Times New Roman"/>
          <w:lang w:val="fr-FR"/>
        </w:rPr>
        <w:t>’</w:t>
      </w:r>
      <w:r>
        <w:rPr>
          <w:rFonts w:eastAsia="Times New Roman"/>
          <w:lang w:val="fr-FR"/>
        </w:rPr>
        <w:t>efforce</w:t>
      </w:r>
      <w:r w:rsidRPr="00A65EFA">
        <w:rPr>
          <w:rFonts w:eastAsia="Times New Roman"/>
          <w:lang w:val="fr-FR"/>
        </w:rPr>
        <w:t xml:space="preserve"> constamment </w:t>
      </w:r>
      <w:r>
        <w:rPr>
          <w:rFonts w:eastAsia="Times New Roman"/>
          <w:lang w:val="fr-FR"/>
        </w:rPr>
        <w:t>d</w:t>
      </w:r>
      <w:r w:rsidR="009D7A41">
        <w:rPr>
          <w:rFonts w:eastAsia="Times New Roman"/>
          <w:lang w:val="fr-FR"/>
        </w:rPr>
        <w:t>’</w:t>
      </w:r>
      <w:r w:rsidRPr="00A65EFA">
        <w:rPr>
          <w:rFonts w:eastAsia="Times New Roman"/>
          <w:lang w:val="fr-FR"/>
        </w:rPr>
        <w:t xml:space="preserve">améliorer ses méthodes de travail pour les rendre plus efficaces et </w:t>
      </w:r>
      <w:r>
        <w:rPr>
          <w:rFonts w:eastAsia="Times New Roman"/>
          <w:lang w:val="fr-FR"/>
        </w:rPr>
        <w:t>d</w:t>
      </w:r>
      <w:r w:rsidR="009D7A41">
        <w:rPr>
          <w:rFonts w:eastAsia="Times New Roman"/>
          <w:lang w:val="fr-FR"/>
        </w:rPr>
        <w:t>’</w:t>
      </w:r>
      <w:r w:rsidRPr="00A65EFA">
        <w:rPr>
          <w:rFonts w:eastAsia="Times New Roman"/>
          <w:lang w:val="fr-FR"/>
        </w:rPr>
        <w:t>adopter des approches novatrices de la lutte contre les formes contemporaines de discrimination raciale. Ses recommandations générales, ses opinions sur les communications individuelles, ses décisions et ses observations finales témoignent de l</w:t>
      </w:r>
      <w:r w:rsidR="009D7A41">
        <w:rPr>
          <w:rFonts w:eastAsia="Times New Roman"/>
          <w:lang w:val="fr-FR"/>
        </w:rPr>
        <w:t>’</w:t>
      </w:r>
      <w:r w:rsidRPr="00A65EFA">
        <w:rPr>
          <w:rFonts w:eastAsia="Times New Roman"/>
          <w:lang w:val="fr-FR"/>
        </w:rPr>
        <w:t>évolution de sa pratique et de son interprétation de la Convention.</w:t>
      </w:r>
    </w:p>
    <w:p w:rsidR="00D177AD" w:rsidRPr="00A65EFA" w:rsidRDefault="00D177AD" w:rsidP="00D177AD">
      <w:pPr>
        <w:pStyle w:val="SingleTxtG"/>
        <w:spacing w:after="100"/>
        <w:ind w:firstLine="567"/>
        <w:rPr>
          <w:rFonts w:eastAsia="Times New Roman"/>
          <w:i/>
        </w:rPr>
      </w:pPr>
      <w:r>
        <w:rPr>
          <w:rFonts w:eastAsia="Times New Roman"/>
          <w:lang w:val="fr-FR"/>
        </w:rPr>
        <w:t>I</w:t>
      </w:r>
      <w:r w:rsidRPr="00A65EFA">
        <w:rPr>
          <w:rFonts w:eastAsia="Times New Roman"/>
          <w:lang w:val="fr-FR"/>
        </w:rPr>
        <w:t>l est manifeste qu</w:t>
      </w:r>
      <w:r w:rsidR="009D7A41">
        <w:rPr>
          <w:rFonts w:eastAsia="Times New Roman"/>
          <w:lang w:val="fr-FR"/>
        </w:rPr>
        <w:t>’</w:t>
      </w:r>
      <w:r w:rsidRPr="00A65EFA">
        <w:rPr>
          <w:rFonts w:eastAsia="Times New Roman"/>
          <w:lang w:val="fr-FR"/>
        </w:rPr>
        <w:t>en dépit des progrès réalisés, des obstacles majeurs et multiples continuent d</w:t>
      </w:r>
      <w:r w:rsidR="009D7A41">
        <w:rPr>
          <w:rFonts w:eastAsia="Times New Roman"/>
          <w:lang w:val="fr-FR"/>
        </w:rPr>
        <w:t>’</w:t>
      </w:r>
      <w:r w:rsidRPr="00A65EFA">
        <w:rPr>
          <w:rFonts w:eastAsia="Times New Roman"/>
          <w:lang w:val="fr-FR"/>
        </w:rPr>
        <w:t>entraver l</w:t>
      </w:r>
      <w:r w:rsidR="009D7A41">
        <w:rPr>
          <w:rFonts w:eastAsia="Times New Roman"/>
          <w:lang w:val="fr-FR"/>
        </w:rPr>
        <w:t>’</w:t>
      </w:r>
      <w:r w:rsidRPr="00A65EFA">
        <w:rPr>
          <w:rFonts w:eastAsia="Times New Roman"/>
          <w:lang w:val="fr-FR"/>
        </w:rPr>
        <w:t>élimination de la discrimination raciale, notamment l</w:t>
      </w:r>
      <w:r w:rsidR="009D7A41">
        <w:rPr>
          <w:rFonts w:eastAsia="Times New Roman"/>
          <w:lang w:val="fr-FR"/>
        </w:rPr>
        <w:t>’</w:t>
      </w:r>
      <w:r w:rsidRPr="00A65EFA">
        <w:rPr>
          <w:rFonts w:eastAsia="Times New Roman"/>
          <w:lang w:val="fr-FR"/>
        </w:rPr>
        <w:t>incapacité, voire la réticence</w:t>
      </w:r>
      <w:r w:rsidR="00616C60">
        <w:rPr>
          <w:rFonts w:eastAsia="Times New Roman"/>
          <w:lang w:val="fr-FR"/>
        </w:rPr>
        <w:t>,</w:t>
      </w:r>
      <w:r w:rsidRPr="00A65EFA">
        <w:rPr>
          <w:rFonts w:eastAsia="Times New Roman"/>
          <w:lang w:val="fr-FR"/>
        </w:rPr>
        <w:t xml:space="preserve"> qu</w:t>
      </w:r>
      <w:r w:rsidR="009D7A41">
        <w:rPr>
          <w:rFonts w:eastAsia="Times New Roman"/>
          <w:lang w:val="fr-FR"/>
        </w:rPr>
        <w:t>’</w:t>
      </w:r>
      <w:r w:rsidRPr="00A65EFA">
        <w:rPr>
          <w:rFonts w:eastAsia="Times New Roman"/>
          <w:lang w:val="fr-FR"/>
        </w:rPr>
        <w:t>il y a à dénoncer haut et fort la discrimination raciale. Je ne doute pas que, grâce au dévouement et au professionnalisme des membres du Comité, les travaux du Comité continueront de contribuer de façon sensible à la mise en œuvre de la Convention et au suivi de la Conférence mondiale contre le racisme, la discrimination raciale, la xénophobie et l</w:t>
      </w:r>
      <w:r w:rsidR="009D7A41">
        <w:rPr>
          <w:rFonts w:eastAsia="Times New Roman"/>
          <w:lang w:val="fr-FR"/>
        </w:rPr>
        <w:t>’</w:t>
      </w:r>
      <w:r w:rsidRPr="00A65EFA">
        <w:rPr>
          <w:rFonts w:eastAsia="Times New Roman"/>
          <w:lang w:val="fr-FR"/>
        </w:rPr>
        <w:t>intolérance qui y est associée dans les années à venir.</w:t>
      </w:r>
    </w:p>
    <w:p w:rsidR="00D177AD" w:rsidRPr="00A65EFA" w:rsidRDefault="00D177AD" w:rsidP="00D177AD">
      <w:pPr>
        <w:pStyle w:val="SingleTxtG"/>
        <w:spacing w:after="100"/>
        <w:ind w:firstLine="567"/>
        <w:rPr>
          <w:rFonts w:eastAsia="Times New Roman"/>
        </w:rPr>
      </w:pPr>
      <w:r w:rsidRPr="00A65EFA">
        <w:rPr>
          <w:rFonts w:eastAsia="Times New Roman"/>
          <w:lang w:val="fr-FR"/>
        </w:rPr>
        <w:t>Veuillez agréer, Monsieur le Secrétaire général, les assurances de ma très haute considération.</w:t>
      </w:r>
    </w:p>
    <w:p w:rsidR="00EF7D1D" w:rsidRDefault="00D177AD" w:rsidP="002F3E3B">
      <w:pPr>
        <w:ind w:right="1134"/>
        <w:jc w:val="right"/>
        <w:rPr>
          <w:rFonts w:eastAsia="Times New Roman"/>
          <w:b/>
          <w:lang w:val="fr-FR"/>
        </w:rPr>
      </w:pPr>
      <w:r w:rsidRPr="00A65EFA">
        <w:rPr>
          <w:rFonts w:eastAsia="Times New Roman"/>
          <w:lang w:val="fr-FR"/>
        </w:rPr>
        <w:t>L</w:t>
      </w:r>
      <w:r>
        <w:rPr>
          <w:rFonts w:eastAsia="Times New Roman"/>
          <w:lang w:val="fr-FR"/>
        </w:rPr>
        <w:t>e</w:t>
      </w:r>
      <w:r w:rsidRPr="00A65EFA">
        <w:rPr>
          <w:rFonts w:eastAsia="Times New Roman"/>
          <w:lang w:val="fr-FR"/>
        </w:rPr>
        <w:t xml:space="preserve"> Président du Comité </w:t>
      </w:r>
      <w:r w:rsidRPr="00A65EFA">
        <w:rPr>
          <w:rFonts w:eastAsia="Times New Roman"/>
          <w:lang w:val="fr-FR"/>
        </w:rPr>
        <w:br/>
        <w:t>pour l</w:t>
      </w:r>
      <w:r w:rsidR="009D7A41">
        <w:rPr>
          <w:rFonts w:eastAsia="Times New Roman"/>
          <w:lang w:val="fr-FR"/>
        </w:rPr>
        <w:t>’</w:t>
      </w:r>
      <w:r w:rsidRPr="00A65EFA">
        <w:rPr>
          <w:rFonts w:eastAsia="Times New Roman"/>
          <w:lang w:val="fr-FR"/>
        </w:rPr>
        <w:t xml:space="preserve">élimination de la discrimination raciale, </w:t>
      </w:r>
      <w:r w:rsidRPr="00A65EFA">
        <w:rPr>
          <w:rFonts w:eastAsia="Times New Roman"/>
          <w:lang w:val="fr-FR"/>
        </w:rPr>
        <w:br/>
        <w:t>(</w:t>
      </w:r>
      <w:r w:rsidRPr="00A65EFA">
        <w:rPr>
          <w:rFonts w:eastAsia="Times New Roman"/>
          <w:i/>
          <w:iCs/>
          <w:lang w:val="fr-FR"/>
        </w:rPr>
        <w:t>Signé</w:t>
      </w:r>
      <w:r w:rsidRPr="00A65EFA">
        <w:rPr>
          <w:rFonts w:eastAsia="Times New Roman"/>
          <w:lang w:val="fr-FR"/>
        </w:rPr>
        <w:t xml:space="preserve">) </w:t>
      </w:r>
      <w:r>
        <w:rPr>
          <w:rFonts w:eastAsia="Times New Roman"/>
          <w:lang w:val="fr-FR"/>
        </w:rPr>
        <w:t xml:space="preserve">Nourredine </w:t>
      </w:r>
      <w:r w:rsidRPr="000545AD">
        <w:rPr>
          <w:rFonts w:eastAsia="Times New Roman"/>
          <w:b/>
          <w:lang w:val="fr-FR"/>
        </w:rPr>
        <w:t>Amir</w:t>
      </w:r>
    </w:p>
    <w:p w:rsidR="008D7AF1" w:rsidRDefault="008D7AF1" w:rsidP="00616C60">
      <w:pPr>
        <w:spacing w:before="600"/>
        <w:ind w:left="1134" w:right="1134"/>
        <w:rPr>
          <w:lang w:val="fr-FR"/>
        </w:rPr>
      </w:pPr>
      <w:r w:rsidRPr="00A65EFA">
        <w:rPr>
          <w:lang w:val="fr-FR"/>
        </w:rPr>
        <w:t>S. E. M. </w:t>
      </w:r>
      <w:r w:rsidRPr="00A65EFA">
        <w:t>António Guterres</w:t>
      </w:r>
      <w:r w:rsidRPr="00A65EFA">
        <w:rPr>
          <w:lang w:val="fr-FR"/>
        </w:rPr>
        <w:br/>
        <w:t>Secrétaire général de l</w:t>
      </w:r>
      <w:r w:rsidR="009D7A41">
        <w:rPr>
          <w:lang w:val="fr-FR"/>
        </w:rPr>
        <w:t>’</w:t>
      </w:r>
      <w:r w:rsidRPr="00A65EFA">
        <w:rPr>
          <w:lang w:val="fr-FR"/>
        </w:rPr>
        <w:t xml:space="preserve">Organisation des Nations Unies </w:t>
      </w:r>
      <w:r w:rsidRPr="00A65EFA">
        <w:rPr>
          <w:lang w:val="fr-FR"/>
        </w:rPr>
        <w:br/>
        <w:t>New York</w:t>
      </w:r>
    </w:p>
    <w:p w:rsidR="00736EF1" w:rsidRPr="00A65EFA" w:rsidRDefault="00736EF1" w:rsidP="00B61D76">
      <w:pPr>
        <w:pStyle w:val="HChG"/>
      </w:pPr>
      <w:r>
        <w:rPr>
          <w:lang w:val="fr-FR"/>
        </w:rPr>
        <w:lastRenderedPageBreak/>
        <w:tab/>
        <w:t>I.</w:t>
      </w:r>
      <w:r>
        <w:rPr>
          <w:lang w:val="fr-FR"/>
        </w:rPr>
        <w:tab/>
      </w:r>
      <w:r w:rsidRPr="00A65EFA">
        <w:rPr>
          <w:lang w:val="fr-FR"/>
        </w:rPr>
        <w:t>Questions d</w:t>
      </w:r>
      <w:r w:rsidR="009D7A41">
        <w:rPr>
          <w:lang w:val="fr-FR"/>
        </w:rPr>
        <w:t>’</w:t>
      </w:r>
      <w:r w:rsidRPr="00A65EFA">
        <w:rPr>
          <w:lang w:val="fr-FR"/>
        </w:rPr>
        <w:t>organisation et questions connexes</w:t>
      </w:r>
      <w:bookmarkStart w:id="0" w:name="_Toc428794276"/>
      <w:bookmarkEnd w:id="0"/>
    </w:p>
    <w:p w:rsidR="00736EF1" w:rsidRPr="00A65EFA" w:rsidRDefault="00736EF1" w:rsidP="00B61D76">
      <w:pPr>
        <w:pStyle w:val="H1G"/>
      </w:pPr>
      <w:r>
        <w:rPr>
          <w:lang w:val="fr-FR"/>
        </w:rPr>
        <w:tab/>
        <w:t>A.</w:t>
      </w:r>
      <w:r>
        <w:rPr>
          <w:lang w:val="fr-FR"/>
        </w:rPr>
        <w:tab/>
      </w:r>
      <w:r w:rsidRPr="00A65EFA">
        <w:rPr>
          <w:lang w:val="fr-FR"/>
        </w:rPr>
        <w:t>États parties à la Convention internationale sur l</w:t>
      </w:r>
      <w:r w:rsidR="009D7A41">
        <w:rPr>
          <w:lang w:val="fr-FR"/>
        </w:rPr>
        <w:t>’</w:t>
      </w:r>
      <w:r w:rsidRPr="00A65EFA">
        <w:rPr>
          <w:lang w:val="fr-FR"/>
        </w:rPr>
        <w:t xml:space="preserve">élimination </w:t>
      </w:r>
      <w:r>
        <w:rPr>
          <w:lang w:val="fr-FR"/>
        </w:rPr>
        <w:br/>
      </w:r>
      <w:r w:rsidRPr="00A65EFA">
        <w:rPr>
          <w:lang w:val="fr-FR"/>
        </w:rPr>
        <w:t>de toutes les formes de discrimination raciale</w:t>
      </w:r>
      <w:bookmarkStart w:id="1" w:name="_Toc428794277"/>
      <w:bookmarkEnd w:id="1"/>
    </w:p>
    <w:p w:rsidR="00736EF1" w:rsidRPr="00A65EFA" w:rsidRDefault="00736EF1" w:rsidP="00B61D76">
      <w:pPr>
        <w:pStyle w:val="SingleTxtG"/>
      </w:pPr>
      <w:r>
        <w:rPr>
          <w:lang w:val="fr-FR"/>
        </w:rPr>
        <w:t>1.</w:t>
      </w:r>
      <w:r>
        <w:rPr>
          <w:lang w:val="fr-FR"/>
        </w:rPr>
        <w:tab/>
        <w:t>Au</w:t>
      </w:r>
      <w:r w:rsidRPr="00A65EFA">
        <w:rPr>
          <w:lang w:val="fr-FR"/>
        </w:rPr>
        <w:t xml:space="preserve"> 1</w:t>
      </w:r>
      <w:r>
        <w:rPr>
          <w:lang w:val="fr-FR"/>
        </w:rPr>
        <w:t>1 </w:t>
      </w:r>
      <w:r w:rsidRPr="00A65EFA">
        <w:rPr>
          <w:lang w:val="fr-FR"/>
        </w:rPr>
        <w:t>mai</w:t>
      </w:r>
      <w:r>
        <w:rPr>
          <w:lang w:val="fr-FR"/>
        </w:rPr>
        <w:t xml:space="preserve"> 2018</w:t>
      </w:r>
      <w:r w:rsidRPr="00A65EFA">
        <w:rPr>
          <w:lang w:val="fr-FR"/>
        </w:rPr>
        <w:t>, date de la clôture de la quatre-vingt-</w:t>
      </w:r>
      <w:r>
        <w:rPr>
          <w:lang w:val="fr-FR"/>
        </w:rPr>
        <w:t>quin</w:t>
      </w:r>
      <w:r w:rsidRPr="00A65EFA">
        <w:rPr>
          <w:lang w:val="fr-FR"/>
        </w:rPr>
        <w:t>zième session du Comité pour l</w:t>
      </w:r>
      <w:r w:rsidR="009D7A41">
        <w:rPr>
          <w:lang w:val="fr-FR"/>
        </w:rPr>
        <w:t>’</w:t>
      </w:r>
      <w:r w:rsidRPr="00A65EFA">
        <w:rPr>
          <w:lang w:val="fr-FR"/>
        </w:rPr>
        <w:t>élimination de la discrimination raciale, 17</w:t>
      </w:r>
      <w:r>
        <w:rPr>
          <w:lang w:val="fr-FR"/>
        </w:rPr>
        <w:t>9 </w:t>
      </w:r>
      <w:r w:rsidRPr="00A65EFA">
        <w:rPr>
          <w:lang w:val="fr-FR"/>
        </w:rPr>
        <w:t>États étaient parties à la Convention internationale sur l</w:t>
      </w:r>
      <w:r w:rsidR="009D7A41">
        <w:rPr>
          <w:lang w:val="fr-FR"/>
        </w:rPr>
        <w:t>’</w:t>
      </w:r>
      <w:r w:rsidRPr="00A65EFA">
        <w:rPr>
          <w:lang w:val="fr-FR"/>
        </w:rPr>
        <w:t>élimination de toutes les formes de discrimination raciale.</w:t>
      </w:r>
    </w:p>
    <w:p w:rsidR="00736EF1" w:rsidRDefault="00736EF1" w:rsidP="00B61D76">
      <w:pPr>
        <w:pStyle w:val="SingleTxtG"/>
        <w:rPr>
          <w:lang w:val="fr-FR"/>
        </w:rPr>
      </w:pPr>
      <w:r>
        <w:rPr>
          <w:lang w:val="fr-FR"/>
        </w:rPr>
        <w:t>2.</w:t>
      </w:r>
      <w:r>
        <w:rPr>
          <w:lang w:val="fr-FR"/>
        </w:rPr>
        <w:tab/>
      </w:r>
      <w:r w:rsidRPr="00A65EFA">
        <w:rPr>
          <w:lang w:val="fr-FR"/>
        </w:rPr>
        <w:t>À la date de clôture de la quatre-vingt-</w:t>
      </w:r>
      <w:r>
        <w:rPr>
          <w:lang w:val="fr-FR"/>
        </w:rPr>
        <w:t>quin</w:t>
      </w:r>
      <w:r w:rsidRPr="00A65EFA">
        <w:rPr>
          <w:lang w:val="fr-FR"/>
        </w:rPr>
        <w:t>zième session, 5</w:t>
      </w:r>
      <w:r>
        <w:rPr>
          <w:lang w:val="fr-FR"/>
        </w:rPr>
        <w:t>8</w:t>
      </w:r>
      <w:r w:rsidRPr="00A65EFA">
        <w:rPr>
          <w:lang w:val="fr-FR"/>
        </w:rPr>
        <w:t xml:space="preserve"> des 17</w:t>
      </w:r>
      <w:r>
        <w:rPr>
          <w:lang w:val="fr-FR"/>
        </w:rPr>
        <w:t>9 </w:t>
      </w:r>
      <w:r w:rsidRPr="00A65EFA">
        <w:rPr>
          <w:lang w:val="fr-FR"/>
        </w:rPr>
        <w:t>États parties à la Convention avaient fait la déclaration prévue au paragraphe</w:t>
      </w:r>
      <w:r>
        <w:rPr>
          <w:lang w:val="fr-FR"/>
        </w:rPr>
        <w:t> </w:t>
      </w:r>
      <w:r w:rsidRPr="00A65EFA">
        <w:rPr>
          <w:lang w:val="fr-FR"/>
        </w:rPr>
        <w:t>1 de l</w:t>
      </w:r>
      <w:r w:rsidR="009D7A41">
        <w:rPr>
          <w:lang w:val="fr-FR"/>
        </w:rPr>
        <w:t>’</w:t>
      </w:r>
      <w:r w:rsidRPr="00A65EFA">
        <w:rPr>
          <w:lang w:val="fr-FR"/>
        </w:rPr>
        <w:t>article</w:t>
      </w:r>
      <w:r>
        <w:rPr>
          <w:lang w:val="fr-FR"/>
        </w:rPr>
        <w:t> </w:t>
      </w:r>
      <w:r w:rsidRPr="00A65EFA">
        <w:rPr>
          <w:lang w:val="fr-FR"/>
        </w:rPr>
        <w:t>14 de cet instrument</w:t>
      </w:r>
      <w:r>
        <w:rPr>
          <w:lang w:val="fr-FR"/>
        </w:rPr>
        <w:t>,</w:t>
      </w:r>
      <w:r w:rsidRPr="00A65EFA">
        <w:rPr>
          <w:lang w:val="fr-FR"/>
        </w:rPr>
        <w:t xml:space="preserve"> </w:t>
      </w:r>
      <w:r>
        <w:rPr>
          <w:lang w:val="fr-FR"/>
        </w:rPr>
        <w:t xml:space="preserve">reconnaissant ainsi </w:t>
      </w:r>
      <w:r w:rsidRPr="00A65EFA">
        <w:rPr>
          <w:lang w:val="fr-FR"/>
        </w:rPr>
        <w:t>la compétence du Comité pour recevoir et examiner les communications émanant de particuliers ou de groupes de particuliers qui se plaignent d</w:t>
      </w:r>
      <w:r w:rsidR="009D7A41">
        <w:rPr>
          <w:lang w:val="fr-FR"/>
        </w:rPr>
        <w:t>’</w:t>
      </w:r>
      <w:r w:rsidRPr="00A65EFA">
        <w:rPr>
          <w:lang w:val="fr-FR"/>
        </w:rPr>
        <w:t>être victimes d</w:t>
      </w:r>
      <w:r w:rsidR="009D7A41">
        <w:rPr>
          <w:lang w:val="fr-FR"/>
        </w:rPr>
        <w:t>’</w:t>
      </w:r>
      <w:r w:rsidRPr="00A65EFA">
        <w:rPr>
          <w:lang w:val="fr-FR"/>
        </w:rPr>
        <w:t>une violation, par un État partie, de l</w:t>
      </w:r>
      <w:r w:rsidR="009D7A41">
        <w:rPr>
          <w:lang w:val="fr-FR"/>
        </w:rPr>
        <w:t>’</w:t>
      </w:r>
      <w:r w:rsidRPr="00A65EFA">
        <w:rPr>
          <w:lang w:val="fr-FR"/>
        </w:rPr>
        <w:t>un quelconque des droits énoncés dans la Convention. La liste des Parties à la Convention, des</w:t>
      </w:r>
      <w:r>
        <w:rPr>
          <w:lang w:val="fr-FR"/>
        </w:rPr>
        <w:t> </w:t>
      </w:r>
      <w:r w:rsidRPr="00A65EFA">
        <w:rPr>
          <w:lang w:val="fr-FR"/>
        </w:rPr>
        <w:t>États qui ont fait la</w:t>
      </w:r>
      <w:r>
        <w:rPr>
          <w:lang w:val="fr-FR"/>
        </w:rPr>
        <w:t xml:space="preserve"> déclaration prévue à l</w:t>
      </w:r>
      <w:r w:rsidR="009D7A41">
        <w:rPr>
          <w:lang w:val="fr-FR"/>
        </w:rPr>
        <w:t>’</w:t>
      </w:r>
      <w:r>
        <w:rPr>
          <w:lang w:val="fr-FR"/>
        </w:rPr>
        <w:t>article </w:t>
      </w:r>
      <w:r w:rsidRPr="00A65EFA">
        <w:rPr>
          <w:lang w:val="fr-FR"/>
        </w:rPr>
        <w:t>14 et des 4</w:t>
      </w:r>
      <w:r>
        <w:rPr>
          <w:lang w:val="fr-FR"/>
        </w:rPr>
        <w:t>8 </w:t>
      </w:r>
      <w:r w:rsidRPr="00A65EFA">
        <w:rPr>
          <w:lang w:val="fr-FR"/>
        </w:rPr>
        <w:t xml:space="preserve">États parties qui ont accepté les amendements à la Convention adoptés à la quatorzième réunion des États parties peut être consultée sur le site Web de la Collection des traités des Nations Unies (voir </w:t>
      </w:r>
      <w:hyperlink r:id="rId23" w:history="1">
        <w:r w:rsidRPr="00D95A30">
          <w:rPr>
            <w:rStyle w:val="Lienhypertexte"/>
            <w:lang w:val="fr-FR"/>
          </w:rPr>
          <w:t>https</w:t>
        </w:r>
        <w:r w:rsidR="00D725DA">
          <w:rPr>
            <w:rStyle w:val="Lienhypertexte"/>
            <w:lang w:val="fr-FR"/>
          </w:rPr>
          <w:t>:</w:t>
        </w:r>
        <w:r w:rsidRPr="00D95A30">
          <w:rPr>
            <w:rStyle w:val="Lienhypertexte"/>
            <w:lang w:val="fr-FR"/>
          </w:rPr>
          <w:t>//treaties.un.org/pages/</w:t>
        </w:r>
        <w:r w:rsidR="00B61D76">
          <w:rPr>
            <w:rStyle w:val="Lienhypertexte"/>
            <w:lang w:val="fr-FR"/>
          </w:rPr>
          <w:t xml:space="preserve"> </w:t>
        </w:r>
        <w:r w:rsidRPr="00D95A30">
          <w:rPr>
            <w:rStyle w:val="Lienhypertexte"/>
            <w:lang w:val="fr-FR"/>
          </w:rPr>
          <w:t>Treaties.aspx?id=4&amp;subid=A&amp;lang=fr</w:t>
        </w:r>
      </w:hyperlink>
      <w:r w:rsidRPr="00B61D76">
        <w:rPr>
          <w:rStyle w:val="Lienhypertexte"/>
          <w:color w:val="auto"/>
        </w:rPr>
        <w:t>)</w:t>
      </w:r>
      <w:r w:rsidRPr="00EB5F8D">
        <w:rPr>
          <w:lang w:val="fr-FR"/>
        </w:rPr>
        <w:t>.</w:t>
      </w:r>
    </w:p>
    <w:p w:rsidR="00736EF1" w:rsidRPr="00A65EFA" w:rsidRDefault="00736EF1" w:rsidP="00B61D76">
      <w:pPr>
        <w:pStyle w:val="SingleTxtG"/>
      </w:pPr>
      <w:r>
        <w:rPr>
          <w:lang w:val="fr-FR"/>
        </w:rPr>
        <w:t>3.</w:t>
      </w:r>
      <w:r>
        <w:rPr>
          <w:lang w:val="fr-FR"/>
        </w:rPr>
        <w:tab/>
      </w:r>
      <w:r w:rsidRPr="00574ED9">
        <w:rPr>
          <w:lang w:val="fr-FR"/>
        </w:rPr>
        <w:t>Le 15 janvier 2018, le Comité a adressé une lettre à tous les États qui n</w:t>
      </w:r>
      <w:r w:rsidR="009D7A41">
        <w:rPr>
          <w:lang w:val="fr-FR"/>
        </w:rPr>
        <w:t>’</w:t>
      </w:r>
      <w:r w:rsidRPr="00574ED9">
        <w:rPr>
          <w:lang w:val="fr-FR"/>
        </w:rPr>
        <w:t>avaient p</w:t>
      </w:r>
      <w:r>
        <w:rPr>
          <w:lang w:val="fr-FR"/>
        </w:rPr>
        <w:t xml:space="preserve">as encore ratifié la Convention, </w:t>
      </w:r>
      <w:r w:rsidRPr="00574ED9">
        <w:rPr>
          <w:lang w:val="fr-FR"/>
        </w:rPr>
        <w:t>leur r</w:t>
      </w:r>
      <w:r>
        <w:rPr>
          <w:lang w:val="fr-FR"/>
        </w:rPr>
        <w:t xml:space="preserve">appelant </w:t>
      </w:r>
      <w:r w:rsidRPr="00574ED9">
        <w:rPr>
          <w:lang w:val="fr-FR"/>
        </w:rPr>
        <w:t>qu</w:t>
      </w:r>
      <w:r w:rsidR="009D7A41">
        <w:rPr>
          <w:lang w:val="fr-FR"/>
        </w:rPr>
        <w:t>’</w:t>
      </w:r>
      <w:r w:rsidRPr="00574ED9">
        <w:rPr>
          <w:lang w:val="fr-FR"/>
        </w:rPr>
        <w:t xml:space="preserve">il importait de procéder </w:t>
      </w:r>
      <w:r>
        <w:rPr>
          <w:lang w:val="fr-FR"/>
        </w:rPr>
        <w:t xml:space="preserve">à </w:t>
      </w:r>
      <w:r w:rsidRPr="00574ED9">
        <w:rPr>
          <w:lang w:val="fr-FR"/>
        </w:rPr>
        <w:t>la ratification et d</w:t>
      </w:r>
      <w:r w:rsidR="009D7A41">
        <w:rPr>
          <w:lang w:val="fr-FR"/>
        </w:rPr>
        <w:t>’</w:t>
      </w:r>
      <w:r w:rsidRPr="00574ED9">
        <w:rPr>
          <w:lang w:val="fr-FR"/>
        </w:rPr>
        <w:t>adopter le cadre juridique nécessaire pour prévenir et combattre toutes les formes et toutes les manifestations de discrimination raciale.</w:t>
      </w:r>
    </w:p>
    <w:p w:rsidR="00736EF1" w:rsidRPr="00A65EFA" w:rsidRDefault="00736EF1" w:rsidP="00B61D76">
      <w:pPr>
        <w:pStyle w:val="H1G"/>
      </w:pPr>
      <w:r>
        <w:rPr>
          <w:lang w:val="fr-FR"/>
        </w:rPr>
        <w:tab/>
        <w:t>B.</w:t>
      </w:r>
      <w:r>
        <w:rPr>
          <w:lang w:val="fr-FR"/>
        </w:rPr>
        <w:tab/>
      </w:r>
      <w:r w:rsidRPr="00A65EFA">
        <w:rPr>
          <w:lang w:val="fr-FR"/>
        </w:rPr>
        <w:t>Sessions et ordres du jour</w:t>
      </w:r>
      <w:bookmarkStart w:id="2" w:name="_Toc428794278"/>
      <w:bookmarkEnd w:id="2"/>
    </w:p>
    <w:p w:rsidR="00736EF1" w:rsidRPr="00A65EFA" w:rsidRDefault="00736EF1" w:rsidP="00B61D76">
      <w:pPr>
        <w:pStyle w:val="SingleTxtG"/>
      </w:pPr>
      <w:r>
        <w:rPr>
          <w:lang w:val="fr-FR"/>
        </w:rPr>
        <w:t>4.</w:t>
      </w:r>
      <w:r>
        <w:rPr>
          <w:lang w:val="fr-FR"/>
        </w:rPr>
        <w:tab/>
      </w:r>
      <w:r w:rsidRPr="00A65EFA">
        <w:rPr>
          <w:lang w:val="fr-FR"/>
        </w:rPr>
        <w:t>Le Comité a tenu trois sessions au cours de la période considérée. La</w:t>
      </w:r>
      <w:r>
        <w:rPr>
          <w:lang w:val="fr-FR"/>
        </w:rPr>
        <w:t> </w:t>
      </w:r>
      <w:r w:rsidRPr="00A65EFA">
        <w:rPr>
          <w:lang w:val="fr-FR"/>
        </w:rPr>
        <w:t>quatre</w:t>
      </w:r>
      <w:r>
        <w:rPr>
          <w:lang w:val="fr-FR"/>
        </w:rPr>
        <w:noBreakHyphen/>
      </w:r>
      <w:r w:rsidRPr="00A65EFA">
        <w:rPr>
          <w:lang w:val="fr-FR"/>
        </w:rPr>
        <w:t>vingt</w:t>
      </w:r>
      <w:r>
        <w:rPr>
          <w:lang w:val="fr-FR"/>
        </w:rPr>
        <w:noBreakHyphen/>
        <w:t>treiz</w:t>
      </w:r>
      <w:r w:rsidRPr="00A65EFA">
        <w:rPr>
          <w:lang w:val="fr-FR"/>
        </w:rPr>
        <w:t>ième session (</w:t>
      </w:r>
      <w:r w:rsidR="009E6C93">
        <w:rPr>
          <w:lang w:val="fr-FR"/>
        </w:rPr>
        <w:t>2547</w:t>
      </w:r>
      <w:r w:rsidRPr="00D95A30">
        <w:rPr>
          <w:vertAlign w:val="superscript"/>
          <w:lang w:val="fr-FR"/>
        </w:rPr>
        <w:t>e</w:t>
      </w:r>
      <w:r w:rsidRPr="00A65EFA">
        <w:rPr>
          <w:lang w:val="fr-FR"/>
        </w:rPr>
        <w:t xml:space="preserve"> à 2</w:t>
      </w:r>
      <w:r w:rsidR="009E6C93">
        <w:rPr>
          <w:lang w:val="fr-FR"/>
        </w:rPr>
        <w:t>5</w:t>
      </w:r>
      <w:r>
        <w:rPr>
          <w:lang w:val="fr-FR"/>
        </w:rPr>
        <w:t>84</w:t>
      </w:r>
      <w:r w:rsidRPr="00D95A30">
        <w:rPr>
          <w:vertAlign w:val="superscript"/>
          <w:lang w:val="fr-FR"/>
        </w:rPr>
        <w:t>e</w:t>
      </w:r>
      <w:r>
        <w:rPr>
          <w:lang w:val="fr-FR"/>
        </w:rPr>
        <w:t> </w:t>
      </w:r>
      <w:r w:rsidRPr="00A65EFA">
        <w:rPr>
          <w:lang w:val="fr-FR"/>
        </w:rPr>
        <w:t>séances), la quatre-vingt-</w:t>
      </w:r>
      <w:r>
        <w:rPr>
          <w:lang w:val="fr-FR"/>
        </w:rPr>
        <w:t>quator</w:t>
      </w:r>
      <w:r w:rsidRPr="00A65EFA">
        <w:rPr>
          <w:lang w:val="fr-FR"/>
        </w:rPr>
        <w:t>zième session (2</w:t>
      </w:r>
      <w:r w:rsidR="00962BB9">
        <w:rPr>
          <w:lang w:val="fr-FR"/>
        </w:rPr>
        <w:t>5</w:t>
      </w:r>
      <w:r>
        <w:rPr>
          <w:lang w:val="fr-FR"/>
        </w:rPr>
        <w:t>85</w:t>
      </w:r>
      <w:r w:rsidRPr="00D95A30">
        <w:rPr>
          <w:vertAlign w:val="superscript"/>
          <w:lang w:val="fr-FR"/>
        </w:rPr>
        <w:t>e</w:t>
      </w:r>
      <w:r>
        <w:rPr>
          <w:lang w:val="fr-FR"/>
        </w:rPr>
        <w:t xml:space="preserve"> à 2614</w:t>
      </w:r>
      <w:r w:rsidRPr="00D95A30">
        <w:rPr>
          <w:vertAlign w:val="superscript"/>
          <w:lang w:val="fr-FR"/>
        </w:rPr>
        <w:t>e</w:t>
      </w:r>
      <w:r>
        <w:rPr>
          <w:lang w:val="fr-FR"/>
        </w:rPr>
        <w:t> </w:t>
      </w:r>
      <w:r w:rsidRPr="00A65EFA">
        <w:rPr>
          <w:lang w:val="fr-FR"/>
        </w:rPr>
        <w:t>séances) et la quatre-vingt-</w:t>
      </w:r>
      <w:r>
        <w:rPr>
          <w:lang w:val="fr-FR"/>
        </w:rPr>
        <w:t>quin</w:t>
      </w:r>
      <w:r w:rsidRPr="00A65EFA">
        <w:rPr>
          <w:lang w:val="fr-FR"/>
        </w:rPr>
        <w:t>zième session (2</w:t>
      </w:r>
      <w:r>
        <w:rPr>
          <w:lang w:val="fr-FR"/>
        </w:rPr>
        <w:t>615</w:t>
      </w:r>
      <w:r w:rsidRPr="00D95A30">
        <w:rPr>
          <w:vertAlign w:val="superscript"/>
          <w:lang w:val="fr-FR"/>
        </w:rPr>
        <w:t>e</w:t>
      </w:r>
      <w:r w:rsidRPr="00A65EFA">
        <w:rPr>
          <w:lang w:val="fr-FR"/>
        </w:rPr>
        <w:t xml:space="preserve"> à 2</w:t>
      </w:r>
      <w:r>
        <w:rPr>
          <w:lang w:val="fr-FR"/>
        </w:rPr>
        <w:t>644</w:t>
      </w:r>
      <w:r w:rsidRPr="00D95A30">
        <w:rPr>
          <w:vertAlign w:val="superscript"/>
          <w:lang w:val="fr-FR"/>
        </w:rPr>
        <w:t>e</w:t>
      </w:r>
      <w:r>
        <w:rPr>
          <w:lang w:val="fr-FR"/>
        </w:rPr>
        <w:t> </w:t>
      </w:r>
      <w:r w:rsidRPr="00A65EFA">
        <w:rPr>
          <w:lang w:val="fr-FR"/>
        </w:rPr>
        <w:t>séances) ont eu lieu à l</w:t>
      </w:r>
      <w:r w:rsidR="009D7A41">
        <w:rPr>
          <w:lang w:val="fr-FR"/>
        </w:rPr>
        <w:t>’</w:t>
      </w:r>
      <w:r w:rsidRPr="00A65EFA">
        <w:rPr>
          <w:lang w:val="fr-FR"/>
        </w:rPr>
        <w:t xml:space="preserve">Office des Nations Unies à Genève, du </w:t>
      </w:r>
      <w:r>
        <w:rPr>
          <w:lang w:val="fr-FR"/>
        </w:rPr>
        <w:t>31 juillet</w:t>
      </w:r>
      <w:r w:rsidRPr="00A65EFA">
        <w:rPr>
          <w:lang w:val="fr-FR"/>
        </w:rPr>
        <w:t xml:space="preserve"> au 2</w:t>
      </w:r>
      <w:r>
        <w:rPr>
          <w:lang w:val="fr-FR"/>
        </w:rPr>
        <w:t>5 </w:t>
      </w:r>
      <w:r w:rsidRPr="00A65EFA">
        <w:rPr>
          <w:lang w:val="fr-FR"/>
        </w:rPr>
        <w:t>août 201</w:t>
      </w:r>
      <w:r>
        <w:rPr>
          <w:lang w:val="fr-FR"/>
        </w:rPr>
        <w:t>7</w:t>
      </w:r>
      <w:r w:rsidRPr="00A65EFA">
        <w:rPr>
          <w:lang w:val="fr-FR"/>
        </w:rPr>
        <w:t>, du 2</w:t>
      </w:r>
      <w:r>
        <w:rPr>
          <w:lang w:val="fr-FR"/>
        </w:rPr>
        <w:t>0 </w:t>
      </w:r>
      <w:r w:rsidRPr="00A65EFA">
        <w:rPr>
          <w:lang w:val="fr-FR"/>
        </w:rPr>
        <w:t xml:space="preserve">novembre au </w:t>
      </w:r>
      <w:r>
        <w:rPr>
          <w:lang w:val="fr-FR"/>
        </w:rPr>
        <w:t>8 </w:t>
      </w:r>
      <w:r w:rsidRPr="00A65EFA">
        <w:rPr>
          <w:lang w:val="fr-FR"/>
        </w:rPr>
        <w:t>décembre 201</w:t>
      </w:r>
      <w:r>
        <w:rPr>
          <w:lang w:val="fr-FR"/>
        </w:rPr>
        <w:t>7</w:t>
      </w:r>
      <w:r w:rsidRPr="00A65EFA">
        <w:rPr>
          <w:lang w:val="fr-FR"/>
        </w:rPr>
        <w:t xml:space="preserve"> et du 2</w:t>
      </w:r>
      <w:r>
        <w:rPr>
          <w:lang w:val="fr-FR"/>
        </w:rPr>
        <w:t>3 </w:t>
      </w:r>
      <w:r w:rsidRPr="00A65EFA">
        <w:rPr>
          <w:lang w:val="fr-FR"/>
        </w:rPr>
        <w:t>avril au 1</w:t>
      </w:r>
      <w:r>
        <w:rPr>
          <w:lang w:val="fr-FR"/>
        </w:rPr>
        <w:t>1 </w:t>
      </w:r>
      <w:r w:rsidRPr="00A65EFA">
        <w:rPr>
          <w:lang w:val="fr-FR"/>
        </w:rPr>
        <w:t>mai 201</w:t>
      </w:r>
      <w:r>
        <w:rPr>
          <w:lang w:val="fr-FR"/>
        </w:rPr>
        <w:t>8, respectivement</w:t>
      </w:r>
      <w:r w:rsidRPr="00A65EFA">
        <w:rPr>
          <w:lang w:val="fr-FR"/>
        </w:rPr>
        <w:t>.</w:t>
      </w:r>
    </w:p>
    <w:p w:rsidR="00736EF1" w:rsidRPr="00A65EFA" w:rsidRDefault="00736EF1" w:rsidP="00171F19">
      <w:pPr>
        <w:pStyle w:val="SingleTxtG"/>
      </w:pPr>
      <w:r>
        <w:rPr>
          <w:lang w:val="fr-FR"/>
        </w:rPr>
        <w:t>5.</w:t>
      </w:r>
      <w:r>
        <w:rPr>
          <w:lang w:val="fr-FR"/>
        </w:rPr>
        <w:tab/>
      </w:r>
      <w:r w:rsidRPr="00A65EFA">
        <w:rPr>
          <w:lang w:val="fr-FR"/>
        </w:rPr>
        <w:t xml:space="preserve">Les ordres du jour provisoires des </w:t>
      </w:r>
      <w:r>
        <w:rPr>
          <w:lang w:val="fr-FR"/>
        </w:rPr>
        <w:t xml:space="preserve">deux premières </w:t>
      </w:r>
      <w:r w:rsidRPr="00A65EFA">
        <w:rPr>
          <w:lang w:val="fr-FR"/>
        </w:rPr>
        <w:t xml:space="preserve">sessions ont été adoptés par le Comité sans modification (voir </w:t>
      </w:r>
      <w:hyperlink r:id="rId24" w:history="1">
        <w:r w:rsidRPr="00D95A30">
          <w:rPr>
            <w:rStyle w:val="Lienhypertexte"/>
            <w:lang w:val="fr-FR"/>
          </w:rPr>
          <w:t>CERD/C/9</w:t>
        </w:r>
        <w:r>
          <w:rPr>
            <w:rStyle w:val="Lienhypertexte"/>
            <w:lang w:val="fr-FR"/>
          </w:rPr>
          <w:t>3</w:t>
        </w:r>
        <w:r w:rsidRPr="00D95A30">
          <w:rPr>
            <w:rStyle w:val="Lienhypertexte"/>
            <w:lang w:val="fr-FR"/>
          </w:rPr>
          <w:t>/1</w:t>
        </w:r>
      </w:hyperlink>
      <w:r w:rsidRPr="00A65EFA">
        <w:rPr>
          <w:lang w:val="fr-FR"/>
        </w:rPr>
        <w:t xml:space="preserve"> </w:t>
      </w:r>
      <w:r>
        <w:rPr>
          <w:lang w:val="fr-FR"/>
        </w:rPr>
        <w:t xml:space="preserve">et </w:t>
      </w:r>
      <w:hyperlink r:id="rId25" w:history="1">
        <w:r w:rsidRPr="00D95A30">
          <w:rPr>
            <w:rStyle w:val="Lienhypertexte"/>
            <w:lang w:val="fr-FR"/>
          </w:rPr>
          <w:t>CERD/C/9</w:t>
        </w:r>
        <w:r>
          <w:rPr>
            <w:rStyle w:val="Lienhypertexte"/>
            <w:lang w:val="fr-FR"/>
          </w:rPr>
          <w:t>4</w:t>
        </w:r>
        <w:r w:rsidRPr="00D95A30">
          <w:rPr>
            <w:rStyle w:val="Lienhypertexte"/>
            <w:lang w:val="fr-FR"/>
          </w:rPr>
          <w:t>/1</w:t>
        </w:r>
      </w:hyperlink>
      <w:r>
        <w:rPr>
          <w:rStyle w:val="Lienhypertexte"/>
          <w:lang w:val="fr-FR"/>
        </w:rPr>
        <w:t xml:space="preserve">). </w:t>
      </w:r>
      <w:r>
        <w:rPr>
          <w:lang w:val="fr-FR"/>
        </w:rPr>
        <w:t>Une modification de l</w:t>
      </w:r>
      <w:r w:rsidR="009D7A41">
        <w:rPr>
          <w:lang w:val="fr-FR"/>
        </w:rPr>
        <w:t>’</w:t>
      </w:r>
      <w:r>
        <w:rPr>
          <w:lang w:val="fr-FR"/>
        </w:rPr>
        <w:t>ordre du jour de la quatre-vingt-quinzième session (</w:t>
      </w:r>
      <w:hyperlink r:id="rId26" w:history="1">
        <w:r w:rsidRPr="00171F19">
          <w:rPr>
            <w:rStyle w:val="Lienhypertexte"/>
            <w:lang w:val="fr-FR"/>
          </w:rPr>
          <w:t>CERD/C/95/1</w:t>
        </w:r>
      </w:hyperlink>
      <w:r>
        <w:rPr>
          <w:lang w:val="fr-FR"/>
        </w:rPr>
        <w:t>) a été annoncée pendant la séance d</w:t>
      </w:r>
      <w:r w:rsidR="009D7A41">
        <w:rPr>
          <w:lang w:val="fr-FR"/>
        </w:rPr>
        <w:t>’</w:t>
      </w:r>
      <w:r>
        <w:rPr>
          <w:lang w:val="fr-FR"/>
        </w:rPr>
        <w:t xml:space="preserve">ouverture de cette session. </w:t>
      </w:r>
    </w:p>
    <w:p w:rsidR="00736EF1" w:rsidRPr="00A65EFA" w:rsidRDefault="00736EF1" w:rsidP="00171F19">
      <w:pPr>
        <w:pStyle w:val="H1G"/>
      </w:pPr>
      <w:r>
        <w:rPr>
          <w:lang w:val="fr-FR"/>
        </w:rPr>
        <w:tab/>
        <w:t>C.</w:t>
      </w:r>
      <w:r>
        <w:rPr>
          <w:lang w:val="fr-FR"/>
        </w:rPr>
        <w:tab/>
      </w:r>
      <w:r w:rsidRPr="00A65EFA">
        <w:rPr>
          <w:lang w:val="fr-FR"/>
        </w:rPr>
        <w:t>Composition</w:t>
      </w:r>
      <w:bookmarkStart w:id="3" w:name="_Toc428794279"/>
      <w:bookmarkEnd w:id="3"/>
    </w:p>
    <w:p w:rsidR="00736EF1" w:rsidRPr="00A65EFA" w:rsidRDefault="00736EF1" w:rsidP="00171F19">
      <w:pPr>
        <w:pStyle w:val="SingleTxtG"/>
      </w:pPr>
      <w:r>
        <w:rPr>
          <w:lang w:val="fr-FR"/>
        </w:rPr>
        <w:t>6.</w:t>
      </w:r>
      <w:r>
        <w:rPr>
          <w:lang w:val="fr-FR"/>
        </w:rPr>
        <w:tab/>
      </w:r>
      <w:r w:rsidRPr="00A65EFA">
        <w:rPr>
          <w:lang w:val="fr-FR"/>
        </w:rPr>
        <w:t xml:space="preserve">La liste des membres du Comité pour </w:t>
      </w:r>
      <w:r>
        <w:rPr>
          <w:lang w:val="fr-FR"/>
        </w:rPr>
        <w:t>les quatre-vingt-treiz</w:t>
      </w:r>
      <w:r w:rsidR="00962BB9">
        <w:rPr>
          <w:lang w:val="fr-FR"/>
        </w:rPr>
        <w:t>ième</w:t>
      </w:r>
      <w:r>
        <w:rPr>
          <w:lang w:val="fr-FR"/>
        </w:rPr>
        <w:t xml:space="preserve"> et quatre</w:t>
      </w:r>
      <w:r w:rsidR="00962BB9">
        <w:rPr>
          <w:lang w:val="fr-FR"/>
        </w:rPr>
        <w:noBreakHyphen/>
      </w:r>
      <w:r>
        <w:rPr>
          <w:lang w:val="fr-FR"/>
        </w:rPr>
        <w:t>vingt</w:t>
      </w:r>
      <w:r w:rsidR="00962BB9">
        <w:rPr>
          <w:lang w:val="fr-FR"/>
        </w:rPr>
        <w:noBreakHyphen/>
      </w:r>
      <w:r>
        <w:rPr>
          <w:lang w:val="fr-FR"/>
        </w:rPr>
        <w:t>quatorz</w:t>
      </w:r>
      <w:r w:rsidR="00962BB9">
        <w:rPr>
          <w:lang w:val="fr-FR"/>
        </w:rPr>
        <w:t>ième</w:t>
      </w:r>
      <w:r>
        <w:rPr>
          <w:lang w:val="fr-FR"/>
        </w:rPr>
        <w:t xml:space="preserve"> sessions</w:t>
      </w:r>
      <w:r w:rsidRPr="00A65EFA">
        <w:rPr>
          <w:lang w:val="fr-FR"/>
        </w:rPr>
        <w:t xml:space="preserve"> s</w:t>
      </w:r>
      <w:r w:rsidR="009D7A41">
        <w:rPr>
          <w:lang w:val="fr-FR"/>
        </w:rPr>
        <w:t>’</w:t>
      </w:r>
      <w:r w:rsidRPr="00A65EFA">
        <w:rPr>
          <w:lang w:val="fr-FR"/>
        </w:rPr>
        <w:t>établi</w:t>
      </w:r>
      <w:r>
        <w:rPr>
          <w:lang w:val="fr-FR"/>
        </w:rPr>
        <w:t>ssai</w:t>
      </w:r>
      <w:r w:rsidRPr="00A65EFA">
        <w:rPr>
          <w:lang w:val="fr-FR"/>
        </w:rPr>
        <w:t xml:space="preserve">t comme </w:t>
      </w:r>
      <w:r>
        <w:rPr>
          <w:lang w:val="fr-FR"/>
        </w:rPr>
        <w:t>suit</w:t>
      </w:r>
      <w:r w:rsidR="00D725DA">
        <w:rPr>
          <w:lang w:val="fr-FR"/>
        </w:rPr>
        <w:t> :</w:t>
      </w:r>
    </w:p>
    <w:tbl>
      <w:tblPr>
        <w:tblW w:w="7370" w:type="dxa"/>
        <w:tblInd w:w="1134" w:type="dxa"/>
        <w:tblLayout w:type="fixed"/>
        <w:tblCellMar>
          <w:left w:w="0" w:type="dxa"/>
          <w:right w:w="0" w:type="dxa"/>
        </w:tblCellMar>
        <w:tblLook w:val="01E0" w:firstRow="1" w:lastRow="1" w:firstColumn="1" w:lastColumn="1" w:noHBand="0" w:noVBand="0"/>
      </w:tblPr>
      <w:tblGrid>
        <w:gridCol w:w="3119"/>
        <w:gridCol w:w="2268"/>
        <w:gridCol w:w="1983"/>
      </w:tblGrid>
      <w:tr w:rsidR="00736EF1" w:rsidRPr="00171F19" w:rsidTr="00171F19">
        <w:trPr>
          <w:cantSplit/>
          <w:tblHeader/>
        </w:trPr>
        <w:tc>
          <w:tcPr>
            <w:tcW w:w="3119" w:type="dxa"/>
            <w:tcBorders>
              <w:top w:val="single" w:sz="4" w:space="0" w:color="auto"/>
              <w:bottom w:val="single" w:sz="12" w:space="0" w:color="auto"/>
            </w:tcBorders>
            <w:shd w:val="clear" w:color="auto" w:fill="auto"/>
            <w:vAlign w:val="bottom"/>
          </w:tcPr>
          <w:p w:rsidR="00736EF1" w:rsidRPr="00171F19" w:rsidRDefault="00736EF1" w:rsidP="00171F19">
            <w:pPr>
              <w:spacing w:before="80" w:after="80" w:line="200" w:lineRule="exact"/>
              <w:ind w:right="113"/>
              <w:rPr>
                <w:i/>
                <w:sz w:val="16"/>
              </w:rPr>
            </w:pPr>
            <w:r w:rsidRPr="00171F19">
              <w:rPr>
                <w:i/>
                <w:sz w:val="16"/>
                <w:lang w:val="fr-FR"/>
              </w:rPr>
              <w:t>Nom</w:t>
            </w:r>
          </w:p>
        </w:tc>
        <w:tc>
          <w:tcPr>
            <w:tcW w:w="2268" w:type="dxa"/>
            <w:tcBorders>
              <w:top w:val="single" w:sz="4" w:space="0" w:color="auto"/>
              <w:bottom w:val="single" w:sz="12" w:space="0" w:color="auto"/>
            </w:tcBorders>
            <w:shd w:val="clear" w:color="auto" w:fill="auto"/>
            <w:vAlign w:val="bottom"/>
          </w:tcPr>
          <w:p w:rsidR="00736EF1" w:rsidRPr="00171F19" w:rsidRDefault="00736EF1" w:rsidP="00171F19">
            <w:pPr>
              <w:spacing w:before="80" w:after="80" w:line="200" w:lineRule="exact"/>
              <w:ind w:right="113"/>
              <w:rPr>
                <w:i/>
                <w:sz w:val="16"/>
              </w:rPr>
            </w:pPr>
            <w:r w:rsidRPr="00171F19">
              <w:rPr>
                <w:i/>
                <w:sz w:val="16"/>
                <w:lang w:val="fr-FR"/>
              </w:rPr>
              <w:t>Nationalité</w:t>
            </w:r>
          </w:p>
        </w:tc>
        <w:tc>
          <w:tcPr>
            <w:tcW w:w="1983" w:type="dxa"/>
            <w:tcBorders>
              <w:top w:val="single" w:sz="4" w:space="0" w:color="auto"/>
              <w:bottom w:val="single" w:sz="12" w:space="0" w:color="auto"/>
            </w:tcBorders>
            <w:shd w:val="clear" w:color="auto" w:fill="auto"/>
            <w:vAlign w:val="bottom"/>
          </w:tcPr>
          <w:p w:rsidR="00736EF1" w:rsidRPr="00171F19" w:rsidRDefault="00736EF1" w:rsidP="00171F19">
            <w:pPr>
              <w:spacing w:before="80" w:after="80" w:line="200" w:lineRule="exact"/>
              <w:ind w:right="113"/>
              <w:rPr>
                <w:i/>
                <w:sz w:val="16"/>
              </w:rPr>
            </w:pPr>
            <w:r w:rsidRPr="00171F19">
              <w:rPr>
                <w:i/>
                <w:sz w:val="16"/>
                <w:lang w:val="fr-FR"/>
              </w:rPr>
              <w:t>Mandat venant à expiration le 19 janvier</w:t>
            </w:r>
          </w:p>
        </w:tc>
      </w:tr>
      <w:tr w:rsidR="00171F19" w:rsidRPr="00171F19" w:rsidTr="00171F19">
        <w:trPr>
          <w:cantSplit/>
          <w:trHeight w:hRule="exact" w:val="113"/>
          <w:tblHeader/>
        </w:trPr>
        <w:tc>
          <w:tcPr>
            <w:tcW w:w="3119" w:type="dxa"/>
            <w:tcBorders>
              <w:top w:val="single" w:sz="12" w:space="0" w:color="auto"/>
            </w:tcBorders>
            <w:shd w:val="clear" w:color="auto" w:fill="auto"/>
          </w:tcPr>
          <w:p w:rsidR="00171F19" w:rsidRPr="00171F19" w:rsidRDefault="00171F19" w:rsidP="00171F19">
            <w:pPr>
              <w:spacing w:before="40" w:after="120"/>
              <w:ind w:right="113"/>
              <w:rPr>
                <w:lang w:val="fr-FR"/>
              </w:rPr>
            </w:pPr>
          </w:p>
        </w:tc>
        <w:tc>
          <w:tcPr>
            <w:tcW w:w="2268" w:type="dxa"/>
            <w:tcBorders>
              <w:top w:val="single" w:sz="12" w:space="0" w:color="auto"/>
            </w:tcBorders>
            <w:shd w:val="clear" w:color="auto" w:fill="auto"/>
          </w:tcPr>
          <w:p w:rsidR="00171F19" w:rsidRPr="00171F19" w:rsidRDefault="00171F19" w:rsidP="00171F19">
            <w:pPr>
              <w:spacing w:before="40" w:after="120"/>
              <w:ind w:right="113"/>
              <w:rPr>
                <w:lang w:val="fr-FR"/>
              </w:rPr>
            </w:pPr>
          </w:p>
        </w:tc>
        <w:tc>
          <w:tcPr>
            <w:tcW w:w="1983" w:type="dxa"/>
            <w:tcBorders>
              <w:top w:val="single" w:sz="12" w:space="0" w:color="auto"/>
            </w:tcBorders>
            <w:shd w:val="clear" w:color="auto" w:fill="auto"/>
          </w:tcPr>
          <w:p w:rsidR="00171F19" w:rsidRPr="00171F19" w:rsidRDefault="00171F19" w:rsidP="00171F19">
            <w:pPr>
              <w:spacing w:before="40" w:after="120"/>
              <w:ind w:right="113"/>
              <w:rPr>
                <w:lang w:val="fr-FR"/>
              </w:rPr>
            </w:pP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Nourredine </w:t>
            </w:r>
            <w:r w:rsidRPr="00171F19">
              <w:rPr>
                <w:b/>
                <w:lang w:val="fr-FR"/>
              </w:rPr>
              <w:t>Amir</w:t>
            </w:r>
          </w:p>
        </w:tc>
        <w:tc>
          <w:tcPr>
            <w:tcW w:w="2268" w:type="dxa"/>
            <w:shd w:val="clear" w:color="auto" w:fill="auto"/>
          </w:tcPr>
          <w:p w:rsidR="00736EF1" w:rsidRPr="00171F19" w:rsidRDefault="00736EF1" w:rsidP="00171F19">
            <w:pPr>
              <w:spacing w:before="40" w:after="120"/>
              <w:ind w:right="113"/>
            </w:pPr>
            <w:r w:rsidRPr="00171F19">
              <w:rPr>
                <w:lang w:val="fr-FR"/>
              </w:rPr>
              <w:t>Algérie</w:t>
            </w:r>
          </w:p>
        </w:tc>
        <w:tc>
          <w:tcPr>
            <w:tcW w:w="1983" w:type="dxa"/>
            <w:shd w:val="clear" w:color="auto" w:fill="auto"/>
          </w:tcPr>
          <w:p w:rsidR="00736EF1" w:rsidRPr="00171F19" w:rsidRDefault="00736EF1" w:rsidP="00171F19">
            <w:pPr>
              <w:spacing w:before="40" w:after="120"/>
              <w:ind w:right="113"/>
            </w:pPr>
            <w:r w:rsidRPr="00171F19">
              <w:t>2018</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Alexei S. </w:t>
            </w:r>
            <w:r w:rsidRPr="00171F19">
              <w:rPr>
                <w:b/>
                <w:lang w:val="fr-FR"/>
              </w:rPr>
              <w:t>Avtonomov</w:t>
            </w:r>
          </w:p>
        </w:tc>
        <w:tc>
          <w:tcPr>
            <w:tcW w:w="2268" w:type="dxa"/>
            <w:shd w:val="clear" w:color="auto" w:fill="auto"/>
          </w:tcPr>
          <w:p w:rsidR="00736EF1" w:rsidRPr="00171F19" w:rsidRDefault="00736EF1" w:rsidP="00171F19">
            <w:pPr>
              <w:spacing w:before="40" w:after="120"/>
              <w:ind w:right="113"/>
            </w:pPr>
            <w:r w:rsidRPr="00171F19">
              <w:rPr>
                <w:lang w:val="fr-FR"/>
              </w:rPr>
              <w:t>Fédération de Russie</w:t>
            </w:r>
          </w:p>
        </w:tc>
        <w:tc>
          <w:tcPr>
            <w:tcW w:w="1983" w:type="dxa"/>
            <w:shd w:val="clear" w:color="auto" w:fill="auto"/>
          </w:tcPr>
          <w:p w:rsidR="00736EF1" w:rsidRPr="00171F19" w:rsidRDefault="00736EF1" w:rsidP="00171F19">
            <w:pPr>
              <w:spacing w:before="40" w:after="120"/>
              <w:ind w:right="113"/>
            </w:pPr>
            <w:r w:rsidRPr="00171F19">
              <w:t>2020</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Marc </w:t>
            </w:r>
            <w:r w:rsidRPr="00171F19">
              <w:rPr>
                <w:b/>
                <w:lang w:val="fr-FR"/>
              </w:rPr>
              <w:t>Bossuyt</w:t>
            </w:r>
          </w:p>
        </w:tc>
        <w:tc>
          <w:tcPr>
            <w:tcW w:w="2268" w:type="dxa"/>
            <w:shd w:val="clear" w:color="auto" w:fill="auto"/>
          </w:tcPr>
          <w:p w:rsidR="00736EF1" w:rsidRPr="00171F19" w:rsidRDefault="00736EF1" w:rsidP="00171F19">
            <w:pPr>
              <w:spacing w:before="40" w:after="120"/>
              <w:ind w:right="113"/>
            </w:pPr>
            <w:r w:rsidRPr="00171F19">
              <w:rPr>
                <w:lang w:val="fr-FR"/>
              </w:rPr>
              <w:t>Belgique</w:t>
            </w:r>
          </w:p>
        </w:tc>
        <w:tc>
          <w:tcPr>
            <w:tcW w:w="1983" w:type="dxa"/>
            <w:shd w:val="clear" w:color="auto" w:fill="auto"/>
          </w:tcPr>
          <w:p w:rsidR="00736EF1" w:rsidRPr="00171F19" w:rsidRDefault="00736EF1" w:rsidP="00171F19">
            <w:pPr>
              <w:spacing w:before="40" w:after="120"/>
              <w:ind w:right="113"/>
            </w:pPr>
            <w:r w:rsidRPr="00171F19">
              <w:t>2018</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José Francisco </w:t>
            </w:r>
            <w:r w:rsidRPr="00171F19">
              <w:rPr>
                <w:b/>
                <w:lang w:val="fr-FR"/>
              </w:rPr>
              <w:t>Calí Tzay</w:t>
            </w:r>
          </w:p>
        </w:tc>
        <w:tc>
          <w:tcPr>
            <w:tcW w:w="2268" w:type="dxa"/>
            <w:shd w:val="clear" w:color="auto" w:fill="auto"/>
          </w:tcPr>
          <w:p w:rsidR="00736EF1" w:rsidRPr="00171F19" w:rsidRDefault="00736EF1" w:rsidP="00171F19">
            <w:pPr>
              <w:spacing w:before="40" w:after="120"/>
              <w:ind w:right="113"/>
            </w:pPr>
            <w:r w:rsidRPr="00171F19">
              <w:rPr>
                <w:lang w:val="fr-FR"/>
              </w:rPr>
              <w:t>Guatemala</w:t>
            </w:r>
          </w:p>
        </w:tc>
        <w:tc>
          <w:tcPr>
            <w:tcW w:w="1983" w:type="dxa"/>
            <w:shd w:val="clear" w:color="auto" w:fill="auto"/>
          </w:tcPr>
          <w:p w:rsidR="00736EF1" w:rsidRPr="00171F19" w:rsidRDefault="00736EF1" w:rsidP="00171F19">
            <w:pPr>
              <w:spacing w:before="40" w:after="120"/>
              <w:ind w:right="113"/>
            </w:pPr>
            <w:r w:rsidRPr="00171F19">
              <w:t>2020</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Anastasia </w:t>
            </w:r>
            <w:r w:rsidRPr="00171F19">
              <w:rPr>
                <w:b/>
                <w:lang w:val="fr-FR"/>
              </w:rPr>
              <w:t>Crickley</w:t>
            </w:r>
          </w:p>
        </w:tc>
        <w:tc>
          <w:tcPr>
            <w:tcW w:w="2268" w:type="dxa"/>
            <w:shd w:val="clear" w:color="auto" w:fill="auto"/>
          </w:tcPr>
          <w:p w:rsidR="00736EF1" w:rsidRPr="00171F19" w:rsidRDefault="00736EF1" w:rsidP="00171F19">
            <w:pPr>
              <w:spacing w:before="40" w:after="120"/>
              <w:ind w:right="113"/>
            </w:pPr>
            <w:r w:rsidRPr="00171F19">
              <w:rPr>
                <w:lang w:val="fr-FR"/>
              </w:rPr>
              <w:t>Irlande</w:t>
            </w:r>
          </w:p>
        </w:tc>
        <w:tc>
          <w:tcPr>
            <w:tcW w:w="1983" w:type="dxa"/>
            <w:shd w:val="clear" w:color="auto" w:fill="auto"/>
          </w:tcPr>
          <w:p w:rsidR="00736EF1" w:rsidRPr="00171F19" w:rsidRDefault="00736EF1" w:rsidP="00171F19">
            <w:pPr>
              <w:spacing w:before="40" w:after="120"/>
              <w:ind w:right="113"/>
            </w:pPr>
            <w:r w:rsidRPr="00171F19">
              <w:t>2018</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Fatimata-Binta Victoire </w:t>
            </w:r>
            <w:r w:rsidRPr="00171F19">
              <w:rPr>
                <w:b/>
                <w:lang w:val="fr-FR"/>
              </w:rPr>
              <w:t>Dah</w:t>
            </w:r>
          </w:p>
        </w:tc>
        <w:tc>
          <w:tcPr>
            <w:tcW w:w="2268" w:type="dxa"/>
            <w:shd w:val="clear" w:color="auto" w:fill="auto"/>
          </w:tcPr>
          <w:p w:rsidR="00736EF1" w:rsidRPr="00171F19" w:rsidRDefault="00736EF1" w:rsidP="00171F19">
            <w:pPr>
              <w:spacing w:before="40" w:after="120"/>
              <w:ind w:right="113"/>
            </w:pPr>
            <w:r w:rsidRPr="00171F19">
              <w:rPr>
                <w:lang w:val="fr-FR"/>
              </w:rPr>
              <w:t>Burkina Faso</w:t>
            </w:r>
          </w:p>
        </w:tc>
        <w:tc>
          <w:tcPr>
            <w:tcW w:w="1983" w:type="dxa"/>
            <w:shd w:val="clear" w:color="auto" w:fill="auto"/>
          </w:tcPr>
          <w:p w:rsidR="00736EF1" w:rsidRPr="00171F19" w:rsidRDefault="00736EF1" w:rsidP="00171F19">
            <w:pPr>
              <w:spacing w:before="40" w:after="120"/>
              <w:ind w:right="113"/>
            </w:pPr>
            <w:r w:rsidRPr="00171F19">
              <w:t>2020</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Afiwa-Kindéna </w:t>
            </w:r>
            <w:r w:rsidRPr="00171F19">
              <w:rPr>
                <w:b/>
                <w:lang w:val="fr-FR"/>
              </w:rPr>
              <w:t>Hohoueto</w:t>
            </w:r>
          </w:p>
        </w:tc>
        <w:tc>
          <w:tcPr>
            <w:tcW w:w="2268" w:type="dxa"/>
            <w:shd w:val="clear" w:color="auto" w:fill="auto"/>
          </w:tcPr>
          <w:p w:rsidR="00736EF1" w:rsidRPr="00171F19" w:rsidRDefault="00736EF1" w:rsidP="00171F19">
            <w:pPr>
              <w:spacing w:before="40" w:after="120"/>
              <w:ind w:right="113"/>
            </w:pPr>
            <w:r w:rsidRPr="00171F19">
              <w:rPr>
                <w:lang w:val="fr-FR"/>
              </w:rPr>
              <w:t>Togo</w:t>
            </w:r>
          </w:p>
        </w:tc>
        <w:tc>
          <w:tcPr>
            <w:tcW w:w="1983" w:type="dxa"/>
            <w:shd w:val="clear" w:color="auto" w:fill="auto"/>
          </w:tcPr>
          <w:p w:rsidR="00736EF1" w:rsidRPr="00171F19" w:rsidRDefault="00736EF1" w:rsidP="00171F19">
            <w:pPr>
              <w:spacing w:before="40" w:after="120"/>
              <w:ind w:right="113"/>
            </w:pPr>
            <w:r w:rsidRPr="00171F19">
              <w:t>2018</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Anwar </w:t>
            </w:r>
            <w:r w:rsidRPr="00171F19">
              <w:rPr>
                <w:b/>
                <w:lang w:val="fr-FR"/>
              </w:rPr>
              <w:t>Kemal</w:t>
            </w:r>
          </w:p>
        </w:tc>
        <w:tc>
          <w:tcPr>
            <w:tcW w:w="2268" w:type="dxa"/>
            <w:shd w:val="clear" w:color="auto" w:fill="auto"/>
          </w:tcPr>
          <w:p w:rsidR="00736EF1" w:rsidRPr="00171F19" w:rsidRDefault="00736EF1" w:rsidP="00171F19">
            <w:pPr>
              <w:spacing w:before="40" w:after="120"/>
              <w:ind w:right="113"/>
            </w:pPr>
            <w:r w:rsidRPr="00171F19">
              <w:rPr>
                <w:lang w:val="fr-FR"/>
              </w:rPr>
              <w:t>Pakistan</w:t>
            </w:r>
          </w:p>
        </w:tc>
        <w:tc>
          <w:tcPr>
            <w:tcW w:w="1983" w:type="dxa"/>
            <w:shd w:val="clear" w:color="auto" w:fill="auto"/>
          </w:tcPr>
          <w:p w:rsidR="00736EF1" w:rsidRPr="00171F19" w:rsidRDefault="00736EF1" w:rsidP="00171F19">
            <w:pPr>
              <w:spacing w:before="40" w:after="120"/>
              <w:ind w:right="113"/>
            </w:pPr>
            <w:r w:rsidRPr="00171F19">
              <w:t>2018</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lastRenderedPageBreak/>
              <w:t xml:space="preserve">Melhem </w:t>
            </w:r>
            <w:r w:rsidRPr="00171F19">
              <w:rPr>
                <w:b/>
                <w:lang w:val="fr-FR"/>
              </w:rPr>
              <w:t>Khalaf</w:t>
            </w:r>
          </w:p>
        </w:tc>
        <w:tc>
          <w:tcPr>
            <w:tcW w:w="2268" w:type="dxa"/>
            <w:shd w:val="clear" w:color="auto" w:fill="auto"/>
          </w:tcPr>
          <w:p w:rsidR="00736EF1" w:rsidRPr="00171F19" w:rsidRDefault="00736EF1" w:rsidP="00171F19">
            <w:pPr>
              <w:spacing w:before="40" w:after="120"/>
              <w:ind w:right="113"/>
            </w:pPr>
            <w:r w:rsidRPr="00171F19">
              <w:rPr>
                <w:lang w:val="fr-FR"/>
              </w:rPr>
              <w:t>Liban</w:t>
            </w:r>
          </w:p>
        </w:tc>
        <w:tc>
          <w:tcPr>
            <w:tcW w:w="1983" w:type="dxa"/>
            <w:shd w:val="clear" w:color="auto" w:fill="auto"/>
          </w:tcPr>
          <w:p w:rsidR="00736EF1" w:rsidRPr="00171F19" w:rsidRDefault="00736EF1" w:rsidP="00171F19">
            <w:pPr>
              <w:spacing w:before="40" w:after="120"/>
              <w:ind w:right="113"/>
            </w:pPr>
            <w:r w:rsidRPr="00171F19">
              <w:t>2018</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Gun </w:t>
            </w:r>
            <w:r w:rsidRPr="00171F19">
              <w:rPr>
                <w:b/>
                <w:lang w:val="fr-FR"/>
              </w:rPr>
              <w:t>Kut</w:t>
            </w:r>
          </w:p>
        </w:tc>
        <w:tc>
          <w:tcPr>
            <w:tcW w:w="2268" w:type="dxa"/>
            <w:shd w:val="clear" w:color="auto" w:fill="auto"/>
          </w:tcPr>
          <w:p w:rsidR="00736EF1" w:rsidRPr="00171F19" w:rsidRDefault="00736EF1" w:rsidP="00171F19">
            <w:pPr>
              <w:spacing w:before="40" w:after="120"/>
              <w:ind w:right="113"/>
            </w:pPr>
            <w:r w:rsidRPr="00171F19">
              <w:rPr>
                <w:lang w:val="fr-FR"/>
              </w:rPr>
              <w:t>Turquie</w:t>
            </w:r>
          </w:p>
        </w:tc>
        <w:tc>
          <w:tcPr>
            <w:tcW w:w="1983" w:type="dxa"/>
            <w:shd w:val="clear" w:color="auto" w:fill="auto"/>
          </w:tcPr>
          <w:p w:rsidR="00736EF1" w:rsidRPr="00171F19" w:rsidRDefault="00736EF1" w:rsidP="00171F19">
            <w:pPr>
              <w:spacing w:before="40" w:after="120"/>
              <w:ind w:right="113"/>
            </w:pPr>
            <w:r w:rsidRPr="00171F19">
              <w:t>2018</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rPr>
                <w:b/>
                <w:lang w:val="fr-FR"/>
              </w:rPr>
            </w:pPr>
            <w:r w:rsidRPr="00171F19">
              <w:rPr>
                <w:lang w:val="fr-FR"/>
              </w:rPr>
              <w:t xml:space="preserve">Yanduan </w:t>
            </w:r>
            <w:r w:rsidRPr="00171F19">
              <w:rPr>
                <w:b/>
                <w:lang w:val="fr-FR"/>
              </w:rPr>
              <w:t>Li</w:t>
            </w:r>
          </w:p>
        </w:tc>
        <w:tc>
          <w:tcPr>
            <w:tcW w:w="2268" w:type="dxa"/>
            <w:shd w:val="clear" w:color="auto" w:fill="auto"/>
          </w:tcPr>
          <w:p w:rsidR="00736EF1" w:rsidRPr="00171F19" w:rsidRDefault="00736EF1" w:rsidP="00171F19">
            <w:pPr>
              <w:spacing w:before="40" w:after="120"/>
              <w:ind w:right="113"/>
              <w:rPr>
                <w:lang w:val="fr-FR"/>
              </w:rPr>
            </w:pPr>
            <w:r w:rsidRPr="00171F19">
              <w:rPr>
                <w:lang w:val="fr-FR"/>
              </w:rPr>
              <w:t xml:space="preserve">Chine </w:t>
            </w:r>
          </w:p>
        </w:tc>
        <w:tc>
          <w:tcPr>
            <w:tcW w:w="1983" w:type="dxa"/>
            <w:shd w:val="clear" w:color="auto" w:fill="auto"/>
          </w:tcPr>
          <w:p w:rsidR="00736EF1" w:rsidRPr="00171F19" w:rsidRDefault="00736EF1" w:rsidP="00171F19">
            <w:pPr>
              <w:spacing w:before="40" w:after="120"/>
              <w:ind w:right="113"/>
            </w:pPr>
            <w:r w:rsidRPr="00171F19">
              <w:t>2020</w:t>
            </w:r>
          </w:p>
        </w:tc>
      </w:tr>
      <w:tr w:rsidR="00736EF1" w:rsidRPr="00171F19" w:rsidDel="00785636" w:rsidTr="00171F19">
        <w:trPr>
          <w:cantSplit/>
        </w:trPr>
        <w:tc>
          <w:tcPr>
            <w:tcW w:w="3119" w:type="dxa"/>
            <w:shd w:val="clear" w:color="auto" w:fill="auto"/>
          </w:tcPr>
          <w:p w:rsidR="00736EF1" w:rsidRPr="00171F19" w:rsidDel="00785636" w:rsidRDefault="00736EF1" w:rsidP="00171F19">
            <w:pPr>
              <w:spacing w:before="40" w:after="120"/>
              <w:ind w:right="113"/>
            </w:pPr>
            <w:r w:rsidRPr="00171F19">
              <w:rPr>
                <w:lang w:val="fr-FR"/>
              </w:rPr>
              <w:t xml:space="preserve">José A. </w:t>
            </w:r>
            <w:r w:rsidRPr="00171F19">
              <w:rPr>
                <w:b/>
                <w:lang w:val="fr-FR"/>
              </w:rPr>
              <w:t>Lindgren Alves</w:t>
            </w:r>
          </w:p>
        </w:tc>
        <w:tc>
          <w:tcPr>
            <w:tcW w:w="2268" w:type="dxa"/>
            <w:shd w:val="clear" w:color="auto" w:fill="auto"/>
          </w:tcPr>
          <w:p w:rsidR="00736EF1" w:rsidRPr="00171F19" w:rsidDel="00785636" w:rsidRDefault="00736EF1" w:rsidP="00171F19">
            <w:pPr>
              <w:spacing w:before="40" w:after="120"/>
              <w:ind w:right="113"/>
            </w:pPr>
            <w:r w:rsidRPr="00171F19">
              <w:rPr>
                <w:lang w:val="fr-FR"/>
              </w:rPr>
              <w:t>Brésil</w:t>
            </w:r>
          </w:p>
        </w:tc>
        <w:tc>
          <w:tcPr>
            <w:tcW w:w="1983" w:type="dxa"/>
            <w:shd w:val="clear" w:color="auto" w:fill="auto"/>
          </w:tcPr>
          <w:p w:rsidR="00736EF1" w:rsidRPr="00171F19" w:rsidDel="00785636" w:rsidRDefault="00736EF1" w:rsidP="00171F19">
            <w:pPr>
              <w:spacing w:before="40" w:after="120"/>
              <w:ind w:right="113"/>
            </w:pPr>
            <w:r w:rsidRPr="00171F19">
              <w:t>2018</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M. Nicolás </w:t>
            </w:r>
            <w:r w:rsidRPr="00171F19">
              <w:rPr>
                <w:b/>
                <w:lang w:val="fr-FR"/>
              </w:rPr>
              <w:t>Marugán</w:t>
            </w:r>
          </w:p>
        </w:tc>
        <w:tc>
          <w:tcPr>
            <w:tcW w:w="2268" w:type="dxa"/>
            <w:shd w:val="clear" w:color="auto" w:fill="auto"/>
          </w:tcPr>
          <w:p w:rsidR="00736EF1" w:rsidRPr="00171F19" w:rsidRDefault="00736EF1" w:rsidP="00171F19">
            <w:pPr>
              <w:spacing w:before="40" w:after="120"/>
              <w:ind w:right="113"/>
            </w:pPr>
            <w:r w:rsidRPr="00171F19">
              <w:rPr>
                <w:lang w:val="fr-FR"/>
              </w:rPr>
              <w:t>Espagne</w:t>
            </w:r>
          </w:p>
        </w:tc>
        <w:tc>
          <w:tcPr>
            <w:tcW w:w="1983" w:type="dxa"/>
            <w:shd w:val="clear" w:color="auto" w:fill="auto"/>
          </w:tcPr>
          <w:p w:rsidR="00736EF1" w:rsidRPr="00171F19" w:rsidRDefault="00736EF1" w:rsidP="00171F19">
            <w:pPr>
              <w:spacing w:before="40" w:after="120"/>
              <w:ind w:right="113"/>
            </w:pPr>
            <w:r w:rsidRPr="00171F19">
              <w:t>2020</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Gay </w:t>
            </w:r>
            <w:r w:rsidRPr="00171F19">
              <w:rPr>
                <w:b/>
                <w:lang w:val="fr-FR"/>
              </w:rPr>
              <w:t>McDougall</w:t>
            </w:r>
          </w:p>
        </w:tc>
        <w:tc>
          <w:tcPr>
            <w:tcW w:w="2268" w:type="dxa"/>
            <w:shd w:val="clear" w:color="auto" w:fill="auto"/>
          </w:tcPr>
          <w:p w:rsidR="00736EF1" w:rsidRPr="00171F19" w:rsidRDefault="00736EF1" w:rsidP="00171F19">
            <w:pPr>
              <w:spacing w:before="40" w:after="120"/>
              <w:ind w:right="113"/>
            </w:pPr>
            <w:r w:rsidRPr="00171F19">
              <w:rPr>
                <w:lang w:val="fr-FR"/>
              </w:rPr>
              <w:t>États-Unis d</w:t>
            </w:r>
            <w:r w:rsidR="009D7A41">
              <w:rPr>
                <w:lang w:val="fr-FR"/>
              </w:rPr>
              <w:t>’</w:t>
            </w:r>
            <w:r w:rsidRPr="00171F19">
              <w:rPr>
                <w:lang w:val="fr-FR"/>
              </w:rPr>
              <w:t>Amérique</w:t>
            </w:r>
          </w:p>
        </w:tc>
        <w:tc>
          <w:tcPr>
            <w:tcW w:w="1983" w:type="dxa"/>
            <w:shd w:val="clear" w:color="auto" w:fill="auto"/>
          </w:tcPr>
          <w:p w:rsidR="00736EF1" w:rsidRPr="00171F19" w:rsidRDefault="00736EF1" w:rsidP="00171F19">
            <w:pPr>
              <w:spacing w:before="40" w:after="120"/>
              <w:ind w:right="113"/>
            </w:pPr>
            <w:r w:rsidRPr="00171F19">
              <w:t>2020</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Yemhelhe Mint </w:t>
            </w:r>
            <w:r w:rsidRPr="00171F19">
              <w:rPr>
                <w:b/>
                <w:lang w:val="fr-FR"/>
              </w:rPr>
              <w:t>Mohamed</w:t>
            </w:r>
          </w:p>
        </w:tc>
        <w:tc>
          <w:tcPr>
            <w:tcW w:w="2268" w:type="dxa"/>
            <w:shd w:val="clear" w:color="auto" w:fill="auto"/>
          </w:tcPr>
          <w:p w:rsidR="00736EF1" w:rsidRPr="00171F19" w:rsidRDefault="00736EF1" w:rsidP="00171F19">
            <w:pPr>
              <w:spacing w:before="40" w:after="120"/>
              <w:ind w:right="113"/>
            </w:pPr>
            <w:r w:rsidRPr="00171F19">
              <w:rPr>
                <w:lang w:val="fr-FR"/>
              </w:rPr>
              <w:t>Mauritanie</w:t>
            </w:r>
          </w:p>
        </w:tc>
        <w:tc>
          <w:tcPr>
            <w:tcW w:w="1983" w:type="dxa"/>
            <w:shd w:val="clear" w:color="auto" w:fill="auto"/>
          </w:tcPr>
          <w:p w:rsidR="00736EF1" w:rsidRPr="00171F19" w:rsidRDefault="00736EF1" w:rsidP="00171F19">
            <w:pPr>
              <w:spacing w:before="40" w:after="120"/>
              <w:ind w:right="113"/>
            </w:pPr>
            <w:r w:rsidRPr="00171F19">
              <w:t>2020</w:t>
            </w:r>
          </w:p>
        </w:tc>
      </w:tr>
      <w:tr w:rsidR="00736EF1" w:rsidRPr="00171F19" w:rsidTr="00171F19">
        <w:trPr>
          <w:cantSplit/>
        </w:trPr>
        <w:tc>
          <w:tcPr>
            <w:tcW w:w="3119" w:type="dxa"/>
            <w:shd w:val="clear" w:color="auto" w:fill="auto"/>
          </w:tcPr>
          <w:p w:rsidR="00736EF1" w:rsidRPr="00171F19" w:rsidRDefault="00736EF1" w:rsidP="00171F19">
            <w:pPr>
              <w:spacing w:before="40" w:after="120"/>
              <w:ind w:right="113"/>
            </w:pPr>
            <w:r w:rsidRPr="00171F19">
              <w:rPr>
                <w:lang w:val="fr-FR"/>
              </w:rPr>
              <w:t xml:space="preserve">Pastor Elias </w:t>
            </w:r>
            <w:r w:rsidRPr="00171F19">
              <w:rPr>
                <w:b/>
                <w:lang w:val="fr-FR"/>
              </w:rPr>
              <w:t>Murillo Martínez</w:t>
            </w:r>
          </w:p>
        </w:tc>
        <w:tc>
          <w:tcPr>
            <w:tcW w:w="2268" w:type="dxa"/>
            <w:shd w:val="clear" w:color="auto" w:fill="auto"/>
          </w:tcPr>
          <w:p w:rsidR="00736EF1" w:rsidRPr="00171F19" w:rsidRDefault="00736EF1" w:rsidP="00171F19">
            <w:pPr>
              <w:spacing w:before="40" w:after="120"/>
              <w:ind w:right="113"/>
            </w:pPr>
            <w:r w:rsidRPr="00171F19">
              <w:rPr>
                <w:lang w:val="fr-FR"/>
              </w:rPr>
              <w:t>Colombie</w:t>
            </w:r>
          </w:p>
        </w:tc>
        <w:tc>
          <w:tcPr>
            <w:tcW w:w="1983" w:type="dxa"/>
            <w:shd w:val="clear" w:color="auto" w:fill="auto"/>
          </w:tcPr>
          <w:p w:rsidR="00736EF1" w:rsidRPr="00171F19" w:rsidRDefault="00736EF1" w:rsidP="00171F19">
            <w:pPr>
              <w:spacing w:before="40" w:after="120"/>
              <w:ind w:right="113"/>
            </w:pPr>
            <w:r w:rsidRPr="00171F19">
              <w:t>2020</w:t>
            </w:r>
          </w:p>
        </w:tc>
      </w:tr>
      <w:tr w:rsidR="00736EF1" w:rsidRPr="00171F19" w:rsidDel="00785636" w:rsidTr="00171F19">
        <w:trPr>
          <w:cantSplit/>
        </w:trPr>
        <w:tc>
          <w:tcPr>
            <w:tcW w:w="3119" w:type="dxa"/>
            <w:shd w:val="clear" w:color="auto" w:fill="auto"/>
          </w:tcPr>
          <w:p w:rsidR="00736EF1" w:rsidRPr="00171F19" w:rsidDel="00785636" w:rsidRDefault="00736EF1" w:rsidP="00171F19">
            <w:pPr>
              <w:spacing w:before="40" w:after="120"/>
              <w:ind w:right="113"/>
            </w:pPr>
            <w:r w:rsidRPr="00171F19">
              <w:rPr>
                <w:lang w:val="fr-FR"/>
              </w:rPr>
              <w:t xml:space="preserve">Verene </w:t>
            </w:r>
            <w:r w:rsidRPr="00171F19">
              <w:rPr>
                <w:b/>
                <w:lang w:val="fr-FR"/>
              </w:rPr>
              <w:t>Shepherd</w:t>
            </w:r>
          </w:p>
        </w:tc>
        <w:tc>
          <w:tcPr>
            <w:tcW w:w="2268" w:type="dxa"/>
            <w:shd w:val="clear" w:color="auto" w:fill="auto"/>
          </w:tcPr>
          <w:p w:rsidR="00736EF1" w:rsidRPr="00171F19" w:rsidDel="00785636" w:rsidRDefault="00736EF1" w:rsidP="00171F19">
            <w:pPr>
              <w:spacing w:before="40" w:after="120"/>
              <w:ind w:right="113"/>
            </w:pPr>
            <w:r w:rsidRPr="00171F19">
              <w:rPr>
                <w:lang w:val="fr-FR"/>
              </w:rPr>
              <w:t>Jamaïque</w:t>
            </w:r>
          </w:p>
        </w:tc>
        <w:tc>
          <w:tcPr>
            <w:tcW w:w="1983" w:type="dxa"/>
            <w:shd w:val="clear" w:color="auto" w:fill="auto"/>
          </w:tcPr>
          <w:p w:rsidR="00736EF1" w:rsidRPr="00171F19" w:rsidDel="00785636" w:rsidRDefault="00736EF1" w:rsidP="00171F19">
            <w:pPr>
              <w:spacing w:before="40" w:after="120"/>
              <w:ind w:right="113"/>
            </w:pPr>
            <w:r w:rsidRPr="00171F19">
              <w:t>2020</w:t>
            </w:r>
          </w:p>
        </w:tc>
      </w:tr>
      <w:tr w:rsidR="00736EF1" w:rsidRPr="00171F19" w:rsidTr="00171F19">
        <w:trPr>
          <w:cantSplit/>
        </w:trPr>
        <w:tc>
          <w:tcPr>
            <w:tcW w:w="3119" w:type="dxa"/>
            <w:tcBorders>
              <w:bottom w:val="single" w:sz="12" w:space="0" w:color="auto"/>
            </w:tcBorders>
            <w:shd w:val="clear" w:color="auto" w:fill="auto"/>
          </w:tcPr>
          <w:p w:rsidR="00736EF1" w:rsidRPr="00171F19" w:rsidRDefault="00736EF1" w:rsidP="00171F19">
            <w:pPr>
              <w:spacing w:before="40" w:after="120"/>
              <w:ind w:right="113"/>
              <w:rPr>
                <w:lang w:val="en-US"/>
              </w:rPr>
            </w:pPr>
            <w:r w:rsidRPr="00171F19">
              <w:rPr>
                <w:lang w:val="en-US"/>
              </w:rPr>
              <w:t xml:space="preserve">Yeung Kam John </w:t>
            </w:r>
            <w:r w:rsidRPr="00171F19">
              <w:rPr>
                <w:b/>
                <w:lang w:val="en-US"/>
              </w:rPr>
              <w:t>Yeung Sik Yuen</w:t>
            </w:r>
          </w:p>
        </w:tc>
        <w:tc>
          <w:tcPr>
            <w:tcW w:w="2268" w:type="dxa"/>
            <w:tcBorders>
              <w:bottom w:val="single" w:sz="12" w:space="0" w:color="auto"/>
            </w:tcBorders>
            <w:shd w:val="clear" w:color="auto" w:fill="auto"/>
          </w:tcPr>
          <w:p w:rsidR="00736EF1" w:rsidRPr="00171F19" w:rsidRDefault="00736EF1" w:rsidP="00171F19">
            <w:pPr>
              <w:spacing w:before="40" w:after="120"/>
              <w:ind w:right="113"/>
            </w:pPr>
            <w:r w:rsidRPr="00171F19">
              <w:rPr>
                <w:lang w:val="fr-FR"/>
              </w:rPr>
              <w:t>Maurice</w:t>
            </w:r>
          </w:p>
        </w:tc>
        <w:tc>
          <w:tcPr>
            <w:tcW w:w="1983" w:type="dxa"/>
            <w:tcBorders>
              <w:bottom w:val="single" w:sz="12" w:space="0" w:color="auto"/>
            </w:tcBorders>
            <w:shd w:val="clear" w:color="auto" w:fill="auto"/>
          </w:tcPr>
          <w:p w:rsidR="00736EF1" w:rsidRPr="00171F19" w:rsidRDefault="00736EF1" w:rsidP="00171F19">
            <w:pPr>
              <w:spacing w:before="40" w:after="120"/>
              <w:ind w:right="113"/>
            </w:pPr>
            <w:r w:rsidRPr="00171F19">
              <w:t>2018</w:t>
            </w:r>
          </w:p>
        </w:tc>
      </w:tr>
    </w:tbl>
    <w:p w:rsidR="00736EF1" w:rsidRDefault="00736EF1" w:rsidP="001E2579">
      <w:pPr>
        <w:pStyle w:val="SingleTxtG"/>
        <w:spacing w:before="120" w:after="240"/>
        <w:rPr>
          <w:lang w:val="fr-FR"/>
        </w:rPr>
      </w:pPr>
      <w:r>
        <w:rPr>
          <w:lang w:val="fr-FR"/>
        </w:rPr>
        <w:t>7.</w:t>
      </w:r>
      <w:r>
        <w:rPr>
          <w:lang w:val="fr-FR"/>
        </w:rPr>
        <w:tab/>
        <w:t>À leur vingt-septième réunion, tenue le 22</w:t>
      </w:r>
      <w:r w:rsidR="001E2579">
        <w:rPr>
          <w:lang w:val="fr-FR"/>
        </w:rPr>
        <w:t> </w:t>
      </w:r>
      <w:r>
        <w:rPr>
          <w:lang w:val="fr-FR"/>
        </w:rPr>
        <w:t xml:space="preserve">juin 2017 à New York, les États parties ont élu </w:t>
      </w:r>
      <w:r w:rsidRPr="0036531B">
        <w:rPr>
          <w:lang w:val="fr-FR"/>
        </w:rPr>
        <w:t>neuf membres du Comité pour remplacer ceux dont le mandat expirait le 19 janvier 201</w:t>
      </w:r>
      <w:r w:rsidR="00513CD7">
        <w:rPr>
          <w:lang w:val="fr-FR"/>
        </w:rPr>
        <w:t>8</w:t>
      </w:r>
      <w:r w:rsidRPr="0036531B">
        <w:rPr>
          <w:lang w:val="fr-FR"/>
        </w:rPr>
        <w:t>, conformément aux paragraphes 1 à</w:t>
      </w:r>
      <w:r w:rsidR="001E2579">
        <w:rPr>
          <w:lang w:val="fr-FR"/>
        </w:rPr>
        <w:t> </w:t>
      </w:r>
      <w:r w:rsidRPr="0036531B">
        <w:rPr>
          <w:lang w:val="fr-FR"/>
        </w:rPr>
        <w:t>5 de l</w:t>
      </w:r>
      <w:r w:rsidR="009D7A41">
        <w:rPr>
          <w:lang w:val="fr-FR"/>
        </w:rPr>
        <w:t>’</w:t>
      </w:r>
      <w:r w:rsidRPr="0036531B">
        <w:rPr>
          <w:lang w:val="fr-FR"/>
        </w:rPr>
        <w:t>article 8 de la Convention</w:t>
      </w:r>
      <w:r>
        <w:rPr>
          <w:lang w:val="fr-FR"/>
        </w:rPr>
        <w:t>. La composition du Comité, à compter de sa quatre-vingt-quinzième session, s</w:t>
      </w:r>
      <w:r w:rsidR="009D7A41">
        <w:rPr>
          <w:lang w:val="fr-FR"/>
        </w:rPr>
        <w:t>’</w:t>
      </w:r>
      <w:r>
        <w:rPr>
          <w:lang w:val="fr-FR"/>
        </w:rPr>
        <w:t>établit comme suit</w:t>
      </w:r>
      <w:r w:rsidR="00D725DA">
        <w:rPr>
          <w:lang w:val="fr-FR"/>
        </w:rPr>
        <w:t> :</w:t>
      </w:r>
      <w:r>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3119"/>
        <w:gridCol w:w="2268"/>
        <w:gridCol w:w="1983"/>
      </w:tblGrid>
      <w:tr w:rsidR="00736EF1" w:rsidRPr="001E2579" w:rsidTr="001E2579">
        <w:trPr>
          <w:cantSplit/>
          <w:tblHeader/>
        </w:trPr>
        <w:tc>
          <w:tcPr>
            <w:tcW w:w="3119" w:type="dxa"/>
            <w:tcBorders>
              <w:top w:val="single" w:sz="4" w:space="0" w:color="auto"/>
              <w:bottom w:val="single" w:sz="12" w:space="0" w:color="auto"/>
            </w:tcBorders>
            <w:shd w:val="clear" w:color="auto" w:fill="auto"/>
            <w:vAlign w:val="bottom"/>
            <w:hideMark/>
          </w:tcPr>
          <w:p w:rsidR="00736EF1" w:rsidRPr="001E2579" w:rsidRDefault="00736EF1" w:rsidP="001E2579">
            <w:pPr>
              <w:spacing w:before="80" w:after="80" w:line="200" w:lineRule="exact"/>
              <w:ind w:right="113"/>
              <w:rPr>
                <w:i/>
                <w:sz w:val="16"/>
              </w:rPr>
            </w:pPr>
            <w:r w:rsidRPr="001E2579">
              <w:rPr>
                <w:i/>
                <w:sz w:val="16"/>
              </w:rPr>
              <w:t>Nom</w:t>
            </w:r>
          </w:p>
        </w:tc>
        <w:tc>
          <w:tcPr>
            <w:tcW w:w="2268" w:type="dxa"/>
            <w:tcBorders>
              <w:top w:val="single" w:sz="4" w:space="0" w:color="auto"/>
              <w:bottom w:val="single" w:sz="12" w:space="0" w:color="auto"/>
            </w:tcBorders>
            <w:shd w:val="clear" w:color="auto" w:fill="auto"/>
            <w:vAlign w:val="bottom"/>
            <w:hideMark/>
          </w:tcPr>
          <w:p w:rsidR="00736EF1" w:rsidRPr="001E2579" w:rsidRDefault="00736EF1" w:rsidP="001E2579">
            <w:pPr>
              <w:spacing w:before="80" w:after="80" w:line="200" w:lineRule="exact"/>
              <w:ind w:right="113"/>
              <w:rPr>
                <w:i/>
                <w:sz w:val="16"/>
              </w:rPr>
            </w:pPr>
            <w:r w:rsidRPr="001E2579">
              <w:rPr>
                <w:i/>
                <w:sz w:val="16"/>
              </w:rPr>
              <w:t>Nationalité</w:t>
            </w:r>
          </w:p>
        </w:tc>
        <w:tc>
          <w:tcPr>
            <w:tcW w:w="1983" w:type="dxa"/>
            <w:tcBorders>
              <w:top w:val="single" w:sz="4" w:space="0" w:color="auto"/>
              <w:bottom w:val="single" w:sz="12" w:space="0" w:color="auto"/>
            </w:tcBorders>
            <w:shd w:val="clear" w:color="auto" w:fill="auto"/>
            <w:vAlign w:val="bottom"/>
            <w:hideMark/>
          </w:tcPr>
          <w:p w:rsidR="00736EF1" w:rsidRPr="001E2579" w:rsidRDefault="00736EF1" w:rsidP="001E2579">
            <w:pPr>
              <w:spacing w:before="80" w:after="80" w:line="200" w:lineRule="exact"/>
              <w:ind w:right="113"/>
              <w:rPr>
                <w:i/>
                <w:sz w:val="16"/>
              </w:rPr>
            </w:pPr>
            <w:r w:rsidRPr="001E2579">
              <w:rPr>
                <w:i/>
                <w:sz w:val="16"/>
              </w:rPr>
              <w:t>Mandat venant à expiration le 19 janvier</w:t>
            </w:r>
          </w:p>
        </w:tc>
      </w:tr>
      <w:tr w:rsidR="001E2579" w:rsidRPr="001E2579" w:rsidTr="001E2579">
        <w:trPr>
          <w:cantSplit/>
          <w:trHeight w:hRule="exact" w:val="113"/>
          <w:tblHeader/>
        </w:trPr>
        <w:tc>
          <w:tcPr>
            <w:tcW w:w="3119" w:type="dxa"/>
            <w:tcBorders>
              <w:top w:val="single" w:sz="12" w:space="0" w:color="auto"/>
            </w:tcBorders>
            <w:shd w:val="clear" w:color="auto" w:fill="auto"/>
          </w:tcPr>
          <w:p w:rsidR="001E2579" w:rsidRPr="001E2579" w:rsidRDefault="001E2579" w:rsidP="001E2579">
            <w:pPr>
              <w:spacing w:before="40" w:after="120"/>
              <w:ind w:right="113"/>
            </w:pPr>
          </w:p>
        </w:tc>
        <w:tc>
          <w:tcPr>
            <w:tcW w:w="2268" w:type="dxa"/>
            <w:tcBorders>
              <w:top w:val="single" w:sz="12" w:space="0" w:color="auto"/>
            </w:tcBorders>
            <w:shd w:val="clear" w:color="auto" w:fill="auto"/>
          </w:tcPr>
          <w:p w:rsidR="001E2579" w:rsidRPr="001E2579" w:rsidRDefault="001E2579" w:rsidP="001E2579">
            <w:pPr>
              <w:spacing w:before="40" w:after="120"/>
              <w:ind w:right="113"/>
            </w:pPr>
          </w:p>
        </w:tc>
        <w:tc>
          <w:tcPr>
            <w:tcW w:w="1983" w:type="dxa"/>
            <w:tcBorders>
              <w:top w:val="single" w:sz="12" w:space="0" w:color="auto"/>
            </w:tcBorders>
            <w:shd w:val="clear" w:color="auto" w:fill="auto"/>
          </w:tcPr>
          <w:p w:rsidR="001E2579" w:rsidRPr="001E2579" w:rsidRDefault="001E2579" w:rsidP="001E2579">
            <w:pPr>
              <w:spacing w:before="40" w:after="120"/>
              <w:ind w:right="113"/>
            </w:pP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rPr>
                <w:lang w:val="es-ES"/>
              </w:rPr>
            </w:pPr>
            <w:r w:rsidRPr="001E2579">
              <w:rPr>
                <w:lang w:val="es-ES"/>
              </w:rPr>
              <w:t xml:space="preserve">Silvio José </w:t>
            </w:r>
            <w:r w:rsidRPr="001E2579">
              <w:rPr>
                <w:b/>
                <w:lang w:val="es-ES"/>
              </w:rPr>
              <w:t>Albuquerque e Silva</w:t>
            </w:r>
          </w:p>
        </w:tc>
        <w:tc>
          <w:tcPr>
            <w:tcW w:w="2268" w:type="dxa"/>
            <w:shd w:val="clear" w:color="auto" w:fill="auto"/>
            <w:hideMark/>
          </w:tcPr>
          <w:p w:rsidR="00736EF1" w:rsidRPr="001E2579" w:rsidRDefault="00736EF1" w:rsidP="001E2579">
            <w:pPr>
              <w:spacing w:before="40" w:after="120"/>
              <w:ind w:right="113"/>
              <w:rPr>
                <w:lang w:val="en-GB"/>
              </w:rPr>
            </w:pPr>
            <w:r w:rsidRPr="001E2579">
              <w:t>Brésil</w:t>
            </w:r>
          </w:p>
        </w:tc>
        <w:tc>
          <w:tcPr>
            <w:tcW w:w="1983" w:type="dxa"/>
            <w:shd w:val="clear" w:color="auto" w:fill="auto"/>
            <w:hideMark/>
          </w:tcPr>
          <w:p w:rsidR="00736EF1" w:rsidRPr="001E2579" w:rsidRDefault="00736EF1" w:rsidP="001E2579">
            <w:pPr>
              <w:spacing w:before="40" w:after="120"/>
              <w:ind w:right="113"/>
            </w:pPr>
            <w:r w:rsidRPr="001E2579">
              <w:t>2022</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Nourredine </w:t>
            </w:r>
            <w:r w:rsidRPr="001E2579">
              <w:rPr>
                <w:b/>
              </w:rPr>
              <w:t>Amir</w:t>
            </w:r>
          </w:p>
        </w:tc>
        <w:tc>
          <w:tcPr>
            <w:tcW w:w="2268" w:type="dxa"/>
            <w:shd w:val="clear" w:color="auto" w:fill="auto"/>
            <w:hideMark/>
          </w:tcPr>
          <w:p w:rsidR="00736EF1" w:rsidRPr="001E2579" w:rsidRDefault="00736EF1" w:rsidP="001E2579">
            <w:pPr>
              <w:spacing w:before="40" w:after="120"/>
              <w:ind w:right="113"/>
            </w:pPr>
            <w:r w:rsidRPr="001E2579">
              <w:t>Algérie</w:t>
            </w:r>
          </w:p>
        </w:tc>
        <w:tc>
          <w:tcPr>
            <w:tcW w:w="1983" w:type="dxa"/>
            <w:shd w:val="clear" w:color="auto" w:fill="auto"/>
            <w:hideMark/>
          </w:tcPr>
          <w:p w:rsidR="00736EF1" w:rsidRPr="001E2579" w:rsidRDefault="00736EF1" w:rsidP="001E2579">
            <w:pPr>
              <w:spacing w:before="40" w:after="120"/>
              <w:ind w:right="113"/>
            </w:pPr>
            <w:r w:rsidRPr="001E2579">
              <w:t>2022</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Alexei S. </w:t>
            </w:r>
            <w:r w:rsidRPr="001E2579">
              <w:rPr>
                <w:b/>
              </w:rPr>
              <w:t>Avtonomov</w:t>
            </w:r>
          </w:p>
        </w:tc>
        <w:tc>
          <w:tcPr>
            <w:tcW w:w="2268" w:type="dxa"/>
            <w:shd w:val="clear" w:color="auto" w:fill="auto"/>
            <w:hideMark/>
          </w:tcPr>
          <w:p w:rsidR="00736EF1" w:rsidRPr="001E2579" w:rsidRDefault="00736EF1" w:rsidP="001E2579">
            <w:pPr>
              <w:spacing w:before="40" w:after="120"/>
              <w:ind w:right="113"/>
            </w:pPr>
            <w:r w:rsidRPr="001E2579">
              <w:t>Fédération de Russie</w:t>
            </w:r>
          </w:p>
        </w:tc>
        <w:tc>
          <w:tcPr>
            <w:tcW w:w="1983" w:type="dxa"/>
            <w:shd w:val="clear" w:color="auto" w:fill="auto"/>
            <w:hideMark/>
          </w:tcPr>
          <w:p w:rsidR="00736EF1" w:rsidRPr="001E2579" w:rsidRDefault="00736EF1" w:rsidP="001E2579">
            <w:pPr>
              <w:spacing w:before="40" w:after="120"/>
              <w:ind w:right="113"/>
            </w:pPr>
            <w:r w:rsidRPr="001E2579">
              <w:t>2020</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Marc </w:t>
            </w:r>
            <w:r w:rsidRPr="001E2579">
              <w:rPr>
                <w:b/>
              </w:rPr>
              <w:t>Bossuyt</w:t>
            </w:r>
          </w:p>
        </w:tc>
        <w:tc>
          <w:tcPr>
            <w:tcW w:w="2268" w:type="dxa"/>
            <w:shd w:val="clear" w:color="auto" w:fill="auto"/>
            <w:hideMark/>
          </w:tcPr>
          <w:p w:rsidR="00736EF1" w:rsidRPr="001E2579" w:rsidRDefault="00736EF1" w:rsidP="001E2579">
            <w:pPr>
              <w:spacing w:before="40" w:after="120"/>
              <w:ind w:right="113"/>
            </w:pPr>
            <w:r w:rsidRPr="001E2579">
              <w:t>Belgique</w:t>
            </w:r>
          </w:p>
        </w:tc>
        <w:tc>
          <w:tcPr>
            <w:tcW w:w="1983" w:type="dxa"/>
            <w:shd w:val="clear" w:color="auto" w:fill="auto"/>
            <w:hideMark/>
          </w:tcPr>
          <w:p w:rsidR="00736EF1" w:rsidRPr="001E2579" w:rsidRDefault="00736EF1" w:rsidP="001E2579">
            <w:pPr>
              <w:spacing w:before="40" w:after="120"/>
              <w:ind w:right="113"/>
            </w:pPr>
            <w:r w:rsidRPr="001E2579">
              <w:t>2022</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José Francisco </w:t>
            </w:r>
            <w:r w:rsidRPr="001E2579">
              <w:rPr>
                <w:b/>
              </w:rPr>
              <w:t>Calí Tzay</w:t>
            </w:r>
          </w:p>
        </w:tc>
        <w:tc>
          <w:tcPr>
            <w:tcW w:w="2268" w:type="dxa"/>
            <w:shd w:val="clear" w:color="auto" w:fill="auto"/>
            <w:hideMark/>
          </w:tcPr>
          <w:p w:rsidR="00736EF1" w:rsidRPr="001E2579" w:rsidRDefault="00736EF1" w:rsidP="001E2579">
            <w:pPr>
              <w:spacing w:before="40" w:after="120"/>
              <w:ind w:right="113"/>
            </w:pPr>
            <w:r w:rsidRPr="001E2579">
              <w:t>Guatemala</w:t>
            </w:r>
          </w:p>
        </w:tc>
        <w:tc>
          <w:tcPr>
            <w:tcW w:w="1983" w:type="dxa"/>
            <w:shd w:val="clear" w:color="auto" w:fill="auto"/>
            <w:hideMark/>
          </w:tcPr>
          <w:p w:rsidR="00736EF1" w:rsidRPr="001E2579" w:rsidRDefault="00736EF1" w:rsidP="001E2579">
            <w:pPr>
              <w:spacing w:before="40" w:after="120"/>
              <w:ind w:right="113"/>
            </w:pPr>
            <w:r w:rsidRPr="001E2579">
              <w:t>2020</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Chinsung </w:t>
            </w:r>
            <w:r w:rsidRPr="001E2579">
              <w:rPr>
                <w:b/>
              </w:rPr>
              <w:t>Chung</w:t>
            </w:r>
          </w:p>
        </w:tc>
        <w:tc>
          <w:tcPr>
            <w:tcW w:w="2268" w:type="dxa"/>
            <w:shd w:val="clear" w:color="auto" w:fill="auto"/>
            <w:hideMark/>
          </w:tcPr>
          <w:p w:rsidR="00736EF1" w:rsidRPr="001E2579" w:rsidRDefault="00736EF1" w:rsidP="001E2579">
            <w:pPr>
              <w:spacing w:before="40" w:after="120"/>
              <w:ind w:right="113"/>
            </w:pPr>
            <w:r w:rsidRPr="001E2579">
              <w:t>République de Corée</w:t>
            </w:r>
          </w:p>
        </w:tc>
        <w:tc>
          <w:tcPr>
            <w:tcW w:w="1983" w:type="dxa"/>
            <w:shd w:val="clear" w:color="auto" w:fill="auto"/>
            <w:hideMark/>
          </w:tcPr>
          <w:p w:rsidR="00736EF1" w:rsidRPr="001E2579" w:rsidRDefault="00736EF1" w:rsidP="001E2579">
            <w:pPr>
              <w:spacing w:before="40" w:after="120"/>
              <w:ind w:right="113"/>
            </w:pPr>
            <w:r w:rsidRPr="001E2579">
              <w:t>2022</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Fatimata-Binta Victoire </w:t>
            </w:r>
            <w:r w:rsidRPr="001E2579">
              <w:rPr>
                <w:b/>
              </w:rPr>
              <w:t>Dah</w:t>
            </w:r>
          </w:p>
        </w:tc>
        <w:tc>
          <w:tcPr>
            <w:tcW w:w="2268" w:type="dxa"/>
            <w:shd w:val="clear" w:color="auto" w:fill="auto"/>
            <w:hideMark/>
          </w:tcPr>
          <w:p w:rsidR="00736EF1" w:rsidRPr="001E2579" w:rsidRDefault="00736EF1" w:rsidP="001E2579">
            <w:pPr>
              <w:spacing w:before="40" w:after="120"/>
              <w:ind w:right="113"/>
            </w:pPr>
            <w:r w:rsidRPr="001E2579">
              <w:t>Burkina Faso</w:t>
            </w:r>
          </w:p>
        </w:tc>
        <w:tc>
          <w:tcPr>
            <w:tcW w:w="1983" w:type="dxa"/>
            <w:shd w:val="clear" w:color="auto" w:fill="auto"/>
            <w:hideMark/>
          </w:tcPr>
          <w:p w:rsidR="00736EF1" w:rsidRPr="001E2579" w:rsidRDefault="00736EF1" w:rsidP="001E2579">
            <w:pPr>
              <w:spacing w:before="40" w:after="120"/>
              <w:ind w:right="113"/>
            </w:pPr>
            <w:r w:rsidRPr="001E2579">
              <w:t>2020</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Bakari Sidiki </w:t>
            </w:r>
            <w:r w:rsidRPr="001E2579">
              <w:rPr>
                <w:b/>
              </w:rPr>
              <w:t>Diaby</w:t>
            </w:r>
          </w:p>
        </w:tc>
        <w:tc>
          <w:tcPr>
            <w:tcW w:w="2268" w:type="dxa"/>
            <w:shd w:val="clear" w:color="auto" w:fill="auto"/>
            <w:hideMark/>
          </w:tcPr>
          <w:p w:rsidR="00736EF1" w:rsidRPr="001E2579" w:rsidRDefault="00736EF1" w:rsidP="001E2579">
            <w:pPr>
              <w:spacing w:before="40" w:after="120"/>
              <w:ind w:right="113"/>
            </w:pPr>
            <w:r w:rsidRPr="001E2579">
              <w:t>Côte d</w:t>
            </w:r>
            <w:r w:rsidR="009D7A41">
              <w:t>’</w:t>
            </w:r>
            <w:r w:rsidRPr="001E2579">
              <w:t xml:space="preserve">Ivoire </w:t>
            </w:r>
          </w:p>
        </w:tc>
        <w:tc>
          <w:tcPr>
            <w:tcW w:w="1983" w:type="dxa"/>
            <w:shd w:val="clear" w:color="auto" w:fill="auto"/>
            <w:hideMark/>
          </w:tcPr>
          <w:p w:rsidR="00736EF1" w:rsidRPr="001E2579" w:rsidRDefault="00736EF1" w:rsidP="001E2579">
            <w:pPr>
              <w:spacing w:before="40" w:after="120"/>
              <w:ind w:right="113"/>
            </w:pPr>
            <w:r w:rsidRPr="001E2579">
              <w:t>2022</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Rita </w:t>
            </w:r>
            <w:r w:rsidRPr="001E2579">
              <w:rPr>
                <w:b/>
              </w:rPr>
              <w:t>Izsák-Ndiaye</w:t>
            </w:r>
            <w:r w:rsidRPr="001E2579">
              <w:t xml:space="preserve"> </w:t>
            </w:r>
          </w:p>
        </w:tc>
        <w:tc>
          <w:tcPr>
            <w:tcW w:w="2268" w:type="dxa"/>
            <w:shd w:val="clear" w:color="auto" w:fill="auto"/>
            <w:hideMark/>
          </w:tcPr>
          <w:p w:rsidR="00736EF1" w:rsidRPr="001E2579" w:rsidRDefault="00736EF1" w:rsidP="001E2579">
            <w:pPr>
              <w:spacing w:before="40" w:after="120"/>
              <w:ind w:right="113"/>
            </w:pPr>
            <w:r w:rsidRPr="001E2579">
              <w:t>Hongrie</w:t>
            </w:r>
          </w:p>
        </w:tc>
        <w:tc>
          <w:tcPr>
            <w:tcW w:w="1983" w:type="dxa"/>
            <w:shd w:val="clear" w:color="auto" w:fill="auto"/>
            <w:hideMark/>
          </w:tcPr>
          <w:p w:rsidR="00736EF1" w:rsidRPr="001E2579" w:rsidRDefault="00736EF1" w:rsidP="001E2579">
            <w:pPr>
              <w:spacing w:before="40" w:after="120"/>
              <w:ind w:right="113"/>
            </w:pPr>
            <w:r w:rsidRPr="001E2579">
              <w:t>2022</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Keiko </w:t>
            </w:r>
            <w:r w:rsidRPr="001E2579">
              <w:rPr>
                <w:b/>
              </w:rPr>
              <w:t>Ko</w:t>
            </w:r>
          </w:p>
        </w:tc>
        <w:tc>
          <w:tcPr>
            <w:tcW w:w="2268" w:type="dxa"/>
            <w:shd w:val="clear" w:color="auto" w:fill="auto"/>
            <w:hideMark/>
          </w:tcPr>
          <w:p w:rsidR="00736EF1" w:rsidRPr="001E2579" w:rsidRDefault="00736EF1" w:rsidP="001E2579">
            <w:pPr>
              <w:spacing w:before="40" w:after="120"/>
              <w:ind w:right="113"/>
            </w:pPr>
            <w:r w:rsidRPr="001E2579">
              <w:t>Japon</w:t>
            </w:r>
          </w:p>
        </w:tc>
        <w:tc>
          <w:tcPr>
            <w:tcW w:w="1983" w:type="dxa"/>
            <w:shd w:val="clear" w:color="auto" w:fill="auto"/>
            <w:hideMark/>
          </w:tcPr>
          <w:p w:rsidR="00736EF1" w:rsidRPr="001E2579" w:rsidRDefault="00736EF1" w:rsidP="001E2579">
            <w:pPr>
              <w:spacing w:before="40" w:after="120"/>
              <w:ind w:right="113"/>
            </w:pPr>
            <w:r w:rsidRPr="001E2579">
              <w:t>2022</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Gun </w:t>
            </w:r>
            <w:r w:rsidRPr="001E2579">
              <w:rPr>
                <w:b/>
              </w:rPr>
              <w:t>Kut</w:t>
            </w:r>
          </w:p>
        </w:tc>
        <w:tc>
          <w:tcPr>
            <w:tcW w:w="2268" w:type="dxa"/>
            <w:shd w:val="clear" w:color="auto" w:fill="auto"/>
            <w:hideMark/>
          </w:tcPr>
          <w:p w:rsidR="00736EF1" w:rsidRPr="001E2579" w:rsidRDefault="00736EF1" w:rsidP="001E2579">
            <w:pPr>
              <w:spacing w:before="40" w:after="120"/>
              <w:ind w:right="113"/>
            </w:pPr>
            <w:r w:rsidRPr="001E2579">
              <w:t>Turquie</w:t>
            </w:r>
          </w:p>
        </w:tc>
        <w:tc>
          <w:tcPr>
            <w:tcW w:w="1983" w:type="dxa"/>
            <w:shd w:val="clear" w:color="auto" w:fill="auto"/>
            <w:hideMark/>
          </w:tcPr>
          <w:p w:rsidR="00736EF1" w:rsidRPr="001E2579" w:rsidRDefault="00736EF1" w:rsidP="001E2579">
            <w:pPr>
              <w:spacing w:before="40" w:after="120"/>
              <w:ind w:right="113"/>
            </w:pPr>
            <w:r w:rsidRPr="001E2579">
              <w:t>2022</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Yanduan </w:t>
            </w:r>
            <w:r w:rsidRPr="001E2579">
              <w:rPr>
                <w:b/>
              </w:rPr>
              <w:t>Li</w:t>
            </w:r>
          </w:p>
        </w:tc>
        <w:tc>
          <w:tcPr>
            <w:tcW w:w="2268" w:type="dxa"/>
            <w:shd w:val="clear" w:color="auto" w:fill="auto"/>
            <w:hideMark/>
          </w:tcPr>
          <w:p w:rsidR="00736EF1" w:rsidRPr="001E2579" w:rsidRDefault="00736EF1" w:rsidP="001E2579">
            <w:pPr>
              <w:spacing w:before="40" w:after="120"/>
              <w:ind w:right="113"/>
            </w:pPr>
            <w:r w:rsidRPr="001E2579">
              <w:t>Chine</w:t>
            </w:r>
          </w:p>
        </w:tc>
        <w:tc>
          <w:tcPr>
            <w:tcW w:w="1983" w:type="dxa"/>
            <w:shd w:val="clear" w:color="auto" w:fill="auto"/>
            <w:hideMark/>
          </w:tcPr>
          <w:p w:rsidR="00736EF1" w:rsidRPr="001E2579" w:rsidRDefault="00736EF1" w:rsidP="001E2579">
            <w:pPr>
              <w:spacing w:before="40" w:after="120"/>
              <w:ind w:right="113"/>
            </w:pPr>
            <w:r w:rsidRPr="001E2579">
              <w:t>2020</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Nicolás </w:t>
            </w:r>
            <w:r w:rsidRPr="001E2579">
              <w:rPr>
                <w:b/>
              </w:rPr>
              <w:t>Marugán</w:t>
            </w:r>
          </w:p>
        </w:tc>
        <w:tc>
          <w:tcPr>
            <w:tcW w:w="2268" w:type="dxa"/>
            <w:shd w:val="clear" w:color="auto" w:fill="auto"/>
            <w:hideMark/>
          </w:tcPr>
          <w:p w:rsidR="00736EF1" w:rsidRPr="001E2579" w:rsidRDefault="00736EF1" w:rsidP="001E2579">
            <w:pPr>
              <w:spacing w:before="40" w:after="120"/>
              <w:ind w:right="113"/>
            </w:pPr>
            <w:r w:rsidRPr="001E2579">
              <w:t>Espagne</w:t>
            </w:r>
          </w:p>
        </w:tc>
        <w:tc>
          <w:tcPr>
            <w:tcW w:w="1983" w:type="dxa"/>
            <w:shd w:val="clear" w:color="auto" w:fill="auto"/>
            <w:hideMark/>
          </w:tcPr>
          <w:p w:rsidR="00736EF1" w:rsidRPr="001E2579" w:rsidRDefault="00736EF1" w:rsidP="001E2579">
            <w:pPr>
              <w:spacing w:before="40" w:after="120"/>
              <w:ind w:right="113"/>
            </w:pPr>
            <w:r w:rsidRPr="001E2579">
              <w:t>2020</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Gay </w:t>
            </w:r>
            <w:r w:rsidRPr="001E2579">
              <w:rPr>
                <w:b/>
              </w:rPr>
              <w:t>McDougall</w:t>
            </w:r>
          </w:p>
        </w:tc>
        <w:tc>
          <w:tcPr>
            <w:tcW w:w="2268" w:type="dxa"/>
            <w:shd w:val="clear" w:color="auto" w:fill="auto"/>
            <w:hideMark/>
          </w:tcPr>
          <w:p w:rsidR="00736EF1" w:rsidRPr="001E2579" w:rsidRDefault="00736EF1" w:rsidP="001E2579">
            <w:pPr>
              <w:spacing w:before="40" w:after="120"/>
              <w:ind w:right="113"/>
            </w:pPr>
            <w:r w:rsidRPr="001E2579">
              <w:t>United States of America</w:t>
            </w:r>
          </w:p>
        </w:tc>
        <w:tc>
          <w:tcPr>
            <w:tcW w:w="1983" w:type="dxa"/>
            <w:shd w:val="clear" w:color="auto" w:fill="auto"/>
            <w:hideMark/>
          </w:tcPr>
          <w:p w:rsidR="00736EF1" w:rsidRPr="001E2579" w:rsidRDefault="00736EF1" w:rsidP="001E2579">
            <w:pPr>
              <w:spacing w:before="40" w:after="120"/>
              <w:ind w:right="113"/>
            </w:pPr>
            <w:r w:rsidRPr="001E2579">
              <w:t>2020</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Yemhelhe Mint </w:t>
            </w:r>
            <w:r w:rsidRPr="001E2579">
              <w:rPr>
                <w:b/>
              </w:rPr>
              <w:t>Mohamed</w:t>
            </w:r>
          </w:p>
        </w:tc>
        <w:tc>
          <w:tcPr>
            <w:tcW w:w="2268" w:type="dxa"/>
            <w:shd w:val="clear" w:color="auto" w:fill="auto"/>
            <w:hideMark/>
          </w:tcPr>
          <w:p w:rsidR="00736EF1" w:rsidRPr="001E2579" w:rsidRDefault="00736EF1" w:rsidP="001E2579">
            <w:pPr>
              <w:spacing w:before="40" w:after="120"/>
              <w:ind w:right="113"/>
            </w:pPr>
            <w:r w:rsidRPr="001E2579">
              <w:t>Mauritanie</w:t>
            </w:r>
          </w:p>
        </w:tc>
        <w:tc>
          <w:tcPr>
            <w:tcW w:w="1983" w:type="dxa"/>
            <w:shd w:val="clear" w:color="auto" w:fill="auto"/>
            <w:hideMark/>
          </w:tcPr>
          <w:p w:rsidR="00736EF1" w:rsidRPr="001E2579" w:rsidRDefault="00736EF1" w:rsidP="001E2579">
            <w:pPr>
              <w:spacing w:before="40" w:after="120"/>
              <w:ind w:right="113"/>
            </w:pPr>
            <w:r w:rsidRPr="001E2579">
              <w:t>2020</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Pastor Elias </w:t>
            </w:r>
            <w:r w:rsidRPr="001E2579">
              <w:rPr>
                <w:b/>
              </w:rPr>
              <w:t>Murillo Martínez</w:t>
            </w:r>
          </w:p>
        </w:tc>
        <w:tc>
          <w:tcPr>
            <w:tcW w:w="2268" w:type="dxa"/>
            <w:shd w:val="clear" w:color="auto" w:fill="auto"/>
            <w:hideMark/>
          </w:tcPr>
          <w:p w:rsidR="00736EF1" w:rsidRPr="001E2579" w:rsidRDefault="00736EF1" w:rsidP="001E2579">
            <w:pPr>
              <w:spacing w:before="40" w:after="120"/>
              <w:ind w:right="113"/>
            </w:pPr>
            <w:r w:rsidRPr="001E2579">
              <w:t>Colombie</w:t>
            </w:r>
          </w:p>
        </w:tc>
        <w:tc>
          <w:tcPr>
            <w:tcW w:w="1983" w:type="dxa"/>
            <w:shd w:val="clear" w:color="auto" w:fill="auto"/>
            <w:hideMark/>
          </w:tcPr>
          <w:p w:rsidR="00736EF1" w:rsidRPr="001E2579" w:rsidRDefault="00736EF1" w:rsidP="001E2579">
            <w:pPr>
              <w:spacing w:before="40" w:after="120"/>
              <w:ind w:right="113"/>
            </w:pPr>
            <w:r w:rsidRPr="001E2579">
              <w:t>2020</w:t>
            </w:r>
          </w:p>
        </w:tc>
      </w:tr>
      <w:tr w:rsidR="00736EF1" w:rsidRPr="001E2579" w:rsidTr="001E2579">
        <w:trPr>
          <w:cantSplit/>
        </w:trPr>
        <w:tc>
          <w:tcPr>
            <w:tcW w:w="3119" w:type="dxa"/>
            <w:shd w:val="clear" w:color="auto" w:fill="auto"/>
            <w:hideMark/>
          </w:tcPr>
          <w:p w:rsidR="00736EF1" w:rsidRPr="001E2579" w:rsidRDefault="00736EF1" w:rsidP="001E2579">
            <w:pPr>
              <w:spacing w:before="40" w:after="120"/>
              <w:ind w:right="113"/>
            </w:pPr>
            <w:r w:rsidRPr="001E2579">
              <w:t xml:space="preserve">Verene </w:t>
            </w:r>
            <w:r w:rsidRPr="001E2579">
              <w:rPr>
                <w:b/>
              </w:rPr>
              <w:t>Shepherd</w:t>
            </w:r>
          </w:p>
        </w:tc>
        <w:tc>
          <w:tcPr>
            <w:tcW w:w="2268" w:type="dxa"/>
            <w:shd w:val="clear" w:color="auto" w:fill="auto"/>
            <w:hideMark/>
          </w:tcPr>
          <w:p w:rsidR="00736EF1" w:rsidRPr="001E2579" w:rsidRDefault="00736EF1" w:rsidP="001E2579">
            <w:pPr>
              <w:spacing w:before="40" w:after="120"/>
              <w:ind w:right="113"/>
            </w:pPr>
            <w:r w:rsidRPr="001E2579">
              <w:t>Jamaïque</w:t>
            </w:r>
          </w:p>
        </w:tc>
        <w:tc>
          <w:tcPr>
            <w:tcW w:w="1983" w:type="dxa"/>
            <w:shd w:val="clear" w:color="auto" w:fill="auto"/>
            <w:hideMark/>
          </w:tcPr>
          <w:p w:rsidR="00736EF1" w:rsidRPr="001E2579" w:rsidRDefault="00736EF1" w:rsidP="001E2579">
            <w:pPr>
              <w:spacing w:before="40" w:after="120"/>
              <w:ind w:right="113"/>
            </w:pPr>
            <w:r w:rsidRPr="001E2579">
              <w:t>2020</w:t>
            </w:r>
          </w:p>
        </w:tc>
      </w:tr>
      <w:tr w:rsidR="00736EF1" w:rsidRPr="001E2579" w:rsidTr="001E2579">
        <w:trPr>
          <w:cantSplit/>
        </w:trPr>
        <w:tc>
          <w:tcPr>
            <w:tcW w:w="3119" w:type="dxa"/>
            <w:tcBorders>
              <w:bottom w:val="single" w:sz="12" w:space="0" w:color="auto"/>
            </w:tcBorders>
            <w:shd w:val="clear" w:color="auto" w:fill="auto"/>
            <w:hideMark/>
          </w:tcPr>
          <w:p w:rsidR="00736EF1" w:rsidRPr="001E2579" w:rsidRDefault="00736EF1" w:rsidP="001E2579">
            <w:pPr>
              <w:spacing w:before="40" w:after="120"/>
              <w:ind w:right="113"/>
              <w:rPr>
                <w:lang w:val="en-US"/>
              </w:rPr>
            </w:pPr>
            <w:r w:rsidRPr="001E2579">
              <w:rPr>
                <w:lang w:val="en-US"/>
              </w:rPr>
              <w:t xml:space="preserve">Yeung Kam John </w:t>
            </w:r>
            <w:r w:rsidRPr="001E2579">
              <w:rPr>
                <w:b/>
                <w:lang w:val="en-US"/>
              </w:rPr>
              <w:t>Yeung Sik Yuen</w:t>
            </w:r>
          </w:p>
        </w:tc>
        <w:tc>
          <w:tcPr>
            <w:tcW w:w="2268" w:type="dxa"/>
            <w:tcBorders>
              <w:bottom w:val="single" w:sz="12" w:space="0" w:color="auto"/>
            </w:tcBorders>
            <w:shd w:val="clear" w:color="auto" w:fill="auto"/>
            <w:hideMark/>
          </w:tcPr>
          <w:p w:rsidR="00736EF1" w:rsidRPr="001E2579" w:rsidRDefault="00736EF1" w:rsidP="001E2579">
            <w:pPr>
              <w:spacing w:before="40" w:after="120"/>
              <w:ind w:right="113"/>
            </w:pPr>
            <w:r w:rsidRPr="001E2579">
              <w:t>Maurice</w:t>
            </w:r>
          </w:p>
        </w:tc>
        <w:tc>
          <w:tcPr>
            <w:tcW w:w="1983" w:type="dxa"/>
            <w:tcBorders>
              <w:bottom w:val="single" w:sz="12" w:space="0" w:color="auto"/>
            </w:tcBorders>
            <w:shd w:val="clear" w:color="auto" w:fill="auto"/>
            <w:hideMark/>
          </w:tcPr>
          <w:p w:rsidR="00736EF1" w:rsidRPr="001E2579" w:rsidRDefault="00736EF1" w:rsidP="001E2579">
            <w:pPr>
              <w:spacing w:before="40" w:after="120"/>
              <w:ind w:right="113"/>
            </w:pPr>
            <w:r w:rsidRPr="001E2579">
              <w:t>2022</w:t>
            </w:r>
          </w:p>
        </w:tc>
      </w:tr>
    </w:tbl>
    <w:p w:rsidR="00736EF1" w:rsidRPr="00A65EFA" w:rsidRDefault="00736EF1" w:rsidP="001E2579">
      <w:pPr>
        <w:pStyle w:val="H1G"/>
      </w:pPr>
      <w:r>
        <w:rPr>
          <w:lang w:val="fr-FR"/>
        </w:rPr>
        <w:lastRenderedPageBreak/>
        <w:tab/>
        <w:t>D.</w:t>
      </w:r>
      <w:r w:rsidRPr="00A65EFA">
        <w:rPr>
          <w:lang w:val="fr-FR"/>
        </w:rPr>
        <w:tab/>
        <w:t>Bureau du Comité</w:t>
      </w:r>
      <w:bookmarkStart w:id="4" w:name="_Toc428794280"/>
      <w:bookmarkEnd w:id="4"/>
    </w:p>
    <w:p w:rsidR="00736EF1" w:rsidRPr="00A65EFA" w:rsidRDefault="00736EF1" w:rsidP="00F10552">
      <w:pPr>
        <w:pStyle w:val="SingleTxtG"/>
        <w:keepNext/>
      </w:pPr>
      <w:r>
        <w:rPr>
          <w:lang w:val="fr-FR"/>
        </w:rPr>
        <w:t>8</w:t>
      </w:r>
      <w:r w:rsidRPr="00A65EFA">
        <w:rPr>
          <w:lang w:val="fr-FR"/>
        </w:rPr>
        <w:t>.</w:t>
      </w:r>
      <w:r>
        <w:rPr>
          <w:lang w:val="fr-FR"/>
        </w:rPr>
        <w:tab/>
        <w:t>Pendant</w:t>
      </w:r>
      <w:r w:rsidRPr="00A65EFA">
        <w:rPr>
          <w:lang w:val="fr-FR"/>
        </w:rPr>
        <w:t xml:space="preserve"> </w:t>
      </w:r>
      <w:r>
        <w:rPr>
          <w:lang w:val="fr-FR"/>
        </w:rPr>
        <w:t>les quatre-vingt-treizième et quatre-vingt-quatorzième sessions</w:t>
      </w:r>
      <w:r w:rsidRPr="00A65EFA">
        <w:rPr>
          <w:lang w:val="fr-FR"/>
        </w:rPr>
        <w:t>, le Bureau du Comité se composait des membres suivants</w:t>
      </w:r>
      <w:r>
        <w:rPr>
          <w:lang w:val="fr-FR"/>
        </w:rPr>
        <w:t>, qui ont assumé leurs fonctions pendant la période 2016-2018</w:t>
      </w:r>
      <w:r w:rsidR="00D725DA">
        <w:rPr>
          <w:lang w:val="fr-FR"/>
        </w:rPr>
        <w:t> :</w:t>
      </w:r>
    </w:p>
    <w:p w:rsidR="00736EF1" w:rsidRPr="00A65EFA" w:rsidRDefault="00736EF1" w:rsidP="00736EF1">
      <w:pPr>
        <w:pStyle w:val="SingleTxtG"/>
        <w:ind w:left="3544" w:hanging="1843"/>
        <w:jc w:val="left"/>
      </w:pPr>
      <w:r w:rsidRPr="008F43F3">
        <w:rPr>
          <w:i/>
          <w:lang w:val="fr-FR"/>
        </w:rPr>
        <w:t>Président</w:t>
      </w:r>
      <w:r>
        <w:rPr>
          <w:i/>
          <w:lang w:val="fr-FR"/>
        </w:rPr>
        <w:t>e</w:t>
      </w:r>
      <w:r w:rsidR="00D725DA" w:rsidRPr="00513CD7">
        <w:rPr>
          <w:lang w:val="fr-FR"/>
        </w:rPr>
        <w:t> :</w:t>
      </w:r>
      <w:r>
        <w:rPr>
          <w:lang w:val="fr-FR"/>
        </w:rPr>
        <w:tab/>
      </w:r>
      <w:r w:rsidRPr="00A65EFA">
        <w:rPr>
          <w:lang w:val="fr-FR"/>
        </w:rPr>
        <w:t xml:space="preserve">Anastasia Crickley </w:t>
      </w:r>
    </w:p>
    <w:p w:rsidR="00736EF1" w:rsidRPr="00106C1D" w:rsidRDefault="00736EF1" w:rsidP="00F10552">
      <w:pPr>
        <w:pStyle w:val="SingleTxtG"/>
        <w:spacing w:after="40"/>
        <w:ind w:left="3544" w:hanging="1843"/>
        <w:jc w:val="left"/>
        <w:rPr>
          <w:lang w:val="fr-FR"/>
        </w:rPr>
      </w:pPr>
      <w:r w:rsidRPr="008F43F3">
        <w:rPr>
          <w:i/>
          <w:lang w:val="fr-FR"/>
        </w:rPr>
        <w:t>Vice-Présidents</w:t>
      </w:r>
      <w:r w:rsidR="00D725DA">
        <w:rPr>
          <w:i/>
          <w:lang w:val="fr-FR"/>
        </w:rPr>
        <w:t> </w:t>
      </w:r>
      <w:r w:rsidR="00D725DA" w:rsidRPr="00513CD7">
        <w:rPr>
          <w:lang w:val="fr-FR"/>
        </w:rPr>
        <w:t>:</w:t>
      </w:r>
      <w:r w:rsidRPr="00A65EFA">
        <w:rPr>
          <w:lang w:val="fr-FR"/>
        </w:rPr>
        <w:tab/>
        <w:t>Nourredine Amir</w:t>
      </w:r>
      <w:r w:rsidR="00F10552">
        <w:rPr>
          <w:lang w:val="fr-FR"/>
        </w:rPr>
        <w:br/>
        <w:t>José Francisco Calí Tzay</w:t>
      </w:r>
      <w:r w:rsidR="00F10552">
        <w:rPr>
          <w:lang w:val="fr-FR"/>
        </w:rPr>
        <w:br/>
      </w:r>
      <w:r w:rsidRPr="00106C1D">
        <w:rPr>
          <w:lang w:val="fr-FR"/>
        </w:rPr>
        <w:t xml:space="preserve">Melhem Khalaf </w:t>
      </w:r>
    </w:p>
    <w:p w:rsidR="00736EF1" w:rsidRPr="000545AD" w:rsidRDefault="00736EF1" w:rsidP="00736EF1">
      <w:pPr>
        <w:pStyle w:val="SingleTxtG"/>
        <w:ind w:left="3544" w:hanging="1843"/>
        <w:jc w:val="left"/>
        <w:rPr>
          <w:lang w:val="fr-FR"/>
        </w:rPr>
      </w:pPr>
      <w:r w:rsidRPr="008F43F3">
        <w:rPr>
          <w:i/>
          <w:lang w:val="fr-FR"/>
        </w:rPr>
        <w:t>Rapporteur</w:t>
      </w:r>
      <w:r w:rsidR="00D725DA">
        <w:rPr>
          <w:i/>
          <w:lang w:val="fr-FR"/>
        </w:rPr>
        <w:t> </w:t>
      </w:r>
      <w:r w:rsidR="00D725DA" w:rsidRPr="00513CD7">
        <w:rPr>
          <w:lang w:val="fr-FR"/>
        </w:rPr>
        <w:t>:</w:t>
      </w:r>
      <w:r>
        <w:rPr>
          <w:lang w:val="fr-FR"/>
        </w:rPr>
        <w:tab/>
      </w:r>
      <w:r w:rsidRPr="00A65EFA">
        <w:rPr>
          <w:lang w:val="fr-FR"/>
        </w:rPr>
        <w:t xml:space="preserve">Alexei S. Avtonomov </w:t>
      </w:r>
    </w:p>
    <w:p w:rsidR="00736EF1" w:rsidRDefault="00736EF1" w:rsidP="00F10552">
      <w:pPr>
        <w:pStyle w:val="SingleTxtG"/>
        <w:keepNext/>
        <w:rPr>
          <w:lang w:val="fr-FR"/>
        </w:rPr>
      </w:pPr>
      <w:r>
        <w:rPr>
          <w:lang w:val="fr-FR"/>
        </w:rPr>
        <w:t>9.</w:t>
      </w:r>
      <w:r>
        <w:rPr>
          <w:lang w:val="fr-FR"/>
        </w:rPr>
        <w:tab/>
        <w:t xml:space="preserve">Le </w:t>
      </w:r>
      <w:r w:rsidRPr="00CE7FAE">
        <w:rPr>
          <w:lang w:val="fr-FR"/>
        </w:rPr>
        <w:t xml:space="preserve">premier jour de sa quatre-vingt-quinzième session, le Comité a élu les membres ci-après du Bureau pour la période </w:t>
      </w:r>
      <w:r>
        <w:rPr>
          <w:lang w:val="fr-FR"/>
        </w:rPr>
        <w:t>2018-2020</w:t>
      </w:r>
      <w:r w:rsidR="00D725DA">
        <w:rPr>
          <w:lang w:val="fr-FR"/>
        </w:rPr>
        <w:t> :</w:t>
      </w:r>
    </w:p>
    <w:p w:rsidR="00736EF1" w:rsidRPr="00A65EFA" w:rsidRDefault="00736EF1" w:rsidP="00736EF1">
      <w:pPr>
        <w:pStyle w:val="SingleTxtG"/>
        <w:ind w:left="3544" w:hanging="1843"/>
        <w:jc w:val="left"/>
      </w:pPr>
      <w:r w:rsidRPr="008F43F3">
        <w:rPr>
          <w:i/>
          <w:lang w:val="fr-FR"/>
        </w:rPr>
        <w:t>Président</w:t>
      </w:r>
      <w:r w:rsidR="00D725DA">
        <w:rPr>
          <w:i/>
          <w:lang w:val="fr-FR"/>
        </w:rPr>
        <w:t> </w:t>
      </w:r>
      <w:r w:rsidR="00D725DA" w:rsidRPr="00513CD7">
        <w:rPr>
          <w:lang w:val="fr-FR"/>
        </w:rPr>
        <w:t>:</w:t>
      </w:r>
      <w:r>
        <w:rPr>
          <w:lang w:val="fr-FR"/>
        </w:rPr>
        <w:tab/>
        <w:t>Nourredine Amir</w:t>
      </w:r>
      <w:r w:rsidRPr="00A65EFA">
        <w:rPr>
          <w:lang w:val="fr-FR"/>
        </w:rPr>
        <w:t xml:space="preserve"> </w:t>
      </w:r>
    </w:p>
    <w:p w:rsidR="00736EF1" w:rsidRPr="009772CA" w:rsidRDefault="00736EF1" w:rsidP="00F10552">
      <w:pPr>
        <w:pStyle w:val="SingleTxtG"/>
        <w:spacing w:after="40"/>
        <w:ind w:left="3544" w:hanging="1843"/>
        <w:jc w:val="left"/>
      </w:pPr>
      <w:r w:rsidRPr="009772CA">
        <w:rPr>
          <w:i/>
        </w:rPr>
        <w:t>Vice-Président(e)s</w:t>
      </w:r>
      <w:r w:rsidR="00D725DA">
        <w:rPr>
          <w:i/>
        </w:rPr>
        <w:t> </w:t>
      </w:r>
      <w:r w:rsidR="00D725DA" w:rsidRPr="00513CD7">
        <w:t>:</w:t>
      </w:r>
      <w:r w:rsidR="00F10552" w:rsidRPr="009772CA">
        <w:tab/>
        <w:t>Gay McDougall</w:t>
      </w:r>
      <w:r w:rsidR="00F10552" w:rsidRPr="009772CA">
        <w:br/>
        <w:t>Yanduan Li</w:t>
      </w:r>
      <w:r w:rsidR="00F10552" w:rsidRPr="009772CA">
        <w:br/>
      </w:r>
      <w:r w:rsidRPr="009772CA">
        <w:t>Pastor Elias Murillo Martinez</w:t>
      </w:r>
    </w:p>
    <w:p w:rsidR="00736EF1" w:rsidRPr="00CE7FAE" w:rsidRDefault="00736EF1" w:rsidP="00321B44">
      <w:pPr>
        <w:pStyle w:val="SingleTxtG"/>
        <w:ind w:left="3544" w:hanging="1843"/>
        <w:jc w:val="left"/>
        <w:rPr>
          <w:lang w:val="fr-FR"/>
        </w:rPr>
      </w:pPr>
      <w:r>
        <w:rPr>
          <w:i/>
          <w:lang w:val="fr-FR"/>
        </w:rPr>
        <w:t>Rapporteuse</w:t>
      </w:r>
      <w:r w:rsidR="00D725DA">
        <w:rPr>
          <w:i/>
          <w:lang w:val="fr-FR"/>
        </w:rPr>
        <w:t> </w:t>
      </w:r>
      <w:r w:rsidR="00D725DA" w:rsidRPr="00513CD7">
        <w:rPr>
          <w:lang w:val="fr-FR"/>
        </w:rPr>
        <w:t>:</w:t>
      </w:r>
      <w:r>
        <w:rPr>
          <w:lang w:val="fr-FR"/>
        </w:rPr>
        <w:tab/>
      </w:r>
      <w:r>
        <w:t>Rita Izsák-Ndiaye</w:t>
      </w:r>
    </w:p>
    <w:p w:rsidR="00736EF1" w:rsidRPr="00A65EFA" w:rsidRDefault="00736EF1" w:rsidP="00ED1C2F">
      <w:pPr>
        <w:pStyle w:val="H1G"/>
      </w:pPr>
      <w:r>
        <w:rPr>
          <w:lang w:val="fr-FR"/>
        </w:rPr>
        <w:tab/>
        <w:t>E.</w:t>
      </w:r>
      <w:r w:rsidRPr="00A65EFA">
        <w:rPr>
          <w:lang w:val="fr-FR"/>
        </w:rPr>
        <w:tab/>
        <w:t>Coopération avec l</w:t>
      </w:r>
      <w:r w:rsidR="009D7A41">
        <w:rPr>
          <w:lang w:val="fr-FR"/>
        </w:rPr>
        <w:t>’</w:t>
      </w:r>
      <w:r w:rsidRPr="00A65EFA">
        <w:rPr>
          <w:lang w:val="fr-FR"/>
        </w:rPr>
        <w:t xml:space="preserve">Organisation internationale du Travail, </w:t>
      </w:r>
      <w:r>
        <w:rPr>
          <w:lang w:val="fr-FR"/>
        </w:rPr>
        <w:br/>
      </w:r>
      <w:r w:rsidRPr="00A65EFA">
        <w:rPr>
          <w:lang w:val="fr-FR"/>
        </w:rPr>
        <w:t>le Haut</w:t>
      </w:r>
      <w:r w:rsidRPr="00A65EFA">
        <w:rPr>
          <w:lang w:val="fr-FR"/>
        </w:rPr>
        <w:noBreakHyphen/>
        <w:t>Commissariat des Nations Unies pour les réfugiés, l</w:t>
      </w:r>
      <w:r w:rsidR="009D7A41">
        <w:rPr>
          <w:lang w:val="fr-FR"/>
        </w:rPr>
        <w:t>’</w:t>
      </w:r>
      <w:r w:rsidRPr="00A65EFA">
        <w:rPr>
          <w:lang w:val="fr-FR"/>
        </w:rPr>
        <w:t>Organisation des Nations Unies pour l</w:t>
      </w:r>
      <w:r w:rsidR="009D7A41">
        <w:rPr>
          <w:lang w:val="fr-FR"/>
        </w:rPr>
        <w:t>’</w:t>
      </w:r>
      <w:r w:rsidRPr="00A65EFA">
        <w:rPr>
          <w:lang w:val="fr-FR"/>
        </w:rPr>
        <w:t xml:space="preserve">éducation, la science </w:t>
      </w:r>
      <w:r>
        <w:rPr>
          <w:lang w:val="fr-FR"/>
        </w:rPr>
        <w:br/>
      </w:r>
      <w:r w:rsidRPr="00A65EFA">
        <w:rPr>
          <w:lang w:val="fr-FR"/>
        </w:rPr>
        <w:t xml:space="preserve">et la culture, les procédures spéciales du Conseil des droits </w:t>
      </w:r>
      <w:r>
        <w:rPr>
          <w:lang w:val="fr-FR"/>
        </w:rPr>
        <w:br/>
      </w:r>
      <w:r w:rsidRPr="00A65EFA">
        <w:rPr>
          <w:lang w:val="fr-FR"/>
        </w:rPr>
        <w:t>de l</w:t>
      </w:r>
      <w:r w:rsidR="009D7A41">
        <w:rPr>
          <w:lang w:val="fr-FR"/>
        </w:rPr>
        <w:t>’</w:t>
      </w:r>
      <w:r w:rsidRPr="00A65EFA">
        <w:rPr>
          <w:lang w:val="fr-FR"/>
        </w:rPr>
        <w:t>homme et les mécanismes régionaux des droits de l</w:t>
      </w:r>
      <w:r w:rsidR="009D7A41">
        <w:rPr>
          <w:lang w:val="fr-FR"/>
        </w:rPr>
        <w:t>’</w:t>
      </w:r>
      <w:r w:rsidRPr="00A65EFA">
        <w:rPr>
          <w:lang w:val="fr-FR"/>
        </w:rPr>
        <w:t>homme</w:t>
      </w:r>
      <w:bookmarkStart w:id="5" w:name="_Toc428794281"/>
      <w:bookmarkEnd w:id="5"/>
    </w:p>
    <w:p w:rsidR="00736EF1" w:rsidRPr="00A65EFA" w:rsidRDefault="00736EF1" w:rsidP="00ED1C2F">
      <w:pPr>
        <w:pStyle w:val="SingleTxtG"/>
      </w:pPr>
      <w:r>
        <w:rPr>
          <w:lang w:val="fr-FR"/>
        </w:rPr>
        <w:t>10.</w:t>
      </w:r>
      <w:r w:rsidRPr="00A65EFA">
        <w:rPr>
          <w:lang w:val="fr-FR"/>
        </w:rPr>
        <w:tab/>
        <w:t>Conformément à la décision 2 (VI) du Comité, en date du 21</w:t>
      </w:r>
      <w:r>
        <w:rPr>
          <w:lang w:val="fr-FR"/>
        </w:rPr>
        <w:t> </w:t>
      </w:r>
      <w:r w:rsidRPr="00A65EFA">
        <w:rPr>
          <w:lang w:val="fr-FR"/>
        </w:rPr>
        <w:t>août 1972, sur la</w:t>
      </w:r>
      <w:r w:rsidR="00ED1C2F">
        <w:rPr>
          <w:lang w:val="fr-FR"/>
        </w:rPr>
        <w:t> </w:t>
      </w:r>
      <w:r w:rsidRPr="00A65EFA">
        <w:rPr>
          <w:lang w:val="fr-FR"/>
        </w:rPr>
        <w:t>coopération avec l</w:t>
      </w:r>
      <w:r w:rsidR="009D7A41">
        <w:rPr>
          <w:lang w:val="fr-FR"/>
        </w:rPr>
        <w:t>’</w:t>
      </w:r>
      <w:r w:rsidRPr="00A65EFA">
        <w:rPr>
          <w:lang w:val="fr-FR"/>
        </w:rPr>
        <w:t>Organisation internationale du Travail (OIT) et l</w:t>
      </w:r>
      <w:r w:rsidR="009D7A41">
        <w:rPr>
          <w:lang w:val="fr-FR"/>
        </w:rPr>
        <w:t>’</w:t>
      </w:r>
      <w:r w:rsidRPr="00A65EFA">
        <w:rPr>
          <w:lang w:val="fr-FR"/>
        </w:rPr>
        <w:t>Organisation des</w:t>
      </w:r>
      <w:r>
        <w:rPr>
          <w:lang w:val="fr-FR"/>
        </w:rPr>
        <w:t> </w:t>
      </w:r>
      <w:r w:rsidRPr="00A65EFA">
        <w:rPr>
          <w:lang w:val="fr-FR"/>
        </w:rPr>
        <w:t>Nations Unies pour l</w:t>
      </w:r>
      <w:r w:rsidR="009D7A41">
        <w:rPr>
          <w:lang w:val="fr-FR"/>
        </w:rPr>
        <w:t>’</w:t>
      </w:r>
      <w:r w:rsidRPr="00A65EFA">
        <w:rPr>
          <w:lang w:val="fr-FR"/>
        </w:rPr>
        <w:t>éducation, la science et la culture (UNESCO)</w:t>
      </w:r>
      <w:r w:rsidRPr="000545AD">
        <w:rPr>
          <w:rStyle w:val="Appelnotedebasdep"/>
        </w:rPr>
        <w:footnoteReference w:id="2"/>
      </w:r>
      <w:r w:rsidRPr="00A65EFA">
        <w:rPr>
          <w:lang w:val="fr-FR"/>
        </w:rPr>
        <w:t xml:space="preserve">, ces deux organisations ont été invitées à se faire représenter aux sessions du Comité. </w:t>
      </w:r>
      <w:r>
        <w:rPr>
          <w:lang w:val="fr-FR"/>
        </w:rPr>
        <w:t>L</w:t>
      </w:r>
      <w:r w:rsidRPr="00A65EFA">
        <w:rPr>
          <w:lang w:val="fr-FR"/>
        </w:rPr>
        <w:t>e</w:t>
      </w:r>
      <w:r w:rsidR="005B2E9A">
        <w:rPr>
          <w:lang w:val="fr-FR"/>
        </w:rPr>
        <w:t> </w:t>
      </w:r>
      <w:r w:rsidRPr="00A65EFA">
        <w:rPr>
          <w:lang w:val="fr-FR"/>
        </w:rPr>
        <w:t>Haut</w:t>
      </w:r>
      <w:r w:rsidR="00ED1C2F">
        <w:rPr>
          <w:lang w:val="fr-FR"/>
        </w:rPr>
        <w:noBreakHyphen/>
      </w:r>
      <w:r w:rsidRPr="00A65EFA">
        <w:rPr>
          <w:lang w:val="fr-FR"/>
        </w:rPr>
        <w:t xml:space="preserve">Commissariat des Nations Unies pour les réfugiés </w:t>
      </w:r>
      <w:r>
        <w:rPr>
          <w:lang w:val="fr-FR"/>
        </w:rPr>
        <w:t>et le Fonds des Nations Unies pour l</w:t>
      </w:r>
      <w:r w:rsidR="009D7A41">
        <w:rPr>
          <w:lang w:val="fr-FR"/>
        </w:rPr>
        <w:t>’</w:t>
      </w:r>
      <w:r>
        <w:rPr>
          <w:lang w:val="fr-FR"/>
        </w:rPr>
        <w:t>enfance (UNICEF) ont</w:t>
      </w:r>
      <w:r w:rsidRPr="00A65EFA">
        <w:rPr>
          <w:lang w:val="fr-FR"/>
        </w:rPr>
        <w:t xml:space="preserve"> été également invité</w:t>
      </w:r>
      <w:r>
        <w:rPr>
          <w:lang w:val="fr-FR"/>
        </w:rPr>
        <w:t>s</w:t>
      </w:r>
      <w:r w:rsidRPr="00A65EFA">
        <w:rPr>
          <w:lang w:val="fr-FR"/>
        </w:rPr>
        <w:t xml:space="preserve"> à s</w:t>
      </w:r>
      <w:r w:rsidR="009D7A41">
        <w:rPr>
          <w:lang w:val="fr-FR"/>
        </w:rPr>
        <w:t>’</w:t>
      </w:r>
      <w:r w:rsidRPr="00A65EFA">
        <w:rPr>
          <w:lang w:val="fr-FR"/>
        </w:rPr>
        <w:t>y faire représenter.</w:t>
      </w:r>
    </w:p>
    <w:p w:rsidR="00736EF1" w:rsidRPr="00E92109" w:rsidRDefault="00736EF1" w:rsidP="00ED1C2F">
      <w:pPr>
        <w:pStyle w:val="SingleTxtG"/>
        <w:rPr>
          <w:lang w:val="fr-FR"/>
        </w:rPr>
      </w:pPr>
      <w:r>
        <w:rPr>
          <w:lang w:val="fr-FR"/>
        </w:rPr>
        <w:t>11.</w:t>
      </w:r>
      <w:r w:rsidRPr="00A65EFA">
        <w:rPr>
          <w:lang w:val="fr-FR"/>
        </w:rPr>
        <w:tab/>
      </w:r>
      <w:r w:rsidRPr="00B82056">
        <w:rPr>
          <w:spacing w:val="-2"/>
          <w:lang w:val="fr-FR"/>
        </w:rPr>
        <w:t>Les rapports que la Commission d</w:t>
      </w:r>
      <w:r w:rsidR="009D7A41">
        <w:rPr>
          <w:spacing w:val="-2"/>
          <w:lang w:val="fr-FR"/>
        </w:rPr>
        <w:t>’</w:t>
      </w:r>
      <w:r w:rsidRPr="00B82056">
        <w:rPr>
          <w:spacing w:val="-2"/>
          <w:lang w:val="fr-FR"/>
        </w:rPr>
        <w:t>experts de l</w:t>
      </w:r>
      <w:r w:rsidR="009D7A41">
        <w:rPr>
          <w:spacing w:val="-2"/>
          <w:lang w:val="fr-FR"/>
        </w:rPr>
        <w:t>’</w:t>
      </w:r>
      <w:r w:rsidRPr="00B82056">
        <w:rPr>
          <w:spacing w:val="-2"/>
          <w:lang w:val="fr-FR"/>
        </w:rPr>
        <w:t>OIT pour l</w:t>
      </w:r>
      <w:r w:rsidR="009D7A41">
        <w:rPr>
          <w:spacing w:val="-2"/>
          <w:lang w:val="fr-FR"/>
        </w:rPr>
        <w:t>’</w:t>
      </w:r>
      <w:r w:rsidRPr="00B82056">
        <w:rPr>
          <w:spacing w:val="-2"/>
          <w:lang w:val="fr-FR"/>
        </w:rPr>
        <w:t>application des conventions et recommandations avait présentés à la Conférence internationale du Travail ont été mis à la disposition des membres du Comité pour l</w:t>
      </w:r>
      <w:r w:rsidR="009D7A41">
        <w:rPr>
          <w:spacing w:val="-2"/>
          <w:lang w:val="fr-FR"/>
        </w:rPr>
        <w:t>’</w:t>
      </w:r>
      <w:r w:rsidRPr="00B82056">
        <w:rPr>
          <w:spacing w:val="-2"/>
          <w:lang w:val="fr-FR"/>
        </w:rPr>
        <w:t>élimination de la discrimination raciale.</w:t>
      </w:r>
    </w:p>
    <w:p w:rsidR="00736EF1" w:rsidRDefault="00736EF1" w:rsidP="00ED1C2F">
      <w:pPr>
        <w:pStyle w:val="H1G"/>
        <w:rPr>
          <w:lang w:val="fr-FR"/>
        </w:rPr>
      </w:pPr>
      <w:r>
        <w:rPr>
          <w:lang w:val="fr-FR"/>
        </w:rPr>
        <w:tab/>
        <w:t>F.</w:t>
      </w:r>
      <w:r>
        <w:rPr>
          <w:lang w:val="fr-FR"/>
        </w:rPr>
        <w:tab/>
        <w:t>Questions diverses</w:t>
      </w:r>
    </w:p>
    <w:p w:rsidR="00736EF1" w:rsidRDefault="00736EF1" w:rsidP="00ED1C2F">
      <w:pPr>
        <w:pStyle w:val="SingleTxtG"/>
        <w:rPr>
          <w:lang w:val="fr-FR"/>
        </w:rPr>
      </w:pPr>
      <w:r>
        <w:rPr>
          <w:lang w:val="fr-FR"/>
        </w:rPr>
        <w:t>12.</w:t>
      </w:r>
      <w:r>
        <w:rPr>
          <w:lang w:val="fr-FR"/>
        </w:rPr>
        <w:tab/>
        <w:t>À sa quatre-vingt-</w:t>
      </w:r>
      <w:r w:rsidR="00352943">
        <w:rPr>
          <w:lang w:val="fr-FR"/>
        </w:rPr>
        <w:t>treizième</w:t>
      </w:r>
      <w:r>
        <w:rPr>
          <w:lang w:val="fr-FR"/>
        </w:rPr>
        <w:t xml:space="preserve"> session, le Comité s</w:t>
      </w:r>
      <w:r w:rsidR="009D7A41">
        <w:rPr>
          <w:lang w:val="fr-FR"/>
        </w:rPr>
        <w:t>’</w:t>
      </w:r>
      <w:r>
        <w:rPr>
          <w:lang w:val="fr-FR"/>
        </w:rPr>
        <w:t xml:space="preserve">est réuni avec le Bureau </w:t>
      </w:r>
      <w:r w:rsidRPr="00764654">
        <w:rPr>
          <w:lang w:val="fr-FR"/>
        </w:rPr>
        <w:t xml:space="preserve">du Comité des </w:t>
      </w:r>
      <w:r w:rsidRPr="000545AD">
        <w:t>droits</w:t>
      </w:r>
      <w:r w:rsidRPr="00764654">
        <w:rPr>
          <w:lang w:val="fr-FR"/>
        </w:rPr>
        <w:t xml:space="preserve"> des personnes handicapées et </w:t>
      </w:r>
      <w:r>
        <w:rPr>
          <w:lang w:val="fr-FR"/>
        </w:rPr>
        <w:t xml:space="preserve">le Bureau </w:t>
      </w:r>
      <w:r w:rsidRPr="00764654">
        <w:rPr>
          <w:lang w:val="fr-FR"/>
        </w:rPr>
        <w:t>du Comité contre la torture</w:t>
      </w:r>
      <w:r>
        <w:rPr>
          <w:lang w:val="fr-FR"/>
        </w:rPr>
        <w:t xml:space="preserve">. </w:t>
      </w:r>
    </w:p>
    <w:p w:rsidR="00736EF1" w:rsidRPr="00764654" w:rsidRDefault="00736EF1" w:rsidP="00ED1C2F">
      <w:pPr>
        <w:pStyle w:val="SingleTxtG"/>
        <w:rPr>
          <w:lang w:val="fr-FR"/>
        </w:rPr>
      </w:pPr>
      <w:r>
        <w:rPr>
          <w:lang w:val="fr-FR"/>
        </w:rPr>
        <w:t>13.</w:t>
      </w:r>
      <w:r>
        <w:rPr>
          <w:lang w:val="fr-FR"/>
        </w:rPr>
        <w:tab/>
        <w:t xml:space="preserve">Le </w:t>
      </w:r>
      <w:r w:rsidRPr="00764654">
        <w:rPr>
          <w:lang w:val="fr-FR"/>
        </w:rPr>
        <w:t>Haut-Commissaire des Nations Unies aux droits de l</w:t>
      </w:r>
      <w:r w:rsidR="009D7A41">
        <w:rPr>
          <w:lang w:val="fr-FR"/>
        </w:rPr>
        <w:t>’</w:t>
      </w:r>
      <w:r w:rsidRPr="00764654">
        <w:rPr>
          <w:lang w:val="fr-FR"/>
        </w:rPr>
        <w:t>homme s</w:t>
      </w:r>
      <w:r w:rsidR="009D7A41">
        <w:rPr>
          <w:lang w:val="fr-FR"/>
        </w:rPr>
        <w:t>’</w:t>
      </w:r>
      <w:r w:rsidRPr="00764654">
        <w:rPr>
          <w:lang w:val="fr-FR"/>
        </w:rPr>
        <w:t>est adressé au Comité</w:t>
      </w:r>
      <w:r>
        <w:rPr>
          <w:lang w:val="fr-FR"/>
        </w:rPr>
        <w:t xml:space="preserve"> le 4</w:t>
      </w:r>
      <w:r w:rsidR="00ED1C2F">
        <w:rPr>
          <w:lang w:val="fr-FR"/>
        </w:rPr>
        <w:t> </w:t>
      </w:r>
      <w:r w:rsidRPr="00A33BA3">
        <w:rPr>
          <w:lang w:val="fr-FR"/>
        </w:rPr>
        <w:t>décembre</w:t>
      </w:r>
      <w:r>
        <w:rPr>
          <w:lang w:val="fr-FR"/>
        </w:rPr>
        <w:t xml:space="preserve"> 2017, à sa quatre-vingt-</w:t>
      </w:r>
      <w:r w:rsidR="00833848">
        <w:rPr>
          <w:lang w:val="fr-FR"/>
        </w:rPr>
        <w:t>quatorzième</w:t>
      </w:r>
      <w:bookmarkStart w:id="6" w:name="_GoBack"/>
      <w:bookmarkEnd w:id="6"/>
      <w:r>
        <w:rPr>
          <w:lang w:val="fr-FR"/>
        </w:rPr>
        <w:t xml:space="preserve"> session. Pendant cette session, le Comité a également accueilli le </w:t>
      </w:r>
      <w:r w:rsidRPr="00764654">
        <w:rPr>
          <w:lang w:val="fr-FR"/>
        </w:rPr>
        <w:t>Rapporteur spécial sur les formes contemporaines de racisme, de discrimination raciale, de xénophobie et de l</w:t>
      </w:r>
      <w:r w:rsidR="009D7A41">
        <w:rPr>
          <w:lang w:val="fr-FR"/>
        </w:rPr>
        <w:t>’</w:t>
      </w:r>
      <w:r w:rsidRPr="00764654">
        <w:rPr>
          <w:lang w:val="fr-FR"/>
        </w:rPr>
        <w:t>intolérance qui y est associée</w:t>
      </w:r>
      <w:r>
        <w:rPr>
          <w:lang w:val="fr-FR"/>
        </w:rPr>
        <w:t xml:space="preserve">, le </w:t>
      </w:r>
      <w:r w:rsidRPr="00764654">
        <w:rPr>
          <w:lang w:val="fr-FR"/>
        </w:rPr>
        <w:t>Rapporteur spécial sur les questions relatives aux minorités</w:t>
      </w:r>
      <w:r>
        <w:rPr>
          <w:lang w:val="fr-FR"/>
        </w:rPr>
        <w:t xml:space="preserve"> et le </w:t>
      </w:r>
      <w:r w:rsidRPr="00764654">
        <w:rPr>
          <w:lang w:val="fr-FR"/>
        </w:rPr>
        <w:t>Groupe de travail d</w:t>
      </w:r>
      <w:r w:rsidR="009D7A41">
        <w:rPr>
          <w:lang w:val="fr-FR"/>
        </w:rPr>
        <w:t>’</w:t>
      </w:r>
      <w:r w:rsidRPr="00764654">
        <w:rPr>
          <w:lang w:val="fr-FR"/>
        </w:rPr>
        <w:t>experts sur les personnes d</w:t>
      </w:r>
      <w:r w:rsidR="009D7A41">
        <w:rPr>
          <w:lang w:val="fr-FR"/>
        </w:rPr>
        <w:t>’</w:t>
      </w:r>
      <w:r w:rsidRPr="00764654">
        <w:rPr>
          <w:lang w:val="fr-FR"/>
        </w:rPr>
        <w:t>ascendance africaine</w:t>
      </w:r>
      <w:r>
        <w:rPr>
          <w:lang w:val="fr-FR"/>
        </w:rPr>
        <w:t>.</w:t>
      </w:r>
    </w:p>
    <w:p w:rsidR="00736EF1" w:rsidRPr="00A65EFA" w:rsidRDefault="00736EF1" w:rsidP="005B2E9A">
      <w:pPr>
        <w:pStyle w:val="H1G"/>
      </w:pPr>
      <w:r>
        <w:rPr>
          <w:lang w:val="fr-FR"/>
        </w:rPr>
        <w:tab/>
        <w:t>G.</w:t>
      </w:r>
      <w:r>
        <w:rPr>
          <w:lang w:val="fr-FR"/>
        </w:rPr>
        <w:tab/>
      </w:r>
      <w:r w:rsidRPr="00A65EFA">
        <w:rPr>
          <w:lang w:val="fr-FR"/>
        </w:rPr>
        <w:t>Adoption du rapport</w:t>
      </w:r>
      <w:bookmarkStart w:id="7" w:name="_Toc428794283"/>
      <w:bookmarkEnd w:id="7"/>
    </w:p>
    <w:p w:rsidR="00736EF1" w:rsidRPr="00A65EFA" w:rsidRDefault="00736EF1" w:rsidP="005B2E9A">
      <w:pPr>
        <w:pStyle w:val="SingleTxtG"/>
      </w:pPr>
      <w:r w:rsidRPr="00A65EFA">
        <w:rPr>
          <w:lang w:val="fr-FR"/>
        </w:rPr>
        <w:t>1</w:t>
      </w:r>
      <w:r>
        <w:rPr>
          <w:lang w:val="fr-FR"/>
        </w:rPr>
        <w:t>4</w:t>
      </w:r>
      <w:r w:rsidRPr="00A65EFA">
        <w:rPr>
          <w:lang w:val="fr-FR"/>
        </w:rPr>
        <w:t>.</w:t>
      </w:r>
      <w:r w:rsidRPr="00A65EFA">
        <w:rPr>
          <w:lang w:val="fr-FR"/>
        </w:rPr>
        <w:tab/>
        <w:t>À sa 2</w:t>
      </w:r>
      <w:r>
        <w:rPr>
          <w:lang w:val="fr-FR"/>
        </w:rPr>
        <w:t>642</w:t>
      </w:r>
      <w:r w:rsidRPr="00D95A30">
        <w:rPr>
          <w:vertAlign w:val="superscript"/>
          <w:lang w:val="fr-FR"/>
        </w:rPr>
        <w:t>e</w:t>
      </w:r>
      <w:r>
        <w:rPr>
          <w:lang w:val="fr-FR"/>
        </w:rPr>
        <w:t> </w:t>
      </w:r>
      <w:r w:rsidRPr="00A65EFA">
        <w:rPr>
          <w:lang w:val="fr-FR"/>
        </w:rPr>
        <w:t>séance (quatre-vingt-</w:t>
      </w:r>
      <w:r>
        <w:rPr>
          <w:lang w:val="fr-FR"/>
        </w:rPr>
        <w:t>quin</w:t>
      </w:r>
      <w:r w:rsidRPr="00A65EFA">
        <w:rPr>
          <w:lang w:val="fr-FR"/>
        </w:rPr>
        <w:t>zième session), le Comité a adopté son rapport annuel à l</w:t>
      </w:r>
      <w:r w:rsidR="009D7A41">
        <w:rPr>
          <w:lang w:val="fr-FR"/>
        </w:rPr>
        <w:t>’</w:t>
      </w:r>
      <w:r w:rsidRPr="00A65EFA">
        <w:rPr>
          <w:lang w:val="fr-FR"/>
        </w:rPr>
        <w:t>Assemblée générale.</w:t>
      </w:r>
    </w:p>
    <w:p w:rsidR="00736EF1" w:rsidRPr="00A65EFA" w:rsidRDefault="00736EF1" w:rsidP="00B82056">
      <w:pPr>
        <w:pStyle w:val="HChG"/>
      </w:pPr>
      <w:r>
        <w:rPr>
          <w:lang w:val="fr-FR"/>
        </w:rPr>
        <w:lastRenderedPageBreak/>
        <w:tab/>
        <w:t>II.</w:t>
      </w:r>
      <w:r>
        <w:rPr>
          <w:lang w:val="fr-FR"/>
        </w:rPr>
        <w:tab/>
      </w:r>
      <w:r w:rsidRPr="00A65EFA">
        <w:rPr>
          <w:lang w:val="fr-FR"/>
        </w:rPr>
        <w:t xml:space="preserve">Prévention de la discrimination raciale, </w:t>
      </w:r>
      <w:r w:rsidR="00B82056">
        <w:rPr>
          <w:lang w:val="fr-FR"/>
        </w:rPr>
        <w:br/>
      </w:r>
      <w:r w:rsidRPr="00A65EFA">
        <w:rPr>
          <w:lang w:val="fr-FR"/>
        </w:rPr>
        <w:t>y compris les procédures d</w:t>
      </w:r>
      <w:r w:rsidR="009D7A41">
        <w:rPr>
          <w:lang w:val="fr-FR"/>
        </w:rPr>
        <w:t>’</w:t>
      </w:r>
      <w:r w:rsidRPr="00A65EFA">
        <w:rPr>
          <w:lang w:val="fr-FR"/>
        </w:rPr>
        <w:t xml:space="preserve">alerte rapide </w:t>
      </w:r>
      <w:r w:rsidR="00B82056">
        <w:rPr>
          <w:lang w:val="fr-FR"/>
        </w:rPr>
        <w:br/>
      </w:r>
      <w:r w:rsidRPr="00A65EFA">
        <w:rPr>
          <w:lang w:val="fr-FR"/>
        </w:rPr>
        <w:t>et d</w:t>
      </w:r>
      <w:r w:rsidR="009D7A41">
        <w:rPr>
          <w:lang w:val="fr-FR"/>
        </w:rPr>
        <w:t>’</w:t>
      </w:r>
      <w:r w:rsidRPr="00A65EFA">
        <w:rPr>
          <w:lang w:val="fr-FR"/>
        </w:rPr>
        <w:t>action urgente</w:t>
      </w:r>
      <w:bookmarkStart w:id="8" w:name="_Toc428794284"/>
      <w:bookmarkEnd w:id="8"/>
    </w:p>
    <w:p w:rsidR="00736EF1" w:rsidRPr="00A65EFA" w:rsidRDefault="00736EF1" w:rsidP="00B82056">
      <w:pPr>
        <w:pStyle w:val="SingleTxtG"/>
      </w:pPr>
      <w:r>
        <w:rPr>
          <w:lang w:val="fr-FR"/>
        </w:rPr>
        <w:t>15.</w:t>
      </w:r>
      <w:r w:rsidRPr="00A65EFA">
        <w:rPr>
          <w:lang w:val="fr-FR"/>
        </w:rPr>
        <w:tab/>
        <w:t>Les travaux du Comité liés à ses procédures d</w:t>
      </w:r>
      <w:r w:rsidR="009D7A41">
        <w:rPr>
          <w:lang w:val="fr-FR"/>
        </w:rPr>
        <w:t>’</w:t>
      </w:r>
      <w:r w:rsidRPr="00A65EFA">
        <w:rPr>
          <w:lang w:val="fr-FR"/>
        </w:rPr>
        <w:t>alerte rapide et d</w:t>
      </w:r>
      <w:r w:rsidR="009D7A41">
        <w:rPr>
          <w:lang w:val="fr-FR"/>
        </w:rPr>
        <w:t>’</w:t>
      </w:r>
      <w:r w:rsidRPr="00A65EFA">
        <w:rPr>
          <w:lang w:val="fr-FR"/>
        </w:rPr>
        <w:t>action urgente ont pour but de prévenir les graves violations de la Convention internationale sur l</w:t>
      </w:r>
      <w:r w:rsidR="009D7A41">
        <w:rPr>
          <w:lang w:val="fr-FR"/>
        </w:rPr>
        <w:t>’</w:t>
      </w:r>
      <w:r w:rsidRPr="00A65EFA">
        <w:rPr>
          <w:lang w:val="fr-FR"/>
        </w:rPr>
        <w:t>élimination de toutes les formes de discrimination raciale et d</w:t>
      </w:r>
      <w:r w:rsidR="009D7A41">
        <w:rPr>
          <w:lang w:val="fr-FR"/>
        </w:rPr>
        <w:t>’</w:t>
      </w:r>
      <w:r w:rsidRPr="00A65EFA">
        <w:rPr>
          <w:lang w:val="fr-FR"/>
        </w:rPr>
        <w:t xml:space="preserve">intervenir en cas de violation. </w:t>
      </w:r>
      <w:r>
        <w:rPr>
          <w:lang w:val="fr-FR"/>
        </w:rPr>
        <w:t xml:space="preserve">Ces travaux sont fondés sur des </w:t>
      </w:r>
      <w:r w:rsidRPr="00A65EFA">
        <w:rPr>
          <w:lang w:val="fr-FR"/>
        </w:rPr>
        <w:t>directives que le Comité a adoptées à sa soixante et onzième session, en août 2007</w:t>
      </w:r>
      <w:r w:rsidRPr="000545AD">
        <w:rPr>
          <w:rStyle w:val="Appelnotedebasdep"/>
        </w:rPr>
        <w:footnoteReference w:id="3"/>
      </w:r>
      <w:r w:rsidRPr="00A65EFA">
        <w:rPr>
          <w:lang w:val="fr-FR"/>
        </w:rPr>
        <w:t>.</w:t>
      </w:r>
    </w:p>
    <w:p w:rsidR="00736EF1" w:rsidRPr="00A65EFA" w:rsidRDefault="00736EF1" w:rsidP="00B82056">
      <w:pPr>
        <w:pStyle w:val="SingleTxtG"/>
      </w:pPr>
      <w:r>
        <w:rPr>
          <w:lang w:val="fr-FR"/>
        </w:rPr>
        <w:t>16.</w:t>
      </w:r>
      <w:r>
        <w:rPr>
          <w:lang w:val="fr-FR"/>
        </w:rPr>
        <w:tab/>
      </w:r>
      <w:r w:rsidRPr="00A65EFA">
        <w:rPr>
          <w:lang w:val="fr-FR"/>
        </w:rPr>
        <w:t>Le Groupe de travail du Comité sur l</w:t>
      </w:r>
      <w:r w:rsidR="009D7A41">
        <w:rPr>
          <w:lang w:val="fr-FR"/>
        </w:rPr>
        <w:t>’</w:t>
      </w:r>
      <w:r w:rsidRPr="00A65EFA">
        <w:rPr>
          <w:lang w:val="fr-FR"/>
        </w:rPr>
        <w:t>alerte rapide et l</w:t>
      </w:r>
      <w:r w:rsidR="009D7A41">
        <w:rPr>
          <w:lang w:val="fr-FR"/>
        </w:rPr>
        <w:t>’</w:t>
      </w:r>
      <w:r w:rsidRPr="00A65EFA">
        <w:rPr>
          <w:lang w:val="fr-FR"/>
        </w:rPr>
        <w:t>action urgente</w:t>
      </w:r>
      <w:r>
        <w:rPr>
          <w:lang w:val="fr-FR"/>
        </w:rPr>
        <w:t xml:space="preserve"> a été</w:t>
      </w:r>
      <w:r w:rsidRPr="00A65EFA">
        <w:rPr>
          <w:lang w:val="fr-FR"/>
        </w:rPr>
        <w:t xml:space="preserve"> créé à la soixante-cinquième session du Comité</w:t>
      </w:r>
      <w:r>
        <w:rPr>
          <w:lang w:val="fr-FR"/>
        </w:rPr>
        <w:t>,</w:t>
      </w:r>
      <w:r w:rsidRPr="00A65EFA">
        <w:rPr>
          <w:lang w:val="fr-FR"/>
        </w:rPr>
        <w:t xml:space="preserve"> en août 2004</w:t>
      </w:r>
      <w:r>
        <w:rPr>
          <w:lang w:val="fr-FR"/>
        </w:rPr>
        <w:t>. À la quatre-vingt-quinzième session</w:t>
      </w:r>
      <w:r w:rsidRPr="00A65EFA">
        <w:rPr>
          <w:lang w:val="fr-FR"/>
        </w:rPr>
        <w:t xml:space="preserve">, </w:t>
      </w:r>
      <w:r>
        <w:rPr>
          <w:lang w:val="fr-FR"/>
        </w:rPr>
        <w:t xml:space="preserve">M. Diaby a remplacé </w:t>
      </w:r>
      <w:r w:rsidRPr="00EE45DA">
        <w:rPr>
          <w:lang w:val="fr-FR"/>
        </w:rPr>
        <w:t>M</w:t>
      </w:r>
      <w:r w:rsidRPr="00EE45DA">
        <w:rPr>
          <w:vertAlign w:val="superscript"/>
          <w:lang w:val="fr-FR"/>
        </w:rPr>
        <w:t>me</w:t>
      </w:r>
      <w:r w:rsidRPr="00EE45DA">
        <w:rPr>
          <w:lang w:val="fr-FR"/>
        </w:rPr>
        <w:t> </w:t>
      </w:r>
      <w:r>
        <w:rPr>
          <w:lang w:val="fr-FR"/>
        </w:rPr>
        <w:t>Mohamed. Depuis cette session, la composition du Groupe de travail s</w:t>
      </w:r>
      <w:r w:rsidR="009D7A41">
        <w:rPr>
          <w:lang w:val="fr-FR"/>
        </w:rPr>
        <w:t>’</w:t>
      </w:r>
      <w:r>
        <w:rPr>
          <w:lang w:val="fr-FR"/>
        </w:rPr>
        <w:t>établit comme suit</w:t>
      </w:r>
      <w:r w:rsidR="00D725DA">
        <w:rPr>
          <w:lang w:val="fr-FR"/>
        </w:rPr>
        <w:t> :</w:t>
      </w:r>
    </w:p>
    <w:p w:rsidR="00736EF1" w:rsidRPr="00A65EFA" w:rsidRDefault="00736EF1" w:rsidP="00736EF1">
      <w:pPr>
        <w:pStyle w:val="SingleTxtG"/>
        <w:ind w:left="3544" w:hanging="1843"/>
      </w:pPr>
      <w:r w:rsidRPr="00EC049E">
        <w:rPr>
          <w:i/>
          <w:lang w:val="fr-FR"/>
        </w:rPr>
        <w:t>Coordonnateur</w:t>
      </w:r>
      <w:r w:rsidR="00D725DA">
        <w:rPr>
          <w:lang w:val="fr-FR"/>
        </w:rPr>
        <w:t> :</w:t>
      </w:r>
      <w:r>
        <w:rPr>
          <w:lang w:val="fr-FR"/>
        </w:rPr>
        <w:tab/>
      </w:r>
      <w:r w:rsidRPr="00A65EFA">
        <w:rPr>
          <w:lang w:val="fr-FR"/>
        </w:rPr>
        <w:t xml:space="preserve">José Francisco Calí Tzay </w:t>
      </w:r>
    </w:p>
    <w:p w:rsidR="00736EF1" w:rsidRPr="00106C1D" w:rsidRDefault="00736EF1" w:rsidP="00BC0B05">
      <w:pPr>
        <w:pStyle w:val="SingleTxtG"/>
        <w:spacing w:after="40"/>
        <w:ind w:left="3544" w:hanging="1843"/>
        <w:jc w:val="left"/>
        <w:rPr>
          <w:lang w:val="fr-FR"/>
        </w:rPr>
      </w:pPr>
      <w:r w:rsidRPr="00EC049E">
        <w:rPr>
          <w:i/>
          <w:lang w:val="fr-FR"/>
        </w:rPr>
        <w:t>Membres</w:t>
      </w:r>
      <w:r w:rsidR="00D725DA">
        <w:rPr>
          <w:lang w:val="fr-FR"/>
        </w:rPr>
        <w:t> :</w:t>
      </w:r>
      <w:r>
        <w:rPr>
          <w:lang w:val="fr-FR"/>
        </w:rPr>
        <w:tab/>
      </w:r>
      <w:r w:rsidRPr="00A65EFA">
        <w:rPr>
          <w:lang w:val="fr-FR"/>
        </w:rPr>
        <w:t>Alexei S. Avtonomov</w:t>
      </w:r>
      <w:r>
        <w:rPr>
          <w:lang w:val="fr-FR"/>
        </w:rPr>
        <w:t xml:space="preserve"> </w:t>
      </w:r>
      <w:r w:rsidR="00BC0B05">
        <w:rPr>
          <w:lang w:val="fr-FR"/>
        </w:rPr>
        <w:br/>
      </w:r>
      <w:r>
        <w:rPr>
          <w:lang w:val="fr-FR"/>
        </w:rPr>
        <w:t>Sidiki Bakari Diaby</w:t>
      </w:r>
      <w:r w:rsidR="00BC0B05">
        <w:rPr>
          <w:lang w:val="fr-FR"/>
        </w:rPr>
        <w:br/>
        <w:t>Yanduan Li</w:t>
      </w:r>
      <w:r w:rsidR="00BC0B05">
        <w:rPr>
          <w:lang w:val="fr-FR"/>
        </w:rPr>
        <w:br/>
      </w:r>
      <w:r>
        <w:rPr>
          <w:lang w:val="fr-FR"/>
        </w:rPr>
        <w:t>Nicolás Marugán</w:t>
      </w:r>
      <w:r w:rsidR="00BC0B05">
        <w:rPr>
          <w:lang w:val="fr-FR"/>
        </w:rPr>
        <w:br/>
      </w:r>
      <w:r w:rsidRPr="00106C1D">
        <w:rPr>
          <w:lang w:val="fr-FR"/>
        </w:rPr>
        <w:t>Gay McDougall</w:t>
      </w:r>
    </w:p>
    <w:p w:rsidR="00736EF1" w:rsidRPr="00EC049E" w:rsidRDefault="00736EF1" w:rsidP="00BC0B05">
      <w:pPr>
        <w:pStyle w:val="H1G"/>
      </w:pPr>
      <w:r w:rsidRPr="00106C1D">
        <w:rPr>
          <w:lang w:val="fr-FR"/>
        </w:rPr>
        <w:tab/>
      </w:r>
      <w:r>
        <w:rPr>
          <w:lang w:val="fr-FR"/>
        </w:rPr>
        <w:t>A.</w:t>
      </w:r>
      <w:r>
        <w:rPr>
          <w:lang w:val="fr-FR"/>
        </w:rPr>
        <w:tab/>
      </w:r>
      <w:r w:rsidRPr="00EC049E">
        <w:rPr>
          <w:lang w:val="fr-FR"/>
        </w:rPr>
        <w:t>Décisions</w:t>
      </w:r>
    </w:p>
    <w:p w:rsidR="00736EF1" w:rsidRPr="00EC049E" w:rsidRDefault="00736EF1" w:rsidP="00BC0B05">
      <w:pPr>
        <w:pStyle w:val="SingleTxtG"/>
      </w:pPr>
      <w:r w:rsidRPr="00EC049E">
        <w:rPr>
          <w:lang w:val="fr-FR"/>
        </w:rPr>
        <w:t>1</w:t>
      </w:r>
      <w:r>
        <w:rPr>
          <w:lang w:val="fr-FR"/>
        </w:rPr>
        <w:t>7</w:t>
      </w:r>
      <w:r w:rsidRPr="00EC049E">
        <w:rPr>
          <w:lang w:val="fr-FR"/>
        </w:rPr>
        <w:t>.</w:t>
      </w:r>
      <w:r w:rsidRPr="00EC049E">
        <w:rPr>
          <w:lang w:val="fr-FR"/>
        </w:rPr>
        <w:tab/>
        <w:t>Les décisions suivantes ont été adoptées par le Comité à ses quatre</w:t>
      </w:r>
      <w:r w:rsidRPr="00EC049E">
        <w:rPr>
          <w:lang w:val="fr-FR"/>
        </w:rPr>
        <w:noBreakHyphen/>
        <w:t>vingt-</w:t>
      </w:r>
      <w:r>
        <w:rPr>
          <w:lang w:val="fr-FR"/>
        </w:rPr>
        <w:t>treiz</w:t>
      </w:r>
      <w:r w:rsidRPr="00EC049E">
        <w:rPr>
          <w:lang w:val="fr-FR"/>
        </w:rPr>
        <w:t xml:space="preserve">ième </w:t>
      </w:r>
      <w:r>
        <w:rPr>
          <w:lang w:val="fr-FR"/>
        </w:rPr>
        <w:t>(décisions 1 (93) et 2 (93)</w:t>
      </w:r>
      <w:r w:rsidR="0038173D">
        <w:rPr>
          <w:lang w:val="fr-FR"/>
        </w:rPr>
        <w:t>)</w:t>
      </w:r>
      <w:r>
        <w:rPr>
          <w:lang w:val="fr-FR"/>
        </w:rPr>
        <w:t xml:space="preserve"> </w:t>
      </w:r>
      <w:r w:rsidRPr="00EC049E">
        <w:rPr>
          <w:lang w:val="fr-FR"/>
        </w:rPr>
        <w:t>et quatre-vingt-</w:t>
      </w:r>
      <w:r>
        <w:rPr>
          <w:lang w:val="fr-FR"/>
        </w:rPr>
        <w:t>quinz</w:t>
      </w:r>
      <w:r w:rsidRPr="00EC049E">
        <w:rPr>
          <w:lang w:val="fr-FR"/>
        </w:rPr>
        <w:t xml:space="preserve">ième </w:t>
      </w:r>
      <w:r>
        <w:rPr>
          <w:lang w:val="fr-FR"/>
        </w:rPr>
        <w:t xml:space="preserve">(décision 1 (95)) </w:t>
      </w:r>
      <w:r w:rsidRPr="00EC049E">
        <w:rPr>
          <w:lang w:val="fr-FR"/>
        </w:rPr>
        <w:t>sessions</w:t>
      </w:r>
      <w:r>
        <w:rPr>
          <w:lang w:val="fr-FR"/>
        </w:rPr>
        <w:t>, respectivement</w:t>
      </w:r>
      <w:r w:rsidR="00D725DA">
        <w:rPr>
          <w:lang w:val="fr-FR"/>
        </w:rPr>
        <w:t> :</w:t>
      </w:r>
    </w:p>
    <w:p w:rsidR="00736EF1" w:rsidRPr="00EC049E" w:rsidRDefault="00736EF1" w:rsidP="002967B3">
      <w:pPr>
        <w:pStyle w:val="H23G"/>
        <w:rPr>
          <w:rFonts w:eastAsia="SimSun"/>
        </w:rPr>
      </w:pPr>
      <w:r>
        <w:rPr>
          <w:lang w:val="fr-FR"/>
        </w:rPr>
        <w:tab/>
      </w:r>
      <w:r>
        <w:rPr>
          <w:lang w:val="fr-FR"/>
        </w:rPr>
        <w:tab/>
      </w:r>
      <w:r w:rsidRPr="00EC049E">
        <w:rPr>
          <w:lang w:val="fr-FR"/>
        </w:rPr>
        <w:t>Décision 1 (9</w:t>
      </w:r>
      <w:r>
        <w:rPr>
          <w:lang w:val="fr-FR"/>
        </w:rPr>
        <w:t>3</w:t>
      </w:r>
      <w:r w:rsidRPr="00EC049E">
        <w:rPr>
          <w:lang w:val="fr-FR"/>
        </w:rPr>
        <w:t xml:space="preserve">) sur </w:t>
      </w:r>
      <w:r>
        <w:rPr>
          <w:lang w:val="fr-FR"/>
        </w:rPr>
        <w:t>les États-Unis d</w:t>
      </w:r>
      <w:r w:rsidR="009D7A41">
        <w:rPr>
          <w:lang w:val="fr-FR"/>
        </w:rPr>
        <w:t>’</w:t>
      </w:r>
      <w:r>
        <w:rPr>
          <w:lang w:val="fr-FR"/>
        </w:rPr>
        <w:t xml:space="preserve">Amérique </w:t>
      </w:r>
    </w:p>
    <w:p w:rsidR="00736EF1" w:rsidRPr="00EC049E" w:rsidRDefault="00736EF1" w:rsidP="002967B3">
      <w:pPr>
        <w:pStyle w:val="SingleTxtG"/>
        <w:ind w:firstLine="567"/>
      </w:pPr>
      <w:r w:rsidRPr="00EC049E">
        <w:rPr>
          <w:lang w:val="fr-FR"/>
        </w:rPr>
        <w:t>À sa 2</w:t>
      </w:r>
      <w:r>
        <w:rPr>
          <w:lang w:val="fr-FR"/>
        </w:rPr>
        <w:t>573</w:t>
      </w:r>
      <w:r w:rsidRPr="00EB5794">
        <w:rPr>
          <w:vertAlign w:val="superscript"/>
          <w:lang w:val="fr-FR"/>
        </w:rPr>
        <w:t>e</w:t>
      </w:r>
      <w:r>
        <w:rPr>
          <w:lang w:val="fr-FR"/>
        </w:rPr>
        <w:t xml:space="preserve"> </w:t>
      </w:r>
      <w:r w:rsidRPr="00EC049E">
        <w:rPr>
          <w:lang w:val="fr-FR"/>
        </w:rPr>
        <w:t xml:space="preserve">séance, le </w:t>
      </w:r>
      <w:r>
        <w:rPr>
          <w:lang w:val="fr-FR"/>
        </w:rPr>
        <w:t>18 </w:t>
      </w:r>
      <w:r w:rsidRPr="00EC049E">
        <w:rPr>
          <w:lang w:val="fr-FR"/>
        </w:rPr>
        <w:t>août 201</w:t>
      </w:r>
      <w:r>
        <w:rPr>
          <w:lang w:val="fr-FR"/>
        </w:rPr>
        <w:t>7</w:t>
      </w:r>
      <w:r w:rsidRPr="00EC049E">
        <w:rPr>
          <w:lang w:val="fr-FR"/>
        </w:rPr>
        <w:t>, le Comité pour l</w:t>
      </w:r>
      <w:r w:rsidR="009D7A41">
        <w:rPr>
          <w:lang w:val="fr-FR"/>
        </w:rPr>
        <w:t>’</w:t>
      </w:r>
      <w:r w:rsidRPr="00EC049E">
        <w:rPr>
          <w:lang w:val="fr-FR"/>
        </w:rPr>
        <w:t>élimination de la discrimination raciale a décidé d</w:t>
      </w:r>
      <w:r w:rsidR="009D7A41">
        <w:rPr>
          <w:lang w:val="fr-FR"/>
        </w:rPr>
        <w:t>’</w:t>
      </w:r>
      <w:r w:rsidRPr="00EC049E">
        <w:rPr>
          <w:lang w:val="fr-FR"/>
        </w:rPr>
        <w:t>adopter le texte ci-après</w:t>
      </w:r>
      <w:r w:rsidR="00D725DA">
        <w:rPr>
          <w:lang w:val="fr-FR"/>
        </w:rPr>
        <w:t> :</w:t>
      </w:r>
    </w:p>
    <w:p w:rsidR="00736EF1" w:rsidRPr="00EC049E" w:rsidRDefault="00736EF1" w:rsidP="002967B3">
      <w:pPr>
        <w:pStyle w:val="SingleTxtG"/>
        <w:ind w:firstLine="567"/>
      </w:pPr>
      <w:r>
        <w:rPr>
          <w:lang w:val="fr-FR"/>
        </w:rPr>
        <w:t>«</w:t>
      </w:r>
      <w:r w:rsidR="002967B3">
        <w:rPr>
          <w:lang w:val="fr-FR"/>
        </w:rPr>
        <w:t> </w:t>
      </w:r>
      <w:r w:rsidRPr="002967B3">
        <w:rPr>
          <w:i/>
          <w:lang w:val="fr-FR"/>
        </w:rPr>
        <w:t>Le Comité pour l</w:t>
      </w:r>
      <w:r w:rsidR="009D7A41">
        <w:rPr>
          <w:i/>
          <w:lang w:val="fr-FR"/>
        </w:rPr>
        <w:t>’</w:t>
      </w:r>
      <w:r w:rsidRPr="002967B3">
        <w:rPr>
          <w:i/>
          <w:lang w:val="fr-FR"/>
        </w:rPr>
        <w:t>élimination de la discrimination raciale</w:t>
      </w:r>
      <w:r w:rsidRPr="00EC049E">
        <w:rPr>
          <w:lang w:val="fr-FR"/>
        </w:rPr>
        <w:t>,</w:t>
      </w:r>
    </w:p>
    <w:p w:rsidR="00736EF1" w:rsidRDefault="00736EF1" w:rsidP="002967B3">
      <w:pPr>
        <w:pStyle w:val="SingleTxtG"/>
        <w:ind w:firstLine="567"/>
        <w:rPr>
          <w:lang w:val="fr-FR"/>
        </w:rPr>
      </w:pPr>
      <w:r w:rsidRPr="002967B3">
        <w:rPr>
          <w:i/>
          <w:lang w:val="fr-FR"/>
        </w:rPr>
        <w:t>Agissant</w:t>
      </w:r>
      <w:r w:rsidRPr="00EC049E">
        <w:rPr>
          <w:lang w:val="fr-FR"/>
        </w:rPr>
        <w:t xml:space="preserve"> au titre de s</w:t>
      </w:r>
      <w:r>
        <w:rPr>
          <w:lang w:val="fr-FR"/>
        </w:rPr>
        <w:t>es</w:t>
      </w:r>
      <w:r w:rsidRPr="00EC049E">
        <w:rPr>
          <w:lang w:val="fr-FR"/>
        </w:rPr>
        <w:t xml:space="preserve"> procédure</w:t>
      </w:r>
      <w:r>
        <w:rPr>
          <w:lang w:val="fr-FR"/>
        </w:rPr>
        <w:t>s</w:t>
      </w:r>
      <w:r w:rsidRPr="00EC049E">
        <w:rPr>
          <w:lang w:val="fr-FR"/>
        </w:rPr>
        <w:t xml:space="preserve"> d</w:t>
      </w:r>
      <w:r w:rsidR="009D7A41">
        <w:rPr>
          <w:lang w:val="fr-FR"/>
        </w:rPr>
        <w:t>’</w:t>
      </w:r>
      <w:r w:rsidRPr="00EC049E">
        <w:rPr>
          <w:lang w:val="fr-FR"/>
        </w:rPr>
        <w:t>alerte rapide et d</w:t>
      </w:r>
      <w:r w:rsidR="009D7A41">
        <w:rPr>
          <w:lang w:val="fr-FR"/>
        </w:rPr>
        <w:t>’</w:t>
      </w:r>
      <w:r w:rsidRPr="00EC049E">
        <w:rPr>
          <w:lang w:val="fr-FR"/>
        </w:rPr>
        <w:t xml:space="preserve">action urgente, </w:t>
      </w:r>
    </w:p>
    <w:p w:rsidR="00736EF1" w:rsidRPr="001F5981" w:rsidRDefault="00736EF1" w:rsidP="002967B3">
      <w:pPr>
        <w:pStyle w:val="SingleTxtG"/>
        <w:ind w:firstLine="567"/>
      </w:pPr>
      <w:r w:rsidRPr="00E7489D">
        <w:rPr>
          <w:i/>
          <w:lang w:val="fr-FR"/>
        </w:rPr>
        <w:t>Rappelant</w:t>
      </w:r>
      <w:r>
        <w:rPr>
          <w:lang w:val="fr-FR"/>
        </w:rPr>
        <w:t xml:space="preserve"> les terribles événements survenus à Charlottesville les 11 et 12 août 2017, qui ont conduit à la mort de Heather Heyer, et les blessures infligées à de nombreux autres manifestants ainsi que le violent passage à tabac de DeAndre Harris par des suprémacistes blancs,</w:t>
      </w:r>
    </w:p>
    <w:p w:rsidR="00736EF1" w:rsidRPr="001F5981" w:rsidRDefault="00736EF1" w:rsidP="002967B3">
      <w:pPr>
        <w:pStyle w:val="SingleTxtG"/>
        <w:ind w:firstLine="567"/>
      </w:pPr>
      <w:r w:rsidRPr="001B205D">
        <w:rPr>
          <w:i/>
          <w:lang w:val="fr-FR"/>
        </w:rPr>
        <w:t>Alarmé</w:t>
      </w:r>
      <w:r>
        <w:rPr>
          <w:lang w:val="fr-FR"/>
        </w:rPr>
        <w:t xml:space="preserve"> par les manifestations racistes, caractérisées par des slogans, des chants et des saluts ouvertement racistes, auxquelles ont participé des individus appartenant à des groupes nationalistes blancs, des groupes néonazis et au Ku Klux Klan qui prônent la suprématie de la race blanche et encouragent la discrimination et la haine raciales, </w:t>
      </w:r>
    </w:p>
    <w:p w:rsidR="00736EF1" w:rsidRPr="001F5981" w:rsidRDefault="00736EF1" w:rsidP="002967B3">
      <w:pPr>
        <w:pStyle w:val="SingleTxtG"/>
        <w:ind w:firstLine="567"/>
      </w:pPr>
      <w:r>
        <w:rPr>
          <w:i/>
          <w:lang w:val="fr-FR"/>
        </w:rPr>
        <w:t>Perturbé</w:t>
      </w:r>
      <w:r>
        <w:rPr>
          <w:lang w:val="fr-FR"/>
        </w:rPr>
        <w:t xml:space="preserve"> par l</w:t>
      </w:r>
      <w:r w:rsidR="009D7A41">
        <w:rPr>
          <w:lang w:val="fr-FR"/>
        </w:rPr>
        <w:t>’</w:t>
      </w:r>
      <w:r>
        <w:rPr>
          <w:lang w:val="fr-FR"/>
        </w:rPr>
        <w:t>absence de rejet et de condamnation catégorique par les plus hauts responsables politiques du pays des violences racistes et des manifestations organisées par les groupes susmentionnés, silence susceptible d</w:t>
      </w:r>
      <w:r w:rsidR="009D7A41">
        <w:rPr>
          <w:lang w:val="fr-FR"/>
        </w:rPr>
        <w:t>’</w:t>
      </w:r>
      <w:r>
        <w:rPr>
          <w:lang w:val="fr-FR"/>
        </w:rPr>
        <w:t>aggraver la prolifération des discours et des incidents racistes sur l</w:t>
      </w:r>
      <w:r w:rsidR="009D7A41">
        <w:rPr>
          <w:lang w:val="fr-FR"/>
        </w:rPr>
        <w:t>’</w:t>
      </w:r>
      <w:r>
        <w:rPr>
          <w:lang w:val="fr-FR"/>
        </w:rPr>
        <w:t>ensemble du territoire, et profondément préoccupé par le précédent que cela risque de créer pour le reste du monde,</w:t>
      </w:r>
    </w:p>
    <w:p w:rsidR="00736EF1" w:rsidRPr="001F5981" w:rsidRDefault="00736EF1" w:rsidP="002967B3">
      <w:pPr>
        <w:pStyle w:val="SingleTxtG"/>
        <w:ind w:firstLine="567"/>
      </w:pPr>
      <w:r w:rsidRPr="00866A30">
        <w:rPr>
          <w:i/>
          <w:lang w:val="fr-FR"/>
        </w:rPr>
        <w:t xml:space="preserve">Prenant </w:t>
      </w:r>
      <w:r>
        <w:rPr>
          <w:i/>
          <w:lang w:val="fr-FR"/>
        </w:rPr>
        <w:t>ac</w:t>
      </w:r>
      <w:r w:rsidRPr="00866A30">
        <w:rPr>
          <w:i/>
          <w:lang w:val="fr-FR"/>
        </w:rPr>
        <w:t>te</w:t>
      </w:r>
      <w:r>
        <w:rPr>
          <w:lang w:val="fr-FR"/>
        </w:rPr>
        <w:t xml:space="preserve"> de l</w:t>
      </w:r>
      <w:r w:rsidR="009D7A41">
        <w:rPr>
          <w:lang w:val="fr-FR"/>
        </w:rPr>
        <w:t>’</w:t>
      </w:r>
      <w:r>
        <w:rPr>
          <w:lang w:val="fr-FR"/>
        </w:rPr>
        <w:t>enquête pénale qui a été ouverte et des poursuites en cours intentées contre l</w:t>
      </w:r>
      <w:r w:rsidR="009D7A41">
        <w:rPr>
          <w:lang w:val="fr-FR"/>
        </w:rPr>
        <w:t>’</w:t>
      </w:r>
      <w:r>
        <w:rPr>
          <w:lang w:val="fr-FR"/>
        </w:rPr>
        <w:t>individu soupçonné d</w:t>
      </w:r>
      <w:r w:rsidR="009D7A41">
        <w:rPr>
          <w:lang w:val="fr-FR"/>
        </w:rPr>
        <w:t>’</w:t>
      </w:r>
      <w:r>
        <w:rPr>
          <w:lang w:val="fr-FR"/>
        </w:rPr>
        <w:t xml:space="preserve">avoir précipité sa voiture sur la foule de manifestants pacifiques, causant ainsi la mort de </w:t>
      </w:r>
      <w:r w:rsidRPr="00EB5794">
        <w:rPr>
          <w:lang w:val="fr-FR"/>
        </w:rPr>
        <w:t>M</w:t>
      </w:r>
      <w:r w:rsidRPr="00EB5794">
        <w:rPr>
          <w:vertAlign w:val="superscript"/>
          <w:lang w:val="fr-FR"/>
        </w:rPr>
        <w:t>me</w:t>
      </w:r>
      <w:r w:rsidRPr="00EB5794">
        <w:rPr>
          <w:lang w:val="fr-FR"/>
        </w:rPr>
        <w:t> </w:t>
      </w:r>
      <w:r>
        <w:rPr>
          <w:lang w:val="fr-FR"/>
        </w:rPr>
        <w:t>Heyer,</w:t>
      </w:r>
    </w:p>
    <w:p w:rsidR="00736EF1" w:rsidRPr="001F5981" w:rsidRDefault="00736EF1" w:rsidP="00E51A84">
      <w:pPr>
        <w:pStyle w:val="SingleTxtG"/>
        <w:keepLines/>
        <w:ind w:firstLine="567"/>
      </w:pPr>
      <w:r w:rsidRPr="0031147F">
        <w:rPr>
          <w:i/>
          <w:lang w:val="fr-FR"/>
        </w:rPr>
        <w:lastRenderedPageBreak/>
        <w:t>Soulignant</w:t>
      </w:r>
      <w:r>
        <w:rPr>
          <w:lang w:val="fr-FR"/>
        </w:rPr>
        <w:t xml:space="preserve"> que l</w:t>
      </w:r>
      <w:r w:rsidR="009D7A41">
        <w:rPr>
          <w:lang w:val="fr-FR"/>
        </w:rPr>
        <w:t>’</w:t>
      </w:r>
      <w:r>
        <w:rPr>
          <w:lang w:val="fr-FR"/>
        </w:rPr>
        <w:t>apologie de la suprématie de la race blanche, de même que toute idéologie analogue tendant à rejeter les principes fondamentaux des droits de l</w:t>
      </w:r>
      <w:r w:rsidR="009D7A41">
        <w:rPr>
          <w:lang w:val="fr-FR"/>
        </w:rPr>
        <w:t>’</w:t>
      </w:r>
      <w:r>
        <w:rPr>
          <w:lang w:val="fr-FR"/>
        </w:rPr>
        <w:t>homme relatifs à la dignité humaine et à l</w:t>
      </w:r>
      <w:r w:rsidR="009D7A41">
        <w:rPr>
          <w:lang w:val="fr-FR"/>
        </w:rPr>
        <w:t>’</w:t>
      </w:r>
      <w:r>
        <w:rPr>
          <w:lang w:val="fr-FR"/>
        </w:rPr>
        <w:t>égalité et à dénigrer des personnes et des groupes pour des motifs liés à la race, la couleur, l</w:t>
      </w:r>
      <w:r w:rsidR="009D7A41">
        <w:rPr>
          <w:lang w:val="fr-FR"/>
        </w:rPr>
        <w:t>’</w:t>
      </w:r>
      <w:r>
        <w:rPr>
          <w:lang w:val="fr-FR"/>
        </w:rPr>
        <w:t>ascendance ou l</w:t>
      </w:r>
      <w:r w:rsidR="009D7A41">
        <w:rPr>
          <w:lang w:val="fr-FR"/>
        </w:rPr>
        <w:t>’</w:t>
      </w:r>
      <w:r>
        <w:rPr>
          <w:lang w:val="fr-FR"/>
        </w:rPr>
        <w:t>origine nationale ou ethnique ne devraient pas avoir leur place dans le monde, et rappelant l</w:t>
      </w:r>
      <w:r w:rsidR="009D7A41">
        <w:rPr>
          <w:lang w:val="fr-FR"/>
        </w:rPr>
        <w:t>’</w:t>
      </w:r>
      <w:r w:rsidR="0038173D">
        <w:rPr>
          <w:lang w:val="fr-FR"/>
        </w:rPr>
        <w:t xml:space="preserve">article 1 </w:t>
      </w:r>
      <w:r>
        <w:rPr>
          <w:lang w:val="fr-FR"/>
        </w:rPr>
        <w:t>de la Convention internationale sur l</w:t>
      </w:r>
      <w:r w:rsidR="009D7A41">
        <w:rPr>
          <w:lang w:val="fr-FR"/>
        </w:rPr>
        <w:t>’</w:t>
      </w:r>
      <w:r>
        <w:rPr>
          <w:lang w:val="fr-FR"/>
        </w:rPr>
        <w:t xml:space="preserve">élimination de toutes les formes de discrimination raciale, </w:t>
      </w:r>
    </w:p>
    <w:p w:rsidR="00736EF1" w:rsidRPr="001F5981" w:rsidRDefault="00736EF1" w:rsidP="00976D30">
      <w:pPr>
        <w:pStyle w:val="SingleTxtG"/>
        <w:ind w:firstLine="567"/>
      </w:pPr>
      <w:r w:rsidRPr="0031147F">
        <w:rPr>
          <w:i/>
          <w:lang w:val="fr-FR"/>
        </w:rPr>
        <w:t>Rappelant</w:t>
      </w:r>
      <w:r>
        <w:rPr>
          <w:lang w:val="fr-FR"/>
        </w:rPr>
        <w:t xml:space="preserve"> ses précédentes observations finales concernant le rapport valant septième à neuvième rapports périodiques des États-Unis d</w:t>
      </w:r>
      <w:r w:rsidR="009D7A41">
        <w:rPr>
          <w:lang w:val="fr-FR"/>
        </w:rPr>
        <w:t>’</w:t>
      </w:r>
      <w:r>
        <w:rPr>
          <w:lang w:val="fr-FR"/>
        </w:rPr>
        <w:t>Amérique</w:t>
      </w:r>
      <w:r w:rsidRPr="000545AD">
        <w:rPr>
          <w:rStyle w:val="Appelnotedebasdep"/>
        </w:rPr>
        <w:footnoteReference w:id="4"/>
      </w:r>
      <w:r>
        <w:rPr>
          <w:lang w:val="fr-FR"/>
        </w:rPr>
        <w:t xml:space="preserve"> et ses recommandations générales </w:t>
      </w:r>
      <w:r w:rsidRPr="00EB5794">
        <w:rPr>
          <w:lang w:val="fr-FR"/>
        </w:rPr>
        <w:t>n</w:t>
      </w:r>
      <w:r w:rsidRPr="00EB5794">
        <w:rPr>
          <w:vertAlign w:val="superscript"/>
          <w:lang w:val="fr-FR"/>
        </w:rPr>
        <w:t>o</w:t>
      </w:r>
      <w:r>
        <w:rPr>
          <w:vertAlign w:val="superscript"/>
          <w:lang w:val="fr-FR"/>
        </w:rPr>
        <w:t> </w:t>
      </w:r>
      <w:r>
        <w:rPr>
          <w:lang w:val="fr-FR"/>
        </w:rPr>
        <w:t xml:space="preserve">35 (2013) sur la lutte contre les discours de haine raciale et </w:t>
      </w:r>
      <w:r w:rsidRPr="00EB5794">
        <w:rPr>
          <w:lang w:val="fr-FR"/>
        </w:rPr>
        <w:t>n</w:t>
      </w:r>
      <w:r w:rsidRPr="00EB5794">
        <w:rPr>
          <w:vertAlign w:val="superscript"/>
          <w:lang w:val="fr-FR"/>
        </w:rPr>
        <w:t>o</w:t>
      </w:r>
      <w:r>
        <w:rPr>
          <w:lang w:val="fr-FR"/>
        </w:rPr>
        <w:t> 34 (2011) sur la discrimination raciale à l</w:t>
      </w:r>
      <w:r w:rsidR="009D7A41">
        <w:rPr>
          <w:lang w:val="fr-FR"/>
        </w:rPr>
        <w:t>’</w:t>
      </w:r>
      <w:r>
        <w:rPr>
          <w:lang w:val="fr-FR"/>
        </w:rPr>
        <w:t>égard des personnes d</w:t>
      </w:r>
      <w:r w:rsidR="009D7A41">
        <w:rPr>
          <w:lang w:val="fr-FR"/>
        </w:rPr>
        <w:t>’</w:t>
      </w:r>
      <w:r>
        <w:rPr>
          <w:lang w:val="fr-FR"/>
        </w:rPr>
        <w:t>ascendance africaine,</w:t>
      </w:r>
    </w:p>
    <w:p w:rsidR="00736EF1" w:rsidRPr="001F5981" w:rsidRDefault="00736EF1" w:rsidP="00976D30">
      <w:pPr>
        <w:pStyle w:val="SingleTxtG"/>
        <w:ind w:firstLine="567"/>
      </w:pPr>
      <w:r>
        <w:rPr>
          <w:lang w:val="fr-FR"/>
        </w:rPr>
        <w:t>1.</w:t>
      </w:r>
      <w:r>
        <w:rPr>
          <w:lang w:val="fr-FR"/>
        </w:rPr>
        <w:tab/>
      </w:r>
      <w:r>
        <w:rPr>
          <w:i/>
          <w:lang w:val="fr-FR"/>
        </w:rPr>
        <w:t xml:space="preserve">Invite </w:t>
      </w:r>
      <w:r>
        <w:rPr>
          <w:lang w:val="fr-FR"/>
        </w:rPr>
        <w:t>les États-Unis d</w:t>
      </w:r>
      <w:r w:rsidR="009D7A41">
        <w:rPr>
          <w:lang w:val="fr-FR"/>
        </w:rPr>
        <w:t>’</w:t>
      </w:r>
      <w:r>
        <w:rPr>
          <w:lang w:val="fr-FR"/>
        </w:rPr>
        <w:t>Amérique à respecter pleinement leurs obligations internationales, en particulier celles découlant de la Convention internationale sur l</w:t>
      </w:r>
      <w:r w:rsidR="009D7A41">
        <w:rPr>
          <w:lang w:val="fr-FR"/>
        </w:rPr>
        <w:t>’</w:t>
      </w:r>
      <w:r>
        <w:rPr>
          <w:lang w:val="fr-FR"/>
        </w:rPr>
        <w:t>élimination de toutes les formes de discrimination raciale, afin de combattre et d</w:t>
      </w:r>
      <w:r w:rsidR="009D7A41">
        <w:rPr>
          <w:lang w:val="fr-FR"/>
        </w:rPr>
        <w:t>’</w:t>
      </w:r>
      <w:r>
        <w:rPr>
          <w:lang w:val="fr-FR"/>
        </w:rPr>
        <w:t>éliminer toutes les formes de discrimination raciale</w:t>
      </w:r>
      <w:r w:rsidR="00D725DA">
        <w:rPr>
          <w:lang w:val="fr-FR"/>
        </w:rPr>
        <w:t> ;</w:t>
      </w:r>
      <w:r>
        <w:rPr>
          <w:lang w:val="fr-FR"/>
        </w:rPr>
        <w:t xml:space="preserve"> </w:t>
      </w:r>
    </w:p>
    <w:p w:rsidR="00736EF1" w:rsidRPr="001F5981" w:rsidRDefault="00736EF1" w:rsidP="00976D30">
      <w:pPr>
        <w:pStyle w:val="SingleTxtG"/>
        <w:ind w:firstLine="567"/>
      </w:pPr>
      <w:r>
        <w:rPr>
          <w:lang w:val="fr-FR"/>
        </w:rPr>
        <w:t>2.</w:t>
      </w:r>
      <w:r>
        <w:rPr>
          <w:lang w:val="fr-FR"/>
        </w:rPr>
        <w:tab/>
      </w:r>
      <w:r w:rsidRPr="00D9085A">
        <w:rPr>
          <w:i/>
          <w:lang w:val="fr-FR"/>
        </w:rPr>
        <w:t>Invite</w:t>
      </w:r>
      <w:r>
        <w:rPr>
          <w:lang w:val="fr-FR"/>
        </w:rPr>
        <w:t xml:space="preserve"> le Gouvernement des États-Unis, y compris les personnalités politiques et les fonctionnaires de haut niveau, à non seulement rejeter et condamner clairement et catégoriquement les discours de haine raciale et les infractions racistes commises à Charlottesville et dans tout le pays, mais aussi à s</w:t>
      </w:r>
      <w:r w:rsidR="009D7A41">
        <w:rPr>
          <w:lang w:val="fr-FR"/>
        </w:rPr>
        <w:t>’</w:t>
      </w:r>
      <w:r>
        <w:rPr>
          <w:lang w:val="fr-FR"/>
        </w:rPr>
        <w:t>efforcer activement de promouvoir la compréhension et la tolérance entre les groupes ethniques ainsi que leur diversité, et à reconnaître leur contribution à l</w:t>
      </w:r>
      <w:r w:rsidR="009D7A41">
        <w:rPr>
          <w:lang w:val="fr-FR"/>
        </w:rPr>
        <w:t>’</w:t>
      </w:r>
      <w:r>
        <w:rPr>
          <w:lang w:val="fr-FR"/>
        </w:rPr>
        <w:t>histoire et à la diversité des États-Unis</w:t>
      </w:r>
      <w:r w:rsidR="00D725DA">
        <w:rPr>
          <w:lang w:val="fr-FR"/>
        </w:rPr>
        <w:t> ;</w:t>
      </w:r>
      <w:r>
        <w:rPr>
          <w:lang w:val="fr-FR"/>
        </w:rPr>
        <w:t xml:space="preserve"> </w:t>
      </w:r>
    </w:p>
    <w:p w:rsidR="00736EF1" w:rsidRPr="001F5981" w:rsidRDefault="00736EF1" w:rsidP="00976D30">
      <w:pPr>
        <w:pStyle w:val="SingleTxtG"/>
        <w:ind w:firstLine="567"/>
      </w:pPr>
      <w:r>
        <w:rPr>
          <w:lang w:val="fr-FR"/>
        </w:rPr>
        <w:t>3.</w:t>
      </w:r>
      <w:r>
        <w:rPr>
          <w:lang w:val="fr-FR"/>
        </w:rPr>
        <w:tab/>
      </w:r>
      <w:r w:rsidRPr="00D9085A">
        <w:rPr>
          <w:i/>
          <w:lang w:val="fr-FR"/>
        </w:rPr>
        <w:t>Enjoint</w:t>
      </w:r>
      <w:r>
        <w:rPr>
          <w:lang w:val="fr-FR"/>
        </w:rPr>
        <w:t xml:space="preserve"> les États-Unis de faire en sorte que toutes les violations des droits de l</w:t>
      </w:r>
      <w:r w:rsidR="009D7A41">
        <w:rPr>
          <w:lang w:val="fr-FR"/>
        </w:rPr>
        <w:t>’</w:t>
      </w:r>
      <w:r>
        <w:rPr>
          <w:lang w:val="fr-FR"/>
        </w:rPr>
        <w:t xml:space="preserve">homme commises à Charlottesville, eu égard en particulier au décès de </w:t>
      </w:r>
      <w:r w:rsidRPr="00EB5794">
        <w:rPr>
          <w:lang w:val="fr-FR"/>
        </w:rPr>
        <w:t>M</w:t>
      </w:r>
      <w:r w:rsidRPr="00EB5794">
        <w:rPr>
          <w:vertAlign w:val="superscript"/>
          <w:lang w:val="fr-FR"/>
        </w:rPr>
        <w:t>me</w:t>
      </w:r>
      <w:r w:rsidRPr="00EB5794">
        <w:rPr>
          <w:lang w:val="fr-FR"/>
        </w:rPr>
        <w:t> </w:t>
      </w:r>
      <w:r>
        <w:rPr>
          <w:lang w:val="fr-FR"/>
        </w:rPr>
        <w:t>Heyer, fassent l</w:t>
      </w:r>
      <w:r w:rsidR="009D7A41">
        <w:rPr>
          <w:lang w:val="fr-FR"/>
        </w:rPr>
        <w:t>’</w:t>
      </w:r>
      <w:r>
        <w:rPr>
          <w:lang w:val="fr-FR"/>
        </w:rPr>
        <w:t>objet d</w:t>
      </w:r>
      <w:r w:rsidR="009D7A41">
        <w:rPr>
          <w:lang w:val="fr-FR"/>
        </w:rPr>
        <w:t>’</w:t>
      </w:r>
      <w:r>
        <w:rPr>
          <w:lang w:val="fr-FR"/>
        </w:rPr>
        <w:t>enquêtes approfondies et que les auteurs présumés soient poursuivis et, s</w:t>
      </w:r>
      <w:r w:rsidR="009D7A41">
        <w:rPr>
          <w:lang w:val="fr-FR"/>
        </w:rPr>
        <w:t>’</w:t>
      </w:r>
      <w:r>
        <w:rPr>
          <w:lang w:val="fr-FR"/>
        </w:rPr>
        <w:t>ils sont reconnus coupables, condamnés à des peines à la mesure de la gravité de leurs actes, et d</w:t>
      </w:r>
      <w:r w:rsidR="009D7A41">
        <w:rPr>
          <w:lang w:val="fr-FR"/>
        </w:rPr>
        <w:t>’</w:t>
      </w:r>
      <w:r>
        <w:rPr>
          <w:lang w:val="fr-FR"/>
        </w:rPr>
        <w:t>offrir un recours utile aux victimes et à leur famille</w:t>
      </w:r>
      <w:r w:rsidR="00D725DA">
        <w:rPr>
          <w:lang w:val="fr-FR"/>
        </w:rPr>
        <w:t> ;</w:t>
      </w:r>
      <w:r>
        <w:rPr>
          <w:lang w:val="fr-FR"/>
        </w:rPr>
        <w:t xml:space="preserve"> </w:t>
      </w:r>
    </w:p>
    <w:p w:rsidR="00736EF1" w:rsidRPr="001F5981" w:rsidRDefault="00736EF1" w:rsidP="00976D30">
      <w:pPr>
        <w:pStyle w:val="SingleTxtG"/>
        <w:ind w:firstLine="567"/>
      </w:pPr>
      <w:r>
        <w:rPr>
          <w:lang w:val="fr-FR"/>
        </w:rPr>
        <w:t>4.</w:t>
      </w:r>
      <w:r>
        <w:rPr>
          <w:lang w:val="fr-FR"/>
        </w:rPr>
        <w:tab/>
      </w:r>
      <w:r w:rsidRPr="005B6009">
        <w:rPr>
          <w:i/>
          <w:lang w:val="fr-FR"/>
        </w:rPr>
        <w:t>Recommande</w:t>
      </w:r>
      <w:r>
        <w:rPr>
          <w:lang w:val="fr-FR"/>
        </w:rPr>
        <w:t xml:space="preserve"> au Gouvernement des États-Unis de définir et de prendre des mesures concrètes pour s</w:t>
      </w:r>
      <w:r w:rsidR="009D7A41">
        <w:rPr>
          <w:lang w:val="fr-FR"/>
        </w:rPr>
        <w:t>’</w:t>
      </w:r>
      <w:r>
        <w:rPr>
          <w:lang w:val="fr-FR"/>
        </w:rPr>
        <w:t>attaquer aux causes profondes de la multiplication des manifestations racistes de ce type et d</w:t>
      </w:r>
      <w:r w:rsidR="009D7A41">
        <w:rPr>
          <w:lang w:val="fr-FR"/>
        </w:rPr>
        <w:t>’</w:t>
      </w:r>
      <w:r>
        <w:rPr>
          <w:lang w:val="fr-FR"/>
        </w:rPr>
        <w:t>étudier en profondeur le phénomène de la discrimination raciale ciblant en particulier les personnes d</w:t>
      </w:r>
      <w:r w:rsidR="009D7A41">
        <w:rPr>
          <w:lang w:val="fr-FR"/>
        </w:rPr>
        <w:t>’</w:t>
      </w:r>
      <w:r>
        <w:rPr>
          <w:lang w:val="fr-FR"/>
        </w:rPr>
        <w:t>ascendance africaine, les minorités ethniques ou ethnoreligieuses et les migrants</w:t>
      </w:r>
      <w:r w:rsidR="00D725DA">
        <w:rPr>
          <w:lang w:val="fr-FR"/>
        </w:rPr>
        <w:t> ;</w:t>
      </w:r>
    </w:p>
    <w:p w:rsidR="00736EF1" w:rsidRPr="001F5981" w:rsidRDefault="00736EF1" w:rsidP="00976D30">
      <w:pPr>
        <w:pStyle w:val="SingleTxtG"/>
        <w:ind w:firstLine="567"/>
      </w:pPr>
      <w:r>
        <w:rPr>
          <w:lang w:val="fr-FR"/>
        </w:rPr>
        <w:t>5.</w:t>
      </w:r>
      <w:r>
        <w:rPr>
          <w:lang w:val="fr-FR"/>
        </w:rPr>
        <w:tab/>
      </w:r>
      <w:r w:rsidRPr="00C262CA">
        <w:rPr>
          <w:i/>
          <w:lang w:val="fr-FR"/>
        </w:rPr>
        <w:t>Recommande</w:t>
      </w:r>
      <w:r>
        <w:rPr>
          <w:lang w:val="fr-FR"/>
        </w:rPr>
        <w:t xml:space="preserve"> </w:t>
      </w:r>
      <w:r w:rsidR="0038173D">
        <w:rPr>
          <w:lang w:val="fr-FR"/>
        </w:rPr>
        <w:t>aux États-Unis</w:t>
      </w:r>
      <w:r>
        <w:rPr>
          <w:lang w:val="fr-FR"/>
        </w:rPr>
        <w:t xml:space="preserve"> de veiller à ce que le droit à la liberté d</w:t>
      </w:r>
      <w:r w:rsidR="009D7A41">
        <w:rPr>
          <w:lang w:val="fr-FR"/>
        </w:rPr>
        <w:t>’</w:t>
      </w:r>
      <w:r>
        <w:rPr>
          <w:lang w:val="fr-FR"/>
        </w:rPr>
        <w:t>expression, d</w:t>
      </w:r>
      <w:r w:rsidR="009D7A41">
        <w:rPr>
          <w:lang w:val="fr-FR"/>
        </w:rPr>
        <w:t>’</w:t>
      </w:r>
      <w:r>
        <w:rPr>
          <w:lang w:val="fr-FR"/>
        </w:rPr>
        <w:t>association et de réunion pacifique ne soit pas utilisé pour bafouer ou nier les droits et libertés d</w:t>
      </w:r>
      <w:r w:rsidR="009D7A41">
        <w:rPr>
          <w:lang w:val="fr-FR"/>
        </w:rPr>
        <w:t>’</w:t>
      </w:r>
      <w:r>
        <w:rPr>
          <w:lang w:val="fr-FR"/>
        </w:rPr>
        <w:t>autrui, en particulier le droit à l</w:t>
      </w:r>
      <w:r w:rsidR="009D7A41">
        <w:rPr>
          <w:lang w:val="fr-FR"/>
        </w:rPr>
        <w:t>’</w:t>
      </w:r>
      <w:r>
        <w:rPr>
          <w:lang w:val="fr-FR"/>
        </w:rPr>
        <w:t>égalité et à la non-discrimination, et engage le Gouvernement des États-Unis à prévoir les garanties nécessaires afin que ces droits ne soient pas abusivement invoqués pour encourager les discours de haine raciale et les infractions racistes. »</w:t>
      </w:r>
      <w:r w:rsidR="0038173D">
        <w:rPr>
          <w:lang w:val="fr-FR"/>
        </w:rPr>
        <w:t>.</w:t>
      </w:r>
    </w:p>
    <w:p w:rsidR="00736EF1" w:rsidRPr="001F5981" w:rsidRDefault="00736EF1" w:rsidP="00701349">
      <w:pPr>
        <w:pStyle w:val="H23G"/>
      </w:pPr>
      <w:r>
        <w:rPr>
          <w:lang w:val="fr-FR"/>
        </w:rPr>
        <w:tab/>
      </w:r>
      <w:r>
        <w:rPr>
          <w:lang w:val="fr-FR"/>
        </w:rPr>
        <w:tab/>
        <w:t xml:space="preserve">Décision 2 (93) sur le Nigéria </w:t>
      </w:r>
    </w:p>
    <w:p w:rsidR="00736EF1" w:rsidRPr="001F5981" w:rsidRDefault="00736EF1" w:rsidP="00976D30">
      <w:pPr>
        <w:pStyle w:val="SingleTxtG"/>
        <w:ind w:firstLine="567"/>
      </w:pPr>
      <w:r>
        <w:rPr>
          <w:lang w:val="fr-FR"/>
        </w:rPr>
        <w:t>À sa 2584</w:t>
      </w:r>
      <w:r w:rsidRPr="00EB5794">
        <w:rPr>
          <w:vertAlign w:val="superscript"/>
          <w:lang w:val="fr-FR"/>
        </w:rPr>
        <w:t>e</w:t>
      </w:r>
      <w:r>
        <w:rPr>
          <w:lang w:val="fr-FR"/>
        </w:rPr>
        <w:t xml:space="preserve"> séance, le 25 août 2017, le Comité pour l</w:t>
      </w:r>
      <w:r w:rsidR="009D7A41">
        <w:rPr>
          <w:lang w:val="fr-FR"/>
        </w:rPr>
        <w:t>’</w:t>
      </w:r>
      <w:r>
        <w:rPr>
          <w:lang w:val="fr-FR"/>
        </w:rPr>
        <w:t>élimination de la discrimination raciale a décidé d</w:t>
      </w:r>
      <w:r w:rsidR="009D7A41">
        <w:rPr>
          <w:lang w:val="fr-FR"/>
        </w:rPr>
        <w:t>’</w:t>
      </w:r>
      <w:r>
        <w:rPr>
          <w:lang w:val="fr-FR"/>
        </w:rPr>
        <w:t>adopter le texte ci-après</w:t>
      </w:r>
      <w:r w:rsidR="00D725DA">
        <w:rPr>
          <w:lang w:val="fr-FR"/>
        </w:rPr>
        <w:t> :</w:t>
      </w:r>
      <w:r>
        <w:rPr>
          <w:lang w:val="fr-FR"/>
        </w:rPr>
        <w:t xml:space="preserve"> </w:t>
      </w:r>
    </w:p>
    <w:p w:rsidR="00736EF1" w:rsidRPr="001F5981" w:rsidRDefault="00736EF1" w:rsidP="00976D30">
      <w:pPr>
        <w:pStyle w:val="SingleTxtG"/>
        <w:ind w:firstLine="567"/>
      </w:pPr>
      <w:r>
        <w:rPr>
          <w:lang w:val="fr-FR"/>
        </w:rPr>
        <w:t>«</w:t>
      </w:r>
      <w:r w:rsidR="00701349">
        <w:rPr>
          <w:lang w:val="fr-FR"/>
        </w:rPr>
        <w:t> </w:t>
      </w:r>
      <w:r w:rsidRPr="0038173D">
        <w:rPr>
          <w:i/>
          <w:lang w:val="fr-FR"/>
        </w:rPr>
        <w:t>Le Comité pour l</w:t>
      </w:r>
      <w:r w:rsidR="009D7A41" w:rsidRPr="0038173D">
        <w:rPr>
          <w:i/>
          <w:lang w:val="fr-FR"/>
        </w:rPr>
        <w:t>’</w:t>
      </w:r>
      <w:r w:rsidRPr="0038173D">
        <w:rPr>
          <w:i/>
          <w:lang w:val="fr-FR"/>
        </w:rPr>
        <w:t>élimination de la discrimination raciale</w:t>
      </w:r>
      <w:r>
        <w:rPr>
          <w:lang w:val="fr-FR"/>
        </w:rPr>
        <w:t>,</w:t>
      </w:r>
    </w:p>
    <w:p w:rsidR="00736EF1" w:rsidRPr="001F5981" w:rsidRDefault="00736EF1" w:rsidP="00976D30">
      <w:pPr>
        <w:pStyle w:val="SingleTxtG"/>
        <w:ind w:firstLine="567"/>
      </w:pPr>
      <w:r w:rsidRPr="00C262CA">
        <w:rPr>
          <w:i/>
          <w:lang w:val="fr-FR"/>
        </w:rPr>
        <w:t>Agissant</w:t>
      </w:r>
      <w:r>
        <w:rPr>
          <w:lang w:val="fr-FR"/>
        </w:rPr>
        <w:t xml:space="preserve"> au titre de ses procédures d</w:t>
      </w:r>
      <w:r w:rsidR="009D7A41">
        <w:rPr>
          <w:lang w:val="fr-FR"/>
        </w:rPr>
        <w:t>’</w:t>
      </w:r>
      <w:r>
        <w:rPr>
          <w:lang w:val="fr-FR"/>
        </w:rPr>
        <w:t>alerte rapide et d</w:t>
      </w:r>
      <w:r w:rsidR="009D7A41">
        <w:rPr>
          <w:lang w:val="fr-FR"/>
        </w:rPr>
        <w:t>’</w:t>
      </w:r>
      <w:r>
        <w:rPr>
          <w:lang w:val="fr-FR"/>
        </w:rPr>
        <w:t xml:space="preserve">action urgente, </w:t>
      </w:r>
    </w:p>
    <w:p w:rsidR="00736EF1" w:rsidRPr="001F5981" w:rsidRDefault="00736EF1" w:rsidP="00976D30">
      <w:pPr>
        <w:pStyle w:val="SingleTxtG"/>
        <w:ind w:firstLine="567"/>
      </w:pPr>
      <w:r w:rsidRPr="00C262CA">
        <w:rPr>
          <w:i/>
          <w:lang w:val="fr-FR"/>
        </w:rPr>
        <w:t>Vivement préoccupé</w:t>
      </w:r>
      <w:r>
        <w:rPr>
          <w:lang w:val="fr-FR"/>
        </w:rPr>
        <w:t xml:space="preserve"> par la montée des discours de haine raciale et des incitations à la violence ciblant les Igbos, compte tenu notamment de l</w:t>
      </w:r>
      <w:r w:rsidR="009D7A41">
        <w:rPr>
          <w:lang w:val="fr-FR"/>
        </w:rPr>
        <w:t>’</w:t>
      </w:r>
      <w:r>
        <w:rPr>
          <w:lang w:val="fr-FR"/>
        </w:rPr>
        <w:t>enregistrement et de la large diffusion d</w:t>
      </w:r>
      <w:r w:rsidR="009D7A41">
        <w:rPr>
          <w:lang w:val="fr-FR"/>
        </w:rPr>
        <w:t>’</w:t>
      </w:r>
      <w:r>
        <w:rPr>
          <w:lang w:val="fr-FR"/>
        </w:rPr>
        <w:t>une chanson et d</w:t>
      </w:r>
      <w:r w:rsidR="009D7A41">
        <w:rPr>
          <w:lang w:val="fr-FR"/>
        </w:rPr>
        <w:t>’</w:t>
      </w:r>
      <w:r>
        <w:rPr>
          <w:lang w:val="fr-FR"/>
        </w:rPr>
        <w:t xml:space="preserve">un message audio en hausa, dans lesquels des termes péjoratifs et haineux sont employés pour décrire les Igbos, </w:t>
      </w:r>
    </w:p>
    <w:p w:rsidR="00736EF1" w:rsidRPr="001F5981" w:rsidRDefault="00736EF1" w:rsidP="00976D30">
      <w:pPr>
        <w:pStyle w:val="SingleTxtG"/>
        <w:ind w:firstLine="567"/>
      </w:pPr>
      <w:r w:rsidRPr="00B00B51">
        <w:rPr>
          <w:i/>
          <w:lang w:val="fr-FR"/>
        </w:rPr>
        <w:t>Alarmé</w:t>
      </w:r>
      <w:r>
        <w:rPr>
          <w:lang w:val="fr-FR"/>
        </w:rPr>
        <w:t xml:space="preserve"> par l</w:t>
      </w:r>
      <w:r w:rsidR="009D7A41">
        <w:rPr>
          <w:lang w:val="fr-FR"/>
        </w:rPr>
        <w:t>’</w:t>
      </w:r>
      <w:r>
        <w:rPr>
          <w:lang w:val="fr-FR"/>
        </w:rPr>
        <w:t>ultimatum public lancé le 6 juin 2017 par quelques groupes de jeunes, de groupes et de coalitions du nord exhortant tous les Igbos vivant dans le nord du Nigéria à quitter leur logement avant le 1</w:t>
      </w:r>
      <w:r w:rsidRPr="00B00B51">
        <w:rPr>
          <w:vertAlign w:val="superscript"/>
          <w:lang w:val="fr-FR"/>
        </w:rPr>
        <w:t>er</w:t>
      </w:r>
      <w:r>
        <w:rPr>
          <w:lang w:val="fr-FR"/>
        </w:rPr>
        <w:t xml:space="preserve"> octobre 2017, même si cette déclaration a peut-être été récemment retirée, </w:t>
      </w:r>
    </w:p>
    <w:p w:rsidR="00736EF1" w:rsidRPr="001F5981" w:rsidRDefault="00736EF1" w:rsidP="00942748">
      <w:pPr>
        <w:pStyle w:val="SingleTxtG"/>
        <w:spacing w:after="100"/>
        <w:ind w:firstLine="567"/>
      </w:pPr>
      <w:r w:rsidRPr="00B00B51">
        <w:rPr>
          <w:i/>
          <w:lang w:val="fr-FR"/>
        </w:rPr>
        <w:lastRenderedPageBreak/>
        <w:t>Prenant note</w:t>
      </w:r>
      <w:r>
        <w:rPr>
          <w:lang w:val="fr-FR"/>
        </w:rPr>
        <w:t xml:space="preserve"> de l</w:t>
      </w:r>
      <w:r w:rsidR="009D7A41">
        <w:rPr>
          <w:lang w:val="fr-FR"/>
        </w:rPr>
        <w:t>’</w:t>
      </w:r>
      <w:r>
        <w:rPr>
          <w:lang w:val="fr-FR"/>
        </w:rPr>
        <w:t>information selon laquelle des responsables nationaux et locaux ont condamné publiquement les discours de haine et l</w:t>
      </w:r>
      <w:r w:rsidR="009D7A41">
        <w:rPr>
          <w:lang w:val="fr-FR"/>
        </w:rPr>
        <w:t>’</w:t>
      </w:r>
      <w:r>
        <w:rPr>
          <w:lang w:val="fr-FR"/>
        </w:rPr>
        <w:t xml:space="preserve">incitation à la haine ou à la violence, mais demeurant préoccupé par les renseignements indiquant que des notables et des chefs locaux ont dit approuver cet ultimatum et appuyer ces discours racistes ciblant et menaçant les Igbos, </w:t>
      </w:r>
    </w:p>
    <w:p w:rsidR="00736EF1" w:rsidRPr="001F5981" w:rsidRDefault="00736EF1" w:rsidP="00942748">
      <w:pPr>
        <w:pStyle w:val="SingleTxtG"/>
        <w:spacing w:after="100"/>
        <w:ind w:firstLine="567"/>
      </w:pPr>
      <w:r w:rsidRPr="00B00B51">
        <w:rPr>
          <w:i/>
          <w:lang w:val="fr-FR"/>
        </w:rPr>
        <w:t>Profondément préoccupé</w:t>
      </w:r>
      <w:r>
        <w:rPr>
          <w:lang w:val="fr-FR"/>
        </w:rPr>
        <w:t xml:space="preserve"> par les informations montrant que, dans le nord du pays, des familles igbos ont déjà commencé à quitter leur village et leur logement afin de prévenir tout risque d</w:t>
      </w:r>
      <w:r w:rsidR="009D7A41">
        <w:rPr>
          <w:lang w:val="fr-FR"/>
        </w:rPr>
        <w:t>’</w:t>
      </w:r>
      <w:r>
        <w:rPr>
          <w:lang w:val="fr-FR"/>
        </w:rPr>
        <w:t>atteinte à leur intégrité personnelle,</w:t>
      </w:r>
    </w:p>
    <w:p w:rsidR="00736EF1" w:rsidRPr="001F5981" w:rsidRDefault="00736EF1" w:rsidP="00942748">
      <w:pPr>
        <w:pStyle w:val="SingleTxtG"/>
        <w:spacing w:after="100"/>
        <w:ind w:firstLine="567"/>
      </w:pPr>
      <w:r w:rsidRPr="00444BE1">
        <w:rPr>
          <w:i/>
          <w:lang w:val="fr-FR"/>
        </w:rPr>
        <w:t>Conscient</w:t>
      </w:r>
      <w:r>
        <w:rPr>
          <w:lang w:val="fr-FR"/>
        </w:rPr>
        <w:t xml:space="preserve"> des conséquences tragiques des conflits entre certains groupes ethniques, dont les Igbos, qui ont sévi dans le passé dans l</w:t>
      </w:r>
      <w:r w:rsidR="009D7A41">
        <w:rPr>
          <w:lang w:val="fr-FR"/>
        </w:rPr>
        <w:t>’</w:t>
      </w:r>
      <w:r>
        <w:rPr>
          <w:lang w:val="fr-FR"/>
        </w:rPr>
        <w:t>État partie,</w:t>
      </w:r>
    </w:p>
    <w:p w:rsidR="00736EF1" w:rsidRPr="001F5981" w:rsidRDefault="00736EF1" w:rsidP="00942748">
      <w:pPr>
        <w:pStyle w:val="SingleTxtG"/>
        <w:spacing w:after="100"/>
        <w:ind w:firstLine="567"/>
      </w:pPr>
      <w:r>
        <w:rPr>
          <w:i/>
          <w:lang w:val="fr-FR"/>
        </w:rPr>
        <w:t>Not</w:t>
      </w:r>
      <w:r w:rsidRPr="00444BE1">
        <w:rPr>
          <w:i/>
          <w:lang w:val="fr-FR"/>
        </w:rPr>
        <w:t>ant</w:t>
      </w:r>
      <w:r>
        <w:rPr>
          <w:lang w:val="fr-FR"/>
        </w:rPr>
        <w:t xml:space="preserve"> que le Nigéria est membre de la Communauté économique des États de l</w:t>
      </w:r>
      <w:r w:rsidR="009D7A41">
        <w:rPr>
          <w:lang w:val="fr-FR"/>
        </w:rPr>
        <w:t>’</w:t>
      </w:r>
      <w:r>
        <w:rPr>
          <w:lang w:val="fr-FR"/>
        </w:rPr>
        <w:t>Afrique de l</w:t>
      </w:r>
      <w:r w:rsidR="009D7A41">
        <w:rPr>
          <w:lang w:val="fr-FR"/>
        </w:rPr>
        <w:t>’</w:t>
      </w:r>
      <w:r>
        <w:rPr>
          <w:lang w:val="fr-FR"/>
        </w:rPr>
        <w:t>Ouest et de l</w:t>
      </w:r>
      <w:r w:rsidR="009D7A41">
        <w:rPr>
          <w:lang w:val="fr-FR"/>
        </w:rPr>
        <w:t>’</w:t>
      </w:r>
      <w:r>
        <w:rPr>
          <w:lang w:val="fr-FR"/>
        </w:rPr>
        <w:t>Union africaine et qu</w:t>
      </w:r>
      <w:r w:rsidR="009D7A41">
        <w:rPr>
          <w:lang w:val="fr-FR"/>
        </w:rPr>
        <w:t>’</w:t>
      </w:r>
      <w:r>
        <w:rPr>
          <w:lang w:val="fr-FR"/>
        </w:rPr>
        <w:t>il est partie à la Charte africaine des droits de l</w:t>
      </w:r>
      <w:r w:rsidR="009D7A41">
        <w:rPr>
          <w:lang w:val="fr-FR"/>
        </w:rPr>
        <w:t>’</w:t>
      </w:r>
      <w:r>
        <w:rPr>
          <w:lang w:val="fr-FR"/>
        </w:rPr>
        <w:t>homme et des peuples,</w:t>
      </w:r>
    </w:p>
    <w:p w:rsidR="00736EF1" w:rsidRPr="001F5981" w:rsidRDefault="00736EF1" w:rsidP="00942748">
      <w:pPr>
        <w:pStyle w:val="SingleTxtG"/>
        <w:spacing w:after="100"/>
        <w:ind w:firstLine="567"/>
      </w:pPr>
      <w:r w:rsidRPr="00444BE1">
        <w:rPr>
          <w:i/>
          <w:lang w:val="fr-FR"/>
        </w:rPr>
        <w:t>Rappelant</w:t>
      </w:r>
      <w:r>
        <w:rPr>
          <w:lang w:val="fr-FR"/>
        </w:rPr>
        <w:t xml:space="preserve"> les dispositions de la Convention internationale sur l</w:t>
      </w:r>
      <w:r w:rsidR="009D7A41">
        <w:rPr>
          <w:lang w:val="fr-FR"/>
        </w:rPr>
        <w:t>’</w:t>
      </w:r>
      <w:r>
        <w:rPr>
          <w:lang w:val="fr-FR"/>
        </w:rPr>
        <w:t xml:space="preserve">élimination de toutes les formes de discrimination raciale et sa recommandation générale </w:t>
      </w:r>
      <w:r w:rsidRPr="00EB5794">
        <w:rPr>
          <w:lang w:val="fr-FR"/>
        </w:rPr>
        <w:t>n</w:t>
      </w:r>
      <w:r w:rsidRPr="00EB5794">
        <w:rPr>
          <w:vertAlign w:val="superscript"/>
          <w:lang w:val="fr-FR"/>
        </w:rPr>
        <w:t>o</w:t>
      </w:r>
      <w:r>
        <w:rPr>
          <w:lang w:val="fr-FR"/>
        </w:rPr>
        <w:t> 35 (2013) sur la lutte contre les discours de haine raciale,</w:t>
      </w:r>
    </w:p>
    <w:p w:rsidR="00736EF1" w:rsidRPr="001F5981" w:rsidRDefault="00736EF1" w:rsidP="00942748">
      <w:pPr>
        <w:pStyle w:val="SingleTxtG"/>
        <w:spacing w:after="100"/>
        <w:ind w:firstLine="567"/>
      </w:pPr>
      <w:r>
        <w:rPr>
          <w:lang w:val="fr-FR"/>
        </w:rPr>
        <w:t>1.</w:t>
      </w:r>
      <w:r>
        <w:rPr>
          <w:lang w:val="fr-FR"/>
        </w:rPr>
        <w:tab/>
      </w:r>
      <w:r>
        <w:rPr>
          <w:i/>
          <w:lang w:val="fr-FR"/>
        </w:rPr>
        <w:t>Invite</w:t>
      </w:r>
      <w:r>
        <w:rPr>
          <w:lang w:val="fr-FR"/>
        </w:rPr>
        <w:t xml:space="preserve"> l</w:t>
      </w:r>
      <w:r w:rsidR="009D7A41">
        <w:rPr>
          <w:lang w:val="fr-FR"/>
        </w:rPr>
        <w:t>’</w:t>
      </w:r>
      <w:r>
        <w:rPr>
          <w:lang w:val="fr-FR"/>
        </w:rPr>
        <w:t>État partie, en particulier les fonctionnaires et responsables du Gouvernement central et des administrations locales, à redoubler d</w:t>
      </w:r>
      <w:r w:rsidR="009D7A41">
        <w:rPr>
          <w:lang w:val="fr-FR"/>
        </w:rPr>
        <w:t>’</w:t>
      </w:r>
      <w:r>
        <w:rPr>
          <w:lang w:val="fr-FR"/>
        </w:rPr>
        <w:t>efforts pour rejeter et condamner systématiquement toute forme de discours de haine raciale et d</w:t>
      </w:r>
      <w:r w:rsidR="009D7A41">
        <w:rPr>
          <w:lang w:val="fr-FR"/>
        </w:rPr>
        <w:t>’</w:t>
      </w:r>
      <w:r>
        <w:rPr>
          <w:lang w:val="fr-FR"/>
        </w:rPr>
        <w:t>incitation à la haine et à la violence ainsi que la diffusion d</w:t>
      </w:r>
      <w:r w:rsidR="009D7A41">
        <w:rPr>
          <w:lang w:val="fr-FR"/>
        </w:rPr>
        <w:t>’</w:t>
      </w:r>
      <w:r>
        <w:rPr>
          <w:lang w:val="fr-FR"/>
        </w:rPr>
        <w:t>idées fondées sur la supériorité ethnique</w:t>
      </w:r>
      <w:r w:rsidR="00D725DA">
        <w:rPr>
          <w:lang w:val="fr-FR"/>
        </w:rPr>
        <w:t> ;</w:t>
      </w:r>
    </w:p>
    <w:p w:rsidR="00736EF1" w:rsidRPr="001F5981" w:rsidRDefault="00736EF1" w:rsidP="00942748">
      <w:pPr>
        <w:pStyle w:val="SingleTxtG"/>
        <w:spacing w:after="100"/>
        <w:ind w:firstLine="567"/>
      </w:pPr>
      <w:r>
        <w:rPr>
          <w:lang w:val="fr-FR"/>
        </w:rPr>
        <w:t>2.</w:t>
      </w:r>
      <w:r>
        <w:rPr>
          <w:lang w:val="fr-FR"/>
        </w:rPr>
        <w:tab/>
      </w:r>
      <w:r w:rsidRPr="00376427">
        <w:rPr>
          <w:i/>
          <w:lang w:val="fr-FR"/>
        </w:rPr>
        <w:t>Recommande</w:t>
      </w:r>
      <w:r>
        <w:rPr>
          <w:lang w:val="fr-FR"/>
        </w:rPr>
        <w:t xml:space="preserve"> à l</w:t>
      </w:r>
      <w:r w:rsidR="009D7A41">
        <w:rPr>
          <w:lang w:val="fr-FR"/>
        </w:rPr>
        <w:t>’</w:t>
      </w:r>
      <w:r>
        <w:rPr>
          <w:lang w:val="fr-FR"/>
        </w:rPr>
        <w:t>État partie de prendre immédiatement des mesures pour interrompre et prévenir la diffusion de la chanson et du message audio haineux mentionnés précédemment</w:t>
      </w:r>
      <w:r w:rsidR="00D725DA">
        <w:rPr>
          <w:lang w:val="fr-FR"/>
        </w:rPr>
        <w:t> ;</w:t>
      </w:r>
      <w:r>
        <w:rPr>
          <w:lang w:val="fr-FR"/>
        </w:rPr>
        <w:t xml:space="preserve"> </w:t>
      </w:r>
    </w:p>
    <w:p w:rsidR="00736EF1" w:rsidRPr="001F5981" w:rsidRDefault="00736EF1" w:rsidP="00942748">
      <w:pPr>
        <w:pStyle w:val="SingleTxtG"/>
        <w:spacing w:after="100" w:line="238" w:lineRule="atLeast"/>
        <w:ind w:firstLine="567"/>
      </w:pPr>
      <w:r>
        <w:rPr>
          <w:lang w:val="fr-FR"/>
        </w:rPr>
        <w:t>3.</w:t>
      </w:r>
      <w:r>
        <w:rPr>
          <w:lang w:val="fr-FR"/>
        </w:rPr>
        <w:tab/>
      </w:r>
      <w:r w:rsidRPr="00376427">
        <w:rPr>
          <w:i/>
          <w:lang w:val="fr-FR"/>
        </w:rPr>
        <w:t>Prie instamment</w:t>
      </w:r>
      <w:r>
        <w:rPr>
          <w:lang w:val="fr-FR"/>
        </w:rPr>
        <w:t xml:space="preserve"> l</w:t>
      </w:r>
      <w:r w:rsidR="009D7A41">
        <w:rPr>
          <w:lang w:val="fr-FR"/>
        </w:rPr>
        <w:t>’</w:t>
      </w:r>
      <w:r>
        <w:rPr>
          <w:lang w:val="fr-FR"/>
        </w:rPr>
        <w:t>État partie de faire preuve de la diligence voulue pour faire cesser et prévenir les discours de haine raciale et les incitations à la haine et à la violence contre les Igbos et pour enquêter sur ces actes, conformément aux normes internationales relatives aux droits de l</w:t>
      </w:r>
      <w:r w:rsidR="009D7A41">
        <w:rPr>
          <w:lang w:val="fr-FR"/>
        </w:rPr>
        <w:t>’</w:t>
      </w:r>
      <w:r>
        <w:rPr>
          <w:lang w:val="fr-FR"/>
        </w:rPr>
        <w:t>homme, en vue de traduire les auteurs en justice, de les condamner à des peines adéquates s</w:t>
      </w:r>
      <w:r w:rsidR="009D7A41">
        <w:rPr>
          <w:lang w:val="fr-FR"/>
        </w:rPr>
        <w:t>’</w:t>
      </w:r>
      <w:r>
        <w:rPr>
          <w:lang w:val="fr-FR"/>
        </w:rPr>
        <w:t>ils sont reconnus coupables et d</w:t>
      </w:r>
      <w:r w:rsidR="009D7A41">
        <w:rPr>
          <w:lang w:val="fr-FR"/>
        </w:rPr>
        <w:t>’</w:t>
      </w:r>
      <w:r>
        <w:rPr>
          <w:lang w:val="fr-FR"/>
        </w:rPr>
        <w:t>indemniser les victimes</w:t>
      </w:r>
      <w:r w:rsidR="00D725DA">
        <w:rPr>
          <w:lang w:val="fr-FR"/>
        </w:rPr>
        <w:t> ;</w:t>
      </w:r>
    </w:p>
    <w:p w:rsidR="00736EF1" w:rsidRPr="001F5981" w:rsidRDefault="00736EF1" w:rsidP="00942748">
      <w:pPr>
        <w:pStyle w:val="SingleTxtG"/>
        <w:spacing w:after="100" w:line="238" w:lineRule="atLeast"/>
        <w:ind w:firstLine="567"/>
      </w:pPr>
      <w:r>
        <w:rPr>
          <w:lang w:val="fr-FR"/>
        </w:rPr>
        <w:t>4.</w:t>
      </w:r>
      <w:r>
        <w:rPr>
          <w:lang w:val="fr-FR"/>
        </w:rPr>
        <w:tab/>
      </w:r>
      <w:r w:rsidRPr="00376427">
        <w:rPr>
          <w:i/>
          <w:lang w:val="fr-FR"/>
        </w:rPr>
        <w:t>Recommande</w:t>
      </w:r>
      <w:r>
        <w:rPr>
          <w:lang w:val="fr-FR"/>
        </w:rPr>
        <w:t xml:space="preserve"> à l</w:t>
      </w:r>
      <w:r w:rsidR="009D7A41">
        <w:rPr>
          <w:lang w:val="fr-FR"/>
        </w:rPr>
        <w:t>’</w:t>
      </w:r>
      <w:r>
        <w:rPr>
          <w:lang w:val="fr-FR"/>
        </w:rPr>
        <w:t>État partie de protéger tous ses citoyens contre la haine fondée sur l</w:t>
      </w:r>
      <w:r w:rsidR="009D7A41">
        <w:rPr>
          <w:lang w:val="fr-FR"/>
        </w:rPr>
        <w:t>’</w:t>
      </w:r>
      <w:r>
        <w:rPr>
          <w:lang w:val="fr-FR"/>
        </w:rPr>
        <w:t>appartenance ethnique et de prendre des mesures efficaces pour faire en sorte que les Igbos puissent exercer pleinement leurs droits tels que consacrés par la Convention, y compris le droit à la sécurité de la personne et à la protection contre la violence ou les atteintes à l</w:t>
      </w:r>
      <w:r w:rsidR="009D7A41">
        <w:rPr>
          <w:lang w:val="fr-FR"/>
        </w:rPr>
        <w:t>’</w:t>
      </w:r>
      <w:r>
        <w:rPr>
          <w:lang w:val="fr-FR"/>
        </w:rPr>
        <w:t>intégrité physique, le droit de circuler librement et de choisir son lieu de résidence et le droit à la propriété</w:t>
      </w:r>
      <w:r w:rsidR="00D725DA">
        <w:rPr>
          <w:lang w:val="fr-FR"/>
        </w:rPr>
        <w:t> ;</w:t>
      </w:r>
    </w:p>
    <w:p w:rsidR="00736EF1" w:rsidRPr="001F5981" w:rsidRDefault="00736EF1" w:rsidP="00942748">
      <w:pPr>
        <w:pStyle w:val="SingleTxtG"/>
        <w:spacing w:after="100" w:line="238" w:lineRule="atLeast"/>
        <w:ind w:firstLine="567"/>
      </w:pPr>
      <w:r>
        <w:rPr>
          <w:lang w:val="fr-FR"/>
        </w:rPr>
        <w:t>5.</w:t>
      </w:r>
      <w:r>
        <w:rPr>
          <w:lang w:val="fr-FR"/>
        </w:rPr>
        <w:tab/>
      </w:r>
      <w:r>
        <w:rPr>
          <w:i/>
          <w:lang w:val="fr-FR"/>
        </w:rPr>
        <w:t>Enjoint</w:t>
      </w:r>
      <w:r>
        <w:rPr>
          <w:lang w:val="fr-FR"/>
        </w:rPr>
        <w:t xml:space="preserve"> toutes les autorités locales et nationales du pays de s</w:t>
      </w:r>
      <w:r w:rsidR="009D7A41">
        <w:rPr>
          <w:lang w:val="fr-FR"/>
        </w:rPr>
        <w:t>’</w:t>
      </w:r>
      <w:r>
        <w:rPr>
          <w:lang w:val="fr-FR"/>
        </w:rPr>
        <w:t>attaquer rapidement et résolument aux causes profondes des tensions interethniques au Nigéria afin de prévenir la résurgence de la violence fondée sur l</w:t>
      </w:r>
      <w:r w:rsidR="009D7A41">
        <w:rPr>
          <w:lang w:val="fr-FR"/>
        </w:rPr>
        <w:t>’</w:t>
      </w:r>
      <w:r>
        <w:rPr>
          <w:lang w:val="fr-FR"/>
        </w:rPr>
        <w:t>appartenance ethnique, et de promouvoir un dialogue interculturel entre les différents groupes ethniques qui soit fondé sur la diversité, le respect et l</w:t>
      </w:r>
      <w:r w:rsidR="009D7A41">
        <w:rPr>
          <w:lang w:val="fr-FR"/>
        </w:rPr>
        <w:t>’</w:t>
      </w:r>
      <w:r>
        <w:rPr>
          <w:lang w:val="fr-FR"/>
        </w:rPr>
        <w:t>inclusion</w:t>
      </w:r>
      <w:r w:rsidR="00D725DA">
        <w:rPr>
          <w:lang w:val="fr-FR"/>
        </w:rPr>
        <w:t> ;</w:t>
      </w:r>
    </w:p>
    <w:p w:rsidR="00736EF1" w:rsidRPr="001F5981" w:rsidRDefault="00736EF1" w:rsidP="00942748">
      <w:pPr>
        <w:pStyle w:val="SingleTxtG"/>
        <w:spacing w:after="100"/>
        <w:ind w:firstLine="567"/>
        <w:rPr>
          <w:bCs/>
        </w:rPr>
      </w:pPr>
      <w:r>
        <w:rPr>
          <w:lang w:val="fr-FR"/>
        </w:rPr>
        <w:t>6.</w:t>
      </w:r>
      <w:r>
        <w:rPr>
          <w:lang w:val="fr-FR"/>
        </w:rPr>
        <w:tab/>
      </w:r>
      <w:r w:rsidRPr="00701349">
        <w:rPr>
          <w:i/>
          <w:spacing w:val="-1"/>
          <w:lang w:val="fr-FR"/>
        </w:rPr>
        <w:t>Invite</w:t>
      </w:r>
      <w:r w:rsidRPr="00701349">
        <w:rPr>
          <w:spacing w:val="-1"/>
          <w:lang w:val="fr-FR"/>
        </w:rPr>
        <w:t xml:space="preserve"> le Haut-Commissaire des Nations Unies aux droits de l</w:t>
      </w:r>
      <w:r w:rsidR="009D7A41">
        <w:rPr>
          <w:spacing w:val="-1"/>
          <w:lang w:val="fr-FR"/>
        </w:rPr>
        <w:t>’</w:t>
      </w:r>
      <w:r w:rsidRPr="00701349">
        <w:rPr>
          <w:spacing w:val="-1"/>
          <w:lang w:val="fr-FR"/>
        </w:rPr>
        <w:t xml:space="preserve">homme </w:t>
      </w:r>
      <w:r w:rsidR="00A10618">
        <w:rPr>
          <w:spacing w:val="-1"/>
          <w:lang w:val="fr-FR"/>
        </w:rPr>
        <w:t xml:space="preserve">à </w:t>
      </w:r>
      <w:r w:rsidRPr="00701349">
        <w:rPr>
          <w:spacing w:val="-1"/>
          <w:lang w:val="fr-FR"/>
        </w:rPr>
        <w:t>appeler l</w:t>
      </w:r>
      <w:r w:rsidR="009D7A41">
        <w:rPr>
          <w:spacing w:val="-1"/>
          <w:lang w:val="fr-FR"/>
        </w:rPr>
        <w:t>’</w:t>
      </w:r>
      <w:r w:rsidRPr="00701349">
        <w:rPr>
          <w:spacing w:val="-1"/>
          <w:lang w:val="fr-FR"/>
        </w:rPr>
        <w:t>attention de la Communauté économique des États de l</w:t>
      </w:r>
      <w:r w:rsidR="009D7A41">
        <w:rPr>
          <w:spacing w:val="-1"/>
          <w:lang w:val="fr-FR"/>
        </w:rPr>
        <w:t>’</w:t>
      </w:r>
      <w:r w:rsidRPr="00701349">
        <w:rPr>
          <w:spacing w:val="-1"/>
          <w:lang w:val="fr-FR"/>
        </w:rPr>
        <w:t>Afrique de l</w:t>
      </w:r>
      <w:r w:rsidR="009D7A41">
        <w:rPr>
          <w:spacing w:val="-1"/>
          <w:lang w:val="fr-FR"/>
        </w:rPr>
        <w:t>’</w:t>
      </w:r>
      <w:r w:rsidRPr="00701349">
        <w:rPr>
          <w:spacing w:val="-1"/>
          <w:lang w:val="fr-FR"/>
        </w:rPr>
        <w:t>Ouest et de l</w:t>
      </w:r>
      <w:r w:rsidR="009D7A41">
        <w:rPr>
          <w:spacing w:val="-1"/>
          <w:lang w:val="fr-FR"/>
        </w:rPr>
        <w:t>’</w:t>
      </w:r>
      <w:r w:rsidRPr="00701349">
        <w:rPr>
          <w:spacing w:val="-1"/>
          <w:lang w:val="fr-FR"/>
        </w:rPr>
        <w:t>Union africaine sur la situation des droits de l</w:t>
      </w:r>
      <w:r w:rsidR="009D7A41">
        <w:rPr>
          <w:spacing w:val="-1"/>
          <w:lang w:val="fr-FR"/>
        </w:rPr>
        <w:t>’</w:t>
      </w:r>
      <w:r w:rsidRPr="00701349">
        <w:rPr>
          <w:spacing w:val="-1"/>
          <w:lang w:val="fr-FR"/>
        </w:rPr>
        <w:t>homme des Igbos dans le nord du Nigéria. »</w:t>
      </w:r>
      <w:r w:rsidR="00701349" w:rsidRPr="00701349">
        <w:rPr>
          <w:spacing w:val="-1"/>
          <w:lang w:val="fr-FR"/>
        </w:rPr>
        <w:t>.</w:t>
      </w:r>
    </w:p>
    <w:p w:rsidR="00736EF1" w:rsidRPr="001F5981" w:rsidRDefault="00736EF1" w:rsidP="00942748">
      <w:pPr>
        <w:pStyle w:val="H23G"/>
        <w:spacing w:before="200" w:after="100"/>
      </w:pPr>
      <w:r>
        <w:rPr>
          <w:lang w:val="fr-FR"/>
        </w:rPr>
        <w:tab/>
      </w:r>
      <w:r w:rsidR="00701349">
        <w:rPr>
          <w:lang w:val="fr-FR"/>
        </w:rPr>
        <w:tab/>
      </w:r>
      <w:r>
        <w:rPr>
          <w:lang w:val="fr-FR"/>
        </w:rPr>
        <w:t>Décision 1 (95) sur les Philippines</w:t>
      </w:r>
    </w:p>
    <w:p w:rsidR="00736EF1" w:rsidRPr="001F5981" w:rsidRDefault="00736EF1" w:rsidP="00942748">
      <w:pPr>
        <w:pStyle w:val="SingleTxtG"/>
        <w:keepNext/>
        <w:spacing w:after="100"/>
        <w:ind w:firstLine="567"/>
      </w:pPr>
      <w:r>
        <w:rPr>
          <w:lang w:val="fr-FR"/>
        </w:rPr>
        <w:t>À sa 2637</w:t>
      </w:r>
      <w:r w:rsidRPr="00EB5794">
        <w:rPr>
          <w:vertAlign w:val="superscript"/>
          <w:lang w:val="fr-FR"/>
        </w:rPr>
        <w:t>e</w:t>
      </w:r>
      <w:r>
        <w:rPr>
          <w:lang w:val="fr-FR"/>
        </w:rPr>
        <w:t xml:space="preserve"> séance, le 8 mai 2018, le Comité pour l</w:t>
      </w:r>
      <w:r w:rsidR="009D7A41">
        <w:rPr>
          <w:lang w:val="fr-FR"/>
        </w:rPr>
        <w:t>’</w:t>
      </w:r>
      <w:r>
        <w:rPr>
          <w:lang w:val="fr-FR"/>
        </w:rPr>
        <w:t>élimination de la discrimination raciale a décidé d</w:t>
      </w:r>
      <w:r w:rsidR="009D7A41">
        <w:rPr>
          <w:lang w:val="fr-FR"/>
        </w:rPr>
        <w:t>’</w:t>
      </w:r>
      <w:r>
        <w:rPr>
          <w:lang w:val="fr-FR"/>
        </w:rPr>
        <w:t>adopter le texte ci-après</w:t>
      </w:r>
      <w:r w:rsidR="00D725DA">
        <w:rPr>
          <w:lang w:val="fr-FR"/>
        </w:rPr>
        <w:t> :</w:t>
      </w:r>
    </w:p>
    <w:p w:rsidR="00736EF1" w:rsidRPr="001F5981" w:rsidRDefault="00736EF1" w:rsidP="00942748">
      <w:pPr>
        <w:pStyle w:val="SingleTxtG"/>
        <w:spacing w:after="100"/>
        <w:ind w:firstLine="567"/>
      </w:pPr>
      <w:r>
        <w:rPr>
          <w:lang w:val="fr-FR"/>
        </w:rPr>
        <w:t>«</w:t>
      </w:r>
      <w:r w:rsidR="00701349">
        <w:rPr>
          <w:lang w:val="fr-FR"/>
        </w:rPr>
        <w:t> </w:t>
      </w:r>
      <w:r w:rsidRPr="00505F0B">
        <w:rPr>
          <w:i/>
          <w:lang w:val="fr-FR"/>
        </w:rPr>
        <w:t>Le Comité pour l</w:t>
      </w:r>
      <w:r w:rsidR="009D7A41">
        <w:rPr>
          <w:i/>
          <w:lang w:val="fr-FR"/>
        </w:rPr>
        <w:t>’</w:t>
      </w:r>
      <w:r w:rsidRPr="00505F0B">
        <w:rPr>
          <w:i/>
          <w:lang w:val="fr-FR"/>
        </w:rPr>
        <w:t>élimination de la discrimination raciale,</w:t>
      </w:r>
    </w:p>
    <w:p w:rsidR="00736EF1" w:rsidRPr="001F5981" w:rsidRDefault="00736EF1" w:rsidP="00942748">
      <w:pPr>
        <w:pStyle w:val="SingleTxtG"/>
        <w:spacing w:after="100"/>
        <w:ind w:firstLine="567"/>
      </w:pPr>
      <w:r w:rsidRPr="00505F0B">
        <w:rPr>
          <w:i/>
          <w:lang w:val="fr-FR"/>
        </w:rPr>
        <w:t>Agissant</w:t>
      </w:r>
      <w:r>
        <w:rPr>
          <w:lang w:val="fr-FR"/>
        </w:rPr>
        <w:t xml:space="preserve"> au titre de ses procédures d</w:t>
      </w:r>
      <w:r w:rsidR="009D7A41">
        <w:rPr>
          <w:lang w:val="fr-FR"/>
        </w:rPr>
        <w:t>’</w:t>
      </w:r>
      <w:r>
        <w:rPr>
          <w:lang w:val="fr-FR"/>
        </w:rPr>
        <w:t>alerte rapide et d</w:t>
      </w:r>
      <w:r w:rsidR="009D7A41">
        <w:rPr>
          <w:lang w:val="fr-FR"/>
        </w:rPr>
        <w:t>’</w:t>
      </w:r>
      <w:r>
        <w:rPr>
          <w:lang w:val="fr-FR"/>
        </w:rPr>
        <w:t>action urgente,</w:t>
      </w:r>
    </w:p>
    <w:p w:rsidR="00736EF1" w:rsidRPr="001F5981" w:rsidRDefault="00736EF1" w:rsidP="00942748">
      <w:pPr>
        <w:pStyle w:val="SingleTxtG"/>
        <w:spacing w:after="100"/>
        <w:ind w:firstLine="567"/>
      </w:pPr>
      <w:r w:rsidRPr="003600AB">
        <w:rPr>
          <w:i/>
          <w:lang w:val="fr-FR"/>
        </w:rPr>
        <w:t>Profondément préoccupé</w:t>
      </w:r>
      <w:r>
        <w:rPr>
          <w:lang w:val="fr-FR"/>
        </w:rPr>
        <w:t xml:space="preserve"> par la requête soumise en février 2018 par le Procureur général des Philippines visant à ce que le </w:t>
      </w:r>
      <w:r w:rsidR="00A10618">
        <w:rPr>
          <w:lang w:val="fr-FR"/>
        </w:rPr>
        <w:t>P</w:t>
      </w:r>
      <w:r>
        <w:rPr>
          <w:lang w:val="fr-FR"/>
        </w:rPr>
        <w:t>arti communiste des Philippines et la Nouvelle armée populaire soient considérés comme des organisations terroristes, à laquelle est jointe une liste de plus de 600 personnes soupçonnées d</w:t>
      </w:r>
      <w:r w:rsidR="009D7A41">
        <w:rPr>
          <w:lang w:val="fr-FR"/>
        </w:rPr>
        <w:t>’</w:t>
      </w:r>
      <w:r>
        <w:rPr>
          <w:lang w:val="fr-FR"/>
        </w:rPr>
        <w:t>appartenir à ces organisations, parmi lesquelles figurent nombre de chefs autochtones et de défenseurs des droits des peuples autochtones ainsi que des défenseurs des droits de l</w:t>
      </w:r>
      <w:r w:rsidR="009D7A41">
        <w:rPr>
          <w:lang w:val="fr-FR"/>
        </w:rPr>
        <w:t>’</w:t>
      </w:r>
      <w:r>
        <w:rPr>
          <w:lang w:val="fr-FR"/>
        </w:rPr>
        <w:t>homme,</w:t>
      </w:r>
    </w:p>
    <w:p w:rsidR="00736EF1" w:rsidRPr="001F5981" w:rsidRDefault="00736EF1" w:rsidP="0030070F">
      <w:pPr>
        <w:pStyle w:val="SingleTxtG"/>
        <w:spacing w:after="100" w:line="238" w:lineRule="atLeast"/>
        <w:ind w:firstLine="567"/>
      </w:pPr>
      <w:r w:rsidRPr="0042568A">
        <w:rPr>
          <w:i/>
          <w:lang w:val="fr-FR"/>
        </w:rPr>
        <w:lastRenderedPageBreak/>
        <w:t>Particulièrement alarmé</w:t>
      </w:r>
      <w:r>
        <w:rPr>
          <w:lang w:val="fr-FR"/>
        </w:rPr>
        <w:t xml:space="preserve"> par la présence dans cette liste de la Rapporteuse spéciale sur les droits des peuples autochtones, Victoria Tauli-Corpuz, d</w:t>
      </w:r>
      <w:r w:rsidR="009D7A41">
        <w:rPr>
          <w:lang w:val="fr-FR"/>
        </w:rPr>
        <w:t>’</w:t>
      </w:r>
      <w:r>
        <w:rPr>
          <w:lang w:val="fr-FR"/>
        </w:rPr>
        <w:t>une experte qui faisait partie de l</w:t>
      </w:r>
      <w:r w:rsidR="009D7A41">
        <w:rPr>
          <w:lang w:val="fr-FR"/>
        </w:rPr>
        <w:t>’</w:t>
      </w:r>
      <w:r>
        <w:rPr>
          <w:lang w:val="fr-FR"/>
        </w:rPr>
        <w:t>Instance permanente sur les questions autochtones de l</w:t>
      </w:r>
      <w:r w:rsidR="009D7A41">
        <w:rPr>
          <w:lang w:val="fr-FR"/>
        </w:rPr>
        <w:t>’</w:t>
      </w:r>
      <w:r>
        <w:rPr>
          <w:lang w:val="fr-FR"/>
        </w:rPr>
        <w:t>ONU, Joan Carling, et d</w:t>
      </w:r>
      <w:r w:rsidR="009D7A41">
        <w:rPr>
          <w:lang w:val="fr-FR"/>
        </w:rPr>
        <w:t>’</w:t>
      </w:r>
      <w:r>
        <w:rPr>
          <w:lang w:val="fr-FR"/>
        </w:rPr>
        <w:t>un ancien membre du Mécanisme d</w:t>
      </w:r>
      <w:r w:rsidR="009D7A41">
        <w:rPr>
          <w:lang w:val="fr-FR"/>
        </w:rPr>
        <w:t>’</w:t>
      </w:r>
      <w:r>
        <w:rPr>
          <w:lang w:val="fr-FR"/>
        </w:rPr>
        <w:t>experts sur les droits des peuples autochtones, José Molintas, ainsi que de chefs autochtones et de défenseurs des droits de l</w:t>
      </w:r>
      <w:r w:rsidR="009D7A41">
        <w:rPr>
          <w:lang w:val="fr-FR"/>
        </w:rPr>
        <w:t>’</w:t>
      </w:r>
      <w:r>
        <w:rPr>
          <w:lang w:val="fr-FR"/>
        </w:rPr>
        <w:t>homme œuvrant pour l</w:t>
      </w:r>
      <w:r w:rsidR="009D7A41">
        <w:rPr>
          <w:lang w:val="fr-FR"/>
        </w:rPr>
        <w:t>’</w:t>
      </w:r>
      <w:r>
        <w:rPr>
          <w:lang w:val="fr-FR"/>
        </w:rPr>
        <w:t>élimination de la discrimination raciale aux Philippines,</w:t>
      </w:r>
    </w:p>
    <w:p w:rsidR="00736EF1" w:rsidRPr="001F5981" w:rsidRDefault="00736EF1" w:rsidP="0030070F">
      <w:pPr>
        <w:pStyle w:val="SingleTxtG"/>
        <w:spacing w:after="100" w:line="238" w:lineRule="atLeast"/>
        <w:ind w:firstLine="567"/>
      </w:pPr>
      <w:r w:rsidRPr="00E45452">
        <w:rPr>
          <w:i/>
          <w:lang w:val="fr-FR"/>
        </w:rPr>
        <w:t>Préoccupé</w:t>
      </w:r>
      <w:r>
        <w:rPr>
          <w:lang w:val="fr-FR"/>
        </w:rPr>
        <w:t xml:space="preserve"> par le caractère arbitraire de cette liste et son absence signalée de fondement juridique,</w:t>
      </w:r>
    </w:p>
    <w:p w:rsidR="00736EF1" w:rsidRPr="001F5981" w:rsidRDefault="00736EF1" w:rsidP="0030070F">
      <w:pPr>
        <w:pStyle w:val="SingleTxtG"/>
        <w:spacing w:after="100" w:line="238" w:lineRule="atLeast"/>
        <w:ind w:firstLine="567"/>
      </w:pPr>
      <w:r w:rsidRPr="00FF34B0">
        <w:rPr>
          <w:i/>
          <w:lang w:val="fr-FR"/>
        </w:rPr>
        <w:t>Profondément préoccupé</w:t>
      </w:r>
      <w:r>
        <w:rPr>
          <w:lang w:val="fr-FR"/>
        </w:rPr>
        <w:t xml:space="preserve"> par les allégations selon lesquelles cette liste vise à intimider les personnes qui revendiquent leurs droits ainsi que les peuples autochtones qui défendent leurs terres et s</w:t>
      </w:r>
      <w:r w:rsidR="009D7A41">
        <w:rPr>
          <w:lang w:val="fr-FR"/>
        </w:rPr>
        <w:t>’</w:t>
      </w:r>
      <w:r>
        <w:rPr>
          <w:lang w:val="fr-FR"/>
        </w:rPr>
        <w:t>inscrit dans le cadre d</w:t>
      </w:r>
      <w:r w:rsidR="009D7A41">
        <w:rPr>
          <w:lang w:val="fr-FR"/>
        </w:rPr>
        <w:t>’</w:t>
      </w:r>
      <w:r>
        <w:rPr>
          <w:lang w:val="fr-FR"/>
        </w:rPr>
        <w:t>une stratégie plus vaste de l</w:t>
      </w:r>
      <w:r w:rsidR="009D7A41">
        <w:rPr>
          <w:lang w:val="fr-FR"/>
        </w:rPr>
        <w:t>’</w:t>
      </w:r>
      <w:r>
        <w:rPr>
          <w:lang w:val="fr-FR"/>
        </w:rPr>
        <w:t>État partie tendant à réduire l</w:t>
      </w:r>
      <w:r w:rsidR="009D7A41">
        <w:rPr>
          <w:lang w:val="fr-FR"/>
        </w:rPr>
        <w:t>’</w:t>
      </w:r>
      <w:r>
        <w:rPr>
          <w:lang w:val="fr-FR"/>
        </w:rPr>
        <w:t>espace démocratique et à s</w:t>
      </w:r>
      <w:r w:rsidR="009D7A41">
        <w:rPr>
          <w:lang w:val="fr-FR"/>
        </w:rPr>
        <w:t>’</w:t>
      </w:r>
      <w:r>
        <w:rPr>
          <w:lang w:val="fr-FR"/>
        </w:rPr>
        <w:t>en prendre à divers groupes, notamment aux peuples autochtones, aux défenseurs des droits de l</w:t>
      </w:r>
      <w:r w:rsidR="009D7A41">
        <w:rPr>
          <w:lang w:val="fr-FR"/>
        </w:rPr>
        <w:t>’</w:t>
      </w:r>
      <w:r>
        <w:rPr>
          <w:lang w:val="fr-FR"/>
        </w:rPr>
        <w:t>homme et aux personnes qui expriment des opinions dissidentes,</w:t>
      </w:r>
    </w:p>
    <w:p w:rsidR="00736EF1" w:rsidRPr="001F5981" w:rsidRDefault="00736EF1" w:rsidP="0030070F">
      <w:pPr>
        <w:pStyle w:val="SingleTxtG"/>
        <w:spacing w:after="100" w:line="238" w:lineRule="atLeast"/>
        <w:ind w:firstLine="567"/>
      </w:pPr>
      <w:r w:rsidRPr="00631ED6">
        <w:rPr>
          <w:i/>
          <w:lang w:val="fr-FR"/>
        </w:rPr>
        <w:t>Alarmé</w:t>
      </w:r>
      <w:r>
        <w:rPr>
          <w:lang w:val="fr-FR"/>
        </w:rPr>
        <w:t xml:space="preserve"> par les allégations selon lesquelles plus de 60</w:t>
      </w:r>
      <w:r w:rsidR="005D6569">
        <w:rPr>
          <w:lang w:val="fr-FR"/>
        </w:rPr>
        <w:t> </w:t>
      </w:r>
      <w:r>
        <w:rPr>
          <w:lang w:val="fr-FR"/>
        </w:rPr>
        <w:t>défenseurs des droits de l</w:t>
      </w:r>
      <w:r w:rsidR="009D7A41">
        <w:rPr>
          <w:lang w:val="fr-FR"/>
        </w:rPr>
        <w:t>’</w:t>
      </w:r>
      <w:r>
        <w:rPr>
          <w:lang w:val="fr-FR"/>
        </w:rPr>
        <w:t>homme, dont beaucoup se consacraient à la lutte contre la discrimination raciale et à la surveillance de la situation des peuples autochtones, ont été tués en 2017 ainsi que par le faible nombre d</w:t>
      </w:r>
      <w:r w:rsidR="009D7A41">
        <w:rPr>
          <w:lang w:val="fr-FR"/>
        </w:rPr>
        <w:t>’</w:t>
      </w:r>
      <w:r>
        <w:rPr>
          <w:lang w:val="fr-FR"/>
        </w:rPr>
        <w:t>enquêtes ouvertes, de poursuites engagées et de condamnations prononcées sur ces affaires,</w:t>
      </w:r>
    </w:p>
    <w:p w:rsidR="00736EF1" w:rsidRPr="001F5981" w:rsidRDefault="00736EF1" w:rsidP="0030070F">
      <w:pPr>
        <w:pStyle w:val="SingleTxtG"/>
        <w:spacing w:after="100" w:line="238" w:lineRule="atLeast"/>
        <w:ind w:firstLine="567"/>
      </w:pPr>
      <w:r w:rsidRPr="00631ED6">
        <w:rPr>
          <w:i/>
          <w:lang w:val="fr-FR"/>
        </w:rPr>
        <w:t>Extrêmement préoccupé</w:t>
      </w:r>
      <w:r>
        <w:rPr>
          <w:lang w:val="fr-FR"/>
        </w:rPr>
        <w:t xml:space="preserve"> par les propos insultants tenus par de hauts responsables politiques sur des titulaires de mandat de l</w:t>
      </w:r>
      <w:r w:rsidR="009D7A41">
        <w:rPr>
          <w:lang w:val="fr-FR"/>
        </w:rPr>
        <w:t>’</w:t>
      </w:r>
      <w:r>
        <w:rPr>
          <w:lang w:val="fr-FR"/>
        </w:rPr>
        <w:t>ONU s</w:t>
      </w:r>
      <w:r w:rsidR="009D7A41">
        <w:rPr>
          <w:lang w:val="fr-FR"/>
        </w:rPr>
        <w:t>’</w:t>
      </w:r>
      <w:r>
        <w:rPr>
          <w:lang w:val="fr-FR"/>
        </w:rPr>
        <w:t>occupant des droits de l</w:t>
      </w:r>
      <w:r w:rsidR="009D7A41">
        <w:rPr>
          <w:lang w:val="fr-FR"/>
        </w:rPr>
        <w:t>’</w:t>
      </w:r>
      <w:r>
        <w:rPr>
          <w:lang w:val="fr-FR"/>
        </w:rPr>
        <w:t>homme et des défenseurs des droits de l</w:t>
      </w:r>
      <w:r w:rsidR="009D7A41">
        <w:rPr>
          <w:lang w:val="fr-FR"/>
        </w:rPr>
        <w:t>’</w:t>
      </w:r>
      <w:r>
        <w:rPr>
          <w:lang w:val="fr-FR"/>
        </w:rPr>
        <w:t xml:space="preserve">homme </w:t>
      </w:r>
      <w:r w:rsidRPr="00EB5794">
        <w:rPr>
          <w:lang w:val="fr-FR"/>
        </w:rPr>
        <w:t>œuvrant</w:t>
      </w:r>
      <w:r>
        <w:rPr>
          <w:lang w:val="fr-FR"/>
        </w:rPr>
        <w:t xml:space="preserve"> pour l</w:t>
      </w:r>
      <w:r w:rsidR="009D7A41">
        <w:rPr>
          <w:lang w:val="fr-FR"/>
        </w:rPr>
        <w:t>’</w:t>
      </w:r>
      <w:r>
        <w:rPr>
          <w:lang w:val="fr-FR"/>
        </w:rPr>
        <w:t>élimination de toutes les formes de discrimination raciale,</w:t>
      </w:r>
    </w:p>
    <w:p w:rsidR="00736EF1" w:rsidRPr="001F5981" w:rsidRDefault="00736EF1" w:rsidP="0030070F">
      <w:pPr>
        <w:pStyle w:val="SingleTxtG"/>
        <w:spacing w:after="100" w:line="238" w:lineRule="atLeast"/>
        <w:ind w:firstLine="567"/>
      </w:pPr>
      <w:r w:rsidRPr="00C27192">
        <w:rPr>
          <w:i/>
          <w:lang w:val="fr-FR"/>
        </w:rPr>
        <w:t>Rappelant</w:t>
      </w:r>
      <w:r>
        <w:rPr>
          <w:lang w:val="fr-FR"/>
        </w:rPr>
        <w:t xml:space="preserve"> les dispositions de la Convention internationale sur l</w:t>
      </w:r>
      <w:r w:rsidR="009D7A41">
        <w:rPr>
          <w:lang w:val="fr-FR"/>
        </w:rPr>
        <w:t>’</w:t>
      </w:r>
      <w:r>
        <w:rPr>
          <w:lang w:val="fr-FR"/>
        </w:rPr>
        <w:t>élimination de toutes les formes de discrimination raciale, que les Philippines ont ratifiée, en particulier son article</w:t>
      </w:r>
      <w:r w:rsidR="005D6569">
        <w:rPr>
          <w:lang w:val="fr-FR"/>
        </w:rPr>
        <w:t> </w:t>
      </w:r>
      <w:r>
        <w:rPr>
          <w:lang w:val="fr-FR"/>
        </w:rPr>
        <w:t xml:space="preserve">5, et les recommandations générales </w:t>
      </w:r>
      <w:r w:rsidRPr="00EB5794">
        <w:rPr>
          <w:lang w:val="fr-FR"/>
        </w:rPr>
        <w:t>n</w:t>
      </w:r>
      <w:r w:rsidRPr="00EB5794">
        <w:rPr>
          <w:vertAlign w:val="superscript"/>
          <w:lang w:val="fr-FR"/>
        </w:rPr>
        <w:t>o</w:t>
      </w:r>
      <w:r>
        <w:rPr>
          <w:lang w:val="fr-FR"/>
        </w:rPr>
        <w:t> 31 (2005) du Comité concernant la discrimination raciale dans l</w:t>
      </w:r>
      <w:r w:rsidR="009D7A41">
        <w:rPr>
          <w:lang w:val="fr-FR"/>
        </w:rPr>
        <w:t>’</w:t>
      </w:r>
      <w:r>
        <w:rPr>
          <w:lang w:val="fr-FR"/>
        </w:rPr>
        <w:t xml:space="preserve">administration et le fonctionnement du système de justice pénale et </w:t>
      </w:r>
      <w:r w:rsidRPr="00EB5794">
        <w:rPr>
          <w:lang w:val="fr-FR"/>
        </w:rPr>
        <w:t>n</w:t>
      </w:r>
      <w:r w:rsidRPr="00EB5794">
        <w:rPr>
          <w:vertAlign w:val="superscript"/>
          <w:lang w:val="fr-FR"/>
        </w:rPr>
        <w:t>o</w:t>
      </w:r>
      <w:r>
        <w:rPr>
          <w:lang w:val="fr-FR"/>
        </w:rPr>
        <w:t> 23 (de 1997) concernant les droits des peuples autochtones, qui garantissent la participation effective des peuples autochtones,</w:t>
      </w:r>
    </w:p>
    <w:p w:rsidR="00736EF1" w:rsidRPr="001F5981" w:rsidRDefault="00736EF1" w:rsidP="0030070F">
      <w:pPr>
        <w:pStyle w:val="SingleTxtG"/>
        <w:spacing w:after="100" w:line="238" w:lineRule="atLeast"/>
        <w:ind w:firstLine="567"/>
      </w:pPr>
      <w:r w:rsidRPr="00C27192">
        <w:rPr>
          <w:i/>
          <w:lang w:val="fr-FR"/>
        </w:rPr>
        <w:t>Notant</w:t>
      </w:r>
      <w:r>
        <w:rPr>
          <w:lang w:val="fr-FR"/>
        </w:rPr>
        <w:t xml:space="preserve"> que les Philippines </w:t>
      </w:r>
      <w:r w:rsidR="00FC203A">
        <w:rPr>
          <w:lang w:val="fr-FR"/>
        </w:rPr>
        <w:t>sont</w:t>
      </w:r>
      <w:r>
        <w:rPr>
          <w:lang w:val="fr-FR"/>
        </w:rPr>
        <w:t xml:space="preserve"> membre de l</w:t>
      </w:r>
      <w:r w:rsidR="009D7A41">
        <w:rPr>
          <w:lang w:val="fr-FR"/>
        </w:rPr>
        <w:t>’</w:t>
      </w:r>
      <w:r>
        <w:rPr>
          <w:lang w:val="fr-FR"/>
        </w:rPr>
        <w:t>Association des nations de l</w:t>
      </w:r>
      <w:r w:rsidR="009D7A41">
        <w:rPr>
          <w:lang w:val="fr-FR"/>
        </w:rPr>
        <w:t>’</w:t>
      </w:r>
      <w:r>
        <w:rPr>
          <w:lang w:val="fr-FR"/>
        </w:rPr>
        <w:t>Asie du Sud-Est</w:t>
      </w:r>
      <w:r w:rsidR="00D725DA">
        <w:rPr>
          <w:lang w:val="fr-FR"/>
        </w:rPr>
        <w:t> ;</w:t>
      </w:r>
    </w:p>
    <w:p w:rsidR="00736EF1" w:rsidRPr="001F5981" w:rsidRDefault="00736EF1" w:rsidP="0030070F">
      <w:pPr>
        <w:pStyle w:val="SingleTxtG"/>
        <w:spacing w:after="100" w:line="238" w:lineRule="atLeast"/>
        <w:ind w:firstLine="567"/>
      </w:pPr>
      <w:r>
        <w:rPr>
          <w:lang w:val="fr-FR"/>
        </w:rPr>
        <w:t>1.</w:t>
      </w:r>
      <w:r>
        <w:rPr>
          <w:lang w:val="fr-FR"/>
        </w:rPr>
        <w:tab/>
      </w:r>
      <w:r>
        <w:rPr>
          <w:i/>
          <w:lang w:val="fr-FR"/>
        </w:rPr>
        <w:t>Prie instamment</w:t>
      </w:r>
      <w:r>
        <w:rPr>
          <w:lang w:val="fr-FR"/>
        </w:rPr>
        <w:t xml:space="preserve"> l</w:t>
      </w:r>
      <w:r w:rsidR="009D7A41">
        <w:rPr>
          <w:lang w:val="fr-FR"/>
        </w:rPr>
        <w:t>’</w:t>
      </w:r>
      <w:r>
        <w:rPr>
          <w:lang w:val="fr-FR"/>
        </w:rPr>
        <w:t>État partie de retirer de la liste jointe à la requête du Procureur général les chefs et les militants autochtones ainsi que les défenseurs des droits de l</w:t>
      </w:r>
      <w:r w:rsidR="009D7A41">
        <w:rPr>
          <w:lang w:val="fr-FR"/>
        </w:rPr>
        <w:t>’</w:t>
      </w:r>
      <w:r>
        <w:rPr>
          <w:lang w:val="fr-FR"/>
        </w:rPr>
        <w:t>homme, y compris les anciens titulaires de mandat de l</w:t>
      </w:r>
      <w:r w:rsidR="009D7A41">
        <w:rPr>
          <w:lang w:val="fr-FR"/>
        </w:rPr>
        <w:t>’</w:t>
      </w:r>
      <w:r>
        <w:rPr>
          <w:lang w:val="fr-FR"/>
        </w:rPr>
        <w:t>ONU et les titulaires en fonction</w:t>
      </w:r>
      <w:r w:rsidR="00FC203A">
        <w:rPr>
          <w:lang w:val="fr-FR"/>
        </w:rPr>
        <w:t>s</w:t>
      </w:r>
      <w:r w:rsidR="00D725DA">
        <w:rPr>
          <w:lang w:val="fr-FR"/>
        </w:rPr>
        <w:t> ;</w:t>
      </w:r>
    </w:p>
    <w:p w:rsidR="00736EF1" w:rsidRPr="001F5981" w:rsidRDefault="00736EF1" w:rsidP="0030070F">
      <w:pPr>
        <w:pStyle w:val="SingleTxtG"/>
        <w:spacing w:after="100" w:line="238" w:lineRule="atLeast"/>
        <w:ind w:firstLine="567"/>
      </w:pPr>
      <w:r>
        <w:rPr>
          <w:lang w:val="fr-FR"/>
        </w:rPr>
        <w:t>2.</w:t>
      </w:r>
      <w:r>
        <w:rPr>
          <w:lang w:val="fr-FR"/>
        </w:rPr>
        <w:tab/>
      </w:r>
      <w:r w:rsidRPr="0031042A">
        <w:rPr>
          <w:i/>
          <w:lang w:val="fr-FR"/>
        </w:rPr>
        <w:t>Recommande</w:t>
      </w:r>
      <w:r>
        <w:rPr>
          <w:lang w:val="fr-FR"/>
        </w:rPr>
        <w:t xml:space="preserve"> à l</w:t>
      </w:r>
      <w:r w:rsidR="009D7A41">
        <w:rPr>
          <w:lang w:val="fr-FR"/>
        </w:rPr>
        <w:t>’</w:t>
      </w:r>
      <w:r>
        <w:rPr>
          <w:lang w:val="fr-FR"/>
        </w:rPr>
        <w:t>État partie de prendre des mesures efficaces pour prévenir les actes de violence ciblant les peuples autochtones, les défenseurs des droits des peuples autochtones et d</w:t>
      </w:r>
      <w:r w:rsidR="009D7A41">
        <w:rPr>
          <w:lang w:val="fr-FR"/>
        </w:rPr>
        <w:t>’</w:t>
      </w:r>
      <w:r>
        <w:rPr>
          <w:lang w:val="fr-FR"/>
        </w:rPr>
        <w:t>autres défenseurs des droits de l</w:t>
      </w:r>
      <w:r w:rsidR="009D7A41">
        <w:rPr>
          <w:lang w:val="fr-FR"/>
        </w:rPr>
        <w:t>’</w:t>
      </w:r>
      <w:r>
        <w:rPr>
          <w:lang w:val="fr-FR"/>
        </w:rPr>
        <w:t>homme, et d</w:t>
      </w:r>
      <w:r w:rsidR="009D7A41">
        <w:rPr>
          <w:lang w:val="fr-FR"/>
        </w:rPr>
        <w:t>’</w:t>
      </w:r>
      <w:r>
        <w:rPr>
          <w:lang w:val="fr-FR"/>
        </w:rPr>
        <w:t>ouvrir immédiatement des enquêtes approfondies sur tous les faits de ce type afin de traduire les auteurs en justice, de les condamner à des peines appropriées s</w:t>
      </w:r>
      <w:r w:rsidR="009D7A41">
        <w:rPr>
          <w:lang w:val="fr-FR"/>
        </w:rPr>
        <w:t>’</w:t>
      </w:r>
      <w:r>
        <w:rPr>
          <w:lang w:val="fr-FR"/>
        </w:rPr>
        <w:t>ils sont reconnus coupables, et d</w:t>
      </w:r>
      <w:r w:rsidR="009D7A41">
        <w:rPr>
          <w:lang w:val="fr-FR"/>
        </w:rPr>
        <w:t>’</w:t>
      </w:r>
      <w:r>
        <w:rPr>
          <w:lang w:val="fr-FR"/>
        </w:rPr>
        <w:t>indemniser les victimes</w:t>
      </w:r>
      <w:r w:rsidR="00D725DA">
        <w:rPr>
          <w:lang w:val="fr-FR"/>
        </w:rPr>
        <w:t> ;</w:t>
      </w:r>
    </w:p>
    <w:p w:rsidR="00736EF1" w:rsidRPr="001F5981" w:rsidRDefault="00736EF1" w:rsidP="0030070F">
      <w:pPr>
        <w:pStyle w:val="SingleTxtG"/>
        <w:spacing w:after="100" w:line="238" w:lineRule="atLeast"/>
        <w:ind w:firstLine="567"/>
      </w:pPr>
      <w:r>
        <w:rPr>
          <w:lang w:val="fr-FR"/>
        </w:rPr>
        <w:t>3.</w:t>
      </w:r>
      <w:r>
        <w:rPr>
          <w:lang w:val="fr-FR"/>
        </w:rPr>
        <w:tab/>
      </w:r>
      <w:r>
        <w:rPr>
          <w:i/>
          <w:lang w:val="fr-FR"/>
        </w:rPr>
        <w:t>Engage instamment</w:t>
      </w:r>
      <w:r>
        <w:rPr>
          <w:lang w:val="fr-FR"/>
        </w:rPr>
        <w:t xml:space="preserve"> l</w:t>
      </w:r>
      <w:r w:rsidR="009D7A41">
        <w:rPr>
          <w:lang w:val="fr-FR"/>
        </w:rPr>
        <w:t>’</w:t>
      </w:r>
      <w:r>
        <w:rPr>
          <w:lang w:val="fr-FR"/>
        </w:rPr>
        <w:t>État partie à prendre des mesures ciblées pour créer un environnement sûr et propice aux activités des peuples autochtones et des organisations et des défenseurs des droits de l</w:t>
      </w:r>
      <w:r w:rsidR="009D7A41">
        <w:rPr>
          <w:lang w:val="fr-FR"/>
        </w:rPr>
        <w:t>’</w:t>
      </w:r>
      <w:r>
        <w:rPr>
          <w:lang w:val="fr-FR"/>
        </w:rPr>
        <w:t>homme actifs dans le domaine des droits des peuples autochtones</w:t>
      </w:r>
      <w:r w:rsidR="00D725DA">
        <w:rPr>
          <w:lang w:val="fr-FR"/>
        </w:rPr>
        <w:t> ;</w:t>
      </w:r>
    </w:p>
    <w:p w:rsidR="00736EF1" w:rsidRPr="001F5981" w:rsidRDefault="00736EF1" w:rsidP="0030070F">
      <w:pPr>
        <w:pStyle w:val="SingleTxtG"/>
        <w:spacing w:after="100" w:line="238" w:lineRule="atLeast"/>
        <w:ind w:firstLine="567"/>
      </w:pPr>
      <w:r>
        <w:rPr>
          <w:lang w:val="fr-FR"/>
        </w:rPr>
        <w:t>4.</w:t>
      </w:r>
      <w:r>
        <w:rPr>
          <w:lang w:val="fr-FR"/>
        </w:rPr>
        <w:tab/>
      </w:r>
      <w:r w:rsidRPr="000F5A4C">
        <w:rPr>
          <w:i/>
          <w:lang w:val="fr-FR"/>
        </w:rPr>
        <w:t>Invite</w:t>
      </w:r>
      <w:r>
        <w:rPr>
          <w:lang w:val="fr-FR"/>
        </w:rPr>
        <w:t xml:space="preserve"> l</w:t>
      </w:r>
      <w:r w:rsidR="009D7A41">
        <w:rPr>
          <w:lang w:val="fr-FR"/>
        </w:rPr>
        <w:t>’</w:t>
      </w:r>
      <w:r>
        <w:rPr>
          <w:lang w:val="fr-FR"/>
        </w:rPr>
        <w:t>État partie à rejeter et à condamner toute forme de discours de haine et d</w:t>
      </w:r>
      <w:r w:rsidR="009D7A41">
        <w:rPr>
          <w:lang w:val="fr-FR"/>
        </w:rPr>
        <w:t>’</w:t>
      </w:r>
      <w:r>
        <w:rPr>
          <w:lang w:val="fr-FR"/>
        </w:rPr>
        <w:t>incitation à la haine et à la violence émanant de hauts fonctionnaires et de fonctionnaires locaux qui cherchent à délégitimer les activités des peuples autochtones et des défenseurs des droits de l</w:t>
      </w:r>
      <w:r w:rsidR="009D7A41">
        <w:rPr>
          <w:lang w:val="fr-FR"/>
        </w:rPr>
        <w:t>’</w:t>
      </w:r>
      <w:r>
        <w:rPr>
          <w:lang w:val="fr-FR"/>
        </w:rPr>
        <w:t>homme et qui, ce faisant, mettent la sécurité des intéressés en danger</w:t>
      </w:r>
      <w:r w:rsidR="00D725DA">
        <w:rPr>
          <w:lang w:val="fr-FR"/>
        </w:rPr>
        <w:t> ;</w:t>
      </w:r>
    </w:p>
    <w:p w:rsidR="00736EF1" w:rsidRPr="001F5981" w:rsidRDefault="00736EF1" w:rsidP="0030070F">
      <w:pPr>
        <w:pStyle w:val="SingleTxtG"/>
        <w:spacing w:after="100" w:line="238" w:lineRule="atLeast"/>
        <w:ind w:firstLine="567"/>
      </w:pPr>
      <w:r>
        <w:rPr>
          <w:lang w:val="fr-FR"/>
        </w:rPr>
        <w:t>5.</w:t>
      </w:r>
      <w:r>
        <w:rPr>
          <w:lang w:val="fr-FR"/>
        </w:rPr>
        <w:tab/>
      </w:r>
      <w:r w:rsidRPr="00CE562A">
        <w:rPr>
          <w:i/>
          <w:lang w:val="fr-FR"/>
        </w:rPr>
        <w:t>Recommande</w:t>
      </w:r>
      <w:r>
        <w:rPr>
          <w:lang w:val="fr-FR"/>
        </w:rPr>
        <w:t xml:space="preserve"> à l</w:t>
      </w:r>
      <w:r w:rsidR="009D7A41">
        <w:rPr>
          <w:lang w:val="fr-FR"/>
        </w:rPr>
        <w:t>’</w:t>
      </w:r>
      <w:r>
        <w:rPr>
          <w:lang w:val="fr-FR"/>
        </w:rPr>
        <w:t>État partie de prendre des mesures efficaces pour garantir que les peuples autochtones et les personnes qui défendent leurs droits puissent exercer pleinement les droits consacrés par la Convention, dont le droit à la sécurité de la personne et à une protection contre la violence ou les atteintes à l</w:t>
      </w:r>
      <w:r w:rsidR="009D7A41">
        <w:rPr>
          <w:lang w:val="fr-FR"/>
        </w:rPr>
        <w:t>’</w:t>
      </w:r>
      <w:r>
        <w:rPr>
          <w:lang w:val="fr-FR"/>
        </w:rPr>
        <w:t>intégrité physique, le droit de circuler librement et de choisir son lieu de résidence et la liberté d</w:t>
      </w:r>
      <w:r w:rsidR="009D7A41">
        <w:rPr>
          <w:lang w:val="fr-FR"/>
        </w:rPr>
        <w:t>’</w:t>
      </w:r>
      <w:r>
        <w:rPr>
          <w:lang w:val="fr-FR"/>
        </w:rPr>
        <w:t>opinion et d</w:t>
      </w:r>
      <w:r w:rsidR="009D7A41">
        <w:rPr>
          <w:lang w:val="fr-FR"/>
        </w:rPr>
        <w:t>’</w:t>
      </w:r>
      <w:r>
        <w:rPr>
          <w:lang w:val="fr-FR"/>
        </w:rPr>
        <w:t>expression</w:t>
      </w:r>
      <w:r w:rsidR="00D725DA">
        <w:rPr>
          <w:lang w:val="fr-FR"/>
        </w:rPr>
        <w:t> ;</w:t>
      </w:r>
    </w:p>
    <w:p w:rsidR="00736EF1" w:rsidRPr="001F5981" w:rsidRDefault="00736EF1" w:rsidP="00976D30">
      <w:pPr>
        <w:pStyle w:val="SingleTxtG"/>
        <w:ind w:firstLine="567"/>
      </w:pPr>
      <w:r>
        <w:rPr>
          <w:lang w:val="fr-FR"/>
        </w:rPr>
        <w:lastRenderedPageBreak/>
        <w:t>6.</w:t>
      </w:r>
      <w:r>
        <w:rPr>
          <w:lang w:val="fr-FR"/>
        </w:rPr>
        <w:tab/>
      </w:r>
      <w:r w:rsidRPr="00CE562A">
        <w:rPr>
          <w:i/>
          <w:lang w:val="fr-FR"/>
        </w:rPr>
        <w:t>Prie</w:t>
      </w:r>
      <w:r>
        <w:rPr>
          <w:lang w:val="fr-FR"/>
        </w:rPr>
        <w:t xml:space="preserve"> l</w:t>
      </w:r>
      <w:r w:rsidR="009D7A41">
        <w:rPr>
          <w:lang w:val="fr-FR"/>
        </w:rPr>
        <w:t>’</w:t>
      </w:r>
      <w:r>
        <w:rPr>
          <w:lang w:val="fr-FR"/>
        </w:rPr>
        <w:t>État partie de fournir des informations sur les préoccupations formulées dans la présente décision et les mesures prises pour y donner suite le 16 juillet 2018 au plus tard</w:t>
      </w:r>
      <w:r w:rsidR="00D725DA">
        <w:rPr>
          <w:lang w:val="fr-FR"/>
        </w:rPr>
        <w:t> ;</w:t>
      </w:r>
    </w:p>
    <w:p w:rsidR="00736EF1" w:rsidRPr="001F5981" w:rsidRDefault="00736EF1" w:rsidP="00976D30">
      <w:pPr>
        <w:pStyle w:val="SingleTxtG"/>
        <w:ind w:firstLine="567"/>
      </w:pPr>
      <w:r>
        <w:rPr>
          <w:lang w:val="fr-FR"/>
        </w:rPr>
        <w:t>7.</w:t>
      </w:r>
      <w:r>
        <w:rPr>
          <w:lang w:val="fr-FR"/>
        </w:rPr>
        <w:tab/>
      </w:r>
      <w:r w:rsidRPr="00A04779">
        <w:rPr>
          <w:i/>
          <w:lang w:val="fr-FR"/>
        </w:rPr>
        <w:t>Invite</w:t>
      </w:r>
      <w:r>
        <w:rPr>
          <w:lang w:val="fr-FR"/>
        </w:rPr>
        <w:t xml:space="preserve"> le Haut-Commissaire des Nations Unies aux droits de l</w:t>
      </w:r>
      <w:r w:rsidR="009D7A41">
        <w:rPr>
          <w:lang w:val="fr-FR"/>
        </w:rPr>
        <w:t>’</w:t>
      </w:r>
      <w:r>
        <w:rPr>
          <w:lang w:val="fr-FR"/>
        </w:rPr>
        <w:t>homme à appeler l</w:t>
      </w:r>
      <w:r w:rsidR="009D7A41">
        <w:rPr>
          <w:lang w:val="fr-FR"/>
        </w:rPr>
        <w:t>’</w:t>
      </w:r>
      <w:r>
        <w:rPr>
          <w:lang w:val="fr-FR"/>
        </w:rPr>
        <w:t>attention de l</w:t>
      </w:r>
      <w:r w:rsidR="009D7A41">
        <w:rPr>
          <w:lang w:val="fr-FR"/>
        </w:rPr>
        <w:t>’</w:t>
      </w:r>
      <w:r>
        <w:rPr>
          <w:lang w:val="fr-FR"/>
        </w:rPr>
        <w:t xml:space="preserve">Association des </w:t>
      </w:r>
      <w:r w:rsidR="00FC203A">
        <w:rPr>
          <w:lang w:val="fr-FR"/>
        </w:rPr>
        <w:t>n</w:t>
      </w:r>
      <w:r>
        <w:rPr>
          <w:lang w:val="fr-FR"/>
        </w:rPr>
        <w:t>ations de l</w:t>
      </w:r>
      <w:r w:rsidR="009D7A41">
        <w:rPr>
          <w:lang w:val="fr-FR"/>
        </w:rPr>
        <w:t>’</w:t>
      </w:r>
      <w:r>
        <w:rPr>
          <w:lang w:val="fr-FR"/>
        </w:rPr>
        <w:t>Asie du Sud</w:t>
      </w:r>
      <w:r w:rsidR="00FC203A">
        <w:rPr>
          <w:lang w:val="fr-FR"/>
        </w:rPr>
        <w:t>-Est</w:t>
      </w:r>
      <w:r>
        <w:rPr>
          <w:lang w:val="fr-FR"/>
        </w:rPr>
        <w:t xml:space="preserve"> sur la situation déplorable des droits de l</w:t>
      </w:r>
      <w:r w:rsidR="009D7A41">
        <w:rPr>
          <w:lang w:val="fr-FR"/>
        </w:rPr>
        <w:t>’</w:t>
      </w:r>
      <w:r>
        <w:rPr>
          <w:lang w:val="fr-FR"/>
        </w:rPr>
        <w:t>homme des peuples autochtones et des défenseurs des droits des peuples autochtones aux Philippines</w:t>
      </w:r>
      <w:r w:rsidR="00D725DA">
        <w:rPr>
          <w:lang w:val="fr-FR"/>
        </w:rPr>
        <w:t> ;</w:t>
      </w:r>
    </w:p>
    <w:p w:rsidR="00736EF1" w:rsidRPr="001F5981" w:rsidRDefault="00736EF1" w:rsidP="00976D30">
      <w:pPr>
        <w:pStyle w:val="SingleTxtG"/>
        <w:ind w:firstLine="567"/>
      </w:pPr>
      <w:r>
        <w:rPr>
          <w:lang w:val="fr-FR"/>
        </w:rPr>
        <w:t>8.</w:t>
      </w:r>
      <w:r>
        <w:rPr>
          <w:lang w:val="fr-FR"/>
        </w:rPr>
        <w:tab/>
      </w:r>
      <w:r w:rsidRPr="00A04779">
        <w:rPr>
          <w:i/>
          <w:lang w:val="fr-FR"/>
        </w:rPr>
        <w:t>Engage</w:t>
      </w:r>
      <w:r>
        <w:rPr>
          <w:lang w:val="fr-FR"/>
        </w:rPr>
        <w:t xml:space="preserve"> le Président du Conseil des droits de l</w:t>
      </w:r>
      <w:r w:rsidR="009D7A41">
        <w:rPr>
          <w:lang w:val="fr-FR"/>
        </w:rPr>
        <w:t>’</w:t>
      </w:r>
      <w:r>
        <w:rPr>
          <w:lang w:val="fr-FR"/>
        </w:rPr>
        <w:t>homme à employer tous les moyens jugés appropriés pour remédier à la situation décrite précédemment et à en suivre l</w:t>
      </w:r>
      <w:r w:rsidR="009D7A41">
        <w:rPr>
          <w:lang w:val="fr-FR"/>
        </w:rPr>
        <w:t>’</w:t>
      </w:r>
      <w:r>
        <w:rPr>
          <w:lang w:val="fr-FR"/>
        </w:rPr>
        <w:t>évolution. »</w:t>
      </w:r>
      <w:r w:rsidR="00AE4CE6">
        <w:rPr>
          <w:lang w:val="fr-FR"/>
        </w:rPr>
        <w:t>.</w:t>
      </w:r>
    </w:p>
    <w:p w:rsidR="00736EF1" w:rsidRPr="001F5981" w:rsidRDefault="00736EF1" w:rsidP="00AE4CE6">
      <w:pPr>
        <w:pStyle w:val="H1G"/>
      </w:pPr>
      <w:r>
        <w:rPr>
          <w:lang w:val="fr-FR"/>
        </w:rPr>
        <w:tab/>
        <w:t>B.</w:t>
      </w:r>
      <w:r>
        <w:rPr>
          <w:lang w:val="fr-FR"/>
        </w:rPr>
        <w:tab/>
        <w:t>Déclarations</w:t>
      </w:r>
    </w:p>
    <w:p w:rsidR="00736EF1" w:rsidRPr="001F5981" w:rsidRDefault="00736EF1" w:rsidP="00AE4CE6">
      <w:pPr>
        <w:pStyle w:val="SingleTxtG"/>
      </w:pPr>
      <w:r>
        <w:rPr>
          <w:lang w:val="fr-FR"/>
        </w:rPr>
        <w:t>18.</w:t>
      </w:r>
      <w:r>
        <w:rPr>
          <w:lang w:val="fr-FR"/>
        </w:rPr>
        <w:tab/>
        <w:t>Les déclarations suivantes ont été adoptées par le Comité à ses quatre</w:t>
      </w:r>
      <w:r w:rsidR="00FC203A">
        <w:rPr>
          <w:lang w:val="fr-FR"/>
        </w:rPr>
        <w:noBreakHyphen/>
      </w:r>
      <w:r>
        <w:rPr>
          <w:lang w:val="fr-FR"/>
        </w:rPr>
        <w:t>vingt</w:t>
      </w:r>
      <w:r w:rsidR="00FC203A">
        <w:rPr>
          <w:lang w:val="fr-FR"/>
        </w:rPr>
        <w:noBreakHyphen/>
      </w:r>
      <w:r>
        <w:rPr>
          <w:lang w:val="fr-FR"/>
        </w:rPr>
        <w:t>quatorzième et quatre-vingt-quinzième sessions, respectivement.</w:t>
      </w:r>
    </w:p>
    <w:p w:rsidR="00736EF1" w:rsidRPr="001F5981" w:rsidRDefault="00736EF1" w:rsidP="00AE4CE6">
      <w:pPr>
        <w:pStyle w:val="H23G"/>
      </w:pPr>
      <w:r>
        <w:rPr>
          <w:lang w:val="fr-FR"/>
        </w:rPr>
        <w:tab/>
      </w:r>
      <w:r w:rsidR="00AE4CE6">
        <w:rPr>
          <w:lang w:val="fr-FR"/>
        </w:rPr>
        <w:tab/>
      </w:r>
      <w:r>
        <w:rPr>
          <w:lang w:val="fr-FR"/>
        </w:rPr>
        <w:t>Déclaration sur la discrimination raciale à l</w:t>
      </w:r>
      <w:r w:rsidR="009D7A41">
        <w:rPr>
          <w:lang w:val="fr-FR"/>
        </w:rPr>
        <w:t>’</w:t>
      </w:r>
      <w:r>
        <w:rPr>
          <w:lang w:val="fr-FR"/>
        </w:rPr>
        <w:t xml:space="preserve">égard des migrants </w:t>
      </w:r>
      <w:r w:rsidR="00AE4CE6">
        <w:rPr>
          <w:lang w:val="fr-FR"/>
        </w:rPr>
        <w:br/>
      </w:r>
      <w:r>
        <w:rPr>
          <w:lang w:val="fr-FR"/>
        </w:rPr>
        <w:t xml:space="preserve">et leur réduction en esclavage en Libye </w:t>
      </w:r>
    </w:p>
    <w:p w:rsidR="00AE4CE6" w:rsidRDefault="00736EF1" w:rsidP="00AE4CE6">
      <w:pPr>
        <w:pStyle w:val="SingleTxtG"/>
        <w:ind w:firstLine="567"/>
      </w:pPr>
      <w:r>
        <w:rPr>
          <w:lang w:val="fr-FR"/>
        </w:rPr>
        <w:t>À sa 2612</w:t>
      </w:r>
      <w:r w:rsidRPr="00EB5794">
        <w:rPr>
          <w:vertAlign w:val="superscript"/>
          <w:lang w:val="fr-FR"/>
        </w:rPr>
        <w:t>e</w:t>
      </w:r>
      <w:r w:rsidR="00AE4CE6">
        <w:rPr>
          <w:lang w:val="fr-FR"/>
        </w:rPr>
        <w:t> </w:t>
      </w:r>
      <w:r>
        <w:rPr>
          <w:lang w:val="fr-FR"/>
        </w:rPr>
        <w:t>séance, tenue le 7</w:t>
      </w:r>
      <w:r w:rsidR="00AE4CE6">
        <w:rPr>
          <w:lang w:val="fr-FR"/>
        </w:rPr>
        <w:t> </w:t>
      </w:r>
      <w:r>
        <w:rPr>
          <w:lang w:val="fr-FR"/>
        </w:rPr>
        <w:t>décembre 2017 dans le cadre de sa quatre</w:t>
      </w:r>
      <w:r w:rsidR="00FC203A">
        <w:rPr>
          <w:lang w:val="fr-FR"/>
        </w:rPr>
        <w:noBreakHyphen/>
      </w:r>
      <w:r>
        <w:rPr>
          <w:lang w:val="fr-FR"/>
        </w:rPr>
        <w:t>vingt</w:t>
      </w:r>
      <w:r w:rsidR="00FC203A">
        <w:rPr>
          <w:lang w:val="fr-FR"/>
        </w:rPr>
        <w:noBreakHyphen/>
      </w:r>
      <w:r>
        <w:rPr>
          <w:lang w:val="fr-FR"/>
        </w:rPr>
        <w:t>quatorzième session, le Comité pour l</w:t>
      </w:r>
      <w:r w:rsidR="009D7A41">
        <w:rPr>
          <w:lang w:val="fr-FR"/>
        </w:rPr>
        <w:t>’</w:t>
      </w:r>
      <w:r>
        <w:rPr>
          <w:lang w:val="fr-FR"/>
        </w:rPr>
        <w:t>élimination de la discrimination raciale a décidé d</w:t>
      </w:r>
      <w:r w:rsidR="009D7A41">
        <w:rPr>
          <w:lang w:val="fr-FR"/>
        </w:rPr>
        <w:t>’</w:t>
      </w:r>
      <w:r>
        <w:rPr>
          <w:lang w:val="fr-FR"/>
        </w:rPr>
        <w:t>adopter la déclaration ci-après</w:t>
      </w:r>
      <w:r w:rsidR="00D725DA">
        <w:rPr>
          <w:lang w:val="fr-FR"/>
        </w:rPr>
        <w:t> :</w:t>
      </w:r>
      <w:r>
        <w:rPr>
          <w:lang w:val="fr-FR"/>
        </w:rPr>
        <w:t xml:space="preserve"> </w:t>
      </w:r>
    </w:p>
    <w:p w:rsidR="00736EF1" w:rsidRPr="001F5981" w:rsidRDefault="00736EF1" w:rsidP="00AE4CE6">
      <w:pPr>
        <w:pStyle w:val="SingleTxtG"/>
        <w:ind w:firstLine="567"/>
      </w:pPr>
      <w:r>
        <w:rPr>
          <w:lang w:val="fr-FR"/>
        </w:rPr>
        <w:t>«</w:t>
      </w:r>
      <w:r w:rsidR="00AE4CE6">
        <w:rPr>
          <w:lang w:val="fr-FR"/>
        </w:rPr>
        <w:t> </w:t>
      </w:r>
      <w:r w:rsidRPr="001B2ED4">
        <w:rPr>
          <w:i/>
          <w:lang w:val="fr-FR"/>
        </w:rPr>
        <w:t>Le Comité pour l</w:t>
      </w:r>
      <w:r w:rsidR="009D7A41">
        <w:rPr>
          <w:i/>
          <w:lang w:val="fr-FR"/>
        </w:rPr>
        <w:t>’</w:t>
      </w:r>
      <w:r w:rsidRPr="001B2ED4">
        <w:rPr>
          <w:i/>
          <w:lang w:val="fr-FR"/>
        </w:rPr>
        <w:t>élimination de la discrimination raciale,</w:t>
      </w:r>
    </w:p>
    <w:p w:rsidR="00736EF1" w:rsidRPr="001F5981" w:rsidRDefault="00736EF1" w:rsidP="00976D30">
      <w:pPr>
        <w:pStyle w:val="SingleTxtG"/>
        <w:ind w:firstLine="567"/>
      </w:pPr>
      <w:r w:rsidRPr="001B2ED4">
        <w:rPr>
          <w:i/>
          <w:lang w:val="fr-FR"/>
        </w:rPr>
        <w:t>Agissant</w:t>
      </w:r>
      <w:r>
        <w:rPr>
          <w:lang w:val="fr-FR"/>
        </w:rPr>
        <w:t xml:space="preserve"> au titre de ses procédures d</w:t>
      </w:r>
      <w:r w:rsidR="009D7A41">
        <w:rPr>
          <w:lang w:val="fr-FR"/>
        </w:rPr>
        <w:t>’</w:t>
      </w:r>
      <w:r>
        <w:rPr>
          <w:lang w:val="fr-FR"/>
        </w:rPr>
        <w:t>alerte rapide et d</w:t>
      </w:r>
      <w:r w:rsidR="009D7A41">
        <w:rPr>
          <w:lang w:val="fr-FR"/>
        </w:rPr>
        <w:t>’</w:t>
      </w:r>
      <w:r>
        <w:rPr>
          <w:lang w:val="fr-FR"/>
        </w:rPr>
        <w:t>action urgente,</w:t>
      </w:r>
    </w:p>
    <w:p w:rsidR="00736EF1" w:rsidRPr="001F5981" w:rsidRDefault="00736EF1" w:rsidP="00976D30">
      <w:pPr>
        <w:pStyle w:val="SingleTxtG"/>
        <w:ind w:firstLine="567"/>
      </w:pPr>
      <w:r w:rsidRPr="001B2ED4">
        <w:rPr>
          <w:i/>
          <w:lang w:val="fr-FR"/>
        </w:rPr>
        <w:t>Alarmé</w:t>
      </w:r>
      <w:r>
        <w:rPr>
          <w:lang w:val="fr-FR"/>
        </w:rPr>
        <w:t xml:space="preserve"> par le fait que, des années après que la traite des esclaves a été déclarée illégale, des Noirs originaires de pays d</w:t>
      </w:r>
      <w:r w:rsidR="009D7A41">
        <w:rPr>
          <w:lang w:val="fr-FR"/>
        </w:rPr>
        <w:t>’</w:t>
      </w:r>
      <w:r>
        <w:rPr>
          <w:lang w:val="fr-FR"/>
        </w:rPr>
        <w:t>Afrique subsaharienne sont vendus sur des marchés aux esclaves en Libye et font l</w:t>
      </w:r>
      <w:r w:rsidR="009D7A41">
        <w:rPr>
          <w:lang w:val="fr-FR"/>
        </w:rPr>
        <w:t>’</w:t>
      </w:r>
      <w:r>
        <w:rPr>
          <w:lang w:val="fr-FR"/>
        </w:rPr>
        <w:t>objet de discrimination raciale fondée sur leur couleur de peau,</w:t>
      </w:r>
    </w:p>
    <w:p w:rsidR="00736EF1" w:rsidRPr="001F5981" w:rsidRDefault="00736EF1" w:rsidP="00976D30">
      <w:pPr>
        <w:pStyle w:val="SingleTxtG"/>
        <w:ind w:firstLine="567"/>
      </w:pPr>
      <w:r w:rsidRPr="001B2ED4">
        <w:rPr>
          <w:i/>
          <w:lang w:val="fr-FR"/>
        </w:rPr>
        <w:t>Alarmé</w:t>
      </w:r>
      <w:r>
        <w:rPr>
          <w:lang w:val="fr-FR"/>
        </w:rPr>
        <w:t xml:space="preserve"> par les informations indiquant que des migrants et des demandeurs d</w:t>
      </w:r>
      <w:r w:rsidR="009D7A41">
        <w:rPr>
          <w:lang w:val="fr-FR"/>
        </w:rPr>
        <w:t>’</w:t>
      </w:r>
      <w:r>
        <w:rPr>
          <w:lang w:val="fr-FR"/>
        </w:rPr>
        <w:t>asile, en particulier des femmes noires originaires de pays d</w:t>
      </w:r>
      <w:r w:rsidR="009D7A41">
        <w:rPr>
          <w:lang w:val="fr-FR"/>
        </w:rPr>
        <w:t>’</w:t>
      </w:r>
      <w:r>
        <w:rPr>
          <w:lang w:val="fr-FR"/>
        </w:rPr>
        <w:t>Afrique subsaharienne, sont soumis à des actes de torture et aux pires formes de violence sexuelle,</w:t>
      </w:r>
    </w:p>
    <w:p w:rsidR="00736EF1" w:rsidRPr="001F5981" w:rsidRDefault="00736EF1" w:rsidP="00976D30">
      <w:pPr>
        <w:pStyle w:val="SingleTxtG"/>
        <w:ind w:firstLine="567"/>
      </w:pPr>
      <w:r w:rsidRPr="001B2ED4">
        <w:rPr>
          <w:i/>
          <w:lang w:val="fr-FR"/>
        </w:rPr>
        <w:t>Préoccupé</w:t>
      </w:r>
      <w:r>
        <w:rPr>
          <w:lang w:val="fr-FR"/>
        </w:rPr>
        <w:t xml:space="preserve"> par les informations portées à sa connaissance selon lesquelles des milliers de migrants et de demandeurs d</w:t>
      </w:r>
      <w:r w:rsidR="009D7A41">
        <w:rPr>
          <w:lang w:val="fr-FR"/>
        </w:rPr>
        <w:t>’</w:t>
      </w:r>
      <w:r>
        <w:rPr>
          <w:lang w:val="fr-FR"/>
        </w:rPr>
        <w:t>asile sont victimes de graves violations des droits de l</w:t>
      </w:r>
      <w:r w:rsidR="009D7A41">
        <w:rPr>
          <w:lang w:val="fr-FR"/>
        </w:rPr>
        <w:t>’</w:t>
      </w:r>
      <w:r>
        <w:rPr>
          <w:lang w:val="fr-FR"/>
        </w:rPr>
        <w:t>homme, notamment d</w:t>
      </w:r>
      <w:r w:rsidR="009D7A41">
        <w:rPr>
          <w:lang w:val="fr-FR"/>
        </w:rPr>
        <w:t>’</w:t>
      </w:r>
      <w:r>
        <w:rPr>
          <w:lang w:val="fr-FR"/>
        </w:rPr>
        <w:t>enlèvements, d</w:t>
      </w:r>
      <w:r w:rsidR="009D7A41">
        <w:rPr>
          <w:lang w:val="fr-FR"/>
        </w:rPr>
        <w:t>’</w:t>
      </w:r>
      <w:r>
        <w:rPr>
          <w:lang w:val="fr-FR"/>
        </w:rPr>
        <w:t>actes de torture, de sévices sexuels, de détention arbitraire et de détention dans des conditions inhumaines, et que la plupart de ces faits n</w:t>
      </w:r>
      <w:r w:rsidR="009D7A41">
        <w:rPr>
          <w:lang w:val="fr-FR"/>
        </w:rPr>
        <w:t>’</w:t>
      </w:r>
      <w:r>
        <w:rPr>
          <w:lang w:val="fr-FR"/>
        </w:rPr>
        <w:t>ont donné lieu à aucune plainte, enquête ou sanction,</w:t>
      </w:r>
    </w:p>
    <w:p w:rsidR="00736EF1" w:rsidRPr="001F5981" w:rsidRDefault="00736EF1" w:rsidP="00976D30">
      <w:pPr>
        <w:pStyle w:val="SingleTxtG"/>
        <w:ind w:firstLine="567"/>
      </w:pPr>
      <w:r w:rsidRPr="00092A3A">
        <w:rPr>
          <w:i/>
          <w:lang w:val="fr-FR"/>
        </w:rPr>
        <w:t>Prenant en considération</w:t>
      </w:r>
      <w:r>
        <w:rPr>
          <w:lang w:val="fr-FR"/>
        </w:rPr>
        <w:t xml:space="preserve"> le fait que le couloir maritime de la Méditerranée centrale est devenu l</w:t>
      </w:r>
      <w:r w:rsidR="009D7A41">
        <w:rPr>
          <w:lang w:val="fr-FR"/>
        </w:rPr>
        <w:t>’</w:t>
      </w:r>
      <w:r>
        <w:rPr>
          <w:lang w:val="fr-FR"/>
        </w:rPr>
        <w:t>itinéraire le plus dangereux pour les migrants et les demandeurs d</w:t>
      </w:r>
      <w:r w:rsidR="009D7A41">
        <w:rPr>
          <w:lang w:val="fr-FR"/>
        </w:rPr>
        <w:t>’</w:t>
      </w:r>
      <w:r>
        <w:rPr>
          <w:lang w:val="fr-FR"/>
        </w:rPr>
        <w:t>asile qui tentent de gagner l</w:t>
      </w:r>
      <w:r w:rsidR="009D7A41">
        <w:rPr>
          <w:lang w:val="fr-FR"/>
        </w:rPr>
        <w:t>’</w:t>
      </w:r>
      <w:r>
        <w:rPr>
          <w:lang w:val="fr-FR"/>
        </w:rPr>
        <w:t>Europe,</w:t>
      </w:r>
    </w:p>
    <w:p w:rsidR="00736EF1" w:rsidRPr="001F5981" w:rsidRDefault="00736EF1" w:rsidP="00976D30">
      <w:pPr>
        <w:pStyle w:val="SingleTxtG"/>
        <w:ind w:firstLine="567"/>
      </w:pPr>
      <w:r w:rsidRPr="00092A3A">
        <w:rPr>
          <w:i/>
          <w:lang w:val="fr-FR"/>
        </w:rPr>
        <w:t>Saluant</w:t>
      </w:r>
      <w:r>
        <w:rPr>
          <w:lang w:val="fr-FR"/>
        </w:rPr>
        <w:t xml:space="preserve"> les efforts encourageants déployés par l</w:t>
      </w:r>
      <w:r w:rsidR="009D7A41">
        <w:rPr>
          <w:lang w:val="fr-FR"/>
        </w:rPr>
        <w:t>’</w:t>
      </w:r>
      <w:r>
        <w:rPr>
          <w:lang w:val="fr-FR"/>
        </w:rPr>
        <w:t>Union européenne et l</w:t>
      </w:r>
      <w:r w:rsidR="009D7A41">
        <w:rPr>
          <w:lang w:val="fr-FR"/>
        </w:rPr>
        <w:t>’</w:t>
      </w:r>
      <w:r>
        <w:rPr>
          <w:lang w:val="fr-FR"/>
        </w:rPr>
        <w:t>Union africaine,</w:t>
      </w:r>
    </w:p>
    <w:p w:rsidR="00736EF1" w:rsidRPr="001F5981" w:rsidRDefault="00736EF1" w:rsidP="00976D30">
      <w:pPr>
        <w:pStyle w:val="SingleTxtG"/>
        <w:ind w:firstLine="567"/>
      </w:pPr>
      <w:r w:rsidRPr="00092A3A">
        <w:rPr>
          <w:i/>
          <w:lang w:val="fr-FR"/>
        </w:rPr>
        <w:t>Conscient</w:t>
      </w:r>
      <w:r>
        <w:rPr>
          <w:lang w:val="fr-FR"/>
        </w:rPr>
        <w:t xml:space="preserve"> que la situation actuelle est une aubaine pour les passeurs et les individus qui se livrent à la traite, et inquiet de ce que certaines mesures adoptées par l</w:t>
      </w:r>
      <w:r w:rsidR="009D7A41">
        <w:rPr>
          <w:lang w:val="fr-FR"/>
        </w:rPr>
        <w:t>’</w:t>
      </w:r>
      <w:r>
        <w:rPr>
          <w:lang w:val="fr-FR"/>
        </w:rPr>
        <w:t xml:space="preserve">Union européenne et certains de ses États membres en vue de </w:t>
      </w:r>
      <w:r w:rsidR="00AF698A">
        <w:rPr>
          <w:lang w:val="fr-FR"/>
        </w:rPr>
        <w:t>“</w:t>
      </w:r>
      <w:r>
        <w:rPr>
          <w:lang w:val="fr-FR"/>
        </w:rPr>
        <w:t>c</w:t>
      </w:r>
      <w:r w:rsidR="00AF698A">
        <w:rPr>
          <w:lang w:val="fr-FR"/>
        </w:rPr>
        <w:t>ombattre la migration illégale”</w:t>
      </w:r>
      <w:r>
        <w:rPr>
          <w:lang w:val="fr-FR"/>
        </w:rPr>
        <w:t xml:space="preserve"> risquent d</w:t>
      </w:r>
      <w:r w:rsidR="009D7A41">
        <w:rPr>
          <w:lang w:val="fr-FR"/>
        </w:rPr>
        <w:t>’</w:t>
      </w:r>
      <w:r>
        <w:rPr>
          <w:lang w:val="fr-FR"/>
        </w:rPr>
        <w:t xml:space="preserve">aggraver la situation, </w:t>
      </w:r>
    </w:p>
    <w:p w:rsidR="00736EF1" w:rsidRPr="001F5981" w:rsidRDefault="00736EF1" w:rsidP="00976D30">
      <w:pPr>
        <w:pStyle w:val="SingleTxtG"/>
        <w:ind w:firstLine="567"/>
      </w:pPr>
      <w:r w:rsidRPr="004D2F11">
        <w:rPr>
          <w:i/>
          <w:lang w:val="fr-FR"/>
        </w:rPr>
        <w:t>Reconnaissant</w:t>
      </w:r>
      <w:r>
        <w:rPr>
          <w:lang w:val="fr-FR"/>
        </w:rPr>
        <w:t xml:space="preserve"> que la responsabilité de la gestion de la situation des migrants incombe à la communauté internationale dans son ensemble et appelle une coopération entre les pays d</w:t>
      </w:r>
      <w:r w:rsidR="009D7A41">
        <w:rPr>
          <w:lang w:val="fr-FR"/>
        </w:rPr>
        <w:t>’</w:t>
      </w:r>
      <w:r>
        <w:rPr>
          <w:lang w:val="fr-FR"/>
        </w:rPr>
        <w:t>origine, de transit ou de destination</w:t>
      </w:r>
      <w:r w:rsidR="00D725DA">
        <w:rPr>
          <w:lang w:val="fr-FR"/>
        </w:rPr>
        <w:t> :</w:t>
      </w:r>
    </w:p>
    <w:p w:rsidR="00736EF1" w:rsidRPr="001F5981" w:rsidRDefault="00736EF1" w:rsidP="00AE4CE6">
      <w:pPr>
        <w:pStyle w:val="SingleTxtG"/>
        <w:keepNext/>
        <w:ind w:firstLine="567"/>
      </w:pPr>
      <w:r>
        <w:rPr>
          <w:lang w:val="fr-FR"/>
        </w:rPr>
        <w:t>1.</w:t>
      </w:r>
      <w:r>
        <w:rPr>
          <w:lang w:val="fr-FR"/>
        </w:rPr>
        <w:tab/>
      </w:r>
      <w:r w:rsidRPr="004D2F11">
        <w:rPr>
          <w:i/>
          <w:lang w:val="fr-FR"/>
        </w:rPr>
        <w:t>Exhorte</w:t>
      </w:r>
      <w:r>
        <w:rPr>
          <w:lang w:val="fr-FR"/>
        </w:rPr>
        <w:t xml:space="preserve"> la Libye à</w:t>
      </w:r>
      <w:r w:rsidR="00D725DA">
        <w:rPr>
          <w:lang w:val="fr-FR"/>
        </w:rPr>
        <w:t> :</w:t>
      </w:r>
    </w:p>
    <w:p w:rsidR="00736EF1" w:rsidRPr="001F5981" w:rsidRDefault="00736EF1" w:rsidP="00976D30">
      <w:pPr>
        <w:pStyle w:val="SingleTxtG"/>
        <w:ind w:firstLine="567"/>
      </w:pPr>
      <w:r>
        <w:rPr>
          <w:lang w:val="fr-FR"/>
        </w:rPr>
        <w:t>a)</w:t>
      </w:r>
      <w:r>
        <w:rPr>
          <w:lang w:val="fr-FR"/>
        </w:rPr>
        <w:tab/>
        <w:t>Prendre immédiatement des mesures énergiques contre les passeurs, les trafiquants et les marchands d</w:t>
      </w:r>
      <w:r w:rsidR="009D7A41">
        <w:rPr>
          <w:lang w:val="fr-FR"/>
        </w:rPr>
        <w:t>’</w:t>
      </w:r>
      <w:r>
        <w:rPr>
          <w:lang w:val="fr-FR"/>
        </w:rPr>
        <w:t>esclaves et faire cesser la vente d</w:t>
      </w:r>
      <w:r w:rsidR="009D7A41">
        <w:rPr>
          <w:lang w:val="fr-FR"/>
        </w:rPr>
        <w:t>’</w:t>
      </w:r>
      <w:r>
        <w:rPr>
          <w:lang w:val="fr-FR"/>
        </w:rPr>
        <w:t>êtres humains à des fins d</w:t>
      </w:r>
      <w:r w:rsidR="009D7A41">
        <w:rPr>
          <w:lang w:val="fr-FR"/>
        </w:rPr>
        <w:t>’</w:t>
      </w:r>
      <w:r>
        <w:rPr>
          <w:lang w:val="fr-FR"/>
        </w:rPr>
        <w:t>esclavage et de travail forcé</w:t>
      </w:r>
      <w:r w:rsidR="00D725DA">
        <w:rPr>
          <w:lang w:val="fr-FR"/>
        </w:rPr>
        <w:t> ;</w:t>
      </w:r>
      <w:r>
        <w:rPr>
          <w:lang w:val="fr-FR"/>
        </w:rPr>
        <w:t xml:space="preserve"> </w:t>
      </w:r>
    </w:p>
    <w:p w:rsidR="00736EF1" w:rsidRPr="001F5981" w:rsidRDefault="00736EF1" w:rsidP="00976D30">
      <w:pPr>
        <w:pStyle w:val="SingleTxtG"/>
        <w:ind w:firstLine="567"/>
      </w:pPr>
      <w:r>
        <w:rPr>
          <w:lang w:val="fr-FR"/>
        </w:rPr>
        <w:lastRenderedPageBreak/>
        <w:t>b)</w:t>
      </w:r>
      <w:r>
        <w:rPr>
          <w:lang w:val="fr-FR"/>
        </w:rPr>
        <w:tab/>
        <w:t>Prendre des mesures ciblées pour mettre fin à la discrimination raciale à l</w:t>
      </w:r>
      <w:r w:rsidR="009D7A41">
        <w:rPr>
          <w:lang w:val="fr-FR"/>
        </w:rPr>
        <w:t>’</w:t>
      </w:r>
      <w:r>
        <w:rPr>
          <w:lang w:val="fr-FR"/>
        </w:rPr>
        <w:t>égard des migrants et des demandeurs d</w:t>
      </w:r>
      <w:r w:rsidR="009D7A41">
        <w:rPr>
          <w:lang w:val="fr-FR"/>
        </w:rPr>
        <w:t>’</w:t>
      </w:r>
      <w:r>
        <w:rPr>
          <w:lang w:val="fr-FR"/>
        </w:rPr>
        <w:t>asile noirs originaires de pays d</w:t>
      </w:r>
      <w:r w:rsidR="009D7A41">
        <w:rPr>
          <w:lang w:val="fr-FR"/>
        </w:rPr>
        <w:t>’</w:t>
      </w:r>
      <w:r>
        <w:rPr>
          <w:lang w:val="fr-FR"/>
        </w:rPr>
        <w:t>Afrique subsaharienne, y compris les actes de torture et les sévices sexuels infligés à des femmes noires</w:t>
      </w:r>
      <w:r w:rsidR="00D725DA">
        <w:rPr>
          <w:lang w:val="fr-FR"/>
        </w:rPr>
        <w:t> ;</w:t>
      </w:r>
      <w:r>
        <w:rPr>
          <w:lang w:val="fr-FR"/>
        </w:rPr>
        <w:t xml:space="preserve"> </w:t>
      </w:r>
    </w:p>
    <w:p w:rsidR="00736EF1" w:rsidRPr="001F5981" w:rsidRDefault="00736EF1" w:rsidP="00976D30">
      <w:pPr>
        <w:pStyle w:val="SingleTxtG"/>
        <w:ind w:firstLine="567"/>
      </w:pPr>
      <w:r>
        <w:rPr>
          <w:lang w:val="fr-FR"/>
        </w:rPr>
        <w:t>c)</w:t>
      </w:r>
      <w:r>
        <w:rPr>
          <w:lang w:val="fr-FR"/>
        </w:rPr>
        <w:tab/>
        <w:t>Enquêter efficacement sur les violations des droits de l</w:t>
      </w:r>
      <w:r w:rsidR="009D7A41">
        <w:rPr>
          <w:lang w:val="fr-FR"/>
        </w:rPr>
        <w:t>’</w:t>
      </w:r>
      <w:r>
        <w:rPr>
          <w:lang w:val="fr-FR"/>
        </w:rPr>
        <w:t>homme commises aux frontières terrestres et maritimes ainsi que dans les centres de détention en vue de traduire en justice les auteurs présumés de ces violations, de les condamner à des peines à la mesure de la gravité de l</w:t>
      </w:r>
      <w:r w:rsidR="009D7A41">
        <w:rPr>
          <w:lang w:val="fr-FR"/>
        </w:rPr>
        <w:t>’</w:t>
      </w:r>
      <w:r>
        <w:rPr>
          <w:lang w:val="fr-FR"/>
        </w:rPr>
        <w:t>infraction, s</w:t>
      </w:r>
      <w:r w:rsidR="009D7A41">
        <w:rPr>
          <w:lang w:val="fr-FR"/>
        </w:rPr>
        <w:t>’</w:t>
      </w:r>
      <w:r>
        <w:rPr>
          <w:lang w:val="fr-FR"/>
        </w:rPr>
        <w:t>ils sont reconnus coupables, et d</w:t>
      </w:r>
      <w:r w:rsidR="009D7A41">
        <w:rPr>
          <w:lang w:val="fr-FR"/>
        </w:rPr>
        <w:t>’</w:t>
      </w:r>
      <w:r>
        <w:rPr>
          <w:lang w:val="fr-FR"/>
        </w:rPr>
        <w:t>accorder aux victimes une réparation complète</w:t>
      </w:r>
      <w:r w:rsidR="00D725DA">
        <w:rPr>
          <w:lang w:val="fr-FR"/>
        </w:rPr>
        <w:t> ;</w:t>
      </w:r>
    </w:p>
    <w:p w:rsidR="00736EF1" w:rsidRPr="001F5981" w:rsidRDefault="00736EF1" w:rsidP="00976D30">
      <w:pPr>
        <w:pStyle w:val="SingleTxtG"/>
        <w:ind w:firstLine="567"/>
      </w:pPr>
      <w:r>
        <w:rPr>
          <w:lang w:val="fr-FR"/>
        </w:rPr>
        <w:t>d)</w:t>
      </w:r>
      <w:r>
        <w:rPr>
          <w:lang w:val="fr-FR"/>
        </w:rPr>
        <w:tab/>
        <w:t>Dépénaliser la migration irrégulière et adopter une loi sur l</w:t>
      </w:r>
      <w:r w:rsidR="009D7A41">
        <w:rPr>
          <w:lang w:val="fr-FR"/>
        </w:rPr>
        <w:t>’</w:t>
      </w:r>
      <w:r>
        <w:rPr>
          <w:lang w:val="fr-FR"/>
        </w:rPr>
        <w:t>asile conforme aux normes internationales</w:t>
      </w:r>
      <w:r w:rsidR="00D725DA">
        <w:rPr>
          <w:lang w:val="fr-FR"/>
        </w:rPr>
        <w:t> ;</w:t>
      </w:r>
    </w:p>
    <w:p w:rsidR="00736EF1" w:rsidRPr="001F5981" w:rsidRDefault="00736EF1" w:rsidP="00976D30">
      <w:pPr>
        <w:pStyle w:val="SingleTxtG"/>
        <w:ind w:firstLine="567"/>
      </w:pPr>
      <w:r>
        <w:rPr>
          <w:lang w:val="fr-FR"/>
        </w:rPr>
        <w:t>e)</w:t>
      </w:r>
      <w:r>
        <w:rPr>
          <w:lang w:val="fr-FR"/>
        </w:rPr>
        <w:tab/>
        <w:t>Éviter de placer systématiquement en détention les migrants et les demandeurs d</w:t>
      </w:r>
      <w:r w:rsidR="009D7A41">
        <w:rPr>
          <w:lang w:val="fr-FR"/>
        </w:rPr>
        <w:t>’</w:t>
      </w:r>
      <w:r>
        <w:rPr>
          <w:lang w:val="fr-FR"/>
        </w:rPr>
        <w:t>asile, ne recourir à la privation de liberté qu</w:t>
      </w:r>
      <w:r w:rsidR="009D7A41">
        <w:rPr>
          <w:lang w:val="fr-FR"/>
        </w:rPr>
        <w:t>’</w:t>
      </w:r>
      <w:r>
        <w:rPr>
          <w:lang w:val="fr-FR"/>
        </w:rPr>
        <w:t>en dernier ressort, créer des solutions de remplacement sûres et faire en sorte que tous les lieux de détention soient conformes aux normes internationales et que les enfants migrants ne soient jamais placés en détention</w:t>
      </w:r>
      <w:r w:rsidR="00D725DA">
        <w:rPr>
          <w:lang w:val="fr-FR"/>
        </w:rPr>
        <w:t> ;</w:t>
      </w:r>
    </w:p>
    <w:p w:rsidR="00736EF1" w:rsidRPr="001F5981" w:rsidRDefault="00736EF1" w:rsidP="00976D30">
      <w:pPr>
        <w:pStyle w:val="SingleTxtG"/>
        <w:ind w:firstLine="567"/>
      </w:pPr>
      <w:r>
        <w:rPr>
          <w:lang w:val="fr-FR"/>
        </w:rPr>
        <w:t>f)</w:t>
      </w:r>
      <w:r>
        <w:rPr>
          <w:lang w:val="fr-FR"/>
        </w:rPr>
        <w:tab/>
        <w:t>Veiller à ce que toutes les personnes ayant besoin d</w:t>
      </w:r>
      <w:r w:rsidR="009D7A41">
        <w:rPr>
          <w:lang w:val="fr-FR"/>
        </w:rPr>
        <w:t>’</w:t>
      </w:r>
      <w:r>
        <w:rPr>
          <w:lang w:val="fr-FR"/>
        </w:rPr>
        <w:t>une protection internationale aient accès à des procédures individualisées de détermination de leur statut juridique, et protéger pleinement les migrants et les demandeurs d</w:t>
      </w:r>
      <w:r w:rsidR="009D7A41">
        <w:rPr>
          <w:lang w:val="fr-FR"/>
        </w:rPr>
        <w:t>’</w:t>
      </w:r>
      <w:r>
        <w:rPr>
          <w:lang w:val="fr-FR"/>
        </w:rPr>
        <w:t>asile contre le refoulement</w:t>
      </w:r>
      <w:r w:rsidR="00D725DA">
        <w:rPr>
          <w:lang w:val="fr-FR"/>
        </w:rPr>
        <w:t> ;</w:t>
      </w:r>
    </w:p>
    <w:p w:rsidR="00736EF1" w:rsidRPr="001F5981" w:rsidRDefault="00736EF1" w:rsidP="00976D30">
      <w:pPr>
        <w:pStyle w:val="SingleTxtG"/>
        <w:ind w:firstLine="567"/>
      </w:pPr>
      <w:r>
        <w:rPr>
          <w:lang w:val="fr-FR"/>
        </w:rPr>
        <w:t>g)</w:t>
      </w:r>
      <w:r>
        <w:rPr>
          <w:lang w:val="fr-FR"/>
        </w:rPr>
        <w:tab/>
        <w:t>Soumettre sans délai son rapport au Comité pour l</w:t>
      </w:r>
      <w:r w:rsidR="009D7A41">
        <w:rPr>
          <w:lang w:val="fr-FR"/>
        </w:rPr>
        <w:t>’</w:t>
      </w:r>
      <w:r>
        <w:rPr>
          <w:lang w:val="fr-FR"/>
        </w:rPr>
        <w:t>élimination de la discrimination raciale,</w:t>
      </w:r>
      <w:r w:rsidR="00AF698A">
        <w:rPr>
          <w:lang w:val="fr-FR"/>
        </w:rPr>
        <w:t xml:space="preserve"> qui est attendu de longue date ;</w:t>
      </w:r>
    </w:p>
    <w:p w:rsidR="00736EF1" w:rsidRPr="001F5981" w:rsidRDefault="00736EF1" w:rsidP="00976D30">
      <w:pPr>
        <w:pStyle w:val="SingleTxtG"/>
        <w:ind w:firstLine="567"/>
      </w:pPr>
      <w:r>
        <w:rPr>
          <w:lang w:val="fr-FR"/>
        </w:rPr>
        <w:t>2.</w:t>
      </w:r>
      <w:r>
        <w:rPr>
          <w:lang w:val="fr-FR"/>
        </w:rPr>
        <w:tab/>
      </w:r>
      <w:r w:rsidRPr="00530818">
        <w:rPr>
          <w:i/>
          <w:lang w:val="fr-FR"/>
        </w:rPr>
        <w:t>Exhorte</w:t>
      </w:r>
      <w:r>
        <w:rPr>
          <w:lang w:val="fr-FR"/>
        </w:rPr>
        <w:t xml:space="preserve"> la communauté internationale, y compris l</w:t>
      </w:r>
      <w:r w:rsidR="009D7A41">
        <w:rPr>
          <w:lang w:val="fr-FR"/>
        </w:rPr>
        <w:t>’</w:t>
      </w:r>
      <w:r>
        <w:rPr>
          <w:lang w:val="fr-FR"/>
        </w:rPr>
        <w:t>Union africaine et, en particulier, l</w:t>
      </w:r>
      <w:r w:rsidR="009D7A41">
        <w:rPr>
          <w:lang w:val="fr-FR"/>
        </w:rPr>
        <w:t>’</w:t>
      </w:r>
      <w:r>
        <w:rPr>
          <w:lang w:val="fr-FR"/>
        </w:rPr>
        <w:t>Union européenne et ses États membres, compte tenu de leurs obligations et compétences internationales, à</w:t>
      </w:r>
      <w:r w:rsidR="00D725DA">
        <w:rPr>
          <w:lang w:val="fr-FR"/>
        </w:rPr>
        <w:t> :</w:t>
      </w:r>
      <w:r>
        <w:rPr>
          <w:lang w:val="fr-FR"/>
        </w:rPr>
        <w:t xml:space="preserve"> </w:t>
      </w:r>
    </w:p>
    <w:p w:rsidR="00736EF1" w:rsidRPr="001F5981" w:rsidRDefault="00736EF1" w:rsidP="00976D30">
      <w:pPr>
        <w:pStyle w:val="SingleTxtG"/>
        <w:ind w:firstLine="567"/>
      </w:pPr>
      <w:r>
        <w:rPr>
          <w:lang w:val="fr-FR"/>
        </w:rPr>
        <w:t>a)</w:t>
      </w:r>
      <w:r>
        <w:rPr>
          <w:lang w:val="fr-FR"/>
        </w:rPr>
        <w:tab/>
        <w:t>Veiller à ce que des dispositions garantissant les droits de l</w:t>
      </w:r>
      <w:r w:rsidR="009D7A41">
        <w:rPr>
          <w:lang w:val="fr-FR"/>
        </w:rPr>
        <w:t>’</w:t>
      </w:r>
      <w:r>
        <w:rPr>
          <w:lang w:val="fr-FR"/>
        </w:rPr>
        <w:t>homme des migrants et des demandeurs d</w:t>
      </w:r>
      <w:r w:rsidR="009D7A41">
        <w:rPr>
          <w:lang w:val="fr-FR"/>
        </w:rPr>
        <w:t>’</w:t>
      </w:r>
      <w:r>
        <w:rPr>
          <w:lang w:val="fr-FR"/>
        </w:rPr>
        <w:t>asile soient prévues dans tout accord relatif à la gestion des migrations, y compris les accords de coopération pour le développement</w:t>
      </w:r>
      <w:r w:rsidR="00D725DA">
        <w:rPr>
          <w:lang w:val="fr-FR"/>
        </w:rPr>
        <w:t> ;</w:t>
      </w:r>
    </w:p>
    <w:p w:rsidR="00736EF1" w:rsidRPr="001F5981" w:rsidRDefault="00736EF1" w:rsidP="00976D30">
      <w:pPr>
        <w:pStyle w:val="SingleTxtG"/>
        <w:ind w:firstLine="567"/>
      </w:pPr>
      <w:r>
        <w:rPr>
          <w:lang w:val="fr-FR"/>
        </w:rPr>
        <w:t>b)</w:t>
      </w:r>
      <w:r>
        <w:rPr>
          <w:lang w:val="fr-FR"/>
        </w:rPr>
        <w:tab/>
        <w:t>Redoubler d</w:t>
      </w:r>
      <w:r w:rsidR="009D7A41">
        <w:rPr>
          <w:lang w:val="fr-FR"/>
        </w:rPr>
        <w:t>’</w:t>
      </w:r>
      <w:r>
        <w:rPr>
          <w:lang w:val="fr-FR"/>
        </w:rPr>
        <w:t>efforts pour mettre en œuvre des stratégies à long terme, notamment en multipliant les possibilités d</w:t>
      </w:r>
      <w:r w:rsidR="009D7A41">
        <w:rPr>
          <w:lang w:val="fr-FR"/>
        </w:rPr>
        <w:t>’</w:t>
      </w:r>
      <w:r>
        <w:rPr>
          <w:lang w:val="fr-FR"/>
        </w:rPr>
        <w:t>accès à des voies de migration accessibles, régulières et sûres</w:t>
      </w:r>
      <w:r w:rsidR="00D725DA">
        <w:rPr>
          <w:lang w:val="fr-FR"/>
        </w:rPr>
        <w:t> ;</w:t>
      </w:r>
    </w:p>
    <w:p w:rsidR="00736EF1" w:rsidRPr="001F5981" w:rsidRDefault="00736EF1" w:rsidP="00976D30">
      <w:pPr>
        <w:pStyle w:val="SingleTxtG"/>
        <w:ind w:firstLine="567"/>
      </w:pPr>
      <w:r>
        <w:rPr>
          <w:lang w:val="fr-FR"/>
        </w:rPr>
        <w:t>c)</w:t>
      </w:r>
      <w:r>
        <w:rPr>
          <w:lang w:val="fr-FR"/>
        </w:rPr>
        <w:tab/>
        <w:t>Intensifier les opérations de recherche et de sauvetage en mer et faire en sorte que les migrants et les demandeurs d</w:t>
      </w:r>
      <w:r w:rsidR="009D7A41">
        <w:rPr>
          <w:lang w:val="fr-FR"/>
        </w:rPr>
        <w:t>’</w:t>
      </w:r>
      <w:r>
        <w:rPr>
          <w:lang w:val="fr-FR"/>
        </w:rPr>
        <w:t>asile soient transférés vers des lieux sûrs et soient protégés contre le refoulement</w:t>
      </w:r>
      <w:r w:rsidR="00D725DA">
        <w:rPr>
          <w:lang w:val="fr-FR"/>
        </w:rPr>
        <w:t> ;</w:t>
      </w:r>
    </w:p>
    <w:p w:rsidR="00736EF1" w:rsidRPr="001F5981" w:rsidRDefault="00736EF1" w:rsidP="00976D30">
      <w:pPr>
        <w:pStyle w:val="SingleTxtG"/>
        <w:ind w:firstLine="567"/>
      </w:pPr>
      <w:r>
        <w:rPr>
          <w:lang w:val="fr-FR"/>
        </w:rPr>
        <w:t>d)</w:t>
      </w:r>
      <w:r>
        <w:rPr>
          <w:lang w:val="fr-FR"/>
        </w:rPr>
        <w:tab/>
        <w:t>Mettre au point des cadres fondés sur les droits de l</w:t>
      </w:r>
      <w:r w:rsidR="009D7A41">
        <w:rPr>
          <w:lang w:val="fr-FR"/>
        </w:rPr>
        <w:t>’</w:t>
      </w:r>
      <w:r>
        <w:rPr>
          <w:lang w:val="fr-FR"/>
        </w:rPr>
        <w:t>homme pour la gestion globale des migrations et la surveillance des frontières, compte tenu des droits et des besoins des migrants et des demandeurs d</w:t>
      </w:r>
      <w:r w:rsidR="009D7A41">
        <w:rPr>
          <w:lang w:val="fr-FR"/>
        </w:rPr>
        <w:t>’</w:t>
      </w:r>
      <w:r>
        <w:rPr>
          <w:lang w:val="fr-FR"/>
        </w:rPr>
        <w:t>asile</w:t>
      </w:r>
      <w:r w:rsidR="00D725DA">
        <w:rPr>
          <w:lang w:val="fr-FR"/>
        </w:rPr>
        <w:t> ;</w:t>
      </w:r>
    </w:p>
    <w:p w:rsidR="00736EF1" w:rsidRPr="001F5981" w:rsidRDefault="00736EF1" w:rsidP="00976D30">
      <w:pPr>
        <w:pStyle w:val="SingleTxtG"/>
        <w:ind w:firstLine="567"/>
      </w:pPr>
      <w:r>
        <w:rPr>
          <w:lang w:val="fr-FR"/>
        </w:rPr>
        <w:t>e)</w:t>
      </w:r>
      <w:r>
        <w:rPr>
          <w:lang w:val="fr-FR"/>
        </w:rPr>
        <w:tab/>
        <w:t>Intensifier les efforts déployés pour remédier aux causes profondes des migrations, notamment la pauvreté, la corruption, les conflits armés, les changements climatiques, la persécution des minorités et d</w:t>
      </w:r>
      <w:r w:rsidR="009D7A41">
        <w:rPr>
          <w:lang w:val="fr-FR"/>
        </w:rPr>
        <w:t>’</w:t>
      </w:r>
      <w:r>
        <w:rPr>
          <w:lang w:val="fr-FR"/>
        </w:rPr>
        <w:t>autres violations des droits de l</w:t>
      </w:r>
      <w:r w:rsidR="009D7A41">
        <w:rPr>
          <w:lang w:val="fr-FR"/>
        </w:rPr>
        <w:t>’</w:t>
      </w:r>
      <w:r w:rsidR="00AF698A">
        <w:rPr>
          <w:lang w:val="fr-FR"/>
        </w:rPr>
        <w:t>homme ;</w:t>
      </w:r>
    </w:p>
    <w:p w:rsidR="00736EF1" w:rsidRPr="001F5981" w:rsidRDefault="00736EF1" w:rsidP="00976D30">
      <w:pPr>
        <w:pStyle w:val="SingleTxtG"/>
        <w:ind w:firstLine="567"/>
      </w:pPr>
      <w:r>
        <w:rPr>
          <w:lang w:val="fr-FR"/>
        </w:rPr>
        <w:t>3.</w:t>
      </w:r>
      <w:r>
        <w:rPr>
          <w:lang w:val="fr-FR"/>
        </w:rPr>
        <w:tab/>
      </w:r>
      <w:r w:rsidRPr="0009289F">
        <w:rPr>
          <w:i/>
          <w:lang w:val="fr-FR"/>
        </w:rPr>
        <w:t xml:space="preserve">Invite </w:t>
      </w:r>
      <w:r>
        <w:rPr>
          <w:lang w:val="fr-FR"/>
        </w:rPr>
        <w:t xml:space="preserve">tous les États à œuvrer pleinement en faveur du </w:t>
      </w:r>
      <w:r w:rsidR="00AF698A">
        <w:rPr>
          <w:lang w:val="fr-FR"/>
        </w:rPr>
        <w:t>P</w:t>
      </w:r>
      <w:r>
        <w:rPr>
          <w:lang w:val="fr-FR"/>
        </w:rPr>
        <w:t>acte mondial pour des migrations sûres, ordonnées et régulières conformément aux engagements pris dans la Déclaration de New York pour les réfugiés et les migrants</w:t>
      </w:r>
      <w:r w:rsidR="00D725DA">
        <w:rPr>
          <w:lang w:val="fr-FR"/>
        </w:rPr>
        <w:t> ;</w:t>
      </w:r>
    </w:p>
    <w:p w:rsidR="00736EF1" w:rsidRPr="001F5981" w:rsidRDefault="00736EF1" w:rsidP="00976D30">
      <w:pPr>
        <w:pStyle w:val="SingleTxtG"/>
        <w:ind w:firstLine="567"/>
      </w:pPr>
      <w:r>
        <w:rPr>
          <w:lang w:val="fr-FR"/>
        </w:rPr>
        <w:t>4.</w:t>
      </w:r>
      <w:r>
        <w:rPr>
          <w:lang w:val="fr-FR"/>
        </w:rPr>
        <w:tab/>
      </w:r>
      <w:r w:rsidRPr="00AF698A">
        <w:rPr>
          <w:i/>
          <w:lang w:val="fr-FR"/>
        </w:rPr>
        <w:t>Invite</w:t>
      </w:r>
      <w:r>
        <w:rPr>
          <w:lang w:val="fr-FR"/>
        </w:rPr>
        <w:t xml:space="preserve"> le Secrétaire général à prier le Conseil de sécurité de créer une commission d</w:t>
      </w:r>
      <w:r w:rsidR="009D7A41">
        <w:rPr>
          <w:lang w:val="fr-FR"/>
        </w:rPr>
        <w:t>’</w:t>
      </w:r>
      <w:r>
        <w:rPr>
          <w:lang w:val="fr-FR"/>
        </w:rPr>
        <w:t>enquête chargée de faire la lumière sur toutes les violations des droits de l</w:t>
      </w:r>
      <w:r w:rsidR="009D7A41">
        <w:rPr>
          <w:lang w:val="fr-FR"/>
        </w:rPr>
        <w:t>’</w:t>
      </w:r>
      <w:r>
        <w:rPr>
          <w:lang w:val="fr-FR"/>
        </w:rPr>
        <w:t>homme dont sont victimes les migrants et les demandeurs d</w:t>
      </w:r>
      <w:r w:rsidR="009D7A41">
        <w:rPr>
          <w:lang w:val="fr-FR"/>
        </w:rPr>
        <w:t>’</w:t>
      </w:r>
      <w:r>
        <w:rPr>
          <w:lang w:val="fr-FR"/>
        </w:rPr>
        <w:t>asile en Libye, y compris sur les crimes contre l</w:t>
      </w:r>
      <w:r w:rsidR="009D7A41">
        <w:rPr>
          <w:lang w:val="fr-FR"/>
        </w:rPr>
        <w:t>’</w:t>
      </w:r>
      <w:r>
        <w:rPr>
          <w:lang w:val="fr-FR"/>
        </w:rPr>
        <w:t>humanité. »</w:t>
      </w:r>
      <w:r w:rsidR="00FE0059">
        <w:rPr>
          <w:lang w:val="fr-FR"/>
        </w:rPr>
        <w:t>.</w:t>
      </w:r>
    </w:p>
    <w:p w:rsidR="00736EF1" w:rsidRPr="001F5981" w:rsidRDefault="00FE0059" w:rsidP="00FE0059">
      <w:pPr>
        <w:pStyle w:val="H23G"/>
      </w:pPr>
      <w:r>
        <w:rPr>
          <w:lang w:val="fr-FR"/>
        </w:rPr>
        <w:lastRenderedPageBreak/>
        <w:tab/>
      </w:r>
      <w:r>
        <w:rPr>
          <w:lang w:val="fr-FR"/>
        </w:rPr>
        <w:tab/>
      </w:r>
      <w:r w:rsidR="00736EF1">
        <w:rPr>
          <w:lang w:val="fr-FR"/>
        </w:rPr>
        <w:t>Déclaration sur Israël</w:t>
      </w:r>
    </w:p>
    <w:p w:rsidR="00736EF1" w:rsidRPr="001F5981" w:rsidRDefault="00736EF1" w:rsidP="00FE0059">
      <w:pPr>
        <w:pStyle w:val="SingleTxtG"/>
        <w:keepNext/>
        <w:ind w:firstLine="567"/>
      </w:pPr>
      <w:r>
        <w:rPr>
          <w:lang w:val="fr-FR"/>
        </w:rPr>
        <w:t>À sa 2637</w:t>
      </w:r>
      <w:r w:rsidRPr="00EB5794">
        <w:rPr>
          <w:vertAlign w:val="superscript"/>
          <w:lang w:val="fr-FR"/>
        </w:rPr>
        <w:t>e</w:t>
      </w:r>
      <w:r>
        <w:rPr>
          <w:lang w:val="fr-FR"/>
        </w:rPr>
        <w:t xml:space="preserve"> séance, tenue le 8 mai 2018 dans le cadre de sa quatre-vingt-quinzième session, le Comité pour l</w:t>
      </w:r>
      <w:r w:rsidR="009D7A41">
        <w:rPr>
          <w:lang w:val="fr-FR"/>
        </w:rPr>
        <w:t>’</w:t>
      </w:r>
      <w:r>
        <w:rPr>
          <w:lang w:val="fr-FR"/>
        </w:rPr>
        <w:t>élimination de la discrimination raciale a décidé d</w:t>
      </w:r>
      <w:r w:rsidR="009D7A41">
        <w:rPr>
          <w:lang w:val="fr-FR"/>
        </w:rPr>
        <w:t>’</w:t>
      </w:r>
      <w:r>
        <w:rPr>
          <w:lang w:val="fr-FR"/>
        </w:rPr>
        <w:t>adopter la déclaration ci-après</w:t>
      </w:r>
      <w:r w:rsidR="00D725DA">
        <w:rPr>
          <w:lang w:val="fr-FR"/>
        </w:rPr>
        <w:t> :</w:t>
      </w:r>
    </w:p>
    <w:p w:rsidR="00736EF1" w:rsidRPr="001F5981" w:rsidRDefault="00736EF1" w:rsidP="00976D30">
      <w:pPr>
        <w:pStyle w:val="SingleTxtG"/>
        <w:ind w:firstLine="567"/>
      </w:pPr>
      <w:r w:rsidRPr="00FD6C06">
        <w:rPr>
          <w:iCs/>
          <w:lang w:val="fr-FR"/>
        </w:rPr>
        <w:t>«</w:t>
      </w:r>
      <w:r w:rsidR="00FE0059">
        <w:rPr>
          <w:i/>
          <w:iCs/>
          <w:lang w:val="fr-FR"/>
        </w:rPr>
        <w:t> </w:t>
      </w:r>
      <w:r>
        <w:rPr>
          <w:i/>
          <w:iCs/>
          <w:lang w:val="fr-FR"/>
        </w:rPr>
        <w:t>Le Comité pour l</w:t>
      </w:r>
      <w:r w:rsidR="009D7A41">
        <w:rPr>
          <w:i/>
          <w:iCs/>
          <w:lang w:val="fr-FR"/>
        </w:rPr>
        <w:t>’</w:t>
      </w:r>
      <w:r>
        <w:rPr>
          <w:i/>
          <w:iCs/>
          <w:lang w:val="fr-FR"/>
        </w:rPr>
        <w:t>élimination de la discrimination raciale,</w:t>
      </w:r>
      <w:r>
        <w:rPr>
          <w:lang w:val="fr-FR"/>
        </w:rPr>
        <w:t xml:space="preserve"> </w:t>
      </w:r>
    </w:p>
    <w:p w:rsidR="00736EF1" w:rsidRPr="001F5981" w:rsidRDefault="00736EF1" w:rsidP="00976D30">
      <w:pPr>
        <w:pStyle w:val="SingleTxtG"/>
        <w:ind w:firstLine="567"/>
      </w:pPr>
      <w:r>
        <w:rPr>
          <w:i/>
          <w:iCs/>
          <w:lang w:val="fr-FR"/>
        </w:rPr>
        <w:t xml:space="preserve">Agissant </w:t>
      </w:r>
      <w:r>
        <w:rPr>
          <w:lang w:val="fr-FR"/>
        </w:rPr>
        <w:t>au titre de ses procédures d</w:t>
      </w:r>
      <w:r w:rsidR="009D7A41">
        <w:rPr>
          <w:lang w:val="fr-FR"/>
        </w:rPr>
        <w:t>’</w:t>
      </w:r>
      <w:r>
        <w:rPr>
          <w:lang w:val="fr-FR"/>
        </w:rPr>
        <w:t>alerte rapide et d</w:t>
      </w:r>
      <w:r w:rsidR="009D7A41">
        <w:rPr>
          <w:lang w:val="fr-FR"/>
        </w:rPr>
        <w:t>’</w:t>
      </w:r>
      <w:r>
        <w:rPr>
          <w:lang w:val="fr-FR"/>
        </w:rPr>
        <w:t xml:space="preserve">action urgente, </w:t>
      </w:r>
    </w:p>
    <w:p w:rsidR="00736EF1" w:rsidRPr="001F5981" w:rsidRDefault="00736EF1" w:rsidP="00976D30">
      <w:pPr>
        <w:pStyle w:val="SingleTxtG"/>
        <w:ind w:firstLine="567"/>
      </w:pPr>
      <w:r>
        <w:rPr>
          <w:i/>
          <w:iCs/>
          <w:lang w:val="fr-FR"/>
        </w:rPr>
        <w:t>Alarmé</w:t>
      </w:r>
      <w:r>
        <w:rPr>
          <w:lang w:val="fr-FR"/>
        </w:rPr>
        <w:t xml:space="preserve"> par l</w:t>
      </w:r>
      <w:r w:rsidR="009D7A41">
        <w:rPr>
          <w:lang w:val="fr-FR"/>
        </w:rPr>
        <w:t>’</w:t>
      </w:r>
      <w:r>
        <w:rPr>
          <w:lang w:val="fr-FR"/>
        </w:rPr>
        <w:t>usage disproportionné de la force dont ont fait montre les services de sécurité israéliens face aux manifestants palestiniens qui participaient depuis le 30</w:t>
      </w:r>
      <w:r w:rsidR="00FD6C06">
        <w:rPr>
          <w:lang w:val="fr-FR"/>
        </w:rPr>
        <w:t> </w:t>
      </w:r>
      <w:r>
        <w:rPr>
          <w:lang w:val="fr-FR"/>
        </w:rPr>
        <w:t>mars 2018 à la « grande marche du retour » à Gaza, causant ainsi la mort d</w:t>
      </w:r>
      <w:r w:rsidR="009D7A41">
        <w:rPr>
          <w:lang w:val="fr-FR"/>
        </w:rPr>
        <w:t>’</w:t>
      </w:r>
      <w:r>
        <w:rPr>
          <w:lang w:val="fr-FR"/>
        </w:rPr>
        <w:t>au moins 40</w:t>
      </w:r>
      <w:r w:rsidR="00FD6C06">
        <w:rPr>
          <w:lang w:val="fr-FR"/>
        </w:rPr>
        <w:t> </w:t>
      </w:r>
      <w:r>
        <w:rPr>
          <w:lang w:val="fr-FR"/>
        </w:rPr>
        <w:t xml:space="preserve">personnes, dont </w:t>
      </w:r>
      <w:r w:rsidR="00FD6C06">
        <w:rPr>
          <w:lang w:val="fr-FR"/>
        </w:rPr>
        <w:t>5 </w:t>
      </w:r>
      <w:r>
        <w:rPr>
          <w:lang w:val="fr-FR"/>
        </w:rPr>
        <w:t>enfants, et faisant des milliers de blessés,</w:t>
      </w:r>
    </w:p>
    <w:p w:rsidR="00736EF1" w:rsidRPr="001F5981" w:rsidRDefault="00736EF1" w:rsidP="00976D30">
      <w:pPr>
        <w:pStyle w:val="SingleTxtG"/>
        <w:ind w:firstLine="567"/>
      </w:pPr>
      <w:r w:rsidRPr="00A6233A">
        <w:rPr>
          <w:i/>
          <w:lang w:val="fr-FR"/>
        </w:rPr>
        <w:t>Gravement préoccupé</w:t>
      </w:r>
      <w:r>
        <w:rPr>
          <w:lang w:val="fr-FR"/>
        </w:rPr>
        <w:t xml:space="preserve"> par le fait que, parmi ces morts et ces blessés, beaucoup ne représentaient aucune menace imminente au moment où l</w:t>
      </w:r>
      <w:r w:rsidR="009D7A41">
        <w:rPr>
          <w:lang w:val="fr-FR"/>
        </w:rPr>
        <w:t>’</w:t>
      </w:r>
      <w:r>
        <w:rPr>
          <w:lang w:val="fr-FR"/>
        </w:rPr>
        <w:t>on a fait feu sur eux,</w:t>
      </w:r>
    </w:p>
    <w:p w:rsidR="00736EF1" w:rsidRPr="001F5981" w:rsidRDefault="00736EF1" w:rsidP="00976D30">
      <w:pPr>
        <w:pStyle w:val="SingleTxtG"/>
        <w:ind w:firstLine="567"/>
      </w:pPr>
      <w:r>
        <w:rPr>
          <w:i/>
          <w:iCs/>
          <w:lang w:val="fr-FR"/>
        </w:rPr>
        <w:t xml:space="preserve">Alarmé </w:t>
      </w:r>
      <w:r>
        <w:rPr>
          <w:lang w:val="fr-FR"/>
        </w:rPr>
        <w:t>par les nombreuses informations indiquant que les autorités israéliennes ont refusé et continuent de refuser aux Palestiniens blessés l</w:t>
      </w:r>
      <w:r w:rsidR="009D7A41">
        <w:rPr>
          <w:lang w:val="fr-FR"/>
        </w:rPr>
        <w:t>’</w:t>
      </w:r>
      <w:r>
        <w:rPr>
          <w:lang w:val="fr-FR"/>
        </w:rPr>
        <w:t>accès à des soins médicaux d</w:t>
      </w:r>
      <w:r w:rsidR="009D7A41">
        <w:rPr>
          <w:lang w:val="fr-FR"/>
        </w:rPr>
        <w:t>’</w:t>
      </w:r>
      <w:r>
        <w:rPr>
          <w:lang w:val="fr-FR"/>
        </w:rPr>
        <w:t>urgence,</w:t>
      </w:r>
    </w:p>
    <w:p w:rsidR="00736EF1" w:rsidRPr="001F5981" w:rsidRDefault="00736EF1" w:rsidP="00976D30">
      <w:pPr>
        <w:pStyle w:val="SingleTxtG"/>
        <w:ind w:firstLine="567"/>
      </w:pPr>
      <w:r>
        <w:rPr>
          <w:i/>
          <w:iCs/>
          <w:lang w:val="fr-FR"/>
        </w:rPr>
        <w:t xml:space="preserve">Constatant avec une vive préoccupation </w:t>
      </w:r>
      <w:r>
        <w:rPr>
          <w:lang w:val="fr-FR"/>
        </w:rPr>
        <w:t>que ces événements se produisent dans un contexte marqué par cinquante ans d</w:t>
      </w:r>
      <w:r w:rsidR="009D7A41">
        <w:rPr>
          <w:lang w:val="fr-FR"/>
        </w:rPr>
        <w:t>’</w:t>
      </w:r>
      <w:r>
        <w:rPr>
          <w:lang w:val="fr-FR"/>
        </w:rPr>
        <w:t>occupation du territoire palestinien, par le blocus de la bande de Gaza, qui est imposé depuis 2007, et la montée chez des hauts responsables du Gouvernement israélien et des membres des forces de sécurité israéliennes des discours de haine raciale et des incitations à la violence raciste visant les Palestiniens,</w:t>
      </w:r>
    </w:p>
    <w:p w:rsidR="00736EF1" w:rsidRPr="001F5981" w:rsidRDefault="00736EF1" w:rsidP="00976D30">
      <w:pPr>
        <w:pStyle w:val="SingleTxtG"/>
        <w:ind w:firstLine="567"/>
      </w:pPr>
      <w:r>
        <w:rPr>
          <w:i/>
          <w:iCs/>
          <w:lang w:val="fr-FR"/>
        </w:rPr>
        <w:t xml:space="preserve">Profondément préoccupé </w:t>
      </w:r>
      <w:r>
        <w:rPr>
          <w:lang w:val="fr-FR"/>
        </w:rPr>
        <w:t>par la persistance de l</w:t>
      </w:r>
      <w:r w:rsidR="009D7A41">
        <w:rPr>
          <w:lang w:val="fr-FR"/>
        </w:rPr>
        <w:t>’</w:t>
      </w:r>
      <w:r>
        <w:rPr>
          <w:lang w:val="fr-FR"/>
        </w:rPr>
        <w:t>application par Israël de mesures discriminatoires à l</w:t>
      </w:r>
      <w:r w:rsidR="009D7A41">
        <w:rPr>
          <w:lang w:val="fr-FR"/>
        </w:rPr>
        <w:t>’</w:t>
      </w:r>
      <w:r>
        <w:rPr>
          <w:lang w:val="fr-FR"/>
        </w:rPr>
        <w:t>égard des Palestiniens ainsi que par l</w:t>
      </w:r>
      <w:r w:rsidR="009D7A41">
        <w:rPr>
          <w:lang w:val="fr-FR"/>
        </w:rPr>
        <w:t>’</w:t>
      </w:r>
      <w:r>
        <w:rPr>
          <w:lang w:val="fr-FR"/>
        </w:rPr>
        <w:t>absence de mécanismes de responsabilisation adéquats permettant aux Palestiniens de demander justice pour les violations des droits de l</w:t>
      </w:r>
      <w:r w:rsidR="009D7A41">
        <w:rPr>
          <w:lang w:val="fr-FR"/>
        </w:rPr>
        <w:t>’</w:t>
      </w:r>
      <w:r>
        <w:rPr>
          <w:lang w:val="fr-FR"/>
        </w:rPr>
        <w:t>homme dont ils font l</w:t>
      </w:r>
      <w:r w:rsidR="009D7A41">
        <w:rPr>
          <w:lang w:val="fr-FR"/>
        </w:rPr>
        <w:t>’</w:t>
      </w:r>
      <w:r>
        <w:rPr>
          <w:lang w:val="fr-FR"/>
        </w:rPr>
        <w:t>objet et par l</w:t>
      </w:r>
      <w:r w:rsidR="009D7A41">
        <w:rPr>
          <w:lang w:val="fr-FR"/>
        </w:rPr>
        <w:t>’</w:t>
      </w:r>
      <w:r>
        <w:rPr>
          <w:lang w:val="fr-FR"/>
        </w:rPr>
        <w:t>absence d</w:t>
      </w:r>
      <w:r w:rsidR="009D7A41">
        <w:rPr>
          <w:lang w:val="fr-FR"/>
        </w:rPr>
        <w:t>’</w:t>
      </w:r>
      <w:r>
        <w:rPr>
          <w:lang w:val="fr-FR"/>
        </w:rPr>
        <w:t>obligation pour les membres des forces de sécurité israéliennes de répondre de leurs actes,</w:t>
      </w:r>
    </w:p>
    <w:p w:rsidR="00736EF1" w:rsidRPr="001F5981" w:rsidRDefault="00736EF1" w:rsidP="00976D30">
      <w:pPr>
        <w:pStyle w:val="SingleTxtG"/>
        <w:ind w:firstLine="567"/>
      </w:pPr>
      <w:r>
        <w:rPr>
          <w:i/>
          <w:iCs/>
          <w:lang w:val="fr-FR"/>
        </w:rPr>
        <w:t xml:space="preserve">Préoccupé </w:t>
      </w:r>
      <w:r>
        <w:rPr>
          <w:lang w:val="fr-FR"/>
        </w:rPr>
        <w:t>par le fait que, bien que l</w:t>
      </w:r>
      <w:r w:rsidR="009D7A41">
        <w:rPr>
          <w:lang w:val="fr-FR"/>
        </w:rPr>
        <w:t>’</w:t>
      </w:r>
      <w:r>
        <w:rPr>
          <w:lang w:val="fr-FR"/>
        </w:rPr>
        <w:t>État partie ait annoncé publiquement l</w:t>
      </w:r>
      <w:r w:rsidR="009D7A41">
        <w:rPr>
          <w:lang w:val="fr-FR"/>
        </w:rPr>
        <w:t>’</w:t>
      </w:r>
      <w:r>
        <w:rPr>
          <w:lang w:val="fr-FR"/>
        </w:rPr>
        <w:t>ouverture d</w:t>
      </w:r>
      <w:r w:rsidR="009D7A41">
        <w:rPr>
          <w:lang w:val="fr-FR"/>
        </w:rPr>
        <w:t>’</w:t>
      </w:r>
      <w:r>
        <w:rPr>
          <w:lang w:val="fr-FR"/>
        </w:rPr>
        <w:t>une enquête sur ces événements, aucune enquête impartiale n</w:t>
      </w:r>
      <w:r w:rsidR="009D7A41">
        <w:rPr>
          <w:lang w:val="fr-FR"/>
        </w:rPr>
        <w:t>’</w:t>
      </w:r>
      <w:r>
        <w:rPr>
          <w:lang w:val="fr-FR"/>
        </w:rPr>
        <w:t>a encore été entamée</w:t>
      </w:r>
      <w:r w:rsidRPr="000F77A5">
        <w:rPr>
          <w:lang w:val="fr-FR"/>
        </w:rPr>
        <w:t xml:space="preserve"> </w:t>
      </w:r>
      <w:r>
        <w:rPr>
          <w:lang w:val="fr-FR"/>
        </w:rPr>
        <w:t>par une entité indépendante,</w:t>
      </w:r>
    </w:p>
    <w:p w:rsidR="00736EF1" w:rsidRPr="001F5981" w:rsidRDefault="00736EF1" w:rsidP="00976D30">
      <w:pPr>
        <w:pStyle w:val="SingleTxtG"/>
        <w:ind w:firstLine="567"/>
      </w:pPr>
      <w:r>
        <w:rPr>
          <w:i/>
          <w:iCs/>
          <w:lang w:val="fr-FR"/>
        </w:rPr>
        <w:t xml:space="preserve">Rappelant </w:t>
      </w:r>
      <w:r>
        <w:rPr>
          <w:lang w:val="fr-FR"/>
        </w:rPr>
        <w:t>les dispositions de la Convention internationale sur l</w:t>
      </w:r>
      <w:r w:rsidR="009D7A41">
        <w:rPr>
          <w:lang w:val="fr-FR"/>
        </w:rPr>
        <w:t>’</w:t>
      </w:r>
      <w:r>
        <w:rPr>
          <w:lang w:val="fr-FR"/>
        </w:rPr>
        <w:t>élimination de toutes les formes de discrimination raciale, à laquelle Israël est partie depuis 1979, en particulier les obligations énoncées au paragraphe 1 de l</w:t>
      </w:r>
      <w:r w:rsidR="009D7A41">
        <w:rPr>
          <w:lang w:val="fr-FR"/>
        </w:rPr>
        <w:t>’</w:t>
      </w:r>
      <w:r>
        <w:rPr>
          <w:lang w:val="fr-FR"/>
        </w:rPr>
        <w:t>article 2, à l</w:t>
      </w:r>
      <w:r w:rsidR="009D7A41">
        <w:rPr>
          <w:lang w:val="fr-FR"/>
        </w:rPr>
        <w:t>’</w:t>
      </w:r>
      <w:r>
        <w:rPr>
          <w:lang w:val="fr-FR"/>
        </w:rPr>
        <w:t>article 4 et aux paragraphes b) et d) de l</w:t>
      </w:r>
      <w:r w:rsidR="009D7A41">
        <w:rPr>
          <w:lang w:val="fr-FR"/>
        </w:rPr>
        <w:t>’</w:t>
      </w:r>
      <w:r>
        <w:rPr>
          <w:lang w:val="fr-FR"/>
        </w:rPr>
        <w:t>article 5, ainsi que ses observations finales concernant le rapport valant quatorzième à seizième rapports périodiques d</w:t>
      </w:r>
      <w:r w:rsidR="009D7A41">
        <w:rPr>
          <w:lang w:val="fr-FR"/>
        </w:rPr>
        <w:t>’</w:t>
      </w:r>
      <w:r>
        <w:rPr>
          <w:lang w:val="fr-FR"/>
        </w:rPr>
        <w:t>Israël, publiées en 2012</w:t>
      </w:r>
      <w:r w:rsidRPr="000545AD">
        <w:rPr>
          <w:rStyle w:val="Appelnotedebasdep"/>
        </w:rPr>
        <w:footnoteReference w:id="5"/>
      </w:r>
      <w:r w:rsidR="008A43D2">
        <w:rPr>
          <w:lang w:val="fr-FR"/>
        </w:rPr>
        <w:t>, en particulier les paragraphes 10, 23, 24 et 26 de ce document</w:t>
      </w:r>
      <w:r>
        <w:rPr>
          <w:lang w:val="fr-FR"/>
        </w:rPr>
        <w:t>,</w:t>
      </w:r>
    </w:p>
    <w:p w:rsidR="00736EF1" w:rsidRPr="001F5981" w:rsidRDefault="00736EF1" w:rsidP="00976D30">
      <w:pPr>
        <w:pStyle w:val="SingleTxtG"/>
        <w:ind w:firstLine="567"/>
      </w:pPr>
      <w:r w:rsidRPr="009D376C">
        <w:rPr>
          <w:i/>
          <w:lang w:val="fr-FR"/>
        </w:rPr>
        <w:t>Engage instamment</w:t>
      </w:r>
      <w:r>
        <w:rPr>
          <w:lang w:val="fr-FR"/>
        </w:rPr>
        <w:t xml:space="preserve"> l</w:t>
      </w:r>
      <w:r w:rsidR="009D7A41">
        <w:rPr>
          <w:lang w:val="fr-FR"/>
        </w:rPr>
        <w:t>’</w:t>
      </w:r>
      <w:r>
        <w:rPr>
          <w:lang w:val="fr-FR"/>
        </w:rPr>
        <w:t>État partie à</w:t>
      </w:r>
      <w:r w:rsidR="00D725DA">
        <w:rPr>
          <w:lang w:val="fr-FR"/>
        </w:rPr>
        <w:t> :</w:t>
      </w:r>
    </w:p>
    <w:p w:rsidR="00736EF1" w:rsidRPr="001F5981" w:rsidRDefault="00736EF1" w:rsidP="00976D30">
      <w:pPr>
        <w:pStyle w:val="SingleTxtG"/>
        <w:ind w:firstLine="567"/>
      </w:pPr>
      <w:r>
        <w:rPr>
          <w:lang w:val="fr-FR"/>
        </w:rPr>
        <w:t>a)</w:t>
      </w:r>
      <w:r>
        <w:rPr>
          <w:lang w:val="fr-FR"/>
        </w:rPr>
        <w:tab/>
        <w:t>Mettre immédiatement fin à l</w:t>
      </w:r>
      <w:r w:rsidR="009D7A41">
        <w:rPr>
          <w:lang w:val="fr-FR"/>
        </w:rPr>
        <w:t>’</w:t>
      </w:r>
      <w:r>
        <w:rPr>
          <w:lang w:val="fr-FR"/>
        </w:rPr>
        <w:t>usage disproportionné de la force contre les manifestants palestiniens dans la bande de Gaza, s</w:t>
      </w:r>
      <w:r w:rsidR="009D7A41">
        <w:rPr>
          <w:lang w:val="fr-FR"/>
        </w:rPr>
        <w:t>’</w:t>
      </w:r>
      <w:r>
        <w:rPr>
          <w:lang w:val="fr-FR"/>
        </w:rPr>
        <w:t>abstenir de commettre tout acte susceptible de faire d</w:t>
      </w:r>
      <w:r w:rsidR="009D7A41">
        <w:rPr>
          <w:lang w:val="fr-FR"/>
        </w:rPr>
        <w:t>’</w:t>
      </w:r>
      <w:r>
        <w:rPr>
          <w:lang w:val="fr-FR"/>
        </w:rPr>
        <w:t>autres morts et blessés, et veiller à ce que les Palestiniens blessés puissent accéder rapidement et librement à des soins médicaux</w:t>
      </w:r>
      <w:r w:rsidR="00D725DA">
        <w:rPr>
          <w:lang w:val="fr-FR"/>
        </w:rPr>
        <w:t> ;</w:t>
      </w:r>
    </w:p>
    <w:p w:rsidR="00736EF1" w:rsidRPr="001F5981" w:rsidRDefault="00736EF1" w:rsidP="00976D30">
      <w:pPr>
        <w:pStyle w:val="SingleTxtG"/>
        <w:ind w:firstLine="567"/>
      </w:pPr>
      <w:r>
        <w:rPr>
          <w:lang w:val="fr-FR"/>
        </w:rPr>
        <w:t>b)</w:t>
      </w:r>
      <w:r>
        <w:rPr>
          <w:lang w:val="fr-FR"/>
        </w:rPr>
        <w:tab/>
        <w:t>Faire le nécessaire pour qu</w:t>
      </w:r>
      <w:r w:rsidR="009D7A41">
        <w:rPr>
          <w:lang w:val="fr-FR"/>
        </w:rPr>
        <w:t>’</w:t>
      </w:r>
      <w:r>
        <w:rPr>
          <w:lang w:val="fr-FR"/>
        </w:rPr>
        <w:t>une enquête impartiale sur l</w:t>
      </w:r>
      <w:r w:rsidR="009D7A41">
        <w:rPr>
          <w:lang w:val="fr-FR"/>
        </w:rPr>
        <w:t>’</w:t>
      </w:r>
      <w:r>
        <w:rPr>
          <w:lang w:val="fr-FR"/>
        </w:rPr>
        <w:t>usage de la force contre les manifestants palestiniens soit menée par une entité indépendante conformément aux normes internationales, et demander des comptes aux responsables</w:t>
      </w:r>
      <w:r w:rsidR="00D725DA">
        <w:rPr>
          <w:lang w:val="fr-FR"/>
        </w:rPr>
        <w:t> ;</w:t>
      </w:r>
    </w:p>
    <w:p w:rsidR="00736EF1" w:rsidRPr="001F5981" w:rsidRDefault="00736EF1" w:rsidP="00976D30">
      <w:pPr>
        <w:pStyle w:val="SingleTxtG"/>
        <w:ind w:firstLine="567"/>
      </w:pPr>
      <w:r>
        <w:rPr>
          <w:lang w:val="fr-FR"/>
        </w:rPr>
        <w:t>c)</w:t>
      </w:r>
      <w:r>
        <w:rPr>
          <w:lang w:val="fr-FR"/>
        </w:rPr>
        <w:tab/>
        <w:t>Faire en sorte que tous les Palestiniens qui se trouvent sous son contrôle effectif jouissent de l</w:t>
      </w:r>
      <w:r w:rsidR="009D7A41">
        <w:rPr>
          <w:lang w:val="fr-FR"/>
        </w:rPr>
        <w:t>’</w:t>
      </w:r>
      <w:r>
        <w:rPr>
          <w:lang w:val="fr-FR"/>
        </w:rPr>
        <w:t>ensemble des droits énoncés dans la Convention sans discrimination aucune, en particulier du droit à la vie et à la sécurité de la personne, de la liberté d</w:t>
      </w:r>
      <w:r w:rsidR="009D7A41">
        <w:rPr>
          <w:lang w:val="fr-FR"/>
        </w:rPr>
        <w:t>’</w:t>
      </w:r>
      <w:r>
        <w:rPr>
          <w:lang w:val="fr-FR"/>
        </w:rPr>
        <w:t>opinion et d</w:t>
      </w:r>
      <w:r w:rsidR="009D7A41">
        <w:rPr>
          <w:lang w:val="fr-FR"/>
        </w:rPr>
        <w:t>’</w:t>
      </w:r>
      <w:r>
        <w:rPr>
          <w:lang w:val="fr-FR"/>
        </w:rPr>
        <w:t>expression, et du droit à des soins médicaux</w:t>
      </w:r>
      <w:r w:rsidR="00D725DA">
        <w:rPr>
          <w:lang w:val="fr-FR"/>
        </w:rPr>
        <w:t> ;</w:t>
      </w:r>
    </w:p>
    <w:p w:rsidR="00736EF1" w:rsidRPr="001F5981" w:rsidRDefault="00736EF1" w:rsidP="00976D30">
      <w:pPr>
        <w:pStyle w:val="SingleTxtG"/>
        <w:ind w:firstLine="567"/>
      </w:pPr>
      <w:r>
        <w:rPr>
          <w:lang w:val="fr-FR"/>
        </w:rPr>
        <w:t>d)</w:t>
      </w:r>
      <w:r>
        <w:rPr>
          <w:lang w:val="fr-FR"/>
        </w:rPr>
        <w:tab/>
        <w:t>Prendre toutes les mesures voulues pour mettre pleinement en œuvre ses recommandations formulées en 2012, en particulier</w:t>
      </w:r>
      <w:r w:rsidR="00D725DA">
        <w:rPr>
          <w:lang w:val="fr-FR"/>
        </w:rPr>
        <w:t> :</w:t>
      </w:r>
    </w:p>
    <w:p w:rsidR="00736EF1" w:rsidRPr="001F5981" w:rsidRDefault="00736EF1" w:rsidP="00D06260">
      <w:pPr>
        <w:pStyle w:val="SingleTxtG"/>
        <w:ind w:left="1701"/>
      </w:pPr>
      <w:r>
        <w:rPr>
          <w:lang w:val="fr-FR"/>
        </w:rPr>
        <w:lastRenderedPageBreak/>
        <w:t>i)</w:t>
      </w:r>
      <w:r>
        <w:rPr>
          <w:lang w:val="fr-FR"/>
        </w:rPr>
        <w:tab/>
        <w:t>Respecter scrupuleusement les normes du droit humanitaire dans le Territoire palestinien occupé et lever le blocus de la bande de Gaza</w:t>
      </w:r>
      <w:r w:rsidR="00D725DA">
        <w:rPr>
          <w:lang w:val="fr-FR"/>
        </w:rPr>
        <w:t> ;</w:t>
      </w:r>
    </w:p>
    <w:p w:rsidR="00736EF1" w:rsidRDefault="00736EF1" w:rsidP="00D06260">
      <w:pPr>
        <w:pStyle w:val="SingleTxtG"/>
        <w:ind w:left="1701"/>
        <w:rPr>
          <w:lang w:val="fr-FR"/>
        </w:rPr>
      </w:pPr>
      <w:r>
        <w:rPr>
          <w:lang w:val="fr-FR"/>
        </w:rPr>
        <w:t>ii)</w:t>
      </w:r>
      <w:r>
        <w:rPr>
          <w:lang w:val="fr-FR"/>
        </w:rPr>
        <w:tab/>
        <w:t>Lutter contre la montée du racisme et de la xénophobie dans les discours publics, en particulier en condamnant fermement tous les propos racistes et xénophobes tenus par des responsables publics et des dirigeants politiques et religieux, et en prenant des mesures appropriées pour endiguer la prolifération d</w:t>
      </w:r>
      <w:r w:rsidR="009D7A41">
        <w:rPr>
          <w:lang w:val="fr-FR"/>
        </w:rPr>
        <w:t>’</w:t>
      </w:r>
      <w:r>
        <w:rPr>
          <w:lang w:val="fr-FR"/>
        </w:rPr>
        <w:t>actes racistes et de manifestations de discours de haine raciale ciblant en particulier les Palestiniens vivant dans les territoires placés sous le contrôle effectif de l</w:t>
      </w:r>
      <w:r w:rsidR="009D7A41">
        <w:rPr>
          <w:lang w:val="fr-FR"/>
        </w:rPr>
        <w:t>’</w:t>
      </w:r>
      <w:r>
        <w:rPr>
          <w:lang w:val="fr-FR"/>
        </w:rPr>
        <w:t>État partie. »</w:t>
      </w:r>
      <w:r w:rsidR="00D06260">
        <w:rPr>
          <w:lang w:val="fr-FR"/>
        </w:rPr>
        <w:t>.</w:t>
      </w:r>
    </w:p>
    <w:p w:rsidR="009802FC" w:rsidRPr="00E66270" w:rsidRDefault="0024098B" w:rsidP="00D06260">
      <w:pPr>
        <w:pStyle w:val="H1G"/>
        <w:rPr>
          <w:lang w:val="fr-FR"/>
        </w:rPr>
      </w:pPr>
      <w:bookmarkStart w:id="9" w:name="_Toc428794288"/>
      <w:r>
        <w:rPr>
          <w:lang w:val="fr-FR"/>
        </w:rPr>
        <w:tab/>
      </w:r>
      <w:r w:rsidR="009802FC">
        <w:rPr>
          <w:lang w:val="fr-FR"/>
        </w:rPr>
        <w:t>C.</w:t>
      </w:r>
      <w:r w:rsidR="009802FC">
        <w:rPr>
          <w:lang w:val="fr-FR"/>
        </w:rPr>
        <w:tab/>
        <w:t>Examen de la situation au titre des procédures d</w:t>
      </w:r>
      <w:r w:rsidR="009D7A41">
        <w:rPr>
          <w:lang w:val="fr-FR"/>
        </w:rPr>
        <w:t>’</w:t>
      </w:r>
      <w:r w:rsidR="009802FC">
        <w:rPr>
          <w:lang w:val="fr-FR"/>
        </w:rPr>
        <w:t xml:space="preserve">alerte rapide </w:t>
      </w:r>
      <w:r w:rsidR="00D06260">
        <w:rPr>
          <w:lang w:val="fr-FR"/>
        </w:rPr>
        <w:br/>
      </w:r>
      <w:r w:rsidR="009802FC">
        <w:rPr>
          <w:lang w:val="fr-FR"/>
        </w:rPr>
        <w:t>et d</w:t>
      </w:r>
      <w:r w:rsidR="009D7A41">
        <w:rPr>
          <w:lang w:val="fr-FR"/>
        </w:rPr>
        <w:t>’</w:t>
      </w:r>
      <w:r w:rsidR="009802FC">
        <w:rPr>
          <w:lang w:val="fr-FR"/>
        </w:rPr>
        <w:t>action urgente</w:t>
      </w:r>
    </w:p>
    <w:p w:rsidR="009802FC" w:rsidRPr="00E66270" w:rsidRDefault="009802FC" w:rsidP="00D06260">
      <w:pPr>
        <w:pStyle w:val="SingleTxtG"/>
        <w:rPr>
          <w:lang w:val="fr-FR"/>
        </w:rPr>
      </w:pPr>
      <w:r>
        <w:rPr>
          <w:lang w:val="fr-FR"/>
        </w:rPr>
        <w:t>19.</w:t>
      </w:r>
      <w:r>
        <w:rPr>
          <w:lang w:val="fr-FR"/>
        </w:rPr>
        <w:tab/>
        <w:t>Au cours de la période considérée, le Comité a examiné un certain nombre de situations au titre de ses procédures d</w:t>
      </w:r>
      <w:r w:rsidR="009D7A41">
        <w:rPr>
          <w:lang w:val="fr-FR"/>
        </w:rPr>
        <w:t>’</w:t>
      </w:r>
      <w:r>
        <w:rPr>
          <w:lang w:val="fr-FR"/>
        </w:rPr>
        <w:t>alerte rapide et d</w:t>
      </w:r>
      <w:r w:rsidR="009D7A41">
        <w:rPr>
          <w:lang w:val="fr-FR"/>
        </w:rPr>
        <w:t>’</w:t>
      </w:r>
      <w:r>
        <w:rPr>
          <w:lang w:val="fr-FR"/>
        </w:rPr>
        <w:t>action urgente, en particulier les situations ci-après.</w:t>
      </w:r>
    </w:p>
    <w:p w:rsidR="009802FC" w:rsidRPr="009869D8" w:rsidRDefault="009802FC" w:rsidP="00D06260">
      <w:pPr>
        <w:pStyle w:val="SingleTxtG"/>
        <w:rPr>
          <w:lang w:val="fr-FR"/>
        </w:rPr>
      </w:pPr>
      <w:r w:rsidRPr="009869D8">
        <w:rPr>
          <w:lang w:val="fr-FR"/>
        </w:rPr>
        <w:t>20.</w:t>
      </w:r>
      <w:r w:rsidRPr="009869D8">
        <w:rPr>
          <w:lang w:val="fr-FR"/>
        </w:rPr>
        <w:tab/>
        <w:t xml:space="preserve">Le 11 mai 2018, le Comité a adressé une lettre au Gouvernement chilien concernant la situation des peuples autochtones mapuches touchés par des projets immobiliers et touristiques dans les zones humides de Chankafiel, qui </w:t>
      </w:r>
      <w:r>
        <w:rPr>
          <w:lang w:val="fr-FR"/>
        </w:rPr>
        <w:t>auraient des répercussions négatives sur</w:t>
      </w:r>
      <w:r w:rsidRPr="009869D8">
        <w:rPr>
          <w:lang w:val="fr-FR"/>
        </w:rPr>
        <w:t xml:space="preserve"> leurs ressources économiques, environnementales, sociales et culturelles.</w:t>
      </w:r>
      <w:r>
        <w:rPr>
          <w:lang w:val="fr-FR"/>
        </w:rPr>
        <w:t xml:space="preserve"> </w:t>
      </w:r>
      <w:r w:rsidRPr="009869D8">
        <w:rPr>
          <w:lang w:val="fr-FR"/>
        </w:rPr>
        <w:t xml:space="preserve">Le Comité a demandé des </w:t>
      </w:r>
      <w:r>
        <w:rPr>
          <w:lang w:val="fr-FR"/>
        </w:rPr>
        <w:t>renseignements</w:t>
      </w:r>
      <w:r w:rsidRPr="009869D8">
        <w:rPr>
          <w:lang w:val="fr-FR"/>
        </w:rPr>
        <w:t xml:space="preserve"> sur toute consultation préalable </w:t>
      </w:r>
      <w:r>
        <w:rPr>
          <w:lang w:val="fr-FR"/>
        </w:rPr>
        <w:t xml:space="preserve">tenue </w:t>
      </w:r>
      <w:r w:rsidRPr="009869D8">
        <w:rPr>
          <w:lang w:val="fr-FR"/>
        </w:rPr>
        <w:t xml:space="preserve">avec les peuples autochtones mapuches et sur les mesures pertinentes qui </w:t>
      </w:r>
      <w:r>
        <w:rPr>
          <w:lang w:val="fr-FR"/>
        </w:rPr>
        <w:t>avaient</w:t>
      </w:r>
      <w:r w:rsidRPr="009869D8">
        <w:rPr>
          <w:lang w:val="fr-FR"/>
        </w:rPr>
        <w:t xml:space="preserve"> été adoptées pour que les projets immobiliers, touristiques et autres soient conformes aux normes internationales et aux exigences établies dans la législation environnementale en vigueur, y compris le droit au consentement préalable, libre et éclairé des peuples autochtones et </w:t>
      </w:r>
      <w:r>
        <w:rPr>
          <w:lang w:val="fr-FR"/>
        </w:rPr>
        <w:t>la réalisation d</w:t>
      </w:r>
      <w:r w:rsidR="009D7A41">
        <w:rPr>
          <w:lang w:val="fr-FR"/>
        </w:rPr>
        <w:t>’</w:t>
      </w:r>
      <w:r w:rsidRPr="009869D8">
        <w:rPr>
          <w:lang w:val="fr-FR"/>
        </w:rPr>
        <w:t>études</w:t>
      </w:r>
      <w:r>
        <w:rPr>
          <w:lang w:val="fr-FR"/>
        </w:rPr>
        <w:t xml:space="preserve"> d</w:t>
      </w:r>
      <w:r w:rsidR="009D7A41">
        <w:rPr>
          <w:lang w:val="fr-FR"/>
        </w:rPr>
        <w:t>’</w:t>
      </w:r>
      <w:r w:rsidR="008A43D2">
        <w:rPr>
          <w:lang w:val="fr-FR"/>
        </w:rPr>
        <w:t>impact socio</w:t>
      </w:r>
      <w:r>
        <w:rPr>
          <w:lang w:val="fr-FR"/>
        </w:rPr>
        <w:t>environnemental</w:t>
      </w:r>
      <w:r w:rsidRPr="009869D8">
        <w:rPr>
          <w:lang w:val="fr-FR"/>
        </w:rPr>
        <w:t xml:space="preserve">. </w:t>
      </w:r>
    </w:p>
    <w:p w:rsidR="009802FC" w:rsidRPr="00F66186" w:rsidRDefault="009802FC" w:rsidP="00D06260">
      <w:pPr>
        <w:pStyle w:val="SingleTxtG"/>
        <w:rPr>
          <w:lang w:val="fr-FR"/>
        </w:rPr>
      </w:pPr>
      <w:r w:rsidRPr="004315B8">
        <w:rPr>
          <w:lang w:val="fr-FR"/>
        </w:rPr>
        <w:t>21.</w:t>
      </w:r>
      <w:r w:rsidRPr="004315B8">
        <w:rPr>
          <w:lang w:val="fr-FR"/>
        </w:rPr>
        <w:tab/>
        <w:t>Le 17 mai 2018, le Comité a adressé une lettre au Gouvernement guyanien concernant les villages de Tassarene et de Kangaruma, qui ont tenté sans succès de vérifier le statut de leurs titres et d</w:t>
      </w:r>
      <w:r w:rsidR="009D7A41">
        <w:rPr>
          <w:lang w:val="fr-FR"/>
        </w:rPr>
        <w:t>’</w:t>
      </w:r>
      <w:r w:rsidRPr="004315B8">
        <w:rPr>
          <w:lang w:val="fr-FR"/>
        </w:rPr>
        <w:t>obtenir des titres légaux conformément à la loi de 2006 sur l</w:t>
      </w:r>
      <w:r>
        <w:rPr>
          <w:lang w:val="fr-FR"/>
        </w:rPr>
        <w:t>es Amérindiens</w:t>
      </w:r>
      <w:r w:rsidRPr="004315B8">
        <w:rPr>
          <w:lang w:val="fr-FR"/>
        </w:rPr>
        <w:t xml:space="preserve">. </w:t>
      </w:r>
      <w:r w:rsidRPr="002028B0">
        <w:rPr>
          <w:lang w:val="fr-FR"/>
        </w:rPr>
        <w:t xml:space="preserve">Le Comité a également évoqué la situation du peuple </w:t>
      </w:r>
      <w:r>
        <w:rPr>
          <w:lang w:val="fr-FR"/>
        </w:rPr>
        <w:t>w</w:t>
      </w:r>
      <w:r w:rsidRPr="002028B0">
        <w:rPr>
          <w:lang w:val="fr-FR"/>
        </w:rPr>
        <w:t xml:space="preserve">apichan et </w:t>
      </w:r>
      <w:r>
        <w:rPr>
          <w:lang w:val="fr-FR"/>
        </w:rPr>
        <w:t>l</w:t>
      </w:r>
      <w:r w:rsidR="009D7A41">
        <w:rPr>
          <w:lang w:val="fr-FR"/>
        </w:rPr>
        <w:t>’</w:t>
      </w:r>
      <w:r>
        <w:rPr>
          <w:lang w:val="fr-FR"/>
        </w:rPr>
        <w:t>octroi de</w:t>
      </w:r>
      <w:r w:rsidRPr="002028B0">
        <w:rPr>
          <w:lang w:val="fr-FR"/>
        </w:rPr>
        <w:t xml:space="preserve"> nouvelles concessions sur le mont Marudi </w:t>
      </w:r>
      <w:r>
        <w:rPr>
          <w:lang w:val="fr-FR"/>
        </w:rPr>
        <w:t>alors qu</w:t>
      </w:r>
      <w:r w:rsidR="009D7A41">
        <w:rPr>
          <w:lang w:val="fr-FR"/>
        </w:rPr>
        <w:t>’</w:t>
      </w:r>
      <w:r>
        <w:rPr>
          <w:lang w:val="fr-FR"/>
        </w:rPr>
        <w:t xml:space="preserve">aucune </w:t>
      </w:r>
      <w:r w:rsidR="008A43D2">
        <w:rPr>
          <w:lang w:val="fr-FR"/>
        </w:rPr>
        <w:t xml:space="preserve">mesure </w:t>
      </w:r>
      <w:r>
        <w:rPr>
          <w:lang w:val="fr-FR"/>
        </w:rPr>
        <w:t>n</w:t>
      </w:r>
      <w:r w:rsidR="009D7A41">
        <w:rPr>
          <w:lang w:val="fr-FR"/>
        </w:rPr>
        <w:t>’</w:t>
      </w:r>
      <w:r>
        <w:rPr>
          <w:lang w:val="fr-FR"/>
        </w:rPr>
        <w:t xml:space="preserve">avait </w:t>
      </w:r>
      <w:r w:rsidRPr="002028B0">
        <w:rPr>
          <w:lang w:val="fr-FR"/>
        </w:rPr>
        <w:t xml:space="preserve">été prise pour consulter et obtenir le </w:t>
      </w:r>
      <w:r>
        <w:rPr>
          <w:lang w:val="fr-FR"/>
        </w:rPr>
        <w:t>consentement du peuple wapichan</w:t>
      </w:r>
      <w:r w:rsidRPr="002028B0">
        <w:rPr>
          <w:lang w:val="fr-FR"/>
        </w:rPr>
        <w:t xml:space="preserve">. </w:t>
      </w:r>
      <w:r w:rsidRPr="00F66186">
        <w:rPr>
          <w:lang w:val="fr-FR"/>
        </w:rPr>
        <w:t>Le Comité a demandé à l</w:t>
      </w:r>
      <w:r w:rsidR="009D7A41">
        <w:rPr>
          <w:lang w:val="fr-FR"/>
        </w:rPr>
        <w:t>’</w:t>
      </w:r>
      <w:r w:rsidRPr="00F66186">
        <w:rPr>
          <w:lang w:val="fr-FR"/>
        </w:rPr>
        <w:t xml:space="preserve">État partie de fournir des </w:t>
      </w:r>
      <w:r>
        <w:rPr>
          <w:lang w:val="fr-FR"/>
        </w:rPr>
        <w:t>renseignements</w:t>
      </w:r>
      <w:r w:rsidRPr="009869D8">
        <w:rPr>
          <w:lang w:val="fr-FR"/>
        </w:rPr>
        <w:t xml:space="preserve"> </w:t>
      </w:r>
      <w:r w:rsidRPr="00F66186">
        <w:rPr>
          <w:lang w:val="fr-FR"/>
        </w:rPr>
        <w:t xml:space="preserve">sur, entre autres, les mesures prises </w:t>
      </w:r>
      <w:r>
        <w:rPr>
          <w:lang w:val="fr-FR"/>
        </w:rPr>
        <w:t>afin de</w:t>
      </w:r>
      <w:r w:rsidRPr="00F66186">
        <w:rPr>
          <w:lang w:val="fr-FR"/>
        </w:rPr>
        <w:t xml:space="preserve"> </w:t>
      </w:r>
      <w:r>
        <w:rPr>
          <w:lang w:val="fr-FR"/>
        </w:rPr>
        <w:t>cesser</w:t>
      </w:r>
      <w:r w:rsidRPr="00F66186">
        <w:rPr>
          <w:lang w:val="fr-FR"/>
        </w:rPr>
        <w:t xml:space="preserve"> d</w:t>
      </w:r>
      <w:r w:rsidR="009D7A41">
        <w:rPr>
          <w:lang w:val="fr-FR"/>
        </w:rPr>
        <w:t>’</w:t>
      </w:r>
      <w:r w:rsidRPr="00F66186">
        <w:rPr>
          <w:lang w:val="fr-FR"/>
        </w:rPr>
        <w:t>approuver des projets et d</w:t>
      </w:r>
      <w:r w:rsidR="009D7A41">
        <w:rPr>
          <w:lang w:val="fr-FR"/>
        </w:rPr>
        <w:t>’</w:t>
      </w:r>
      <w:r w:rsidRPr="00F66186">
        <w:rPr>
          <w:lang w:val="fr-FR"/>
        </w:rPr>
        <w:t>accorder des concessions minières qui portent atteinte aux terres, territoires ou ressources des peuples autochtones sans demander leur consentem</w:t>
      </w:r>
      <w:r>
        <w:rPr>
          <w:lang w:val="fr-FR"/>
        </w:rPr>
        <w:t>ent préalable, libre et éclairé</w:t>
      </w:r>
      <w:r w:rsidRPr="00F66186">
        <w:rPr>
          <w:lang w:val="fr-FR"/>
        </w:rPr>
        <w:t>.</w:t>
      </w:r>
    </w:p>
    <w:p w:rsidR="009802FC" w:rsidRPr="002B0584" w:rsidRDefault="009802FC" w:rsidP="00D06260">
      <w:pPr>
        <w:pStyle w:val="SingleTxtG"/>
        <w:rPr>
          <w:lang w:val="fr-FR"/>
        </w:rPr>
      </w:pPr>
      <w:r w:rsidRPr="002B0584">
        <w:rPr>
          <w:lang w:val="fr-FR"/>
        </w:rPr>
        <w:t>22.</w:t>
      </w:r>
      <w:r w:rsidRPr="002B0584">
        <w:rPr>
          <w:lang w:val="fr-FR"/>
        </w:rPr>
        <w:tab/>
        <w:t xml:space="preserve">Le Comité a remercié le Gouvernement indonésien pour sa réponse, reçue le 3 août 2017, à la lettre précédente du Comité, datée du 13 décembre 2016, et lui a recommandé de soumettre sans tarder </w:t>
      </w:r>
      <w:r>
        <w:rPr>
          <w:lang w:val="fr-FR"/>
        </w:rPr>
        <w:t>son rapport valant</w:t>
      </w:r>
      <w:r w:rsidRPr="002B0584">
        <w:rPr>
          <w:lang w:val="fr-FR"/>
        </w:rPr>
        <w:t xml:space="preserve"> quatrième à sixième rapports </w:t>
      </w:r>
      <w:r>
        <w:rPr>
          <w:lang w:val="fr-FR"/>
        </w:rPr>
        <w:t>périodiques</w:t>
      </w:r>
      <w:r w:rsidRPr="002B0584">
        <w:rPr>
          <w:lang w:val="fr-FR"/>
        </w:rPr>
        <w:t xml:space="preserve">. </w:t>
      </w:r>
    </w:p>
    <w:p w:rsidR="009802FC" w:rsidRPr="00B64B49" w:rsidRDefault="009802FC" w:rsidP="00D06260">
      <w:pPr>
        <w:pStyle w:val="SingleTxtG"/>
        <w:rPr>
          <w:lang w:val="fr-FR"/>
        </w:rPr>
      </w:pPr>
      <w:r w:rsidRPr="00B64B49">
        <w:rPr>
          <w:lang w:val="fr-FR"/>
        </w:rPr>
        <w:t>23.</w:t>
      </w:r>
      <w:r w:rsidRPr="00B64B49">
        <w:rPr>
          <w:lang w:val="fr-FR"/>
        </w:rPr>
        <w:tab/>
        <w:t xml:space="preserve">Le 4 mai 2018, </w:t>
      </w:r>
      <w:r>
        <w:rPr>
          <w:lang w:val="fr-FR"/>
        </w:rPr>
        <w:t>à</w:t>
      </w:r>
      <w:r w:rsidRPr="00B64B49">
        <w:rPr>
          <w:lang w:val="fr-FR"/>
        </w:rPr>
        <w:t xml:space="preserve"> sa quatre-vingt-quinzième session, les membres du groupe de travail du Comité sur l</w:t>
      </w:r>
      <w:r w:rsidR="009D7A41">
        <w:rPr>
          <w:lang w:val="fr-FR"/>
        </w:rPr>
        <w:t>’</w:t>
      </w:r>
      <w:r w:rsidRPr="00B64B49">
        <w:rPr>
          <w:lang w:val="fr-FR"/>
        </w:rPr>
        <w:t>alerte rapide et l</w:t>
      </w:r>
      <w:r w:rsidR="009D7A41">
        <w:rPr>
          <w:lang w:val="fr-FR"/>
        </w:rPr>
        <w:t>’</w:t>
      </w:r>
      <w:r w:rsidRPr="00B64B49">
        <w:rPr>
          <w:lang w:val="fr-FR"/>
        </w:rPr>
        <w:t>action urgente ont rencontré la Mission permanente de l</w:t>
      </w:r>
      <w:r w:rsidR="009D7A41">
        <w:rPr>
          <w:lang w:val="fr-FR"/>
        </w:rPr>
        <w:t>’</w:t>
      </w:r>
      <w:r w:rsidRPr="00B64B49">
        <w:rPr>
          <w:lang w:val="fr-FR"/>
        </w:rPr>
        <w:t xml:space="preserve">Inde pour discuter des lettres que le Comité avait </w:t>
      </w:r>
      <w:r>
        <w:rPr>
          <w:lang w:val="fr-FR"/>
        </w:rPr>
        <w:t>adressées</w:t>
      </w:r>
      <w:r w:rsidRPr="00B64B49">
        <w:rPr>
          <w:lang w:val="fr-FR"/>
        </w:rPr>
        <w:t xml:space="preserve"> à l</w:t>
      </w:r>
      <w:r w:rsidR="009D7A41">
        <w:rPr>
          <w:lang w:val="fr-FR"/>
        </w:rPr>
        <w:t>’</w:t>
      </w:r>
      <w:r w:rsidRPr="00B64B49">
        <w:rPr>
          <w:lang w:val="fr-FR"/>
        </w:rPr>
        <w:t>Inde dans le cadre des procédures d</w:t>
      </w:r>
      <w:r w:rsidR="009D7A41">
        <w:rPr>
          <w:lang w:val="fr-FR"/>
        </w:rPr>
        <w:t>’</w:t>
      </w:r>
      <w:r w:rsidRPr="00B64B49">
        <w:rPr>
          <w:lang w:val="fr-FR"/>
        </w:rPr>
        <w:t>al</w:t>
      </w:r>
      <w:r>
        <w:rPr>
          <w:lang w:val="fr-FR"/>
        </w:rPr>
        <w:t>erte rapide et d</w:t>
      </w:r>
      <w:r w:rsidR="009D7A41">
        <w:rPr>
          <w:lang w:val="fr-FR"/>
        </w:rPr>
        <w:t>’</w:t>
      </w:r>
      <w:r>
        <w:rPr>
          <w:lang w:val="fr-FR"/>
        </w:rPr>
        <w:t>action urgente</w:t>
      </w:r>
      <w:r w:rsidRPr="00B64B49">
        <w:rPr>
          <w:lang w:val="fr-FR"/>
        </w:rPr>
        <w:t xml:space="preserve">. </w:t>
      </w:r>
    </w:p>
    <w:p w:rsidR="00E028AE" w:rsidRPr="009772CA" w:rsidRDefault="0024098B" w:rsidP="009772CA">
      <w:pPr>
        <w:pStyle w:val="HChG"/>
        <w:rPr>
          <w:lang w:val="fr-FR"/>
        </w:rPr>
      </w:pPr>
      <w:r w:rsidRPr="00B64B49">
        <w:rPr>
          <w:lang w:val="fr-FR"/>
        </w:rPr>
        <w:br w:type="page"/>
      </w:r>
      <w:bookmarkEnd w:id="9"/>
      <w:r w:rsidR="00E028AE" w:rsidRPr="00B64B49">
        <w:rPr>
          <w:lang w:val="fr-FR"/>
        </w:rPr>
        <w:lastRenderedPageBreak/>
        <w:tab/>
      </w:r>
      <w:r w:rsidR="00E028AE" w:rsidRPr="009772CA">
        <w:rPr>
          <w:lang w:val="fr-FR"/>
        </w:rPr>
        <w:t>III.</w:t>
      </w:r>
      <w:r w:rsidR="00E028AE" w:rsidRPr="009772CA">
        <w:rPr>
          <w:lang w:val="fr-FR"/>
        </w:rPr>
        <w:tab/>
        <w:t xml:space="preserve">Examen des rapports, observations et renseignements </w:t>
      </w:r>
      <w:r w:rsidR="009772CA">
        <w:rPr>
          <w:lang w:val="fr-FR"/>
        </w:rPr>
        <w:br/>
      </w:r>
      <w:r w:rsidR="00E028AE" w:rsidRPr="009772CA">
        <w:rPr>
          <w:lang w:val="fr-FR"/>
        </w:rPr>
        <w:t>soumis par les États part</w:t>
      </w:r>
      <w:r w:rsidR="009772CA">
        <w:rPr>
          <w:lang w:val="fr-FR"/>
        </w:rPr>
        <w:t>ies en application de l</w:t>
      </w:r>
      <w:r w:rsidR="009D7A41">
        <w:rPr>
          <w:lang w:val="fr-FR"/>
        </w:rPr>
        <w:t>’</w:t>
      </w:r>
      <w:r w:rsidR="009772CA">
        <w:rPr>
          <w:lang w:val="fr-FR"/>
        </w:rPr>
        <w:t>article </w:t>
      </w:r>
      <w:r w:rsidR="00E028AE" w:rsidRPr="009772CA">
        <w:rPr>
          <w:lang w:val="fr-FR"/>
        </w:rPr>
        <w:t xml:space="preserve">9 </w:t>
      </w:r>
      <w:r w:rsidR="009772CA">
        <w:rPr>
          <w:lang w:val="fr-FR"/>
        </w:rPr>
        <w:br/>
      </w:r>
      <w:r w:rsidR="00E028AE" w:rsidRPr="009772CA">
        <w:rPr>
          <w:lang w:val="fr-FR"/>
        </w:rPr>
        <w:t>de la Convention</w:t>
      </w:r>
      <w:bookmarkStart w:id="10" w:name="_Toc428794287"/>
      <w:bookmarkEnd w:id="10"/>
    </w:p>
    <w:p w:rsidR="00E028AE" w:rsidRPr="00BF34E1" w:rsidRDefault="00E028AE" w:rsidP="009772CA">
      <w:pPr>
        <w:pStyle w:val="SingleTxtG"/>
        <w:rPr>
          <w:lang w:val="fr-FR"/>
        </w:rPr>
      </w:pPr>
      <w:r w:rsidRPr="009772CA">
        <w:rPr>
          <w:lang w:val="fr-FR"/>
        </w:rPr>
        <w:t>24.</w:t>
      </w:r>
      <w:r w:rsidRPr="009772CA">
        <w:rPr>
          <w:lang w:val="fr-FR"/>
        </w:rPr>
        <w:tab/>
        <w:t>À sa quatre-vingt-treizième session, le Comité a adopté des observations finales concernant les huit États parties suivants</w:t>
      </w:r>
      <w:r w:rsidR="00D725DA">
        <w:rPr>
          <w:lang w:val="fr-FR"/>
        </w:rPr>
        <w:t> :</w:t>
      </w:r>
      <w:r w:rsidRPr="009772CA">
        <w:rPr>
          <w:lang w:val="fr-FR"/>
        </w:rPr>
        <w:t xml:space="preserve"> Canada (</w:t>
      </w:r>
      <w:hyperlink r:id="rId27" w:history="1">
        <w:r w:rsidRPr="009C7693">
          <w:rPr>
            <w:rStyle w:val="Lienhypertexte"/>
            <w:lang w:val="fr-FR"/>
          </w:rPr>
          <w:t>CERD/C/C/CAN/CO/21-23</w:t>
        </w:r>
      </w:hyperlink>
      <w:r w:rsidRPr="009772CA">
        <w:rPr>
          <w:lang w:val="fr-FR"/>
        </w:rPr>
        <w:t>), Djibouti (</w:t>
      </w:r>
      <w:hyperlink r:id="rId28" w:history="1">
        <w:r w:rsidRPr="00380BA2">
          <w:rPr>
            <w:rStyle w:val="Lienhypertexte"/>
            <w:lang w:val="fr-FR"/>
          </w:rPr>
          <w:t>CERD/C/DJI/CO/1-2</w:t>
        </w:r>
      </w:hyperlink>
      <w:r w:rsidRPr="009772CA">
        <w:rPr>
          <w:lang w:val="fr-FR"/>
        </w:rPr>
        <w:t xml:space="preserve">), </w:t>
      </w:r>
      <w:r w:rsidR="008A43D2" w:rsidRPr="009772CA">
        <w:rPr>
          <w:lang w:val="fr-FR"/>
        </w:rPr>
        <w:t>Émirats arabes unis (</w:t>
      </w:r>
      <w:hyperlink r:id="rId29" w:history="1">
        <w:r w:rsidR="008A43D2" w:rsidRPr="00380BA2">
          <w:rPr>
            <w:rStyle w:val="Lienhypertexte"/>
            <w:lang w:val="fr-FR"/>
          </w:rPr>
          <w:t>CERD/C/ARE/CO/18-21</w:t>
        </w:r>
      </w:hyperlink>
      <w:r w:rsidR="008A43D2" w:rsidRPr="009772CA">
        <w:rPr>
          <w:lang w:val="fr-FR"/>
        </w:rPr>
        <w:t>)</w:t>
      </w:r>
      <w:r w:rsidR="008A43D2">
        <w:rPr>
          <w:lang w:val="fr-FR"/>
        </w:rPr>
        <w:t xml:space="preserve">, </w:t>
      </w:r>
      <w:r w:rsidRPr="009772CA">
        <w:rPr>
          <w:lang w:val="fr-FR"/>
        </w:rPr>
        <w:t>Équateur (</w:t>
      </w:r>
      <w:hyperlink r:id="rId30" w:history="1">
        <w:r w:rsidRPr="00380BA2">
          <w:rPr>
            <w:rStyle w:val="Lienhypertexte"/>
            <w:lang w:val="fr-FR"/>
          </w:rPr>
          <w:t>CERD/C/ECU/CO/23-24</w:t>
        </w:r>
      </w:hyperlink>
      <w:r w:rsidRPr="009772CA">
        <w:rPr>
          <w:lang w:val="fr-FR"/>
        </w:rPr>
        <w:t xml:space="preserve">), </w:t>
      </w:r>
      <w:r w:rsidR="008A43D2" w:rsidRPr="009772CA">
        <w:rPr>
          <w:lang w:val="fr-FR"/>
        </w:rPr>
        <w:t>Fédération de Russie (</w:t>
      </w:r>
      <w:hyperlink r:id="rId31" w:history="1">
        <w:r w:rsidR="008A43D2" w:rsidRPr="00380BA2">
          <w:rPr>
            <w:rStyle w:val="Lienhypertexte"/>
            <w:lang w:val="fr-FR"/>
          </w:rPr>
          <w:t>CERD/C/RUS/CO/23-24</w:t>
        </w:r>
      </w:hyperlink>
      <w:r w:rsidR="008A43D2" w:rsidRPr="009772CA">
        <w:rPr>
          <w:lang w:val="fr-FR"/>
        </w:rPr>
        <w:t>),</w:t>
      </w:r>
      <w:r w:rsidR="008A43D2">
        <w:rPr>
          <w:lang w:val="fr-FR"/>
        </w:rPr>
        <w:t xml:space="preserve"> </w:t>
      </w:r>
      <w:r w:rsidRPr="009772CA">
        <w:rPr>
          <w:lang w:val="fr-FR"/>
        </w:rPr>
        <w:t>Koweït (</w:t>
      </w:r>
      <w:hyperlink r:id="rId32" w:history="1">
        <w:r w:rsidRPr="00380BA2">
          <w:rPr>
            <w:rStyle w:val="Lienhypertexte"/>
            <w:lang w:val="fr-FR"/>
          </w:rPr>
          <w:t>CERD/C/KWT/</w:t>
        </w:r>
        <w:r w:rsidR="00D84546" w:rsidRPr="00380BA2">
          <w:rPr>
            <w:rStyle w:val="Lienhypertexte"/>
            <w:lang w:val="fr-FR"/>
          </w:rPr>
          <w:t xml:space="preserve"> </w:t>
        </w:r>
        <w:r w:rsidRPr="00380BA2">
          <w:rPr>
            <w:rStyle w:val="Lienhypertexte"/>
            <w:lang w:val="fr-FR"/>
          </w:rPr>
          <w:t>CO/21-24</w:t>
        </w:r>
      </w:hyperlink>
      <w:r w:rsidRPr="009772CA">
        <w:rPr>
          <w:lang w:val="fr-FR"/>
        </w:rPr>
        <w:t>), Nouvelle-Zélande (</w:t>
      </w:r>
      <w:hyperlink r:id="rId33" w:history="1">
        <w:r w:rsidRPr="00380BA2">
          <w:rPr>
            <w:rStyle w:val="Lienhypertexte"/>
            <w:lang w:val="fr-FR"/>
          </w:rPr>
          <w:t>CERD/C/NZL/CO/21-22</w:t>
        </w:r>
      </w:hyperlink>
      <w:r w:rsidRPr="009772CA">
        <w:rPr>
          <w:lang w:val="fr-FR"/>
        </w:rPr>
        <w:t>)</w:t>
      </w:r>
      <w:r w:rsidR="008A43D2">
        <w:rPr>
          <w:lang w:val="fr-FR"/>
        </w:rPr>
        <w:t xml:space="preserve"> et</w:t>
      </w:r>
      <w:r w:rsidRPr="009772CA">
        <w:rPr>
          <w:lang w:val="fr-FR"/>
        </w:rPr>
        <w:t xml:space="preserve"> Tadjikistan (</w:t>
      </w:r>
      <w:hyperlink r:id="rId34" w:history="1">
        <w:r w:rsidRPr="00380BA2">
          <w:rPr>
            <w:rStyle w:val="Lienhypertexte"/>
            <w:lang w:val="fr-FR"/>
          </w:rPr>
          <w:t>CERD/C/TJK/CO/9-11</w:t>
        </w:r>
      </w:hyperlink>
      <w:r w:rsidRPr="009772CA">
        <w:rPr>
          <w:lang w:val="fr-FR"/>
        </w:rPr>
        <w:t>).</w:t>
      </w:r>
      <w:r w:rsidRPr="00BF34E1">
        <w:rPr>
          <w:lang w:val="fr-FR"/>
        </w:rPr>
        <w:t xml:space="preserve"> </w:t>
      </w:r>
    </w:p>
    <w:p w:rsidR="00E028AE" w:rsidRPr="00E66270" w:rsidRDefault="00E028AE" w:rsidP="009772CA">
      <w:pPr>
        <w:pStyle w:val="SingleTxtG"/>
        <w:rPr>
          <w:bCs/>
          <w:lang w:val="fr-FR"/>
        </w:rPr>
      </w:pPr>
      <w:r>
        <w:rPr>
          <w:lang w:val="fr-FR"/>
        </w:rPr>
        <w:t>25.</w:t>
      </w:r>
      <w:r>
        <w:rPr>
          <w:lang w:val="fr-FR"/>
        </w:rPr>
        <w:tab/>
        <w:t xml:space="preserve">À </w:t>
      </w:r>
      <w:r w:rsidRPr="003D2EBE">
        <w:rPr>
          <w:lang w:val="fr-FR"/>
        </w:rPr>
        <w:t xml:space="preserve">sa quatre-vingt-quatorzième session, le Comité a adopté des observations finales </w:t>
      </w:r>
      <w:r>
        <w:rPr>
          <w:lang w:val="fr-FR"/>
        </w:rPr>
        <w:t>concernant les</w:t>
      </w:r>
      <w:r w:rsidRPr="003D2EBE">
        <w:rPr>
          <w:lang w:val="fr-FR"/>
        </w:rPr>
        <w:t xml:space="preserve"> six États parties</w:t>
      </w:r>
      <w:r>
        <w:rPr>
          <w:lang w:val="fr-FR"/>
        </w:rPr>
        <w:t xml:space="preserve"> suivants</w:t>
      </w:r>
      <w:r w:rsidR="00D725DA">
        <w:rPr>
          <w:lang w:val="fr-FR"/>
        </w:rPr>
        <w:t> :</w:t>
      </w:r>
      <w:r w:rsidRPr="003D2EBE">
        <w:rPr>
          <w:lang w:val="fr-FR"/>
        </w:rPr>
        <w:t xml:space="preserve"> Algérie (</w:t>
      </w:r>
      <w:hyperlink r:id="rId35" w:history="1">
        <w:r w:rsidRPr="00D044B1">
          <w:rPr>
            <w:rStyle w:val="Lienhypertexte"/>
            <w:lang w:val="fr-FR"/>
          </w:rPr>
          <w:t>CERD/C/DZA/CO/20-21</w:t>
        </w:r>
      </w:hyperlink>
      <w:r w:rsidRPr="003D2EBE">
        <w:rPr>
          <w:lang w:val="fr-FR"/>
        </w:rPr>
        <w:t>), Australie (</w:t>
      </w:r>
      <w:hyperlink r:id="rId36" w:history="1">
        <w:r w:rsidRPr="00D044B1">
          <w:rPr>
            <w:rStyle w:val="Lienhypertexte"/>
            <w:lang w:val="fr-FR"/>
          </w:rPr>
          <w:t>CERD/C/AUS/CO/18-20</w:t>
        </w:r>
      </w:hyperlink>
      <w:r w:rsidRPr="003D2EBE">
        <w:rPr>
          <w:lang w:val="fr-FR"/>
        </w:rPr>
        <w:t>), Bélarus (</w:t>
      </w:r>
      <w:hyperlink r:id="rId37" w:history="1">
        <w:r w:rsidRPr="00D044B1">
          <w:rPr>
            <w:rStyle w:val="Lienhypertexte"/>
            <w:lang w:val="fr-FR"/>
          </w:rPr>
          <w:t>CERD/C/BLR/CO/20-23</w:t>
        </w:r>
      </w:hyperlink>
      <w:r w:rsidRPr="003D2EBE">
        <w:rPr>
          <w:lang w:val="fr-FR"/>
        </w:rPr>
        <w:t>), Jordanie (</w:t>
      </w:r>
      <w:hyperlink r:id="rId38" w:history="1">
        <w:r w:rsidRPr="00D044B1">
          <w:rPr>
            <w:rStyle w:val="Lienhypertexte"/>
            <w:lang w:val="fr-FR"/>
          </w:rPr>
          <w:t>CERD/C/JOR/</w:t>
        </w:r>
        <w:r w:rsidR="00D84546" w:rsidRPr="00D044B1">
          <w:rPr>
            <w:rStyle w:val="Lienhypertexte"/>
            <w:lang w:val="fr-FR"/>
          </w:rPr>
          <w:t xml:space="preserve"> </w:t>
        </w:r>
        <w:r w:rsidRPr="00D044B1">
          <w:rPr>
            <w:rStyle w:val="Lienhypertexte"/>
            <w:lang w:val="fr-FR"/>
          </w:rPr>
          <w:t>CO/18-20</w:t>
        </w:r>
      </w:hyperlink>
      <w:r w:rsidRPr="003D2EBE">
        <w:rPr>
          <w:lang w:val="fr-FR"/>
        </w:rPr>
        <w:t>), Serbie (</w:t>
      </w:r>
      <w:hyperlink r:id="rId39" w:history="1">
        <w:r w:rsidRPr="00D044B1">
          <w:rPr>
            <w:rStyle w:val="Lienhypertexte"/>
            <w:lang w:val="fr-FR"/>
          </w:rPr>
          <w:t>CERD/C/SRB/CO/2-5</w:t>
        </w:r>
      </w:hyperlink>
      <w:r w:rsidRPr="003D2EBE">
        <w:rPr>
          <w:lang w:val="fr-FR"/>
        </w:rPr>
        <w:t>) et Slovaquie (</w:t>
      </w:r>
      <w:hyperlink r:id="rId40" w:history="1">
        <w:r w:rsidRPr="00D044B1">
          <w:rPr>
            <w:rStyle w:val="Lienhypertexte"/>
            <w:lang w:val="fr-FR"/>
          </w:rPr>
          <w:t>CERD/C/SVK/CO/11-12</w:t>
        </w:r>
      </w:hyperlink>
      <w:r w:rsidRPr="003D2EBE">
        <w:rPr>
          <w:lang w:val="fr-FR"/>
        </w:rPr>
        <w:t>).</w:t>
      </w:r>
    </w:p>
    <w:p w:rsidR="00E028AE" w:rsidRPr="00E66270" w:rsidRDefault="00E028AE" w:rsidP="009772CA">
      <w:pPr>
        <w:pStyle w:val="SingleTxtG"/>
        <w:rPr>
          <w:bCs/>
          <w:lang w:val="fr-FR"/>
        </w:rPr>
      </w:pPr>
      <w:r>
        <w:rPr>
          <w:lang w:val="fr-FR"/>
        </w:rPr>
        <w:t>26.</w:t>
      </w:r>
      <w:r>
        <w:rPr>
          <w:lang w:val="fr-FR"/>
        </w:rPr>
        <w:tab/>
        <w:t xml:space="preserve">À </w:t>
      </w:r>
      <w:r w:rsidRPr="007D1680">
        <w:rPr>
          <w:lang w:val="fr-FR"/>
        </w:rPr>
        <w:t xml:space="preserve">sa quatre-vingt-quinzième session, le Comité a adopté des observations finales </w:t>
      </w:r>
      <w:r>
        <w:rPr>
          <w:lang w:val="fr-FR"/>
        </w:rPr>
        <w:t>concernant les</w:t>
      </w:r>
      <w:r w:rsidRPr="007D1680">
        <w:rPr>
          <w:lang w:val="fr-FR"/>
        </w:rPr>
        <w:t xml:space="preserve"> six États parties</w:t>
      </w:r>
      <w:r>
        <w:rPr>
          <w:lang w:val="fr-FR"/>
        </w:rPr>
        <w:t xml:space="preserve"> suivants</w:t>
      </w:r>
      <w:r w:rsidR="00D725DA">
        <w:rPr>
          <w:lang w:val="fr-FR"/>
        </w:rPr>
        <w:t> :</w:t>
      </w:r>
      <w:r w:rsidRPr="007D1680">
        <w:rPr>
          <w:lang w:val="fr-FR"/>
        </w:rPr>
        <w:t xml:space="preserve"> </w:t>
      </w:r>
      <w:r w:rsidR="008701FC" w:rsidRPr="007D1680">
        <w:rPr>
          <w:lang w:val="fr-FR"/>
        </w:rPr>
        <w:t>Arabie saoudite (</w:t>
      </w:r>
      <w:hyperlink r:id="rId41" w:history="1">
        <w:r w:rsidR="008701FC" w:rsidRPr="004B309A">
          <w:rPr>
            <w:rStyle w:val="Lienhypertexte"/>
            <w:lang w:val="fr-FR"/>
          </w:rPr>
          <w:t>CERD/C/SAU/CO/4-9</w:t>
        </w:r>
      </w:hyperlink>
      <w:r w:rsidR="008701FC" w:rsidRPr="007D1680">
        <w:rPr>
          <w:lang w:val="fr-FR"/>
        </w:rPr>
        <w:t>)</w:t>
      </w:r>
      <w:r w:rsidR="008701FC">
        <w:rPr>
          <w:lang w:val="fr-FR"/>
        </w:rPr>
        <w:t>,</w:t>
      </w:r>
      <w:r w:rsidR="008701FC" w:rsidRPr="007D1680">
        <w:rPr>
          <w:lang w:val="fr-FR"/>
        </w:rPr>
        <w:t xml:space="preserve"> </w:t>
      </w:r>
      <w:r w:rsidRPr="007D1680">
        <w:rPr>
          <w:lang w:val="fr-FR"/>
        </w:rPr>
        <w:t>Kirghizistan (</w:t>
      </w:r>
      <w:hyperlink r:id="rId42" w:history="1">
        <w:r w:rsidRPr="00FD55AF">
          <w:rPr>
            <w:rStyle w:val="Lienhypertexte"/>
            <w:lang w:val="fr-FR"/>
          </w:rPr>
          <w:t>CERD/C/KGZ/CO/8-10</w:t>
        </w:r>
      </w:hyperlink>
      <w:r w:rsidRPr="007D1680">
        <w:rPr>
          <w:lang w:val="fr-FR"/>
        </w:rPr>
        <w:t>) Mauritanie (</w:t>
      </w:r>
      <w:hyperlink r:id="rId43" w:history="1">
        <w:r w:rsidRPr="00FD55AF">
          <w:rPr>
            <w:rStyle w:val="Lienhypertexte"/>
            <w:lang w:val="fr-FR"/>
          </w:rPr>
          <w:t>CERD/C/MRT/CO/8-14</w:t>
        </w:r>
      </w:hyperlink>
      <w:r w:rsidRPr="007D1680">
        <w:rPr>
          <w:lang w:val="fr-FR"/>
        </w:rPr>
        <w:t>), Népal (</w:t>
      </w:r>
      <w:hyperlink r:id="rId44" w:history="1">
        <w:r w:rsidRPr="00FD55AF">
          <w:rPr>
            <w:rStyle w:val="Lienhypertexte"/>
            <w:lang w:val="fr-FR"/>
          </w:rPr>
          <w:t>CERD/C/NPL/CO/17-23</w:t>
        </w:r>
      </w:hyperlink>
      <w:r w:rsidRPr="007D1680">
        <w:rPr>
          <w:lang w:val="fr-FR"/>
        </w:rPr>
        <w:t>), Pérou (</w:t>
      </w:r>
      <w:hyperlink r:id="rId45" w:history="1">
        <w:r w:rsidRPr="006114E1">
          <w:rPr>
            <w:rStyle w:val="Lienhypertexte"/>
            <w:lang w:val="fr-FR"/>
          </w:rPr>
          <w:t>CERD/C/PER/</w:t>
        </w:r>
        <w:r w:rsidR="00D84546" w:rsidRPr="006114E1">
          <w:rPr>
            <w:rStyle w:val="Lienhypertexte"/>
            <w:lang w:val="fr-FR"/>
          </w:rPr>
          <w:t xml:space="preserve"> </w:t>
        </w:r>
        <w:r w:rsidRPr="006114E1">
          <w:rPr>
            <w:rStyle w:val="Lienhypertexte"/>
            <w:lang w:val="fr-FR"/>
          </w:rPr>
          <w:t>CO/22</w:t>
        </w:r>
        <w:r w:rsidR="00D84546" w:rsidRPr="006114E1">
          <w:rPr>
            <w:rStyle w:val="Lienhypertexte"/>
            <w:lang w:val="fr-FR"/>
          </w:rPr>
          <w:noBreakHyphen/>
        </w:r>
        <w:r w:rsidRPr="006114E1">
          <w:rPr>
            <w:rStyle w:val="Lienhypertexte"/>
            <w:lang w:val="fr-FR"/>
          </w:rPr>
          <w:t>23</w:t>
        </w:r>
      </w:hyperlink>
      <w:r w:rsidR="008701FC">
        <w:rPr>
          <w:lang w:val="fr-FR"/>
        </w:rPr>
        <w:t>)</w:t>
      </w:r>
      <w:r w:rsidRPr="007D1680">
        <w:rPr>
          <w:lang w:val="fr-FR"/>
        </w:rPr>
        <w:t xml:space="preserve"> et Suède (</w:t>
      </w:r>
      <w:hyperlink r:id="rId46" w:history="1">
        <w:r w:rsidRPr="004B309A">
          <w:rPr>
            <w:rStyle w:val="Lienhypertexte"/>
            <w:lang w:val="fr-FR"/>
          </w:rPr>
          <w:t>CERD/C/SWE/CO/22-23</w:t>
        </w:r>
      </w:hyperlink>
      <w:r w:rsidRPr="007D1680">
        <w:rPr>
          <w:lang w:val="fr-FR"/>
        </w:rPr>
        <w:t>).</w:t>
      </w:r>
    </w:p>
    <w:p w:rsidR="00E028AE" w:rsidRPr="00E66270" w:rsidRDefault="00E028AE" w:rsidP="00D84546">
      <w:pPr>
        <w:pStyle w:val="SingleTxtG"/>
        <w:rPr>
          <w:bCs/>
          <w:lang w:val="fr-FR"/>
        </w:rPr>
      </w:pPr>
      <w:r>
        <w:rPr>
          <w:lang w:val="fr-FR"/>
        </w:rPr>
        <w:t>27.</w:t>
      </w:r>
      <w:r>
        <w:rPr>
          <w:lang w:val="fr-FR"/>
        </w:rPr>
        <w:tab/>
        <w:t>Les rappor</w:t>
      </w:r>
      <w:r w:rsidR="00D84546">
        <w:rPr>
          <w:lang w:val="fr-FR"/>
        </w:rPr>
        <w:t>teurs de pays sont les suivants</w:t>
      </w:r>
      <w:r w:rsidR="00D725DA">
        <w:rPr>
          <w:lang w:val="fr-FR"/>
        </w:rPr>
        <w:t> :</w:t>
      </w:r>
      <w:r>
        <w:rPr>
          <w:lang w:val="fr-FR"/>
        </w:rPr>
        <w:t xml:space="preserve"> </w:t>
      </w:r>
    </w:p>
    <w:p w:rsidR="008701FC" w:rsidRPr="00E66270" w:rsidRDefault="008701FC" w:rsidP="00E028AE">
      <w:pPr>
        <w:pStyle w:val="SingleTxtG"/>
        <w:tabs>
          <w:tab w:val="left" w:pos="3969"/>
        </w:tabs>
        <w:ind w:firstLine="567"/>
        <w:rPr>
          <w:lang w:val="fr-FR"/>
        </w:rPr>
      </w:pPr>
      <w:r>
        <w:rPr>
          <w:lang w:val="fr-FR"/>
        </w:rPr>
        <w:t xml:space="preserve">Algérie </w:t>
      </w:r>
      <w:r>
        <w:rPr>
          <w:lang w:val="fr-FR"/>
        </w:rPr>
        <w:tab/>
      </w:r>
      <w:r>
        <w:rPr>
          <w:lang w:val="fr-FR"/>
        </w:rPr>
        <w:tab/>
        <w:t>M. Khalaf</w:t>
      </w:r>
    </w:p>
    <w:p w:rsidR="008701FC" w:rsidRPr="00E66270" w:rsidRDefault="008701FC" w:rsidP="00E028AE">
      <w:pPr>
        <w:pStyle w:val="SingleTxtG"/>
        <w:tabs>
          <w:tab w:val="left" w:pos="3969"/>
        </w:tabs>
        <w:ind w:firstLine="567"/>
        <w:rPr>
          <w:lang w:val="fr-FR"/>
        </w:rPr>
      </w:pPr>
      <w:r>
        <w:rPr>
          <w:lang w:val="fr-FR"/>
        </w:rPr>
        <w:t xml:space="preserve">Arabie saoudite </w:t>
      </w:r>
      <w:r>
        <w:rPr>
          <w:lang w:val="fr-FR"/>
        </w:rPr>
        <w:tab/>
      </w:r>
      <w:r w:rsidRPr="00556798">
        <w:rPr>
          <w:lang w:val="fr-FR"/>
        </w:rPr>
        <w:t>M</w:t>
      </w:r>
      <w:r w:rsidRPr="00556798">
        <w:rPr>
          <w:vertAlign w:val="superscript"/>
          <w:lang w:val="fr-FR"/>
        </w:rPr>
        <w:t>me</w:t>
      </w:r>
      <w:r w:rsidRPr="00556798">
        <w:rPr>
          <w:lang w:val="fr-FR"/>
        </w:rPr>
        <w:t> </w:t>
      </w:r>
      <w:r>
        <w:rPr>
          <w:lang w:val="fr-FR"/>
        </w:rPr>
        <w:t>Dah</w:t>
      </w:r>
    </w:p>
    <w:p w:rsidR="008701FC" w:rsidRPr="00E66270" w:rsidRDefault="008701FC" w:rsidP="00E028AE">
      <w:pPr>
        <w:pStyle w:val="SingleTxtG"/>
        <w:tabs>
          <w:tab w:val="left" w:pos="3969"/>
        </w:tabs>
        <w:ind w:firstLine="567"/>
        <w:rPr>
          <w:bCs/>
          <w:lang w:val="fr-FR"/>
        </w:rPr>
      </w:pPr>
      <w:r>
        <w:rPr>
          <w:lang w:val="fr-FR"/>
        </w:rPr>
        <w:t xml:space="preserve">Australie </w:t>
      </w:r>
      <w:r>
        <w:rPr>
          <w:lang w:val="fr-FR"/>
        </w:rPr>
        <w:tab/>
      </w:r>
      <w:r>
        <w:rPr>
          <w:lang w:val="fr-FR"/>
        </w:rPr>
        <w:tab/>
      </w:r>
      <w:r w:rsidRPr="00556798">
        <w:rPr>
          <w:lang w:val="fr-FR"/>
        </w:rPr>
        <w:t>M</w:t>
      </w:r>
      <w:r w:rsidRPr="00556798">
        <w:rPr>
          <w:vertAlign w:val="superscript"/>
          <w:lang w:val="fr-FR"/>
        </w:rPr>
        <w:t>me</w:t>
      </w:r>
      <w:r w:rsidRPr="00556798">
        <w:rPr>
          <w:lang w:val="fr-FR"/>
        </w:rPr>
        <w:t> </w:t>
      </w:r>
      <w:r>
        <w:rPr>
          <w:lang w:val="fr-FR"/>
        </w:rPr>
        <w:t>Shepherd</w:t>
      </w:r>
    </w:p>
    <w:p w:rsidR="008701FC" w:rsidRPr="00E66270" w:rsidRDefault="008701FC" w:rsidP="00E028AE">
      <w:pPr>
        <w:pStyle w:val="SingleTxtG"/>
        <w:tabs>
          <w:tab w:val="left" w:pos="3969"/>
        </w:tabs>
        <w:ind w:firstLine="567"/>
        <w:rPr>
          <w:lang w:val="fr-FR"/>
        </w:rPr>
      </w:pPr>
      <w:r>
        <w:rPr>
          <w:lang w:val="fr-FR"/>
        </w:rPr>
        <w:t xml:space="preserve">Bélarus </w:t>
      </w:r>
      <w:r>
        <w:rPr>
          <w:lang w:val="fr-FR"/>
        </w:rPr>
        <w:tab/>
      </w:r>
      <w:r>
        <w:rPr>
          <w:lang w:val="fr-FR"/>
        </w:rPr>
        <w:tab/>
      </w:r>
      <w:r w:rsidRPr="00556798">
        <w:rPr>
          <w:lang w:val="fr-FR"/>
        </w:rPr>
        <w:t>M</w:t>
      </w:r>
      <w:r w:rsidRPr="00556798">
        <w:rPr>
          <w:vertAlign w:val="superscript"/>
          <w:lang w:val="fr-FR"/>
        </w:rPr>
        <w:t>me</w:t>
      </w:r>
      <w:r w:rsidRPr="00556798">
        <w:rPr>
          <w:lang w:val="fr-FR"/>
        </w:rPr>
        <w:t> </w:t>
      </w:r>
      <w:r>
        <w:rPr>
          <w:lang w:val="fr-FR"/>
        </w:rPr>
        <w:t>Li Yanduan</w:t>
      </w:r>
    </w:p>
    <w:p w:rsidR="008701FC" w:rsidRPr="00E66270" w:rsidRDefault="008701FC" w:rsidP="00E028AE">
      <w:pPr>
        <w:pStyle w:val="SingleTxtG"/>
        <w:tabs>
          <w:tab w:val="left" w:pos="3969"/>
        </w:tabs>
        <w:ind w:firstLine="567"/>
        <w:rPr>
          <w:lang w:val="fr-FR"/>
        </w:rPr>
      </w:pPr>
      <w:r>
        <w:rPr>
          <w:lang w:val="fr-FR"/>
        </w:rPr>
        <w:t xml:space="preserve">Canada </w:t>
      </w:r>
      <w:r>
        <w:rPr>
          <w:lang w:val="fr-FR"/>
        </w:rPr>
        <w:tab/>
      </w:r>
      <w:r>
        <w:rPr>
          <w:lang w:val="fr-FR"/>
        </w:rPr>
        <w:tab/>
        <w:t>M. Marugán</w:t>
      </w:r>
    </w:p>
    <w:p w:rsidR="008701FC" w:rsidRPr="00E66270" w:rsidRDefault="008701FC" w:rsidP="00E028AE">
      <w:pPr>
        <w:pStyle w:val="SingleTxtG"/>
        <w:tabs>
          <w:tab w:val="left" w:pos="3969"/>
        </w:tabs>
        <w:ind w:firstLine="567"/>
        <w:rPr>
          <w:lang w:val="fr-FR"/>
        </w:rPr>
      </w:pPr>
      <w:r>
        <w:rPr>
          <w:lang w:val="fr-FR"/>
        </w:rPr>
        <w:t xml:space="preserve">Djibouti </w:t>
      </w:r>
      <w:r>
        <w:rPr>
          <w:lang w:val="fr-FR"/>
        </w:rPr>
        <w:tab/>
      </w:r>
      <w:r>
        <w:rPr>
          <w:lang w:val="fr-FR"/>
        </w:rPr>
        <w:tab/>
      </w:r>
      <w:r w:rsidRPr="00556798">
        <w:rPr>
          <w:lang w:val="fr-FR"/>
        </w:rPr>
        <w:t>M</w:t>
      </w:r>
      <w:r w:rsidRPr="00556798">
        <w:rPr>
          <w:vertAlign w:val="superscript"/>
          <w:lang w:val="fr-FR"/>
        </w:rPr>
        <w:t>me</w:t>
      </w:r>
      <w:r w:rsidRPr="00556798">
        <w:rPr>
          <w:lang w:val="fr-FR"/>
        </w:rPr>
        <w:t> </w:t>
      </w:r>
      <w:r>
        <w:rPr>
          <w:lang w:val="fr-FR"/>
        </w:rPr>
        <w:t xml:space="preserve">Dah </w:t>
      </w:r>
    </w:p>
    <w:p w:rsidR="008701FC" w:rsidRPr="00E66270" w:rsidRDefault="008701FC" w:rsidP="00E028AE">
      <w:pPr>
        <w:pStyle w:val="SingleTxtG"/>
        <w:tabs>
          <w:tab w:val="left" w:pos="3969"/>
        </w:tabs>
        <w:ind w:firstLine="567"/>
        <w:rPr>
          <w:bCs/>
          <w:lang w:val="fr-FR"/>
        </w:rPr>
      </w:pPr>
      <w:r>
        <w:rPr>
          <w:lang w:val="fr-FR"/>
        </w:rPr>
        <w:t>Émirats arabes unis</w:t>
      </w:r>
      <w:r>
        <w:rPr>
          <w:lang w:val="fr-FR"/>
        </w:rPr>
        <w:tab/>
        <w:t>M. Kemal</w:t>
      </w:r>
    </w:p>
    <w:p w:rsidR="008701FC" w:rsidRPr="00E66270" w:rsidRDefault="008701FC" w:rsidP="00E028AE">
      <w:pPr>
        <w:pStyle w:val="SingleTxtG"/>
        <w:tabs>
          <w:tab w:val="left" w:pos="3969"/>
        </w:tabs>
        <w:ind w:firstLine="567"/>
        <w:rPr>
          <w:lang w:val="fr-FR"/>
        </w:rPr>
      </w:pPr>
      <w:r>
        <w:rPr>
          <w:lang w:val="fr-FR"/>
        </w:rPr>
        <w:t xml:space="preserve">Équateur </w:t>
      </w:r>
      <w:r>
        <w:rPr>
          <w:lang w:val="fr-FR"/>
        </w:rPr>
        <w:tab/>
      </w:r>
      <w:r>
        <w:rPr>
          <w:lang w:val="fr-FR"/>
        </w:rPr>
        <w:tab/>
        <w:t>M. Murillo Martínez</w:t>
      </w:r>
    </w:p>
    <w:p w:rsidR="008701FC" w:rsidRPr="00E66270" w:rsidRDefault="008701FC" w:rsidP="00E028AE">
      <w:pPr>
        <w:pStyle w:val="SingleTxtG"/>
        <w:tabs>
          <w:tab w:val="left" w:pos="3969"/>
        </w:tabs>
        <w:ind w:firstLine="567"/>
        <w:rPr>
          <w:lang w:val="fr-FR"/>
        </w:rPr>
      </w:pPr>
      <w:r>
        <w:rPr>
          <w:lang w:val="fr-FR"/>
        </w:rPr>
        <w:t>Fédération de Russie</w:t>
      </w:r>
      <w:r>
        <w:rPr>
          <w:lang w:val="fr-FR"/>
        </w:rPr>
        <w:tab/>
        <w:t>M. Bossuyt</w:t>
      </w:r>
    </w:p>
    <w:p w:rsidR="008701FC" w:rsidRPr="00E66270" w:rsidRDefault="008701FC" w:rsidP="00E028AE">
      <w:pPr>
        <w:pStyle w:val="SingleTxtG"/>
        <w:tabs>
          <w:tab w:val="left" w:pos="3969"/>
        </w:tabs>
        <w:ind w:firstLine="567"/>
        <w:rPr>
          <w:lang w:val="fr-FR"/>
        </w:rPr>
      </w:pPr>
      <w:r>
        <w:rPr>
          <w:lang w:val="fr-FR"/>
        </w:rPr>
        <w:t xml:space="preserve">Jordanie </w:t>
      </w:r>
      <w:r>
        <w:rPr>
          <w:lang w:val="fr-FR"/>
        </w:rPr>
        <w:tab/>
      </w:r>
      <w:r>
        <w:rPr>
          <w:lang w:val="fr-FR"/>
        </w:rPr>
        <w:tab/>
        <w:t>M. Avtonomov</w:t>
      </w:r>
    </w:p>
    <w:p w:rsidR="008701FC" w:rsidRPr="00E66270" w:rsidRDefault="008701FC" w:rsidP="00E028AE">
      <w:pPr>
        <w:pStyle w:val="SingleTxtG"/>
        <w:tabs>
          <w:tab w:val="left" w:pos="3969"/>
        </w:tabs>
        <w:ind w:firstLine="567"/>
        <w:rPr>
          <w:lang w:val="fr-FR"/>
        </w:rPr>
      </w:pPr>
      <w:r>
        <w:rPr>
          <w:lang w:val="fr-FR"/>
        </w:rPr>
        <w:t xml:space="preserve">Kirghizistan </w:t>
      </w:r>
      <w:r>
        <w:rPr>
          <w:lang w:val="fr-FR"/>
        </w:rPr>
        <w:tab/>
      </w:r>
      <w:r>
        <w:rPr>
          <w:lang w:val="fr-FR"/>
        </w:rPr>
        <w:tab/>
      </w:r>
      <w:r w:rsidRPr="00556798">
        <w:rPr>
          <w:lang w:val="fr-FR"/>
        </w:rPr>
        <w:t>M</w:t>
      </w:r>
      <w:r w:rsidRPr="00556798">
        <w:rPr>
          <w:vertAlign w:val="superscript"/>
          <w:lang w:val="fr-FR"/>
        </w:rPr>
        <w:t>me</w:t>
      </w:r>
      <w:r w:rsidRPr="00556798">
        <w:rPr>
          <w:lang w:val="fr-FR"/>
        </w:rPr>
        <w:t> </w:t>
      </w:r>
      <w:r>
        <w:rPr>
          <w:lang w:val="fr-FR"/>
        </w:rPr>
        <w:t>McDougall</w:t>
      </w:r>
    </w:p>
    <w:p w:rsidR="008701FC" w:rsidRPr="00E66270" w:rsidRDefault="008701FC" w:rsidP="00E028AE">
      <w:pPr>
        <w:pStyle w:val="SingleTxtG"/>
        <w:tabs>
          <w:tab w:val="left" w:pos="3969"/>
        </w:tabs>
        <w:ind w:firstLine="567"/>
        <w:rPr>
          <w:lang w:val="fr-FR"/>
        </w:rPr>
      </w:pPr>
      <w:r>
        <w:rPr>
          <w:lang w:val="fr-FR"/>
        </w:rPr>
        <w:t xml:space="preserve">Koweït </w:t>
      </w:r>
      <w:r>
        <w:rPr>
          <w:lang w:val="fr-FR"/>
        </w:rPr>
        <w:tab/>
      </w:r>
      <w:r>
        <w:rPr>
          <w:lang w:val="fr-FR"/>
        </w:rPr>
        <w:tab/>
        <w:t xml:space="preserve">M. Khalaf </w:t>
      </w:r>
    </w:p>
    <w:p w:rsidR="008701FC" w:rsidRPr="00E66270" w:rsidRDefault="008701FC" w:rsidP="00E028AE">
      <w:pPr>
        <w:pStyle w:val="SingleTxtG"/>
        <w:tabs>
          <w:tab w:val="left" w:pos="3969"/>
        </w:tabs>
        <w:ind w:firstLine="567"/>
        <w:rPr>
          <w:bCs/>
          <w:lang w:val="fr-FR"/>
        </w:rPr>
      </w:pPr>
      <w:r>
        <w:rPr>
          <w:lang w:val="fr-FR"/>
        </w:rPr>
        <w:t xml:space="preserve">Mauritanie </w:t>
      </w:r>
      <w:r>
        <w:rPr>
          <w:lang w:val="fr-FR"/>
        </w:rPr>
        <w:tab/>
      </w:r>
      <w:r>
        <w:rPr>
          <w:lang w:val="fr-FR"/>
        </w:rPr>
        <w:tab/>
        <w:t xml:space="preserve">M. Bossuyt </w:t>
      </w:r>
    </w:p>
    <w:p w:rsidR="008701FC" w:rsidRPr="00E66270" w:rsidRDefault="008701FC" w:rsidP="00E028AE">
      <w:pPr>
        <w:pStyle w:val="SingleTxtG"/>
        <w:tabs>
          <w:tab w:val="left" w:pos="3969"/>
        </w:tabs>
        <w:ind w:firstLine="567"/>
        <w:rPr>
          <w:lang w:val="fr-FR"/>
        </w:rPr>
      </w:pPr>
      <w:r>
        <w:rPr>
          <w:lang w:val="fr-FR"/>
        </w:rPr>
        <w:t xml:space="preserve">Népal </w:t>
      </w:r>
      <w:r>
        <w:rPr>
          <w:lang w:val="fr-FR"/>
        </w:rPr>
        <w:tab/>
      </w:r>
      <w:r>
        <w:rPr>
          <w:lang w:val="fr-FR"/>
        </w:rPr>
        <w:tab/>
        <w:t>M. Calí Tzay</w:t>
      </w:r>
    </w:p>
    <w:p w:rsidR="008701FC" w:rsidRPr="00E66270" w:rsidRDefault="008701FC" w:rsidP="00E028AE">
      <w:pPr>
        <w:pStyle w:val="SingleTxtG"/>
        <w:tabs>
          <w:tab w:val="left" w:pos="3969"/>
        </w:tabs>
        <w:ind w:firstLine="567"/>
        <w:rPr>
          <w:lang w:val="fr-FR"/>
        </w:rPr>
      </w:pPr>
      <w:r>
        <w:rPr>
          <w:lang w:val="fr-FR"/>
        </w:rPr>
        <w:t>Nouvelle-Zélande</w:t>
      </w:r>
      <w:r>
        <w:rPr>
          <w:lang w:val="fr-FR"/>
        </w:rPr>
        <w:tab/>
      </w:r>
      <w:r>
        <w:rPr>
          <w:lang w:val="fr-FR"/>
        </w:rPr>
        <w:tab/>
      </w:r>
      <w:r w:rsidRPr="00556798">
        <w:rPr>
          <w:lang w:val="fr-FR"/>
        </w:rPr>
        <w:t>M</w:t>
      </w:r>
      <w:r w:rsidRPr="00556798">
        <w:rPr>
          <w:vertAlign w:val="superscript"/>
          <w:lang w:val="fr-FR"/>
        </w:rPr>
        <w:t>me</w:t>
      </w:r>
      <w:r w:rsidRPr="00556798">
        <w:rPr>
          <w:lang w:val="fr-FR"/>
        </w:rPr>
        <w:t> </w:t>
      </w:r>
      <w:r>
        <w:rPr>
          <w:lang w:val="fr-FR"/>
        </w:rPr>
        <w:t>McDougall</w:t>
      </w:r>
    </w:p>
    <w:p w:rsidR="008701FC" w:rsidRPr="008701FC" w:rsidRDefault="008701FC" w:rsidP="00E028AE">
      <w:pPr>
        <w:pStyle w:val="SingleTxtG"/>
        <w:tabs>
          <w:tab w:val="left" w:pos="3969"/>
        </w:tabs>
        <w:ind w:firstLine="567"/>
        <w:rPr>
          <w:lang w:val="es-ES"/>
        </w:rPr>
      </w:pPr>
      <w:r w:rsidRPr="008701FC">
        <w:rPr>
          <w:lang w:val="es-ES"/>
        </w:rPr>
        <w:t xml:space="preserve">Pérou </w:t>
      </w:r>
      <w:r w:rsidRPr="008701FC">
        <w:rPr>
          <w:lang w:val="es-ES"/>
        </w:rPr>
        <w:tab/>
      </w:r>
      <w:r w:rsidRPr="008701FC">
        <w:rPr>
          <w:lang w:val="es-ES"/>
        </w:rPr>
        <w:tab/>
        <w:t>M. Murillo Martínez</w:t>
      </w:r>
    </w:p>
    <w:p w:rsidR="008701FC" w:rsidRPr="008701FC" w:rsidRDefault="008701FC" w:rsidP="00E028AE">
      <w:pPr>
        <w:pStyle w:val="SingleTxtG"/>
        <w:tabs>
          <w:tab w:val="left" w:pos="3969"/>
        </w:tabs>
        <w:ind w:firstLine="567"/>
        <w:rPr>
          <w:bCs/>
          <w:lang w:val="es-ES"/>
        </w:rPr>
      </w:pPr>
      <w:r w:rsidRPr="008701FC">
        <w:rPr>
          <w:lang w:val="es-ES"/>
        </w:rPr>
        <w:t xml:space="preserve">Serbie </w:t>
      </w:r>
      <w:r w:rsidRPr="008701FC">
        <w:rPr>
          <w:lang w:val="es-ES"/>
        </w:rPr>
        <w:tab/>
      </w:r>
      <w:r w:rsidRPr="008701FC">
        <w:rPr>
          <w:lang w:val="es-ES"/>
        </w:rPr>
        <w:tab/>
        <w:t>M. Yeung Sik Yuen</w:t>
      </w:r>
    </w:p>
    <w:p w:rsidR="008701FC" w:rsidRPr="00E66270" w:rsidRDefault="008701FC" w:rsidP="00E028AE">
      <w:pPr>
        <w:pStyle w:val="SingleTxtG"/>
        <w:tabs>
          <w:tab w:val="left" w:pos="3969"/>
        </w:tabs>
        <w:ind w:firstLine="567"/>
        <w:rPr>
          <w:bCs/>
          <w:lang w:val="fr-FR"/>
        </w:rPr>
      </w:pPr>
      <w:r>
        <w:rPr>
          <w:lang w:val="fr-FR"/>
        </w:rPr>
        <w:t xml:space="preserve">Slovaquie </w:t>
      </w:r>
      <w:r>
        <w:rPr>
          <w:lang w:val="fr-FR"/>
        </w:rPr>
        <w:tab/>
      </w:r>
      <w:r>
        <w:rPr>
          <w:lang w:val="fr-FR"/>
        </w:rPr>
        <w:tab/>
        <w:t>M. Calí Tzay</w:t>
      </w:r>
    </w:p>
    <w:p w:rsidR="008701FC" w:rsidRPr="00E66270" w:rsidRDefault="008701FC" w:rsidP="00E028AE">
      <w:pPr>
        <w:pStyle w:val="SingleTxtG"/>
        <w:tabs>
          <w:tab w:val="left" w:pos="3969"/>
        </w:tabs>
        <w:ind w:firstLine="567"/>
        <w:rPr>
          <w:lang w:val="fr-FR"/>
        </w:rPr>
      </w:pPr>
      <w:r>
        <w:rPr>
          <w:lang w:val="fr-FR"/>
        </w:rPr>
        <w:t xml:space="preserve">Suède </w:t>
      </w:r>
      <w:r>
        <w:rPr>
          <w:lang w:val="fr-FR"/>
        </w:rPr>
        <w:tab/>
      </w:r>
      <w:r>
        <w:rPr>
          <w:lang w:val="fr-FR"/>
        </w:rPr>
        <w:tab/>
        <w:t>M. Kut</w:t>
      </w:r>
    </w:p>
    <w:p w:rsidR="008701FC" w:rsidRPr="00E66270" w:rsidRDefault="008701FC" w:rsidP="00E028AE">
      <w:pPr>
        <w:pStyle w:val="SingleTxtG"/>
        <w:tabs>
          <w:tab w:val="left" w:pos="3969"/>
        </w:tabs>
        <w:ind w:firstLine="567"/>
        <w:rPr>
          <w:bCs/>
          <w:lang w:val="fr-FR"/>
        </w:rPr>
      </w:pPr>
      <w:r>
        <w:rPr>
          <w:lang w:val="fr-FR"/>
        </w:rPr>
        <w:t>Tadjikistan</w:t>
      </w:r>
      <w:r>
        <w:rPr>
          <w:lang w:val="fr-FR"/>
        </w:rPr>
        <w:tab/>
      </w:r>
      <w:r>
        <w:rPr>
          <w:lang w:val="fr-FR"/>
        </w:rPr>
        <w:tab/>
        <w:t xml:space="preserve">M. Yeung Sik Yuen </w:t>
      </w:r>
    </w:p>
    <w:p w:rsidR="00E028AE" w:rsidRPr="000F4B83" w:rsidRDefault="00E028AE" w:rsidP="00556798">
      <w:pPr>
        <w:pStyle w:val="SingleTxtG"/>
        <w:rPr>
          <w:lang w:val="fr-FR"/>
        </w:rPr>
      </w:pPr>
      <w:r>
        <w:rPr>
          <w:lang w:val="fr-FR"/>
        </w:rPr>
        <w:t>28.</w:t>
      </w:r>
      <w:r>
        <w:rPr>
          <w:lang w:val="fr-FR"/>
        </w:rPr>
        <w:tab/>
        <w:t>Les observations finales adoptées par le Comité à ces sessions peuvent être consultées sur le site du HCDH (</w:t>
      </w:r>
      <w:hyperlink r:id="rId47" w:history="1">
        <w:r w:rsidR="008B5299">
          <w:rPr>
            <w:rStyle w:val="Lienhypertexte"/>
            <w:lang w:val="fr-FR"/>
          </w:rPr>
          <w:t>www.ohchr.org</w:t>
        </w:r>
      </w:hyperlink>
      <w:r>
        <w:rPr>
          <w:lang w:val="fr-FR"/>
        </w:rPr>
        <w:t>) et sur le Système de diffusion électronique des documents de l</w:t>
      </w:r>
      <w:r w:rsidR="009D7A41">
        <w:rPr>
          <w:lang w:val="fr-FR"/>
        </w:rPr>
        <w:t>’</w:t>
      </w:r>
      <w:r>
        <w:rPr>
          <w:lang w:val="fr-FR"/>
        </w:rPr>
        <w:t>ONU (</w:t>
      </w:r>
      <w:hyperlink r:id="rId48" w:history="1">
        <w:r w:rsidR="006920FB">
          <w:rPr>
            <w:rStyle w:val="Lienhypertexte"/>
            <w:lang w:val="fr-FR"/>
          </w:rPr>
          <w:t>https://documents.un.org</w:t>
        </w:r>
      </w:hyperlink>
      <w:r w:rsidR="006920FB">
        <w:rPr>
          <w:lang w:val="fr-FR"/>
        </w:rPr>
        <w:t xml:space="preserve"> </w:t>
      </w:r>
      <w:r>
        <w:rPr>
          <w:lang w:val="fr-FR"/>
        </w:rPr>
        <w:t xml:space="preserve">), en saisissant les cotes indiquées ci-dessus. </w:t>
      </w:r>
    </w:p>
    <w:p w:rsidR="00E028AE" w:rsidRPr="006F1F71" w:rsidRDefault="00E028AE" w:rsidP="00DF3E52">
      <w:pPr>
        <w:pStyle w:val="HChG"/>
        <w:rPr>
          <w:lang w:val="fr-FR"/>
        </w:rPr>
      </w:pPr>
      <w:r>
        <w:rPr>
          <w:lang w:val="fr-FR"/>
        </w:rPr>
        <w:lastRenderedPageBreak/>
        <w:tab/>
      </w:r>
      <w:r w:rsidRPr="00DF3E52">
        <w:rPr>
          <w:lang w:val="fr-FR"/>
        </w:rPr>
        <w:t>IV.</w:t>
      </w:r>
      <w:r w:rsidRPr="00DF3E52">
        <w:rPr>
          <w:lang w:val="fr-FR"/>
        </w:rPr>
        <w:tab/>
        <w:t>Suite donnée à l</w:t>
      </w:r>
      <w:r w:rsidR="009D7A41">
        <w:rPr>
          <w:lang w:val="fr-FR"/>
        </w:rPr>
        <w:t>’</w:t>
      </w:r>
      <w:r w:rsidRPr="00DF3E52">
        <w:rPr>
          <w:lang w:val="fr-FR"/>
        </w:rPr>
        <w:t xml:space="preserve">examen des rapports soumis </w:t>
      </w:r>
      <w:r w:rsidR="00556798" w:rsidRPr="00DF3E52">
        <w:rPr>
          <w:lang w:val="fr-FR"/>
        </w:rPr>
        <w:br/>
      </w:r>
      <w:r w:rsidRPr="00DF3E52">
        <w:rPr>
          <w:lang w:val="fr-FR"/>
        </w:rPr>
        <w:t>par les États parties en application de l</w:t>
      </w:r>
      <w:r w:rsidR="009D7A41">
        <w:rPr>
          <w:lang w:val="fr-FR"/>
        </w:rPr>
        <w:t>’</w:t>
      </w:r>
      <w:r w:rsidRPr="00DF3E52">
        <w:rPr>
          <w:lang w:val="fr-FR"/>
        </w:rPr>
        <w:t xml:space="preserve">article 9 </w:t>
      </w:r>
      <w:r w:rsidR="00556798" w:rsidRPr="00DF3E52">
        <w:rPr>
          <w:lang w:val="fr-FR"/>
        </w:rPr>
        <w:br/>
      </w:r>
      <w:r w:rsidRPr="00DF3E52">
        <w:rPr>
          <w:lang w:val="fr-FR"/>
        </w:rPr>
        <w:t>de la Convention</w:t>
      </w:r>
    </w:p>
    <w:p w:rsidR="00E028AE" w:rsidRPr="006F1F71" w:rsidRDefault="00E028AE" w:rsidP="00DF3E52">
      <w:pPr>
        <w:pStyle w:val="SingleTxtG"/>
        <w:rPr>
          <w:lang w:val="fr-FR"/>
        </w:rPr>
      </w:pPr>
      <w:r>
        <w:rPr>
          <w:lang w:val="fr-FR"/>
        </w:rPr>
        <w:t>29.</w:t>
      </w:r>
      <w:r>
        <w:rPr>
          <w:lang w:val="fr-FR"/>
        </w:rPr>
        <w:tab/>
        <w:t>Au cou</w:t>
      </w:r>
      <w:r w:rsidR="00556798">
        <w:rPr>
          <w:lang w:val="fr-FR"/>
        </w:rPr>
        <w:t>rs de la période considérée, M. </w:t>
      </w:r>
      <w:r>
        <w:rPr>
          <w:lang w:val="fr-FR"/>
        </w:rPr>
        <w:t>Kut a exercé la fonction de coordonnateur chargé du suivi de l</w:t>
      </w:r>
      <w:r w:rsidR="009D7A41">
        <w:rPr>
          <w:lang w:val="fr-FR"/>
        </w:rPr>
        <w:t>’</w:t>
      </w:r>
      <w:r>
        <w:rPr>
          <w:lang w:val="fr-FR"/>
        </w:rPr>
        <w:t>examen des rapports soumis par les États parties.</w:t>
      </w:r>
    </w:p>
    <w:p w:rsidR="00E028AE" w:rsidRPr="006F1F71" w:rsidRDefault="00E028AE" w:rsidP="00DF3E52">
      <w:pPr>
        <w:pStyle w:val="SingleTxtG"/>
        <w:rPr>
          <w:lang w:val="fr-FR"/>
        </w:rPr>
      </w:pPr>
      <w:r>
        <w:rPr>
          <w:lang w:val="fr-FR"/>
        </w:rPr>
        <w:t>30.</w:t>
      </w:r>
      <w:r>
        <w:rPr>
          <w:lang w:val="fr-FR"/>
        </w:rPr>
        <w:tab/>
        <w:t>Le mandat du coordonnateur chargé du suivi</w:t>
      </w:r>
      <w:r w:rsidRPr="0013377F">
        <w:rPr>
          <w:rStyle w:val="Appelnotedebasdep"/>
          <w:lang w:val="fr-FR"/>
        </w:rPr>
        <w:footnoteReference w:id="6"/>
      </w:r>
      <w:r>
        <w:rPr>
          <w:lang w:val="fr-FR"/>
        </w:rPr>
        <w:t xml:space="preserve"> et les directives concernant le suivi</w:t>
      </w:r>
      <w:r w:rsidRPr="001F5981">
        <w:rPr>
          <w:rStyle w:val="Appelnotedebasdep"/>
          <w:lang w:val="fr-FR"/>
        </w:rPr>
        <w:footnoteReference w:id="7"/>
      </w:r>
      <w:r>
        <w:rPr>
          <w:lang w:val="fr-FR"/>
        </w:rPr>
        <w:t>, qui seront adressées à chaque État partie avec les observations finales du Comité, ont été adoptés par le Comité à ses soixante-sixième et soixante-huitième sessions, respectivement.</w:t>
      </w:r>
    </w:p>
    <w:p w:rsidR="00E028AE" w:rsidRPr="006F1F71" w:rsidRDefault="00E028AE" w:rsidP="00DF3E52">
      <w:pPr>
        <w:pStyle w:val="SingleTxtG"/>
        <w:rPr>
          <w:lang w:val="fr-FR"/>
        </w:rPr>
      </w:pPr>
      <w:r>
        <w:rPr>
          <w:lang w:val="fr-FR"/>
        </w:rPr>
        <w:t>31.</w:t>
      </w:r>
      <w:r>
        <w:rPr>
          <w:lang w:val="fr-FR"/>
        </w:rPr>
        <w:tab/>
        <w:t xml:space="preserve">À la </w:t>
      </w:r>
      <w:r w:rsidRPr="003A4E76">
        <w:rPr>
          <w:lang w:val="fr-FR"/>
        </w:rPr>
        <w:t>2584</w:t>
      </w:r>
      <w:r w:rsidRPr="00673C22">
        <w:rPr>
          <w:vertAlign w:val="superscript"/>
          <w:lang w:val="fr-FR"/>
        </w:rPr>
        <w:t>e</w:t>
      </w:r>
      <w:r w:rsidR="00673C22">
        <w:rPr>
          <w:lang w:val="fr-FR"/>
        </w:rPr>
        <w:t> </w:t>
      </w:r>
      <w:r w:rsidRPr="003A4E76">
        <w:rPr>
          <w:lang w:val="fr-FR"/>
        </w:rPr>
        <w:t>séance (quatre-vingt-treizième session), la 2607</w:t>
      </w:r>
      <w:r w:rsidRPr="00556798">
        <w:rPr>
          <w:vertAlign w:val="superscript"/>
          <w:lang w:val="fr-FR"/>
        </w:rPr>
        <w:t>e</w:t>
      </w:r>
      <w:r w:rsidR="00556798">
        <w:rPr>
          <w:lang w:val="fr-FR"/>
        </w:rPr>
        <w:t> </w:t>
      </w:r>
      <w:r w:rsidRPr="003A4E76">
        <w:rPr>
          <w:lang w:val="fr-FR"/>
        </w:rPr>
        <w:t>séance (quatre</w:t>
      </w:r>
      <w:r w:rsidR="00673C22">
        <w:noBreakHyphen/>
      </w:r>
      <w:r w:rsidRPr="003A4E76">
        <w:rPr>
          <w:lang w:val="fr-FR"/>
        </w:rPr>
        <w:t>vingt</w:t>
      </w:r>
      <w:r w:rsidR="00673C22">
        <w:rPr>
          <w:lang w:val="fr-FR"/>
        </w:rPr>
        <w:noBreakHyphen/>
      </w:r>
      <w:r w:rsidRPr="003A4E76">
        <w:rPr>
          <w:lang w:val="fr-FR"/>
        </w:rPr>
        <w:t>quatorzième session) et la 2636</w:t>
      </w:r>
      <w:r w:rsidRPr="00673C22">
        <w:rPr>
          <w:vertAlign w:val="superscript"/>
          <w:lang w:val="fr-FR"/>
        </w:rPr>
        <w:t>e</w:t>
      </w:r>
      <w:r w:rsidR="00673C22">
        <w:rPr>
          <w:lang w:val="fr-FR"/>
        </w:rPr>
        <w:t> </w:t>
      </w:r>
      <w:r w:rsidRPr="003A4E76">
        <w:rPr>
          <w:lang w:val="fr-FR"/>
        </w:rPr>
        <w:t>séance (</w:t>
      </w:r>
      <w:r>
        <w:rPr>
          <w:lang w:val="fr-FR"/>
        </w:rPr>
        <w:t>quatre-vingt-quinzième session), M.</w:t>
      </w:r>
      <w:r w:rsidR="00673C22">
        <w:rPr>
          <w:lang w:val="fr-FR"/>
        </w:rPr>
        <w:t> </w:t>
      </w:r>
      <w:r>
        <w:rPr>
          <w:lang w:val="fr-FR"/>
        </w:rPr>
        <w:t xml:space="preserve">Kut a présenté au Comité un rapport sur ses activités en tant que coordonnateur chargé du suivi. </w:t>
      </w:r>
    </w:p>
    <w:p w:rsidR="00E028AE" w:rsidRPr="006F1F71" w:rsidRDefault="00E028AE" w:rsidP="00DF3E52">
      <w:pPr>
        <w:pStyle w:val="SingleTxtG"/>
        <w:rPr>
          <w:lang w:val="fr-FR"/>
        </w:rPr>
      </w:pPr>
      <w:r>
        <w:rPr>
          <w:lang w:val="fr-FR"/>
        </w:rPr>
        <w:t>32.</w:t>
      </w:r>
      <w:r>
        <w:rPr>
          <w:lang w:val="fr-FR"/>
        </w:rPr>
        <w:tab/>
      </w:r>
      <w:r w:rsidRPr="009C7693">
        <w:rPr>
          <w:lang w:val="fr-FR"/>
        </w:rPr>
        <w:t>À ses quatre-vingt-treizième, quatre-vingt-quatorzième et quatre-vingt-quinzième sessions, le Comité a examiné les rapports de suivi des pays suivants</w:t>
      </w:r>
      <w:r w:rsidR="00D725DA" w:rsidRPr="009C7693">
        <w:rPr>
          <w:lang w:val="fr-FR"/>
        </w:rPr>
        <w:t> :</w:t>
      </w:r>
      <w:r w:rsidRPr="009C7693">
        <w:rPr>
          <w:lang w:val="fr-FR"/>
        </w:rPr>
        <w:t xml:space="preserve"> </w:t>
      </w:r>
      <w:r w:rsidR="00A30C42" w:rsidRPr="009C7693">
        <w:rPr>
          <w:lang w:val="fr-FR"/>
        </w:rPr>
        <w:t>Afrique du Sud (</w:t>
      </w:r>
      <w:hyperlink r:id="rId49" w:history="1">
        <w:r w:rsidR="00A30C42" w:rsidRPr="00BD74B2">
          <w:rPr>
            <w:rStyle w:val="Lienhypertexte"/>
            <w:lang w:val="fr-FR"/>
          </w:rPr>
          <w:t>CERD/C/ZAF/CO/4-8/Add.1</w:t>
        </w:r>
      </w:hyperlink>
      <w:r w:rsidR="00A30C42" w:rsidRPr="009C7693">
        <w:rPr>
          <w:lang w:val="fr-FR"/>
        </w:rPr>
        <w:t xml:space="preserve">), </w:t>
      </w:r>
      <w:r w:rsidRPr="009C7693">
        <w:rPr>
          <w:lang w:val="fr-FR"/>
        </w:rPr>
        <w:t>Argentine (</w:t>
      </w:r>
      <w:hyperlink r:id="rId50" w:history="1">
        <w:r w:rsidRPr="005C3F72">
          <w:rPr>
            <w:rStyle w:val="Lienhypertexte"/>
            <w:lang w:val="fr-FR"/>
          </w:rPr>
          <w:t>CERD/C/ARG/CO/21-23/Add.1</w:t>
        </w:r>
      </w:hyperlink>
      <w:r w:rsidRPr="009C7693">
        <w:rPr>
          <w:lang w:val="fr-FR"/>
        </w:rPr>
        <w:t>), Azerbaïdjan (</w:t>
      </w:r>
      <w:hyperlink r:id="rId51" w:history="1">
        <w:r w:rsidRPr="005C3F72">
          <w:rPr>
            <w:rStyle w:val="Lienhypertexte"/>
            <w:lang w:val="fr-FR"/>
          </w:rPr>
          <w:t>CERD/C/AZE/CO/7-9/Add.1</w:t>
        </w:r>
      </w:hyperlink>
      <w:r w:rsidRPr="009C7693">
        <w:rPr>
          <w:lang w:val="fr-FR"/>
        </w:rPr>
        <w:t xml:space="preserve">), </w:t>
      </w:r>
      <w:r w:rsidR="00A30C42" w:rsidRPr="009C7693">
        <w:rPr>
          <w:lang w:val="fr-FR"/>
        </w:rPr>
        <w:t>Espagne (</w:t>
      </w:r>
      <w:hyperlink r:id="rId52" w:history="1">
        <w:r w:rsidR="00A30C42" w:rsidRPr="00BD74B2">
          <w:rPr>
            <w:rStyle w:val="Lienhypertexte"/>
            <w:lang w:val="fr-FR"/>
          </w:rPr>
          <w:t>CERD/C/ESP/CO/21-23/Add.1</w:t>
        </w:r>
      </w:hyperlink>
      <w:r w:rsidR="00A30C42" w:rsidRPr="009C7693">
        <w:rPr>
          <w:lang w:val="fr-FR"/>
        </w:rPr>
        <w:t xml:space="preserve">), </w:t>
      </w:r>
      <w:r w:rsidRPr="009C7693">
        <w:rPr>
          <w:lang w:val="fr-FR"/>
        </w:rPr>
        <w:t>Géorgie (</w:t>
      </w:r>
      <w:hyperlink r:id="rId53" w:history="1">
        <w:r w:rsidRPr="005C3F72">
          <w:rPr>
            <w:rStyle w:val="Lienhypertexte"/>
            <w:lang w:val="fr-FR"/>
          </w:rPr>
          <w:t>CERD/C/GEO/CO/6-8/Add.1</w:t>
        </w:r>
      </w:hyperlink>
      <w:r w:rsidRPr="009C7693">
        <w:rPr>
          <w:lang w:val="fr-FR"/>
        </w:rPr>
        <w:t>), Grèce (</w:t>
      </w:r>
      <w:hyperlink r:id="rId54" w:history="1">
        <w:r w:rsidRPr="005C3F72">
          <w:rPr>
            <w:rStyle w:val="Lienhypertexte"/>
            <w:lang w:val="fr-FR"/>
          </w:rPr>
          <w:t>CERD/C/GRC/CO/20-22/Add.1</w:t>
        </w:r>
      </w:hyperlink>
      <w:r w:rsidRPr="009C7693">
        <w:rPr>
          <w:lang w:val="fr-FR"/>
        </w:rPr>
        <w:t>), Italie (</w:t>
      </w:r>
      <w:hyperlink r:id="rId55" w:history="1">
        <w:r w:rsidRPr="00BD74B2">
          <w:rPr>
            <w:rStyle w:val="Lienhypertexte"/>
            <w:lang w:val="fr-FR"/>
          </w:rPr>
          <w:t>CERD/C/</w:t>
        </w:r>
        <w:r w:rsidR="00A30C42">
          <w:rPr>
            <w:rStyle w:val="Lienhypertexte"/>
            <w:lang w:val="fr-FR"/>
          </w:rPr>
          <w:t xml:space="preserve"> </w:t>
        </w:r>
        <w:r w:rsidRPr="00BD74B2">
          <w:rPr>
            <w:rStyle w:val="Lienhypertexte"/>
            <w:lang w:val="fr-FR"/>
          </w:rPr>
          <w:t>ITA/CO/19-20/Add.1</w:t>
        </w:r>
      </w:hyperlink>
      <w:r w:rsidRPr="009C7693">
        <w:rPr>
          <w:lang w:val="fr-FR"/>
        </w:rPr>
        <w:t>), Oman (</w:t>
      </w:r>
      <w:hyperlink r:id="rId56" w:history="1">
        <w:r w:rsidRPr="00BD74B2">
          <w:rPr>
            <w:rStyle w:val="Lienhypertexte"/>
            <w:lang w:val="fr-FR"/>
          </w:rPr>
          <w:t>CERD/C/OMN/CO/2-5/Add.1</w:t>
        </w:r>
      </w:hyperlink>
      <w:r w:rsidRPr="009C7693">
        <w:rPr>
          <w:lang w:val="fr-FR"/>
        </w:rPr>
        <w:t>), Portugal (</w:t>
      </w:r>
      <w:hyperlink r:id="rId57" w:history="1">
        <w:r w:rsidRPr="00BD74B2">
          <w:rPr>
            <w:rStyle w:val="Lienhypertexte"/>
            <w:lang w:val="fr-FR"/>
          </w:rPr>
          <w:t>CERD/C/PRT/</w:t>
        </w:r>
        <w:r w:rsidR="00A30C42">
          <w:rPr>
            <w:rStyle w:val="Lienhypertexte"/>
            <w:lang w:val="fr-FR"/>
          </w:rPr>
          <w:t xml:space="preserve"> </w:t>
        </w:r>
        <w:r w:rsidRPr="00BD74B2">
          <w:rPr>
            <w:rStyle w:val="Lienhypertexte"/>
            <w:lang w:val="fr-FR"/>
          </w:rPr>
          <w:t>CO/15-17/Add.1</w:t>
        </w:r>
      </w:hyperlink>
      <w:r w:rsidRPr="009C7693">
        <w:rPr>
          <w:lang w:val="fr-FR"/>
        </w:rPr>
        <w:t xml:space="preserve">), </w:t>
      </w:r>
      <w:r w:rsidR="00A30C42" w:rsidRPr="009C7693">
        <w:rPr>
          <w:lang w:val="fr-FR"/>
        </w:rPr>
        <w:t>Royaume-Uni de Grande-Bretagne et d</w:t>
      </w:r>
      <w:r w:rsidR="00A30C42">
        <w:rPr>
          <w:lang w:val="fr-FR"/>
        </w:rPr>
        <w:t>’</w:t>
      </w:r>
      <w:r w:rsidR="00A30C42" w:rsidRPr="009C7693">
        <w:rPr>
          <w:lang w:val="fr-FR"/>
        </w:rPr>
        <w:t>Irlande du Nord (</w:t>
      </w:r>
      <w:hyperlink r:id="rId58" w:history="1">
        <w:r w:rsidR="00A30C42" w:rsidRPr="00982165">
          <w:rPr>
            <w:rStyle w:val="Lienhypertexte"/>
            <w:lang w:val="fr-FR"/>
          </w:rPr>
          <w:t>CERD/C/GBR/</w:t>
        </w:r>
        <w:r w:rsidR="00A30C42">
          <w:rPr>
            <w:rStyle w:val="Lienhypertexte"/>
            <w:lang w:val="fr-FR"/>
          </w:rPr>
          <w:t xml:space="preserve"> </w:t>
        </w:r>
        <w:r w:rsidR="00A30C42" w:rsidRPr="00982165">
          <w:rPr>
            <w:rStyle w:val="Lienhypertexte"/>
            <w:lang w:val="fr-FR"/>
          </w:rPr>
          <w:t>CO/21-23/Add.1</w:t>
        </w:r>
      </w:hyperlink>
      <w:r w:rsidR="00A30C42" w:rsidRPr="009C7693">
        <w:rPr>
          <w:lang w:val="fr-FR"/>
        </w:rPr>
        <w:t>)</w:t>
      </w:r>
      <w:r w:rsidR="00A30C42">
        <w:rPr>
          <w:lang w:val="fr-FR"/>
        </w:rPr>
        <w:t xml:space="preserve">, </w:t>
      </w:r>
      <w:r w:rsidR="00A30C42" w:rsidRPr="009C7693">
        <w:rPr>
          <w:lang w:val="fr-FR"/>
        </w:rPr>
        <w:t>Tchéquie (</w:t>
      </w:r>
      <w:hyperlink r:id="rId59" w:history="1">
        <w:r w:rsidR="00A30C42" w:rsidRPr="005C3F72">
          <w:rPr>
            <w:rStyle w:val="Lienhypertexte"/>
            <w:lang w:val="fr-FR"/>
          </w:rPr>
          <w:t>CERD/C/CZE/CO/10-11/Add.1</w:t>
        </w:r>
      </w:hyperlink>
      <w:r w:rsidR="00A30C42" w:rsidRPr="009C7693">
        <w:rPr>
          <w:lang w:val="fr-FR"/>
        </w:rPr>
        <w:t xml:space="preserve">), </w:t>
      </w:r>
      <w:r w:rsidRPr="009C7693">
        <w:rPr>
          <w:lang w:val="fr-FR"/>
        </w:rPr>
        <w:t>Turkménistan (</w:t>
      </w:r>
      <w:hyperlink r:id="rId60" w:history="1">
        <w:r w:rsidRPr="00C91301">
          <w:rPr>
            <w:rStyle w:val="Lienhypertexte"/>
            <w:lang w:val="fr-FR"/>
          </w:rPr>
          <w:t>CERD/C/</w:t>
        </w:r>
        <w:r w:rsidR="00A30C42">
          <w:rPr>
            <w:rStyle w:val="Lienhypertexte"/>
            <w:lang w:val="fr-FR"/>
          </w:rPr>
          <w:t xml:space="preserve"> </w:t>
        </w:r>
        <w:r w:rsidRPr="00C91301">
          <w:rPr>
            <w:rStyle w:val="Lienhypertexte"/>
            <w:lang w:val="fr-FR"/>
          </w:rPr>
          <w:t>TKM/CO/8-11/Add.1</w:t>
        </w:r>
      </w:hyperlink>
      <w:r w:rsidR="00A30C42">
        <w:rPr>
          <w:lang w:val="fr-FR"/>
        </w:rPr>
        <w:t>) et</w:t>
      </w:r>
      <w:r w:rsidRPr="009C7693">
        <w:rPr>
          <w:lang w:val="fr-FR"/>
        </w:rPr>
        <w:t xml:space="preserve"> Ukraine (</w:t>
      </w:r>
      <w:hyperlink r:id="rId61" w:history="1">
        <w:r w:rsidRPr="00982165">
          <w:rPr>
            <w:rStyle w:val="Lienhypertexte"/>
            <w:lang w:val="fr-FR"/>
          </w:rPr>
          <w:t>CERD/C/UKR/CO/22-23/Add.1</w:t>
        </w:r>
      </w:hyperlink>
      <w:r w:rsidRPr="009C7693">
        <w:rPr>
          <w:lang w:val="fr-FR"/>
        </w:rPr>
        <w:t>). Il a poursuivi le dialogue constructif engagé avec ces États parties en leur adressant des lettres contenant des observations et des demandes de renseignements complémentaires</w:t>
      </w:r>
      <w:r>
        <w:rPr>
          <w:lang w:val="fr-FR"/>
        </w:rPr>
        <w:t>.</w:t>
      </w:r>
    </w:p>
    <w:p w:rsidR="00E028AE" w:rsidRPr="006F1F71" w:rsidRDefault="00E028AE" w:rsidP="009049B1">
      <w:pPr>
        <w:pStyle w:val="HChG"/>
        <w:rPr>
          <w:lang w:val="fr-FR"/>
        </w:rPr>
      </w:pPr>
      <w:r w:rsidRPr="006F1F71">
        <w:rPr>
          <w:lang w:val="fr-FR"/>
        </w:rPr>
        <w:br w:type="page"/>
      </w:r>
      <w:r>
        <w:rPr>
          <w:lang w:val="fr-FR"/>
        </w:rPr>
        <w:lastRenderedPageBreak/>
        <w:tab/>
        <w:t>V.</w:t>
      </w:r>
      <w:r>
        <w:rPr>
          <w:lang w:val="fr-FR"/>
        </w:rPr>
        <w:tab/>
      </w:r>
      <w:bookmarkStart w:id="11" w:name="_Toc428794289"/>
      <w:r w:rsidR="005D3C19">
        <w:rPr>
          <w:lang w:val="fr-FR"/>
        </w:rPr>
        <w:t xml:space="preserve">Examen des communications soumises en vertu </w:t>
      </w:r>
      <w:r w:rsidR="005D3C19">
        <w:rPr>
          <w:lang w:val="fr-FR"/>
        </w:rPr>
        <w:br/>
        <w:t>de l’article 11 de la Convention</w:t>
      </w:r>
    </w:p>
    <w:p w:rsidR="00E028AE" w:rsidRPr="007B4C3A" w:rsidRDefault="00E028AE" w:rsidP="009049B1">
      <w:pPr>
        <w:pStyle w:val="SingleTxtG"/>
        <w:rPr>
          <w:lang w:val="fr-FR"/>
        </w:rPr>
      </w:pPr>
      <w:r w:rsidRPr="00F25BD0">
        <w:rPr>
          <w:lang w:val="fr-FR"/>
        </w:rPr>
        <w:t>33.</w:t>
      </w:r>
      <w:r w:rsidRPr="00F25BD0">
        <w:rPr>
          <w:lang w:val="fr-FR"/>
        </w:rPr>
        <w:tab/>
        <w:t xml:space="preserve">À sa quatre-vingt-quinzième session, le Comité a eu un premier débat sur trois communications interétatiques </w:t>
      </w:r>
      <w:r w:rsidR="009049B1">
        <w:rPr>
          <w:lang w:val="fr-FR"/>
        </w:rPr>
        <w:t>−</w:t>
      </w:r>
      <w:r w:rsidRPr="00F25BD0">
        <w:rPr>
          <w:lang w:val="fr-FR"/>
        </w:rPr>
        <w:t xml:space="preserve"> la première jamais présentée </w:t>
      </w:r>
      <w:r>
        <w:rPr>
          <w:lang w:val="fr-FR"/>
        </w:rPr>
        <w:t>en vertu</w:t>
      </w:r>
      <w:r w:rsidRPr="00F25BD0">
        <w:rPr>
          <w:lang w:val="fr-FR"/>
        </w:rPr>
        <w:t xml:space="preserve"> de l</w:t>
      </w:r>
      <w:r w:rsidR="009D7A41">
        <w:rPr>
          <w:lang w:val="fr-FR"/>
        </w:rPr>
        <w:t>’</w:t>
      </w:r>
      <w:r w:rsidRPr="00F25BD0">
        <w:rPr>
          <w:lang w:val="fr-FR"/>
        </w:rPr>
        <w:t>article</w:t>
      </w:r>
      <w:r w:rsidR="009D7A41">
        <w:rPr>
          <w:lang w:val="fr-FR"/>
        </w:rPr>
        <w:t> </w:t>
      </w:r>
      <w:r w:rsidRPr="00F25BD0">
        <w:rPr>
          <w:lang w:val="fr-FR"/>
        </w:rPr>
        <w:t>11 de la Convention</w:t>
      </w:r>
      <w:r w:rsidR="00D725DA">
        <w:rPr>
          <w:lang w:val="fr-FR"/>
        </w:rPr>
        <w:t> :</w:t>
      </w:r>
      <w:r w:rsidRPr="00F25BD0">
        <w:rPr>
          <w:lang w:val="fr-FR"/>
        </w:rPr>
        <w:t xml:space="preserve"> une communication du Qatar contre l</w:t>
      </w:r>
      <w:r w:rsidR="009D7A41">
        <w:rPr>
          <w:lang w:val="fr-FR"/>
        </w:rPr>
        <w:t>’</w:t>
      </w:r>
      <w:r w:rsidRPr="00F25BD0">
        <w:rPr>
          <w:lang w:val="fr-FR"/>
        </w:rPr>
        <w:t>Arabie saoudite, reçue le 8</w:t>
      </w:r>
      <w:r w:rsidR="009D7A41">
        <w:rPr>
          <w:lang w:val="fr-FR"/>
        </w:rPr>
        <w:t> </w:t>
      </w:r>
      <w:r w:rsidRPr="00F25BD0">
        <w:rPr>
          <w:lang w:val="fr-FR"/>
        </w:rPr>
        <w:t>mars 2018</w:t>
      </w:r>
      <w:r w:rsidR="00D725DA">
        <w:rPr>
          <w:lang w:val="fr-FR"/>
        </w:rPr>
        <w:t> ;</w:t>
      </w:r>
      <w:r w:rsidRPr="00F25BD0">
        <w:rPr>
          <w:lang w:val="fr-FR"/>
        </w:rPr>
        <w:t xml:space="preserve"> une communication du Qatar contre les Émirats arabes unis, également reçue </w:t>
      </w:r>
      <w:r>
        <w:rPr>
          <w:lang w:val="fr-FR"/>
        </w:rPr>
        <w:t>le 8 mars 2018</w:t>
      </w:r>
      <w:r w:rsidR="00D725DA">
        <w:rPr>
          <w:lang w:val="fr-FR"/>
        </w:rPr>
        <w:t> ;</w:t>
      </w:r>
      <w:r w:rsidRPr="00F25BD0">
        <w:rPr>
          <w:lang w:val="fr-FR"/>
        </w:rPr>
        <w:t xml:space="preserve"> et une communication de l</w:t>
      </w:r>
      <w:r w:rsidR="009D7A41">
        <w:rPr>
          <w:lang w:val="fr-FR"/>
        </w:rPr>
        <w:t>’</w:t>
      </w:r>
      <w:r w:rsidRPr="00F25BD0">
        <w:rPr>
          <w:lang w:val="fr-FR"/>
        </w:rPr>
        <w:t>État de Palestine contre</w:t>
      </w:r>
      <w:r>
        <w:rPr>
          <w:lang w:val="fr-FR"/>
        </w:rPr>
        <w:t xml:space="preserve"> Israël, reçue le 23</w:t>
      </w:r>
      <w:r w:rsidR="009D7A41">
        <w:rPr>
          <w:lang w:val="fr-FR"/>
        </w:rPr>
        <w:t> </w:t>
      </w:r>
      <w:r>
        <w:rPr>
          <w:lang w:val="fr-FR"/>
        </w:rPr>
        <w:t>avril 2018</w:t>
      </w:r>
      <w:r w:rsidRPr="007B4C3A">
        <w:rPr>
          <w:lang w:val="fr-FR"/>
        </w:rPr>
        <w:t>.</w:t>
      </w:r>
    </w:p>
    <w:p w:rsidR="00E028AE" w:rsidRPr="00AD2E00" w:rsidRDefault="00E028AE" w:rsidP="009049B1">
      <w:pPr>
        <w:pStyle w:val="SingleTxtG"/>
        <w:rPr>
          <w:lang w:val="fr-FR"/>
        </w:rPr>
      </w:pPr>
      <w:r w:rsidRPr="00AD2E00">
        <w:rPr>
          <w:lang w:val="fr-FR"/>
        </w:rPr>
        <w:t>34.</w:t>
      </w:r>
      <w:r w:rsidRPr="00AD2E00">
        <w:rPr>
          <w:lang w:val="fr-FR"/>
        </w:rPr>
        <w:tab/>
        <w:t>Conformément à l</w:t>
      </w:r>
      <w:r w:rsidR="009D7A41">
        <w:rPr>
          <w:lang w:val="fr-FR"/>
        </w:rPr>
        <w:t>’</w:t>
      </w:r>
      <w:r w:rsidRPr="00AD2E00">
        <w:rPr>
          <w:lang w:val="fr-FR"/>
        </w:rPr>
        <w:t>article</w:t>
      </w:r>
      <w:r w:rsidR="00563A2F">
        <w:rPr>
          <w:lang w:val="fr-FR"/>
        </w:rPr>
        <w:t> </w:t>
      </w:r>
      <w:r w:rsidRPr="00AD2E00">
        <w:rPr>
          <w:lang w:val="fr-FR"/>
        </w:rPr>
        <w:t>11 de la Convention et à l</w:t>
      </w:r>
      <w:r w:rsidR="009D7A41">
        <w:rPr>
          <w:lang w:val="fr-FR"/>
        </w:rPr>
        <w:t>’</w:t>
      </w:r>
      <w:r w:rsidRPr="00AD2E00">
        <w:rPr>
          <w:lang w:val="fr-FR"/>
        </w:rPr>
        <w:t>article</w:t>
      </w:r>
      <w:r w:rsidR="009D7A41">
        <w:rPr>
          <w:lang w:val="fr-FR"/>
        </w:rPr>
        <w:t> </w:t>
      </w:r>
      <w:r w:rsidRPr="00AD2E00">
        <w:rPr>
          <w:lang w:val="fr-FR"/>
        </w:rPr>
        <w:t xml:space="preserve">69 </w:t>
      </w:r>
      <w:r>
        <w:rPr>
          <w:lang w:val="fr-FR"/>
        </w:rPr>
        <w:t>de son</w:t>
      </w:r>
      <w:r w:rsidRPr="00AD2E00">
        <w:rPr>
          <w:lang w:val="fr-FR"/>
        </w:rPr>
        <w:t xml:space="preserve"> </w:t>
      </w:r>
      <w:r>
        <w:rPr>
          <w:lang w:val="fr-FR"/>
        </w:rPr>
        <w:t>règlement intérieur</w:t>
      </w:r>
      <w:r w:rsidRPr="00AD2E00">
        <w:rPr>
          <w:lang w:val="fr-FR"/>
        </w:rPr>
        <w:t xml:space="preserve">, le Comité a décidé de </w:t>
      </w:r>
      <w:r>
        <w:rPr>
          <w:lang w:val="fr-FR"/>
        </w:rPr>
        <w:t>prier le</w:t>
      </w:r>
      <w:r w:rsidRPr="00AD2E00">
        <w:rPr>
          <w:lang w:val="fr-FR"/>
        </w:rPr>
        <w:t xml:space="preserve"> Secrétaire général de transmettre ces communications aux trois États parties concernés et de leur demander, comme le prévoit la Convention, de soumettre au Comité, dans un délai de trois mois, des explications ou déclarations écrites clarifiant la question et, le cas échéant, les mesures que cet État a pu prend</w:t>
      </w:r>
      <w:r>
        <w:rPr>
          <w:lang w:val="fr-FR"/>
        </w:rPr>
        <w:t>re pour remédier à la situation</w:t>
      </w:r>
      <w:r w:rsidRPr="00AD2E00">
        <w:rPr>
          <w:lang w:val="fr-FR"/>
        </w:rPr>
        <w:t>.</w:t>
      </w:r>
    </w:p>
    <w:p w:rsidR="00E028AE" w:rsidRPr="00563A2F" w:rsidRDefault="00E028AE" w:rsidP="00563A2F">
      <w:pPr>
        <w:pStyle w:val="HChG"/>
        <w:rPr>
          <w:lang w:val="fr-FR"/>
        </w:rPr>
      </w:pPr>
      <w:r w:rsidRPr="00AD2E00">
        <w:rPr>
          <w:lang w:val="fr-FR"/>
        </w:rPr>
        <w:br w:type="page"/>
      </w:r>
      <w:r w:rsidRPr="00AD2E00">
        <w:rPr>
          <w:lang w:val="fr-FR"/>
        </w:rPr>
        <w:lastRenderedPageBreak/>
        <w:tab/>
      </w:r>
      <w:r w:rsidR="00563A2F">
        <w:rPr>
          <w:lang w:val="fr-FR"/>
        </w:rPr>
        <w:t>VI.</w:t>
      </w:r>
      <w:r w:rsidRPr="00413A05">
        <w:rPr>
          <w:lang w:val="fr-FR"/>
        </w:rPr>
        <w:tab/>
        <w:t>Représailles</w:t>
      </w:r>
    </w:p>
    <w:p w:rsidR="00E028AE" w:rsidRPr="00217148" w:rsidRDefault="00E028AE" w:rsidP="00E028AE">
      <w:pPr>
        <w:pStyle w:val="SingleTxtG"/>
        <w:rPr>
          <w:bCs/>
          <w:lang w:val="fr-FR"/>
        </w:rPr>
      </w:pPr>
      <w:r w:rsidRPr="00217148">
        <w:rPr>
          <w:lang w:val="fr-FR"/>
        </w:rPr>
        <w:t>35.</w:t>
      </w:r>
      <w:r w:rsidRPr="00217148">
        <w:rPr>
          <w:lang w:val="fr-FR"/>
        </w:rPr>
        <w:tab/>
        <w:t>À sa quatre-vingt-quinzième session, le Comité a reçu des allégations de représailles de la part de défenseurs des droits de l</w:t>
      </w:r>
      <w:r w:rsidR="009D7A41">
        <w:rPr>
          <w:lang w:val="fr-FR"/>
        </w:rPr>
        <w:t>’</w:t>
      </w:r>
      <w:r w:rsidRPr="00217148">
        <w:rPr>
          <w:lang w:val="fr-FR"/>
        </w:rPr>
        <w:t>homme qui avaient participé, en août 2017, à l</w:t>
      </w:r>
      <w:r w:rsidR="009D7A41">
        <w:rPr>
          <w:lang w:val="fr-FR"/>
        </w:rPr>
        <w:t>’</w:t>
      </w:r>
      <w:r w:rsidRPr="00217148">
        <w:rPr>
          <w:lang w:val="fr-FR"/>
        </w:rPr>
        <w:t>examen par le Comité des vingt-troisième et vingt-quatrième rapports périodiques présent</w:t>
      </w:r>
      <w:r>
        <w:rPr>
          <w:lang w:val="fr-FR"/>
        </w:rPr>
        <w:t xml:space="preserve">és par la Fédération de Russie </w:t>
      </w:r>
      <w:r w:rsidRPr="00217148">
        <w:rPr>
          <w:lang w:val="fr-FR"/>
        </w:rPr>
        <w:t>(</w:t>
      </w:r>
      <w:hyperlink r:id="rId62" w:history="1">
        <w:r w:rsidRPr="00563A2F">
          <w:rPr>
            <w:rStyle w:val="Lienhypertexte"/>
            <w:lang w:val="fr-FR"/>
          </w:rPr>
          <w:t>CERD/C/RUS/23-24</w:t>
        </w:r>
      </w:hyperlink>
      <w:r w:rsidRPr="00217148">
        <w:rPr>
          <w:lang w:val="fr-FR"/>
        </w:rPr>
        <w:t xml:space="preserve">). Le coordonnateur du Comité </w:t>
      </w:r>
      <w:r>
        <w:rPr>
          <w:lang w:val="fr-FR"/>
        </w:rPr>
        <w:t xml:space="preserve">chargé de la question des </w:t>
      </w:r>
      <w:r w:rsidR="00563A2F">
        <w:rPr>
          <w:lang w:val="fr-FR"/>
        </w:rPr>
        <w:t>représailles, M. </w:t>
      </w:r>
      <w:r w:rsidRPr="00217148">
        <w:rPr>
          <w:lang w:val="fr-FR"/>
        </w:rPr>
        <w:t xml:space="preserve">Calí Tzay, ainsi que le Président du Comité, ont </w:t>
      </w:r>
      <w:r>
        <w:rPr>
          <w:lang w:val="fr-FR"/>
        </w:rPr>
        <w:t>adressé</w:t>
      </w:r>
      <w:r w:rsidRPr="00217148">
        <w:rPr>
          <w:lang w:val="fr-FR"/>
        </w:rPr>
        <w:t xml:space="preserve"> une lettre à l</w:t>
      </w:r>
      <w:r w:rsidR="009D7A41">
        <w:rPr>
          <w:lang w:val="fr-FR"/>
        </w:rPr>
        <w:t>’</w:t>
      </w:r>
      <w:r w:rsidRPr="00217148">
        <w:rPr>
          <w:lang w:val="fr-FR"/>
        </w:rPr>
        <w:t>État partie pour obtenir des inf</w:t>
      </w:r>
      <w:r w:rsidR="00563A2F">
        <w:rPr>
          <w:lang w:val="fr-FR"/>
        </w:rPr>
        <w:t>ormations sur les allégations.</w:t>
      </w:r>
    </w:p>
    <w:p w:rsidR="00E028AE" w:rsidRPr="002501C2" w:rsidRDefault="00E028AE" w:rsidP="002501C2">
      <w:pPr>
        <w:pStyle w:val="HChG"/>
        <w:rPr>
          <w:lang w:val="fr-FR"/>
        </w:rPr>
      </w:pPr>
      <w:r w:rsidRPr="00217148">
        <w:rPr>
          <w:lang w:val="fr-FR"/>
        </w:rPr>
        <w:br w:type="page"/>
      </w:r>
      <w:r w:rsidRPr="00217148">
        <w:rPr>
          <w:lang w:val="fr-FR"/>
        </w:rPr>
        <w:lastRenderedPageBreak/>
        <w:tab/>
      </w:r>
      <w:r>
        <w:rPr>
          <w:lang w:val="fr-FR"/>
        </w:rPr>
        <w:t>VII.</w:t>
      </w:r>
      <w:r>
        <w:rPr>
          <w:lang w:val="fr-FR"/>
        </w:rPr>
        <w:tab/>
        <w:t>États parties dont les rapports sont très en retard</w:t>
      </w:r>
      <w:bookmarkEnd w:id="11"/>
    </w:p>
    <w:p w:rsidR="00E028AE" w:rsidRPr="006F1F71" w:rsidRDefault="00E028AE" w:rsidP="002501C2">
      <w:pPr>
        <w:pStyle w:val="H1G"/>
        <w:rPr>
          <w:lang w:val="fr-FR"/>
        </w:rPr>
      </w:pPr>
      <w:r>
        <w:rPr>
          <w:lang w:val="fr-FR"/>
        </w:rPr>
        <w:tab/>
        <w:t>A.</w:t>
      </w:r>
      <w:r>
        <w:rPr>
          <w:lang w:val="fr-FR"/>
        </w:rPr>
        <w:tab/>
        <w:t>Rapports en retard d</w:t>
      </w:r>
      <w:r w:rsidR="009D7A41">
        <w:rPr>
          <w:lang w:val="fr-FR"/>
        </w:rPr>
        <w:t>’</w:t>
      </w:r>
      <w:r>
        <w:rPr>
          <w:lang w:val="fr-FR"/>
        </w:rPr>
        <w:t>au moins dix ans</w:t>
      </w:r>
      <w:bookmarkStart w:id="12" w:name="_Toc428794290"/>
      <w:bookmarkEnd w:id="12"/>
    </w:p>
    <w:p w:rsidR="00E028AE" w:rsidRPr="006F1F71" w:rsidRDefault="00E028AE" w:rsidP="00CB5BF8">
      <w:pPr>
        <w:pStyle w:val="SingleTxtG"/>
        <w:rPr>
          <w:lang w:val="fr-FR"/>
        </w:rPr>
      </w:pPr>
      <w:r>
        <w:rPr>
          <w:lang w:val="fr-FR"/>
        </w:rPr>
        <w:t>36.</w:t>
      </w:r>
      <w:r>
        <w:rPr>
          <w:lang w:val="fr-FR"/>
        </w:rPr>
        <w:tab/>
        <w:t>Les rapports des États parties ci-après sont en retard d</w:t>
      </w:r>
      <w:r w:rsidR="009D7A41">
        <w:rPr>
          <w:lang w:val="fr-FR"/>
        </w:rPr>
        <w:t>’</w:t>
      </w:r>
      <w:r w:rsidR="00E77FCC">
        <w:rPr>
          <w:lang w:val="fr-FR"/>
        </w:rPr>
        <w:t>au moins dix ans :</w:t>
      </w:r>
    </w:p>
    <w:tbl>
      <w:tblPr>
        <w:tblStyle w:val="Grilledutableau"/>
        <w:tblW w:w="7371" w:type="dxa"/>
        <w:tblInd w:w="1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4852"/>
      </w:tblGrid>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Sierra Leone</w:t>
            </w:r>
          </w:p>
        </w:tc>
        <w:tc>
          <w:tcPr>
            <w:tcW w:w="4852" w:type="dxa"/>
          </w:tcPr>
          <w:p w:rsidR="00B96416" w:rsidRPr="00B96416" w:rsidRDefault="00B96416" w:rsidP="001D00D7">
            <w:pPr>
              <w:pStyle w:val="SingleTxtG"/>
              <w:ind w:left="0" w:right="0"/>
              <w:jc w:val="left"/>
              <w:rPr>
                <w:lang w:val="fr-FR"/>
              </w:rPr>
            </w:pPr>
            <w:r w:rsidRPr="00B96416">
              <w:rPr>
                <w:lang w:val="fr-FR"/>
              </w:rPr>
              <w:t>Quatrième rapport périodique attendu depuis 1976</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Libéria</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1977</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Gambie</w:t>
            </w:r>
          </w:p>
        </w:tc>
        <w:tc>
          <w:tcPr>
            <w:tcW w:w="4852" w:type="dxa"/>
          </w:tcPr>
          <w:p w:rsidR="00B96416" w:rsidRPr="00B96416" w:rsidRDefault="00B96416" w:rsidP="001D00D7">
            <w:pPr>
              <w:pStyle w:val="SingleTxtG"/>
              <w:ind w:left="0" w:right="0"/>
              <w:jc w:val="left"/>
              <w:rPr>
                <w:lang w:val="fr-FR"/>
              </w:rPr>
            </w:pPr>
            <w:r w:rsidRPr="00B96416">
              <w:rPr>
                <w:lang w:val="fr-FR"/>
              </w:rPr>
              <w:t>Deuxième rapport attendu depuis 1982</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Somalie</w:t>
            </w:r>
          </w:p>
        </w:tc>
        <w:tc>
          <w:tcPr>
            <w:tcW w:w="4852" w:type="dxa"/>
          </w:tcPr>
          <w:p w:rsidR="00B96416" w:rsidRPr="00B96416" w:rsidRDefault="00B96416" w:rsidP="001D00D7">
            <w:pPr>
              <w:pStyle w:val="SingleTxtG"/>
              <w:ind w:left="0" w:right="0"/>
              <w:jc w:val="left"/>
              <w:rPr>
                <w:lang w:val="fr-FR"/>
              </w:rPr>
            </w:pPr>
            <w:r w:rsidRPr="00B96416">
              <w:rPr>
                <w:lang w:val="fr-FR"/>
              </w:rPr>
              <w:t>Cinquième rapport périodique attendu depuis 1984</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Papouasie-Nouvelle-Guinée</w:t>
            </w:r>
          </w:p>
        </w:tc>
        <w:tc>
          <w:tcPr>
            <w:tcW w:w="4852" w:type="dxa"/>
          </w:tcPr>
          <w:p w:rsidR="00B96416" w:rsidRPr="00B96416" w:rsidRDefault="00B96416" w:rsidP="001D00D7">
            <w:pPr>
              <w:pStyle w:val="SingleTxtG"/>
              <w:ind w:left="0" w:right="0"/>
              <w:jc w:val="left"/>
              <w:rPr>
                <w:lang w:val="fr-FR"/>
              </w:rPr>
            </w:pPr>
            <w:r w:rsidRPr="00B96416">
              <w:rPr>
                <w:lang w:val="fr-FR"/>
              </w:rPr>
              <w:t>Deuxième rapport périodique attendu depuis 1985</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Îles Salomon</w:t>
            </w:r>
          </w:p>
        </w:tc>
        <w:tc>
          <w:tcPr>
            <w:tcW w:w="4852" w:type="dxa"/>
          </w:tcPr>
          <w:p w:rsidR="00B96416" w:rsidRPr="00B96416" w:rsidRDefault="00B96416" w:rsidP="001D00D7">
            <w:pPr>
              <w:pStyle w:val="SingleTxtG"/>
              <w:ind w:left="0" w:right="0"/>
              <w:jc w:val="left"/>
              <w:rPr>
                <w:lang w:val="fr-FR"/>
              </w:rPr>
            </w:pPr>
            <w:r w:rsidRPr="00B96416">
              <w:rPr>
                <w:lang w:val="fr-FR"/>
              </w:rPr>
              <w:t>Deuxième rapport périodique attendu depuis 1985</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République centrafricaine</w:t>
            </w:r>
          </w:p>
        </w:tc>
        <w:tc>
          <w:tcPr>
            <w:tcW w:w="4852" w:type="dxa"/>
          </w:tcPr>
          <w:p w:rsidR="00B96416" w:rsidRPr="00B96416" w:rsidRDefault="00B96416" w:rsidP="001D00D7">
            <w:pPr>
              <w:pStyle w:val="SingleTxtG"/>
              <w:ind w:left="0" w:right="0"/>
              <w:jc w:val="left"/>
              <w:rPr>
                <w:lang w:val="fr-FR"/>
              </w:rPr>
            </w:pPr>
            <w:r w:rsidRPr="00B96416">
              <w:rPr>
                <w:lang w:val="fr-FR"/>
              </w:rPr>
              <w:t>Huitième rapport périodique attendu depuis 1986</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Afghanistan</w:t>
            </w:r>
          </w:p>
        </w:tc>
        <w:tc>
          <w:tcPr>
            <w:tcW w:w="4852" w:type="dxa"/>
          </w:tcPr>
          <w:p w:rsidR="00B96416" w:rsidRPr="00B96416" w:rsidRDefault="00B96416" w:rsidP="001D00D7">
            <w:pPr>
              <w:pStyle w:val="SingleTxtG"/>
              <w:ind w:left="0" w:right="0"/>
              <w:jc w:val="left"/>
              <w:rPr>
                <w:lang w:val="fr-FR"/>
              </w:rPr>
            </w:pPr>
            <w:r w:rsidRPr="00B96416">
              <w:rPr>
                <w:lang w:val="fr-FR"/>
              </w:rPr>
              <w:t>Deuxième rapport périodique attendu depuis 1986</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Seychelles</w:t>
            </w:r>
          </w:p>
        </w:tc>
        <w:tc>
          <w:tcPr>
            <w:tcW w:w="4852" w:type="dxa"/>
          </w:tcPr>
          <w:p w:rsidR="00B96416" w:rsidRPr="00B96416" w:rsidRDefault="00B96416" w:rsidP="001D00D7">
            <w:pPr>
              <w:pStyle w:val="SingleTxtG"/>
              <w:ind w:left="0" w:right="0"/>
              <w:jc w:val="left"/>
              <w:rPr>
                <w:lang w:val="fr-FR"/>
              </w:rPr>
            </w:pPr>
            <w:r w:rsidRPr="00B96416">
              <w:rPr>
                <w:lang w:val="fr-FR"/>
              </w:rPr>
              <w:t>Sixième rapport périodique attendu depuis 1989</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Sainte-Lucie</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1991</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Malawi</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1997</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Burundi</w:t>
            </w:r>
          </w:p>
        </w:tc>
        <w:tc>
          <w:tcPr>
            <w:tcW w:w="4852" w:type="dxa"/>
          </w:tcPr>
          <w:p w:rsidR="00B96416" w:rsidRPr="00B96416" w:rsidRDefault="00B96416" w:rsidP="001D00D7">
            <w:pPr>
              <w:pStyle w:val="SingleTxtG"/>
              <w:ind w:left="0" w:right="0"/>
              <w:jc w:val="left"/>
              <w:rPr>
                <w:lang w:val="fr-FR"/>
              </w:rPr>
            </w:pPr>
            <w:r w:rsidRPr="00B96416">
              <w:rPr>
                <w:lang w:val="fr-FR"/>
              </w:rPr>
              <w:t>Onzième rapport périodique attendu depuis 1998</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Eswatini</w:t>
            </w:r>
          </w:p>
        </w:tc>
        <w:tc>
          <w:tcPr>
            <w:tcW w:w="4852" w:type="dxa"/>
          </w:tcPr>
          <w:p w:rsidR="00B96416" w:rsidRPr="00B96416" w:rsidRDefault="00B96416" w:rsidP="001D00D7">
            <w:pPr>
              <w:pStyle w:val="SingleTxtG"/>
              <w:ind w:left="0" w:right="0"/>
              <w:jc w:val="left"/>
              <w:rPr>
                <w:lang w:val="fr-FR"/>
              </w:rPr>
            </w:pPr>
            <w:r w:rsidRPr="00B96416">
              <w:rPr>
                <w:lang w:val="fr-FR"/>
              </w:rPr>
              <w:t xml:space="preserve">Quinzième rapport périodique attendu depuis 1998 </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Gabon</w:t>
            </w:r>
          </w:p>
        </w:tc>
        <w:tc>
          <w:tcPr>
            <w:tcW w:w="4852" w:type="dxa"/>
          </w:tcPr>
          <w:p w:rsidR="00B96416" w:rsidRPr="00B96416" w:rsidRDefault="00B96416" w:rsidP="001D00D7">
            <w:pPr>
              <w:pStyle w:val="SingleTxtG"/>
              <w:ind w:left="0" w:right="0"/>
              <w:jc w:val="left"/>
              <w:rPr>
                <w:lang w:val="fr-FR"/>
              </w:rPr>
            </w:pPr>
            <w:r w:rsidRPr="00B96416">
              <w:rPr>
                <w:lang w:val="fr-FR"/>
              </w:rPr>
              <w:t>Dixième rapport périodique attendu depuis 1999</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Haïti</w:t>
            </w:r>
          </w:p>
        </w:tc>
        <w:tc>
          <w:tcPr>
            <w:tcW w:w="4852" w:type="dxa"/>
          </w:tcPr>
          <w:p w:rsidR="00B96416" w:rsidRPr="00B96416" w:rsidRDefault="00B96416" w:rsidP="001D00D7">
            <w:pPr>
              <w:pStyle w:val="SingleTxtG"/>
              <w:ind w:left="0" w:right="0"/>
              <w:jc w:val="left"/>
              <w:rPr>
                <w:lang w:val="fr-FR"/>
              </w:rPr>
            </w:pPr>
            <w:r w:rsidRPr="00B96416">
              <w:rPr>
                <w:lang w:val="fr-FR"/>
              </w:rPr>
              <w:t>Quatorzième rapport périodique attendu depuis 2000</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Guinée</w:t>
            </w:r>
          </w:p>
        </w:tc>
        <w:tc>
          <w:tcPr>
            <w:tcW w:w="4852" w:type="dxa"/>
          </w:tcPr>
          <w:p w:rsidR="00B96416" w:rsidRPr="00B96416" w:rsidRDefault="00B96416" w:rsidP="001D00D7">
            <w:pPr>
              <w:pStyle w:val="SingleTxtG"/>
              <w:ind w:left="0" w:right="0"/>
              <w:jc w:val="left"/>
              <w:rPr>
                <w:lang w:val="fr-FR"/>
              </w:rPr>
            </w:pPr>
            <w:r w:rsidRPr="00B96416">
              <w:rPr>
                <w:lang w:val="fr-FR"/>
              </w:rPr>
              <w:t>Douzième rapport périodique attendu depuis 2000</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République arabe syrienne</w:t>
            </w:r>
          </w:p>
        </w:tc>
        <w:tc>
          <w:tcPr>
            <w:tcW w:w="4852" w:type="dxa"/>
          </w:tcPr>
          <w:p w:rsidR="00B96416" w:rsidRPr="00B96416" w:rsidRDefault="00B96416" w:rsidP="001D00D7">
            <w:pPr>
              <w:pStyle w:val="SingleTxtG"/>
              <w:ind w:left="0" w:right="0"/>
              <w:jc w:val="left"/>
              <w:rPr>
                <w:lang w:val="fr-FR"/>
              </w:rPr>
            </w:pPr>
            <w:r w:rsidRPr="00B96416">
              <w:rPr>
                <w:lang w:val="fr-FR"/>
              </w:rPr>
              <w:t>Seizième rapport périodique attendu depuis 2000</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Zimbabwe</w:t>
            </w:r>
          </w:p>
        </w:tc>
        <w:tc>
          <w:tcPr>
            <w:tcW w:w="4852" w:type="dxa"/>
          </w:tcPr>
          <w:p w:rsidR="00B96416" w:rsidRPr="00B96416" w:rsidRDefault="00B96416" w:rsidP="001D00D7">
            <w:pPr>
              <w:pStyle w:val="SingleTxtG"/>
              <w:ind w:left="0" w:right="0"/>
              <w:jc w:val="left"/>
              <w:rPr>
                <w:lang w:val="fr-FR"/>
              </w:rPr>
            </w:pPr>
            <w:r w:rsidRPr="00B96416">
              <w:rPr>
                <w:lang w:val="fr-FR"/>
              </w:rPr>
              <w:t>Cinquième rapport périodique attendu depuis 2000</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Lesotho</w:t>
            </w:r>
          </w:p>
        </w:tc>
        <w:tc>
          <w:tcPr>
            <w:tcW w:w="4852" w:type="dxa"/>
          </w:tcPr>
          <w:p w:rsidR="00B96416" w:rsidRPr="00B96416" w:rsidRDefault="00B96416" w:rsidP="001D00D7">
            <w:pPr>
              <w:pStyle w:val="SingleTxtG"/>
              <w:ind w:left="0" w:right="0"/>
              <w:jc w:val="left"/>
              <w:rPr>
                <w:lang w:val="fr-FR"/>
              </w:rPr>
            </w:pPr>
            <w:r w:rsidRPr="00B96416">
              <w:rPr>
                <w:lang w:val="fr-FR"/>
              </w:rPr>
              <w:t>Quinzième rapport périodique attendu depuis 2000</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Tonga</w:t>
            </w:r>
          </w:p>
        </w:tc>
        <w:tc>
          <w:tcPr>
            <w:tcW w:w="4852" w:type="dxa"/>
          </w:tcPr>
          <w:p w:rsidR="00B96416" w:rsidRPr="00B96416" w:rsidRDefault="00B96416" w:rsidP="001D00D7">
            <w:pPr>
              <w:pStyle w:val="SingleTxtG"/>
              <w:ind w:left="0" w:right="0"/>
              <w:jc w:val="left"/>
              <w:rPr>
                <w:lang w:val="fr-FR"/>
              </w:rPr>
            </w:pPr>
            <w:r w:rsidRPr="00B96416">
              <w:rPr>
                <w:lang w:val="fr-FR"/>
              </w:rPr>
              <w:t>Quinzième rapport périodique attendu depuis 2001</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Bangladesh</w:t>
            </w:r>
          </w:p>
        </w:tc>
        <w:tc>
          <w:tcPr>
            <w:tcW w:w="4852" w:type="dxa"/>
          </w:tcPr>
          <w:p w:rsidR="00B96416" w:rsidRPr="00B96416" w:rsidRDefault="00B96416" w:rsidP="001D00D7">
            <w:pPr>
              <w:pStyle w:val="SingleTxtG"/>
              <w:ind w:left="0" w:right="0"/>
              <w:jc w:val="left"/>
              <w:rPr>
                <w:lang w:val="fr-FR"/>
              </w:rPr>
            </w:pPr>
            <w:r w:rsidRPr="00B96416">
              <w:rPr>
                <w:lang w:val="fr-FR"/>
              </w:rPr>
              <w:t>Douzième rapport périodique attendu depuis 2002</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Érythrée</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2002</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Belize</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2002</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Bénin</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2002</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Guinée équatoriale</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2003</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Saint-Marin</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2003</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Hongrie</w:t>
            </w:r>
          </w:p>
        </w:tc>
        <w:tc>
          <w:tcPr>
            <w:tcW w:w="4852" w:type="dxa"/>
          </w:tcPr>
          <w:p w:rsidR="00B96416" w:rsidRPr="00B96416" w:rsidRDefault="00B96416" w:rsidP="001D00D7">
            <w:pPr>
              <w:pStyle w:val="SingleTxtG"/>
              <w:ind w:left="0" w:right="0"/>
              <w:jc w:val="left"/>
              <w:rPr>
                <w:lang w:val="fr-FR"/>
              </w:rPr>
            </w:pPr>
            <w:r w:rsidRPr="00B96416">
              <w:rPr>
                <w:lang w:val="fr-FR"/>
              </w:rPr>
              <w:t>Dix-huitième rapport périodique attendu depuis 2004</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Timor-Leste</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2004</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Trinité-et-Tobago</w:t>
            </w:r>
          </w:p>
        </w:tc>
        <w:tc>
          <w:tcPr>
            <w:tcW w:w="4852" w:type="dxa"/>
          </w:tcPr>
          <w:p w:rsidR="00B96416" w:rsidRPr="00B96416" w:rsidRDefault="00B96416" w:rsidP="001D00D7">
            <w:pPr>
              <w:pStyle w:val="SingleTxtG"/>
              <w:ind w:left="0" w:right="0"/>
              <w:jc w:val="left"/>
              <w:rPr>
                <w:lang w:val="fr-FR"/>
              </w:rPr>
            </w:pPr>
            <w:r w:rsidRPr="00B96416">
              <w:rPr>
                <w:lang w:val="fr-FR"/>
              </w:rPr>
              <w:t>Rapport valant quinzième et seizième rapports périodiques</w:t>
            </w:r>
            <w:r w:rsidR="002D4512">
              <w:rPr>
                <w:lang w:val="fr-FR"/>
              </w:rPr>
              <w:t xml:space="preserve"> </w:t>
            </w:r>
            <w:r w:rsidR="002D4512" w:rsidRPr="00B96416">
              <w:rPr>
                <w:lang w:val="fr-FR"/>
              </w:rPr>
              <w:t>attendu depuis 2004</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Comores</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2005</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Ouganda</w:t>
            </w:r>
          </w:p>
        </w:tc>
        <w:tc>
          <w:tcPr>
            <w:tcW w:w="4852" w:type="dxa"/>
          </w:tcPr>
          <w:p w:rsidR="00B96416" w:rsidRPr="00B96416" w:rsidRDefault="00B96416" w:rsidP="001D00D7">
            <w:pPr>
              <w:pStyle w:val="SingleTxtG"/>
              <w:ind w:left="0" w:right="0"/>
              <w:jc w:val="left"/>
              <w:rPr>
                <w:lang w:val="fr-FR"/>
              </w:rPr>
            </w:pPr>
            <w:r w:rsidRPr="00B96416">
              <w:rPr>
                <w:lang w:val="fr-FR"/>
              </w:rPr>
              <w:t>Rapport valant onzième à treizième rapports périodiques attendu depuis 2005</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Mali</w:t>
            </w:r>
          </w:p>
        </w:tc>
        <w:tc>
          <w:tcPr>
            <w:tcW w:w="4852" w:type="dxa"/>
          </w:tcPr>
          <w:p w:rsidR="00B96416" w:rsidRPr="00B96416" w:rsidRDefault="00B96416" w:rsidP="001D00D7">
            <w:pPr>
              <w:pStyle w:val="SingleTxtG"/>
              <w:ind w:left="0" w:right="0"/>
              <w:jc w:val="left"/>
              <w:rPr>
                <w:lang w:val="fr-FR"/>
              </w:rPr>
            </w:pPr>
            <w:r w:rsidRPr="00B96416">
              <w:rPr>
                <w:lang w:val="fr-FR"/>
              </w:rPr>
              <w:t>Rapport valant quinzième et seizième rapports périodiques attendu depuis 2005</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lastRenderedPageBreak/>
              <w:t>Ghana</w:t>
            </w:r>
          </w:p>
        </w:tc>
        <w:tc>
          <w:tcPr>
            <w:tcW w:w="4852" w:type="dxa"/>
          </w:tcPr>
          <w:p w:rsidR="00B96416" w:rsidRPr="00B96416" w:rsidRDefault="00B96416" w:rsidP="001D00D7">
            <w:pPr>
              <w:pStyle w:val="SingleTxtG"/>
              <w:ind w:left="0" w:right="0"/>
              <w:jc w:val="left"/>
              <w:rPr>
                <w:lang w:val="fr-FR"/>
              </w:rPr>
            </w:pPr>
            <w:r w:rsidRPr="00B96416">
              <w:rPr>
                <w:lang w:val="fr-FR"/>
              </w:rPr>
              <w:t>Rapport valant dix-huitième et dix-neuvième rapports périodiques attendu depuis 2006</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Libye</w:t>
            </w:r>
          </w:p>
        </w:tc>
        <w:tc>
          <w:tcPr>
            <w:tcW w:w="4852" w:type="dxa"/>
          </w:tcPr>
          <w:p w:rsidR="00B96416" w:rsidRPr="00B96416" w:rsidRDefault="00B96416" w:rsidP="001D00D7">
            <w:pPr>
              <w:pStyle w:val="SingleTxtG"/>
              <w:ind w:left="0" w:right="0"/>
              <w:jc w:val="left"/>
              <w:rPr>
                <w:lang w:val="fr-FR"/>
              </w:rPr>
            </w:pPr>
            <w:r w:rsidRPr="00B96416">
              <w:rPr>
                <w:lang w:val="fr-FR"/>
              </w:rPr>
              <w:t>Rapport valant dix-huitième et dix-neuvième rapports périodiques attendu depuis 2006</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Côte d’Ivoire</w:t>
            </w:r>
          </w:p>
        </w:tc>
        <w:tc>
          <w:tcPr>
            <w:tcW w:w="4852" w:type="dxa"/>
          </w:tcPr>
          <w:p w:rsidR="00B96416" w:rsidRPr="00B96416" w:rsidRDefault="00B96416" w:rsidP="001D00D7">
            <w:pPr>
              <w:pStyle w:val="SingleTxtG"/>
              <w:ind w:left="0" w:right="0"/>
              <w:jc w:val="left"/>
              <w:rPr>
                <w:lang w:val="fr-FR"/>
              </w:rPr>
            </w:pPr>
            <w:r w:rsidRPr="00B96416">
              <w:rPr>
                <w:lang w:val="fr-FR"/>
              </w:rPr>
              <w:t>Rapport valant quinzième à dix-septième rapports périodiques attendu depuis 2006</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Bahamas</w:t>
            </w:r>
          </w:p>
        </w:tc>
        <w:tc>
          <w:tcPr>
            <w:tcW w:w="4852" w:type="dxa"/>
          </w:tcPr>
          <w:p w:rsidR="00B96416" w:rsidRPr="00B96416" w:rsidRDefault="00B96416" w:rsidP="001D00D7">
            <w:pPr>
              <w:pStyle w:val="SingleTxtG"/>
              <w:ind w:left="0" w:right="0"/>
              <w:jc w:val="left"/>
              <w:rPr>
                <w:lang w:val="fr-FR"/>
              </w:rPr>
            </w:pPr>
            <w:r w:rsidRPr="00B96416">
              <w:rPr>
                <w:lang w:val="fr-FR"/>
              </w:rPr>
              <w:t>Rapport valant quinzième et seizième rapports périodiques attendu depuis 2006</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Cabo Verde</w:t>
            </w:r>
          </w:p>
        </w:tc>
        <w:tc>
          <w:tcPr>
            <w:tcW w:w="4852" w:type="dxa"/>
          </w:tcPr>
          <w:p w:rsidR="00B96416" w:rsidRPr="00B96416" w:rsidRDefault="00B96416" w:rsidP="001D00D7">
            <w:pPr>
              <w:pStyle w:val="SingleTxtG"/>
              <w:ind w:left="0" w:right="0"/>
              <w:jc w:val="left"/>
              <w:rPr>
                <w:lang w:val="fr-FR"/>
              </w:rPr>
            </w:pPr>
            <w:r w:rsidRPr="00B96416">
              <w:rPr>
                <w:lang w:val="fr-FR"/>
              </w:rPr>
              <w:t>Rapport valant treizième et quatorzième rapports périodiques attendu depuis 2006</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Saint-Vincent-et-</w:t>
            </w:r>
            <w:r w:rsidR="007A22F4">
              <w:rPr>
                <w:lang w:val="fr-FR"/>
              </w:rPr>
              <w:br/>
            </w:r>
            <w:r w:rsidR="007A22F4" w:rsidRPr="00B96416">
              <w:rPr>
                <w:lang w:val="fr-FR"/>
              </w:rPr>
              <w:t>les-Grenadines</w:t>
            </w:r>
          </w:p>
        </w:tc>
        <w:tc>
          <w:tcPr>
            <w:tcW w:w="4852" w:type="dxa"/>
          </w:tcPr>
          <w:p w:rsidR="00B96416" w:rsidRPr="00B96416" w:rsidRDefault="00B96416" w:rsidP="001D00D7">
            <w:pPr>
              <w:pStyle w:val="SingleTxtG"/>
              <w:ind w:left="0" w:right="0"/>
              <w:jc w:val="left"/>
              <w:rPr>
                <w:lang w:val="fr-FR"/>
              </w:rPr>
            </w:pPr>
            <w:r w:rsidRPr="00B96416">
              <w:rPr>
                <w:lang w:val="fr-FR"/>
              </w:rPr>
              <w:t>Rapport valant onzième à treizième rapports périodiques</w:t>
            </w:r>
            <w:r w:rsidR="007A22F4">
              <w:rPr>
                <w:lang w:val="fr-FR"/>
              </w:rPr>
              <w:t xml:space="preserve"> </w:t>
            </w:r>
            <w:r w:rsidR="007A22F4" w:rsidRPr="00B96416">
              <w:rPr>
                <w:lang w:val="fr-FR"/>
              </w:rPr>
              <w:t>attendu depuis 2006</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Barbade</w:t>
            </w:r>
          </w:p>
        </w:tc>
        <w:tc>
          <w:tcPr>
            <w:tcW w:w="4852" w:type="dxa"/>
          </w:tcPr>
          <w:p w:rsidR="00B96416" w:rsidRPr="00B96416" w:rsidRDefault="00B96416" w:rsidP="001D00D7">
            <w:pPr>
              <w:pStyle w:val="SingleTxtG"/>
              <w:ind w:left="0" w:right="0"/>
              <w:jc w:val="left"/>
              <w:rPr>
                <w:lang w:val="fr-FR"/>
              </w:rPr>
            </w:pPr>
            <w:r w:rsidRPr="00B96416">
              <w:rPr>
                <w:lang w:val="fr-FR"/>
              </w:rPr>
              <w:t>Rapport valant dix-septième et dix-huitième rapports périodiques attendu depuis 2007</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Saint-Kitts-et-Nevis</w:t>
            </w:r>
          </w:p>
        </w:tc>
        <w:tc>
          <w:tcPr>
            <w:tcW w:w="4852" w:type="dxa"/>
          </w:tcPr>
          <w:p w:rsidR="00B96416" w:rsidRPr="00B96416" w:rsidRDefault="00B96416" w:rsidP="001D00D7">
            <w:pPr>
              <w:pStyle w:val="SingleTxtG"/>
              <w:ind w:left="0" w:right="0"/>
              <w:jc w:val="left"/>
              <w:rPr>
                <w:lang w:val="fr-FR"/>
              </w:rPr>
            </w:pPr>
            <w:r w:rsidRPr="00B96416">
              <w:rPr>
                <w:lang w:val="fr-FR"/>
              </w:rPr>
              <w:t>Rapport initial attendu depuis 2007</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Rép.-Unie de Tanzanie</w:t>
            </w:r>
          </w:p>
        </w:tc>
        <w:tc>
          <w:tcPr>
            <w:tcW w:w="4852" w:type="dxa"/>
          </w:tcPr>
          <w:p w:rsidR="00B96416" w:rsidRPr="00B96416" w:rsidRDefault="00B96416" w:rsidP="001D00D7">
            <w:pPr>
              <w:pStyle w:val="SingleTxtG"/>
              <w:ind w:left="0" w:right="0"/>
              <w:jc w:val="left"/>
              <w:rPr>
                <w:lang w:val="fr-FR"/>
              </w:rPr>
            </w:pPr>
            <w:r w:rsidRPr="00B96416">
              <w:rPr>
                <w:lang w:val="fr-FR"/>
              </w:rPr>
              <w:t>Rapport valant dix-septième et dix-huitième rapports</w:t>
            </w:r>
            <w:r w:rsidR="00E77FCC">
              <w:rPr>
                <w:lang w:val="fr-FR"/>
              </w:rPr>
              <w:t xml:space="preserve"> </w:t>
            </w:r>
            <w:r w:rsidRPr="00B96416">
              <w:rPr>
                <w:lang w:val="fr-FR"/>
              </w:rPr>
              <w:t>périodiques attendu depuis 2007</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Bahreïn</w:t>
            </w:r>
          </w:p>
        </w:tc>
        <w:tc>
          <w:tcPr>
            <w:tcW w:w="4852" w:type="dxa"/>
          </w:tcPr>
          <w:p w:rsidR="00B96416" w:rsidRPr="00B96416" w:rsidRDefault="00B96416" w:rsidP="001D00D7">
            <w:pPr>
              <w:pStyle w:val="SingleTxtG"/>
              <w:ind w:left="0" w:right="0"/>
              <w:jc w:val="left"/>
              <w:rPr>
                <w:lang w:val="fr-FR"/>
              </w:rPr>
            </w:pPr>
            <w:r w:rsidRPr="00B96416">
              <w:rPr>
                <w:lang w:val="fr-FR"/>
              </w:rPr>
              <w:t>Rapport valant huitième et neuvième rapports périodiques attendu depuis 2007</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Guyana</w:t>
            </w:r>
          </w:p>
        </w:tc>
        <w:tc>
          <w:tcPr>
            <w:tcW w:w="4852" w:type="dxa"/>
          </w:tcPr>
          <w:p w:rsidR="00B96416" w:rsidRPr="00B96416" w:rsidRDefault="00B96416" w:rsidP="001D00D7">
            <w:pPr>
              <w:pStyle w:val="SingleTxtG"/>
              <w:ind w:left="0" w:right="0"/>
              <w:jc w:val="left"/>
              <w:rPr>
                <w:lang w:val="fr-FR"/>
              </w:rPr>
            </w:pPr>
            <w:r w:rsidRPr="00B96416">
              <w:rPr>
                <w:lang w:val="fr-FR"/>
              </w:rPr>
              <w:t>Rapport valant quinzième et seizième rapports périodiques attendu depuis 2008</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Brésil</w:t>
            </w:r>
          </w:p>
        </w:tc>
        <w:tc>
          <w:tcPr>
            <w:tcW w:w="4852" w:type="dxa"/>
          </w:tcPr>
          <w:p w:rsidR="00B96416" w:rsidRPr="00B96416" w:rsidRDefault="00B96416" w:rsidP="001D00D7">
            <w:pPr>
              <w:pStyle w:val="SingleTxtG"/>
              <w:ind w:left="0" w:right="0"/>
              <w:jc w:val="left"/>
              <w:rPr>
                <w:lang w:val="fr-FR"/>
              </w:rPr>
            </w:pPr>
            <w:r w:rsidRPr="00B96416">
              <w:rPr>
                <w:lang w:val="fr-FR"/>
              </w:rPr>
              <w:t>Rapport valant dix-huitième à vingtième rapports périodiques attendu depuis 2008</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Madagascar</w:t>
            </w:r>
          </w:p>
        </w:tc>
        <w:tc>
          <w:tcPr>
            <w:tcW w:w="4852" w:type="dxa"/>
          </w:tcPr>
          <w:p w:rsidR="00B96416" w:rsidRPr="00B96416" w:rsidRDefault="00B96416" w:rsidP="001D00D7">
            <w:pPr>
              <w:pStyle w:val="SingleTxtG"/>
              <w:ind w:left="0" w:right="0"/>
              <w:jc w:val="left"/>
              <w:rPr>
                <w:lang w:val="fr-FR"/>
              </w:rPr>
            </w:pPr>
            <w:r w:rsidRPr="00B96416">
              <w:rPr>
                <w:lang w:val="fr-FR"/>
              </w:rPr>
              <w:t>Rapport valant dix-neuvième et vingtième rapports périodiques attendu depuis 2008</w:t>
            </w:r>
          </w:p>
        </w:tc>
      </w:tr>
      <w:tr w:rsidR="00B96416" w:rsidRPr="00B96416" w:rsidTr="007A22F4">
        <w:tc>
          <w:tcPr>
            <w:tcW w:w="2519" w:type="dxa"/>
          </w:tcPr>
          <w:p w:rsidR="00B96416" w:rsidRPr="00B96416" w:rsidRDefault="00B96416" w:rsidP="007A22F4">
            <w:pPr>
              <w:pStyle w:val="SingleTxtG"/>
              <w:ind w:left="0" w:right="0"/>
              <w:rPr>
                <w:lang w:val="fr-FR"/>
              </w:rPr>
            </w:pPr>
            <w:r w:rsidRPr="00B96416">
              <w:rPr>
                <w:lang w:val="fr-FR"/>
              </w:rPr>
              <w:t>Nigéria</w:t>
            </w:r>
          </w:p>
        </w:tc>
        <w:tc>
          <w:tcPr>
            <w:tcW w:w="4852" w:type="dxa"/>
          </w:tcPr>
          <w:p w:rsidR="00B96416" w:rsidRPr="00B96416" w:rsidRDefault="00B96416" w:rsidP="001D00D7">
            <w:pPr>
              <w:pStyle w:val="SingleTxtG"/>
              <w:ind w:left="0" w:right="0"/>
              <w:jc w:val="left"/>
              <w:rPr>
                <w:lang w:val="fr-FR"/>
              </w:rPr>
            </w:pPr>
            <w:r w:rsidRPr="00B96416">
              <w:rPr>
                <w:lang w:val="fr-FR"/>
              </w:rPr>
              <w:t>Rapport valant dix-neuvième et vingtième rapports périodiques attendu depuis 2008</w:t>
            </w:r>
          </w:p>
        </w:tc>
      </w:tr>
    </w:tbl>
    <w:p w:rsidR="00E028AE" w:rsidRPr="006F1F71" w:rsidRDefault="00E028AE" w:rsidP="002D4512">
      <w:pPr>
        <w:pStyle w:val="H1G"/>
        <w:rPr>
          <w:lang w:val="fr-FR"/>
        </w:rPr>
      </w:pPr>
      <w:r>
        <w:rPr>
          <w:lang w:val="fr-FR"/>
        </w:rPr>
        <w:tab/>
        <w:t>B.</w:t>
      </w:r>
      <w:r>
        <w:rPr>
          <w:lang w:val="fr-FR"/>
        </w:rPr>
        <w:tab/>
        <w:t>Rapports en retard d</w:t>
      </w:r>
      <w:r w:rsidR="009D7A41">
        <w:rPr>
          <w:lang w:val="fr-FR"/>
        </w:rPr>
        <w:t>’</w:t>
      </w:r>
      <w:r>
        <w:rPr>
          <w:lang w:val="fr-FR"/>
        </w:rPr>
        <w:t>au moins cinq ans</w:t>
      </w:r>
      <w:bookmarkStart w:id="13" w:name="_Toc428794291"/>
      <w:bookmarkEnd w:id="13"/>
    </w:p>
    <w:p w:rsidR="00E028AE" w:rsidRPr="006F1F71" w:rsidRDefault="00E028AE" w:rsidP="002D4512">
      <w:pPr>
        <w:pStyle w:val="SingleTxtG"/>
        <w:rPr>
          <w:lang w:val="fr-FR"/>
        </w:rPr>
      </w:pPr>
      <w:r>
        <w:rPr>
          <w:lang w:val="fr-FR"/>
        </w:rPr>
        <w:t>37.</w:t>
      </w:r>
      <w:r>
        <w:rPr>
          <w:lang w:val="fr-FR"/>
        </w:rPr>
        <w:tab/>
        <w:t>Les rapports des États parties ci-après sont en retard d</w:t>
      </w:r>
      <w:r w:rsidR="009D7A41">
        <w:rPr>
          <w:lang w:val="fr-FR"/>
        </w:rPr>
        <w:t>’</w:t>
      </w:r>
      <w:r w:rsidR="00E77FCC">
        <w:rPr>
          <w:lang w:val="fr-FR"/>
        </w:rPr>
        <w:t>au moins cinq ans :</w:t>
      </w:r>
    </w:p>
    <w:tbl>
      <w:tblPr>
        <w:tblStyle w:val="Grilledutableau"/>
        <w:tblW w:w="7371" w:type="dxa"/>
        <w:tblInd w:w="1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851"/>
      </w:tblGrid>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Botswana</w:t>
            </w:r>
          </w:p>
        </w:tc>
        <w:tc>
          <w:tcPr>
            <w:tcW w:w="4851" w:type="dxa"/>
          </w:tcPr>
          <w:p w:rsidR="002D4512" w:rsidRPr="002D4512" w:rsidRDefault="002D4512" w:rsidP="001D00D7">
            <w:pPr>
              <w:pStyle w:val="SingleTxtG"/>
              <w:ind w:left="0" w:right="0"/>
              <w:jc w:val="left"/>
              <w:rPr>
                <w:lang w:val="fr-FR"/>
              </w:rPr>
            </w:pPr>
            <w:r w:rsidRPr="002D4512">
              <w:rPr>
                <w:lang w:val="fr-FR"/>
              </w:rPr>
              <w:t>Rapport valant dix-septième et dix-huitième rapports périodiques attendu depuis 2009</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Antigua-et-Barbuda</w:t>
            </w:r>
          </w:p>
        </w:tc>
        <w:tc>
          <w:tcPr>
            <w:tcW w:w="4851" w:type="dxa"/>
          </w:tcPr>
          <w:p w:rsidR="002D4512" w:rsidRPr="002D4512" w:rsidRDefault="002D4512" w:rsidP="001D00D7">
            <w:pPr>
              <w:pStyle w:val="SingleTxtG"/>
              <w:ind w:left="0" w:right="0"/>
              <w:jc w:val="left"/>
              <w:rPr>
                <w:lang w:val="fr-FR"/>
              </w:rPr>
            </w:pPr>
            <w:r w:rsidRPr="002D4512">
              <w:rPr>
                <w:lang w:val="fr-FR"/>
              </w:rPr>
              <w:t>Rapport valant dixième et onzième rapports périodiques attendu depuis 2009</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Inde</w:t>
            </w:r>
          </w:p>
        </w:tc>
        <w:tc>
          <w:tcPr>
            <w:tcW w:w="4851" w:type="dxa"/>
          </w:tcPr>
          <w:p w:rsidR="002D4512" w:rsidRPr="002D4512" w:rsidRDefault="002D4512" w:rsidP="001D00D7">
            <w:pPr>
              <w:pStyle w:val="SingleTxtG"/>
              <w:ind w:left="0" w:right="0"/>
              <w:jc w:val="left"/>
              <w:rPr>
                <w:lang w:val="fr-FR"/>
              </w:rPr>
            </w:pPr>
            <w:r w:rsidRPr="002D4512">
              <w:rPr>
                <w:lang w:val="fr-FR"/>
              </w:rPr>
              <w:t>Rapport valant vingtième et vingt et unième rapports périodiques attendu depuis 2010</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Indonésie</w:t>
            </w:r>
          </w:p>
        </w:tc>
        <w:tc>
          <w:tcPr>
            <w:tcW w:w="4851" w:type="dxa"/>
          </w:tcPr>
          <w:p w:rsidR="002D4512" w:rsidRPr="002D4512" w:rsidRDefault="002D4512" w:rsidP="001D00D7">
            <w:pPr>
              <w:pStyle w:val="SingleTxtG"/>
              <w:ind w:left="0" w:right="0"/>
              <w:jc w:val="left"/>
              <w:rPr>
                <w:lang w:val="fr-FR"/>
              </w:rPr>
            </w:pPr>
            <w:r w:rsidRPr="002D4512">
              <w:rPr>
                <w:lang w:val="fr-FR"/>
              </w:rPr>
              <w:t>Rapport valant quatrième à sixième rapports périodiques attendu depuis 2010</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Mozambique</w:t>
            </w:r>
          </w:p>
        </w:tc>
        <w:tc>
          <w:tcPr>
            <w:tcW w:w="4851" w:type="dxa"/>
          </w:tcPr>
          <w:p w:rsidR="002D4512" w:rsidRPr="002D4512" w:rsidRDefault="002D4512" w:rsidP="001D00D7">
            <w:pPr>
              <w:pStyle w:val="SingleTxtG"/>
              <w:ind w:left="0" w:right="0"/>
              <w:jc w:val="left"/>
              <w:rPr>
                <w:lang w:val="fr-FR"/>
              </w:rPr>
            </w:pPr>
            <w:r w:rsidRPr="002D4512">
              <w:rPr>
                <w:lang w:val="fr-FR"/>
              </w:rPr>
              <w:t>Rapport valant treizième à dix-septième rapports périodiques attendu depuis 2010</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 xml:space="preserve">République démocratique </w:t>
            </w:r>
            <w:r w:rsidR="001D00D7">
              <w:rPr>
                <w:lang w:val="fr-FR"/>
              </w:rPr>
              <w:br/>
            </w:r>
            <w:r w:rsidRPr="002D4512">
              <w:rPr>
                <w:lang w:val="fr-FR"/>
              </w:rPr>
              <w:t>du Congo</w:t>
            </w:r>
          </w:p>
        </w:tc>
        <w:tc>
          <w:tcPr>
            <w:tcW w:w="4851" w:type="dxa"/>
          </w:tcPr>
          <w:p w:rsidR="002D4512" w:rsidRPr="002D4512" w:rsidRDefault="002D4512" w:rsidP="001D00D7">
            <w:pPr>
              <w:pStyle w:val="SingleTxtG"/>
              <w:ind w:left="0" w:right="0"/>
              <w:jc w:val="left"/>
              <w:rPr>
                <w:lang w:val="fr-FR"/>
              </w:rPr>
            </w:pPr>
            <w:r w:rsidRPr="002D4512">
              <w:rPr>
                <w:lang w:val="fr-FR"/>
              </w:rPr>
              <w:t>Rapport valant seizième à dix-huitième rapports périodiques attendu depuis 2011</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Guinée-Bissau</w:t>
            </w:r>
          </w:p>
        </w:tc>
        <w:tc>
          <w:tcPr>
            <w:tcW w:w="4851" w:type="dxa"/>
          </w:tcPr>
          <w:p w:rsidR="002D4512" w:rsidRPr="002D4512" w:rsidRDefault="002D4512" w:rsidP="001D00D7">
            <w:pPr>
              <w:pStyle w:val="SingleTxtG"/>
              <w:ind w:left="0" w:right="0"/>
              <w:jc w:val="left"/>
              <w:rPr>
                <w:lang w:val="fr-FR"/>
              </w:rPr>
            </w:pPr>
            <w:r w:rsidRPr="002D4512">
              <w:rPr>
                <w:lang w:val="fr-FR"/>
              </w:rPr>
              <w:t>Rapport initial attendu depuis 2011</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Croatie</w:t>
            </w:r>
          </w:p>
        </w:tc>
        <w:tc>
          <w:tcPr>
            <w:tcW w:w="4851" w:type="dxa"/>
          </w:tcPr>
          <w:p w:rsidR="002D4512" w:rsidRPr="002D4512" w:rsidRDefault="002D4512" w:rsidP="00E77FCC">
            <w:pPr>
              <w:pStyle w:val="SingleTxtG"/>
              <w:ind w:left="0" w:right="0"/>
              <w:jc w:val="left"/>
              <w:rPr>
                <w:lang w:val="fr-FR"/>
              </w:rPr>
            </w:pPr>
            <w:r w:rsidRPr="002D4512">
              <w:rPr>
                <w:lang w:val="fr-FR"/>
              </w:rPr>
              <w:t>Rapport valant neuvième et dixième rapports périodiques attendu depuis 20</w:t>
            </w:r>
            <w:r w:rsidR="00E77FCC">
              <w:rPr>
                <w:lang w:val="fr-FR"/>
              </w:rPr>
              <w:t>1</w:t>
            </w:r>
            <w:r w:rsidRPr="002D4512">
              <w:rPr>
                <w:lang w:val="fr-FR"/>
              </w:rPr>
              <w:t>7</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lastRenderedPageBreak/>
              <w:t>Nicaragua</w:t>
            </w:r>
          </w:p>
        </w:tc>
        <w:tc>
          <w:tcPr>
            <w:tcW w:w="4851" w:type="dxa"/>
          </w:tcPr>
          <w:p w:rsidR="002D4512" w:rsidRPr="002D4512" w:rsidRDefault="002D4512" w:rsidP="001D00D7">
            <w:pPr>
              <w:pStyle w:val="SingleTxtG"/>
              <w:ind w:left="0" w:right="0"/>
              <w:jc w:val="left"/>
              <w:rPr>
                <w:lang w:val="fr-FR"/>
              </w:rPr>
            </w:pPr>
            <w:r w:rsidRPr="002D4512">
              <w:rPr>
                <w:lang w:val="fr-FR"/>
              </w:rPr>
              <w:t>Rapport valant quinzième à dix-septième rapports périodiques attendu depuis 2011</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Cambodge</w:t>
            </w:r>
          </w:p>
        </w:tc>
        <w:tc>
          <w:tcPr>
            <w:tcW w:w="4851" w:type="dxa"/>
          </w:tcPr>
          <w:p w:rsidR="002D4512" w:rsidRPr="002D4512" w:rsidRDefault="002D4512" w:rsidP="001D00D7">
            <w:pPr>
              <w:pStyle w:val="SingleTxtG"/>
              <w:ind w:left="0" w:right="0"/>
              <w:jc w:val="left"/>
              <w:rPr>
                <w:lang w:val="fr-FR"/>
              </w:rPr>
            </w:pPr>
            <w:r w:rsidRPr="002D4512">
              <w:rPr>
                <w:lang w:val="fr-FR"/>
              </w:rPr>
              <w:t>Rapport valant quatorzième et quinzième rapports périodiques attendu depuis 2012</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Congo</w:t>
            </w:r>
          </w:p>
        </w:tc>
        <w:tc>
          <w:tcPr>
            <w:tcW w:w="4851" w:type="dxa"/>
          </w:tcPr>
          <w:p w:rsidR="002D4512" w:rsidRPr="002D4512" w:rsidRDefault="002D4512" w:rsidP="001D00D7">
            <w:pPr>
              <w:pStyle w:val="SingleTxtG"/>
              <w:ind w:left="0" w:right="0"/>
              <w:jc w:val="left"/>
              <w:rPr>
                <w:lang w:val="fr-FR"/>
              </w:rPr>
            </w:pPr>
            <w:r w:rsidRPr="002D4512">
              <w:rPr>
                <w:lang w:val="fr-FR"/>
              </w:rPr>
              <w:t>Rapport valant dixième et onzième rapports périodiques attendu depuis</w:t>
            </w:r>
            <w:r w:rsidR="001D00D7">
              <w:rPr>
                <w:lang w:val="fr-FR"/>
              </w:rPr>
              <w:t xml:space="preserve"> </w:t>
            </w:r>
            <w:r w:rsidR="001D00D7" w:rsidRPr="002D4512">
              <w:rPr>
                <w:lang w:val="fr-FR"/>
              </w:rPr>
              <w:t>2012</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Philippines</w:t>
            </w:r>
          </w:p>
        </w:tc>
        <w:tc>
          <w:tcPr>
            <w:tcW w:w="4851" w:type="dxa"/>
          </w:tcPr>
          <w:p w:rsidR="002D4512" w:rsidRPr="002D4512" w:rsidRDefault="0001125A" w:rsidP="0001125A">
            <w:pPr>
              <w:pStyle w:val="SingleTxtG"/>
              <w:ind w:left="0" w:right="0"/>
              <w:jc w:val="left"/>
              <w:rPr>
                <w:lang w:val="fr-FR"/>
              </w:rPr>
            </w:pPr>
            <w:r>
              <w:rPr>
                <w:lang w:val="fr-FR"/>
              </w:rPr>
              <w:t xml:space="preserve">Rapport valant vingt </w:t>
            </w:r>
            <w:r w:rsidR="002D4512" w:rsidRPr="002D4512">
              <w:rPr>
                <w:lang w:val="fr-FR"/>
              </w:rPr>
              <w:t>et</w:t>
            </w:r>
            <w:r>
              <w:rPr>
                <w:lang w:val="fr-FR"/>
              </w:rPr>
              <w:t xml:space="preserve"> </w:t>
            </w:r>
            <w:r w:rsidR="002D4512" w:rsidRPr="002D4512">
              <w:rPr>
                <w:lang w:val="fr-FR"/>
              </w:rPr>
              <w:t>unième et vingt-deuxième rapports périodiques attendu depuis 2012</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Tunisie</w:t>
            </w:r>
          </w:p>
        </w:tc>
        <w:tc>
          <w:tcPr>
            <w:tcW w:w="4851" w:type="dxa"/>
          </w:tcPr>
          <w:p w:rsidR="002D4512" w:rsidRPr="002D4512" w:rsidRDefault="002D4512" w:rsidP="001D00D7">
            <w:pPr>
              <w:pStyle w:val="SingleTxtG"/>
              <w:ind w:left="0" w:right="0"/>
              <w:jc w:val="left"/>
              <w:rPr>
                <w:lang w:val="fr-FR"/>
              </w:rPr>
            </w:pPr>
            <w:r w:rsidRPr="002D4512">
              <w:rPr>
                <w:lang w:val="fr-FR"/>
              </w:rPr>
              <w:t>Rapport valant vingtième à vingt-deuxième rapports périodiques attendu depuis 2012</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Monaco</w:t>
            </w:r>
          </w:p>
        </w:tc>
        <w:tc>
          <w:tcPr>
            <w:tcW w:w="4851" w:type="dxa"/>
          </w:tcPr>
          <w:p w:rsidR="002D4512" w:rsidRPr="002D4512" w:rsidRDefault="002D4512" w:rsidP="001D00D7">
            <w:pPr>
              <w:pStyle w:val="SingleTxtG"/>
              <w:ind w:left="0" w:right="0"/>
              <w:jc w:val="left"/>
              <w:rPr>
                <w:lang w:val="fr-FR"/>
              </w:rPr>
            </w:pPr>
            <w:r w:rsidRPr="002D4512">
              <w:rPr>
                <w:lang w:val="fr-FR"/>
              </w:rPr>
              <w:t>Rapport valant septième à neuvième rapports périodiques attendu depuis 2012</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Islande</w:t>
            </w:r>
          </w:p>
        </w:tc>
        <w:tc>
          <w:tcPr>
            <w:tcW w:w="4851" w:type="dxa"/>
          </w:tcPr>
          <w:p w:rsidR="002D4512" w:rsidRPr="002D4512" w:rsidRDefault="002D4512" w:rsidP="001D00D7">
            <w:pPr>
              <w:pStyle w:val="SingleTxtG"/>
              <w:ind w:left="0" w:right="0"/>
              <w:jc w:val="left"/>
              <w:rPr>
                <w:lang w:val="fr-FR"/>
              </w:rPr>
            </w:pPr>
            <w:r w:rsidRPr="002D4512">
              <w:rPr>
                <w:lang w:val="fr-FR"/>
              </w:rPr>
              <w:t>Rapport valant vingt et unième à vingt-troisième rapports périodiques attendu depuis 2013</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 xml:space="preserve">Iran </w:t>
            </w:r>
            <w:r w:rsidR="001D00D7">
              <w:rPr>
                <w:lang w:val="fr-FR"/>
              </w:rPr>
              <w:br/>
            </w:r>
            <w:r w:rsidRPr="002D4512">
              <w:rPr>
                <w:lang w:val="fr-FR"/>
              </w:rPr>
              <w:t>(République islamique d’)</w:t>
            </w:r>
          </w:p>
        </w:tc>
        <w:tc>
          <w:tcPr>
            <w:tcW w:w="4851" w:type="dxa"/>
          </w:tcPr>
          <w:p w:rsidR="002D4512" w:rsidRPr="002D4512" w:rsidRDefault="002D4512" w:rsidP="001D00D7">
            <w:pPr>
              <w:pStyle w:val="SingleTxtG"/>
              <w:ind w:left="0" w:right="0"/>
              <w:jc w:val="left"/>
              <w:rPr>
                <w:lang w:val="fr-FR"/>
              </w:rPr>
            </w:pPr>
            <w:r w:rsidRPr="002D4512">
              <w:rPr>
                <w:lang w:val="fr-FR"/>
              </w:rPr>
              <w:t>Rapport valant vingtième à vingt-deuxième rapports périodiques attendu depuis 2013</w:t>
            </w:r>
          </w:p>
        </w:tc>
      </w:tr>
      <w:tr w:rsidR="002D4512" w:rsidRPr="002D4512" w:rsidTr="003E038A">
        <w:tc>
          <w:tcPr>
            <w:tcW w:w="2520" w:type="dxa"/>
          </w:tcPr>
          <w:p w:rsidR="002D4512" w:rsidRPr="002D4512" w:rsidRDefault="002D4512" w:rsidP="001D00D7">
            <w:pPr>
              <w:pStyle w:val="SingleTxtG"/>
              <w:ind w:left="0" w:right="0"/>
              <w:jc w:val="left"/>
              <w:rPr>
                <w:lang w:val="fr-FR"/>
              </w:rPr>
            </w:pPr>
            <w:r w:rsidRPr="002D4512">
              <w:rPr>
                <w:lang w:val="fr-FR"/>
              </w:rPr>
              <w:t>Panama</w:t>
            </w:r>
          </w:p>
        </w:tc>
        <w:tc>
          <w:tcPr>
            <w:tcW w:w="4851" w:type="dxa"/>
          </w:tcPr>
          <w:p w:rsidR="002D4512" w:rsidRPr="002D4512" w:rsidRDefault="002D4512" w:rsidP="001D00D7">
            <w:pPr>
              <w:pStyle w:val="SingleTxtG"/>
              <w:ind w:left="0" w:right="0"/>
              <w:jc w:val="left"/>
              <w:rPr>
                <w:lang w:val="fr-FR"/>
              </w:rPr>
            </w:pPr>
            <w:r w:rsidRPr="002D4512">
              <w:rPr>
                <w:lang w:val="fr-FR"/>
              </w:rPr>
              <w:t>Rapport valant vingt et unième à vingt-troisième rapports périodiques attendu depuis 2013</w:t>
            </w:r>
          </w:p>
        </w:tc>
      </w:tr>
    </w:tbl>
    <w:p w:rsidR="00E028AE" w:rsidRPr="006F1F71" w:rsidRDefault="00E028AE" w:rsidP="00800163">
      <w:pPr>
        <w:pStyle w:val="H1G"/>
        <w:rPr>
          <w:lang w:val="fr-FR"/>
        </w:rPr>
      </w:pPr>
      <w:r>
        <w:rPr>
          <w:lang w:val="fr-FR"/>
        </w:rPr>
        <w:tab/>
        <w:t>C.</w:t>
      </w:r>
      <w:r>
        <w:rPr>
          <w:lang w:val="fr-FR"/>
        </w:rPr>
        <w:tab/>
        <w:t xml:space="preserve">Décisions prises par le Comité pour faire en sorte </w:t>
      </w:r>
      <w:r w:rsidR="00800163">
        <w:rPr>
          <w:lang w:val="fr-FR"/>
        </w:rPr>
        <w:br/>
      </w:r>
      <w:r>
        <w:rPr>
          <w:lang w:val="fr-FR"/>
        </w:rPr>
        <w:t>que les États</w:t>
      </w:r>
      <w:r w:rsidR="00D725DA">
        <w:rPr>
          <w:lang w:val="fr-FR"/>
        </w:rPr>
        <w:t xml:space="preserve"> </w:t>
      </w:r>
      <w:r>
        <w:rPr>
          <w:lang w:val="fr-FR"/>
        </w:rPr>
        <w:t>parties soumettent leurs rapports</w:t>
      </w:r>
      <w:bookmarkStart w:id="14" w:name="_Toc428794292"/>
      <w:bookmarkEnd w:id="14"/>
    </w:p>
    <w:p w:rsidR="00E028AE" w:rsidRPr="006F1F71" w:rsidRDefault="00E028AE" w:rsidP="00800163">
      <w:pPr>
        <w:pStyle w:val="SingleTxtG"/>
        <w:rPr>
          <w:lang w:val="fr-FR"/>
        </w:rPr>
      </w:pPr>
      <w:r>
        <w:rPr>
          <w:lang w:val="fr-FR"/>
        </w:rPr>
        <w:t xml:space="preserve">38. </w:t>
      </w:r>
      <w:r>
        <w:rPr>
          <w:lang w:val="fr-FR"/>
        </w:rPr>
        <w:tab/>
        <w:t>Ayant décidé d</w:t>
      </w:r>
      <w:r w:rsidR="009D7A41">
        <w:rPr>
          <w:lang w:val="fr-FR"/>
        </w:rPr>
        <w:t>’</w:t>
      </w:r>
      <w:r>
        <w:rPr>
          <w:lang w:val="fr-FR"/>
        </w:rPr>
        <w:t>adopter la procédure simplifiée de présentation des rapports à sa quatre-vingt-cinquième sess</w:t>
      </w:r>
      <w:r w:rsidR="00800163">
        <w:rPr>
          <w:lang w:val="fr-FR"/>
        </w:rPr>
        <w:t>ion, le Comité a adressé, le 21 </w:t>
      </w:r>
      <w:r>
        <w:rPr>
          <w:lang w:val="fr-FR"/>
        </w:rPr>
        <w:t>janvier 2015, une note verbale aux États parties dont les rapports périodiques étaient attendus depuis plus de dix ans pour leur faire savoir qu</w:t>
      </w:r>
      <w:r w:rsidR="009D7A41">
        <w:rPr>
          <w:lang w:val="fr-FR"/>
        </w:rPr>
        <w:t>’</w:t>
      </w:r>
      <w:r>
        <w:rPr>
          <w:lang w:val="fr-FR"/>
        </w:rPr>
        <w:t>ils pouvaient établir leur rapport conformément à la nouvelle procédure. Da</w:t>
      </w:r>
      <w:r w:rsidR="00800163">
        <w:rPr>
          <w:lang w:val="fr-FR"/>
        </w:rPr>
        <w:t>ns une note verbale datée du 30 </w:t>
      </w:r>
      <w:r>
        <w:rPr>
          <w:lang w:val="fr-FR"/>
        </w:rPr>
        <w:t xml:space="preserve">juin 2017, le Comité a étendu la procédure simplifiée de présentation de rapports à tous les États dont les rapports périodiques étaient attendus depuis plus de cinq ans. </w:t>
      </w:r>
    </w:p>
    <w:p w:rsidR="00E028AE" w:rsidRPr="006F1F71" w:rsidRDefault="00E028AE" w:rsidP="00800163">
      <w:pPr>
        <w:pStyle w:val="SingleTxtG"/>
        <w:rPr>
          <w:lang w:val="fr-FR"/>
        </w:rPr>
      </w:pPr>
      <w:r>
        <w:rPr>
          <w:lang w:val="fr-FR"/>
        </w:rPr>
        <w:t xml:space="preserve">39. </w:t>
      </w:r>
      <w:r>
        <w:rPr>
          <w:lang w:val="fr-FR"/>
        </w:rPr>
        <w:tab/>
        <w:t>À sa quatre</w:t>
      </w:r>
      <w:r w:rsidR="00800163">
        <w:rPr>
          <w:lang w:val="fr-FR"/>
        </w:rPr>
        <w:t>-vingt-treizième session, le 24 </w:t>
      </w:r>
      <w:r>
        <w:rPr>
          <w:lang w:val="fr-FR"/>
        </w:rPr>
        <w:t>août 2017, le Comité a tenu une réunion informelle avec les États parties dont les rapports initiaux et périodiques étaient attendus</w:t>
      </w:r>
      <w:r w:rsidR="0001125A">
        <w:rPr>
          <w:lang w:val="fr-FR"/>
        </w:rPr>
        <w:t>,</w:t>
      </w:r>
      <w:r>
        <w:rPr>
          <w:lang w:val="fr-FR"/>
        </w:rPr>
        <w:t xml:space="preserve"> et examiné avec les représentants des États le meilleur moyen de</w:t>
      </w:r>
      <w:r w:rsidR="0001125A">
        <w:rPr>
          <w:lang w:val="fr-FR"/>
        </w:rPr>
        <w:t xml:space="preserve"> les</w:t>
      </w:r>
      <w:r>
        <w:rPr>
          <w:lang w:val="fr-FR"/>
        </w:rPr>
        <w:t xml:space="preserve"> aider à cet égard. À la suite de cette réunion, le Comité a reçu le rapport périodique de la Lettonie et a été informé de la décision des Bahamas, de Bahreïn et de la Hongrie d</w:t>
      </w:r>
      <w:r w:rsidR="009D7A41">
        <w:rPr>
          <w:lang w:val="fr-FR"/>
        </w:rPr>
        <w:t>’</w:t>
      </w:r>
      <w:r>
        <w:rPr>
          <w:lang w:val="fr-FR"/>
        </w:rPr>
        <w:t>appliquer la procédure simplifiée de présentation des rapports.</w:t>
      </w:r>
    </w:p>
    <w:p w:rsidR="00E028AE" w:rsidRPr="00461216" w:rsidRDefault="00E028AE" w:rsidP="00800163">
      <w:pPr>
        <w:pStyle w:val="SingleTxtG"/>
        <w:rPr>
          <w:lang w:val="fr-FR"/>
        </w:rPr>
      </w:pPr>
      <w:r w:rsidRPr="00461216">
        <w:rPr>
          <w:lang w:val="fr-FR"/>
        </w:rPr>
        <w:t xml:space="preserve">40. </w:t>
      </w:r>
      <w:r w:rsidRPr="00461216">
        <w:rPr>
          <w:lang w:val="fr-FR"/>
        </w:rPr>
        <w:tab/>
        <w:t xml:space="preserve"> Le 15</w:t>
      </w:r>
      <w:r w:rsidR="00FF7976">
        <w:rPr>
          <w:lang w:val="fr-FR"/>
        </w:rPr>
        <w:t> </w:t>
      </w:r>
      <w:r w:rsidRPr="00461216">
        <w:rPr>
          <w:lang w:val="fr-FR"/>
        </w:rPr>
        <w:t xml:space="preserve">janvier 2018, le Comité a </w:t>
      </w:r>
      <w:r>
        <w:rPr>
          <w:lang w:val="fr-FR"/>
        </w:rPr>
        <w:t>adressé</w:t>
      </w:r>
      <w:r w:rsidR="00800163">
        <w:rPr>
          <w:lang w:val="fr-FR"/>
        </w:rPr>
        <w:t xml:space="preserve"> une note verbale aux 16 </w:t>
      </w:r>
      <w:r w:rsidRPr="00461216">
        <w:rPr>
          <w:lang w:val="fr-FR"/>
        </w:rPr>
        <w:t xml:space="preserve">États qui avaient participé à la réunion informelle et leur a rappelé la nécessité de </w:t>
      </w:r>
      <w:r>
        <w:rPr>
          <w:lang w:val="fr-FR"/>
        </w:rPr>
        <w:t>soumettre</w:t>
      </w:r>
      <w:r w:rsidRPr="00461216">
        <w:rPr>
          <w:lang w:val="fr-FR"/>
        </w:rPr>
        <w:t xml:space="preserve"> leurs rapports en retard. Depuis lors, deux rapports en retard de cinq ans ont été reçus</w:t>
      </w:r>
      <w:r>
        <w:rPr>
          <w:lang w:val="fr-FR"/>
        </w:rPr>
        <w:t xml:space="preserve"> </w:t>
      </w:r>
      <w:r w:rsidR="00800163">
        <w:rPr>
          <w:lang w:val="fr-FR"/>
        </w:rPr>
        <w:t>−</w:t>
      </w:r>
      <w:r>
        <w:rPr>
          <w:lang w:val="fr-FR"/>
        </w:rPr>
        <w:t xml:space="preserve"> de l</w:t>
      </w:r>
      <w:r w:rsidR="009D7A41">
        <w:rPr>
          <w:lang w:val="fr-FR"/>
        </w:rPr>
        <w:t>’</w:t>
      </w:r>
      <w:r>
        <w:rPr>
          <w:lang w:val="fr-FR"/>
        </w:rPr>
        <w:t>Andorre et de la Zambie</w:t>
      </w:r>
      <w:r w:rsidRPr="00461216">
        <w:rPr>
          <w:lang w:val="fr-FR"/>
        </w:rPr>
        <w:t>.</w:t>
      </w:r>
    </w:p>
    <w:p w:rsidR="00E028AE" w:rsidRPr="005A607A" w:rsidRDefault="00E028AE" w:rsidP="00800163">
      <w:pPr>
        <w:pStyle w:val="SingleTxtG"/>
        <w:rPr>
          <w:lang w:val="fr-FR"/>
        </w:rPr>
      </w:pPr>
      <w:r w:rsidRPr="005A607A">
        <w:rPr>
          <w:lang w:val="fr-FR"/>
        </w:rPr>
        <w:t>41.</w:t>
      </w:r>
      <w:r w:rsidRPr="005A607A">
        <w:rPr>
          <w:lang w:val="fr-FR"/>
        </w:rPr>
        <w:tab/>
        <w:t>Au 11</w:t>
      </w:r>
      <w:r w:rsidR="00FF7976">
        <w:rPr>
          <w:lang w:val="fr-FR"/>
        </w:rPr>
        <w:t> </w:t>
      </w:r>
      <w:r w:rsidRPr="005A607A">
        <w:rPr>
          <w:lang w:val="fr-FR"/>
        </w:rPr>
        <w:t>mai 2018, sur les 65</w:t>
      </w:r>
      <w:r w:rsidR="00FF7976">
        <w:rPr>
          <w:lang w:val="fr-FR"/>
        </w:rPr>
        <w:t> </w:t>
      </w:r>
      <w:r w:rsidRPr="005A607A">
        <w:rPr>
          <w:lang w:val="fr-FR"/>
        </w:rPr>
        <w:t>États qui se sont vu offrir la possibilité d</w:t>
      </w:r>
      <w:r w:rsidR="009D7A41">
        <w:rPr>
          <w:lang w:val="fr-FR"/>
        </w:rPr>
        <w:t>’</w:t>
      </w:r>
      <w:r w:rsidRPr="005A607A">
        <w:rPr>
          <w:lang w:val="fr-FR"/>
        </w:rPr>
        <w:t>opter pour la procédure simplifiée, 6</w:t>
      </w:r>
      <w:r w:rsidR="00FF7976">
        <w:rPr>
          <w:lang w:val="fr-FR"/>
        </w:rPr>
        <w:t> </w:t>
      </w:r>
      <w:r w:rsidRPr="005A607A">
        <w:rPr>
          <w:lang w:val="fr-FR"/>
        </w:rPr>
        <w:t>avaient accepté</w:t>
      </w:r>
      <w:r w:rsidR="00D725DA">
        <w:rPr>
          <w:lang w:val="fr-FR"/>
        </w:rPr>
        <w:t> :</w:t>
      </w:r>
      <w:r w:rsidRPr="005A607A">
        <w:rPr>
          <w:lang w:val="fr-FR"/>
        </w:rPr>
        <w:t xml:space="preserve"> Afghanistan, Bahamas, Bahreïn, Botswana, Hongrie et Mali. Au cours de la période considérée, le Comité a </w:t>
      </w:r>
      <w:r>
        <w:rPr>
          <w:lang w:val="fr-FR"/>
        </w:rPr>
        <w:t>adressé</w:t>
      </w:r>
      <w:r w:rsidRPr="005A607A">
        <w:rPr>
          <w:lang w:val="fr-FR"/>
        </w:rPr>
        <w:t xml:space="preserve"> à Bahreïn, aux Bahamas, au Botswana et au Mali des listes de points à traiter a</w:t>
      </w:r>
      <w:r>
        <w:rPr>
          <w:lang w:val="fr-FR"/>
        </w:rPr>
        <w:t>vant la présentation du rapport</w:t>
      </w:r>
      <w:r w:rsidRPr="005A607A">
        <w:rPr>
          <w:lang w:val="fr-FR"/>
        </w:rPr>
        <w:t xml:space="preserve">. </w:t>
      </w:r>
    </w:p>
    <w:p w:rsidR="00E028AE" w:rsidRPr="006F1F71" w:rsidRDefault="00E028AE" w:rsidP="00FF7976">
      <w:pPr>
        <w:pStyle w:val="HChG"/>
        <w:rPr>
          <w:lang w:val="fr-FR"/>
        </w:rPr>
      </w:pPr>
      <w:r w:rsidRPr="005A607A">
        <w:rPr>
          <w:lang w:val="fr-FR"/>
        </w:rPr>
        <w:br w:type="page"/>
      </w:r>
      <w:r w:rsidRPr="005A607A">
        <w:rPr>
          <w:lang w:val="fr-FR"/>
        </w:rPr>
        <w:lastRenderedPageBreak/>
        <w:tab/>
      </w:r>
      <w:r>
        <w:rPr>
          <w:lang w:val="fr-FR"/>
        </w:rPr>
        <w:t>VIII.</w:t>
      </w:r>
      <w:r>
        <w:rPr>
          <w:lang w:val="fr-FR"/>
        </w:rPr>
        <w:tab/>
        <w:t xml:space="preserve">Examen des communications soumises en vertu </w:t>
      </w:r>
      <w:r w:rsidR="00FF7976">
        <w:rPr>
          <w:lang w:val="fr-FR"/>
        </w:rPr>
        <w:br/>
      </w:r>
      <w:r>
        <w:rPr>
          <w:lang w:val="fr-FR"/>
        </w:rPr>
        <w:t>de l</w:t>
      </w:r>
      <w:r w:rsidR="009D7A41">
        <w:rPr>
          <w:lang w:val="fr-FR"/>
        </w:rPr>
        <w:t>’</w:t>
      </w:r>
      <w:r>
        <w:rPr>
          <w:lang w:val="fr-FR"/>
        </w:rPr>
        <w:t>article 14 de la Convention</w:t>
      </w:r>
      <w:bookmarkStart w:id="15" w:name="_Toc428794293"/>
      <w:bookmarkEnd w:id="15"/>
    </w:p>
    <w:p w:rsidR="00E028AE" w:rsidRPr="006F1F71" w:rsidRDefault="00E028AE" w:rsidP="00FF7976">
      <w:pPr>
        <w:pStyle w:val="SingleTxtG"/>
        <w:rPr>
          <w:lang w:val="fr-FR"/>
        </w:rPr>
      </w:pPr>
      <w:r>
        <w:rPr>
          <w:lang w:val="fr-FR"/>
        </w:rPr>
        <w:t>42.</w:t>
      </w:r>
      <w:r>
        <w:rPr>
          <w:lang w:val="fr-FR"/>
        </w:rPr>
        <w:tab/>
        <w:t>En vertu de l</w:t>
      </w:r>
      <w:r w:rsidR="009D7A41">
        <w:rPr>
          <w:lang w:val="fr-FR"/>
        </w:rPr>
        <w:t>’</w:t>
      </w:r>
      <w:r>
        <w:rPr>
          <w:lang w:val="fr-FR"/>
        </w:rPr>
        <w:t>article 14 de la Convention, les personnes ou groupes de personnes qui affirment que l</w:t>
      </w:r>
      <w:r w:rsidR="009D7A41">
        <w:rPr>
          <w:lang w:val="fr-FR"/>
        </w:rPr>
        <w:t>’</w:t>
      </w:r>
      <w:r>
        <w:rPr>
          <w:lang w:val="fr-FR"/>
        </w:rPr>
        <w:t>un quelconque de leurs droits énoncés dans la Convention a été violé par un État partie et qui ont épuisé tous les recours internes disponibles peuvent adresser des communications écrites au Comité pour examen. En tout, 58 États parties ont reconnu la compétence du Comité pour examiner ces communications</w:t>
      </w:r>
      <w:r w:rsidR="00D725DA">
        <w:rPr>
          <w:lang w:val="fr-FR"/>
        </w:rPr>
        <w:t> ;</w:t>
      </w:r>
      <w:r>
        <w:rPr>
          <w:lang w:val="fr-FR"/>
        </w:rPr>
        <w:t xml:space="preserve"> on trouvera </w:t>
      </w:r>
      <w:r w:rsidRPr="009A457C">
        <w:rPr>
          <w:lang w:val="fr-FR"/>
        </w:rPr>
        <w:t xml:space="preserve">des </w:t>
      </w:r>
      <w:r>
        <w:rPr>
          <w:lang w:val="fr-FR"/>
        </w:rPr>
        <w:t>renseignements</w:t>
      </w:r>
      <w:r w:rsidRPr="009A457C">
        <w:rPr>
          <w:lang w:val="fr-FR"/>
        </w:rPr>
        <w:t xml:space="preserve"> </w:t>
      </w:r>
      <w:r>
        <w:rPr>
          <w:lang w:val="fr-FR"/>
        </w:rPr>
        <w:t>concernant</w:t>
      </w:r>
      <w:r w:rsidRPr="009A457C">
        <w:rPr>
          <w:lang w:val="fr-FR"/>
        </w:rPr>
        <w:t xml:space="preserve"> les déclarations </w:t>
      </w:r>
      <w:r>
        <w:rPr>
          <w:lang w:val="fr-FR"/>
        </w:rPr>
        <w:t xml:space="preserve">faites </w:t>
      </w:r>
      <w:r w:rsidRPr="009A457C">
        <w:rPr>
          <w:lang w:val="fr-FR"/>
        </w:rPr>
        <w:t>sur le site Web officiel de la base de données de la Collection des traités des Nations Unies, Bureau des affaires jur</w:t>
      </w:r>
      <w:r>
        <w:rPr>
          <w:lang w:val="fr-FR"/>
        </w:rPr>
        <w:t>idiques du Secrétariat de l</w:t>
      </w:r>
      <w:r w:rsidR="009D7A41">
        <w:rPr>
          <w:lang w:val="fr-FR"/>
        </w:rPr>
        <w:t>’</w:t>
      </w:r>
      <w:r>
        <w:rPr>
          <w:lang w:val="fr-FR"/>
        </w:rPr>
        <w:t>ONU (</w:t>
      </w:r>
      <w:hyperlink r:id="rId63" w:history="1">
        <w:r w:rsidRPr="00FF7976">
          <w:rPr>
            <w:rStyle w:val="Lienhypertexte"/>
            <w:lang w:val="fr-FR"/>
          </w:rPr>
          <w:t>https</w:t>
        </w:r>
        <w:r w:rsidR="00D725DA" w:rsidRPr="00FF7976">
          <w:rPr>
            <w:rStyle w:val="Lienhypertexte"/>
            <w:lang w:val="fr-FR"/>
          </w:rPr>
          <w:t>:</w:t>
        </w:r>
        <w:r w:rsidRPr="00FF7976">
          <w:rPr>
            <w:rStyle w:val="Lienhypertexte"/>
            <w:lang w:val="fr-FR"/>
          </w:rPr>
          <w:t>//treaties.un.org</w:t>
        </w:r>
      </w:hyperlink>
      <w:r>
        <w:rPr>
          <w:lang w:val="fr-FR"/>
        </w:rPr>
        <w:t>).</w:t>
      </w:r>
    </w:p>
    <w:p w:rsidR="00E028AE" w:rsidRPr="006F1F71" w:rsidRDefault="00E028AE" w:rsidP="00E028AE">
      <w:pPr>
        <w:pStyle w:val="SingleTxtG"/>
        <w:rPr>
          <w:lang w:val="fr-FR"/>
        </w:rPr>
      </w:pPr>
      <w:r>
        <w:rPr>
          <w:lang w:val="fr-FR"/>
        </w:rPr>
        <w:t xml:space="preserve">43. </w:t>
      </w:r>
      <w:r>
        <w:rPr>
          <w:lang w:val="fr-FR"/>
        </w:rPr>
        <w:tab/>
        <w:t>Les séances du Comité au cours desquelles sont examinées les communications qui lui sont soumises en vertu de l</w:t>
      </w:r>
      <w:r w:rsidR="009D7A41">
        <w:rPr>
          <w:lang w:val="fr-FR"/>
        </w:rPr>
        <w:t>’</w:t>
      </w:r>
      <w:r>
        <w:rPr>
          <w:lang w:val="fr-FR"/>
        </w:rPr>
        <w:t>article 14 de la Convention se tiennent à huis clos (art.</w:t>
      </w:r>
      <w:r w:rsidR="00FF7976">
        <w:rPr>
          <w:lang w:val="fr-FR"/>
        </w:rPr>
        <w:t> </w:t>
      </w:r>
      <w:r>
        <w:rPr>
          <w:lang w:val="fr-FR"/>
        </w:rPr>
        <w:t>88 du règlement intérieur du Comité). Tous les documents en rapport avec les travaux menés par le Comité au titre de l</w:t>
      </w:r>
      <w:r w:rsidR="009D7A41">
        <w:rPr>
          <w:lang w:val="fr-FR"/>
        </w:rPr>
        <w:t>’</w:t>
      </w:r>
      <w:r>
        <w:rPr>
          <w:lang w:val="fr-FR"/>
        </w:rPr>
        <w:t>article</w:t>
      </w:r>
      <w:r w:rsidR="00FF7976">
        <w:rPr>
          <w:lang w:val="fr-FR"/>
        </w:rPr>
        <w:t> </w:t>
      </w:r>
      <w:r>
        <w:rPr>
          <w:lang w:val="fr-FR"/>
        </w:rPr>
        <w:t>14 (communications émanant des parties et autres documents de travail du Comité) sont confidentiels.</w:t>
      </w:r>
    </w:p>
    <w:p w:rsidR="00E028AE" w:rsidRPr="006F1F71" w:rsidRDefault="00E028AE" w:rsidP="00E028AE">
      <w:pPr>
        <w:pStyle w:val="SingleTxtG"/>
        <w:rPr>
          <w:lang w:val="fr-FR"/>
        </w:rPr>
      </w:pPr>
      <w:r>
        <w:rPr>
          <w:lang w:val="fr-FR"/>
        </w:rPr>
        <w:t>44.</w:t>
      </w:r>
      <w:r>
        <w:rPr>
          <w:lang w:val="fr-FR"/>
        </w:rPr>
        <w:tab/>
        <w:t>Au moment de l</w:t>
      </w:r>
      <w:r w:rsidR="009D7A41">
        <w:rPr>
          <w:lang w:val="fr-FR"/>
        </w:rPr>
        <w:t>’</w:t>
      </w:r>
      <w:r>
        <w:rPr>
          <w:lang w:val="fr-FR"/>
        </w:rPr>
        <w:t>adoption du présent rapport, le Comité avait enregistré, depuis 1984, 62</w:t>
      </w:r>
      <w:r w:rsidR="00730586">
        <w:rPr>
          <w:lang w:val="fr-FR"/>
        </w:rPr>
        <w:t> </w:t>
      </w:r>
      <w:r>
        <w:rPr>
          <w:lang w:val="fr-FR"/>
        </w:rPr>
        <w:t>plaintes concernant 15</w:t>
      </w:r>
      <w:r w:rsidR="00730586">
        <w:rPr>
          <w:lang w:val="fr-FR"/>
        </w:rPr>
        <w:t> </w:t>
      </w:r>
      <w:r>
        <w:rPr>
          <w:lang w:val="fr-FR"/>
        </w:rPr>
        <w:t>États parties. Sur ce nombre, 2</w:t>
      </w:r>
      <w:r w:rsidR="00730586">
        <w:rPr>
          <w:lang w:val="fr-FR"/>
        </w:rPr>
        <w:t> </w:t>
      </w:r>
      <w:r>
        <w:rPr>
          <w:lang w:val="fr-FR"/>
        </w:rPr>
        <w:t>avaient été classées, 19</w:t>
      </w:r>
      <w:r w:rsidR="00730586">
        <w:rPr>
          <w:lang w:val="fr-FR"/>
        </w:rPr>
        <w:t> </w:t>
      </w:r>
      <w:r>
        <w:rPr>
          <w:lang w:val="fr-FR"/>
        </w:rPr>
        <w:t>avaient été déclarées irrecevables et 2 communications avaient été déclarées recevable</w:t>
      </w:r>
      <w:r w:rsidR="00331FEB">
        <w:rPr>
          <w:lang w:val="fr-FR"/>
        </w:rPr>
        <w:t>s</w:t>
      </w:r>
      <w:r>
        <w:rPr>
          <w:lang w:val="fr-FR"/>
        </w:rPr>
        <w:t>. Le Comité avait adopté des décisions sur le fond pour 35</w:t>
      </w:r>
      <w:r w:rsidR="00730586">
        <w:rPr>
          <w:lang w:val="fr-FR"/>
        </w:rPr>
        <w:t> </w:t>
      </w:r>
      <w:r>
        <w:rPr>
          <w:lang w:val="fr-FR"/>
        </w:rPr>
        <w:t>plaintes et jugé que 19</w:t>
      </w:r>
      <w:r w:rsidR="00730586">
        <w:rPr>
          <w:lang w:val="fr-FR"/>
        </w:rPr>
        <w:t> </w:t>
      </w:r>
      <w:r>
        <w:rPr>
          <w:lang w:val="fr-FR"/>
        </w:rPr>
        <w:t>d</w:t>
      </w:r>
      <w:r w:rsidR="009D7A41">
        <w:rPr>
          <w:lang w:val="fr-FR"/>
        </w:rPr>
        <w:t>’</w:t>
      </w:r>
      <w:r>
        <w:rPr>
          <w:lang w:val="fr-FR"/>
        </w:rPr>
        <w:t>entre elles faisaient apparaître des violations de la Convention. Six plaintes n</w:t>
      </w:r>
      <w:r w:rsidR="009D7A41">
        <w:rPr>
          <w:lang w:val="fr-FR"/>
        </w:rPr>
        <w:t>’</w:t>
      </w:r>
      <w:r>
        <w:rPr>
          <w:lang w:val="fr-FR"/>
        </w:rPr>
        <w:t>avaient pas encore été examinées.</w:t>
      </w:r>
    </w:p>
    <w:p w:rsidR="00E028AE" w:rsidRPr="00FD3394" w:rsidRDefault="00E028AE" w:rsidP="00E028AE">
      <w:pPr>
        <w:pStyle w:val="SingleTxtG"/>
        <w:rPr>
          <w:lang w:val="fr-FR"/>
        </w:rPr>
      </w:pPr>
      <w:r>
        <w:rPr>
          <w:lang w:val="fr-FR"/>
        </w:rPr>
        <w:t>45.</w:t>
      </w:r>
      <w:r>
        <w:rPr>
          <w:lang w:val="fr-FR"/>
        </w:rPr>
        <w:tab/>
        <w:t xml:space="preserve"> À </w:t>
      </w:r>
      <w:r w:rsidRPr="00981175">
        <w:rPr>
          <w:lang w:val="fr-FR"/>
        </w:rPr>
        <w:t xml:space="preserve">sa quatre-vingt-quatorzième session, le Comité a examiné la communication </w:t>
      </w:r>
      <w:r w:rsidR="00730586" w:rsidRPr="00730586">
        <w:rPr>
          <w:rFonts w:eastAsia="MS Mincho"/>
          <w:lang w:val="fr-FR"/>
        </w:rPr>
        <w:t>n</w:t>
      </w:r>
      <w:r w:rsidR="00730586" w:rsidRPr="00730586">
        <w:rPr>
          <w:rFonts w:eastAsia="MS Mincho"/>
          <w:vertAlign w:val="superscript"/>
          <w:lang w:val="fr-FR"/>
        </w:rPr>
        <w:t>o</w:t>
      </w:r>
      <w:r w:rsidR="00730586">
        <w:rPr>
          <w:lang w:val="fr-FR"/>
        </w:rPr>
        <w:t> </w:t>
      </w:r>
      <w:r w:rsidRPr="00981175">
        <w:rPr>
          <w:lang w:val="fr-FR"/>
        </w:rPr>
        <w:t>57/2015 (</w:t>
      </w:r>
      <w:r w:rsidRPr="002F1EBB">
        <w:rPr>
          <w:i/>
          <w:lang w:val="fr-FR"/>
        </w:rPr>
        <w:t xml:space="preserve">Belemvire </w:t>
      </w:r>
      <w:r w:rsidRPr="00730586">
        <w:rPr>
          <w:lang w:val="fr-FR"/>
        </w:rPr>
        <w:t>c</w:t>
      </w:r>
      <w:r w:rsidRPr="002F1EBB">
        <w:rPr>
          <w:i/>
          <w:lang w:val="fr-FR"/>
        </w:rPr>
        <w:t>. République de Moldova</w:t>
      </w:r>
      <w:r w:rsidRPr="00981175">
        <w:rPr>
          <w:lang w:val="fr-FR"/>
        </w:rPr>
        <w:t>). La communication a été présentée par un ressortissant du Burkina Faso résidant en République de Moldova, qui se disait victime d</w:t>
      </w:r>
      <w:r w:rsidR="009D7A41">
        <w:rPr>
          <w:lang w:val="fr-FR"/>
        </w:rPr>
        <w:t>’</w:t>
      </w:r>
      <w:r w:rsidRPr="00981175">
        <w:rPr>
          <w:lang w:val="fr-FR"/>
        </w:rPr>
        <w:t>une violation par la République de Moldova</w:t>
      </w:r>
      <w:r w:rsidRPr="004F097A">
        <w:rPr>
          <w:rStyle w:val="Appelnotedebasdep"/>
        </w:rPr>
        <w:footnoteReference w:id="8"/>
      </w:r>
      <w:r w:rsidRPr="00981175">
        <w:rPr>
          <w:lang w:val="fr-FR"/>
        </w:rPr>
        <w:t xml:space="preserve"> de</w:t>
      </w:r>
      <w:r>
        <w:rPr>
          <w:lang w:val="fr-FR"/>
        </w:rPr>
        <w:t>s</w:t>
      </w:r>
      <w:r w:rsidRPr="00981175">
        <w:rPr>
          <w:lang w:val="fr-FR"/>
        </w:rPr>
        <w:t xml:space="preserve"> </w:t>
      </w:r>
      <w:r>
        <w:rPr>
          <w:lang w:val="fr-FR"/>
        </w:rPr>
        <w:t>droits qu</w:t>
      </w:r>
      <w:r w:rsidR="009D7A41">
        <w:rPr>
          <w:lang w:val="fr-FR"/>
        </w:rPr>
        <w:t>’</w:t>
      </w:r>
      <w:r>
        <w:rPr>
          <w:lang w:val="fr-FR"/>
        </w:rPr>
        <w:t>il tient</w:t>
      </w:r>
      <w:r w:rsidRPr="00981175">
        <w:rPr>
          <w:lang w:val="fr-FR"/>
        </w:rPr>
        <w:t xml:space="preserve"> des articles</w:t>
      </w:r>
      <w:r w:rsidR="00730586">
        <w:t> </w:t>
      </w:r>
      <w:r w:rsidRPr="00981175">
        <w:rPr>
          <w:lang w:val="fr-FR"/>
        </w:rPr>
        <w:t>5</w:t>
      </w:r>
      <w:r w:rsidR="00730586">
        <w:rPr>
          <w:lang w:val="fr-FR"/>
        </w:rPr>
        <w:t> </w:t>
      </w:r>
      <w:r w:rsidRPr="00981175">
        <w:rPr>
          <w:lang w:val="fr-FR"/>
        </w:rPr>
        <w:t>a) et b), 6</w:t>
      </w:r>
      <w:r w:rsidR="00730586">
        <w:rPr>
          <w:lang w:val="fr-FR"/>
        </w:rPr>
        <w:t> </w:t>
      </w:r>
      <w:r w:rsidRPr="00981175">
        <w:rPr>
          <w:lang w:val="fr-FR"/>
        </w:rPr>
        <w:t>et 7 de la Convention.</w:t>
      </w:r>
      <w:r>
        <w:rPr>
          <w:lang w:val="fr-FR"/>
        </w:rPr>
        <w:t xml:space="preserve"> </w:t>
      </w:r>
      <w:r w:rsidRPr="00FD3394">
        <w:rPr>
          <w:lang w:val="fr-FR"/>
        </w:rPr>
        <w:t xml:space="preserve">Il </w:t>
      </w:r>
      <w:r>
        <w:rPr>
          <w:lang w:val="fr-FR"/>
        </w:rPr>
        <w:t>affirmait</w:t>
      </w:r>
      <w:r w:rsidRPr="00FD3394">
        <w:rPr>
          <w:lang w:val="fr-FR"/>
        </w:rPr>
        <w:t xml:space="preserve"> que les autorités </w:t>
      </w:r>
      <w:r>
        <w:rPr>
          <w:lang w:val="fr-FR"/>
        </w:rPr>
        <w:t>avaient</w:t>
      </w:r>
      <w:r w:rsidRPr="00FD3394">
        <w:rPr>
          <w:lang w:val="fr-FR"/>
        </w:rPr>
        <w:t xml:space="preserve"> violé ses droits en vertu de ces articles à la suite d</w:t>
      </w:r>
      <w:r w:rsidR="009D7A41">
        <w:rPr>
          <w:lang w:val="fr-FR"/>
        </w:rPr>
        <w:t>’</w:t>
      </w:r>
      <w:r w:rsidRPr="00FD3394">
        <w:rPr>
          <w:lang w:val="fr-FR"/>
        </w:rPr>
        <w:t xml:space="preserve">un incident qui </w:t>
      </w:r>
      <w:r>
        <w:rPr>
          <w:lang w:val="fr-FR"/>
        </w:rPr>
        <w:t>s</w:t>
      </w:r>
      <w:r w:rsidR="009D7A41">
        <w:rPr>
          <w:lang w:val="fr-FR"/>
        </w:rPr>
        <w:t>’</w:t>
      </w:r>
      <w:r>
        <w:rPr>
          <w:lang w:val="fr-FR"/>
        </w:rPr>
        <w:t>était</w:t>
      </w:r>
      <w:r w:rsidRPr="00FD3394">
        <w:rPr>
          <w:lang w:val="fr-FR"/>
        </w:rPr>
        <w:t xml:space="preserve"> produit le 14</w:t>
      </w:r>
      <w:r w:rsidR="00730586">
        <w:rPr>
          <w:lang w:val="fr-FR"/>
        </w:rPr>
        <w:t> </w:t>
      </w:r>
      <w:r w:rsidRPr="00FD3394">
        <w:rPr>
          <w:lang w:val="fr-FR"/>
        </w:rPr>
        <w:t>novembre 2013, au cours duquel il a</w:t>
      </w:r>
      <w:r>
        <w:rPr>
          <w:lang w:val="fr-FR"/>
        </w:rPr>
        <w:t>vait</w:t>
      </w:r>
      <w:r w:rsidRPr="00FD3394">
        <w:rPr>
          <w:lang w:val="fr-FR"/>
        </w:rPr>
        <w:t xml:space="preserve"> été physiquement agressé et insulté avec des mots désobligeants tels que </w:t>
      </w:r>
      <w:r w:rsidR="00730586">
        <w:rPr>
          <w:lang w:val="fr-FR"/>
        </w:rPr>
        <w:t>« </w:t>
      </w:r>
      <w:r w:rsidRPr="00FD3394">
        <w:rPr>
          <w:lang w:val="fr-FR"/>
        </w:rPr>
        <w:t>gitan</w:t>
      </w:r>
      <w:r w:rsidR="00730586">
        <w:rPr>
          <w:lang w:val="fr-FR"/>
        </w:rPr>
        <w:t> »</w:t>
      </w:r>
      <w:r w:rsidRPr="00FD3394">
        <w:rPr>
          <w:lang w:val="fr-FR"/>
        </w:rPr>
        <w:t xml:space="preserve">, </w:t>
      </w:r>
      <w:r w:rsidR="00730586">
        <w:rPr>
          <w:lang w:val="fr-FR"/>
        </w:rPr>
        <w:t>« </w:t>
      </w:r>
      <w:r w:rsidRPr="00FD3394">
        <w:rPr>
          <w:lang w:val="fr-FR"/>
        </w:rPr>
        <w:t>singe</w:t>
      </w:r>
      <w:r w:rsidR="00730586">
        <w:rPr>
          <w:lang w:val="fr-FR"/>
        </w:rPr>
        <w:t> »</w:t>
      </w:r>
      <w:r w:rsidRPr="00FD3394">
        <w:rPr>
          <w:lang w:val="fr-FR"/>
        </w:rPr>
        <w:t xml:space="preserve">, </w:t>
      </w:r>
      <w:r w:rsidR="00730586">
        <w:rPr>
          <w:lang w:val="fr-FR"/>
        </w:rPr>
        <w:t>« </w:t>
      </w:r>
      <w:r w:rsidRPr="00FD3394">
        <w:rPr>
          <w:lang w:val="fr-FR"/>
        </w:rPr>
        <w:t>indien</w:t>
      </w:r>
      <w:r w:rsidR="00730586">
        <w:rPr>
          <w:lang w:val="fr-FR"/>
        </w:rPr>
        <w:t> »</w:t>
      </w:r>
      <w:r w:rsidRPr="00FD3394">
        <w:rPr>
          <w:lang w:val="fr-FR"/>
        </w:rPr>
        <w:t xml:space="preserve"> et </w:t>
      </w:r>
      <w:r w:rsidR="00730586">
        <w:rPr>
          <w:lang w:val="fr-FR"/>
        </w:rPr>
        <w:t>« </w:t>
      </w:r>
      <w:r w:rsidRPr="00FD3394">
        <w:rPr>
          <w:lang w:val="fr-FR"/>
        </w:rPr>
        <w:t>nègre</w:t>
      </w:r>
      <w:r w:rsidR="00730586">
        <w:rPr>
          <w:lang w:val="fr-FR"/>
        </w:rPr>
        <w:t> »</w:t>
      </w:r>
      <w:r w:rsidRPr="00FD3394">
        <w:rPr>
          <w:lang w:val="fr-FR"/>
        </w:rPr>
        <w:t xml:space="preserve">. </w:t>
      </w:r>
      <w:r>
        <w:rPr>
          <w:lang w:val="fr-FR"/>
        </w:rPr>
        <w:t>L</w:t>
      </w:r>
      <w:r w:rsidR="009D7A41">
        <w:rPr>
          <w:lang w:val="fr-FR"/>
        </w:rPr>
        <w:t>’</w:t>
      </w:r>
      <w:r>
        <w:rPr>
          <w:lang w:val="fr-FR"/>
        </w:rPr>
        <w:t>auteur soutenait</w:t>
      </w:r>
      <w:r w:rsidRPr="00FD3394">
        <w:rPr>
          <w:lang w:val="fr-FR"/>
        </w:rPr>
        <w:t xml:space="preserve"> que, malgré ses nombreuses demandes d</w:t>
      </w:r>
      <w:r w:rsidR="009D7A41">
        <w:rPr>
          <w:lang w:val="fr-FR"/>
        </w:rPr>
        <w:t>’</w:t>
      </w:r>
      <w:r w:rsidRPr="00FD3394">
        <w:rPr>
          <w:lang w:val="fr-FR"/>
        </w:rPr>
        <w:t xml:space="preserve">enquête et de punition de </w:t>
      </w:r>
      <w:r>
        <w:rPr>
          <w:lang w:val="fr-FR"/>
        </w:rPr>
        <w:t>l</w:t>
      </w:r>
      <w:r w:rsidR="009D7A41">
        <w:rPr>
          <w:lang w:val="fr-FR"/>
        </w:rPr>
        <w:t>’</w:t>
      </w:r>
      <w:r>
        <w:rPr>
          <w:lang w:val="fr-FR"/>
        </w:rPr>
        <w:t>agresseur</w:t>
      </w:r>
      <w:r w:rsidRPr="00FD3394">
        <w:rPr>
          <w:lang w:val="fr-FR"/>
        </w:rPr>
        <w:t xml:space="preserve"> en raison du caractère racialement discriminatoire de l</w:t>
      </w:r>
      <w:r w:rsidR="009D7A41">
        <w:rPr>
          <w:lang w:val="fr-FR"/>
        </w:rPr>
        <w:t>’</w:t>
      </w:r>
      <w:r w:rsidRPr="00FD3394">
        <w:rPr>
          <w:lang w:val="fr-FR"/>
        </w:rPr>
        <w:t>agression, les tribunaux n</w:t>
      </w:r>
      <w:r w:rsidR="009D7A41">
        <w:rPr>
          <w:lang w:val="fr-FR"/>
        </w:rPr>
        <w:t>’</w:t>
      </w:r>
      <w:r w:rsidRPr="00FD3394">
        <w:rPr>
          <w:lang w:val="fr-FR"/>
        </w:rPr>
        <w:t>avaient condamné l</w:t>
      </w:r>
      <w:r w:rsidR="009D7A41">
        <w:rPr>
          <w:lang w:val="fr-FR"/>
        </w:rPr>
        <w:t>’</w:t>
      </w:r>
      <w:r w:rsidRPr="00FD3394">
        <w:rPr>
          <w:lang w:val="fr-FR"/>
        </w:rPr>
        <w:t xml:space="preserve">accusé que pour hooliganisme. </w:t>
      </w:r>
    </w:p>
    <w:p w:rsidR="00E028AE" w:rsidRPr="006F1C38" w:rsidRDefault="00E028AE" w:rsidP="00E028AE">
      <w:pPr>
        <w:pStyle w:val="SingleTxtG"/>
        <w:rPr>
          <w:lang w:val="fr-FR"/>
        </w:rPr>
      </w:pPr>
      <w:r w:rsidRPr="006F1C38">
        <w:rPr>
          <w:lang w:val="fr-FR"/>
        </w:rPr>
        <w:t>46.</w:t>
      </w:r>
      <w:r w:rsidRPr="006F1C38">
        <w:rPr>
          <w:lang w:val="fr-FR"/>
        </w:rPr>
        <w:tab/>
        <w:t>Le Comité a pris note de l</w:t>
      </w:r>
      <w:r w:rsidR="009D7A41">
        <w:rPr>
          <w:lang w:val="fr-FR"/>
        </w:rPr>
        <w:t>’</w:t>
      </w:r>
      <w:r w:rsidRPr="006F1C38">
        <w:rPr>
          <w:lang w:val="fr-FR"/>
        </w:rPr>
        <w:t>argument de l</w:t>
      </w:r>
      <w:r w:rsidR="009D7A41">
        <w:rPr>
          <w:lang w:val="fr-FR"/>
        </w:rPr>
        <w:t>’</w:t>
      </w:r>
      <w:r w:rsidRPr="006F1C38">
        <w:rPr>
          <w:lang w:val="fr-FR"/>
        </w:rPr>
        <w:t xml:space="preserve">État partie selon lequel la communication était irrecevable parce que </w:t>
      </w:r>
      <w:r>
        <w:rPr>
          <w:lang w:val="fr-FR"/>
        </w:rPr>
        <w:t>l</w:t>
      </w:r>
      <w:r w:rsidR="009D7A41">
        <w:rPr>
          <w:lang w:val="fr-FR"/>
        </w:rPr>
        <w:t>’</w:t>
      </w:r>
      <w:r>
        <w:rPr>
          <w:lang w:val="fr-FR"/>
        </w:rPr>
        <w:t>auteur, n</w:t>
      </w:r>
      <w:r w:rsidR="009D7A41">
        <w:rPr>
          <w:lang w:val="fr-FR"/>
        </w:rPr>
        <w:t>’</w:t>
      </w:r>
      <w:r>
        <w:rPr>
          <w:lang w:val="fr-FR"/>
        </w:rPr>
        <w:t>ayant</w:t>
      </w:r>
      <w:r w:rsidRPr="006F1C38">
        <w:rPr>
          <w:lang w:val="fr-FR"/>
        </w:rPr>
        <w:t xml:space="preserve"> </w:t>
      </w:r>
      <w:r>
        <w:rPr>
          <w:lang w:val="fr-FR"/>
        </w:rPr>
        <w:t xml:space="preserve">pas </w:t>
      </w:r>
      <w:r w:rsidRPr="006F1C38">
        <w:rPr>
          <w:lang w:val="fr-FR"/>
        </w:rPr>
        <w:t xml:space="preserve">déposé de recours extraordinaire </w:t>
      </w:r>
      <w:r>
        <w:rPr>
          <w:lang w:val="fr-FR"/>
        </w:rPr>
        <w:t>en vertu de</w:t>
      </w:r>
      <w:r w:rsidRPr="006F1C38">
        <w:rPr>
          <w:lang w:val="fr-FR"/>
        </w:rPr>
        <w:t xml:space="preserve"> l</w:t>
      </w:r>
      <w:r w:rsidR="009D7A41">
        <w:rPr>
          <w:lang w:val="fr-FR"/>
        </w:rPr>
        <w:t>’</w:t>
      </w:r>
      <w:r w:rsidRPr="006F1C38">
        <w:rPr>
          <w:lang w:val="fr-FR"/>
        </w:rPr>
        <w:t>article</w:t>
      </w:r>
      <w:r w:rsidR="002431FF">
        <w:rPr>
          <w:lang w:val="fr-FR"/>
        </w:rPr>
        <w:t> </w:t>
      </w:r>
      <w:r w:rsidRPr="006F1C38">
        <w:rPr>
          <w:lang w:val="fr-FR"/>
        </w:rPr>
        <w:t>452 du Code de procédure pénale</w:t>
      </w:r>
      <w:r>
        <w:rPr>
          <w:lang w:val="fr-FR"/>
        </w:rPr>
        <w:t>,</w:t>
      </w:r>
      <w:r w:rsidRPr="006F1C38">
        <w:rPr>
          <w:lang w:val="fr-FR"/>
        </w:rPr>
        <w:t xml:space="preserve"> n</w:t>
      </w:r>
      <w:r w:rsidR="009D7A41">
        <w:rPr>
          <w:lang w:val="fr-FR"/>
        </w:rPr>
        <w:t>’</w:t>
      </w:r>
      <w:r w:rsidRPr="006F1C38">
        <w:rPr>
          <w:lang w:val="fr-FR"/>
        </w:rPr>
        <w:t xml:space="preserve">avait </w:t>
      </w:r>
      <w:r>
        <w:rPr>
          <w:lang w:val="fr-FR"/>
        </w:rPr>
        <w:t>pas épuisé les recours internes</w:t>
      </w:r>
      <w:r w:rsidRPr="006F1C38">
        <w:rPr>
          <w:lang w:val="fr-FR"/>
        </w:rPr>
        <w:t xml:space="preserve">. Toutefois, le Comité, après avoir noté que </w:t>
      </w:r>
      <w:r>
        <w:rPr>
          <w:lang w:val="fr-FR"/>
        </w:rPr>
        <w:t>l</w:t>
      </w:r>
      <w:r w:rsidR="009D7A41">
        <w:rPr>
          <w:lang w:val="fr-FR"/>
        </w:rPr>
        <w:t>’</w:t>
      </w:r>
      <w:r>
        <w:rPr>
          <w:lang w:val="fr-FR"/>
        </w:rPr>
        <w:t>auteur</w:t>
      </w:r>
      <w:r w:rsidRPr="006F1C38">
        <w:rPr>
          <w:lang w:val="fr-FR"/>
        </w:rPr>
        <w:t xml:space="preserve"> avait </w:t>
      </w:r>
      <w:r>
        <w:rPr>
          <w:lang w:val="fr-FR"/>
        </w:rPr>
        <w:t>été débouté de son recours</w:t>
      </w:r>
      <w:r w:rsidRPr="006F1C38">
        <w:rPr>
          <w:lang w:val="fr-FR"/>
        </w:rPr>
        <w:t xml:space="preserve"> devant la Cour s</w:t>
      </w:r>
      <w:r>
        <w:rPr>
          <w:lang w:val="fr-FR"/>
        </w:rPr>
        <w:t xml:space="preserve">uprême de justice </w:t>
      </w:r>
      <w:r w:rsidRPr="006F1C38">
        <w:rPr>
          <w:lang w:val="fr-FR"/>
        </w:rPr>
        <w:t>le 22</w:t>
      </w:r>
      <w:r w:rsidR="002431FF">
        <w:rPr>
          <w:lang w:val="fr-FR"/>
        </w:rPr>
        <w:t> </w:t>
      </w:r>
      <w:r w:rsidRPr="006F1C38">
        <w:rPr>
          <w:lang w:val="fr-FR"/>
        </w:rPr>
        <w:t>octobre 2014, a estimé que l</w:t>
      </w:r>
      <w:r w:rsidR="009D7A41">
        <w:rPr>
          <w:lang w:val="fr-FR"/>
        </w:rPr>
        <w:t>’</w:t>
      </w:r>
      <w:r w:rsidRPr="006F1C38">
        <w:rPr>
          <w:lang w:val="fr-FR"/>
        </w:rPr>
        <w:t>État partie n</w:t>
      </w:r>
      <w:r w:rsidR="009D7A41">
        <w:rPr>
          <w:lang w:val="fr-FR"/>
        </w:rPr>
        <w:t>’</w:t>
      </w:r>
      <w:r w:rsidRPr="006F1C38">
        <w:rPr>
          <w:lang w:val="fr-FR"/>
        </w:rPr>
        <w:t xml:space="preserve">avait pas expliqué en quoi consistait la procédure prévue </w:t>
      </w:r>
      <w:r>
        <w:rPr>
          <w:lang w:val="fr-FR"/>
        </w:rPr>
        <w:t>par</w:t>
      </w:r>
      <w:r w:rsidRPr="006F1C38">
        <w:rPr>
          <w:lang w:val="fr-FR"/>
        </w:rPr>
        <w:t xml:space="preserve"> l</w:t>
      </w:r>
      <w:r w:rsidR="009D7A41">
        <w:rPr>
          <w:lang w:val="fr-FR"/>
        </w:rPr>
        <w:t>’</w:t>
      </w:r>
      <w:r w:rsidRPr="006F1C38">
        <w:rPr>
          <w:lang w:val="fr-FR"/>
        </w:rPr>
        <w:t>article</w:t>
      </w:r>
      <w:r w:rsidR="002431FF">
        <w:rPr>
          <w:lang w:val="fr-FR"/>
        </w:rPr>
        <w:t> </w:t>
      </w:r>
      <w:r w:rsidRPr="006F1C38">
        <w:rPr>
          <w:lang w:val="fr-FR"/>
        </w:rPr>
        <w:t>4</w:t>
      </w:r>
      <w:r>
        <w:rPr>
          <w:lang w:val="fr-FR"/>
        </w:rPr>
        <w:t xml:space="preserve">52 du Code de procédure pénale et </w:t>
      </w:r>
      <w:r w:rsidRPr="006F1C38">
        <w:rPr>
          <w:lang w:val="fr-FR"/>
        </w:rPr>
        <w:t>si un tel recours extraordinaire aurait une perspective raisonnable d</w:t>
      </w:r>
      <w:r w:rsidR="009D7A41">
        <w:rPr>
          <w:lang w:val="fr-FR"/>
        </w:rPr>
        <w:t>’</w:t>
      </w:r>
      <w:r w:rsidRPr="006F1C38">
        <w:rPr>
          <w:lang w:val="fr-FR"/>
        </w:rPr>
        <w:t>offrir un recours utile dans</w:t>
      </w:r>
      <w:r>
        <w:rPr>
          <w:lang w:val="fr-FR"/>
        </w:rPr>
        <w:t xml:space="preserve"> les circonstances de l</w:t>
      </w:r>
      <w:r w:rsidR="009D7A41">
        <w:rPr>
          <w:lang w:val="fr-FR"/>
        </w:rPr>
        <w:t>’</w:t>
      </w:r>
      <w:r>
        <w:rPr>
          <w:lang w:val="fr-FR"/>
        </w:rPr>
        <w:t>affaire</w:t>
      </w:r>
      <w:r w:rsidRPr="006F1C38">
        <w:rPr>
          <w:lang w:val="fr-FR"/>
        </w:rPr>
        <w:t xml:space="preserve">. En ce qui concerne les allégations </w:t>
      </w:r>
      <w:r>
        <w:rPr>
          <w:lang w:val="fr-FR"/>
        </w:rPr>
        <w:t>de l</w:t>
      </w:r>
      <w:r w:rsidR="009D7A41">
        <w:rPr>
          <w:lang w:val="fr-FR"/>
        </w:rPr>
        <w:t>’</w:t>
      </w:r>
      <w:r>
        <w:rPr>
          <w:lang w:val="fr-FR"/>
        </w:rPr>
        <w:t>auteur</w:t>
      </w:r>
      <w:r w:rsidRPr="006F1C38">
        <w:rPr>
          <w:lang w:val="fr-FR"/>
        </w:rPr>
        <w:t xml:space="preserve"> concernant une violation de son droit à l</w:t>
      </w:r>
      <w:r w:rsidR="009D7A41">
        <w:rPr>
          <w:lang w:val="fr-FR"/>
        </w:rPr>
        <w:t>’</w:t>
      </w:r>
      <w:r w:rsidRPr="006F1C38">
        <w:rPr>
          <w:lang w:val="fr-FR"/>
        </w:rPr>
        <w:t xml:space="preserve">égalité de </w:t>
      </w:r>
      <w:r>
        <w:rPr>
          <w:lang w:val="fr-FR"/>
        </w:rPr>
        <w:t>traitement devant les tribunaux</w:t>
      </w:r>
      <w:r w:rsidRPr="006F1C38">
        <w:rPr>
          <w:lang w:val="fr-FR"/>
        </w:rPr>
        <w:t xml:space="preserve"> et </w:t>
      </w:r>
      <w:r>
        <w:rPr>
          <w:lang w:val="fr-FR"/>
        </w:rPr>
        <w:t>l</w:t>
      </w:r>
      <w:r w:rsidR="009D7A41">
        <w:rPr>
          <w:lang w:val="fr-FR"/>
        </w:rPr>
        <w:t>’</w:t>
      </w:r>
      <w:r>
        <w:rPr>
          <w:lang w:val="fr-FR"/>
        </w:rPr>
        <w:t>existence</w:t>
      </w:r>
      <w:r w:rsidRPr="006F1C38">
        <w:rPr>
          <w:lang w:val="fr-FR"/>
        </w:rPr>
        <w:t xml:space="preserve"> </w:t>
      </w:r>
      <w:r>
        <w:rPr>
          <w:lang w:val="fr-FR"/>
        </w:rPr>
        <w:t>d</w:t>
      </w:r>
      <w:r w:rsidR="009D7A41">
        <w:rPr>
          <w:lang w:val="fr-FR"/>
        </w:rPr>
        <w:t>’</w:t>
      </w:r>
      <w:r w:rsidRPr="006F1C38">
        <w:rPr>
          <w:lang w:val="fr-FR"/>
        </w:rPr>
        <w:t xml:space="preserve">une </w:t>
      </w:r>
      <w:r w:rsidR="00D00518">
        <w:rPr>
          <w:lang w:val="fr-FR"/>
        </w:rPr>
        <w:t>« </w:t>
      </w:r>
      <w:r w:rsidRPr="006F1C38">
        <w:rPr>
          <w:lang w:val="fr-FR"/>
        </w:rPr>
        <w:t>impunité générale</w:t>
      </w:r>
      <w:r w:rsidR="00D00518">
        <w:rPr>
          <w:lang w:val="fr-FR"/>
        </w:rPr>
        <w:t> »</w:t>
      </w:r>
      <w:r w:rsidRPr="006F1C38">
        <w:rPr>
          <w:lang w:val="fr-FR"/>
        </w:rPr>
        <w:t xml:space="preserve"> en République de Moldova pour les attaques à motivation raciale et un</w:t>
      </w:r>
      <w:r>
        <w:rPr>
          <w:lang w:val="fr-FR"/>
        </w:rPr>
        <w:t>e</w:t>
      </w:r>
      <w:r w:rsidRPr="006F1C38">
        <w:rPr>
          <w:lang w:val="fr-FR"/>
        </w:rPr>
        <w:t xml:space="preserve"> </w:t>
      </w:r>
      <w:r w:rsidR="00D00518">
        <w:rPr>
          <w:lang w:val="fr-FR"/>
        </w:rPr>
        <w:t>« </w:t>
      </w:r>
      <w:r>
        <w:rPr>
          <w:lang w:val="fr-FR"/>
        </w:rPr>
        <w:t>tendance</w:t>
      </w:r>
      <w:r w:rsidRPr="006F1C38">
        <w:rPr>
          <w:lang w:val="fr-FR"/>
        </w:rPr>
        <w:t xml:space="preserve"> </w:t>
      </w:r>
      <w:r>
        <w:rPr>
          <w:lang w:val="fr-FR"/>
        </w:rPr>
        <w:t>plus vaste à la</w:t>
      </w:r>
      <w:r w:rsidRPr="006F1C38">
        <w:rPr>
          <w:lang w:val="fr-FR"/>
        </w:rPr>
        <w:t xml:space="preserve"> discrimination</w:t>
      </w:r>
      <w:r w:rsidR="00D00518">
        <w:rPr>
          <w:lang w:val="fr-FR"/>
        </w:rPr>
        <w:t> »</w:t>
      </w:r>
      <w:r w:rsidRPr="006F1C38">
        <w:rPr>
          <w:lang w:val="fr-FR"/>
        </w:rPr>
        <w:t>, en violation des articles</w:t>
      </w:r>
      <w:r w:rsidR="00D00518">
        <w:rPr>
          <w:lang w:val="fr-FR"/>
        </w:rPr>
        <w:t> </w:t>
      </w:r>
      <w:r w:rsidRPr="006F1C38">
        <w:rPr>
          <w:lang w:val="fr-FR"/>
        </w:rPr>
        <w:t>5</w:t>
      </w:r>
      <w:r w:rsidR="00D00518">
        <w:rPr>
          <w:lang w:val="fr-FR"/>
        </w:rPr>
        <w:t> </w:t>
      </w:r>
      <w:r w:rsidRPr="006F1C38">
        <w:rPr>
          <w:lang w:val="fr-FR"/>
        </w:rPr>
        <w:t xml:space="preserve">a) et b) et 7 de la Convention, le Comité a estimé que </w:t>
      </w:r>
      <w:r>
        <w:rPr>
          <w:lang w:val="fr-FR"/>
        </w:rPr>
        <w:t>l</w:t>
      </w:r>
      <w:r w:rsidR="009D7A41">
        <w:rPr>
          <w:lang w:val="fr-FR"/>
        </w:rPr>
        <w:t>’</w:t>
      </w:r>
      <w:r>
        <w:rPr>
          <w:lang w:val="fr-FR"/>
        </w:rPr>
        <w:t>auteur</w:t>
      </w:r>
      <w:r w:rsidRPr="006F1C38">
        <w:rPr>
          <w:lang w:val="fr-FR"/>
        </w:rPr>
        <w:t xml:space="preserve"> n</w:t>
      </w:r>
      <w:r w:rsidR="009D7A41">
        <w:rPr>
          <w:lang w:val="fr-FR"/>
        </w:rPr>
        <w:t>’</w:t>
      </w:r>
      <w:r w:rsidRPr="006F1C38">
        <w:rPr>
          <w:lang w:val="fr-FR"/>
        </w:rPr>
        <w:t xml:space="preserve">avait pas étayé ces allégations aux fins de la recevabilité et a déclaré irrecevable </w:t>
      </w:r>
      <w:r>
        <w:rPr>
          <w:lang w:val="fr-FR"/>
        </w:rPr>
        <w:t>cette</w:t>
      </w:r>
      <w:r w:rsidRPr="006F1C38">
        <w:rPr>
          <w:lang w:val="fr-FR"/>
        </w:rPr>
        <w:t xml:space="preserve"> partie de la communication en vertu</w:t>
      </w:r>
      <w:r>
        <w:rPr>
          <w:lang w:val="fr-FR"/>
        </w:rPr>
        <w:t xml:space="preserve"> du paragraphe</w:t>
      </w:r>
      <w:r w:rsidR="00D00518">
        <w:rPr>
          <w:lang w:val="fr-FR"/>
        </w:rPr>
        <w:t> </w:t>
      </w:r>
      <w:r>
        <w:rPr>
          <w:lang w:val="fr-FR"/>
        </w:rPr>
        <w:t>1</w:t>
      </w:r>
      <w:r w:rsidRPr="006F1C38">
        <w:rPr>
          <w:lang w:val="fr-FR"/>
        </w:rPr>
        <w:t xml:space="preserve"> de l</w:t>
      </w:r>
      <w:r w:rsidR="009D7A41">
        <w:rPr>
          <w:lang w:val="fr-FR"/>
        </w:rPr>
        <w:t>’</w:t>
      </w:r>
      <w:r w:rsidRPr="006F1C38">
        <w:rPr>
          <w:lang w:val="fr-FR"/>
        </w:rPr>
        <w:t>article</w:t>
      </w:r>
      <w:r w:rsidR="00D00518">
        <w:rPr>
          <w:lang w:val="fr-FR"/>
        </w:rPr>
        <w:t> </w:t>
      </w:r>
      <w:r w:rsidRPr="006F1C38">
        <w:rPr>
          <w:lang w:val="fr-FR"/>
        </w:rPr>
        <w:t xml:space="preserve">14 de la Convention. </w:t>
      </w:r>
      <w:r>
        <w:rPr>
          <w:lang w:val="fr-FR"/>
        </w:rPr>
        <w:t>Il a estimé en revanche que l</w:t>
      </w:r>
      <w:r w:rsidR="009D7A41">
        <w:rPr>
          <w:lang w:val="fr-FR"/>
        </w:rPr>
        <w:t>’</w:t>
      </w:r>
      <w:r>
        <w:rPr>
          <w:lang w:val="fr-FR"/>
        </w:rPr>
        <w:t>auteur avait suffisamment étayé s</w:t>
      </w:r>
      <w:r w:rsidRPr="006F1C38">
        <w:rPr>
          <w:lang w:val="fr-FR"/>
        </w:rPr>
        <w:t xml:space="preserve">es </w:t>
      </w:r>
      <w:r>
        <w:rPr>
          <w:lang w:val="fr-FR"/>
        </w:rPr>
        <w:t>griefs de</w:t>
      </w:r>
      <w:r w:rsidRPr="006F1C38">
        <w:rPr>
          <w:lang w:val="fr-FR"/>
        </w:rPr>
        <w:t xml:space="preserve"> violation de son droit à un recours utile et à une protection</w:t>
      </w:r>
      <w:r>
        <w:rPr>
          <w:lang w:val="fr-FR"/>
        </w:rPr>
        <w:t xml:space="preserve"> efficace</w:t>
      </w:r>
      <w:r w:rsidRPr="006F1C38">
        <w:rPr>
          <w:lang w:val="fr-FR"/>
        </w:rPr>
        <w:t xml:space="preserve"> en vertu de l</w:t>
      </w:r>
      <w:r w:rsidR="009D7A41">
        <w:rPr>
          <w:lang w:val="fr-FR"/>
        </w:rPr>
        <w:t>’</w:t>
      </w:r>
      <w:r w:rsidRPr="006F1C38">
        <w:rPr>
          <w:lang w:val="fr-FR"/>
        </w:rPr>
        <w:t xml:space="preserve">article 6 de </w:t>
      </w:r>
      <w:r>
        <w:rPr>
          <w:lang w:val="fr-FR"/>
        </w:rPr>
        <w:t>la Convention, et les a déclaré</w:t>
      </w:r>
      <w:r w:rsidRPr="006F1C38">
        <w:rPr>
          <w:lang w:val="fr-FR"/>
        </w:rPr>
        <w:t>s recevables.</w:t>
      </w:r>
    </w:p>
    <w:p w:rsidR="00E028AE" w:rsidRPr="006F1F71" w:rsidRDefault="00E028AE" w:rsidP="00E028AE">
      <w:pPr>
        <w:pStyle w:val="SingleTxtG"/>
        <w:rPr>
          <w:lang w:val="fr-FR"/>
        </w:rPr>
      </w:pPr>
      <w:r>
        <w:rPr>
          <w:lang w:val="fr-FR"/>
        </w:rPr>
        <w:t>47.</w:t>
      </w:r>
      <w:r>
        <w:rPr>
          <w:lang w:val="fr-FR"/>
        </w:rPr>
        <w:tab/>
        <w:t>En ce qui concerne le fond de la communication, le Comité a constaté que si les autorités avaient bien procédé à une enquête sur l</w:t>
      </w:r>
      <w:r w:rsidR="009D7A41">
        <w:rPr>
          <w:lang w:val="fr-FR"/>
        </w:rPr>
        <w:t>’</w:t>
      </w:r>
      <w:r>
        <w:rPr>
          <w:lang w:val="fr-FR"/>
        </w:rPr>
        <w:t>incident en cause, elles l</w:t>
      </w:r>
      <w:r w:rsidR="009D7A41">
        <w:rPr>
          <w:lang w:val="fr-FR"/>
        </w:rPr>
        <w:t>’</w:t>
      </w:r>
      <w:r>
        <w:rPr>
          <w:lang w:val="fr-FR"/>
        </w:rPr>
        <w:t xml:space="preserve">avaient traité comme un acte de hooliganisme sans examiner le caractère discriminatoire du motif qui </w:t>
      </w:r>
      <w:r>
        <w:rPr>
          <w:lang w:val="fr-FR"/>
        </w:rPr>
        <w:lastRenderedPageBreak/>
        <w:t>avait animé l</w:t>
      </w:r>
      <w:r w:rsidR="009D7A41">
        <w:rPr>
          <w:lang w:val="fr-FR"/>
        </w:rPr>
        <w:t>’</w:t>
      </w:r>
      <w:r>
        <w:rPr>
          <w:lang w:val="fr-FR"/>
        </w:rPr>
        <w:t>auteur de l</w:t>
      </w:r>
      <w:r w:rsidR="009D7A41">
        <w:rPr>
          <w:lang w:val="fr-FR"/>
        </w:rPr>
        <w:t>’</w:t>
      </w:r>
      <w:r>
        <w:rPr>
          <w:lang w:val="fr-FR"/>
        </w:rPr>
        <w:t>infraction, en dépit des nombreuses demandes en ce sens présentées par l</w:t>
      </w:r>
      <w:r w:rsidR="009D7A41">
        <w:rPr>
          <w:lang w:val="fr-FR"/>
        </w:rPr>
        <w:t>’</w:t>
      </w:r>
      <w:r>
        <w:rPr>
          <w:lang w:val="fr-FR"/>
        </w:rPr>
        <w:t>auteur de la communication à différents niveaux et services de l</w:t>
      </w:r>
      <w:r w:rsidR="009D7A41">
        <w:rPr>
          <w:lang w:val="fr-FR"/>
        </w:rPr>
        <w:t>’</w:t>
      </w:r>
      <w:r>
        <w:rPr>
          <w:lang w:val="fr-FR"/>
        </w:rPr>
        <w:t>État, y</w:t>
      </w:r>
      <w:r w:rsidR="00331FEB">
        <w:rPr>
          <w:lang w:val="fr-FR"/>
        </w:rPr>
        <w:t> </w:t>
      </w:r>
      <w:r>
        <w:rPr>
          <w:lang w:val="fr-FR"/>
        </w:rPr>
        <w:t xml:space="preserve">compris auprès de juridictions. </w:t>
      </w:r>
      <w:r w:rsidRPr="00E31CE9">
        <w:rPr>
          <w:lang w:val="fr-FR"/>
        </w:rPr>
        <w:t>Le Comité a également noté que l</w:t>
      </w:r>
      <w:r w:rsidR="009D7A41">
        <w:rPr>
          <w:lang w:val="fr-FR"/>
        </w:rPr>
        <w:t>’</w:t>
      </w:r>
      <w:r w:rsidRPr="00E31CE9">
        <w:rPr>
          <w:lang w:val="fr-FR"/>
        </w:rPr>
        <w:t>État partie semblait convenir dans ses observations que ses autorités auraient dû tenir compte de l</w:t>
      </w:r>
      <w:r w:rsidR="009D7A41">
        <w:rPr>
          <w:lang w:val="fr-FR"/>
        </w:rPr>
        <w:t>’</w:t>
      </w:r>
      <w:r w:rsidRPr="00E31CE9">
        <w:rPr>
          <w:lang w:val="fr-FR"/>
        </w:rPr>
        <w:t xml:space="preserve">élément discriminatoire. </w:t>
      </w:r>
      <w:r>
        <w:rPr>
          <w:lang w:val="fr-FR"/>
        </w:rPr>
        <w:t>En conséquence, le Comité était d</w:t>
      </w:r>
      <w:r w:rsidR="009D7A41">
        <w:rPr>
          <w:lang w:val="fr-FR"/>
        </w:rPr>
        <w:t>’</w:t>
      </w:r>
      <w:r>
        <w:rPr>
          <w:lang w:val="fr-FR"/>
        </w:rPr>
        <w:t>avis que l</w:t>
      </w:r>
      <w:r w:rsidR="009D7A41">
        <w:rPr>
          <w:lang w:val="fr-FR"/>
        </w:rPr>
        <w:t>’</w:t>
      </w:r>
      <w:r>
        <w:rPr>
          <w:lang w:val="fr-FR"/>
        </w:rPr>
        <w:t>enquête était incomplète car il n</w:t>
      </w:r>
      <w:r w:rsidR="009D7A41">
        <w:rPr>
          <w:lang w:val="fr-FR"/>
        </w:rPr>
        <w:t>’</w:t>
      </w:r>
      <w:r>
        <w:rPr>
          <w:lang w:val="fr-FR"/>
        </w:rPr>
        <w:t>avait pas été tenu compte de la motivation discriminatoire de l</w:t>
      </w:r>
      <w:r w:rsidR="009D7A41">
        <w:rPr>
          <w:lang w:val="fr-FR"/>
        </w:rPr>
        <w:t>’</w:t>
      </w:r>
      <w:r>
        <w:rPr>
          <w:lang w:val="fr-FR"/>
        </w:rPr>
        <w:t>auteur de l</w:t>
      </w:r>
      <w:r w:rsidR="009D7A41">
        <w:rPr>
          <w:lang w:val="fr-FR"/>
        </w:rPr>
        <w:t>’</w:t>
      </w:r>
      <w:r>
        <w:rPr>
          <w:lang w:val="fr-FR"/>
        </w:rPr>
        <w:t xml:space="preserve">infraction. </w:t>
      </w:r>
      <w:r w:rsidRPr="004E788A">
        <w:rPr>
          <w:lang w:val="fr-FR"/>
        </w:rPr>
        <w:t>En</w:t>
      </w:r>
      <w:r w:rsidR="00331FEB">
        <w:rPr>
          <w:lang w:val="fr-FR"/>
        </w:rPr>
        <w:t> </w:t>
      </w:r>
      <w:r w:rsidRPr="004E788A">
        <w:rPr>
          <w:lang w:val="fr-FR"/>
        </w:rPr>
        <w:t xml:space="preserve">outre, se référant à sa recommandation générale </w:t>
      </w:r>
      <w:r w:rsidR="00927855" w:rsidRPr="00927855">
        <w:rPr>
          <w:rFonts w:eastAsia="MS Mincho"/>
          <w:lang w:val="fr-FR"/>
        </w:rPr>
        <w:t>n</w:t>
      </w:r>
      <w:r w:rsidR="00927855" w:rsidRPr="00927855">
        <w:rPr>
          <w:rFonts w:eastAsia="MS Mincho"/>
          <w:vertAlign w:val="superscript"/>
          <w:lang w:val="fr-FR"/>
        </w:rPr>
        <w:t>o</w:t>
      </w:r>
      <w:r w:rsidR="00927855">
        <w:rPr>
          <w:lang w:val="fr-FR"/>
        </w:rPr>
        <w:t> </w:t>
      </w:r>
      <w:r w:rsidRPr="004E788A">
        <w:rPr>
          <w:lang w:val="fr-FR"/>
        </w:rPr>
        <w:t xml:space="preserve">31 (2005) </w:t>
      </w:r>
      <w:r>
        <w:rPr>
          <w:lang w:val="fr-FR"/>
        </w:rPr>
        <w:t>sur</w:t>
      </w:r>
      <w:r w:rsidRPr="004E788A">
        <w:rPr>
          <w:lang w:val="fr-FR"/>
        </w:rPr>
        <w:t xml:space="preserve"> la prévention de la discrimination raciale dans l</w:t>
      </w:r>
      <w:r w:rsidR="009D7A41">
        <w:rPr>
          <w:lang w:val="fr-FR"/>
        </w:rPr>
        <w:t>’</w:t>
      </w:r>
      <w:r w:rsidRPr="004E788A">
        <w:rPr>
          <w:lang w:val="fr-FR"/>
        </w:rPr>
        <w:t>administration et le fonctionnement du système de justice pénale, le Comité a indiqué que l</w:t>
      </w:r>
      <w:r w:rsidR="009D7A41">
        <w:rPr>
          <w:lang w:val="fr-FR"/>
        </w:rPr>
        <w:t>’</w:t>
      </w:r>
      <w:r w:rsidRPr="004E788A">
        <w:rPr>
          <w:lang w:val="fr-FR"/>
        </w:rPr>
        <w:t xml:space="preserve">État partie aurait dû </w:t>
      </w:r>
      <w:r>
        <w:rPr>
          <w:lang w:val="fr-FR"/>
        </w:rPr>
        <w:t>prendre en compte cet aspect de la question</w:t>
      </w:r>
      <w:r w:rsidRPr="004E788A">
        <w:rPr>
          <w:lang w:val="fr-FR"/>
        </w:rPr>
        <w:t xml:space="preserve"> car toute infraction à motivation raciale porte atteinte à la cohésion sociale et</w:t>
      </w:r>
      <w:r>
        <w:rPr>
          <w:lang w:val="fr-FR"/>
        </w:rPr>
        <w:t xml:space="preserve"> à la société dans son ensemble</w:t>
      </w:r>
      <w:r w:rsidRPr="004E788A">
        <w:rPr>
          <w:lang w:val="fr-FR"/>
        </w:rPr>
        <w:t xml:space="preserve">. </w:t>
      </w:r>
      <w:r>
        <w:rPr>
          <w:lang w:val="fr-FR"/>
        </w:rPr>
        <w:t>De surcroît, le Comité a estimé que le refus de l</w:t>
      </w:r>
      <w:r w:rsidR="009D7A41">
        <w:rPr>
          <w:lang w:val="fr-FR"/>
        </w:rPr>
        <w:t>’</w:t>
      </w:r>
      <w:r>
        <w:rPr>
          <w:lang w:val="fr-FR"/>
        </w:rPr>
        <w:t>État partie d</w:t>
      </w:r>
      <w:r w:rsidR="009D7A41">
        <w:rPr>
          <w:lang w:val="fr-FR"/>
        </w:rPr>
        <w:t>’</w:t>
      </w:r>
      <w:r>
        <w:rPr>
          <w:lang w:val="fr-FR"/>
        </w:rPr>
        <w:t>enquêter sur la motivation raciste des faits avait également privé l</w:t>
      </w:r>
      <w:r w:rsidR="009D7A41">
        <w:rPr>
          <w:lang w:val="fr-FR"/>
        </w:rPr>
        <w:t>’</w:t>
      </w:r>
      <w:r>
        <w:rPr>
          <w:lang w:val="fr-FR"/>
        </w:rPr>
        <w:t>auteur de la communication de son droit à une protection efficace et à des recours utiles contre l</w:t>
      </w:r>
      <w:r w:rsidR="009D7A41">
        <w:rPr>
          <w:lang w:val="fr-FR"/>
        </w:rPr>
        <w:t>’</w:t>
      </w:r>
      <w:r>
        <w:rPr>
          <w:lang w:val="fr-FR"/>
        </w:rPr>
        <w:t>acte de discrimination raciale dénoncé.</w:t>
      </w:r>
    </w:p>
    <w:p w:rsidR="00E028AE" w:rsidRPr="006F1F71" w:rsidRDefault="00E028AE" w:rsidP="00E028AE">
      <w:pPr>
        <w:pStyle w:val="SingleTxtG"/>
        <w:rPr>
          <w:lang w:val="fr-FR"/>
        </w:rPr>
      </w:pPr>
      <w:r>
        <w:rPr>
          <w:lang w:val="fr-FR"/>
        </w:rPr>
        <w:t>48.</w:t>
      </w:r>
      <w:r>
        <w:rPr>
          <w:lang w:val="fr-FR"/>
        </w:rPr>
        <w:tab/>
        <w:t xml:space="preserve">À </w:t>
      </w:r>
      <w:r w:rsidRPr="00B028AC">
        <w:rPr>
          <w:lang w:val="fr-FR"/>
        </w:rPr>
        <w:t xml:space="preserve">sa quatre-vingt-quinzième session, le Comité a examiné la communication </w:t>
      </w:r>
      <w:r w:rsidR="00C122DE" w:rsidRPr="00C122DE">
        <w:rPr>
          <w:rFonts w:eastAsia="MS Mincho"/>
          <w:lang w:val="fr-FR"/>
        </w:rPr>
        <w:t>n</w:t>
      </w:r>
      <w:r w:rsidR="00C122DE" w:rsidRPr="00C122DE">
        <w:rPr>
          <w:rFonts w:eastAsia="MS Mincho"/>
          <w:vertAlign w:val="superscript"/>
          <w:lang w:val="fr-FR"/>
        </w:rPr>
        <w:t>o</w:t>
      </w:r>
      <w:r w:rsidR="00C122DE">
        <w:rPr>
          <w:lang w:val="fr-FR"/>
        </w:rPr>
        <w:t> </w:t>
      </w:r>
      <w:r w:rsidRPr="00B028AC">
        <w:rPr>
          <w:lang w:val="fr-FR"/>
        </w:rPr>
        <w:t>59/2016 (</w:t>
      </w:r>
      <w:r w:rsidRPr="00B028AC">
        <w:rPr>
          <w:i/>
          <w:lang w:val="fr-FR"/>
        </w:rPr>
        <w:t xml:space="preserve">Nuorgam et consorts </w:t>
      </w:r>
      <w:r w:rsidRPr="00C122DE">
        <w:rPr>
          <w:lang w:val="fr-FR"/>
        </w:rPr>
        <w:t>c.</w:t>
      </w:r>
      <w:r w:rsidRPr="00B028AC">
        <w:rPr>
          <w:i/>
          <w:lang w:val="fr-FR"/>
        </w:rPr>
        <w:t xml:space="preserve"> Finlande</w:t>
      </w:r>
      <w:r>
        <w:rPr>
          <w:lang w:val="fr-FR"/>
        </w:rPr>
        <w:t>)</w:t>
      </w:r>
      <w:r w:rsidRPr="001F5981">
        <w:rPr>
          <w:rStyle w:val="Appelnotedebasdep"/>
        </w:rPr>
        <w:footnoteReference w:id="9"/>
      </w:r>
      <w:r>
        <w:rPr>
          <w:lang w:val="fr-FR"/>
        </w:rPr>
        <w:t xml:space="preserve"> et l</w:t>
      </w:r>
      <w:r w:rsidR="009D7A41">
        <w:rPr>
          <w:lang w:val="fr-FR"/>
        </w:rPr>
        <w:t>’</w:t>
      </w:r>
      <w:r>
        <w:rPr>
          <w:lang w:val="fr-FR"/>
        </w:rPr>
        <w:t>a déclarée recevable.</w:t>
      </w:r>
    </w:p>
    <w:p w:rsidR="00E028AE" w:rsidRPr="00CF119E" w:rsidRDefault="00E028AE" w:rsidP="00CF119E">
      <w:pPr>
        <w:pStyle w:val="HChG"/>
        <w:rPr>
          <w:lang w:val="fr-FR"/>
        </w:rPr>
      </w:pPr>
      <w:r w:rsidRPr="006F1F71">
        <w:rPr>
          <w:lang w:val="fr-FR"/>
        </w:rPr>
        <w:br w:type="page"/>
      </w:r>
      <w:r>
        <w:rPr>
          <w:lang w:val="fr-FR"/>
        </w:rPr>
        <w:lastRenderedPageBreak/>
        <w:tab/>
        <w:t>IX.</w:t>
      </w:r>
      <w:r>
        <w:rPr>
          <w:lang w:val="fr-FR"/>
        </w:rPr>
        <w:tab/>
      </w:r>
      <w:bookmarkStart w:id="16" w:name="_Toc428794294"/>
      <w:bookmarkEnd w:id="16"/>
      <w:r w:rsidR="000B35D0">
        <w:rPr>
          <w:lang w:val="fr-FR"/>
        </w:rPr>
        <w:t>Suivi des communications individuelles</w:t>
      </w:r>
    </w:p>
    <w:p w:rsidR="00E028AE" w:rsidRPr="006F1F71" w:rsidRDefault="00E028AE" w:rsidP="00CF119E">
      <w:pPr>
        <w:pStyle w:val="SingleTxtG"/>
        <w:rPr>
          <w:lang w:val="fr-FR"/>
        </w:rPr>
      </w:pPr>
      <w:r>
        <w:rPr>
          <w:lang w:val="fr-FR"/>
        </w:rPr>
        <w:t>49.</w:t>
      </w:r>
      <w:r>
        <w:rPr>
          <w:lang w:val="fr-FR"/>
        </w:rPr>
        <w:tab/>
        <w:t>À sa soixante-septième session, à l</w:t>
      </w:r>
      <w:r w:rsidR="009D7A41">
        <w:rPr>
          <w:lang w:val="fr-FR"/>
        </w:rPr>
        <w:t>’</w:t>
      </w:r>
      <w:r>
        <w:rPr>
          <w:lang w:val="fr-FR"/>
        </w:rPr>
        <w:t>issue d</w:t>
      </w:r>
      <w:r w:rsidR="009D7A41">
        <w:rPr>
          <w:lang w:val="fr-FR"/>
        </w:rPr>
        <w:t>’</w:t>
      </w:r>
      <w:r>
        <w:rPr>
          <w:lang w:val="fr-FR"/>
        </w:rPr>
        <w:t>une discussion au sujet d</w:t>
      </w:r>
      <w:r w:rsidR="009D7A41">
        <w:rPr>
          <w:lang w:val="fr-FR"/>
        </w:rPr>
        <w:t>’</w:t>
      </w:r>
      <w:r>
        <w:rPr>
          <w:lang w:val="fr-FR"/>
        </w:rPr>
        <w:t>un document de travail établi par le secrétariat, le Comité a décidé de mettre en place une procédure de suivi des opinions et recommandations adoptées à la suite de l</w:t>
      </w:r>
      <w:r w:rsidR="009D7A41">
        <w:rPr>
          <w:lang w:val="fr-FR"/>
        </w:rPr>
        <w:t>’</w:t>
      </w:r>
      <w:r>
        <w:rPr>
          <w:lang w:val="fr-FR"/>
        </w:rPr>
        <w:t>examen des communications émanant de particuliers ou de groupes de particuliers</w:t>
      </w:r>
      <w:r w:rsidRPr="001F5981">
        <w:rPr>
          <w:rStyle w:val="Appelnotedebasdep"/>
          <w:lang w:val="fr-FR"/>
        </w:rPr>
        <w:footnoteReference w:id="10"/>
      </w:r>
      <w:r w:rsidR="00CF119E">
        <w:rPr>
          <w:lang w:val="fr-FR"/>
        </w:rPr>
        <w:t>.</w:t>
      </w:r>
    </w:p>
    <w:p w:rsidR="00E028AE" w:rsidRPr="006F1F71" w:rsidRDefault="00E028AE" w:rsidP="00CF119E">
      <w:pPr>
        <w:pStyle w:val="SingleTxtG"/>
        <w:rPr>
          <w:lang w:val="fr-FR"/>
        </w:rPr>
      </w:pPr>
      <w:r>
        <w:rPr>
          <w:lang w:val="fr-FR"/>
        </w:rPr>
        <w:t>50.</w:t>
      </w:r>
      <w:r>
        <w:rPr>
          <w:lang w:val="fr-FR"/>
        </w:rPr>
        <w:tab/>
        <w:t>À la même session, le Comité a décidé d</w:t>
      </w:r>
      <w:r w:rsidR="009D7A41">
        <w:rPr>
          <w:lang w:val="fr-FR"/>
        </w:rPr>
        <w:t>’</w:t>
      </w:r>
      <w:r>
        <w:rPr>
          <w:lang w:val="fr-FR"/>
        </w:rPr>
        <w:t>ajouter à son règlement intérieur deux paragraphes présentant cette procédure de façon détaillée</w:t>
      </w:r>
      <w:r w:rsidRPr="001F5981">
        <w:rPr>
          <w:rStyle w:val="Appelnotedebasdep"/>
          <w:lang w:val="fr-FR"/>
        </w:rPr>
        <w:footnoteReference w:id="11"/>
      </w:r>
      <w:r w:rsidR="00CF119E">
        <w:rPr>
          <w:lang w:val="fr-FR"/>
        </w:rPr>
        <w:t>.</w:t>
      </w:r>
      <w:r>
        <w:rPr>
          <w:lang w:val="fr-FR"/>
        </w:rPr>
        <w:t xml:space="preserve"> Le Rapporteur chargé du suivi des opinions présente régulièrement au Comité un rapport assorti de recommandations sur les mesures supplémentaires à prendre. Ces recommandations, qui sont annexées aux rapports annuels du Comité à l</w:t>
      </w:r>
      <w:r w:rsidR="009D7A41">
        <w:rPr>
          <w:lang w:val="fr-FR"/>
        </w:rPr>
        <w:t>’</w:t>
      </w:r>
      <w:r>
        <w:rPr>
          <w:lang w:val="fr-FR"/>
        </w:rPr>
        <w:t>Assemblée générale, portent sur les affaires dans lesquelles le Comité a constaté des violations de la Convention ou a formulé des suggestions ou recommandations (voir annexe).</w:t>
      </w:r>
    </w:p>
    <w:p w:rsidR="00E028AE" w:rsidRPr="006F1F71" w:rsidRDefault="00E028AE" w:rsidP="00CF119E">
      <w:pPr>
        <w:pStyle w:val="SingleTxtG"/>
        <w:rPr>
          <w:lang w:val="fr-FR"/>
        </w:rPr>
      </w:pPr>
      <w:r>
        <w:rPr>
          <w:lang w:val="fr-FR"/>
        </w:rPr>
        <w:t>51.</w:t>
      </w:r>
      <w:r>
        <w:rPr>
          <w:lang w:val="fr-FR"/>
        </w:rPr>
        <w:tab/>
        <w:t>Le tableau ci-dessous donne une vue d</w:t>
      </w:r>
      <w:r w:rsidR="009D7A41">
        <w:rPr>
          <w:lang w:val="fr-FR"/>
        </w:rPr>
        <w:t>’</w:t>
      </w:r>
      <w:r>
        <w:rPr>
          <w:lang w:val="fr-FR"/>
        </w:rPr>
        <w:t>ensemble des réponses reçues des États parties au sujet du suivi des opinions et recommandations. Dans la mesure du possible, il indique si les réponses sont ou ont été jugées satisfaisantes ou insatisfaisantes, ou si le dialogue entre l</w:t>
      </w:r>
      <w:r w:rsidR="009D7A41">
        <w:rPr>
          <w:lang w:val="fr-FR"/>
        </w:rPr>
        <w:t>’</w:t>
      </w:r>
      <w:r>
        <w:rPr>
          <w:lang w:val="fr-FR"/>
        </w:rPr>
        <w:t>État partie et le Rapporteur chargé du suivi des opinions se poursuit. En</w:t>
      </w:r>
      <w:r w:rsidR="00CF119E">
        <w:rPr>
          <w:lang w:val="fr-FR"/>
        </w:rPr>
        <w:t> </w:t>
      </w:r>
      <w:r>
        <w:rPr>
          <w:lang w:val="fr-FR"/>
        </w:rPr>
        <w:t>général, les réponses sont jugées satisfaisantes si elles montrent que l</w:t>
      </w:r>
      <w:r w:rsidR="009D7A41">
        <w:rPr>
          <w:lang w:val="fr-FR"/>
        </w:rPr>
        <w:t>’</w:t>
      </w:r>
      <w:r>
        <w:rPr>
          <w:lang w:val="fr-FR"/>
        </w:rPr>
        <w:t>État partie est désireux d</w:t>
      </w:r>
      <w:r w:rsidR="009D7A41">
        <w:rPr>
          <w:lang w:val="fr-FR"/>
        </w:rPr>
        <w:t>’</w:t>
      </w:r>
      <w:r>
        <w:rPr>
          <w:lang w:val="fr-FR"/>
        </w:rPr>
        <w:t>appliquer les recommandations du Comité ou d</w:t>
      </w:r>
      <w:r w:rsidR="009D7A41">
        <w:rPr>
          <w:lang w:val="fr-FR"/>
        </w:rPr>
        <w:t>’</w:t>
      </w:r>
      <w:r>
        <w:rPr>
          <w:lang w:val="fr-FR"/>
        </w:rPr>
        <w:t>offrir un recours approprié au plaignant. Les réponses qui ne tiennent pas compte des recommandations du Comité ou qui ne prennent en considération que certains aspects de celles-ci sont généralement considérées comme insatisfaisantes.</w:t>
      </w:r>
    </w:p>
    <w:p w:rsidR="00E028AE" w:rsidRPr="006F1F71" w:rsidRDefault="00E028AE" w:rsidP="00CF119E">
      <w:pPr>
        <w:pStyle w:val="SingleTxtG"/>
        <w:rPr>
          <w:lang w:val="fr-FR"/>
        </w:rPr>
      </w:pPr>
      <w:r>
        <w:rPr>
          <w:lang w:val="fr-FR"/>
        </w:rPr>
        <w:t>52.</w:t>
      </w:r>
      <w:r>
        <w:rPr>
          <w:lang w:val="fr-FR"/>
        </w:rPr>
        <w:tab/>
        <w:t>Au moment de l</w:t>
      </w:r>
      <w:r w:rsidR="009D7A41">
        <w:rPr>
          <w:lang w:val="fr-FR"/>
        </w:rPr>
        <w:t>’</w:t>
      </w:r>
      <w:r>
        <w:rPr>
          <w:lang w:val="fr-FR"/>
        </w:rPr>
        <w:t>adoption du présent rapport, le Comité avait adopté des opinions finales sur le fond concernant 35</w:t>
      </w:r>
      <w:r w:rsidR="00CF119E">
        <w:rPr>
          <w:lang w:val="fr-FR"/>
        </w:rPr>
        <w:t> </w:t>
      </w:r>
      <w:r>
        <w:rPr>
          <w:lang w:val="fr-FR"/>
        </w:rPr>
        <w:t>plaintes et constaté des violations pour 19 d</w:t>
      </w:r>
      <w:r w:rsidR="009D7A41">
        <w:rPr>
          <w:lang w:val="fr-FR"/>
        </w:rPr>
        <w:t>’</w:t>
      </w:r>
      <w:r>
        <w:rPr>
          <w:lang w:val="fr-FR"/>
        </w:rPr>
        <w:t>entre elles. Dans 10</w:t>
      </w:r>
      <w:r w:rsidR="00CF119E">
        <w:rPr>
          <w:lang w:val="fr-FR"/>
        </w:rPr>
        <w:t> </w:t>
      </w:r>
      <w:r>
        <w:rPr>
          <w:lang w:val="fr-FR"/>
        </w:rPr>
        <w:t>affaires, le Comité avait formulé des suggestions ou des recommandations sans constater toutefois de violation de la Convention.</w:t>
      </w:r>
      <w:r>
        <w:rPr>
          <w:lang w:val="fr-FR"/>
        </w:rPr>
        <w:tab/>
      </w:r>
    </w:p>
    <w:p w:rsidR="0024098B" w:rsidRDefault="0024098B" w:rsidP="00E028AE">
      <w:pPr>
        <w:pStyle w:val="H1G"/>
        <w:rPr>
          <w:lang w:val="fr-FR"/>
        </w:rPr>
      </w:pPr>
    </w:p>
    <w:p w:rsidR="00E43FA1" w:rsidRDefault="00E43FA1" w:rsidP="001A1E09">
      <w:pPr>
        <w:pStyle w:val="SingleTxtG"/>
        <w:rPr>
          <w:lang w:val="fr-FR"/>
        </w:rPr>
        <w:sectPr w:rsidR="00E43FA1" w:rsidSect="00D040D5">
          <w:headerReference w:type="default" r:id="rId64"/>
          <w:footerReference w:type="default" r:id="rId65"/>
          <w:endnotePr>
            <w:numFmt w:val="decimal"/>
          </w:endnotePr>
          <w:type w:val="oddPage"/>
          <w:pgSz w:w="11907" w:h="16840" w:code="9"/>
          <w:pgMar w:top="1417" w:right="1134" w:bottom="1134" w:left="1134" w:header="850" w:footer="567" w:gutter="0"/>
          <w:pgNumType w:start="1"/>
          <w:cols w:space="720"/>
          <w:docGrid w:linePitch="272"/>
        </w:sectPr>
      </w:pPr>
    </w:p>
    <w:p w:rsidR="00E028AE" w:rsidRPr="00895A10" w:rsidRDefault="00E028AE" w:rsidP="00895A10">
      <w:pPr>
        <w:pStyle w:val="Titre1"/>
        <w:spacing w:after="120"/>
        <w:ind w:left="284"/>
        <w:rPr>
          <w:b/>
          <w:lang w:val="fr-FR"/>
        </w:rPr>
      </w:pPr>
      <w:r w:rsidRPr="00895A10">
        <w:rPr>
          <w:b/>
          <w:lang w:val="fr-FR"/>
        </w:rPr>
        <w:lastRenderedPageBreak/>
        <w:t xml:space="preserve">Renseignements reçus à ce jour sur la suite donnée à toutes les affaires de violation de la Convention </w:t>
      </w:r>
      <w:r w:rsidR="00133940">
        <w:rPr>
          <w:b/>
          <w:lang w:val="fr-FR"/>
        </w:rPr>
        <w:br/>
      </w:r>
      <w:r w:rsidRPr="00895A10">
        <w:rPr>
          <w:b/>
          <w:lang w:val="fr-FR"/>
        </w:rPr>
        <w:t>où le Comité a formulé des suggestions ou des recommandations</w:t>
      </w:r>
    </w:p>
    <w:tbl>
      <w:tblPr>
        <w:tblW w:w="13774" w:type="dxa"/>
        <w:tblInd w:w="283" w:type="dxa"/>
        <w:tblLayout w:type="fixed"/>
        <w:tblCellMar>
          <w:left w:w="0" w:type="dxa"/>
          <w:right w:w="0" w:type="dxa"/>
        </w:tblCellMar>
        <w:tblLook w:val="01E0" w:firstRow="1" w:lastRow="1" w:firstColumn="1" w:lastColumn="1" w:noHBand="0" w:noVBand="0"/>
      </w:tblPr>
      <w:tblGrid>
        <w:gridCol w:w="2234"/>
        <w:gridCol w:w="3628"/>
        <w:gridCol w:w="2344"/>
        <w:gridCol w:w="1433"/>
        <w:gridCol w:w="1467"/>
        <w:gridCol w:w="1279"/>
        <w:gridCol w:w="1389"/>
      </w:tblGrid>
      <w:tr w:rsidR="00DF7535" w:rsidRPr="00DF7535" w:rsidTr="00E77796">
        <w:trPr>
          <w:cantSplit/>
          <w:tblHeader/>
        </w:trPr>
        <w:tc>
          <w:tcPr>
            <w:tcW w:w="2234" w:type="dxa"/>
            <w:tcBorders>
              <w:top w:val="single" w:sz="4" w:space="0" w:color="auto"/>
              <w:bottom w:val="single" w:sz="12" w:space="0" w:color="auto"/>
            </w:tcBorders>
            <w:shd w:val="clear" w:color="auto" w:fill="auto"/>
            <w:tcMar>
              <w:right w:w="113" w:type="dxa"/>
            </w:tcMar>
            <w:vAlign w:val="bottom"/>
          </w:tcPr>
          <w:p w:rsidR="00E028AE" w:rsidRPr="00DF7535" w:rsidRDefault="00E028AE" w:rsidP="00133940">
            <w:pPr>
              <w:suppressAutoHyphens w:val="0"/>
              <w:spacing w:before="80" w:after="80" w:line="200" w:lineRule="exact"/>
              <w:ind w:right="113"/>
              <w:rPr>
                <w:i/>
                <w:sz w:val="16"/>
                <w:lang w:val="fr-FR"/>
              </w:rPr>
            </w:pPr>
            <w:r w:rsidRPr="00DF7535">
              <w:rPr>
                <w:i/>
                <w:sz w:val="16"/>
                <w:lang w:val="fr-FR"/>
              </w:rPr>
              <w:t>État partie et nombre</w:t>
            </w:r>
            <w:r w:rsidR="00D725DA" w:rsidRPr="00DF7535">
              <w:rPr>
                <w:i/>
                <w:sz w:val="16"/>
                <w:lang w:val="fr-FR"/>
              </w:rPr>
              <w:t xml:space="preserve"> </w:t>
            </w:r>
            <w:r w:rsidR="00133940" w:rsidRPr="00DF7535">
              <w:rPr>
                <w:i/>
                <w:sz w:val="16"/>
                <w:lang w:val="fr-FR"/>
              </w:rPr>
              <w:br/>
            </w:r>
            <w:r w:rsidRPr="00DF7535">
              <w:rPr>
                <w:i/>
                <w:sz w:val="16"/>
                <w:lang w:val="fr-FR"/>
              </w:rPr>
              <w:t>de violations</w:t>
            </w:r>
          </w:p>
        </w:tc>
        <w:tc>
          <w:tcPr>
            <w:tcW w:w="3628" w:type="dxa"/>
            <w:tcBorders>
              <w:top w:val="single" w:sz="4" w:space="0" w:color="auto"/>
              <w:bottom w:val="single" w:sz="12" w:space="0" w:color="auto"/>
            </w:tcBorders>
            <w:shd w:val="clear" w:color="auto" w:fill="auto"/>
            <w:tcMar>
              <w:right w:w="113" w:type="dxa"/>
            </w:tcMar>
            <w:vAlign w:val="bottom"/>
          </w:tcPr>
          <w:p w:rsidR="00E028AE" w:rsidRPr="00DF7535" w:rsidRDefault="00E028AE" w:rsidP="00133940">
            <w:pPr>
              <w:suppressAutoHyphens w:val="0"/>
              <w:spacing w:before="80" w:after="80" w:line="200" w:lineRule="exact"/>
              <w:ind w:right="113"/>
              <w:rPr>
                <w:i/>
                <w:sz w:val="16"/>
                <w:lang w:val="fr-FR"/>
              </w:rPr>
            </w:pPr>
            <w:r w:rsidRPr="00DF7535">
              <w:rPr>
                <w:i/>
                <w:sz w:val="16"/>
                <w:lang w:val="fr-FR"/>
              </w:rPr>
              <w:t xml:space="preserve">Numéro et auteur de la communication </w:t>
            </w:r>
          </w:p>
        </w:tc>
        <w:tc>
          <w:tcPr>
            <w:tcW w:w="2344" w:type="dxa"/>
            <w:tcBorders>
              <w:top w:val="single" w:sz="4" w:space="0" w:color="auto"/>
              <w:bottom w:val="single" w:sz="12" w:space="0" w:color="auto"/>
            </w:tcBorders>
            <w:shd w:val="clear" w:color="auto" w:fill="auto"/>
            <w:tcMar>
              <w:right w:w="113" w:type="dxa"/>
            </w:tcMar>
            <w:vAlign w:val="bottom"/>
          </w:tcPr>
          <w:p w:rsidR="00E028AE" w:rsidRPr="00DF7535" w:rsidRDefault="00E028AE" w:rsidP="00133940">
            <w:pPr>
              <w:suppressAutoHyphens w:val="0"/>
              <w:spacing w:before="80" w:after="80" w:line="200" w:lineRule="exact"/>
              <w:ind w:right="113"/>
              <w:rPr>
                <w:i/>
                <w:sz w:val="16"/>
                <w:lang w:val="fr-FR"/>
              </w:rPr>
            </w:pPr>
            <w:r w:rsidRPr="00DF7535">
              <w:rPr>
                <w:i/>
                <w:sz w:val="16"/>
                <w:lang w:val="fr-FR"/>
              </w:rPr>
              <w:t>Réponse de l</w:t>
            </w:r>
            <w:r w:rsidR="009D7A41" w:rsidRPr="00DF7535">
              <w:rPr>
                <w:i/>
                <w:sz w:val="16"/>
                <w:lang w:val="fr-FR"/>
              </w:rPr>
              <w:t>’</w:t>
            </w:r>
            <w:r w:rsidRPr="00DF7535">
              <w:rPr>
                <w:i/>
                <w:sz w:val="16"/>
                <w:lang w:val="fr-FR"/>
              </w:rPr>
              <w:t>État partie concernant la suite donnée</w:t>
            </w:r>
          </w:p>
        </w:tc>
        <w:tc>
          <w:tcPr>
            <w:tcW w:w="1433" w:type="dxa"/>
            <w:tcBorders>
              <w:top w:val="single" w:sz="4" w:space="0" w:color="auto"/>
              <w:bottom w:val="single" w:sz="12" w:space="0" w:color="auto"/>
            </w:tcBorders>
            <w:shd w:val="clear" w:color="auto" w:fill="auto"/>
            <w:tcMar>
              <w:right w:w="113" w:type="dxa"/>
            </w:tcMar>
            <w:vAlign w:val="bottom"/>
          </w:tcPr>
          <w:p w:rsidR="00E028AE" w:rsidRPr="00DF7535" w:rsidRDefault="00E028AE" w:rsidP="00133940">
            <w:pPr>
              <w:suppressAutoHyphens w:val="0"/>
              <w:spacing w:before="80" w:after="80" w:line="200" w:lineRule="exact"/>
              <w:ind w:right="113"/>
              <w:rPr>
                <w:i/>
                <w:sz w:val="16"/>
              </w:rPr>
            </w:pPr>
            <w:r w:rsidRPr="00DF7535">
              <w:rPr>
                <w:i/>
                <w:sz w:val="16"/>
                <w:lang w:val="fr-FR"/>
              </w:rPr>
              <w:t>Réponse insatisfaisante</w:t>
            </w:r>
          </w:p>
        </w:tc>
        <w:tc>
          <w:tcPr>
            <w:tcW w:w="1467" w:type="dxa"/>
            <w:tcBorders>
              <w:top w:val="single" w:sz="4" w:space="0" w:color="auto"/>
              <w:bottom w:val="single" w:sz="12" w:space="0" w:color="auto"/>
            </w:tcBorders>
            <w:shd w:val="clear" w:color="auto" w:fill="auto"/>
            <w:tcMar>
              <w:right w:w="113" w:type="dxa"/>
            </w:tcMar>
            <w:vAlign w:val="bottom"/>
          </w:tcPr>
          <w:p w:rsidR="00E028AE" w:rsidRPr="00DF7535" w:rsidRDefault="00E028AE" w:rsidP="00133940">
            <w:pPr>
              <w:suppressAutoHyphens w:val="0"/>
              <w:spacing w:before="80" w:after="80" w:line="200" w:lineRule="exact"/>
              <w:ind w:right="113"/>
              <w:rPr>
                <w:i/>
                <w:sz w:val="16"/>
              </w:rPr>
            </w:pPr>
            <w:r w:rsidRPr="00DF7535">
              <w:rPr>
                <w:i/>
                <w:sz w:val="16"/>
                <w:lang w:val="fr-FR"/>
              </w:rPr>
              <w:t>Réponse insatisfaisante ou</w:t>
            </w:r>
            <w:r w:rsidR="009413AF">
              <w:rPr>
                <w:i/>
                <w:sz w:val="16"/>
                <w:lang w:val="fr-FR"/>
              </w:rPr>
              <w:t> </w:t>
            </w:r>
            <w:r w:rsidRPr="00DF7535">
              <w:rPr>
                <w:i/>
                <w:sz w:val="16"/>
                <w:lang w:val="fr-FR"/>
              </w:rPr>
              <w:t xml:space="preserve"> incomplète</w:t>
            </w:r>
          </w:p>
        </w:tc>
        <w:tc>
          <w:tcPr>
            <w:tcW w:w="1279" w:type="dxa"/>
            <w:tcBorders>
              <w:top w:val="single" w:sz="4" w:space="0" w:color="auto"/>
              <w:bottom w:val="single" w:sz="12" w:space="0" w:color="auto"/>
            </w:tcBorders>
            <w:shd w:val="clear" w:color="auto" w:fill="auto"/>
            <w:tcMar>
              <w:right w:w="113" w:type="dxa"/>
            </w:tcMar>
            <w:vAlign w:val="bottom"/>
          </w:tcPr>
          <w:p w:rsidR="00E028AE" w:rsidRPr="00DF7535" w:rsidRDefault="00E028AE" w:rsidP="00133940">
            <w:pPr>
              <w:suppressAutoHyphens w:val="0"/>
              <w:spacing w:before="80" w:after="80" w:line="200" w:lineRule="exact"/>
              <w:ind w:right="113"/>
              <w:rPr>
                <w:i/>
                <w:sz w:val="16"/>
                <w:lang w:val="fr-FR"/>
              </w:rPr>
            </w:pPr>
            <w:r w:rsidRPr="00DF7535">
              <w:rPr>
                <w:i/>
                <w:sz w:val="16"/>
                <w:lang w:val="fr-FR"/>
              </w:rPr>
              <w:t>Pas de réponse sur le suivi</w:t>
            </w:r>
          </w:p>
        </w:tc>
        <w:tc>
          <w:tcPr>
            <w:tcW w:w="1389" w:type="dxa"/>
            <w:tcBorders>
              <w:top w:val="single" w:sz="4" w:space="0" w:color="auto"/>
              <w:bottom w:val="single" w:sz="12" w:space="0" w:color="auto"/>
            </w:tcBorders>
            <w:shd w:val="clear" w:color="auto" w:fill="auto"/>
            <w:tcMar>
              <w:right w:w="113" w:type="dxa"/>
            </w:tcMar>
            <w:vAlign w:val="bottom"/>
          </w:tcPr>
          <w:p w:rsidR="00E028AE" w:rsidRPr="00DF7535" w:rsidRDefault="00E028AE" w:rsidP="009413AF">
            <w:pPr>
              <w:suppressAutoHyphens w:val="0"/>
              <w:spacing w:before="80" w:after="80" w:line="200" w:lineRule="exact"/>
              <w:ind w:right="113"/>
              <w:rPr>
                <w:i/>
                <w:sz w:val="16"/>
              </w:rPr>
            </w:pPr>
            <w:r w:rsidRPr="00DF7535">
              <w:rPr>
                <w:i/>
                <w:sz w:val="16"/>
                <w:lang w:val="fr-FR"/>
              </w:rPr>
              <w:t>Dialogue en</w:t>
            </w:r>
            <w:r w:rsidR="009413AF">
              <w:rPr>
                <w:i/>
                <w:sz w:val="16"/>
                <w:lang w:val="fr-FR"/>
              </w:rPr>
              <w:t> </w:t>
            </w:r>
            <w:r w:rsidRPr="00DF7535">
              <w:rPr>
                <w:i/>
                <w:sz w:val="16"/>
                <w:lang w:val="fr-FR"/>
              </w:rPr>
              <w:t>cours</w:t>
            </w:r>
          </w:p>
        </w:tc>
      </w:tr>
      <w:tr w:rsidR="00E77796" w:rsidRPr="00DF7535" w:rsidTr="00E77796">
        <w:trPr>
          <w:cantSplit/>
          <w:trHeight w:hRule="exact" w:val="113"/>
          <w:tblHeader/>
        </w:trPr>
        <w:tc>
          <w:tcPr>
            <w:tcW w:w="2234" w:type="dxa"/>
            <w:tcBorders>
              <w:top w:val="single" w:sz="12" w:space="0" w:color="auto"/>
            </w:tcBorders>
            <w:shd w:val="clear" w:color="auto" w:fill="auto"/>
            <w:tcMar>
              <w:right w:w="113" w:type="dxa"/>
            </w:tcMar>
          </w:tcPr>
          <w:p w:rsidR="00133940" w:rsidRPr="00DF7535" w:rsidRDefault="00133940" w:rsidP="00133940">
            <w:pPr>
              <w:suppressAutoHyphens w:val="0"/>
              <w:spacing w:before="40" w:after="120"/>
              <w:ind w:right="113"/>
              <w:rPr>
                <w:lang w:val="fr-FR"/>
              </w:rPr>
            </w:pPr>
          </w:p>
        </w:tc>
        <w:tc>
          <w:tcPr>
            <w:tcW w:w="3628" w:type="dxa"/>
            <w:tcBorders>
              <w:top w:val="single" w:sz="12" w:space="0" w:color="auto"/>
            </w:tcBorders>
            <w:shd w:val="clear" w:color="auto" w:fill="auto"/>
            <w:tcMar>
              <w:right w:w="113" w:type="dxa"/>
            </w:tcMar>
          </w:tcPr>
          <w:p w:rsidR="00133940" w:rsidRPr="00DF7535" w:rsidRDefault="00133940" w:rsidP="00133940">
            <w:pPr>
              <w:suppressAutoHyphens w:val="0"/>
              <w:spacing w:before="40" w:after="120"/>
              <w:ind w:right="113"/>
              <w:rPr>
                <w:lang w:val="fr-FR"/>
              </w:rPr>
            </w:pPr>
          </w:p>
        </w:tc>
        <w:tc>
          <w:tcPr>
            <w:tcW w:w="2344" w:type="dxa"/>
            <w:tcBorders>
              <w:top w:val="single" w:sz="12" w:space="0" w:color="auto"/>
            </w:tcBorders>
            <w:shd w:val="clear" w:color="auto" w:fill="auto"/>
            <w:tcMar>
              <w:right w:w="113" w:type="dxa"/>
            </w:tcMar>
          </w:tcPr>
          <w:p w:rsidR="00133940" w:rsidRPr="00DF7535" w:rsidRDefault="00133940" w:rsidP="00133940">
            <w:pPr>
              <w:suppressAutoHyphens w:val="0"/>
              <w:spacing w:before="40" w:after="120"/>
              <w:ind w:right="113"/>
              <w:rPr>
                <w:lang w:val="fr-FR"/>
              </w:rPr>
            </w:pPr>
          </w:p>
        </w:tc>
        <w:tc>
          <w:tcPr>
            <w:tcW w:w="1433" w:type="dxa"/>
            <w:tcBorders>
              <w:top w:val="single" w:sz="12" w:space="0" w:color="auto"/>
            </w:tcBorders>
            <w:shd w:val="clear" w:color="auto" w:fill="auto"/>
            <w:tcMar>
              <w:right w:w="113" w:type="dxa"/>
            </w:tcMar>
          </w:tcPr>
          <w:p w:rsidR="00133940" w:rsidRPr="00DF7535" w:rsidRDefault="00133940" w:rsidP="00133940">
            <w:pPr>
              <w:suppressAutoHyphens w:val="0"/>
              <w:spacing w:before="40" w:after="120"/>
              <w:ind w:right="113"/>
              <w:rPr>
                <w:lang w:val="fr-FR"/>
              </w:rPr>
            </w:pPr>
          </w:p>
        </w:tc>
        <w:tc>
          <w:tcPr>
            <w:tcW w:w="1467" w:type="dxa"/>
            <w:tcBorders>
              <w:top w:val="single" w:sz="12" w:space="0" w:color="auto"/>
            </w:tcBorders>
            <w:shd w:val="clear" w:color="auto" w:fill="auto"/>
            <w:tcMar>
              <w:right w:w="113" w:type="dxa"/>
            </w:tcMar>
          </w:tcPr>
          <w:p w:rsidR="00133940" w:rsidRPr="00DF7535" w:rsidRDefault="00133940" w:rsidP="00133940">
            <w:pPr>
              <w:suppressAutoHyphens w:val="0"/>
              <w:spacing w:before="40" w:after="120"/>
              <w:ind w:right="113"/>
              <w:rPr>
                <w:lang w:val="fr-FR"/>
              </w:rPr>
            </w:pPr>
          </w:p>
        </w:tc>
        <w:tc>
          <w:tcPr>
            <w:tcW w:w="1279" w:type="dxa"/>
            <w:tcBorders>
              <w:top w:val="single" w:sz="12" w:space="0" w:color="auto"/>
            </w:tcBorders>
            <w:shd w:val="clear" w:color="auto" w:fill="auto"/>
            <w:tcMar>
              <w:right w:w="113" w:type="dxa"/>
            </w:tcMar>
          </w:tcPr>
          <w:p w:rsidR="00133940" w:rsidRPr="00DF7535" w:rsidRDefault="00133940" w:rsidP="00133940">
            <w:pPr>
              <w:suppressAutoHyphens w:val="0"/>
              <w:spacing w:before="40" w:after="120"/>
              <w:ind w:right="113"/>
              <w:rPr>
                <w:lang w:val="fr-FR"/>
              </w:rPr>
            </w:pPr>
          </w:p>
        </w:tc>
        <w:tc>
          <w:tcPr>
            <w:tcW w:w="1389" w:type="dxa"/>
            <w:tcBorders>
              <w:top w:val="single" w:sz="12" w:space="0" w:color="auto"/>
            </w:tcBorders>
            <w:shd w:val="clear" w:color="auto" w:fill="auto"/>
            <w:tcMar>
              <w:right w:w="113" w:type="dxa"/>
            </w:tcMar>
          </w:tcPr>
          <w:p w:rsidR="00133940" w:rsidRPr="00DF7535" w:rsidRDefault="00133940" w:rsidP="00133940">
            <w:pPr>
              <w:suppressAutoHyphens w:val="0"/>
              <w:spacing w:before="40" w:after="120"/>
              <w:ind w:right="113"/>
              <w:rPr>
                <w:lang w:val="fr-FR"/>
              </w:rPr>
            </w:pPr>
          </w:p>
        </w:tc>
      </w:tr>
      <w:tr w:rsidR="00E77796" w:rsidRPr="00DF7535" w:rsidTr="00E77796">
        <w:trPr>
          <w:cantSplit/>
        </w:trPr>
        <w:tc>
          <w:tcPr>
            <w:tcW w:w="2234" w:type="dxa"/>
            <w:shd w:val="clear" w:color="auto" w:fill="auto"/>
            <w:tcMar>
              <w:right w:w="113" w:type="dxa"/>
            </w:tcMar>
          </w:tcPr>
          <w:p w:rsidR="00895A10" w:rsidRPr="00DF7535" w:rsidRDefault="00895A10" w:rsidP="00133940">
            <w:pPr>
              <w:suppressAutoHyphens w:val="0"/>
              <w:spacing w:before="40" w:after="120"/>
              <w:ind w:right="113"/>
              <w:rPr>
                <w:szCs w:val="19"/>
              </w:rPr>
            </w:pPr>
            <w:r w:rsidRPr="00DF7535">
              <w:rPr>
                <w:lang w:val="fr-FR"/>
              </w:rPr>
              <w:t>Allemagne (1)</w:t>
            </w:r>
          </w:p>
        </w:tc>
        <w:tc>
          <w:tcPr>
            <w:tcW w:w="3628"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r w:rsidRPr="00DF7535">
              <w:rPr>
                <w:lang w:val="fr-FR"/>
              </w:rPr>
              <w:t>48/2010, Union turque de Berlin-Brandebourg</w:t>
            </w:r>
          </w:p>
        </w:tc>
        <w:tc>
          <w:tcPr>
            <w:tcW w:w="2344"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r w:rsidRPr="00DF7535">
              <w:rPr>
                <w:lang w:val="fr-FR"/>
              </w:rPr>
              <w:t>X (</w:t>
            </w:r>
            <w:hyperlink r:id="rId66" w:history="1">
              <w:r w:rsidRPr="00331FEB">
                <w:rPr>
                  <w:rStyle w:val="Lienhypertexte"/>
                  <w:lang w:val="fr-FR"/>
                </w:rPr>
                <w:t>A/70/18</w:t>
              </w:r>
            </w:hyperlink>
            <w:r w:rsidRPr="00DF7535">
              <w:rPr>
                <w:lang w:val="fr-FR"/>
              </w:rPr>
              <w:t>)</w:t>
            </w:r>
            <w:r w:rsidRPr="00DF7535">
              <w:rPr>
                <w:lang w:val="fr-FR"/>
              </w:rPr>
              <w:br/>
              <w:t>1</w:t>
            </w:r>
            <w:r w:rsidRPr="00DF7535">
              <w:rPr>
                <w:vertAlign w:val="superscript"/>
                <w:lang w:val="fr-FR"/>
              </w:rPr>
              <w:t>er</w:t>
            </w:r>
            <w:r w:rsidRPr="00DF7535">
              <w:rPr>
                <w:lang w:val="fr-FR"/>
              </w:rPr>
              <w:t xml:space="preserve"> juillet 2013</w:t>
            </w:r>
            <w:r w:rsidRPr="00DF7535">
              <w:rPr>
                <w:lang w:val="fr-FR"/>
              </w:rPr>
              <w:br/>
              <w:t>29 août 2013</w:t>
            </w:r>
            <w:r w:rsidRPr="00DF7535">
              <w:rPr>
                <w:lang w:val="fr-FR"/>
              </w:rPr>
              <w:br/>
              <w:t>17 septembre 2014</w:t>
            </w:r>
            <w:r w:rsidRPr="00DF7535">
              <w:rPr>
                <w:lang w:val="fr-FR"/>
              </w:rPr>
              <w:br/>
              <w:t>3 février 2015</w:t>
            </w:r>
          </w:p>
        </w:tc>
        <w:tc>
          <w:tcPr>
            <w:tcW w:w="1433"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c>
          <w:tcPr>
            <w:tcW w:w="1467"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c>
          <w:tcPr>
            <w:tcW w:w="1279"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c>
          <w:tcPr>
            <w:tcW w:w="1389"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r w:rsidRPr="00DF7535">
              <w:rPr>
                <w:lang w:val="fr-FR"/>
              </w:rPr>
              <w:t>X</w:t>
            </w:r>
          </w:p>
        </w:tc>
      </w:tr>
      <w:tr w:rsidR="0030411B" w:rsidRPr="00DF7535" w:rsidTr="00E77796">
        <w:trPr>
          <w:cantSplit/>
        </w:trPr>
        <w:tc>
          <w:tcPr>
            <w:tcW w:w="2234"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Danemark (6)</w:t>
            </w:r>
          </w:p>
        </w:tc>
        <w:tc>
          <w:tcPr>
            <w:tcW w:w="3628"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10/1997, Ziad Ben Ahmed Habassi</w:t>
            </w:r>
          </w:p>
        </w:tc>
        <w:tc>
          <w:tcPr>
            <w:tcW w:w="2344"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 (</w:t>
            </w:r>
            <w:hyperlink r:id="rId67" w:history="1">
              <w:r w:rsidRPr="00331FEB">
                <w:rPr>
                  <w:rStyle w:val="Lienhypertexte"/>
                  <w:lang w:val="fr-FR"/>
                </w:rPr>
                <w:t>A/61/18</w:t>
              </w:r>
            </w:hyperlink>
            <w:r w:rsidRPr="00DF7535">
              <w:rPr>
                <w:lang w:val="fr-FR"/>
              </w:rPr>
              <w:t>)</w:t>
            </w:r>
          </w:p>
        </w:tc>
        <w:tc>
          <w:tcPr>
            <w:tcW w:w="1433"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w:t>
            </w:r>
          </w:p>
        </w:tc>
        <w:tc>
          <w:tcPr>
            <w:tcW w:w="1467"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279"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389" w:type="dxa"/>
            <w:shd w:val="clear" w:color="auto" w:fill="auto"/>
            <w:tcMar>
              <w:right w:w="113" w:type="dxa"/>
            </w:tcMar>
          </w:tcPr>
          <w:p w:rsidR="00E028AE" w:rsidRPr="00DF7535" w:rsidRDefault="00E028AE" w:rsidP="00133940">
            <w:pPr>
              <w:suppressAutoHyphens w:val="0"/>
              <w:spacing w:before="40" w:after="120"/>
              <w:ind w:right="113"/>
              <w:rPr>
                <w:szCs w:val="19"/>
              </w:rPr>
            </w:pPr>
          </w:p>
        </w:tc>
      </w:tr>
      <w:tr w:rsidR="0030411B" w:rsidRPr="00DF7535" w:rsidTr="00E77796">
        <w:trPr>
          <w:cantSplit/>
        </w:trPr>
        <w:tc>
          <w:tcPr>
            <w:tcW w:w="2234"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3628"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16/1999, Kashif Ahmad</w:t>
            </w:r>
          </w:p>
        </w:tc>
        <w:tc>
          <w:tcPr>
            <w:tcW w:w="2344"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 (</w:t>
            </w:r>
            <w:hyperlink r:id="rId68" w:history="1">
              <w:r w:rsidRPr="00331FEB">
                <w:rPr>
                  <w:rStyle w:val="Lienhypertexte"/>
                  <w:lang w:val="fr-FR"/>
                </w:rPr>
                <w:t>A/61/18</w:t>
              </w:r>
            </w:hyperlink>
            <w:r w:rsidRPr="00DF7535">
              <w:rPr>
                <w:lang w:val="fr-FR"/>
              </w:rPr>
              <w:t>)</w:t>
            </w:r>
          </w:p>
        </w:tc>
        <w:tc>
          <w:tcPr>
            <w:tcW w:w="1433"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w:t>
            </w:r>
          </w:p>
        </w:tc>
        <w:tc>
          <w:tcPr>
            <w:tcW w:w="1467"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279"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389" w:type="dxa"/>
            <w:shd w:val="clear" w:color="auto" w:fill="auto"/>
            <w:tcMar>
              <w:right w:w="113" w:type="dxa"/>
            </w:tcMar>
          </w:tcPr>
          <w:p w:rsidR="00E028AE" w:rsidRPr="00DF7535" w:rsidRDefault="00E028AE" w:rsidP="00133940">
            <w:pPr>
              <w:suppressAutoHyphens w:val="0"/>
              <w:spacing w:before="40" w:after="120"/>
              <w:ind w:right="113"/>
              <w:rPr>
                <w:szCs w:val="19"/>
              </w:rPr>
            </w:pPr>
          </w:p>
        </w:tc>
      </w:tr>
      <w:tr w:rsidR="0030411B" w:rsidRPr="00DF7535" w:rsidTr="00E77796">
        <w:trPr>
          <w:cantSplit/>
        </w:trPr>
        <w:tc>
          <w:tcPr>
            <w:tcW w:w="2234"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3628"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34/2004, Hassan Gelle</w:t>
            </w:r>
          </w:p>
        </w:tc>
        <w:tc>
          <w:tcPr>
            <w:tcW w:w="2344"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 (</w:t>
            </w:r>
            <w:hyperlink r:id="rId69" w:history="1">
              <w:r w:rsidRPr="00331FEB">
                <w:rPr>
                  <w:rStyle w:val="Lienhypertexte"/>
                  <w:lang w:val="fr-FR"/>
                </w:rPr>
                <w:t>A/62/18</w:t>
              </w:r>
            </w:hyperlink>
            <w:r w:rsidRPr="00DF7535">
              <w:rPr>
                <w:lang w:val="fr-FR"/>
              </w:rPr>
              <w:t>)</w:t>
            </w:r>
          </w:p>
        </w:tc>
        <w:tc>
          <w:tcPr>
            <w:tcW w:w="1433"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w:t>
            </w:r>
          </w:p>
        </w:tc>
        <w:tc>
          <w:tcPr>
            <w:tcW w:w="1467"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279"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389" w:type="dxa"/>
            <w:shd w:val="clear" w:color="auto" w:fill="auto"/>
            <w:tcMar>
              <w:right w:w="113" w:type="dxa"/>
            </w:tcMar>
          </w:tcPr>
          <w:p w:rsidR="00E028AE" w:rsidRPr="00DF7535" w:rsidRDefault="00E028AE" w:rsidP="00133940">
            <w:pPr>
              <w:suppressAutoHyphens w:val="0"/>
              <w:spacing w:before="40" w:after="120"/>
              <w:ind w:right="113"/>
              <w:rPr>
                <w:szCs w:val="19"/>
              </w:rPr>
            </w:pPr>
          </w:p>
        </w:tc>
      </w:tr>
      <w:tr w:rsidR="0030411B" w:rsidRPr="00DF7535" w:rsidTr="00E77796">
        <w:trPr>
          <w:cantSplit/>
        </w:trPr>
        <w:tc>
          <w:tcPr>
            <w:tcW w:w="2234"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3628"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40/2007, Murat Er</w:t>
            </w:r>
          </w:p>
        </w:tc>
        <w:tc>
          <w:tcPr>
            <w:tcW w:w="2344"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 (</w:t>
            </w:r>
            <w:hyperlink r:id="rId70" w:history="1">
              <w:r w:rsidRPr="00331FEB">
                <w:rPr>
                  <w:rStyle w:val="Lienhypertexte"/>
                  <w:lang w:val="fr-FR"/>
                </w:rPr>
                <w:t>A/63/18</w:t>
              </w:r>
            </w:hyperlink>
            <w:r w:rsidRPr="00DF7535">
              <w:rPr>
                <w:lang w:val="fr-FR"/>
              </w:rPr>
              <w:t>)</w:t>
            </w:r>
          </w:p>
        </w:tc>
        <w:tc>
          <w:tcPr>
            <w:tcW w:w="1433"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467" w:type="dxa"/>
            <w:shd w:val="clear" w:color="auto" w:fill="auto"/>
            <w:tcMar>
              <w:right w:w="113" w:type="dxa"/>
            </w:tcMar>
          </w:tcPr>
          <w:p w:rsidR="00E028AE" w:rsidRPr="00DF7535" w:rsidRDefault="00DF7535" w:rsidP="004B5977">
            <w:pPr>
              <w:suppressAutoHyphens w:val="0"/>
              <w:spacing w:before="40" w:after="120"/>
              <w:ind w:right="113"/>
              <w:rPr>
                <w:szCs w:val="19"/>
              </w:rPr>
            </w:pPr>
            <w:r>
              <w:rPr>
                <w:lang w:val="fr-FR"/>
              </w:rPr>
              <w:t>X</w:t>
            </w:r>
            <w:r w:rsidR="004B5977">
              <w:rPr>
                <w:lang w:val="fr-FR"/>
              </w:rPr>
              <w:t xml:space="preserve"> </w:t>
            </w:r>
            <w:r w:rsidR="00E028AE" w:rsidRPr="00DF7535">
              <w:rPr>
                <w:lang w:val="fr-FR"/>
              </w:rPr>
              <w:t>Incomplète</w:t>
            </w:r>
          </w:p>
        </w:tc>
        <w:tc>
          <w:tcPr>
            <w:tcW w:w="1279"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389" w:type="dxa"/>
            <w:shd w:val="clear" w:color="auto" w:fill="auto"/>
            <w:tcMar>
              <w:right w:w="113" w:type="dxa"/>
            </w:tcMar>
          </w:tcPr>
          <w:p w:rsidR="00E028AE" w:rsidRPr="00DF7535" w:rsidRDefault="00E028AE" w:rsidP="00133940">
            <w:pPr>
              <w:suppressAutoHyphens w:val="0"/>
              <w:spacing w:before="40" w:after="120"/>
              <w:ind w:right="113"/>
              <w:rPr>
                <w:szCs w:val="19"/>
              </w:rPr>
            </w:pPr>
          </w:p>
        </w:tc>
      </w:tr>
      <w:tr w:rsidR="0030411B" w:rsidRPr="00DF7535" w:rsidTr="00E77796">
        <w:trPr>
          <w:cantSplit/>
        </w:trPr>
        <w:tc>
          <w:tcPr>
            <w:tcW w:w="2234"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3628"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43/2008, Saada Mohamad Adan</w:t>
            </w:r>
          </w:p>
        </w:tc>
        <w:tc>
          <w:tcPr>
            <w:tcW w:w="2344" w:type="dxa"/>
            <w:shd w:val="clear" w:color="auto" w:fill="auto"/>
            <w:tcMar>
              <w:right w:w="113" w:type="dxa"/>
            </w:tcMar>
          </w:tcPr>
          <w:p w:rsidR="00E028AE" w:rsidRPr="00DF7535" w:rsidRDefault="00E028AE" w:rsidP="00133940">
            <w:pPr>
              <w:suppressAutoHyphens w:val="0"/>
              <w:spacing w:before="40" w:after="120"/>
              <w:ind w:right="113"/>
              <w:rPr>
                <w:szCs w:val="19"/>
                <w:lang w:val="fr-FR"/>
              </w:rPr>
            </w:pPr>
            <w:r w:rsidRPr="00DF7535">
              <w:rPr>
                <w:lang w:val="fr-FR"/>
              </w:rPr>
              <w:t>X (</w:t>
            </w:r>
            <w:hyperlink r:id="rId71" w:history="1">
              <w:r w:rsidRPr="009413AF">
                <w:rPr>
                  <w:rStyle w:val="Lienhypertexte"/>
                  <w:lang w:val="fr-FR"/>
                </w:rPr>
                <w:t>A/66/18</w:t>
              </w:r>
            </w:hyperlink>
            <w:r w:rsidRPr="00DF7535">
              <w:rPr>
                <w:lang w:val="fr-FR"/>
              </w:rPr>
              <w:t>)</w:t>
            </w:r>
            <w:r w:rsidRPr="00DF7535">
              <w:rPr>
                <w:lang w:val="fr-FR"/>
              </w:rPr>
              <w:br/>
              <w:t>6 décembre 2010</w:t>
            </w:r>
            <w:r w:rsidRPr="00DF7535">
              <w:rPr>
                <w:lang w:val="fr-FR"/>
              </w:rPr>
              <w:br/>
              <w:t>28 juin 2011</w:t>
            </w:r>
          </w:p>
        </w:tc>
        <w:tc>
          <w:tcPr>
            <w:tcW w:w="1433" w:type="dxa"/>
            <w:shd w:val="clear" w:color="auto" w:fill="auto"/>
            <w:tcMar>
              <w:right w:w="113" w:type="dxa"/>
            </w:tcMar>
          </w:tcPr>
          <w:p w:rsidR="00E028AE" w:rsidRPr="00DF7535" w:rsidRDefault="00E028AE" w:rsidP="00133940">
            <w:pPr>
              <w:suppressAutoHyphens w:val="0"/>
              <w:spacing w:before="40" w:after="120"/>
              <w:ind w:right="113"/>
              <w:rPr>
                <w:szCs w:val="19"/>
                <w:lang w:val="fr-FR"/>
              </w:rPr>
            </w:pPr>
            <w:r w:rsidRPr="00DF7535">
              <w:rPr>
                <w:lang w:val="fr-FR"/>
              </w:rPr>
              <w:t>X En partie satisfaisante</w:t>
            </w:r>
          </w:p>
        </w:tc>
        <w:tc>
          <w:tcPr>
            <w:tcW w:w="1467" w:type="dxa"/>
            <w:shd w:val="clear" w:color="auto" w:fill="auto"/>
            <w:tcMar>
              <w:right w:w="113" w:type="dxa"/>
            </w:tcMar>
          </w:tcPr>
          <w:p w:rsidR="00E028AE" w:rsidRPr="00DF7535" w:rsidRDefault="004B5977" w:rsidP="00133940">
            <w:pPr>
              <w:suppressAutoHyphens w:val="0"/>
              <w:spacing w:before="40" w:after="120"/>
              <w:ind w:right="113"/>
              <w:rPr>
                <w:szCs w:val="19"/>
                <w:lang w:val="fr-FR"/>
              </w:rPr>
            </w:pPr>
            <w:r>
              <w:rPr>
                <w:lang w:val="fr-FR"/>
              </w:rPr>
              <w:t xml:space="preserve">X </w:t>
            </w:r>
            <w:r w:rsidR="00E028AE" w:rsidRPr="00DF7535">
              <w:rPr>
                <w:lang w:val="fr-FR"/>
              </w:rPr>
              <w:t xml:space="preserve">En partie satisfaisante </w:t>
            </w:r>
          </w:p>
        </w:tc>
        <w:tc>
          <w:tcPr>
            <w:tcW w:w="1279" w:type="dxa"/>
            <w:shd w:val="clear" w:color="auto" w:fill="auto"/>
            <w:tcMar>
              <w:right w:w="113" w:type="dxa"/>
            </w:tcMar>
          </w:tcPr>
          <w:p w:rsidR="00E028AE" w:rsidRPr="00DF7535" w:rsidRDefault="00E028AE" w:rsidP="00133940">
            <w:pPr>
              <w:suppressAutoHyphens w:val="0"/>
              <w:spacing w:before="40" w:after="120"/>
              <w:ind w:right="113"/>
              <w:rPr>
                <w:szCs w:val="19"/>
                <w:lang w:val="fr-FR"/>
              </w:rPr>
            </w:pPr>
          </w:p>
        </w:tc>
        <w:tc>
          <w:tcPr>
            <w:tcW w:w="1389" w:type="dxa"/>
            <w:shd w:val="clear" w:color="auto" w:fill="auto"/>
            <w:tcMar>
              <w:right w:w="113" w:type="dxa"/>
            </w:tcMar>
          </w:tcPr>
          <w:p w:rsidR="00E028AE" w:rsidRPr="00DF7535" w:rsidRDefault="00E028AE" w:rsidP="00133940">
            <w:pPr>
              <w:suppressAutoHyphens w:val="0"/>
              <w:spacing w:before="40" w:after="120"/>
              <w:ind w:right="113"/>
              <w:rPr>
                <w:szCs w:val="19"/>
                <w:lang w:val="fr-FR"/>
              </w:rPr>
            </w:pPr>
          </w:p>
        </w:tc>
      </w:tr>
      <w:tr w:rsidR="0030411B" w:rsidRPr="00DF7535" w:rsidTr="00E77796">
        <w:trPr>
          <w:cantSplit/>
        </w:trPr>
        <w:tc>
          <w:tcPr>
            <w:tcW w:w="2234" w:type="dxa"/>
            <w:shd w:val="clear" w:color="auto" w:fill="auto"/>
            <w:tcMar>
              <w:right w:w="113" w:type="dxa"/>
            </w:tcMar>
          </w:tcPr>
          <w:p w:rsidR="00E028AE" w:rsidRPr="00DF7535" w:rsidDel="0064373B" w:rsidRDefault="00E028AE" w:rsidP="00133940">
            <w:pPr>
              <w:suppressAutoHyphens w:val="0"/>
              <w:spacing w:before="40" w:after="120"/>
              <w:ind w:right="113"/>
              <w:rPr>
                <w:szCs w:val="19"/>
                <w:lang w:val="fr-FR"/>
              </w:rPr>
            </w:pPr>
          </w:p>
        </w:tc>
        <w:tc>
          <w:tcPr>
            <w:tcW w:w="3628" w:type="dxa"/>
            <w:shd w:val="clear" w:color="auto" w:fill="auto"/>
            <w:tcMar>
              <w:right w:w="113" w:type="dxa"/>
            </w:tcMar>
          </w:tcPr>
          <w:p w:rsidR="00E028AE" w:rsidRPr="00DF7535" w:rsidDel="0064373B" w:rsidRDefault="00E028AE" w:rsidP="00133940">
            <w:pPr>
              <w:suppressAutoHyphens w:val="0"/>
              <w:spacing w:before="40" w:after="120"/>
              <w:ind w:right="113"/>
              <w:rPr>
                <w:szCs w:val="19"/>
                <w:lang w:val="en-US"/>
              </w:rPr>
            </w:pPr>
            <w:r w:rsidRPr="00DF7535">
              <w:rPr>
                <w:lang w:val="en-US"/>
              </w:rPr>
              <w:t>46/2009, Mahali Dawas et Yousef Shava</w:t>
            </w:r>
          </w:p>
        </w:tc>
        <w:tc>
          <w:tcPr>
            <w:tcW w:w="2344" w:type="dxa"/>
            <w:shd w:val="clear" w:color="auto" w:fill="auto"/>
            <w:tcMar>
              <w:right w:w="113" w:type="dxa"/>
            </w:tcMar>
          </w:tcPr>
          <w:p w:rsidR="00E028AE" w:rsidRPr="00DF7535" w:rsidDel="0064373B" w:rsidRDefault="00E028AE" w:rsidP="00133940">
            <w:pPr>
              <w:suppressAutoHyphens w:val="0"/>
              <w:spacing w:before="40" w:after="120"/>
              <w:ind w:right="113"/>
              <w:rPr>
                <w:szCs w:val="19"/>
                <w:lang w:val="fr-FR"/>
              </w:rPr>
            </w:pPr>
            <w:r w:rsidRPr="00DF7535">
              <w:rPr>
                <w:lang w:val="fr-FR"/>
              </w:rPr>
              <w:t>X (</w:t>
            </w:r>
            <w:hyperlink r:id="rId72" w:history="1">
              <w:r w:rsidRPr="009413AF">
                <w:rPr>
                  <w:rStyle w:val="Lienhypertexte"/>
                  <w:lang w:val="fr-FR"/>
                </w:rPr>
                <w:t>A/69/18</w:t>
              </w:r>
            </w:hyperlink>
            <w:r w:rsidRPr="00DF7535">
              <w:rPr>
                <w:lang w:val="fr-FR"/>
              </w:rPr>
              <w:t>)</w:t>
            </w:r>
            <w:r w:rsidRPr="00DF7535">
              <w:rPr>
                <w:lang w:val="fr-FR"/>
              </w:rPr>
              <w:br/>
              <w:t>18 juin 2012</w:t>
            </w:r>
            <w:r w:rsidRPr="00DF7535">
              <w:rPr>
                <w:lang w:val="fr-FR"/>
              </w:rPr>
              <w:br/>
              <w:t>29 août 2012</w:t>
            </w:r>
            <w:r w:rsidRPr="00DF7535">
              <w:rPr>
                <w:lang w:val="fr-FR"/>
              </w:rPr>
              <w:br/>
              <w:t>20 décembre 2013</w:t>
            </w:r>
            <w:r w:rsidRPr="00DF7535">
              <w:rPr>
                <w:lang w:val="fr-FR"/>
              </w:rPr>
              <w:br/>
              <w:t>19 décembre 2014</w:t>
            </w:r>
          </w:p>
        </w:tc>
        <w:tc>
          <w:tcPr>
            <w:tcW w:w="1433" w:type="dxa"/>
            <w:shd w:val="clear" w:color="auto" w:fill="auto"/>
            <w:tcMar>
              <w:right w:w="113" w:type="dxa"/>
            </w:tcMar>
          </w:tcPr>
          <w:p w:rsidR="00E028AE" w:rsidRPr="00DF7535" w:rsidDel="0064373B" w:rsidRDefault="00E028AE" w:rsidP="00133940">
            <w:pPr>
              <w:suppressAutoHyphens w:val="0"/>
              <w:spacing w:before="40" w:after="120"/>
              <w:ind w:right="113"/>
              <w:rPr>
                <w:szCs w:val="19"/>
                <w:lang w:val="fr-FR"/>
              </w:rPr>
            </w:pPr>
            <w:r w:rsidRPr="00DF7535">
              <w:rPr>
                <w:lang w:val="fr-FR"/>
              </w:rPr>
              <w:t>X En partie satisfaisante</w:t>
            </w:r>
          </w:p>
        </w:tc>
        <w:tc>
          <w:tcPr>
            <w:tcW w:w="1467" w:type="dxa"/>
            <w:shd w:val="clear" w:color="auto" w:fill="auto"/>
            <w:tcMar>
              <w:right w:w="113" w:type="dxa"/>
            </w:tcMar>
          </w:tcPr>
          <w:p w:rsidR="00E028AE" w:rsidRPr="00DF7535" w:rsidRDefault="00E028AE" w:rsidP="00133940">
            <w:pPr>
              <w:suppressAutoHyphens w:val="0"/>
              <w:spacing w:before="40" w:after="120"/>
              <w:ind w:right="113"/>
              <w:rPr>
                <w:szCs w:val="19"/>
                <w:lang w:val="fr-FR"/>
              </w:rPr>
            </w:pPr>
          </w:p>
        </w:tc>
        <w:tc>
          <w:tcPr>
            <w:tcW w:w="1279" w:type="dxa"/>
            <w:shd w:val="clear" w:color="auto" w:fill="auto"/>
            <w:tcMar>
              <w:right w:w="113" w:type="dxa"/>
            </w:tcMar>
          </w:tcPr>
          <w:p w:rsidR="00E028AE" w:rsidRPr="00DF7535" w:rsidRDefault="00E028AE" w:rsidP="00133940">
            <w:pPr>
              <w:suppressAutoHyphens w:val="0"/>
              <w:spacing w:before="40" w:after="120"/>
              <w:ind w:right="113"/>
              <w:rPr>
                <w:szCs w:val="19"/>
                <w:lang w:val="fr-FR"/>
              </w:rPr>
            </w:pPr>
          </w:p>
        </w:tc>
        <w:tc>
          <w:tcPr>
            <w:tcW w:w="1389" w:type="dxa"/>
            <w:shd w:val="clear" w:color="auto" w:fill="auto"/>
            <w:tcMar>
              <w:right w:w="113" w:type="dxa"/>
            </w:tcMar>
          </w:tcPr>
          <w:p w:rsidR="00E028AE" w:rsidRPr="00DF7535" w:rsidDel="0064373B" w:rsidRDefault="00E028AE" w:rsidP="00133940">
            <w:pPr>
              <w:suppressAutoHyphens w:val="0"/>
              <w:spacing w:before="40" w:after="120"/>
              <w:ind w:right="113"/>
              <w:rPr>
                <w:szCs w:val="19"/>
                <w:lang w:val="fr-FR"/>
              </w:rPr>
            </w:pPr>
            <w:r w:rsidRPr="00DF7535">
              <w:rPr>
                <w:lang w:val="fr-FR"/>
              </w:rPr>
              <w:t>X</w:t>
            </w:r>
          </w:p>
        </w:tc>
      </w:tr>
      <w:tr w:rsidR="0030411B" w:rsidRPr="00DF7535" w:rsidTr="00E77796">
        <w:trPr>
          <w:cantSplit/>
        </w:trPr>
        <w:tc>
          <w:tcPr>
            <w:tcW w:w="2234" w:type="dxa"/>
            <w:shd w:val="clear" w:color="auto" w:fill="auto"/>
            <w:tcMar>
              <w:right w:w="113" w:type="dxa"/>
            </w:tcMar>
          </w:tcPr>
          <w:p w:rsidR="00E028AE" w:rsidRPr="00DF7535" w:rsidRDefault="00E028AE" w:rsidP="00133940">
            <w:pPr>
              <w:suppressAutoHyphens w:val="0"/>
              <w:spacing w:before="40" w:after="120"/>
              <w:ind w:right="113"/>
              <w:rPr>
                <w:szCs w:val="19"/>
                <w:lang w:val="fr-FR"/>
              </w:rPr>
            </w:pPr>
            <w:r w:rsidRPr="00DF7535">
              <w:rPr>
                <w:lang w:val="fr-FR"/>
              </w:rPr>
              <w:t>France (1)</w:t>
            </w:r>
          </w:p>
        </w:tc>
        <w:tc>
          <w:tcPr>
            <w:tcW w:w="3628" w:type="dxa"/>
            <w:shd w:val="clear" w:color="auto" w:fill="auto"/>
            <w:tcMar>
              <w:right w:w="113" w:type="dxa"/>
            </w:tcMar>
          </w:tcPr>
          <w:p w:rsidR="00E028AE" w:rsidRPr="00DF7535" w:rsidRDefault="00E028AE" w:rsidP="00133940">
            <w:pPr>
              <w:suppressAutoHyphens w:val="0"/>
              <w:spacing w:before="40" w:after="120"/>
              <w:ind w:right="113"/>
              <w:rPr>
                <w:szCs w:val="19"/>
                <w:lang w:val="fr-FR"/>
              </w:rPr>
            </w:pPr>
            <w:r w:rsidRPr="00DF7535">
              <w:rPr>
                <w:lang w:val="fr-FR"/>
              </w:rPr>
              <w:t>52/2012, Laurent Gabre Gabaroum</w:t>
            </w:r>
          </w:p>
        </w:tc>
        <w:tc>
          <w:tcPr>
            <w:tcW w:w="2344"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23 novembre 2016</w:t>
            </w:r>
            <w:r w:rsidR="00133940" w:rsidRPr="00DF7535">
              <w:rPr>
                <w:lang w:val="fr-FR"/>
              </w:rPr>
              <w:br/>
            </w:r>
            <w:hyperlink r:id="rId73" w:history="1">
              <w:r w:rsidRPr="009413AF">
                <w:rPr>
                  <w:rStyle w:val="Lienhypertexte"/>
                </w:rPr>
                <w:t>A/72/18</w:t>
              </w:r>
            </w:hyperlink>
          </w:p>
        </w:tc>
        <w:tc>
          <w:tcPr>
            <w:tcW w:w="1433"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467"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 En partie satisfaisante</w:t>
            </w:r>
          </w:p>
        </w:tc>
        <w:tc>
          <w:tcPr>
            <w:tcW w:w="1279"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389"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w:t>
            </w:r>
          </w:p>
        </w:tc>
      </w:tr>
      <w:tr w:rsidR="0030411B" w:rsidRPr="00DF7535" w:rsidTr="00E77796">
        <w:trPr>
          <w:cantSplit/>
        </w:trPr>
        <w:tc>
          <w:tcPr>
            <w:tcW w:w="2234" w:type="dxa"/>
            <w:shd w:val="clear" w:color="auto" w:fill="auto"/>
            <w:tcMar>
              <w:right w:w="113" w:type="dxa"/>
            </w:tcMar>
          </w:tcPr>
          <w:p w:rsidR="00E028AE" w:rsidRPr="00DF7535" w:rsidRDefault="00E028AE" w:rsidP="00133940">
            <w:pPr>
              <w:suppressAutoHyphens w:val="0"/>
              <w:spacing w:before="40" w:after="120"/>
              <w:ind w:right="113"/>
              <w:rPr>
                <w:szCs w:val="19"/>
                <w:lang w:val="fr-FR"/>
              </w:rPr>
            </w:pPr>
            <w:r w:rsidRPr="00DF7535">
              <w:rPr>
                <w:lang w:val="fr-FR"/>
              </w:rPr>
              <w:t>Norvège (1)</w:t>
            </w:r>
          </w:p>
        </w:tc>
        <w:tc>
          <w:tcPr>
            <w:tcW w:w="3628"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30/2003, Communauté juive d</w:t>
            </w:r>
            <w:r w:rsidR="009D7A41" w:rsidRPr="00DF7535">
              <w:rPr>
                <w:lang w:val="fr-FR"/>
              </w:rPr>
              <w:t>’</w:t>
            </w:r>
            <w:r w:rsidRPr="00DF7535">
              <w:rPr>
                <w:lang w:val="fr-FR"/>
              </w:rPr>
              <w:t>Oslo</w:t>
            </w:r>
          </w:p>
        </w:tc>
        <w:tc>
          <w:tcPr>
            <w:tcW w:w="2344"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 (</w:t>
            </w:r>
            <w:hyperlink r:id="rId74" w:history="1">
              <w:r w:rsidRPr="009413AF">
                <w:rPr>
                  <w:rStyle w:val="Lienhypertexte"/>
                  <w:lang w:val="fr-FR"/>
                </w:rPr>
                <w:t>A/62/18</w:t>
              </w:r>
            </w:hyperlink>
            <w:r w:rsidRPr="00DF7535">
              <w:rPr>
                <w:lang w:val="fr-FR"/>
              </w:rPr>
              <w:t>)</w:t>
            </w:r>
          </w:p>
        </w:tc>
        <w:tc>
          <w:tcPr>
            <w:tcW w:w="1433"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467" w:type="dxa"/>
            <w:shd w:val="clear" w:color="auto" w:fill="auto"/>
            <w:tcMar>
              <w:right w:w="113" w:type="dxa"/>
            </w:tcMar>
          </w:tcPr>
          <w:p w:rsidR="00E028AE" w:rsidRPr="00DF7535" w:rsidRDefault="00E028AE" w:rsidP="00133940">
            <w:pPr>
              <w:suppressAutoHyphens w:val="0"/>
              <w:spacing w:before="40" w:after="120"/>
              <w:ind w:right="113"/>
              <w:rPr>
                <w:szCs w:val="19"/>
              </w:rPr>
            </w:pPr>
          </w:p>
        </w:tc>
        <w:tc>
          <w:tcPr>
            <w:tcW w:w="1279"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w:t>
            </w:r>
          </w:p>
        </w:tc>
        <w:tc>
          <w:tcPr>
            <w:tcW w:w="1389" w:type="dxa"/>
            <w:shd w:val="clear" w:color="auto" w:fill="auto"/>
            <w:tcMar>
              <w:right w:w="113" w:type="dxa"/>
            </w:tcMar>
          </w:tcPr>
          <w:p w:rsidR="00E028AE" w:rsidRPr="00DF7535" w:rsidRDefault="00E028AE" w:rsidP="00133940">
            <w:pPr>
              <w:suppressAutoHyphens w:val="0"/>
              <w:spacing w:before="40" w:after="120"/>
              <w:ind w:right="113"/>
              <w:rPr>
                <w:szCs w:val="19"/>
              </w:rPr>
            </w:pPr>
            <w:r w:rsidRPr="00DF7535">
              <w:rPr>
                <w:lang w:val="fr-FR"/>
              </w:rPr>
              <w:t>X</w:t>
            </w:r>
          </w:p>
        </w:tc>
      </w:tr>
      <w:tr w:rsidR="00E77796" w:rsidRPr="00DF7535" w:rsidTr="00E77796">
        <w:trPr>
          <w:cantSplit/>
        </w:trPr>
        <w:tc>
          <w:tcPr>
            <w:tcW w:w="2234"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r w:rsidRPr="00DF7535">
              <w:rPr>
                <w:lang w:val="fr-FR"/>
              </w:rPr>
              <w:t>Pays-Bas (2)</w:t>
            </w:r>
          </w:p>
        </w:tc>
        <w:tc>
          <w:tcPr>
            <w:tcW w:w="3628"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r w:rsidRPr="00DF7535">
              <w:rPr>
                <w:lang w:val="fr-FR"/>
              </w:rPr>
              <w:t>1/1984, A. Yilmaz-Dogan</w:t>
            </w:r>
          </w:p>
        </w:tc>
        <w:tc>
          <w:tcPr>
            <w:tcW w:w="2344"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c>
          <w:tcPr>
            <w:tcW w:w="1433"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c>
          <w:tcPr>
            <w:tcW w:w="1467"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c>
          <w:tcPr>
            <w:tcW w:w="1279"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r w:rsidRPr="00DF7535">
              <w:rPr>
                <w:lang w:val="fr-FR"/>
              </w:rPr>
              <w:t xml:space="preserve">X </w:t>
            </w:r>
          </w:p>
        </w:tc>
        <w:tc>
          <w:tcPr>
            <w:tcW w:w="1389"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r>
      <w:tr w:rsidR="00E77796" w:rsidRPr="00DF7535" w:rsidTr="00E77796">
        <w:trPr>
          <w:cantSplit/>
        </w:trPr>
        <w:tc>
          <w:tcPr>
            <w:tcW w:w="2234"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c>
          <w:tcPr>
            <w:tcW w:w="3628"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r w:rsidRPr="00DF7535">
              <w:rPr>
                <w:lang w:val="fr-FR"/>
              </w:rPr>
              <w:t>4/1991, L. K.</w:t>
            </w:r>
          </w:p>
        </w:tc>
        <w:tc>
          <w:tcPr>
            <w:tcW w:w="2344"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c>
          <w:tcPr>
            <w:tcW w:w="1433"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c>
          <w:tcPr>
            <w:tcW w:w="1467"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c>
          <w:tcPr>
            <w:tcW w:w="1279"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r w:rsidRPr="00DF7535">
              <w:rPr>
                <w:lang w:val="fr-FR"/>
              </w:rPr>
              <w:t xml:space="preserve">X </w:t>
            </w:r>
          </w:p>
        </w:tc>
        <w:tc>
          <w:tcPr>
            <w:tcW w:w="1389" w:type="dxa"/>
            <w:shd w:val="clear" w:color="auto" w:fill="auto"/>
            <w:tcMar>
              <w:right w:w="113" w:type="dxa"/>
            </w:tcMar>
          </w:tcPr>
          <w:p w:rsidR="00895A10" w:rsidRPr="00DF7535" w:rsidRDefault="00895A10" w:rsidP="00133940">
            <w:pPr>
              <w:suppressAutoHyphens w:val="0"/>
              <w:spacing w:before="40" w:after="120"/>
              <w:ind w:right="113"/>
              <w:rPr>
                <w:szCs w:val="19"/>
                <w:lang w:val="fr-FR"/>
              </w:rPr>
            </w:pPr>
          </w:p>
        </w:tc>
      </w:tr>
      <w:tr w:rsidR="0030411B" w:rsidRPr="00DF7535" w:rsidTr="00E77796">
        <w:trPr>
          <w:cantSplit/>
        </w:trPr>
        <w:tc>
          <w:tcPr>
            <w:tcW w:w="2234"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République de Corée (1)</w:t>
            </w:r>
          </w:p>
        </w:tc>
        <w:tc>
          <w:tcPr>
            <w:tcW w:w="3628"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51/2012, L. G.</w:t>
            </w:r>
          </w:p>
        </w:tc>
        <w:tc>
          <w:tcPr>
            <w:tcW w:w="2344"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9 décembre 2016 (</w:t>
            </w:r>
            <w:hyperlink r:id="rId75" w:history="1">
              <w:r w:rsidRPr="009413AF">
                <w:rPr>
                  <w:rStyle w:val="Lienhypertexte"/>
                  <w:lang w:val="fr-FR"/>
                </w:rPr>
                <w:t>A/71/18</w:t>
              </w:r>
            </w:hyperlink>
            <w:r w:rsidRPr="00DF7535">
              <w:rPr>
                <w:lang w:val="fr-FR"/>
              </w:rPr>
              <w:t>)</w:t>
            </w:r>
          </w:p>
        </w:tc>
        <w:tc>
          <w:tcPr>
            <w:tcW w:w="1433" w:type="dxa"/>
            <w:shd w:val="clear" w:color="auto" w:fill="auto"/>
            <w:tcMar>
              <w:right w:w="113" w:type="dxa"/>
            </w:tcMar>
          </w:tcPr>
          <w:p w:rsidR="00E028AE" w:rsidRPr="00DF7535" w:rsidRDefault="00E028AE" w:rsidP="00133940">
            <w:pPr>
              <w:suppressAutoHyphens w:val="0"/>
              <w:spacing w:before="40" w:after="120"/>
              <w:ind w:right="113"/>
            </w:pPr>
          </w:p>
        </w:tc>
        <w:tc>
          <w:tcPr>
            <w:tcW w:w="1467"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X En partie satisfaisante</w:t>
            </w:r>
          </w:p>
        </w:tc>
        <w:tc>
          <w:tcPr>
            <w:tcW w:w="1279" w:type="dxa"/>
            <w:shd w:val="clear" w:color="auto" w:fill="auto"/>
            <w:tcMar>
              <w:right w:w="113" w:type="dxa"/>
            </w:tcMar>
          </w:tcPr>
          <w:p w:rsidR="00E028AE" w:rsidRPr="00DF7535" w:rsidRDefault="00E028AE" w:rsidP="00133940">
            <w:pPr>
              <w:suppressAutoHyphens w:val="0"/>
              <w:spacing w:before="40" w:after="120"/>
              <w:ind w:right="113"/>
            </w:pPr>
          </w:p>
        </w:tc>
        <w:tc>
          <w:tcPr>
            <w:tcW w:w="1389"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X</w:t>
            </w:r>
          </w:p>
        </w:tc>
      </w:tr>
      <w:tr w:rsidR="0030411B" w:rsidRPr="00DF7535" w:rsidTr="00E77796">
        <w:trPr>
          <w:cantSplit/>
        </w:trPr>
        <w:tc>
          <w:tcPr>
            <w:tcW w:w="2234" w:type="dxa"/>
            <w:shd w:val="clear" w:color="auto" w:fill="auto"/>
            <w:tcMar>
              <w:right w:w="113" w:type="dxa"/>
            </w:tcMar>
          </w:tcPr>
          <w:p w:rsidR="00E028AE" w:rsidRPr="00DF7535" w:rsidRDefault="00E028AE" w:rsidP="00DF7535">
            <w:pPr>
              <w:suppressAutoHyphens w:val="0"/>
              <w:spacing w:before="40" w:after="120"/>
              <w:ind w:right="113"/>
            </w:pPr>
            <w:r w:rsidRPr="00DF7535">
              <w:rPr>
                <w:lang w:val="fr-FR"/>
              </w:rPr>
              <w:lastRenderedPageBreak/>
              <w:t>Rép</w:t>
            </w:r>
            <w:r w:rsidR="00DF7535" w:rsidRPr="00DF7535">
              <w:rPr>
                <w:lang w:val="fr-FR"/>
              </w:rPr>
              <w:t>.</w:t>
            </w:r>
            <w:r w:rsidRPr="00DF7535">
              <w:rPr>
                <w:lang w:val="fr-FR"/>
              </w:rPr>
              <w:t xml:space="preserve"> de Moldova (1)</w:t>
            </w:r>
          </w:p>
        </w:tc>
        <w:tc>
          <w:tcPr>
            <w:tcW w:w="3628"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57/2015, Salifou Belemvire</w:t>
            </w:r>
          </w:p>
        </w:tc>
        <w:tc>
          <w:tcPr>
            <w:tcW w:w="2344"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27 mars 2018</w:t>
            </w:r>
          </w:p>
        </w:tc>
        <w:tc>
          <w:tcPr>
            <w:tcW w:w="1433" w:type="dxa"/>
            <w:shd w:val="clear" w:color="auto" w:fill="auto"/>
            <w:tcMar>
              <w:right w:w="113" w:type="dxa"/>
            </w:tcMar>
          </w:tcPr>
          <w:p w:rsidR="00E028AE" w:rsidRPr="00DF7535" w:rsidRDefault="00E028AE" w:rsidP="00133940">
            <w:pPr>
              <w:suppressAutoHyphens w:val="0"/>
              <w:spacing w:before="40" w:after="120"/>
              <w:ind w:right="113"/>
            </w:pPr>
          </w:p>
        </w:tc>
        <w:tc>
          <w:tcPr>
            <w:tcW w:w="1467"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X En partie satisfaisante</w:t>
            </w:r>
          </w:p>
        </w:tc>
        <w:tc>
          <w:tcPr>
            <w:tcW w:w="1279" w:type="dxa"/>
            <w:shd w:val="clear" w:color="auto" w:fill="auto"/>
            <w:tcMar>
              <w:right w:w="113" w:type="dxa"/>
            </w:tcMar>
          </w:tcPr>
          <w:p w:rsidR="00E028AE" w:rsidRPr="00DF7535" w:rsidRDefault="00E028AE" w:rsidP="00133940">
            <w:pPr>
              <w:suppressAutoHyphens w:val="0"/>
              <w:spacing w:before="40" w:after="120"/>
              <w:ind w:right="113"/>
            </w:pPr>
          </w:p>
        </w:tc>
        <w:tc>
          <w:tcPr>
            <w:tcW w:w="1389"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X</w:t>
            </w:r>
          </w:p>
        </w:tc>
      </w:tr>
      <w:tr w:rsidR="0030411B" w:rsidRPr="00DF7535" w:rsidTr="00E77796">
        <w:trPr>
          <w:cantSplit/>
        </w:trPr>
        <w:tc>
          <w:tcPr>
            <w:tcW w:w="2234" w:type="dxa"/>
            <w:shd w:val="clear" w:color="auto" w:fill="auto"/>
            <w:tcMar>
              <w:right w:w="113" w:type="dxa"/>
            </w:tcMar>
          </w:tcPr>
          <w:p w:rsidR="00E028AE" w:rsidRPr="00DF7535" w:rsidRDefault="0030411B" w:rsidP="00E77796">
            <w:pPr>
              <w:suppressAutoHyphens w:val="0"/>
              <w:spacing w:before="40" w:after="120"/>
            </w:pPr>
            <w:r>
              <w:rPr>
                <w:lang w:val="fr-FR"/>
              </w:rPr>
              <w:t>Serbie-et-</w:t>
            </w:r>
            <w:r w:rsidR="00E77796">
              <w:rPr>
                <w:lang w:val="fr-FR"/>
              </w:rPr>
              <w:t>Monténégro (</w:t>
            </w:r>
            <w:r w:rsidR="00E028AE" w:rsidRPr="00DF7535">
              <w:rPr>
                <w:lang w:val="fr-FR"/>
              </w:rPr>
              <w:t>1)</w:t>
            </w:r>
          </w:p>
        </w:tc>
        <w:tc>
          <w:tcPr>
            <w:tcW w:w="3628"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29/2003, Dragan Durmic</w:t>
            </w:r>
          </w:p>
        </w:tc>
        <w:tc>
          <w:tcPr>
            <w:tcW w:w="2344"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X (</w:t>
            </w:r>
            <w:hyperlink r:id="rId76" w:history="1">
              <w:r w:rsidRPr="00A84B73">
                <w:rPr>
                  <w:rStyle w:val="Lienhypertexte"/>
                  <w:lang w:val="fr-FR"/>
                </w:rPr>
                <w:t>A/62/18</w:t>
              </w:r>
            </w:hyperlink>
            <w:r w:rsidRPr="00DF7535">
              <w:rPr>
                <w:lang w:val="fr-FR"/>
              </w:rPr>
              <w:t>)</w:t>
            </w:r>
          </w:p>
        </w:tc>
        <w:tc>
          <w:tcPr>
            <w:tcW w:w="1433" w:type="dxa"/>
            <w:shd w:val="clear" w:color="auto" w:fill="auto"/>
            <w:tcMar>
              <w:right w:w="113" w:type="dxa"/>
            </w:tcMar>
          </w:tcPr>
          <w:p w:rsidR="00E028AE" w:rsidRPr="00DF7535" w:rsidRDefault="00E028AE" w:rsidP="00133940">
            <w:pPr>
              <w:suppressAutoHyphens w:val="0"/>
              <w:spacing w:before="40" w:after="120"/>
              <w:ind w:right="113"/>
            </w:pPr>
          </w:p>
        </w:tc>
        <w:tc>
          <w:tcPr>
            <w:tcW w:w="1467" w:type="dxa"/>
            <w:shd w:val="clear" w:color="auto" w:fill="auto"/>
            <w:tcMar>
              <w:right w:w="113" w:type="dxa"/>
            </w:tcMar>
          </w:tcPr>
          <w:p w:rsidR="00E028AE" w:rsidRPr="00DF7535" w:rsidRDefault="00E028AE" w:rsidP="00133940">
            <w:pPr>
              <w:suppressAutoHyphens w:val="0"/>
              <w:spacing w:before="40" w:after="120"/>
              <w:ind w:right="113"/>
            </w:pPr>
          </w:p>
        </w:tc>
        <w:tc>
          <w:tcPr>
            <w:tcW w:w="1279" w:type="dxa"/>
            <w:shd w:val="clear" w:color="auto" w:fill="auto"/>
            <w:tcMar>
              <w:right w:w="113" w:type="dxa"/>
            </w:tcMar>
          </w:tcPr>
          <w:p w:rsidR="00E028AE" w:rsidRPr="00DF7535" w:rsidRDefault="00E028AE" w:rsidP="00133940">
            <w:pPr>
              <w:suppressAutoHyphens w:val="0"/>
              <w:spacing w:before="40" w:after="120"/>
              <w:ind w:right="113"/>
            </w:pPr>
          </w:p>
        </w:tc>
        <w:tc>
          <w:tcPr>
            <w:tcW w:w="1389"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X</w:t>
            </w:r>
          </w:p>
        </w:tc>
      </w:tr>
      <w:tr w:rsidR="0030411B" w:rsidRPr="00DF7535" w:rsidTr="00E77796">
        <w:trPr>
          <w:cantSplit/>
        </w:trPr>
        <w:tc>
          <w:tcPr>
            <w:tcW w:w="2234"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Slovaquie (3)</w:t>
            </w:r>
          </w:p>
        </w:tc>
        <w:tc>
          <w:tcPr>
            <w:tcW w:w="3628" w:type="dxa"/>
            <w:shd w:val="clear" w:color="auto" w:fill="auto"/>
            <w:tcMar>
              <w:right w:w="113" w:type="dxa"/>
            </w:tcMar>
          </w:tcPr>
          <w:p w:rsidR="00895A10" w:rsidRPr="00DF7535" w:rsidRDefault="00E028AE" w:rsidP="00133940">
            <w:pPr>
              <w:suppressAutoHyphens w:val="0"/>
              <w:spacing w:before="40" w:after="120"/>
              <w:ind w:right="113"/>
              <w:rPr>
                <w:lang w:val="fr-FR"/>
              </w:rPr>
            </w:pPr>
            <w:r w:rsidRPr="00DF7535">
              <w:rPr>
                <w:lang w:val="fr-FR"/>
              </w:rPr>
              <w:t>13/1998, Anna Koptova</w:t>
            </w:r>
          </w:p>
        </w:tc>
        <w:tc>
          <w:tcPr>
            <w:tcW w:w="2344" w:type="dxa"/>
            <w:shd w:val="clear" w:color="auto" w:fill="auto"/>
            <w:tcMar>
              <w:right w:w="113" w:type="dxa"/>
            </w:tcMar>
          </w:tcPr>
          <w:p w:rsidR="00E028AE" w:rsidRPr="00DF7535" w:rsidRDefault="00E028AE" w:rsidP="00133940">
            <w:pPr>
              <w:suppressAutoHyphens w:val="0"/>
              <w:spacing w:before="40" w:after="120"/>
              <w:ind w:right="113"/>
              <w:rPr>
                <w:lang w:val="fr-FR"/>
              </w:rPr>
            </w:pPr>
            <w:r w:rsidRPr="00DF7535">
              <w:t>X (</w:t>
            </w:r>
            <w:hyperlink r:id="rId77" w:history="1">
              <w:r w:rsidRPr="00A84B73">
                <w:rPr>
                  <w:rStyle w:val="Lienhypertexte"/>
                </w:rPr>
                <w:t>A/61/18</w:t>
              </w:r>
            </w:hyperlink>
            <w:r w:rsidRPr="00DF7535">
              <w:t>,</w:t>
            </w:r>
            <w:r w:rsidRPr="00DF7535">
              <w:br/>
            </w:r>
            <w:hyperlink r:id="rId78" w:history="1">
              <w:r w:rsidRPr="00A84B73">
                <w:rPr>
                  <w:rStyle w:val="Lienhypertexte"/>
                </w:rPr>
                <w:t>A/62/18</w:t>
              </w:r>
            </w:hyperlink>
            <w:r w:rsidRPr="00DF7535">
              <w:t>)</w:t>
            </w:r>
          </w:p>
        </w:tc>
        <w:tc>
          <w:tcPr>
            <w:tcW w:w="1433" w:type="dxa"/>
            <w:shd w:val="clear" w:color="auto" w:fill="auto"/>
            <w:tcMar>
              <w:right w:w="113" w:type="dxa"/>
            </w:tcMar>
          </w:tcPr>
          <w:p w:rsidR="00E028AE" w:rsidRPr="00DF7535" w:rsidRDefault="00E028AE" w:rsidP="00133940">
            <w:pPr>
              <w:suppressAutoHyphens w:val="0"/>
              <w:spacing w:before="40" w:after="120"/>
              <w:ind w:right="113"/>
              <w:rPr>
                <w:lang w:val="fr-FR"/>
              </w:rPr>
            </w:pPr>
          </w:p>
        </w:tc>
        <w:tc>
          <w:tcPr>
            <w:tcW w:w="1467" w:type="dxa"/>
            <w:shd w:val="clear" w:color="auto" w:fill="auto"/>
            <w:tcMar>
              <w:right w:w="113" w:type="dxa"/>
            </w:tcMar>
          </w:tcPr>
          <w:p w:rsidR="00E028AE" w:rsidRPr="00DF7535" w:rsidRDefault="00E028AE" w:rsidP="00133940">
            <w:pPr>
              <w:suppressAutoHyphens w:val="0"/>
              <w:spacing w:before="40" w:after="120"/>
              <w:ind w:right="113"/>
              <w:rPr>
                <w:lang w:val="fr-FR"/>
              </w:rPr>
            </w:pPr>
          </w:p>
        </w:tc>
        <w:tc>
          <w:tcPr>
            <w:tcW w:w="1279" w:type="dxa"/>
            <w:shd w:val="clear" w:color="auto" w:fill="auto"/>
            <w:tcMar>
              <w:right w:w="113" w:type="dxa"/>
            </w:tcMar>
          </w:tcPr>
          <w:p w:rsidR="00E028AE" w:rsidRPr="00DF7535" w:rsidRDefault="00E028AE" w:rsidP="00133940">
            <w:pPr>
              <w:suppressAutoHyphens w:val="0"/>
              <w:spacing w:before="40" w:after="120"/>
              <w:ind w:right="113"/>
              <w:rPr>
                <w:lang w:val="fr-FR"/>
              </w:rPr>
            </w:pPr>
          </w:p>
        </w:tc>
        <w:tc>
          <w:tcPr>
            <w:tcW w:w="1389" w:type="dxa"/>
            <w:shd w:val="clear" w:color="auto" w:fill="auto"/>
            <w:tcMar>
              <w:right w:w="113" w:type="dxa"/>
            </w:tcMar>
          </w:tcPr>
          <w:p w:rsidR="00E028AE" w:rsidRPr="00DF7535" w:rsidRDefault="00E028AE" w:rsidP="00133940">
            <w:pPr>
              <w:suppressAutoHyphens w:val="0"/>
              <w:spacing w:before="40" w:after="120"/>
              <w:ind w:right="113"/>
            </w:pPr>
            <w:r w:rsidRPr="00DF7535">
              <w:rPr>
                <w:lang w:val="fr-FR"/>
              </w:rPr>
              <w:t>X</w:t>
            </w:r>
          </w:p>
        </w:tc>
      </w:tr>
      <w:tr w:rsidR="0030411B" w:rsidRPr="00DF7535" w:rsidTr="00E77796">
        <w:trPr>
          <w:cantSplit/>
        </w:trPr>
        <w:tc>
          <w:tcPr>
            <w:tcW w:w="2234" w:type="dxa"/>
            <w:shd w:val="clear" w:color="auto" w:fill="auto"/>
            <w:tcMar>
              <w:right w:w="113" w:type="dxa"/>
            </w:tcMar>
          </w:tcPr>
          <w:p w:rsidR="00E028AE" w:rsidRPr="00DF7535" w:rsidRDefault="00E028AE" w:rsidP="00133940">
            <w:pPr>
              <w:suppressAutoHyphens w:val="0"/>
              <w:spacing w:before="40" w:after="120"/>
              <w:ind w:right="113"/>
              <w:rPr>
                <w:lang w:val="fr-FR"/>
              </w:rPr>
            </w:pPr>
          </w:p>
        </w:tc>
        <w:tc>
          <w:tcPr>
            <w:tcW w:w="3628" w:type="dxa"/>
            <w:shd w:val="clear" w:color="auto" w:fill="auto"/>
            <w:tcMar>
              <w:right w:w="113" w:type="dxa"/>
            </w:tcMar>
          </w:tcPr>
          <w:p w:rsidR="00E028AE" w:rsidRPr="00DF7535" w:rsidRDefault="00E028AE" w:rsidP="00133940">
            <w:pPr>
              <w:suppressAutoHyphens w:val="0"/>
              <w:spacing w:before="40" w:after="120"/>
              <w:ind w:right="113"/>
              <w:rPr>
                <w:lang w:val="fr-FR"/>
              </w:rPr>
            </w:pPr>
            <w:r w:rsidRPr="00DF7535">
              <w:rPr>
                <w:lang w:val="fr-FR"/>
              </w:rPr>
              <w:t>31/2003, L. R. et autres</w:t>
            </w:r>
          </w:p>
        </w:tc>
        <w:tc>
          <w:tcPr>
            <w:tcW w:w="2344" w:type="dxa"/>
            <w:shd w:val="clear" w:color="auto" w:fill="auto"/>
            <w:tcMar>
              <w:right w:w="113" w:type="dxa"/>
            </w:tcMar>
          </w:tcPr>
          <w:p w:rsidR="00E028AE" w:rsidRPr="00DF7535" w:rsidRDefault="00E028AE" w:rsidP="00A84B73">
            <w:pPr>
              <w:suppressAutoHyphens w:val="0"/>
              <w:spacing w:before="40" w:after="120"/>
              <w:ind w:right="113"/>
            </w:pPr>
            <w:r w:rsidRPr="00DF7535">
              <w:t>X (</w:t>
            </w:r>
            <w:hyperlink r:id="rId79" w:history="1">
              <w:r w:rsidRPr="00A84B73">
                <w:rPr>
                  <w:rStyle w:val="Lienhypertexte"/>
                </w:rPr>
                <w:t>A/61/18</w:t>
              </w:r>
            </w:hyperlink>
            <w:r w:rsidRPr="00DF7535">
              <w:t>,</w:t>
            </w:r>
            <w:r w:rsidRPr="00DF7535">
              <w:br/>
            </w:r>
            <w:hyperlink r:id="rId80" w:history="1">
              <w:r w:rsidRPr="00A84B73">
                <w:rPr>
                  <w:rStyle w:val="Lienhypertexte"/>
                </w:rPr>
                <w:t>A/62/18</w:t>
              </w:r>
            </w:hyperlink>
            <w:r w:rsidRPr="00DF7535">
              <w:t>)</w:t>
            </w:r>
          </w:p>
        </w:tc>
        <w:tc>
          <w:tcPr>
            <w:tcW w:w="1433" w:type="dxa"/>
            <w:shd w:val="clear" w:color="auto" w:fill="auto"/>
            <w:tcMar>
              <w:right w:w="113" w:type="dxa"/>
            </w:tcMar>
          </w:tcPr>
          <w:p w:rsidR="00E028AE" w:rsidRPr="00DF7535" w:rsidRDefault="00E028AE" w:rsidP="00133940">
            <w:pPr>
              <w:suppressAutoHyphens w:val="0"/>
              <w:spacing w:before="40" w:after="120"/>
              <w:ind w:right="113"/>
              <w:rPr>
                <w:lang w:val="fr-FR"/>
              </w:rPr>
            </w:pPr>
          </w:p>
        </w:tc>
        <w:tc>
          <w:tcPr>
            <w:tcW w:w="1467" w:type="dxa"/>
            <w:shd w:val="clear" w:color="auto" w:fill="auto"/>
            <w:tcMar>
              <w:right w:w="113" w:type="dxa"/>
            </w:tcMar>
          </w:tcPr>
          <w:p w:rsidR="00E028AE" w:rsidRPr="00DF7535" w:rsidRDefault="00E028AE" w:rsidP="00133940">
            <w:pPr>
              <w:suppressAutoHyphens w:val="0"/>
              <w:spacing w:before="40" w:after="120"/>
              <w:ind w:right="113"/>
              <w:rPr>
                <w:lang w:val="fr-FR"/>
              </w:rPr>
            </w:pPr>
          </w:p>
        </w:tc>
        <w:tc>
          <w:tcPr>
            <w:tcW w:w="1279" w:type="dxa"/>
            <w:shd w:val="clear" w:color="auto" w:fill="auto"/>
            <w:tcMar>
              <w:right w:w="113" w:type="dxa"/>
            </w:tcMar>
          </w:tcPr>
          <w:p w:rsidR="00E028AE" w:rsidRPr="00DF7535" w:rsidRDefault="00E028AE" w:rsidP="00133940">
            <w:pPr>
              <w:suppressAutoHyphens w:val="0"/>
              <w:spacing w:before="40" w:after="120"/>
              <w:ind w:right="113"/>
              <w:rPr>
                <w:lang w:val="fr-FR"/>
              </w:rPr>
            </w:pPr>
          </w:p>
        </w:tc>
        <w:tc>
          <w:tcPr>
            <w:tcW w:w="1389" w:type="dxa"/>
            <w:shd w:val="clear" w:color="auto" w:fill="auto"/>
            <w:tcMar>
              <w:right w:w="113" w:type="dxa"/>
            </w:tcMar>
          </w:tcPr>
          <w:p w:rsidR="00E028AE" w:rsidRPr="00DF7535" w:rsidRDefault="00E028AE" w:rsidP="00133940">
            <w:pPr>
              <w:suppressAutoHyphens w:val="0"/>
              <w:spacing w:before="40" w:after="120"/>
              <w:ind w:right="113"/>
              <w:rPr>
                <w:lang w:val="fr-FR"/>
              </w:rPr>
            </w:pPr>
          </w:p>
        </w:tc>
      </w:tr>
      <w:tr w:rsidR="0030411B" w:rsidRPr="00133940" w:rsidTr="00E77796">
        <w:trPr>
          <w:cantSplit/>
        </w:trPr>
        <w:tc>
          <w:tcPr>
            <w:tcW w:w="2234" w:type="dxa"/>
            <w:tcBorders>
              <w:bottom w:val="single" w:sz="12" w:space="0" w:color="auto"/>
            </w:tcBorders>
            <w:shd w:val="clear" w:color="auto" w:fill="auto"/>
            <w:tcMar>
              <w:right w:w="113" w:type="dxa"/>
            </w:tcMar>
          </w:tcPr>
          <w:p w:rsidR="00E028AE" w:rsidRPr="00DF7535" w:rsidRDefault="00E028AE" w:rsidP="00133940">
            <w:pPr>
              <w:suppressAutoHyphens w:val="0"/>
              <w:spacing w:before="40" w:after="120"/>
              <w:ind w:right="113"/>
            </w:pPr>
          </w:p>
        </w:tc>
        <w:tc>
          <w:tcPr>
            <w:tcW w:w="3628" w:type="dxa"/>
            <w:tcBorders>
              <w:bottom w:val="single" w:sz="12" w:space="0" w:color="auto"/>
            </w:tcBorders>
            <w:shd w:val="clear" w:color="auto" w:fill="auto"/>
            <w:tcMar>
              <w:right w:w="113" w:type="dxa"/>
            </w:tcMar>
          </w:tcPr>
          <w:p w:rsidR="00E028AE" w:rsidRPr="00DF7535" w:rsidRDefault="00E028AE" w:rsidP="00133940">
            <w:pPr>
              <w:suppressAutoHyphens w:val="0"/>
              <w:spacing w:before="40" w:after="120"/>
              <w:ind w:right="113"/>
            </w:pPr>
            <w:r w:rsidRPr="00DF7535">
              <w:rPr>
                <w:lang w:val="fr-FR"/>
              </w:rPr>
              <w:t>56/2014, V. S.</w:t>
            </w:r>
          </w:p>
        </w:tc>
        <w:tc>
          <w:tcPr>
            <w:tcW w:w="2344" w:type="dxa"/>
            <w:tcBorders>
              <w:bottom w:val="single" w:sz="12" w:space="0" w:color="auto"/>
            </w:tcBorders>
            <w:shd w:val="clear" w:color="auto" w:fill="auto"/>
            <w:tcMar>
              <w:right w:w="113" w:type="dxa"/>
            </w:tcMar>
          </w:tcPr>
          <w:p w:rsidR="00E028AE" w:rsidRPr="00DF7535" w:rsidRDefault="00E028AE" w:rsidP="00133940">
            <w:pPr>
              <w:suppressAutoHyphens w:val="0"/>
              <w:spacing w:before="40" w:after="120"/>
              <w:ind w:right="113"/>
            </w:pPr>
            <w:r w:rsidRPr="00DF7535">
              <w:rPr>
                <w:lang w:val="fr-FR"/>
              </w:rPr>
              <w:t xml:space="preserve">X 9 Mars 2016 </w:t>
            </w:r>
            <w:r w:rsidR="00A84B73">
              <w:rPr>
                <w:lang w:val="fr-FR"/>
              </w:rPr>
              <w:br/>
            </w:r>
            <w:r w:rsidRPr="00DF7535">
              <w:rPr>
                <w:lang w:val="fr-FR"/>
              </w:rPr>
              <w:t>(</w:t>
            </w:r>
            <w:hyperlink r:id="rId81" w:history="1">
              <w:r w:rsidRPr="00A84B73">
                <w:rPr>
                  <w:rStyle w:val="Lienhypertexte"/>
                  <w:lang w:val="fr-FR"/>
                </w:rPr>
                <w:t>A/71/18</w:t>
              </w:r>
            </w:hyperlink>
            <w:r w:rsidRPr="00DF7535">
              <w:rPr>
                <w:lang w:val="fr-FR"/>
              </w:rPr>
              <w:t>)</w:t>
            </w:r>
          </w:p>
        </w:tc>
        <w:tc>
          <w:tcPr>
            <w:tcW w:w="1433" w:type="dxa"/>
            <w:tcBorders>
              <w:bottom w:val="single" w:sz="12" w:space="0" w:color="auto"/>
            </w:tcBorders>
            <w:shd w:val="clear" w:color="auto" w:fill="auto"/>
            <w:tcMar>
              <w:right w:w="113" w:type="dxa"/>
            </w:tcMar>
          </w:tcPr>
          <w:p w:rsidR="00E028AE" w:rsidRPr="00DF7535" w:rsidRDefault="00E028AE" w:rsidP="00133940">
            <w:pPr>
              <w:suppressAutoHyphens w:val="0"/>
              <w:spacing w:before="40" w:after="120"/>
              <w:ind w:right="113"/>
            </w:pPr>
          </w:p>
        </w:tc>
        <w:tc>
          <w:tcPr>
            <w:tcW w:w="1467" w:type="dxa"/>
            <w:tcBorders>
              <w:bottom w:val="single" w:sz="12" w:space="0" w:color="auto"/>
            </w:tcBorders>
            <w:shd w:val="clear" w:color="auto" w:fill="auto"/>
            <w:tcMar>
              <w:right w:w="113" w:type="dxa"/>
            </w:tcMar>
          </w:tcPr>
          <w:p w:rsidR="00E028AE" w:rsidRPr="00133940" w:rsidRDefault="00E028AE" w:rsidP="004B5977">
            <w:pPr>
              <w:suppressAutoHyphens w:val="0"/>
              <w:spacing w:before="40" w:after="120"/>
              <w:ind w:right="57"/>
            </w:pPr>
            <w:r w:rsidRPr="00DF7535">
              <w:rPr>
                <w:lang w:val="fr-FR"/>
              </w:rPr>
              <w:t xml:space="preserve">X </w:t>
            </w:r>
            <w:r w:rsidR="004B5977">
              <w:rPr>
                <w:lang w:val="fr-FR"/>
              </w:rPr>
              <w:t>i</w:t>
            </w:r>
            <w:r w:rsidRPr="00DF7535">
              <w:rPr>
                <w:lang w:val="fr-FR"/>
              </w:rPr>
              <w:t>nsatisfaisante</w:t>
            </w:r>
          </w:p>
        </w:tc>
        <w:tc>
          <w:tcPr>
            <w:tcW w:w="1279" w:type="dxa"/>
            <w:tcBorders>
              <w:bottom w:val="single" w:sz="12" w:space="0" w:color="auto"/>
            </w:tcBorders>
            <w:shd w:val="clear" w:color="auto" w:fill="auto"/>
            <w:tcMar>
              <w:right w:w="113" w:type="dxa"/>
            </w:tcMar>
          </w:tcPr>
          <w:p w:rsidR="00E028AE" w:rsidRPr="00133940" w:rsidRDefault="00E028AE" w:rsidP="00133940">
            <w:pPr>
              <w:suppressAutoHyphens w:val="0"/>
              <w:spacing w:before="40" w:after="120"/>
              <w:ind w:right="113"/>
            </w:pPr>
          </w:p>
        </w:tc>
        <w:tc>
          <w:tcPr>
            <w:tcW w:w="1389" w:type="dxa"/>
            <w:tcBorders>
              <w:bottom w:val="single" w:sz="12" w:space="0" w:color="auto"/>
            </w:tcBorders>
            <w:shd w:val="clear" w:color="auto" w:fill="auto"/>
            <w:tcMar>
              <w:right w:w="113" w:type="dxa"/>
            </w:tcMar>
          </w:tcPr>
          <w:p w:rsidR="00E028AE" w:rsidRPr="00133940" w:rsidRDefault="00E028AE" w:rsidP="00133940">
            <w:pPr>
              <w:suppressAutoHyphens w:val="0"/>
              <w:spacing w:before="40" w:after="120"/>
              <w:ind w:right="113"/>
            </w:pPr>
          </w:p>
        </w:tc>
      </w:tr>
    </w:tbl>
    <w:p w:rsidR="004F22E0" w:rsidRDefault="004F22E0" w:rsidP="00E43FA1">
      <w:pPr>
        <w:rPr>
          <w:lang w:val="fr-FR"/>
        </w:rPr>
        <w:sectPr w:rsidR="004F22E0" w:rsidSect="00E43FA1">
          <w:headerReference w:type="even" r:id="rId82"/>
          <w:headerReference w:type="default" r:id="rId83"/>
          <w:footerReference w:type="even" r:id="rId84"/>
          <w:footerReference w:type="default" r:id="rId85"/>
          <w:endnotePr>
            <w:numFmt w:val="decimal"/>
          </w:endnotePr>
          <w:pgSz w:w="16840" w:h="11907" w:orient="landscape" w:code="9"/>
          <w:pgMar w:top="1134" w:right="1417" w:bottom="1134" w:left="1134" w:header="567" w:footer="567" w:gutter="0"/>
          <w:cols w:space="720"/>
          <w:docGrid w:linePitch="272"/>
        </w:sectPr>
      </w:pPr>
    </w:p>
    <w:p w:rsidR="00AC3832" w:rsidRPr="006F1F71" w:rsidRDefault="00AC3832" w:rsidP="008B3C41">
      <w:pPr>
        <w:pStyle w:val="HChG"/>
        <w:rPr>
          <w:lang w:val="fr-FR"/>
        </w:rPr>
      </w:pPr>
      <w:r>
        <w:rPr>
          <w:lang w:val="fr-FR"/>
        </w:rPr>
        <w:lastRenderedPageBreak/>
        <w:tab/>
        <w:t>X.</w:t>
      </w:r>
      <w:r>
        <w:rPr>
          <w:lang w:val="fr-FR"/>
        </w:rPr>
        <w:tab/>
        <w:t xml:space="preserve">Examen de copies des pétitions, de copies des rapports </w:t>
      </w:r>
      <w:r w:rsidR="00D02681">
        <w:rPr>
          <w:lang w:val="fr-FR"/>
        </w:rPr>
        <w:br/>
      </w:r>
      <w:r>
        <w:rPr>
          <w:lang w:val="fr-FR"/>
        </w:rPr>
        <w:t>et d</w:t>
      </w:r>
      <w:r w:rsidR="009D7A41">
        <w:rPr>
          <w:lang w:val="fr-FR"/>
        </w:rPr>
        <w:t>’</w:t>
      </w:r>
      <w:r>
        <w:rPr>
          <w:lang w:val="fr-FR"/>
        </w:rPr>
        <w:t xml:space="preserve">autres renseignements relatifs aux territoires </w:t>
      </w:r>
      <w:r w:rsidR="00D02681">
        <w:rPr>
          <w:lang w:val="fr-FR"/>
        </w:rPr>
        <w:br/>
      </w:r>
      <w:r>
        <w:rPr>
          <w:lang w:val="fr-FR"/>
        </w:rPr>
        <w:t xml:space="preserve">sous tutelle et aux territoires non autonomes </w:t>
      </w:r>
      <w:r w:rsidR="00CA351E">
        <w:rPr>
          <w:lang w:val="fr-FR"/>
        </w:rPr>
        <w:br/>
      </w:r>
      <w:r>
        <w:rPr>
          <w:lang w:val="fr-FR"/>
        </w:rPr>
        <w:t>auxquels s</w:t>
      </w:r>
      <w:r w:rsidR="009D7A41">
        <w:rPr>
          <w:lang w:val="fr-FR"/>
        </w:rPr>
        <w:t>’</w:t>
      </w:r>
      <w:r>
        <w:rPr>
          <w:lang w:val="fr-FR"/>
        </w:rPr>
        <w:t xml:space="preserve">applique la résolution 1514 (XV) </w:t>
      </w:r>
      <w:r w:rsidR="00CA351E">
        <w:rPr>
          <w:lang w:val="fr-FR"/>
        </w:rPr>
        <w:br/>
      </w:r>
      <w:r>
        <w:rPr>
          <w:lang w:val="fr-FR"/>
        </w:rPr>
        <w:t>de l</w:t>
      </w:r>
      <w:r w:rsidR="009D7A41">
        <w:rPr>
          <w:lang w:val="fr-FR"/>
        </w:rPr>
        <w:t>’</w:t>
      </w:r>
      <w:r>
        <w:rPr>
          <w:lang w:val="fr-FR"/>
        </w:rPr>
        <w:t xml:space="preserve">Assemblée générale, conformément </w:t>
      </w:r>
      <w:r w:rsidR="00CA351E">
        <w:rPr>
          <w:lang w:val="fr-FR"/>
        </w:rPr>
        <w:br/>
      </w:r>
      <w:r>
        <w:rPr>
          <w:lang w:val="fr-FR"/>
        </w:rPr>
        <w:t>à l</w:t>
      </w:r>
      <w:r w:rsidR="009D7A41">
        <w:rPr>
          <w:lang w:val="fr-FR"/>
        </w:rPr>
        <w:t>’</w:t>
      </w:r>
      <w:r>
        <w:rPr>
          <w:lang w:val="fr-FR"/>
        </w:rPr>
        <w:t>article 15 de la Convention</w:t>
      </w:r>
      <w:bookmarkStart w:id="17" w:name="_Toc428794295"/>
      <w:bookmarkEnd w:id="17"/>
    </w:p>
    <w:p w:rsidR="00AC3832" w:rsidRPr="006F1F71" w:rsidRDefault="00AC3832" w:rsidP="008B3C41">
      <w:pPr>
        <w:pStyle w:val="SingleTxtG"/>
        <w:rPr>
          <w:lang w:val="fr-FR"/>
        </w:rPr>
      </w:pPr>
      <w:r>
        <w:rPr>
          <w:lang w:val="fr-FR"/>
        </w:rPr>
        <w:t>53.</w:t>
      </w:r>
      <w:r>
        <w:rPr>
          <w:lang w:val="fr-FR"/>
        </w:rPr>
        <w:tab/>
        <w:t>En vertu de l</w:t>
      </w:r>
      <w:r w:rsidR="009D7A41">
        <w:rPr>
          <w:lang w:val="fr-FR"/>
        </w:rPr>
        <w:t>’</w:t>
      </w:r>
      <w:r>
        <w:rPr>
          <w:lang w:val="fr-FR"/>
        </w:rPr>
        <w:t>article</w:t>
      </w:r>
      <w:r w:rsidR="00C42717">
        <w:rPr>
          <w:lang w:val="fr-FR"/>
        </w:rPr>
        <w:t> </w:t>
      </w:r>
      <w:r>
        <w:rPr>
          <w:lang w:val="fr-FR"/>
        </w:rPr>
        <w:t>15 de la Convention, le Comité est habilité à examiner des copies de pétitions, des copies de rapports et d</w:t>
      </w:r>
      <w:r w:rsidR="009D7A41">
        <w:rPr>
          <w:lang w:val="fr-FR"/>
        </w:rPr>
        <w:t>’</w:t>
      </w:r>
      <w:r>
        <w:rPr>
          <w:lang w:val="fr-FR"/>
        </w:rPr>
        <w:t>autres renseignements relatifs aux territoires sous tutelle, aux territoires non autonomes et à tous autres territoires auxquels s</w:t>
      </w:r>
      <w:r w:rsidR="009D7A41">
        <w:rPr>
          <w:lang w:val="fr-FR"/>
        </w:rPr>
        <w:t>’</w:t>
      </w:r>
      <w:r>
        <w:rPr>
          <w:lang w:val="fr-FR"/>
        </w:rPr>
        <w:t>applique la résolution 1514 (XV) de l</w:t>
      </w:r>
      <w:r w:rsidR="009D7A41">
        <w:rPr>
          <w:lang w:val="fr-FR"/>
        </w:rPr>
        <w:t>’</w:t>
      </w:r>
      <w:r>
        <w:rPr>
          <w:lang w:val="fr-FR"/>
        </w:rPr>
        <w:t>Assemblée générale, qui lui sont transmis par les organes compétents de l</w:t>
      </w:r>
      <w:r w:rsidR="009D7A41">
        <w:rPr>
          <w:lang w:val="fr-FR"/>
        </w:rPr>
        <w:t>’</w:t>
      </w:r>
      <w:r>
        <w:rPr>
          <w:lang w:val="fr-FR"/>
        </w:rPr>
        <w:t>ONU, et à soumettre à l</w:t>
      </w:r>
      <w:r w:rsidR="009D7A41">
        <w:rPr>
          <w:lang w:val="fr-FR"/>
        </w:rPr>
        <w:t>’</w:t>
      </w:r>
      <w:r>
        <w:rPr>
          <w:lang w:val="fr-FR"/>
        </w:rPr>
        <w:t>Assemblée générale son opinion et ses recommandations à cet égard.</w:t>
      </w:r>
    </w:p>
    <w:p w:rsidR="00AC3832" w:rsidRPr="006F1F71" w:rsidRDefault="00AC3832" w:rsidP="008B3C41">
      <w:pPr>
        <w:pStyle w:val="SingleTxtG"/>
        <w:rPr>
          <w:lang w:val="fr-FR"/>
        </w:rPr>
      </w:pPr>
      <w:r>
        <w:rPr>
          <w:lang w:val="fr-FR"/>
        </w:rPr>
        <w:t>54.</w:t>
      </w:r>
      <w:r>
        <w:rPr>
          <w:lang w:val="fr-FR"/>
        </w:rPr>
        <w:tab/>
        <w:t xml:space="preserve">En conséquence, à la demande du Comité, </w:t>
      </w:r>
      <w:r w:rsidR="00C42717" w:rsidRPr="00C42717">
        <w:rPr>
          <w:lang w:val="fr-FR"/>
        </w:rPr>
        <w:t>M</w:t>
      </w:r>
      <w:r w:rsidR="00C42717" w:rsidRPr="00C42717">
        <w:rPr>
          <w:vertAlign w:val="superscript"/>
          <w:lang w:val="fr-FR"/>
        </w:rPr>
        <w:t>me</w:t>
      </w:r>
      <w:r w:rsidR="00C42717" w:rsidRPr="00C42717">
        <w:rPr>
          <w:lang w:val="fr-FR"/>
        </w:rPr>
        <w:t> </w:t>
      </w:r>
      <w:r w:rsidRPr="007B2130">
        <w:rPr>
          <w:lang w:val="fr-FR"/>
        </w:rPr>
        <w:t xml:space="preserve">Shepherd </w:t>
      </w:r>
      <w:r>
        <w:rPr>
          <w:lang w:val="fr-FR"/>
        </w:rPr>
        <w:t>a examiné le rapport du Comité spécial chargé d</w:t>
      </w:r>
      <w:r w:rsidR="009D7A41">
        <w:rPr>
          <w:lang w:val="fr-FR"/>
        </w:rPr>
        <w:t>’</w:t>
      </w:r>
      <w:r>
        <w:rPr>
          <w:lang w:val="fr-FR"/>
        </w:rPr>
        <w:t>étudier la situation en ce qui concerne l</w:t>
      </w:r>
      <w:r w:rsidR="009D7A41">
        <w:rPr>
          <w:lang w:val="fr-FR"/>
        </w:rPr>
        <w:t>’</w:t>
      </w:r>
      <w:r>
        <w:rPr>
          <w:lang w:val="fr-FR"/>
        </w:rPr>
        <w:t>application de la Déclaration sur l</w:t>
      </w:r>
      <w:r w:rsidR="009D7A41">
        <w:rPr>
          <w:lang w:val="fr-FR"/>
        </w:rPr>
        <w:t>’</w:t>
      </w:r>
      <w:r>
        <w:rPr>
          <w:lang w:val="fr-FR"/>
        </w:rPr>
        <w:t>octroi de l</w:t>
      </w:r>
      <w:r w:rsidR="009D7A41">
        <w:rPr>
          <w:lang w:val="fr-FR"/>
        </w:rPr>
        <w:t>’</w:t>
      </w:r>
      <w:r>
        <w:rPr>
          <w:lang w:val="fr-FR"/>
        </w:rPr>
        <w:t>indépendance aux pays et aux peuples coloniaux sur ses activités en 2017</w:t>
      </w:r>
      <w:r w:rsidRPr="001F5981">
        <w:rPr>
          <w:rStyle w:val="Appelnotedebasdep"/>
          <w:lang w:val="fr-FR"/>
        </w:rPr>
        <w:footnoteReference w:id="12"/>
      </w:r>
      <w:r>
        <w:rPr>
          <w:lang w:val="fr-FR"/>
        </w:rPr>
        <w:t xml:space="preserve"> ainsi que des copies des documents de travail sur 17</w:t>
      </w:r>
      <w:r w:rsidR="00C42717">
        <w:rPr>
          <w:lang w:val="fr-FR"/>
        </w:rPr>
        <w:t> </w:t>
      </w:r>
      <w:r>
        <w:rPr>
          <w:lang w:val="fr-FR"/>
        </w:rPr>
        <w:t xml:space="preserve">territoires, établis par le secrétariat pour le Comité spécial et le Conseil de tutelle (voir </w:t>
      </w:r>
      <w:hyperlink r:id="rId86" w:history="1">
        <w:r w:rsidRPr="00413A05">
          <w:rPr>
            <w:rStyle w:val="Lienhypertexte"/>
            <w:color w:val="0000FF" w:themeColor="hyperlink"/>
            <w:lang w:val="fr-FR"/>
          </w:rPr>
          <w:t>CERD/C/95/3</w:t>
        </w:r>
      </w:hyperlink>
      <w:r>
        <w:rPr>
          <w:lang w:val="fr-FR"/>
        </w:rPr>
        <w:t xml:space="preserve">), et a présenté son rapport au Comité à sa quatre-vingt-quinzième session, le 11 mai 2018. </w:t>
      </w:r>
    </w:p>
    <w:p w:rsidR="00AC3832" w:rsidRPr="00A17C74" w:rsidRDefault="00AC3832" w:rsidP="008B3C41">
      <w:pPr>
        <w:pStyle w:val="SingleTxtG"/>
        <w:rPr>
          <w:lang w:val="fr-FR"/>
        </w:rPr>
      </w:pPr>
      <w:r w:rsidRPr="0003701E">
        <w:rPr>
          <w:lang w:val="fr-FR"/>
        </w:rPr>
        <w:t>55.</w:t>
      </w:r>
      <w:r w:rsidRPr="0003701E">
        <w:rPr>
          <w:lang w:val="fr-FR"/>
        </w:rPr>
        <w:tab/>
        <w:t xml:space="preserve">Elle a informé le Comité que </w:t>
      </w:r>
      <w:r w:rsidR="00C42717">
        <w:rPr>
          <w:lang w:val="fr-FR"/>
        </w:rPr>
        <w:t>cinquante-sept</w:t>
      </w:r>
      <w:r w:rsidRPr="0003701E">
        <w:rPr>
          <w:lang w:val="fr-FR"/>
        </w:rPr>
        <w:t xml:space="preserve"> ans après l</w:t>
      </w:r>
      <w:r w:rsidR="009D7A41">
        <w:rPr>
          <w:lang w:val="fr-FR"/>
        </w:rPr>
        <w:t>’</w:t>
      </w:r>
      <w:r w:rsidRPr="0003701E">
        <w:rPr>
          <w:lang w:val="fr-FR"/>
        </w:rPr>
        <w:t>adoption de la Déclaration sur l</w:t>
      </w:r>
      <w:r w:rsidR="009D7A41">
        <w:rPr>
          <w:lang w:val="fr-FR"/>
        </w:rPr>
        <w:t>’</w:t>
      </w:r>
      <w:r w:rsidRPr="0003701E">
        <w:rPr>
          <w:lang w:val="fr-FR"/>
        </w:rPr>
        <w:t>octroi de l</w:t>
      </w:r>
      <w:r w:rsidR="009D7A41">
        <w:rPr>
          <w:lang w:val="fr-FR"/>
        </w:rPr>
        <w:t>’</w:t>
      </w:r>
      <w:r w:rsidRPr="0003701E">
        <w:rPr>
          <w:lang w:val="fr-FR"/>
        </w:rPr>
        <w:t>indépendance aux pays et aux peuples coloniaux, 17</w:t>
      </w:r>
      <w:r w:rsidR="00C42717">
        <w:rPr>
          <w:lang w:val="fr-FR"/>
        </w:rPr>
        <w:t> </w:t>
      </w:r>
      <w:r w:rsidRPr="0003701E">
        <w:rPr>
          <w:lang w:val="fr-FR"/>
        </w:rPr>
        <w:t>territoires non autonomes</w:t>
      </w:r>
      <w:r w:rsidRPr="001F5981">
        <w:rPr>
          <w:rStyle w:val="Appelnotedebasdep"/>
          <w:lang w:val="fr-FR"/>
        </w:rPr>
        <w:footnoteReference w:id="13"/>
      </w:r>
      <w:r w:rsidRPr="0003701E">
        <w:rPr>
          <w:lang w:val="fr-FR"/>
        </w:rPr>
        <w:t xml:space="preserve"> n</w:t>
      </w:r>
      <w:r w:rsidR="009D7A41">
        <w:rPr>
          <w:lang w:val="fr-FR"/>
        </w:rPr>
        <w:t>’</w:t>
      </w:r>
      <w:r w:rsidRPr="0003701E">
        <w:rPr>
          <w:lang w:val="fr-FR"/>
        </w:rPr>
        <w:t>avaient pas encore exercé leur droit à l</w:t>
      </w:r>
      <w:r w:rsidR="009D7A41">
        <w:rPr>
          <w:lang w:val="fr-FR"/>
        </w:rPr>
        <w:t>’</w:t>
      </w:r>
      <w:r w:rsidRPr="0003701E">
        <w:rPr>
          <w:lang w:val="fr-FR"/>
        </w:rPr>
        <w:t>autodétermination, y compris l</w:t>
      </w:r>
      <w:r w:rsidR="009D7A41">
        <w:rPr>
          <w:lang w:val="fr-FR"/>
        </w:rPr>
        <w:t>’</w:t>
      </w:r>
      <w:r w:rsidRPr="0003701E">
        <w:rPr>
          <w:lang w:val="fr-FR"/>
        </w:rPr>
        <w:t>indépendance, et que rien n</w:t>
      </w:r>
      <w:r w:rsidR="009D7A41">
        <w:rPr>
          <w:lang w:val="fr-FR"/>
        </w:rPr>
        <w:t>’</w:t>
      </w:r>
      <w:r w:rsidRPr="0003701E">
        <w:rPr>
          <w:lang w:val="fr-FR"/>
        </w:rPr>
        <w:t>indiquait que l</w:t>
      </w:r>
      <w:r w:rsidR="009D7A41">
        <w:rPr>
          <w:lang w:val="fr-FR"/>
        </w:rPr>
        <w:t>’</w:t>
      </w:r>
      <w:r w:rsidRPr="0003701E">
        <w:rPr>
          <w:lang w:val="fr-FR"/>
        </w:rPr>
        <w:t>un des 17</w:t>
      </w:r>
      <w:r w:rsidR="00C42717">
        <w:rPr>
          <w:lang w:val="fr-FR"/>
        </w:rPr>
        <w:t> </w:t>
      </w:r>
      <w:r w:rsidRPr="0003701E">
        <w:rPr>
          <w:lang w:val="fr-FR"/>
        </w:rPr>
        <w:t>territoires pour lesquels la troisième Décennie internationale de l</w:t>
      </w:r>
      <w:r w:rsidR="009D7A41">
        <w:rPr>
          <w:lang w:val="fr-FR"/>
        </w:rPr>
        <w:t>’</w:t>
      </w:r>
      <w:r w:rsidRPr="0003701E">
        <w:rPr>
          <w:lang w:val="fr-FR"/>
        </w:rPr>
        <w:t>élimination du colonialisme était conçue</w:t>
      </w:r>
      <w:r>
        <w:rPr>
          <w:lang w:val="fr-FR"/>
        </w:rPr>
        <w:t xml:space="preserve"> était proche de l</w:t>
      </w:r>
      <w:r w:rsidR="009D7A41">
        <w:rPr>
          <w:lang w:val="fr-FR"/>
        </w:rPr>
        <w:t>’</w:t>
      </w:r>
      <w:r>
        <w:rPr>
          <w:lang w:val="fr-FR"/>
        </w:rPr>
        <w:t>indépendance</w:t>
      </w:r>
      <w:r w:rsidRPr="0003701E">
        <w:rPr>
          <w:lang w:val="fr-FR"/>
        </w:rPr>
        <w:t xml:space="preserve">. </w:t>
      </w:r>
      <w:r w:rsidRPr="00467054">
        <w:rPr>
          <w:lang w:val="fr-FR"/>
        </w:rPr>
        <w:t xml:space="preserve">Elle a souligné la bonne pratique des visites effectuées dans ces territoires par </w:t>
      </w:r>
      <w:r>
        <w:rPr>
          <w:lang w:val="fr-FR"/>
        </w:rPr>
        <w:t>l</w:t>
      </w:r>
      <w:r w:rsidR="009D7A41">
        <w:rPr>
          <w:lang w:val="fr-FR"/>
        </w:rPr>
        <w:t>’</w:t>
      </w:r>
      <w:r>
        <w:rPr>
          <w:lang w:val="fr-FR"/>
        </w:rPr>
        <w:t>ONU</w:t>
      </w:r>
      <w:r w:rsidRPr="00467054">
        <w:rPr>
          <w:lang w:val="fr-FR"/>
        </w:rPr>
        <w:t xml:space="preserve"> et le Comité spécial avec la coopération des puissances administrantes, mais a également </w:t>
      </w:r>
      <w:r>
        <w:rPr>
          <w:lang w:val="fr-FR"/>
        </w:rPr>
        <w:t>évoqué</w:t>
      </w:r>
      <w:r w:rsidRPr="00467054">
        <w:rPr>
          <w:lang w:val="fr-FR"/>
        </w:rPr>
        <w:t xml:space="preserve"> </w:t>
      </w:r>
      <w:r>
        <w:rPr>
          <w:lang w:val="fr-FR"/>
        </w:rPr>
        <w:t>la résistance</w:t>
      </w:r>
      <w:r w:rsidRPr="00467054">
        <w:rPr>
          <w:lang w:val="fr-FR"/>
        </w:rPr>
        <w:t xml:space="preserve"> de ces puissances sur l</w:t>
      </w:r>
      <w:r>
        <w:rPr>
          <w:lang w:val="fr-FR"/>
        </w:rPr>
        <w:t>a question de la décolonisation</w:t>
      </w:r>
      <w:r w:rsidRPr="00467054">
        <w:rPr>
          <w:lang w:val="fr-FR"/>
        </w:rPr>
        <w:t xml:space="preserve">. </w:t>
      </w:r>
      <w:r w:rsidR="00CA351E" w:rsidRPr="00CA351E">
        <w:rPr>
          <w:lang w:val="fr-FR"/>
        </w:rPr>
        <w:t>M</w:t>
      </w:r>
      <w:r w:rsidR="00CA351E" w:rsidRPr="00CA351E">
        <w:rPr>
          <w:vertAlign w:val="superscript"/>
          <w:lang w:val="fr-FR"/>
        </w:rPr>
        <w:t>me</w:t>
      </w:r>
      <w:r w:rsidR="00CA351E" w:rsidRPr="00CA351E">
        <w:rPr>
          <w:lang w:val="fr-FR"/>
        </w:rPr>
        <w:t> </w:t>
      </w:r>
      <w:r w:rsidRPr="00A17C74">
        <w:rPr>
          <w:lang w:val="fr-FR"/>
        </w:rPr>
        <w:t xml:space="preserve">Shepherd a également mentionné le fait que, </w:t>
      </w:r>
      <w:r>
        <w:rPr>
          <w:lang w:val="fr-FR"/>
        </w:rPr>
        <w:t xml:space="preserve">quoique </w:t>
      </w:r>
      <w:r w:rsidRPr="00A17C74">
        <w:rPr>
          <w:lang w:val="fr-FR"/>
        </w:rPr>
        <w:t xml:space="preserve">importants, les documents </w:t>
      </w:r>
      <w:r>
        <w:rPr>
          <w:lang w:val="fr-FR"/>
        </w:rPr>
        <w:t>examinés</w:t>
      </w:r>
      <w:r w:rsidRPr="00A17C74">
        <w:rPr>
          <w:lang w:val="fr-FR"/>
        </w:rPr>
        <w:t xml:space="preserve"> ne contenaient que des informations superficielles sur les conditions socioéconomiques des différents groupes ethniques</w:t>
      </w:r>
      <w:r>
        <w:rPr>
          <w:lang w:val="fr-FR"/>
        </w:rPr>
        <w:t xml:space="preserve"> dans les territoires en question</w:t>
      </w:r>
      <w:r w:rsidRPr="00A17C74">
        <w:rPr>
          <w:lang w:val="fr-FR"/>
        </w:rPr>
        <w:t>.</w:t>
      </w:r>
    </w:p>
    <w:p w:rsidR="00AC3832" w:rsidRPr="00FB0FD6" w:rsidRDefault="00AC3832" w:rsidP="008B3C41">
      <w:pPr>
        <w:pStyle w:val="SingleTxtG"/>
        <w:rPr>
          <w:lang w:val="fr-FR"/>
        </w:rPr>
      </w:pPr>
      <w:r>
        <w:rPr>
          <w:lang w:val="fr-FR"/>
        </w:rPr>
        <w:t>56.</w:t>
      </w:r>
      <w:r>
        <w:rPr>
          <w:lang w:val="fr-FR"/>
        </w:rPr>
        <w:tab/>
        <w:t>Le Comité a noté, comme il l</w:t>
      </w:r>
      <w:r w:rsidR="009D7A41">
        <w:rPr>
          <w:lang w:val="fr-FR"/>
        </w:rPr>
        <w:t>’</w:t>
      </w:r>
      <w:r>
        <w:rPr>
          <w:lang w:val="fr-FR"/>
        </w:rPr>
        <w:t>avait fait par le passé, qu</w:t>
      </w:r>
      <w:r w:rsidR="009D7A41">
        <w:rPr>
          <w:lang w:val="fr-FR"/>
        </w:rPr>
        <w:t>’</w:t>
      </w:r>
      <w:r>
        <w:rPr>
          <w:lang w:val="fr-FR"/>
        </w:rPr>
        <w:t>il lui était difficile de s</w:t>
      </w:r>
      <w:r w:rsidR="009D7A41">
        <w:rPr>
          <w:lang w:val="fr-FR"/>
        </w:rPr>
        <w:t>’</w:t>
      </w:r>
      <w:r>
        <w:rPr>
          <w:lang w:val="fr-FR"/>
        </w:rPr>
        <w:t>acquitter pleinement de son mandat en vertu de l</w:t>
      </w:r>
      <w:r w:rsidR="009D7A41">
        <w:rPr>
          <w:lang w:val="fr-FR"/>
        </w:rPr>
        <w:t>’</w:t>
      </w:r>
      <w:r>
        <w:rPr>
          <w:lang w:val="fr-FR"/>
        </w:rPr>
        <w:t>article</w:t>
      </w:r>
      <w:r w:rsidR="00C42717">
        <w:rPr>
          <w:lang w:val="fr-FR"/>
        </w:rPr>
        <w:t> </w:t>
      </w:r>
      <w:r>
        <w:rPr>
          <w:lang w:val="fr-FR"/>
        </w:rPr>
        <w:t>15 de la Convention, car les copies des rapports qu</w:t>
      </w:r>
      <w:r w:rsidR="009D7A41">
        <w:rPr>
          <w:lang w:val="fr-FR"/>
        </w:rPr>
        <w:t>’</w:t>
      </w:r>
      <w:r>
        <w:rPr>
          <w:lang w:val="fr-FR"/>
        </w:rPr>
        <w:t>il avait reçues en application du paragraphe</w:t>
      </w:r>
      <w:r w:rsidR="00C42717">
        <w:rPr>
          <w:lang w:val="fr-FR"/>
        </w:rPr>
        <w:t> </w:t>
      </w:r>
      <w:r>
        <w:rPr>
          <w:lang w:val="fr-FR"/>
        </w:rPr>
        <w:t>2</w:t>
      </w:r>
      <w:r w:rsidR="00C42717">
        <w:rPr>
          <w:lang w:val="fr-FR"/>
        </w:rPr>
        <w:t> </w:t>
      </w:r>
      <w:r>
        <w:rPr>
          <w:lang w:val="fr-FR"/>
        </w:rPr>
        <w:t>b) de cet article ne contenaient que très peu d</w:t>
      </w:r>
      <w:r w:rsidR="009D7A41">
        <w:rPr>
          <w:lang w:val="fr-FR"/>
        </w:rPr>
        <w:t>’</w:t>
      </w:r>
      <w:r>
        <w:rPr>
          <w:lang w:val="fr-FR"/>
        </w:rPr>
        <w:t>informations ayant un rapport direct avec les principes et les objectifs de la Convention, bien que les documents de travail détaillés établis pour chaque pays montraient que l</w:t>
      </w:r>
      <w:r w:rsidR="009D7A41">
        <w:rPr>
          <w:lang w:val="fr-FR"/>
        </w:rPr>
        <w:t>’</w:t>
      </w:r>
      <w:r>
        <w:rPr>
          <w:lang w:val="fr-FR"/>
        </w:rPr>
        <w:t>application de la Convention avait été étendue à certains des pays considérés. Le Comité a aussi noté que plusieurs territoires non autonomes étaient fort divers sur le plan ethnique, ce qui exigeait de suivre attentivement les incidents ou tendances qui faisaient apparaître une discrimination raciale et des violations des droits garantis par la Convention. C</w:t>
      </w:r>
      <w:r w:rsidR="009D7A41">
        <w:rPr>
          <w:lang w:val="fr-FR"/>
        </w:rPr>
        <w:t>’</w:t>
      </w:r>
      <w:r>
        <w:rPr>
          <w:lang w:val="fr-FR"/>
        </w:rPr>
        <w:t>était</w:t>
      </w:r>
      <w:r w:rsidRPr="00BA36C8">
        <w:rPr>
          <w:lang w:val="fr-FR"/>
        </w:rPr>
        <w:t xml:space="preserve"> le cas des 20</w:t>
      </w:r>
      <w:r w:rsidR="00C42717">
        <w:rPr>
          <w:lang w:val="fr-FR"/>
        </w:rPr>
        <w:t> </w:t>
      </w:r>
      <w:r w:rsidRPr="00BA36C8">
        <w:rPr>
          <w:lang w:val="fr-FR"/>
        </w:rPr>
        <w:t>000</w:t>
      </w:r>
      <w:r w:rsidR="00C42717">
        <w:rPr>
          <w:lang w:val="fr-FR"/>
        </w:rPr>
        <w:t> </w:t>
      </w:r>
      <w:r w:rsidRPr="00BA36C8">
        <w:rPr>
          <w:lang w:val="fr-FR"/>
        </w:rPr>
        <w:t>Kanak</w:t>
      </w:r>
      <w:r>
        <w:rPr>
          <w:lang w:val="fr-FR"/>
        </w:rPr>
        <w:t>s de Nouvelle-Calédonie, qui s</w:t>
      </w:r>
      <w:r w:rsidR="009D7A41">
        <w:rPr>
          <w:lang w:val="fr-FR"/>
        </w:rPr>
        <w:t>’</w:t>
      </w:r>
      <w:r>
        <w:rPr>
          <w:lang w:val="fr-FR"/>
        </w:rPr>
        <w:t xml:space="preserve">étaient </w:t>
      </w:r>
      <w:r w:rsidRPr="00BA36C8">
        <w:rPr>
          <w:lang w:val="fr-FR"/>
        </w:rPr>
        <w:t>plaints de violat</w:t>
      </w:r>
      <w:r>
        <w:rPr>
          <w:lang w:val="fr-FR"/>
        </w:rPr>
        <w:t>ions de leurs droits politiques</w:t>
      </w:r>
      <w:r w:rsidRPr="001F5981">
        <w:rPr>
          <w:rStyle w:val="Appelnotedebasdep"/>
          <w:lang w:val="fr-FR"/>
        </w:rPr>
        <w:footnoteReference w:id="14"/>
      </w:r>
      <w:r w:rsidR="00C42717">
        <w:rPr>
          <w:lang w:val="fr-FR"/>
        </w:rPr>
        <w:t>.</w:t>
      </w:r>
      <w:r w:rsidRPr="00BA36C8">
        <w:rPr>
          <w:lang w:val="fr-FR"/>
        </w:rPr>
        <w:t xml:space="preserve"> </w:t>
      </w:r>
      <w:r>
        <w:rPr>
          <w:lang w:val="fr-FR"/>
        </w:rPr>
        <w:t>Le Comité a donc souligné qu</w:t>
      </w:r>
      <w:r w:rsidR="009D7A41">
        <w:rPr>
          <w:lang w:val="fr-FR"/>
        </w:rPr>
        <w:t>’</w:t>
      </w:r>
      <w:r>
        <w:rPr>
          <w:lang w:val="fr-FR"/>
        </w:rPr>
        <w:t>il fallait redoubler d</w:t>
      </w:r>
      <w:r w:rsidR="009D7A41">
        <w:rPr>
          <w:lang w:val="fr-FR"/>
        </w:rPr>
        <w:t>’</w:t>
      </w:r>
      <w:r>
        <w:rPr>
          <w:lang w:val="fr-FR"/>
        </w:rPr>
        <w:t xml:space="preserve">efforts pour faire mieux connaître les principes et objectifs de la Convention dans les territoires non autonomes. Il </w:t>
      </w:r>
      <w:r w:rsidRPr="00FB0FD6">
        <w:rPr>
          <w:lang w:val="fr-FR"/>
        </w:rPr>
        <w:t>a également souligné la nécessité pour les États parties administrant des territoires non autonomes d</w:t>
      </w:r>
      <w:r w:rsidR="009D7A41">
        <w:rPr>
          <w:lang w:val="fr-FR"/>
        </w:rPr>
        <w:t>’</w:t>
      </w:r>
      <w:r w:rsidRPr="00FB0FD6">
        <w:rPr>
          <w:lang w:val="fr-FR"/>
        </w:rPr>
        <w:t xml:space="preserve">inclure dans leurs rapports périodiques au Comité des </w:t>
      </w:r>
      <w:r>
        <w:rPr>
          <w:lang w:val="fr-FR"/>
        </w:rPr>
        <w:t>renseignements détaillé</w:t>
      </w:r>
      <w:r w:rsidRPr="00FB0FD6">
        <w:rPr>
          <w:lang w:val="fr-FR"/>
        </w:rPr>
        <w:t>s sur la mise en œuvre de la Convention dans ces territoires.</w:t>
      </w:r>
    </w:p>
    <w:p w:rsidR="00AC3832" w:rsidRPr="006F1F71" w:rsidRDefault="00AC3832" w:rsidP="00F4391A">
      <w:pPr>
        <w:pStyle w:val="HChG"/>
        <w:rPr>
          <w:lang w:val="fr-FR"/>
        </w:rPr>
      </w:pPr>
      <w:r w:rsidRPr="00FB0FD6">
        <w:rPr>
          <w:lang w:val="fr-FR"/>
        </w:rPr>
        <w:lastRenderedPageBreak/>
        <w:tab/>
      </w:r>
      <w:r>
        <w:rPr>
          <w:lang w:val="fr-FR"/>
        </w:rPr>
        <w:t>XI.</w:t>
      </w:r>
      <w:r>
        <w:rPr>
          <w:lang w:val="fr-FR"/>
        </w:rPr>
        <w:tab/>
        <w:t xml:space="preserve">Suivi de la Conférence mondiale contre le racisme, </w:t>
      </w:r>
      <w:r w:rsidR="00F4391A">
        <w:rPr>
          <w:lang w:val="fr-FR"/>
        </w:rPr>
        <w:br/>
      </w:r>
      <w:r>
        <w:rPr>
          <w:lang w:val="fr-FR"/>
        </w:rPr>
        <w:t>la discrimination raciale, la xénophobie et l</w:t>
      </w:r>
      <w:r w:rsidR="009D7A41">
        <w:rPr>
          <w:lang w:val="fr-FR"/>
        </w:rPr>
        <w:t>’</w:t>
      </w:r>
      <w:r>
        <w:rPr>
          <w:lang w:val="fr-FR"/>
        </w:rPr>
        <w:t xml:space="preserve">intolérance </w:t>
      </w:r>
      <w:r w:rsidR="00F4391A">
        <w:rPr>
          <w:lang w:val="fr-FR"/>
        </w:rPr>
        <w:br/>
      </w:r>
      <w:r>
        <w:rPr>
          <w:lang w:val="fr-FR"/>
        </w:rPr>
        <w:t>qui y est associée, et de la Conférence d</w:t>
      </w:r>
      <w:r w:rsidR="009D7A41">
        <w:rPr>
          <w:lang w:val="fr-FR"/>
        </w:rPr>
        <w:t>’</w:t>
      </w:r>
      <w:r>
        <w:rPr>
          <w:lang w:val="fr-FR"/>
        </w:rPr>
        <w:t>examen de Durban</w:t>
      </w:r>
      <w:bookmarkStart w:id="18" w:name="_Toc428794297"/>
      <w:bookmarkEnd w:id="18"/>
    </w:p>
    <w:p w:rsidR="00AC3832" w:rsidRPr="006F1F71" w:rsidRDefault="00AC3832" w:rsidP="00F4391A">
      <w:pPr>
        <w:pStyle w:val="SingleTxtG"/>
        <w:rPr>
          <w:lang w:val="fr-FR"/>
        </w:rPr>
      </w:pPr>
      <w:r>
        <w:rPr>
          <w:lang w:val="fr-FR"/>
        </w:rPr>
        <w:t>57.</w:t>
      </w:r>
      <w:r>
        <w:rPr>
          <w:lang w:val="fr-FR"/>
        </w:rPr>
        <w:tab/>
        <w:t>Le Comité a examiné la question de la suite donnée à la Conférence mondiale contre le racisme, la discrimination raciale, la xénophobie et l</w:t>
      </w:r>
      <w:r w:rsidR="009D7A41">
        <w:rPr>
          <w:lang w:val="fr-FR"/>
        </w:rPr>
        <w:t>’</w:t>
      </w:r>
      <w:r>
        <w:rPr>
          <w:lang w:val="fr-FR"/>
        </w:rPr>
        <w:t>intolérance qui y est associée</w:t>
      </w:r>
      <w:r w:rsidR="00055E2B">
        <w:rPr>
          <w:lang w:val="fr-FR"/>
        </w:rPr>
        <w:t>,</w:t>
      </w:r>
      <w:r>
        <w:rPr>
          <w:lang w:val="fr-FR"/>
        </w:rPr>
        <w:t xml:space="preserve"> et à la Conférence d</w:t>
      </w:r>
      <w:r w:rsidR="009D7A41">
        <w:rPr>
          <w:lang w:val="fr-FR"/>
        </w:rPr>
        <w:t>’</w:t>
      </w:r>
      <w:r>
        <w:rPr>
          <w:lang w:val="fr-FR"/>
        </w:rPr>
        <w:t>examen de Durban à chacune de ses sessions.</w:t>
      </w:r>
    </w:p>
    <w:p w:rsidR="00AC3832" w:rsidRPr="00466D67" w:rsidRDefault="00AC3832" w:rsidP="00F4391A">
      <w:pPr>
        <w:pStyle w:val="SingleTxtG"/>
        <w:rPr>
          <w:lang w:val="fr-FR"/>
        </w:rPr>
      </w:pPr>
      <w:r w:rsidRPr="00466D67">
        <w:rPr>
          <w:lang w:val="fr-FR"/>
        </w:rPr>
        <w:t>58.</w:t>
      </w:r>
      <w:r w:rsidRPr="00466D67">
        <w:rPr>
          <w:lang w:val="fr-FR"/>
        </w:rPr>
        <w:tab/>
        <w:t xml:space="preserve">La Présidente du Comité, </w:t>
      </w:r>
      <w:r w:rsidR="00F4391A" w:rsidRPr="00F4391A">
        <w:rPr>
          <w:lang w:val="fr-FR"/>
        </w:rPr>
        <w:t>M</w:t>
      </w:r>
      <w:r w:rsidR="00F4391A" w:rsidRPr="00F4391A">
        <w:rPr>
          <w:vertAlign w:val="superscript"/>
          <w:lang w:val="fr-FR"/>
        </w:rPr>
        <w:t>me</w:t>
      </w:r>
      <w:r w:rsidR="00F4391A" w:rsidRPr="00F4391A">
        <w:rPr>
          <w:lang w:val="fr-FR"/>
        </w:rPr>
        <w:t> </w:t>
      </w:r>
      <w:r w:rsidRPr="00466D67">
        <w:rPr>
          <w:lang w:val="fr-FR"/>
        </w:rPr>
        <w:t xml:space="preserve">Crickley, et </w:t>
      </w:r>
      <w:r w:rsidR="00F4391A" w:rsidRPr="00F4391A">
        <w:rPr>
          <w:lang w:val="fr-FR"/>
        </w:rPr>
        <w:t>M</w:t>
      </w:r>
      <w:r w:rsidR="00F4391A" w:rsidRPr="00F4391A">
        <w:rPr>
          <w:vertAlign w:val="superscript"/>
          <w:lang w:val="fr-FR"/>
        </w:rPr>
        <w:t>me</w:t>
      </w:r>
      <w:r w:rsidR="00F4391A" w:rsidRPr="00F4391A">
        <w:rPr>
          <w:lang w:val="fr-FR"/>
        </w:rPr>
        <w:t> </w:t>
      </w:r>
      <w:r w:rsidR="00F4391A">
        <w:rPr>
          <w:lang w:val="fr-FR"/>
        </w:rPr>
        <w:t>McDougall, M. </w:t>
      </w:r>
      <w:r w:rsidRPr="00466D67">
        <w:rPr>
          <w:lang w:val="fr-FR"/>
        </w:rPr>
        <w:t xml:space="preserve">Murillo Martínez et </w:t>
      </w:r>
      <w:r w:rsidR="00F4391A" w:rsidRPr="00F4391A">
        <w:rPr>
          <w:lang w:val="fr-FR"/>
        </w:rPr>
        <w:t>M</w:t>
      </w:r>
      <w:r w:rsidR="00F4391A" w:rsidRPr="00F4391A">
        <w:rPr>
          <w:vertAlign w:val="superscript"/>
          <w:lang w:val="fr-FR"/>
        </w:rPr>
        <w:t>me</w:t>
      </w:r>
      <w:r w:rsidR="00F4391A" w:rsidRPr="00F4391A">
        <w:rPr>
          <w:lang w:val="fr-FR"/>
        </w:rPr>
        <w:t> </w:t>
      </w:r>
      <w:r w:rsidRPr="00466D67">
        <w:rPr>
          <w:lang w:val="fr-FR"/>
        </w:rPr>
        <w:t>Shepherd ont participé à la réunion régionale pour l</w:t>
      </w:r>
      <w:r w:rsidR="009D7A41">
        <w:rPr>
          <w:lang w:val="fr-FR"/>
        </w:rPr>
        <w:t>’</w:t>
      </w:r>
      <w:r w:rsidRPr="00466D67">
        <w:rPr>
          <w:lang w:val="fr-FR"/>
        </w:rPr>
        <w:t>Europe, l</w:t>
      </w:r>
      <w:r w:rsidR="009D7A41">
        <w:rPr>
          <w:lang w:val="fr-FR"/>
        </w:rPr>
        <w:t>’</w:t>
      </w:r>
      <w:r w:rsidRPr="00466D67">
        <w:rPr>
          <w:lang w:val="fr-FR"/>
        </w:rPr>
        <w:t>Asie et l</w:t>
      </w:r>
      <w:r w:rsidR="009D7A41">
        <w:rPr>
          <w:lang w:val="fr-FR"/>
        </w:rPr>
        <w:t>’</w:t>
      </w:r>
      <w:r w:rsidRPr="00466D67">
        <w:rPr>
          <w:lang w:val="fr-FR"/>
        </w:rPr>
        <w:t>Amérique du Nord sur la Décennie internationale des personnes d</w:t>
      </w:r>
      <w:r w:rsidR="009D7A41">
        <w:rPr>
          <w:lang w:val="fr-FR"/>
        </w:rPr>
        <w:t>’</w:t>
      </w:r>
      <w:r w:rsidRPr="00466D67">
        <w:rPr>
          <w:lang w:val="fr-FR"/>
        </w:rPr>
        <w:t>ascendance africaine, tenue</w:t>
      </w:r>
      <w:r>
        <w:rPr>
          <w:lang w:val="fr-FR"/>
        </w:rPr>
        <w:t xml:space="preserve"> les 23 et 24</w:t>
      </w:r>
      <w:r w:rsidR="00F4391A">
        <w:rPr>
          <w:lang w:val="fr-FR"/>
        </w:rPr>
        <w:t> </w:t>
      </w:r>
      <w:r>
        <w:rPr>
          <w:lang w:val="fr-FR"/>
        </w:rPr>
        <w:t>novembre à Genève</w:t>
      </w:r>
      <w:r w:rsidRPr="00466D67">
        <w:rPr>
          <w:lang w:val="fr-FR"/>
        </w:rPr>
        <w:t xml:space="preserve">. </w:t>
      </w:r>
    </w:p>
    <w:p w:rsidR="00AC3832" w:rsidRPr="00BC3BA2" w:rsidRDefault="00AC3832" w:rsidP="00F4391A">
      <w:pPr>
        <w:pStyle w:val="HChG"/>
        <w:rPr>
          <w:lang w:val="fr-FR"/>
        </w:rPr>
      </w:pPr>
      <w:r w:rsidRPr="00466D67">
        <w:rPr>
          <w:lang w:val="fr-FR"/>
        </w:rPr>
        <w:br w:type="page"/>
      </w:r>
      <w:r w:rsidRPr="00466D67">
        <w:rPr>
          <w:lang w:val="fr-FR"/>
        </w:rPr>
        <w:lastRenderedPageBreak/>
        <w:tab/>
      </w:r>
      <w:r w:rsidRPr="00BC3BA2">
        <w:rPr>
          <w:lang w:val="fr-FR"/>
        </w:rPr>
        <w:t>XII.</w:t>
      </w:r>
      <w:r w:rsidRPr="00BC3BA2">
        <w:rPr>
          <w:lang w:val="fr-FR"/>
        </w:rPr>
        <w:tab/>
        <w:t>Débat thématique sur la discrimination raciale dans le monde d</w:t>
      </w:r>
      <w:r w:rsidR="009D7A41">
        <w:rPr>
          <w:lang w:val="fr-FR"/>
        </w:rPr>
        <w:t>’</w:t>
      </w:r>
      <w:r w:rsidRPr="00BC3BA2">
        <w:rPr>
          <w:lang w:val="fr-FR"/>
        </w:rPr>
        <w:t>aujourd</w:t>
      </w:r>
      <w:r w:rsidR="009D7A41">
        <w:rPr>
          <w:lang w:val="fr-FR"/>
        </w:rPr>
        <w:t>’</w:t>
      </w:r>
      <w:r w:rsidRPr="00BC3BA2">
        <w:rPr>
          <w:lang w:val="fr-FR"/>
        </w:rPr>
        <w:t>hui</w:t>
      </w:r>
      <w:r w:rsidR="00D725DA">
        <w:rPr>
          <w:lang w:val="fr-FR"/>
        </w:rPr>
        <w:t> :</w:t>
      </w:r>
      <w:r w:rsidRPr="00BC3BA2">
        <w:rPr>
          <w:lang w:val="fr-FR"/>
        </w:rPr>
        <w:t xml:space="preserve"> profilage racial, nettoyage ethnique </w:t>
      </w:r>
      <w:r w:rsidR="00F4391A">
        <w:rPr>
          <w:lang w:val="fr-FR"/>
        </w:rPr>
        <w:br/>
      </w:r>
      <w:r w:rsidRPr="00BC3BA2">
        <w:rPr>
          <w:lang w:val="fr-FR"/>
        </w:rPr>
        <w:t>et problèmes et défis mondiaux actuels</w:t>
      </w:r>
    </w:p>
    <w:p w:rsidR="00AC3832" w:rsidRPr="0062705D" w:rsidRDefault="00AC3832" w:rsidP="00F4391A">
      <w:pPr>
        <w:pStyle w:val="SingleTxtG"/>
        <w:rPr>
          <w:lang w:val="fr-FR"/>
        </w:rPr>
      </w:pPr>
      <w:r w:rsidRPr="000557F3">
        <w:rPr>
          <w:lang w:val="fr-FR"/>
        </w:rPr>
        <w:t>59.</w:t>
      </w:r>
      <w:r w:rsidRPr="000557F3">
        <w:rPr>
          <w:lang w:val="fr-FR"/>
        </w:rPr>
        <w:tab/>
        <w:t>Le 29 novembre, le Comité a tenu u</w:t>
      </w:r>
      <w:r>
        <w:rPr>
          <w:lang w:val="fr-FR"/>
        </w:rPr>
        <w:t>n débat d</w:t>
      </w:r>
      <w:r w:rsidR="009D7A41">
        <w:rPr>
          <w:lang w:val="fr-FR"/>
        </w:rPr>
        <w:t>’</w:t>
      </w:r>
      <w:r>
        <w:rPr>
          <w:lang w:val="fr-FR"/>
        </w:rPr>
        <w:t>une demi-journée sur l</w:t>
      </w:r>
      <w:r w:rsidRPr="000557F3">
        <w:rPr>
          <w:lang w:val="fr-FR"/>
        </w:rPr>
        <w:t>e thème</w:t>
      </w:r>
      <w:r>
        <w:rPr>
          <w:lang w:val="fr-FR"/>
        </w:rPr>
        <w:t xml:space="preserve"> suivant</w:t>
      </w:r>
      <w:r w:rsidR="00D725DA">
        <w:rPr>
          <w:lang w:val="fr-FR"/>
        </w:rPr>
        <w:t> :</w:t>
      </w:r>
      <w:r w:rsidRPr="000557F3">
        <w:rPr>
          <w:lang w:val="fr-FR"/>
        </w:rPr>
        <w:t xml:space="preserve"> </w:t>
      </w:r>
      <w:r w:rsidR="00F4391A">
        <w:rPr>
          <w:lang w:val="fr-FR"/>
        </w:rPr>
        <w:t>« </w:t>
      </w:r>
      <w:r w:rsidRPr="000557F3">
        <w:rPr>
          <w:lang w:val="fr-FR"/>
        </w:rPr>
        <w:t>La discrimination raciale dans le monde d</w:t>
      </w:r>
      <w:r w:rsidR="009D7A41">
        <w:rPr>
          <w:lang w:val="fr-FR"/>
        </w:rPr>
        <w:t>’</w:t>
      </w:r>
      <w:r w:rsidRPr="000557F3">
        <w:rPr>
          <w:lang w:val="fr-FR"/>
        </w:rPr>
        <w:t>aujourd</w:t>
      </w:r>
      <w:r w:rsidR="009D7A41">
        <w:rPr>
          <w:lang w:val="fr-FR"/>
        </w:rPr>
        <w:t>’</w:t>
      </w:r>
      <w:r w:rsidRPr="000557F3">
        <w:rPr>
          <w:lang w:val="fr-FR"/>
        </w:rPr>
        <w:t>hui</w:t>
      </w:r>
      <w:r w:rsidR="00D725DA">
        <w:rPr>
          <w:lang w:val="fr-FR"/>
        </w:rPr>
        <w:t> :</w:t>
      </w:r>
      <w:r w:rsidRPr="000557F3">
        <w:rPr>
          <w:lang w:val="fr-FR"/>
        </w:rPr>
        <w:t xml:space="preserve"> profilage racial, nettoyage ethnique et problèmes et défis mondiaux actuels</w:t>
      </w:r>
      <w:r w:rsidR="00F4391A">
        <w:rPr>
          <w:lang w:val="fr-FR"/>
        </w:rPr>
        <w:t> »</w:t>
      </w:r>
      <w:r w:rsidRPr="000557F3">
        <w:rPr>
          <w:lang w:val="fr-FR"/>
        </w:rPr>
        <w:t>, qui a</w:t>
      </w:r>
      <w:r>
        <w:rPr>
          <w:lang w:val="fr-FR"/>
        </w:rPr>
        <w:t xml:space="preserve"> réuni plus de 170</w:t>
      </w:r>
      <w:r w:rsidR="00F4391A">
        <w:rPr>
          <w:lang w:val="fr-FR"/>
        </w:rPr>
        <w:t> </w:t>
      </w:r>
      <w:r>
        <w:rPr>
          <w:lang w:val="fr-FR"/>
        </w:rPr>
        <w:t>participants</w:t>
      </w:r>
      <w:r w:rsidRPr="000557F3">
        <w:rPr>
          <w:lang w:val="fr-FR"/>
        </w:rPr>
        <w:t xml:space="preserve">. </w:t>
      </w:r>
      <w:r w:rsidR="00F4391A" w:rsidRPr="00F4391A">
        <w:rPr>
          <w:lang w:val="fr-FR"/>
        </w:rPr>
        <w:t>M</w:t>
      </w:r>
      <w:r w:rsidR="00F4391A" w:rsidRPr="00F4391A">
        <w:rPr>
          <w:vertAlign w:val="superscript"/>
          <w:lang w:val="fr-FR"/>
        </w:rPr>
        <w:t>me</w:t>
      </w:r>
      <w:r w:rsidR="00F4391A" w:rsidRPr="00F4391A">
        <w:rPr>
          <w:lang w:val="fr-FR"/>
        </w:rPr>
        <w:t> </w:t>
      </w:r>
      <w:r>
        <w:rPr>
          <w:lang w:val="fr-FR"/>
        </w:rPr>
        <w:t>McDougall, membre du C</w:t>
      </w:r>
      <w:r w:rsidRPr="00106AA6">
        <w:rPr>
          <w:lang w:val="fr-FR"/>
        </w:rPr>
        <w:t xml:space="preserve">omité, </w:t>
      </w:r>
      <w:r>
        <w:rPr>
          <w:lang w:val="fr-FR"/>
        </w:rPr>
        <w:t>comptait parmi les</w:t>
      </w:r>
      <w:r w:rsidRPr="00106AA6">
        <w:rPr>
          <w:lang w:val="fr-FR"/>
        </w:rPr>
        <w:t xml:space="preserve"> </w:t>
      </w:r>
      <w:r>
        <w:rPr>
          <w:lang w:val="fr-FR"/>
        </w:rPr>
        <w:t>intervenants</w:t>
      </w:r>
      <w:r w:rsidRPr="00106AA6">
        <w:rPr>
          <w:lang w:val="fr-FR"/>
        </w:rPr>
        <w:t>. Les</w:t>
      </w:r>
      <w:r w:rsidR="00F4391A">
        <w:rPr>
          <w:lang w:val="fr-FR"/>
        </w:rPr>
        <w:t> </w:t>
      </w:r>
      <w:r w:rsidRPr="00106AA6">
        <w:rPr>
          <w:lang w:val="fr-FR"/>
        </w:rPr>
        <w:t xml:space="preserve">autres membres </w:t>
      </w:r>
      <w:r>
        <w:rPr>
          <w:lang w:val="fr-FR"/>
        </w:rPr>
        <w:t xml:space="preserve">ayant </w:t>
      </w:r>
      <w:r w:rsidRPr="00106AA6">
        <w:rPr>
          <w:lang w:val="fr-FR"/>
        </w:rPr>
        <w:t xml:space="preserve">activement </w:t>
      </w:r>
      <w:r>
        <w:rPr>
          <w:lang w:val="fr-FR"/>
        </w:rPr>
        <w:t>pris part à</w:t>
      </w:r>
      <w:r w:rsidRPr="00106AA6">
        <w:rPr>
          <w:lang w:val="fr-FR"/>
        </w:rPr>
        <w:t xml:space="preserve"> l</w:t>
      </w:r>
      <w:r w:rsidR="009D7A41">
        <w:rPr>
          <w:lang w:val="fr-FR"/>
        </w:rPr>
        <w:t>’</w:t>
      </w:r>
      <w:r w:rsidRPr="00106AA6">
        <w:rPr>
          <w:lang w:val="fr-FR"/>
        </w:rPr>
        <w:t xml:space="preserve">organisation </w:t>
      </w:r>
      <w:r>
        <w:rPr>
          <w:lang w:val="fr-FR"/>
        </w:rPr>
        <w:t xml:space="preserve">du débat </w:t>
      </w:r>
      <w:r w:rsidRPr="00106AA6">
        <w:rPr>
          <w:lang w:val="fr-FR"/>
        </w:rPr>
        <w:t>étaient M.</w:t>
      </w:r>
      <w:r w:rsidR="00F4391A">
        <w:rPr>
          <w:lang w:val="fr-FR"/>
        </w:rPr>
        <w:t> </w:t>
      </w:r>
      <w:r w:rsidRPr="00106AA6">
        <w:rPr>
          <w:lang w:val="fr-FR"/>
        </w:rPr>
        <w:t xml:space="preserve">Calí Tzay, </w:t>
      </w:r>
      <w:r w:rsidR="00F4391A" w:rsidRPr="00F4391A">
        <w:rPr>
          <w:lang w:val="fr-FR"/>
        </w:rPr>
        <w:t>M</w:t>
      </w:r>
      <w:r w:rsidR="00F4391A" w:rsidRPr="00F4391A">
        <w:rPr>
          <w:vertAlign w:val="superscript"/>
          <w:lang w:val="fr-FR"/>
        </w:rPr>
        <w:t>me</w:t>
      </w:r>
      <w:r w:rsidR="00F4391A" w:rsidRPr="00F4391A">
        <w:rPr>
          <w:lang w:val="fr-FR"/>
        </w:rPr>
        <w:t> </w:t>
      </w:r>
      <w:r w:rsidRPr="00106AA6">
        <w:rPr>
          <w:lang w:val="fr-FR"/>
        </w:rPr>
        <w:t>Dah, M.</w:t>
      </w:r>
      <w:r w:rsidR="00F4391A">
        <w:rPr>
          <w:lang w:val="fr-FR"/>
        </w:rPr>
        <w:t> </w:t>
      </w:r>
      <w:r w:rsidRPr="00106AA6">
        <w:rPr>
          <w:lang w:val="fr-FR"/>
        </w:rPr>
        <w:t>Kemal et M.</w:t>
      </w:r>
      <w:r w:rsidR="00F4391A">
        <w:rPr>
          <w:lang w:val="fr-FR"/>
        </w:rPr>
        <w:t> </w:t>
      </w:r>
      <w:r w:rsidRPr="00106AA6">
        <w:rPr>
          <w:lang w:val="fr-FR"/>
        </w:rPr>
        <w:t xml:space="preserve">Khalaf. </w:t>
      </w:r>
      <w:r w:rsidRPr="00BD7E58">
        <w:rPr>
          <w:lang w:val="fr-FR"/>
        </w:rPr>
        <w:t>Le débat a été l</w:t>
      </w:r>
      <w:r w:rsidR="009D7A41">
        <w:rPr>
          <w:lang w:val="fr-FR"/>
        </w:rPr>
        <w:t>’</w:t>
      </w:r>
      <w:r w:rsidRPr="00BD7E58">
        <w:rPr>
          <w:lang w:val="fr-FR"/>
        </w:rPr>
        <w:t xml:space="preserve">occasion pour les </w:t>
      </w:r>
      <w:r>
        <w:rPr>
          <w:lang w:val="fr-FR"/>
        </w:rPr>
        <w:t>intervenants</w:t>
      </w:r>
      <w:r w:rsidRPr="00BD7E58">
        <w:rPr>
          <w:lang w:val="fr-FR"/>
        </w:rPr>
        <w:t xml:space="preserve">, les États Membres et les participants de procéder à un échange ouvert et franc sur ces grandes questions mondiales actuelles, en vue </w:t>
      </w:r>
      <w:r>
        <w:rPr>
          <w:lang w:val="fr-FR"/>
        </w:rPr>
        <w:t>de recenser</w:t>
      </w:r>
      <w:r w:rsidRPr="00BD7E58">
        <w:rPr>
          <w:lang w:val="fr-FR"/>
        </w:rPr>
        <w:t xml:space="preserve"> les solutions et les meilleures pratiques, centrées sur la Convention, </w:t>
      </w:r>
      <w:r>
        <w:rPr>
          <w:lang w:val="fr-FR"/>
        </w:rPr>
        <w:t>dans le but de</w:t>
      </w:r>
      <w:r w:rsidRPr="00BD7E58">
        <w:rPr>
          <w:lang w:val="fr-FR"/>
        </w:rPr>
        <w:t xml:space="preserve"> contrer, entre autres, </w:t>
      </w:r>
      <w:r>
        <w:rPr>
          <w:lang w:val="fr-FR"/>
        </w:rPr>
        <w:t>les effets</w:t>
      </w:r>
      <w:r w:rsidRPr="00BD7E58">
        <w:rPr>
          <w:lang w:val="fr-FR"/>
        </w:rPr>
        <w:t xml:space="preserve"> négatif</w:t>
      </w:r>
      <w:r>
        <w:rPr>
          <w:lang w:val="fr-FR"/>
        </w:rPr>
        <w:t>s</w:t>
      </w:r>
      <w:r w:rsidRPr="00BD7E58">
        <w:rPr>
          <w:lang w:val="fr-FR"/>
        </w:rPr>
        <w:t xml:space="preserve"> profond</w:t>
      </w:r>
      <w:r>
        <w:rPr>
          <w:lang w:val="fr-FR"/>
        </w:rPr>
        <w:t>s</w:t>
      </w:r>
      <w:r w:rsidRPr="00BD7E58">
        <w:rPr>
          <w:lang w:val="fr-FR"/>
        </w:rPr>
        <w:t xml:space="preserve"> du profilage racial dans plusieurs pays et régions, y compris des politiques de contrôle et de </w:t>
      </w:r>
      <w:r>
        <w:rPr>
          <w:lang w:val="fr-FR"/>
        </w:rPr>
        <w:t>fouille</w:t>
      </w:r>
      <w:r w:rsidRPr="00BD7E58">
        <w:rPr>
          <w:lang w:val="fr-FR"/>
        </w:rPr>
        <w:t xml:space="preserve"> et de</w:t>
      </w:r>
      <w:r>
        <w:rPr>
          <w:lang w:val="fr-FR"/>
        </w:rPr>
        <w:t>s</w:t>
      </w:r>
      <w:r w:rsidRPr="00BD7E58">
        <w:rPr>
          <w:lang w:val="fr-FR"/>
        </w:rPr>
        <w:t xml:space="preserve"> brutalité</w:t>
      </w:r>
      <w:r>
        <w:rPr>
          <w:lang w:val="fr-FR"/>
        </w:rPr>
        <w:t>s</w:t>
      </w:r>
      <w:r w:rsidRPr="00BD7E58">
        <w:rPr>
          <w:lang w:val="fr-FR"/>
        </w:rPr>
        <w:t xml:space="preserve"> policière</w:t>
      </w:r>
      <w:r>
        <w:rPr>
          <w:lang w:val="fr-FR"/>
        </w:rPr>
        <w:t>s</w:t>
      </w:r>
      <w:r w:rsidRPr="00BD7E58">
        <w:rPr>
          <w:lang w:val="fr-FR"/>
        </w:rPr>
        <w:t xml:space="preserve"> à l</w:t>
      </w:r>
      <w:r w:rsidR="009D7A41">
        <w:rPr>
          <w:lang w:val="fr-FR"/>
        </w:rPr>
        <w:t>’</w:t>
      </w:r>
      <w:r w:rsidRPr="00BD7E58">
        <w:rPr>
          <w:lang w:val="fr-FR"/>
        </w:rPr>
        <w:t xml:space="preserve">encontre des minorités et des jeunes. </w:t>
      </w:r>
      <w:r w:rsidRPr="0062705D">
        <w:rPr>
          <w:lang w:val="fr-FR"/>
        </w:rPr>
        <w:t>L</w:t>
      </w:r>
      <w:r w:rsidR="009D7A41">
        <w:rPr>
          <w:lang w:val="fr-FR"/>
        </w:rPr>
        <w:t>’</w:t>
      </w:r>
      <w:r w:rsidRPr="0062705D">
        <w:rPr>
          <w:lang w:val="fr-FR"/>
        </w:rPr>
        <w:t xml:space="preserve">événement comprenait un format interactif innovant via les médias sociaux, </w:t>
      </w:r>
      <w:r>
        <w:rPr>
          <w:lang w:val="fr-FR"/>
        </w:rPr>
        <w:t>à l</w:t>
      </w:r>
      <w:r w:rsidR="009D7A41">
        <w:rPr>
          <w:lang w:val="fr-FR"/>
        </w:rPr>
        <w:t>’</w:t>
      </w:r>
      <w:r>
        <w:rPr>
          <w:lang w:val="fr-FR"/>
        </w:rPr>
        <w:t>aide d</w:t>
      </w:r>
      <w:r w:rsidRPr="0062705D">
        <w:rPr>
          <w:lang w:val="fr-FR"/>
        </w:rPr>
        <w:t xml:space="preserve">es hashtags #FightRacism et #StandUp4HumanRights, </w:t>
      </w:r>
      <w:r>
        <w:rPr>
          <w:lang w:val="fr-FR"/>
        </w:rPr>
        <w:t>à l</w:t>
      </w:r>
      <w:r w:rsidR="009D7A41">
        <w:rPr>
          <w:lang w:val="fr-FR"/>
        </w:rPr>
        <w:t>’</w:t>
      </w:r>
      <w:r>
        <w:rPr>
          <w:lang w:val="fr-FR"/>
        </w:rPr>
        <w:t>intention de ceux</w:t>
      </w:r>
      <w:r w:rsidRPr="0062705D">
        <w:rPr>
          <w:lang w:val="fr-FR"/>
        </w:rPr>
        <w:t xml:space="preserve"> qui ne pouvaient y assister en personne. </w:t>
      </w:r>
      <w:r>
        <w:rPr>
          <w:lang w:val="fr-FR"/>
        </w:rPr>
        <w:t xml:space="preserve">À </w:t>
      </w:r>
      <w:r w:rsidRPr="0062705D">
        <w:rPr>
          <w:lang w:val="fr-FR"/>
        </w:rPr>
        <w:t>l</w:t>
      </w:r>
      <w:r w:rsidR="009D7A41">
        <w:rPr>
          <w:lang w:val="fr-FR"/>
        </w:rPr>
        <w:t>’</w:t>
      </w:r>
      <w:r w:rsidRPr="0062705D">
        <w:rPr>
          <w:lang w:val="fr-FR"/>
        </w:rPr>
        <w:t>issue du débat thématique, le Comité a décidé d</w:t>
      </w:r>
      <w:r w:rsidR="009D7A41">
        <w:rPr>
          <w:lang w:val="fr-FR"/>
        </w:rPr>
        <w:t>’</w:t>
      </w:r>
      <w:r w:rsidRPr="0062705D">
        <w:rPr>
          <w:lang w:val="fr-FR"/>
        </w:rPr>
        <w:t>examiner la possibilité d</w:t>
      </w:r>
      <w:r w:rsidR="009D7A41">
        <w:rPr>
          <w:lang w:val="fr-FR"/>
        </w:rPr>
        <w:t>’</w:t>
      </w:r>
      <w:r w:rsidRPr="0062705D">
        <w:rPr>
          <w:lang w:val="fr-FR"/>
        </w:rPr>
        <w:t>élaborer une recommandation g</w:t>
      </w:r>
      <w:r>
        <w:rPr>
          <w:lang w:val="fr-FR"/>
        </w:rPr>
        <w:t>énérale sur le profilage racial</w:t>
      </w:r>
      <w:r w:rsidRPr="0062705D">
        <w:rPr>
          <w:lang w:val="fr-FR"/>
        </w:rPr>
        <w:t xml:space="preserve">. </w:t>
      </w:r>
    </w:p>
    <w:p w:rsidR="004F22E0" w:rsidRPr="00AC3832" w:rsidRDefault="004F22E0" w:rsidP="004F22E0">
      <w:pPr>
        <w:pStyle w:val="SingleTxtG"/>
        <w:rPr>
          <w:lang w:val="fr-FR"/>
        </w:rPr>
      </w:pPr>
    </w:p>
    <w:p w:rsidR="00506CED" w:rsidRPr="00AC3832" w:rsidRDefault="00506CED" w:rsidP="004F22E0">
      <w:pPr>
        <w:pStyle w:val="SingleTxtG"/>
        <w:sectPr w:rsidR="00506CED" w:rsidRPr="00AC3832" w:rsidSect="004F22E0">
          <w:headerReference w:type="even" r:id="rId87"/>
          <w:headerReference w:type="default" r:id="rId88"/>
          <w:footerReference w:type="even" r:id="rId89"/>
          <w:footerReference w:type="default" r:id="rId90"/>
          <w:endnotePr>
            <w:numFmt w:val="decimal"/>
          </w:endnotePr>
          <w:pgSz w:w="11907" w:h="16840" w:code="9"/>
          <w:pgMar w:top="1417" w:right="1134" w:bottom="1134" w:left="1134" w:header="850" w:footer="567" w:gutter="0"/>
          <w:cols w:space="720"/>
          <w:docGrid w:linePitch="272"/>
        </w:sectPr>
      </w:pPr>
    </w:p>
    <w:p w:rsidR="00C613B4" w:rsidRPr="006F1F71" w:rsidRDefault="00C613B4" w:rsidP="00DA0C0F">
      <w:pPr>
        <w:pStyle w:val="HChG"/>
        <w:rPr>
          <w:lang w:val="fr-FR"/>
        </w:rPr>
      </w:pPr>
      <w:bookmarkStart w:id="19" w:name="_Toc428794305"/>
      <w:r>
        <w:rPr>
          <w:lang w:val="fr-FR"/>
        </w:rPr>
        <w:lastRenderedPageBreak/>
        <w:t xml:space="preserve">Annexe </w:t>
      </w:r>
      <w:bookmarkEnd w:id="19"/>
    </w:p>
    <w:p w:rsidR="00C613B4" w:rsidRPr="006F1F71" w:rsidRDefault="00C613B4" w:rsidP="00DA0C0F">
      <w:pPr>
        <w:pStyle w:val="HChG"/>
        <w:rPr>
          <w:lang w:val="fr-FR"/>
        </w:rPr>
      </w:pPr>
      <w:r>
        <w:rPr>
          <w:lang w:val="fr-FR"/>
        </w:rPr>
        <w:tab/>
      </w:r>
      <w:r>
        <w:rPr>
          <w:lang w:val="fr-FR"/>
        </w:rPr>
        <w:tab/>
        <w:t>Renseignements sur la suite donnée aux communications</w:t>
      </w:r>
      <w:r w:rsidR="00D725DA">
        <w:rPr>
          <w:lang w:val="fr-FR"/>
        </w:rPr>
        <w:t xml:space="preserve"> </w:t>
      </w:r>
      <w:r>
        <w:rPr>
          <w:lang w:val="fr-FR"/>
        </w:rPr>
        <w:t>pour lesquelles le Comité a adopté des recommandations</w:t>
      </w:r>
      <w:bookmarkStart w:id="20" w:name="_Toc428794306"/>
      <w:bookmarkEnd w:id="20"/>
    </w:p>
    <w:p w:rsidR="00C613B4" w:rsidRPr="006F1F71" w:rsidRDefault="00C613B4" w:rsidP="00DA0C0F">
      <w:pPr>
        <w:pStyle w:val="SingleTxtG"/>
        <w:rPr>
          <w:lang w:val="fr-FR"/>
        </w:rPr>
      </w:pPr>
      <w:r>
        <w:rPr>
          <w:lang w:val="fr-FR"/>
        </w:rPr>
        <w:t>1.</w:t>
      </w:r>
      <w:r>
        <w:rPr>
          <w:lang w:val="fr-FR"/>
        </w:rPr>
        <w:tab/>
        <w:t>On trouvera dans la présente annexe une synthèse des renseignements reçus par le Comité sur la suite donnée aux communications individuelles depuis le précédent rapport annuel</w:t>
      </w:r>
      <w:r w:rsidRPr="001F5981">
        <w:rPr>
          <w:rStyle w:val="Appelnotedebasdep"/>
          <w:lang w:val="fr-FR"/>
        </w:rPr>
        <w:footnoteReference w:id="15"/>
      </w:r>
      <w:r>
        <w:rPr>
          <w:lang w:val="fr-FR"/>
        </w:rPr>
        <w:t>, ainsi que les décisions prises par le Comité concernant la nature de ces réponses.</w:t>
      </w:r>
    </w:p>
    <w:p w:rsidR="00C613B4" w:rsidRPr="006F1F71" w:rsidRDefault="00C613B4" w:rsidP="00DA0C0F">
      <w:pPr>
        <w:pStyle w:val="H1G"/>
        <w:rPr>
          <w:lang w:val="fr-FR"/>
        </w:rPr>
      </w:pPr>
      <w:r>
        <w:rPr>
          <w:lang w:val="fr-FR"/>
        </w:rPr>
        <w:tab/>
      </w:r>
      <w:r>
        <w:rPr>
          <w:lang w:val="fr-FR"/>
        </w:rPr>
        <w:tab/>
        <w:t>France</w:t>
      </w:r>
    </w:p>
    <w:p w:rsidR="00C613B4" w:rsidRPr="006F1F71" w:rsidRDefault="00C613B4" w:rsidP="00DA0C0F">
      <w:pPr>
        <w:pStyle w:val="H23G"/>
        <w:rPr>
          <w:lang w:val="fr-FR"/>
        </w:rPr>
      </w:pPr>
      <w:r>
        <w:rPr>
          <w:lang w:val="fr-FR"/>
        </w:rPr>
        <w:tab/>
      </w:r>
      <w:r>
        <w:rPr>
          <w:lang w:val="fr-FR"/>
        </w:rPr>
        <w:tab/>
        <w:t xml:space="preserve">Gabre Gabaroum, opinion </w:t>
      </w:r>
      <w:r w:rsidR="00055E2B" w:rsidRPr="00055E2B">
        <w:rPr>
          <w:rFonts w:eastAsia="MS Mincho"/>
          <w:lang w:val="fr-FR"/>
        </w:rPr>
        <w:t>n</w:t>
      </w:r>
      <w:r w:rsidR="00055E2B" w:rsidRPr="00055E2B">
        <w:rPr>
          <w:rFonts w:eastAsia="MS Mincho"/>
          <w:vertAlign w:val="superscript"/>
          <w:lang w:val="fr-FR"/>
        </w:rPr>
        <w:t>o</w:t>
      </w:r>
      <w:r w:rsidR="00055E2B">
        <w:rPr>
          <w:lang w:val="fr-FR"/>
        </w:rPr>
        <w:t> </w:t>
      </w:r>
      <w:r>
        <w:rPr>
          <w:lang w:val="fr-FR"/>
        </w:rPr>
        <w:t>52/2012, adoptée le 10 mai 2016</w:t>
      </w:r>
    </w:p>
    <w:p w:rsidR="00C613B4" w:rsidRPr="006F1F71" w:rsidRDefault="00C613B4" w:rsidP="00DA0C0F">
      <w:pPr>
        <w:pStyle w:val="H23G"/>
        <w:rPr>
          <w:lang w:val="fr-FR"/>
        </w:rPr>
      </w:pPr>
      <w:r>
        <w:rPr>
          <w:lang w:val="fr-FR"/>
        </w:rPr>
        <w:tab/>
      </w:r>
      <w:r>
        <w:rPr>
          <w:lang w:val="fr-FR"/>
        </w:rPr>
        <w:tab/>
        <w:t>Questions soulevées et violations constatées</w:t>
      </w:r>
    </w:p>
    <w:p w:rsidR="00C613B4" w:rsidRPr="006F1F71" w:rsidRDefault="00C613B4" w:rsidP="00DA0C0F">
      <w:pPr>
        <w:pStyle w:val="SingleTxtG"/>
        <w:rPr>
          <w:lang w:val="fr-FR"/>
        </w:rPr>
      </w:pPr>
      <w:r>
        <w:rPr>
          <w:lang w:val="fr-FR"/>
        </w:rPr>
        <w:t>2.</w:t>
      </w:r>
      <w:r>
        <w:rPr>
          <w:lang w:val="fr-FR"/>
        </w:rPr>
        <w:tab/>
        <w:t>La question dont le Comité était saisi était l</w:t>
      </w:r>
      <w:r w:rsidR="009D7A41">
        <w:rPr>
          <w:lang w:val="fr-FR"/>
        </w:rPr>
        <w:t>’</w:t>
      </w:r>
      <w:r>
        <w:rPr>
          <w:lang w:val="fr-FR"/>
        </w:rPr>
        <w:t>absence de mesures efficaces pour combattre la tendance d</w:t>
      </w:r>
      <w:r w:rsidR="009D7A41">
        <w:rPr>
          <w:lang w:val="fr-FR"/>
        </w:rPr>
        <w:t>’</w:t>
      </w:r>
      <w:r>
        <w:rPr>
          <w:lang w:val="fr-FR"/>
        </w:rPr>
        <w:t>une société à stigmatiser et à stéréotyper les Français d</w:t>
      </w:r>
      <w:r w:rsidR="009D7A41">
        <w:rPr>
          <w:lang w:val="fr-FR"/>
        </w:rPr>
        <w:t>’</w:t>
      </w:r>
      <w:r>
        <w:rPr>
          <w:lang w:val="fr-FR"/>
        </w:rPr>
        <w:t>origine africaine sur la base de leur couleur ou de leur origine nationale, ethnique ou raciale. Le</w:t>
      </w:r>
      <w:r w:rsidR="00DA0C0F">
        <w:rPr>
          <w:lang w:val="fr-FR"/>
        </w:rPr>
        <w:t> </w:t>
      </w:r>
      <w:r>
        <w:rPr>
          <w:lang w:val="fr-FR"/>
        </w:rPr>
        <w:t>Comité a conclu à une violation de l</w:t>
      </w:r>
      <w:r w:rsidR="009D7A41">
        <w:rPr>
          <w:lang w:val="fr-FR"/>
        </w:rPr>
        <w:t>’</w:t>
      </w:r>
      <w:r>
        <w:rPr>
          <w:lang w:val="fr-FR"/>
        </w:rPr>
        <w:t>article</w:t>
      </w:r>
      <w:r w:rsidR="00DA0C0F">
        <w:rPr>
          <w:lang w:val="fr-FR"/>
        </w:rPr>
        <w:t> </w:t>
      </w:r>
      <w:r>
        <w:rPr>
          <w:lang w:val="fr-FR"/>
        </w:rPr>
        <w:t>2 de la Convention. Il a également estimé que l</w:t>
      </w:r>
      <w:r w:rsidR="009D7A41">
        <w:rPr>
          <w:lang w:val="fr-FR"/>
        </w:rPr>
        <w:t>’</w:t>
      </w:r>
      <w:r>
        <w:rPr>
          <w:lang w:val="fr-FR"/>
        </w:rPr>
        <w:t>État partie avait violé l</w:t>
      </w:r>
      <w:r w:rsidR="009D7A41">
        <w:rPr>
          <w:lang w:val="fr-FR"/>
        </w:rPr>
        <w:t>’</w:t>
      </w:r>
      <w:r>
        <w:rPr>
          <w:lang w:val="fr-FR"/>
        </w:rPr>
        <w:t>article</w:t>
      </w:r>
      <w:r w:rsidR="00DA0C0F">
        <w:rPr>
          <w:lang w:val="fr-FR"/>
        </w:rPr>
        <w:t> </w:t>
      </w:r>
      <w:r>
        <w:rPr>
          <w:lang w:val="fr-FR"/>
        </w:rPr>
        <w:t>6 de la Convention, les tribunaux nationaux ayant persisté à demander à l</w:t>
      </w:r>
      <w:r w:rsidR="009D7A41">
        <w:rPr>
          <w:lang w:val="fr-FR"/>
        </w:rPr>
        <w:t>’</w:t>
      </w:r>
      <w:r>
        <w:rPr>
          <w:lang w:val="fr-FR"/>
        </w:rPr>
        <w:t>auteur de prouver l</w:t>
      </w:r>
      <w:r w:rsidR="009D7A41">
        <w:rPr>
          <w:lang w:val="fr-FR"/>
        </w:rPr>
        <w:t>’</w:t>
      </w:r>
      <w:r>
        <w:rPr>
          <w:lang w:val="fr-FR"/>
        </w:rPr>
        <w:t>intention discriminatoire, contrairement à l</w:t>
      </w:r>
      <w:r w:rsidR="009D7A41">
        <w:rPr>
          <w:lang w:val="fr-FR"/>
        </w:rPr>
        <w:t>’</w:t>
      </w:r>
      <w:r>
        <w:rPr>
          <w:lang w:val="fr-FR"/>
        </w:rPr>
        <w:t>interdiction, établie dans la Convention, de tout comportement ayant un effet discriminatoire, ainsi qu</w:t>
      </w:r>
      <w:r w:rsidR="009D7A41">
        <w:rPr>
          <w:lang w:val="fr-FR"/>
        </w:rPr>
        <w:t>’</w:t>
      </w:r>
      <w:r>
        <w:rPr>
          <w:lang w:val="fr-FR"/>
        </w:rPr>
        <w:t>à la procédure de renversement de la charge de la preuve prévue par la législation nationale (art. L-1134-1 du Code du travail).</w:t>
      </w:r>
    </w:p>
    <w:p w:rsidR="00C613B4" w:rsidRPr="006F1F71" w:rsidRDefault="00C613B4" w:rsidP="00DA0C0F">
      <w:pPr>
        <w:pStyle w:val="H23G"/>
        <w:rPr>
          <w:lang w:val="fr-FR"/>
        </w:rPr>
      </w:pPr>
      <w:r>
        <w:rPr>
          <w:lang w:val="fr-FR"/>
        </w:rPr>
        <w:tab/>
      </w:r>
      <w:r>
        <w:rPr>
          <w:lang w:val="fr-FR"/>
        </w:rPr>
        <w:tab/>
        <w:t>Réparation recommandée</w:t>
      </w:r>
    </w:p>
    <w:p w:rsidR="00C613B4" w:rsidRPr="006F1F71" w:rsidRDefault="00C613B4" w:rsidP="00DA0C0F">
      <w:pPr>
        <w:pStyle w:val="SingleTxtG"/>
        <w:rPr>
          <w:lang w:val="fr-FR"/>
        </w:rPr>
      </w:pPr>
      <w:r>
        <w:rPr>
          <w:lang w:val="fr-FR"/>
        </w:rPr>
        <w:t>3.</w:t>
      </w:r>
      <w:r>
        <w:rPr>
          <w:lang w:val="fr-FR"/>
        </w:rPr>
        <w:tab/>
        <w:t>Le Comité a recommandé à l</w:t>
      </w:r>
      <w:r w:rsidR="009D7A41">
        <w:rPr>
          <w:lang w:val="fr-FR"/>
        </w:rPr>
        <w:t>’</w:t>
      </w:r>
      <w:r>
        <w:rPr>
          <w:lang w:val="fr-FR"/>
        </w:rPr>
        <w:t>État partie de faire en sorte que le principe de renversement de la charge de la preuve soit pleinement appliqué</w:t>
      </w:r>
      <w:r w:rsidR="00055E2B">
        <w:rPr>
          <w:lang w:val="fr-FR"/>
        </w:rPr>
        <w:t> :</w:t>
      </w:r>
      <w:r>
        <w:rPr>
          <w:lang w:val="fr-FR"/>
        </w:rPr>
        <w:t xml:space="preserve"> a) en améliorant les procédures judiciaires ouvertes aux victimes de discrimination raciale, notamment par une application stricte du principe du renvers</w:t>
      </w:r>
      <w:r w:rsidR="00055E2B">
        <w:rPr>
          <w:lang w:val="fr-FR"/>
        </w:rPr>
        <w:t>ement de la charge de la preuve ;</w:t>
      </w:r>
      <w:r>
        <w:rPr>
          <w:lang w:val="fr-FR"/>
        </w:rPr>
        <w:t xml:space="preserve"> et b)</w:t>
      </w:r>
      <w:r w:rsidR="00DA0C0F">
        <w:rPr>
          <w:lang w:val="fr-FR"/>
        </w:rPr>
        <w:t> </w:t>
      </w:r>
      <w:r>
        <w:rPr>
          <w:lang w:val="fr-FR"/>
        </w:rPr>
        <w:t>en diffusant des informations claires au sujet des recours internes ouverts aux victimes présumées de discrimination raciale. En outre, le Comité a demandé à l</w:t>
      </w:r>
      <w:r w:rsidR="009D7A41">
        <w:rPr>
          <w:lang w:val="fr-FR"/>
        </w:rPr>
        <w:t>’</w:t>
      </w:r>
      <w:r>
        <w:rPr>
          <w:lang w:val="fr-FR"/>
        </w:rPr>
        <w:t>État partie de diffuser largement son opinion, notamment auprès des instances judiciaires.</w:t>
      </w:r>
    </w:p>
    <w:p w:rsidR="00C613B4" w:rsidRPr="006F1F71" w:rsidRDefault="00C613B4" w:rsidP="00DA0C0F">
      <w:pPr>
        <w:pStyle w:val="H23G"/>
        <w:rPr>
          <w:lang w:val="fr-FR"/>
        </w:rPr>
      </w:pPr>
      <w:r>
        <w:rPr>
          <w:lang w:val="fr-FR"/>
        </w:rPr>
        <w:tab/>
      </w:r>
      <w:r>
        <w:rPr>
          <w:lang w:val="fr-FR"/>
        </w:rPr>
        <w:tab/>
        <w:t>Rapports initiaux ou périodiques examinés depuis l</w:t>
      </w:r>
      <w:r w:rsidR="009D7A41">
        <w:rPr>
          <w:lang w:val="fr-FR"/>
        </w:rPr>
        <w:t>’</w:t>
      </w:r>
      <w:r>
        <w:rPr>
          <w:lang w:val="fr-FR"/>
        </w:rPr>
        <w:t>adoption de l</w:t>
      </w:r>
      <w:r w:rsidR="009D7A41">
        <w:rPr>
          <w:lang w:val="fr-FR"/>
        </w:rPr>
        <w:t>’</w:t>
      </w:r>
      <w:r>
        <w:rPr>
          <w:lang w:val="fr-FR"/>
        </w:rPr>
        <w:t>opinion</w:t>
      </w:r>
    </w:p>
    <w:p w:rsidR="00C613B4" w:rsidRPr="006F1F71" w:rsidRDefault="00C613B4" w:rsidP="00C613B4">
      <w:pPr>
        <w:pStyle w:val="SingleTxtG"/>
        <w:rPr>
          <w:lang w:val="fr-FR"/>
        </w:rPr>
      </w:pPr>
      <w:r>
        <w:rPr>
          <w:lang w:val="fr-FR"/>
        </w:rPr>
        <w:t>4.</w:t>
      </w:r>
      <w:r>
        <w:rPr>
          <w:lang w:val="fr-FR"/>
        </w:rPr>
        <w:tab/>
        <w:t>Le Comité n</w:t>
      </w:r>
      <w:r w:rsidR="009D7A41">
        <w:rPr>
          <w:lang w:val="fr-FR"/>
        </w:rPr>
        <w:t>’</w:t>
      </w:r>
      <w:r>
        <w:rPr>
          <w:lang w:val="fr-FR"/>
        </w:rPr>
        <w:t>a pas examiné de rapport périodique de l</w:t>
      </w:r>
      <w:r w:rsidR="009D7A41">
        <w:rPr>
          <w:lang w:val="fr-FR"/>
        </w:rPr>
        <w:t>’</w:t>
      </w:r>
      <w:r>
        <w:rPr>
          <w:lang w:val="fr-FR"/>
        </w:rPr>
        <w:t>État partie depuis l</w:t>
      </w:r>
      <w:r w:rsidR="009D7A41">
        <w:rPr>
          <w:lang w:val="fr-FR"/>
        </w:rPr>
        <w:t>’</w:t>
      </w:r>
      <w:r>
        <w:rPr>
          <w:lang w:val="fr-FR"/>
        </w:rPr>
        <w:t>adoption de l</w:t>
      </w:r>
      <w:r w:rsidR="009D7A41">
        <w:rPr>
          <w:lang w:val="fr-FR"/>
        </w:rPr>
        <w:t>’</w:t>
      </w:r>
      <w:r>
        <w:rPr>
          <w:lang w:val="fr-FR"/>
        </w:rPr>
        <w:t>opinion.</w:t>
      </w:r>
    </w:p>
    <w:p w:rsidR="00C613B4" w:rsidRPr="006F1F71" w:rsidRDefault="00C613B4" w:rsidP="00DA0C0F">
      <w:pPr>
        <w:pStyle w:val="H23G"/>
        <w:rPr>
          <w:lang w:val="fr-FR"/>
        </w:rPr>
      </w:pPr>
      <w:r>
        <w:rPr>
          <w:lang w:val="fr-FR"/>
        </w:rPr>
        <w:tab/>
      </w:r>
      <w:r>
        <w:rPr>
          <w:lang w:val="fr-FR"/>
        </w:rPr>
        <w:tab/>
        <w:t>Précédentes informations concernant le suivi</w:t>
      </w:r>
    </w:p>
    <w:p w:rsidR="00C613B4" w:rsidRPr="006F1F71" w:rsidRDefault="00C613B4" w:rsidP="00C613B4">
      <w:pPr>
        <w:pStyle w:val="SingleTxtG"/>
        <w:rPr>
          <w:lang w:val="fr-FR"/>
        </w:rPr>
      </w:pPr>
      <w:r>
        <w:rPr>
          <w:lang w:val="fr-FR"/>
        </w:rPr>
        <w:t>5.</w:t>
      </w:r>
      <w:r>
        <w:rPr>
          <w:lang w:val="fr-FR"/>
        </w:rPr>
        <w:tab/>
        <w:t xml:space="preserve">Les précédentes informations de suivi figurent dans le document </w:t>
      </w:r>
      <w:hyperlink r:id="rId91" w:history="1">
        <w:r w:rsidRPr="00DA0C0F">
          <w:rPr>
            <w:rStyle w:val="Lienhypertexte"/>
            <w:lang w:val="fr-FR"/>
          </w:rPr>
          <w:t>A/72/18</w:t>
        </w:r>
      </w:hyperlink>
      <w:r>
        <w:rPr>
          <w:lang w:val="fr-FR"/>
        </w:rPr>
        <w:t>.</w:t>
      </w:r>
    </w:p>
    <w:p w:rsidR="00C613B4" w:rsidRPr="00D36862" w:rsidRDefault="00C613B4" w:rsidP="00DA0C0F">
      <w:pPr>
        <w:pStyle w:val="H23G"/>
        <w:rPr>
          <w:lang w:val="fr-FR"/>
        </w:rPr>
      </w:pPr>
      <w:r>
        <w:rPr>
          <w:lang w:val="fr-FR"/>
        </w:rPr>
        <w:tab/>
      </w:r>
      <w:r>
        <w:rPr>
          <w:lang w:val="fr-FR"/>
        </w:rPr>
        <w:tab/>
      </w:r>
      <w:r w:rsidRPr="00D36862">
        <w:rPr>
          <w:lang w:val="fr-FR"/>
        </w:rPr>
        <w:t>Nouveaux commentaires de l</w:t>
      </w:r>
      <w:r w:rsidR="009D7A41">
        <w:rPr>
          <w:lang w:val="fr-FR"/>
        </w:rPr>
        <w:t>’</w:t>
      </w:r>
      <w:r w:rsidRPr="00D36862">
        <w:rPr>
          <w:lang w:val="fr-FR"/>
        </w:rPr>
        <w:t>auteur</w:t>
      </w:r>
    </w:p>
    <w:p w:rsidR="00C613B4" w:rsidRPr="00F76336" w:rsidRDefault="00C613B4" w:rsidP="00C613B4">
      <w:pPr>
        <w:pStyle w:val="SingleTxtG"/>
        <w:rPr>
          <w:bCs/>
          <w:lang w:val="fr-FR"/>
        </w:rPr>
      </w:pPr>
      <w:r w:rsidRPr="00D36862">
        <w:rPr>
          <w:lang w:val="fr-FR"/>
        </w:rPr>
        <w:t>6.</w:t>
      </w:r>
      <w:r w:rsidRPr="00D36862">
        <w:rPr>
          <w:lang w:val="fr-FR"/>
        </w:rPr>
        <w:tab/>
        <w:t xml:space="preserve">Le </w:t>
      </w:r>
      <w:r>
        <w:rPr>
          <w:lang w:val="fr-FR"/>
        </w:rPr>
        <w:t>9 février et le 5</w:t>
      </w:r>
      <w:r w:rsidR="004275FF">
        <w:rPr>
          <w:lang w:val="fr-FR"/>
        </w:rPr>
        <w:t> </w:t>
      </w:r>
      <w:r>
        <w:rPr>
          <w:lang w:val="fr-FR"/>
        </w:rPr>
        <w:t>mars 2018, l</w:t>
      </w:r>
      <w:r w:rsidR="009D7A41">
        <w:rPr>
          <w:lang w:val="fr-FR"/>
        </w:rPr>
        <w:t>’</w:t>
      </w:r>
      <w:r>
        <w:rPr>
          <w:lang w:val="fr-FR"/>
        </w:rPr>
        <w:t xml:space="preserve">auteur </w:t>
      </w:r>
      <w:r w:rsidRPr="00D36862">
        <w:rPr>
          <w:lang w:val="fr-FR"/>
        </w:rPr>
        <w:t>a informé le Comité que le 8</w:t>
      </w:r>
      <w:r w:rsidR="004275FF">
        <w:rPr>
          <w:lang w:val="fr-FR"/>
        </w:rPr>
        <w:t> </w:t>
      </w:r>
      <w:r w:rsidRPr="00D36862">
        <w:rPr>
          <w:lang w:val="fr-FR"/>
        </w:rPr>
        <w:t>février 2018, il avait demandé à son ancien employeur, Renault, une indemnisation intégrale sur</w:t>
      </w:r>
      <w:r>
        <w:rPr>
          <w:lang w:val="fr-FR"/>
        </w:rPr>
        <w:t xml:space="preserve"> la base de l</w:t>
      </w:r>
      <w:r w:rsidR="009D7A41">
        <w:rPr>
          <w:lang w:val="fr-FR"/>
        </w:rPr>
        <w:t>’</w:t>
      </w:r>
      <w:r>
        <w:rPr>
          <w:lang w:val="fr-FR"/>
        </w:rPr>
        <w:t>opinion du Comité</w:t>
      </w:r>
      <w:r w:rsidRPr="001F5981">
        <w:rPr>
          <w:rStyle w:val="Appelnotedebasdep"/>
          <w:bCs/>
          <w:lang w:val="fr-FR"/>
        </w:rPr>
        <w:footnoteReference w:id="16"/>
      </w:r>
      <w:r w:rsidR="004275FF">
        <w:rPr>
          <w:lang w:val="fr-FR"/>
        </w:rPr>
        <w:t>.</w:t>
      </w:r>
      <w:r w:rsidRPr="00D36862">
        <w:rPr>
          <w:lang w:val="fr-FR"/>
        </w:rPr>
        <w:t xml:space="preserve"> </w:t>
      </w:r>
      <w:r w:rsidRPr="00F76336">
        <w:rPr>
          <w:lang w:val="fr-FR"/>
        </w:rPr>
        <w:t>Il avait demandé 3,5</w:t>
      </w:r>
      <w:r w:rsidR="00255AC3">
        <w:rPr>
          <w:lang w:val="fr-FR"/>
        </w:rPr>
        <w:t> </w:t>
      </w:r>
      <w:r w:rsidRPr="00F76336">
        <w:rPr>
          <w:lang w:val="fr-FR"/>
        </w:rPr>
        <w:t>millions d</w:t>
      </w:r>
      <w:r w:rsidR="009D7A41">
        <w:rPr>
          <w:lang w:val="fr-FR"/>
        </w:rPr>
        <w:t>’</w:t>
      </w:r>
      <w:r w:rsidRPr="00F76336">
        <w:rPr>
          <w:lang w:val="fr-FR"/>
        </w:rPr>
        <w:t xml:space="preserve">euros </w:t>
      </w:r>
      <w:r>
        <w:rPr>
          <w:lang w:val="fr-FR"/>
        </w:rPr>
        <w:t>à titre de</w:t>
      </w:r>
      <w:r w:rsidRPr="00F76336">
        <w:rPr>
          <w:lang w:val="fr-FR"/>
        </w:rPr>
        <w:t xml:space="preserve"> préjudice financier et 4</w:t>
      </w:r>
      <w:r w:rsidR="004275FF">
        <w:rPr>
          <w:lang w:val="fr-FR"/>
        </w:rPr>
        <w:t> </w:t>
      </w:r>
      <w:r w:rsidRPr="00F76336">
        <w:rPr>
          <w:lang w:val="fr-FR"/>
        </w:rPr>
        <w:t>millions d</w:t>
      </w:r>
      <w:r w:rsidR="009D7A41">
        <w:rPr>
          <w:lang w:val="fr-FR"/>
        </w:rPr>
        <w:t>’</w:t>
      </w:r>
      <w:r w:rsidRPr="00F76336">
        <w:rPr>
          <w:lang w:val="fr-FR"/>
        </w:rPr>
        <w:t>euros pour les dommages moraux et matériels subis, plus les frais de justice. Il</w:t>
      </w:r>
      <w:r w:rsidR="004275FF">
        <w:rPr>
          <w:lang w:val="fr-FR"/>
        </w:rPr>
        <w:t> </w:t>
      </w:r>
      <w:r w:rsidRPr="00F76336">
        <w:rPr>
          <w:lang w:val="fr-FR"/>
        </w:rPr>
        <w:t xml:space="preserve">avait également demandé à être nommé de </w:t>
      </w:r>
      <w:r>
        <w:rPr>
          <w:lang w:val="fr-FR"/>
        </w:rPr>
        <w:t>nouveau à un poste de direction</w:t>
      </w:r>
      <w:r w:rsidRPr="00F76336">
        <w:rPr>
          <w:lang w:val="fr-FR"/>
        </w:rPr>
        <w:t xml:space="preserve">. </w:t>
      </w:r>
    </w:p>
    <w:p w:rsidR="00C613B4" w:rsidRPr="00973D71" w:rsidRDefault="00C613B4" w:rsidP="00C613B4">
      <w:pPr>
        <w:pStyle w:val="SingleTxtG"/>
        <w:rPr>
          <w:bCs/>
          <w:lang w:val="fr-FR"/>
        </w:rPr>
      </w:pPr>
      <w:r w:rsidRPr="00246BD2">
        <w:rPr>
          <w:lang w:val="fr-FR"/>
        </w:rPr>
        <w:t>7.</w:t>
      </w:r>
      <w:r w:rsidRPr="00246BD2">
        <w:rPr>
          <w:lang w:val="fr-FR"/>
        </w:rPr>
        <w:tab/>
      </w:r>
      <w:r>
        <w:rPr>
          <w:lang w:val="fr-FR"/>
        </w:rPr>
        <w:t>Le 16</w:t>
      </w:r>
      <w:r w:rsidR="004275FF">
        <w:rPr>
          <w:lang w:val="fr-FR"/>
        </w:rPr>
        <w:t> </w:t>
      </w:r>
      <w:r>
        <w:rPr>
          <w:lang w:val="fr-FR"/>
        </w:rPr>
        <w:t>mai 2018, l</w:t>
      </w:r>
      <w:r w:rsidR="009D7A41">
        <w:rPr>
          <w:lang w:val="fr-FR"/>
        </w:rPr>
        <w:t>’</w:t>
      </w:r>
      <w:r>
        <w:rPr>
          <w:lang w:val="fr-FR"/>
        </w:rPr>
        <w:t xml:space="preserve">auteur </w:t>
      </w:r>
      <w:r w:rsidRPr="00246BD2">
        <w:rPr>
          <w:lang w:val="fr-FR"/>
        </w:rPr>
        <w:t>a informé le Comité qu</w:t>
      </w:r>
      <w:r w:rsidR="009D7A41">
        <w:rPr>
          <w:lang w:val="fr-FR"/>
        </w:rPr>
        <w:t>’</w:t>
      </w:r>
      <w:r w:rsidRPr="00246BD2">
        <w:rPr>
          <w:lang w:val="fr-FR"/>
        </w:rPr>
        <w:t>il avait adressé une communication à l</w:t>
      </w:r>
      <w:r w:rsidR="009D7A41">
        <w:rPr>
          <w:lang w:val="fr-FR"/>
        </w:rPr>
        <w:t>’</w:t>
      </w:r>
      <w:r w:rsidRPr="00246BD2">
        <w:rPr>
          <w:lang w:val="fr-FR"/>
        </w:rPr>
        <w:t>Organisation des Nations Unies pour l</w:t>
      </w:r>
      <w:r w:rsidR="009D7A41">
        <w:rPr>
          <w:lang w:val="fr-FR"/>
        </w:rPr>
        <w:t>’</w:t>
      </w:r>
      <w:r w:rsidRPr="00246BD2">
        <w:rPr>
          <w:lang w:val="fr-FR"/>
        </w:rPr>
        <w:t>éducation, la science et la culture (UNESCO), indiquant qu</w:t>
      </w:r>
      <w:r w:rsidR="009D7A41">
        <w:rPr>
          <w:lang w:val="fr-FR"/>
        </w:rPr>
        <w:t>’</w:t>
      </w:r>
      <w:r w:rsidRPr="00246BD2">
        <w:rPr>
          <w:lang w:val="fr-FR"/>
        </w:rPr>
        <w:t xml:space="preserve">il avait décidé de </w:t>
      </w:r>
      <w:r w:rsidR="00255AC3">
        <w:rPr>
          <w:lang w:val="fr-FR"/>
        </w:rPr>
        <w:t>« </w:t>
      </w:r>
      <w:r w:rsidRPr="00246BD2">
        <w:rPr>
          <w:lang w:val="fr-FR"/>
        </w:rPr>
        <w:t>se réfugier</w:t>
      </w:r>
      <w:r w:rsidR="00255AC3">
        <w:rPr>
          <w:lang w:val="fr-FR"/>
        </w:rPr>
        <w:t> »</w:t>
      </w:r>
      <w:r w:rsidRPr="00246BD2">
        <w:rPr>
          <w:lang w:val="fr-FR"/>
        </w:rPr>
        <w:t xml:space="preserve"> dans les locaux de l</w:t>
      </w:r>
      <w:r w:rsidR="009D7A41">
        <w:rPr>
          <w:lang w:val="fr-FR"/>
        </w:rPr>
        <w:t>’</w:t>
      </w:r>
      <w:r w:rsidRPr="00246BD2">
        <w:rPr>
          <w:lang w:val="fr-FR"/>
        </w:rPr>
        <w:t>UNESCO jusqu</w:t>
      </w:r>
      <w:r w:rsidR="009D7A41">
        <w:rPr>
          <w:lang w:val="fr-FR"/>
        </w:rPr>
        <w:t>’</w:t>
      </w:r>
      <w:r w:rsidRPr="00246BD2">
        <w:rPr>
          <w:lang w:val="fr-FR"/>
        </w:rPr>
        <w:t xml:space="preserve">à ce que </w:t>
      </w:r>
      <w:r w:rsidRPr="00246BD2">
        <w:rPr>
          <w:lang w:val="fr-FR"/>
        </w:rPr>
        <w:lastRenderedPageBreak/>
        <w:t>l</w:t>
      </w:r>
      <w:r w:rsidR="009D7A41">
        <w:rPr>
          <w:lang w:val="fr-FR"/>
        </w:rPr>
        <w:t>’</w:t>
      </w:r>
      <w:r w:rsidRPr="00246BD2">
        <w:rPr>
          <w:lang w:val="fr-FR"/>
        </w:rPr>
        <w:t>État partie appli</w:t>
      </w:r>
      <w:r>
        <w:rPr>
          <w:lang w:val="fr-FR"/>
        </w:rPr>
        <w:t>que pleinement l</w:t>
      </w:r>
      <w:r w:rsidR="009D7A41">
        <w:rPr>
          <w:lang w:val="fr-FR"/>
        </w:rPr>
        <w:t>’</w:t>
      </w:r>
      <w:r>
        <w:rPr>
          <w:lang w:val="fr-FR"/>
        </w:rPr>
        <w:t>opinion du Comité</w:t>
      </w:r>
      <w:r w:rsidRPr="00246BD2">
        <w:rPr>
          <w:lang w:val="fr-FR"/>
        </w:rPr>
        <w:t xml:space="preserve">. </w:t>
      </w:r>
      <w:r w:rsidRPr="00BA6597">
        <w:rPr>
          <w:lang w:val="fr-FR"/>
        </w:rPr>
        <w:t>Il a également informé le Comité que le 12</w:t>
      </w:r>
      <w:r w:rsidR="00255AC3">
        <w:rPr>
          <w:lang w:val="fr-FR"/>
        </w:rPr>
        <w:t> </w:t>
      </w:r>
      <w:r w:rsidRPr="00BA6597">
        <w:rPr>
          <w:lang w:val="fr-FR"/>
        </w:rPr>
        <w:t>septembre 2016 et le 29</w:t>
      </w:r>
      <w:r w:rsidR="00255AC3">
        <w:rPr>
          <w:lang w:val="fr-FR"/>
        </w:rPr>
        <w:t> </w:t>
      </w:r>
      <w:r w:rsidRPr="00BA6597">
        <w:rPr>
          <w:lang w:val="fr-FR"/>
        </w:rPr>
        <w:t xml:space="preserve">janvier 2018, son avocat avait demandé à la </w:t>
      </w:r>
      <w:r w:rsidR="000972D8">
        <w:rPr>
          <w:lang w:val="fr-FR"/>
        </w:rPr>
        <w:t>c</w:t>
      </w:r>
      <w:r w:rsidRPr="00BA6597">
        <w:rPr>
          <w:lang w:val="fr-FR"/>
        </w:rPr>
        <w:t>our d</w:t>
      </w:r>
      <w:r w:rsidR="009D7A41">
        <w:rPr>
          <w:lang w:val="fr-FR"/>
        </w:rPr>
        <w:t>’</w:t>
      </w:r>
      <w:r w:rsidRPr="00BA6597">
        <w:rPr>
          <w:lang w:val="fr-FR"/>
        </w:rPr>
        <w:t xml:space="preserve">appel de Versailles de lui accorder une indemnisation conformément à </w:t>
      </w:r>
      <w:r>
        <w:rPr>
          <w:lang w:val="fr-FR"/>
        </w:rPr>
        <w:t>l</w:t>
      </w:r>
      <w:r w:rsidR="009D7A41">
        <w:rPr>
          <w:lang w:val="fr-FR"/>
        </w:rPr>
        <w:t>’</w:t>
      </w:r>
      <w:r>
        <w:rPr>
          <w:lang w:val="fr-FR"/>
        </w:rPr>
        <w:t>opinion du Comité</w:t>
      </w:r>
      <w:r w:rsidRPr="001F5981">
        <w:rPr>
          <w:rStyle w:val="Appelnotedebasdep"/>
          <w:bCs/>
          <w:lang w:val="fr-FR"/>
        </w:rPr>
        <w:footnoteReference w:id="17"/>
      </w:r>
      <w:r w:rsidR="00255AC3">
        <w:rPr>
          <w:lang w:val="fr-FR"/>
        </w:rPr>
        <w:t>.</w:t>
      </w:r>
      <w:r w:rsidRPr="00BA6597">
        <w:rPr>
          <w:lang w:val="fr-FR"/>
        </w:rPr>
        <w:t xml:space="preserve"> </w:t>
      </w:r>
      <w:r w:rsidRPr="00753B60">
        <w:rPr>
          <w:lang w:val="fr-FR"/>
        </w:rPr>
        <w:t>Il a en outre indiqué que le 28</w:t>
      </w:r>
      <w:r w:rsidR="00255AC3">
        <w:rPr>
          <w:lang w:val="fr-FR"/>
        </w:rPr>
        <w:t> </w:t>
      </w:r>
      <w:r w:rsidRPr="00753B60">
        <w:rPr>
          <w:lang w:val="fr-FR"/>
        </w:rPr>
        <w:t>février 2018, son ancien employeur l</w:t>
      </w:r>
      <w:r w:rsidR="009D7A41">
        <w:rPr>
          <w:lang w:val="fr-FR"/>
        </w:rPr>
        <w:t>’</w:t>
      </w:r>
      <w:r w:rsidRPr="00753B60">
        <w:rPr>
          <w:lang w:val="fr-FR"/>
        </w:rPr>
        <w:t xml:space="preserve">avait informé de son interprétation de </w:t>
      </w:r>
      <w:r>
        <w:rPr>
          <w:lang w:val="fr-FR"/>
        </w:rPr>
        <w:t>l</w:t>
      </w:r>
      <w:r w:rsidR="009D7A41">
        <w:rPr>
          <w:lang w:val="fr-FR"/>
        </w:rPr>
        <w:t>’</w:t>
      </w:r>
      <w:r>
        <w:rPr>
          <w:lang w:val="fr-FR"/>
        </w:rPr>
        <w:t>opinion</w:t>
      </w:r>
      <w:r w:rsidRPr="00753B60">
        <w:rPr>
          <w:lang w:val="fr-FR"/>
        </w:rPr>
        <w:t xml:space="preserve">. </w:t>
      </w:r>
      <w:r w:rsidRPr="00973D71">
        <w:rPr>
          <w:lang w:val="fr-FR"/>
        </w:rPr>
        <w:t xml:space="preserve">Il </w:t>
      </w:r>
      <w:r>
        <w:rPr>
          <w:lang w:val="fr-FR"/>
        </w:rPr>
        <w:t xml:space="preserve">juge cette </w:t>
      </w:r>
      <w:r w:rsidRPr="00973D71">
        <w:rPr>
          <w:lang w:val="fr-FR"/>
        </w:rPr>
        <w:t xml:space="preserve">interprétation </w:t>
      </w:r>
      <w:r w:rsidR="00255AC3">
        <w:rPr>
          <w:lang w:val="fr-FR"/>
        </w:rPr>
        <w:t>« </w:t>
      </w:r>
      <w:r w:rsidRPr="00973D71">
        <w:rPr>
          <w:lang w:val="fr-FR"/>
        </w:rPr>
        <w:t>aléatoire</w:t>
      </w:r>
      <w:r w:rsidR="00255AC3">
        <w:rPr>
          <w:lang w:val="fr-FR"/>
        </w:rPr>
        <w:t> »</w:t>
      </w:r>
      <w:r w:rsidRPr="00973D71">
        <w:rPr>
          <w:lang w:val="fr-FR"/>
        </w:rPr>
        <w:t xml:space="preserve"> et </w:t>
      </w:r>
      <w:r>
        <w:rPr>
          <w:lang w:val="fr-FR"/>
        </w:rPr>
        <w:t>signale</w:t>
      </w:r>
      <w:r w:rsidRPr="00973D71">
        <w:rPr>
          <w:lang w:val="fr-FR"/>
        </w:rPr>
        <w:t xml:space="preserve"> que la mise en œuvre de cette interprétation violerait l</w:t>
      </w:r>
      <w:r w:rsidR="009D7A41">
        <w:rPr>
          <w:lang w:val="fr-FR"/>
        </w:rPr>
        <w:t>’</w:t>
      </w:r>
      <w:r w:rsidR="00255AC3">
        <w:rPr>
          <w:lang w:val="fr-FR"/>
        </w:rPr>
        <w:t>article </w:t>
      </w:r>
      <w:r w:rsidRPr="00973D71">
        <w:rPr>
          <w:lang w:val="fr-FR"/>
        </w:rPr>
        <w:t>55 de la Constitution, car l</w:t>
      </w:r>
      <w:r w:rsidR="009D7A41">
        <w:rPr>
          <w:lang w:val="fr-FR"/>
        </w:rPr>
        <w:t>’</w:t>
      </w:r>
      <w:r w:rsidRPr="00973D71">
        <w:rPr>
          <w:lang w:val="fr-FR"/>
        </w:rPr>
        <w:t>interprétation donne la primauté aux vues des autorités nationales sur celles du Comité dans le but de le priver d</w:t>
      </w:r>
      <w:r w:rsidR="009D7A41">
        <w:rPr>
          <w:lang w:val="fr-FR"/>
        </w:rPr>
        <w:t>’</w:t>
      </w:r>
      <w:r w:rsidRPr="00973D71">
        <w:rPr>
          <w:lang w:val="fr-FR"/>
        </w:rPr>
        <w:t>indemnisation, en imposant la charge de cette indemnisation à l</w:t>
      </w:r>
      <w:r w:rsidR="009D7A41">
        <w:rPr>
          <w:lang w:val="fr-FR"/>
        </w:rPr>
        <w:t>’</w:t>
      </w:r>
      <w:r w:rsidRPr="00973D71">
        <w:rPr>
          <w:lang w:val="fr-FR"/>
        </w:rPr>
        <w:t>État partie et non à l</w:t>
      </w:r>
      <w:r w:rsidR="009D7A41">
        <w:rPr>
          <w:lang w:val="fr-FR"/>
        </w:rPr>
        <w:t>’</w:t>
      </w:r>
      <w:r w:rsidRPr="00973D71">
        <w:rPr>
          <w:lang w:val="fr-FR"/>
        </w:rPr>
        <w:t>entreprise</w:t>
      </w:r>
      <w:r>
        <w:rPr>
          <w:lang w:val="fr-FR"/>
        </w:rPr>
        <w:t xml:space="preserve"> elle-même</w:t>
      </w:r>
      <w:r w:rsidRPr="001F5981">
        <w:rPr>
          <w:rStyle w:val="Appelnotedebasdep"/>
          <w:bCs/>
          <w:lang w:val="fr-FR"/>
        </w:rPr>
        <w:footnoteReference w:id="18"/>
      </w:r>
      <w:r w:rsidR="000972D8">
        <w:rPr>
          <w:lang w:val="fr-FR"/>
        </w:rPr>
        <w:t>.</w:t>
      </w:r>
    </w:p>
    <w:p w:rsidR="00C613B4" w:rsidRPr="00413A05" w:rsidRDefault="00C613B4" w:rsidP="00255AC3">
      <w:pPr>
        <w:pStyle w:val="H23G"/>
        <w:rPr>
          <w:lang w:val="fr-FR"/>
        </w:rPr>
      </w:pPr>
      <w:r w:rsidRPr="00973D71">
        <w:rPr>
          <w:lang w:val="fr-FR"/>
        </w:rPr>
        <w:tab/>
      </w:r>
      <w:r w:rsidRPr="00973D71">
        <w:rPr>
          <w:lang w:val="fr-FR"/>
        </w:rPr>
        <w:tab/>
      </w:r>
      <w:r w:rsidRPr="00413A05">
        <w:rPr>
          <w:lang w:val="fr-FR"/>
        </w:rPr>
        <w:t>Réponse de l</w:t>
      </w:r>
      <w:r w:rsidR="009D7A41">
        <w:rPr>
          <w:lang w:val="fr-FR"/>
        </w:rPr>
        <w:t>’</w:t>
      </w:r>
      <w:r w:rsidRPr="00413A05">
        <w:rPr>
          <w:lang w:val="fr-FR"/>
        </w:rPr>
        <w:t>État partie</w:t>
      </w:r>
    </w:p>
    <w:p w:rsidR="00C613B4" w:rsidRPr="00650E29" w:rsidRDefault="00C613B4" w:rsidP="00C613B4">
      <w:pPr>
        <w:pStyle w:val="SingleTxtG"/>
        <w:rPr>
          <w:bCs/>
          <w:lang w:val="fr-FR"/>
        </w:rPr>
      </w:pPr>
      <w:r w:rsidRPr="00650E29">
        <w:rPr>
          <w:lang w:val="fr-FR"/>
        </w:rPr>
        <w:t>8.</w:t>
      </w:r>
      <w:r w:rsidRPr="00650E29">
        <w:rPr>
          <w:lang w:val="fr-FR"/>
        </w:rPr>
        <w:tab/>
      </w:r>
      <w:r>
        <w:rPr>
          <w:lang w:val="fr-FR"/>
        </w:rPr>
        <w:t>On attend l</w:t>
      </w:r>
      <w:r w:rsidRPr="00650E29">
        <w:rPr>
          <w:lang w:val="fr-FR"/>
        </w:rPr>
        <w:t>a réponse de l</w:t>
      </w:r>
      <w:r w:rsidR="009D7A41">
        <w:rPr>
          <w:lang w:val="fr-FR"/>
        </w:rPr>
        <w:t>’</w:t>
      </w:r>
      <w:r w:rsidRPr="00650E29">
        <w:rPr>
          <w:lang w:val="fr-FR"/>
        </w:rPr>
        <w:t>État partie.</w:t>
      </w:r>
    </w:p>
    <w:p w:rsidR="00C613B4" w:rsidRPr="006F1F71" w:rsidRDefault="00C613B4" w:rsidP="00255AC3">
      <w:pPr>
        <w:pStyle w:val="H23G"/>
        <w:rPr>
          <w:lang w:val="fr-FR"/>
        </w:rPr>
      </w:pPr>
      <w:r w:rsidRPr="00650E29">
        <w:rPr>
          <w:lang w:val="fr-FR"/>
        </w:rPr>
        <w:tab/>
      </w:r>
      <w:r w:rsidRPr="00650E29">
        <w:rPr>
          <w:lang w:val="fr-FR"/>
        </w:rPr>
        <w:tab/>
      </w:r>
      <w:r>
        <w:rPr>
          <w:lang w:val="fr-FR"/>
        </w:rPr>
        <w:t xml:space="preserve">Autres mesures proposées ou décisions du Comité </w:t>
      </w:r>
    </w:p>
    <w:p w:rsidR="00C613B4" w:rsidRPr="006F1F71" w:rsidRDefault="00C613B4" w:rsidP="00C613B4">
      <w:pPr>
        <w:pStyle w:val="SingleTxtG"/>
        <w:rPr>
          <w:lang w:val="fr-FR"/>
        </w:rPr>
      </w:pPr>
      <w:r>
        <w:rPr>
          <w:lang w:val="fr-FR"/>
        </w:rPr>
        <w:t>9.</w:t>
      </w:r>
      <w:r>
        <w:rPr>
          <w:lang w:val="fr-FR"/>
        </w:rPr>
        <w:tab/>
        <w:t>Le dialogue se poursuit.</w:t>
      </w:r>
    </w:p>
    <w:p w:rsidR="00C613B4" w:rsidRPr="006F1F71" w:rsidRDefault="00C613B4" w:rsidP="00255AC3">
      <w:pPr>
        <w:pStyle w:val="H1G"/>
        <w:rPr>
          <w:lang w:val="fr-FR"/>
        </w:rPr>
      </w:pPr>
      <w:r>
        <w:rPr>
          <w:lang w:val="fr-FR"/>
        </w:rPr>
        <w:tab/>
      </w:r>
      <w:r>
        <w:rPr>
          <w:lang w:val="fr-FR"/>
        </w:rPr>
        <w:tab/>
        <w:t>République de Corée</w:t>
      </w:r>
    </w:p>
    <w:p w:rsidR="00C613B4" w:rsidRPr="006F1F71" w:rsidRDefault="00C613B4" w:rsidP="00255AC3">
      <w:pPr>
        <w:pStyle w:val="H23G"/>
        <w:rPr>
          <w:lang w:val="fr-FR"/>
        </w:rPr>
      </w:pPr>
      <w:r>
        <w:rPr>
          <w:lang w:val="fr-FR"/>
        </w:rPr>
        <w:tab/>
      </w:r>
      <w:r>
        <w:rPr>
          <w:lang w:val="fr-FR"/>
        </w:rPr>
        <w:tab/>
        <w:t xml:space="preserve">L. G., opinion </w:t>
      </w:r>
      <w:r w:rsidR="00255AC3" w:rsidRPr="00255AC3">
        <w:rPr>
          <w:rFonts w:eastAsia="MS Mincho"/>
          <w:lang w:val="fr-FR"/>
        </w:rPr>
        <w:t>n</w:t>
      </w:r>
      <w:r w:rsidR="00255AC3" w:rsidRPr="00255AC3">
        <w:rPr>
          <w:rFonts w:eastAsia="MS Mincho"/>
          <w:vertAlign w:val="superscript"/>
          <w:lang w:val="fr-FR"/>
        </w:rPr>
        <w:t>o</w:t>
      </w:r>
      <w:r w:rsidR="00255AC3">
        <w:rPr>
          <w:lang w:val="fr-FR"/>
        </w:rPr>
        <w:t> </w:t>
      </w:r>
      <w:r>
        <w:rPr>
          <w:lang w:val="fr-FR"/>
        </w:rPr>
        <w:t>51/2012, adoptée le 1</w:t>
      </w:r>
      <w:r w:rsidRPr="0047214C">
        <w:rPr>
          <w:vertAlign w:val="superscript"/>
          <w:lang w:val="fr-FR"/>
        </w:rPr>
        <w:t>er</w:t>
      </w:r>
      <w:r w:rsidR="00255AC3">
        <w:rPr>
          <w:lang w:val="fr-FR"/>
        </w:rPr>
        <w:t> </w:t>
      </w:r>
      <w:r>
        <w:rPr>
          <w:lang w:val="fr-FR"/>
        </w:rPr>
        <w:t>mai 2015</w:t>
      </w:r>
    </w:p>
    <w:p w:rsidR="00C613B4" w:rsidRPr="006F1F71" w:rsidRDefault="00C613B4" w:rsidP="00255AC3">
      <w:pPr>
        <w:pStyle w:val="H23G"/>
        <w:rPr>
          <w:lang w:val="fr-FR"/>
        </w:rPr>
      </w:pPr>
      <w:r>
        <w:rPr>
          <w:lang w:val="fr-FR"/>
        </w:rPr>
        <w:tab/>
      </w:r>
      <w:r>
        <w:rPr>
          <w:lang w:val="fr-FR"/>
        </w:rPr>
        <w:tab/>
        <w:t>Questions soulevées et violations constatées</w:t>
      </w:r>
    </w:p>
    <w:p w:rsidR="00C613B4" w:rsidRPr="006F1F71" w:rsidRDefault="00C613B4" w:rsidP="00C613B4">
      <w:pPr>
        <w:pStyle w:val="SingleTxtG"/>
        <w:rPr>
          <w:lang w:val="fr-FR"/>
        </w:rPr>
      </w:pPr>
      <w:r>
        <w:rPr>
          <w:lang w:val="fr-FR"/>
        </w:rPr>
        <w:t>10.</w:t>
      </w:r>
      <w:r>
        <w:rPr>
          <w:lang w:val="fr-FR"/>
        </w:rPr>
        <w:tab/>
        <w:t>La question dont le Comité était saisi était l</w:t>
      </w:r>
      <w:r w:rsidR="009D7A41">
        <w:rPr>
          <w:lang w:val="fr-FR"/>
        </w:rPr>
        <w:t>’</w:t>
      </w:r>
      <w:r>
        <w:rPr>
          <w:lang w:val="fr-FR"/>
        </w:rPr>
        <w:t>absence de protection efficace contre un acte présumé de discrimination raciale. Suite à la mise en œuvre d</w:t>
      </w:r>
      <w:r w:rsidR="009D7A41">
        <w:rPr>
          <w:lang w:val="fr-FR"/>
        </w:rPr>
        <w:t>’</w:t>
      </w:r>
      <w:r>
        <w:rPr>
          <w:lang w:val="fr-FR"/>
        </w:rPr>
        <w:t>une politique de dépistage obligatoire du VIH/sida et des drogues illégales concernant uniquement les enseignants de langue maternelle anglaise, le droit de l</w:t>
      </w:r>
      <w:r w:rsidR="009D7A41">
        <w:rPr>
          <w:lang w:val="fr-FR"/>
        </w:rPr>
        <w:t>’</w:t>
      </w:r>
      <w:r>
        <w:rPr>
          <w:lang w:val="fr-FR"/>
        </w:rPr>
        <w:t>auteure au travail a été violé (art.</w:t>
      </w:r>
      <w:r w:rsidR="00424833">
        <w:rPr>
          <w:lang w:val="fr-FR"/>
        </w:rPr>
        <w:t> </w:t>
      </w:r>
      <w:r>
        <w:rPr>
          <w:lang w:val="fr-FR"/>
        </w:rPr>
        <w:t>5</w:t>
      </w:r>
      <w:r w:rsidR="00424833">
        <w:rPr>
          <w:lang w:val="fr-FR"/>
        </w:rPr>
        <w:t> </w:t>
      </w:r>
      <w:r w:rsidR="000972D8">
        <w:rPr>
          <w:lang w:val="fr-FR"/>
        </w:rPr>
        <w:t>e </w:t>
      </w:r>
      <w:r>
        <w:rPr>
          <w:lang w:val="fr-FR"/>
        </w:rPr>
        <w:t>i)), ce qui l</w:t>
      </w:r>
      <w:r w:rsidR="009D7A41">
        <w:rPr>
          <w:lang w:val="fr-FR"/>
        </w:rPr>
        <w:t>’</w:t>
      </w:r>
      <w:r>
        <w:rPr>
          <w:lang w:val="fr-FR"/>
        </w:rPr>
        <w:t>a privée de son droit à une protection et à des voies de recours utiles contre l</w:t>
      </w:r>
      <w:r w:rsidR="009D7A41">
        <w:rPr>
          <w:lang w:val="fr-FR"/>
        </w:rPr>
        <w:t>’</w:t>
      </w:r>
      <w:r>
        <w:rPr>
          <w:lang w:val="fr-FR"/>
        </w:rPr>
        <w:t>acte de discrimination raciale dénoncé (art.</w:t>
      </w:r>
      <w:r w:rsidR="00424833">
        <w:rPr>
          <w:lang w:val="fr-FR"/>
        </w:rPr>
        <w:t> </w:t>
      </w:r>
      <w:r>
        <w:rPr>
          <w:lang w:val="fr-FR"/>
        </w:rPr>
        <w:t>6). En outre, l</w:t>
      </w:r>
      <w:r w:rsidR="009D7A41">
        <w:rPr>
          <w:lang w:val="fr-FR"/>
        </w:rPr>
        <w:t>’</w:t>
      </w:r>
      <w:r>
        <w:rPr>
          <w:lang w:val="fr-FR"/>
        </w:rPr>
        <w:t>État partie n</w:t>
      </w:r>
      <w:r w:rsidR="009D7A41">
        <w:rPr>
          <w:lang w:val="fr-FR"/>
        </w:rPr>
        <w:t>’</w:t>
      </w:r>
      <w:r>
        <w:rPr>
          <w:lang w:val="fr-FR"/>
        </w:rPr>
        <w:t>a pas pris de mesures efficaces pour revoir les politiques gouvernementales, modifier, abroger ou annuler les lois ou les règlements qui perpétuent la discrimination raciale et interdire et mettre fin, par tous les moyens appropriés, à la discrimination raciale, en violation du paragraphe</w:t>
      </w:r>
      <w:r w:rsidR="00424833">
        <w:rPr>
          <w:lang w:val="fr-FR"/>
        </w:rPr>
        <w:t> </w:t>
      </w:r>
      <w:r>
        <w:rPr>
          <w:lang w:val="fr-FR"/>
        </w:rPr>
        <w:t>1</w:t>
      </w:r>
      <w:r w:rsidR="00424833">
        <w:rPr>
          <w:lang w:val="fr-FR"/>
        </w:rPr>
        <w:t> </w:t>
      </w:r>
      <w:r>
        <w:rPr>
          <w:lang w:val="fr-FR"/>
        </w:rPr>
        <w:t>c) de l</w:t>
      </w:r>
      <w:r w:rsidR="009D7A41">
        <w:rPr>
          <w:lang w:val="fr-FR"/>
        </w:rPr>
        <w:t>’</w:t>
      </w:r>
      <w:r>
        <w:rPr>
          <w:lang w:val="fr-FR"/>
        </w:rPr>
        <w:t>article</w:t>
      </w:r>
      <w:r w:rsidR="00424833">
        <w:rPr>
          <w:lang w:val="fr-FR"/>
        </w:rPr>
        <w:t> </w:t>
      </w:r>
      <w:r>
        <w:rPr>
          <w:lang w:val="fr-FR"/>
        </w:rPr>
        <w:t>2 de la Convention.</w:t>
      </w:r>
    </w:p>
    <w:p w:rsidR="00C613B4" w:rsidRPr="006F1F71" w:rsidRDefault="00C613B4" w:rsidP="00424833">
      <w:pPr>
        <w:pStyle w:val="H23G"/>
        <w:rPr>
          <w:lang w:val="fr-FR"/>
        </w:rPr>
      </w:pPr>
      <w:r>
        <w:rPr>
          <w:lang w:val="fr-FR"/>
        </w:rPr>
        <w:tab/>
      </w:r>
      <w:r>
        <w:rPr>
          <w:lang w:val="fr-FR"/>
        </w:rPr>
        <w:tab/>
        <w:t>Réparation recommandée</w:t>
      </w:r>
    </w:p>
    <w:p w:rsidR="00C613B4" w:rsidRPr="006F1F71" w:rsidRDefault="00C613B4" w:rsidP="00C613B4">
      <w:pPr>
        <w:pStyle w:val="SingleTxtG"/>
        <w:rPr>
          <w:lang w:val="fr-FR"/>
        </w:rPr>
      </w:pPr>
      <w:r>
        <w:rPr>
          <w:lang w:val="fr-FR"/>
        </w:rPr>
        <w:t>11.</w:t>
      </w:r>
      <w:r>
        <w:rPr>
          <w:lang w:val="fr-FR"/>
        </w:rPr>
        <w:tab/>
        <w:t>Le Comité a recommandé à l</w:t>
      </w:r>
      <w:r w:rsidR="009D7A41">
        <w:rPr>
          <w:lang w:val="fr-FR"/>
        </w:rPr>
        <w:t>’</w:t>
      </w:r>
      <w:r>
        <w:rPr>
          <w:lang w:val="fr-FR"/>
        </w:rPr>
        <w:t>État partie d</w:t>
      </w:r>
      <w:r w:rsidR="009D7A41">
        <w:rPr>
          <w:lang w:val="fr-FR"/>
        </w:rPr>
        <w:t>’</w:t>
      </w:r>
      <w:r>
        <w:rPr>
          <w:lang w:val="fr-FR"/>
        </w:rPr>
        <w:t>octroyer à l</w:t>
      </w:r>
      <w:r w:rsidR="009D7A41">
        <w:rPr>
          <w:lang w:val="fr-FR"/>
        </w:rPr>
        <w:t>’</w:t>
      </w:r>
      <w:r>
        <w:rPr>
          <w:lang w:val="fr-FR"/>
        </w:rPr>
        <w:t>auteure une indemnisation adéquate pour le préjudice moral et matériel subi par lesdites violations de la Convention, y</w:t>
      </w:r>
      <w:r w:rsidR="00424833">
        <w:rPr>
          <w:lang w:val="fr-FR"/>
        </w:rPr>
        <w:t> </w:t>
      </w:r>
      <w:r>
        <w:rPr>
          <w:lang w:val="fr-FR"/>
        </w:rPr>
        <w:t>compris une indemnisation pour la perte de salaires durant l</w:t>
      </w:r>
      <w:r w:rsidR="009D7A41">
        <w:rPr>
          <w:lang w:val="fr-FR"/>
        </w:rPr>
        <w:t>’</w:t>
      </w:r>
      <w:r>
        <w:rPr>
          <w:lang w:val="fr-FR"/>
        </w:rPr>
        <w:t>année où elle a été empêchée de travailler. Il lui a recommandé aussi de prendre les mesures appropriées pour revoir les règlements et politiques adoptés en ce qui concerne l</w:t>
      </w:r>
      <w:r w:rsidR="009D7A41">
        <w:rPr>
          <w:lang w:val="fr-FR"/>
        </w:rPr>
        <w:t>’</w:t>
      </w:r>
      <w:r>
        <w:rPr>
          <w:lang w:val="fr-FR"/>
        </w:rPr>
        <w:t>emploi d</w:t>
      </w:r>
      <w:r w:rsidR="009D7A41">
        <w:rPr>
          <w:lang w:val="fr-FR"/>
        </w:rPr>
        <w:t>’</w:t>
      </w:r>
      <w:r>
        <w:rPr>
          <w:lang w:val="fr-FR"/>
        </w:rPr>
        <w:t>étrangers et d</w:t>
      </w:r>
      <w:r w:rsidR="009D7A41">
        <w:rPr>
          <w:lang w:val="fr-FR"/>
        </w:rPr>
        <w:t>’</w:t>
      </w:r>
      <w:r>
        <w:rPr>
          <w:lang w:val="fr-FR"/>
        </w:rPr>
        <w:t>abolir, en droit comme en pratique, tout texte de loi, règlement, politique ou autre mesure qui a pour effet de créer la discrimination raciale ou de la perpétuer. Le Comité a en outre recommandé à l</w:t>
      </w:r>
      <w:r w:rsidR="009D7A41">
        <w:rPr>
          <w:lang w:val="fr-FR"/>
        </w:rPr>
        <w:t>’</w:t>
      </w:r>
      <w:r>
        <w:rPr>
          <w:lang w:val="fr-FR"/>
        </w:rPr>
        <w:t>État partie de lutter contre les stéréotypes et la stigmatisation des étrangers par des agents de l</w:t>
      </w:r>
      <w:r w:rsidR="009D7A41">
        <w:rPr>
          <w:lang w:val="fr-FR"/>
        </w:rPr>
        <w:t>’</w:t>
      </w:r>
      <w:r>
        <w:rPr>
          <w:lang w:val="fr-FR"/>
        </w:rPr>
        <w:t>État, les médias et le grand public, et</w:t>
      </w:r>
      <w:r w:rsidRPr="00B27A16">
        <w:rPr>
          <w:lang w:val="fr-FR"/>
        </w:rPr>
        <w:t xml:space="preserve"> </w:t>
      </w:r>
      <w:r>
        <w:rPr>
          <w:lang w:val="fr-FR"/>
        </w:rPr>
        <w:t>a demandé à l</w:t>
      </w:r>
      <w:r w:rsidR="009D7A41">
        <w:rPr>
          <w:lang w:val="fr-FR"/>
        </w:rPr>
        <w:t>’</w:t>
      </w:r>
      <w:r>
        <w:rPr>
          <w:lang w:val="fr-FR"/>
        </w:rPr>
        <w:t>État partie de diffuser largement son opinion.</w:t>
      </w:r>
    </w:p>
    <w:p w:rsidR="00C613B4" w:rsidRPr="006F1F71" w:rsidRDefault="00C613B4" w:rsidP="00424833">
      <w:pPr>
        <w:pStyle w:val="H23G"/>
        <w:rPr>
          <w:lang w:val="fr-FR"/>
        </w:rPr>
      </w:pPr>
      <w:r>
        <w:rPr>
          <w:lang w:val="fr-FR"/>
        </w:rPr>
        <w:tab/>
      </w:r>
      <w:r>
        <w:rPr>
          <w:lang w:val="fr-FR"/>
        </w:rPr>
        <w:tab/>
        <w:t>Rapports initiaux ou périodiques examinés depuis l</w:t>
      </w:r>
      <w:r w:rsidR="009D7A41">
        <w:rPr>
          <w:lang w:val="fr-FR"/>
        </w:rPr>
        <w:t>’</w:t>
      </w:r>
      <w:r>
        <w:rPr>
          <w:lang w:val="fr-FR"/>
        </w:rPr>
        <w:t>adoption de l</w:t>
      </w:r>
      <w:r w:rsidR="009D7A41">
        <w:rPr>
          <w:lang w:val="fr-FR"/>
        </w:rPr>
        <w:t>’</w:t>
      </w:r>
      <w:r>
        <w:rPr>
          <w:lang w:val="fr-FR"/>
        </w:rPr>
        <w:t>opinion</w:t>
      </w:r>
    </w:p>
    <w:p w:rsidR="00C613B4" w:rsidRPr="006F1F71" w:rsidRDefault="00C613B4" w:rsidP="00C613B4">
      <w:pPr>
        <w:pStyle w:val="SingleTxtG"/>
        <w:rPr>
          <w:lang w:val="fr-FR"/>
        </w:rPr>
      </w:pPr>
      <w:r>
        <w:rPr>
          <w:lang w:val="fr-FR"/>
        </w:rPr>
        <w:t>12.</w:t>
      </w:r>
      <w:r>
        <w:rPr>
          <w:lang w:val="fr-FR"/>
        </w:rPr>
        <w:tab/>
        <w:t>Le Comité n</w:t>
      </w:r>
      <w:r w:rsidR="009D7A41">
        <w:rPr>
          <w:lang w:val="fr-FR"/>
        </w:rPr>
        <w:t>’</w:t>
      </w:r>
      <w:r>
        <w:rPr>
          <w:lang w:val="fr-FR"/>
        </w:rPr>
        <w:t>a pas examiné de rapport périodique de l</w:t>
      </w:r>
      <w:r w:rsidR="009D7A41">
        <w:rPr>
          <w:lang w:val="fr-FR"/>
        </w:rPr>
        <w:t>’</w:t>
      </w:r>
      <w:r>
        <w:rPr>
          <w:lang w:val="fr-FR"/>
        </w:rPr>
        <w:t>État partie depuis l</w:t>
      </w:r>
      <w:r w:rsidR="009D7A41">
        <w:rPr>
          <w:lang w:val="fr-FR"/>
        </w:rPr>
        <w:t>’</w:t>
      </w:r>
      <w:r>
        <w:rPr>
          <w:lang w:val="fr-FR"/>
        </w:rPr>
        <w:t>adoption de l</w:t>
      </w:r>
      <w:r w:rsidR="009D7A41">
        <w:rPr>
          <w:lang w:val="fr-FR"/>
        </w:rPr>
        <w:t>’</w:t>
      </w:r>
      <w:r>
        <w:rPr>
          <w:lang w:val="fr-FR"/>
        </w:rPr>
        <w:t>opinion.</w:t>
      </w:r>
    </w:p>
    <w:p w:rsidR="00C613B4" w:rsidRPr="006F1F71" w:rsidRDefault="00C613B4" w:rsidP="00424833">
      <w:pPr>
        <w:pStyle w:val="H23G"/>
        <w:rPr>
          <w:lang w:val="fr-FR"/>
        </w:rPr>
      </w:pPr>
      <w:r>
        <w:rPr>
          <w:lang w:val="fr-FR"/>
        </w:rPr>
        <w:tab/>
      </w:r>
      <w:r>
        <w:rPr>
          <w:lang w:val="fr-FR"/>
        </w:rPr>
        <w:tab/>
        <w:t>Précédentes informations concernant le suivi</w:t>
      </w:r>
    </w:p>
    <w:p w:rsidR="00C613B4" w:rsidRPr="006F1F71" w:rsidRDefault="00C613B4" w:rsidP="00C613B4">
      <w:pPr>
        <w:pStyle w:val="SingleTxtG"/>
        <w:rPr>
          <w:bCs/>
          <w:lang w:val="fr-FR"/>
        </w:rPr>
      </w:pPr>
      <w:r>
        <w:rPr>
          <w:lang w:val="fr-FR"/>
        </w:rPr>
        <w:t>13.</w:t>
      </w:r>
      <w:r>
        <w:rPr>
          <w:lang w:val="fr-FR"/>
        </w:rPr>
        <w:tab/>
        <w:t xml:space="preserve">Les précédentes informations de suivi figurent dans le document </w:t>
      </w:r>
      <w:hyperlink r:id="rId92" w:history="1">
        <w:r w:rsidRPr="00424833">
          <w:rPr>
            <w:rStyle w:val="Lienhypertexte"/>
            <w:lang w:val="fr-FR"/>
          </w:rPr>
          <w:t>A/71/18</w:t>
        </w:r>
      </w:hyperlink>
      <w:r>
        <w:rPr>
          <w:lang w:val="fr-FR"/>
        </w:rPr>
        <w:t>.</w:t>
      </w:r>
    </w:p>
    <w:p w:rsidR="00C613B4" w:rsidRPr="004E38E2" w:rsidRDefault="00C613B4" w:rsidP="00424833">
      <w:pPr>
        <w:pStyle w:val="H23G"/>
        <w:rPr>
          <w:lang w:val="fr-FR"/>
        </w:rPr>
      </w:pPr>
      <w:r>
        <w:rPr>
          <w:lang w:val="fr-FR"/>
        </w:rPr>
        <w:lastRenderedPageBreak/>
        <w:tab/>
      </w:r>
      <w:r>
        <w:rPr>
          <w:lang w:val="fr-FR"/>
        </w:rPr>
        <w:tab/>
      </w:r>
      <w:r w:rsidRPr="004E38E2">
        <w:rPr>
          <w:lang w:val="fr-FR"/>
        </w:rPr>
        <w:t>Nouveaux commentaires de l</w:t>
      </w:r>
      <w:r w:rsidR="009D7A41">
        <w:rPr>
          <w:lang w:val="fr-FR"/>
        </w:rPr>
        <w:t>’</w:t>
      </w:r>
      <w:r w:rsidRPr="004E38E2">
        <w:rPr>
          <w:lang w:val="fr-FR"/>
        </w:rPr>
        <w:t>auteure</w:t>
      </w:r>
    </w:p>
    <w:p w:rsidR="00C613B4" w:rsidRPr="001C62AA" w:rsidRDefault="00C613B4" w:rsidP="00C613B4">
      <w:pPr>
        <w:pStyle w:val="SingleTxtG"/>
        <w:rPr>
          <w:bCs/>
          <w:lang w:val="fr-FR"/>
        </w:rPr>
      </w:pPr>
      <w:r w:rsidRPr="008A1404">
        <w:rPr>
          <w:lang w:val="fr-FR"/>
        </w:rPr>
        <w:t>14.</w:t>
      </w:r>
      <w:r w:rsidRPr="008A1404">
        <w:rPr>
          <w:lang w:val="fr-FR"/>
        </w:rPr>
        <w:tab/>
        <w:t>Le 16</w:t>
      </w:r>
      <w:r w:rsidR="00F94176">
        <w:rPr>
          <w:lang w:val="fr-FR"/>
        </w:rPr>
        <w:t> </w:t>
      </w:r>
      <w:r w:rsidRPr="008A1404">
        <w:rPr>
          <w:lang w:val="fr-FR"/>
        </w:rPr>
        <w:t>octobre 2017, l</w:t>
      </w:r>
      <w:r w:rsidR="009D7A41">
        <w:rPr>
          <w:lang w:val="fr-FR"/>
        </w:rPr>
        <w:t>’</w:t>
      </w:r>
      <w:r w:rsidRPr="008A1404">
        <w:rPr>
          <w:lang w:val="fr-FR"/>
        </w:rPr>
        <w:t>auteur</w:t>
      </w:r>
      <w:r>
        <w:rPr>
          <w:lang w:val="fr-FR"/>
        </w:rPr>
        <w:t>e</w:t>
      </w:r>
      <w:r w:rsidRPr="008A1404">
        <w:rPr>
          <w:lang w:val="fr-FR"/>
        </w:rPr>
        <w:t xml:space="preserve"> a informé le Comité que le 8</w:t>
      </w:r>
      <w:r w:rsidR="00F94176">
        <w:rPr>
          <w:lang w:val="fr-FR"/>
        </w:rPr>
        <w:t> </w:t>
      </w:r>
      <w:r w:rsidRPr="008A1404">
        <w:rPr>
          <w:lang w:val="fr-FR"/>
        </w:rPr>
        <w:t>juillet 2017, le Gouvernement de la République de Corée avait annoncé qu</w:t>
      </w:r>
      <w:r w:rsidR="009D7A41">
        <w:rPr>
          <w:lang w:val="fr-FR"/>
        </w:rPr>
        <w:t>’</w:t>
      </w:r>
      <w:r w:rsidRPr="008A1404">
        <w:rPr>
          <w:lang w:val="fr-FR"/>
        </w:rPr>
        <w:t>il avait éliminé l</w:t>
      </w:r>
      <w:r w:rsidR="009D7A41">
        <w:rPr>
          <w:lang w:val="fr-FR"/>
        </w:rPr>
        <w:t>’</w:t>
      </w:r>
      <w:r w:rsidRPr="008A1404">
        <w:rPr>
          <w:lang w:val="fr-FR"/>
        </w:rPr>
        <w:t xml:space="preserve">exigence de test obligatoire du VIH/sida pour les enseignants étrangers. </w:t>
      </w:r>
      <w:r>
        <w:rPr>
          <w:lang w:val="fr-FR"/>
        </w:rPr>
        <w:t>L</w:t>
      </w:r>
      <w:r w:rsidR="009D7A41">
        <w:rPr>
          <w:lang w:val="fr-FR"/>
        </w:rPr>
        <w:t>’</w:t>
      </w:r>
      <w:r>
        <w:rPr>
          <w:lang w:val="fr-FR"/>
        </w:rPr>
        <w:t xml:space="preserve">auteur </w:t>
      </w:r>
      <w:r w:rsidRPr="00FC3438">
        <w:rPr>
          <w:lang w:val="fr-FR"/>
        </w:rPr>
        <w:t>applaudi</w:t>
      </w:r>
      <w:r>
        <w:rPr>
          <w:lang w:val="fr-FR"/>
        </w:rPr>
        <w:t>ssait</w:t>
      </w:r>
      <w:r w:rsidRPr="00FC3438">
        <w:rPr>
          <w:lang w:val="fr-FR"/>
        </w:rPr>
        <w:t xml:space="preserve"> </w:t>
      </w:r>
      <w:r>
        <w:rPr>
          <w:lang w:val="fr-FR"/>
        </w:rPr>
        <w:t>cette</w:t>
      </w:r>
      <w:r w:rsidRPr="00FC3438">
        <w:rPr>
          <w:lang w:val="fr-FR"/>
        </w:rPr>
        <w:t xml:space="preserve"> décision. Toutefois, elle a indiqué </w:t>
      </w:r>
      <w:r>
        <w:rPr>
          <w:lang w:val="fr-FR"/>
        </w:rPr>
        <w:t>n</w:t>
      </w:r>
      <w:r w:rsidR="009D7A41">
        <w:rPr>
          <w:lang w:val="fr-FR"/>
        </w:rPr>
        <w:t>’</w:t>
      </w:r>
      <w:r>
        <w:rPr>
          <w:lang w:val="fr-FR"/>
        </w:rPr>
        <w:t>avoir</w:t>
      </w:r>
      <w:r w:rsidRPr="00FC3438">
        <w:rPr>
          <w:lang w:val="fr-FR"/>
        </w:rPr>
        <w:t xml:space="preserve"> reç</w:t>
      </w:r>
      <w:r>
        <w:rPr>
          <w:lang w:val="fr-FR"/>
        </w:rPr>
        <w:t>u aucune indemnisation pour le préjudice moral et matériel subi</w:t>
      </w:r>
      <w:r w:rsidRPr="00FC3438">
        <w:rPr>
          <w:lang w:val="fr-FR"/>
        </w:rPr>
        <w:t xml:space="preserve">, y compris pour </w:t>
      </w:r>
      <w:r>
        <w:rPr>
          <w:lang w:val="fr-FR"/>
        </w:rPr>
        <w:t>la perte de salaires durant l</w:t>
      </w:r>
      <w:r w:rsidR="009D7A41">
        <w:rPr>
          <w:lang w:val="fr-FR"/>
        </w:rPr>
        <w:t>’</w:t>
      </w:r>
      <w:r>
        <w:rPr>
          <w:lang w:val="fr-FR"/>
        </w:rPr>
        <w:t>année où elle a été empêchée de travailler</w:t>
      </w:r>
      <w:r w:rsidRPr="00FC3438">
        <w:rPr>
          <w:lang w:val="fr-FR"/>
        </w:rPr>
        <w:t>, comme l</w:t>
      </w:r>
      <w:r w:rsidR="009D7A41">
        <w:rPr>
          <w:lang w:val="fr-FR"/>
        </w:rPr>
        <w:t>’</w:t>
      </w:r>
      <w:r>
        <w:rPr>
          <w:lang w:val="fr-FR"/>
        </w:rPr>
        <w:t>avait ordonné le Comité</w:t>
      </w:r>
      <w:r w:rsidRPr="00FC3438">
        <w:rPr>
          <w:lang w:val="fr-FR"/>
        </w:rPr>
        <w:t xml:space="preserve">. </w:t>
      </w:r>
      <w:r w:rsidRPr="001C62AA">
        <w:rPr>
          <w:lang w:val="fr-FR"/>
        </w:rPr>
        <w:t>Elle a également informé le Comité que la Commission nationale des droits de l</w:t>
      </w:r>
      <w:r w:rsidR="009D7A41">
        <w:rPr>
          <w:lang w:val="fr-FR"/>
        </w:rPr>
        <w:t>’</w:t>
      </w:r>
      <w:r w:rsidRPr="001C62AA">
        <w:rPr>
          <w:lang w:val="fr-FR"/>
        </w:rPr>
        <w:t>homme de</w:t>
      </w:r>
      <w:r>
        <w:rPr>
          <w:lang w:val="fr-FR"/>
        </w:rPr>
        <w:t xml:space="preserve"> la</w:t>
      </w:r>
      <w:r w:rsidR="00D725DA">
        <w:rPr>
          <w:lang w:val="fr-FR"/>
        </w:rPr>
        <w:t xml:space="preserve"> </w:t>
      </w:r>
      <w:r>
        <w:rPr>
          <w:lang w:val="fr-FR"/>
        </w:rPr>
        <w:t>République de</w:t>
      </w:r>
      <w:r w:rsidRPr="001C62AA">
        <w:rPr>
          <w:lang w:val="fr-FR"/>
        </w:rPr>
        <w:t xml:space="preserve"> Corée avait émis un avis favorable à la mise en œuvre de </w:t>
      </w:r>
      <w:r>
        <w:rPr>
          <w:lang w:val="fr-FR"/>
        </w:rPr>
        <w:t>l</w:t>
      </w:r>
      <w:r w:rsidR="009D7A41">
        <w:rPr>
          <w:lang w:val="fr-FR"/>
        </w:rPr>
        <w:t>’</w:t>
      </w:r>
      <w:r>
        <w:rPr>
          <w:lang w:val="fr-FR"/>
        </w:rPr>
        <w:t>opinion</w:t>
      </w:r>
      <w:r w:rsidRPr="001C62AA">
        <w:rPr>
          <w:lang w:val="fr-FR"/>
        </w:rPr>
        <w:t xml:space="preserve"> du Comité, notamment en ce qui concer</w:t>
      </w:r>
      <w:r>
        <w:rPr>
          <w:lang w:val="fr-FR"/>
        </w:rPr>
        <w:t>ne l</w:t>
      </w:r>
      <w:r w:rsidR="009D7A41">
        <w:rPr>
          <w:lang w:val="fr-FR"/>
        </w:rPr>
        <w:t>’</w:t>
      </w:r>
      <w:r>
        <w:rPr>
          <w:lang w:val="fr-FR"/>
        </w:rPr>
        <w:t>octroi d</w:t>
      </w:r>
      <w:r w:rsidR="009D7A41">
        <w:rPr>
          <w:lang w:val="fr-FR"/>
        </w:rPr>
        <w:t>’</w:t>
      </w:r>
      <w:r>
        <w:rPr>
          <w:lang w:val="fr-FR"/>
        </w:rPr>
        <w:t>une indemnisation</w:t>
      </w:r>
      <w:r w:rsidRPr="001F5981">
        <w:rPr>
          <w:rStyle w:val="Appelnotedebasdep"/>
          <w:bCs/>
          <w:lang w:val="fr-FR"/>
        </w:rPr>
        <w:footnoteReference w:id="19"/>
      </w:r>
      <w:r w:rsidR="008C7F49">
        <w:rPr>
          <w:lang w:val="fr-FR"/>
        </w:rPr>
        <w:t>,</w:t>
      </w:r>
    </w:p>
    <w:p w:rsidR="00C613B4" w:rsidRPr="002D7E2A" w:rsidRDefault="00C613B4" w:rsidP="00C613B4">
      <w:pPr>
        <w:pStyle w:val="SingleTxtG"/>
        <w:rPr>
          <w:bCs/>
          <w:lang w:val="fr-FR"/>
        </w:rPr>
      </w:pPr>
      <w:r w:rsidRPr="00D86E0B">
        <w:rPr>
          <w:lang w:val="fr-FR"/>
        </w:rPr>
        <w:t>15.</w:t>
      </w:r>
      <w:r w:rsidRPr="00D86E0B">
        <w:rPr>
          <w:lang w:val="fr-FR"/>
        </w:rPr>
        <w:tab/>
      </w:r>
      <w:r>
        <w:rPr>
          <w:lang w:val="fr-FR"/>
        </w:rPr>
        <w:t>L</w:t>
      </w:r>
      <w:r w:rsidR="009D7A41">
        <w:rPr>
          <w:lang w:val="fr-FR"/>
        </w:rPr>
        <w:t>’</w:t>
      </w:r>
      <w:r>
        <w:rPr>
          <w:lang w:val="fr-FR"/>
        </w:rPr>
        <w:t>auteure estimait</w:t>
      </w:r>
      <w:r w:rsidRPr="00D86E0B">
        <w:rPr>
          <w:lang w:val="fr-FR"/>
        </w:rPr>
        <w:t xml:space="preserve"> que </w:t>
      </w:r>
      <w:r>
        <w:rPr>
          <w:lang w:val="fr-FR"/>
        </w:rPr>
        <w:t>l</w:t>
      </w:r>
      <w:r w:rsidR="009D7A41">
        <w:rPr>
          <w:lang w:val="fr-FR"/>
        </w:rPr>
        <w:t>’</w:t>
      </w:r>
      <w:r>
        <w:rPr>
          <w:lang w:val="fr-FR"/>
        </w:rPr>
        <w:t>opinion</w:t>
      </w:r>
      <w:r w:rsidRPr="00D86E0B">
        <w:rPr>
          <w:lang w:val="fr-FR"/>
        </w:rPr>
        <w:t xml:space="preserve"> du Comité n</w:t>
      </w:r>
      <w:r w:rsidR="009D7A41">
        <w:rPr>
          <w:lang w:val="fr-FR"/>
        </w:rPr>
        <w:t>’</w:t>
      </w:r>
      <w:r w:rsidRPr="00D86E0B">
        <w:rPr>
          <w:lang w:val="fr-FR"/>
        </w:rPr>
        <w:t>a</w:t>
      </w:r>
      <w:r>
        <w:rPr>
          <w:lang w:val="fr-FR"/>
        </w:rPr>
        <w:t>vait</w:t>
      </w:r>
      <w:r w:rsidRPr="00D86E0B">
        <w:rPr>
          <w:lang w:val="fr-FR"/>
        </w:rPr>
        <w:t xml:space="preserve"> pas été pleinement appliqué, car la République de Corée </w:t>
      </w:r>
      <w:r>
        <w:rPr>
          <w:lang w:val="fr-FR"/>
        </w:rPr>
        <w:t>maintenait</w:t>
      </w:r>
      <w:r w:rsidRPr="00D86E0B">
        <w:rPr>
          <w:lang w:val="fr-FR"/>
        </w:rPr>
        <w:t xml:space="preserve"> pour les enseignants étrangers les exige</w:t>
      </w:r>
      <w:r>
        <w:rPr>
          <w:lang w:val="fr-FR"/>
        </w:rPr>
        <w:t>nces en matière de dépistage de</w:t>
      </w:r>
      <w:r w:rsidRPr="00D86E0B">
        <w:rPr>
          <w:lang w:val="fr-FR"/>
        </w:rPr>
        <w:t xml:space="preserve"> </w:t>
      </w:r>
      <w:r>
        <w:rPr>
          <w:lang w:val="fr-FR"/>
        </w:rPr>
        <w:t>stupéfiants,</w:t>
      </w:r>
      <w:r w:rsidRPr="00D86E0B">
        <w:rPr>
          <w:lang w:val="fr-FR"/>
        </w:rPr>
        <w:t xml:space="preserve"> discriminatoires sur le plan racial</w:t>
      </w:r>
      <w:r>
        <w:rPr>
          <w:lang w:val="fr-FR"/>
        </w:rPr>
        <w:t>,</w:t>
      </w:r>
      <w:r w:rsidRPr="00D86E0B">
        <w:rPr>
          <w:lang w:val="fr-FR"/>
        </w:rPr>
        <w:t xml:space="preserve"> </w:t>
      </w:r>
      <w:r>
        <w:rPr>
          <w:lang w:val="fr-FR"/>
        </w:rPr>
        <w:t>q</w:t>
      </w:r>
      <w:r w:rsidRPr="00D86E0B">
        <w:rPr>
          <w:lang w:val="fr-FR"/>
        </w:rPr>
        <w:t xml:space="preserve">ui lui </w:t>
      </w:r>
      <w:r>
        <w:rPr>
          <w:lang w:val="fr-FR"/>
        </w:rPr>
        <w:t>avaient été appliquées</w:t>
      </w:r>
      <w:r w:rsidRPr="00D86E0B">
        <w:rPr>
          <w:lang w:val="fr-FR"/>
        </w:rPr>
        <w:t xml:space="preserve">. </w:t>
      </w:r>
      <w:r w:rsidRPr="008404FF">
        <w:rPr>
          <w:lang w:val="fr-FR"/>
        </w:rPr>
        <w:t xml:space="preserve">Elle </w:t>
      </w:r>
      <w:r>
        <w:rPr>
          <w:lang w:val="fr-FR"/>
        </w:rPr>
        <w:t xml:space="preserve">a fait valoir que </w:t>
      </w:r>
      <w:r w:rsidRPr="008404FF">
        <w:rPr>
          <w:lang w:val="fr-FR"/>
        </w:rPr>
        <w:t xml:space="preserve">si les tests obligatoires de dépistage de </w:t>
      </w:r>
      <w:r>
        <w:rPr>
          <w:lang w:val="fr-FR"/>
        </w:rPr>
        <w:t>stupéfiants</w:t>
      </w:r>
      <w:r w:rsidRPr="008404FF">
        <w:rPr>
          <w:lang w:val="fr-FR"/>
        </w:rPr>
        <w:t xml:space="preserve"> </w:t>
      </w:r>
      <w:r>
        <w:rPr>
          <w:lang w:val="fr-FR"/>
        </w:rPr>
        <w:t>étaient</w:t>
      </w:r>
      <w:r w:rsidRPr="008404FF">
        <w:rPr>
          <w:lang w:val="fr-FR"/>
        </w:rPr>
        <w:t xml:space="preserve"> légitimes pour les travailleurs occupant des postes </w:t>
      </w:r>
      <w:r>
        <w:rPr>
          <w:lang w:val="fr-FR"/>
        </w:rPr>
        <w:t>sensibles</w:t>
      </w:r>
      <w:r w:rsidRPr="008404FF">
        <w:rPr>
          <w:lang w:val="fr-FR"/>
        </w:rPr>
        <w:t xml:space="preserve"> </w:t>
      </w:r>
      <w:r>
        <w:rPr>
          <w:lang w:val="fr-FR"/>
        </w:rPr>
        <w:t xml:space="preserve">du point de vue de </w:t>
      </w:r>
      <w:r w:rsidRPr="008404FF">
        <w:rPr>
          <w:lang w:val="fr-FR"/>
        </w:rPr>
        <w:t>la sécurité, l</w:t>
      </w:r>
      <w:r w:rsidR="009D7A41">
        <w:rPr>
          <w:lang w:val="fr-FR"/>
        </w:rPr>
        <w:t>’</w:t>
      </w:r>
      <w:r w:rsidRPr="008404FF">
        <w:rPr>
          <w:lang w:val="fr-FR"/>
        </w:rPr>
        <w:t>enseignement d</w:t>
      </w:r>
      <w:r w:rsidR="009D7A41">
        <w:rPr>
          <w:lang w:val="fr-FR"/>
        </w:rPr>
        <w:t>’</w:t>
      </w:r>
      <w:r w:rsidRPr="008404FF">
        <w:rPr>
          <w:lang w:val="fr-FR"/>
        </w:rPr>
        <w:t xml:space="preserve">une langue étrangère ne </w:t>
      </w:r>
      <w:r>
        <w:rPr>
          <w:lang w:val="fr-FR"/>
        </w:rPr>
        <w:t>saurait</w:t>
      </w:r>
      <w:r w:rsidRPr="008404FF">
        <w:rPr>
          <w:lang w:val="fr-FR"/>
        </w:rPr>
        <w:t xml:space="preserve"> être considéré comme faisant partie de cette catégor</w:t>
      </w:r>
      <w:r>
        <w:rPr>
          <w:lang w:val="fr-FR"/>
        </w:rPr>
        <w:t>ie de postes</w:t>
      </w:r>
      <w:r w:rsidRPr="008404FF">
        <w:rPr>
          <w:lang w:val="fr-FR"/>
        </w:rPr>
        <w:t xml:space="preserve">. </w:t>
      </w:r>
      <w:r w:rsidRPr="002D7E2A">
        <w:rPr>
          <w:lang w:val="fr-FR"/>
        </w:rPr>
        <w:t xml:space="preserve">Par conséquent, ces tests </w:t>
      </w:r>
      <w:r>
        <w:rPr>
          <w:lang w:val="fr-FR"/>
        </w:rPr>
        <w:t>étaient</w:t>
      </w:r>
      <w:r w:rsidRPr="002D7E2A">
        <w:rPr>
          <w:lang w:val="fr-FR"/>
        </w:rPr>
        <w:t xml:space="preserve"> discriminatoires, compte tenu en particulier du fait</w:t>
      </w:r>
      <w:r>
        <w:rPr>
          <w:lang w:val="fr-FR"/>
        </w:rPr>
        <w:t xml:space="preserve"> que les enseignants coréens n</w:t>
      </w:r>
      <w:r w:rsidR="009D7A41">
        <w:rPr>
          <w:lang w:val="fr-FR"/>
        </w:rPr>
        <w:t>’</w:t>
      </w:r>
      <w:r>
        <w:rPr>
          <w:lang w:val="fr-FR"/>
        </w:rPr>
        <w:t xml:space="preserve">étaient </w:t>
      </w:r>
      <w:r w:rsidRPr="002D7E2A">
        <w:rPr>
          <w:lang w:val="fr-FR"/>
        </w:rPr>
        <w:t xml:space="preserve">pas tenus de </w:t>
      </w:r>
      <w:r>
        <w:rPr>
          <w:lang w:val="fr-FR"/>
        </w:rPr>
        <w:t>passer ces tests et qu</w:t>
      </w:r>
      <w:r w:rsidR="009D7A41">
        <w:rPr>
          <w:lang w:val="fr-FR"/>
        </w:rPr>
        <w:t>’</w:t>
      </w:r>
      <w:r>
        <w:rPr>
          <w:lang w:val="fr-FR"/>
        </w:rPr>
        <w:t>il existait</w:t>
      </w:r>
      <w:r w:rsidRPr="002D7E2A">
        <w:rPr>
          <w:lang w:val="fr-FR"/>
        </w:rPr>
        <w:t xml:space="preserve"> des exemptions pour les enseignants </w:t>
      </w:r>
      <w:r w:rsidR="008C7F49">
        <w:rPr>
          <w:lang w:val="fr-FR"/>
        </w:rPr>
        <w:t xml:space="preserve">non </w:t>
      </w:r>
      <w:r>
        <w:rPr>
          <w:lang w:val="fr-FR"/>
        </w:rPr>
        <w:t>ressortissants d</w:t>
      </w:r>
      <w:r w:rsidR="009D7A41">
        <w:rPr>
          <w:lang w:val="fr-FR"/>
        </w:rPr>
        <w:t>’</w:t>
      </w:r>
      <w:r>
        <w:rPr>
          <w:lang w:val="fr-FR"/>
        </w:rPr>
        <w:t>origine coréenne</w:t>
      </w:r>
      <w:r w:rsidRPr="002D7E2A">
        <w:rPr>
          <w:lang w:val="fr-FR"/>
        </w:rPr>
        <w:t>.</w:t>
      </w:r>
    </w:p>
    <w:p w:rsidR="00C613B4" w:rsidRPr="006F1F71" w:rsidRDefault="00C613B4" w:rsidP="00F94176">
      <w:pPr>
        <w:pStyle w:val="H23G"/>
        <w:rPr>
          <w:lang w:val="fr-FR"/>
        </w:rPr>
      </w:pPr>
      <w:r w:rsidRPr="002D7E2A">
        <w:rPr>
          <w:lang w:val="fr-FR"/>
        </w:rPr>
        <w:tab/>
      </w:r>
      <w:r w:rsidRPr="002D7E2A">
        <w:rPr>
          <w:lang w:val="fr-FR"/>
        </w:rPr>
        <w:tab/>
      </w:r>
      <w:r>
        <w:rPr>
          <w:lang w:val="fr-FR"/>
        </w:rPr>
        <w:t xml:space="preserve">Autres mesures proposées ou décisions du Comité </w:t>
      </w:r>
    </w:p>
    <w:p w:rsidR="00C613B4" w:rsidRPr="006F1F71" w:rsidRDefault="00C613B4" w:rsidP="00C613B4">
      <w:pPr>
        <w:pStyle w:val="SingleTxtG"/>
        <w:rPr>
          <w:bCs/>
          <w:lang w:val="fr-FR"/>
        </w:rPr>
      </w:pPr>
      <w:r>
        <w:rPr>
          <w:lang w:val="fr-FR"/>
        </w:rPr>
        <w:t>16.</w:t>
      </w:r>
      <w:r>
        <w:rPr>
          <w:lang w:val="fr-FR"/>
        </w:rPr>
        <w:tab/>
        <w:t>Le dialogue se poursuit.</w:t>
      </w:r>
    </w:p>
    <w:p w:rsidR="00C613B4" w:rsidRPr="006F1F71" w:rsidRDefault="00C613B4" w:rsidP="00F94176">
      <w:pPr>
        <w:pStyle w:val="H1G"/>
        <w:rPr>
          <w:lang w:val="fr-FR"/>
        </w:rPr>
      </w:pPr>
      <w:r>
        <w:rPr>
          <w:lang w:val="fr-FR"/>
        </w:rPr>
        <w:tab/>
      </w:r>
      <w:r>
        <w:rPr>
          <w:lang w:val="fr-FR"/>
        </w:rPr>
        <w:tab/>
        <w:t>République de Moldova</w:t>
      </w:r>
    </w:p>
    <w:p w:rsidR="00C613B4" w:rsidRPr="006F1F71" w:rsidRDefault="00C613B4" w:rsidP="00F94176">
      <w:pPr>
        <w:pStyle w:val="H23G"/>
        <w:rPr>
          <w:lang w:val="fr-FR"/>
        </w:rPr>
      </w:pPr>
      <w:r>
        <w:rPr>
          <w:lang w:val="fr-FR"/>
        </w:rPr>
        <w:tab/>
      </w:r>
      <w:r>
        <w:rPr>
          <w:lang w:val="fr-FR"/>
        </w:rPr>
        <w:tab/>
        <w:t xml:space="preserve">Belemvire, opinion </w:t>
      </w:r>
      <w:r w:rsidR="00F94176" w:rsidRPr="00F94176">
        <w:rPr>
          <w:rFonts w:eastAsia="MS Mincho"/>
          <w:lang w:val="fr-FR"/>
        </w:rPr>
        <w:t>n</w:t>
      </w:r>
      <w:r w:rsidR="00F94176" w:rsidRPr="00F94176">
        <w:rPr>
          <w:rFonts w:eastAsia="MS Mincho"/>
          <w:vertAlign w:val="superscript"/>
          <w:lang w:val="fr-FR"/>
        </w:rPr>
        <w:t>o</w:t>
      </w:r>
      <w:r w:rsidR="00F94176">
        <w:rPr>
          <w:lang w:val="fr-FR"/>
        </w:rPr>
        <w:t> </w:t>
      </w:r>
      <w:r w:rsidRPr="00E81510">
        <w:rPr>
          <w:lang w:val="fr-FR"/>
        </w:rPr>
        <w:t>57/2015</w:t>
      </w:r>
      <w:r>
        <w:rPr>
          <w:lang w:val="fr-FR"/>
        </w:rPr>
        <w:t xml:space="preserve">, adoptée le </w:t>
      </w:r>
      <w:r w:rsidR="008C7F49">
        <w:rPr>
          <w:lang w:val="fr-FR"/>
        </w:rPr>
        <w:t>11</w:t>
      </w:r>
      <w:r>
        <w:rPr>
          <w:lang w:val="fr-FR"/>
        </w:rPr>
        <w:t xml:space="preserve"> décembre 201</w:t>
      </w:r>
      <w:r w:rsidR="008C7F49">
        <w:rPr>
          <w:lang w:val="fr-FR"/>
        </w:rPr>
        <w:t>7</w:t>
      </w:r>
    </w:p>
    <w:p w:rsidR="00C613B4" w:rsidRPr="004E38E2" w:rsidRDefault="00C613B4" w:rsidP="00F94176">
      <w:pPr>
        <w:pStyle w:val="H23G"/>
        <w:rPr>
          <w:lang w:val="fr-FR"/>
        </w:rPr>
      </w:pPr>
      <w:r>
        <w:rPr>
          <w:lang w:val="fr-FR"/>
        </w:rPr>
        <w:tab/>
      </w:r>
      <w:r>
        <w:rPr>
          <w:lang w:val="fr-FR"/>
        </w:rPr>
        <w:tab/>
      </w:r>
      <w:r w:rsidRPr="004E38E2">
        <w:rPr>
          <w:lang w:val="fr-FR"/>
        </w:rPr>
        <w:t>Questions soulevées et violations constatées</w:t>
      </w:r>
    </w:p>
    <w:p w:rsidR="00C613B4" w:rsidRPr="006F1F71" w:rsidRDefault="00C613B4" w:rsidP="00F94176">
      <w:pPr>
        <w:pStyle w:val="SingleTxtG"/>
        <w:rPr>
          <w:lang w:val="fr-FR"/>
        </w:rPr>
      </w:pPr>
      <w:r w:rsidRPr="004E38E2">
        <w:rPr>
          <w:lang w:val="fr-FR"/>
        </w:rPr>
        <w:t>17.</w:t>
      </w:r>
      <w:r w:rsidRPr="004E38E2">
        <w:rPr>
          <w:lang w:val="fr-FR"/>
        </w:rPr>
        <w:tab/>
        <w:t>La</w:t>
      </w:r>
      <w:r>
        <w:rPr>
          <w:lang w:val="fr-FR"/>
        </w:rPr>
        <w:t xml:space="preserve"> question dont le Comité était saisi était l</w:t>
      </w:r>
      <w:r w:rsidR="009D7A41">
        <w:rPr>
          <w:lang w:val="fr-FR"/>
        </w:rPr>
        <w:t>’</w:t>
      </w:r>
      <w:r>
        <w:rPr>
          <w:lang w:val="fr-FR"/>
        </w:rPr>
        <w:t>absence d</w:t>
      </w:r>
      <w:r w:rsidR="009D7A41">
        <w:rPr>
          <w:lang w:val="fr-FR"/>
        </w:rPr>
        <w:t>’</w:t>
      </w:r>
      <w:r>
        <w:rPr>
          <w:lang w:val="fr-FR"/>
        </w:rPr>
        <w:t>enquête sur l</w:t>
      </w:r>
      <w:r w:rsidR="009D7A41">
        <w:rPr>
          <w:lang w:val="fr-FR"/>
        </w:rPr>
        <w:t>’</w:t>
      </w:r>
      <w:r w:rsidRPr="004E38E2">
        <w:rPr>
          <w:lang w:val="fr-FR"/>
        </w:rPr>
        <w:t xml:space="preserve">agression </w:t>
      </w:r>
      <w:r>
        <w:rPr>
          <w:lang w:val="fr-FR"/>
        </w:rPr>
        <w:t>que l</w:t>
      </w:r>
      <w:r w:rsidR="009D7A41">
        <w:rPr>
          <w:lang w:val="fr-FR"/>
        </w:rPr>
        <w:t>’</w:t>
      </w:r>
      <w:r>
        <w:rPr>
          <w:lang w:val="fr-FR"/>
        </w:rPr>
        <w:t>auteur a subie</w:t>
      </w:r>
      <w:r w:rsidRPr="004E38E2">
        <w:rPr>
          <w:lang w:val="fr-FR"/>
        </w:rPr>
        <w:t xml:space="preserve"> et </w:t>
      </w:r>
      <w:r>
        <w:rPr>
          <w:lang w:val="fr-FR"/>
        </w:rPr>
        <w:t>de poursuite</w:t>
      </w:r>
      <w:r w:rsidR="008C7F49">
        <w:rPr>
          <w:lang w:val="fr-FR"/>
        </w:rPr>
        <w:t>s</w:t>
      </w:r>
      <w:r>
        <w:rPr>
          <w:lang w:val="fr-FR"/>
        </w:rPr>
        <w:t xml:space="preserve"> judiciaire</w:t>
      </w:r>
      <w:r w:rsidR="008C7F49">
        <w:rPr>
          <w:lang w:val="fr-FR"/>
        </w:rPr>
        <w:t>s</w:t>
      </w:r>
      <w:r>
        <w:rPr>
          <w:lang w:val="fr-FR"/>
        </w:rPr>
        <w:t xml:space="preserve"> contre l</w:t>
      </w:r>
      <w:r w:rsidR="009D7A41">
        <w:rPr>
          <w:lang w:val="fr-FR"/>
        </w:rPr>
        <w:t>’</w:t>
      </w:r>
      <w:r>
        <w:rPr>
          <w:lang w:val="fr-FR"/>
        </w:rPr>
        <w:t xml:space="preserve">agresseur, en dépit du </w:t>
      </w:r>
      <w:r w:rsidRPr="004E38E2">
        <w:rPr>
          <w:lang w:val="fr-FR"/>
        </w:rPr>
        <w:t>caractère discriminatoire</w:t>
      </w:r>
      <w:r>
        <w:rPr>
          <w:lang w:val="fr-FR"/>
        </w:rPr>
        <w:t xml:space="preserve"> et raciste des faits, et</w:t>
      </w:r>
      <w:r w:rsidRPr="004E38E2">
        <w:rPr>
          <w:lang w:val="fr-FR"/>
        </w:rPr>
        <w:t xml:space="preserve"> malgré les nombr</w:t>
      </w:r>
      <w:r>
        <w:rPr>
          <w:lang w:val="fr-FR"/>
        </w:rPr>
        <w:t>euses demandes adressées par l</w:t>
      </w:r>
      <w:r w:rsidR="009D7A41">
        <w:rPr>
          <w:lang w:val="fr-FR"/>
        </w:rPr>
        <w:t>’</w:t>
      </w:r>
      <w:r>
        <w:rPr>
          <w:lang w:val="fr-FR"/>
        </w:rPr>
        <w:t xml:space="preserve">auteur </w:t>
      </w:r>
      <w:r w:rsidRPr="004E38E2">
        <w:rPr>
          <w:lang w:val="fr-FR"/>
        </w:rPr>
        <w:t xml:space="preserve">à divers organismes </w:t>
      </w:r>
      <w:r>
        <w:rPr>
          <w:lang w:val="fr-FR"/>
        </w:rPr>
        <w:t>publics</w:t>
      </w:r>
      <w:r w:rsidRPr="004E38E2">
        <w:rPr>
          <w:lang w:val="fr-FR"/>
        </w:rPr>
        <w:t xml:space="preserve">, y compris les tribunaux. </w:t>
      </w:r>
      <w:r w:rsidRPr="008941F3">
        <w:rPr>
          <w:lang w:val="fr-FR"/>
        </w:rPr>
        <w:t>Le Comité a conclu à une violation de l</w:t>
      </w:r>
      <w:r w:rsidR="009D7A41">
        <w:rPr>
          <w:lang w:val="fr-FR"/>
        </w:rPr>
        <w:t>’</w:t>
      </w:r>
      <w:r w:rsidRPr="008941F3">
        <w:rPr>
          <w:lang w:val="fr-FR"/>
        </w:rPr>
        <w:t>article</w:t>
      </w:r>
      <w:r w:rsidR="00F94176">
        <w:rPr>
          <w:lang w:val="fr-FR"/>
        </w:rPr>
        <w:t> </w:t>
      </w:r>
      <w:r w:rsidRPr="008941F3">
        <w:rPr>
          <w:lang w:val="fr-FR"/>
        </w:rPr>
        <w:t>6 de la Convention, estimant que l</w:t>
      </w:r>
      <w:r w:rsidR="009D7A41">
        <w:rPr>
          <w:lang w:val="fr-FR"/>
        </w:rPr>
        <w:t>’</w:t>
      </w:r>
      <w:r w:rsidRPr="008941F3">
        <w:rPr>
          <w:lang w:val="fr-FR"/>
        </w:rPr>
        <w:t xml:space="preserve">enquête sur le crime était incomplète, </w:t>
      </w:r>
      <w:r>
        <w:rPr>
          <w:lang w:val="fr-FR"/>
        </w:rPr>
        <w:t>le</w:t>
      </w:r>
      <w:r w:rsidRPr="008941F3">
        <w:rPr>
          <w:lang w:val="fr-FR"/>
        </w:rPr>
        <w:t xml:space="preserve"> mo</w:t>
      </w:r>
      <w:r>
        <w:rPr>
          <w:lang w:val="fr-FR"/>
        </w:rPr>
        <w:t>tif discriminatoire de l</w:t>
      </w:r>
      <w:r w:rsidR="009D7A41">
        <w:rPr>
          <w:lang w:val="fr-FR"/>
        </w:rPr>
        <w:t>’</w:t>
      </w:r>
      <w:r>
        <w:rPr>
          <w:lang w:val="fr-FR"/>
        </w:rPr>
        <w:t>accusé n</w:t>
      </w:r>
      <w:r w:rsidR="009D7A41">
        <w:rPr>
          <w:lang w:val="fr-FR"/>
        </w:rPr>
        <w:t>’</w:t>
      </w:r>
      <w:r>
        <w:rPr>
          <w:lang w:val="fr-FR"/>
        </w:rPr>
        <w:t>ayant pas été pris en compte</w:t>
      </w:r>
      <w:r w:rsidRPr="008941F3">
        <w:rPr>
          <w:lang w:val="fr-FR"/>
        </w:rPr>
        <w:t xml:space="preserve">. </w:t>
      </w:r>
      <w:r>
        <w:rPr>
          <w:lang w:val="fr-FR"/>
        </w:rPr>
        <w:t>En outre, le Comité a estimé que le refus par l</w:t>
      </w:r>
      <w:r w:rsidR="009D7A41">
        <w:rPr>
          <w:lang w:val="fr-FR"/>
        </w:rPr>
        <w:t>’</w:t>
      </w:r>
      <w:r>
        <w:rPr>
          <w:lang w:val="fr-FR"/>
        </w:rPr>
        <w:t>État partie d</w:t>
      </w:r>
      <w:r w:rsidR="009D7A41">
        <w:rPr>
          <w:lang w:val="fr-FR"/>
        </w:rPr>
        <w:t>’</w:t>
      </w:r>
      <w:r>
        <w:rPr>
          <w:lang w:val="fr-FR"/>
        </w:rPr>
        <w:t>enquêter sur la motivation raciste des faits a également privé l</w:t>
      </w:r>
      <w:r w:rsidR="009D7A41">
        <w:rPr>
          <w:lang w:val="fr-FR"/>
        </w:rPr>
        <w:t>’</w:t>
      </w:r>
      <w:r>
        <w:rPr>
          <w:lang w:val="fr-FR"/>
        </w:rPr>
        <w:t>auteur de la communication de son droit à une protection efficace et des recours utiles contre l</w:t>
      </w:r>
      <w:r w:rsidR="009D7A41">
        <w:rPr>
          <w:lang w:val="fr-FR"/>
        </w:rPr>
        <w:t>’</w:t>
      </w:r>
      <w:r>
        <w:rPr>
          <w:lang w:val="fr-FR"/>
        </w:rPr>
        <w:t>acte de discrimination raciale dénoncé.</w:t>
      </w:r>
    </w:p>
    <w:p w:rsidR="00C613B4" w:rsidRPr="006F1F71" w:rsidRDefault="00C613B4" w:rsidP="00F94176">
      <w:pPr>
        <w:pStyle w:val="H23G"/>
        <w:rPr>
          <w:lang w:val="fr-FR"/>
        </w:rPr>
      </w:pPr>
      <w:r>
        <w:rPr>
          <w:lang w:val="fr-FR"/>
        </w:rPr>
        <w:tab/>
      </w:r>
      <w:r>
        <w:rPr>
          <w:lang w:val="fr-FR"/>
        </w:rPr>
        <w:tab/>
        <w:t>Réparation recommandée</w:t>
      </w:r>
    </w:p>
    <w:p w:rsidR="00C613B4" w:rsidRPr="006F1F71" w:rsidRDefault="00C613B4" w:rsidP="00F94176">
      <w:pPr>
        <w:pStyle w:val="SingleTxtG"/>
        <w:rPr>
          <w:lang w:val="fr-FR"/>
        </w:rPr>
      </w:pPr>
      <w:r>
        <w:rPr>
          <w:lang w:val="fr-FR"/>
        </w:rPr>
        <w:t>18.</w:t>
      </w:r>
      <w:r>
        <w:rPr>
          <w:lang w:val="fr-FR"/>
        </w:rPr>
        <w:tab/>
        <w:t>Le Comité a recommandé à l</w:t>
      </w:r>
      <w:r w:rsidR="009D7A41">
        <w:rPr>
          <w:lang w:val="fr-FR"/>
        </w:rPr>
        <w:t>’</w:t>
      </w:r>
      <w:r>
        <w:rPr>
          <w:lang w:val="fr-FR"/>
        </w:rPr>
        <w:t>État partie d</w:t>
      </w:r>
      <w:r w:rsidR="009D7A41">
        <w:rPr>
          <w:lang w:val="fr-FR"/>
        </w:rPr>
        <w:t>’</w:t>
      </w:r>
      <w:r>
        <w:rPr>
          <w:lang w:val="fr-FR"/>
        </w:rPr>
        <w:t>octroyer à l</w:t>
      </w:r>
      <w:r w:rsidR="009D7A41">
        <w:rPr>
          <w:lang w:val="fr-FR"/>
        </w:rPr>
        <w:t>’</w:t>
      </w:r>
      <w:r>
        <w:rPr>
          <w:lang w:val="fr-FR"/>
        </w:rPr>
        <w:t>auteur une indemnisation adéquate pour le préjudice matériel et moral causé par la violation de l</w:t>
      </w:r>
      <w:r w:rsidR="009D7A41">
        <w:rPr>
          <w:lang w:val="fr-FR"/>
        </w:rPr>
        <w:t>’</w:t>
      </w:r>
      <w:r>
        <w:rPr>
          <w:lang w:val="fr-FR"/>
        </w:rPr>
        <w:t>article</w:t>
      </w:r>
      <w:r w:rsidR="00F94176">
        <w:rPr>
          <w:lang w:val="fr-FR"/>
        </w:rPr>
        <w:t> </w:t>
      </w:r>
      <w:r>
        <w:rPr>
          <w:lang w:val="fr-FR"/>
        </w:rPr>
        <w:t>6 de la Convention. Il a également recommandé à l</w:t>
      </w:r>
      <w:r w:rsidR="009D7A41">
        <w:rPr>
          <w:lang w:val="fr-FR"/>
        </w:rPr>
        <w:t>’</w:t>
      </w:r>
      <w:r>
        <w:rPr>
          <w:lang w:val="fr-FR"/>
        </w:rPr>
        <w:t>État partie de revoir sa politique et ses procédures concernant les poursuites dans les cas d</w:t>
      </w:r>
      <w:r w:rsidR="009D7A41">
        <w:rPr>
          <w:lang w:val="fr-FR"/>
        </w:rPr>
        <w:t>’</w:t>
      </w:r>
      <w:r>
        <w:rPr>
          <w:lang w:val="fr-FR"/>
        </w:rPr>
        <w:t>allégations de violence à caractère raciste, à la lumière des obligations qui lui incombent en vertu de l</w:t>
      </w:r>
      <w:r w:rsidR="009D7A41">
        <w:rPr>
          <w:lang w:val="fr-FR"/>
        </w:rPr>
        <w:t>’</w:t>
      </w:r>
      <w:r>
        <w:rPr>
          <w:lang w:val="fr-FR"/>
        </w:rPr>
        <w:t>article</w:t>
      </w:r>
      <w:r w:rsidR="00F94176">
        <w:rPr>
          <w:lang w:val="fr-FR"/>
        </w:rPr>
        <w:t> </w:t>
      </w:r>
      <w:r>
        <w:rPr>
          <w:lang w:val="fr-FR"/>
        </w:rPr>
        <w:t>4 de la Convention, et de diffuser largement l</w:t>
      </w:r>
      <w:r w:rsidR="009D7A41">
        <w:rPr>
          <w:lang w:val="fr-FR"/>
        </w:rPr>
        <w:t>’</w:t>
      </w:r>
      <w:r>
        <w:rPr>
          <w:lang w:val="fr-FR"/>
        </w:rPr>
        <w:t xml:space="preserve">opinion du Comité, y compris auprès des procureurs et des organes judiciaires. </w:t>
      </w:r>
    </w:p>
    <w:p w:rsidR="00C613B4" w:rsidRPr="006F1F71" w:rsidRDefault="00C613B4" w:rsidP="00F94176">
      <w:pPr>
        <w:pStyle w:val="H23G"/>
        <w:rPr>
          <w:lang w:val="fr-FR"/>
        </w:rPr>
      </w:pPr>
      <w:r>
        <w:rPr>
          <w:lang w:val="fr-FR"/>
        </w:rPr>
        <w:tab/>
      </w:r>
      <w:r>
        <w:rPr>
          <w:lang w:val="fr-FR"/>
        </w:rPr>
        <w:tab/>
        <w:t>Rapports initiaux ou périodiques examinés depuis l</w:t>
      </w:r>
      <w:r w:rsidR="009D7A41">
        <w:rPr>
          <w:lang w:val="fr-FR"/>
        </w:rPr>
        <w:t>’</w:t>
      </w:r>
      <w:r>
        <w:rPr>
          <w:lang w:val="fr-FR"/>
        </w:rPr>
        <w:t>adoption de l</w:t>
      </w:r>
      <w:r w:rsidR="009D7A41">
        <w:rPr>
          <w:lang w:val="fr-FR"/>
        </w:rPr>
        <w:t>’</w:t>
      </w:r>
      <w:r>
        <w:rPr>
          <w:lang w:val="fr-FR"/>
        </w:rPr>
        <w:t>opinion</w:t>
      </w:r>
    </w:p>
    <w:p w:rsidR="00C613B4" w:rsidRPr="006F1F71" w:rsidRDefault="00C613B4" w:rsidP="00C613B4">
      <w:pPr>
        <w:pStyle w:val="SingleTxtG"/>
        <w:rPr>
          <w:lang w:val="fr-FR"/>
        </w:rPr>
      </w:pPr>
      <w:r>
        <w:rPr>
          <w:lang w:val="fr-FR"/>
        </w:rPr>
        <w:t>19.</w:t>
      </w:r>
      <w:r>
        <w:rPr>
          <w:lang w:val="fr-FR"/>
        </w:rPr>
        <w:tab/>
        <w:t>Le Comité n</w:t>
      </w:r>
      <w:r w:rsidR="009D7A41">
        <w:rPr>
          <w:lang w:val="fr-FR"/>
        </w:rPr>
        <w:t>’</w:t>
      </w:r>
      <w:r>
        <w:rPr>
          <w:lang w:val="fr-FR"/>
        </w:rPr>
        <w:t>a pas examiné de rapport périodique de l</w:t>
      </w:r>
      <w:r w:rsidR="009D7A41">
        <w:rPr>
          <w:lang w:val="fr-FR"/>
        </w:rPr>
        <w:t>’</w:t>
      </w:r>
      <w:r>
        <w:rPr>
          <w:lang w:val="fr-FR"/>
        </w:rPr>
        <w:t>État partie depuis l</w:t>
      </w:r>
      <w:r w:rsidR="009D7A41">
        <w:rPr>
          <w:lang w:val="fr-FR"/>
        </w:rPr>
        <w:t>’</w:t>
      </w:r>
      <w:r>
        <w:rPr>
          <w:lang w:val="fr-FR"/>
        </w:rPr>
        <w:t>adoption de l</w:t>
      </w:r>
      <w:r w:rsidR="009D7A41">
        <w:rPr>
          <w:lang w:val="fr-FR"/>
        </w:rPr>
        <w:t>’</w:t>
      </w:r>
      <w:r>
        <w:rPr>
          <w:lang w:val="fr-FR"/>
        </w:rPr>
        <w:t>opinion.</w:t>
      </w:r>
    </w:p>
    <w:p w:rsidR="00C613B4" w:rsidRPr="006F1F71" w:rsidRDefault="00C613B4" w:rsidP="00F94176">
      <w:pPr>
        <w:pStyle w:val="H23G"/>
        <w:rPr>
          <w:lang w:val="fr-FR"/>
        </w:rPr>
      </w:pPr>
      <w:r>
        <w:rPr>
          <w:lang w:val="fr-FR"/>
        </w:rPr>
        <w:tab/>
      </w:r>
      <w:r>
        <w:rPr>
          <w:lang w:val="fr-FR"/>
        </w:rPr>
        <w:tab/>
        <w:t>Précédentes informations concernant le suivi</w:t>
      </w:r>
    </w:p>
    <w:p w:rsidR="007B3FD8" w:rsidRDefault="00C613B4" w:rsidP="006139B4">
      <w:pPr>
        <w:pStyle w:val="SingleTxtG"/>
        <w:jc w:val="left"/>
        <w:rPr>
          <w:lang w:val="fr-FR"/>
        </w:rPr>
      </w:pPr>
      <w:r>
        <w:rPr>
          <w:lang w:val="fr-FR"/>
        </w:rPr>
        <w:t>20.</w:t>
      </w:r>
      <w:r>
        <w:rPr>
          <w:lang w:val="fr-FR"/>
        </w:rPr>
        <w:tab/>
        <w:t>Il n</w:t>
      </w:r>
      <w:r w:rsidR="009D7A41">
        <w:rPr>
          <w:lang w:val="fr-FR"/>
        </w:rPr>
        <w:t>’</w:t>
      </w:r>
      <w:r>
        <w:rPr>
          <w:lang w:val="fr-FR"/>
        </w:rPr>
        <w:t>y a pas eu d</w:t>
      </w:r>
      <w:r w:rsidR="009D7A41">
        <w:rPr>
          <w:lang w:val="fr-FR"/>
        </w:rPr>
        <w:t>’</w:t>
      </w:r>
      <w:r>
        <w:rPr>
          <w:lang w:val="fr-FR"/>
        </w:rPr>
        <w:t>information de suivi.</w:t>
      </w:r>
    </w:p>
    <w:p w:rsidR="006139B4" w:rsidRDefault="006139B4" w:rsidP="006139B4">
      <w:pPr>
        <w:pStyle w:val="SingleTxtG"/>
        <w:rPr>
          <w:lang w:val="fr-FR"/>
        </w:rPr>
        <w:sectPr w:rsidR="006139B4" w:rsidSect="004F22E0">
          <w:headerReference w:type="default" r:id="rId93"/>
          <w:footerReference w:type="even" r:id="rId94"/>
          <w:footerReference w:type="default" r:id="rId95"/>
          <w:footnotePr>
            <w:numRestart w:val="eachSect"/>
          </w:footnotePr>
          <w:endnotePr>
            <w:numFmt w:val="decimal"/>
          </w:endnotePr>
          <w:pgSz w:w="11907" w:h="16840" w:code="9"/>
          <w:pgMar w:top="1417" w:right="1134" w:bottom="1134" w:left="1134" w:header="850" w:footer="567" w:gutter="0"/>
          <w:cols w:space="720"/>
          <w:docGrid w:linePitch="272"/>
        </w:sectPr>
      </w:pPr>
    </w:p>
    <w:p w:rsidR="00C613B4" w:rsidRPr="00021BF7" w:rsidRDefault="00C613B4" w:rsidP="00F94176">
      <w:pPr>
        <w:pStyle w:val="H23G"/>
      </w:pPr>
      <w:r>
        <w:rPr>
          <w:lang w:val="fr-FR"/>
        </w:rPr>
        <w:lastRenderedPageBreak/>
        <w:tab/>
      </w:r>
      <w:r>
        <w:rPr>
          <w:lang w:val="fr-FR"/>
        </w:rPr>
        <w:tab/>
      </w:r>
      <w:r w:rsidRPr="00021BF7">
        <w:t>Observations de l</w:t>
      </w:r>
      <w:r w:rsidR="009D7A41">
        <w:t>’</w:t>
      </w:r>
      <w:r w:rsidRPr="00021BF7">
        <w:t>État partie</w:t>
      </w:r>
    </w:p>
    <w:p w:rsidR="00C613B4" w:rsidRPr="006A3503" w:rsidRDefault="00C613B4" w:rsidP="00F94176">
      <w:pPr>
        <w:pStyle w:val="SingleTxtG"/>
        <w:rPr>
          <w:lang w:val="fr-FR"/>
        </w:rPr>
      </w:pPr>
      <w:r w:rsidRPr="0033128C">
        <w:rPr>
          <w:lang w:val="fr-FR"/>
        </w:rPr>
        <w:t>21.</w:t>
      </w:r>
      <w:r w:rsidRPr="0033128C">
        <w:rPr>
          <w:lang w:val="fr-FR"/>
        </w:rPr>
        <w:tab/>
        <w:t>Le 16</w:t>
      </w:r>
      <w:r w:rsidR="00F94176">
        <w:rPr>
          <w:lang w:val="fr-FR"/>
        </w:rPr>
        <w:t> </w:t>
      </w:r>
      <w:r w:rsidRPr="0033128C">
        <w:rPr>
          <w:lang w:val="fr-FR"/>
        </w:rPr>
        <w:t>mars 2018, l</w:t>
      </w:r>
      <w:r w:rsidR="009D7A41">
        <w:rPr>
          <w:lang w:val="fr-FR"/>
        </w:rPr>
        <w:t>’</w:t>
      </w:r>
      <w:r w:rsidRPr="0033128C">
        <w:rPr>
          <w:lang w:val="fr-FR"/>
        </w:rPr>
        <w:t xml:space="preserve">État partie a soumis au Comité des informations </w:t>
      </w:r>
      <w:r>
        <w:rPr>
          <w:lang w:val="fr-FR"/>
        </w:rPr>
        <w:t>de suivi</w:t>
      </w:r>
      <w:r w:rsidRPr="0033128C">
        <w:rPr>
          <w:lang w:val="fr-FR"/>
        </w:rPr>
        <w:t xml:space="preserve">. </w:t>
      </w:r>
      <w:r w:rsidRPr="000D3470">
        <w:rPr>
          <w:lang w:val="fr-FR"/>
        </w:rPr>
        <w:t xml:space="preserve">Tout en prenant note de la décision du Comité </w:t>
      </w:r>
      <w:r>
        <w:rPr>
          <w:lang w:val="fr-FR"/>
        </w:rPr>
        <w:t>d</w:t>
      </w:r>
      <w:r w:rsidR="009D7A41">
        <w:rPr>
          <w:lang w:val="fr-FR"/>
        </w:rPr>
        <w:t>’</w:t>
      </w:r>
      <w:r>
        <w:rPr>
          <w:lang w:val="fr-FR"/>
        </w:rPr>
        <w:t>octroyer</w:t>
      </w:r>
      <w:r w:rsidRPr="000D3470">
        <w:rPr>
          <w:lang w:val="fr-FR"/>
        </w:rPr>
        <w:t xml:space="preserve"> une indemnisation</w:t>
      </w:r>
      <w:r>
        <w:rPr>
          <w:lang w:val="fr-FR"/>
        </w:rPr>
        <w:t xml:space="preserve"> à l</w:t>
      </w:r>
      <w:r w:rsidR="009D7A41">
        <w:rPr>
          <w:lang w:val="fr-FR"/>
        </w:rPr>
        <w:t>’</w:t>
      </w:r>
      <w:r>
        <w:rPr>
          <w:lang w:val="fr-FR"/>
        </w:rPr>
        <w:t>auteur</w:t>
      </w:r>
      <w:r w:rsidRPr="000D3470">
        <w:rPr>
          <w:lang w:val="fr-FR"/>
        </w:rPr>
        <w:t>, il a informé le Comité qu</w:t>
      </w:r>
      <w:r w:rsidR="009D7A41">
        <w:rPr>
          <w:lang w:val="fr-FR"/>
        </w:rPr>
        <w:t>’</w:t>
      </w:r>
      <w:r w:rsidRPr="000D3470">
        <w:rPr>
          <w:lang w:val="fr-FR"/>
        </w:rPr>
        <w:t>aucun mécanisme national n</w:t>
      </w:r>
      <w:r w:rsidR="009D7A41">
        <w:rPr>
          <w:lang w:val="fr-FR"/>
        </w:rPr>
        <w:t>’</w:t>
      </w:r>
      <w:r w:rsidRPr="000D3470">
        <w:rPr>
          <w:lang w:val="fr-FR"/>
        </w:rPr>
        <w:t xml:space="preserve">était en place pour mettre en œuvre cette partie de </w:t>
      </w:r>
      <w:r>
        <w:rPr>
          <w:lang w:val="fr-FR"/>
        </w:rPr>
        <w:t>la décision. Par conséquent, l</w:t>
      </w:r>
      <w:r w:rsidR="009D7A41">
        <w:rPr>
          <w:lang w:val="fr-FR"/>
        </w:rPr>
        <w:t>’</w:t>
      </w:r>
      <w:r>
        <w:rPr>
          <w:lang w:val="fr-FR"/>
        </w:rPr>
        <w:t xml:space="preserve">auteur ne pouvait </w:t>
      </w:r>
      <w:r w:rsidR="00FC2224">
        <w:rPr>
          <w:lang w:val="fr-FR"/>
        </w:rPr>
        <w:t xml:space="preserve">pas </w:t>
      </w:r>
      <w:r w:rsidRPr="000D3470">
        <w:rPr>
          <w:lang w:val="fr-FR"/>
        </w:rPr>
        <w:t>être indemnisé. L</w:t>
      </w:r>
      <w:r w:rsidR="009D7A41">
        <w:rPr>
          <w:lang w:val="fr-FR"/>
        </w:rPr>
        <w:t>’</w:t>
      </w:r>
      <w:r w:rsidRPr="000D3470">
        <w:rPr>
          <w:lang w:val="fr-FR"/>
        </w:rPr>
        <w:t xml:space="preserve">État partie a également </w:t>
      </w:r>
      <w:r>
        <w:rPr>
          <w:lang w:val="fr-FR"/>
        </w:rPr>
        <w:t>indiqué</w:t>
      </w:r>
      <w:r w:rsidRPr="000D3470">
        <w:rPr>
          <w:lang w:val="fr-FR"/>
        </w:rPr>
        <w:t xml:space="preserve"> qu</w:t>
      </w:r>
      <w:r w:rsidR="009D7A41">
        <w:rPr>
          <w:lang w:val="fr-FR"/>
        </w:rPr>
        <w:t>’</w:t>
      </w:r>
      <w:r w:rsidRPr="000D3470">
        <w:rPr>
          <w:lang w:val="fr-FR"/>
        </w:rPr>
        <w:t>il avait publié la versi</w:t>
      </w:r>
      <w:r>
        <w:rPr>
          <w:lang w:val="fr-FR"/>
        </w:rPr>
        <w:t>on anglaise de l</w:t>
      </w:r>
      <w:r w:rsidR="009D7A41">
        <w:rPr>
          <w:lang w:val="fr-FR"/>
        </w:rPr>
        <w:t>’</w:t>
      </w:r>
      <w:r>
        <w:rPr>
          <w:lang w:val="fr-FR"/>
        </w:rPr>
        <w:t>opinion du Comité</w:t>
      </w:r>
      <w:r w:rsidRPr="006A3503">
        <w:rPr>
          <w:lang w:val="fr-FR"/>
        </w:rPr>
        <w:t xml:space="preserve">. </w:t>
      </w:r>
    </w:p>
    <w:p w:rsidR="00C613B4" w:rsidRPr="008C22F7" w:rsidRDefault="00C613B4" w:rsidP="00F94176">
      <w:pPr>
        <w:pStyle w:val="SingleTxtG"/>
        <w:rPr>
          <w:bCs/>
          <w:lang w:val="fr-FR"/>
        </w:rPr>
      </w:pPr>
      <w:r w:rsidRPr="00FA0CAC">
        <w:rPr>
          <w:lang w:val="fr-FR"/>
        </w:rPr>
        <w:t>22.</w:t>
      </w:r>
      <w:r w:rsidRPr="00FA0CAC">
        <w:rPr>
          <w:lang w:val="fr-FR"/>
        </w:rPr>
        <w:tab/>
        <w:t>Le Ministère de l</w:t>
      </w:r>
      <w:r w:rsidR="009D7A41">
        <w:rPr>
          <w:lang w:val="fr-FR"/>
        </w:rPr>
        <w:t>’</w:t>
      </w:r>
      <w:r w:rsidRPr="00FA0CAC">
        <w:rPr>
          <w:lang w:val="fr-FR"/>
        </w:rPr>
        <w:t xml:space="preserve">intérieur a transmis </w:t>
      </w:r>
      <w:r>
        <w:rPr>
          <w:lang w:val="fr-FR"/>
        </w:rPr>
        <w:t>l</w:t>
      </w:r>
      <w:r w:rsidR="009D7A41">
        <w:rPr>
          <w:lang w:val="fr-FR"/>
        </w:rPr>
        <w:t>’</w:t>
      </w:r>
      <w:r>
        <w:rPr>
          <w:lang w:val="fr-FR"/>
        </w:rPr>
        <w:t>opinion</w:t>
      </w:r>
      <w:r w:rsidRPr="00FA0CAC">
        <w:rPr>
          <w:lang w:val="fr-FR"/>
        </w:rPr>
        <w:t xml:space="preserve"> du Comité à toutes ses structures régionales et spécialisées, en leur demandant de l</w:t>
      </w:r>
      <w:r w:rsidR="009D7A41">
        <w:rPr>
          <w:lang w:val="fr-FR"/>
        </w:rPr>
        <w:t>’</w:t>
      </w:r>
      <w:r w:rsidRPr="00FA0CAC">
        <w:rPr>
          <w:lang w:val="fr-FR"/>
        </w:rPr>
        <w:t>étudier. L</w:t>
      </w:r>
      <w:r w:rsidR="009D7A41">
        <w:rPr>
          <w:lang w:val="fr-FR"/>
        </w:rPr>
        <w:t>’</w:t>
      </w:r>
      <w:r w:rsidRPr="00FA0CAC">
        <w:rPr>
          <w:lang w:val="fr-FR"/>
        </w:rPr>
        <w:t>État partie a également indiqué que le 8</w:t>
      </w:r>
      <w:r w:rsidR="00F94176">
        <w:rPr>
          <w:lang w:val="fr-FR"/>
        </w:rPr>
        <w:t> </w:t>
      </w:r>
      <w:r w:rsidRPr="00FA0CAC">
        <w:rPr>
          <w:lang w:val="fr-FR"/>
        </w:rPr>
        <w:t>décembre 2016, le Parlement avait adopté un projet de loi modifiant le Code pénal afin de le mettre en conformité avec les obligations internationales du pays, notamment en ce qui concern</w:t>
      </w:r>
      <w:r>
        <w:rPr>
          <w:lang w:val="fr-FR"/>
        </w:rPr>
        <w:t>e les normes antidiscrimination</w:t>
      </w:r>
      <w:r w:rsidRPr="00FA0CAC">
        <w:rPr>
          <w:lang w:val="fr-FR"/>
        </w:rPr>
        <w:t xml:space="preserve">. </w:t>
      </w:r>
      <w:r>
        <w:rPr>
          <w:lang w:val="fr-FR"/>
        </w:rPr>
        <w:t>C</w:t>
      </w:r>
      <w:r w:rsidRPr="00EA31BD">
        <w:rPr>
          <w:lang w:val="fr-FR"/>
        </w:rPr>
        <w:t>e projet de loi a</w:t>
      </w:r>
      <w:r>
        <w:rPr>
          <w:lang w:val="fr-FR"/>
        </w:rPr>
        <w:t>vait permis d</w:t>
      </w:r>
      <w:r w:rsidR="009D7A41">
        <w:rPr>
          <w:lang w:val="fr-FR"/>
        </w:rPr>
        <w:t>’</w:t>
      </w:r>
      <w:r>
        <w:rPr>
          <w:lang w:val="fr-FR"/>
        </w:rPr>
        <w:t>ajouter</w:t>
      </w:r>
      <w:r w:rsidRPr="00EA31BD">
        <w:rPr>
          <w:lang w:val="fr-FR"/>
        </w:rPr>
        <w:t xml:space="preserve"> une définition des crimes </w:t>
      </w:r>
      <w:r>
        <w:rPr>
          <w:lang w:val="fr-FR"/>
        </w:rPr>
        <w:t>motivés par des</w:t>
      </w:r>
      <w:r w:rsidRPr="00EA31BD">
        <w:rPr>
          <w:lang w:val="fr-FR"/>
        </w:rPr>
        <w:t xml:space="preserve"> préjugé</w:t>
      </w:r>
      <w:r>
        <w:rPr>
          <w:lang w:val="fr-FR"/>
        </w:rPr>
        <w:t>s</w:t>
      </w:r>
      <w:r w:rsidRPr="00EA31BD">
        <w:rPr>
          <w:lang w:val="fr-FR"/>
        </w:rPr>
        <w:t xml:space="preserve">, du mépris ou de la haine, et </w:t>
      </w:r>
      <w:r>
        <w:rPr>
          <w:lang w:val="fr-FR"/>
        </w:rPr>
        <w:t>cette motivation constituerait désormais</w:t>
      </w:r>
      <w:r w:rsidRPr="00EA31BD">
        <w:rPr>
          <w:lang w:val="fr-FR"/>
        </w:rPr>
        <w:t xml:space="preserve"> </w:t>
      </w:r>
      <w:r>
        <w:rPr>
          <w:lang w:val="fr-FR"/>
        </w:rPr>
        <w:t>un é</w:t>
      </w:r>
      <w:r w:rsidRPr="00EA31BD">
        <w:rPr>
          <w:lang w:val="fr-FR"/>
        </w:rPr>
        <w:t xml:space="preserve">lément aggravant. </w:t>
      </w:r>
      <w:r w:rsidRPr="008C22F7">
        <w:rPr>
          <w:lang w:val="fr-FR"/>
        </w:rPr>
        <w:t xml:space="preserve">Le Code </w:t>
      </w:r>
      <w:r>
        <w:rPr>
          <w:lang w:val="fr-FR"/>
        </w:rPr>
        <w:t>pénal</w:t>
      </w:r>
      <w:r w:rsidRPr="008C22F7">
        <w:rPr>
          <w:lang w:val="fr-FR"/>
        </w:rPr>
        <w:t xml:space="preserve"> </w:t>
      </w:r>
      <w:r>
        <w:rPr>
          <w:lang w:val="fr-FR"/>
        </w:rPr>
        <w:t>énoncerait</w:t>
      </w:r>
      <w:r w:rsidRPr="008C22F7">
        <w:rPr>
          <w:lang w:val="fr-FR"/>
        </w:rPr>
        <w:t xml:space="preserve"> en outre les </w:t>
      </w:r>
      <w:r>
        <w:rPr>
          <w:lang w:val="fr-FR"/>
        </w:rPr>
        <w:t>motifs</w:t>
      </w:r>
      <w:r w:rsidRPr="008C22F7">
        <w:rPr>
          <w:lang w:val="fr-FR"/>
        </w:rPr>
        <w:t xml:space="preserve"> </w:t>
      </w:r>
      <w:r>
        <w:rPr>
          <w:lang w:val="fr-FR"/>
        </w:rPr>
        <w:t>susceptibles d</w:t>
      </w:r>
      <w:r w:rsidR="009D7A41">
        <w:rPr>
          <w:lang w:val="fr-FR"/>
        </w:rPr>
        <w:t>’</w:t>
      </w:r>
      <w:r>
        <w:rPr>
          <w:lang w:val="fr-FR"/>
        </w:rPr>
        <w:t>expliquer l</w:t>
      </w:r>
      <w:r w:rsidRPr="008C22F7">
        <w:rPr>
          <w:lang w:val="fr-FR"/>
        </w:rPr>
        <w:t xml:space="preserve">es préjugés, </w:t>
      </w:r>
      <w:r>
        <w:rPr>
          <w:lang w:val="fr-FR"/>
        </w:rPr>
        <w:t xml:space="preserve">le </w:t>
      </w:r>
      <w:r w:rsidRPr="008C22F7">
        <w:rPr>
          <w:lang w:val="fr-FR"/>
        </w:rPr>
        <w:t xml:space="preserve">mépris ou </w:t>
      </w:r>
      <w:r>
        <w:rPr>
          <w:lang w:val="fr-FR"/>
        </w:rPr>
        <w:t>la haine</w:t>
      </w:r>
      <w:r w:rsidRPr="008C22F7">
        <w:rPr>
          <w:lang w:val="fr-FR"/>
        </w:rPr>
        <w:t xml:space="preserve">, </w:t>
      </w:r>
      <w:r>
        <w:rPr>
          <w:lang w:val="fr-FR"/>
        </w:rPr>
        <w:t>notamment</w:t>
      </w:r>
      <w:r w:rsidRPr="008C22F7">
        <w:rPr>
          <w:lang w:val="fr-FR"/>
        </w:rPr>
        <w:t xml:space="preserve"> la race, la couleur de la peau, l</w:t>
      </w:r>
      <w:r w:rsidR="009D7A41">
        <w:rPr>
          <w:lang w:val="fr-FR"/>
        </w:rPr>
        <w:t>’</w:t>
      </w:r>
      <w:r w:rsidRPr="008C22F7">
        <w:rPr>
          <w:lang w:val="fr-FR"/>
        </w:rPr>
        <w:t>origine ethnique, nationale ou sociale, la citoyenneté, le</w:t>
      </w:r>
      <w:r>
        <w:rPr>
          <w:lang w:val="fr-FR"/>
        </w:rPr>
        <w:t xml:space="preserve"> sexe, la langue et la religion</w:t>
      </w:r>
      <w:r w:rsidRPr="008C22F7">
        <w:rPr>
          <w:lang w:val="fr-FR"/>
        </w:rPr>
        <w:t xml:space="preserve">. </w:t>
      </w:r>
    </w:p>
    <w:p w:rsidR="00C613B4" w:rsidRPr="00EC35D3" w:rsidRDefault="00C613B4" w:rsidP="00C613B4">
      <w:pPr>
        <w:pStyle w:val="SingleTxtG"/>
        <w:rPr>
          <w:lang w:val="fr-FR"/>
        </w:rPr>
      </w:pPr>
      <w:r w:rsidRPr="00EC35D3">
        <w:rPr>
          <w:lang w:val="fr-FR"/>
        </w:rPr>
        <w:t>23.</w:t>
      </w:r>
      <w:r w:rsidRPr="00EC35D3">
        <w:rPr>
          <w:lang w:val="fr-FR"/>
        </w:rPr>
        <w:tab/>
        <w:t>En outre, le plan national d</w:t>
      </w:r>
      <w:r w:rsidR="009D7A41">
        <w:rPr>
          <w:lang w:val="fr-FR"/>
        </w:rPr>
        <w:t>’</w:t>
      </w:r>
      <w:r w:rsidRPr="00EC35D3">
        <w:rPr>
          <w:lang w:val="fr-FR"/>
        </w:rPr>
        <w:t>action pour les droits de l</w:t>
      </w:r>
      <w:r w:rsidR="009D7A41">
        <w:rPr>
          <w:lang w:val="fr-FR"/>
        </w:rPr>
        <w:t>’</w:t>
      </w:r>
      <w:r w:rsidRPr="00EC35D3">
        <w:rPr>
          <w:lang w:val="fr-FR"/>
        </w:rPr>
        <w:t>homme 2018-2022 a</w:t>
      </w:r>
      <w:r>
        <w:rPr>
          <w:lang w:val="fr-FR"/>
        </w:rPr>
        <w:t>vait</w:t>
      </w:r>
      <w:r w:rsidRPr="00EC35D3">
        <w:rPr>
          <w:lang w:val="fr-FR"/>
        </w:rPr>
        <w:t xml:space="preserve"> été élaboré et transmis au Parlement pour adoption. Il </w:t>
      </w:r>
      <w:r>
        <w:rPr>
          <w:lang w:val="fr-FR"/>
        </w:rPr>
        <w:t>comprenait</w:t>
      </w:r>
      <w:r w:rsidRPr="00EC35D3">
        <w:rPr>
          <w:lang w:val="fr-FR"/>
        </w:rPr>
        <w:t xml:space="preserve"> une section intitulée </w:t>
      </w:r>
      <w:r w:rsidR="00F94176">
        <w:rPr>
          <w:lang w:val="fr-FR"/>
        </w:rPr>
        <w:t>« </w:t>
      </w:r>
      <w:r w:rsidRPr="00EC35D3">
        <w:rPr>
          <w:lang w:val="fr-FR"/>
        </w:rPr>
        <w:t>Non</w:t>
      </w:r>
      <w:r w:rsidR="00F94176">
        <w:rPr>
          <w:lang w:val="fr-FR"/>
        </w:rPr>
        <w:noBreakHyphen/>
      </w:r>
      <w:r w:rsidRPr="00EC35D3">
        <w:rPr>
          <w:lang w:val="fr-FR"/>
        </w:rPr>
        <w:t>discrimination et égalité</w:t>
      </w:r>
      <w:r w:rsidR="00F94176">
        <w:rPr>
          <w:lang w:val="fr-FR"/>
        </w:rPr>
        <w:t> »</w:t>
      </w:r>
      <w:r w:rsidRPr="00EC35D3">
        <w:rPr>
          <w:lang w:val="fr-FR"/>
        </w:rPr>
        <w:t>, qui sera</w:t>
      </w:r>
      <w:r>
        <w:rPr>
          <w:lang w:val="fr-FR"/>
        </w:rPr>
        <w:t>it</w:t>
      </w:r>
      <w:r w:rsidRPr="00EC35D3">
        <w:rPr>
          <w:lang w:val="fr-FR"/>
        </w:rPr>
        <w:t xml:space="preserve"> mise en œuvre </w:t>
      </w:r>
      <w:r>
        <w:rPr>
          <w:lang w:val="fr-FR"/>
        </w:rPr>
        <w:t>au moyen de mesures de</w:t>
      </w:r>
      <w:r w:rsidRPr="00EC35D3">
        <w:rPr>
          <w:lang w:val="fr-FR"/>
        </w:rPr>
        <w:t xml:space="preserve"> sensibilisation et </w:t>
      </w:r>
      <w:r>
        <w:rPr>
          <w:lang w:val="fr-FR"/>
        </w:rPr>
        <w:t>de</w:t>
      </w:r>
      <w:r w:rsidRPr="00EC35D3">
        <w:rPr>
          <w:lang w:val="fr-FR"/>
        </w:rPr>
        <w:t xml:space="preserve"> lutte contre les </w:t>
      </w:r>
      <w:r>
        <w:rPr>
          <w:lang w:val="fr-FR"/>
        </w:rPr>
        <w:t>préjugés, le mépris ou la haine</w:t>
      </w:r>
      <w:r w:rsidRPr="00EC35D3">
        <w:rPr>
          <w:lang w:val="fr-FR"/>
        </w:rPr>
        <w:t>. Le plan prévoyait également le suivi et la collecte d</w:t>
      </w:r>
      <w:r w:rsidR="009D7A41">
        <w:rPr>
          <w:lang w:val="fr-FR"/>
        </w:rPr>
        <w:t>’</w:t>
      </w:r>
      <w:r w:rsidRPr="00EC35D3">
        <w:rPr>
          <w:lang w:val="fr-FR"/>
        </w:rPr>
        <w:t>informations concernant les grou</w:t>
      </w:r>
      <w:r>
        <w:rPr>
          <w:lang w:val="fr-FR"/>
        </w:rPr>
        <w:t>pes vulnérables et marginalisés</w:t>
      </w:r>
      <w:r w:rsidRPr="00EC35D3">
        <w:rPr>
          <w:lang w:val="fr-FR"/>
        </w:rPr>
        <w:t xml:space="preserve">. </w:t>
      </w:r>
    </w:p>
    <w:p w:rsidR="00C613B4" w:rsidRPr="00303321" w:rsidRDefault="00C613B4" w:rsidP="00F94176">
      <w:pPr>
        <w:pStyle w:val="SingleTxtG"/>
        <w:rPr>
          <w:lang w:val="fr-FR"/>
        </w:rPr>
      </w:pPr>
      <w:r w:rsidRPr="00A70E7B">
        <w:rPr>
          <w:lang w:val="fr-FR"/>
        </w:rPr>
        <w:t>24.</w:t>
      </w:r>
      <w:r w:rsidRPr="00A70E7B">
        <w:rPr>
          <w:lang w:val="fr-FR"/>
        </w:rPr>
        <w:tab/>
        <w:t>L</w:t>
      </w:r>
      <w:r w:rsidR="009D7A41">
        <w:rPr>
          <w:lang w:val="fr-FR"/>
        </w:rPr>
        <w:t>’</w:t>
      </w:r>
      <w:r w:rsidRPr="00A70E7B">
        <w:rPr>
          <w:lang w:val="fr-FR"/>
        </w:rPr>
        <w:t>État partie travaill</w:t>
      </w:r>
      <w:r>
        <w:rPr>
          <w:lang w:val="fr-FR"/>
        </w:rPr>
        <w:t>ait</w:t>
      </w:r>
      <w:r w:rsidRPr="00A70E7B">
        <w:rPr>
          <w:lang w:val="fr-FR"/>
        </w:rPr>
        <w:t xml:space="preserve"> également à la stratégie de développeme</w:t>
      </w:r>
      <w:r>
        <w:rPr>
          <w:lang w:val="fr-FR"/>
        </w:rPr>
        <w:t>nt de la police pour 2016-2020</w:t>
      </w:r>
      <w:r w:rsidRPr="00A70E7B">
        <w:rPr>
          <w:lang w:val="fr-FR"/>
        </w:rPr>
        <w:t xml:space="preserve">. </w:t>
      </w:r>
      <w:r w:rsidRPr="00303321">
        <w:rPr>
          <w:lang w:val="fr-FR"/>
        </w:rPr>
        <w:t xml:space="preserve">Il </w:t>
      </w:r>
      <w:r>
        <w:rPr>
          <w:lang w:val="fr-FR"/>
        </w:rPr>
        <w:t>était prévu</w:t>
      </w:r>
      <w:r w:rsidRPr="00303321">
        <w:rPr>
          <w:lang w:val="fr-FR"/>
        </w:rPr>
        <w:t xml:space="preserve"> que, grâce à cette stratégie, les forces de police deviendraient plus responsables, efficientes, transparentes, justes et efficaces, et conformes aux exigences de l</w:t>
      </w:r>
      <w:r w:rsidR="009D7A41">
        <w:rPr>
          <w:lang w:val="fr-FR"/>
        </w:rPr>
        <w:t>’</w:t>
      </w:r>
      <w:r w:rsidRPr="00303321">
        <w:rPr>
          <w:lang w:val="fr-FR"/>
        </w:rPr>
        <w:t>Union européenne et du droit international. En outre, l</w:t>
      </w:r>
      <w:r w:rsidR="009D7A41">
        <w:rPr>
          <w:lang w:val="fr-FR"/>
        </w:rPr>
        <w:t>’</w:t>
      </w:r>
      <w:r w:rsidRPr="00303321">
        <w:rPr>
          <w:lang w:val="fr-FR"/>
        </w:rPr>
        <w:t>organisme national de lutte contre la discrimination a</w:t>
      </w:r>
      <w:r>
        <w:rPr>
          <w:lang w:val="fr-FR"/>
        </w:rPr>
        <w:t>vait</w:t>
      </w:r>
      <w:r w:rsidRPr="00303321">
        <w:rPr>
          <w:lang w:val="fr-FR"/>
        </w:rPr>
        <w:t xml:space="preserve"> mené une campagne d</w:t>
      </w:r>
      <w:r w:rsidR="009D7A41">
        <w:rPr>
          <w:lang w:val="fr-FR"/>
        </w:rPr>
        <w:t>’</w:t>
      </w:r>
      <w:r w:rsidRPr="00303321">
        <w:rPr>
          <w:lang w:val="fr-FR"/>
        </w:rPr>
        <w:t xml:space="preserve">information et de sensibilisation contre la discrimination, </w:t>
      </w:r>
      <w:r>
        <w:rPr>
          <w:lang w:val="fr-FR"/>
        </w:rPr>
        <w:t>y compris des campagnes en ligne</w:t>
      </w:r>
      <w:r w:rsidRPr="00303321">
        <w:rPr>
          <w:lang w:val="fr-FR"/>
        </w:rPr>
        <w:t xml:space="preserve">. </w:t>
      </w:r>
    </w:p>
    <w:p w:rsidR="00C613B4" w:rsidRPr="00796ED2" w:rsidRDefault="00C613B4" w:rsidP="00F94176">
      <w:pPr>
        <w:pStyle w:val="SingleTxtG"/>
        <w:rPr>
          <w:bCs/>
          <w:lang w:val="fr-FR"/>
        </w:rPr>
      </w:pPr>
      <w:r w:rsidRPr="00B37FB4">
        <w:rPr>
          <w:lang w:val="fr-FR"/>
        </w:rPr>
        <w:t>25.</w:t>
      </w:r>
      <w:r w:rsidRPr="00B37FB4">
        <w:rPr>
          <w:lang w:val="fr-FR"/>
        </w:rPr>
        <w:tab/>
        <w:t xml:space="preserve">Les autorités </w:t>
      </w:r>
      <w:r>
        <w:rPr>
          <w:lang w:val="fr-FR"/>
        </w:rPr>
        <w:t>avaient</w:t>
      </w:r>
      <w:r w:rsidRPr="00B37FB4">
        <w:rPr>
          <w:lang w:val="fr-FR"/>
        </w:rPr>
        <w:t xml:space="preserve"> accordé une attention particulière à la formation professionnelle des agents des forces de l</w:t>
      </w:r>
      <w:r w:rsidR="009D7A41">
        <w:rPr>
          <w:lang w:val="fr-FR"/>
        </w:rPr>
        <w:t>’</w:t>
      </w:r>
      <w:r w:rsidRPr="00B37FB4">
        <w:rPr>
          <w:lang w:val="fr-FR"/>
        </w:rPr>
        <w:t xml:space="preserve">ordre chargés de </w:t>
      </w:r>
      <w:r>
        <w:rPr>
          <w:lang w:val="fr-FR"/>
        </w:rPr>
        <w:t>lutter contre la discrimination</w:t>
      </w:r>
      <w:r w:rsidRPr="00B37FB4">
        <w:rPr>
          <w:lang w:val="fr-FR"/>
        </w:rPr>
        <w:t xml:space="preserve">. </w:t>
      </w:r>
      <w:r w:rsidRPr="00796ED2">
        <w:rPr>
          <w:lang w:val="fr-FR"/>
        </w:rPr>
        <w:t xml:space="preserve">Plusieurs activités de formation </w:t>
      </w:r>
      <w:r>
        <w:rPr>
          <w:lang w:val="fr-FR"/>
        </w:rPr>
        <w:t>avaient</w:t>
      </w:r>
      <w:r w:rsidRPr="00796ED2">
        <w:rPr>
          <w:lang w:val="fr-FR"/>
        </w:rPr>
        <w:t xml:space="preserve"> été menées pour former les </w:t>
      </w:r>
      <w:r>
        <w:rPr>
          <w:lang w:val="fr-FR"/>
        </w:rPr>
        <w:t>professionnels</w:t>
      </w:r>
      <w:r w:rsidRPr="00796ED2">
        <w:rPr>
          <w:lang w:val="fr-FR"/>
        </w:rPr>
        <w:t xml:space="preserve"> de la justice, les avocats, les défenseurs des droits de l</w:t>
      </w:r>
      <w:r w:rsidR="009D7A41">
        <w:rPr>
          <w:lang w:val="fr-FR"/>
        </w:rPr>
        <w:t>’</w:t>
      </w:r>
      <w:r w:rsidRPr="00796ED2">
        <w:rPr>
          <w:lang w:val="fr-FR"/>
        </w:rPr>
        <w:t>homme, les enquêteu</w:t>
      </w:r>
      <w:r>
        <w:rPr>
          <w:lang w:val="fr-FR"/>
        </w:rPr>
        <w:t>rs et les procureurs</w:t>
      </w:r>
      <w:r w:rsidRPr="00796ED2">
        <w:rPr>
          <w:lang w:val="fr-FR"/>
        </w:rPr>
        <w:t xml:space="preserve">. </w:t>
      </w:r>
    </w:p>
    <w:p w:rsidR="00C613B4" w:rsidRPr="002E593F" w:rsidRDefault="00C613B4" w:rsidP="00F94176">
      <w:pPr>
        <w:pStyle w:val="SingleTxtG"/>
        <w:rPr>
          <w:bCs/>
          <w:lang w:val="fr-FR"/>
        </w:rPr>
      </w:pPr>
      <w:r w:rsidRPr="00D84480">
        <w:rPr>
          <w:lang w:val="fr-FR"/>
        </w:rPr>
        <w:t>26.</w:t>
      </w:r>
      <w:r w:rsidRPr="00D84480">
        <w:rPr>
          <w:lang w:val="fr-FR"/>
        </w:rPr>
        <w:tab/>
        <w:t>L</w:t>
      </w:r>
      <w:r w:rsidR="009D7A41">
        <w:rPr>
          <w:lang w:val="fr-FR"/>
        </w:rPr>
        <w:t>’</w:t>
      </w:r>
      <w:r w:rsidRPr="00D84480">
        <w:rPr>
          <w:lang w:val="fr-FR"/>
        </w:rPr>
        <w:t>État partie a confirmé qu</w:t>
      </w:r>
      <w:r w:rsidR="009D7A41">
        <w:rPr>
          <w:lang w:val="fr-FR"/>
        </w:rPr>
        <w:t>’</w:t>
      </w:r>
      <w:r w:rsidRPr="00D84480">
        <w:rPr>
          <w:lang w:val="fr-FR"/>
        </w:rPr>
        <w:t>à l</w:t>
      </w:r>
      <w:r w:rsidR="009D7A41">
        <w:rPr>
          <w:lang w:val="fr-FR"/>
        </w:rPr>
        <w:t>’</w:t>
      </w:r>
      <w:r w:rsidRPr="00D84480">
        <w:rPr>
          <w:lang w:val="fr-FR"/>
        </w:rPr>
        <w:t xml:space="preserve">avenir, il examinerait les recommandations du Comité. </w:t>
      </w:r>
      <w:r w:rsidRPr="00E10344">
        <w:rPr>
          <w:lang w:val="fr-FR"/>
        </w:rPr>
        <w:t>Les mesures décrites ci-dessus démontr</w:t>
      </w:r>
      <w:r>
        <w:rPr>
          <w:lang w:val="fr-FR"/>
        </w:rPr>
        <w:t>ai</w:t>
      </w:r>
      <w:r w:rsidRPr="00E10344">
        <w:rPr>
          <w:lang w:val="fr-FR"/>
        </w:rPr>
        <w:t xml:space="preserve">ent les efforts entrepris pour éliminer toutes les formes de discrimination raciale. </w:t>
      </w:r>
      <w:r w:rsidRPr="002E593F">
        <w:rPr>
          <w:lang w:val="fr-FR"/>
        </w:rPr>
        <w:t>Les autorités compétentes redoubleraient d</w:t>
      </w:r>
      <w:r w:rsidR="009D7A41">
        <w:rPr>
          <w:lang w:val="fr-FR"/>
        </w:rPr>
        <w:t>’</w:t>
      </w:r>
      <w:r w:rsidRPr="002E593F">
        <w:rPr>
          <w:lang w:val="fr-FR"/>
        </w:rPr>
        <w:t>efforts pour renforcer la capacité des agents des forces de l</w:t>
      </w:r>
      <w:r w:rsidR="009D7A41">
        <w:rPr>
          <w:lang w:val="fr-FR"/>
        </w:rPr>
        <w:t>’</w:t>
      </w:r>
      <w:r w:rsidRPr="002E593F">
        <w:rPr>
          <w:lang w:val="fr-FR"/>
        </w:rPr>
        <w:t>ordre, en particulier des procureurs, de reconnaître la gravité de la discrimination,</w:t>
      </w:r>
      <w:r>
        <w:rPr>
          <w:lang w:val="fr-FR"/>
        </w:rPr>
        <w:t xml:space="preserve"> du racisme et de l</w:t>
      </w:r>
      <w:r w:rsidR="009D7A41">
        <w:rPr>
          <w:lang w:val="fr-FR"/>
        </w:rPr>
        <w:t>’</w:t>
      </w:r>
      <w:r>
        <w:rPr>
          <w:lang w:val="fr-FR"/>
        </w:rPr>
        <w:t>intolérance</w:t>
      </w:r>
      <w:r w:rsidRPr="002E593F">
        <w:rPr>
          <w:lang w:val="fr-FR"/>
        </w:rPr>
        <w:t xml:space="preserve">. </w:t>
      </w:r>
    </w:p>
    <w:p w:rsidR="00C613B4" w:rsidRPr="006F1F71" w:rsidRDefault="00C613B4" w:rsidP="00F94176">
      <w:pPr>
        <w:pStyle w:val="H23G"/>
        <w:rPr>
          <w:lang w:val="fr-FR"/>
        </w:rPr>
      </w:pPr>
      <w:r w:rsidRPr="002E593F">
        <w:rPr>
          <w:lang w:val="fr-FR"/>
        </w:rPr>
        <w:tab/>
      </w:r>
      <w:r w:rsidRPr="002E593F">
        <w:rPr>
          <w:lang w:val="fr-FR"/>
        </w:rPr>
        <w:tab/>
      </w:r>
      <w:r>
        <w:rPr>
          <w:lang w:val="fr-FR"/>
        </w:rPr>
        <w:t>Observations de l</w:t>
      </w:r>
      <w:r w:rsidR="009D7A41">
        <w:rPr>
          <w:lang w:val="fr-FR"/>
        </w:rPr>
        <w:t>’</w:t>
      </w:r>
      <w:r>
        <w:rPr>
          <w:lang w:val="fr-FR"/>
        </w:rPr>
        <w:t>auteur</w:t>
      </w:r>
    </w:p>
    <w:p w:rsidR="00C613B4" w:rsidRPr="006F1F71" w:rsidRDefault="00C613B4" w:rsidP="00C613B4">
      <w:pPr>
        <w:pStyle w:val="SingleTxtG"/>
        <w:rPr>
          <w:bCs/>
          <w:lang w:val="fr-FR"/>
        </w:rPr>
      </w:pPr>
      <w:r>
        <w:rPr>
          <w:lang w:val="fr-FR"/>
        </w:rPr>
        <w:t>27.</w:t>
      </w:r>
      <w:r>
        <w:rPr>
          <w:lang w:val="fr-FR"/>
        </w:rPr>
        <w:tab/>
        <w:t>Le Comité attend les commentaires de l</w:t>
      </w:r>
      <w:r w:rsidR="009D7A41">
        <w:rPr>
          <w:lang w:val="fr-FR"/>
        </w:rPr>
        <w:t>’</w:t>
      </w:r>
      <w:r>
        <w:rPr>
          <w:lang w:val="fr-FR"/>
        </w:rPr>
        <w:t>auteur.</w:t>
      </w:r>
    </w:p>
    <w:p w:rsidR="00C613B4" w:rsidRPr="006F1F71" w:rsidRDefault="00C613B4" w:rsidP="00F94176">
      <w:pPr>
        <w:pStyle w:val="H23G"/>
        <w:rPr>
          <w:lang w:val="fr-FR"/>
        </w:rPr>
      </w:pPr>
      <w:r>
        <w:rPr>
          <w:lang w:val="fr-FR"/>
        </w:rPr>
        <w:tab/>
      </w:r>
      <w:r>
        <w:rPr>
          <w:lang w:val="fr-FR"/>
        </w:rPr>
        <w:tab/>
        <w:t>Autres mesures proposées ou décisions du Comité</w:t>
      </w:r>
    </w:p>
    <w:p w:rsidR="00C613B4" w:rsidRDefault="00C613B4" w:rsidP="00C613B4">
      <w:pPr>
        <w:pStyle w:val="SingleTxtG"/>
        <w:rPr>
          <w:lang w:val="fr-FR"/>
        </w:rPr>
      </w:pPr>
      <w:r>
        <w:rPr>
          <w:lang w:val="fr-FR"/>
        </w:rPr>
        <w:t>28.</w:t>
      </w:r>
      <w:r>
        <w:rPr>
          <w:lang w:val="fr-FR"/>
        </w:rPr>
        <w:tab/>
        <w:t>Le dialogue se poursuit.</w:t>
      </w:r>
    </w:p>
    <w:p w:rsidR="00B8193D" w:rsidRDefault="00B8193D" w:rsidP="00C613B4">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B8193D" w:rsidSect="007B3FD8">
      <w:footerReference w:type="default" r:id="rId96"/>
      <w:footnotePr>
        <w:numRestart w:val="eachSect"/>
      </w:footnotePr>
      <w:endnotePr>
        <w:numFmt w:val="decimal"/>
      </w:endnotePr>
      <w:type w:val="continuous"/>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43" w:rsidRDefault="00352943"/>
  </w:endnote>
  <w:endnote w:type="continuationSeparator" w:id="0">
    <w:p w:rsidR="00352943" w:rsidRDefault="00352943">
      <w:pPr>
        <w:pStyle w:val="Pieddepage"/>
      </w:pPr>
    </w:p>
  </w:endnote>
  <w:endnote w:type="continuationNotice" w:id="1">
    <w:p w:rsidR="00352943" w:rsidRPr="00C451B9" w:rsidRDefault="0035294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Default="00352943">
    <w:pPr>
      <w:pStyle w:val="Pieddepage"/>
    </w:pPr>
    <w:r>
      <w:rPr>
        <w:noProof/>
        <w:lang w:eastAsia="fr-CH"/>
      </w:rPr>
      <w:drawing>
        <wp:anchor distT="0" distB="0" distL="114300" distR="114300" simplePos="0" relativeHeight="251663360" behindDoc="0" locked="0" layoutInCell="1" allowOverlap="1" wp14:anchorId="3219EC02" wp14:editId="277FE1F8">
          <wp:simplePos x="0" y="0"/>
          <wp:positionH relativeFrom="column">
            <wp:posOffset>5437704</wp:posOffset>
          </wp:positionH>
          <wp:positionV relativeFrom="paragraph">
            <wp:posOffset>-313818</wp:posOffset>
          </wp:positionV>
          <wp:extent cx="638175" cy="638175"/>
          <wp:effectExtent l="0" t="0" r="9525" b="9525"/>
          <wp:wrapNone/>
          <wp:docPr id="4" name="Image 1" descr="https://undocs.org/m2/QRCode.ashx?DS=A/73/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3/18&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44928" behindDoc="0" locked="0" layoutInCell="1" allowOverlap="0" wp14:anchorId="700CA761" wp14:editId="307E2E99">
          <wp:simplePos x="0" y="0"/>
          <wp:positionH relativeFrom="margin">
            <wp:posOffset>4100248</wp:posOffset>
          </wp:positionH>
          <wp:positionV relativeFrom="margin">
            <wp:posOffset>9322739</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4F22E0" w:rsidRDefault="00352943" w:rsidP="004F22E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37196">
      <w:rPr>
        <w:b/>
        <w:noProof/>
        <w:sz w:val="18"/>
      </w:rPr>
      <w:t>26</w:t>
    </w:r>
    <w:r>
      <w:rPr>
        <w:b/>
        <w:sz w:val="18"/>
      </w:rPr>
      <w:fldChar w:fldCharType="end"/>
    </w:r>
    <w:r>
      <w:rPr>
        <w:b/>
        <w:sz w:val="18"/>
      </w:rPr>
      <w:tab/>
    </w:r>
    <w:r w:rsidRPr="004F22E0">
      <w:t>GE.18-14050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4F22E0" w:rsidRDefault="00352943" w:rsidP="004F22E0">
    <w:pPr>
      <w:pStyle w:val="Pieddepage"/>
      <w:tabs>
        <w:tab w:val="right" w:pos="9638"/>
      </w:tabs>
      <w:rPr>
        <w:b/>
        <w:sz w:val="18"/>
      </w:rPr>
    </w:pPr>
    <w:r>
      <w:t>GE.</w:t>
    </w:r>
    <w:r w:rsidRPr="004F22E0">
      <w:t>18</w:t>
    </w:r>
    <w:r>
      <w:t>-</w:t>
    </w:r>
    <w:r w:rsidRPr="004F22E0">
      <w:t>14050</w:t>
    </w:r>
    <w:r>
      <w:tab/>
    </w:r>
    <w:r>
      <w:rPr>
        <w:b/>
        <w:sz w:val="18"/>
      </w:rPr>
      <w:fldChar w:fldCharType="begin"/>
    </w:r>
    <w:r>
      <w:rPr>
        <w:b/>
        <w:sz w:val="18"/>
      </w:rPr>
      <w:instrText xml:space="preserve"> PAGE  \* MERGEFORMAT </w:instrText>
    </w:r>
    <w:r>
      <w:rPr>
        <w:b/>
        <w:sz w:val="18"/>
      </w:rPr>
      <w:fldChar w:fldCharType="separate"/>
    </w:r>
    <w:r w:rsidR="00537196">
      <w:rPr>
        <w:b/>
        <w:noProof/>
        <w:sz w:val="18"/>
      </w:rPr>
      <w:t>27</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4F22E0" w:rsidRDefault="00352943" w:rsidP="004F22E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37196">
      <w:rPr>
        <w:b/>
        <w:noProof/>
        <w:sz w:val="18"/>
      </w:rPr>
      <w:t>30</w:t>
    </w:r>
    <w:r>
      <w:rPr>
        <w:b/>
        <w:sz w:val="18"/>
      </w:rPr>
      <w:fldChar w:fldCharType="end"/>
    </w:r>
    <w:r>
      <w:rPr>
        <w:b/>
        <w:sz w:val="18"/>
      </w:rPr>
      <w:tab/>
    </w:r>
    <w:r w:rsidRPr="004F22E0">
      <w:t>GE.18-14050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4F22E0" w:rsidRDefault="00352943" w:rsidP="004F22E0">
    <w:pPr>
      <w:pStyle w:val="Pieddepage"/>
      <w:tabs>
        <w:tab w:val="right" w:pos="9638"/>
      </w:tabs>
      <w:rPr>
        <w:b/>
        <w:sz w:val="18"/>
      </w:rPr>
    </w:pPr>
    <w:r>
      <w:t>GE.</w:t>
    </w:r>
    <w:r w:rsidRPr="004F22E0">
      <w:t>18</w:t>
    </w:r>
    <w:r>
      <w:t>-</w:t>
    </w:r>
    <w:r w:rsidRPr="004F22E0">
      <w:t>14050</w:t>
    </w:r>
    <w:r>
      <w:tab/>
    </w:r>
    <w:r>
      <w:rPr>
        <w:b/>
        <w:sz w:val="18"/>
      </w:rPr>
      <w:fldChar w:fldCharType="begin"/>
    </w:r>
    <w:r>
      <w:rPr>
        <w:b/>
        <w:sz w:val="18"/>
      </w:rPr>
      <w:instrText xml:space="preserve"> PAGE  \* MERGEFORMAT </w:instrText>
    </w:r>
    <w:r>
      <w:rPr>
        <w:b/>
        <w:sz w:val="18"/>
      </w:rPr>
      <w:fldChar w:fldCharType="separate"/>
    </w:r>
    <w:r w:rsidR="00537196">
      <w:rPr>
        <w:b/>
        <w:noProof/>
        <w:sz w:val="18"/>
      </w:rPr>
      <w:t>29</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4F22E0" w:rsidRDefault="00352943" w:rsidP="004F22E0">
    <w:pPr>
      <w:pStyle w:val="Pieddepage"/>
      <w:tabs>
        <w:tab w:val="right" w:pos="9638"/>
      </w:tabs>
      <w:rPr>
        <w:b/>
        <w:sz w:val="18"/>
      </w:rPr>
    </w:pPr>
    <w:r>
      <w:t>GE.</w:t>
    </w:r>
    <w:r w:rsidRPr="004F22E0">
      <w:t>18</w:t>
    </w:r>
    <w:r>
      <w:t>-</w:t>
    </w:r>
    <w:r w:rsidRPr="004F22E0">
      <w:t>14050</w:t>
    </w:r>
    <w:r>
      <w:tab/>
    </w:r>
    <w:r>
      <w:rPr>
        <w:b/>
        <w:sz w:val="18"/>
      </w:rPr>
      <w:fldChar w:fldCharType="begin"/>
    </w:r>
    <w:r>
      <w:rPr>
        <w:b/>
        <w:sz w:val="18"/>
      </w:rPr>
      <w:instrText xml:space="preserve"> PAGE  \* MERGEFORMAT </w:instrText>
    </w:r>
    <w:r>
      <w:rPr>
        <w:b/>
        <w:sz w:val="18"/>
      </w:rPr>
      <w:fldChar w:fldCharType="separate"/>
    </w:r>
    <w:r w:rsidR="00537196">
      <w:rPr>
        <w:b/>
        <w:noProof/>
        <w:sz w:val="18"/>
      </w:rPr>
      <w:t>31</w:t>
    </w:r>
    <w:r>
      <w:rPr>
        <w:b/>
        <w:sz w:val="18"/>
      </w:rPr>
      <w:fldChar w:fldCharType="end"/>
    </w:r>
    <w:r>
      <w:rPr>
        <w:b/>
        <w:sz w:val="18"/>
      </w:rPr>
      <w:br/>
    </w:r>
    <w:r w:rsidRPr="006139B4">
      <w:rPr>
        <w:rFonts w:ascii="C39T30Lfz" w:hAnsi="C39T30Lfz"/>
        <w:sz w:val="56"/>
      </w:rPr>
      <w:t></w:t>
    </w:r>
    <w:r w:rsidRPr="006139B4">
      <w:rPr>
        <w:rFonts w:ascii="C39T30Lfz" w:hAnsi="C39T30Lfz"/>
        <w:sz w:val="56"/>
      </w:rPr>
      <w:t></w:t>
    </w:r>
    <w:r w:rsidRPr="006139B4">
      <w:rPr>
        <w:rFonts w:ascii="C39T30Lfz" w:hAnsi="C39T30Lfz"/>
        <w:sz w:val="56"/>
      </w:rPr>
      <w:t></w:t>
    </w:r>
    <w:r w:rsidRPr="006139B4">
      <w:rPr>
        <w:rFonts w:ascii="C39T30Lfz" w:hAnsi="C39T30Lfz"/>
        <w:sz w:val="56"/>
      </w:rPr>
      <w:t></w:t>
    </w:r>
    <w:r w:rsidRPr="006139B4">
      <w:rPr>
        <w:rFonts w:ascii="C39T30Lfz" w:hAnsi="C39T30Lfz"/>
        <w:sz w:val="56"/>
      </w:rPr>
      <w:t></w:t>
    </w:r>
    <w:r w:rsidRPr="006139B4">
      <w:rPr>
        <w:rFonts w:ascii="C39T30Lfz" w:hAnsi="C39T30Lfz"/>
        <w:sz w:val="56"/>
      </w:rPr>
      <w:t></w:t>
    </w:r>
    <w:r w:rsidRPr="006139B4">
      <w:rPr>
        <w:rFonts w:ascii="C39T30Lfz" w:hAnsi="C39T30Lfz"/>
        <w:sz w:val="56"/>
      </w:rPr>
      <w:t></w:t>
    </w:r>
    <w:r w:rsidRPr="006139B4">
      <w:rPr>
        <w:rFonts w:ascii="C39T30Lfz" w:hAnsi="C39T30Lfz"/>
        <w:sz w:val="56"/>
      </w:rPr>
      <w:t></w:t>
    </w:r>
    <w:r w:rsidRPr="006139B4">
      <w:rPr>
        <w:rFonts w:ascii="C39T30Lfz" w:hAnsi="C39T30Lfz"/>
        <w:sz w:val="5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Default="003529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Default="0035294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D040D5" w:rsidRDefault="00352943" w:rsidP="00D040D5">
    <w:pPr>
      <w:pStyle w:val="Pieddepage"/>
      <w:tabs>
        <w:tab w:val="right" w:pos="9638"/>
      </w:tabs>
    </w:pPr>
    <w:r w:rsidRPr="00D040D5">
      <w:rPr>
        <w:b/>
        <w:sz w:val="18"/>
      </w:rPr>
      <w:fldChar w:fldCharType="begin"/>
    </w:r>
    <w:r w:rsidRPr="00D040D5">
      <w:rPr>
        <w:b/>
        <w:sz w:val="18"/>
      </w:rPr>
      <w:instrText xml:space="preserve"> PAGE  \* MERGEFORMAT </w:instrText>
    </w:r>
    <w:r w:rsidRPr="00D040D5">
      <w:rPr>
        <w:b/>
        <w:sz w:val="18"/>
      </w:rPr>
      <w:fldChar w:fldCharType="separate"/>
    </w:r>
    <w:r w:rsidR="00537196">
      <w:rPr>
        <w:b/>
        <w:noProof/>
        <w:sz w:val="18"/>
      </w:rPr>
      <w:t>4</w:t>
    </w:r>
    <w:r w:rsidRPr="00D040D5">
      <w:rPr>
        <w:b/>
        <w:sz w:val="18"/>
      </w:rPr>
      <w:fldChar w:fldCharType="end"/>
    </w:r>
    <w:r>
      <w:rPr>
        <w:b/>
        <w:sz w:val="18"/>
      </w:rPr>
      <w:tab/>
    </w:r>
    <w:r>
      <w:t>GE.18-14050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D040D5" w:rsidRDefault="00352943" w:rsidP="00D040D5">
    <w:pPr>
      <w:pStyle w:val="Pieddepage"/>
      <w:tabs>
        <w:tab w:val="right" w:pos="9638"/>
      </w:tabs>
      <w:rPr>
        <w:b/>
        <w:sz w:val="18"/>
      </w:rPr>
    </w:pPr>
    <w:r>
      <w:t>GE.18-14050</w:t>
    </w:r>
    <w:r>
      <w:tab/>
    </w:r>
    <w:r w:rsidRPr="00D040D5">
      <w:rPr>
        <w:b/>
        <w:sz w:val="18"/>
      </w:rPr>
      <w:fldChar w:fldCharType="begin"/>
    </w:r>
    <w:r w:rsidRPr="00D040D5">
      <w:rPr>
        <w:b/>
        <w:sz w:val="18"/>
      </w:rPr>
      <w:instrText xml:space="preserve"> PAGE  \* MERGEFORMAT </w:instrText>
    </w:r>
    <w:r w:rsidRPr="00D040D5">
      <w:rPr>
        <w:b/>
        <w:sz w:val="18"/>
      </w:rPr>
      <w:fldChar w:fldCharType="separate"/>
    </w:r>
    <w:r>
      <w:rPr>
        <w:b/>
        <w:noProof/>
        <w:sz w:val="18"/>
      </w:rPr>
      <w:t>iii</w:t>
    </w:r>
    <w:r w:rsidRPr="00D040D5">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D040D5" w:rsidRDefault="00352943" w:rsidP="00D040D5">
    <w:pPr>
      <w:pStyle w:val="Pieddepage"/>
      <w:tabs>
        <w:tab w:val="right" w:pos="9638"/>
      </w:tabs>
      <w:spacing w:before="120"/>
      <w:rPr>
        <w:b/>
        <w:sz w:val="18"/>
      </w:rPr>
    </w:pPr>
    <w:r>
      <w:rPr>
        <w:sz w:val="20"/>
      </w:rPr>
      <w:t>GE.18-14050  (F)    110918    011018</w:t>
    </w:r>
    <w:r>
      <w:rPr>
        <w:sz w:val="20"/>
      </w:rPr>
      <w:tab/>
    </w:r>
    <w:r>
      <w:rPr>
        <w:b/>
        <w:sz w:val="18"/>
      </w:rPr>
      <w:fldChar w:fldCharType="begin"/>
    </w:r>
    <w:r>
      <w:rPr>
        <w:b/>
        <w:sz w:val="18"/>
      </w:rPr>
      <w:instrText xml:space="preserve"> PAGE  \* MERGEFORMAT </w:instrText>
    </w:r>
    <w:r>
      <w:rPr>
        <w:b/>
        <w:sz w:val="18"/>
      </w:rPr>
      <w:fldChar w:fldCharType="separate"/>
    </w:r>
    <w:r w:rsidR="00537196">
      <w:rPr>
        <w:b/>
        <w:noProof/>
        <w:sz w:val="18"/>
      </w:rPr>
      <w:t>iii</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D040D5" w:rsidRDefault="00352943" w:rsidP="00D040D5">
    <w:pPr>
      <w:pStyle w:val="Pieddepage"/>
      <w:tabs>
        <w:tab w:val="right" w:pos="9638"/>
      </w:tabs>
      <w:rPr>
        <w:b/>
        <w:sz w:val="18"/>
      </w:rPr>
    </w:pPr>
    <w:r>
      <w:t>GE.18-14050</w:t>
    </w:r>
    <w:r>
      <w:tab/>
    </w:r>
    <w:r w:rsidRPr="00D040D5">
      <w:rPr>
        <w:b/>
        <w:sz w:val="18"/>
      </w:rPr>
      <w:fldChar w:fldCharType="begin"/>
    </w:r>
    <w:r w:rsidRPr="00D040D5">
      <w:rPr>
        <w:b/>
        <w:sz w:val="18"/>
      </w:rPr>
      <w:instrText xml:space="preserve"> PAGE  \* MERGEFORMAT </w:instrText>
    </w:r>
    <w:r w:rsidRPr="00D040D5">
      <w:rPr>
        <w:b/>
        <w:sz w:val="18"/>
      </w:rPr>
      <w:fldChar w:fldCharType="separate"/>
    </w:r>
    <w:r w:rsidR="00537196">
      <w:rPr>
        <w:b/>
        <w:noProof/>
        <w:sz w:val="18"/>
      </w:rPr>
      <w:t>5</w:t>
    </w:r>
    <w:r w:rsidRPr="00D040D5">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E43FA1" w:rsidRDefault="00352943" w:rsidP="00E43FA1">
    <w:pPr>
      <w:pStyle w:val="Pieddepage"/>
    </w:pPr>
    <w:r>
      <w:rPr>
        <w:noProof/>
        <w:lang w:eastAsia="fr-CH"/>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52943" w:rsidRPr="00D040D5" w:rsidRDefault="00352943" w:rsidP="00E43FA1">
                          <w:pPr>
                            <w:pStyle w:val="Pieddepage"/>
                            <w:tabs>
                              <w:tab w:val="right" w:pos="9638"/>
                            </w:tabs>
                          </w:pPr>
                          <w:r w:rsidRPr="00D040D5">
                            <w:rPr>
                              <w:b/>
                              <w:sz w:val="18"/>
                            </w:rPr>
                            <w:fldChar w:fldCharType="begin"/>
                          </w:r>
                          <w:r w:rsidRPr="00D040D5">
                            <w:rPr>
                              <w:b/>
                              <w:sz w:val="18"/>
                            </w:rPr>
                            <w:instrText xml:space="preserve"> PAGE  \* MERGEFORMAT </w:instrText>
                          </w:r>
                          <w:r w:rsidRPr="00D040D5">
                            <w:rPr>
                              <w:b/>
                              <w:sz w:val="18"/>
                            </w:rPr>
                            <w:fldChar w:fldCharType="separate"/>
                          </w:r>
                          <w:r w:rsidR="00537196">
                            <w:rPr>
                              <w:b/>
                              <w:noProof/>
                              <w:sz w:val="18"/>
                            </w:rPr>
                            <w:t>24</w:t>
                          </w:r>
                          <w:r w:rsidRPr="00D040D5">
                            <w:rPr>
                              <w:b/>
                              <w:sz w:val="18"/>
                            </w:rPr>
                            <w:fldChar w:fldCharType="end"/>
                          </w:r>
                          <w:r>
                            <w:rPr>
                              <w:b/>
                              <w:sz w:val="18"/>
                            </w:rPr>
                            <w:tab/>
                          </w:r>
                          <w:r>
                            <w:t>GE.18-14050</w:t>
                          </w:r>
                        </w:p>
                        <w:p w:rsidR="00352943" w:rsidRDefault="003529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8"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Fv/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iJYg1K9BmFIoUgXmy9IM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dbvWmahix06yWowHBRzhs9r&#10;pHzFnL9lFvMHSsxUf4OllBrk0HuJkkrbb7/TB/uchhVswjwDUb+umAW35EeFgQGXvhNsJyw6Qa2a&#10;S42eyWI0UcQF62UnllY3Dxi10/AKjpjiiCSneK0VL307VTGquZhOoxFGnGH+St0ZHlwHXobS3m8f&#10;mDX7Dg9T5lp3k46NnzV6axtuKj1deV3WcQoEXFsUgXzYYDzGGuxHeZi/v+6j1eMPZ/IT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mvShb/4CAAC4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352943" w:rsidRPr="00D040D5" w:rsidRDefault="00352943" w:rsidP="00E43FA1">
                    <w:pPr>
                      <w:pStyle w:val="Pieddepage"/>
                      <w:tabs>
                        <w:tab w:val="right" w:pos="9638"/>
                      </w:tabs>
                    </w:pPr>
                    <w:r w:rsidRPr="00D040D5">
                      <w:rPr>
                        <w:b/>
                        <w:sz w:val="18"/>
                      </w:rPr>
                      <w:fldChar w:fldCharType="begin"/>
                    </w:r>
                    <w:r w:rsidRPr="00D040D5">
                      <w:rPr>
                        <w:b/>
                        <w:sz w:val="18"/>
                      </w:rPr>
                      <w:instrText xml:space="preserve"> PAGE  \* MERGEFORMAT </w:instrText>
                    </w:r>
                    <w:r w:rsidRPr="00D040D5">
                      <w:rPr>
                        <w:b/>
                        <w:sz w:val="18"/>
                      </w:rPr>
                      <w:fldChar w:fldCharType="separate"/>
                    </w:r>
                    <w:r w:rsidR="00537196">
                      <w:rPr>
                        <w:b/>
                        <w:noProof/>
                        <w:sz w:val="18"/>
                      </w:rPr>
                      <w:t>24</w:t>
                    </w:r>
                    <w:r w:rsidRPr="00D040D5">
                      <w:rPr>
                        <w:b/>
                        <w:sz w:val="18"/>
                      </w:rPr>
                      <w:fldChar w:fldCharType="end"/>
                    </w:r>
                    <w:r>
                      <w:rPr>
                        <w:b/>
                        <w:sz w:val="18"/>
                      </w:rPr>
                      <w:tab/>
                    </w:r>
                    <w:r>
                      <w:t>GE.18-14050</w:t>
                    </w:r>
                  </w:p>
                  <w:p w:rsidR="00352943" w:rsidRDefault="00352943"/>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E43FA1" w:rsidRDefault="00352943" w:rsidP="00E43FA1">
    <w:pPr>
      <w:pStyle w:val="Pieddepage"/>
    </w:pPr>
    <w:r>
      <w:rPr>
        <w:noProof/>
        <w:lang w:eastAsia="fr-CH"/>
      </w:rPr>
      <mc:AlternateContent>
        <mc:Choice Requires="wps">
          <w:drawing>
            <wp:anchor distT="0" distB="0" distL="114300" distR="114300" simplePos="0" relativeHeight="25167564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52943" w:rsidRPr="00D040D5" w:rsidRDefault="00352943" w:rsidP="00E43FA1">
                          <w:pPr>
                            <w:pStyle w:val="Pieddepage"/>
                            <w:tabs>
                              <w:tab w:val="right" w:pos="9638"/>
                            </w:tabs>
                            <w:rPr>
                              <w:b/>
                              <w:sz w:val="18"/>
                            </w:rPr>
                          </w:pPr>
                          <w:r>
                            <w:t>GE.18-14050</w:t>
                          </w:r>
                          <w:r>
                            <w:tab/>
                          </w:r>
                          <w:r w:rsidRPr="00D040D5">
                            <w:rPr>
                              <w:b/>
                              <w:sz w:val="18"/>
                            </w:rPr>
                            <w:fldChar w:fldCharType="begin"/>
                          </w:r>
                          <w:r w:rsidRPr="00D040D5">
                            <w:rPr>
                              <w:b/>
                              <w:sz w:val="18"/>
                            </w:rPr>
                            <w:instrText xml:space="preserve"> PAGE  \* MERGEFORMAT </w:instrText>
                          </w:r>
                          <w:r w:rsidRPr="00D040D5">
                            <w:rPr>
                              <w:b/>
                              <w:sz w:val="18"/>
                            </w:rPr>
                            <w:fldChar w:fldCharType="separate"/>
                          </w:r>
                          <w:r w:rsidR="00537196">
                            <w:rPr>
                              <w:b/>
                              <w:noProof/>
                              <w:sz w:val="18"/>
                            </w:rPr>
                            <w:t>23</w:t>
                          </w:r>
                          <w:r w:rsidRPr="00D040D5">
                            <w:rPr>
                              <w:b/>
                              <w:sz w:val="18"/>
                            </w:rPr>
                            <w:fldChar w:fldCharType="end"/>
                          </w:r>
                        </w:p>
                        <w:p w:rsidR="00352943" w:rsidRDefault="003529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29" type="#_x0000_t202" style="position:absolute;margin-left:-34pt;margin-top:0;width:17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XQ/wIAALgGAAAOAAAAZHJzL2Uyb0RvYy54bWzEVU1v2zAMvQ/YfxB0T22naZYEdYq0WYYB&#10;RVugHQrspshybEyWNEn56Ib99z3Jcbq2O3TDgF1kiqIo8vGRPj3bNZJshHW1VjnNjlJKhOK6qNUq&#10;p5/uFr0RJc4zVTCplcjpg3D0bPr2zenWTERfV1oWwhI4UW6yNTmtvDeTJHG8Eg1zR9oIhcNS24Z5&#10;bO0qKSzbwnsjk36aDpOttoWxmgvnoJ23h3Qa/Zel4P66LJ3wROYUsfm42rguw5pMT9lkZZmpar4P&#10;g/1FFA2rFR49uJozz8ja1i9cNTW32unSH3HdJLosay5iDsgmS59lc1sxI2IuAMeZA0zu37nlV5sb&#10;S+oipyiUYg1K9BmFIoUgXuy8IKMA0da4CSxvDWz97lzvUOpO76AMme9K24QvciI4B9gPB4DhiXAo&#10;+9nJOMUJx9EwQ8bHsQLJ421jnf8gdEOCkFOLAkZc2ebSeUQC084kPOa0rItFLWXcBNKIC2nJhqHc&#10;jHOhfNZel6Zirbp7MVIsWEenTxxJRbYI8PgkhMrAylIyD7ExwMmpFSVMrkB37m30rnQIIVIpBDdn&#10;rmrfil5bjlm9VkU0qQQr3quC+AcDtBXQpuG5RhSUSAG3QYqWntXyNZYARaqAAHAGTHup5d/3cdYf&#10;pOf9cW8xHL3rDRaDk974XTrqpdn4fDxMB+PBfPEjpJENJlVdFEJd1iBA25JQvo5r+65sWRy74c8g&#10;fIJ/APFQxqVk/EvAA1m+sPoPUD+BKUYF1LtvRD8J7dK2RZD8brmLHXbctcxSFw/oJKvBcFDMGb6o&#10;kfIlc/6GWcwfKDFT/TWWUmqQQ+8lSiptv/1OH+xzGlawCfMMRP26Zhbckh8VBgZc+k6wnbDsBLVu&#10;LjR6JovRRBEXrJedWFrd3GPUzsIrOGKKI5Kc4rVWvPDtVMWo5mI2i0YYcYb5S3VreHAdeBlKe7e7&#10;Z9bsOzxMmSvdTTo2edborW24qfRs7XVZxykQcG1RBPJhg/EYa7Af5WH+/rqPVo8/nOl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LXMRd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352943" w:rsidRPr="00D040D5" w:rsidRDefault="00352943" w:rsidP="00E43FA1">
                    <w:pPr>
                      <w:pStyle w:val="Pieddepage"/>
                      <w:tabs>
                        <w:tab w:val="right" w:pos="9638"/>
                      </w:tabs>
                      <w:rPr>
                        <w:b/>
                        <w:sz w:val="18"/>
                      </w:rPr>
                    </w:pPr>
                    <w:r>
                      <w:t>GE.18-14050</w:t>
                    </w:r>
                    <w:r>
                      <w:tab/>
                    </w:r>
                    <w:r w:rsidRPr="00D040D5">
                      <w:rPr>
                        <w:b/>
                        <w:sz w:val="18"/>
                      </w:rPr>
                      <w:fldChar w:fldCharType="begin"/>
                    </w:r>
                    <w:r w:rsidRPr="00D040D5">
                      <w:rPr>
                        <w:b/>
                        <w:sz w:val="18"/>
                      </w:rPr>
                      <w:instrText xml:space="preserve"> PAGE  \* MERGEFORMAT </w:instrText>
                    </w:r>
                    <w:r w:rsidRPr="00D040D5">
                      <w:rPr>
                        <w:b/>
                        <w:sz w:val="18"/>
                      </w:rPr>
                      <w:fldChar w:fldCharType="separate"/>
                    </w:r>
                    <w:r w:rsidR="00537196">
                      <w:rPr>
                        <w:b/>
                        <w:noProof/>
                        <w:sz w:val="18"/>
                      </w:rPr>
                      <w:t>23</w:t>
                    </w:r>
                    <w:r w:rsidRPr="00D040D5">
                      <w:rPr>
                        <w:b/>
                        <w:sz w:val="18"/>
                      </w:rPr>
                      <w:fldChar w:fldCharType="end"/>
                    </w:r>
                  </w:p>
                  <w:p w:rsidR="00352943" w:rsidRDefault="0035294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43" w:rsidRPr="00D27D5E" w:rsidRDefault="00352943" w:rsidP="00D27D5E">
      <w:pPr>
        <w:tabs>
          <w:tab w:val="right" w:pos="2155"/>
        </w:tabs>
        <w:spacing w:after="80"/>
        <w:ind w:left="680"/>
        <w:rPr>
          <w:u w:val="single"/>
        </w:rPr>
      </w:pPr>
      <w:r>
        <w:rPr>
          <w:u w:val="single"/>
        </w:rPr>
        <w:tab/>
      </w:r>
    </w:p>
  </w:footnote>
  <w:footnote w:type="continuationSeparator" w:id="0">
    <w:p w:rsidR="00352943" w:rsidRPr="00D171D4" w:rsidRDefault="00352943" w:rsidP="00D171D4">
      <w:pPr>
        <w:tabs>
          <w:tab w:val="right" w:pos="2155"/>
        </w:tabs>
        <w:spacing w:after="80"/>
        <w:ind w:left="680"/>
        <w:rPr>
          <w:u w:val="single"/>
        </w:rPr>
      </w:pPr>
      <w:r w:rsidRPr="00D171D4">
        <w:rPr>
          <w:u w:val="single"/>
        </w:rPr>
        <w:tab/>
      </w:r>
    </w:p>
  </w:footnote>
  <w:footnote w:type="continuationNotice" w:id="1">
    <w:p w:rsidR="00352943" w:rsidRPr="00C451B9" w:rsidRDefault="00352943" w:rsidP="00C451B9">
      <w:pPr>
        <w:spacing w:line="240" w:lineRule="auto"/>
        <w:rPr>
          <w:sz w:val="2"/>
          <w:szCs w:val="2"/>
        </w:rPr>
      </w:pPr>
    </w:p>
  </w:footnote>
  <w:footnote w:id="2">
    <w:p w:rsidR="00352943" w:rsidRPr="00387641" w:rsidRDefault="00352943" w:rsidP="00736EF1">
      <w:pPr>
        <w:pStyle w:val="Notedebasdepage"/>
      </w:pPr>
      <w:r w:rsidRPr="00387641">
        <w:tab/>
      </w:r>
      <w:r w:rsidRPr="000545AD">
        <w:rPr>
          <w:rStyle w:val="Appelnotedebasdep"/>
        </w:rPr>
        <w:footnoteRef/>
      </w:r>
      <w:r w:rsidRPr="00387641">
        <w:tab/>
      </w:r>
      <w:r>
        <w:t xml:space="preserve">Voir </w:t>
      </w:r>
      <w:r w:rsidRPr="005B2E9A">
        <w:rPr>
          <w:i/>
        </w:rPr>
        <w:t>Documents officiels de l</w:t>
      </w:r>
      <w:r>
        <w:rPr>
          <w:i/>
        </w:rPr>
        <w:t>’</w:t>
      </w:r>
      <w:r w:rsidRPr="005B2E9A">
        <w:rPr>
          <w:i/>
        </w:rPr>
        <w:t>Assemblée générale, vingt-septième session</w:t>
      </w:r>
      <w:r w:rsidRPr="00EB5F8D">
        <w:t xml:space="preserve">, </w:t>
      </w:r>
      <w:r w:rsidRPr="0075322E">
        <w:rPr>
          <w:i/>
        </w:rPr>
        <w:t>Supplément n</w:t>
      </w:r>
      <w:r w:rsidRPr="0075322E">
        <w:rPr>
          <w:i/>
          <w:vertAlign w:val="superscript"/>
        </w:rPr>
        <w:t>o</w:t>
      </w:r>
      <w:r w:rsidRPr="0075322E">
        <w:rPr>
          <w:i/>
        </w:rPr>
        <w:t> 1</w:t>
      </w:r>
      <w:r w:rsidRPr="00513CD7">
        <w:rPr>
          <w:i/>
        </w:rPr>
        <w:t>8</w:t>
      </w:r>
      <w:r w:rsidRPr="00387641">
        <w:t xml:space="preserve"> (</w:t>
      </w:r>
      <w:hyperlink r:id="rId1" w:history="1">
        <w:r w:rsidRPr="00387641">
          <w:rPr>
            <w:rStyle w:val="Lienhypertexte"/>
          </w:rPr>
          <w:t>A/8718</w:t>
        </w:r>
      </w:hyperlink>
      <w:r w:rsidRPr="00387641">
        <w:t>), chap. IX, sect. B.</w:t>
      </w:r>
    </w:p>
  </w:footnote>
  <w:footnote w:id="3">
    <w:p w:rsidR="00352943" w:rsidRPr="00387641" w:rsidRDefault="00352943" w:rsidP="00736EF1">
      <w:pPr>
        <w:pStyle w:val="Notedebasdepage"/>
        <w:rPr>
          <w:color w:val="000000" w:themeColor="text1"/>
        </w:rPr>
      </w:pPr>
      <w:r w:rsidRPr="00387641">
        <w:rPr>
          <w:color w:val="000000" w:themeColor="text1"/>
        </w:rPr>
        <w:tab/>
      </w:r>
      <w:r w:rsidRPr="000545AD">
        <w:rPr>
          <w:rStyle w:val="Appelnotedebasdep"/>
        </w:rPr>
        <w:footnoteRef/>
      </w:r>
      <w:r w:rsidRPr="00387641">
        <w:tab/>
      </w:r>
      <w:r>
        <w:t xml:space="preserve">Voir </w:t>
      </w:r>
      <w:r w:rsidRPr="00976D30">
        <w:rPr>
          <w:i/>
          <w:spacing w:val="-1"/>
        </w:rPr>
        <w:t>Documents officiels de l</w:t>
      </w:r>
      <w:r>
        <w:rPr>
          <w:i/>
          <w:spacing w:val="-1"/>
        </w:rPr>
        <w:t>’</w:t>
      </w:r>
      <w:r w:rsidRPr="00976D30">
        <w:rPr>
          <w:i/>
          <w:spacing w:val="-1"/>
        </w:rPr>
        <w:t>Assemblée générale, soixante-deuxième session, Supplément n</w:t>
      </w:r>
      <w:r w:rsidRPr="00976D30">
        <w:rPr>
          <w:i/>
          <w:spacing w:val="-1"/>
          <w:vertAlign w:val="superscript"/>
        </w:rPr>
        <w:t>o</w:t>
      </w:r>
      <w:r w:rsidRPr="00976D30">
        <w:rPr>
          <w:i/>
          <w:spacing w:val="-1"/>
        </w:rPr>
        <w:t> 18</w:t>
      </w:r>
      <w:r w:rsidRPr="00387641">
        <w:rPr>
          <w:spacing w:val="-1"/>
        </w:rPr>
        <w:t xml:space="preserve"> (</w:t>
      </w:r>
      <w:hyperlink r:id="rId2" w:history="1">
        <w:r w:rsidRPr="00387641">
          <w:rPr>
            <w:rStyle w:val="Lienhypertexte"/>
            <w:spacing w:val="-1"/>
          </w:rPr>
          <w:t>A/62/18</w:t>
        </w:r>
      </w:hyperlink>
      <w:r w:rsidRPr="00387641">
        <w:rPr>
          <w:spacing w:val="-1"/>
        </w:rPr>
        <w:t>),</w:t>
      </w:r>
      <w:r w:rsidRPr="00387641">
        <w:t xml:space="preserve"> annexe III.</w:t>
      </w:r>
    </w:p>
  </w:footnote>
  <w:footnote w:id="4">
    <w:p w:rsidR="00352943" w:rsidRDefault="00352943" w:rsidP="00736EF1">
      <w:pPr>
        <w:pStyle w:val="Notedebasdepage"/>
      </w:pPr>
      <w:r>
        <w:rPr>
          <w:lang w:val="fr-FR"/>
        </w:rPr>
        <w:tab/>
      </w:r>
      <w:r w:rsidRPr="000545AD">
        <w:rPr>
          <w:rStyle w:val="Appelnotedebasdep"/>
        </w:rPr>
        <w:footnoteRef/>
      </w:r>
      <w:r>
        <w:rPr>
          <w:lang w:val="fr-FR"/>
        </w:rPr>
        <w:tab/>
      </w:r>
      <w:hyperlink r:id="rId3" w:history="1">
        <w:r w:rsidRPr="00701349">
          <w:rPr>
            <w:rStyle w:val="Lienhypertexte"/>
            <w:lang w:val="fr-FR"/>
          </w:rPr>
          <w:t>CERD/C/USA/CO/7-9</w:t>
        </w:r>
      </w:hyperlink>
      <w:r>
        <w:rPr>
          <w:lang w:val="fr-FR"/>
        </w:rPr>
        <w:t>.</w:t>
      </w:r>
    </w:p>
  </w:footnote>
  <w:footnote w:id="5">
    <w:p w:rsidR="00352943" w:rsidRDefault="00352943" w:rsidP="00736EF1">
      <w:pPr>
        <w:pStyle w:val="Notedebasdepage"/>
      </w:pPr>
      <w:r>
        <w:rPr>
          <w:lang w:val="fr-FR"/>
        </w:rPr>
        <w:tab/>
      </w:r>
      <w:r w:rsidRPr="000545AD">
        <w:rPr>
          <w:rStyle w:val="Appelnotedebasdep"/>
        </w:rPr>
        <w:footnoteRef/>
      </w:r>
      <w:r>
        <w:rPr>
          <w:lang w:val="fr-FR"/>
        </w:rPr>
        <w:tab/>
      </w:r>
      <w:hyperlink r:id="rId4" w:history="1">
        <w:r w:rsidRPr="00B732E7">
          <w:rPr>
            <w:rStyle w:val="Lienhypertexte"/>
            <w:lang w:val="fr-FR"/>
          </w:rPr>
          <w:t>CERD/C/ISR/CO/14-16</w:t>
        </w:r>
      </w:hyperlink>
      <w:r>
        <w:rPr>
          <w:lang w:val="fr-FR"/>
        </w:rPr>
        <w:t>.</w:t>
      </w:r>
    </w:p>
  </w:footnote>
  <w:footnote w:id="6">
    <w:p w:rsidR="00352943" w:rsidRPr="006F1F71" w:rsidRDefault="00352943" w:rsidP="00E028AE">
      <w:pPr>
        <w:pStyle w:val="Notedebasdepage"/>
        <w:rPr>
          <w:lang w:val="fr-FR"/>
        </w:rPr>
      </w:pPr>
      <w:r w:rsidRPr="00BB40A7">
        <w:rPr>
          <w:lang w:val="fr-FR"/>
        </w:rPr>
        <w:tab/>
      </w:r>
      <w:r w:rsidRPr="00BB40A7">
        <w:rPr>
          <w:rStyle w:val="Appelnotedebasdep"/>
          <w:lang w:val="fr-FR"/>
        </w:rPr>
        <w:footnoteRef/>
      </w:r>
      <w:r>
        <w:rPr>
          <w:lang w:val="fr-FR"/>
        </w:rPr>
        <w:tab/>
        <w:t xml:space="preserve">Pour le mandat du coordonnateur chargé du suivi, voir </w:t>
      </w:r>
      <w:r w:rsidRPr="001058CD">
        <w:rPr>
          <w:i/>
          <w:lang w:val="fr-FR"/>
        </w:rPr>
        <w:t>Documents officiels de l</w:t>
      </w:r>
      <w:r>
        <w:rPr>
          <w:i/>
          <w:lang w:val="fr-FR"/>
        </w:rPr>
        <w:t>’</w:t>
      </w:r>
      <w:r w:rsidRPr="001058CD">
        <w:rPr>
          <w:i/>
          <w:lang w:val="fr-FR"/>
        </w:rPr>
        <w:t xml:space="preserve">Assemblée générale, soixantième session, Supplément </w:t>
      </w:r>
      <w:r w:rsidRPr="001058CD">
        <w:rPr>
          <w:rFonts w:eastAsia="MS Mincho"/>
          <w:i/>
          <w:lang w:val="fr-FR"/>
        </w:rPr>
        <w:t>n</w:t>
      </w:r>
      <w:r w:rsidRPr="001058CD">
        <w:rPr>
          <w:rFonts w:eastAsia="MS Mincho"/>
          <w:i/>
          <w:vertAlign w:val="superscript"/>
          <w:lang w:val="fr-FR"/>
        </w:rPr>
        <w:t>o</w:t>
      </w:r>
      <w:r>
        <w:rPr>
          <w:i/>
          <w:lang w:val="fr-FR"/>
        </w:rPr>
        <w:t> </w:t>
      </w:r>
      <w:r w:rsidRPr="001058CD">
        <w:rPr>
          <w:i/>
          <w:lang w:val="fr-FR"/>
        </w:rPr>
        <w:t>18</w:t>
      </w:r>
      <w:r>
        <w:rPr>
          <w:lang w:val="fr-FR"/>
        </w:rPr>
        <w:t xml:space="preserve"> (</w:t>
      </w:r>
      <w:hyperlink r:id="rId5" w:history="1">
        <w:r w:rsidRPr="001058CD">
          <w:rPr>
            <w:rStyle w:val="Lienhypertexte"/>
            <w:lang w:val="fr-FR"/>
          </w:rPr>
          <w:t>A/60/18</w:t>
        </w:r>
      </w:hyperlink>
      <w:r>
        <w:rPr>
          <w:lang w:val="fr-FR"/>
        </w:rPr>
        <w:t xml:space="preserve">), annexe IV. </w:t>
      </w:r>
    </w:p>
  </w:footnote>
  <w:footnote w:id="7">
    <w:p w:rsidR="00352943" w:rsidRPr="006F1F71" w:rsidRDefault="00352943" w:rsidP="00E028AE">
      <w:pPr>
        <w:pStyle w:val="Notedebasdepage"/>
        <w:rPr>
          <w:lang w:val="fr-FR"/>
        </w:rPr>
      </w:pPr>
      <w:r w:rsidRPr="00070614">
        <w:rPr>
          <w:lang w:val="fr-FR"/>
        </w:rPr>
        <w:tab/>
      </w:r>
      <w:r w:rsidRPr="00BB40A7">
        <w:rPr>
          <w:rStyle w:val="Appelnotedebasdep"/>
          <w:lang w:val="fr-FR"/>
        </w:rPr>
        <w:footnoteRef/>
      </w:r>
      <w:r>
        <w:rPr>
          <w:lang w:val="fr-FR"/>
        </w:rPr>
        <w:tab/>
        <w:t xml:space="preserve">Pour le texte des directives, voir </w:t>
      </w:r>
      <w:r w:rsidRPr="009049B1">
        <w:rPr>
          <w:i/>
          <w:lang w:val="fr-FR"/>
        </w:rPr>
        <w:t>Documents officiels de l</w:t>
      </w:r>
      <w:r>
        <w:rPr>
          <w:i/>
          <w:lang w:val="fr-FR"/>
        </w:rPr>
        <w:t>’</w:t>
      </w:r>
      <w:r w:rsidRPr="009049B1">
        <w:rPr>
          <w:i/>
          <w:lang w:val="fr-FR"/>
        </w:rPr>
        <w:t xml:space="preserve">Assemblée générale, soixante et unième session, Supplément </w:t>
      </w:r>
      <w:r w:rsidRPr="009049B1">
        <w:rPr>
          <w:rFonts w:eastAsia="MS Mincho"/>
          <w:i/>
          <w:lang w:val="fr-FR"/>
        </w:rPr>
        <w:t>n</w:t>
      </w:r>
      <w:r w:rsidRPr="009049B1">
        <w:rPr>
          <w:rFonts w:eastAsia="MS Mincho"/>
          <w:i/>
          <w:vertAlign w:val="superscript"/>
          <w:lang w:val="fr-FR"/>
        </w:rPr>
        <w:t>o</w:t>
      </w:r>
      <w:r w:rsidRPr="009049B1">
        <w:rPr>
          <w:i/>
          <w:lang w:val="fr-FR"/>
        </w:rPr>
        <w:t> 18</w:t>
      </w:r>
      <w:r>
        <w:rPr>
          <w:lang w:val="fr-FR"/>
        </w:rPr>
        <w:t xml:space="preserve"> (</w:t>
      </w:r>
      <w:hyperlink r:id="rId6" w:history="1">
        <w:r w:rsidRPr="009049B1">
          <w:rPr>
            <w:rStyle w:val="Lienhypertexte"/>
            <w:lang w:val="fr-FR"/>
          </w:rPr>
          <w:t>A/61/18</w:t>
        </w:r>
      </w:hyperlink>
      <w:r>
        <w:rPr>
          <w:lang w:val="fr-FR"/>
        </w:rPr>
        <w:t>), annexe VI.</w:t>
      </w:r>
    </w:p>
  </w:footnote>
  <w:footnote w:id="8">
    <w:p w:rsidR="00352943" w:rsidRPr="00981175" w:rsidRDefault="00352943" w:rsidP="00E028AE">
      <w:pPr>
        <w:pStyle w:val="Notedebasdepage"/>
        <w:rPr>
          <w:lang w:val="fr-FR"/>
        </w:rPr>
      </w:pPr>
      <w:r w:rsidRPr="00413A05">
        <w:rPr>
          <w:lang w:val="fr-FR"/>
        </w:rPr>
        <w:tab/>
      </w:r>
      <w:r w:rsidRPr="004F097A">
        <w:rPr>
          <w:rStyle w:val="Appelnotedebasdep"/>
        </w:rPr>
        <w:footnoteRef/>
      </w:r>
      <w:r w:rsidRPr="00981175">
        <w:rPr>
          <w:lang w:val="fr-FR"/>
        </w:rPr>
        <w:tab/>
        <w:t>La République de Moldova a adhéré à la Convention le 26 janvier 1993 et fait la déclaration prévue à l</w:t>
      </w:r>
      <w:r>
        <w:rPr>
          <w:lang w:val="fr-FR"/>
        </w:rPr>
        <w:t>’</w:t>
      </w:r>
      <w:r w:rsidRPr="00981175">
        <w:rPr>
          <w:lang w:val="fr-FR"/>
        </w:rPr>
        <w:t>article</w:t>
      </w:r>
      <w:r>
        <w:rPr>
          <w:lang w:val="fr-FR"/>
        </w:rPr>
        <w:t> </w:t>
      </w:r>
      <w:r w:rsidRPr="00981175">
        <w:rPr>
          <w:lang w:val="fr-FR"/>
        </w:rPr>
        <w:t>14 le 8 mai 2013.</w:t>
      </w:r>
    </w:p>
  </w:footnote>
  <w:footnote w:id="9">
    <w:p w:rsidR="00352943" w:rsidRPr="00413A05" w:rsidRDefault="00352943" w:rsidP="00E028AE">
      <w:pPr>
        <w:pStyle w:val="Notedebasdepage"/>
        <w:rPr>
          <w:lang w:val="fr-FR"/>
        </w:rPr>
      </w:pPr>
      <w:r w:rsidRPr="00413A05">
        <w:rPr>
          <w:lang w:val="fr-FR"/>
        </w:rPr>
        <w:tab/>
      </w:r>
      <w:r w:rsidRPr="005378D1">
        <w:rPr>
          <w:rStyle w:val="Appelnotedebasdep"/>
        </w:rPr>
        <w:footnoteRef/>
      </w:r>
      <w:r w:rsidRPr="00413A05">
        <w:rPr>
          <w:lang w:val="fr-FR"/>
        </w:rPr>
        <w:tab/>
      </w:r>
      <w:hyperlink r:id="rId7" w:history="1">
        <w:r w:rsidRPr="00413A05">
          <w:rPr>
            <w:rStyle w:val="Lienhypertexte"/>
            <w:lang w:val="fr-FR"/>
          </w:rPr>
          <w:t>CERD/C/95/D/59/2016.</w:t>
        </w:r>
      </w:hyperlink>
    </w:p>
  </w:footnote>
  <w:footnote w:id="10">
    <w:p w:rsidR="00352943" w:rsidRPr="006F1F71" w:rsidRDefault="00352943" w:rsidP="00E028AE">
      <w:pPr>
        <w:pStyle w:val="Notedebasdepage"/>
        <w:rPr>
          <w:lang w:val="fr-FR"/>
        </w:rPr>
      </w:pPr>
      <w:r w:rsidRPr="009F6B17">
        <w:rPr>
          <w:lang w:val="fr-FR"/>
        </w:rPr>
        <w:tab/>
      </w:r>
      <w:r>
        <w:rPr>
          <w:rStyle w:val="Appelnotedebasdep"/>
          <w:lang w:val="fr-FR"/>
        </w:rPr>
        <w:footnoteRef/>
      </w:r>
      <w:r>
        <w:rPr>
          <w:lang w:val="fr-FR"/>
        </w:rPr>
        <w:tab/>
        <w:t xml:space="preserve">Voir </w:t>
      </w:r>
      <w:r w:rsidRPr="00D92115">
        <w:rPr>
          <w:i/>
          <w:lang w:val="fr-FR"/>
        </w:rPr>
        <w:t>Documents officiels de l</w:t>
      </w:r>
      <w:r>
        <w:rPr>
          <w:i/>
          <w:lang w:val="fr-FR"/>
        </w:rPr>
        <w:t>’</w:t>
      </w:r>
      <w:r w:rsidRPr="00D92115">
        <w:rPr>
          <w:i/>
          <w:lang w:val="fr-FR"/>
        </w:rPr>
        <w:t xml:space="preserve">Assemblée générale, soixantième session, Supplément </w:t>
      </w:r>
      <w:r w:rsidRPr="00B57649">
        <w:rPr>
          <w:rFonts w:eastAsia="MS Mincho"/>
          <w:i/>
          <w:lang w:val="fr-FR"/>
        </w:rPr>
        <w:t>n</w:t>
      </w:r>
      <w:r w:rsidRPr="00B57649">
        <w:rPr>
          <w:rFonts w:eastAsia="MS Mincho"/>
          <w:i/>
          <w:vertAlign w:val="superscript"/>
          <w:lang w:val="fr-FR"/>
        </w:rPr>
        <w:t>o</w:t>
      </w:r>
      <w:r>
        <w:rPr>
          <w:i/>
          <w:lang w:val="fr-FR"/>
        </w:rPr>
        <w:t> </w:t>
      </w:r>
      <w:r w:rsidRPr="00D92115">
        <w:rPr>
          <w:i/>
          <w:lang w:val="fr-FR"/>
        </w:rPr>
        <w:t>18</w:t>
      </w:r>
      <w:r>
        <w:rPr>
          <w:lang w:val="fr-FR"/>
        </w:rPr>
        <w:t xml:space="preserve"> (</w:t>
      </w:r>
      <w:hyperlink r:id="rId8" w:history="1">
        <w:r w:rsidRPr="00B57649">
          <w:rPr>
            <w:rStyle w:val="Lienhypertexte"/>
            <w:lang w:val="fr-FR"/>
          </w:rPr>
          <w:t>A/60/18</w:t>
        </w:r>
      </w:hyperlink>
      <w:r>
        <w:rPr>
          <w:lang w:val="fr-FR"/>
        </w:rPr>
        <w:t>), annexe IV, sect. I</w:t>
      </w:r>
    </w:p>
  </w:footnote>
  <w:footnote w:id="11">
    <w:p w:rsidR="00352943" w:rsidRPr="006F1F71" w:rsidRDefault="00352943" w:rsidP="00E028AE">
      <w:pPr>
        <w:pStyle w:val="Notedebasdepage"/>
        <w:rPr>
          <w:lang w:val="fr-FR"/>
        </w:rPr>
      </w:pPr>
      <w:r w:rsidRPr="00070614">
        <w:rPr>
          <w:lang w:val="fr-FR"/>
        </w:rPr>
        <w:tab/>
      </w:r>
      <w:r>
        <w:rPr>
          <w:rStyle w:val="Appelnotedebasdep"/>
          <w:lang w:val="fr-FR"/>
        </w:rPr>
        <w:footnoteRef/>
      </w:r>
      <w:r>
        <w:rPr>
          <w:lang w:val="fr-FR"/>
        </w:rPr>
        <w:tab/>
        <w:t>Ibid., annexe IV, sect. II.</w:t>
      </w:r>
    </w:p>
  </w:footnote>
  <w:footnote w:id="12">
    <w:p w:rsidR="00352943" w:rsidRPr="006F1F71" w:rsidRDefault="00352943" w:rsidP="00AC3832">
      <w:pPr>
        <w:pStyle w:val="Notedebasdepage"/>
        <w:rPr>
          <w:lang w:val="fr-FR"/>
        </w:rPr>
      </w:pPr>
      <w:r w:rsidRPr="00070614">
        <w:rPr>
          <w:lang w:val="fr-FR"/>
        </w:rPr>
        <w:tab/>
      </w:r>
      <w:r>
        <w:rPr>
          <w:rStyle w:val="Appelnotedebasdep"/>
          <w:lang w:val="fr-FR"/>
        </w:rPr>
        <w:footnoteRef/>
      </w:r>
      <w:r>
        <w:rPr>
          <w:lang w:val="fr-FR"/>
        </w:rPr>
        <w:tab/>
      </w:r>
      <w:r w:rsidRPr="00DF5E2B">
        <w:rPr>
          <w:i/>
          <w:lang w:val="fr-FR"/>
        </w:rPr>
        <w:t>Documents officiels de l</w:t>
      </w:r>
      <w:r>
        <w:rPr>
          <w:i/>
          <w:lang w:val="fr-FR"/>
        </w:rPr>
        <w:t>’</w:t>
      </w:r>
      <w:r w:rsidRPr="00DF5E2B">
        <w:rPr>
          <w:i/>
          <w:lang w:val="fr-FR"/>
        </w:rPr>
        <w:t xml:space="preserve">Assemblée générale, soixante-douzième session, Supplément </w:t>
      </w:r>
      <w:r w:rsidRPr="000571BA">
        <w:rPr>
          <w:rFonts w:eastAsia="MS Mincho"/>
          <w:i/>
          <w:lang w:val="fr-FR"/>
        </w:rPr>
        <w:t>n</w:t>
      </w:r>
      <w:r w:rsidRPr="000571BA">
        <w:rPr>
          <w:rFonts w:eastAsia="MS Mincho"/>
          <w:i/>
          <w:vertAlign w:val="superscript"/>
          <w:lang w:val="fr-FR"/>
        </w:rPr>
        <w:t>o</w:t>
      </w:r>
      <w:r>
        <w:rPr>
          <w:i/>
          <w:lang w:val="fr-FR"/>
        </w:rPr>
        <w:t> </w:t>
      </w:r>
      <w:r w:rsidRPr="00DF5E2B">
        <w:rPr>
          <w:i/>
          <w:lang w:val="fr-FR"/>
        </w:rPr>
        <w:t>23</w:t>
      </w:r>
      <w:r>
        <w:rPr>
          <w:lang w:val="fr-FR"/>
        </w:rPr>
        <w:t xml:space="preserve"> (</w:t>
      </w:r>
      <w:hyperlink r:id="rId9" w:history="1">
        <w:r w:rsidRPr="000571BA">
          <w:rPr>
            <w:rStyle w:val="Lienhypertexte"/>
            <w:lang w:val="fr-FR"/>
          </w:rPr>
          <w:t>A/72/23</w:t>
        </w:r>
      </w:hyperlink>
      <w:r>
        <w:rPr>
          <w:lang w:val="fr-FR"/>
        </w:rPr>
        <w:t>). La création et l’histoire du Comité spécial sont traitées en détail à la section II de la note du Secrétaire général sur l’organisation des travaux du Comité spécial (</w:t>
      </w:r>
      <w:hyperlink r:id="rId10" w:history="1">
        <w:r w:rsidRPr="000571BA">
          <w:rPr>
            <w:rStyle w:val="Lienhypertexte"/>
            <w:lang w:val="fr-FR"/>
          </w:rPr>
          <w:t>A/AC.109/2017/L.1</w:t>
        </w:r>
      </w:hyperlink>
      <w:r>
        <w:rPr>
          <w:lang w:val="fr-FR"/>
        </w:rPr>
        <w:t>).</w:t>
      </w:r>
    </w:p>
  </w:footnote>
  <w:footnote w:id="13">
    <w:p w:rsidR="00352943" w:rsidRPr="00D07377" w:rsidRDefault="00352943" w:rsidP="00AC3832">
      <w:pPr>
        <w:pStyle w:val="Notedebasdepage"/>
        <w:rPr>
          <w:lang w:val="fr-FR"/>
        </w:rPr>
      </w:pPr>
      <w:r w:rsidRPr="006F1F71">
        <w:rPr>
          <w:lang w:val="fr-FR"/>
        </w:rPr>
        <w:tab/>
      </w:r>
      <w:r w:rsidRPr="00A479D4">
        <w:rPr>
          <w:rStyle w:val="Appelnotedebasdep"/>
        </w:rPr>
        <w:footnoteRef/>
      </w:r>
      <w:r w:rsidRPr="00A34A51">
        <w:rPr>
          <w:vertAlign w:val="superscript"/>
          <w:lang w:val="fr-FR"/>
        </w:rPr>
        <w:tab/>
      </w:r>
      <w:r w:rsidRPr="00A34A51">
        <w:rPr>
          <w:lang w:val="fr-FR"/>
        </w:rPr>
        <w:t>Samoa américaines, Anguilla, Bermudes, Gibraltar, Guam, îles Caïmanes, îles Falkland (Malvinas), îles Turques et Caïques, îles Vierges améric</w:t>
      </w:r>
      <w:r>
        <w:rPr>
          <w:lang w:val="fr-FR"/>
        </w:rPr>
        <w:t xml:space="preserve">aines, </w:t>
      </w:r>
      <w:r w:rsidRPr="00A34A51">
        <w:rPr>
          <w:lang w:val="fr-FR"/>
        </w:rPr>
        <w:t>îles Vierges britanniques, Montserrat, Nouvelle</w:t>
      </w:r>
      <w:r>
        <w:rPr>
          <w:lang w:val="fr-FR"/>
        </w:rPr>
        <w:noBreakHyphen/>
      </w:r>
      <w:r w:rsidRPr="00A34A51">
        <w:rPr>
          <w:lang w:val="fr-FR"/>
        </w:rPr>
        <w:t xml:space="preserve">Calédonie, Pitcairn, Polynésie française, </w:t>
      </w:r>
      <w:r>
        <w:rPr>
          <w:lang w:val="fr-FR"/>
        </w:rPr>
        <w:t xml:space="preserve">Sahara occidental, </w:t>
      </w:r>
      <w:r w:rsidRPr="00A34A51">
        <w:rPr>
          <w:lang w:val="fr-FR"/>
        </w:rPr>
        <w:t>Sainte</w:t>
      </w:r>
      <w:r>
        <w:rPr>
          <w:lang w:val="fr-FR"/>
        </w:rPr>
        <w:noBreakHyphen/>
      </w:r>
      <w:r w:rsidRPr="00A34A51">
        <w:rPr>
          <w:lang w:val="fr-FR"/>
        </w:rPr>
        <w:t>Hélène</w:t>
      </w:r>
      <w:r>
        <w:rPr>
          <w:lang w:val="fr-FR"/>
        </w:rPr>
        <w:t xml:space="preserve"> et </w:t>
      </w:r>
      <w:r w:rsidRPr="00A34A51">
        <w:rPr>
          <w:lang w:val="fr-FR"/>
        </w:rPr>
        <w:t>Tokélaou</w:t>
      </w:r>
      <w:r>
        <w:rPr>
          <w:lang w:val="fr-FR"/>
        </w:rPr>
        <w:t xml:space="preserve"> </w:t>
      </w:r>
      <w:r w:rsidRPr="00D07377">
        <w:rPr>
          <w:lang w:val="fr-FR"/>
        </w:rPr>
        <w:t>(voir</w:t>
      </w:r>
      <w:r>
        <w:rPr>
          <w:lang w:val="fr-FR"/>
        </w:rPr>
        <w:t> </w:t>
      </w:r>
      <w:hyperlink r:id="rId11" w:history="1">
        <w:r w:rsidRPr="00D07377">
          <w:rPr>
            <w:rStyle w:val="Lienhypertexte"/>
            <w:lang w:val="fr-FR"/>
          </w:rPr>
          <w:t>CERD/C/95/3</w:t>
        </w:r>
      </w:hyperlink>
      <w:r w:rsidRPr="00D07377">
        <w:rPr>
          <w:lang w:val="fr-FR"/>
        </w:rPr>
        <w:t>).</w:t>
      </w:r>
    </w:p>
  </w:footnote>
  <w:footnote w:id="14">
    <w:p w:rsidR="00352943" w:rsidRPr="006F1F71" w:rsidRDefault="00352943" w:rsidP="00AC3832">
      <w:pPr>
        <w:pStyle w:val="Notedebasdepage"/>
        <w:rPr>
          <w:lang w:val="fr-FR"/>
        </w:rPr>
      </w:pPr>
      <w:r w:rsidRPr="00D07377">
        <w:rPr>
          <w:lang w:val="fr-FR"/>
        </w:rPr>
        <w:tab/>
      </w:r>
      <w:r>
        <w:rPr>
          <w:rStyle w:val="Appelnotedebasdep"/>
          <w:lang w:val="fr-FR"/>
        </w:rPr>
        <w:footnoteRef/>
      </w:r>
      <w:r>
        <w:rPr>
          <w:lang w:val="fr-FR"/>
        </w:rPr>
        <w:tab/>
        <w:t xml:space="preserve">Voir </w:t>
      </w:r>
      <w:hyperlink r:id="rId12" w:history="1">
        <w:r w:rsidRPr="009C4C38">
          <w:rPr>
            <w:rStyle w:val="Lienhypertexte"/>
            <w:lang w:val="fr-FR"/>
          </w:rPr>
          <w:t>A/72/23</w:t>
        </w:r>
      </w:hyperlink>
      <w:r>
        <w:rPr>
          <w:lang w:val="fr-FR"/>
        </w:rPr>
        <w:t>.</w:t>
      </w:r>
    </w:p>
  </w:footnote>
  <w:footnote w:id="15">
    <w:p w:rsidR="00352943" w:rsidRPr="006F1F71" w:rsidRDefault="00352943" w:rsidP="00C613B4">
      <w:pPr>
        <w:pStyle w:val="Notedebasdepage"/>
        <w:rPr>
          <w:lang w:val="fr-FR"/>
        </w:rPr>
      </w:pPr>
      <w:r w:rsidRPr="00070614">
        <w:rPr>
          <w:lang w:val="fr-FR"/>
        </w:rPr>
        <w:tab/>
      </w:r>
      <w:r>
        <w:rPr>
          <w:rStyle w:val="Appelnotedebasdep"/>
          <w:lang w:val="fr-FR"/>
        </w:rPr>
        <w:footnoteRef/>
      </w:r>
      <w:r>
        <w:rPr>
          <w:lang w:val="fr-FR"/>
        </w:rPr>
        <w:tab/>
      </w:r>
      <w:r w:rsidRPr="0065441E">
        <w:rPr>
          <w:i/>
          <w:lang w:val="fr-FR"/>
        </w:rPr>
        <w:t>Documents officiels de l</w:t>
      </w:r>
      <w:r>
        <w:rPr>
          <w:i/>
          <w:lang w:val="fr-FR"/>
        </w:rPr>
        <w:t>’</w:t>
      </w:r>
      <w:r w:rsidRPr="0065441E">
        <w:rPr>
          <w:i/>
          <w:lang w:val="fr-FR"/>
        </w:rPr>
        <w:t xml:space="preserve">Assemblée générale, soixante-douzième session, Supplément </w:t>
      </w:r>
      <w:r w:rsidRPr="004275FF">
        <w:rPr>
          <w:rFonts w:eastAsia="MS Mincho"/>
          <w:i/>
          <w:lang w:val="fr-FR"/>
        </w:rPr>
        <w:t>n</w:t>
      </w:r>
      <w:r w:rsidRPr="004275FF">
        <w:rPr>
          <w:rFonts w:eastAsia="MS Mincho"/>
          <w:i/>
          <w:vertAlign w:val="superscript"/>
          <w:lang w:val="fr-FR"/>
        </w:rPr>
        <w:t>o</w:t>
      </w:r>
      <w:r>
        <w:rPr>
          <w:i/>
          <w:lang w:val="fr-FR"/>
        </w:rPr>
        <w:t> </w:t>
      </w:r>
      <w:r w:rsidRPr="0065441E">
        <w:rPr>
          <w:i/>
          <w:lang w:val="fr-FR"/>
        </w:rPr>
        <w:t>18</w:t>
      </w:r>
      <w:r>
        <w:rPr>
          <w:lang w:val="fr-FR"/>
        </w:rPr>
        <w:t xml:space="preserve"> (</w:t>
      </w:r>
      <w:hyperlink r:id="rId13" w:history="1">
        <w:r w:rsidRPr="00074400">
          <w:rPr>
            <w:rStyle w:val="Lienhypertexte"/>
            <w:lang w:val="fr-FR"/>
          </w:rPr>
          <w:t>A/72/18</w:t>
        </w:r>
      </w:hyperlink>
      <w:r>
        <w:rPr>
          <w:lang w:val="fr-FR"/>
        </w:rPr>
        <w:t xml:space="preserve">). </w:t>
      </w:r>
    </w:p>
  </w:footnote>
  <w:footnote w:id="16">
    <w:p w:rsidR="00352943" w:rsidRPr="006F1F71" w:rsidRDefault="00352943" w:rsidP="00C613B4">
      <w:pPr>
        <w:pStyle w:val="Notedebasdepage"/>
        <w:rPr>
          <w:lang w:val="fr-FR"/>
        </w:rPr>
      </w:pPr>
      <w:r w:rsidRPr="00070614">
        <w:rPr>
          <w:lang w:val="fr-FR"/>
        </w:rPr>
        <w:tab/>
      </w:r>
      <w:r>
        <w:rPr>
          <w:rStyle w:val="Appelnotedebasdep"/>
          <w:lang w:val="fr-FR"/>
        </w:rPr>
        <w:footnoteRef/>
      </w:r>
      <w:r>
        <w:rPr>
          <w:lang w:val="fr-FR"/>
        </w:rPr>
        <w:tab/>
        <w:t xml:space="preserve">L’auteure renvoie également à la résolution 60/147 de l’Assemblée générale. </w:t>
      </w:r>
    </w:p>
  </w:footnote>
  <w:footnote w:id="17">
    <w:p w:rsidR="00352943" w:rsidRPr="006F1F71" w:rsidRDefault="00352943" w:rsidP="00C613B4">
      <w:pPr>
        <w:pStyle w:val="Notedebasdepage"/>
        <w:rPr>
          <w:lang w:val="fr-FR"/>
        </w:rPr>
      </w:pPr>
      <w:r w:rsidRPr="00070614">
        <w:rPr>
          <w:lang w:val="fr-FR"/>
        </w:rPr>
        <w:tab/>
      </w:r>
      <w:r>
        <w:rPr>
          <w:rStyle w:val="Appelnotedebasdep"/>
          <w:lang w:val="fr-FR"/>
        </w:rPr>
        <w:footnoteRef/>
      </w:r>
      <w:r>
        <w:rPr>
          <w:lang w:val="fr-FR"/>
        </w:rPr>
        <w:tab/>
        <w:t>Aucune autre information n’a été donnée.</w:t>
      </w:r>
    </w:p>
  </w:footnote>
  <w:footnote w:id="18">
    <w:p w:rsidR="00352943" w:rsidRPr="006F1F71" w:rsidRDefault="00352943" w:rsidP="00C613B4">
      <w:pPr>
        <w:pStyle w:val="Notedebasdepage"/>
        <w:rPr>
          <w:lang w:val="fr-FR"/>
        </w:rPr>
      </w:pPr>
      <w:r w:rsidRPr="00070614">
        <w:rPr>
          <w:lang w:val="fr-FR"/>
        </w:rPr>
        <w:tab/>
      </w:r>
      <w:r>
        <w:rPr>
          <w:rStyle w:val="Appelnotedebasdep"/>
          <w:lang w:val="fr-FR"/>
        </w:rPr>
        <w:footnoteRef/>
      </w:r>
      <w:r>
        <w:rPr>
          <w:lang w:val="fr-FR"/>
        </w:rPr>
        <w:tab/>
        <w:t xml:space="preserve">Aucune autre information n’a été donnée. </w:t>
      </w:r>
    </w:p>
  </w:footnote>
  <w:footnote w:id="19">
    <w:p w:rsidR="00352943" w:rsidRPr="00070614" w:rsidRDefault="00352943" w:rsidP="00C613B4">
      <w:pPr>
        <w:pStyle w:val="Notedebasdepage"/>
        <w:rPr>
          <w:lang w:val="en-US"/>
        </w:rPr>
      </w:pPr>
      <w:r w:rsidRPr="006F1F71">
        <w:rPr>
          <w:lang w:val="fr-FR"/>
        </w:rPr>
        <w:tab/>
      </w:r>
      <w:r w:rsidRPr="006120A5">
        <w:rPr>
          <w:rStyle w:val="Appelnotedebasdep"/>
        </w:rPr>
        <w:footnoteRef/>
      </w:r>
      <w:r w:rsidRPr="00070614">
        <w:rPr>
          <w:lang w:val="en-US"/>
        </w:rPr>
        <w:tab/>
        <w:t xml:space="preserve">See </w:t>
      </w:r>
      <w:hyperlink r:id="rId14" w:history="1">
        <w:r>
          <w:rPr>
            <w:rStyle w:val="Lienhypertexte"/>
            <w:lang w:val="en-US"/>
          </w:rPr>
          <w:t>www.koreaherald.com/view.php?ud=20161006000954</w:t>
        </w:r>
      </w:hyperlink>
      <w:r w:rsidRPr="00070614">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Default="00352943" w:rsidP="00E37E2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4F22E0" w:rsidRDefault="00352943" w:rsidP="004F22E0">
    <w:pPr>
      <w:pStyle w:val="En-tte"/>
      <w:jc w:val="right"/>
    </w:pPr>
    <w:fldSimple w:instr=" TITLE  \* MERGEFORMAT ">
      <w:r>
        <w:t>A/73/18</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4F22E0" w:rsidRDefault="00352943" w:rsidP="004F22E0">
    <w:pPr>
      <w:pStyle w:val="En-tte"/>
      <w:jc w:val="right"/>
    </w:pPr>
    <w:fldSimple w:instr=" TITLE  \* MERGEFORMAT ">
      <w:r>
        <w:t>A/73/18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Default="00352943" w:rsidP="00D040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D040D5" w:rsidRDefault="00352943" w:rsidP="00D040D5">
    <w:pPr>
      <w:pStyle w:val="En-tte"/>
    </w:pPr>
    <w:fldSimple w:instr=" TITLE  \* MERGEFORMAT ">
      <w:r>
        <w:t>A/73/18</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Default="00352943" w:rsidP="00D040D5">
    <w:pPr>
      <w:pStyle w:val="En-tte"/>
      <w:jc w:val="right"/>
    </w:pPr>
    <w:fldSimple w:instr=" TITLE  \* MERGEFORMAT ">
      <w:r>
        <w:t>A/73/18</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Default="00352943" w:rsidP="00D040D5">
    <w:pPr>
      <w:pStyle w:val="En-tte"/>
      <w:jc w:val="right"/>
    </w:pPr>
    <w:fldSimple w:instr=" TITLE  \* MERGEFORMAT ">
      <w:r>
        <w:t>A/73/18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Default="00352943" w:rsidP="00D040D5">
    <w:pPr>
      <w:pStyle w:val="En-tte"/>
      <w:jc w:val="right"/>
    </w:pPr>
    <w:fldSimple w:instr=" TITLE  \* MERGEFORMAT ">
      <w:r>
        <w:t>A/73/18</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E43FA1" w:rsidRDefault="00352943" w:rsidP="00E43FA1">
    <w:r>
      <w:rPr>
        <w:noProof/>
        <w:lang w:eastAsia="fr-CH"/>
      </w:rPr>
      <mc:AlternateContent>
        <mc:Choice Requires="wps">
          <w:drawing>
            <wp:anchor distT="0" distB="0" distL="114300" distR="114300" simplePos="0" relativeHeight="25165107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52943" w:rsidRPr="00D040D5" w:rsidRDefault="00352943" w:rsidP="00E43FA1">
                          <w:pPr>
                            <w:pStyle w:val="En-tte"/>
                          </w:pPr>
                          <w:fldSimple w:instr=" TITLE  \* MERGEFORMAT ">
                            <w:r>
                              <w:t>A/73/18</w:t>
                            </w:r>
                          </w:fldSimple>
                        </w:p>
                        <w:p w:rsidR="00352943" w:rsidRDefault="003529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782.35pt;margin-top:0;width:17pt;height:481.9pt;z-index:2516510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Rh+wIAALE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sdwg/iUhcPaCGrQW1wyxm+qJHr&#10;JXP+hlkMHigxTP01llJqsELvJUoqbb/9Th/scxpW0AiDDAz9umYWpJIfFSYFXPpOsJ2w7AS1bi40&#10;miWL0UQRF6yXnVha3dxjxs7CKzhiiiOSnOK1Vrzw7TjFjOZiNotGmG2G+Ut1a3hwHQgZanq3u2fW&#10;7Fs7jJcr3Y04NnnW4a1tuKn0bO11Wcf2f0QRkIcN5mIEfz/Dw+D9dR+tHv80058AAAD//wMAUEsD&#10;BBQABgAIAAAAIQBhWTJi3AAAAAoBAAAPAAAAZHJzL2Rvd25yZXYueG1sTI/NTsMwEITvSLyDtUjc&#10;qFNKQxriVIAEnECiwN2JlyRgr63YacPbsz3B8dOM5qfazs6KPY5x8KRguchAILXeDNQpeH97uChA&#10;xKTJaOsJFfxghG19elLp0vgDveJ+lzrBIRRLraBPKZRSxrZHp+PCByTWPv3odGIcO2lGfeBwZ+Vl&#10;luXS6YG4odcB73tsv3eTU9A8Di/67ik8f7nVhwnWTV1cTkqdn823NyASzunPDMf5PB1q3tT4iUwU&#10;lnmdX12zVwFfOurrTcHcKNjkqwJkXcn/F+pfAAAA//8DAFBLAQItABQABgAIAAAAIQC2gziS/gAA&#10;AOEBAAATAAAAAAAAAAAAAAAAAAAAAABbQ29udGVudF9UeXBlc10ueG1sUEsBAi0AFAAGAAgAAAAh&#10;ADj9If/WAAAAlAEAAAsAAAAAAAAAAAAAAAAALwEAAF9yZWxzLy5yZWxzUEsBAi0AFAAGAAgAAAAh&#10;APyNlGH7AgAAsQYAAA4AAAAAAAAAAAAAAAAALgIAAGRycy9lMm9Eb2MueG1sUEsBAi0AFAAGAAgA&#10;AAAhAGFZMmLcAAAACgEAAA8AAAAAAAAAAAAAAAAAVQUAAGRycy9kb3ducmV2LnhtbFBLBQYAAAAA&#10;BAAEAPMAAABeBgAAAAA=&#10;" fillcolor="#4f81bd [3204]" stroked="f" strokeweight=".5pt">
              <v:fill opacity="0"/>
              <v:stroke joinstyle="round"/>
              <v:textbox style="layout-flow:vertical" inset="0,0,0,0">
                <w:txbxContent>
                  <w:p w:rsidR="00352943" w:rsidRPr="00D040D5" w:rsidRDefault="00352943" w:rsidP="00E43FA1">
                    <w:pPr>
                      <w:pStyle w:val="En-tte"/>
                    </w:pPr>
                    <w:fldSimple w:instr=" TITLE  \* MERGEFORMAT ">
                      <w:r>
                        <w:t>A/73/18</w:t>
                      </w:r>
                    </w:fldSimple>
                  </w:p>
                  <w:p w:rsidR="00352943" w:rsidRDefault="00352943"/>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E43FA1" w:rsidRDefault="00352943" w:rsidP="00E43FA1">
    <w:r>
      <w:rPr>
        <w:noProof/>
        <w:lang w:eastAsia="fr-CH"/>
      </w:rPr>
      <mc:AlternateContent>
        <mc:Choice Requires="wps">
          <w:drawing>
            <wp:anchor distT="0" distB="0" distL="114300" distR="114300" simplePos="0" relativeHeight="25166950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352943" w:rsidRDefault="00352943" w:rsidP="00E43FA1">
                          <w:pPr>
                            <w:pStyle w:val="En-tte"/>
                            <w:jc w:val="right"/>
                          </w:pPr>
                          <w:fldSimple w:instr=" TITLE  \* MERGEFORMAT ">
                            <w:r>
                              <w:t>A/73/18</w:t>
                            </w:r>
                          </w:fldSimple>
                        </w:p>
                        <w:p w:rsidR="00352943" w:rsidRDefault="003529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7"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k7vwIAAKEFAAAOAAAAZHJzL2Uyb0RvYy54bWysVN9P2zAQfp+0/8Hye0lSSttEpKiAOk2q&#10;AAkmpL25jkMiHJ9nu03YtP99Z6cplO1hmvZin+3z/fq+u/OLrpFkJ4ytQeU0OYkpEYpDUaunnH55&#10;WI3mlFjHVMEkKJHTF2HpxeLjh/NWZ2IMFchCGIJGlM1andPKOZ1FkeWVaJg9AS0UPpZgGubwaJ6i&#10;wrAWrTcyGsfxNGrBFNoAF9bi7XX/SBfBflkK7m7L0gpHZE4xNhdWE9aNX6PFOcueDNNVzfdhsH+I&#10;omG1QqcHU9fMMbI19W+mmpobsFC6Ew5NBGVZcxFywGyS+F029xXTIuSCxbH6UCb7/8zym92dIXWR&#10;0xklijUI0VcEihSCONE5QWa+RK22GWrea9R13SV0CHVI1+o18GeLKtEbnf6DRW1fkq40jd8xWYIf&#10;EYWXQ+XRBeF4OU7O0hhfOD5NEyzFaYAmev2tjXWfBDTECzk1iGyIgO3W1nn/LBtUvDMLsi5WtZTh&#10;4NkkrqQhO4Y8YJwL5foEmNQV668Hj4F7XjsYPTIkFWkxwNOzOPhW4D30zqXynjAfDGcv9QT4kSbj&#10;SXw5Tker6Xw2mqwmZ6N0Fs9HcZJeptN4kk6uVz+9vWSSVXVRCLWuEYG+J/Dy78Det0VPo0DHo1CP&#10;0vCFOlRjIxl/9iBjBd9oRcfhhGfMbthDlgHzHmaPvus2XaBSMnBmA8ULUsYAIoboWs1XNfpeM+vu&#10;mMFGw0scHu4Wl1IC1hb2EiUVmO9/uvf6OfUrJS02bk7tty0zghL5WWFnoEk3CGYQNoOgts0VIAeS&#10;EE0Q8YNxchBLA80jzpSl94JPTHGMJKforRevXD8+cCZxsVwGJexlzdxa3Ws+dIav8UP3yIzeM9a3&#10;0w0MLc2yd8TtdT1zFCy3Dso6sNrXta8iVt4fcA4EDPYzyw+at+eg9TpZF78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OGRWTu/AgAAo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352943" w:rsidRDefault="00352943" w:rsidP="00E43FA1">
                    <w:pPr>
                      <w:pStyle w:val="En-tte"/>
                      <w:jc w:val="right"/>
                    </w:pPr>
                    <w:fldSimple w:instr=" TITLE  \* MERGEFORMAT ">
                      <w:r>
                        <w:t>A/73/18</w:t>
                      </w:r>
                    </w:fldSimple>
                  </w:p>
                  <w:p w:rsidR="00352943" w:rsidRDefault="00352943"/>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43" w:rsidRPr="004F22E0" w:rsidRDefault="00352943" w:rsidP="004F22E0">
    <w:pPr>
      <w:pStyle w:val="En-tte"/>
    </w:pPr>
    <w:fldSimple w:instr=" TITLE  \* MERGEFORMAT ">
      <w:r>
        <w:t>A/73/18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11D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FA4D68"/>
    <w:multiLevelType w:val="hybridMultilevel"/>
    <w:tmpl w:val="3F9CBE12"/>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4" w15:restartNumberingAfterBreak="0">
    <w:nsid w:val="0C9268F3"/>
    <w:multiLevelType w:val="hybridMultilevel"/>
    <w:tmpl w:val="F836D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C07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602DA9"/>
    <w:multiLevelType w:val="hybridMultilevel"/>
    <w:tmpl w:val="3F9CBE12"/>
    <w:lvl w:ilvl="0" w:tplc="0809000F">
      <w:start w:val="1"/>
      <w:numFmt w:val="decimal"/>
      <w:lvlText w:val="%1."/>
      <w:lvlJc w:val="left"/>
      <w:pPr>
        <w:ind w:left="644"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1F262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2D62A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964A4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DA517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3FA10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3C12A67"/>
    <w:multiLevelType w:val="hybridMultilevel"/>
    <w:tmpl w:val="F36C1A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F956BA4"/>
    <w:multiLevelType w:val="hybridMultilevel"/>
    <w:tmpl w:val="A3C2B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212E4D"/>
    <w:multiLevelType w:val="hybridMultilevel"/>
    <w:tmpl w:val="F836D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F3E53"/>
    <w:multiLevelType w:val="hybridMultilevel"/>
    <w:tmpl w:val="0088A15C"/>
    <w:lvl w:ilvl="0" w:tplc="399C8E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7"/>
  </w:num>
  <w:num w:numId="2">
    <w:abstractNumId w:val="29"/>
  </w:num>
  <w:num w:numId="3">
    <w:abstractNumId w:val="15"/>
  </w:num>
  <w:num w:numId="4">
    <w:abstractNumId w:val="37"/>
  </w:num>
  <w:num w:numId="5">
    <w:abstractNumId w:val="29"/>
  </w:num>
  <w:num w:numId="6">
    <w:abstractNumId w:val="15"/>
  </w:num>
  <w:num w:numId="7">
    <w:abstractNumId w:val="33"/>
  </w:num>
  <w:num w:numId="8">
    <w:abstractNumId w:val="27"/>
  </w:num>
  <w:num w:numId="9">
    <w:abstractNumId w:val="22"/>
  </w:num>
  <w:num w:numId="10">
    <w:abstractNumId w:val="40"/>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25"/>
  </w:num>
  <w:num w:numId="22">
    <w:abstractNumId w:val="21"/>
  </w:num>
  <w:num w:numId="23">
    <w:abstractNumId w:val="10"/>
  </w:num>
  <w:num w:numId="24">
    <w:abstractNumId w:val="28"/>
  </w:num>
  <w:num w:numId="25">
    <w:abstractNumId w:val="30"/>
  </w:num>
  <w:num w:numId="26">
    <w:abstractNumId w:val="23"/>
  </w:num>
  <w:num w:numId="27">
    <w:abstractNumId w:val="24"/>
  </w:num>
  <w:num w:numId="28">
    <w:abstractNumId w:val="34"/>
  </w:num>
  <w:num w:numId="29">
    <w:abstractNumId w:val="11"/>
  </w:num>
  <w:num w:numId="30">
    <w:abstractNumId w:val="16"/>
  </w:num>
  <w:num w:numId="31">
    <w:abstractNumId w:val="32"/>
  </w:num>
  <w:num w:numId="32">
    <w:abstractNumId w:val="18"/>
  </w:num>
  <w:num w:numId="33">
    <w:abstractNumId w:val="26"/>
  </w:num>
  <w:num w:numId="34">
    <w:abstractNumId w:val="20"/>
  </w:num>
  <w:num w:numId="35">
    <w:abstractNumId w:val="12"/>
  </w:num>
  <w:num w:numId="36">
    <w:abstractNumId w:val="36"/>
  </w:num>
  <w:num w:numId="37">
    <w:abstractNumId w:val="35"/>
  </w:num>
  <w:num w:numId="38">
    <w:abstractNumId w:val="41"/>
  </w:num>
  <w:num w:numId="39">
    <w:abstractNumId w:val="19"/>
  </w:num>
  <w:num w:numId="40">
    <w:abstractNumId w:val="38"/>
  </w:num>
  <w:num w:numId="41">
    <w:abstractNumId w:val="13"/>
  </w:num>
  <w:num w:numId="42">
    <w:abstractNumId w:val="14"/>
  </w:num>
  <w:num w:numId="43">
    <w:abstractNumId w:val="39"/>
  </w:num>
  <w:num w:numId="44">
    <w:abstractNumId w:val="17"/>
  </w:num>
  <w:num w:numId="45">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isplayBackgroundShape/>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7B"/>
    <w:rsid w:val="00000B05"/>
    <w:rsid w:val="000067A6"/>
    <w:rsid w:val="0001125A"/>
    <w:rsid w:val="0001470D"/>
    <w:rsid w:val="00016165"/>
    <w:rsid w:val="00016AC5"/>
    <w:rsid w:val="00021907"/>
    <w:rsid w:val="000233A5"/>
    <w:rsid w:val="0002445D"/>
    <w:rsid w:val="00024C50"/>
    <w:rsid w:val="00025E92"/>
    <w:rsid w:val="000276A3"/>
    <w:rsid w:val="00031C3D"/>
    <w:rsid w:val="00032060"/>
    <w:rsid w:val="00040539"/>
    <w:rsid w:val="00040598"/>
    <w:rsid w:val="00047F10"/>
    <w:rsid w:val="00052157"/>
    <w:rsid w:val="0005346D"/>
    <w:rsid w:val="00055E2B"/>
    <w:rsid w:val="00055FE4"/>
    <w:rsid w:val="000571BA"/>
    <w:rsid w:val="000641CE"/>
    <w:rsid w:val="00067310"/>
    <w:rsid w:val="00074400"/>
    <w:rsid w:val="00077E35"/>
    <w:rsid w:val="0008669E"/>
    <w:rsid w:val="00090599"/>
    <w:rsid w:val="00096270"/>
    <w:rsid w:val="000972D8"/>
    <w:rsid w:val="000A1501"/>
    <w:rsid w:val="000A2494"/>
    <w:rsid w:val="000A6B7E"/>
    <w:rsid w:val="000B35D0"/>
    <w:rsid w:val="000C6948"/>
    <w:rsid w:val="000C6CDB"/>
    <w:rsid w:val="000D5C25"/>
    <w:rsid w:val="000E4F06"/>
    <w:rsid w:val="000E5601"/>
    <w:rsid w:val="000F41F2"/>
    <w:rsid w:val="001011F4"/>
    <w:rsid w:val="0010373B"/>
    <w:rsid w:val="001058CD"/>
    <w:rsid w:val="00125446"/>
    <w:rsid w:val="00126DCC"/>
    <w:rsid w:val="00133940"/>
    <w:rsid w:val="001358D9"/>
    <w:rsid w:val="00141E26"/>
    <w:rsid w:val="00143EB9"/>
    <w:rsid w:val="00145051"/>
    <w:rsid w:val="0015389C"/>
    <w:rsid w:val="00160540"/>
    <w:rsid w:val="00166C68"/>
    <w:rsid w:val="00171F19"/>
    <w:rsid w:val="00174814"/>
    <w:rsid w:val="00181A90"/>
    <w:rsid w:val="00190D5D"/>
    <w:rsid w:val="00192660"/>
    <w:rsid w:val="00192EEB"/>
    <w:rsid w:val="00194484"/>
    <w:rsid w:val="0019559B"/>
    <w:rsid w:val="001A1E09"/>
    <w:rsid w:val="001A2040"/>
    <w:rsid w:val="001A20FB"/>
    <w:rsid w:val="001A376F"/>
    <w:rsid w:val="001B09BB"/>
    <w:rsid w:val="001C3D8D"/>
    <w:rsid w:val="001C6497"/>
    <w:rsid w:val="001D00D7"/>
    <w:rsid w:val="001D12EC"/>
    <w:rsid w:val="001D2203"/>
    <w:rsid w:val="001D4943"/>
    <w:rsid w:val="001D7F8A"/>
    <w:rsid w:val="001E0447"/>
    <w:rsid w:val="001E1495"/>
    <w:rsid w:val="001E2579"/>
    <w:rsid w:val="001E34CB"/>
    <w:rsid w:val="001E3FEB"/>
    <w:rsid w:val="001E4541"/>
    <w:rsid w:val="001E4A02"/>
    <w:rsid w:val="001E4E3F"/>
    <w:rsid w:val="001E5979"/>
    <w:rsid w:val="001E653B"/>
    <w:rsid w:val="001E6DF0"/>
    <w:rsid w:val="001F3E68"/>
    <w:rsid w:val="001F4931"/>
    <w:rsid w:val="001F6DE4"/>
    <w:rsid w:val="001F6EA4"/>
    <w:rsid w:val="00200CBA"/>
    <w:rsid w:val="00204B66"/>
    <w:rsid w:val="002059CE"/>
    <w:rsid w:val="00206AD4"/>
    <w:rsid w:val="00224B8B"/>
    <w:rsid w:val="00225A8C"/>
    <w:rsid w:val="00231A7F"/>
    <w:rsid w:val="0024098B"/>
    <w:rsid w:val="00242BBD"/>
    <w:rsid w:val="002431FF"/>
    <w:rsid w:val="0024586F"/>
    <w:rsid w:val="00246BC8"/>
    <w:rsid w:val="002501C2"/>
    <w:rsid w:val="00251F95"/>
    <w:rsid w:val="00252317"/>
    <w:rsid w:val="002550D8"/>
    <w:rsid w:val="00255AC3"/>
    <w:rsid w:val="0025640B"/>
    <w:rsid w:val="002659F1"/>
    <w:rsid w:val="00270821"/>
    <w:rsid w:val="00271E41"/>
    <w:rsid w:val="00284C19"/>
    <w:rsid w:val="00286E23"/>
    <w:rsid w:val="002876A1"/>
    <w:rsid w:val="00287CA6"/>
    <w:rsid w:val="00287E79"/>
    <w:rsid w:val="00290049"/>
    <w:rsid w:val="002928F9"/>
    <w:rsid w:val="00294D5B"/>
    <w:rsid w:val="002967B3"/>
    <w:rsid w:val="002A2A2C"/>
    <w:rsid w:val="002A5D07"/>
    <w:rsid w:val="002D25CA"/>
    <w:rsid w:val="002D3DA4"/>
    <w:rsid w:val="002D4512"/>
    <w:rsid w:val="002D64CF"/>
    <w:rsid w:val="002E2F5C"/>
    <w:rsid w:val="002F0C48"/>
    <w:rsid w:val="002F3E3B"/>
    <w:rsid w:val="0030070F"/>
    <w:rsid w:val="003016B7"/>
    <w:rsid w:val="0030411B"/>
    <w:rsid w:val="00305BCD"/>
    <w:rsid w:val="0030754C"/>
    <w:rsid w:val="00314763"/>
    <w:rsid w:val="00317E54"/>
    <w:rsid w:val="00321B44"/>
    <w:rsid w:val="00322DF1"/>
    <w:rsid w:val="00324EBF"/>
    <w:rsid w:val="0032556C"/>
    <w:rsid w:val="00330508"/>
    <w:rsid w:val="00331FEB"/>
    <w:rsid w:val="0033286A"/>
    <w:rsid w:val="00333130"/>
    <w:rsid w:val="0034168A"/>
    <w:rsid w:val="00346E32"/>
    <w:rsid w:val="003515AA"/>
    <w:rsid w:val="00352943"/>
    <w:rsid w:val="00364F13"/>
    <w:rsid w:val="0036776C"/>
    <w:rsid w:val="00372A7A"/>
    <w:rsid w:val="00372D1D"/>
    <w:rsid w:val="00374106"/>
    <w:rsid w:val="0037679A"/>
    <w:rsid w:val="0038047C"/>
    <w:rsid w:val="00380BA2"/>
    <w:rsid w:val="0038173D"/>
    <w:rsid w:val="00390EEF"/>
    <w:rsid w:val="00394410"/>
    <w:rsid w:val="003976D5"/>
    <w:rsid w:val="003B53B6"/>
    <w:rsid w:val="003C4F5B"/>
    <w:rsid w:val="003D3C77"/>
    <w:rsid w:val="003D6C68"/>
    <w:rsid w:val="003E01D0"/>
    <w:rsid w:val="003E038A"/>
    <w:rsid w:val="003E49B9"/>
    <w:rsid w:val="003E5F12"/>
    <w:rsid w:val="003E786C"/>
    <w:rsid w:val="003F2A89"/>
    <w:rsid w:val="003F4433"/>
    <w:rsid w:val="003F4A54"/>
    <w:rsid w:val="0040144C"/>
    <w:rsid w:val="004067AE"/>
    <w:rsid w:val="00410521"/>
    <w:rsid w:val="00413BB0"/>
    <w:rsid w:val="004159D0"/>
    <w:rsid w:val="00417326"/>
    <w:rsid w:val="00422499"/>
    <w:rsid w:val="00424833"/>
    <w:rsid w:val="004275FF"/>
    <w:rsid w:val="004342E2"/>
    <w:rsid w:val="00434354"/>
    <w:rsid w:val="00440BC8"/>
    <w:rsid w:val="0045124A"/>
    <w:rsid w:val="00454F8D"/>
    <w:rsid w:val="004567EB"/>
    <w:rsid w:val="00460E72"/>
    <w:rsid w:val="00467412"/>
    <w:rsid w:val="00476265"/>
    <w:rsid w:val="00481132"/>
    <w:rsid w:val="00483E94"/>
    <w:rsid w:val="00490F56"/>
    <w:rsid w:val="00491F39"/>
    <w:rsid w:val="004A49A5"/>
    <w:rsid w:val="004A66A2"/>
    <w:rsid w:val="004B309A"/>
    <w:rsid w:val="004B51CD"/>
    <w:rsid w:val="004B5977"/>
    <w:rsid w:val="004B66F7"/>
    <w:rsid w:val="004C54C0"/>
    <w:rsid w:val="004C56B2"/>
    <w:rsid w:val="004D00B2"/>
    <w:rsid w:val="004E4963"/>
    <w:rsid w:val="004E6809"/>
    <w:rsid w:val="004E7F24"/>
    <w:rsid w:val="004F22E0"/>
    <w:rsid w:val="004F49A4"/>
    <w:rsid w:val="004F709A"/>
    <w:rsid w:val="00506CED"/>
    <w:rsid w:val="005111B1"/>
    <w:rsid w:val="00513CD7"/>
    <w:rsid w:val="0051457E"/>
    <w:rsid w:val="00516D6F"/>
    <w:rsid w:val="0051714B"/>
    <w:rsid w:val="00520F80"/>
    <w:rsid w:val="005239FF"/>
    <w:rsid w:val="00523DB8"/>
    <w:rsid w:val="00524AD4"/>
    <w:rsid w:val="00533150"/>
    <w:rsid w:val="00537196"/>
    <w:rsid w:val="00541BE4"/>
    <w:rsid w:val="00543B57"/>
    <w:rsid w:val="00543C47"/>
    <w:rsid w:val="00543D5E"/>
    <w:rsid w:val="00547FF4"/>
    <w:rsid w:val="005503B0"/>
    <w:rsid w:val="00550C89"/>
    <w:rsid w:val="00552260"/>
    <w:rsid w:val="00552777"/>
    <w:rsid w:val="00555494"/>
    <w:rsid w:val="00555CBA"/>
    <w:rsid w:val="00556798"/>
    <w:rsid w:val="005629D6"/>
    <w:rsid w:val="00563A2F"/>
    <w:rsid w:val="00565B29"/>
    <w:rsid w:val="00567F8A"/>
    <w:rsid w:val="00571BC1"/>
    <w:rsid w:val="00571F41"/>
    <w:rsid w:val="00575476"/>
    <w:rsid w:val="0058206D"/>
    <w:rsid w:val="00584373"/>
    <w:rsid w:val="00591DB3"/>
    <w:rsid w:val="005939ED"/>
    <w:rsid w:val="005947BC"/>
    <w:rsid w:val="00595E8A"/>
    <w:rsid w:val="005A0268"/>
    <w:rsid w:val="005A6014"/>
    <w:rsid w:val="005B2E9A"/>
    <w:rsid w:val="005B473C"/>
    <w:rsid w:val="005C3F72"/>
    <w:rsid w:val="005C549A"/>
    <w:rsid w:val="005D3C19"/>
    <w:rsid w:val="005D5BE1"/>
    <w:rsid w:val="005D6569"/>
    <w:rsid w:val="005D7719"/>
    <w:rsid w:val="005E1B9B"/>
    <w:rsid w:val="005E32D1"/>
    <w:rsid w:val="005E5D1F"/>
    <w:rsid w:val="0061113B"/>
    <w:rsid w:val="006114E1"/>
    <w:rsid w:val="00611D43"/>
    <w:rsid w:val="00612D48"/>
    <w:rsid w:val="006139B4"/>
    <w:rsid w:val="00613A5E"/>
    <w:rsid w:val="00614FBD"/>
    <w:rsid w:val="00616B45"/>
    <w:rsid w:val="00616C60"/>
    <w:rsid w:val="00622BD7"/>
    <w:rsid w:val="006241C6"/>
    <w:rsid w:val="00627593"/>
    <w:rsid w:val="00630D9B"/>
    <w:rsid w:val="00631953"/>
    <w:rsid w:val="0063208D"/>
    <w:rsid w:val="00643814"/>
    <w:rsid w:val="006439EC"/>
    <w:rsid w:val="00645090"/>
    <w:rsid w:val="00647059"/>
    <w:rsid w:val="00647162"/>
    <w:rsid w:val="0065029A"/>
    <w:rsid w:val="00650770"/>
    <w:rsid w:val="00661667"/>
    <w:rsid w:val="00661E96"/>
    <w:rsid w:val="00665786"/>
    <w:rsid w:val="00671C93"/>
    <w:rsid w:val="00671F00"/>
    <w:rsid w:val="006729C8"/>
    <w:rsid w:val="00673C22"/>
    <w:rsid w:val="00675501"/>
    <w:rsid w:val="006827AA"/>
    <w:rsid w:val="0068562A"/>
    <w:rsid w:val="006920FB"/>
    <w:rsid w:val="006957F9"/>
    <w:rsid w:val="006A1F8C"/>
    <w:rsid w:val="006A6B31"/>
    <w:rsid w:val="006A6C95"/>
    <w:rsid w:val="006A7B29"/>
    <w:rsid w:val="006B0EB2"/>
    <w:rsid w:val="006B0FF8"/>
    <w:rsid w:val="006B4590"/>
    <w:rsid w:val="006B58D1"/>
    <w:rsid w:val="006C1E4D"/>
    <w:rsid w:val="006C340C"/>
    <w:rsid w:val="006E492F"/>
    <w:rsid w:val="006F1D0B"/>
    <w:rsid w:val="006F27A8"/>
    <w:rsid w:val="006F3493"/>
    <w:rsid w:val="006F3544"/>
    <w:rsid w:val="006F5A52"/>
    <w:rsid w:val="00701349"/>
    <w:rsid w:val="00702F0F"/>
    <w:rsid w:val="0070347C"/>
    <w:rsid w:val="007102D2"/>
    <w:rsid w:val="00714647"/>
    <w:rsid w:val="00714A66"/>
    <w:rsid w:val="007176C1"/>
    <w:rsid w:val="00720BC0"/>
    <w:rsid w:val="0072116B"/>
    <w:rsid w:val="00725063"/>
    <w:rsid w:val="00730586"/>
    <w:rsid w:val="00732E72"/>
    <w:rsid w:val="00736EF1"/>
    <w:rsid w:val="00741D90"/>
    <w:rsid w:val="0075322E"/>
    <w:rsid w:val="007607B1"/>
    <w:rsid w:val="00765296"/>
    <w:rsid w:val="00766D28"/>
    <w:rsid w:val="007723C2"/>
    <w:rsid w:val="007815B9"/>
    <w:rsid w:val="00785F1F"/>
    <w:rsid w:val="00790B9D"/>
    <w:rsid w:val="00796316"/>
    <w:rsid w:val="007A1C58"/>
    <w:rsid w:val="007A20D2"/>
    <w:rsid w:val="007A22F4"/>
    <w:rsid w:val="007A79CD"/>
    <w:rsid w:val="007B3FD8"/>
    <w:rsid w:val="007D2668"/>
    <w:rsid w:val="007D3119"/>
    <w:rsid w:val="007F1867"/>
    <w:rsid w:val="007F1EC4"/>
    <w:rsid w:val="007F55CB"/>
    <w:rsid w:val="007F6597"/>
    <w:rsid w:val="007F768E"/>
    <w:rsid w:val="00800163"/>
    <w:rsid w:val="008021D4"/>
    <w:rsid w:val="008149F9"/>
    <w:rsid w:val="00822265"/>
    <w:rsid w:val="008245B7"/>
    <w:rsid w:val="0082755E"/>
    <w:rsid w:val="00831A18"/>
    <w:rsid w:val="00833848"/>
    <w:rsid w:val="00837345"/>
    <w:rsid w:val="00844750"/>
    <w:rsid w:val="00845CFD"/>
    <w:rsid w:val="00851A74"/>
    <w:rsid w:val="00853AB8"/>
    <w:rsid w:val="00854C34"/>
    <w:rsid w:val="0085586A"/>
    <w:rsid w:val="008701FC"/>
    <w:rsid w:val="00895A10"/>
    <w:rsid w:val="00895DE5"/>
    <w:rsid w:val="008A0FA8"/>
    <w:rsid w:val="008A1EC0"/>
    <w:rsid w:val="008A43D2"/>
    <w:rsid w:val="008A47F2"/>
    <w:rsid w:val="008B3C41"/>
    <w:rsid w:val="008B44C4"/>
    <w:rsid w:val="008B5299"/>
    <w:rsid w:val="008B6DFA"/>
    <w:rsid w:val="008C322B"/>
    <w:rsid w:val="008C4B74"/>
    <w:rsid w:val="008C7F49"/>
    <w:rsid w:val="008D1156"/>
    <w:rsid w:val="008D59DB"/>
    <w:rsid w:val="008D7AF1"/>
    <w:rsid w:val="008E0319"/>
    <w:rsid w:val="008E314B"/>
    <w:rsid w:val="008E4DE2"/>
    <w:rsid w:val="008E7CE2"/>
    <w:rsid w:val="008E7FAE"/>
    <w:rsid w:val="009049B1"/>
    <w:rsid w:val="00911BF7"/>
    <w:rsid w:val="00913549"/>
    <w:rsid w:val="0091594A"/>
    <w:rsid w:val="009230F1"/>
    <w:rsid w:val="00927855"/>
    <w:rsid w:val="00935490"/>
    <w:rsid w:val="009413AF"/>
    <w:rsid w:val="009418DE"/>
    <w:rsid w:val="00942748"/>
    <w:rsid w:val="009516B7"/>
    <w:rsid w:val="0095229A"/>
    <w:rsid w:val="0095776B"/>
    <w:rsid w:val="00957CE5"/>
    <w:rsid w:val="009624E2"/>
    <w:rsid w:val="00962BB9"/>
    <w:rsid w:val="00976D30"/>
    <w:rsid w:val="009772CA"/>
    <w:rsid w:val="00977EC8"/>
    <w:rsid w:val="009802FC"/>
    <w:rsid w:val="00982165"/>
    <w:rsid w:val="00983432"/>
    <w:rsid w:val="009A3048"/>
    <w:rsid w:val="009A6C26"/>
    <w:rsid w:val="009B17AD"/>
    <w:rsid w:val="009B3F8C"/>
    <w:rsid w:val="009B45E0"/>
    <w:rsid w:val="009B540F"/>
    <w:rsid w:val="009C4C38"/>
    <w:rsid w:val="009C7693"/>
    <w:rsid w:val="009D3A8C"/>
    <w:rsid w:val="009D7A41"/>
    <w:rsid w:val="009E1BA9"/>
    <w:rsid w:val="009E2876"/>
    <w:rsid w:val="009E2F0B"/>
    <w:rsid w:val="009E6C93"/>
    <w:rsid w:val="009E7956"/>
    <w:rsid w:val="009F072F"/>
    <w:rsid w:val="009F26C1"/>
    <w:rsid w:val="009F3F95"/>
    <w:rsid w:val="00A023FC"/>
    <w:rsid w:val="00A0338D"/>
    <w:rsid w:val="00A05DD1"/>
    <w:rsid w:val="00A06C0D"/>
    <w:rsid w:val="00A077E9"/>
    <w:rsid w:val="00A10618"/>
    <w:rsid w:val="00A2492E"/>
    <w:rsid w:val="00A30C42"/>
    <w:rsid w:val="00A31163"/>
    <w:rsid w:val="00A33E10"/>
    <w:rsid w:val="00A34593"/>
    <w:rsid w:val="00A364DB"/>
    <w:rsid w:val="00A446C9"/>
    <w:rsid w:val="00A45E90"/>
    <w:rsid w:val="00A4770F"/>
    <w:rsid w:val="00A50D6B"/>
    <w:rsid w:val="00A51050"/>
    <w:rsid w:val="00A56945"/>
    <w:rsid w:val="00A57027"/>
    <w:rsid w:val="00A5750C"/>
    <w:rsid w:val="00A72C35"/>
    <w:rsid w:val="00A752BB"/>
    <w:rsid w:val="00A81F93"/>
    <w:rsid w:val="00A84B73"/>
    <w:rsid w:val="00A9247E"/>
    <w:rsid w:val="00AA7796"/>
    <w:rsid w:val="00AC3832"/>
    <w:rsid w:val="00AC67A1"/>
    <w:rsid w:val="00AC7977"/>
    <w:rsid w:val="00AC7E56"/>
    <w:rsid w:val="00AE2617"/>
    <w:rsid w:val="00AE352C"/>
    <w:rsid w:val="00AE4CE6"/>
    <w:rsid w:val="00AE79AC"/>
    <w:rsid w:val="00AF698A"/>
    <w:rsid w:val="00B01AAD"/>
    <w:rsid w:val="00B101DB"/>
    <w:rsid w:val="00B10DD9"/>
    <w:rsid w:val="00B21751"/>
    <w:rsid w:val="00B256F0"/>
    <w:rsid w:val="00B31D7D"/>
    <w:rsid w:val="00B32E2D"/>
    <w:rsid w:val="00B43741"/>
    <w:rsid w:val="00B45642"/>
    <w:rsid w:val="00B52F29"/>
    <w:rsid w:val="00B5388D"/>
    <w:rsid w:val="00B5722C"/>
    <w:rsid w:val="00B57649"/>
    <w:rsid w:val="00B61990"/>
    <w:rsid w:val="00B61D76"/>
    <w:rsid w:val="00B6249B"/>
    <w:rsid w:val="00B70CCD"/>
    <w:rsid w:val="00B7180A"/>
    <w:rsid w:val="00B732E7"/>
    <w:rsid w:val="00B75E66"/>
    <w:rsid w:val="00B773BF"/>
    <w:rsid w:val="00B8193D"/>
    <w:rsid w:val="00B82056"/>
    <w:rsid w:val="00B93C7D"/>
    <w:rsid w:val="00B96416"/>
    <w:rsid w:val="00BC0B05"/>
    <w:rsid w:val="00BC2579"/>
    <w:rsid w:val="00BC3F20"/>
    <w:rsid w:val="00BD03A2"/>
    <w:rsid w:val="00BD28B2"/>
    <w:rsid w:val="00BD5A8D"/>
    <w:rsid w:val="00BD7343"/>
    <w:rsid w:val="00BD74B2"/>
    <w:rsid w:val="00BF0556"/>
    <w:rsid w:val="00BF37EE"/>
    <w:rsid w:val="00C024A1"/>
    <w:rsid w:val="00C02C42"/>
    <w:rsid w:val="00C10FB1"/>
    <w:rsid w:val="00C11282"/>
    <w:rsid w:val="00C122DE"/>
    <w:rsid w:val="00C12CA3"/>
    <w:rsid w:val="00C14108"/>
    <w:rsid w:val="00C261F8"/>
    <w:rsid w:val="00C27662"/>
    <w:rsid w:val="00C33100"/>
    <w:rsid w:val="00C42717"/>
    <w:rsid w:val="00C451B9"/>
    <w:rsid w:val="00C45B60"/>
    <w:rsid w:val="00C467A6"/>
    <w:rsid w:val="00C51D9C"/>
    <w:rsid w:val="00C54DA4"/>
    <w:rsid w:val="00C55118"/>
    <w:rsid w:val="00C577D1"/>
    <w:rsid w:val="00C57A2D"/>
    <w:rsid w:val="00C6018C"/>
    <w:rsid w:val="00C613B4"/>
    <w:rsid w:val="00C67D23"/>
    <w:rsid w:val="00C71827"/>
    <w:rsid w:val="00C825E5"/>
    <w:rsid w:val="00C91301"/>
    <w:rsid w:val="00C95EB8"/>
    <w:rsid w:val="00CA351E"/>
    <w:rsid w:val="00CB02C5"/>
    <w:rsid w:val="00CB39CD"/>
    <w:rsid w:val="00CB5BF8"/>
    <w:rsid w:val="00CC7CE6"/>
    <w:rsid w:val="00CD044C"/>
    <w:rsid w:val="00CD1A71"/>
    <w:rsid w:val="00CD1FBB"/>
    <w:rsid w:val="00CE033D"/>
    <w:rsid w:val="00CE08E5"/>
    <w:rsid w:val="00CE66A9"/>
    <w:rsid w:val="00CF119E"/>
    <w:rsid w:val="00D00518"/>
    <w:rsid w:val="00D016B5"/>
    <w:rsid w:val="00D02681"/>
    <w:rsid w:val="00D034F1"/>
    <w:rsid w:val="00D040D5"/>
    <w:rsid w:val="00D044B1"/>
    <w:rsid w:val="00D06260"/>
    <w:rsid w:val="00D14F42"/>
    <w:rsid w:val="00D1656A"/>
    <w:rsid w:val="00D171D4"/>
    <w:rsid w:val="00D177AD"/>
    <w:rsid w:val="00D26F76"/>
    <w:rsid w:val="00D27D5E"/>
    <w:rsid w:val="00D32B08"/>
    <w:rsid w:val="00D4032B"/>
    <w:rsid w:val="00D404D3"/>
    <w:rsid w:val="00D407D1"/>
    <w:rsid w:val="00D43E5F"/>
    <w:rsid w:val="00D469B6"/>
    <w:rsid w:val="00D51CE6"/>
    <w:rsid w:val="00D639BD"/>
    <w:rsid w:val="00D65777"/>
    <w:rsid w:val="00D66E0D"/>
    <w:rsid w:val="00D725DA"/>
    <w:rsid w:val="00D7425A"/>
    <w:rsid w:val="00D74F7E"/>
    <w:rsid w:val="00D7695F"/>
    <w:rsid w:val="00D83B6C"/>
    <w:rsid w:val="00D84546"/>
    <w:rsid w:val="00D9039B"/>
    <w:rsid w:val="00D93582"/>
    <w:rsid w:val="00DA0C0F"/>
    <w:rsid w:val="00DA41A2"/>
    <w:rsid w:val="00DA43A1"/>
    <w:rsid w:val="00DA5E1D"/>
    <w:rsid w:val="00DB097B"/>
    <w:rsid w:val="00DC4F43"/>
    <w:rsid w:val="00DE6D90"/>
    <w:rsid w:val="00DF002F"/>
    <w:rsid w:val="00DF128E"/>
    <w:rsid w:val="00DF3E52"/>
    <w:rsid w:val="00DF4D0D"/>
    <w:rsid w:val="00DF7535"/>
    <w:rsid w:val="00E0244D"/>
    <w:rsid w:val="00E026DF"/>
    <w:rsid w:val="00E028AE"/>
    <w:rsid w:val="00E02F48"/>
    <w:rsid w:val="00E03712"/>
    <w:rsid w:val="00E06B3F"/>
    <w:rsid w:val="00E10A73"/>
    <w:rsid w:val="00E14F27"/>
    <w:rsid w:val="00E171D2"/>
    <w:rsid w:val="00E25534"/>
    <w:rsid w:val="00E26EF3"/>
    <w:rsid w:val="00E319B6"/>
    <w:rsid w:val="00E32145"/>
    <w:rsid w:val="00E32F5A"/>
    <w:rsid w:val="00E36E25"/>
    <w:rsid w:val="00E37E21"/>
    <w:rsid w:val="00E43FA1"/>
    <w:rsid w:val="00E510F3"/>
    <w:rsid w:val="00E51A84"/>
    <w:rsid w:val="00E60012"/>
    <w:rsid w:val="00E62CFF"/>
    <w:rsid w:val="00E665EE"/>
    <w:rsid w:val="00E679AE"/>
    <w:rsid w:val="00E71570"/>
    <w:rsid w:val="00E73B13"/>
    <w:rsid w:val="00E75C58"/>
    <w:rsid w:val="00E76819"/>
    <w:rsid w:val="00E77796"/>
    <w:rsid w:val="00E77FCC"/>
    <w:rsid w:val="00E81E94"/>
    <w:rsid w:val="00E82607"/>
    <w:rsid w:val="00E84A82"/>
    <w:rsid w:val="00E85025"/>
    <w:rsid w:val="00E9483E"/>
    <w:rsid w:val="00E96710"/>
    <w:rsid w:val="00EA3B1D"/>
    <w:rsid w:val="00EB77B9"/>
    <w:rsid w:val="00EB7D07"/>
    <w:rsid w:val="00ED1C2F"/>
    <w:rsid w:val="00ED3A26"/>
    <w:rsid w:val="00EF33E0"/>
    <w:rsid w:val="00EF70BB"/>
    <w:rsid w:val="00EF7D1D"/>
    <w:rsid w:val="00F02FA9"/>
    <w:rsid w:val="00F06660"/>
    <w:rsid w:val="00F10552"/>
    <w:rsid w:val="00F115C8"/>
    <w:rsid w:val="00F116EB"/>
    <w:rsid w:val="00F1794E"/>
    <w:rsid w:val="00F17DC0"/>
    <w:rsid w:val="00F211AF"/>
    <w:rsid w:val="00F25EC3"/>
    <w:rsid w:val="00F32ADB"/>
    <w:rsid w:val="00F32C98"/>
    <w:rsid w:val="00F37E12"/>
    <w:rsid w:val="00F424BD"/>
    <w:rsid w:val="00F4391A"/>
    <w:rsid w:val="00F5152C"/>
    <w:rsid w:val="00F515AD"/>
    <w:rsid w:val="00F57DD7"/>
    <w:rsid w:val="00F636AD"/>
    <w:rsid w:val="00F734D9"/>
    <w:rsid w:val="00F73F83"/>
    <w:rsid w:val="00F74902"/>
    <w:rsid w:val="00F85A4E"/>
    <w:rsid w:val="00F9353A"/>
    <w:rsid w:val="00F94176"/>
    <w:rsid w:val="00F94EBB"/>
    <w:rsid w:val="00F965C2"/>
    <w:rsid w:val="00FA1D61"/>
    <w:rsid w:val="00FA27D4"/>
    <w:rsid w:val="00FA5A79"/>
    <w:rsid w:val="00FB0BFE"/>
    <w:rsid w:val="00FB1C8F"/>
    <w:rsid w:val="00FB4300"/>
    <w:rsid w:val="00FB4C51"/>
    <w:rsid w:val="00FB734D"/>
    <w:rsid w:val="00FC203A"/>
    <w:rsid w:val="00FC21B2"/>
    <w:rsid w:val="00FC2224"/>
    <w:rsid w:val="00FD02A2"/>
    <w:rsid w:val="00FD55AF"/>
    <w:rsid w:val="00FD5E64"/>
    <w:rsid w:val="00FD6C06"/>
    <w:rsid w:val="00FD7985"/>
    <w:rsid w:val="00FE0059"/>
    <w:rsid w:val="00FE6526"/>
    <w:rsid w:val="00FE6979"/>
    <w:rsid w:val="00FF0957"/>
    <w:rsid w:val="00FF1DBD"/>
    <w:rsid w:val="00FF1E4B"/>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B46E9DB"/>
  <w15:docId w15:val="{5656462B-165E-41CA-9A55-DDF4E952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semiHidden="1" w:uiPriority="99" w:qFormat="1"/>
    <w:lsdException w:name="Emphasis" w:semiHidden="1"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5722C"/>
    <w:pPr>
      <w:suppressAutoHyphens/>
      <w:kinsoku w:val="0"/>
      <w:overflowPunct w:val="0"/>
      <w:autoSpaceDE w:val="0"/>
      <w:autoSpaceDN w:val="0"/>
      <w:adjustRightInd w:val="0"/>
      <w:snapToGrid w:val="0"/>
      <w:spacing w:line="240" w:lineRule="atLeast"/>
    </w:pPr>
    <w:rPr>
      <w:rFonts w:eastAsiaTheme="minorHAnsi"/>
      <w:lang w:val="fr-CH" w:eastAsia="en-US"/>
    </w:rPr>
  </w:style>
  <w:style w:type="paragraph" w:styleId="Titre1">
    <w:name w:val="heading 1"/>
    <w:aliases w:val="Table_G"/>
    <w:basedOn w:val="SingleTxtG"/>
    <w:next w:val="SingleTxtG"/>
    <w:link w:val="Titre1Car"/>
    <w:qFormat/>
    <w:rsid w:val="00B5722C"/>
    <w:pPr>
      <w:keepNext/>
      <w:keepLines/>
      <w:spacing w:after="0" w:line="240" w:lineRule="auto"/>
      <w:ind w:right="0"/>
      <w:jc w:val="left"/>
      <w:outlineLvl w:val="0"/>
    </w:pPr>
  </w:style>
  <w:style w:type="paragraph" w:styleId="Titre2">
    <w:name w:val="heading 2"/>
    <w:basedOn w:val="Normal"/>
    <w:next w:val="Normal"/>
    <w:link w:val="Titre2Car"/>
    <w:qFormat/>
    <w:rsid w:val="00B5722C"/>
    <w:pPr>
      <w:outlineLvl w:val="1"/>
    </w:pPr>
  </w:style>
  <w:style w:type="paragraph" w:styleId="Titre3">
    <w:name w:val="heading 3"/>
    <w:basedOn w:val="Normal"/>
    <w:next w:val="Normal"/>
    <w:link w:val="Titre3Car"/>
    <w:qFormat/>
    <w:rsid w:val="00B5722C"/>
    <w:pPr>
      <w:outlineLvl w:val="2"/>
    </w:pPr>
  </w:style>
  <w:style w:type="paragraph" w:styleId="Titre4">
    <w:name w:val="heading 4"/>
    <w:basedOn w:val="Normal"/>
    <w:next w:val="Normal"/>
    <w:link w:val="Titre4Car"/>
    <w:qFormat/>
    <w:rsid w:val="00B5722C"/>
    <w:pPr>
      <w:outlineLvl w:val="3"/>
    </w:pPr>
  </w:style>
  <w:style w:type="paragraph" w:styleId="Titre5">
    <w:name w:val="heading 5"/>
    <w:basedOn w:val="Normal"/>
    <w:next w:val="Normal"/>
    <w:link w:val="Titre5Car"/>
    <w:qFormat/>
    <w:rsid w:val="00B5722C"/>
    <w:pPr>
      <w:outlineLvl w:val="4"/>
    </w:pPr>
  </w:style>
  <w:style w:type="paragraph" w:styleId="Titre6">
    <w:name w:val="heading 6"/>
    <w:basedOn w:val="Normal"/>
    <w:next w:val="Normal"/>
    <w:link w:val="Titre6Car"/>
    <w:qFormat/>
    <w:rsid w:val="00B5722C"/>
    <w:pPr>
      <w:outlineLvl w:val="5"/>
    </w:pPr>
  </w:style>
  <w:style w:type="paragraph" w:styleId="Titre7">
    <w:name w:val="heading 7"/>
    <w:basedOn w:val="Normal"/>
    <w:next w:val="Normal"/>
    <w:link w:val="Titre7Car"/>
    <w:qFormat/>
    <w:rsid w:val="00B5722C"/>
    <w:pPr>
      <w:outlineLvl w:val="6"/>
    </w:pPr>
  </w:style>
  <w:style w:type="paragraph" w:styleId="Titre8">
    <w:name w:val="heading 8"/>
    <w:basedOn w:val="Normal"/>
    <w:next w:val="Normal"/>
    <w:link w:val="Titre8Car"/>
    <w:qFormat/>
    <w:rsid w:val="00B5722C"/>
    <w:pPr>
      <w:outlineLvl w:val="7"/>
    </w:pPr>
  </w:style>
  <w:style w:type="paragraph" w:styleId="Titre9">
    <w:name w:val="heading 9"/>
    <w:basedOn w:val="Normal"/>
    <w:next w:val="Normal"/>
    <w:link w:val="Titre9Car"/>
    <w:qFormat/>
    <w:rsid w:val="00B5722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B5722C"/>
    <w:pPr>
      <w:spacing w:after="120"/>
      <w:ind w:left="1134" w:right="1134"/>
      <w:jc w:val="both"/>
    </w:pPr>
  </w:style>
  <w:style w:type="paragraph" w:styleId="Notedefin">
    <w:name w:val="endnote text"/>
    <w:aliases w:val="2_G"/>
    <w:basedOn w:val="Notedebasdepage"/>
    <w:link w:val="NotedefinCar"/>
    <w:qFormat/>
    <w:rsid w:val="00B5722C"/>
  </w:style>
  <w:style w:type="paragraph" w:styleId="Notedebasdepage">
    <w:name w:val="footnote text"/>
    <w:aliases w:val="5_G"/>
    <w:basedOn w:val="Normal"/>
    <w:link w:val="NotedebasdepageCar"/>
    <w:qFormat/>
    <w:rsid w:val="00B5722C"/>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B5722C"/>
    <w:pPr>
      <w:spacing w:line="240" w:lineRule="auto"/>
    </w:pPr>
    <w:rPr>
      <w:sz w:val="16"/>
    </w:rPr>
  </w:style>
  <w:style w:type="character" w:styleId="Appeldenotedefin">
    <w:name w:val="endnote reference"/>
    <w:aliases w:val="1_G"/>
    <w:basedOn w:val="Appelnotedebasdep"/>
    <w:qFormat/>
    <w:rsid w:val="00B5722C"/>
    <w:rPr>
      <w:rFonts w:ascii="Times New Roman" w:hAnsi="Times New Roman"/>
      <w:sz w:val="18"/>
      <w:vertAlign w:val="superscript"/>
      <w:lang w:val="fr-CH"/>
    </w:rPr>
  </w:style>
  <w:style w:type="character" w:styleId="Appelnotedebasdep">
    <w:name w:val="footnote reference"/>
    <w:aliases w:val="4_G"/>
    <w:basedOn w:val="Policepardfaut"/>
    <w:qFormat/>
    <w:rsid w:val="00D00518"/>
    <w:rPr>
      <w:rFonts w:ascii="Times New Roman" w:hAnsi="Times New Roman"/>
      <w:sz w:val="18"/>
      <w:vertAlign w:val="superscript"/>
      <w:lang w:val="fr-CH"/>
    </w:rPr>
  </w:style>
  <w:style w:type="character" w:styleId="Numrodepage">
    <w:name w:val="page number"/>
    <w:aliases w:val="7_G"/>
    <w:basedOn w:val="Policepardfaut"/>
    <w:qFormat/>
    <w:rsid w:val="00B5722C"/>
    <w:rPr>
      <w:rFonts w:ascii="Times New Roman" w:hAnsi="Times New Roman"/>
      <w:b/>
      <w:sz w:val="18"/>
      <w:lang w:val="fr-CH"/>
    </w:rPr>
  </w:style>
  <w:style w:type="paragraph" w:styleId="En-tte">
    <w:name w:val="header"/>
    <w:aliases w:val="6_G"/>
    <w:basedOn w:val="Normal"/>
    <w:next w:val="Normal"/>
    <w:link w:val="En-tteCar"/>
    <w:qFormat/>
    <w:rsid w:val="00B5722C"/>
    <w:pPr>
      <w:pBdr>
        <w:bottom w:val="single" w:sz="4" w:space="4" w:color="auto"/>
      </w:pBdr>
      <w:spacing w:line="240" w:lineRule="auto"/>
    </w:pPr>
    <w:rPr>
      <w:b/>
      <w:sz w:val="18"/>
    </w:rPr>
  </w:style>
  <w:style w:type="paragraph" w:customStyle="1" w:styleId="H1G">
    <w:name w:val="_ H_1_G"/>
    <w:basedOn w:val="Normal"/>
    <w:next w:val="Normal"/>
    <w:qFormat/>
    <w:rsid w:val="00B5722C"/>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B5722C"/>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B5722C"/>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B5722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5722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5722C"/>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B5722C"/>
    <w:pPr>
      <w:keepNext/>
      <w:keepLines/>
      <w:spacing w:before="240" w:after="240" w:line="420" w:lineRule="exact"/>
      <w:ind w:left="1134" w:right="1134"/>
    </w:pPr>
    <w:rPr>
      <w:b/>
      <w:sz w:val="40"/>
    </w:rPr>
  </w:style>
  <w:style w:type="paragraph" w:customStyle="1" w:styleId="SLG">
    <w:name w:val="__S_L_G"/>
    <w:basedOn w:val="Normal"/>
    <w:next w:val="Normal"/>
    <w:rsid w:val="00B5722C"/>
    <w:pPr>
      <w:keepNext/>
      <w:keepLines/>
      <w:spacing w:before="240" w:after="240" w:line="580" w:lineRule="exact"/>
      <w:ind w:left="1134" w:right="1134"/>
    </w:pPr>
    <w:rPr>
      <w:b/>
      <w:sz w:val="56"/>
    </w:rPr>
  </w:style>
  <w:style w:type="paragraph" w:customStyle="1" w:styleId="SSG">
    <w:name w:val="__S_S_G"/>
    <w:basedOn w:val="Normal"/>
    <w:next w:val="Normal"/>
    <w:rsid w:val="00B5722C"/>
    <w:pPr>
      <w:keepNext/>
      <w:keepLines/>
      <w:spacing w:before="240" w:after="240" w:line="300" w:lineRule="exact"/>
      <w:ind w:left="1134" w:right="1134"/>
    </w:pPr>
    <w:rPr>
      <w:b/>
      <w:sz w:val="28"/>
    </w:rPr>
  </w:style>
  <w:style w:type="paragraph" w:customStyle="1" w:styleId="XLargeG">
    <w:name w:val="__XLarge_G"/>
    <w:basedOn w:val="Normal"/>
    <w:next w:val="Normal"/>
    <w:rsid w:val="00B5722C"/>
    <w:pPr>
      <w:keepNext/>
      <w:keepLines/>
      <w:spacing w:before="240" w:after="240" w:line="420" w:lineRule="exact"/>
      <w:ind w:left="1134" w:right="1134"/>
    </w:pPr>
    <w:rPr>
      <w:b/>
      <w:sz w:val="40"/>
    </w:rPr>
  </w:style>
  <w:style w:type="paragraph" w:customStyle="1" w:styleId="Bullet1G">
    <w:name w:val="_Bullet 1_G"/>
    <w:basedOn w:val="Normal"/>
    <w:qFormat/>
    <w:rsid w:val="00B5722C"/>
    <w:pPr>
      <w:numPr>
        <w:numId w:val="4"/>
      </w:numPr>
      <w:spacing w:after="120"/>
      <w:ind w:right="1134"/>
      <w:jc w:val="both"/>
    </w:pPr>
  </w:style>
  <w:style w:type="paragraph" w:customStyle="1" w:styleId="Bullet2G">
    <w:name w:val="_Bullet 2_G"/>
    <w:basedOn w:val="Normal"/>
    <w:qFormat/>
    <w:rsid w:val="00B5722C"/>
    <w:pPr>
      <w:numPr>
        <w:numId w:val="5"/>
      </w:numPr>
      <w:spacing w:after="120"/>
      <w:ind w:right="1134"/>
      <w:jc w:val="both"/>
    </w:pPr>
  </w:style>
  <w:style w:type="table" w:styleId="Grilledutableau">
    <w:name w:val="Table Grid"/>
    <w:basedOn w:val="TableauNormal"/>
    <w:rsid w:val="00B5722C"/>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Policepardfaut"/>
    <w:link w:val="SingleTxtG"/>
    <w:rsid w:val="00541BE4"/>
    <w:rPr>
      <w:rFonts w:eastAsiaTheme="minorHAnsi"/>
      <w:lang w:val="fr-CH" w:eastAsia="en-US"/>
    </w:rPr>
  </w:style>
  <w:style w:type="character" w:styleId="Lienhypertexte">
    <w:name w:val="Hyperlink"/>
    <w:basedOn w:val="Policepardfaut"/>
    <w:uiPriority w:val="99"/>
    <w:rsid w:val="00B5722C"/>
    <w:rPr>
      <w:color w:val="0000FF"/>
      <w:u w:val="none"/>
    </w:rPr>
  </w:style>
  <w:style w:type="character" w:styleId="Lienhypertextesuivivisit">
    <w:name w:val="FollowedHyperlink"/>
    <w:basedOn w:val="Policepardfaut"/>
    <w:rsid w:val="00B5722C"/>
    <w:rPr>
      <w:color w:val="0000FF"/>
      <w:u w:val="none"/>
    </w:rPr>
  </w:style>
  <w:style w:type="paragraph" w:customStyle="1" w:styleId="ParNoG">
    <w:name w:val="_ParNo_G"/>
    <w:basedOn w:val="Normal"/>
    <w:qFormat/>
    <w:rsid w:val="00B5722C"/>
    <w:pPr>
      <w:numPr>
        <w:numId w:val="6"/>
      </w:numPr>
      <w:tabs>
        <w:tab w:val="clear" w:pos="1701"/>
      </w:tabs>
      <w:spacing w:after="120"/>
      <w:ind w:right="1134"/>
      <w:jc w:val="both"/>
    </w:pPr>
  </w:style>
  <w:style w:type="paragraph" w:styleId="Textedebulles">
    <w:name w:val="Balloon Text"/>
    <w:basedOn w:val="Normal"/>
    <w:link w:val="TextedebullesCar"/>
    <w:uiPriority w:val="99"/>
    <w:semiHidden/>
    <w:rsid w:val="00550C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7A6"/>
    <w:rPr>
      <w:rFonts w:ascii="Tahoma" w:hAnsi="Tahoma" w:cs="Tahoma"/>
      <w:sz w:val="16"/>
      <w:szCs w:val="16"/>
      <w:lang w:val="fr-CH" w:eastAsia="en-US"/>
    </w:rPr>
  </w:style>
  <w:style w:type="character" w:customStyle="1" w:styleId="En-tteCar">
    <w:name w:val="En-tête Car"/>
    <w:aliases w:val="6_G Car"/>
    <w:basedOn w:val="Policepardfaut"/>
    <w:link w:val="En-tte"/>
    <w:rsid w:val="00B5722C"/>
    <w:rPr>
      <w:rFonts w:eastAsiaTheme="minorHAnsi"/>
      <w:b/>
      <w:sz w:val="18"/>
      <w:lang w:val="fr-CH" w:eastAsia="en-US"/>
    </w:rPr>
  </w:style>
  <w:style w:type="character" w:customStyle="1" w:styleId="NotedebasdepageCar">
    <w:name w:val="Note de bas de page Car"/>
    <w:aliases w:val="5_G Car"/>
    <w:basedOn w:val="Policepardfaut"/>
    <w:link w:val="Notedebasdepage"/>
    <w:rsid w:val="00B5722C"/>
    <w:rPr>
      <w:rFonts w:eastAsiaTheme="minorHAnsi"/>
      <w:sz w:val="18"/>
      <w:lang w:val="fr-CH" w:eastAsia="en-US"/>
    </w:rPr>
  </w:style>
  <w:style w:type="character" w:customStyle="1" w:styleId="NotedefinCar">
    <w:name w:val="Note de fin Car"/>
    <w:aliases w:val="2_G Car"/>
    <w:basedOn w:val="Policepardfaut"/>
    <w:link w:val="Notedefin"/>
    <w:rsid w:val="00B5722C"/>
    <w:rPr>
      <w:rFonts w:eastAsiaTheme="minorHAnsi"/>
      <w:sz w:val="18"/>
      <w:lang w:val="fr-CH" w:eastAsia="en-US"/>
    </w:rPr>
  </w:style>
  <w:style w:type="character" w:customStyle="1" w:styleId="PieddepageCar">
    <w:name w:val="Pied de page Car"/>
    <w:aliases w:val="3_G Car"/>
    <w:basedOn w:val="Policepardfaut"/>
    <w:link w:val="Pieddepage"/>
    <w:rsid w:val="00B5722C"/>
    <w:rPr>
      <w:rFonts w:eastAsiaTheme="minorHAnsi"/>
      <w:sz w:val="16"/>
      <w:lang w:val="fr-CH" w:eastAsia="en-US"/>
    </w:rPr>
  </w:style>
  <w:style w:type="character" w:customStyle="1" w:styleId="Titre1Car">
    <w:name w:val="Titre 1 Car"/>
    <w:aliases w:val="Table_G Car"/>
    <w:basedOn w:val="Policepardfaut"/>
    <w:link w:val="Titre1"/>
    <w:rsid w:val="00B5722C"/>
    <w:rPr>
      <w:rFonts w:eastAsiaTheme="minorHAnsi"/>
      <w:lang w:val="fr-CH" w:eastAsia="en-US"/>
    </w:rPr>
  </w:style>
  <w:style w:type="character" w:customStyle="1" w:styleId="Titre2Car">
    <w:name w:val="Titre 2 Car"/>
    <w:basedOn w:val="Policepardfaut"/>
    <w:link w:val="Titre2"/>
    <w:rsid w:val="00B5722C"/>
    <w:rPr>
      <w:rFonts w:eastAsiaTheme="minorHAnsi"/>
      <w:lang w:val="fr-CH" w:eastAsia="en-US"/>
    </w:rPr>
  </w:style>
  <w:style w:type="character" w:customStyle="1" w:styleId="Titre3Car">
    <w:name w:val="Titre 3 Car"/>
    <w:basedOn w:val="Policepardfaut"/>
    <w:link w:val="Titre3"/>
    <w:rsid w:val="00B5722C"/>
    <w:rPr>
      <w:rFonts w:eastAsiaTheme="minorHAnsi"/>
      <w:lang w:val="fr-CH" w:eastAsia="en-US"/>
    </w:rPr>
  </w:style>
  <w:style w:type="character" w:customStyle="1" w:styleId="Titre4Car">
    <w:name w:val="Titre 4 Car"/>
    <w:basedOn w:val="Policepardfaut"/>
    <w:link w:val="Titre4"/>
    <w:rsid w:val="00B5722C"/>
    <w:rPr>
      <w:rFonts w:eastAsiaTheme="minorHAnsi"/>
      <w:lang w:val="fr-CH" w:eastAsia="en-US"/>
    </w:rPr>
  </w:style>
  <w:style w:type="character" w:customStyle="1" w:styleId="Titre5Car">
    <w:name w:val="Titre 5 Car"/>
    <w:basedOn w:val="Policepardfaut"/>
    <w:link w:val="Titre5"/>
    <w:rsid w:val="00B5722C"/>
    <w:rPr>
      <w:rFonts w:eastAsiaTheme="minorHAnsi"/>
      <w:lang w:val="fr-CH" w:eastAsia="en-US"/>
    </w:rPr>
  </w:style>
  <w:style w:type="character" w:customStyle="1" w:styleId="Titre6Car">
    <w:name w:val="Titre 6 Car"/>
    <w:basedOn w:val="Policepardfaut"/>
    <w:link w:val="Titre6"/>
    <w:rsid w:val="00B5722C"/>
    <w:rPr>
      <w:rFonts w:eastAsiaTheme="minorHAnsi"/>
      <w:lang w:val="fr-CH" w:eastAsia="en-US"/>
    </w:rPr>
  </w:style>
  <w:style w:type="character" w:customStyle="1" w:styleId="Titre7Car">
    <w:name w:val="Titre 7 Car"/>
    <w:basedOn w:val="Policepardfaut"/>
    <w:link w:val="Titre7"/>
    <w:rsid w:val="00B5722C"/>
    <w:rPr>
      <w:rFonts w:eastAsiaTheme="minorHAnsi"/>
      <w:lang w:val="fr-CH" w:eastAsia="en-US"/>
    </w:rPr>
  </w:style>
  <w:style w:type="character" w:customStyle="1" w:styleId="Titre8Car">
    <w:name w:val="Titre 8 Car"/>
    <w:basedOn w:val="Policepardfaut"/>
    <w:link w:val="Titre8"/>
    <w:rsid w:val="00B5722C"/>
    <w:rPr>
      <w:rFonts w:eastAsiaTheme="minorHAnsi"/>
      <w:lang w:val="fr-CH" w:eastAsia="en-US"/>
    </w:rPr>
  </w:style>
  <w:style w:type="character" w:customStyle="1" w:styleId="Titre9Car">
    <w:name w:val="Titre 9 Car"/>
    <w:basedOn w:val="Policepardfaut"/>
    <w:link w:val="Titre9"/>
    <w:rsid w:val="00B5722C"/>
    <w:rPr>
      <w:rFonts w:eastAsiaTheme="minorHAnsi"/>
      <w:lang w:val="fr-CH" w:eastAsia="en-US"/>
    </w:rPr>
  </w:style>
  <w:style w:type="character" w:styleId="Marquedecommentaire">
    <w:name w:val="annotation reference"/>
    <w:rsid w:val="00736EF1"/>
    <w:rPr>
      <w:sz w:val="16"/>
      <w:szCs w:val="16"/>
    </w:rPr>
  </w:style>
  <w:style w:type="paragraph" w:customStyle="1" w:styleId="ColorfulShading-Accent11">
    <w:name w:val="Colorful Shading - Accent 11"/>
    <w:hidden/>
    <w:uiPriority w:val="71"/>
    <w:rsid w:val="00736EF1"/>
    <w:rPr>
      <w:lang w:eastAsia="en-US"/>
    </w:rPr>
  </w:style>
  <w:style w:type="paragraph" w:styleId="Rvision">
    <w:name w:val="Revision"/>
    <w:hidden/>
    <w:uiPriority w:val="99"/>
    <w:semiHidden/>
    <w:rsid w:val="00736EF1"/>
    <w:rPr>
      <w:rFonts w:eastAsiaTheme="minorEastAsia"/>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ndocs.org/fr/CERD/C/95/1" TargetMode="External"/><Relationship Id="rId21" Type="http://schemas.openxmlformats.org/officeDocument/2006/relationships/header" Target="header5.xml"/><Relationship Id="rId34" Type="http://schemas.openxmlformats.org/officeDocument/2006/relationships/hyperlink" Target="https://undocs.org/fr/CERD/C/TJK/CO/9-11" TargetMode="External"/><Relationship Id="rId42" Type="http://schemas.openxmlformats.org/officeDocument/2006/relationships/hyperlink" Target="https://undocs.org/fr/CERD/C/KGZ/CO/8-10" TargetMode="External"/><Relationship Id="rId47" Type="http://schemas.openxmlformats.org/officeDocument/2006/relationships/hyperlink" Target="https://www.ohchr.org/FR/Pages/Home.aspx" TargetMode="External"/><Relationship Id="rId50" Type="http://schemas.openxmlformats.org/officeDocument/2006/relationships/hyperlink" Target="http://undocs.org/fr/CERD/C/ARG/CO/21-23/Add.1" TargetMode="External"/><Relationship Id="rId55" Type="http://schemas.openxmlformats.org/officeDocument/2006/relationships/hyperlink" Target="https://undocs.org/fr/CERD/C/ITA/CO/19-20/Add.1" TargetMode="External"/><Relationship Id="rId63" Type="http://schemas.openxmlformats.org/officeDocument/2006/relationships/hyperlink" Target="https://treaties.un.org/pages/Treaties.aspx?id=4&amp;subid=A&amp;lang=fr" TargetMode="External"/><Relationship Id="rId68" Type="http://schemas.openxmlformats.org/officeDocument/2006/relationships/hyperlink" Target="https://undocs.org/fr/A/61/18" TargetMode="External"/><Relationship Id="rId76" Type="http://schemas.openxmlformats.org/officeDocument/2006/relationships/hyperlink" Target="https://undocs.org/fr/A/62/18" TargetMode="External"/><Relationship Id="rId84" Type="http://schemas.openxmlformats.org/officeDocument/2006/relationships/footer" Target="footer8.xml"/><Relationship Id="rId89" Type="http://schemas.openxmlformats.org/officeDocument/2006/relationships/footer" Target="footer10.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ndocs.org/fr/A/66/18" TargetMode="External"/><Relationship Id="rId92" Type="http://schemas.openxmlformats.org/officeDocument/2006/relationships/hyperlink" Target="http://undocs.org/fr/A/71/18"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undocs.org/fr/CERD/C/ARE/CO/18-21" TargetMode="External"/><Relationship Id="rId11" Type="http://schemas.openxmlformats.org/officeDocument/2006/relationships/hyperlink" Target="https://undocs.org/fr/A/73/18" TargetMode="External"/><Relationship Id="rId24" Type="http://schemas.openxmlformats.org/officeDocument/2006/relationships/hyperlink" Target="https://undocs.org/fr/CERD/C/90/1" TargetMode="External"/><Relationship Id="rId32" Type="http://schemas.openxmlformats.org/officeDocument/2006/relationships/hyperlink" Target="https://undocs.org/fr/CERD/C/KWT/%20CO/21-24" TargetMode="External"/><Relationship Id="rId37" Type="http://schemas.openxmlformats.org/officeDocument/2006/relationships/hyperlink" Target="https://undocs.org/fr/CERD/C/BLR/CO/20-23" TargetMode="External"/><Relationship Id="rId40" Type="http://schemas.openxmlformats.org/officeDocument/2006/relationships/hyperlink" Target="https://undocs.org/fr/CERD/C/SVK/CO/11-12" TargetMode="External"/><Relationship Id="rId45" Type="http://schemas.openxmlformats.org/officeDocument/2006/relationships/hyperlink" Target="http://undocs.org/fr/CERD/C/CAN/CO/21-23" TargetMode="External"/><Relationship Id="rId53" Type="http://schemas.openxmlformats.org/officeDocument/2006/relationships/hyperlink" Target="https://undocs.org/fr/CERD/C/GEO/CO/6-8/Add.1" TargetMode="External"/><Relationship Id="rId58" Type="http://schemas.openxmlformats.org/officeDocument/2006/relationships/hyperlink" Target="http://undocs.org/en/CERD/C/GBR/CO/21-23/Add.1" TargetMode="External"/><Relationship Id="rId66" Type="http://schemas.openxmlformats.org/officeDocument/2006/relationships/hyperlink" Target="https://undocs.org/fr/A/70/18" TargetMode="External"/><Relationship Id="rId74" Type="http://schemas.openxmlformats.org/officeDocument/2006/relationships/hyperlink" Target="https://undocs.org/fr/A/62/18" TargetMode="External"/><Relationship Id="rId79" Type="http://schemas.openxmlformats.org/officeDocument/2006/relationships/hyperlink" Target="https://undocs.org/fr/A/61/18" TargetMode="External"/><Relationship Id="rId87"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https://undocs.org/fr/CERD/C/UKR/CO/22-23/Add.1" TargetMode="External"/><Relationship Id="rId82" Type="http://schemas.openxmlformats.org/officeDocument/2006/relationships/header" Target="header7.xml"/><Relationship Id="rId90" Type="http://schemas.openxmlformats.org/officeDocument/2006/relationships/footer" Target="footer11.xml"/><Relationship Id="rId95" Type="http://schemas.openxmlformats.org/officeDocument/2006/relationships/footer" Target="footer13.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undocs.org/fr/CERD/C/CAN/CO/21-23" TargetMode="External"/><Relationship Id="rId30" Type="http://schemas.openxmlformats.org/officeDocument/2006/relationships/hyperlink" Target="https://undocs.org/fr/CERD/C/ECU/CO/23-24" TargetMode="External"/><Relationship Id="rId35" Type="http://schemas.openxmlformats.org/officeDocument/2006/relationships/hyperlink" Target="https://undocs.org/fr/CERD/C/DZA/CO/20-21" TargetMode="External"/><Relationship Id="rId43" Type="http://schemas.openxmlformats.org/officeDocument/2006/relationships/hyperlink" Target="https://undocs.org/fr/CERD/C/MRT/CO/8-14" TargetMode="External"/><Relationship Id="rId48" Type="http://schemas.openxmlformats.org/officeDocument/2006/relationships/hyperlink" Target="https://documents.un.org/prod/ods.nsf/home.xsp" TargetMode="External"/><Relationship Id="rId56" Type="http://schemas.openxmlformats.org/officeDocument/2006/relationships/hyperlink" Target="https://undocs.org/fr/CERD/C/OMN/CO/2-5/Add.1" TargetMode="External"/><Relationship Id="rId64" Type="http://schemas.openxmlformats.org/officeDocument/2006/relationships/header" Target="header6.xml"/><Relationship Id="rId69" Type="http://schemas.openxmlformats.org/officeDocument/2006/relationships/hyperlink" Target="https://undocs.org/fr/A/62/18" TargetMode="External"/><Relationship Id="rId77" Type="http://schemas.openxmlformats.org/officeDocument/2006/relationships/hyperlink" Target="https://undocs.org/fr/A/61/18" TargetMode="External"/><Relationship Id="rId8" Type="http://schemas.openxmlformats.org/officeDocument/2006/relationships/hyperlink" Target="https://undocs.org/fr/A/73/18" TargetMode="External"/><Relationship Id="rId51" Type="http://schemas.openxmlformats.org/officeDocument/2006/relationships/hyperlink" Target="http://undocs.org/en/CERD/C/AZE/CO/7-9/Add.1" TargetMode="External"/><Relationship Id="rId72" Type="http://schemas.openxmlformats.org/officeDocument/2006/relationships/hyperlink" Target="https://undocs.org/fr/A/69/18" TargetMode="External"/><Relationship Id="rId80" Type="http://schemas.openxmlformats.org/officeDocument/2006/relationships/hyperlink" Target="https://undocs.org/fr/A/62/18" TargetMode="External"/><Relationship Id="rId85" Type="http://schemas.openxmlformats.org/officeDocument/2006/relationships/footer" Target="footer9.xml"/><Relationship Id="rId93" Type="http://schemas.openxmlformats.org/officeDocument/2006/relationships/header" Target="header1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s://undocs.org/fr/CERD/C/91/1%20" TargetMode="External"/><Relationship Id="rId33" Type="http://schemas.openxmlformats.org/officeDocument/2006/relationships/hyperlink" Target="https://undocs.org/fr/CERD/C/NZL/CO/21-22" TargetMode="External"/><Relationship Id="rId38" Type="http://schemas.openxmlformats.org/officeDocument/2006/relationships/hyperlink" Target="https://undocs.org/fr/CERD/C/JOR/%20CO/18-20" TargetMode="External"/><Relationship Id="rId46" Type="http://schemas.openxmlformats.org/officeDocument/2006/relationships/hyperlink" Target="https://undocs.org/fr/CERD/C/SWE/CO/22-23" TargetMode="External"/><Relationship Id="rId59" Type="http://schemas.openxmlformats.org/officeDocument/2006/relationships/hyperlink" Target="https://undocs.org/fr/CERD/C/CZE/CO/10-11/Add.1" TargetMode="External"/><Relationship Id="rId67" Type="http://schemas.openxmlformats.org/officeDocument/2006/relationships/hyperlink" Target="https://undocs.org/fr/A/61/18" TargetMode="External"/><Relationship Id="rId20" Type="http://schemas.openxmlformats.org/officeDocument/2006/relationships/footer" Target="footer5.xml"/><Relationship Id="rId41" Type="http://schemas.openxmlformats.org/officeDocument/2006/relationships/hyperlink" Target="https://undocs.org/fr/CERD/C/SAU/CO/4-9" TargetMode="External"/><Relationship Id="rId54" Type="http://schemas.openxmlformats.org/officeDocument/2006/relationships/hyperlink" Target="https://undocs.org/fr/CERD/C/GRC/CO/20-22/Add.1" TargetMode="External"/><Relationship Id="rId62" Type="http://schemas.openxmlformats.org/officeDocument/2006/relationships/hyperlink" Target="http://undocs.org/fr/CERD/C/RUS/23-24" TargetMode="External"/><Relationship Id="rId70" Type="http://schemas.openxmlformats.org/officeDocument/2006/relationships/hyperlink" Target="https://undocs.org/fr/A/63/18" TargetMode="External"/><Relationship Id="rId75" Type="http://schemas.openxmlformats.org/officeDocument/2006/relationships/hyperlink" Target="https://undocs.org/fr/A/71/18" TargetMode="External"/><Relationship Id="rId83" Type="http://schemas.openxmlformats.org/officeDocument/2006/relationships/header" Target="header8.xml"/><Relationship Id="rId88" Type="http://schemas.openxmlformats.org/officeDocument/2006/relationships/header" Target="header10.xml"/><Relationship Id="rId91" Type="http://schemas.openxmlformats.org/officeDocument/2006/relationships/hyperlink" Target="http://undocs.org/fr/A/72/18" TargetMode="External"/><Relationship Id="rId96"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treaties.un.org/pages/Treaties.aspx?id=4&amp;subid=A&amp;lang=fr" TargetMode="External"/><Relationship Id="rId28" Type="http://schemas.openxmlformats.org/officeDocument/2006/relationships/hyperlink" Target="https://undocs.org/fr/CERD/C/DJI/CO/1-2" TargetMode="External"/><Relationship Id="rId36" Type="http://schemas.openxmlformats.org/officeDocument/2006/relationships/hyperlink" Target="https://undocs.org/fr/CERD/C/AUS/CO/18-20" TargetMode="External"/><Relationship Id="rId49" Type="http://schemas.openxmlformats.org/officeDocument/2006/relationships/hyperlink" Target="https://undocs.org/fr/CERD/C/ZAF/CO/4-8/Add.1" TargetMode="External"/><Relationship Id="rId57" Type="http://schemas.openxmlformats.org/officeDocument/2006/relationships/hyperlink" Target="https://undocs.org/fr/CERD/C/PRT/CO/15-17/Add.1" TargetMode="External"/><Relationship Id="rId10" Type="http://schemas.openxmlformats.org/officeDocument/2006/relationships/footer" Target="footer1.xml"/><Relationship Id="rId31" Type="http://schemas.openxmlformats.org/officeDocument/2006/relationships/hyperlink" Target="https://undocs.org/fr/CERD/C/RUS/CO/23-24" TargetMode="External"/><Relationship Id="rId44" Type="http://schemas.openxmlformats.org/officeDocument/2006/relationships/hyperlink" Target="https://undocs.org/fr/CERD/C/NPL/CO/17-23" TargetMode="External"/><Relationship Id="rId52" Type="http://schemas.openxmlformats.org/officeDocument/2006/relationships/hyperlink" Target="https://undocs.org/fr/CERD/C/ESP/CO/21-23/Add.1" TargetMode="External"/><Relationship Id="rId60" Type="http://schemas.openxmlformats.org/officeDocument/2006/relationships/hyperlink" Target="https://undocs.org/fr/CERD/C/TKM/CO/8-11/Add.1" TargetMode="External"/><Relationship Id="rId65" Type="http://schemas.openxmlformats.org/officeDocument/2006/relationships/footer" Target="footer7.xml"/><Relationship Id="rId73" Type="http://schemas.openxmlformats.org/officeDocument/2006/relationships/hyperlink" Target="https://undocs.org/fr/A/72/18" TargetMode="External"/><Relationship Id="rId78" Type="http://schemas.openxmlformats.org/officeDocument/2006/relationships/hyperlink" Target="https://undocs.org/fr/A/62/18" TargetMode="External"/><Relationship Id="rId81" Type="http://schemas.openxmlformats.org/officeDocument/2006/relationships/hyperlink" Target="https://undocs.org/fr/A/71/18" TargetMode="External"/><Relationship Id="rId86" Type="http://schemas.openxmlformats.org/officeDocument/2006/relationships/hyperlink" Target="http://undocs.org/fr/CERD/C/95/3" TargetMode="External"/><Relationship Id="rId9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s://undocs.org/fr/CERD/C/SRB/CO/2-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fr/A/60/18(SUPP)" TargetMode="External"/><Relationship Id="rId13" Type="http://schemas.openxmlformats.org/officeDocument/2006/relationships/hyperlink" Target="http://undocs.org/fr/A/72/18" TargetMode="External"/><Relationship Id="rId3" Type="http://schemas.openxmlformats.org/officeDocument/2006/relationships/hyperlink" Target="https://undocs.org/fr/CERD/C/USA/CO/7-9" TargetMode="External"/><Relationship Id="rId7" Type="http://schemas.openxmlformats.org/officeDocument/2006/relationships/hyperlink" Target="http://undocs.org/fr/CERD/C/95/D/59/2016" TargetMode="External"/><Relationship Id="rId12" Type="http://schemas.openxmlformats.org/officeDocument/2006/relationships/hyperlink" Target="http://undocs.org/fr/A/72/23" TargetMode="External"/><Relationship Id="rId2" Type="http://schemas.openxmlformats.org/officeDocument/2006/relationships/hyperlink" Target="https://undocs.org/fr/A/62/18" TargetMode="External"/><Relationship Id="rId1" Type="http://schemas.openxmlformats.org/officeDocument/2006/relationships/hyperlink" Target="https://undocs.org/fr/A/8718" TargetMode="External"/><Relationship Id="rId6" Type="http://schemas.openxmlformats.org/officeDocument/2006/relationships/hyperlink" Target="http://undocs.org/fr/A/61/18" TargetMode="External"/><Relationship Id="rId11" Type="http://schemas.openxmlformats.org/officeDocument/2006/relationships/hyperlink" Target="http://undocs.org/fr/CERD/C/95/3" TargetMode="External"/><Relationship Id="rId5" Type="http://schemas.openxmlformats.org/officeDocument/2006/relationships/hyperlink" Target="http://undocs.org/fr/A/60/18(SUPP)" TargetMode="External"/><Relationship Id="rId10" Type="http://schemas.openxmlformats.org/officeDocument/2006/relationships/hyperlink" Target="http://undocs.org/fr/A/AC.109/2017/L.1" TargetMode="External"/><Relationship Id="rId4" Type="http://schemas.openxmlformats.org/officeDocument/2006/relationships/hyperlink" Target="https://undocs.org/fr/CERD/C/ISR/CO/14-16" TargetMode="External"/><Relationship Id="rId9" Type="http://schemas.openxmlformats.org/officeDocument/2006/relationships/hyperlink" Target="http://undocs.org/fr/A/72/23" TargetMode="External"/><Relationship Id="rId14" Type="http://schemas.openxmlformats.org/officeDocument/2006/relationships/hyperlink" Target="http://www.koreaherald.com/view.php?ud=201610060009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Rapport_AG.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F84A-5552-4567-9C03-863BE5DB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Rapport_AG.dotm</Template>
  <TotalTime>0</TotalTime>
  <Pages>37</Pages>
  <Words>13017</Words>
  <Characters>71597</Characters>
  <Application>Microsoft Office Word</Application>
  <DocSecurity>0</DocSecurity>
  <Lines>596</Lines>
  <Paragraphs>168</Paragraphs>
  <ScaleCrop>false</ScaleCrop>
  <HeadingPairs>
    <vt:vector size="2" baseType="variant">
      <vt:variant>
        <vt:lpstr>Titre</vt:lpstr>
      </vt:variant>
      <vt:variant>
        <vt:i4>1</vt:i4>
      </vt:variant>
    </vt:vector>
  </HeadingPairs>
  <TitlesOfParts>
    <vt:vector size="1" baseType="lpstr">
      <vt:lpstr>A/73/18</vt:lpstr>
    </vt:vector>
  </TitlesOfParts>
  <Manager>Corinne</Manager>
  <Company>CSD</Company>
  <LinksUpToDate>false</LinksUpToDate>
  <CharactersWithSpaces>84446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A/73/18</dc:title>
  <dc:subject/>
  <dc:creator>Nath VITTOZ</dc:creator>
  <cp:keywords/>
  <dc:description/>
  <cp:lastModifiedBy>Nathalie Vittoz</cp:lastModifiedBy>
  <cp:revision>2</cp:revision>
  <cp:lastPrinted>2018-10-01T13:03:00Z</cp:lastPrinted>
  <dcterms:created xsi:type="dcterms:W3CDTF">2018-10-03T13:52:00Z</dcterms:created>
  <dcterms:modified xsi:type="dcterms:W3CDTF">2018-10-03T13:52:00Z</dcterms:modified>
</cp:coreProperties>
</file>