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19A9" w14:textId="77777777" w:rsidR="00CA0D4A" w:rsidRPr="00A24CC1" w:rsidRDefault="0039031F" w:rsidP="00653B00">
      <w:pPr>
        <w:suppressAutoHyphens w:val="0"/>
        <w:spacing w:after="1200"/>
        <w:jc w:val="right"/>
        <w:rPr>
          <w:b/>
          <w:lang w:val="es-ES"/>
        </w:rPr>
      </w:pPr>
      <w:hyperlink r:id="rId7" w:history="1">
        <w:r w:rsidR="00B90E98" w:rsidRPr="00A24CC1">
          <w:rPr>
            <w:rStyle w:val="Hyperlink"/>
            <w:b/>
            <w:sz w:val="18"/>
            <w:u w:val="none"/>
            <w:lang w:val="es-ES"/>
          </w:rPr>
          <w:t>A/75/56</w:t>
        </w:r>
      </w:hyperlink>
    </w:p>
    <w:p w14:paraId="25895D0F" w14:textId="77777777" w:rsidR="005B286F" w:rsidRPr="007B49FB" w:rsidRDefault="005B286F" w:rsidP="005B286F">
      <w:pPr>
        <w:ind w:left="1134"/>
      </w:pPr>
      <w:r w:rsidRPr="007B49FB">
        <w:rPr>
          <w:noProof/>
          <w:lang w:val="es-ES" w:eastAsia="es-ES"/>
        </w:rPr>
        <w:drawing>
          <wp:inline distT="0" distB="0" distL="0" distR="0" wp14:anchorId="2A0CBF8A" wp14:editId="461CCBE0">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14:paraId="21C3DB3F" w14:textId="77777777" w:rsidR="005B286F" w:rsidRPr="007B49FB" w:rsidRDefault="005B286F" w:rsidP="005B286F">
      <w:pPr>
        <w:pStyle w:val="SingleTxtG"/>
        <w:spacing w:after="960"/>
        <w:ind w:left="1138" w:right="1138"/>
        <w:rPr>
          <w:lang w:val="es-ES"/>
        </w:rPr>
      </w:pPr>
      <w:r w:rsidRPr="007B49FB">
        <w:rPr>
          <w:b/>
          <w:sz w:val="36"/>
          <w:szCs w:val="36"/>
          <w:lang w:val="es-ES"/>
        </w:rPr>
        <w:t>Naciones Unidas</w:t>
      </w:r>
    </w:p>
    <w:p w14:paraId="71BECEB5" w14:textId="77777777" w:rsidR="005B286F" w:rsidRPr="007B49FB" w:rsidRDefault="00B90E98" w:rsidP="00B90E98">
      <w:pPr>
        <w:pStyle w:val="SLG"/>
        <w:spacing w:before="0" w:after="840"/>
        <w:ind w:left="1138" w:right="1138"/>
        <w:rPr>
          <w:lang w:val="es-ES"/>
        </w:rPr>
      </w:pPr>
      <w:r w:rsidRPr="00B90E98">
        <w:rPr>
          <w:bCs/>
          <w:lang w:val="es-ES"/>
        </w:rPr>
        <w:t>Informe del Comité contra la Desaparición Forzada</w:t>
      </w:r>
    </w:p>
    <w:p w14:paraId="400CF941" w14:textId="77777777" w:rsidR="005B286F" w:rsidRPr="007B49FB" w:rsidRDefault="00B90E98" w:rsidP="00B90E98">
      <w:pPr>
        <w:spacing w:after="240"/>
        <w:ind w:left="1138"/>
        <w:rPr>
          <w:b/>
          <w:bCs/>
          <w:sz w:val="36"/>
          <w:szCs w:val="36"/>
          <w:lang w:val="es-ES"/>
        </w:rPr>
      </w:pPr>
      <w:r w:rsidRPr="00B90E98">
        <w:rPr>
          <w:b/>
          <w:bCs/>
          <w:sz w:val="36"/>
          <w:szCs w:val="36"/>
          <w:lang w:val="es-ES"/>
        </w:rPr>
        <w:t>17º período de sesiones</w:t>
      </w:r>
      <w:r w:rsidR="005B286F" w:rsidRPr="007B49FB">
        <w:rPr>
          <w:b/>
          <w:bCs/>
          <w:sz w:val="36"/>
          <w:szCs w:val="36"/>
          <w:lang w:val="es-ES"/>
        </w:rPr>
        <w:br/>
        <w:t>(</w:t>
      </w:r>
      <w:r w:rsidRPr="00B90E98">
        <w:rPr>
          <w:b/>
          <w:bCs/>
          <w:sz w:val="36"/>
          <w:szCs w:val="36"/>
          <w:lang w:val="es-ES"/>
        </w:rPr>
        <w:t>30 de septiembre a 11 de octubre de 2019</w:t>
      </w:r>
      <w:r w:rsidR="005B286F">
        <w:rPr>
          <w:b/>
          <w:bCs/>
          <w:sz w:val="36"/>
          <w:szCs w:val="36"/>
          <w:lang w:val="es-ES"/>
        </w:rPr>
        <w:t>)</w:t>
      </w:r>
    </w:p>
    <w:p w14:paraId="4CC3040F" w14:textId="77777777" w:rsidR="005B286F" w:rsidRPr="007B49FB" w:rsidRDefault="00B90E98" w:rsidP="00B90E98">
      <w:pPr>
        <w:spacing w:after="1080"/>
        <w:ind w:left="1138"/>
        <w:rPr>
          <w:b/>
          <w:bCs/>
          <w:sz w:val="36"/>
          <w:szCs w:val="36"/>
          <w:lang w:val="es-ES"/>
        </w:rPr>
      </w:pPr>
      <w:r w:rsidRPr="00B90E98">
        <w:rPr>
          <w:b/>
          <w:bCs/>
          <w:sz w:val="36"/>
          <w:szCs w:val="36"/>
          <w:lang w:val="es-ES"/>
        </w:rPr>
        <w:t xml:space="preserve">18º </w:t>
      </w:r>
      <w:r w:rsidR="005B286F" w:rsidRPr="007B49FB">
        <w:rPr>
          <w:b/>
          <w:bCs/>
          <w:sz w:val="36"/>
          <w:szCs w:val="36"/>
          <w:lang w:val="es-ES"/>
        </w:rPr>
        <w:t>período de sesiones</w:t>
      </w:r>
      <w:r w:rsidR="005B286F" w:rsidRPr="007B49FB">
        <w:rPr>
          <w:b/>
          <w:bCs/>
          <w:sz w:val="36"/>
          <w:szCs w:val="36"/>
          <w:lang w:val="es-ES"/>
        </w:rPr>
        <w:br/>
        <w:t>(</w:t>
      </w:r>
      <w:r w:rsidRPr="00B90E98">
        <w:rPr>
          <w:b/>
          <w:bCs/>
          <w:sz w:val="36"/>
          <w:szCs w:val="36"/>
          <w:lang w:val="es-ES"/>
        </w:rPr>
        <w:t>4 de mayo (en línea) y 7 de septiembre de 2020</w:t>
      </w:r>
      <w:r w:rsidR="005B286F" w:rsidRPr="007B49FB">
        <w:rPr>
          <w:b/>
          <w:bCs/>
          <w:sz w:val="36"/>
          <w:szCs w:val="36"/>
          <w:lang w:val="es-ES"/>
        </w:rPr>
        <w:t>)</w:t>
      </w:r>
    </w:p>
    <w:p w14:paraId="707F9E4B" w14:textId="77777777" w:rsidR="005B286F" w:rsidRPr="007B49FB" w:rsidRDefault="005B286F" w:rsidP="005B286F">
      <w:pPr>
        <w:pStyle w:val="SMG"/>
        <w:spacing w:before="0" w:after="0"/>
        <w:rPr>
          <w:lang w:val="es-ES"/>
        </w:rPr>
      </w:pPr>
      <w:r w:rsidRPr="007B49FB">
        <w:rPr>
          <w:lang w:val="es-ES"/>
        </w:rPr>
        <w:t>Asamblea General</w:t>
      </w:r>
    </w:p>
    <w:p w14:paraId="6AE8A432" w14:textId="77777777" w:rsidR="005B286F" w:rsidRPr="007B49FB" w:rsidRDefault="005B286F" w:rsidP="005B286F">
      <w:pPr>
        <w:ind w:left="1134"/>
        <w:rPr>
          <w:b/>
          <w:sz w:val="28"/>
          <w:szCs w:val="28"/>
          <w:lang w:val="es-ES"/>
        </w:rPr>
      </w:pPr>
      <w:r w:rsidRPr="007B49FB">
        <w:rPr>
          <w:b/>
          <w:sz w:val="28"/>
          <w:szCs w:val="28"/>
          <w:lang w:val="es-ES"/>
        </w:rPr>
        <w:t>Documentos Oficiales</w:t>
      </w:r>
    </w:p>
    <w:p w14:paraId="79F0033A" w14:textId="77777777" w:rsidR="005B286F" w:rsidRPr="007B49FB" w:rsidRDefault="00B90E98" w:rsidP="00B90E98">
      <w:pPr>
        <w:ind w:left="1134"/>
        <w:rPr>
          <w:b/>
          <w:sz w:val="28"/>
          <w:szCs w:val="28"/>
          <w:lang w:val="es-ES"/>
        </w:rPr>
      </w:pPr>
      <w:r w:rsidRPr="00B90E98">
        <w:rPr>
          <w:b/>
          <w:bCs/>
          <w:sz w:val="28"/>
          <w:szCs w:val="28"/>
          <w:lang w:val="es-ES"/>
        </w:rPr>
        <w:t>Septuagésimo quinto período de sesiones</w:t>
      </w:r>
    </w:p>
    <w:p w14:paraId="07B8CC06" w14:textId="77777777" w:rsidR="005B286F" w:rsidRPr="007B49FB" w:rsidRDefault="005B286F" w:rsidP="00B90E98">
      <w:pPr>
        <w:pStyle w:val="SingleTxtG"/>
        <w:rPr>
          <w:lang w:val="es-ES"/>
        </w:rPr>
      </w:pPr>
      <w:r w:rsidRPr="007B49FB">
        <w:rPr>
          <w:b/>
          <w:sz w:val="28"/>
          <w:szCs w:val="28"/>
          <w:lang w:val="es-ES"/>
        </w:rPr>
        <w:t xml:space="preserve">Suplemento núm. </w:t>
      </w:r>
      <w:r w:rsidR="00B90E98" w:rsidRPr="00B90E98">
        <w:rPr>
          <w:b/>
          <w:bCs/>
          <w:sz w:val="28"/>
          <w:szCs w:val="28"/>
          <w:lang w:val="es-ES"/>
        </w:rPr>
        <w:t>56</w:t>
      </w:r>
    </w:p>
    <w:p w14:paraId="5777B0B6" w14:textId="77777777" w:rsidR="00CA0D4A" w:rsidRDefault="00CA0D4A" w:rsidP="00CA0D4A">
      <w:pPr>
        <w:ind w:left="1134" w:right="1134"/>
        <w:rPr>
          <w:b/>
          <w:sz w:val="28"/>
          <w:szCs w:val="28"/>
          <w:lang w:val="es-ES"/>
        </w:rPr>
        <w:sectPr w:rsidR="00CA0D4A" w:rsidSect="00E276DF">
          <w:footerReference w:type="default" r:id="rId9"/>
          <w:footerReference w:type="first" r:id="rId10"/>
          <w:endnotePr>
            <w:numFmt w:val="decimal"/>
          </w:endnotePr>
          <w:pgSz w:w="11906" w:h="16838" w:code="9"/>
          <w:pgMar w:top="1417" w:right="1134" w:bottom="1134" w:left="1134" w:header="850" w:footer="567" w:gutter="0"/>
          <w:cols w:space="708"/>
          <w:titlePg/>
          <w:docGrid w:linePitch="360"/>
        </w:sectPr>
      </w:pPr>
    </w:p>
    <w:p w14:paraId="25C3083E" w14:textId="77777777" w:rsidR="007259C5" w:rsidRPr="00A24CC1" w:rsidRDefault="0039031F" w:rsidP="007259C5">
      <w:pPr>
        <w:spacing w:after="1200"/>
        <w:jc w:val="right"/>
        <w:outlineLvl w:val="0"/>
        <w:rPr>
          <w:b/>
          <w:lang w:val="es-ES"/>
        </w:rPr>
      </w:pPr>
      <w:hyperlink r:id="rId11" w:history="1">
        <w:r w:rsidR="00B90E98" w:rsidRPr="00A24CC1">
          <w:rPr>
            <w:rStyle w:val="Hyperlink"/>
            <w:b/>
            <w:sz w:val="18"/>
            <w:u w:val="none"/>
            <w:lang w:val="es-ES"/>
          </w:rPr>
          <w:t>A/75/56</w:t>
        </w:r>
      </w:hyperlink>
    </w:p>
    <w:p w14:paraId="461FE8FF" w14:textId="77777777" w:rsidR="005B286F" w:rsidRPr="007B49FB" w:rsidRDefault="005B286F" w:rsidP="005B286F">
      <w:pPr>
        <w:rPr>
          <w:b/>
          <w:sz w:val="24"/>
          <w:szCs w:val="24"/>
          <w:lang w:val="es-ES"/>
        </w:rPr>
      </w:pPr>
      <w:r w:rsidRPr="007B49FB">
        <w:rPr>
          <w:b/>
          <w:sz w:val="24"/>
          <w:szCs w:val="24"/>
          <w:lang w:val="es-ES"/>
        </w:rPr>
        <w:t>Asamblea General</w:t>
      </w:r>
    </w:p>
    <w:p w14:paraId="513A5A80" w14:textId="77777777" w:rsidR="005B286F" w:rsidRPr="007B49FB" w:rsidRDefault="005B286F" w:rsidP="005B286F">
      <w:pPr>
        <w:rPr>
          <w:sz w:val="24"/>
          <w:szCs w:val="24"/>
          <w:lang w:val="es-ES"/>
        </w:rPr>
      </w:pPr>
      <w:r w:rsidRPr="007B49FB">
        <w:rPr>
          <w:sz w:val="24"/>
          <w:szCs w:val="24"/>
          <w:lang w:val="es-ES"/>
        </w:rPr>
        <w:t>Documentos Oficiales</w:t>
      </w:r>
    </w:p>
    <w:p w14:paraId="46AEAE80" w14:textId="77777777" w:rsidR="005B286F" w:rsidRPr="007B49FB" w:rsidRDefault="005C472F" w:rsidP="005C472F">
      <w:pPr>
        <w:rPr>
          <w:sz w:val="24"/>
          <w:szCs w:val="24"/>
          <w:lang w:val="es-ES"/>
        </w:rPr>
      </w:pPr>
      <w:r w:rsidRPr="005C472F">
        <w:rPr>
          <w:sz w:val="24"/>
          <w:szCs w:val="24"/>
          <w:lang w:val="es-ES"/>
        </w:rPr>
        <w:t>Septuagésimo quinto período de sesiones</w:t>
      </w:r>
    </w:p>
    <w:p w14:paraId="366941B6" w14:textId="77777777" w:rsidR="005B286F" w:rsidRPr="007B49FB" w:rsidRDefault="005B286F" w:rsidP="005C472F">
      <w:pPr>
        <w:spacing w:after="1080"/>
        <w:rPr>
          <w:b/>
          <w:sz w:val="24"/>
          <w:szCs w:val="24"/>
          <w:lang w:val="es-ES"/>
        </w:rPr>
      </w:pPr>
      <w:r w:rsidRPr="007B49FB">
        <w:rPr>
          <w:sz w:val="24"/>
          <w:szCs w:val="24"/>
          <w:lang w:val="es-ES"/>
        </w:rPr>
        <w:t xml:space="preserve">Suplemento núm. </w:t>
      </w:r>
      <w:r w:rsidR="005C472F" w:rsidRPr="005C472F">
        <w:rPr>
          <w:sz w:val="24"/>
          <w:szCs w:val="24"/>
          <w:lang w:val="es-ES"/>
        </w:rPr>
        <w:t>56</w:t>
      </w:r>
    </w:p>
    <w:p w14:paraId="7F0ABB74" w14:textId="77777777" w:rsidR="005B286F" w:rsidRPr="007B49FB" w:rsidRDefault="005C472F" w:rsidP="005C472F">
      <w:pPr>
        <w:pStyle w:val="SLG"/>
        <w:spacing w:before="0" w:after="480" w:line="420" w:lineRule="exact"/>
        <w:ind w:left="1138" w:right="1138"/>
        <w:rPr>
          <w:sz w:val="40"/>
          <w:szCs w:val="40"/>
          <w:lang w:val="es-ES"/>
        </w:rPr>
      </w:pPr>
      <w:r w:rsidRPr="005C472F">
        <w:rPr>
          <w:bCs/>
          <w:sz w:val="40"/>
          <w:szCs w:val="40"/>
          <w:lang w:val="es-ES"/>
        </w:rPr>
        <w:t>Informe del Comité contra la Desaparición Forzada</w:t>
      </w:r>
    </w:p>
    <w:p w14:paraId="59C65743" w14:textId="77777777" w:rsidR="005B286F" w:rsidRPr="007B49FB" w:rsidRDefault="005C472F" w:rsidP="005C472F">
      <w:pPr>
        <w:spacing w:after="240"/>
        <w:ind w:left="1138"/>
        <w:rPr>
          <w:b/>
          <w:bCs/>
          <w:sz w:val="28"/>
          <w:szCs w:val="28"/>
          <w:lang w:val="es-ES"/>
        </w:rPr>
      </w:pPr>
      <w:r w:rsidRPr="005C472F">
        <w:rPr>
          <w:b/>
          <w:bCs/>
          <w:sz w:val="28"/>
          <w:szCs w:val="28"/>
          <w:lang w:val="es-ES"/>
        </w:rPr>
        <w:t>17º</w:t>
      </w:r>
      <w:r w:rsidR="005B286F" w:rsidRPr="007B49FB">
        <w:rPr>
          <w:b/>
          <w:bCs/>
          <w:sz w:val="28"/>
          <w:szCs w:val="28"/>
          <w:lang w:val="es-ES"/>
        </w:rPr>
        <w:t xml:space="preserve"> período de sesiones</w:t>
      </w:r>
      <w:r w:rsidR="005B286F" w:rsidRPr="007B49FB">
        <w:rPr>
          <w:b/>
          <w:bCs/>
          <w:sz w:val="28"/>
          <w:szCs w:val="28"/>
          <w:lang w:val="es-ES"/>
        </w:rPr>
        <w:br/>
        <w:t>(</w:t>
      </w:r>
      <w:r w:rsidRPr="005C472F">
        <w:rPr>
          <w:b/>
          <w:bCs/>
          <w:sz w:val="28"/>
          <w:szCs w:val="28"/>
          <w:lang w:val="es-ES"/>
        </w:rPr>
        <w:t>30 de septiembre a 11 de octubre de 2019</w:t>
      </w:r>
      <w:r w:rsidR="005B286F" w:rsidRPr="007B49FB">
        <w:rPr>
          <w:b/>
          <w:bCs/>
          <w:sz w:val="28"/>
          <w:szCs w:val="28"/>
          <w:lang w:val="es-ES"/>
        </w:rPr>
        <w:t>)</w:t>
      </w:r>
    </w:p>
    <w:p w14:paraId="290E8493" w14:textId="77777777" w:rsidR="005B286F" w:rsidRPr="007B49FB" w:rsidRDefault="005C472F" w:rsidP="005C472F">
      <w:pPr>
        <w:spacing w:after="4680"/>
        <w:ind w:left="1138"/>
        <w:rPr>
          <w:b/>
          <w:sz w:val="28"/>
          <w:szCs w:val="28"/>
          <w:lang w:val="es-ES"/>
        </w:rPr>
      </w:pPr>
      <w:r w:rsidRPr="005C472F">
        <w:rPr>
          <w:b/>
          <w:bCs/>
          <w:sz w:val="28"/>
          <w:szCs w:val="28"/>
          <w:lang w:val="es-ES"/>
        </w:rPr>
        <w:t>18</w:t>
      </w:r>
      <w:r w:rsidR="005B286F" w:rsidRPr="007B49FB">
        <w:rPr>
          <w:b/>
          <w:bCs/>
          <w:sz w:val="28"/>
          <w:szCs w:val="28"/>
          <w:lang w:val="es-ES"/>
        </w:rPr>
        <w:t xml:space="preserve"> período de sesiones</w:t>
      </w:r>
      <w:r w:rsidR="005B286F" w:rsidRPr="007B49FB">
        <w:rPr>
          <w:b/>
          <w:bCs/>
          <w:sz w:val="28"/>
          <w:szCs w:val="28"/>
          <w:lang w:val="es-ES"/>
        </w:rPr>
        <w:br/>
        <w:t>(</w:t>
      </w:r>
      <w:r w:rsidRPr="005C472F">
        <w:rPr>
          <w:b/>
          <w:bCs/>
          <w:sz w:val="28"/>
          <w:szCs w:val="28"/>
          <w:lang w:val="es-ES"/>
        </w:rPr>
        <w:t>4 de mayo (en línea) y 7 de septiembre de 2020</w:t>
      </w:r>
      <w:r w:rsidR="005B286F" w:rsidRPr="007B49FB">
        <w:rPr>
          <w:b/>
          <w:bCs/>
          <w:sz w:val="28"/>
          <w:szCs w:val="28"/>
          <w:lang w:val="es-ES"/>
        </w:rPr>
        <w:t>)</w:t>
      </w:r>
    </w:p>
    <w:p w14:paraId="2D00D013" w14:textId="77777777" w:rsidR="005F688E" w:rsidRPr="005F688E" w:rsidRDefault="005B286F" w:rsidP="005B286F">
      <w:pPr>
        <w:ind w:left="1134"/>
        <w:rPr>
          <w:b/>
          <w:sz w:val="24"/>
          <w:szCs w:val="24"/>
          <w:lang w:val="es-ES"/>
        </w:rPr>
      </w:pPr>
      <w:r w:rsidRPr="007B49FB">
        <w:rPr>
          <w:noProof/>
          <w:lang w:val="es-ES" w:eastAsia="es-ES"/>
        </w:rPr>
        <w:drawing>
          <wp:anchor distT="0" distB="0" distL="114300" distR="114300" simplePos="0" relativeHeight="251663360" behindDoc="0" locked="1" layoutInCell="1" allowOverlap="0" wp14:anchorId="59C639CC" wp14:editId="24A436C1">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2336" behindDoc="0" locked="1" layoutInCell="1" allowOverlap="0" wp14:anchorId="4AD55651" wp14:editId="755D30D9">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1312" behindDoc="0" locked="1" layoutInCell="1" allowOverlap="0" wp14:anchorId="1327E35B" wp14:editId="7C49CA89">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lang w:val="es-ES" w:eastAsia="es-ES"/>
        </w:rPr>
        <w:drawing>
          <wp:anchor distT="0" distB="0" distL="114300" distR="114300" simplePos="0" relativeHeight="251664384" behindDoc="0" locked="1" layoutInCell="1" allowOverlap="0" wp14:anchorId="35EBD79E" wp14:editId="33BB86F7">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lang w:val="es-ES"/>
        </w:rPr>
        <w:t xml:space="preserve">Naciones Unidas </w:t>
      </w:r>
      <w:r w:rsidRPr="007B49FB">
        <w:rPr>
          <w:b/>
          <w:sz w:val="28"/>
          <w:szCs w:val="28"/>
          <w:lang w:val="es-ES"/>
        </w:rPr>
        <w:t>●</w:t>
      </w:r>
      <w:r w:rsidRPr="007B49FB">
        <w:rPr>
          <w:b/>
          <w:sz w:val="28"/>
          <w:lang w:val="es-ES"/>
        </w:rPr>
        <w:t xml:space="preserve"> Nueva York, 20</w:t>
      </w:r>
      <w:r w:rsidR="005C472F">
        <w:rPr>
          <w:b/>
          <w:sz w:val="28"/>
          <w:lang w:val="es-ES"/>
        </w:rPr>
        <w:t>20</w:t>
      </w:r>
    </w:p>
    <w:p w14:paraId="133B261F" w14:textId="77777777" w:rsidR="0096750D" w:rsidRDefault="0096750D" w:rsidP="00CA0D4A">
      <w:pPr>
        <w:ind w:left="1134" w:right="1134"/>
        <w:rPr>
          <w:b/>
          <w:sz w:val="28"/>
          <w:lang w:val="es-ES"/>
        </w:rPr>
      </w:pPr>
    </w:p>
    <w:p w14:paraId="5F323619" w14:textId="77777777" w:rsidR="008431E7" w:rsidRPr="008431E7" w:rsidRDefault="0096750D" w:rsidP="008431E7">
      <w:pPr>
        <w:pStyle w:val="SingleTxtG"/>
        <w:spacing w:before="4800"/>
        <w:rPr>
          <w:i/>
          <w:lang w:val="es-ES"/>
        </w:rPr>
      </w:pPr>
      <w:r>
        <w:rPr>
          <w:b/>
          <w:sz w:val="28"/>
          <w:lang w:val="es-ES"/>
        </w:rPr>
        <w:br w:type="page"/>
      </w:r>
      <w:r w:rsidR="008431E7" w:rsidRPr="008431E7">
        <w:rPr>
          <w:i/>
          <w:lang w:val="es-ES"/>
        </w:rPr>
        <w:lastRenderedPageBreak/>
        <w:t>Nota</w:t>
      </w:r>
    </w:p>
    <w:p w14:paraId="245237D2" w14:textId="77777777" w:rsidR="005F688E" w:rsidRDefault="005B286F" w:rsidP="005C472F">
      <w:pPr>
        <w:pStyle w:val="SingleTxtG"/>
        <w:rPr>
          <w:lang w:val="es-ES"/>
        </w:rPr>
      </w:pPr>
      <w:r w:rsidRPr="007B49FB">
        <w:rPr>
          <w:lang w:val="es-ES"/>
        </w:rPr>
        <w:tab/>
      </w:r>
      <w:r w:rsidR="005C472F" w:rsidRPr="005C472F">
        <w:rPr>
          <w:lang w:val="es-ES"/>
        </w:rPr>
        <w:t>Las signaturas de los documentos de las Naciones Unidas se componen de letras y cifras. La mención de una de tales signaturas indica que se hace referencia a un documento de las Naciones Unidas.</w:t>
      </w:r>
    </w:p>
    <w:p w14:paraId="01344BDC" w14:textId="77777777" w:rsidR="008431E7" w:rsidRPr="008431E7" w:rsidRDefault="008431E7" w:rsidP="008431E7">
      <w:pPr>
        <w:pStyle w:val="SingleTxtG"/>
        <w:rPr>
          <w:lang w:val="es-ES"/>
        </w:rPr>
      </w:pPr>
    </w:p>
    <w:p w14:paraId="4E4EDEDC" w14:textId="77777777" w:rsidR="0096750D" w:rsidRPr="008431E7" w:rsidRDefault="0096750D" w:rsidP="00CA0D4A">
      <w:pPr>
        <w:ind w:left="1134" w:right="1134"/>
        <w:rPr>
          <w:b/>
          <w:sz w:val="28"/>
          <w:szCs w:val="28"/>
          <w:lang w:val="es-ES"/>
        </w:rPr>
        <w:sectPr w:rsidR="0096750D" w:rsidRPr="008431E7" w:rsidSect="00E276DF">
          <w:footerReference w:type="even" r:id="rId13"/>
          <w:footerReference w:type="default" r:id="rId14"/>
          <w:endnotePr>
            <w:numFmt w:val="decimal"/>
          </w:endnotePr>
          <w:pgSz w:w="11906" w:h="16838" w:code="9"/>
          <w:pgMar w:top="1417" w:right="1134" w:bottom="1134" w:left="1134" w:header="850" w:footer="567" w:gutter="0"/>
          <w:pgNumType w:fmt="lowerRoman" w:start="3"/>
          <w:cols w:space="708"/>
          <w:docGrid w:linePitch="360"/>
        </w:sectPr>
      </w:pPr>
    </w:p>
    <w:p w14:paraId="42C870A5" w14:textId="77777777" w:rsidR="00A24CC1" w:rsidRDefault="00A24CC1" w:rsidP="00A24CC1">
      <w:pPr>
        <w:pStyle w:val="SingleTxtG"/>
        <w:suppressAutoHyphens w:val="0"/>
        <w:ind w:left="0" w:right="0"/>
        <w:jc w:val="left"/>
        <w:rPr>
          <w:sz w:val="28"/>
          <w:lang w:val="es-ES"/>
        </w:rPr>
      </w:pPr>
      <w:r>
        <w:rPr>
          <w:sz w:val="28"/>
          <w:lang w:val="es-ES"/>
        </w:rPr>
        <w:lastRenderedPageBreak/>
        <w:t>Índice</w:t>
      </w:r>
    </w:p>
    <w:p w14:paraId="1E963D44" w14:textId="77777777" w:rsidR="00A24CC1" w:rsidRDefault="00A24CC1" w:rsidP="00A24CC1">
      <w:pPr>
        <w:pStyle w:val="SingleTxtG"/>
        <w:tabs>
          <w:tab w:val="right" w:pos="9638"/>
        </w:tabs>
        <w:suppressAutoHyphens w:val="0"/>
        <w:ind w:left="283" w:right="0"/>
        <w:jc w:val="left"/>
        <w:rPr>
          <w:sz w:val="18"/>
          <w:lang w:val="es-ES"/>
        </w:rPr>
      </w:pPr>
      <w:r w:rsidRPr="00A24CC1">
        <w:rPr>
          <w:i/>
          <w:sz w:val="18"/>
          <w:lang w:val="es-ES"/>
        </w:rPr>
        <w:t>Capítulo</w:t>
      </w:r>
      <w:r>
        <w:rPr>
          <w:i/>
          <w:sz w:val="18"/>
          <w:lang w:val="es-ES"/>
        </w:rPr>
        <w:tab/>
        <w:t>Página</w:t>
      </w:r>
    </w:p>
    <w:p w14:paraId="04B90C95" w14:textId="77777777" w:rsidR="00A24CC1" w:rsidRPr="00A24CC1" w:rsidRDefault="00BB771F" w:rsidP="00BB771F">
      <w:pPr>
        <w:tabs>
          <w:tab w:val="right" w:pos="850"/>
          <w:tab w:val="left" w:pos="1134"/>
          <w:tab w:val="left" w:pos="1559"/>
          <w:tab w:val="left" w:pos="1984"/>
          <w:tab w:val="left" w:leader="dot" w:pos="8787"/>
          <w:tab w:val="right" w:pos="9638"/>
        </w:tabs>
        <w:suppressAutoHyphens w:val="0"/>
        <w:spacing w:after="120"/>
        <w:rPr>
          <w:lang w:val="es-ES"/>
        </w:rPr>
      </w:pPr>
      <w:r>
        <w:rPr>
          <w:rFonts w:eastAsiaTheme="minorEastAsia"/>
          <w:lang w:val="es-ES" w:eastAsia="es-ES"/>
        </w:rPr>
        <w:tab/>
        <w:t>I.</w:t>
      </w:r>
      <w:r>
        <w:rPr>
          <w:rFonts w:eastAsiaTheme="minorEastAsia"/>
          <w:lang w:val="es-ES" w:eastAsia="es-ES"/>
        </w:rPr>
        <w:tab/>
      </w:r>
      <w:r w:rsidR="00A24CC1" w:rsidRPr="005C472F">
        <w:rPr>
          <w:rFonts w:eastAsiaTheme="minorEastAsia"/>
          <w:lang w:val="es-ES" w:eastAsia="es-ES"/>
        </w:rPr>
        <w:t>Cuestiones</w:t>
      </w:r>
      <w:r w:rsidR="00A24CC1" w:rsidRPr="005C472F">
        <w:rPr>
          <w:bCs/>
          <w:lang w:val="es-ES"/>
        </w:rPr>
        <w:t xml:space="preserve"> de organización y otras cuestiones</w:t>
      </w:r>
      <w:r w:rsidR="00A24CC1">
        <w:rPr>
          <w:bCs/>
          <w:lang w:val="es-ES"/>
        </w:rPr>
        <w:tab/>
      </w:r>
      <w:r w:rsidR="00A24CC1">
        <w:rPr>
          <w:bCs/>
          <w:lang w:val="es-ES"/>
        </w:rPr>
        <w:tab/>
        <w:t>1</w:t>
      </w:r>
    </w:p>
    <w:p w14:paraId="4A24706B" w14:textId="77777777" w:rsidR="00A24CC1" w:rsidRPr="00BB771F" w:rsidRDefault="00A24CC1" w:rsidP="00BB771F">
      <w:pPr>
        <w:tabs>
          <w:tab w:val="right" w:pos="850"/>
          <w:tab w:val="left" w:pos="1134"/>
          <w:tab w:val="left" w:pos="1559"/>
          <w:tab w:val="left" w:pos="1984"/>
          <w:tab w:val="left" w:leader="dot" w:pos="8787"/>
          <w:tab w:val="right" w:pos="9638"/>
        </w:tabs>
        <w:suppressAutoHyphens w:val="0"/>
        <w:spacing w:after="120"/>
        <w:rPr>
          <w:rFonts w:eastAsiaTheme="minorEastAsia"/>
          <w:lang w:val="es-ES" w:eastAsia="es-ES"/>
        </w:rPr>
      </w:pPr>
      <w:r w:rsidRPr="00BB771F">
        <w:rPr>
          <w:rFonts w:eastAsiaTheme="minorEastAsia"/>
          <w:lang w:val="es-ES" w:eastAsia="es-ES"/>
        </w:rPr>
        <w:tab/>
      </w:r>
      <w:r w:rsidRPr="00BB771F">
        <w:rPr>
          <w:rFonts w:eastAsiaTheme="minorEastAsia"/>
          <w:lang w:val="es-ES" w:eastAsia="es-ES"/>
        </w:rPr>
        <w:tab/>
        <w:t>A.</w:t>
      </w:r>
      <w:r w:rsidRPr="00BB771F">
        <w:rPr>
          <w:rFonts w:eastAsiaTheme="minorEastAsia"/>
          <w:lang w:val="es-ES" w:eastAsia="es-ES"/>
        </w:rPr>
        <w:tab/>
      </w:r>
      <w:r w:rsidRPr="00A24CC1">
        <w:rPr>
          <w:rFonts w:eastAsiaTheme="minorEastAsia"/>
          <w:lang w:val="es-ES" w:eastAsia="es-ES"/>
        </w:rPr>
        <w:t>Estados partes en la Convención</w:t>
      </w:r>
      <w:r w:rsidRPr="00BB771F">
        <w:rPr>
          <w:rFonts w:eastAsiaTheme="minorEastAsia"/>
          <w:lang w:val="es-ES" w:eastAsia="es-ES"/>
        </w:rPr>
        <w:tab/>
      </w:r>
      <w:r w:rsidRPr="00BB771F">
        <w:rPr>
          <w:rFonts w:eastAsiaTheme="minorEastAsia"/>
          <w:lang w:val="es-ES" w:eastAsia="es-ES"/>
        </w:rPr>
        <w:tab/>
        <w:t>1</w:t>
      </w:r>
    </w:p>
    <w:p w14:paraId="72F98CDD" w14:textId="77777777" w:rsidR="00A24CC1" w:rsidRPr="00BB771F" w:rsidRDefault="00A24CC1" w:rsidP="00BB771F">
      <w:pPr>
        <w:tabs>
          <w:tab w:val="right" w:pos="850"/>
          <w:tab w:val="left" w:pos="1134"/>
          <w:tab w:val="left" w:pos="1559"/>
          <w:tab w:val="left" w:pos="1984"/>
          <w:tab w:val="left" w:leader="dot" w:pos="8787"/>
          <w:tab w:val="right" w:pos="9638"/>
        </w:tabs>
        <w:suppressAutoHyphens w:val="0"/>
        <w:spacing w:after="120"/>
        <w:rPr>
          <w:rFonts w:eastAsiaTheme="minorEastAsia"/>
          <w:lang w:val="es-ES" w:eastAsia="es-ES"/>
        </w:rPr>
      </w:pPr>
      <w:r w:rsidRPr="00BB771F">
        <w:rPr>
          <w:rFonts w:eastAsiaTheme="minorEastAsia"/>
          <w:lang w:val="es-ES" w:eastAsia="es-ES"/>
        </w:rPr>
        <w:tab/>
      </w:r>
      <w:r w:rsidRPr="00BB771F">
        <w:rPr>
          <w:rFonts w:eastAsiaTheme="minorEastAsia"/>
          <w:lang w:val="es-ES" w:eastAsia="es-ES"/>
        </w:rPr>
        <w:tab/>
        <w:t>B.</w:t>
      </w:r>
      <w:r w:rsidRPr="00BB771F">
        <w:rPr>
          <w:rFonts w:eastAsiaTheme="minorEastAsia"/>
          <w:lang w:val="es-ES" w:eastAsia="es-ES"/>
        </w:rPr>
        <w:tab/>
        <w:t>Sesiones y períodos de sesiones</w:t>
      </w:r>
      <w:r w:rsidRPr="00BB771F">
        <w:rPr>
          <w:rFonts w:eastAsiaTheme="minorEastAsia"/>
          <w:lang w:val="es-ES" w:eastAsia="es-ES"/>
        </w:rPr>
        <w:tab/>
      </w:r>
      <w:r w:rsidRPr="00BB771F">
        <w:rPr>
          <w:rFonts w:eastAsiaTheme="minorEastAsia"/>
          <w:lang w:val="es-ES" w:eastAsia="es-ES"/>
        </w:rPr>
        <w:tab/>
        <w:t>1</w:t>
      </w:r>
    </w:p>
    <w:p w14:paraId="6A9DEBE0" w14:textId="77777777" w:rsidR="00A24CC1" w:rsidRDefault="00A24CC1" w:rsidP="00BB771F">
      <w:pPr>
        <w:tabs>
          <w:tab w:val="right" w:pos="850"/>
          <w:tab w:val="left" w:pos="1134"/>
          <w:tab w:val="left" w:pos="1559"/>
          <w:tab w:val="left" w:pos="1984"/>
          <w:tab w:val="left" w:leader="dot" w:pos="8787"/>
          <w:tab w:val="right" w:pos="9638"/>
        </w:tabs>
        <w:suppressAutoHyphens w:val="0"/>
        <w:spacing w:after="120"/>
        <w:rPr>
          <w:rFonts w:eastAsiaTheme="minorEastAsia"/>
          <w:lang w:val="es-ES" w:eastAsia="es-ES"/>
        </w:rPr>
      </w:pPr>
      <w:r w:rsidRPr="00BB771F">
        <w:rPr>
          <w:rFonts w:eastAsiaTheme="minorEastAsia"/>
          <w:lang w:val="es-ES" w:eastAsia="es-ES"/>
        </w:rPr>
        <w:tab/>
      </w:r>
      <w:r w:rsidRPr="00BB771F">
        <w:rPr>
          <w:rFonts w:eastAsiaTheme="minorEastAsia"/>
          <w:lang w:val="es-ES" w:eastAsia="es-ES"/>
        </w:rPr>
        <w:tab/>
        <w:t>C.</w:t>
      </w:r>
      <w:r w:rsidRPr="00BB771F">
        <w:rPr>
          <w:rFonts w:eastAsiaTheme="minorEastAsia"/>
          <w:lang w:val="es-ES" w:eastAsia="es-ES"/>
        </w:rPr>
        <w:tab/>
      </w:r>
      <w:r w:rsidRPr="00A24CC1">
        <w:rPr>
          <w:rFonts w:eastAsiaTheme="minorEastAsia"/>
          <w:lang w:val="es-ES" w:eastAsia="es-ES"/>
        </w:rPr>
        <w:t>Composición y asistencia</w:t>
      </w:r>
      <w:r w:rsidRPr="00BB771F">
        <w:rPr>
          <w:rFonts w:eastAsiaTheme="minorEastAsia"/>
          <w:lang w:val="es-ES" w:eastAsia="es-ES"/>
        </w:rPr>
        <w:tab/>
      </w:r>
      <w:r w:rsidRPr="00BB771F">
        <w:rPr>
          <w:rFonts w:eastAsiaTheme="minorEastAsia"/>
          <w:lang w:val="es-ES" w:eastAsia="es-ES"/>
        </w:rPr>
        <w:tab/>
        <w:t>2</w:t>
      </w:r>
    </w:p>
    <w:p w14:paraId="476ED84D" w14:textId="77777777" w:rsidR="00E03971" w:rsidRDefault="00E03971" w:rsidP="00E03971">
      <w:pPr>
        <w:tabs>
          <w:tab w:val="right" w:pos="850"/>
          <w:tab w:val="left" w:pos="1134"/>
          <w:tab w:val="left" w:pos="1559"/>
          <w:tab w:val="left" w:pos="1984"/>
          <w:tab w:val="left" w:leader="dot" w:pos="8787"/>
          <w:tab w:val="right" w:pos="9638"/>
        </w:tabs>
        <w:suppressAutoHyphens w:val="0"/>
        <w:spacing w:after="120"/>
        <w:rPr>
          <w:rFonts w:eastAsiaTheme="minorEastAsia"/>
          <w:bCs/>
          <w:lang w:val="es-ES" w:eastAsia="es-ES"/>
        </w:rPr>
      </w:pPr>
      <w:r>
        <w:rPr>
          <w:rFonts w:eastAsiaTheme="minorEastAsia"/>
          <w:lang w:val="es-ES" w:eastAsia="es-ES"/>
        </w:rPr>
        <w:tab/>
      </w:r>
      <w:r>
        <w:rPr>
          <w:rFonts w:eastAsiaTheme="minorEastAsia"/>
          <w:lang w:val="es-ES" w:eastAsia="es-ES"/>
        </w:rPr>
        <w:tab/>
        <w:t>D.</w:t>
      </w:r>
      <w:r>
        <w:rPr>
          <w:rFonts w:eastAsiaTheme="minorEastAsia"/>
          <w:lang w:val="es-ES" w:eastAsia="es-ES"/>
        </w:rPr>
        <w:tab/>
      </w:r>
      <w:r w:rsidRPr="00E03971">
        <w:rPr>
          <w:rFonts w:eastAsiaTheme="minorEastAsia"/>
          <w:bCs/>
          <w:lang w:val="es-ES" w:eastAsia="es-ES"/>
        </w:rPr>
        <w:t>Decisiones del Comité</w:t>
      </w:r>
      <w:r>
        <w:rPr>
          <w:rFonts w:eastAsiaTheme="minorEastAsia"/>
          <w:bCs/>
          <w:lang w:val="es-ES" w:eastAsia="es-ES"/>
        </w:rPr>
        <w:tab/>
      </w:r>
      <w:r>
        <w:rPr>
          <w:rFonts w:eastAsiaTheme="minorEastAsia"/>
          <w:bCs/>
          <w:lang w:val="es-ES" w:eastAsia="es-ES"/>
        </w:rPr>
        <w:tab/>
        <w:t>2</w:t>
      </w:r>
    </w:p>
    <w:p w14:paraId="026CD958" w14:textId="77777777" w:rsidR="00E03971" w:rsidRDefault="00E03971" w:rsidP="00E03971">
      <w:pPr>
        <w:tabs>
          <w:tab w:val="right" w:pos="850"/>
          <w:tab w:val="left" w:pos="1134"/>
          <w:tab w:val="left" w:pos="1559"/>
          <w:tab w:val="left" w:pos="1984"/>
          <w:tab w:val="left" w:leader="dot" w:pos="8787"/>
          <w:tab w:val="right" w:pos="9638"/>
        </w:tabs>
        <w:suppressAutoHyphens w:val="0"/>
        <w:spacing w:after="120"/>
        <w:rPr>
          <w:rFonts w:eastAsiaTheme="minorEastAsia"/>
          <w:lang w:val="es-ES" w:eastAsia="es-ES"/>
        </w:rPr>
      </w:pPr>
      <w:r>
        <w:rPr>
          <w:rFonts w:eastAsiaTheme="minorEastAsia"/>
          <w:bCs/>
          <w:lang w:val="es-ES" w:eastAsia="es-ES"/>
        </w:rPr>
        <w:tab/>
      </w:r>
      <w:r>
        <w:rPr>
          <w:rFonts w:eastAsiaTheme="minorEastAsia"/>
          <w:bCs/>
          <w:lang w:val="es-ES" w:eastAsia="es-ES"/>
        </w:rPr>
        <w:tab/>
        <w:t>E.</w:t>
      </w:r>
      <w:r>
        <w:rPr>
          <w:rFonts w:eastAsiaTheme="minorEastAsia"/>
          <w:bCs/>
          <w:lang w:val="es-ES" w:eastAsia="es-ES"/>
        </w:rPr>
        <w:tab/>
      </w:r>
      <w:r w:rsidRPr="00E03971">
        <w:rPr>
          <w:rFonts w:eastAsiaTheme="minorEastAsia"/>
          <w:lang w:val="es-ES" w:eastAsia="es-ES"/>
        </w:rPr>
        <w:t>Aprobación del informe anual</w:t>
      </w:r>
      <w:r>
        <w:rPr>
          <w:rFonts w:eastAsiaTheme="minorEastAsia"/>
          <w:lang w:val="es-ES" w:eastAsia="es-ES"/>
        </w:rPr>
        <w:tab/>
      </w:r>
      <w:r>
        <w:rPr>
          <w:rFonts w:eastAsiaTheme="minorEastAsia"/>
          <w:lang w:val="es-ES" w:eastAsia="es-ES"/>
        </w:rPr>
        <w:tab/>
        <w:t>4</w:t>
      </w:r>
    </w:p>
    <w:p w14:paraId="24DAB081" w14:textId="77777777" w:rsidR="00E03971" w:rsidRDefault="007C2041" w:rsidP="00E03971">
      <w:pPr>
        <w:tabs>
          <w:tab w:val="right" w:pos="850"/>
          <w:tab w:val="left" w:pos="1134"/>
          <w:tab w:val="left" w:pos="1559"/>
          <w:tab w:val="left" w:pos="1984"/>
          <w:tab w:val="left" w:leader="dot" w:pos="8787"/>
          <w:tab w:val="right" w:pos="9638"/>
        </w:tabs>
        <w:suppressAutoHyphens w:val="0"/>
        <w:spacing w:after="120"/>
        <w:rPr>
          <w:lang w:val="es-ES"/>
        </w:rPr>
      </w:pPr>
      <w:r>
        <w:rPr>
          <w:rFonts w:eastAsiaTheme="minorEastAsia"/>
          <w:lang w:val="es-ES" w:eastAsia="es-ES"/>
        </w:rPr>
        <w:tab/>
        <w:t>II.</w:t>
      </w:r>
      <w:r>
        <w:rPr>
          <w:rFonts w:eastAsiaTheme="minorEastAsia"/>
          <w:lang w:val="es-ES" w:eastAsia="es-ES"/>
        </w:rPr>
        <w:tab/>
      </w:r>
      <w:r w:rsidRPr="007C2041">
        <w:rPr>
          <w:lang w:val="es-ES"/>
        </w:rPr>
        <w:t>Métodos de trabajo</w:t>
      </w:r>
      <w:r>
        <w:rPr>
          <w:lang w:val="es-ES"/>
        </w:rPr>
        <w:tab/>
      </w:r>
      <w:r>
        <w:rPr>
          <w:lang w:val="es-ES"/>
        </w:rPr>
        <w:tab/>
        <w:t>5</w:t>
      </w:r>
    </w:p>
    <w:p w14:paraId="74B20CCB" w14:textId="77777777" w:rsidR="007C2041" w:rsidRDefault="007C2041" w:rsidP="007C2041">
      <w:pPr>
        <w:tabs>
          <w:tab w:val="right" w:pos="850"/>
          <w:tab w:val="left" w:pos="1134"/>
          <w:tab w:val="left" w:pos="1559"/>
          <w:tab w:val="left" w:pos="1984"/>
          <w:tab w:val="left" w:leader="dot" w:pos="8787"/>
          <w:tab w:val="right" w:pos="9638"/>
        </w:tabs>
        <w:suppressAutoHyphens w:val="0"/>
        <w:spacing w:after="120"/>
        <w:rPr>
          <w:rFonts w:eastAsiaTheme="minorEastAsia"/>
          <w:lang w:val="es-ES" w:eastAsia="es-ES"/>
        </w:rPr>
      </w:pPr>
      <w:r>
        <w:rPr>
          <w:rFonts w:eastAsiaTheme="minorEastAsia"/>
          <w:lang w:val="es-ES" w:eastAsia="es-ES"/>
        </w:rPr>
        <w:tab/>
        <w:t>III.</w:t>
      </w:r>
      <w:r>
        <w:rPr>
          <w:rFonts w:eastAsiaTheme="minorEastAsia"/>
          <w:lang w:val="es-ES" w:eastAsia="es-ES"/>
        </w:rPr>
        <w:tab/>
      </w:r>
      <w:r w:rsidRPr="007C2041">
        <w:rPr>
          <w:rFonts w:eastAsiaTheme="minorEastAsia"/>
          <w:lang w:val="es-ES" w:eastAsia="es-ES"/>
        </w:rPr>
        <w:t>Relaciones con las partes interesadas</w:t>
      </w:r>
      <w:r>
        <w:rPr>
          <w:rFonts w:eastAsiaTheme="minorEastAsia"/>
          <w:lang w:val="es-ES" w:eastAsia="es-ES"/>
        </w:rPr>
        <w:tab/>
      </w:r>
      <w:r>
        <w:rPr>
          <w:rFonts w:eastAsiaTheme="minorEastAsia"/>
          <w:lang w:val="es-ES" w:eastAsia="es-ES"/>
        </w:rPr>
        <w:tab/>
        <w:t>6</w:t>
      </w:r>
    </w:p>
    <w:p w14:paraId="6DA1C6F9" w14:textId="77777777" w:rsidR="007C2041" w:rsidRDefault="007C2041" w:rsidP="007C2041">
      <w:pPr>
        <w:tabs>
          <w:tab w:val="right" w:pos="850"/>
          <w:tab w:val="left" w:pos="1134"/>
          <w:tab w:val="left" w:pos="1559"/>
          <w:tab w:val="left" w:pos="1984"/>
          <w:tab w:val="left" w:leader="dot" w:pos="8787"/>
          <w:tab w:val="right" w:pos="9638"/>
        </w:tabs>
        <w:suppressAutoHyphens w:val="0"/>
        <w:spacing w:after="120"/>
        <w:rPr>
          <w:bCs/>
          <w:lang w:val="es-ES"/>
        </w:rPr>
      </w:pPr>
      <w:r>
        <w:rPr>
          <w:rFonts w:eastAsiaTheme="minorEastAsia"/>
          <w:lang w:val="es-ES" w:eastAsia="es-ES"/>
        </w:rPr>
        <w:tab/>
      </w:r>
      <w:r>
        <w:rPr>
          <w:rFonts w:eastAsiaTheme="minorEastAsia"/>
          <w:lang w:val="es-ES" w:eastAsia="es-ES"/>
        </w:rPr>
        <w:tab/>
        <w:t>A.</w:t>
      </w:r>
      <w:r>
        <w:rPr>
          <w:rFonts w:eastAsiaTheme="minorEastAsia"/>
          <w:lang w:val="es-ES" w:eastAsia="es-ES"/>
        </w:rPr>
        <w:tab/>
      </w:r>
      <w:r w:rsidRPr="007C2041">
        <w:rPr>
          <w:bCs/>
          <w:lang w:val="es-ES"/>
        </w:rPr>
        <w:t>Reuniones con los Estados Miembros</w:t>
      </w:r>
      <w:r>
        <w:rPr>
          <w:bCs/>
          <w:lang w:val="es-ES"/>
        </w:rPr>
        <w:tab/>
      </w:r>
      <w:r>
        <w:rPr>
          <w:bCs/>
          <w:lang w:val="es-ES"/>
        </w:rPr>
        <w:tab/>
        <w:t>6</w:t>
      </w:r>
    </w:p>
    <w:p w14:paraId="725B28C7" w14:textId="77777777" w:rsidR="007C2041" w:rsidRDefault="007C2041" w:rsidP="007C2041">
      <w:pPr>
        <w:tabs>
          <w:tab w:val="right" w:pos="850"/>
          <w:tab w:val="left" w:pos="1134"/>
          <w:tab w:val="left" w:pos="1559"/>
          <w:tab w:val="left" w:pos="1984"/>
          <w:tab w:val="left" w:leader="dot" w:pos="8787"/>
          <w:tab w:val="right" w:pos="9638"/>
        </w:tabs>
        <w:suppressAutoHyphens w:val="0"/>
        <w:spacing w:after="120"/>
        <w:rPr>
          <w:bCs/>
          <w:lang w:val="es-ES"/>
        </w:rPr>
      </w:pPr>
      <w:r>
        <w:rPr>
          <w:bCs/>
          <w:lang w:val="es-ES"/>
        </w:rPr>
        <w:tab/>
      </w:r>
      <w:r>
        <w:rPr>
          <w:bCs/>
          <w:lang w:val="es-ES"/>
        </w:rPr>
        <w:tab/>
        <w:t>B.</w:t>
      </w:r>
      <w:r>
        <w:rPr>
          <w:bCs/>
          <w:lang w:val="es-ES"/>
        </w:rPr>
        <w:tab/>
      </w:r>
      <w:r w:rsidRPr="007C2041">
        <w:rPr>
          <w:bCs/>
          <w:lang w:val="es-ES"/>
        </w:rPr>
        <w:t>Reuniones con organismos de las Naciones Unidas</w:t>
      </w:r>
      <w:r>
        <w:rPr>
          <w:bCs/>
          <w:lang w:val="es-ES"/>
        </w:rPr>
        <w:tab/>
      </w:r>
      <w:r>
        <w:rPr>
          <w:bCs/>
          <w:lang w:val="es-ES"/>
        </w:rPr>
        <w:tab/>
        <w:t>6</w:t>
      </w:r>
    </w:p>
    <w:p w14:paraId="2E3850E8" w14:textId="77777777" w:rsidR="007C2041" w:rsidRDefault="007C2041" w:rsidP="007C2041">
      <w:pPr>
        <w:tabs>
          <w:tab w:val="right" w:pos="850"/>
          <w:tab w:val="left" w:pos="1134"/>
          <w:tab w:val="left" w:pos="1559"/>
          <w:tab w:val="left" w:pos="1984"/>
          <w:tab w:val="left" w:leader="dot" w:pos="8787"/>
          <w:tab w:val="right" w:pos="9638"/>
        </w:tabs>
        <w:suppressAutoHyphens w:val="0"/>
        <w:spacing w:after="120"/>
        <w:rPr>
          <w:bCs/>
          <w:lang w:val="es-ES"/>
        </w:rPr>
      </w:pPr>
      <w:r>
        <w:rPr>
          <w:rFonts w:eastAsiaTheme="minorEastAsia"/>
          <w:bCs/>
          <w:lang w:val="es-ES" w:eastAsia="es-ES"/>
        </w:rPr>
        <w:tab/>
      </w:r>
      <w:r>
        <w:rPr>
          <w:rFonts w:eastAsiaTheme="minorEastAsia"/>
          <w:bCs/>
          <w:lang w:val="es-ES" w:eastAsia="es-ES"/>
        </w:rPr>
        <w:tab/>
        <w:t>C.</w:t>
      </w:r>
      <w:r>
        <w:rPr>
          <w:rFonts w:eastAsiaTheme="minorEastAsia"/>
          <w:bCs/>
          <w:lang w:val="es-ES" w:eastAsia="es-ES"/>
        </w:rPr>
        <w:tab/>
      </w:r>
      <w:r w:rsidRPr="007C2041">
        <w:rPr>
          <w:bCs/>
          <w:lang w:val="es-ES"/>
        </w:rPr>
        <w:t>Reuniones con organizaciones no gubernamentales y la sociedad civil</w:t>
      </w:r>
      <w:r>
        <w:rPr>
          <w:bCs/>
          <w:lang w:val="es-ES"/>
        </w:rPr>
        <w:tab/>
      </w:r>
      <w:r>
        <w:rPr>
          <w:bCs/>
          <w:lang w:val="es-ES"/>
        </w:rPr>
        <w:tab/>
        <w:t>7</w:t>
      </w:r>
    </w:p>
    <w:p w14:paraId="41849C70" w14:textId="77777777" w:rsidR="007C2041" w:rsidRDefault="007C2041" w:rsidP="007C2041">
      <w:pPr>
        <w:tabs>
          <w:tab w:val="right" w:pos="850"/>
          <w:tab w:val="left" w:pos="1134"/>
          <w:tab w:val="left" w:pos="1559"/>
          <w:tab w:val="left" w:pos="1984"/>
          <w:tab w:val="left" w:leader="dot" w:pos="8787"/>
          <w:tab w:val="right" w:pos="9638"/>
        </w:tabs>
        <w:suppressAutoHyphens w:val="0"/>
        <w:spacing w:after="120"/>
        <w:rPr>
          <w:bCs/>
          <w:lang w:val="es-ES"/>
        </w:rPr>
      </w:pPr>
      <w:r>
        <w:rPr>
          <w:bCs/>
          <w:lang w:val="es-ES"/>
        </w:rPr>
        <w:tab/>
      </w:r>
      <w:r>
        <w:rPr>
          <w:bCs/>
          <w:lang w:val="es-ES"/>
        </w:rPr>
        <w:tab/>
        <w:t>D.</w:t>
      </w:r>
      <w:r>
        <w:rPr>
          <w:bCs/>
          <w:lang w:val="es-ES"/>
        </w:rPr>
        <w:tab/>
      </w:r>
      <w:r w:rsidR="008D495A" w:rsidRPr="008D495A">
        <w:rPr>
          <w:bCs/>
          <w:lang w:val="es-ES"/>
        </w:rPr>
        <w:t>Reuniones con otras partes interesadas</w:t>
      </w:r>
      <w:r w:rsidR="008D495A">
        <w:rPr>
          <w:bCs/>
          <w:lang w:val="es-ES"/>
        </w:rPr>
        <w:tab/>
      </w:r>
      <w:r w:rsidR="008D495A">
        <w:rPr>
          <w:bCs/>
          <w:lang w:val="es-ES"/>
        </w:rPr>
        <w:tab/>
        <w:t>7</w:t>
      </w:r>
    </w:p>
    <w:p w14:paraId="17724B75" w14:textId="77777777" w:rsidR="008D495A" w:rsidRDefault="008D495A" w:rsidP="004F738F">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bCs/>
          <w:lang w:val="es-ES"/>
        </w:rPr>
        <w:tab/>
        <w:t>IV.</w:t>
      </w:r>
      <w:r>
        <w:rPr>
          <w:bCs/>
          <w:lang w:val="es-ES"/>
        </w:rPr>
        <w:tab/>
      </w:r>
      <w:r w:rsidR="004F738F" w:rsidRPr="004F738F">
        <w:rPr>
          <w:lang w:val="es-ES"/>
        </w:rPr>
        <w:t xml:space="preserve">Examen de los informes presentados por los Estados partes en virtud del artículo 29, </w:t>
      </w:r>
      <w:r w:rsidR="004F738F">
        <w:rPr>
          <w:lang w:val="es-ES"/>
        </w:rPr>
        <w:br/>
      </w:r>
      <w:r w:rsidR="004F738F" w:rsidRPr="004F738F">
        <w:rPr>
          <w:lang w:val="es-ES"/>
        </w:rPr>
        <w:t>párrafo 1, de la Convención</w:t>
      </w:r>
      <w:r w:rsidR="004F738F">
        <w:rPr>
          <w:lang w:val="es-ES"/>
        </w:rPr>
        <w:tab/>
      </w:r>
      <w:r w:rsidR="004F738F">
        <w:rPr>
          <w:lang w:val="es-ES"/>
        </w:rPr>
        <w:tab/>
        <w:t>8</w:t>
      </w:r>
    </w:p>
    <w:p w14:paraId="16C58805" w14:textId="77777777" w:rsidR="004F738F" w:rsidRDefault="004F738F"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lang w:val="es-ES"/>
        </w:rPr>
        <w:tab/>
        <w:t>V.</w:t>
      </w:r>
      <w:r>
        <w:rPr>
          <w:lang w:val="es-ES"/>
        </w:rPr>
        <w:tab/>
      </w:r>
      <w:r w:rsidRPr="004F738F">
        <w:rPr>
          <w:bCs/>
          <w:lang w:val="es-ES"/>
        </w:rPr>
        <w:t>Aprobación del informe sobre el seguimiento de las observaciones finales</w:t>
      </w:r>
      <w:r>
        <w:rPr>
          <w:bCs/>
          <w:lang w:val="es-ES"/>
        </w:rPr>
        <w:tab/>
      </w:r>
      <w:r>
        <w:rPr>
          <w:bCs/>
          <w:lang w:val="es-ES"/>
        </w:rPr>
        <w:tab/>
        <w:t>9</w:t>
      </w:r>
    </w:p>
    <w:p w14:paraId="32FFEA5B" w14:textId="77777777" w:rsidR="004F738F" w:rsidRDefault="004F738F"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bCs/>
          <w:lang w:val="es-ES"/>
        </w:rPr>
        <w:tab/>
        <w:t>VI.</w:t>
      </w:r>
      <w:r>
        <w:rPr>
          <w:bCs/>
          <w:lang w:val="es-ES"/>
        </w:rPr>
        <w:tab/>
      </w:r>
      <w:r w:rsidRPr="004F738F">
        <w:rPr>
          <w:bCs/>
          <w:lang w:val="es-ES"/>
        </w:rPr>
        <w:t>Aprobación de las listas de cuestiones</w:t>
      </w:r>
      <w:r>
        <w:rPr>
          <w:bCs/>
          <w:lang w:val="es-ES"/>
        </w:rPr>
        <w:tab/>
      </w:r>
      <w:r>
        <w:rPr>
          <w:bCs/>
          <w:lang w:val="es-ES"/>
        </w:rPr>
        <w:tab/>
        <w:t>10</w:t>
      </w:r>
    </w:p>
    <w:p w14:paraId="1ECE63ED" w14:textId="77777777" w:rsidR="004F738F" w:rsidRDefault="004F738F"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bCs/>
          <w:lang w:val="es-ES"/>
        </w:rPr>
        <w:tab/>
      </w:r>
      <w:r w:rsidR="00C77F5B">
        <w:rPr>
          <w:bCs/>
          <w:lang w:val="es-ES"/>
        </w:rPr>
        <w:t>VII.</w:t>
      </w:r>
      <w:r w:rsidR="00C77F5B">
        <w:rPr>
          <w:bCs/>
          <w:lang w:val="es-ES"/>
        </w:rPr>
        <w:tab/>
      </w:r>
      <w:r w:rsidR="00C77F5B" w:rsidRPr="00C77F5B">
        <w:rPr>
          <w:bCs/>
          <w:lang w:val="es-ES"/>
        </w:rPr>
        <w:t>Presentación de informes en virtud de la Convención</w:t>
      </w:r>
      <w:r w:rsidR="00C77F5B">
        <w:rPr>
          <w:bCs/>
          <w:lang w:val="es-ES"/>
        </w:rPr>
        <w:tab/>
      </w:r>
      <w:r w:rsidR="00C77F5B">
        <w:rPr>
          <w:bCs/>
          <w:lang w:val="es-ES"/>
        </w:rPr>
        <w:tab/>
        <w:t>11</w:t>
      </w:r>
    </w:p>
    <w:p w14:paraId="6EDC3DC8" w14:textId="77777777" w:rsidR="00C77F5B" w:rsidRPr="00C77F5B" w:rsidRDefault="00C77F5B"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bCs/>
          <w:lang w:val="es-ES"/>
        </w:rPr>
        <w:tab/>
        <w:t>VIII.</w:t>
      </w:r>
      <w:r>
        <w:rPr>
          <w:bCs/>
          <w:lang w:val="es-ES"/>
        </w:rPr>
        <w:tab/>
      </w:r>
      <w:r w:rsidRPr="00C77F5B">
        <w:rPr>
          <w:bCs/>
          <w:lang w:val="es-ES"/>
        </w:rPr>
        <w:t>Represalias</w:t>
      </w:r>
      <w:r>
        <w:rPr>
          <w:bCs/>
          <w:lang w:val="es-ES"/>
        </w:rPr>
        <w:tab/>
      </w:r>
      <w:r>
        <w:rPr>
          <w:bCs/>
          <w:lang w:val="es-ES"/>
        </w:rPr>
        <w:tab/>
        <w:t>12</w:t>
      </w:r>
    </w:p>
    <w:p w14:paraId="123B14D3" w14:textId="77777777" w:rsidR="004F738F" w:rsidRDefault="00C77F5B"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rFonts w:eastAsiaTheme="minorEastAsia"/>
          <w:bCs/>
          <w:lang w:val="es-ES" w:eastAsia="es-ES"/>
        </w:rPr>
        <w:tab/>
        <w:t>IX.</w:t>
      </w:r>
      <w:r>
        <w:rPr>
          <w:rFonts w:eastAsiaTheme="minorEastAsia"/>
          <w:bCs/>
          <w:lang w:val="es-ES" w:eastAsia="es-ES"/>
        </w:rPr>
        <w:tab/>
      </w:r>
      <w:r w:rsidRPr="00C77F5B">
        <w:rPr>
          <w:bCs/>
          <w:lang w:val="es-ES"/>
        </w:rPr>
        <w:t xml:space="preserve">Examen de la información adicional presentada por los Estados partes en virtud del </w:t>
      </w:r>
      <w:r>
        <w:rPr>
          <w:bCs/>
          <w:lang w:val="es-ES"/>
        </w:rPr>
        <w:br/>
      </w:r>
      <w:r w:rsidRPr="00C77F5B">
        <w:rPr>
          <w:bCs/>
          <w:lang w:val="es-ES"/>
        </w:rPr>
        <w:t>artículo 29, párrafo 4, de la Convención</w:t>
      </w:r>
      <w:r>
        <w:rPr>
          <w:bCs/>
          <w:lang w:val="es-ES"/>
        </w:rPr>
        <w:tab/>
      </w:r>
      <w:r>
        <w:rPr>
          <w:bCs/>
          <w:lang w:val="es-ES"/>
        </w:rPr>
        <w:tab/>
        <w:t>13</w:t>
      </w:r>
    </w:p>
    <w:p w14:paraId="7F9A9D2B" w14:textId="77777777" w:rsidR="00C77F5B" w:rsidRDefault="001A4DC6" w:rsidP="004F738F">
      <w:pPr>
        <w:tabs>
          <w:tab w:val="right" w:pos="850"/>
          <w:tab w:val="left" w:pos="1134"/>
          <w:tab w:val="left" w:pos="1559"/>
          <w:tab w:val="left" w:pos="1984"/>
          <w:tab w:val="left" w:leader="dot" w:pos="8787"/>
          <w:tab w:val="right" w:pos="9638"/>
        </w:tabs>
        <w:suppressAutoHyphens w:val="0"/>
        <w:spacing w:after="120"/>
        <w:ind w:left="1134" w:hanging="1134"/>
        <w:rPr>
          <w:bCs/>
          <w:lang w:val="es-ES"/>
        </w:rPr>
      </w:pPr>
      <w:r>
        <w:rPr>
          <w:rFonts w:eastAsiaTheme="minorEastAsia"/>
          <w:bCs/>
          <w:lang w:val="es-ES" w:eastAsia="es-ES"/>
        </w:rPr>
        <w:tab/>
        <w:t>X.</w:t>
      </w:r>
      <w:r>
        <w:rPr>
          <w:rFonts w:eastAsiaTheme="minorEastAsia"/>
          <w:bCs/>
          <w:lang w:val="es-ES" w:eastAsia="es-ES"/>
        </w:rPr>
        <w:tab/>
      </w:r>
      <w:r>
        <w:rPr>
          <w:bCs/>
          <w:lang w:val="es-ES"/>
        </w:rPr>
        <w:t>Procedimiento de acción urgente con arreglo al artículo 30 de la Convención</w:t>
      </w:r>
      <w:r>
        <w:rPr>
          <w:bCs/>
          <w:lang w:val="es-ES"/>
        </w:rPr>
        <w:tab/>
      </w:r>
      <w:r>
        <w:rPr>
          <w:bCs/>
          <w:lang w:val="es-ES"/>
        </w:rPr>
        <w:tab/>
        <w:t>14</w:t>
      </w:r>
    </w:p>
    <w:p w14:paraId="698C7580" w14:textId="77777777" w:rsidR="001A4DC6" w:rsidRDefault="001A4DC6" w:rsidP="001A4DC6">
      <w:pPr>
        <w:tabs>
          <w:tab w:val="right" w:pos="850"/>
          <w:tab w:val="left" w:pos="1134"/>
          <w:tab w:val="left" w:pos="1559"/>
          <w:tab w:val="left" w:pos="1984"/>
          <w:tab w:val="left" w:leader="dot" w:pos="8787"/>
          <w:tab w:val="right" w:pos="9638"/>
        </w:tabs>
        <w:suppressAutoHyphens w:val="0"/>
        <w:spacing w:after="120"/>
        <w:ind w:left="1559" w:hanging="1559"/>
        <w:rPr>
          <w:bCs/>
          <w:lang w:val="es-ES"/>
        </w:rPr>
      </w:pPr>
      <w:r>
        <w:rPr>
          <w:rFonts w:eastAsiaTheme="minorEastAsia"/>
          <w:bCs/>
          <w:lang w:val="es-ES" w:eastAsia="es-ES"/>
        </w:rPr>
        <w:tab/>
      </w:r>
      <w:r>
        <w:rPr>
          <w:rFonts w:eastAsiaTheme="minorEastAsia"/>
          <w:bCs/>
          <w:lang w:val="es-ES" w:eastAsia="es-ES"/>
        </w:rPr>
        <w:tab/>
        <w:t>A.</w:t>
      </w:r>
      <w:r>
        <w:rPr>
          <w:rFonts w:eastAsiaTheme="minorEastAsia"/>
          <w:bCs/>
          <w:lang w:val="es-ES" w:eastAsia="es-ES"/>
        </w:rPr>
        <w:tab/>
      </w:r>
      <w:r>
        <w:rPr>
          <w:bCs/>
          <w:lang w:val="es-ES"/>
        </w:rPr>
        <w:t xml:space="preserve">Peticiones de acción urgente recibidas y registradas desde el establecimiento </w:t>
      </w:r>
      <w:r>
        <w:rPr>
          <w:bCs/>
          <w:lang w:val="es-ES"/>
        </w:rPr>
        <w:br/>
        <w:t>del Comité</w:t>
      </w:r>
      <w:r>
        <w:rPr>
          <w:bCs/>
          <w:lang w:val="es-ES"/>
        </w:rPr>
        <w:tab/>
      </w:r>
      <w:r>
        <w:rPr>
          <w:bCs/>
          <w:lang w:val="es-ES"/>
        </w:rPr>
        <w:tab/>
        <w:t>14</w:t>
      </w:r>
    </w:p>
    <w:p w14:paraId="4C84AB82" w14:textId="77777777" w:rsidR="001A4DC6" w:rsidRDefault="001A4DC6" w:rsidP="001A4DC6">
      <w:pPr>
        <w:tabs>
          <w:tab w:val="right" w:pos="850"/>
          <w:tab w:val="left" w:pos="1134"/>
          <w:tab w:val="left" w:pos="1559"/>
          <w:tab w:val="left" w:pos="1984"/>
          <w:tab w:val="left" w:leader="dot" w:pos="8787"/>
          <w:tab w:val="right" w:pos="9638"/>
        </w:tabs>
        <w:suppressAutoHyphens w:val="0"/>
        <w:spacing w:after="120"/>
        <w:ind w:left="1559" w:hanging="1559"/>
        <w:rPr>
          <w:lang w:val="es-ES"/>
        </w:rPr>
      </w:pPr>
      <w:r>
        <w:rPr>
          <w:rFonts w:eastAsiaTheme="minorEastAsia"/>
          <w:bCs/>
          <w:lang w:val="es-ES" w:eastAsia="es-ES"/>
        </w:rPr>
        <w:tab/>
      </w:r>
      <w:r>
        <w:rPr>
          <w:rFonts w:eastAsiaTheme="minorEastAsia"/>
          <w:bCs/>
          <w:lang w:val="es-ES" w:eastAsia="es-ES"/>
        </w:rPr>
        <w:tab/>
      </w:r>
      <w:r w:rsidR="00F5494D">
        <w:rPr>
          <w:rFonts w:eastAsiaTheme="minorEastAsia"/>
          <w:bCs/>
          <w:lang w:val="es-ES" w:eastAsia="es-ES"/>
        </w:rPr>
        <w:t>B.</w:t>
      </w:r>
      <w:r w:rsidR="00F5494D">
        <w:rPr>
          <w:rFonts w:eastAsiaTheme="minorEastAsia"/>
          <w:bCs/>
          <w:lang w:val="es-ES" w:eastAsia="es-ES"/>
        </w:rPr>
        <w:tab/>
      </w:r>
      <w:r w:rsidR="00F5494D">
        <w:rPr>
          <w:lang w:val="es-ES"/>
        </w:rPr>
        <w:t xml:space="preserve">Desarrollo de las acciones urgentes tras su registro: tendencias observadas desde </w:t>
      </w:r>
      <w:r w:rsidR="00F5494D">
        <w:rPr>
          <w:lang w:val="es-ES"/>
        </w:rPr>
        <w:br/>
        <w:t>el 16º período de sesiones (hasta el 30 de septiembre de 2019)</w:t>
      </w:r>
      <w:r w:rsidR="00F5494D">
        <w:rPr>
          <w:lang w:val="es-ES"/>
        </w:rPr>
        <w:tab/>
      </w:r>
      <w:r w:rsidR="00F5494D">
        <w:rPr>
          <w:lang w:val="es-ES"/>
        </w:rPr>
        <w:tab/>
        <w:t>14</w:t>
      </w:r>
    </w:p>
    <w:p w14:paraId="18B4654F" w14:textId="77777777" w:rsidR="00174B1B" w:rsidRDefault="00174B1B" w:rsidP="001A4DC6">
      <w:pPr>
        <w:tabs>
          <w:tab w:val="right" w:pos="850"/>
          <w:tab w:val="left" w:pos="1134"/>
          <w:tab w:val="left" w:pos="1559"/>
          <w:tab w:val="left" w:pos="1984"/>
          <w:tab w:val="left" w:leader="dot" w:pos="8787"/>
          <w:tab w:val="right" w:pos="9638"/>
        </w:tabs>
        <w:suppressAutoHyphens w:val="0"/>
        <w:spacing w:after="120"/>
        <w:ind w:left="1559" w:hanging="1559"/>
        <w:rPr>
          <w:bCs/>
          <w:lang w:val="es-ES"/>
        </w:rPr>
      </w:pPr>
      <w:r>
        <w:rPr>
          <w:rFonts w:eastAsiaTheme="minorEastAsia"/>
          <w:bCs/>
          <w:lang w:val="es-ES" w:eastAsia="es-ES"/>
        </w:rPr>
        <w:tab/>
      </w:r>
      <w:r>
        <w:rPr>
          <w:rFonts w:eastAsiaTheme="minorEastAsia"/>
          <w:bCs/>
          <w:lang w:val="es-ES" w:eastAsia="es-ES"/>
        </w:rPr>
        <w:tab/>
        <w:t>C.</w:t>
      </w:r>
      <w:r>
        <w:rPr>
          <w:rFonts w:eastAsiaTheme="minorEastAsia"/>
          <w:bCs/>
          <w:lang w:val="es-ES" w:eastAsia="es-ES"/>
        </w:rPr>
        <w:tab/>
      </w:r>
      <w:r>
        <w:rPr>
          <w:bCs/>
          <w:lang w:val="es-ES"/>
        </w:rPr>
        <w:t xml:space="preserve">Acciones urgentes suspendidas, cerradas, o mantenidas abiertas para la protección </w:t>
      </w:r>
      <w:r>
        <w:rPr>
          <w:bCs/>
          <w:lang w:val="es-ES"/>
        </w:rPr>
        <w:br/>
        <w:t>de las personas a favor de las cuales se han otorgado medidas cautelares</w:t>
      </w:r>
      <w:r>
        <w:rPr>
          <w:bCs/>
          <w:lang w:val="es-ES"/>
        </w:rPr>
        <w:tab/>
      </w:r>
      <w:r>
        <w:rPr>
          <w:bCs/>
          <w:lang w:val="es-ES"/>
        </w:rPr>
        <w:tab/>
        <w:t>17</w:t>
      </w:r>
    </w:p>
    <w:p w14:paraId="5B9F3B53" w14:textId="77777777" w:rsidR="00174B1B" w:rsidRDefault="00174B1B" w:rsidP="001A4DC6">
      <w:pPr>
        <w:tabs>
          <w:tab w:val="right" w:pos="850"/>
          <w:tab w:val="left" w:pos="1134"/>
          <w:tab w:val="left" w:pos="1559"/>
          <w:tab w:val="left" w:pos="1984"/>
          <w:tab w:val="left" w:leader="dot" w:pos="8787"/>
          <w:tab w:val="right" w:pos="9638"/>
        </w:tabs>
        <w:suppressAutoHyphens w:val="0"/>
        <w:spacing w:after="120"/>
        <w:ind w:left="1559" w:hanging="1559"/>
        <w:rPr>
          <w:lang w:val="es-ES"/>
        </w:rPr>
      </w:pPr>
      <w:r>
        <w:rPr>
          <w:rFonts w:eastAsiaTheme="minorEastAsia"/>
          <w:bCs/>
          <w:lang w:val="es-ES" w:eastAsia="es-ES"/>
        </w:rPr>
        <w:tab/>
      </w:r>
      <w:r>
        <w:rPr>
          <w:rFonts w:eastAsiaTheme="minorEastAsia"/>
          <w:bCs/>
          <w:lang w:val="es-ES" w:eastAsia="es-ES"/>
        </w:rPr>
        <w:tab/>
        <w:t>D.</w:t>
      </w:r>
      <w:r>
        <w:rPr>
          <w:bCs/>
          <w:lang w:val="es-ES"/>
        </w:rPr>
        <w:tab/>
      </w:r>
      <w:r>
        <w:rPr>
          <w:lang w:val="es-ES"/>
        </w:rPr>
        <w:t>Decisiones adoptadas por el Comité en sus períodos de sesiones 17º y 18º</w:t>
      </w:r>
      <w:r>
        <w:rPr>
          <w:lang w:val="es-ES"/>
        </w:rPr>
        <w:tab/>
      </w:r>
      <w:r>
        <w:rPr>
          <w:lang w:val="es-ES"/>
        </w:rPr>
        <w:tab/>
        <w:t>18</w:t>
      </w:r>
    </w:p>
    <w:p w14:paraId="06B3BEC4" w14:textId="77777777" w:rsidR="00174B1B" w:rsidRDefault="00174B1B" w:rsidP="001A4DC6">
      <w:pPr>
        <w:tabs>
          <w:tab w:val="right" w:pos="850"/>
          <w:tab w:val="left" w:pos="1134"/>
          <w:tab w:val="left" w:pos="1559"/>
          <w:tab w:val="left" w:pos="1984"/>
          <w:tab w:val="left" w:leader="dot" w:pos="8787"/>
          <w:tab w:val="right" w:pos="9638"/>
        </w:tabs>
        <w:suppressAutoHyphens w:val="0"/>
        <w:spacing w:after="120"/>
        <w:ind w:left="1559" w:hanging="1559"/>
        <w:rPr>
          <w:bCs/>
          <w:lang w:val="es-ES"/>
        </w:rPr>
      </w:pPr>
      <w:r>
        <w:rPr>
          <w:rFonts w:eastAsiaTheme="minorEastAsia"/>
          <w:bCs/>
          <w:lang w:val="es-ES" w:eastAsia="es-ES"/>
        </w:rPr>
        <w:tab/>
        <w:t>XI.</w:t>
      </w:r>
      <w:r>
        <w:rPr>
          <w:bCs/>
          <w:lang w:val="es-ES"/>
        </w:rPr>
        <w:tab/>
        <w:t>Procedimiento relativo a las comunicaciones en virtud del artículo 31 de la Convención</w:t>
      </w:r>
      <w:r>
        <w:rPr>
          <w:bCs/>
          <w:lang w:val="es-ES"/>
        </w:rPr>
        <w:tab/>
      </w:r>
      <w:r>
        <w:rPr>
          <w:bCs/>
          <w:lang w:val="es-ES"/>
        </w:rPr>
        <w:tab/>
        <w:t>19</w:t>
      </w:r>
    </w:p>
    <w:p w14:paraId="38AA0FFD" w14:textId="77777777" w:rsidR="00174B1B" w:rsidRDefault="00174B1B" w:rsidP="001A4DC6">
      <w:pPr>
        <w:tabs>
          <w:tab w:val="right" w:pos="850"/>
          <w:tab w:val="left" w:pos="1134"/>
          <w:tab w:val="left" w:pos="1559"/>
          <w:tab w:val="left" w:pos="1984"/>
          <w:tab w:val="left" w:leader="dot" w:pos="8787"/>
          <w:tab w:val="right" w:pos="9638"/>
        </w:tabs>
        <w:suppressAutoHyphens w:val="0"/>
        <w:spacing w:after="120"/>
        <w:ind w:left="1559" w:hanging="1559"/>
        <w:rPr>
          <w:bCs/>
          <w:lang w:val="es-ES"/>
        </w:rPr>
      </w:pPr>
      <w:r>
        <w:rPr>
          <w:rFonts w:eastAsiaTheme="minorEastAsia"/>
          <w:bCs/>
          <w:lang w:val="es-ES" w:eastAsia="es-ES"/>
        </w:rPr>
        <w:tab/>
        <w:t>XII.</w:t>
      </w:r>
      <w:r>
        <w:rPr>
          <w:bCs/>
          <w:lang w:val="es-ES"/>
        </w:rPr>
        <w:tab/>
        <w:t>Visitas en virtud del artículo 33 de la Convención</w:t>
      </w:r>
      <w:r>
        <w:rPr>
          <w:bCs/>
          <w:lang w:val="es-ES"/>
        </w:rPr>
        <w:tab/>
      </w:r>
      <w:r>
        <w:rPr>
          <w:bCs/>
          <w:lang w:val="es-ES"/>
        </w:rPr>
        <w:tab/>
        <w:t>20</w:t>
      </w:r>
    </w:p>
    <w:p w14:paraId="6F342BE2" w14:textId="77777777" w:rsidR="00174B1B" w:rsidRDefault="00174B1B" w:rsidP="001A4DC6">
      <w:pPr>
        <w:tabs>
          <w:tab w:val="right" w:pos="850"/>
          <w:tab w:val="left" w:pos="1134"/>
          <w:tab w:val="left" w:pos="1559"/>
          <w:tab w:val="left" w:pos="1984"/>
          <w:tab w:val="left" w:leader="dot" w:pos="8787"/>
          <w:tab w:val="right" w:pos="9638"/>
        </w:tabs>
        <w:suppressAutoHyphens w:val="0"/>
        <w:spacing w:after="120"/>
        <w:ind w:left="1559" w:hanging="1559"/>
        <w:rPr>
          <w:bCs/>
          <w:lang w:val="es-ES"/>
        </w:rPr>
      </w:pPr>
      <w:r>
        <w:rPr>
          <w:rFonts w:eastAsiaTheme="minorEastAsia"/>
          <w:bCs/>
          <w:lang w:val="es-ES" w:eastAsia="es-ES"/>
        </w:rPr>
        <w:tab/>
        <w:t>XIII.</w:t>
      </w:r>
      <w:r>
        <w:rPr>
          <w:bCs/>
          <w:lang w:val="es-ES"/>
        </w:rPr>
        <w:tab/>
        <w:t>Principios rectores para la búsqueda de personas desaparecidas</w:t>
      </w:r>
      <w:r>
        <w:rPr>
          <w:bCs/>
          <w:lang w:val="es-ES"/>
        </w:rPr>
        <w:tab/>
      </w:r>
      <w:r>
        <w:rPr>
          <w:bCs/>
          <w:lang w:val="es-ES"/>
        </w:rPr>
        <w:tab/>
        <w:t>21</w:t>
      </w:r>
    </w:p>
    <w:p w14:paraId="3F84682D" w14:textId="77777777" w:rsidR="00174B1B" w:rsidRDefault="00174B1B" w:rsidP="00174B1B">
      <w:pPr>
        <w:pStyle w:val="H56G"/>
        <w:rPr>
          <w:rFonts w:eastAsiaTheme="minorEastAsia"/>
          <w:lang w:val="es-ES" w:eastAsia="es-ES"/>
        </w:rPr>
      </w:pPr>
      <w:r>
        <w:rPr>
          <w:rFonts w:eastAsiaTheme="minorEastAsia"/>
          <w:lang w:val="es-ES" w:eastAsia="es-ES"/>
        </w:rPr>
        <w:tab/>
        <w:t>Anexo</w:t>
      </w:r>
    </w:p>
    <w:p w14:paraId="559D4F8D" w14:textId="77777777" w:rsidR="00174B1B" w:rsidRPr="00C77F5B" w:rsidRDefault="00174B1B" w:rsidP="00174B1B">
      <w:pPr>
        <w:tabs>
          <w:tab w:val="right" w:pos="850"/>
          <w:tab w:val="left" w:pos="1134"/>
          <w:tab w:val="left" w:pos="1559"/>
          <w:tab w:val="left" w:pos="1984"/>
          <w:tab w:val="left" w:leader="dot" w:pos="8787"/>
          <w:tab w:val="right" w:pos="9638"/>
        </w:tabs>
        <w:suppressAutoHyphens w:val="0"/>
        <w:spacing w:after="120"/>
        <w:ind w:left="1134" w:hanging="1134"/>
        <w:rPr>
          <w:rFonts w:eastAsiaTheme="minorEastAsia"/>
          <w:bCs/>
          <w:lang w:val="es-ES" w:eastAsia="es-ES"/>
        </w:rPr>
      </w:pPr>
      <w:r>
        <w:rPr>
          <w:rFonts w:eastAsiaTheme="minorEastAsia"/>
          <w:bCs/>
          <w:lang w:val="es-ES" w:eastAsia="es-ES"/>
        </w:rPr>
        <w:tab/>
      </w:r>
      <w:r>
        <w:rPr>
          <w:rFonts w:eastAsiaTheme="minorEastAsia"/>
          <w:bCs/>
          <w:lang w:val="es-ES" w:eastAsia="es-ES"/>
        </w:rPr>
        <w:tab/>
      </w:r>
      <w:r>
        <w:rPr>
          <w:lang w:val="es-ES"/>
        </w:rPr>
        <w:t>Estados partes en la Convención al 4 de mayo de 2020 y su situación en cuanto a la presentación de informes</w:t>
      </w:r>
      <w:r>
        <w:rPr>
          <w:lang w:val="es-ES"/>
        </w:rPr>
        <w:tab/>
      </w:r>
      <w:r>
        <w:rPr>
          <w:lang w:val="es-ES"/>
        </w:rPr>
        <w:tab/>
        <w:t>22</w:t>
      </w:r>
    </w:p>
    <w:p w14:paraId="0F01BFD3" w14:textId="77777777" w:rsidR="0096750D"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14:paraId="5128AED5" w14:textId="77777777" w:rsidR="00DE4C10" w:rsidRDefault="00DE4C10" w:rsidP="00C55ADD">
      <w:pPr>
        <w:pStyle w:val="HChG"/>
        <w:rPr>
          <w:lang w:val="es-ES"/>
        </w:rPr>
        <w:sectPr w:rsidR="00DE4C10" w:rsidSect="00E276D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7" w:right="1134" w:bottom="1134" w:left="1134" w:header="850" w:footer="567" w:gutter="0"/>
          <w:pgNumType w:fmt="lowerRoman" w:start="3"/>
          <w:cols w:space="708"/>
          <w:titlePg/>
          <w:docGrid w:linePitch="360"/>
        </w:sectPr>
      </w:pPr>
    </w:p>
    <w:p w14:paraId="20C80F87" w14:textId="7A6BCCC4" w:rsidR="00DE4C10" w:rsidRDefault="00DE4C10" w:rsidP="005C472F">
      <w:pPr>
        <w:pStyle w:val="HChG"/>
        <w:rPr>
          <w:lang w:val="es-ES"/>
        </w:rPr>
      </w:pPr>
      <w:r>
        <w:rPr>
          <w:lang w:val="es-ES"/>
        </w:rPr>
        <w:lastRenderedPageBreak/>
        <w:tab/>
      </w:r>
      <w:r w:rsidR="00D645CB">
        <w:rPr>
          <w:lang w:val="es-ES"/>
        </w:rPr>
        <w:tab/>
        <w:t xml:space="preserve">Capítulo </w:t>
      </w:r>
      <w:r>
        <w:rPr>
          <w:lang w:val="es-ES"/>
        </w:rPr>
        <w:t>I</w:t>
      </w:r>
      <w:bookmarkStart w:id="0" w:name="_GoBack"/>
      <w:bookmarkEnd w:id="0"/>
      <w:r w:rsidR="00D645CB">
        <w:rPr>
          <w:lang w:val="es-ES"/>
        </w:rPr>
        <w:br/>
      </w:r>
      <w:r w:rsidR="005C472F" w:rsidRPr="005C472F">
        <w:rPr>
          <w:bCs/>
          <w:lang w:val="es-ES"/>
        </w:rPr>
        <w:t>Cuestiones de organización y otras cuestiones</w:t>
      </w:r>
    </w:p>
    <w:p w14:paraId="360861F8" w14:textId="77777777" w:rsidR="005C472F" w:rsidRPr="005C472F" w:rsidRDefault="005C472F" w:rsidP="005C472F">
      <w:pPr>
        <w:pStyle w:val="H1G"/>
        <w:rPr>
          <w:lang w:val="es-ES"/>
        </w:rPr>
      </w:pPr>
      <w:r>
        <w:rPr>
          <w:lang w:val="es-ES"/>
        </w:rPr>
        <w:tab/>
      </w:r>
      <w:r w:rsidRPr="005C472F">
        <w:rPr>
          <w:lang w:val="es-ES"/>
        </w:rPr>
        <w:t>A.</w:t>
      </w:r>
      <w:r w:rsidRPr="005C472F">
        <w:rPr>
          <w:lang w:val="es-ES"/>
        </w:rPr>
        <w:tab/>
      </w:r>
      <w:bookmarkStart w:id="1" w:name="_Hlk44660980"/>
      <w:r w:rsidRPr="005C472F">
        <w:rPr>
          <w:lang w:val="es-ES"/>
        </w:rPr>
        <w:t>Estados partes en la Convención</w:t>
      </w:r>
      <w:bookmarkStart w:id="2" w:name="_Toc326162632"/>
      <w:bookmarkStart w:id="3" w:name="_Toc326220747"/>
      <w:bookmarkStart w:id="4" w:name="_Toc460489529"/>
      <w:bookmarkStart w:id="5" w:name="_Toc522200454"/>
      <w:bookmarkStart w:id="6" w:name="_Toc43905465"/>
      <w:bookmarkStart w:id="7" w:name="_Toc43906546"/>
      <w:bookmarkStart w:id="8" w:name="_Toc43996417"/>
      <w:bookmarkEnd w:id="2"/>
      <w:bookmarkEnd w:id="3"/>
      <w:bookmarkEnd w:id="4"/>
      <w:bookmarkEnd w:id="5"/>
      <w:bookmarkEnd w:id="6"/>
      <w:bookmarkEnd w:id="7"/>
      <w:bookmarkEnd w:id="8"/>
      <w:bookmarkEnd w:id="1"/>
    </w:p>
    <w:p w14:paraId="7AA33C36" w14:textId="77777777" w:rsidR="005C472F" w:rsidRPr="005C472F" w:rsidRDefault="005C472F" w:rsidP="005C472F">
      <w:pPr>
        <w:pStyle w:val="SingleTxtG"/>
        <w:rPr>
          <w:lang w:val="es-ES"/>
        </w:rPr>
      </w:pPr>
      <w:r w:rsidRPr="005C472F">
        <w:rPr>
          <w:lang w:val="es-ES"/>
        </w:rPr>
        <w:t>1.</w:t>
      </w:r>
      <w:r w:rsidRPr="005C472F">
        <w:rPr>
          <w:lang w:val="es-ES"/>
        </w:rPr>
        <w:tab/>
        <w:t>A 4 de mayo de 2020, fecha de clausura del 18º período de sesiones del Comité contra la Desaparición Forzada, los Estados partes en la Convención Internacional para la Protección de Todas las Personas contra las Desapariciones Forzadas ascendían a 62 y los signatarios a 98. La Convención fue aprobada mediante la resolución 61/177 de la Asamblea General, de 20 de diciembre de 2006, y quedó abierta a la firma y la ratificación el 6 de febrero de 2007. De conformidad con lo dispuesto en su artículo 39, párrafo 1, la Convención entró en vigor el 23 de diciembre de 2010.</w:t>
      </w:r>
    </w:p>
    <w:p w14:paraId="6349CAA4" w14:textId="77777777" w:rsidR="005C472F" w:rsidRPr="005C472F" w:rsidRDefault="005C472F" w:rsidP="005C472F">
      <w:pPr>
        <w:pStyle w:val="SingleTxtG"/>
        <w:rPr>
          <w:lang w:val="es-ES"/>
        </w:rPr>
      </w:pPr>
      <w:r w:rsidRPr="005C472F">
        <w:rPr>
          <w:lang w:val="es-ES"/>
        </w:rPr>
        <w:t>2.</w:t>
      </w:r>
      <w:r w:rsidRPr="005C472F">
        <w:rPr>
          <w:lang w:val="es-ES"/>
        </w:rPr>
        <w:tab/>
        <w:t>La lista actualizada de Estados partes en la Convención, así como la información sobre las declaraciones formuladas en virtud de los artículos 31 y 32 y las reservas, pueden consultarse en el sitio web de la Oficina de Asuntos Jurídicos de la Secretaría</w:t>
      </w:r>
      <w:r w:rsidR="004E3B1C">
        <w:rPr>
          <w:rStyle w:val="FootnoteReference"/>
          <w:lang w:val="es-ES"/>
        </w:rPr>
        <w:footnoteReference w:id="1"/>
      </w:r>
      <w:r w:rsidR="000745D5">
        <w:rPr>
          <w:lang w:val="es-ES"/>
        </w:rPr>
        <w:t>.</w:t>
      </w:r>
    </w:p>
    <w:p w14:paraId="20EFEC7E" w14:textId="77777777" w:rsidR="005C472F" w:rsidRPr="005C472F" w:rsidRDefault="00A24CC1" w:rsidP="00A24CC1">
      <w:pPr>
        <w:pStyle w:val="H1G"/>
        <w:rPr>
          <w:lang w:val="es-ES"/>
        </w:rPr>
      </w:pPr>
      <w:r>
        <w:rPr>
          <w:lang w:val="es-ES"/>
        </w:rPr>
        <w:tab/>
      </w:r>
      <w:r w:rsidR="005C472F" w:rsidRPr="005C472F">
        <w:rPr>
          <w:lang w:val="es-ES"/>
        </w:rPr>
        <w:t>B.</w:t>
      </w:r>
      <w:r w:rsidR="005C472F" w:rsidRPr="005C472F">
        <w:rPr>
          <w:lang w:val="es-ES"/>
        </w:rPr>
        <w:tab/>
        <w:t>Sesiones y períodos de sesiones</w:t>
      </w:r>
      <w:bookmarkStart w:id="9" w:name="_Toc326162633"/>
      <w:bookmarkStart w:id="10" w:name="_Toc326220748"/>
      <w:bookmarkStart w:id="11" w:name="_Toc460489530"/>
      <w:bookmarkStart w:id="12" w:name="_Toc522200455"/>
      <w:bookmarkStart w:id="13" w:name="_Toc43905466"/>
      <w:bookmarkStart w:id="14" w:name="_Toc43906547"/>
      <w:bookmarkStart w:id="15" w:name="_Toc43996418"/>
      <w:bookmarkEnd w:id="9"/>
      <w:bookmarkEnd w:id="10"/>
      <w:bookmarkEnd w:id="11"/>
      <w:bookmarkEnd w:id="12"/>
      <w:bookmarkEnd w:id="13"/>
      <w:bookmarkEnd w:id="14"/>
      <w:bookmarkEnd w:id="15"/>
    </w:p>
    <w:p w14:paraId="2F505B5E" w14:textId="77777777" w:rsidR="005C472F" w:rsidRPr="005C472F" w:rsidRDefault="005C472F" w:rsidP="005C472F">
      <w:pPr>
        <w:pStyle w:val="SingleTxtG"/>
        <w:rPr>
          <w:lang w:val="es-ES"/>
        </w:rPr>
      </w:pPr>
      <w:r w:rsidRPr="005C472F">
        <w:rPr>
          <w:lang w:val="es-ES"/>
        </w:rPr>
        <w:t>3.</w:t>
      </w:r>
      <w:r w:rsidRPr="005C472F">
        <w:rPr>
          <w:lang w:val="es-ES"/>
        </w:rPr>
        <w:tab/>
        <w:t>El Comité celebró su 17º período de sesiones del 30 de septiembre al 11 de octubre de 2019 en la Oficina de las Naciones Unidas en Ginebra. Celebró 20 sesiones plenarias. El Comité aprobó el programa (</w:t>
      </w:r>
      <w:hyperlink r:id="rId21" w:history="1">
        <w:r w:rsidRPr="005C472F">
          <w:rPr>
            <w:rStyle w:val="Hyperlink"/>
            <w:u w:val="none"/>
            <w:lang w:val="es-ES"/>
          </w:rPr>
          <w:t>CED/C/17/1</w:t>
        </w:r>
      </w:hyperlink>
      <w:r w:rsidRPr="005C472F">
        <w:rPr>
          <w:lang w:val="es-ES"/>
        </w:rPr>
        <w:t xml:space="preserve">) en su 294ª sesión. El 17º período de sesiones fue inaugurado por </w:t>
      </w:r>
      <w:r w:rsidR="004E3B1C">
        <w:rPr>
          <w:lang w:val="es-ES"/>
        </w:rPr>
        <w:t xml:space="preserve">el </w:t>
      </w:r>
      <w:r w:rsidRPr="005C472F">
        <w:rPr>
          <w:lang w:val="es-ES"/>
        </w:rPr>
        <w:t>Jefe de la Sección de Derechos Civiles, Políticos, Económicos, Sociales y Culturales de la Oficina del Alto Comisionado de las Naciones Unidas para los Derechos Humanos (ACNUDH).</w:t>
      </w:r>
      <w:bookmarkStart w:id="16" w:name="_Hlk14448626"/>
      <w:bookmarkEnd w:id="16"/>
    </w:p>
    <w:p w14:paraId="38CDE477" w14:textId="77777777" w:rsidR="005C472F" w:rsidRPr="005C472F" w:rsidRDefault="005C472F" w:rsidP="005C472F">
      <w:pPr>
        <w:pStyle w:val="SingleTxtG"/>
        <w:rPr>
          <w:lang w:val="es-ES"/>
        </w:rPr>
      </w:pPr>
      <w:r w:rsidRPr="005C472F">
        <w:rPr>
          <w:lang w:val="es-ES"/>
        </w:rPr>
        <w:t>4.</w:t>
      </w:r>
      <w:r w:rsidRPr="005C472F">
        <w:rPr>
          <w:lang w:val="es-ES"/>
        </w:rPr>
        <w:tab/>
        <w:t>En su declaración introductoria, celebró las últimas incorporaciones de Estados partes a la Convención: Dominica, Fiji y Noruega, y se refirió a la importancia de promover las ratificaciones. La Argentina, Colombia y México habían hecho referencia a los principios rectores para la búsqueda de personas desaparecidas (</w:t>
      </w:r>
      <w:hyperlink r:id="rId22" w:history="1">
        <w:r w:rsidRPr="005C472F">
          <w:rPr>
            <w:rStyle w:val="Hyperlink"/>
            <w:u w:val="none"/>
            <w:lang w:val="es-ES"/>
          </w:rPr>
          <w:t>CED/C/7</w:t>
        </w:r>
      </w:hyperlink>
      <w:r w:rsidRPr="005C472F">
        <w:rPr>
          <w:lang w:val="es-ES"/>
        </w:rPr>
        <w:t xml:space="preserve">), que el Comité había aprobado en su 16º período de sesiones, en abril de 2019. Destacó el apoyo del ACNUDH a la labor nacional de lucha contra la desaparición forzada y, en general, a la labor del Comité. En cuanto a la situación financiera de los órganos creados en virtud de tratados, estado general de la corriente de efectivo y el notable déficit en la dotación de personal de la Subdivisión de Tratados de Derechos Humanos del ACNUDH seguían suscitando gran preocupación y hacían que el futuro fuera incierto. La Alta Comisionada de las Naciones Unidas para los Derechos Humanos había destacado que el examen en 2020 del sistema de órganos creados en virtud de tratados constituía una oportunidad para reforzar </w:t>
      </w:r>
      <w:r w:rsidRPr="00A950A2">
        <w:rPr>
          <w:i/>
          <w:lang w:val="es-ES"/>
        </w:rPr>
        <w:t>in situ</w:t>
      </w:r>
      <w:r w:rsidRPr="005C472F">
        <w:rPr>
          <w:lang w:val="es-ES"/>
        </w:rPr>
        <w:t xml:space="preserve"> el impacto de las deliberaciones de esos órganos, entre otras cosas mediante la racionalización y armonización de los procedimientos.</w:t>
      </w:r>
    </w:p>
    <w:p w14:paraId="4DC26F5D" w14:textId="77777777" w:rsidR="005C472F" w:rsidRPr="005C472F" w:rsidRDefault="005C472F" w:rsidP="005C472F">
      <w:pPr>
        <w:pStyle w:val="SingleTxtG"/>
        <w:rPr>
          <w:bCs/>
          <w:lang w:val="es-ES"/>
        </w:rPr>
      </w:pPr>
      <w:r w:rsidRPr="005C472F">
        <w:rPr>
          <w:lang w:val="es-ES"/>
        </w:rPr>
        <w:t>5.</w:t>
      </w:r>
      <w:r w:rsidRPr="005C472F">
        <w:rPr>
          <w:lang w:val="es-ES"/>
        </w:rPr>
        <w:tab/>
        <w:t xml:space="preserve">De conformidad con las medidas de precaución adoptadas en el contexto de la pandemia de la enfermedad por coronavirus (COVID-19), el 18º período de sesiones del Comité, cuya celebración estaba prevista inicialmente en Ginebra del 30 de marzo al 9 de abril de 2020, se inauguró en línea el 4 de mayo de 2020, en su 314ª sesión. En la sesión participaron expertos de lugares como Tokio y Lima y fue transmitida por la TV Web de las Naciones Unidas. El período de sesiones fue inaugurado por el Jefe de la Subdivisión de Tratados de Derechos Humanos del ACNUDH, el cual mencionó la importancia de la apertura de ese período de sesiones por ser la primera vez en la historia de los órganos creados en virtud de tratados que se celebraba un período de sesiones en línea. Al dar ese paso, a pesar de las concesiones que ello había requerido, el Comité estaba demostrando que la Convención seguía siendo una realidad para todos los Estados y para todas las víctimas de la desaparición forzada, cualesquiera que fueran las circunstancias. Era especialmente preocupante que siguiera habiendo desapariciones forzadas en el contexto de la COVID-19, y de ningún modo podía servir la pandemia de excusa para la desaparición </w:t>
      </w:r>
      <w:r w:rsidRPr="005C472F">
        <w:rPr>
          <w:lang w:val="es-ES"/>
        </w:rPr>
        <w:lastRenderedPageBreak/>
        <w:t>de personas. Destacó la relevancia del mandato de protección y prevención de los órganos creados en virtud de tratados y recordó la importancia de seguir promoviendo la ratificación de la Convención. En lo que respecta al proceso de examen de 2020, el 8 de abril de 2020, el Presidente de la Asamblea General nombró a los Representantes Permanentes de Marruecos y Suiza ante las Naciones Unidas como cofacilitadores para que celebraran consultas oficiosas y le informaran al respecto a más tardar en septiembre de 2020. Se seguía avanzando en la labor trabajando en línea y se esperaba que ello condujera a ajustes en las medidas adoptadas de conformidad con la resolución 68/268 de la Asamblea General, incluidos los recursos necesarios, para que el sistema de órganos creados en virtud de tratados pudiera responder a los retos a los que se enfrentaba. El orador señaló a la atención de los presentes el tercer informe del Secretario General sobre la situación del sistema de órganos creados en virtud de tratados (</w:t>
      </w:r>
      <w:hyperlink r:id="rId23" w:history="1">
        <w:r w:rsidRPr="005C472F">
          <w:rPr>
            <w:rStyle w:val="Hyperlink"/>
            <w:u w:val="none"/>
            <w:lang w:val="es-ES"/>
          </w:rPr>
          <w:t>A/74/643</w:t>
        </w:r>
      </w:hyperlink>
      <w:r w:rsidRPr="005C472F">
        <w:rPr>
          <w:lang w:val="es-ES"/>
        </w:rPr>
        <w:t>).</w:t>
      </w:r>
    </w:p>
    <w:p w14:paraId="37371D39" w14:textId="77777777" w:rsidR="005C472F" w:rsidRPr="005C472F" w:rsidRDefault="005C472F" w:rsidP="005C472F">
      <w:pPr>
        <w:pStyle w:val="SingleTxtG"/>
        <w:rPr>
          <w:bCs/>
          <w:lang w:val="es-ES"/>
        </w:rPr>
      </w:pPr>
      <w:r w:rsidRPr="005C472F">
        <w:rPr>
          <w:lang w:val="es-ES"/>
        </w:rPr>
        <w:t>6.</w:t>
      </w:r>
      <w:r w:rsidRPr="005C472F">
        <w:rPr>
          <w:lang w:val="es-ES"/>
        </w:rPr>
        <w:tab/>
        <w:t>En su declaración introductoria, el Presidente del Comité destacó el carácter pionero del período de sesiones, el primero celebrado en línea, y recordó el compromiso del Comité con el apoyo a las víctimas, subrayando que los derechos y obligaciones consagrados en la Convención seguían siendo una realidad, cualesquiera que fueran las circunstancias. Tras la declaración del Presidente, se rindió homenaje a las víctimas de desapariciones forzadas. Se dio la palabra a María Nohemí Barbosa González, madre de una persona desaparecida de Colombia, para que diera testimonio de los problemas con que se había encontrado en la búsqueda de su hijo. María Nohemí agradeció al Comité su rápida respuesta y su continuo apoyo a través de su procedimiento de acción urgente. Era la primera vez en la historia del Comité que se le daba la palabra a una víctima durante la apertura de un período de sesiones. Al no tener acceso a una plataforma adecuada que permitiera la interpretación consecutiva, el Comité consideró necesario aplazar los diálogos interactivos con los Estados partes que se habían programado para el 18º período de sesiones. El Comité celebró una sesión a puerta cerrada en línea, durante la cual aprobó listas de cuestiones en relación con los informes presentados por el Brasil y Panamá en virtud del artículo 29, párrafo 1, de la Convención, y examinó el programa provisional del 19º período de sesiones. A continuación, se suspendió el 18º período de sesiones, que se dejó abierto hasta el primer día del 19º período de sesiones, a fin de que el Comité pudiera aprobar en línea otros documentos, como su informe a la Asamblea General. Al ser el primer período de sesiones de un órgano creado en virtud de un tratado que se celebraba en línea, constituyó una importante fuente de aprendizaje para la organización de otros períodos de sesiones en el contexto de la COVID-19, y proporcionó nuevos elementos de reflexión sobre los métodos de trabajo de los órganos creados en virtud de tratados. El Presidente del Comité envió a la Alta Comisionada una carta sobre el tema, que posteriormente se distribuyó a los presidentes de los demás órganos creados en virtud de tratados y a los dos cofacilitadores del examen de 2020.</w:t>
      </w:r>
    </w:p>
    <w:p w14:paraId="5868F6C3" w14:textId="77777777" w:rsidR="005C472F" w:rsidRPr="005C472F" w:rsidRDefault="00A24CC1" w:rsidP="00A24CC1">
      <w:pPr>
        <w:pStyle w:val="H1G"/>
        <w:rPr>
          <w:lang w:val="es-ES"/>
        </w:rPr>
      </w:pPr>
      <w:r>
        <w:rPr>
          <w:lang w:val="es-ES"/>
        </w:rPr>
        <w:tab/>
      </w:r>
      <w:r w:rsidR="005C472F" w:rsidRPr="005C472F">
        <w:rPr>
          <w:lang w:val="es-ES"/>
        </w:rPr>
        <w:t>C.</w:t>
      </w:r>
      <w:r w:rsidR="005C472F" w:rsidRPr="005C472F">
        <w:rPr>
          <w:lang w:val="es-ES"/>
        </w:rPr>
        <w:tab/>
        <w:t>Composición y asistencia</w:t>
      </w:r>
      <w:bookmarkStart w:id="17" w:name="_Toc326162634"/>
      <w:bookmarkStart w:id="18" w:name="_Toc326220749"/>
      <w:bookmarkStart w:id="19" w:name="_Toc460489531"/>
      <w:bookmarkStart w:id="20" w:name="_Toc522200456"/>
      <w:bookmarkStart w:id="21" w:name="_Toc43905467"/>
      <w:bookmarkStart w:id="22" w:name="_Toc43906548"/>
      <w:bookmarkStart w:id="23" w:name="_Toc43996419"/>
      <w:bookmarkEnd w:id="17"/>
      <w:bookmarkEnd w:id="18"/>
      <w:bookmarkEnd w:id="19"/>
      <w:bookmarkEnd w:id="20"/>
      <w:bookmarkEnd w:id="21"/>
      <w:bookmarkEnd w:id="22"/>
      <w:bookmarkEnd w:id="23"/>
    </w:p>
    <w:p w14:paraId="4DCF75A0" w14:textId="77777777" w:rsidR="005C472F" w:rsidRPr="005C472F" w:rsidRDefault="005C472F" w:rsidP="005C472F">
      <w:pPr>
        <w:pStyle w:val="SingleTxtG"/>
        <w:rPr>
          <w:lang w:val="es-ES"/>
        </w:rPr>
      </w:pPr>
      <w:r w:rsidRPr="005C472F">
        <w:rPr>
          <w:lang w:val="es-ES"/>
        </w:rPr>
        <w:t>7.</w:t>
      </w:r>
      <w:r w:rsidRPr="005C472F">
        <w:rPr>
          <w:lang w:val="es-ES"/>
        </w:rPr>
        <w:tab/>
        <w:t xml:space="preserve">Todos los miembros del Comité, salvo uno, asistieron al 17º período de sesiones del Comité, y un miembro quedó dispensado en el 18º período de sesiones. La lista de los miembros actuales, con indicación de la duración de sus mandatos, puede consultarse en la dirección: </w:t>
      </w:r>
      <w:hyperlink r:id="rId24" w:history="1">
        <w:r w:rsidRPr="005C472F">
          <w:rPr>
            <w:rStyle w:val="Hyperlink"/>
            <w:u w:val="none"/>
            <w:lang w:val="es-ES"/>
          </w:rPr>
          <w:t>www.ohchr.org/EN/HRBodies/CED/Pages/Membership.aspx</w:t>
        </w:r>
      </w:hyperlink>
      <w:r w:rsidRPr="005C472F">
        <w:rPr>
          <w:lang w:val="es-ES"/>
        </w:rPr>
        <w:t>.</w:t>
      </w:r>
    </w:p>
    <w:p w14:paraId="2AE04C59" w14:textId="77777777" w:rsidR="005C472F" w:rsidRPr="005C472F" w:rsidRDefault="005C472F" w:rsidP="005C472F">
      <w:pPr>
        <w:pStyle w:val="SingleTxtG"/>
        <w:rPr>
          <w:lang w:val="es-ES"/>
        </w:rPr>
      </w:pPr>
      <w:r w:rsidRPr="005C472F">
        <w:rPr>
          <w:lang w:val="es-ES"/>
        </w:rPr>
        <w:t>8.</w:t>
      </w:r>
      <w:r w:rsidRPr="005C472F">
        <w:rPr>
          <w:lang w:val="es-ES"/>
        </w:rPr>
        <w:tab/>
        <w:t>A diferencia de la práctica seguida con anteriorioridad, la preparación de los nuevos miembros del Comité tuvo que realizarse durante el 17º período de sesiones, ya que no se disponía de recursos financieros para organizar la formación de antemano.</w:t>
      </w:r>
    </w:p>
    <w:p w14:paraId="79DDC846" w14:textId="77777777" w:rsidR="005C472F" w:rsidRPr="005C472F" w:rsidRDefault="00E03971" w:rsidP="00E03971">
      <w:pPr>
        <w:pStyle w:val="H1G"/>
        <w:rPr>
          <w:lang w:val="es-ES"/>
        </w:rPr>
      </w:pPr>
      <w:r>
        <w:rPr>
          <w:lang w:val="es-ES"/>
        </w:rPr>
        <w:tab/>
      </w:r>
      <w:r w:rsidR="005C472F" w:rsidRPr="005C472F">
        <w:rPr>
          <w:lang w:val="es-ES"/>
        </w:rPr>
        <w:t>D.</w:t>
      </w:r>
      <w:r w:rsidR="005C472F" w:rsidRPr="005C472F">
        <w:rPr>
          <w:lang w:val="es-ES"/>
        </w:rPr>
        <w:tab/>
        <w:t>Decisiones del Comité</w:t>
      </w:r>
      <w:bookmarkStart w:id="24" w:name="_Toc326162639"/>
      <w:bookmarkStart w:id="25" w:name="_Toc326220754"/>
      <w:bookmarkStart w:id="26" w:name="_Toc460489532"/>
      <w:bookmarkStart w:id="27" w:name="_Toc522200457"/>
      <w:bookmarkStart w:id="28" w:name="_Toc43905468"/>
      <w:bookmarkStart w:id="29" w:name="_Toc43906549"/>
      <w:bookmarkStart w:id="30" w:name="_Toc43996420"/>
      <w:bookmarkStart w:id="31" w:name="_Toc326162635"/>
      <w:bookmarkStart w:id="32" w:name="_Toc326220750"/>
      <w:bookmarkEnd w:id="24"/>
      <w:bookmarkEnd w:id="25"/>
      <w:bookmarkEnd w:id="26"/>
      <w:bookmarkEnd w:id="27"/>
      <w:bookmarkEnd w:id="28"/>
      <w:bookmarkEnd w:id="29"/>
      <w:bookmarkEnd w:id="30"/>
    </w:p>
    <w:p w14:paraId="4C590C61" w14:textId="77777777" w:rsidR="005C472F" w:rsidRPr="005C472F" w:rsidRDefault="005C472F" w:rsidP="005C472F">
      <w:pPr>
        <w:pStyle w:val="SingleTxtG"/>
        <w:rPr>
          <w:lang w:val="es-ES"/>
        </w:rPr>
      </w:pPr>
      <w:r w:rsidRPr="005C472F">
        <w:rPr>
          <w:lang w:val="es-ES"/>
        </w:rPr>
        <w:t>9.</w:t>
      </w:r>
      <w:r w:rsidRPr="005C472F">
        <w:rPr>
          <w:lang w:val="es-ES"/>
        </w:rPr>
        <w:tab/>
        <w:t>En su 17º período de sesiones, el Comité decidió, entre otras cosas:</w:t>
      </w:r>
    </w:p>
    <w:p w14:paraId="0F3CD542" w14:textId="77777777" w:rsidR="005C472F" w:rsidRPr="005C472F" w:rsidRDefault="00E03971" w:rsidP="005C472F">
      <w:pPr>
        <w:pStyle w:val="SingleTxtG"/>
        <w:rPr>
          <w:lang w:val="es-ES"/>
        </w:rPr>
      </w:pPr>
      <w:r>
        <w:rPr>
          <w:lang w:val="es-ES"/>
        </w:rPr>
        <w:tab/>
      </w:r>
      <w:r w:rsidR="005C472F" w:rsidRPr="005C472F">
        <w:rPr>
          <w:lang w:val="es-ES"/>
        </w:rPr>
        <w:t>a)</w:t>
      </w:r>
      <w:r w:rsidR="005C472F" w:rsidRPr="005C472F">
        <w:rPr>
          <w:lang w:val="es-ES"/>
        </w:rPr>
        <w:tab/>
        <w:t>Elegir por consenso, teniendo debidamente en cuenta el principio de representación geográfica equitativa, a los siguientes miembros de su Mesa:</w:t>
      </w:r>
    </w:p>
    <w:p w14:paraId="2BCE0DA9" w14:textId="77777777" w:rsidR="005C472F" w:rsidRPr="005C472F" w:rsidRDefault="005C472F" w:rsidP="005C5B44">
      <w:pPr>
        <w:pStyle w:val="Bullet2G"/>
        <w:keepNext/>
        <w:keepLines/>
        <w:rPr>
          <w:lang w:val="es-ES"/>
        </w:rPr>
      </w:pPr>
      <w:r w:rsidRPr="005C472F">
        <w:rPr>
          <w:lang w:val="es-ES"/>
        </w:rPr>
        <w:lastRenderedPageBreak/>
        <w:t>Presidente: Mohammed Ayat (Marruecos);</w:t>
      </w:r>
    </w:p>
    <w:p w14:paraId="1AEEC737" w14:textId="77777777" w:rsidR="005C472F" w:rsidRPr="005C472F" w:rsidRDefault="005C472F" w:rsidP="005C5B44">
      <w:pPr>
        <w:pStyle w:val="Bullet2G"/>
        <w:rPr>
          <w:lang w:val="es-ES"/>
        </w:rPr>
      </w:pPr>
      <w:r w:rsidRPr="005C472F">
        <w:rPr>
          <w:lang w:val="es-ES"/>
        </w:rPr>
        <w:t>Vicepresidentes: Horacio Ravenna (Argentina), Milica Kolaković-Bojović (Serbia) y Olivier de Frouville (Francia);</w:t>
      </w:r>
    </w:p>
    <w:p w14:paraId="555D5302" w14:textId="77777777" w:rsidR="005C472F" w:rsidRPr="005C472F" w:rsidRDefault="005C472F" w:rsidP="005C5B44">
      <w:pPr>
        <w:pStyle w:val="Bullet2G"/>
        <w:rPr>
          <w:lang w:val="es-ES"/>
        </w:rPr>
      </w:pPr>
      <w:r w:rsidRPr="005C472F">
        <w:rPr>
          <w:lang w:val="es-ES"/>
        </w:rPr>
        <w:t>Relator: Teraya Koji (Japón);</w:t>
      </w:r>
    </w:p>
    <w:p w14:paraId="78465F3F" w14:textId="77777777" w:rsidR="005C472F" w:rsidRPr="005C472F" w:rsidRDefault="00E03971" w:rsidP="005C472F">
      <w:pPr>
        <w:pStyle w:val="SingleTxtG"/>
        <w:rPr>
          <w:lang w:val="es-ES"/>
        </w:rPr>
      </w:pPr>
      <w:r>
        <w:rPr>
          <w:lang w:val="es-ES"/>
        </w:rPr>
        <w:tab/>
      </w:r>
      <w:r w:rsidR="005C472F" w:rsidRPr="005C472F">
        <w:rPr>
          <w:lang w:val="es-ES"/>
        </w:rPr>
        <w:t>b)</w:t>
      </w:r>
      <w:r w:rsidR="005C472F" w:rsidRPr="005C472F">
        <w:rPr>
          <w:lang w:val="es-ES"/>
        </w:rPr>
        <w:tab/>
        <w:t>Nombrar relatores para los países con miras el examen por el Comité, en su 18º período de sesiones, de los informes presentados por el Iraq, Mongolia y Suiza en virtud del artículo 29, párrafo 1</w:t>
      </w:r>
      <w:r w:rsidR="005C5B44">
        <w:rPr>
          <w:lang w:val="es-ES"/>
        </w:rPr>
        <w:t>,</w:t>
      </w:r>
      <w:r w:rsidR="005C472F" w:rsidRPr="005C472F">
        <w:rPr>
          <w:lang w:val="es-ES"/>
        </w:rPr>
        <w:t xml:space="preserve"> de la Convención, y nombrar relatores para los países que preparen las listas de cuestiones en relación con los informes presentados por el Brasil y Panamá;</w:t>
      </w:r>
    </w:p>
    <w:p w14:paraId="3EC0E6D4" w14:textId="77777777" w:rsidR="005C472F" w:rsidRPr="005C472F" w:rsidRDefault="005C472F" w:rsidP="005C472F">
      <w:pPr>
        <w:pStyle w:val="SingleTxtG"/>
        <w:rPr>
          <w:lang w:val="es-ES"/>
        </w:rPr>
      </w:pPr>
      <w:r w:rsidRPr="005C472F">
        <w:rPr>
          <w:lang w:val="es-ES"/>
        </w:rPr>
        <w:tab/>
        <w:t>c)</w:t>
      </w:r>
      <w:r w:rsidRPr="005C472F">
        <w:rPr>
          <w:lang w:val="es-ES"/>
        </w:rPr>
        <w:tab/>
        <w:t>Aprobar una lista de cuestiones en ausencia del informe de Nigeria;</w:t>
      </w:r>
    </w:p>
    <w:p w14:paraId="09641F12" w14:textId="77777777" w:rsidR="005C472F" w:rsidRPr="005C472F" w:rsidRDefault="00E03971" w:rsidP="005C472F">
      <w:pPr>
        <w:pStyle w:val="SingleTxtG"/>
        <w:rPr>
          <w:lang w:val="es-ES"/>
        </w:rPr>
      </w:pPr>
      <w:r>
        <w:rPr>
          <w:lang w:val="es-ES"/>
        </w:rPr>
        <w:tab/>
      </w:r>
      <w:r w:rsidR="005C472F" w:rsidRPr="005C472F">
        <w:rPr>
          <w:lang w:val="es-ES"/>
        </w:rPr>
        <w:t>d)</w:t>
      </w:r>
      <w:r w:rsidR="005C472F" w:rsidRPr="005C472F">
        <w:rPr>
          <w:lang w:val="es-ES"/>
        </w:rPr>
        <w:tab/>
        <w:t>Respaldar la visión común de los Presidentes de los órganos creados en virtud de tratados en relación con el examen en 2020 del sistema de órganos creados en virtud de tratado;</w:t>
      </w:r>
    </w:p>
    <w:p w14:paraId="6108B706" w14:textId="77777777" w:rsidR="005C472F" w:rsidRPr="005C472F" w:rsidRDefault="00E03971" w:rsidP="005C472F">
      <w:pPr>
        <w:pStyle w:val="SingleTxtG"/>
        <w:rPr>
          <w:lang w:val="es-ES"/>
        </w:rPr>
      </w:pPr>
      <w:r>
        <w:rPr>
          <w:lang w:val="es-ES"/>
        </w:rPr>
        <w:tab/>
      </w:r>
      <w:r w:rsidR="005C472F" w:rsidRPr="005C472F">
        <w:rPr>
          <w:lang w:val="es-ES"/>
        </w:rPr>
        <w:t>e)</w:t>
      </w:r>
      <w:r w:rsidR="005C472F" w:rsidRPr="005C472F">
        <w:rPr>
          <w:lang w:val="es-ES"/>
        </w:rPr>
        <w:tab/>
        <w:t>Seguir desarrollando sus métodos de trabajo, en particular en relación con la información adicional presentada por los Estados partes en virtud del artículo 29, párrafo 4, de la Convención;</w:t>
      </w:r>
    </w:p>
    <w:p w14:paraId="266257F1" w14:textId="77777777" w:rsidR="005C472F" w:rsidRPr="005C472F" w:rsidRDefault="00E03971" w:rsidP="005C472F">
      <w:pPr>
        <w:pStyle w:val="SingleTxtG"/>
        <w:rPr>
          <w:lang w:val="es-ES"/>
        </w:rPr>
      </w:pPr>
      <w:r>
        <w:rPr>
          <w:lang w:val="es-ES"/>
        </w:rPr>
        <w:tab/>
      </w:r>
      <w:r w:rsidR="005C472F" w:rsidRPr="005C472F">
        <w:rPr>
          <w:lang w:val="es-ES"/>
        </w:rPr>
        <w:t>f)</w:t>
      </w:r>
      <w:r w:rsidR="005C472F" w:rsidRPr="005C472F">
        <w:rPr>
          <w:lang w:val="es-ES"/>
        </w:rPr>
        <w:tab/>
        <w:t>Aprobar un informe sobre las peticiones de acción urgente (</w:t>
      </w:r>
      <w:hyperlink r:id="rId25" w:history="1">
        <w:r w:rsidR="005C472F" w:rsidRPr="005C472F">
          <w:rPr>
            <w:rStyle w:val="Hyperlink"/>
            <w:u w:val="none"/>
            <w:lang w:val="es-ES"/>
          </w:rPr>
          <w:t>CED/C/17/2</w:t>
        </w:r>
      </w:hyperlink>
      <w:r w:rsidR="005C472F" w:rsidRPr="005C472F">
        <w:rPr>
          <w:lang w:val="es-ES"/>
        </w:rPr>
        <w:t>);</w:t>
      </w:r>
    </w:p>
    <w:p w14:paraId="25D48E92" w14:textId="77777777" w:rsidR="005C472F" w:rsidRPr="005C472F" w:rsidRDefault="00E03971" w:rsidP="005C472F">
      <w:pPr>
        <w:pStyle w:val="SingleTxtG"/>
        <w:rPr>
          <w:lang w:val="es-ES"/>
        </w:rPr>
      </w:pPr>
      <w:r>
        <w:rPr>
          <w:lang w:val="es-ES"/>
        </w:rPr>
        <w:tab/>
      </w:r>
      <w:r w:rsidR="005C472F" w:rsidRPr="005C472F">
        <w:rPr>
          <w:lang w:val="es-ES"/>
        </w:rPr>
        <w:t>g)</w:t>
      </w:r>
      <w:r w:rsidR="005C472F" w:rsidRPr="005C472F">
        <w:rPr>
          <w:lang w:val="es-ES"/>
        </w:rPr>
        <w:tab/>
        <w:t xml:space="preserve">Continuar el procedimiento de seguimiento en relación con el caso </w:t>
      </w:r>
      <w:r w:rsidR="005C472F" w:rsidRPr="005C472F">
        <w:rPr>
          <w:i/>
          <w:iCs/>
          <w:lang w:val="es-ES"/>
        </w:rPr>
        <w:t>Yrusta y Del Valle Yrusta c. la Argentina</w:t>
      </w:r>
      <w:r w:rsidR="005C472F" w:rsidRPr="005C472F">
        <w:rPr>
          <w:lang w:val="es-ES"/>
        </w:rPr>
        <w:t xml:space="preserve"> (</w:t>
      </w:r>
      <w:hyperlink r:id="rId26" w:history="1">
        <w:r w:rsidR="005C472F" w:rsidRPr="005C472F">
          <w:rPr>
            <w:rStyle w:val="Hyperlink"/>
            <w:u w:val="none"/>
            <w:lang w:val="es-ES"/>
          </w:rPr>
          <w:t>CED/C/10/D/1/2013</w:t>
        </w:r>
      </w:hyperlink>
      <w:r w:rsidR="005C472F" w:rsidRPr="005C472F">
        <w:rPr>
          <w:lang w:val="es-ES"/>
        </w:rPr>
        <w:t>);</w:t>
      </w:r>
    </w:p>
    <w:p w14:paraId="666E3E98" w14:textId="77777777" w:rsidR="005C472F" w:rsidRPr="005C472F" w:rsidRDefault="00E03971" w:rsidP="005C472F">
      <w:pPr>
        <w:pStyle w:val="SingleTxtG"/>
        <w:rPr>
          <w:lang w:val="es-ES"/>
        </w:rPr>
      </w:pPr>
      <w:r>
        <w:rPr>
          <w:lang w:val="es-ES"/>
        </w:rPr>
        <w:tab/>
      </w:r>
      <w:r w:rsidR="005C472F" w:rsidRPr="005C472F">
        <w:rPr>
          <w:lang w:val="es-ES"/>
        </w:rPr>
        <w:t>h)</w:t>
      </w:r>
      <w:r w:rsidR="005C472F" w:rsidRPr="005C472F">
        <w:rPr>
          <w:lang w:val="es-ES"/>
        </w:rPr>
        <w:tab/>
        <w:t>Aprobar la lista de cuestiones para su inclusión en el programa provisional de su 18º período de sesiones.</w:t>
      </w:r>
    </w:p>
    <w:p w14:paraId="2E6438F8" w14:textId="77777777" w:rsidR="005C472F" w:rsidRPr="005C472F" w:rsidRDefault="005C472F" w:rsidP="005C472F">
      <w:pPr>
        <w:pStyle w:val="SingleTxtG"/>
        <w:rPr>
          <w:lang w:val="es-ES"/>
        </w:rPr>
      </w:pPr>
      <w:r w:rsidRPr="005C472F">
        <w:rPr>
          <w:lang w:val="es-ES"/>
        </w:rPr>
        <w:t>10.</w:t>
      </w:r>
      <w:r w:rsidRPr="005C472F">
        <w:rPr>
          <w:lang w:val="es-ES"/>
        </w:rPr>
        <w:tab/>
        <w:t>En su 18º período de sesiones</w:t>
      </w:r>
      <w:r w:rsidR="00E03971">
        <w:rPr>
          <w:rStyle w:val="FootnoteReference"/>
          <w:lang w:val="es-ES"/>
        </w:rPr>
        <w:footnoteReference w:id="2"/>
      </w:r>
      <w:r w:rsidRPr="005C472F">
        <w:rPr>
          <w:lang w:val="es-ES"/>
        </w:rPr>
        <w:t>, el Comité decidió, entre otras cosas:</w:t>
      </w:r>
    </w:p>
    <w:p w14:paraId="55EA3D36" w14:textId="77777777" w:rsidR="005C472F" w:rsidRPr="005C472F" w:rsidRDefault="005C472F" w:rsidP="005C472F">
      <w:pPr>
        <w:pStyle w:val="SingleTxtG"/>
        <w:rPr>
          <w:lang w:val="es-ES"/>
        </w:rPr>
      </w:pPr>
      <w:r w:rsidRPr="005C472F">
        <w:rPr>
          <w:lang w:val="es-ES"/>
        </w:rPr>
        <w:tab/>
        <w:t>a)</w:t>
      </w:r>
      <w:r w:rsidRPr="005C472F">
        <w:rPr>
          <w:lang w:val="es-ES"/>
        </w:rPr>
        <w:tab/>
        <w:t>Confirmar el nombramiento de los relatores para los países con miras al examen por el Comité de los informes presentados por el Iraq, Mongolia y Suiza en virtud del artículo 29, párrafo 1, de la Convención, que se aplazó al 19º período de sesiones; nombrar relator para el país para el examen del informe presentado por Colombia; y nombrar relatores para los países que preparen las listas de cuestiones en relación con los informes presentados por la Che</w:t>
      </w:r>
      <w:r w:rsidR="00A950A2">
        <w:rPr>
          <w:lang w:val="es-ES"/>
        </w:rPr>
        <w:t>quia</w:t>
      </w:r>
      <w:r w:rsidRPr="005C472F">
        <w:rPr>
          <w:lang w:val="es-ES"/>
        </w:rPr>
        <w:t>, Grecia y el Níger, así como una lista de cuestiones en ausencia del informe de Malí;</w:t>
      </w:r>
    </w:p>
    <w:p w14:paraId="163B2686" w14:textId="77777777" w:rsidR="005C472F" w:rsidRPr="005C472F" w:rsidRDefault="005C472F" w:rsidP="005C472F">
      <w:pPr>
        <w:pStyle w:val="SingleTxtG"/>
        <w:rPr>
          <w:lang w:val="es-ES"/>
        </w:rPr>
      </w:pPr>
      <w:r w:rsidRPr="005C472F">
        <w:rPr>
          <w:lang w:val="es-ES"/>
        </w:rPr>
        <w:tab/>
        <w:t>b)</w:t>
      </w:r>
      <w:r w:rsidRPr="005C472F">
        <w:rPr>
          <w:lang w:val="es-ES"/>
        </w:rPr>
        <w:tab/>
        <w:t>Aplazar hasta su 19º período de sesiones la aprobación de las observaciones finales sobre los informes presentados por Mongolia y Suiza en virtud del artículo 29, párrafo 1, de la Convención, de las observaciones finales sobre la información adicional presentada por el Iraq en virtud del artículo 29, párrafo 4, de la Convención, y de su informe sobre las peticiones de acción urgente;</w:t>
      </w:r>
      <w:bookmarkStart w:id="33" w:name="_Hlk43481531"/>
      <w:bookmarkEnd w:id="33"/>
    </w:p>
    <w:p w14:paraId="7641975A" w14:textId="77777777" w:rsidR="005C472F" w:rsidRPr="005C472F" w:rsidRDefault="005C472F" w:rsidP="005C472F">
      <w:pPr>
        <w:pStyle w:val="SingleTxtG"/>
        <w:rPr>
          <w:lang w:val="es-ES"/>
        </w:rPr>
      </w:pPr>
      <w:r w:rsidRPr="005C472F">
        <w:rPr>
          <w:lang w:val="es-ES"/>
        </w:rPr>
        <w:tab/>
        <w:t>c)</w:t>
      </w:r>
      <w:r w:rsidRPr="005C472F">
        <w:rPr>
          <w:lang w:val="es-ES"/>
        </w:rPr>
        <w:tab/>
        <w:t>Aprobar las listas de cuestiones relativas a los informes presentados por el Brasil y Panamá en virtud del artículo 29, párrafo 1, de la Convención;</w:t>
      </w:r>
    </w:p>
    <w:p w14:paraId="4D584C22" w14:textId="77777777" w:rsidR="005C472F" w:rsidRPr="005C472F" w:rsidRDefault="005C472F" w:rsidP="005C472F">
      <w:pPr>
        <w:pStyle w:val="SingleTxtG"/>
        <w:rPr>
          <w:lang w:val="es-ES"/>
        </w:rPr>
      </w:pPr>
      <w:r w:rsidRPr="005C472F">
        <w:rPr>
          <w:lang w:val="es-ES"/>
        </w:rPr>
        <w:tab/>
        <w:t>d)</w:t>
      </w:r>
      <w:r w:rsidRPr="005C472F">
        <w:rPr>
          <w:lang w:val="es-ES"/>
        </w:rPr>
        <w:tab/>
        <w:t>Aprobar su informe anual a la Asamblea General para su presentación en el septuagésimo quinto período de sesiones de la Asamblea;</w:t>
      </w:r>
    </w:p>
    <w:p w14:paraId="4F6D98AE" w14:textId="77777777" w:rsidR="005C472F" w:rsidRPr="005C472F" w:rsidRDefault="005C472F" w:rsidP="005C472F">
      <w:pPr>
        <w:pStyle w:val="SingleTxtG"/>
        <w:rPr>
          <w:lang w:val="es-ES"/>
        </w:rPr>
      </w:pPr>
      <w:r w:rsidRPr="005C472F">
        <w:rPr>
          <w:lang w:val="es-ES"/>
        </w:rPr>
        <w:tab/>
        <w:t>e)</w:t>
      </w:r>
      <w:r w:rsidRPr="005C472F">
        <w:rPr>
          <w:lang w:val="es-ES"/>
        </w:rPr>
        <w:tab/>
        <w:t>Aplazar la aprobación de las nuevas directrices para la presentación de peticiones de acción urgente y directrices para la presentación de denuncias individuales;</w:t>
      </w:r>
    </w:p>
    <w:p w14:paraId="3A872D5E" w14:textId="77777777" w:rsidR="005C472F" w:rsidRPr="005C472F" w:rsidRDefault="005C472F" w:rsidP="005C472F">
      <w:pPr>
        <w:pStyle w:val="SingleTxtG"/>
        <w:rPr>
          <w:lang w:val="es-ES"/>
        </w:rPr>
      </w:pPr>
      <w:r w:rsidRPr="005C472F">
        <w:rPr>
          <w:lang w:val="es-ES"/>
        </w:rPr>
        <w:tab/>
        <w:t>f)</w:t>
      </w:r>
      <w:r w:rsidRPr="005C472F">
        <w:rPr>
          <w:lang w:val="es-ES"/>
        </w:rPr>
        <w:tab/>
        <w:t xml:space="preserve">Aplazar la aprobación de su informe de seguimiento de las denuncias individuales en relación con el caso </w:t>
      </w:r>
      <w:r w:rsidRPr="005C472F">
        <w:rPr>
          <w:i/>
          <w:iCs/>
          <w:lang w:val="es-ES"/>
        </w:rPr>
        <w:t>Yrusta y Del Valle Yrusta c. la Argentina</w:t>
      </w:r>
      <w:r w:rsidRPr="005C472F">
        <w:rPr>
          <w:lang w:val="es-ES"/>
        </w:rPr>
        <w:t>;</w:t>
      </w:r>
    </w:p>
    <w:p w14:paraId="6EE44709" w14:textId="77777777" w:rsidR="005C472F" w:rsidRPr="005C472F" w:rsidRDefault="005C472F" w:rsidP="005C472F">
      <w:pPr>
        <w:pStyle w:val="SingleTxtG"/>
        <w:rPr>
          <w:lang w:val="es-ES"/>
        </w:rPr>
      </w:pPr>
      <w:r w:rsidRPr="005C472F">
        <w:rPr>
          <w:lang w:val="es-ES"/>
        </w:rPr>
        <w:tab/>
        <w:t>g)</w:t>
      </w:r>
      <w:r w:rsidRPr="005C472F">
        <w:rPr>
          <w:lang w:val="es-ES"/>
        </w:rPr>
        <w:tab/>
        <w:t xml:space="preserve">Aplazar el debate sobre la elaboración de sus métodos de trabajo, en particular en relación con la información adicional presentada por los Estados </w:t>
      </w:r>
      <w:r w:rsidR="005C5B44" w:rsidRPr="005C472F">
        <w:rPr>
          <w:lang w:val="es-ES"/>
        </w:rPr>
        <w:t>parte</w:t>
      </w:r>
      <w:r w:rsidR="005C5B44">
        <w:rPr>
          <w:lang w:val="es-ES"/>
        </w:rPr>
        <w:t>s</w:t>
      </w:r>
      <w:r w:rsidR="005C5B44" w:rsidRPr="005C472F">
        <w:rPr>
          <w:lang w:val="es-ES"/>
        </w:rPr>
        <w:t xml:space="preserve"> </w:t>
      </w:r>
      <w:r w:rsidRPr="005C472F">
        <w:rPr>
          <w:lang w:val="es-ES"/>
        </w:rPr>
        <w:t>en virtud del artículo 29, párrafo 4, de la Convención, y en relación con la estrategia para promover la ratificación de la Convención;</w:t>
      </w:r>
    </w:p>
    <w:p w14:paraId="468626F2" w14:textId="77777777" w:rsidR="005C472F" w:rsidRPr="005C472F" w:rsidRDefault="005C472F" w:rsidP="005C472F">
      <w:pPr>
        <w:pStyle w:val="SingleTxtG"/>
        <w:rPr>
          <w:lang w:val="es-ES"/>
        </w:rPr>
      </w:pPr>
      <w:r w:rsidRPr="005C472F">
        <w:rPr>
          <w:lang w:val="es-ES"/>
        </w:rPr>
        <w:lastRenderedPageBreak/>
        <w:tab/>
        <w:t>h)</w:t>
      </w:r>
      <w:r w:rsidRPr="005C472F">
        <w:rPr>
          <w:lang w:val="es-ES"/>
        </w:rPr>
        <w:tab/>
        <w:t>Organizar en su 19º período de sesiones una sesión conjunta con el Grupo de Trabajo sobre las Desapariciones Forzadas o Involuntarias y una actividad conjunta para celebrar el 40º aniversario del Grupo de Trabajo y el 10º aniversario de la entrada en vigor de la Convención;</w:t>
      </w:r>
    </w:p>
    <w:p w14:paraId="2390E35D" w14:textId="77777777" w:rsidR="005C472F" w:rsidRPr="005C472F" w:rsidRDefault="005C472F" w:rsidP="005C472F">
      <w:pPr>
        <w:pStyle w:val="SingleTxtG"/>
        <w:rPr>
          <w:lang w:val="es-ES"/>
        </w:rPr>
      </w:pPr>
      <w:r w:rsidRPr="005C472F">
        <w:rPr>
          <w:lang w:val="es-ES"/>
        </w:rPr>
        <w:tab/>
        <w:t>i)</w:t>
      </w:r>
      <w:r w:rsidRPr="005C472F">
        <w:rPr>
          <w:lang w:val="es-ES"/>
        </w:rPr>
        <w:tab/>
        <w:t>Promover la organización de una sesión conjunta con los otros órganos creados en virtud de tratados que se reúnen en Ginebra en las fechas del 19º período de sesiones del Comité, a saber, el Comité sobre los Derechos de las Personas con Discapacidad y el Comité de los Derechos del Niño;</w:t>
      </w:r>
    </w:p>
    <w:p w14:paraId="086F2B46" w14:textId="77777777" w:rsidR="005C472F" w:rsidRPr="005C472F" w:rsidRDefault="005C472F" w:rsidP="005C472F">
      <w:pPr>
        <w:pStyle w:val="SingleTxtG"/>
        <w:rPr>
          <w:lang w:val="es-ES"/>
        </w:rPr>
      </w:pPr>
      <w:r w:rsidRPr="005C472F">
        <w:rPr>
          <w:lang w:val="es-ES"/>
        </w:rPr>
        <w:tab/>
        <w:t>j)</w:t>
      </w:r>
      <w:r w:rsidRPr="005C472F">
        <w:rPr>
          <w:lang w:val="es-ES"/>
        </w:rPr>
        <w:tab/>
        <w:t>Aprobar la lista de cuestiones para su inclusión en el programa provisional del 19º período de sesiones.</w:t>
      </w:r>
    </w:p>
    <w:p w14:paraId="2BDBD0A8" w14:textId="77777777" w:rsidR="005C472F" w:rsidRPr="005C472F" w:rsidRDefault="00E03971" w:rsidP="00E03971">
      <w:pPr>
        <w:pStyle w:val="H1G"/>
        <w:rPr>
          <w:lang w:val="es-ES"/>
        </w:rPr>
      </w:pPr>
      <w:bookmarkStart w:id="34" w:name="_Toc326162644"/>
      <w:bookmarkStart w:id="35" w:name="_Toc326220759"/>
      <w:bookmarkEnd w:id="31"/>
      <w:bookmarkEnd w:id="32"/>
      <w:r>
        <w:rPr>
          <w:lang w:val="es-ES"/>
        </w:rPr>
        <w:tab/>
      </w:r>
      <w:r w:rsidR="005C472F" w:rsidRPr="005C472F">
        <w:rPr>
          <w:lang w:val="es-ES"/>
        </w:rPr>
        <w:t>E.</w:t>
      </w:r>
      <w:r w:rsidR="005C472F" w:rsidRPr="005C472F">
        <w:rPr>
          <w:lang w:val="es-ES"/>
        </w:rPr>
        <w:tab/>
        <w:t>Aprobación del informe anual</w:t>
      </w:r>
      <w:bookmarkStart w:id="36" w:name="_Toc460489533"/>
      <w:bookmarkStart w:id="37" w:name="_Toc522200458"/>
      <w:bookmarkStart w:id="38" w:name="_Toc43905469"/>
      <w:bookmarkStart w:id="39" w:name="_Toc43906550"/>
      <w:bookmarkStart w:id="40" w:name="_Toc43996421"/>
      <w:bookmarkEnd w:id="34"/>
      <w:bookmarkEnd w:id="35"/>
      <w:bookmarkEnd w:id="36"/>
      <w:bookmarkEnd w:id="37"/>
      <w:bookmarkEnd w:id="38"/>
      <w:bookmarkEnd w:id="39"/>
      <w:bookmarkEnd w:id="40"/>
    </w:p>
    <w:p w14:paraId="2AE087A9" w14:textId="77777777" w:rsidR="00DE4C10" w:rsidRDefault="005C472F" w:rsidP="005C472F">
      <w:pPr>
        <w:pStyle w:val="SingleTxtG"/>
        <w:rPr>
          <w:lang w:val="es-ES"/>
        </w:rPr>
      </w:pPr>
      <w:r w:rsidRPr="005C472F">
        <w:rPr>
          <w:lang w:val="es-ES"/>
        </w:rPr>
        <w:t>11.</w:t>
      </w:r>
      <w:r w:rsidRPr="005C472F">
        <w:rPr>
          <w:lang w:val="es-ES"/>
        </w:rPr>
        <w:tab/>
        <w:t xml:space="preserve">El 9 de junio de 2020, el Comité aprobó su noveno informe a la Asamblea General, sobre sus períodos de sesiones 17º y 18º, en cumplimiento </w:t>
      </w:r>
      <w:r w:rsidR="00BE3B2E">
        <w:rPr>
          <w:lang w:val="es-ES"/>
        </w:rPr>
        <w:t xml:space="preserve">de </w:t>
      </w:r>
      <w:r w:rsidRPr="005C472F">
        <w:rPr>
          <w:lang w:val="es-ES"/>
        </w:rPr>
        <w:t>lo dispuesto en el artículo 36, párrafo 1, de la Convención. Antes de su aprobación, el relator del Comité distribuyó el proyecto de informe a los miembros del Comité, quienes dispusieron de una semana para hacer observaciones y sugerencias por escrito. Todas las aportaciones realizadas se incluyeron en el proyecto de informe, que fue aprobado mediante un procedimiento de aprobación tácita.</w:t>
      </w:r>
    </w:p>
    <w:p w14:paraId="02C134F1" w14:textId="77777777" w:rsidR="007C2041" w:rsidRPr="007C2041" w:rsidRDefault="007C2041" w:rsidP="007C2041">
      <w:pPr>
        <w:pStyle w:val="HChG"/>
        <w:rPr>
          <w:lang w:val="es-ES"/>
        </w:rPr>
      </w:pPr>
      <w:r>
        <w:rPr>
          <w:lang w:val="es-ES"/>
        </w:rPr>
        <w:br w:type="page"/>
      </w:r>
      <w:r>
        <w:rPr>
          <w:lang w:val="es-ES"/>
        </w:rPr>
        <w:lastRenderedPageBreak/>
        <w:tab/>
      </w:r>
      <w:r>
        <w:rPr>
          <w:lang w:val="es-ES"/>
        </w:rPr>
        <w:tab/>
      </w:r>
      <w:r w:rsidRPr="007C2041">
        <w:rPr>
          <w:lang w:val="es-ES"/>
        </w:rPr>
        <w:t>Capítulo II</w:t>
      </w:r>
      <w:r>
        <w:rPr>
          <w:lang w:val="es-ES"/>
        </w:rPr>
        <w:br/>
      </w:r>
      <w:r w:rsidRPr="007C2041">
        <w:rPr>
          <w:lang w:val="es-ES"/>
        </w:rPr>
        <w:t>Métodos de trabajo</w:t>
      </w:r>
      <w:bookmarkStart w:id="41" w:name="_Toc326162645"/>
      <w:bookmarkStart w:id="42" w:name="_Toc326220760"/>
      <w:bookmarkStart w:id="43" w:name="_Toc460489535"/>
      <w:bookmarkStart w:id="44" w:name="_Toc522200459"/>
      <w:bookmarkStart w:id="45" w:name="_Toc43905470"/>
      <w:bookmarkStart w:id="46" w:name="_Toc43906551"/>
      <w:bookmarkStart w:id="47" w:name="_Toc43996422"/>
      <w:bookmarkEnd w:id="41"/>
      <w:bookmarkEnd w:id="42"/>
      <w:bookmarkEnd w:id="43"/>
      <w:bookmarkEnd w:id="44"/>
      <w:bookmarkEnd w:id="45"/>
      <w:bookmarkEnd w:id="46"/>
      <w:bookmarkEnd w:id="47"/>
    </w:p>
    <w:p w14:paraId="4918AD29" w14:textId="77777777" w:rsidR="007C2041" w:rsidRPr="007C2041" w:rsidRDefault="007C2041" w:rsidP="007C2041">
      <w:pPr>
        <w:pStyle w:val="SingleTxtG"/>
        <w:rPr>
          <w:lang w:val="es-ES"/>
        </w:rPr>
      </w:pPr>
      <w:r w:rsidRPr="007C2041">
        <w:rPr>
          <w:lang w:val="es-ES"/>
        </w:rPr>
        <w:t>12.</w:t>
      </w:r>
      <w:r w:rsidRPr="007C2041">
        <w:rPr>
          <w:lang w:val="es-ES"/>
        </w:rPr>
        <w:tab/>
        <w:t>En los períodos de sesiones 17º y 18º, los idiomas de trabajo utilizados por el Comité fueron el español, el francés y el inglés.</w:t>
      </w:r>
    </w:p>
    <w:p w14:paraId="52B7CCCC" w14:textId="77777777" w:rsidR="007C2041" w:rsidRPr="007C2041" w:rsidRDefault="007C2041" w:rsidP="007C2041">
      <w:pPr>
        <w:pStyle w:val="SingleTxtG"/>
        <w:rPr>
          <w:lang w:val="es-ES"/>
        </w:rPr>
      </w:pPr>
      <w:r w:rsidRPr="007C2041">
        <w:rPr>
          <w:lang w:val="es-ES"/>
        </w:rPr>
        <w:t>13.</w:t>
      </w:r>
      <w:r w:rsidRPr="007C2041">
        <w:rPr>
          <w:lang w:val="es-ES"/>
        </w:rPr>
        <w:tab/>
        <w:t>En el 17º período de sesiones el Comité examinó las siguientes cuestiones:</w:t>
      </w:r>
    </w:p>
    <w:p w14:paraId="703882DA" w14:textId="77777777" w:rsidR="007C2041" w:rsidRPr="007C2041" w:rsidRDefault="007C2041" w:rsidP="007C2041">
      <w:pPr>
        <w:pStyle w:val="SingleTxtG"/>
        <w:rPr>
          <w:lang w:val="es-ES"/>
        </w:rPr>
      </w:pPr>
      <w:r w:rsidRPr="007C2041">
        <w:rPr>
          <w:lang w:val="es-ES"/>
        </w:rPr>
        <w:tab/>
        <w:t>a)</w:t>
      </w:r>
      <w:r w:rsidRPr="007C2041">
        <w:rPr>
          <w:lang w:val="es-ES"/>
        </w:rPr>
        <w:tab/>
        <w:t>Métodos de trabajo en relación con los artículos 29 a 34 de la Convención;</w:t>
      </w:r>
    </w:p>
    <w:p w14:paraId="4300CFBE" w14:textId="77777777" w:rsidR="007C2041" w:rsidRPr="007C2041" w:rsidRDefault="007C2041" w:rsidP="007C2041">
      <w:pPr>
        <w:pStyle w:val="SingleTxtG"/>
        <w:rPr>
          <w:lang w:val="es-ES"/>
        </w:rPr>
      </w:pPr>
      <w:r w:rsidRPr="007C2041">
        <w:rPr>
          <w:lang w:val="es-ES"/>
        </w:rPr>
        <w:tab/>
        <w:t>b)</w:t>
      </w:r>
      <w:r w:rsidRPr="007C2041">
        <w:rPr>
          <w:lang w:val="es-ES"/>
        </w:rPr>
        <w:tab/>
        <w:t>Estrategia para aumentar las ratificaciones de la Convención;</w:t>
      </w:r>
    </w:p>
    <w:p w14:paraId="112E9141" w14:textId="77777777" w:rsidR="007C2041" w:rsidRPr="007C2041" w:rsidRDefault="007C2041" w:rsidP="007C2041">
      <w:pPr>
        <w:pStyle w:val="SingleTxtG"/>
        <w:rPr>
          <w:lang w:val="es-ES"/>
        </w:rPr>
      </w:pPr>
      <w:r w:rsidRPr="007C2041">
        <w:rPr>
          <w:lang w:val="es-ES"/>
        </w:rPr>
        <w:tab/>
        <w:t>c)</w:t>
      </w:r>
      <w:r w:rsidRPr="007C2041">
        <w:rPr>
          <w:lang w:val="es-ES"/>
        </w:rPr>
        <w:tab/>
        <w:t>Recursos asignados al Comité;</w:t>
      </w:r>
    </w:p>
    <w:p w14:paraId="42872D4D" w14:textId="77777777" w:rsidR="007C2041" w:rsidRPr="007C2041" w:rsidRDefault="007C2041" w:rsidP="007C2041">
      <w:pPr>
        <w:pStyle w:val="SingleTxtG"/>
        <w:rPr>
          <w:lang w:val="es-ES"/>
        </w:rPr>
      </w:pPr>
      <w:r w:rsidRPr="007C2041">
        <w:rPr>
          <w:lang w:val="es-ES"/>
        </w:rPr>
        <w:tab/>
        <w:t>d)</w:t>
      </w:r>
      <w:r w:rsidRPr="007C2041">
        <w:rPr>
          <w:lang w:val="es-ES"/>
        </w:rPr>
        <w:tab/>
        <w:t>Otros asuntos.</w:t>
      </w:r>
    </w:p>
    <w:p w14:paraId="56E1AFC6" w14:textId="77777777" w:rsidR="00AE2E9F" w:rsidRDefault="007C2041" w:rsidP="007C2041">
      <w:pPr>
        <w:pStyle w:val="SingleTxtG"/>
        <w:rPr>
          <w:lang w:val="es-ES"/>
        </w:rPr>
      </w:pPr>
      <w:r w:rsidRPr="007C2041">
        <w:rPr>
          <w:lang w:val="es-ES"/>
        </w:rPr>
        <w:t>14.</w:t>
      </w:r>
      <w:r w:rsidRPr="007C2041">
        <w:rPr>
          <w:lang w:val="es-ES"/>
        </w:rPr>
        <w:tab/>
        <w:t>Durante su 18º período de sesiones, el Comité debatió los requisitos de los períodos de sesiones en línea en cuanto a metodología, recursos técnicos y posible programa, así como la posibilidad de plantear la celebración de períodos sesiones en línea en el futuro, de ser necesario, en circunstancias excepcionales. El Comité también celebró una sesión para debatir el procedimiento previsto en el artículo 29, párrafo 4, de la Convención.</w:t>
      </w:r>
    </w:p>
    <w:p w14:paraId="2B211FBD" w14:textId="77777777" w:rsidR="007C2041" w:rsidRPr="007C2041" w:rsidRDefault="007C2041" w:rsidP="007C2041">
      <w:pPr>
        <w:pStyle w:val="HChG"/>
        <w:rPr>
          <w:lang w:val="es-ES"/>
        </w:rPr>
      </w:pPr>
      <w:r>
        <w:rPr>
          <w:lang w:val="es-ES"/>
        </w:rPr>
        <w:br w:type="page"/>
      </w:r>
      <w:r>
        <w:rPr>
          <w:lang w:val="es-ES"/>
        </w:rPr>
        <w:lastRenderedPageBreak/>
        <w:tab/>
      </w:r>
      <w:r>
        <w:rPr>
          <w:lang w:val="es-ES"/>
        </w:rPr>
        <w:tab/>
      </w:r>
      <w:r w:rsidRPr="007C2041">
        <w:rPr>
          <w:lang w:val="es-ES"/>
        </w:rPr>
        <w:t>Capítulo III</w:t>
      </w:r>
      <w:r>
        <w:rPr>
          <w:lang w:val="es-ES"/>
        </w:rPr>
        <w:br/>
      </w:r>
      <w:r w:rsidRPr="007C2041">
        <w:rPr>
          <w:bCs/>
          <w:lang w:val="es-ES"/>
        </w:rPr>
        <w:t>Relaciones con las partes interesadas</w:t>
      </w:r>
      <w:bookmarkStart w:id="48" w:name="_Toc460489537"/>
      <w:bookmarkStart w:id="49" w:name="_Toc522200460"/>
      <w:bookmarkStart w:id="50" w:name="_Toc43905471"/>
      <w:bookmarkStart w:id="51" w:name="_Toc43906552"/>
      <w:bookmarkStart w:id="52" w:name="_Toc43996423"/>
      <w:bookmarkEnd w:id="48"/>
      <w:bookmarkEnd w:id="49"/>
      <w:bookmarkEnd w:id="50"/>
      <w:bookmarkEnd w:id="51"/>
      <w:bookmarkEnd w:id="52"/>
    </w:p>
    <w:p w14:paraId="30CB6336" w14:textId="77777777" w:rsidR="007C2041" w:rsidRPr="007C2041" w:rsidRDefault="007C2041" w:rsidP="007C2041">
      <w:pPr>
        <w:pStyle w:val="H1G"/>
        <w:rPr>
          <w:lang w:val="es-ES"/>
        </w:rPr>
      </w:pPr>
      <w:bookmarkStart w:id="53" w:name="_Toc326162650"/>
      <w:bookmarkStart w:id="54" w:name="_Toc326220765"/>
      <w:r>
        <w:rPr>
          <w:lang w:val="es-ES"/>
        </w:rPr>
        <w:tab/>
      </w:r>
      <w:r w:rsidRPr="007C2041">
        <w:rPr>
          <w:lang w:val="es-ES"/>
        </w:rPr>
        <w:t>A.</w:t>
      </w:r>
      <w:r w:rsidRPr="007C2041">
        <w:rPr>
          <w:lang w:val="es-ES"/>
        </w:rPr>
        <w:tab/>
        <w:t>Reuniones con los Estados Miembros</w:t>
      </w:r>
      <w:bookmarkStart w:id="55" w:name="_Toc460489538"/>
      <w:bookmarkStart w:id="56" w:name="_Toc522200461"/>
      <w:bookmarkStart w:id="57" w:name="_Toc43905472"/>
      <w:bookmarkStart w:id="58" w:name="_Toc43906553"/>
      <w:bookmarkStart w:id="59" w:name="_Toc43996424"/>
      <w:bookmarkEnd w:id="53"/>
      <w:bookmarkEnd w:id="54"/>
      <w:bookmarkEnd w:id="55"/>
      <w:bookmarkEnd w:id="56"/>
      <w:bookmarkEnd w:id="57"/>
      <w:bookmarkEnd w:id="58"/>
      <w:bookmarkEnd w:id="59"/>
    </w:p>
    <w:p w14:paraId="05A9E863" w14:textId="77777777" w:rsidR="007C2041" w:rsidRPr="007C2041" w:rsidRDefault="007C2041" w:rsidP="007C2041">
      <w:pPr>
        <w:pStyle w:val="SingleTxtG"/>
        <w:rPr>
          <w:lang w:val="es-ES"/>
        </w:rPr>
      </w:pPr>
      <w:r w:rsidRPr="007C2041">
        <w:rPr>
          <w:lang w:val="es-ES"/>
        </w:rPr>
        <w:t>15.</w:t>
      </w:r>
      <w:r w:rsidRPr="007C2041">
        <w:rPr>
          <w:lang w:val="es-ES"/>
        </w:rPr>
        <w:tab/>
        <w:t xml:space="preserve">El 7 de octubre de 2019, el Comité celebró una sesión pública con los Estados Miembros, a la que asistieron 39 Estados: Albania, Alemania, Angola, Argelia, Argentina, Azerbaiyán, Bélgica, Brasil, </w:t>
      </w:r>
      <w:r w:rsidR="00BE3B2E" w:rsidRPr="007C2041">
        <w:rPr>
          <w:lang w:val="es-ES"/>
        </w:rPr>
        <w:t>Che</w:t>
      </w:r>
      <w:r w:rsidR="00BE3B2E">
        <w:rPr>
          <w:lang w:val="es-ES"/>
        </w:rPr>
        <w:t>quia</w:t>
      </w:r>
      <w:r w:rsidR="00BE3B2E" w:rsidRPr="007C2041">
        <w:rPr>
          <w:lang w:val="es-ES"/>
        </w:rPr>
        <w:t>,</w:t>
      </w:r>
      <w:r w:rsidR="00BE3B2E">
        <w:rPr>
          <w:lang w:val="es-ES"/>
        </w:rPr>
        <w:t xml:space="preserve"> </w:t>
      </w:r>
      <w:r w:rsidRPr="007C2041">
        <w:rPr>
          <w:lang w:val="es-ES"/>
        </w:rPr>
        <w:t>Chile, Colombia, Croacia, Cuba, Emiratos Árabes Unidos, España, Finlandia, Francia, Gabón, Grecia, Guatemala, Iraq, Islas Marshall, Italia, Líbano, Liechtenstein, Maldivas, Marruecos, Mauritania, Montenegro, Myanmar, Namibia, Paraguay, Perú, Che</w:t>
      </w:r>
      <w:r w:rsidR="00BE3B2E">
        <w:rPr>
          <w:lang w:val="es-ES"/>
        </w:rPr>
        <w:t>quia</w:t>
      </w:r>
      <w:r w:rsidRPr="007C2041">
        <w:rPr>
          <w:lang w:val="es-ES"/>
        </w:rPr>
        <w:t>, Sri Lanka, Turquía, Ucrania, Uruguay, Venezuela (República Bolivariana de) y Estado de Palestina. En el curso de la sesión, formularon declaraciones Marruecos, Francia, Albania, los Emiratos Árabes Unidos, México y Bélgica. Marruecos subrayó que había estado trabajando con la Argentina, Francia y el Japón para tratar de lograr la ratificación universal de la Convención y que seguiría promoviendo la cuestión. Francia reiteró su apoyo a la labor del Comité y celebró la aprobación de los principios rectores para la búsqueda de personas desaparecidas. También alentó al Comité a que aumentara los intercambios con los demás órganos creados en virtud de tratados y con los mecanismos regionales de protección de los derechos humanos, a fin de asegurar la máxima coherencia en la jurisprudencia. Albania subrayó la importancia de la labor del Comité para asegurar la aplicación efectiva de la Convención. Los Emiratos Árabes Unidos se refirieron a la cuestión de la desaparición mientras la persona está en tránsito en un Estado. México observó un desequilibrio de género en la reciente composición del Comité, que habría que tenerse en cuenta la próxima vez que se presentaran candidaturas y se celebraran elecciones. Celebró los esfuerzos del Comité por recurrir a las videoconferencias. Bélgica dijo que concedía gran valor a la independencia de los órganos creados en virtud de tratados, que debían contar con todos los recursos necesarios, y reiteró su compromiso con el proceso de fortalecimiento de esos órganos y el examen de 2020.</w:t>
      </w:r>
    </w:p>
    <w:p w14:paraId="6244C24E" w14:textId="77777777" w:rsidR="007C2041" w:rsidRPr="007C2041" w:rsidRDefault="007C2041" w:rsidP="007C2041">
      <w:pPr>
        <w:pStyle w:val="SingleTxtG"/>
        <w:rPr>
          <w:lang w:val="es-ES"/>
        </w:rPr>
      </w:pPr>
      <w:r w:rsidRPr="007C2041">
        <w:rPr>
          <w:lang w:val="es-ES"/>
        </w:rPr>
        <w:t>16.</w:t>
      </w:r>
      <w:r w:rsidRPr="007C2041">
        <w:rPr>
          <w:lang w:val="es-ES"/>
        </w:rPr>
        <w:tab/>
        <w:t>De conformidad con las medidas de precaución adoptadas en el contexto de la pandemia de la COVID-19, se canceló la sesión pública en la que el Comité iba a reunirse con los Estados Miembros, programada para el 6 de abril de 2020.</w:t>
      </w:r>
    </w:p>
    <w:p w14:paraId="02DF07DA" w14:textId="77777777" w:rsidR="007C2041" w:rsidRPr="007C2041" w:rsidRDefault="007C2041" w:rsidP="007C2041">
      <w:pPr>
        <w:pStyle w:val="H1G"/>
        <w:rPr>
          <w:lang w:val="es-ES"/>
        </w:rPr>
      </w:pPr>
      <w:bookmarkStart w:id="60" w:name="_Toc460489541"/>
      <w:bookmarkStart w:id="61" w:name="_Toc522200463"/>
      <w:r>
        <w:rPr>
          <w:lang w:val="es-ES"/>
        </w:rPr>
        <w:tab/>
      </w:r>
      <w:r w:rsidRPr="007C2041">
        <w:rPr>
          <w:lang w:val="es-ES"/>
        </w:rPr>
        <w:t>B.</w:t>
      </w:r>
      <w:r w:rsidRPr="007C2041">
        <w:rPr>
          <w:lang w:val="es-ES"/>
        </w:rPr>
        <w:tab/>
        <w:t>Reuniones con organismos de las Naciones Unidas</w:t>
      </w:r>
      <w:bookmarkStart w:id="62" w:name="_Toc43905473"/>
      <w:bookmarkStart w:id="63" w:name="_Toc43906554"/>
      <w:bookmarkStart w:id="64" w:name="_Toc43996425"/>
      <w:bookmarkEnd w:id="60"/>
      <w:bookmarkEnd w:id="61"/>
      <w:bookmarkEnd w:id="62"/>
      <w:bookmarkEnd w:id="63"/>
      <w:bookmarkEnd w:id="64"/>
    </w:p>
    <w:p w14:paraId="413CDDAF" w14:textId="77777777" w:rsidR="007C2041" w:rsidRPr="007C2041" w:rsidRDefault="007C2041" w:rsidP="007C2041">
      <w:pPr>
        <w:pStyle w:val="SingleTxtG"/>
        <w:rPr>
          <w:lang w:val="es-ES"/>
        </w:rPr>
      </w:pPr>
      <w:r w:rsidRPr="007C2041">
        <w:rPr>
          <w:lang w:val="es-ES"/>
        </w:rPr>
        <w:t>17.</w:t>
      </w:r>
      <w:r w:rsidRPr="007C2041">
        <w:rPr>
          <w:lang w:val="es-ES"/>
        </w:rPr>
        <w:tab/>
        <w:t>Durante su 17º período de sesiones, el Comité celebró una sesión privada en la que se reunió con la Alta Comisionada para los Derechos Humanos, en la que esta reiteró el apoyo del ACNUDH al Comité y su adhesión a los esfuerzos de la comunidad internacional por aumentar el número de ratificaciones de la Convención.</w:t>
      </w:r>
    </w:p>
    <w:p w14:paraId="571151DA" w14:textId="77777777" w:rsidR="007C2041" w:rsidRPr="007C2041" w:rsidRDefault="007C2041" w:rsidP="007C2041">
      <w:pPr>
        <w:pStyle w:val="SingleTxtG"/>
        <w:rPr>
          <w:lang w:val="es-ES"/>
        </w:rPr>
      </w:pPr>
      <w:r w:rsidRPr="007C2041">
        <w:rPr>
          <w:lang w:val="es-ES"/>
        </w:rPr>
        <w:t>18.</w:t>
      </w:r>
      <w:r w:rsidRPr="007C2041">
        <w:rPr>
          <w:lang w:val="es-ES"/>
        </w:rPr>
        <w:tab/>
        <w:t>El 7 de octubre de 2019, el Comité celebró una sesión pública en la que se reunió con organismos y mecanismos de las Naciones Unidas y con organizaciones intergubernamentales. Un representante de la Oficina del Alto Comisionado de las Naciones Unidas para los Refugiados (ACNUR) celebró que el Comité hubiera aprobado los principios rectores para la búsqueda de personas desaparecidas, y en particular de que el Comité se hubiera centrado en los solicitantes de asilo, los refugiados y los migrantes, así como su planteamiento de que los Estados deben adoptar medidas coordinadas para prevenir las desapariciones en contextos transfronterizos. El ACNUR agradeció la oportunidad de seguir colaborando con el Comité, también en el período previo al primer Foro Mundial sobre los Refugiados que tendría lugar en diciembre de 2019, con miras a proteger a los solicitantes de asilo, los refugiados y los desplazados internos y apátridas frente a las desapariciones forzadas.</w:t>
      </w:r>
    </w:p>
    <w:p w14:paraId="4E7DE96B" w14:textId="77777777" w:rsidR="007C2041" w:rsidRPr="007C2041" w:rsidRDefault="007C2041" w:rsidP="007C2041">
      <w:pPr>
        <w:pStyle w:val="SingleTxtG"/>
        <w:rPr>
          <w:lang w:val="es-ES"/>
        </w:rPr>
      </w:pPr>
      <w:r w:rsidRPr="007C2041">
        <w:rPr>
          <w:lang w:val="es-ES"/>
        </w:rPr>
        <w:t>19.</w:t>
      </w:r>
      <w:r w:rsidRPr="007C2041">
        <w:rPr>
          <w:lang w:val="es-ES"/>
        </w:rPr>
        <w:tab/>
        <w:t>Durante el 18º período de sesiones, el Comité celebró una sesión privada en la que se reunió con el Jefe de la Subdivisión de Tratados de Derechos Humanos del ACNUDH para hablar de los avances relacionados con el examen, en 2020, de los órganos creados en virtud de tratados, así como de la reunión de los presidentes que tendría lugar en junio de</w:t>
      </w:r>
      <w:r>
        <w:rPr>
          <w:lang w:val="es-ES"/>
        </w:rPr>
        <w:t> </w:t>
      </w:r>
      <w:r w:rsidRPr="007C2041">
        <w:rPr>
          <w:lang w:val="es-ES"/>
        </w:rPr>
        <w:t>2020.</w:t>
      </w:r>
    </w:p>
    <w:p w14:paraId="4F7083D0" w14:textId="77777777" w:rsidR="007C2041" w:rsidRPr="007C2041" w:rsidRDefault="007C2041" w:rsidP="007C2041">
      <w:pPr>
        <w:pStyle w:val="SingleTxtG"/>
        <w:rPr>
          <w:lang w:val="es-ES"/>
        </w:rPr>
      </w:pPr>
      <w:r w:rsidRPr="007C2041">
        <w:rPr>
          <w:lang w:val="es-ES"/>
        </w:rPr>
        <w:lastRenderedPageBreak/>
        <w:t>20.</w:t>
      </w:r>
      <w:r w:rsidRPr="007C2041">
        <w:rPr>
          <w:lang w:val="es-ES"/>
        </w:rPr>
        <w:tab/>
        <w:t>Habida cuenta de las medidas de precaución adoptadas en el contexto de la pandemia de la COVID-19, se canceló la sesión pública en la que el Comité iba a reunirse con organismos y mecanismos de las Naciones Unidas y organizaciones intergubernamentales, programada para el 6 de abril de 2020.</w:t>
      </w:r>
    </w:p>
    <w:p w14:paraId="2A7DA984" w14:textId="77777777" w:rsidR="007C2041" w:rsidRPr="007C2041" w:rsidRDefault="007C2041" w:rsidP="007C2041">
      <w:pPr>
        <w:pStyle w:val="H1G"/>
        <w:rPr>
          <w:lang w:val="es-ES"/>
        </w:rPr>
      </w:pPr>
      <w:r>
        <w:rPr>
          <w:lang w:val="es-ES"/>
        </w:rPr>
        <w:tab/>
      </w:r>
      <w:r w:rsidRPr="007C2041">
        <w:rPr>
          <w:lang w:val="es-ES"/>
        </w:rPr>
        <w:t>C.</w:t>
      </w:r>
      <w:r>
        <w:rPr>
          <w:lang w:val="es-ES"/>
        </w:rPr>
        <w:tab/>
      </w:r>
      <w:r w:rsidRPr="007C2041">
        <w:rPr>
          <w:lang w:val="es-ES"/>
        </w:rPr>
        <w:t xml:space="preserve">Reuniones con organizaciones no gubernamentales </w:t>
      </w:r>
      <w:r w:rsidR="008D495A">
        <w:rPr>
          <w:lang w:val="es-ES"/>
        </w:rPr>
        <w:br/>
      </w:r>
      <w:r w:rsidRPr="007C2041">
        <w:rPr>
          <w:lang w:val="es-ES"/>
        </w:rPr>
        <w:t>y la sociedad civil</w:t>
      </w:r>
      <w:bookmarkStart w:id="65" w:name="_Toc460489542"/>
      <w:bookmarkStart w:id="66" w:name="_Toc522200464"/>
      <w:bookmarkStart w:id="67" w:name="_Toc43905474"/>
      <w:bookmarkStart w:id="68" w:name="_Toc43906555"/>
      <w:bookmarkStart w:id="69" w:name="_Toc43996426"/>
      <w:bookmarkEnd w:id="65"/>
      <w:bookmarkEnd w:id="66"/>
      <w:bookmarkEnd w:id="67"/>
      <w:bookmarkEnd w:id="68"/>
      <w:bookmarkEnd w:id="69"/>
    </w:p>
    <w:p w14:paraId="31DCF675" w14:textId="77777777" w:rsidR="007C2041" w:rsidRPr="007C2041" w:rsidRDefault="007C2041" w:rsidP="007C2041">
      <w:pPr>
        <w:pStyle w:val="SingleTxtG"/>
        <w:rPr>
          <w:lang w:val="es-ES"/>
        </w:rPr>
      </w:pPr>
      <w:r w:rsidRPr="007C2041">
        <w:rPr>
          <w:lang w:val="es-ES"/>
        </w:rPr>
        <w:t>21.</w:t>
      </w:r>
      <w:r w:rsidRPr="007C2041">
        <w:rPr>
          <w:lang w:val="es-ES"/>
        </w:rPr>
        <w:tab/>
        <w:t xml:space="preserve">El 7 de octubre de 2019, el Comité celebró una sesión privada en la que se reunió con representantes de </w:t>
      </w:r>
      <w:r w:rsidR="008D495A">
        <w:rPr>
          <w:lang w:val="es-ES"/>
        </w:rPr>
        <w:t>“</w:t>
      </w:r>
      <w:r w:rsidRPr="007C2041">
        <w:rPr>
          <w:lang w:val="es-ES"/>
        </w:rPr>
        <w:t>Genève pour les droits de l</w:t>
      </w:r>
      <w:r w:rsidR="008D495A">
        <w:rPr>
          <w:lang w:val="es-ES"/>
        </w:rPr>
        <w:t>’</w:t>
      </w:r>
      <w:r w:rsidRPr="007C2041">
        <w:rPr>
          <w:lang w:val="es-ES"/>
        </w:rPr>
        <w:t>homme: formation internationale</w:t>
      </w:r>
      <w:r w:rsidR="008D495A">
        <w:rPr>
          <w:lang w:val="es-ES"/>
        </w:rPr>
        <w:t>”</w:t>
      </w:r>
      <w:r w:rsidRPr="007C2041">
        <w:rPr>
          <w:lang w:val="es-ES"/>
        </w:rPr>
        <w:t xml:space="preserve">. La secretaría leyó una declaración presentada por escrito de la organización </w:t>
      </w:r>
      <w:r w:rsidR="008D495A">
        <w:rPr>
          <w:lang w:val="es-ES"/>
        </w:rPr>
        <w:t>“</w:t>
      </w:r>
      <w:r w:rsidRPr="007C2041">
        <w:rPr>
          <w:lang w:val="es-ES"/>
        </w:rPr>
        <w:t>Todos los niños robados son también mis niños</w:t>
      </w:r>
      <w:r w:rsidR="008D495A">
        <w:rPr>
          <w:lang w:val="es-ES"/>
        </w:rPr>
        <w:t>”</w:t>
      </w:r>
      <w:r w:rsidRPr="007C2041">
        <w:rPr>
          <w:lang w:val="es-ES"/>
        </w:rPr>
        <w:t>.</w:t>
      </w:r>
    </w:p>
    <w:p w14:paraId="04E7C79D" w14:textId="77777777" w:rsidR="007C2041" w:rsidRPr="007C2041" w:rsidRDefault="007C2041" w:rsidP="007C2041">
      <w:pPr>
        <w:pStyle w:val="SingleTxtG"/>
        <w:rPr>
          <w:lang w:val="es-ES"/>
        </w:rPr>
      </w:pPr>
      <w:r w:rsidRPr="007C2041">
        <w:rPr>
          <w:lang w:val="es-ES"/>
        </w:rPr>
        <w:t>22.</w:t>
      </w:r>
      <w:r w:rsidRPr="007C2041">
        <w:rPr>
          <w:lang w:val="es-ES"/>
        </w:rPr>
        <w:tab/>
        <w:t>Habida cuenta de las medidas de precaución adoptadas en el contexto de la pandemia de la COVID-19, se canceló la sesión privada en la que el Comité iba a reunirse con organizaciones no gubernamentales y la sociedad civil, programada para el 6 de abril de 2020.</w:t>
      </w:r>
    </w:p>
    <w:p w14:paraId="4AE19518" w14:textId="77777777" w:rsidR="007C2041" w:rsidRPr="007C2041" w:rsidRDefault="008D495A" w:rsidP="008D495A">
      <w:pPr>
        <w:pStyle w:val="H1G"/>
        <w:rPr>
          <w:lang w:val="es-ES"/>
        </w:rPr>
      </w:pPr>
      <w:r>
        <w:rPr>
          <w:lang w:val="es-ES"/>
        </w:rPr>
        <w:tab/>
      </w:r>
      <w:r w:rsidR="007C2041" w:rsidRPr="007C2041">
        <w:rPr>
          <w:lang w:val="es-ES"/>
        </w:rPr>
        <w:t>D.</w:t>
      </w:r>
      <w:r w:rsidR="007C2041" w:rsidRPr="007C2041">
        <w:rPr>
          <w:lang w:val="es-ES"/>
        </w:rPr>
        <w:tab/>
        <w:t>Reuniones con otras partes interesadas</w:t>
      </w:r>
      <w:bookmarkStart w:id="70" w:name="_Toc43905475"/>
      <w:bookmarkStart w:id="71" w:name="_Toc43906556"/>
      <w:bookmarkStart w:id="72" w:name="_Toc43996427"/>
      <w:bookmarkEnd w:id="70"/>
      <w:bookmarkEnd w:id="71"/>
      <w:bookmarkEnd w:id="72"/>
    </w:p>
    <w:p w14:paraId="4B21A95D" w14:textId="77777777" w:rsidR="007C2041" w:rsidRPr="007C2041" w:rsidRDefault="007C2041" w:rsidP="007C2041">
      <w:pPr>
        <w:pStyle w:val="SingleTxtG"/>
        <w:rPr>
          <w:lang w:val="es-ES"/>
        </w:rPr>
      </w:pPr>
      <w:r w:rsidRPr="007C2041">
        <w:rPr>
          <w:lang w:val="es-ES"/>
        </w:rPr>
        <w:t>23.</w:t>
      </w:r>
      <w:r w:rsidRPr="007C2041">
        <w:rPr>
          <w:lang w:val="es-ES"/>
        </w:rPr>
        <w:tab/>
        <w:t>El 9 de octubre de 2019, la Academia de Derecho Internacional Humanitario y Derechos Humanos de Ginebra facilitó un debate sobre el seguimiento de la aprobación de los principios rectores para la búsqueda de personas desaparecidas.</w:t>
      </w:r>
    </w:p>
    <w:p w14:paraId="656B20FC" w14:textId="77777777" w:rsidR="007C2041" w:rsidRPr="007C2041" w:rsidRDefault="007C2041" w:rsidP="007C2041">
      <w:pPr>
        <w:pStyle w:val="SingleTxtG"/>
        <w:rPr>
          <w:lang w:val="es-ES"/>
        </w:rPr>
      </w:pPr>
      <w:r w:rsidRPr="007C2041">
        <w:rPr>
          <w:lang w:val="es-ES"/>
        </w:rPr>
        <w:t>24.</w:t>
      </w:r>
      <w:r w:rsidRPr="007C2041">
        <w:rPr>
          <w:lang w:val="es-ES"/>
        </w:rPr>
        <w:tab/>
        <w:t>Habida cuenta de las medidas de precaución adoptadas en el contexto de la pandemia de la COVID-19, se cancelaron o aplazaron todas las sesiones en las que el Comité iba a reunirse con otros interesados que estaba previsto celebrar durante el 18º</w:t>
      </w:r>
      <w:r w:rsidR="008D495A">
        <w:rPr>
          <w:lang w:val="es-ES"/>
        </w:rPr>
        <w:t> </w:t>
      </w:r>
      <w:r w:rsidRPr="007C2041">
        <w:rPr>
          <w:lang w:val="es-ES"/>
        </w:rPr>
        <w:t>período de sesiones.</w:t>
      </w:r>
    </w:p>
    <w:p w14:paraId="59DD5955" w14:textId="77777777" w:rsidR="004F738F" w:rsidRPr="004F738F" w:rsidRDefault="004F738F" w:rsidP="004F738F">
      <w:pPr>
        <w:pStyle w:val="HChG"/>
        <w:rPr>
          <w:lang w:val="es-ES"/>
        </w:rPr>
      </w:pPr>
      <w:r>
        <w:rPr>
          <w:lang w:val="es-ES"/>
        </w:rPr>
        <w:br w:type="page"/>
      </w:r>
      <w:r w:rsidRPr="004F738F">
        <w:rPr>
          <w:lang w:val="es-ES"/>
        </w:rPr>
        <w:lastRenderedPageBreak/>
        <w:tab/>
      </w:r>
      <w:r w:rsidRPr="004F738F">
        <w:rPr>
          <w:lang w:val="es-ES"/>
        </w:rPr>
        <w:tab/>
        <w:t>Capítulo IV</w:t>
      </w:r>
      <w:r>
        <w:rPr>
          <w:lang w:val="es-ES"/>
        </w:rPr>
        <w:br/>
      </w:r>
      <w:r w:rsidRPr="004F738F">
        <w:rPr>
          <w:bCs/>
          <w:lang w:val="es-ES"/>
        </w:rPr>
        <w:t>Examen de los informes presentados por los Estados partes en virtud del artículo 29, párrafo 1, de la Convención</w:t>
      </w:r>
      <w:bookmarkStart w:id="73" w:name="_Toc460489543"/>
      <w:bookmarkStart w:id="74" w:name="_Toc522200465"/>
      <w:bookmarkStart w:id="75" w:name="_Hlk14698671"/>
      <w:bookmarkStart w:id="76" w:name="_Toc43905476"/>
      <w:bookmarkStart w:id="77" w:name="_Toc43906557"/>
      <w:bookmarkStart w:id="78" w:name="_Toc43996428"/>
      <w:bookmarkEnd w:id="73"/>
      <w:bookmarkEnd w:id="74"/>
      <w:bookmarkEnd w:id="75"/>
      <w:bookmarkEnd w:id="76"/>
      <w:bookmarkEnd w:id="77"/>
      <w:bookmarkEnd w:id="78"/>
    </w:p>
    <w:p w14:paraId="1BB90067" w14:textId="77777777" w:rsidR="004F738F" w:rsidRPr="004F738F" w:rsidRDefault="004F738F" w:rsidP="004F738F">
      <w:pPr>
        <w:pStyle w:val="SingleTxtG"/>
        <w:rPr>
          <w:lang w:val="es-ES"/>
        </w:rPr>
      </w:pPr>
      <w:r w:rsidRPr="004F738F">
        <w:rPr>
          <w:lang w:val="es-ES"/>
        </w:rPr>
        <w:t>25.</w:t>
      </w:r>
      <w:r w:rsidRPr="004F738F">
        <w:rPr>
          <w:lang w:val="es-ES"/>
        </w:rPr>
        <w:tab/>
        <w:t>En su 17º período de sesiones, el Comité examinó los informes de Bolivia (Estado Plurinacional de) (</w:t>
      </w:r>
      <w:hyperlink r:id="rId27" w:history="1">
        <w:r w:rsidRPr="004F738F">
          <w:rPr>
            <w:rStyle w:val="Hyperlink"/>
            <w:u w:val="none"/>
            <w:lang w:val="es-ES"/>
          </w:rPr>
          <w:t>CED/C/BOL/1</w:t>
        </w:r>
      </w:hyperlink>
      <w:r w:rsidRPr="004F738F">
        <w:rPr>
          <w:lang w:val="es-ES"/>
        </w:rPr>
        <w:t>) y Eslovaquia (</w:t>
      </w:r>
      <w:hyperlink r:id="rId28" w:history="1">
        <w:r w:rsidRPr="004F738F">
          <w:rPr>
            <w:rStyle w:val="Hyperlink"/>
            <w:u w:val="none"/>
            <w:lang w:val="es-ES"/>
          </w:rPr>
          <w:t>CED/C/SVK/1</w:t>
        </w:r>
      </w:hyperlink>
      <w:r w:rsidRPr="004F738F">
        <w:rPr>
          <w:lang w:val="es-ES"/>
        </w:rPr>
        <w:t>), y aprobó observaciones finales sobre esos informes (</w:t>
      </w:r>
      <w:hyperlink r:id="rId29" w:history="1">
        <w:r w:rsidRPr="004F738F">
          <w:rPr>
            <w:rStyle w:val="Hyperlink"/>
            <w:u w:val="none"/>
            <w:lang w:val="es-ES"/>
          </w:rPr>
          <w:t>CED/C/BOL/CO/1</w:t>
        </w:r>
      </w:hyperlink>
      <w:r w:rsidRPr="004F738F">
        <w:rPr>
          <w:lang w:val="es-ES"/>
        </w:rPr>
        <w:t xml:space="preserve"> y </w:t>
      </w:r>
      <w:hyperlink r:id="rId30" w:history="1">
        <w:r w:rsidRPr="004F738F">
          <w:rPr>
            <w:rStyle w:val="Hyperlink"/>
            <w:u w:val="none"/>
            <w:lang w:val="es-ES"/>
          </w:rPr>
          <w:t>CED/C/SVK/CO/1</w:t>
        </w:r>
      </w:hyperlink>
      <w:r w:rsidRPr="004F738F">
        <w:rPr>
          <w:lang w:val="es-ES"/>
        </w:rPr>
        <w:t>).</w:t>
      </w:r>
    </w:p>
    <w:p w14:paraId="23511FD3" w14:textId="77777777" w:rsidR="004F738F" w:rsidRPr="004F738F" w:rsidRDefault="004F738F" w:rsidP="004F738F">
      <w:pPr>
        <w:pStyle w:val="SingleTxtG"/>
        <w:rPr>
          <w:lang w:val="es-ES"/>
        </w:rPr>
      </w:pPr>
      <w:r w:rsidRPr="004F738F">
        <w:rPr>
          <w:lang w:val="es-ES"/>
        </w:rPr>
        <w:t>26.</w:t>
      </w:r>
      <w:r w:rsidRPr="004F738F">
        <w:rPr>
          <w:lang w:val="es-ES"/>
        </w:rPr>
        <w:tab/>
        <w:t xml:space="preserve">El diálogo con el Estado Plurinacional de Bolivia, que tuvo una duración de seis horas, se llevó a cabo en un formato híbrido, con la presencia </w:t>
      </w:r>
      <w:r w:rsidRPr="00A950A2">
        <w:rPr>
          <w:i/>
          <w:lang w:val="es-ES"/>
        </w:rPr>
        <w:t>in situ</w:t>
      </w:r>
      <w:r w:rsidRPr="004F738F">
        <w:rPr>
          <w:lang w:val="es-ES"/>
        </w:rPr>
        <w:t xml:space="preserve"> de un representante del Estado parte y la participación activa por videoconferencia de delegados desde la capital.</w:t>
      </w:r>
    </w:p>
    <w:p w14:paraId="7A3EA22A" w14:textId="77777777" w:rsidR="007C2041" w:rsidRDefault="004F738F" w:rsidP="004F738F">
      <w:pPr>
        <w:pStyle w:val="SingleTxtG"/>
        <w:rPr>
          <w:lang w:val="es-ES"/>
        </w:rPr>
      </w:pPr>
      <w:r w:rsidRPr="004F738F">
        <w:rPr>
          <w:lang w:val="es-ES"/>
        </w:rPr>
        <w:t>27.</w:t>
      </w:r>
      <w:r w:rsidRPr="004F738F">
        <w:rPr>
          <w:lang w:val="es-ES"/>
        </w:rPr>
        <w:tab/>
        <w:t>Habida cuenta de las medidas de precaución adoptadas en el contexto de la pandemia de COVID-19, los diálogos interactivos programados para el 18º período de sesiones para el examen de los informes de Mongolia (</w:t>
      </w:r>
      <w:hyperlink r:id="rId31" w:history="1">
        <w:r w:rsidRPr="004F738F">
          <w:rPr>
            <w:rStyle w:val="Hyperlink"/>
            <w:u w:val="none"/>
            <w:lang w:val="es-ES"/>
          </w:rPr>
          <w:t>CED/C/MNG/1</w:t>
        </w:r>
      </w:hyperlink>
      <w:r w:rsidRPr="004F738F">
        <w:rPr>
          <w:lang w:val="es-ES"/>
        </w:rPr>
        <w:t>) y Suiza (</w:t>
      </w:r>
      <w:hyperlink r:id="rId32" w:history="1">
        <w:r w:rsidRPr="004F738F">
          <w:rPr>
            <w:rStyle w:val="Hyperlink"/>
            <w:u w:val="none"/>
            <w:lang w:val="es-ES"/>
          </w:rPr>
          <w:t>CED/C/CHE/1</w:t>
        </w:r>
      </w:hyperlink>
      <w:r w:rsidRPr="004F738F">
        <w:rPr>
          <w:lang w:val="es-ES"/>
        </w:rPr>
        <w:t>) se aplazaron al 19º período de sesiones.</w:t>
      </w:r>
    </w:p>
    <w:p w14:paraId="4FE00E28" w14:textId="77777777" w:rsidR="004F738F" w:rsidRPr="004F738F" w:rsidRDefault="004F738F" w:rsidP="004F738F">
      <w:pPr>
        <w:pStyle w:val="HChG"/>
        <w:rPr>
          <w:lang w:val="es-ES"/>
        </w:rPr>
      </w:pPr>
      <w:r>
        <w:rPr>
          <w:lang w:val="es-ES"/>
        </w:rPr>
        <w:br w:type="page"/>
      </w:r>
      <w:r w:rsidRPr="004F738F">
        <w:rPr>
          <w:lang w:val="es-ES"/>
        </w:rPr>
        <w:lastRenderedPageBreak/>
        <w:tab/>
      </w:r>
      <w:r w:rsidRPr="004F738F">
        <w:rPr>
          <w:lang w:val="es-ES"/>
        </w:rPr>
        <w:tab/>
        <w:t xml:space="preserve">Capítulo V </w:t>
      </w:r>
      <w:r>
        <w:rPr>
          <w:lang w:val="es-ES"/>
        </w:rPr>
        <w:br/>
      </w:r>
      <w:r w:rsidRPr="004F738F">
        <w:rPr>
          <w:lang w:val="es-ES"/>
        </w:rPr>
        <w:t>Aprobación del informe sobre el seguimiento de las observaciones finales</w:t>
      </w:r>
      <w:bookmarkStart w:id="79" w:name="_Toc460489544"/>
      <w:bookmarkStart w:id="80" w:name="_Toc522200466"/>
      <w:bookmarkStart w:id="81" w:name="_Toc43905477"/>
      <w:bookmarkStart w:id="82" w:name="_Toc43906558"/>
      <w:bookmarkStart w:id="83" w:name="_Toc43996429"/>
      <w:bookmarkEnd w:id="79"/>
      <w:bookmarkEnd w:id="80"/>
      <w:bookmarkEnd w:id="81"/>
      <w:bookmarkEnd w:id="82"/>
      <w:bookmarkEnd w:id="83"/>
    </w:p>
    <w:p w14:paraId="618BF9C2" w14:textId="77777777" w:rsidR="004F738F" w:rsidRDefault="004F738F" w:rsidP="004F738F">
      <w:pPr>
        <w:pStyle w:val="SingleTxtG"/>
        <w:rPr>
          <w:lang w:val="es-ES"/>
        </w:rPr>
      </w:pPr>
      <w:r w:rsidRPr="004F738F">
        <w:rPr>
          <w:lang w:val="es-ES"/>
        </w:rPr>
        <w:t>28.</w:t>
      </w:r>
      <w:r w:rsidRPr="004F738F">
        <w:rPr>
          <w:lang w:val="es-ES"/>
        </w:rPr>
        <w:tab/>
        <w:t>Debido a la escasa dotación de personal de la secretaría, el Comité no pudo proceder al examen previsto del seguimiento de sus observaciones finales sobre Albania, Austria, el Gabón, Honduras y Lituania.</w:t>
      </w:r>
    </w:p>
    <w:p w14:paraId="51F97086" w14:textId="77777777" w:rsidR="004F738F" w:rsidRPr="004F738F" w:rsidRDefault="004F738F" w:rsidP="004F738F">
      <w:pPr>
        <w:pStyle w:val="HChG"/>
        <w:rPr>
          <w:lang w:val="es-ES"/>
        </w:rPr>
      </w:pPr>
      <w:r>
        <w:rPr>
          <w:lang w:val="es-ES"/>
        </w:rPr>
        <w:br w:type="page"/>
      </w:r>
      <w:r w:rsidRPr="004F738F">
        <w:rPr>
          <w:lang w:val="es-ES"/>
        </w:rPr>
        <w:lastRenderedPageBreak/>
        <w:tab/>
      </w:r>
      <w:r>
        <w:rPr>
          <w:lang w:val="es-ES"/>
        </w:rPr>
        <w:tab/>
      </w:r>
      <w:r w:rsidRPr="004F738F">
        <w:rPr>
          <w:lang w:val="es-ES"/>
        </w:rPr>
        <w:t>Capítulo VI</w:t>
      </w:r>
      <w:r>
        <w:rPr>
          <w:lang w:val="es-ES"/>
        </w:rPr>
        <w:br/>
      </w:r>
      <w:r w:rsidRPr="004F738F">
        <w:rPr>
          <w:lang w:val="es-ES"/>
        </w:rPr>
        <w:t>Aprobación de las listas de cuestiones</w:t>
      </w:r>
      <w:bookmarkStart w:id="84" w:name="_Toc460489545"/>
      <w:bookmarkStart w:id="85" w:name="_Toc522200467"/>
      <w:bookmarkStart w:id="86" w:name="_Toc43905478"/>
      <w:bookmarkStart w:id="87" w:name="_Toc43906559"/>
      <w:bookmarkStart w:id="88" w:name="_Toc43996430"/>
      <w:bookmarkEnd w:id="84"/>
      <w:bookmarkEnd w:id="85"/>
      <w:bookmarkEnd w:id="86"/>
      <w:bookmarkEnd w:id="87"/>
      <w:bookmarkEnd w:id="88"/>
    </w:p>
    <w:p w14:paraId="695EB7D8" w14:textId="77777777" w:rsidR="004F738F" w:rsidRPr="004F738F" w:rsidRDefault="004F738F" w:rsidP="004F738F">
      <w:pPr>
        <w:pStyle w:val="SingleTxtG"/>
        <w:rPr>
          <w:lang w:val="es-ES"/>
        </w:rPr>
      </w:pPr>
      <w:r w:rsidRPr="004F738F">
        <w:rPr>
          <w:lang w:val="es-ES"/>
        </w:rPr>
        <w:t>29.</w:t>
      </w:r>
      <w:r w:rsidRPr="004F738F">
        <w:rPr>
          <w:lang w:val="es-ES"/>
        </w:rPr>
        <w:tab/>
        <w:t>En su 17º período de sesiones, el Comité aprobó las listas de cuestiones relativas a Mongolia (</w:t>
      </w:r>
      <w:hyperlink r:id="rId33" w:history="1">
        <w:r w:rsidRPr="004F738F">
          <w:rPr>
            <w:rStyle w:val="Hyperlink"/>
            <w:u w:val="none"/>
            <w:lang w:val="es-ES"/>
          </w:rPr>
          <w:t>CED/C/MNG/Q/1</w:t>
        </w:r>
      </w:hyperlink>
      <w:r w:rsidRPr="004F738F">
        <w:rPr>
          <w:lang w:val="es-ES"/>
        </w:rPr>
        <w:t>) y Suiza (</w:t>
      </w:r>
      <w:hyperlink r:id="rId34" w:history="1">
        <w:r w:rsidRPr="004F738F">
          <w:rPr>
            <w:rStyle w:val="Hyperlink"/>
            <w:u w:val="none"/>
            <w:lang w:val="es-ES"/>
          </w:rPr>
          <w:t>CED/C/CHE/Q/1</w:t>
        </w:r>
      </w:hyperlink>
      <w:r w:rsidRPr="004F738F">
        <w:rPr>
          <w:lang w:val="es-ES"/>
        </w:rPr>
        <w:t>), así como la lista de cuestiones en ausencia del informe de Nigeria (</w:t>
      </w:r>
      <w:hyperlink r:id="rId35" w:history="1">
        <w:r w:rsidRPr="004F738F">
          <w:rPr>
            <w:rStyle w:val="Hyperlink"/>
            <w:u w:val="none"/>
            <w:lang w:val="es-ES"/>
          </w:rPr>
          <w:t>CED/C/NGA/QAR/1</w:t>
        </w:r>
      </w:hyperlink>
      <w:r w:rsidRPr="004F738F">
        <w:rPr>
          <w:lang w:val="es-ES"/>
        </w:rPr>
        <w:t>).</w:t>
      </w:r>
    </w:p>
    <w:p w14:paraId="71BFBA46" w14:textId="77777777" w:rsidR="004F738F" w:rsidRDefault="004F738F" w:rsidP="004F738F">
      <w:pPr>
        <w:pStyle w:val="SingleTxtG"/>
        <w:rPr>
          <w:lang w:val="es-ES"/>
        </w:rPr>
      </w:pPr>
      <w:r w:rsidRPr="00C77F5B">
        <w:rPr>
          <w:lang w:val="es-ES"/>
        </w:rPr>
        <w:t>30.</w:t>
      </w:r>
      <w:r w:rsidRPr="00C77F5B">
        <w:rPr>
          <w:lang w:val="es-ES"/>
        </w:rPr>
        <w:tab/>
        <w:t>En su 18º período de sesiones</w:t>
      </w:r>
      <w:r w:rsidR="00C77F5B" w:rsidRPr="00C77F5B">
        <w:rPr>
          <w:rStyle w:val="FootnoteReference"/>
          <w:lang w:val="es-ES"/>
        </w:rPr>
        <w:footnoteReference w:id="3"/>
      </w:r>
      <w:r w:rsidRPr="00C77F5B">
        <w:rPr>
          <w:lang w:val="es-ES"/>
        </w:rPr>
        <w:t>, el Comité aprobó las listas de cuestiones relativas al Brasil (</w:t>
      </w:r>
      <w:hyperlink r:id="rId36" w:history="1">
        <w:r w:rsidRPr="00C77F5B">
          <w:rPr>
            <w:rStyle w:val="Hyperlink"/>
            <w:u w:val="none"/>
            <w:lang w:val="es-ES"/>
          </w:rPr>
          <w:t>CED/C/BRA/Q/1</w:t>
        </w:r>
      </w:hyperlink>
      <w:r w:rsidRPr="00C77F5B">
        <w:rPr>
          <w:lang w:val="es-ES"/>
        </w:rPr>
        <w:t>) y a Panamá (</w:t>
      </w:r>
      <w:hyperlink r:id="rId37" w:history="1">
        <w:r w:rsidRPr="00C77F5B">
          <w:rPr>
            <w:rStyle w:val="Hyperlink"/>
            <w:u w:val="none"/>
            <w:lang w:val="es-ES"/>
          </w:rPr>
          <w:t>CED/C/PAN/Q/1</w:t>
        </w:r>
      </w:hyperlink>
      <w:r w:rsidRPr="00C77F5B">
        <w:rPr>
          <w:lang w:val="es-ES"/>
        </w:rPr>
        <w:t>).</w:t>
      </w:r>
    </w:p>
    <w:p w14:paraId="635A0358" w14:textId="77777777" w:rsidR="00C77F5B" w:rsidRPr="00C77F5B" w:rsidRDefault="00C77F5B" w:rsidP="00C77F5B">
      <w:pPr>
        <w:pStyle w:val="HChG"/>
        <w:rPr>
          <w:lang w:val="es-ES"/>
        </w:rPr>
      </w:pPr>
      <w:r>
        <w:rPr>
          <w:lang w:val="es-ES"/>
        </w:rPr>
        <w:br w:type="page"/>
      </w:r>
      <w:r w:rsidRPr="00C77F5B">
        <w:rPr>
          <w:lang w:val="es-ES"/>
        </w:rPr>
        <w:lastRenderedPageBreak/>
        <w:tab/>
      </w:r>
      <w:r>
        <w:rPr>
          <w:lang w:val="es-ES"/>
        </w:rPr>
        <w:tab/>
      </w:r>
      <w:r w:rsidRPr="00C77F5B">
        <w:rPr>
          <w:lang w:val="es-ES"/>
        </w:rPr>
        <w:t>Capítulo VII</w:t>
      </w:r>
      <w:r>
        <w:rPr>
          <w:lang w:val="es-ES"/>
        </w:rPr>
        <w:br/>
      </w:r>
      <w:r w:rsidRPr="00C77F5B">
        <w:rPr>
          <w:lang w:val="es-ES"/>
        </w:rPr>
        <w:t>Presentación de informes en virtud de la Convención</w:t>
      </w:r>
      <w:bookmarkStart w:id="89" w:name="_Toc460489546"/>
      <w:bookmarkStart w:id="90" w:name="_Toc522200468"/>
      <w:bookmarkStart w:id="91" w:name="_Toc43905479"/>
      <w:bookmarkStart w:id="92" w:name="_Toc43906560"/>
      <w:bookmarkStart w:id="93" w:name="_Toc43996431"/>
      <w:bookmarkEnd w:id="89"/>
      <w:bookmarkEnd w:id="90"/>
      <w:bookmarkEnd w:id="91"/>
      <w:bookmarkEnd w:id="92"/>
      <w:bookmarkEnd w:id="93"/>
    </w:p>
    <w:p w14:paraId="0F3F20D0" w14:textId="77777777" w:rsidR="00C77F5B" w:rsidRPr="00C77F5B" w:rsidRDefault="00C77F5B" w:rsidP="00C77F5B">
      <w:pPr>
        <w:pStyle w:val="SingleTxtG"/>
        <w:rPr>
          <w:lang w:val="es-ES"/>
        </w:rPr>
      </w:pPr>
      <w:r w:rsidRPr="00C77F5B">
        <w:rPr>
          <w:lang w:val="es-ES"/>
        </w:rPr>
        <w:t>31.</w:t>
      </w:r>
      <w:r w:rsidRPr="00C77F5B">
        <w:rPr>
          <w:lang w:val="es-ES"/>
        </w:rPr>
        <w:tab/>
        <w:t xml:space="preserve">En su 17º período de sesiones, el Comité expresó su agradecimiento a todos los Estados partes que habían respetado el plazo oficial para la presentación de sus informes y alentó a los demás Estados partes a que siguieran su ejemplo. El Comité expresó su más profunda preocupación por el gran número de informes atrasados, en particular en el caso de Malí y Zambia, ya que esos Estados habían sido de los primeros en ratificar la Convención. Observó que los informes de Belice, Benin, Camboya, Costa Rica, Lesotho, Malawi, Malta, Marruecos, Mauritania, la República Centroafricana, Samoa, Seychelles, Sri Lanka, </w:t>
      </w:r>
      <w:r w:rsidR="00EF6C2B">
        <w:rPr>
          <w:lang w:val="es-ES"/>
        </w:rPr>
        <w:t xml:space="preserve">el </w:t>
      </w:r>
      <w:r w:rsidRPr="00C77F5B">
        <w:rPr>
          <w:lang w:val="es-ES"/>
        </w:rPr>
        <w:t>Togo y Ucrania estaban muy atrasados. Recordando que la presentación puntual de los informes era necesaria para el funcionamiento eficiente del Comité, el Presidente instó a todos los Estados partes a que respetaran su obligación jurídica de presentar los informes a tiempo.</w:t>
      </w:r>
    </w:p>
    <w:p w14:paraId="03DA76E0" w14:textId="77777777" w:rsidR="00C77F5B" w:rsidRPr="00C77F5B" w:rsidRDefault="00C77F5B" w:rsidP="00C77F5B">
      <w:pPr>
        <w:pStyle w:val="SingleTxtG"/>
        <w:rPr>
          <w:lang w:val="es-ES"/>
        </w:rPr>
      </w:pPr>
      <w:r w:rsidRPr="00C77F5B">
        <w:rPr>
          <w:lang w:val="es-ES"/>
        </w:rPr>
        <w:t>32.</w:t>
      </w:r>
      <w:r w:rsidRPr="00C77F5B">
        <w:rPr>
          <w:lang w:val="es-ES"/>
        </w:rPr>
        <w:tab/>
        <w:t>Entre los períodos de sesiones 16º y 17º, el Brasil, Che</w:t>
      </w:r>
      <w:r w:rsidR="00EF6C2B">
        <w:rPr>
          <w:lang w:val="es-ES"/>
        </w:rPr>
        <w:t>quia</w:t>
      </w:r>
      <w:r w:rsidRPr="00C77F5B">
        <w:rPr>
          <w:lang w:val="es-ES"/>
        </w:rPr>
        <w:t>, el Níger y Panamá presentaron sus informes al Comité.</w:t>
      </w:r>
    </w:p>
    <w:p w14:paraId="6F0F2266" w14:textId="77777777" w:rsidR="00C77F5B" w:rsidRPr="00C77F5B" w:rsidRDefault="00C77F5B" w:rsidP="00C77F5B">
      <w:pPr>
        <w:pStyle w:val="SingleTxtG"/>
        <w:rPr>
          <w:lang w:val="es-ES"/>
        </w:rPr>
      </w:pPr>
      <w:r w:rsidRPr="00C77F5B">
        <w:rPr>
          <w:lang w:val="es-ES"/>
        </w:rPr>
        <w:t>33.</w:t>
      </w:r>
      <w:r w:rsidRPr="00C77F5B">
        <w:rPr>
          <w:lang w:val="es-ES"/>
        </w:rPr>
        <w:tab/>
        <w:t>En febrero de 2020 se envió un primer recordatorio a Benin, Malawi y Seychelles; un segundo recordatorio a la República Centroafricana y a Sri Lanka; un tercer recordatorio a Belice, Malta y Ucrania; un cuarto recordatorio a Lesotho y el Togo; un quinto recordatorio a Camboya y Marruecos; un sexto recordatorio a Costa Rica, Mauritania y Samoa; un séptimo recordatorio a Zambia; y un octavo recordatorio a Malí.</w:t>
      </w:r>
    </w:p>
    <w:p w14:paraId="32A797A5" w14:textId="77777777" w:rsidR="00C77F5B" w:rsidRPr="00C77F5B" w:rsidRDefault="00C77F5B" w:rsidP="00C77F5B">
      <w:pPr>
        <w:pStyle w:val="SingleTxtG"/>
        <w:rPr>
          <w:lang w:val="es-ES"/>
        </w:rPr>
      </w:pPr>
      <w:r w:rsidRPr="00C77F5B">
        <w:rPr>
          <w:lang w:val="es-ES"/>
        </w:rPr>
        <w:t>34.</w:t>
      </w:r>
      <w:r w:rsidRPr="00C77F5B">
        <w:rPr>
          <w:lang w:val="es-ES"/>
        </w:rPr>
        <w:tab/>
        <w:t>En su 18º período de sesiones</w:t>
      </w:r>
      <w:r>
        <w:rPr>
          <w:rStyle w:val="FootnoteReference"/>
          <w:lang w:val="es-ES"/>
        </w:rPr>
        <w:footnoteReference w:id="4"/>
      </w:r>
      <w:r w:rsidRPr="00C77F5B">
        <w:rPr>
          <w:lang w:val="es-ES"/>
        </w:rPr>
        <w:t>, el Comité decidió examinar Malí en ausencia de un informe y aprobar una lista de cuestiones en ausencia del informe en su 19º período de sesiones.</w:t>
      </w:r>
    </w:p>
    <w:p w14:paraId="627160B1" w14:textId="77777777" w:rsidR="00C77F5B" w:rsidRPr="00C77F5B" w:rsidRDefault="00C77F5B" w:rsidP="00C77F5B">
      <w:pPr>
        <w:pStyle w:val="SingleTxtG"/>
        <w:rPr>
          <w:lang w:val="es-ES"/>
        </w:rPr>
      </w:pPr>
      <w:r w:rsidRPr="00C77F5B">
        <w:rPr>
          <w:lang w:val="es-ES"/>
        </w:rPr>
        <w:t>35.</w:t>
      </w:r>
      <w:r w:rsidRPr="00C77F5B">
        <w:rPr>
          <w:lang w:val="es-ES"/>
        </w:rPr>
        <w:tab/>
        <w:t>El 7 de mayo de 2020, Costa Rica presentó su informe al Comité.</w:t>
      </w:r>
    </w:p>
    <w:p w14:paraId="329758A4" w14:textId="77777777" w:rsidR="00C77F5B" w:rsidRPr="00C77F5B" w:rsidRDefault="00C77F5B" w:rsidP="00C77F5B">
      <w:pPr>
        <w:pStyle w:val="SingleTxtG"/>
        <w:rPr>
          <w:lang w:val="es-ES"/>
        </w:rPr>
      </w:pPr>
      <w:r w:rsidRPr="00C77F5B">
        <w:rPr>
          <w:lang w:val="es-ES"/>
        </w:rPr>
        <w:t>36.</w:t>
      </w:r>
      <w:r w:rsidRPr="00C77F5B">
        <w:rPr>
          <w:lang w:val="es-ES"/>
        </w:rPr>
        <w:tab/>
        <w:t>En el anexo del presente informe figura una lista completa de los Estados partes y la situación de sus informes.</w:t>
      </w:r>
    </w:p>
    <w:p w14:paraId="73306C75" w14:textId="77777777" w:rsidR="00C77F5B" w:rsidRPr="00C77F5B" w:rsidRDefault="00C77F5B" w:rsidP="00C77F5B">
      <w:pPr>
        <w:pStyle w:val="HChG"/>
        <w:rPr>
          <w:lang w:val="es-ES"/>
        </w:rPr>
      </w:pPr>
      <w:r>
        <w:rPr>
          <w:lang w:val="es-ES"/>
        </w:rPr>
        <w:br w:type="page"/>
      </w:r>
      <w:r w:rsidRPr="00C77F5B">
        <w:rPr>
          <w:lang w:val="es-ES"/>
        </w:rPr>
        <w:lastRenderedPageBreak/>
        <w:tab/>
      </w:r>
      <w:r w:rsidRPr="00C77F5B">
        <w:rPr>
          <w:lang w:val="es-ES"/>
        </w:rPr>
        <w:tab/>
        <w:t>Capítulo VIII</w:t>
      </w:r>
      <w:r>
        <w:rPr>
          <w:lang w:val="es-ES"/>
        </w:rPr>
        <w:br/>
      </w:r>
      <w:r w:rsidRPr="00C77F5B">
        <w:rPr>
          <w:lang w:val="es-ES"/>
        </w:rPr>
        <w:t>Represalias</w:t>
      </w:r>
      <w:bookmarkStart w:id="94" w:name="_Toc460489547"/>
      <w:bookmarkStart w:id="95" w:name="_Toc522200469"/>
      <w:bookmarkStart w:id="96" w:name="_Toc43905480"/>
      <w:bookmarkStart w:id="97" w:name="_Toc43906561"/>
      <w:bookmarkStart w:id="98" w:name="_Toc43996432"/>
      <w:bookmarkEnd w:id="94"/>
      <w:bookmarkEnd w:id="95"/>
      <w:bookmarkEnd w:id="96"/>
      <w:bookmarkEnd w:id="97"/>
      <w:bookmarkEnd w:id="98"/>
    </w:p>
    <w:p w14:paraId="23BDBF63" w14:textId="77777777" w:rsidR="00C77F5B" w:rsidRDefault="00C77F5B" w:rsidP="00C77F5B">
      <w:pPr>
        <w:pStyle w:val="SingleTxtG"/>
        <w:rPr>
          <w:lang w:val="es-ES"/>
        </w:rPr>
      </w:pPr>
      <w:r w:rsidRPr="00C77F5B">
        <w:rPr>
          <w:lang w:val="es-ES"/>
        </w:rPr>
        <w:t>37.</w:t>
      </w:r>
      <w:r w:rsidRPr="00C77F5B">
        <w:rPr>
          <w:lang w:val="es-ES"/>
        </w:rPr>
        <w:tab/>
        <w:t>El Comité observó con satisfacción que, durante el período que abarca el informe, no había recibido denuncias de particulares en relación con actos de intimidación o represalias por cooperar con el Comité o tratar de hacerlo.</w:t>
      </w:r>
    </w:p>
    <w:p w14:paraId="41640E9C" w14:textId="77777777" w:rsidR="00C77F5B" w:rsidRPr="00C77F5B" w:rsidRDefault="00C77F5B" w:rsidP="00C77F5B">
      <w:pPr>
        <w:pStyle w:val="HChG"/>
        <w:rPr>
          <w:lang w:val="es-ES"/>
        </w:rPr>
      </w:pPr>
      <w:r>
        <w:rPr>
          <w:lang w:val="es-ES"/>
        </w:rPr>
        <w:br w:type="page"/>
      </w:r>
      <w:r w:rsidRPr="00C77F5B">
        <w:rPr>
          <w:lang w:val="es-ES"/>
        </w:rPr>
        <w:lastRenderedPageBreak/>
        <w:tab/>
      </w:r>
      <w:r w:rsidRPr="00C77F5B">
        <w:rPr>
          <w:lang w:val="es-ES"/>
        </w:rPr>
        <w:tab/>
        <w:t>Capítulo IX</w:t>
      </w:r>
      <w:r>
        <w:rPr>
          <w:lang w:val="es-ES"/>
        </w:rPr>
        <w:br/>
      </w:r>
      <w:r w:rsidRPr="00C77F5B">
        <w:rPr>
          <w:lang w:val="es-ES"/>
        </w:rPr>
        <w:t>Examen de la información adicional presentada por los</w:t>
      </w:r>
      <w:r>
        <w:rPr>
          <w:lang w:val="es-ES"/>
        </w:rPr>
        <w:t> </w:t>
      </w:r>
      <w:r w:rsidRPr="00C77F5B">
        <w:rPr>
          <w:lang w:val="es-ES"/>
        </w:rPr>
        <w:t>Estados partes en virtud del artículo 29, párrafo 4, de</w:t>
      </w:r>
      <w:r>
        <w:rPr>
          <w:lang w:val="es-ES"/>
        </w:rPr>
        <w:t> </w:t>
      </w:r>
      <w:r w:rsidRPr="00C77F5B">
        <w:rPr>
          <w:lang w:val="es-ES"/>
        </w:rPr>
        <w:t>la</w:t>
      </w:r>
      <w:r>
        <w:rPr>
          <w:lang w:val="es-ES"/>
        </w:rPr>
        <w:t> </w:t>
      </w:r>
      <w:r w:rsidRPr="00C77F5B">
        <w:rPr>
          <w:lang w:val="es-ES"/>
        </w:rPr>
        <w:t>Convención</w:t>
      </w:r>
      <w:bookmarkStart w:id="99" w:name="_Toc43905481"/>
      <w:bookmarkStart w:id="100" w:name="_Toc43906562"/>
      <w:bookmarkStart w:id="101" w:name="_Toc43996433"/>
      <w:bookmarkEnd w:id="99"/>
      <w:bookmarkEnd w:id="100"/>
      <w:bookmarkEnd w:id="101"/>
    </w:p>
    <w:p w14:paraId="369141C0" w14:textId="77777777" w:rsidR="00C77F5B" w:rsidRPr="00C77F5B" w:rsidRDefault="00C77F5B" w:rsidP="00C77F5B">
      <w:pPr>
        <w:pStyle w:val="SingleTxtG"/>
        <w:rPr>
          <w:lang w:val="es-ES"/>
        </w:rPr>
      </w:pPr>
      <w:r w:rsidRPr="00C77F5B">
        <w:rPr>
          <w:lang w:val="es-ES"/>
        </w:rPr>
        <w:t>38.</w:t>
      </w:r>
      <w:r w:rsidRPr="00C77F5B">
        <w:rPr>
          <w:lang w:val="es-ES"/>
        </w:rPr>
        <w:tab/>
        <w:t>Durante el período abarcado por el presente informe, el Comité recibió información adicional de la Argentina (</w:t>
      </w:r>
      <w:hyperlink r:id="rId38" w:history="1">
        <w:r w:rsidRPr="00C77F5B">
          <w:rPr>
            <w:rStyle w:val="Hyperlink"/>
            <w:u w:val="none"/>
            <w:lang w:val="es-ES"/>
          </w:rPr>
          <w:t>CED/C/ARG/AI/1</w:t>
        </w:r>
      </w:hyperlink>
      <w:r w:rsidRPr="00C77F5B">
        <w:rPr>
          <w:lang w:val="es-ES"/>
        </w:rPr>
        <w:t>), Colombia (</w:t>
      </w:r>
      <w:hyperlink r:id="rId39" w:history="1">
        <w:r w:rsidRPr="00C77F5B">
          <w:rPr>
            <w:rStyle w:val="Hyperlink"/>
            <w:u w:val="none"/>
            <w:lang w:val="es-ES"/>
          </w:rPr>
          <w:t>CED/C/COL/AI/1</w:t>
        </w:r>
      </w:hyperlink>
      <w:r w:rsidRPr="00C77F5B">
        <w:rPr>
          <w:lang w:val="es-ES"/>
        </w:rPr>
        <w:t>), España (</w:t>
      </w:r>
      <w:hyperlink r:id="rId40" w:history="1">
        <w:r w:rsidRPr="00C77F5B">
          <w:rPr>
            <w:rStyle w:val="Hyperlink"/>
            <w:u w:val="none"/>
            <w:lang w:val="es-ES"/>
          </w:rPr>
          <w:t>CED/C/ESP/AI/1</w:t>
        </w:r>
      </w:hyperlink>
      <w:r w:rsidRPr="00C77F5B">
        <w:rPr>
          <w:lang w:val="es-ES"/>
        </w:rPr>
        <w:t>), Francia (</w:t>
      </w:r>
      <w:hyperlink r:id="rId41" w:history="1">
        <w:r w:rsidRPr="00C77F5B">
          <w:rPr>
            <w:rStyle w:val="Hyperlink"/>
            <w:u w:val="none"/>
            <w:lang w:val="es-ES"/>
          </w:rPr>
          <w:t>CED/C/FRA/AI/1</w:t>
        </w:r>
      </w:hyperlink>
      <w:r w:rsidRPr="00C77F5B">
        <w:rPr>
          <w:lang w:val="es-ES"/>
        </w:rPr>
        <w:t>), el Iraq (</w:t>
      </w:r>
      <w:hyperlink r:id="rId42" w:history="1">
        <w:r w:rsidRPr="00C77F5B">
          <w:rPr>
            <w:rStyle w:val="Hyperlink"/>
            <w:u w:val="none"/>
            <w:lang w:val="es-ES"/>
          </w:rPr>
          <w:t>CED/C/IRQ/AI/1</w:t>
        </w:r>
      </w:hyperlink>
      <w:r w:rsidRPr="00C77F5B">
        <w:rPr>
          <w:lang w:val="es-ES"/>
        </w:rPr>
        <w:t>) y el Uruguay (</w:t>
      </w:r>
      <w:hyperlink r:id="rId43" w:history="1">
        <w:r w:rsidRPr="00C77F5B">
          <w:rPr>
            <w:rStyle w:val="Hyperlink"/>
            <w:u w:val="none"/>
            <w:lang w:val="es-ES"/>
          </w:rPr>
          <w:t>CED/C/URY/AI/1</w:t>
        </w:r>
      </w:hyperlink>
      <w:r w:rsidRPr="00C77F5B">
        <w:rPr>
          <w:lang w:val="es-ES"/>
        </w:rPr>
        <w:t>).</w:t>
      </w:r>
    </w:p>
    <w:p w14:paraId="7D943CBC" w14:textId="77777777" w:rsidR="00C77F5B" w:rsidRDefault="00C77F5B" w:rsidP="00C77F5B">
      <w:pPr>
        <w:pStyle w:val="SingleTxtG"/>
        <w:rPr>
          <w:lang w:val="es-ES"/>
        </w:rPr>
      </w:pPr>
      <w:r w:rsidRPr="00C77F5B">
        <w:rPr>
          <w:lang w:val="es-ES"/>
        </w:rPr>
        <w:t>39.</w:t>
      </w:r>
      <w:r w:rsidRPr="00C77F5B">
        <w:rPr>
          <w:lang w:val="es-ES"/>
        </w:rPr>
        <w:tab/>
        <w:t>Habida cuenta de las medidas de precaución adoptadas en el contexto de la pandemia de la COVID-19, el diálogo interactivo programado para el 18º período de sesiones para el examen de la información adicional presentada por el Iraq se aplazó al 19º</w:t>
      </w:r>
      <w:r w:rsidR="00D55C18">
        <w:rPr>
          <w:lang w:val="es-ES"/>
        </w:rPr>
        <w:t> </w:t>
      </w:r>
      <w:r w:rsidRPr="00C77F5B">
        <w:rPr>
          <w:lang w:val="es-ES"/>
        </w:rPr>
        <w:t>período de sesiones.</w:t>
      </w:r>
    </w:p>
    <w:p w14:paraId="3AEAFE45" w14:textId="77777777" w:rsidR="00C77F5B" w:rsidRPr="00C0426D" w:rsidRDefault="00C77F5B" w:rsidP="009E1D77">
      <w:pPr>
        <w:pStyle w:val="HChG"/>
        <w:rPr>
          <w:lang w:val="es-ES"/>
        </w:rPr>
      </w:pPr>
      <w:r>
        <w:rPr>
          <w:lang w:val="es-ES"/>
        </w:rPr>
        <w:br w:type="page"/>
      </w:r>
      <w:r>
        <w:rPr>
          <w:lang w:val="es-ES"/>
        </w:rPr>
        <w:lastRenderedPageBreak/>
        <w:tab/>
      </w:r>
      <w:r>
        <w:rPr>
          <w:lang w:val="es-ES"/>
        </w:rPr>
        <w:tab/>
      </w:r>
      <w:r>
        <w:rPr>
          <w:bCs/>
          <w:lang w:val="es-ES"/>
        </w:rPr>
        <w:t xml:space="preserve">Capítulo X </w:t>
      </w:r>
      <w:r w:rsidR="001A4DC6">
        <w:rPr>
          <w:bCs/>
          <w:lang w:val="es-ES"/>
        </w:rPr>
        <w:br/>
      </w:r>
      <w:r>
        <w:rPr>
          <w:bCs/>
          <w:lang w:val="es-ES"/>
        </w:rPr>
        <w:t>Procedimiento de acción urgente con arreglo al artículo 30 de</w:t>
      </w:r>
      <w:r w:rsidR="001A4DC6">
        <w:rPr>
          <w:bCs/>
          <w:lang w:val="es-ES"/>
        </w:rPr>
        <w:t> </w:t>
      </w:r>
      <w:r>
        <w:rPr>
          <w:bCs/>
          <w:lang w:val="es-ES"/>
        </w:rPr>
        <w:t>la Convención</w:t>
      </w:r>
      <w:bookmarkStart w:id="102" w:name="_Toc460489548"/>
      <w:bookmarkStart w:id="103" w:name="_Toc522200470"/>
      <w:bookmarkStart w:id="104" w:name="_Toc43905482"/>
      <w:bookmarkStart w:id="105" w:name="_Toc43906563"/>
      <w:bookmarkStart w:id="106" w:name="_Toc43996434"/>
      <w:bookmarkStart w:id="107" w:name="_Toc460489549"/>
      <w:bookmarkEnd w:id="102"/>
      <w:bookmarkEnd w:id="103"/>
      <w:bookmarkEnd w:id="104"/>
      <w:bookmarkEnd w:id="105"/>
      <w:bookmarkEnd w:id="106"/>
    </w:p>
    <w:p w14:paraId="64296E36" w14:textId="77777777" w:rsidR="00C77F5B" w:rsidRPr="00C0426D" w:rsidRDefault="001A4DC6" w:rsidP="00C77F5B">
      <w:pPr>
        <w:pStyle w:val="H1G"/>
        <w:rPr>
          <w:lang w:val="es-ES"/>
        </w:rPr>
      </w:pPr>
      <w:r>
        <w:rPr>
          <w:lang w:val="es-ES"/>
        </w:rPr>
        <w:tab/>
      </w:r>
      <w:r w:rsidR="00C77F5B">
        <w:rPr>
          <w:lang w:val="es-ES"/>
        </w:rPr>
        <w:t>A.</w:t>
      </w:r>
      <w:r w:rsidR="00C77F5B">
        <w:rPr>
          <w:lang w:val="es-ES"/>
        </w:rPr>
        <w:tab/>
      </w:r>
      <w:r w:rsidR="00C77F5B">
        <w:rPr>
          <w:bCs/>
          <w:lang w:val="es-ES"/>
        </w:rPr>
        <w:t>Peticiones de acción urgente recibidas y registradas desde el</w:t>
      </w:r>
      <w:r>
        <w:rPr>
          <w:bCs/>
          <w:lang w:val="es-ES"/>
        </w:rPr>
        <w:t> </w:t>
      </w:r>
      <w:r w:rsidR="00C77F5B">
        <w:rPr>
          <w:bCs/>
          <w:lang w:val="es-ES"/>
        </w:rPr>
        <w:t>establecimiento del Comité</w:t>
      </w:r>
      <w:bookmarkStart w:id="108" w:name="_Toc522200471"/>
      <w:bookmarkStart w:id="109" w:name="_Toc43905483"/>
      <w:bookmarkStart w:id="110" w:name="_Toc43906564"/>
      <w:bookmarkStart w:id="111" w:name="_Toc43996435"/>
      <w:bookmarkEnd w:id="108"/>
      <w:bookmarkEnd w:id="109"/>
      <w:bookmarkEnd w:id="110"/>
      <w:bookmarkEnd w:id="111"/>
    </w:p>
    <w:p w14:paraId="247602F5" w14:textId="77777777" w:rsidR="00C77F5B" w:rsidRPr="00C0426D" w:rsidRDefault="00C77F5B" w:rsidP="00C77F5B">
      <w:pPr>
        <w:pStyle w:val="SingleTxtG"/>
        <w:rPr>
          <w:lang w:val="es-ES"/>
        </w:rPr>
      </w:pPr>
      <w:r>
        <w:rPr>
          <w:lang w:val="es-ES"/>
        </w:rPr>
        <w:t>40.</w:t>
      </w:r>
      <w:r>
        <w:rPr>
          <w:lang w:val="es-ES"/>
        </w:rPr>
        <w:tab/>
        <w:t>En su 18º período de sesiones</w:t>
      </w:r>
      <w:r w:rsidR="00AF4462">
        <w:rPr>
          <w:rStyle w:val="FootnoteReference"/>
          <w:lang w:val="es-ES"/>
        </w:rPr>
        <w:footnoteReference w:id="5"/>
      </w:r>
      <w:r>
        <w:rPr>
          <w:lang w:val="es-ES"/>
        </w:rPr>
        <w:t>, el Comité decidió aplazar hasta su 19º período de sesiones la aprobación de su informe sobre las peticiones de acción urgente, con el fin de permitir un debate a fondo de algunas de las cuestiones. A 4 de mayo de 2020, fecha de apertura del 18º período de sesiones, el Comité había registrado un total de 895 peticiones de acción urgente. En el informe sobre estas peticiones que aprobó en su 17º período de sesiones, el Comité recogió las decisiones adoptadas en relación con las 782 peticiones de acción urgente que se habían registrado hasta el 30 de septiembre de 2019, incluidas las 220</w:t>
      </w:r>
      <w:r w:rsidR="004F1922">
        <w:rPr>
          <w:lang w:val="es-ES"/>
        </w:rPr>
        <w:t> </w:t>
      </w:r>
      <w:r>
        <w:rPr>
          <w:lang w:val="es-ES"/>
        </w:rPr>
        <w:t>nuevas que se habían registrado desde su 16º período de sesiones. Estas 220 están relacionadas con incidentes ocurridos en el Iraq, México y Túnez.</w:t>
      </w:r>
    </w:p>
    <w:p w14:paraId="5E5C35B6" w14:textId="77777777" w:rsidR="00C77F5B" w:rsidRPr="00C0426D" w:rsidRDefault="00C77F5B" w:rsidP="00C77F5B">
      <w:pPr>
        <w:pStyle w:val="SingleTxtG"/>
        <w:spacing w:after="240"/>
        <w:rPr>
          <w:lang w:val="es-ES"/>
        </w:rPr>
      </w:pPr>
      <w:r>
        <w:rPr>
          <w:lang w:val="es-ES"/>
        </w:rPr>
        <w:t>41.</w:t>
      </w:r>
      <w:r>
        <w:rPr>
          <w:lang w:val="es-ES"/>
        </w:rPr>
        <w:tab/>
        <w:t>En el cuadro que figura a continuación se recogen las 782 peticiones de acción urgente registradas por el Comité entre 2012 y el 30 de septiembre de 2019, por año y por Estado parte.</w:t>
      </w:r>
    </w:p>
    <w:p w14:paraId="1285769D" w14:textId="77777777" w:rsidR="00C77F5B" w:rsidRDefault="001A4DC6" w:rsidP="001A4DC6">
      <w:pPr>
        <w:pStyle w:val="H23G"/>
        <w:rPr>
          <w:lang w:val="es-ES"/>
        </w:rPr>
      </w:pPr>
      <w:r>
        <w:rPr>
          <w:lang w:val="es-ES"/>
        </w:rPr>
        <w:tab/>
      </w:r>
      <w:r>
        <w:rPr>
          <w:lang w:val="es-ES"/>
        </w:rPr>
        <w:tab/>
      </w:r>
      <w:r w:rsidR="00C77F5B">
        <w:rPr>
          <w:lang w:val="es-ES"/>
        </w:rPr>
        <w:t>Peticiones de acción urgente registradas hasta el 30 de septiembre de 2019, por</w:t>
      </w:r>
      <w:r>
        <w:rPr>
          <w:lang w:val="es-ES"/>
        </w:rPr>
        <w:t> </w:t>
      </w:r>
      <w:r w:rsidR="00C77F5B">
        <w:rPr>
          <w:lang w:val="es-ES"/>
        </w:rPr>
        <w:t>año</w:t>
      </w:r>
      <w:r>
        <w:rPr>
          <w:lang w:val="es-ES"/>
        </w:rPr>
        <w:t> </w:t>
      </w:r>
      <w:r w:rsidR="00C77F5B">
        <w:rPr>
          <w:lang w:val="es-ES"/>
        </w:rPr>
        <w:t>y</w:t>
      </w:r>
      <w:r>
        <w:rPr>
          <w:lang w:val="es-ES"/>
        </w:rPr>
        <w:t> </w:t>
      </w:r>
      <w:r w:rsidR="00C77F5B">
        <w:rPr>
          <w:lang w:val="es-ES"/>
        </w:rPr>
        <w:t>por Estado parte</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448"/>
        <w:gridCol w:w="448"/>
        <w:gridCol w:w="462"/>
        <w:gridCol w:w="462"/>
        <w:gridCol w:w="448"/>
        <w:gridCol w:w="434"/>
        <w:gridCol w:w="462"/>
        <w:gridCol w:w="462"/>
        <w:gridCol w:w="433"/>
        <w:gridCol w:w="448"/>
        <w:gridCol w:w="448"/>
        <w:gridCol w:w="476"/>
        <w:gridCol w:w="434"/>
        <w:gridCol w:w="448"/>
        <w:gridCol w:w="462"/>
        <w:gridCol w:w="448"/>
        <w:gridCol w:w="560"/>
      </w:tblGrid>
      <w:tr w:rsidR="00CC71E1" w:rsidRPr="00CC71E1" w14:paraId="29EEFA49" w14:textId="77777777" w:rsidTr="007020CC">
        <w:trPr>
          <w:trHeight w:val="975"/>
        </w:trPr>
        <w:tc>
          <w:tcPr>
            <w:tcW w:w="714" w:type="dxa"/>
            <w:tcBorders>
              <w:top w:val="single" w:sz="4" w:space="0" w:color="auto"/>
              <w:bottom w:val="single" w:sz="12" w:space="0" w:color="auto"/>
            </w:tcBorders>
            <w:shd w:val="clear" w:color="auto" w:fill="auto"/>
            <w:vAlign w:val="bottom"/>
          </w:tcPr>
          <w:p w14:paraId="2524234D" w14:textId="77777777" w:rsidR="00CC71E1" w:rsidRPr="00CC71E1" w:rsidRDefault="00CC71E1" w:rsidP="00CC71E1">
            <w:pPr>
              <w:spacing w:before="80" w:after="80" w:line="200" w:lineRule="exact"/>
              <w:rPr>
                <w:i/>
                <w:sz w:val="16"/>
                <w:lang w:val="es-ES"/>
              </w:rPr>
            </w:pPr>
            <w:r w:rsidRPr="00CC71E1">
              <w:rPr>
                <w:i/>
                <w:sz w:val="16"/>
                <w:lang w:val="es-ES"/>
              </w:rPr>
              <w:t>Año</w:t>
            </w:r>
          </w:p>
        </w:tc>
        <w:tc>
          <w:tcPr>
            <w:tcW w:w="448" w:type="dxa"/>
            <w:tcBorders>
              <w:top w:val="single" w:sz="4" w:space="0" w:color="auto"/>
              <w:bottom w:val="single" w:sz="12" w:space="0" w:color="auto"/>
            </w:tcBorders>
            <w:shd w:val="clear" w:color="auto" w:fill="auto"/>
            <w:textDirection w:val="btLr"/>
            <w:vAlign w:val="bottom"/>
          </w:tcPr>
          <w:p w14:paraId="766B18A3" w14:textId="77777777" w:rsidR="00CC71E1" w:rsidRPr="00CC71E1" w:rsidRDefault="00CC71E1" w:rsidP="00CC71E1">
            <w:pPr>
              <w:spacing w:before="80" w:after="80" w:line="200" w:lineRule="exact"/>
              <w:rPr>
                <w:i/>
                <w:sz w:val="16"/>
                <w:lang w:val="es-ES"/>
              </w:rPr>
            </w:pPr>
            <w:r w:rsidRPr="00CC71E1">
              <w:rPr>
                <w:i/>
                <w:sz w:val="16"/>
                <w:lang w:val="es-ES"/>
              </w:rPr>
              <w:t>Argentina</w:t>
            </w:r>
          </w:p>
        </w:tc>
        <w:tc>
          <w:tcPr>
            <w:tcW w:w="448" w:type="dxa"/>
            <w:tcBorders>
              <w:top w:val="single" w:sz="4" w:space="0" w:color="auto"/>
              <w:bottom w:val="single" w:sz="12" w:space="0" w:color="auto"/>
            </w:tcBorders>
            <w:shd w:val="clear" w:color="auto" w:fill="auto"/>
            <w:textDirection w:val="btLr"/>
            <w:vAlign w:val="bottom"/>
          </w:tcPr>
          <w:p w14:paraId="059D12FD" w14:textId="77777777" w:rsidR="00CC71E1" w:rsidRPr="00CC71E1" w:rsidRDefault="00CC71E1" w:rsidP="00CC71E1">
            <w:pPr>
              <w:spacing w:before="80" w:after="80" w:line="200" w:lineRule="exact"/>
              <w:rPr>
                <w:i/>
                <w:sz w:val="16"/>
                <w:lang w:val="es-ES"/>
              </w:rPr>
            </w:pPr>
            <w:r w:rsidRPr="00CC71E1">
              <w:rPr>
                <w:i/>
                <w:sz w:val="16"/>
                <w:lang w:val="es-ES"/>
              </w:rPr>
              <w:t>Armenia</w:t>
            </w:r>
          </w:p>
        </w:tc>
        <w:tc>
          <w:tcPr>
            <w:tcW w:w="462" w:type="dxa"/>
            <w:tcBorders>
              <w:top w:val="single" w:sz="4" w:space="0" w:color="auto"/>
              <w:bottom w:val="single" w:sz="12" w:space="0" w:color="auto"/>
            </w:tcBorders>
            <w:shd w:val="clear" w:color="auto" w:fill="auto"/>
            <w:textDirection w:val="btLr"/>
            <w:vAlign w:val="bottom"/>
          </w:tcPr>
          <w:p w14:paraId="75EE2B6E" w14:textId="77777777" w:rsidR="00CC71E1" w:rsidRPr="00CC71E1" w:rsidRDefault="00CC71E1" w:rsidP="00CC71E1">
            <w:pPr>
              <w:spacing w:before="80" w:after="80" w:line="200" w:lineRule="exact"/>
              <w:rPr>
                <w:i/>
                <w:sz w:val="16"/>
                <w:lang w:val="es-ES"/>
              </w:rPr>
            </w:pPr>
            <w:r w:rsidRPr="00CC71E1">
              <w:rPr>
                <w:i/>
                <w:sz w:val="16"/>
                <w:lang w:val="es-ES"/>
              </w:rPr>
              <w:t>Brasil</w:t>
            </w:r>
          </w:p>
        </w:tc>
        <w:tc>
          <w:tcPr>
            <w:tcW w:w="462" w:type="dxa"/>
            <w:tcBorders>
              <w:top w:val="single" w:sz="4" w:space="0" w:color="auto"/>
              <w:bottom w:val="single" w:sz="12" w:space="0" w:color="auto"/>
            </w:tcBorders>
            <w:shd w:val="clear" w:color="auto" w:fill="auto"/>
            <w:textDirection w:val="btLr"/>
            <w:vAlign w:val="bottom"/>
          </w:tcPr>
          <w:p w14:paraId="4D050BA7" w14:textId="77777777" w:rsidR="00CC71E1" w:rsidRPr="00CC71E1" w:rsidRDefault="00CC71E1" w:rsidP="00CC71E1">
            <w:pPr>
              <w:spacing w:before="80" w:after="80" w:line="200" w:lineRule="exact"/>
              <w:rPr>
                <w:i/>
                <w:sz w:val="16"/>
                <w:lang w:val="es-ES"/>
              </w:rPr>
            </w:pPr>
            <w:r w:rsidRPr="00CC71E1">
              <w:rPr>
                <w:i/>
                <w:sz w:val="16"/>
                <w:lang w:val="es-ES"/>
              </w:rPr>
              <w:t>Camboya</w:t>
            </w:r>
          </w:p>
        </w:tc>
        <w:tc>
          <w:tcPr>
            <w:tcW w:w="448" w:type="dxa"/>
            <w:tcBorders>
              <w:top w:val="single" w:sz="4" w:space="0" w:color="auto"/>
              <w:bottom w:val="single" w:sz="12" w:space="0" w:color="auto"/>
            </w:tcBorders>
            <w:shd w:val="clear" w:color="auto" w:fill="auto"/>
            <w:textDirection w:val="btLr"/>
            <w:vAlign w:val="bottom"/>
          </w:tcPr>
          <w:p w14:paraId="559CE6B3" w14:textId="77777777" w:rsidR="00CC71E1" w:rsidRPr="00CC71E1" w:rsidRDefault="00CC71E1" w:rsidP="00CC71E1">
            <w:pPr>
              <w:spacing w:before="80" w:after="80" w:line="200" w:lineRule="exact"/>
              <w:rPr>
                <w:i/>
                <w:sz w:val="16"/>
                <w:lang w:val="es-ES"/>
              </w:rPr>
            </w:pPr>
            <w:r w:rsidRPr="00CC71E1">
              <w:rPr>
                <w:i/>
                <w:sz w:val="16"/>
                <w:lang w:val="es-ES"/>
              </w:rPr>
              <w:t>Colombia</w:t>
            </w:r>
          </w:p>
        </w:tc>
        <w:tc>
          <w:tcPr>
            <w:tcW w:w="434" w:type="dxa"/>
            <w:tcBorders>
              <w:top w:val="single" w:sz="4" w:space="0" w:color="auto"/>
              <w:bottom w:val="single" w:sz="12" w:space="0" w:color="auto"/>
            </w:tcBorders>
            <w:shd w:val="clear" w:color="auto" w:fill="auto"/>
            <w:textDirection w:val="btLr"/>
            <w:vAlign w:val="bottom"/>
          </w:tcPr>
          <w:p w14:paraId="7F4B437B" w14:textId="77777777" w:rsidR="00CC71E1" w:rsidRPr="00CC71E1" w:rsidRDefault="00CC71E1" w:rsidP="00CC71E1">
            <w:pPr>
              <w:spacing w:before="80" w:after="80" w:line="200" w:lineRule="exact"/>
              <w:rPr>
                <w:i/>
                <w:sz w:val="16"/>
                <w:lang w:val="es-ES"/>
              </w:rPr>
            </w:pPr>
            <w:r w:rsidRPr="00CC71E1">
              <w:rPr>
                <w:i/>
                <w:sz w:val="16"/>
                <w:lang w:val="es-ES"/>
              </w:rPr>
              <w:t>Cuba</w:t>
            </w:r>
          </w:p>
        </w:tc>
        <w:tc>
          <w:tcPr>
            <w:tcW w:w="462" w:type="dxa"/>
            <w:tcBorders>
              <w:top w:val="single" w:sz="4" w:space="0" w:color="auto"/>
              <w:bottom w:val="single" w:sz="12" w:space="0" w:color="auto"/>
            </w:tcBorders>
            <w:shd w:val="clear" w:color="auto" w:fill="auto"/>
            <w:textDirection w:val="btLr"/>
            <w:vAlign w:val="bottom"/>
          </w:tcPr>
          <w:p w14:paraId="0568B974" w14:textId="77777777" w:rsidR="00CC71E1" w:rsidRPr="00CC71E1" w:rsidRDefault="00CC71E1" w:rsidP="00CC71E1">
            <w:pPr>
              <w:spacing w:before="80" w:after="80" w:line="200" w:lineRule="exact"/>
              <w:rPr>
                <w:i/>
                <w:sz w:val="16"/>
                <w:lang w:val="es-ES"/>
              </w:rPr>
            </w:pPr>
            <w:r w:rsidRPr="00CC71E1">
              <w:rPr>
                <w:i/>
                <w:sz w:val="16"/>
                <w:lang w:val="es-ES"/>
              </w:rPr>
              <w:t>Honduras</w:t>
            </w:r>
          </w:p>
        </w:tc>
        <w:tc>
          <w:tcPr>
            <w:tcW w:w="462" w:type="dxa"/>
            <w:tcBorders>
              <w:top w:val="single" w:sz="4" w:space="0" w:color="auto"/>
              <w:bottom w:val="single" w:sz="12" w:space="0" w:color="auto"/>
            </w:tcBorders>
            <w:shd w:val="clear" w:color="auto" w:fill="auto"/>
            <w:textDirection w:val="btLr"/>
            <w:vAlign w:val="bottom"/>
          </w:tcPr>
          <w:p w14:paraId="1D9F3CAF" w14:textId="77777777" w:rsidR="00CC71E1" w:rsidRPr="00CC71E1" w:rsidRDefault="00CC71E1" w:rsidP="00CC71E1">
            <w:pPr>
              <w:spacing w:before="80" w:after="80" w:line="200" w:lineRule="exact"/>
              <w:rPr>
                <w:i/>
                <w:sz w:val="16"/>
                <w:lang w:val="es-ES"/>
              </w:rPr>
            </w:pPr>
            <w:r w:rsidRPr="00CC71E1">
              <w:rPr>
                <w:i/>
                <w:sz w:val="16"/>
                <w:lang w:val="es-ES"/>
              </w:rPr>
              <w:t>Iraq</w:t>
            </w:r>
          </w:p>
        </w:tc>
        <w:tc>
          <w:tcPr>
            <w:tcW w:w="433" w:type="dxa"/>
            <w:tcBorders>
              <w:top w:val="single" w:sz="4" w:space="0" w:color="auto"/>
              <w:bottom w:val="single" w:sz="12" w:space="0" w:color="auto"/>
            </w:tcBorders>
            <w:shd w:val="clear" w:color="auto" w:fill="auto"/>
            <w:textDirection w:val="btLr"/>
            <w:vAlign w:val="bottom"/>
          </w:tcPr>
          <w:p w14:paraId="00E7B921" w14:textId="77777777" w:rsidR="00CC71E1" w:rsidRPr="00CC71E1" w:rsidRDefault="00CC71E1" w:rsidP="00CC71E1">
            <w:pPr>
              <w:spacing w:before="80" w:after="80" w:line="200" w:lineRule="exact"/>
              <w:rPr>
                <w:i/>
                <w:sz w:val="16"/>
                <w:lang w:val="es-ES"/>
              </w:rPr>
            </w:pPr>
            <w:r w:rsidRPr="00CC71E1">
              <w:rPr>
                <w:i/>
                <w:sz w:val="16"/>
                <w:lang w:val="es-ES"/>
              </w:rPr>
              <w:t>Kazajstán</w:t>
            </w:r>
          </w:p>
        </w:tc>
        <w:tc>
          <w:tcPr>
            <w:tcW w:w="448" w:type="dxa"/>
            <w:tcBorders>
              <w:top w:val="single" w:sz="4" w:space="0" w:color="auto"/>
              <w:bottom w:val="single" w:sz="12" w:space="0" w:color="auto"/>
            </w:tcBorders>
            <w:shd w:val="clear" w:color="auto" w:fill="auto"/>
            <w:textDirection w:val="btLr"/>
            <w:vAlign w:val="bottom"/>
          </w:tcPr>
          <w:p w14:paraId="54B5D944" w14:textId="77777777" w:rsidR="00CC71E1" w:rsidRPr="00CC71E1" w:rsidRDefault="00CC71E1" w:rsidP="00CC71E1">
            <w:pPr>
              <w:spacing w:before="80" w:after="80" w:line="200" w:lineRule="exact"/>
              <w:rPr>
                <w:i/>
                <w:sz w:val="16"/>
                <w:lang w:val="es-ES"/>
              </w:rPr>
            </w:pPr>
            <w:r w:rsidRPr="00CC71E1">
              <w:rPr>
                <w:i/>
                <w:sz w:val="16"/>
                <w:lang w:val="es-ES"/>
              </w:rPr>
              <w:t>Lituania</w:t>
            </w:r>
          </w:p>
        </w:tc>
        <w:tc>
          <w:tcPr>
            <w:tcW w:w="448" w:type="dxa"/>
            <w:tcBorders>
              <w:top w:val="single" w:sz="4" w:space="0" w:color="auto"/>
              <w:bottom w:val="single" w:sz="12" w:space="0" w:color="auto"/>
            </w:tcBorders>
            <w:shd w:val="clear" w:color="auto" w:fill="auto"/>
            <w:textDirection w:val="btLr"/>
            <w:vAlign w:val="bottom"/>
          </w:tcPr>
          <w:p w14:paraId="5F5CDAF9" w14:textId="77777777" w:rsidR="00CC71E1" w:rsidRPr="00CC71E1" w:rsidRDefault="00CC71E1" w:rsidP="00CC71E1">
            <w:pPr>
              <w:spacing w:before="80" w:after="80" w:line="200" w:lineRule="exact"/>
              <w:rPr>
                <w:i/>
                <w:sz w:val="16"/>
                <w:lang w:val="es-ES"/>
              </w:rPr>
            </w:pPr>
            <w:r w:rsidRPr="00CC71E1">
              <w:rPr>
                <w:i/>
                <w:sz w:val="16"/>
                <w:lang w:val="es-ES"/>
              </w:rPr>
              <w:t>Mauritania</w:t>
            </w:r>
          </w:p>
        </w:tc>
        <w:tc>
          <w:tcPr>
            <w:tcW w:w="476" w:type="dxa"/>
            <w:tcBorders>
              <w:top w:val="single" w:sz="4" w:space="0" w:color="auto"/>
              <w:bottom w:val="single" w:sz="12" w:space="0" w:color="auto"/>
            </w:tcBorders>
            <w:shd w:val="clear" w:color="auto" w:fill="auto"/>
            <w:textDirection w:val="btLr"/>
            <w:vAlign w:val="bottom"/>
          </w:tcPr>
          <w:p w14:paraId="08495C86" w14:textId="77777777" w:rsidR="00CC71E1" w:rsidRPr="00CC71E1" w:rsidRDefault="00CC71E1" w:rsidP="00CC71E1">
            <w:pPr>
              <w:spacing w:before="80" w:after="80" w:line="200" w:lineRule="exact"/>
              <w:rPr>
                <w:i/>
                <w:sz w:val="16"/>
                <w:lang w:val="es-ES"/>
              </w:rPr>
            </w:pPr>
            <w:r w:rsidRPr="00CC71E1">
              <w:rPr>
                <w:i/>
                <w:sz w:val="16"/>
                <w:lang w:val="es-ES"/>
              </w:rPr>
              <w:t>México</w:t>
            </w:r>
          </w:p>
        </w:tc>
        <w:tc>
          <w:tcPr>
            <w:tcW w:w="434" w:type="dxa"/>
            <w:tcBorders>
              <w:top w:val="single" w:sz="4" w:space="0" w:color="auto"/>
              <w:bottom w:val="single" w:sz="12" w:space="0" w:color="auto"/>
            </w:tcBorders>
            <w:shd w:val="clear" w:color="auto" w:fill="auto"/>
            <w:textDirection w:val="btLr"/>
            <w:vAlign w:val="bottom"/>
          </w:tcPr>
          <w:p w14:paraId="016F40E6" w14:textId="77777777" w:rsidR="00CC71E1" w:rsidRPr="00CC71E1" w:rsidRDefault="00CC71E1" w:rsidP="00CC71E1">
            <w:pPr>
              <w:spacing w:before="80" w:after="80" w:line="200" w:lineRule="exact"/>
              <w:rPr>
                <w:i/>
                <w:sz w:val="16"/>
                <w:lang w:val="es-ES"/>
              </w:rPr>
            </w:pPr>
            <w:r w:rsidRPr="00CC71E1">
              <w:rPr>
                <w:i/>
                <w:sz w:val="16"/>
                <w:lang w:val="es-ES"/>
              </w:rPr>
              <w:t>Marruecos</w:t>
            </w:r>
          </w:p>
        </w:tc>
        <w:tc>
          <w:tcPr>
            <w:tcW w:w="448" w:type="dxa"/>
            <w:tcBorders>
              <w:top w:val="single" w:sz="4" w:space="0" w:color="auto"/>
              <w:bottom w:val="single" w:sz="12" w:space="0" w:color="auto"/>
            </w:tcBorders>
            <w:shd w:val="clear" w:color="auto" w:fill="auto"/>
            <w:textDirection w:val="btLr"/>
            <w:vAlign w:val="bottom"/>
          </w:tcPr>
          <w:p w14:paraId="24195E38" w14:textId="77777777" w:rsidR="00CC71E1" w:rsidRPr="00CC71E1" w:rsidRDefault="00CC71E1" w:rsidP="00CC71E1">
            <w:pPr>
              <w:spacing w:before="80" w:after="80" w:line="200" w:lineRule="exact"/>
              <w:rPr>
                <w:i/>
                <w:sz w:val="16"/>
                <w:lang w:val="es-ES"/>
              </w:rPr>
            </w:pPr>
            <w:r w:rsidRPr="00CC71E1">
              <w:rPr>
                <w:i/>
                <w:sz w:val="16"/>
                <w:lang w:val="es-ES"/>
              </w:rPr>
              <w:t>Sri Lanka</w:t>
            </w:r>
          </w:p>
        </w:tc>
        <w:tc>
          <w:tcPr>
            <w:tcW w:w="462" w:type="dxa"/>
            <w:tcBorders>
              <w:top w:val="single" w:sz="4" w:space="0" w:color="auto"/>
              <w:bottom w:val="single" w:sz="12" w:space="0" w:color="auto"/>
            </w:tcBorders>
            <w:shd w:val="clear" w:color="auto" w:fill="auto"/>
            <w:textDirection w:val="btLr"/>
            <w:vAlign w:val="bottom"/>
          </w:tcPr>
          <w:p w14:paraId="7C4059B1" w14:textId="77777777" w:rsidR="00CC71E1" w:rsidRPr="00CC71E1" w:rsidRDefault="00CC71E1" w:rsidP="00CC71E1">
            <w:pPr>
              <w:spacing w:before="80" w:after="80" w:line="200" w:lineRule="exact"/>
              <w:rPr>
                <w:i/>
                <w:sz w:val="16"/>
                <w:lang w:val="es-ES"/>
              </w:rPr>
            </w:pPr>
            <w:r w:rsidRPr="00CC71E1">
              <w:rPr>
                <w:i/>
                <w:sz w:val="16"/>
                <w:lang w:val="es-ES"/>
              </w:rPr>
              <w:t>Togo</w:t>
            </w:r>
          </w:p>
        </w:tc>
        <w:tc>
          <w:tcPr>
            <w:tcW w:w="448" w:type="dxa"/>
            <w:tcBorders>
              <w:top w:val="single" w:sz="4" w:space="0" w:color="auto"/>
              <w:bottom w:val="single" w:sz="12" w:space="0" w:color="auto"/>
            </w:tcBorders>
            <w:shd w:val="clear" w:color="auto" w:fill="auto"/>
            <w:textDirection w:val="btLr"/>
            <w:vAlign w:val="bottom"/>
          </w:tcPr>
          <w:p w14:paraId="4BBDCE5A" w14:textId="77777777" w:rsidR="00CC71E1" w:rsidRPr="00CC71E1" w:rsidRDefault="00CC71E1" w:rsidP="00CC71E1">
            <w:pPr>
              <w:spacing w:before="80" w:after="80" w:line="200" w:lineRule="exact"/>
              <w:rPr>
                <w:i/>
                <w:sz w:val="16"/>
                <w:lang w:val="es-ES"/>
              </w:rPr>
            </w:pPr>
            <w:r w:rsidRPr="00CC71E1">
              <w:rPr>
                <w:i/>
                <w:sz w:val="16"/>
                <w:lang w:val="es-ES"/>
              </w:rPr>
              <w:t>Túnez</w:t>
            </w:r>
          </w:p>
        </w:tc>
        <w:tc>
          <w:tcPr>
            <w:tcW w:w="560" w:type="dxa"/>
            <w:tcBorders>
              <w:top w:val="single" w:sz="4" w:space="0" w:color="auto"/>
              <w:bottom w:val="single" w:sz="12" w:space="0" w:color="auto"/>
            </w:tcBorders>
            <w:shd w:val="clear" w:color="auto" w:fill="auto"/>
            <w:vAlign w:val="bottom"/>
          </w:tcPr>
          <w:p w14:paraId="4BA23C45" w14:textId="77777777" w:rsidR="00CC71E1" w:rsidRPr="00CC71E1" w:rsidRDefault="00CC71E1" w:rsidP="00CC71E1">
            <w:pPr>
              <w:spacing w:before="80" w:after="80" w:line="200" w:lineRule="exact"/>
              <w:jc w:val="right"/>
              <w:rPr>
                <w:i/>
                <w:sz w:val="16"/>
                <w:lang w:val="es-ES"/>
              </w:rPr>
            </w:pPr>
            <w:r w:rsidRPr="00CC71E1">
              <w:rPr>
                <w:i/>
                <w:sz w:val="16"/>
                <w:lang w:val="es-ES"/>
              </w:rPr>
              <w:t>Total</w:t>
            </w:r>
          </w:p>
        </w:tc>
      </w:tr>
      <w:tr w:rsidR="00CC71E1" w:rsidRPr="00CC71E1" w14:paraId="1DBFDE42" w14:textId="77777777" w:rsidTr="007020CC">
        <w:tc>
          <w:tcPr>
            <w:tcW w:w="714" w:type="dxa"/>
            <w:tcBorders>
              <w:top w:val="single" w:sz="12" w:space="0" w:color="auto"/>
            </w:tcBorders>
            <w:shd w:val="clear" w:color="auto" w:fill="auto"/>
          </w:tcPr>
          <w:p w14:paraId="5004867B" w14:textId="77777777" w:rsidR="00CC71E1" w:rsidRPr="00CC71E1" w:rsidRDefault="00CC71E1" w:rsidP="00CC71E1">
            <w:pPr>
              <w:suppressAutoHyphens w:val="0"/>
              <w:spacing w:before="40" w:after="40" w:line="220" w:lineRule="exact"/>
              <w:rPr>
                <w:sz w:val="18"/>
                <w:lang w:val="es-ES"/>
              </w:rPr>
            </w:pPr>
            <w:r w:rsidRPr="00CC71E1">
              <w:rPr>
                <w:sz w:val="18"/>
                <w:lang w:val="es-ES"/>
              </w:rPr>
              <w:t>2012</w:t>
            </w:r>
          </w:p>
        </w:tc>
        <w:tc>
          <w:tcPr>
            <w:tcW w:w="448" w:type="dxa"/>
            <w:tcBorders>
              <w:top w:val="single" w:sz="12" w:space="0" w:color="auto"/>
            </w:tcBorders>
            <w:shd w:val="clear" w:color="auto" w:fill="auto"/>
            <w:vAlign w:val="bottom"/>
          </w:tcPr>
          <w:p w14:paraId="58A7ECD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3D36750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top w:val="single" w:sz="12" w:space="0" w:color="auto"/>
            </w:tcBorders>
            <w:shd w:val="clear" w:color="auto" w:fill="auto"/>
            <w:vAlign w:val="bottom"/>
          </w:tcPr>
          <w:p w14:paraId="6D34AE3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top w:val="single" w:sz="12" w:space="0" w:color="auto"/>
            </w:tcBorders>
            <w:shd w:val="clear" w:color="auto" w:fill="auto"/>
            <w:vAlign w:val="bottom"/>
          </w:tcPr>
          <w:p w14:paraId="190B521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6257F59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34" w:type="dxa"/>
            <w:tcBorders>
              <w:top w:val="single" w:sz="12" w:space="0" w:color="auto"/>
            </w:tcBorders>
            <w:shd w:val="clear" w:color="auto" w:fill="auto"/>
            <w:vAlign w:val="bottom"/>
          </w:tcPr>
          <w:p w14:paraId="6374BFF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top w:val="single" w:sz="12" w:space="0" w:color="auto"/>
            </w:tcBorders>
            <w:shd w:val="clear" w:color="auto" w:fill="auto"/>
            <w:vAlign w:val="bottom"/>
          </w:tcPr>
          <w:p w14:paraId="10F6914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top w:val="single" w:sz="12" w:space="0" w:color="auto"/>
            </w:tcBorders>
            <w:shd w:val="clear" w:color="auto" w:fill="auto"/>
            <w:vAlign w:val="bottom"/>
          </w:tcPr>
          <w:p w14:paraId="5E30ED8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33" w:type="dxa"/>
            <w:tcBorders>
              <w:top w:val="single" w:sz="12" w:space="0" w:color="auto"/>
            </w:tcBorders>
            <w:shd w:val="clear" w:color="auto" w:fill="auto"/>
            <w:vAlign w:val="bottom"/>
          </w:tcPr>
          <w:p w14:paraId="1614EA2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3B677DA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0C4D802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tcBorders>
              <w:top w:val="single" w:sz="12" w:space="0" w:color="auto"/>
            </w:tcBorders>
            <w:shd w:val="clear" w:color="auto" w:fill="auto"/>
            <w:vAlign w:val="bottom"/>
          </w:tcPr>
          <w:p w14:paraId="143A79B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w:t>
            </w:r>
          </w:p>
        </w:tc>
        <w:tc>
          <w:tcPr>
            <w:tcW w:w="434" w:type="dxa"/>
            <w:tcBorders>
              <w:top w:val="single" w:sz="12" w:space="0" w:color="auto"/>
            </w:tcBorders>
            <w:shd w:val="clear" w:color="auto" w:fill="auto"/>
            <w:vAlign w:val="bottom"/>
          </w:tcPr>
          <w:p w14:paraId="225C2CA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452923C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top w:val="single" w:sz="12" w:space="0" w:color="auto"/>
            </w:tcBorders>
            <w:shd w:val="clear" w:color="auto" w:fill="auto"/>
            <w:vAlign w:val="bottom"/>
          </w:tcPr>
          <w:p w14:paraId="564F97B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top w:val="single" w:sz="12" w:space="0" w:color="auto"/>
            </w:tcBorders>
            <w:shd w:val="clear" w:color="auto" w:fill="auto"/>
            <w:vAlign w:val="bottom"/>
          </w:tcPr>
          <w:p w14:paraId="467B0C7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tcBorders>
              <w:top w:val="single" w:sz="12" w:space="0" w:color="auto"/>
            </w:tcBorders>
            <w:shd w:val="clear" w:color="auto" w:fill="auto"/>
            <w:vAlign w:val="bottom"/>
          </w:tcPr>
          <w:p w14:paraId="7999D65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w:t>
            </w:r>
          </w:p>
        </w:tc>
      </w:tr>
      <w:tr w:rsidR="00CC71E1" w:rsidRPr="00CC71E1" w14:paraId="2672AF9E" w14:textId="77777777" w:rsidTr="007020CC">
        <w:tc>
          <w:tcPr>
            <w:tcW w:w="714" w:type="dxa"/>
            <w:shd w:val="clear" w:color="auto" w:fill="auto"/>
          </w:tcPr>
          <w:p w14:paraId="64BE5521" w14:textId="77777777" w:rsidR="00CC71E1" w:rsidRPr="00CC71E1" w:rsidRDefault="00CC71E1" w:rsidP="00CC71E1">
            <w:pPr>
              <w:suppressAutoHyphens w:val="0"/>
              <w:spacing w:before="40" w:after="40" w:line="220" w:lineRule="exact"/>
              <w:rPr>
                <w:sz w:val="18"/>
                <w:lang w:val="es-ES"/>
              </w:rPr>
            </w:pPr>
            <w:r w:rsidRPr="00CC71E1">
              <w:rPr>
                <w:sz w:val="18"/>
                <w:lang w:val="es-ES"/>
              </w:rPr>
              <w:t>2013</w:t>
            </w:r>
          </w:p>
        </w:tc>
        <w:tc>
          <w:tcPr>
            <w:tcW w:w="448" w:type="dxa"/>
            <w:shd w:val="clear" w:color="auto" w:fill="auto"/>
            <w:vAlign w:val="bottom"/>
          </w:tcPr>
          <w:p w14:paraId="74D4B3F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1F08266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16B60F0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616ADED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5BF509B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34" w:type="dxa"/>
            <w:shd w:val="clear" w:color="auto" w:fill="auto"/>
            <w:vAlign w:val="bottom"/>
          </w:tcPr>
          <w:p w14:paraId="6282C99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4E7C4EF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11EF356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33" w:type="dxa"/>
            <w:shd w:val="clear" w:color="auto" w:fill="auto"/>
            <w:vAlign w:val="bottom"/>
          </w:tcPr>
          <w:p w14:paraId="20E05CB4"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5A51264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7636572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shd w:val="clear" w:color="auto" w:fill="auto"/>
            <w:vAlign w:val="bottom"/>
          </w:tcPr>
          <w:p w14:paraId="1DBB039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6</w:t>
            </w:r>
            <w:r w:rsidRPr="00E0454D">
              <w:rPr>
                <w:i/>
                <w:sz w:val="18"/>
                <w:vertAlign w:val="superscript"/>
                <w:lang w:val="es-ES"/>
              </w:rPr>
              <w:t>a</w:t>
            </w:r>
          </w:p>
        </w:tc>
        <w:tc>
          <w:tcPr>
            <w:tcW w:w="434" w:type="dxa"/>
            <w:shd w:val="clear" w:color="auto" w:fill="auto"/>
            <w:vAlign w:val="bottom"/>
          </w:tcPr>
          <w:p w14:paraId="2A863C3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7AC184F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6D17CAC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44CB31A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423C82C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7</w:t>
            </w:r>
          </w:p>
        </w:tc>
      </w:tr>
      <w:tr w:rsidR="00CC71E1" w:rsidRPr="00CC71E1" w14:paraId="09F22033" w14:textId="77777777" w:rsidTr="007020CC">
        <w:tc>
          <w:tcPr>
            <w:tcW w:w="714" w:type="dxa"/>
            <w:shd w:val="clear" w:color="auto" w:fill="auto"/>
          </w:tcPr>
          <w:p w14:paraId="18C7FC45" w14:textId="77777777" w:rsidR="00CC71E1" w:rsidRPr="00CC71E1" w:rsidRDefault="00CC71E1" w:rsidP="00CC71E1">
            <w:pPr>
              <w:suppressAutoHyphens w:val="0"/>
              <w:spacing w:before="40" w:after="40" w:line="220" w:lineRule="exact"/>
              <w:rPr>
                <w:sz w:val="18"/>
                <w:lang w:val="es-ES"/>
              </w:rPr>
            </w:pPr>
            <w:r w:rsidRPr="00CC71E1">
              <w:rPr>
                <w:sz w:val="18"/>
                <w:lang w:val="es-ES"/>
              </w:rPr>
              <w:t>2014</w:t>
            </w:r>
          </w:p>
        </w:tc>
        <w:tc>
          <w:tcPr>
            <w:tcW w:w="448" w:type="dxa"/>
            <w:shd w:val="clear" w:color="auto" w:fill="auto"/>
            <w:vAlign w:val="bottom"/>
          </w:tcPr>
          <w:p w14:paraId="4B259B9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7CCDBB8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7B9F15A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62" w:type="dxa"/>
            <w:shd w:val="clear" w:color="auto" w:fill="auto"/>
            <w:vAlign w:val="bottom"/>
          </w:tcPr>
          <w:p w14:paraId="210FC1E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48" w:type="dxa"/>
            <w:shd w:val="clear" w:color="auto" w:fill="auto"/>
            <w:vAlign w:val="bottom"/>
          </w:tcPr>
          <w:p w14:paraId="748E80F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34" w:type="dxa"/>
            <w:shd w:val="clear" w:color="auto" w:fill="auto"/>
            <w:vAlign w:val="bottom"/>
          </w:tcPr>
          <w:p w14:paraId="19F6CA4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2BBB603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4E66BD9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w:t>
            </w:r>
          </w:p>
        </w:tc>
        <w:tc>
          <w:tcPr>
            <w:tcW w:w="433" w:type="dxa"/>
            <w:shd w:val="clear" w:color="auto" w:fill="auto"/>
            <w:vAlign w:val="bottom"/>
          </w:tcPr>
          <w:p w14:paraId="5684897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3599C5B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6742B52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shd w:val="clear" w:color="auto" w:fill="auto"/>
            <w:vAlign w:val="bottom"/>
          </w:tcPr>
          <w:p w14:paraId="052C717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43</w:t>
            </w:r>
          </w:p>
        </w:tc>
        <w:tc>
          <w:tcPr>
            <w:tcW w:w="434" w:type="dxa"/>
            <w:shd w:val="clear" w:color="auto" w:fill="auto"/>
            <w:vAlign w:val="bottom"/>
          </w:tcPr>
          <w:p w14:paraId="1508881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035AA3B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4748766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41F2569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08F068D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51</w:t>
            </w:r>
          </w:p>
        </w:tc>
      </w:tr>
      <w:tr w:rsidR="00CC71E1" w:rsidRPr="00CC71E1" w14:paraId="1C91C9CA" w14:textId="77777777" w:rsidTr="007020CC">
        <w:tc>
          <w:tcPr>
            <w:tcW w:w="714" w:type="dxa"/>
            <w:shd w:val="clear" w:color="auto" w:fill="auto"/>
          </w:tcPr>
          <w:p w14:paraId="28CA0B30" w14:textId="77777777" w:rsidR="00CC71E1" w:rsidRPr="00CC71E1" w:rsidRDefault="00CC71E1" w:rsidP="00CC71E1">
            <w:pPr>
              <w:suppressAutoHyphens w:val="0"/>
              <w:spacing w:before="40" w:after="40" w:line="220" w:lineRule="exact"/>
              <w:rPr>
                <w:sz w:val="18"/>
                <w:lang w:val="es-ES"/>
              </w:rPr>
            </w:pPr>
            <w:r w:rsidRPr="00CC71E1">
              <w:rPr>
                <w:sz w:val="18"/>
                <w:lang w:val="es-ES"/>
              </w:rPr>
              <w:t>2015</w:t>
            </w:r>
          </w:p>
        </w:tc>
        <w:tc>
          <w:tcPr>
            <w:tcW w:w="448" w:type="dxa"/>
            <w:shd w:val="clear" w:color="auto" w:fill="auto"/>
            <w:vAlign w:val="bottom"/>
          </w:tcPr>
          <w:p w14:paraId="6A1BEEE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4CA9E6A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2D030F8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69778CF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2A6831F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3</w:t>
            </w:r>
          </w:p>
        </w:tc>
        <w:tc>
          <w:tcPr>
            <w:tcW w:w="434" w:type="dxa"/>
            <w:shd w:val="clear" w:color="auto" w:fill="auto"/>
            <w:vAlign w:val="bottom"/>
          </w:tcPr>
          <w:p w14:paraId="7A5237E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3F36C0C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328F614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42</w:t>
            </w:r>
          </w:p>
        </w:tc>
        <w:tc>
          <w:tcPr>
            <w:tcW w:w="433" w:type="dxa"/>
            <w:shd w:val="clear" w:color="auto" w:fill="auto"/>
            <w:vAlign w:val="bottom"/>
          </w:tcPr>
          <w:p w14:paraId="41947ED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78D3F7D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76D6FFB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shd w:val="clear" w:color="auto" w:fill="auto"/>
            <w:vAlign w:val="bottom"/>
          </w:tcPr>
          <w:p w14:paraId="311CF3D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165</w:t>
            </w:r>
          </w:p>
        </w:tc>
        <w:tc>
          <w:tcPr>
            <w:tcW w:w="434" w:type="dxa"/>
            <w:shd w:val="clear" w:color="auto" w:fill="auto"/>
            <w:vAlign w:val="bottom"/>
          </w:tcPr>
          <w:p w14:paraId="3EC22E6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3A7C10D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449E207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0150E082"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16C19C3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210</w:t>
            </w:r>
          </w:p>
        </w:tc>
      </w:tr>
      <w:tr w:rsidR="00CC71E1" w:rsidRPr="00CC71E1" w14:paraId="01DCE5C7" w14:textId="77777777" w:rsidTr="007020CC">
        <w:tc>
          <w:tcPr>
            <w:tcW w:w="714" w:type="dxa"/>
            <w:shd w:val="clear" w:color="auto" w:fill="auto"/>
          </w:tcPr>
          <w:p w14:paraId="1FF6FC06" w14:textId="77777777" w:rsidR="00CC71E1" w:rsidRPr="00CC71E1" w:rsidRDefault="00CC71E1" w:rsidP="00CC71E1">
            <w:pPr>
              <w:suppressAutoHyphens w:val="0"/>
              <w:spacing w:before="40" w:after="40" w:line="220" w:lineRule="exact"/>
              <w:rPr>
                <w:sz w:val="18"/>
                <w:lang w:val="es-ES"/>
              </w:rPr>
            </w:pPr>
            <w:r w:rsidRPr="00CC71E1">
              <w:rPr>
                <w:sz w:val="18"/>
                <w:lang w:val="es-ES"/>
              </w:rPr>
              <w:t>2016</w:t>
            </w:r>
          </w:p>
        </w:tc>
        <w:tc>
          <w:tcPr>
            <w:tcW w:w="448" w:type="dxa"/>
            <w:shd w:val="clear" w:color="auto" w:fill="auto"/>
            <w:vAlign w:val="bottom"/>
          </w:tcPr>
          <w:p w14:paraId="612F45C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6D94284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67DA63F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4039E6D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085A172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4</w:t>
            </w:r>
          </w:p>
        </w:tc>
        <w:tc>
          <w:tcPr>
            <w:tcW w:w="434" w:type="dxa"/>
            <w:shd w:val="clear" w:color="auto" w:fill="auto"/>
            <w:vAlign w:val="bottom"/>
          </w:tcPr>
          <w:p w14:paraId="03372AD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7672E3E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309EDDE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22</w:t>
            </w:r>
          </w:p>
        </w:tc>
        <w:tc>
          <w:tcPr>
            <w:tcW w:w="433" w:type="dxa"/>
            <w:shd w:val="clear" w:color="auto" w:fill="auto"/>
            <w:vAlign w:val="bottom"/>
          </w:tcPr>
          <w:p w14:paraId="59B4D45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0943087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6BA9790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shd w:val="clear" w:color="auto" w:fill="auto"/>
            <w:vAlign w:val="bottom"/>
          </w:tcPr>
          <w:p w14:paraId="5F95D92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58</w:t>
            </w:r>
          </w:p>
        </w:tc>
        <w:tc>
          <w:tcPr>
            <w:tcW w:w="434" w:type="dxa"/>
            <w:shd w:val="clear" w:color="auto" w:fill="auto"/>
            <w:vAlign w:val="bottom"/>
          </w:tcPr>
          <w:p w14:paraId="12B8FA6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48" w:type="dxa"/>
            <w:shd w:val="clear" w:color="auto" w:fill="auto"/>
            <w:vAlign w:val="bottom"/>
          </w:tcPr>
          <w:p w14:paraId="5D6AE23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68760710"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12F9E6E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181BE996"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85</w:t>
            </w:r>
          </w:p>
        </w:tc>
      </w:tr>
      <w:tr w:rsidR="00CC71E1" w:rsidRPr="00CC71E1" w14:paraId="388ED40C" w14:textId="77777777" w:rsidTr="007020CC">
        <w:tc>
          <w:tcPr>
            <w:tcW w:w="714" w:type="dxa"/>
            <w:shd w:val="clear" w:color="auto" w:fill="auto"/>
          </w:tcPr>
          <w:p w14:paraId="1267C54F" w14:textId="77777777" w:rsidR="00CC71E1" w:rsidRPr="00CC71E1" w:rsidRDefault="00CC71E1" w:rsidP="00CC71E1">
            <w:pPr>
              <w:suppressAutoHyphens w:val="0"/>
              <w:spacing w:before="40" w:after="40" w:line="220" w:lineRule="exact"/>
              <w:rPr>
                <w:sz w:val="18"/>
                <w:lang w:val="es-ES"/>
              </w:rPr>
            </w:pPr>
            <w:r w:rsidRPr="00CC71E1">
              <w:rPr>
                <w:sz w:val="18"/>
                <w:lang w:val="es-ES"/>
              </w:rPr>
              <w:t>2017</w:t>
            </w:r>
          </w:p>
        </w:tc>
        <w:tc>
          <w:tcPr>
            <w:tcW w:w="448" w:type="dxa"/>
            <w:shd w:val="clear" w:color="auto" w:fill="auto"/>
            <w:vAlign w:val="bottom"/>
          </w:tcPr>
          <w:p w14:paraId="32091C2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w:t>
            </w:r>
          </w:p>
        </w:tc>
        <w:tc>
          <w:tcPr>
            <w:tcW w:w="448" w:type="dxa"/>
            <w:shd w:val="clear" w:color="auto" w:fill="auto"/>
            <w:vAlign w:val="bottom"/>
          </w:tcPr>
          <w:p w14:paraId="2289D45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62" w:type="dxa"/>
            <w:shd w:val="clear" w:color="auto" w:fill="auto"/>
            <w:vAlign w:val="bottom"/>
          </w:tcPr>
          <w:p w14:paraId="1CA3F51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58FDFA8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2281B77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3</w:t>
            </w:r>
          </w:p>
        </w:tc>
        <w:tc>
          <w:tcPr>
            <w:tcW w:w="434" w:type="dxa"/>
            <w:shd w:val="clear" w:color="auto" w:fill="auto"/>
            <w:vAlign w:val="bottom"/>
          </w:tcPr>
          <w:p w14:paraId="6568D5B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01DC3DE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7940828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43</w:t>
            </w:r>
          </w:p>
        </w:tc>
        <w:tc>
          <w:tcPr>
            <w:tcW w:w="433" w:type="dxa"/>
            <w:shd w:val="clear" w:color="auto" w:fill="auto"/>
            <w:vAlign w:val="bottom"/>
          </w:tcPr>
          <w:p w14:paraId="3ADBDE7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w:t>
            </w:r>
          </w:p>
        </w:tc>
        <w:tc>
          <w:tcPr>
            <w:tcW w:w="448" w:type="dxa"/>
            <w:shd w:val="clear" w:color="auto" w:fill="auto"/>
            <w:vAlign w:val="bottom"/>
          </w:tcPr>
          <w:p w14:paraId="1FF35EC4"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56875A9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76" w:type="dxa"/>
            <w:shd w:val="clear" w:color="auto" w:fill="auto"/>
            <w:vAlign w:val="bottom"/>
          </w:tcPr>
          <w:p w14:paraId="21AC624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31</w:t>
            </w:r>
          </w:p>
        </w:tc>
        <w:tc>
          <w:tcPr>
            <w:tcW w:w="434" w:type="dxa"/>
            <w:shd w:val="clear" w:color="auto" w:fill="auto"/>
            <w:vAlign w:val="bottom"/>
          </w:tcPr>
          <w:p w14:paraId="6D43E3F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w:t>
            </w:r>
          </w:p>
        </w:tc>
        <w:tc>
          <w:tcPr>
            <w:tcW w:w="448" w:type="dxa"/>
            <w:shd w:val="clear" w:color="auto" w:fill="auto"/>
            <w:vAlign w:val="bottom"/>
          </w:tcPr>
          <w:p w14:paraId="608D32D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62" w:type="dxa"/>
            <w:shd w:val="clear" w:color="auto" w:fill="auto"/>
            <w:vAlign w:val="bottom"/>
          </w:tcPr>
          <w:p w14:paraId="23E4B0F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17667A9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5179611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86</w:t>
            </w:r>
          </w:p>
        </w:tc>
      </w:tr>
      <w:tr w:rsidR="00CC71E1" w:rsidRPr="00CC71E1" w14:paraId="34A61FDD" w14:textId="77777777" w:rsidTr="00CC71E1">
        <w:tc>
          <w:tcPr>
            <w:tcW w:w="714" w:type="dxa"/>
            <w:shd w:val="clear" w:color="auto" w:fill="auto"/>
          </w:tcPr>
          <w:p w14:paraId="5A69B3A3" w14:textId="77777777" w:rsidR="00CC71E1" w:rsidRPr="00CC71E1" w:rsidRDefault="00CC71E1" w:rsidP="00CC71E1">
            <w:pPr>
              <w:suppressAutoHyphens w:val="0"/>
              <w:spacing w:before="40" w:after="40" w:line="220" w:lineRule="exact"/>
              <w:rPr>
                <w:sz w:val="18"/>
                <w:lang w:val="es-ES"/>
              </w:rPr>
            </w:pPr>
            <w:r w:rsidRPr="00CC71E1">
              <w:rPr>
                <w:sz w:val="18"/>
                <w:lang w:val="es-ES"/>
              </w:rPr>
              <w:t>2018</w:t>
            </w:r>
          </w:p>
        </w:tc>
        <w:tc>
          <w:tcPr>
            <w:tcW w:w="448" w:type="dxa"/>
            <w:shd w:val="clear" w:color="auto" w:fill="auto"/>
            <w:vAlign w:val="bottom"/>
          </w:tcPr>
          <w:p w14:paraId="241D67E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1727F42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72CDE024"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5F1CC7D4"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6E2AE88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9</w:t>
            </w:r>
          </w:p>
        </w:tc>
        <w:tc>
          <w:tcPr>
            <w:tcW w:w="434" w:type="dxa"/>
            <w:shd w:val="clear" w:color="auto" w:fill="auto"/>
            <w:vAlign w:val="bottom"/>
          </w:tcPr>
          <w:p w14:paraId="7F268A8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62" w:type="dxa"/>
            <w:shd w:val="clear" w:color="auto" w:fill="auto"/>
            <w:vAlign w:val="bottom"/>
          </w:tcPr>
          <w:p w14:paraId="049E66CC"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14</w:t>
            </w:r>
          </w:p>
        </w:tc>
        <w:tc>
          <w:tcPr>
            <w:tcW w:w="462" w:type="dxa"/>
            <w:shd w:val="clear" w:color="auto" w:fill="auto"/>
            <w:vAlign w:val="bottom"/>
          </w:tcPr>
          <w:p w14:paraId="4BDA414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50</w:t>
            </w:r>
          </w:p>
        </w:tc>
        <w:tc>
          <w:tcPr>
            <w:tcW w:w="433" w:type="dxa"/>
            <w:shd w:val="clear" w:color="auto" w:fill="auto"/>
            <w:vAlign w:val="bottom"/>
          </w:tcPr>
          <w:p w14:paraId="0F0812B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43C2FE5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2AA39C0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shd w:val="clear" w:color="auto" w:fill="auto"/>
            <w:vAlign w:val="bottom"/>
          </w:tcPr>
          <w:p w14:paraId="61A6A01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42</w:t>
            </w:r>
          </w:p>
        </w:tc>
        <w:tc>
          <w:tcPr>
            <w:tcW w:w="434" w:type="dxa"/>
            <w:shd w:val="clear" w:color="auto" w:fill="auto"/>
            <w:vAlign w:val="bottom"/>
          </w:tcPr>
          <w:p w14:paraId="5059B9B3"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shd w:val="clear" w:color="auto" w:fill="auto"/>
            <w:vAlign w:val="bottom"/>
          </w:tcPr>
          <w:p w14:paraId="1D35EC35"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shd w:val="clear" w:color="auto" w:fill="auto"/>
            <w:vAlign w:val="bottom"/>
          </w:tcPr>
          <w:p w14:paraId="38B3817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w:t>
            </w:r>
          </w:p>
        </w:tc>
        <w:tc>
          <w:tcPr>
            <w:tcW w:w="448" w:type="dxa"/>
            <w:shd w:val="clear" w:color="auto" w:fill="auto"/>
            <w:vAlign w:val="bottom"/>
          </w:tcPr>
          <w:p w14:paraId="597ADF17"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560" w:type="dxa"/>
            <w:shd w:val="clear" w:color="auto" w:fill="auto"/>
            <w:vAlign w:val="bottom"/>
          </w:tcPr>
          <w:p w14:paraId="59CD50EB"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118</w:t>
            </w:r>
          </w:p>
        </w:tc>
      </w:tr>
      <w:tr w:rsidR="00CC71E1" w:rsidRPr="00CC71E1" w14:paraId="7D6BD891" w14:textId="77777777" w:rsidTr="00CC71E1">
        <w:tc>
          <w:tcPr>
            <w:tcW w:w="714" w:type="dxa"/>
            <w:tcBorders>
              <w:bottom w:val="single" w:sz="4" w:space="0" w:color="auto"/>
            </w:tcBorders>
            <w:shd w:val="clear" w:color="auto" w:fill="auto"/>
          </w:tcPr>
          <w:p w14:paraId="6421289D" w14:textId="77777777" w:rsidR="00CC71E1" w:rsidRPr="00CC71E1" w:rsidRDefault="00CC71E1" w:rsidP="00CC71E1">
            <w:pPr>
              <w:suppressAutoHyphens w:val="0"/>
              <w:spacing w:before="40" w:after="40" w:line="220" w:lineRule="exact"/>
              <w:rPr>
                <w:sz w:val="18"/>
                <w:lang w:val="es-ES"/>
              </w:rPr>
            </w:pPr>
            <w:r w:rsidRPr="00CC71E1">
              <w:rPr>
                <w:sz w:val="18"/>
                <w:lang w:val="es-ES"/>
              </w:rPr>
              <w:t>2019</w:t>
            </w:r>
            <w:r w:rsidRPr="00E0454D">
              <w:rPr>
                <w:i/>
                <w:sz w:val="18"/>
                <w:vertAlign w:val="superscript"/>
                <w:lang w:val="es-ES"/>
              </w:rPr>
              <w:t>b</w:t>
            </w:r>
          </w:p>
        </w:tc>
        <w:tc>
          <w:tcPr>
            <w:tcW w:w="448" w:type="dxa"/>
            <w:tcBorders>
              <w:bottom w:val="single" w:sz="4" w:space="0" w:color="auto"/>
            </w:tcBorders>
            <w:shd w:val="clear" w:color="auto" w:fill="auto"/>
            <w:vAlign w:val="bottom"/>
          </w:tcPr>
          <w:p w14:paraId="67200C3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bottom w:val="single" w:sz="4" w:space="0" w:color="auto"/>
            </w:tcBorders>
            <w:shd w:val="clear" w:color="auto" w:fill="auto"/>
            <w:vAlign w:val="bottom"/>
          </w:tcPr>
          <w:p w14:paraId="53826E01"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bottom w:val="single" w:sz="4" w:space="0" w:color="auto"/>
            </w:tcBorders>
            <w:shd w:val="clear" w:color="auto" w:fill="auto"/>
            <w:vAlign w:val="bottom"/>
          </w:tcPr>
          <w:p w14:paraId="4DC30124"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bottom w:val="single" w:sz="4" w:space="0" w:color="auto"/>
            </w:tcBorders>
            <w:shd w:val="clear" w:color="auto" w:fill="auto"/>
            <w:vAlign w:val="bottom"/>
          </w:tcPr>
          <w:p w14:paraId="4D0FA7A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48" w:type="dxa"/>
            <w:tcBorders>
              <w:bottom w:val="single" w:sz="4" w:space="0" w:color="auto"/>
            </w:tcBorders>
            <w:shd w:val="clear" w:color="auto" w:fill="auto"/>
            <w:vAlign w:val="bottom"/>
          </w:tcPr>
          <w:p w14:paraId="6CA0A3B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34" w:type="dxa"/>
            <w:tcBorders>
              <w:bottom w:val="single" w:sz="4" w:space="0" w:color="auto"/>
            </w:tcBorders>
            <w:shd w:val="clear" w:color="auto" w:fill="auto"/>
            <w:vAlign w:val="bottom"/>
          </w:tcPr>
          <w:p w14:paraId="69B6683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bottom w:val="single" w:sz="4" w:space="0" w:color="auto"/>
            </w:tcBorders>
            <w:shd w:val="clear" w:color="auto" w:fill="auto"/>
            <w:vAlign w:val="bottom"/>
          </w:tcPr>
          <w:p w14:paraId="15C90F2D"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bottom w:val="single" w:sz="4" w:space="0" w:color="auto"/>
            </w:tcBorders>
            <w:shd w:val="clear" w:color="auto" w:fill="auto"/>
            <w:vAlign w:val="bottom"/>
          </w:tcPr>
          <w:p w14:paraId="5D57FB3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209</w:t>
            </w:r>
          </w:p>
        </w:tc>
        <w:tc>
          <w:tcPr>
            <w:tcW w:w="433" w:type="dxa"/>
            <w:tcBorders>
              <w:bottom w:val="single" w:sz="4" w:space="0" w:color="auto"/>
            </w:tcBorders>
            <w:shd w:val="clear" w:color="auto" w:fill="auto"/>
            <w:vAlign w:val="bottom"/>
          </w:tcPr>
          <w:p w14:paraId="134DBDA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bottom w:val="single" w:sz="4" w:space="0" w:color="auto"/>
            </w:tcBorders>
            <w:shd w:val="clear" w:color="auto" w:fill="auto"/>
            <w:vAlign w:val="bottom"/>
          </w:tcPr>
          <w:p w14:paraId="2871AAD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448" w:type="dxa"/>
            <w:tcBorders>
              <w:bottom w:val="single" w:sz="4" w:space="0" w:color="auto"/>
            </w:tcBorders>
            <w:shd w:val="clear" w:color="auto" w:fill="auto"/>
            <w:vAlign w:val="bottom"/>
          </w:tcPr>
          <w:p w14:paraId="2BB4385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76" w:type="dxa"/>
            <w:tcBorders>
              <w:bottom w:val="single" w:sz="4" w:space="0" w:color="auto"/>
            </w:tcBorders>
            <w:shd w:val="clear" w:color="auto" w:fill="auto"/>
            <w:vAlign w:val="bottom"/>
          </w:tcPr>
          <w:p w14:paraId="3BE28F4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7</w:t>
            </w:r>
          </w:p>
        </w:tc>
        <w:tc>
          <w:tcPr>
            <w:tcW w:w="434" w:type="dxa"/>
            <w:tcBorders>
              <w:bottom w:val="single" w:sz="4" w:space="0" w:color="auto"/>
            </w:tcBorders>
            <w:shd w:val="clear" w:color="auto" w:fill="auto"/>
            <w:vAlign w:val="bottom"/>
          </w:tcPr>
          <w:p w14:paraId="7D9FE55E"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bottom w:val="single" w:sz="4" w:space="0" w:color="auto"/>
            </w:tcBorders>
            <w:shd w:val="clear" w:color="auto" w:fill="auto"/>
            <w:vAlign w:val="bottom"/>
          </w:tcPr>
          <w:p w14:paraId="7A2F3F08"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62" w:type="dxa"/>
            <w:tcBorders>
              <w:bottom w:val="single" w:sz="4" w:space="0" w:color="auto"/>
            </w:tcBorders>
            <w:shd w:val="clear" w:color="auto" w:fill="auto"/>
            <w:vAlign w:val="bottom"/>
          </w:tcPr>
          <w:p w14:paraId="019207BA"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w:t>
            </w:r>
          </w:p>
        </w:tc>
        <w:tc>
          <w:tcPr>
            <w:tcW w:w="448" w:type="dxa"/>
            <w:tcBorders>
              <w:bottom w:val="single" w:sz="4" w:space="0" w:color="auto"/>
            </w:tcBorders>
            <w:shd w:val="clear" w:color="auto" w:fill="auto"/>
            <w:vAlign w:val="bottom"/>
          </w:tcPr>
          <w:p w14:paraId="5A3F1ABF"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1</w:t>
            </w:r>
          </w:p>
        </w:tc>
        <w:tc>
          <w:tcPr>
            <w:tcW w:w="560" w:type="dxa"/>
            <w:tcBorders>
              <w:bottom w:val="single" w:sz="4" w:space="0" w:color="auto"/>
            </w:tcBorders>
            <w:shd w:val="clear" w:color="auto" w:fill="auto"/>
            <w:vAlign w:val="bottom"/>
          </w:tcPr>
          <w:p w14:paraId="41F209B9" w14:textId="77777777" w:rsidR="00CC71E1" w:rsidRPr="00CC71E1" w:rsidRDefault="00CC71E1" w:rsidP="00CC71E1">
            <w:pPr>
              <w:suppressAutoHyphens w:val="0"/>
              <w:spacing w:before="40" w:after="40" w:line="220" w:lineRule="exact"/>
              <w:jc w:val="right"/>
              <w:rPr>
                <w:sz w:val="18"/>
                <w:lang w:val="es-ES"/>
              </w:rPr>
            </w:pPr>
            <w:r w:rsidRPr="00CC71E1">
              <w:rPr>
                <w:sz w:val="18"/>
                <w:lang w:val="es-ES"/>
              </w:rPr>
              <w:t>220</w:t>
            </w:r>
          </w:p>
        </w:tc>
      </w:tr>
      <w:tr w:rsidR="00CC71E1" w:rsidRPr="00CC71E1" w14:paraId="76F207D5" w14:textId="77777777" w:rsidTr="00CC71E1">
        <w:tc>
          <w:tcPr>
            <w:tcW w:w="714" w:type="dxa"/>
            <w:tcBorders>
              <w:top w:val="single" w:sz="4" w:space="0" w:color="auto"/>
              <w:bottom w:val="single" w:sz="12" w:space="0" w:color="auto"/>
            </w:tcBorders>
            <w:shd w:val="clear" w:color="auto" w:fill="auto"/>
          </w:tcPr>
          <w:p w14:paraId="2D603521" w14:textId="77777777" w:rsidR="00CC71E1" w:rsidRPr="00CC71E1" w:rsidRDefault="00CC71E1" w:rsidP="00CC71E1">
            <w:pPr>
              <w:suppressAutoHyphens w:val="0"/>
              <w:spacing w:before="80" w:after="80" w:line="220" w:lineRule="exact"/>
              <w:ind w:left="113"/>
              <w:rPr>
                <w:b/>
                <w:bCs/>
                <w:sz w:val="18"/>
                <w:lang w:val="es-ES"/>
              </w:rPr>
            </w:pPr>
            <w:r w:rsidRPr="00CC71E1">
              <w:rPr>
                <w:b/>
                <w:bCs/>
                <w:sz w:val="18"/>
                <w:lang w:val="es-ES"/>
              </w:rPr>
              <w:t>Total</w:t>
            </w:r>
          </w:p>
        </w:tc>
        <w:tc>
          <w:tcPr>
            <w:tcW w:w="448" w:type="dxa"/>
            <w:tcBorders>
              <w:top w:val="single" w:sz="4" w:space="0" w:color="auto"/>
              <w:bottom w:val="single" w:sz="12" w:space="0" w:color="auto"/>
            </w:tcBorders>
            <w:shd w:val="clear" w:color="auto" w:fill="auto"/>
            <w:vAlign w:val="bottom"/>
          </w:tcPr>
          <w:p w14:paraId="5EE2EF9B"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2</w:t>
            </w:r>
          </w:p>
        </w:tc>
        <w:tc>
          <w:tcPr>
            <w:tcW w:w="448" w:type="dxa"/>
            <w:tcBorders>
              <w:top w:val="single" w:sz="4" w:space="0" w:color="auto"/>
              <w:bottom w:val="single" w:sz="12" w:space="0" w:color="auto"/>
            </w:tcBorders>
            <w:shd w:val="clear" w:color="auto" w:fill="auto"/>
            <w:vAlign w:val="bottom"/>
          </w:tcPr>
          <w:p w14:paraId="430EE520"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62" w:type="dxa"/>
            <w:tcBorders>
              <w:top w:val="single" w:sz="4" w:space="0" w:color="auto"/>
              <w:bottom w:val="single" w:sz="12" w:space="0" w:color="auto"/>
            </w:tcBorders>
            <w:shd w:val="clear" w:color="auto" w:fill="auto"/>
            <w:vAlign w:val="bottom"/>
          </w:tcPr>
          <w:p w14:paraId="2D78D1F8"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62" w:type="dxa"/>
            <w:tcBorders>
              <w:top w:val="single" w:sz="4" w:space="0" w:color="auto"/>
              <w:bottom w:val="single" w:sz="12" w:space="0" w:color="auto"/>
            </w:tcBorders>
            <w:shd w:val="clear" w:color="auto" w:fill="auto"/>
            <w:vAlign w:val="bottom"/>
          </w:tcPr>
          <w:p w14:paraId="0F1BECAA"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2</w:t>
            </w:r>
          </w:p>
        </w:tc>
        <w:tc>
          <w:tcPr>
            <w:tcW w:w="448" w:type="dxa"/>
            <w:tcBorders>
              <w:top w:val="single" w:sz="4" w:space="0" w:color="auto"/>
              <w:bottom w:val="single" w:sz="12" w:space="0" w:color="auto"/>
            </w:tcBorders>
            <w:shd w:val="clear" w:color="auto" w:fill="auto"/>
            <w:vAlign w:val="bottom"/>
          </w:tcPr>
          <w:p w14:paraId="3D52F9DE"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22</w:t>
            </w:r>
          </w:p>
        </w:tc>
        <w:tc>
          <w:tcPr>
            <w:tcW w:w="434" w:type="dxa"/>
            <w:tcBorders>
              <w:top w:val="single" w:sz="4" w:space="0" w:color="auto"/>
              <w:bottom w:val="single" w:sz="12" w:space="0" w:color="auto"/>
            </w:tcBorders>
            <w:shd w:val="clear" w:color="auto" w:fill="auto"/>
            <w:vAlign w:val="bottom"/>
          </w:tcPr>
          <w:p w14:paraId="334897C2"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62" w:type="dxa"/>
            <w:tcBorders>
              <w:top w:val="single" w:sz="4" w:space="0" w:color="auto"/>
              <w:bottom w:val="single" w:sz="12" w:space="0" w:color="auto"/>
            </w:tcBorders>
            <w:shd w:val="clear" w:color="auto" w:fill="auto"/>
            <w:vAlign w:val="bottom"/>
          </w:tcPr>
          <w:p w14:paraId="02F2CCB7"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14</w:t>
            </w:r>
          </w:p>
        </w:tc>
        <w:tc>
          <w:tcPr>
            <w:tcW w:w="462" w:type="dxa"/>
            <w:tcBorders>
              <w:top w:val="single" w:sz="4" w:space="0" w:color="auto"/>
              <w:bottom w:val="single" w:sz="12" w:space="0" w:color="auto"/>
            </w:tcBorders>
            <w:shd w:val="clear" w:color="auto" w:fill="auto"/>
            <w:vAlign w:val="bottom"/>
          </w:tcPr>
          <w:p w14:paraId="37A436C9"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371</w:t>
            </w:r>
          </w:p>
        </w:tc>
        <w:tc>
          <w:tcPr>
            <w:tcW w:w="433" w:type="dxa"/>
            <w:tcBorders>
              <w:top w:val="single" w:sz="4" w:space="0" w:color="auto"/>
              <w:bottom w:val="single" w:sz="12" w:space="0" w:color="auto"/>
            </w:tcBorders>
            <w:shd w:val="clear" w:color="auto" w:fill="auto"/>
            <w:vAlign w:val="bottom"/>
          </w:tcPr>
          <w:p w14:paraId="31D6A09A"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2</w:t>
            </w:r>
          </w:p>
        </w:tc>
        <w:tc>
          <w:tcPr>
            <w:tcW w:w="448" w:type="dxa"/>
            <w:tcBorders>
              <w:top w:val="single" w:sz="4" w:space="0" w:color="auto"/>
              <w:bottom w:val="single" w:sz="12" w:space="0" w:color="auto"/>
            </w:tcBorders>
            <w:shd w:val="clear" w:color="auto" w:fill="auto"/>
            <w:vAlign w:val="bottom"/>
          </w:tcPr>
          <w:p w14:paraId="11DC0DCA"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48" w:type="dxa"/>
            <w:tcBorders>
              <w:top w:val="single" w:sz="4" w:space="0" w:color="auto"/>
              <w:bottom w:val="single" w:sz="12" w:space="0" w:color="auto"/>
            </w:tcBorders>
            <w:shd w:val="clear" w:color="auto" w:fill="auto"/>
            <w:vAlign w:val="bottom"/>
          </w:tcPr>
          <w:p w14:paraId="4209A9B1"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76" w:type="dxa"/>
            <w:tcBorders>
              <w:top w:val="single" w:sz="4" w:space="0" w:color="auto"/>
              <w:bottom w:val="single" w:sz="12" w:space="0" w:color="auto"/>
            </w:tcBorders>
            <w:shd w:val="clear" w:color="auto" w:fill="auto"/>
            <w:vAlign w:val="bottom"/>
          </w:tcPr>
          <w:p w14:paraId="07BFC4B2"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357</w:t>
            </w:r>
          </w:p>
        </w:tc>
        <w:tc>
          <w:tcPr>
            <w:tcW w:w="434" w:type="dxa"/>
            <w:tcBorders>
              <w:top w:val="single" w:sz="4" w:space="0" w:color="auto"/>
              <w:bottom w:val="single" w:sz="12" w:space="0" w:color="auto"/>
            </w:tcBorders>
            <w:shd w:val="clear" w:color="auto" w:fill="auto"/>
            <w:vAlign w:val="bottom"/>
          </w:tcPr>
          <w:p w14:paraId="62E98886"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3</w:t>
            </w:r>
          </w:p>
        </w:tc>
        <w:tc>
          <w:tcPr>
            <w:tcW w:w="448" w:type="dxa"/>
            <w:tcBorders>
              <w:top w:val="single" w:sz="4" w:space="0" w:color="auto"/>
              <w:bottom w:val="single" w:sz="12" w:space="0" w:color="auto"/>
            </w:tcBorders>
            <w:shd w:val="clear" w:color="auto" w:fill="auto"/>
            <w:vAlign w:val="bottom"/>
          </w:tcPr>
          <w:p w14:paraId="34276ECC"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462" w:type="dxa"/>
            <w:tcBorders>
              <w:top w:val="single" w:sz="4" w:space="0" w:color="auto"/>
              <w:bottom w:val="single" w:sz="12" w:space="0" w:color="auto"/>
            </w:tcBorders>
            <w:shd w:val="clear" w:color="auto" w:fill="auto"/>
            <w:vAlign w:val="bottom"/>
          </w:tcPr>
          <w:p w14:paraId="67D25416"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2</w:t>
            </w:r>
          </w:p>
        </w:tc>
        <w:tc>
          <w:tcPr>
            <w:tcW w:w="448" w:type="dxa"/>
            <w:tcBorders>
              <w:top w:val="single" w:sz="4" w:space="0" w:color="auto"/>
              <w:bottom w:val="single" w:sz="12" w:space="0" w:color="auto"/>
            </w:tcBorders>
            <w:shd w:val="clear" w:color="auto" w:fill="auto"/>
            <w:vAlign w:val="bottom"/>
          </w:tcPr>
          <w:p w14:paraId="0AF0B0E1"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1</w:t>
            </w:r>
          </w:p>
        </w:tc>
        <w:tc>
          <w:tcPr>
            <w:tcW w:w="560" w:type="dxa"/>
            <w:tcBorders>
              <w:top w:val="single" w:sz="4" w:space="0" w:color="auto"/>
              <w:bottom w:val="single" w:sz="12" w:space="0" w:color="auto"/>
            </w:tcBorders>
            <w:shd w:val="clear" w:color="auto" w:fill="auto"/>
            <w:vAlign w:val="bottom"/>
          </w:tcPr>
          <w:p w14:paraId="4EBE55E5" w14:textId="77777777" w:rsidR="00CC71E1" w:rsidRPr="00E0454D" w:rsidRDefault="00CC71E1" w:rsidP="00CC71E1">
            <w:pPr>
              <w:suppressAutoHyphens w:val="0"/>
              <w:spacing w:before="80" w:after="80" w:line="220" w:lineRule="exact"/>
              <w:jc w:val="right"/>
              <w:rPr>
                <w:b/>
                <w:bCs/>
                <w:sz w:val="18"/>
                <w:lang w:val="es-ES"/>
              </w:rPr>
            </w:pPr>
            <w:r w:rsidRPr="00E0454D">
              <w:rPr>
                <w:b/>
                <w:bCs/>
                <w:sz w:val="18"/>
                <w:lang w:val="es-ES"/>
              </w:rPr>
              <w:t>782</w:t>
            </w:r>
          </w:p>
        </w:tc>
      </w:tr>
    </w:tbl>
    <w:p w14:paraId="3E2367D2" w14:textId="77777777" w:rsidR="00C77F5B" w:rsidRPr="00AF4462" w:rsidRDefault="00C77F5B" w:rsidP="00CC71E1">
      <w:pPr>
        <w:pStyle w:val="SingleTxtG"/>
        <w:spacing w:before="120" w:after="0"/>
        <w:ind w:right="567" w:firstLine="170"/>
        <w:jc w:val="left"/>
        <w:rPr>
          <w:sz w:val="18"/>
          <w:szCs w:val="18"/>
          <w:lang w:val="es-ES"/>
        </w:rPr>
      </w:pPr>
      <w:r w:rsidRPr="00AF4462">
        <w:rPr>
          <w:i/>
          <w:sz w:val="18"/>
          <w:szCs w:val="18"/>
          <w:vertAlign w:val="superscript"/>
          <w:lang w:val="es-ES"/>
        </w:rPr>
        <w:t>a</w:t>
      </w:r>
      <w:r w:rsidRPr="00AF4462">
        <w:rPr>
          <w:sz w:val="18"/>
          <w:szCs w:val="18"/>
          <w:lang w:val="es-ES"/>
        </w:rPr>
        <w:t xml:space="preserve"> </w:t>
      </w:r>
      <w:r w:rsidR="00AF4462">
        <w:rPr>
          <w:sz w:val="18"/>
          <w:szCs w:val="18"/>
          <w:lang w:val="es-ES"/>
        </w:rPr>
        <w:t xml:space="preserve"> </w:t>
      </w:r>
      <w:r w:rsidRPr="00AF4462">
        <w:rPr>
          <w:sz w:val="18"/>
          <w:szCs w:val="18"/>
          <w:lang w:val="es-ES"/>
        </w:rPr>
        <w:t>La acción urgente núm. 9/2013 se refiere a dos personas. Por tanto, se contabiliza como dos acciones urgentes.</w:t>
      </w:r>
    </w:p>
    <w:p w14:paraId="6F52BD6D" w14:textId="77777777" w:rsidR="00C77F5B" w:rsidRPr="00AF4462" w:rsidRDefault="00C77F5B" w:rsidP="00AF4462">
      <w:pPr>
        <w:spacing w:after="240"/>
        <w:ind w:left="1134" w:right="1134" w:firstLine="170"/>
        <w:rPr>
          <w:sz w:val="18"/>
          <w:szCs w:val="18"/>
          <w:lang w:val="es-ES"/>
        </w:rPr>
      </w:pPr>
      <w:r w:rsidRPr="00AF4462">
        <w:rPr>
          <w:i/>
          <w:sz w:val="18"/>
          <w:szCs w:val="18"/>
          <w:vertAlign w:val="superscript"/>
          <w:lang w:val="es-ES"/>
        </w:rPr>
        <w:t>b</w:t>
      </w:r>
      <w:r w:rsidRPr="00AF4462">
        <w:rPr>
          <w:sz w:val="18"/>
          <w:szCs w:val="18"/>
          <w:lang w:val="es-ES"/>
        </w:rPr>
        <w:t xml:space="preserve"> </w:t>
      </w:r>
      <w:r w:rsidR="00AF4462">
        <w:rPr>
          <w:sz w:val="18"/>
          <w:szCs w:val="18"/>
          <w:lang w:val="es-ES"/>
        </w:rPr>
        <w:t xml:space="preserve"> </w:t>
      </w:r>
      <w:r w:rsidRPr="00AF4462">
        <w:rPr>
          <w:sz w:val="18"/>
          <w:szCs w:val="18"/>
          <w:lang w:val="es-ES"/>
        </w:rPr>
        <w:t>A 30 de septiembre de 2019.</w:t>
      </w:r>
    </w:p>
    <w:p w14:paraId="5439EC24" w14:textId="77777777" w:rsidR="00C77F5B" w:rsidRPr="00C0426D" w:rsidRDefault="00AF4462" w:rsidP="00AF4462">
      <w:pPr>
        <w:pStyle w:val="H1G"/>
        <w:rPr>
          <w:lang w:val="es-ES"/>
        </w:rPr>
      </w:pPr>
      <w:r>
        <w:rPr>
          <w:lang w:val="es-ES"/>
        </w:rPr>
        <w:tab/>
      </w:r>
      <w:r w:rsidR="00C77F5B">
        <w:rPr>
          <w:lang w:val="es-ES"/>
        </w:rPr>
        <w:t>B.</w:t>
      </w:r>
      <w:r w:rsidR="00C77F5B">
        <w:rPr>
          <w:lang w:val="es-ES"/>
        </w:rPr>
        <w:tab/>
        <w:t>Desarrollo de las acciones urgentes tras su registro: tendencias observadas desde el 16º período de sesiones (hasta el 30 de septiembre</w:t>
      </w:r>
      <w:r w:rsidR="00F5494D">
        <w:rPr>
          <w:lang w:val="es-ES"/>
        </w:rPr>
        <w:t> </w:t>
      </w:r>
      <w:r w:rsidR="00C77F5B">
        <w:rPr>
          <w:lang w:val="es-ES"/>
        </w:rPr>
        <w:t>de 2019)</w:t>
      </w:r>
      <w:bookmarkStart w:id="112" w:name="_Toc522200473"/>
      <w:bookmarkStart w:id="113" w:name="_Toc43905484"/>
      <w:bookmarkStart w:id="114" w:name="_Toc43906565"/>
      <w:bookmarkStart w:id="115" w:name="_Toc43996436"/>
      <w:bookmarkEnd w:id="112"/>
      <w:bookmarkEnd w:id="113"/>
      <w:bookmarkEnd w:id="114"/>
      <w:bookmarkEnd w:id="115"/>
    </w:p>
    <w:p w14:paraId="4D25107F" w14:textId="77777777" w:rsidR="00C77F5B" w:rsidRPr="00C0426D" w:rsidRDefault="00C77F5B" w:rsidP="00C77F5B">
      <w:pPr>
        <w:pStyle w:val="SingleTxtG"/>
        <w:rPr>
          <w:lang w:val="es-ES"/>
        </w:rPr>
      </w:pPr>
      <w:r>
        <w:rPr>
          <w:lang w:val="es-ES"/>
        </w:rPr>
        <w:t>42.</w:t>
      </w:r>
      <w:r>
        <w:rPr>
          <w:lang w:val="es-ES"/>
        </w:rPr>
        <w:tab/>
        <w:t>El Comité mantiene contacto permanente con los Estados partes a través de sus respectivas misiones permanentes, y con los autores de las peticiones de acción urgente por medio de notas, cartas, reuniones y llamadas telefónicas.</w:t>
      </w:r>
    </w:p>
    <w:p w14:paraId="21F6B5CD" w14:textId="77777777" w:rsidR="00C77F5B" w:rsidRPr="00E0454D" w:rsidRDefault="00C77F5B" w:rsidP="00C77F5B">
      <w:pPr>
        <w:pStyle w:val="SingleTxtG"/>
        <w:rPr>
          <w:lang w:val="es-ES"/>
        </w:rPr>
      </w:pPr>
      <w:r>
        <w:rPr>
          <w:lang w:val="es-ES"/>
        </w:rPr>
        <w:t>43.</w:t>
      </w:r>
      <w:r>
        <w:rPr>
          <w:lang w:val="es-ES"/>
        </w:rPr>
        <w:tab/>
        <w:t xml:space="preserve">La información facilitada desde el 16º período de sesiones en el contexto del procedimiento de acciones urgentes confirma varias de las tendencias señaladas en los </w:t>
      </w:r>
      <w:r w:rsidRPr="00E0454D">
        <w:rPr>
          <w:lang w:val="es-ES"/>
        </w:rPr>
        <w:lastRenderedPageBreak/>
        <w:t>informes sobre las peticiones de acción urgente aprobados en los períodos de sesiones 11º a 16º (</w:t>
      </w:r>
      <w:hyperlink r:id="rId44" w:history="1">
        <w:r w:rsidRPr="00E0454D">
          <w:rPr>
            <w:rStyle w:val="Hyperlink"/>
            <w:u w:val="none"/>
            <w:lang w:val="es-ES"/>
          </w:rPr>
          <w:t>CED/C/11/3</w:t>
        </w:r>
      </w:hyperlink>
      <w:r w:rsidRPr="00E0454D">
        <w:rPr>
          <w:lang w:val="es-ES"/>
        </w:rPr>
        <w:t xml:space="preserve">, </w:t>
      </w:r>
      <w:hyperlink r:id="rId45" w:history="1">
        <w:r w:rsidRPr="00E0454D">
          <w:rPr>
            <w:rStyle w:val="Hyperlink"/>
            <w:u w:val="none"/>
            <w:lang w:val="es-ES"/>
          </w:rPr>
          <w:t>CED/C/12/2</w:t>
        </w:r>
      </w:hyperlink>
      <w:r w:rsidRPr="00E0454D">
        <w:rPr>
          <w:lang w:val="es-ES"/>
        </w:rPr>
        <w:t xml:space="preserve">, </w:t>
      </w:r>
      <w:hyperlink r:id="rId46" w:history="1">
        <w:r w:rsidRPr="00E0454D">
          <w:rPr>
            <w:rStyle w:val="Hyperlink"/>
            <w:u w:val="none"/>
            <w:lang w:val="es-ES"/>
          </w:rPr>
          <w:t>CED/C/13/3</w:t>
        </w:r>
      </w:hyperlink>
      <w:r w:rsidRPr="00E0454D">
        <w:rPr>
          <w:lang w:val="es-ES"/>
        </w:rPr>
        <w:t xml:space="preserve">, </w:t>
      </w:r>
      <w:hyperlink r:id="rId47" w:history="1">
        <w:r w:rsidRPr="00E0454D">
          <w:rPr>
            <w:rStyle w:val="Hyperlink"/>
            <w:u w:val="none"/>
            <w:lang w:val="es-ES"/>
          </w:rPr>
          <w:t>CED/C/14/2</w:t>
        </w:r>
      </w:hyperlink>
      <w:r w:rsidRPr="00E0454D">
        <w:rPr>
          <w:lang w:val="es-ES"/>
        </w:rPr>
        <w:t xml:space="preserve">, </w:t>
      </w:r>
      <w:hyperlink r:id="rId48" w:history="1">
        <w:r w:rsidRPr="00E0454D">
          <w:rPr>
            <w:rStyle w:val="Hyperlink"/>
            <w:u w:val="none"/>
            <w:lang w:val="es-ES"/>
          </w:rPr>
          <w:t>CED/C/15/3</w:t>
        </w:r>
      </w:hyperlink>
      <w:r w:rsidRPr="00E0454D">
        <w:rPr>
          <w:lang w:val="es-ES"/>
        </w:rPr>
        <w:t xml:space="preserve"> y </w:t>
      </w:r>
      <w:hyperlink r:id="rId49" w:history="1">
        <w:r w:rsidRPr="00E0454D">
          <w:rPr>
            <w:rStyle w:val="Hyperlink"/>
            <w:u w:val="none"/>
            <w:lang w:val="es-ES"/>
          </w:rPr>
          <w:t>CED/C/16/2</w:t>
        </w:r>
      </w:hyperlink>
      <w:r w:rsidRPr="00E0454D">
        <w:rPr>
          <w:lang w:val="es-ES"/>
        </w:rPr>
        <w:t>). La mayoría de los casos respecto de los que se han registrado acciones urgentes siguen estando relacionados con hechos ocurridos en México y en el Iraq. Para el período que abarca el presente informe, el Comité desearía destacar las siguientes tendencias en relación con los Estados partes en cuestión.</w:t>
      </w:r>
    </w:p>
    <w:p w14:paraId="10A92EE6" w14:textId="77777777" w:rsidR="00C77F5B" w:rsidRPr="00C0426D" w:rsidRDefault="00C77F5B" w:rsidP="00C77F5B">
      <w:pPr>
        <w:pStyle w:val="H23G"/>
        <w:rPr>
          <w:lang w:val="es-ES"/>
        </w:rPr>
      </w:pPr>
      <w:r>
        <w:rPr>
          <w:lang w:val="es-ES"/>
        </w:rPr>
        <w:tab/>
        <w:t>1.</w:t>
      </w:r>
      <w:r>
        <w:rPr>
          <w:lang w:val="es-ES"/>
        </w:rPr>
        <w:tab/>
      </w:r>
      <w:r>
        <w:rPr>
          <w:bCs/>
          <w:lang w:val="es-ES"/>
        </w:rPr>
        <w:t>Tendencias en relación con México y el Iraq</w:t>
      </w:r>
      <w:bookmarkStart w:id="116" w:name="_Toc43905485"/>
      <w:bookmarkStart w:id="117" w:name="_Toc43906566"/>
      <w:bookmarkStart w:id="118" w:name="_Toc43996437"/>
      <w:bookmarkEnd w:id="116"/>
      <w:bookmarkEnd w:id="117"/>
      <w:bookmarkEnd w:id="118"/>
    </w:p>
    <w:p w14:paraId="4578F496" w14:textId="77777777" w:rsidR="00C77F5B" w:rsidRPr="00C0426D" w:rsidRDefault="00C77F5B" w:rsidP="00C77F5B">
      <w:pPr>
        <w:pStyle w:val="H23G"/>
        <w:rPr>
          <w:lang w:val="es-ES"/>
        </w:rPr>
      </w:pPr>
      <w:r>
        <w:rPr>
          <w:lang w:val="es-ES"/>
        </w:rPr>
        <w:tab/>
        <w:t>a)</w:t>
      </w:r>
      <w:r>
        <w:rPr>
          <w:lang w:val="es-ES"/>
        </w:rPr>
        <w:tab/>
      </w:r>
      <w:r>
        <w:rPr>
          <w:bCs/>
          <w:lang w:val="es-ES"/>
        </w:rPr>
        <w:t>México</w:t>
      </w:r>
      <w:bookmarkStart w:id="119" w:name="_Toc43905486"/>
      <w:bookmarkStart w:id="120" w:name="_Toc43906567"/>
      <w:bookmarkStart w:id="121" w:name="_Toc43996438"/>
      <w:bookmarkEnd w:id="119"/>
      <w:bookmarkEnd w:id="120"/>
      <w:bookmarkEnd w:id="121"/>
    </w:p>
    <w:p w14:paraId="4C4BFFD3" w14:textId="77777777" w:rsidR="00C77F5B" w:rsidRPr="00C0426D" w:rsidRDefault="00C77F5B" w:rsidP="00C77F5B">
      <w:pPr>
        <w:pStyle w:val="SingleTxtG"/>
        <w:rPr>
          <w:lang w:val="es-ES"/>
        </w:rPr>
      </w:pPr>
      <w:r>
        <w:rPr>
          <w:lang w:val="es-ES"/>
        </w:rPr>
        <w:t>44.</w:t>
      </w:r>
      <w:r>
        <w:rPr>
          <w:lang w:val="es-ES"/>
        </w:rPr>
        <w:tab/>
        <w:t>El Estado parte ha respondido a todas las peticiones de acción urgente registradas recientemente. No obstante, en lo que se refiere a las notas de seguimiento, los tiempos de respuesta están siendo cada vez más largos: se facilita cada vez menos información y las respuestas ponen de manifiesto con frecuencia que los procesos de búsqueda e investigación en relación con las personas desaparecidas se han paralizado.</w:t>
      </w:r>
    </w:p>
    <w:p w14:paraId="1AA2199F" w14:textId="77777777" w:rsidR="00C77F5B" w:rsidRPr="00C0426D" w:rsidRDefault="00C77F5B" w:rsidP="00C77F5B">
      <w:pPr>
        <w:pStyle w:val="SingleTxtG"/>
        <w:rPr>
          <w:lang w:val="es-ES"/>
        </w:rPr>
      </w:pPr>
      <w:r>
        <w:rPr>
          <w:lang w:val="es-ES"/>
        </w:rPr>
        <w:t>45.</w:t>
      </w:r>
      <w:r>
        <w:rPr>
          <w:lang w:val="es-ES"/>
        </w:rPr>
        <w:tab/>
        <w:t>La información facilitada por el Estado parte sigue reflejando acciones esporádicas, aisladas y, en gran medida, formales, que no parecen formar parte de una estrategia de investigación y búsqueda previamente definida. Las iniciativas de familiares, allegados o representantes de las personas desaparecidas siguen siendo cruciales para que los procesos de búsqueda e investigación avancen.</w:t>
      </w:r>
    </w:p>
    <w:p w14:paraId="57BDA5AD" w14:textId="77777777" w:rsidR="00C77F5B" w:rsidRPr="00C0426D" w:rsidRDefault="00C77F5B" w:rsidP="00C77F5B">
      <w:pPr>
        <w:pStyle w:val="SingleTxtG"/>
        <w:rPr>
          <w:lang w:val="es-ES"/>
        </w:rPr>
      </w:pPr>
      <w:r>
        <w:rPr>
          <w:lang w:val="es-ES"/>
        </w:rPr>
        <w:t>46.</w:t>
      </w:r>
      <w:r>
        <w:rPr>
          <w:lang w:val="es-ES"/>
        </w:rPr>
        <w:tab/>
        <w:t xml:space="preserve">En la gran mayoría de los casos, los autores de las peticiones de acción urgente están exasperados ante la falta de diligencia debida en las búsquedas e investigaciones. Lamentan que no haya investigaciones </w:t>
      </w:r>
      <w:r w:rsidRPr="00A950A2">
        <w:rPr>
          <w:i/>
          <w:lang w:val="es-ES"/>
        </w:rPr>
        <w:t>in situ</w:t>
      </w:r>
      <w:r>
        <w:rPr>
          <w:lang w:val="es-ES"/>
        </w:rPr>
        <w:t xml:space="preserve"> ni análisis exhaustivos de las pruebas disponibles ni de la información que ellos facilitan a las autoridades encargadas de las búsquedas y las investigaciones.</w:t>
      </w:r>
    </w:p>
    <w:p w14:paraId="2189D18A" w14:textId="77777777" w:rsidR="00C77F5B" w:rsidRPr="00C0426D" w:rsidRDefault="00C77F5B" w:rsidP="00C77F5B">
      <w:pPr>
        <w:pStyle w:val="SingleTxtG"/>
        <w:rPr>
          <w:lang w:val="es-ES"/>
        </w:rPr>
      </w:pPr>
      <w:r>
        <w:rPr>
          <w:lang w:val="es-ES"/>
        </w:rPr>
        <w:t>47.</w:t>
      </w:r>
      <w:r>
        <w:rPr>
          <w:lang w:val="es-ES"/>
        </w:rPr>
        <w:tab/>
        <w:t>Los autores siguen afirmando con frecuencia que esas autoridades están directa o indirectamente involucradas en los hechos que rodean las desapariciones, y que se han suspendido las labores de búsqueda e investigación. En esos casos, el Comité ha insistido en la importancia de establecer mecanismos para exigir responsabilidades a los funcionarios públicos encargados de las búsquedas y las investigaciones, y ha pedido al Estado parte que se investiguen las alegaciones de que esos funcionarios han obstaculizado las actuaciones.</w:t>
      </w:r>
    </w:p>
    <w:p w14:paraId="3F385FFE" w14:textId="77777777" w:rsidR="00C77F5B" w:rsidRPr="00C0426D" w:rsidRDefault="00C77F5B" w:rsidP="00C77F5B">
      <w:pPr>
        <w:pStyle w:val="SingleTxtG"/>
        <w:rPr>
          <w:lang w:val="es-ES"/>
        </w:rPr>
      </w:pPr>
      <w:r>
        <w:rPr>
          <w:lang w:val="es-ES"/>
        </w:rPr>
        <w:t>48.</w:t>
      </w:r>
      <w:r>
        <w:rPr>
          <w:lang w:val="es-ES"/>
        </w:rPr>
        <w:tab/>
        <w:t>El Comité quiere insistir en que le preocupan las alegaciones de que familiares de las personas desaparecidas han sido amenazados e intimidados por insistir en que se investiguen los hechos que han rodeado las desapariciones forzadas de miembros de su familia. Dichas amenazas revisten formas variadas e incluyen amenazas de muerte, patrullas por las inmediaciones de las viviendas y decisiones procesales relacionadas con la protección de las personas en cuestión (como el levantamiento de una medida de protección de la identidad de un testigo clave en la investigación mediante el traslado del expediente a la Fiscalía del estado de Guerrero). En relación con esos casos, el Comité vuelve a pedir al Estado que adopte las siguientes medidas cautelares: a) las medidas necesarias para preservar la vida y la seguridad de las personas en cuestión; y b) las medidas necesarias para que las personas puedan llevar a cabo la búsqueda de un familiar sin ser objeto de actos de violencia y hostigamiento. El Comité también pide al Estado parte que adopte más medidas concretas siempre que sea necesario (por ejemplo, que se asegure de que no se revele la identidad de una persona aunque se traslade el expediente).</w:t>
      </w:r>
    </w:p>
    <w:p w14:paraId="70C76A56" w14:textId="77777777" w:rsidR="00C77F5B" w:rsidRPr="00C0426D" w:rsidRDefault="00C77F5B" w:rsidP="00C77F5B">
      <w:pPr>
        <w:pStyle w:val="H23G"/>
        <w:rPr>
          <w:lang w:val="es-ES"/>
        </w:rPr>
      </w:pPr>
      <w:r>
        <w:rPr>
          <w:lang w:val="es-ES"/>
        </w:rPr>
        <w:tab/>
        <w:t>b)</w:t>
      </w:r>
      <w:r>
        <w:rPr>
          <w:lang w:val="es-ES"/>
        </w:rPr>
        <w:tab/>
      </w:r>
      <w:r>
        <w:rPr>
          <w:bCs/>
          <w:lang w:val="es-ES"/>
        </w:rPr>
        <w:t>Iraq</w:t>
      </w:r>
      <w:bookmarkStart w:id="122" w:name="_Toc43905487"/>
      <w:bookmarkStart w:id="123" w:name="_Toc43906568"/>
      <w:bookmarkStart w:id="124" w:name="_Toc43996439"/>
      <w:bookmarkEnd w:id="122"/>
      <w:bookmarkEnd w:id="123"/>
      <w:bookmarkEnd w:id="124"/>
    </w:p>
    <w:p w14:paraId="2D4767FE" w14:textId="77777777" w:rsidR="00C77F5B" w:rsidRPr="00C0426D" w:rsidRDefault="00C77F5B" w:rsidP="00C77F5B">
      <w:pPr>
        <w:pStyle w:val="SingleTxtG"/>
        <w:rPr>
          <w:lang w:val="es-ES"/>
        </w:rPr>
      </w:pPr>
      <w:r>
        <w:rPr>
          <w:lang w:val="es-ES"/>
        </w:rPr>
        <w:t>49.</w:t>
      </w:r>
      <w:r>
        <w:rPr>
          <w:lang w:val="es-ES"/>
        </w:rPr>
        <w:tab/>
        <w:t>Al Comité le preocupa enormemente que el Estado parte, a pesar de varios recordatorios, no haya respondido a la mayoría de las peticiones de acción urgente registradas en relación con incidentes que tuvieron lugar en su territorio. En relación con 53</w:t>
      </w:r>
      <w:r w:rsidR="00E0454D">
        <w:rPr>
          <w:lang w:val="es-ES"/>
        </w:rPr>
        <w:t> </w:t>
      </w:r>
      <w:r>
        <w:rPr>
          <w:lang w:val="es-ES"/>
        </w:rPr>
        <w:t>de las peticiones de acción urgente registradas se han enviado 4 recordatorios, a los que el Estado parte no ha respondido. En los casos en los que se han recibido respuestas, el Estado parte no ha facilitado información alguna sobre las medidas adoptadas para buscar a las personas desaparecidas o investigar su presunta desaparición forzada. Tampoco se han aclarado los procedimientos a los que tienen acceso las víctimas y, según sigue confirmando la información facilitad</w:t>
      </w:r>
      <w:r w:rsidR="00E0454D">
        <w:rPr>
          <w:lang w:val="es-ES"/>
        </w:rPr>
        <w:t>a</w:t>
      </w:r>
      <w:r>
        <w:rPr>
          <w:lang w:val="es-ES"/>
        </w:rPr>
        <w:t xml:space="preserve"> por los familiares de las personas desaparecidas, en </w:t>
      </w:r>
      <w:r>
        <w:rPr>
          <w:lang w:val="es-ES"/>
        </w:rPr>
        <w:lastRenderedPageBreak/>
        <w:t>general estas personas sufren malos tratos por parte de las autoridades estatales cuando piden información o apoyo en relación con búsquedas de personas desparecidas o investigaciones de su presunta desaparición forzada. El Comité señala a la atención de la Asamblea General el incumplimiento por el Estado parte de las obligaciones que le incumben en virtud del artículo 30 de la Convención en lo que respecta a las 53 peticiones de acción urgente antes mencionadas.</w:t>
      </w:r>
    </w:p>
    <w:p w14:paraId="276D53C4" w14:textId="77777777" w:rsidR="00C77F5B" w:rsidRPr="00C0426D" w:rsidRDefault="00C77F5B" w:rsidP="00C77F5B">
      <w:pPr>
        <w:pStyle w:val="SingleTxtG"/>
        <w:rPr>
          <w:lang w:val="es-ES"/>
        </w:rPr>
      </w:pPr>
      <w:r>
        <w:rPr>
          <w:lang w:val="es-ES"/>
        </w:rPr>
        <w:t>50.</w:t>
      </w:r>
      <w:r>
        <w:rPr>
          <w:lang w:val="es-ES"/>
        </w:rPr>
        <w:tab/>
        <w:t>En varias de las respuestas, el Estado parte se limitó a subrayar que las presuntas víctimas estaban afiliadas a grupos terroristas. En el período que se examina, por ejemplo, el Comité registró 192 nuevas peticiones de acción urgente en relación con la presunta desaparición forzada de 192 personas en el puesto de control de Al-Razaza, en la provincia de Anbar. El Comité fue informado de que, en el contexto de la lucha contra el Estado Islámico en el Iraq y el Levante, muchas familias huyeron, el 26 de octubre de 2014, de Jurf Al Sakhr, en la provincia de Babilonia, a zonas más seguras a través de dicho puesto de control, controlado en ese momento por brigadas de Hizbulah. Según los informes recibidos por el Comité, las 192 personas fueron detenidas cuando intentaban cruzar por el puesto de control y fueron llevadas por la fuerza, por Hizbullah, a un lugar desconocido. Su paradero sigue siendo desconocido a pesar de las repetidas denuncias presentadas por los familiares de esas personas ante las autoridades del Estado parte. El Comité pidió al Estado parte que tomara de inmediato medidas para buscar y localizar a las personas desaparecidas, aclarara su presunta desaparición forzada, se asegurara de que fueran puestas bajo la protección de la ley y tomara las medidas necesarias para identificar a los responsables. El Estado parte respondió diciendo que todas las personas a las que se referían las peticiones de acción urgente tenían vínculos con el Estado Islámico del Iraq y el Levante y que siete de ellas habían sido asesinadas. Esta información ha sido remitida a los autores de las peticiones de acción urgente para que aporten sus comentarios. En términos más generales, el Comité ha sido informado de varios casos en los que familiares de personas desaparecidas han sido objeto de represalias después de haber denunciado los incidentes a las autoridades competentes, algo que observa con preocupación, y subraya que ello repercute de manera negativa en la posibilidad de que las personas soliciten la intervención de las autoridades encargadas de buscar a las personas desaparecidas y de investigar su desaparición.</w:t>
      </w:r>
    </w:p>
    <w:p w14:paraId="28334D89" w14:textId="77777777" w:rsidR="00C77F5B" w:rsidRPr="00C0426D" w:rsidRDefault="00C77F5B" w:rsidP="00C77F5B">
      <w:pPr>
        <w:pStyle w:val="H23G"/>
        <w:rPr>
          <w:lang w:val="es-ES"/>
        </w:rPr>
      </w:pPr>
      <w:r>
        <w:rPr>
          <w:lang w:val="es-ES"/>
        </w:rPr>
        <w:tab/>
        <w:t>2.</w:t>
      </w:r>
      <w:r>
        <w:rPr>
          <w:lang w:val="es-ES"/>
        </w:rPr>
        <w:tab/>
      </w:r>
      <w:r>
        <w:rPr>
          <w:bCs/>
          <w:lang w:val="es-ES"/>
        </w:rPr>
        <w:t>Otros Estados partes</w:t>
      </w:r>
      <w:bookmarkStart w:id="125" w:name="_Toc43905488"/>
      <w:bookmarkStart w:id="126" w:name="_Toc43906569"/>
      <w:bookmarkStart w:id="127" w:name="_Toc43996440"/>
      <w:bookmarkEnd w:id="125"/>
      <w:bookmarkEnd w:id="126"/>
      <w:bookmarkEnd w:id="127"/>
    </w:p>
    <w:p w14:paraId="5332579C" w14:textId="77777777" w:rsidR="00C77F5B" w:rsidRPr="00C0426D" w:rsidRDefault="00C77F5B" w:rsidP="00C77F5B">
      <w:pPr>
        <w:pStyle w:val="SingleTxtG"/>
        <w:rPr>
          <w:lang w:val="es-ES"/>
        </w:rPr>
      </w:pPr>
      <w:r>
        <w:rPr>
          <w:lang w:val="es-ES"/>
        </w:rPr>
        <w:t>51.</w:t>
      </w:r>
      <w:r>
        <w:rPr>
          <w:lang w:val="es-ES"/>
        </w:rPr>
        <w:tab/>
        <w:t>Hubo muy pocas peticiones de acción urgente relacionadas con otros Estados partes como para que el Comité pudiera identificar alguna tendencia. No obstante, el Comité querría destacar ciertos elementos de algunas de las peticiones recibidas.</w:t>
      </w:r>
    </w:p>
    <w:p w14:paraId="4D57E984" w14:textId="77777777" w:rsidR="00C77F5B" w:rsidRPr="00C0426D" w:rsidRDefault="00C77F5B" w:rsidP="00C77F5B">
      <w:pPr>
        <w:pStyle w:val="H23G"/>
        <w:rPr>
          <w:lang w:val="es-ES"/>
        </w:rPr>
      </w:pPr>
      <w:r>
        <w:rPr>
          <w:lang w:val="es-ES"/>
        </w:rPr>
        <w:tab/>
        <w:t>a)</w:t>
      </w:r>
      <w:r>
        <w:rPr>
          <w:lang w:val="es-ES"/>
        </w:rPr>
        <w:tab/>
      </w:r>
      <w:r>
        <w:rPr>
          <w:bCs/>
          <w:lang w:val="es-ES"/>
        </w:rPr>
        <w:t>Brasil</w:t>
      </w:r>
      <w:bookmarkStart w:id="128" w:name="_Toc43905489"/>
      <w:bookmarkStart w:id="129" w:name="_Toc43906570"/>
      <w:bookmarkStart w:id="130" w:name="_Toc43996441"/>
      <w:bookmarkEnd w:id="128"/>
      <w:bookmarkEnd w:id="129"/>
      <w:bookmarkEnd w:id="130"/>
    </w:p>
    <w:p w14:paraId="40A651BB" w14:textId="77777777" w:rsidR="00C77F5B" w:rsidRPr="00C0426D" w:rsidRDefault="00C77F5B" w:rsidP="00C77F5B">
      <w:pPr>
        <w:pStyle w:val="SingleTxtG"/>
        <w:rPr>
          <w:lang w:val="es-ES"/>
        </w:rPr>
      </w:pPr>
      <w:r>
        <w:rPr>
          <w:lang w:val="es-ES"/>
        </w:rPr>
        <w:t>52.</w:t>
      </w:r>
      <w:r>
        <w:rPr>
          <w:lang w:val="es-ES"/>
        </w:rPr>
        <w:tab/>
        <w:t>Se envió otra nota de seguimiento al Estado parte en relación con el caso de Davi Santos Fiúza (acción urgente núm. 61/2014). En la nota se acusaba recibo de la información de que el expediente de la búsqueda e investigación policial de cuatro años de duración sobre la desaparición del Sr. Santos Fiúza se había enviado a la Fiscalía General del Estado de Bahía, que las autoridades policiales habían mencionado la posibilidad de que estuvieran implicados 17 miembros de la policía del Estado de Bahía (policía militar) y que la Fiscalía General estaba examinando actualmente el asunto para determinar la responsabilidad individual de cada uno de los 17 agentes de policía y llevar a los autores ante la justicia. No obstante, habida cuenta de la información recabada en el contexto de la acción urgente, el Comité lamentó las demoras por parte de la Fiscalía General en investigar el asunto, pese a haber recibido los resultados de las investigaciones de la policía, así como el hecho de que no se hubiera tomado ninguna medida adicional para buscar y localizar al Sr. Santos Fiúza.</w:t>
      </w:r>
    </w:p>
    <w:p w14:paraId="479A5889" w14:textId="77777777" w:rsidR="00C77F5B" w:rsidRPr="00C0426D" w:rsidRDefault="00C77F5B" w:rsidP="00C77F5B">
      <w:pPr>
        <w:pStyle w:val="H23G"/>
        <w:rPr>
          <w:lang w:val="es-ES"/>
        </w:rPr>
      </w:pPr>
      <w:r>
        <w:rPr>
          <w:lang w:val="es-ES"/>
        </w:rPr>
        <w:tab/>
        <w:t>b)</w:t>
      </w:r>
      <w:r>
        <w:rPr>
          <w:lang w:val="es-ES"/>
        </w:rPr>
        <w:tab/>
      </w:r>
      <w:r>
        <w:rPr>
          <w:bCs/>
          <w:lang w:val="es-ES"/>
        </w:rPr>
        <w:t>Colombia</w:t>
      </w:r>
      <w:bookmarkStart w:id="131" w:name="_Toc43905490"/>
      <w:bookmarkStart w:id="132" w:name="_Toc43906571"/>
      <w:bookmarkStart w:id="133" w:name="_Toc43996442"/>
      <w:bookmarkEnd w:id="131"/>
      <w:bookmarkEnd w:id="132"/>
      <w:bookmarkEnd w:id="133"/>
    </w:p>
    <w:p w14:paraId="0743654D" w14:textId="77777777" w:rsidR="00C77F5B" w:rsidRPr="00C0426D" w:rsidRDefault="00C77F5B" w:rsidP="00C77F5B">
      <w:pPr>
        <w:pStyle w:val="SingleTxtG"/>
        <w:rPr>
          <w:lang w:val="es-ES"/>
        </w:rPr>
      </w:pPr>
      <w:r>
        <w:rPr>
          <w:lang w:val="es-ES"/>
        </w:rPr>
        <w:t>53.</w:t>
      </w:r>
      <w:r>
        <w:rPr>
          <w:lang w:val="es-ES"/>
        </w:rPr>
        <w:tab/>
        <w:t>Como se indica en los informes de períodos de sesiones anteriores, la información proporcionada por el Estado parte sobre las 21 peticiones de acción urgente registradas pone de manifiesto que las investigaciones y las búsquedas suelen llegar a un punto muerto unos meses después de su inicio.</w:t>
      </w:r>
    </w:p>
    <w:p w14:paraId="3F91F32B" w14:textId="77777777" w:rsidR="00C77F5B" w:rsidRPr="00C0426D" w:rsidRDefault="00C77F5B" w:rsidP="00C77F5B">
      <w:pPr>
        <w:pStyle w:val="SingleTxtG"/>
        <w:rPr>
          <w:lang w:val="es-ES"/>
        </w:rPr>
      </w:pPr>
      <w:r>
        <w:rPr>
          <w:lang w:val="es-ES"/>
        </w:rPr>
        <w:t>54.</w:t>
      </w:r>
      <w:r>
        <w:rPr>
          <w:lang w:val="es-ES"/>
        </w:rPr>
        <w:tab/>
        <w:t xml:space="preserve">En relación con las acciones urgentes núms. 378/2017, 379/2017 y 380/2017, el Comité fue informado de que habían sido detenidas cuatro personas que habían facilitado </w:t>
      </w:r>
      <w:r>
        <w:rPr>
          <w:lang w:val="es-ES"/>
        </w:rPr>
        <w:lastRenderedPageBreak/>
        <w:t>información sobre la ubicación de los restos de los niños desaparecidos. Estas personas habían sido acusadas de desaparición forzada. Los tres niños habían sido encontrados muertos en el barrio Cerro Norte de la localidad de Usaquén en mayo de 2019. Esta información fue remitida a los autores de las peticiones de acción urgente en cuestión para que hicieran sus comentarios.</w:t>
      </w:r>
    </w:p>
    <w:p w14:paraId="5D2A9B4D" w14:textId="77777777" w:rsidR="00C77F5B" w:rsidRPr="00C0426D" w:rsidRDefault="00C77F5B" w:rsidP="00C77F5B">
      <w:pPr>
        <w:pStyle w:val="H23G"/>
        <w:rPr>
          <w:lang w:val="es-ES"/>
        </w:rPr>
      </w:pPr>
      <w:r>
        <w:rPr>
          <w:lang w:val="es-ES"/>
        </w:rPr>
        <w:tab/>
        <w:t>c)</w:t>
      </w:r>
      <w:r>
        <w:rPr>
          <w:lang w:val="es-ES"/>
        </w:rPr>
        <w:tab/>
      </w:r>
      <w:r>
        <w:rPr>
          <w:bCs/>
          <w:lang w:val="es-ES"/>
        </w:rPr>
        <w:t>Togo</w:t>
      </w:r>
      <w:bookmarkStart w:id="134" w:name="_Toc43905491"/>
      <w:bookmarkStart w:id="135" w:name="_Toc43906572"/>
      <w:bookmarkStart w:id="136" w:name="_Toc43996443"/>
      <w:bookmarkEnd w:id="134"/>
      <w:bookmarkEnd w:id="135"/>
      <w:bookmarkEnd w:id="136"/>
    </w:p>
    <w:p w14:paraId="4694BB47" w14:textId="77777777" w:rsidR="00C77F5B" w:rsidRPr="00C0426D" w:rsidRDefault="00C77F5B" w:rsidP="00C77F5B">
      <w:pPr>
        <w:pStyle w:val="SingleTxtG"/>
        <w:rPr>
          <w:lang w:val="es-ES"/>
        </w:rPr>
      </w:pPr>
      <w:r>
        <w:rPr>
          <w:lang w:val="es-ES"/>
        </w:rPr>
        <w:t>55.</w:t>
      </w:r>
      <w:r>
        <w:rPr>
          <w:lang w:val="es-ES"/>
        </w:rPr>
        <w:tab/>
        <w:t>Con relación al caso de Atsou Adzi y Messan Koku Adzi (acciones urgentes núms.</w:t>
      </w:r>
      <w:r w:rsidR="00533E47">
        <w:rPr>
          <w:lang w:val="es-ES"/>
        </w:rPr>
        <w:t> </w:t>
      </w:r>
      <w:r>
        <w:rPr>
          <w:lang w:val="es-ES"/>
        </w:rPr>
        <w:t>543/2018 y 544/2018), el Estado parte envió su respuesta el 17 de julio de 2019, en la que informaba de que, tras investigar las desapariciones en cuestión, las autoridades habían descubierto que Atsou Adzi había fallecido el 3 de enero de 2014 por problemas de salud. Este hecho habría sido confirmado por diferentes personas, incluido un tío de Atsou Adzi que había organizado el funeral, así como por el jefe de la comunidad de Gapé. Las autoridades togolesas afirman haber localizado a Messan Koku Adzi el 29 de junio de 2019 en Lomé, donde al parecer vive. Según las autoridades, estaba en contacto con su familia en Gapé. Las autoridades investigaron el caso y llegaron a la conclusión de que dos personas habían inventado la historia en cuestión. Se dio traslado de las observaciones del Estado parte a los autores de las peticiones de acción urgente para que hicieran sus comentarios. El Comité tomará una decisión sobre esta acción urgente a la luz de la respuesta facilitada.</w:t>
      </w:r>
    </w:p>
    <w:p w14:paraId="52E1789F" w14:textId="77777777" w:rsidR="00C77F5B" w:rsidRPr="00C0426D" w:rsidRDefault="00C77F5B" w:rsidP="00C77F5B">
      <w:pPr>
        <w:pStyle w:val="H23G"/>
        <w:rPr>
          <w:lang w:val="es-ES"/>
        </w:rPr>
      </w:pPr>
      <w:r>
        <w:rPr>
          <w:lang w:val="es-ES"/>
        </w:rPr>
        <w:tab/>
        <w:t>d)</w:t>
      </w:r>
      <w:r>
        <w:rPr>
          <w:lang w:val="es-ES"/>
        </w:rPr>
        <w:tab/>
      </w:r>
      <w:r>
        <w:rPr>
          <w:bCs/>
          <w:lang w:val="es-ES"/>
        </w:rPr>
        <w:t>Túnez</w:t>
      </w:r>
      <w:bookmarkStart w:id="137" w:name="_Toc43905492"/>
      <w:bookmarkStart w:id="138" w:name="_Toc43906573"/>
      <w:bookmarkStart w:id="139" w:name="_Toc43996444"/>
      <w:bookmarkEnd w:id="137"/>
      <w:bookmarkEnd w:id="138"/>
      <w:bookmarkEnd w:id="139"/>
    </w:p>
    <w:p w14:paraId="2EDD3FD5" w14:textId="77777777" w:rsidR="00C77F5B" w:rsidRPr="00C0426D" w:rsidRDefault="00C77F5B" w:rsidP="00C77F5B">
      <w:pPr>
        <w:pStyle w:val="SingleTxtG"/>
        <w:rPr>
          <w:lang w:val="es-ES"/>
        </w:rPr>
      </w:pPr>
      <w:r>
        <w:rPr>
          <w:lang w:val="es-ES"/>
        </w:rPr>
        <w:t>56.</w:t>
      </w:r>
      <w:r>
        <w:rPr>
          <w:lang w:val="es-ES"/>
        </w:rPr>
        <w:tab/>
        <w:t xml:space="preserve">Durante el período que se examina se registró una petición de acción urgente en el caso de Mohamed Guefassa (acción urgente núm. 768/2019), un nacional argelino que desapareció en aguas territoriales de Túnez la noche del 2 de octubre de 2016, cuando, viajando irregularmente desde Argelia a la isla italiana de Cerdeña, fue interceptado por guardacostas tunecinos. Según la información proporcionada al Comité, el Sr. Guefassa podría estar ilegalmente recluido en Túnez por cargos relacionados con el terrorismo. El Comité solicitó al Estado parte que tomara inmediatamente todas las medidas necesarias para buscar, ubicar y proteger al Sr. Guefassa. El Estado </w:t>
      </w:r>
      <w:r w:rsidR="00533E47">
        <w:rPr>
          <w:lang w:val="es-ES"/>
        </w:rPr>
        <w:t>p</w:t>
      </w:r>
      <w:r>
        <w:rPr>
          <w:lang w:val="es-ES"/>
        </w:rPr>
        <w:t>arte no había respondido a la nota verbal del Comité a la fecha del presente informe. Se envió un recordatorio.</w:t>
      </w:r>
    </w:p>
    <w:p w14:paraId="78E6A092" w14:textId="77777777" w:rsidR="00C77F5B" w:rsidRPr="00C0426D" w:rsidRDefault="00C77F5B" w:rsidP="00C77F5B">
      <w:pPr>
        <w:pStyle w:val="H23G"/>
        <w:rPr>
          <w:lang w:val="es-ES"/>
        </w:rPr>
      </w:pPr>
      <w:r>
        <w:rPr>
          <w:lang w:val="es-ES"/>
        </w:rPr>
        <w:tab/>
        <w:t>3.</w:t>
      </w:r>
      <w:r>
        <w:rPr>
          <w:lang w:val="es-ES"/>
        </w:rPr>
        <w:tab/>
      </w:r>
      <w:r>
        <w:rPr>
          <w:bCs/>
          <w:lang w:val="es-ES"/>
        </w:rPr>
        <w:t>Innovaciones</w:t>
      </w:r>
      <w:bookmarkStart w:id="140" w:name="_Toc43905493"/>
      <w:bookmarkStart w:id="141" w:name="_Toc43906574"/>
      <w:bookmarkStart w:id="142" w:name="_Toc43996445"/>
      <w:bookmarkEnd w:id="140"/>
      <w:bookmarkEnd w:id="141"/>
      <w:bookmarkEnd w:id="142"/>
    </w:p>
    <w:p w14:paraId="42AB0B35" w14:textId="77777777" w:rsidR="00C77F5B" w:rsidRPr="00C0426D" w:rsidRDefault="00C77F5B" w:rsidP="00C77F5B">
      <w:pPr>
        <w:pStyle w:val="SingleTxtG"/>
        <w:rPr>
          <w:lang w:val="es-ES"/>
        </w:rPr>
      </w:pPr>
      <w:r>
        <w:rPr>
          <w:lang w:val="es-ES"/>
        </w:rPr>
        <w:t>57.</w:t>
      </w:r>
      <w:r>
        <w:rPr>
          <w:lang w:val="es-ES"/>
        </w:rPr>
        <w:tab/>
        <w:t>Desde agosto de 2019, tras la aprobación y publicación de los principios rectores para la búsqueda de personas desaparecidas, el Comité ha incluido referencias espec</w:t>
      </w:r>
      <w:r w:rsidR="0049248A">
        <w:rPr>
          <w:lang w:val="es-ES"/>
        </w:rPr>
        <w:t>í</w:t>
      </w:r>
      <w:r>
        <w:rPr>
          <w:lang w:val="es-ES"/>
        </w:rPr>
        <w:t>ficas a estos en sus notas de seguimiento a fin de que sus recomendaciones a los Estados partes sean más precisas. Siempre que ha sido pertinente, los principios rectores se han adjuntado también en un anexo a las notas de seguimiento.</w:t>
      </w:r>
    </w:p>
    <w:p w14:paraId="36D9C7FF" w14:textId="77777777" w:rsidR="00C77F5B" w:rsidRPr="00C0426D" w:rsidRDefault="00174B1B" w:rsidP="00C77F5B">
      <w:pPr>
        <w:pStyle w:val="H1G"/>
        <w:rPr>
          <w:lang w:val="es-ES"/>
        </w:rPr>
      </w:pPr>
      <w:r>
        <w:rPr>
          <w:lang w:val="es-ES"/>
        </w:rPr>
        <w:tab/>
      </w:r>
      <w:r w:rsidR="00C77F5B">
        <w:rPr>
          <w:lang w:val="es-ES"/>
        </w:rPr>
        <w:t>C.</w:t>
      </w:r>
      <w:r w:rsidR="00C77F5B">
        <w:rPr>
          <w:lang w:val="es-ES"/>
        </w:rPr>
        <w:tab/>
      </w:r>
      <w:r w:rsidR="00C77F5B">
        <w:rPr>
          <w:bCs/>
          <w:lang w:val="es-ES"/>
        </w:rPr>
        <w:t>Acciones urgentes suspendidas, cerradas, o mantenidas abiertas para</w:t>
      </w:r>
      <w:r>
        <w:rPr>
          <w:bCs/>
          <w:lang w:val="es-ES"/>
        </w:rPr>
        <w:t> </w:t>
      </w:r>
      <w:r w:rsidR="00C77F5B">
        <w:rPr>
          <w:bCs/>
          <w:lang w:val="es-ES"/>
        </w:rPr>
        <w:t>la</w:t>
      </w:r>
      <w:r>
        <w:rPr>
          <w:bCs/>
          <w:lang w:val="es-ES"/>
        </w:rPr>
        <w:t> </w:t>
      </w:r>
      <w:r w:rsidR="00C77F5B">
        <w:rPr>
          <w:bCs/>
          <w:lang w:val="es-ES"/>
        </w:rPr>
        <w:t>protección de las personas a favor de las cuales se han otorgado</w:t>
      </w:r>
      <w:r>
        <w:rPr>
          <w:bCs/>
          <w:lang w:val="es-ES"/>
        </w:rPr>
        <w:t> </w:t>
      </w:r>
      <w:r w:rsidR="00C77F5B">
        <w:rPr>
          <w:bCs/>
          <w:lang w:val="es-ES"/>
        </w:rPr>
        <w:t>medidas cautelares</w:t>
      </w:r>
      <w:bookmarkStart w:id="143" w:name="_Toc522200476"/>
      <w:bookmarkStart w:id="144" w:name="_Toc43905494"/>
      <w:bookmarkStart w:id="145" w:name="_Toc43906575"/>
      <w:bookmarkStart w:id="146" w:name="_Toc43996446"/>
      <w:bookmarkEnd w:id="143"/>
      <w:bookmarkEnd w:id="144"/>
      <w:bookmarkEnd w:id="145"/>
      <w:bookmarkEnd w:id="146"/>
    </w:p>
    <w:p w14:paraId="5BDA5003" w14:textId="77777777" w:rsidR="00C77F5B" w:rsidRPr="00C0426D" w:rsidRDefault="00C77F5B" w:rsidP="00C77F5B">
      <w:pPr>
        <w:pStyle w:val="SingleTxtG"/>
        <w:rPr>
          <w:lang w:val="es-ES"/>
        </w:rPr>
      </w:pPr>
      <w:r>
        <w:rPr>
          <w:lang w:val="es-ES"/>
        </w:rPr>
        <w:t>58.</w:t>
      </w:r>
      <w:r>
        <w:rPr>
          <w:lang w:val="es-ES"/>
        </w:rPr>
        <w:tab/>
        <w:t>De conformidad con los criterios adoptados en sesión plenaria por el Comité en su octavo período de sesiones:</w:t>
      </w:r>
    </w:p>
    <w:p w14:paraId="613C5CC7" w14:textId="77777777" w:rsidR="00C77F5B" w:rsidRPr="00C0426D" w:rsidRDefault="00C77F5B" w:rsidP="00C77F5B">
      <w:pPr>
        <w:pStyle w:val="SingleTxtG"/>
        <w:rPr>
          <w:lang w:val="es-ES"/>
        </w:rPr>
      </w:pPr>
      <w:r>
        <w:rPr>
          <w:lang w:val="es-ES"/>
        </w:rPr>
        <w:tab/>
        <w:t>a)</w:t>
      </w:r>
      <w:r>
        <w:rPr>
          <w:lang w:val="es-ES"/>
        </w:rPr>
        <w:tab/>
        <w:t>Se deja en suspenso una acción urgente cuando la persona desaparecida ha sido localizada pero sigue privada de libertad. El motivo de ello es la especial vulnerabilidad de esa persona a ser víctima de una nueva desaparición forzada y quedar fuera de la protección de la ley;</w:t>
      </w:r>
    </w:p>
    <w:p w14:paraId="63C02864" w14:textId="77777777" w:rsidR="00C77F5B" w:rsidRPr="00C0426D" w:rsidRDefault="00C77F5B" w:rsidP="00C77F5B">
      <w:pPr>
        <w:pStyle w:val="SingleTxtG"/>
        <w:rPr>
          <w:lang w:val="es-ES"/>
        </w:rPr>
      </w:pPr>
      <w:r>
        <w:rPr>
          <w:lang w:val="es-ES"/>
        </w:rPr>
        <w:tab/>
        <w:t>b)</w:t>
      </w:r>
      <w:r>
        <w:rPr>
          <w:lang w:val="es-ES"/>
        </w:rPr>
        <w:tab/>
        <w:t>Se cierra una acción urgente cuando la persona desaparecida ha sido localizada en libertad o localizada y puesta en libertad, o ha sido encontrada muerta, siempre que los familiares y/o los autores no impugnen estos hechos;</w:t>
      </w:r>
    </w:p>
    <w:p w14:paraId="5DDA65F5" w14:textId="77777777" w:rsidR="00C77F5B" w:rsidRPr="00C0426D" w:rsidRDefault="00C77F5B" w:rsidP="00C77F5B">
      <w:pPr>
        <w:pStyle w:val="SingleTxtG"/>
        <w:rPr>
          <w:lang w:val="es-ES"/>
        </w:rPr>
      </w:pPr>
      <w:r>
        <w:rPr>
          <w:lang w:val="es-ES"/>
        </w:rPr>
        <w:tab/>
        <w:t>c)</w:t>
      </w:r>
      <w:r>
        <w:rPr>
          <w:lang w:val="es-ES"/>
        </w:rPr>
        <w:tab/>
        <w:t>Se mantiene abierta una acción urgente cuando la persona desaparecida ha sido localizada, pero las personas a favor de las cuales se otorgaron medidas cautelares en el contexto de la acción urgente siguen estando amenazadas. En estos casos, la intervención del Comité se limita al seguimiento de las medidas cautelares adoptadas.</w:t>
      </w:r>
    </w:p>
    <w:p w14:paraId="1E865BD8" w14:textId="77777777" w:rsidR="00C77F5B" w:rsidRPr="00C0426D" w:rsidRDefault="00C77F5B" w:rsidP="00C77F5B">
      <w:pPr>
        <w:pStyle w:val="SingleTxtG"/>
        <w:rPr>
          <w:lang w:val="es-ES"/>
        </w:rPr>
      </w:pPr>
      <w:r>
        <w:rPr>
          <w:lang w:val="es-ES"/>
        </w:rPr>
        <w:lastRenderedPageBreak/>
        <w:t>59.</w:t>
      </w:r>
      <w:r>
        <w:rPr>
          <w:lang w:val="es-ES"/>
        </w:rPr>
        <w:tab/>
        <w:t>Cuando se redactó el presente informe, el Comité había cerrado 52 acciones urgentes: en 29 de ellas, la persona desaparecida había sido localizada con vida y puesta en libertad, y en 23 casos las personas desaparecidas habían sido localizadas sin vida.</w:t>
      </w:r>
    </w:p>
    <w:p w14:paraId="237E4044" w14:textId="77777777" w:rsidR="00C77F5B" w:rsidRPr="00C0426D" w:rsidRDefault="00C77F5B" w:rsidP="00C77F5B">
      <w:pPr>
        <w:pStyle w:val="SingleTxtG"/>
        <w:rPr>
          <w:lang w:val="es-ES"/>
        </w:rPr>
      </w:pPr>
      <w:r>
        <w:rPr>
          <w:lang w:val="es-ES"/>
        </w:rPr>
        <w:t>60.</w:t>
      </w:r>
      <w:r>
        <w:rPr>
          <w:lang w:val="es-ES"/>
        </w:rPr>
        <w:tab/>
        <w:t>Además, el Comité había dejado en suspenso 13 acciones urgentes porque las personas desaparecidas habían sido localizadas, aunque seguían privadas de libertad.</w:t>
      </w:r>
    </w:p>
    <w:p w14:paraId="3D743F87" w14:textId="77777777" w:rsidR="00C77F5B" w:rsidRPr="00C0426D" w:rsidRDefault="00C77F5B" w:rsidP="00C77F5B">
      <w:pPr>
        <w:pStyle w:val="SingleTxtG"/>
        <w:rPr>
          <w:lang w:val="es-ES"/>
        </w:rPr>
      </w:pPr>
      <w:r>
        <w:rPr>
          <w:lang w:val="es-ES"/>
        </w:rPr>
        <w:t>61.</w:t>
      </w:r>
      <w:r>
        <w:rPr>
          <w:lang w:val="es-ES"/>
        </w:rPr>
        <w:tab/>
        <w:t>En dos acciones urgentes, se había determinado que las personas desaparecidas habían sido encontradas sin vida, pero la acción urgente se mantuvo abierta porque las personas a favor de las cuales se habían concedido medidas cautelares seguían estando amenazadas.</w:t>
      </w:r>
    </w:p>
    <w:p w14:paraId="2FB5FB2E" w14:textId="77777777" w:rsidR="00C77F5B" w:rsidRPr="00C0426D" w:rsidRDefault="00C77F5B" w:rsidP="00C77F5B">
      <w:pPr>
        <w:pStyle w:val="SingleTxtG"/>
        <w:rPr>
          <w:lang w:val="es-ES"/>
        </w:rPr>
      </w:pPr>
      <w:bookmarkStart w:id="147" w:name="_Toc522200477"/>
      <w:r>
        <w:rPr>
          <w:lang w:val="es-ES"/>
        </w:rPr>
        <w:t>62.</w:t>
      </w:r>
      <w:r>
        <w:rPr>
          <w:lang w:val="es-ES"/>
        </w:rPr>
        <w:tab/>
        <w:t>En una de las acciones urgentes, la autora informó de que se habían localizado algunos restos mortales de su esposo. No obstante, dijo que no estaba conforme, ya que las autoridades habían estimado, en contra de su criterio, que no era necesario seguir con la búsqueda de los demás restos. El Comité recuerda que, de conformidad con el principio 7 de los principios rectores para la búsqueda de personas desaparecidas, cuando solamente se hayan encontrado e identificado restos mortales parciales, la decisión sobre continuar la búsqueda para ubicar e identificar los demás restos desaparecidos debe considerar las posibilidades reales de identificar más restos y las necesidades expresadas por los familiares en el marco de sus normas culturales funerarias. La decisión de no continuar la búsqueda debe tomarse de manera transparente y contar con el consentimiento previo e informado de los familiares. Por tanto, el Comité decidió mantener abierta la acción urgente.</w:t>
      </w:r>
    </w:p>
    <w:p w14:paraId="7371E515" w14:textId="77777777" w:rsidR="00C77F5B" w:rsidRPr="00C0426D" w:rsidRDefault="00174B1B" w:rsidP="00174B1B">
      <w:pPr>
        <w:pStyle w:val="H1G"/>
        <w:rPr>
          <w:lang w:val="es-ES"/>
        </w:rPr>
      </w:pPr>
      <w:r>
        <w:rPr>
          <w:lang w:val="es-ES"/>
        </w:rPr>
        <w:tab/>
      </w:r>
      <w:r w:rsidR="00C77F5B">
        <w:rPr>
          <w:lang w:val="es-ES"/>
        </w:rPr>
        <w:t>D.</w:t>
      </w:r>
      <w:r w:rsidR="00C77F5B">
        <w:rPr>
          <w:lang w:val="es-ES"/>
        </w:rPr>
        <w:tab/>
        <w:t>Decisiones adoptadas por el Comité en sus períodos de sesiones 17º y</w:t>
      </w:r>
      <w:r>
        <w:rPr>
          <w:lang w:val="es-ES"/>
        </w:rPr>
        <w:t> </w:t>
      </w:r>
      <w:r w:rsidR="00C77F5B">
        <w:rPr>
          <w:lang w:val="es-ES"/>
        </w:rPr>
        <w:t>18º</w:t>
      </w:r>
      <w:bookmarkStart w:id="148" w:name="_Toc43905495"/>
      <w:bookmarkStart w:id="149" w:name="_Toc43906576"/>
      <w:bookmarkStart w:id="150" w:name="_Toc43996447"/>
      <w:bookmarkEnd w:id="147"/>
      <w:bookmarkEnd w:id="148"/>
      <w:bookmarkEnd w:id="149"/>
      <w:bookmarkEnd w:id="150"/>
    </w:p>
    <w:p w14:paraId="736E3A81" w14:textId="77777777" w:rsidR="00C77F5B" w:rsidRPr="00C0426D" w:rsidRDefault="00C77F5B" w:rsidP="00C77F5B">
      <w:pPr>
        <w:pStyle w:val="SingleTxtG"/>
        <w:rPr>
          <w:lang w:val="es-ES"/>
        </w:rPr>
      </w:pPr>
      <w:r>
        <w:rPr>
          <w:lang w:val="es-ES"/>
        </w:rPr>
        <w:t>63.</w:t>
      </w:r>
      <w:r>
        <w:rPr>
          <w:lang w:val="es-ES"/>
        </w:rPr>
        <w:tab/>
        <w:t>El Comité reitera que, habida cuenta del aumento en el número de peticiones de acción urgente que se han registrado, es perentorio que, en la secretaría del ACNUDH, haya más personal que se ocupe de tramitar esas solicitudes.</w:t>
      </w:r>
    </w:p>
    <w:p w14:paraId="66C76C02" w14:textId="77777777" w:rsidR="00C77F5B" w:rsidRPr="00C0426D" w:rsidRDefault="00C77F5B" w:rsidP="00C77F5B">
      <w:pPr>
        <w:pStyle w:val="SingleTxtG"/>
        <w:rPr>
          <w:lang w:val="es-ES"/>
        </w:rPr>
      </w:pPr>
      <w:r>
        <w:rPr>
          <w:lang w:val="es-ES"/>
        </w:rPr>
        <w:t>64.</w:t>
      </w:r>
      <w:r>
        <w:rPr>
          <w:lang w:val="es-ES"/>
        </w:rPr>
        <w:tab/>
        <w:t>En su 17º período de sesiones, el Comité confirmó la composición de su grupo de trabajo sobre acciones urgentes y recordó que la división del trabajo entre sus miembros se hacía en función del contenido de la petición de acción urgente. La secretaría recordó los métodos de trabajo del Comité en relación a las acciones urgentes, que fueron confirmados en sesión plenaria.</w:t>
      </w:r>
    </w:p>
    <w:p w14:paraId="0B878064" w14:textId="77777777" w:rsidR="00C77F5B" w:rsidRPr="00C0426D" w:rsidRDefault="00C77F5B" w:rsidP="00C77F5B">
      <w:pPr>
        <w:pStyle w:val="SingleTxtG"/>
        <w:rPr>
          <w:lang w:val="es-ES"/>
        </w:rPr>
      </w:pPr>
      <w:r>
        <w:rPr>
          <w:lang w:val="es-ES"/>
        </w:rPr>
        <w:t>65.</w:t>
      </w:r>
      <w:r>
        <w:rPr>
          <w:lang w:val="es-ES"/>
        </w:rPr>
        <w:tab/>
        <w:t>El Comité confirmó que, siempre que fuera necesario, se haría referencia a la obligación que tienen los Estados partes, sin perjuicio de la obligación de continuar con la investigación hasta establecer la suerte de la persona desaparecida, de adoptar las disposiciones apropiadas en relación con la situación legal de las personas desaparecidas cuya suerte no haya sido esclarecida y de sus allegados, en ámbitos tales como la protección social, las cuestiones económicas, el derecho de familia y los derechos de propiedad. En muchos casos de desaparición forzada, el apoyo económico y social es fundamental para que los familiares y allegados de la persona desaparecida puedan participar en los procesos de búsqueda e investigación.</w:t>
      </w:r>
    </w:p>
    <w:p w14:paraId="685532E0" w14:textId="77777777" w:rsidR="00C77F5B" w:rsidRPr="00C0426D" w:rsidRDefault="00C77F5B" w:rsidP="00C77F5B">
      <w:pPr>
        <w:pStyle w:val="SingleTxtG"/>
        <w:rPr>
          <w:lang w:val="es-ES"/>
        </w:rPr>
      </w:pPr>
      <w:r>
        <w:rPr>
          <w:lang w:val="es-ES"/>
        </w:rPr>
        <w:t>66.</w:t>
      </w:r>
      <w:r>
        <w:rPr>
          <w:lang w:val="es-ES"/>
        </w:rPr>
        <w:tab/>
        <w:t>El Comité decidió examinar un proyecto de revisión del formato para la presentación de peticiones de acción urgente, que prepararía la secretaría en colaboración con el grupo de trabajo sobre medidas urgentes, teniendo en cuenta la experiencia adquirida desde que el procedimiento entró en funcionamiento.</w:t>
      </w:r>
    </w:p>
    <w:p w14:paraId="278D9E35" w14:textId="77777777" w:rsidR="00C77F5B" w:rsidRPr="00C0426D" w:rsidRDefault="00C77F5B" w:rsidP="00C77F5B">
      <w:pPr>
        <w:pStyle w:val="SingleTxtG"/>
        <w:rPr>
          <w:lang w:val="es-ES"/>
        </w:rPr>
      </w:pPr>
      <w:r>
        <w:rPr>
          <w:lang w:val="es-ES"/>
        </w:rPr>
        <w:t>67.</w:t>
      </w:r>
      <w:r>
        <w:rPr>
          <w:lang w:val="es-ES"/>
        </w:rPr>
        <w:tab/>
        <w:t>En su 18º período de sesiones</w:t>
      </w:r>
      <w:r w:rsidRPr="001A047D">
        <w:rPr>
          <w:rStyle w:val="FootnoteReference"/>
          <w:lang w:val="es-ES"/>
        </w:rPr>
        <w:footnoteReference w:id="6"/>
      </w:r>
      <w:r>
        <w:rPr>
          <w:lang w:val="es-ES"/>
        </w:rPr>
        <w:t>, y habida cuenta de la necesidad de examinar diversas cuestiones planteadas en el contexto del procedimiento de acción urgente durante el período abarcado por el informe y de la imposibilidad de hacerlo por correo electrónico, el Comité decidió aplazar el examen de su informe sobre las peticiones de acción urgente hasta su 19º período de sesiones.</w:t>
      </w:r>
    </w:p>
    <w:p w14:paraId="7EFB2121" w14:textId="77777777" w:rsidR="00C77F5B" w:rsidRPr="00C0426D" w:rsidRDefault="00C77F5B" w:rsidP="00174B1B">
      <w:pPr>
        <w:pStyle w:val="HChG"/>
        <w:rPr>
          <w:lang w:val="es-ES"/>
        </w:rPr>
      </w:pPr>
      <w:r w:rsidRPr="00C0426D">
        <w:rPr>
          <w:lang w:val="es-ES"/>
        </w:rPr>
        <w:br w:type="page"/>
      </w:r>
      <w:bookmarkEnd w:id="107"/>
      <w:r>
        <w:rPr>
          <w:lang w:val="es-ES"/>
        </w:rPr>
        <w:lastRenderedPageBreak/>
        <w:tab/>
      </w:r>
      <w:r>
        <w:rPr>
          <w:lang w:val="es-ES"/>
        </w:rPr>
        <w:tab/>
        <w:t xml:space="preserve">Capítulo XI </w:t>
      </w:r>
      <w:r w:rsidR="00174B1B">
        <w:rPr>
          <w:lang w:val="es-ES"/>
        </w:rPr>
        <w:br/>
      </w:r>
      <w:r>
        <w:rPr>
          <w:bCs/>
          <w:lang w:val="es-ES"/>
        </w:rPr>
        <w:t>Procedimiento relativo a las comunicaciones en virtud del</w:t>
      </w:r>
      <w:r w:rsidR="00174B1B">
        <w:rPr>
          <w:bCs/>
          <w:lang w:val="es-ES"/>
        </w:rPr>
        <w:t> </w:t>
      </w:r>
      <w:r>
        <w:rPr>
          <w:bCs/>
          <w:lang w:val="es-ES"/>
        </w:rPr>
        <w:t>artículo 31 de la Convención</w:t>
      </w:r>
      <w:bookmarkStart w:id="151" w:name="_Toc460489559"/>
      <w:bookmarkStart w:id="152" w:name="_Toc522200478"/>
      <w:bookmarkStart w:id="153" w:name="_Toc43905496"/>
      <w:bookmarkStart w:id="154" w:name="_Toc43906577"/>
      <w:bookmarkStart w:id="155" w:name="_Toc43996448"/>
      <w:bookmarkEnd w:id="151"/>
      <w:bookmarkEnd w:id="152"/>
      <w:bookmarkEnd w:id="153"/>
      <w:bookmarkEnd w:id="154"/>
      <w:bookmarkEnd w:id="155"/>
    </w:p>
    <w:p w14:paraId="0332F2F1" w14:textId="77777777" w:rsidR="00C77F5B" w:rsidRPr="00C0426D" w:rsidRDefault="00C77F5B" w:rsidP="00C77F5B">
      <w:pPr>
        <w:pStyle w:val="SingleTxtG"/>
        <w:rPr>
          <w:lang w:val="es-ES"/>
        </w:rPr>
      </w:pPr>
      <w:r>
        <w:rPr>
          <w:lang w:val="es-ES"/>
        </w:rPr>
        <w:t>68.</w:t>
      </w:r>
      <w:r>
        <w:rPr>
          <w:lang w:val="es-ES"/>
        </w:rPr>
        <w:tab/>
        <w:t>En el período que abarca el presente informe, el Comité no ha registrado ninguna nueva denuncia individual.</w:t>
      </w:r>
    </w:p>
    <w:p w14:paraId="549EB615" w14:textId="77777777" w:rsidR="00C77F5B" w:rsidRPr="00C0426D" w:rsidRDefault="00C77F5B" w:rsidP="00C77F5B">
      <w:pPr>
        <w:pStyle w:val="SingleTxtG"/>
        <w:rPr>
          <w:lang w:val="es-ES"/>
        </w:rPr>
      </w:pPr>
      <w:r>
        <w:rPr>
          <w:lang w:val="es-ES"/>
        </w:rPr>
        <w:t>69.</w:t>
      </w:r>
      <w:r>
        <w:rPr>
          <w:lang w:val="es-ES"/>
        </w:rPr>
        <w:tab/>
        <w:t xml:space="preserve">En lo que respecta al caso </w:t>
      </w:r>
      <w:r>
        <w:rPr>
          <w:i/>
          <w:iCs/>
          <w:lang w:val="es-ES"/>
        </w:rPr>
        <w:t>Yrusta y Del Valle Yrusta c. la Argentina</w:t>
      </w:r>
      <w:r>
        <w:rPr>
          <w:lang w:val="es-ES"/>
        </w:rPr>
        <w:t>, el Comité recibió del Estado parte información de seguimiento adicional y la transmitió al autor para que formulara observaciones. El Comité analizará la información facilitada cuando reciba todas las aportaciones pertinentes. Así pues, el procedimiento de seguimiento sigue abierto.</w:t>
      </w:r>
    </w:p>
    <w:p w14:paraId="67BC15C0" w14:textId="77777777" w:rsidR="00C77F5B" w:rsidRPr="00C0426D" w:rsidRDefault="00C77F5B" w:rsidP="00174B1B">
      <w:pPr>
        <w:pStyle w:val="HChG"/>
        <w:rPr>
          <w:lang w:val="es-ES"/>
        </w:rPr>
      </w:pPr>
      <w:r w:rsidRPr="00C0426D">
        <w:rPr>
          <w:lang w:val="es-ES"/>
        </w:rPr>
        <w:br w:type="page"/>
      </w:r>
      <w:r>
        <w:rPr>
          <w:lang w:val="es-ES"/>
        </w:rPr>
        <w:lastRenderedPageBreak/>
        <w:tab/>
      </w:r>
      <w:r>
        <w:rPr>
          <w:lang w:val="es-ES"/>
        </w:rPr>
        <w:tab/>
        <w:t xml:space="preserve">Capítulo XII </w:t>
      </w:r>
      <w:r w:rsidR="00174B1B">
        <w:rPr>
          <w:lang w:val="es-ES"/>
        </w:rPr>
        <w:br/>
      </w:r>
      <w:r>
        <w:rPr>
          <w:bCs/>
          <w:lang w:val="es-ES"/>
        </w:rPr>
        <w:t>Visitas en virtud del artículo 33 de la Convención</w:t>
      </w:r>
      <w:bookmarkStart w:id="156" w:name="_Toc460489560"/>
      <w:bookmarkStart w:id="157" w:name="_Toc522200479"/>
      <w:bookmarkStart w:id="158" w:name="_Toc43905497"/>
      <w:bookmarkStart w:id="159" w:name="_Toc43906578"/>
      <w:bookmarkStart w:id="160" w:name="_Toc43996449"/>
      <w:bookmarkEnd w:id="156"/>
      <w:bookmarkEnd w:id="157"/>
      <w:bookmarkEnd w:id="158"/>
      <w:bookmarkEnd w:id="159"/>
      <w:bookmarkEnd w:id="160"/>
    </w:p>
    <w:p w14:paraId="359B5A97" w14:textId="77777777" w:rsidR="00C77F5B" w:rsidRPr="00C0426D" w:rsidRDefault="00C77F5B" w:rsidP="00C77F5B">
      <w:pPr>
        <w:pStyle w:val="SingleTxtG"/>
        <w:rPr>
          <w:lang w:val="es-ES"/>
        </w:rPr>
      </w:pPr>
      <w:bookmarkStart w:id="161" w:name="_Toc326162655"/>
      <w:bookmarkStart w:id="162" w:name="_Toc326220770"/>
      <w:r>
        <w:rPr>
          <w:lang w:val="es-ES"/>
        </w:rPr>
        <w:t>70.</w:t>
      </w:r>
      <w:r>
        <w:rPr>
          <w:lang w:val="es-ES"/>
        </w:rPr>
        <w:tab/>
        <w:t>Desde 2013, el Comité ha venido solicitando una visita a México en virtud del artículo 33 de la Convención. En una conferencia de prensa celebrada el 30 de agosto de 2019, el Subsecretario de Derechos Humanos de la Secretaría de Gobernación anunció varias medidas con arreglo a las instrucciones del Presidente de México, entre ellas el reconocimiento de la competencia del Comité para conocer de casos individuales y la aceptación de la solicitud del Comité para visitar el país. El Comité envió un recordatorio al Estado parte el 25 de septiembre de 2018.</w:t>
      </w:r>
    </w:p>
    <w:p w14:paraId="23EF25A7" w14:textId="77777777" w:rsidR="00C77F5B" w:rsidRPr="00C0426D" w:rsidRDefault="00C77F5B" w:rsidP="00C77F5B">
      <w:pPr>
        <w:pStyle w:val="SingleTxtG"/>
        <w:rPr>
          <w:lang w:val="es-ES"/>
        </w:rPr>
      </w:pPr>
      <w:r>
        <w:rPr>
          <w:lang w:val="es-ES"/>
        </w:rPr>
        <w:t>71.</w:t>
      </w:r>
      <w:r>
        <w:rPr>
          <w:lang w:val="es-ES"/>
        </w:rPr>
        <w:tab/>
        <w:t>En una nota al Estado parte de fecha 18 de diciembre de 2019, el Comité recordó que el 17 de octubre de 2019, en el contexto del examen del sexto informe periódico presentado por México al Comité de Derechos Humanos, la delegación del Estado parte había informado de que el Presidente de México había ordenado recientemente a las instituciones del Gobierno Federal que aceptaran la competencia del Comité en lo que respecta a la recepción de comunicaciones individuales y que invitaran al Comité a visitar México en agosto de 2020 (</w:t>
      </w:r>
      <w:hyperlink r:id="rId50" w:history="1">
        <w:r w:rsidRPr="004655E8">
          <w:rPr>
            <w:rStyle w:val="Hyperlink"/>
            <w:u w:val="none"/>
            <w:lang w:val="es-ES"/>
          </w:rPr>
          <w:t>CCPR/C/SR.3654</w:t>
        </w:r>
      </w:hyperlink>
      <w:r>
        <w:rPr>
          <w:lang w:val="es-ES"/>
        </w:rPr>
        <w:t>, párr. 63). Por consiguiente, en la nota, el Comité pidió información al Estado parte sobre la aplicación de esas medidas y lo invitó a que nombrara un coordinador que permitiera al Comité y a su secretaría hacer los arreglos necesarios en cuanto a la logística, las modalidades y el programa de la visita que, al parecer, está prevista para agosto de 2020. Hasta la fecha del presente informe, la Comisión no había recibido respuesta a esa nota.</w:t>
      </w:r>
    </w:p>
    <w:p w14:paraId="2884467F" w14:textId="77777777" w:rsidR="00C77F5B" w:rsidRPr="00C0426D" w:rsidRDefault="00C77F5B" w:rsidP="00174B1B">
      <w:pPr>
        <w:pStyle w:val="HChG"/>
        <w:rPr>
          <w:lang w:val="es-ES"/>
        </w:rPr>
      </w:pPr>
      <w:r w:rsidRPr="00C0426D">
        <w:rPr>
          <w:lang w:val="es-ES"/>
        </w:rPr>
        <w:br w:type="page"/>
      </w:r>
      <w:r w:rsidR="00174B1B">
        <w:rPr>
          <w:lang w:val="es-ES"/>
        </w:rPr>
        <w:lastRenderedPageBreak/>
        <w:tab/>
      </w:r>
      <w:r>
        <w:rPr>
          <w:lang w:val="es-ES"/>
        </w:rPr>
        <w:tab/>
        <w:t xml:space="preserve">Capítulo XIII </w:t>
      </w:r>
      <w:r w:rsidR="00174B1B">
        <w:rPr>
          <w:lang w:val="es-ES"/>
        </w:rPr>
        <w:br/>
      </w:r>
      <w:r>
        <w:rPr>
          <w:bCs/>
          <w:lang w:val="es-ES"/>
        </w:rPr>
        <w:t>Principios rectores para la búsqueda de personas desaparecidas</w:t>
      </w:r>
      <w:bookmarkStart w:id="163" w:name="_Toc43905498"/>
      <w:bookmarkStart w:id="164" w:name="_Toc43906579"/>
      <w:bookmarkStart w:id="165" w:name="_Toc43996450"/>
      <w:bookmarkEnd w:id="163"/>
      <w:bookmarkEnd w:id="164"/>
      <w:bookmarkEnd w:id="165"/>
    </w:p>
    <w:p w14:paraId="75912CE8" w14:textId="77777777" w:rsidR="00C77F5B" w:rsidRPr="00C0426D" w:rsidRDefault="00C77F5B" w:rsidP="00C77F5B">
      <w:pPr>
        <w:pStyle w:val="SingleTxtG"/>
        <w:rPr>
          <w:lang w:val="es-ES"/>
        </w:rPr>
      </w:pPr>
      <w:r>
        <w:rPr>
          <w:lang w:val="es-ES"/>
        </w:rPr>
        <w:t>72.</w:t>
      </w:r>
      <w:r>
        <w:rPr>
          <w:lang w:val="es-ES"/>
        </w:rPr>
        <w:tab/>
        <w:t>En septiembre de 2019, el Comité Internacional de la Cruz Roja y la Fundación Suiza para la Paz organizaron un taller de dos días en Ammán, en el que expertos y profesionales de diferentes regiones examinaron el camino a seguir para la difusión y aplicación de los principios rectores para la búsqueda de personas desaparecidas. Dos miembros del Comité participaron en el taller.</w:t>
      </w:r>
    </w:p>
    <w:p w14:paraId="5D74B804" w14:textId="77777777" w:rsidR="00C77F5B" w:rsidRPr="00C0426D" w:rsidRDefault="00C77F5B" w:rsidP="00C77F5B">
      <w:pPr>
        <w:pStyle w:val="SingleTxtG"/>
        <w:rPr>
          <w:lang w:val="es-ES"/>
        </w:rPr>
      </w:pPr>
      <w:r>
        <w:rPr>
          <w:lang w:val="es-ES"/>
        </w:rPr>
        <w:t>73.</w:t>
      </w:r>
      <w:r>
        <w:rPr>
          <w:lang w:val="es-ES"/>
        </w:rPr>
        <w:tab/>
        <w:t>En su 17º período de sesiones, el Comité mantuvo una reunión de carácter privado con la Fundación Suiza para la Paz en relación con los resultados y el seguimiento del taller. En marzo de 2020, un miembro del Comité y un miembro de su secretaría participaron en una actividad de seguimiento organizada por la Fundación Suiza para la Paz sobre estrategias para promover la coordinación entre la búsqueda de personas desaparecidas y la investigación de su desaparición.</w:t>
      </w:r>
    </w:p>
    <w:p w14:paraId="61C4557B" w14:textId="77777777" w:rsidR="00C77F5B" w:rsidRPr="00C0426D" w:rsidRDefault="00C77F5B" w:rsidP="00C77F5B">
      <w:pPr>
        <w:pStyle w:val="SingleTxtG"/>
        <w:rPr>
          <w:lang w:val="es-ES"/>
        </w:rPr>
      </w:pPr>
      <w:r>
        <w:rPr>
          <w:lang w:val="es-ES"/>
        </w:rPr>
        <w:t>74.</w:t>
      </w:r>
      <w:r>
        <w:rPr>
          <w:lang w:val="es-ES"/>
        </w:rPr>
        <w:tab/>
        <w:t>Los principios rectores se han traducido al alemán y al nepalés. La Oficina del ACNUDH en México publicó una versión ilustrada de los principios rectores en español. El Comité está tratando de difundir los principios rectores mediante la inclusión de referencias a ellos en sus recomendaciones en el contexto de su procedimiento de acción urgente.</w:t>
      </w:r>
      <w:bookmarkStart w:id="166" w:name="_Toc326162663"/>
      <w:bookmarkStart w:id="167" w:name="_Toc326220778"/>
      <w:bookmarkStart w:id="168" w:name="_Toc460489561"/>
      <w:bookmarkEnd w:id="161"/>
      <w:bookmarkEnd w:id="162"/>
    </w:p>
    <w:p w14:paraId="44103C54" w14:textId="77777777" w:rsidR="00C77F5B" w:rsidRPr="00C0426D" w:rsidRDefault="00C77F5B" w:rsidP="00174B1B">
      <w:pPr>
        <w:pStyle w:val="HChG"/>
        <w:rPr>
          <w:lang w:val="es-ES"/>
        </w:rPr>
      </w:pPr>
      <w:r w:rsidRPr="00C0426D">
        <w:rPr>
          <w:lang w:val="es-ES"/>
        </w:rPr>
        <w:br w:type="page"/>
      </w:r>
      <w:bookmarkStart w:id="169" w:name="_Toc522200480"/>
      <w:bookmarkStart w:id="170" w:name="_Toc43905499"/>
      <w:bookmarkStart w:id="171" w:name="_Toc43906580"/>
      <w:bookmarkStart w:id="172" w:name="_Toc43996451"/>
      <w:r>
        <w:rPr>
          <w:lang w:val="es-ES"/>
        </w:rPr>
        <w:lastRenderedPageBreak/>
        <w:t>Anexo</w:t>
      </w:r>
      <w:bookmarkEnd w:id="166"/>
      <w:bookmarkEnd w:id="167"/>
      <w:bookmarkEnd w:id="168"/>
      <w:bookmarkEnd w:id="169"/>
      <w:bookmarkEnd w:id="170"/>
      <w:bookmarkEnd w:id="171"/>
      <w:bookmarkEnd w:id="172"/>
    </w:p>
    <w:p w14:paraId="3DE74AE4" w14:textId="77777777" w:rsidR="00C77F5B" w:rsidRDefault="00C77F5B" w:rsidP="00174B1B">
      <w:pPr>
        <w:pStyle w:val="HChG"/>
        <w:rPr>
          <w:lang w:val="es-ES"/>
        </w:rPr>
      </w:pPr>
      <w:bookmarkStart w:id="173" w:name="_Toc326162664"/>
      <w:bookmarkStart w:id="174" w:name="_Toc326220779"/>
      <w:bookmarkStart w:id="175" w:name="_Toc460489562"/>
      <w:bookmarkStart w:id="176" w:name="_Toc522200481"/>
      <w:r>
        <w:rPr>
          <w:lang w:val="es-ES"/>
        </w:rPr>
        <w:tab/>
      </w:r>
      <w:r>
        <w:rPr>
          <w:lang w:val="es-ES"/>
        </w:rPr>
        <w:tab/>
        <w:t>Estados partes en la Convención al 4 de mayo de 2020 y</w:t>
      </w:r>
      <w:r w:rsidR="00174B1B">
        <w:rPr>
          <w:lang w:val="es-ES"/>
        </w:rPr>
        <w:t> </w:t>
      </w:r>
      <w:r>
        <w:rPr>
          <w:lang w:val="es-ES"/>
        </w:rPr>
        <w:t>su</w:t>
      </w:r>
      <w:r w:rsidR="00174B1B">
        <w:rPr>
          <w:lang w:val="es-ES"/>
        </w:rPr>
        <w:t> </w:t>
      </w:r>
      <w:r>
        <w:rPr>
          <w:lang w:val="es-ES"/>
        </w:rPr>
        <w:t>situación en cuanto a la presentación de informes</w:t>
      </w:r>
      <w:bookmarkStart w:id="177" w:name="_Toc43905500"/>
      <w:bookmarkStart w:id="178" w:name="_Toc43906581"/>
      <w:bookmarkStart w:id="179" w:name="_Toc43996452"/>
      <w:bookmarkEnd w:id="173"/>
      <w:bookmarkEnd w:id="174"/>
      <w:bookmarkEnd w:id="175"/>
      <w:bookmarkEnd w:id="176"/>
      <w:bookmarkEnd w:id="177"/>
      <w:bookmarkEnd w:id="178"/>
      <w:bookmarkEnd w:id="179"/>
    </w:p>
    <w:tbl>
      <w:tblPr>
        <w:tblStyle w:val="TableGrid"/>
        <w:tblW w:w="9547"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44"/>
        <w:gridCol w:w="2030"/>
        <w:gridCol w:w="2072"/>
        <w:gridCol w:w="2043"/>
        <w:gridCol w:w="2058"/>
      </w:tblGrid>
      <w:tr w:rsidR="002667B2" w:rsidRPr="00174B1B" w14:paraId="40BECB60" w14:textId="77777777" w:rsidTr="002667B2">
        <w:trPr>
          <w:tblHeader/>
        </w:trPr>
        <w:tc>
          <w:tcPr>
            <w:tcW w:w="1344" w:type="dxa"/>
            <w:tcBorders>
              <w:top w:val="single" w:sz="4" w:space="0" w:color="auto"/>
              <w:bottom w:val="single" w:sz="12" w:space="0" w:color="auto"/>
            </w:tcBorders>
            <w:shd w:val="clear" w:color="auto" w:fill="auto"/>
            <w:vAlign w:val="bottom"/>
          </w:tcPr>
          <w:p w14:paraId="6D30E7A4" w14:textId="77777777" w:rsidR="00174B1B" w:rsidRPr="00174B1B" w:rsidRDefault="00174B1B" w:rsidP="00174B1B">
            <w:pPr>
              <w:spacing w:before="80" w:after="80" w:line="200" w:lineRule="exact"/>
              <w:ind w:right="113"/>
              <w:rPr>
                <w:i/>
                <w:sz w:val="16"/>
                <w:lang w:val="es-ES"/>
              </w:rPr>
            </w:pPr>
            <w:r w:rsidRPr="00174B1B">
              <w:rPr>
                <w:i/>
                <w:sz w:val="16"/>
                <w:lang w:val="es-ES"/>
              </w:rPr>
              <w:t>Estado parte (en</w:t>
            </w:r>
            <w:r w:rsidR="00974DB6">
              <w:rPr>
                <w:i/>
                <w:sz w:val="16"/>
                <w:lang w:val="es-ES"/>
              </w:rPr>
              <w:t> </w:t>
            </w:r>
            <w:r w:rsidRPr="00174B1B">
              <w:rPr>
                <w:i/>
                <w:sz w:val="16"/>
                <w:lang w:val="es-ES"/>
              </w:rPr>
              <w:t>orden de ratificación)</w:t>
            </w:r>
          </w:p>
        </w:tc>
        <w:tc>
          <w:tcPr>
            <w:tcW w:w="2030" w:type="dxa"/>
            <w:tcBorders>
              <w:top w:val="single" w:sz="4" w:space="0" w:color="auto"/>
              <w:bottom w:val="single" w:sz="12" w:space="0" w:color="auto"/>
            </w:tcBorders>
            <w:shd w:val="clear" w:color="auto" w:fill="auto"/>
            <w:vAlign w:val="bottom"/>
          </w:tcPr>
          <w:p w14:paraId="08335E1E" w14:textId="77777777" w:rsidR="00174B1B" w:rsidRPr="00174B1B" w:rsidRDefault="00174B1B" w:rsidP="00174B1B">
            <w:pPr>
              <w:spacing w:before="80" w:after="80" w:line="200" w:lineRule="exact"/>
              <w:ind w:right="113"/>
              <w:rPr>
                <w:i/>
                <w:sz w:val="16"/>
                <w:lang w:val="es-ES"/>
              </w:rPr>
            </w:pPr>
            <w:r w:rsidRPr="00174B1B">
              <w:rPr>
                <w:i/>
                <w:sz w:val="16"/>
                <w:lang w:val="es-ES"/>
              </w:rPr>
              <w:t>Ratificación/adhesión</w:t>
            </w:r>
          </w:p>
        </w:tc>
        <w:tc>
          <w:tcPr>
            <w:tcW w:w="2072" w:type="dxa"/>
            <w:tcBorders>
              <w:top w:val="single" w:sz="4" w:space="0" w:color="auto"/>
              <w:bottom w:val="single" w:sz="12" w:space="0" w:color="auto"/>
            </w:tcBorders>
            <w:shd w:val="clear" w:color="auto" w:fill="auto"/>
            <w:vAlign w:val="bottom"/>
          </w:tcPr>
          <w:p w14:paraId="35AE48CA" w14:textId="77777777" w:rsidR="00174B1B" w:rsidRPr="00174B1B" w:rsidRDefault="00174B1B" w:rsidP="00174B1B">
            <w:pPr>
              <w:spacing w:before="80" w:after="80" w:line="200" w:lineRule="exact"/>
              <w:ind w:right="113"/>
              <w:rPr>
                <w:i/>
                <w:sz w:val="16"/>
                <w:lang w:val="es-ES"/>
              </w:rPr>
            </w:pPr>
            <w:r w:rsidRPr="00174B1B">
              <w:rPr>
                <w:i/>
                <w:sz w:val="16"/>
                <w:lang w:val="es-ES"/>
              </w:rPr>
              <w:t>Entrada en vigor</w:t>
            </w:r>
          </w:p>
        </w:tc>
        <w:tc>
          <w:tcPr>
            <w:tcW w:w="2043" w:type="dxa"/>
            <w:tcBorders>
              <w:top w:val="single" w:sz="4" w:space="0" w:color="auto"/>
              <w:bottom w:val="single" w:sz="12" w:space="0" w:color="auto"/>
            </w:tcBorders>
            <w:shd w:val="clear" w:color="auto" w:fill="auto"/>
            <w:vAlign w:val="bottom"/>
          </w:tcPr>
          <w:p w14:paraId="7A2B4772" w14:textId="77777777" w:rsidR="00174B1B" w:rsidRPr="00174B1B" w:rsidRDefault="00174B1B" w:rsidP="00174B1B">
            <w:pPr>
              <w:spacing w:before="80" w:after="80" w:line="200" w:lineRule="exact"/>
              <w:ind w:right="113"/>
              <w:rPr>
                <w:i/>
                <w:sz w:val="16"/>
                <w:lang w:val="es-ES"/>
              </w:rPr>
            </w:pPr>
            <w:r w:rsidRPr="00174B1B">
              <w:rPr>
                <w:i/>
                <w:sz w:val="16"/>
                <w:lang w:val="es-ES"/>
              </w:rPr>
              <w:t>Plazo para la presentación de informes en virtud del artículo 29, párrafo 1</w:t>
            </w:r>
          </w:p>
        </w:tc>
        <w:tc>
          <w:tcPr>
            <w:tcW w:w="2058" w:type="dxa"/>
            <w:tcBorders>
              <w:top w:val="single" w:sz="4" w:space="0" w:color="auto"/>
              <w:bottom w:val="single" w:sz="12" w:space="0" w:color="auto"/>
            </w:tcBorders>
            <w:shd w:val="clear" w:color="auto" w:fill="auto"/>
            <w:vAlign w:val="bottom"/>
          </w:tcPr>
          <w:p w14:paraId="6960C6FD" w14:textId="77777777" w:rsidR="00174B1B" w:rsidRPr="00174B1B" w:rsidRDefault="00174B1B" w:rsidP="00174B1B">
            <w:pPr>
              <w:spacing w:before="80" w:after="80" w:line="200" w:lineRule="exact"/>
              <w:ind w:right="113"/>
              <w:rPr>
                <w:i/>
                <w:sz w:val="16"/>
                <w:lang w:val="es-ES"/>
              </w:rPr>
            </w:pPr>
            <w:r w:rsidRPr="00174B1B">
              <w:rPr>
                <w:i/>
                <w:sz w:val="16"/>
                <w:lang w:val="es-ES"/>
              </w:rPr>
              <w:t>Informe presentado</w:t>
            </w:r>
          </w:p>
        </w:tc>
      </w:tr>
      <w:tr w:rsidR="002667B2" w14:paraId="38A928C4" w14:textId="77777777" w:rsidTr="002667B2">
        <w:trPr>
          <w:trHeight w:hRule="exact" w:val="113"/>
          <w:tblHeader/>
        </w:trPr>
        <w:tc>
          <w:tcPr>
            <w:tcW w:w="1344" w:type="dxa"/>
            <w:tcBorders>
              <w:top w:val="single" w:sz="12" w:space="0" w:color="auto"/>
            </w:tcBorders>
            <w:shd w:val="clear" w:color="auto" w:fill="auto"/>
          </w:tcPr>
          <w:p w14:paraId="728CF831" w14:textId="77777777" w:rsidR="00174B1B" w:rsidRDefault="00174B1B" w:rsidP="00174B1B">
            <w:pPr>
              <w:suppressAutoHyphens w:val="0"/>
              <w:spacing w:before="40" w:after="120"/>
              <w:ind w:right="113"/>
              <w:rPr>
                <w:lang w:val="es-ES"/>
              </w:rPr>
            </w:pPr>
          </w:p>
        </w:tc>
        <w:tc>
          <w:tcPr>
            <w:tcW w:w="2030" w:type="dxa"/>
            <w:tcBorders>
              <w:top w:val="single" w:sz="12" w:space="0" w:color="auto"/>
            </w:tcBorders>
            <w:shd w:val="clear" w:color="auto" w:fill="auto"/>
          </w:tcPr>
          <w:p w14:paraId="251A533C" w14:textId="77777777" w:rsidR="00174B1B" w:rsidRDefault="00174B1B" w:rsidP="00174B1B">
            <w:pPr>
              <w:suppressAutoHyphens w:val="0"/>
              <w:spacing w:before="40" w:after="120"/>
              <w:ind w:right="113"/>
              <w:rPr>
                <w:lang w:val="es-ES"/>
              </w:rPr>
            </w:pPr>
          </w:p>
        </w:tc>
        <w:tc>
          <w:tcPr>
            <w:tcW w:w="2072" w:type="dxa"/>
            <w:tcBorders>
              <w:top w:val="single" w:sz="12" w:space="0" w:color="auto"/>
            </w:tcBorders>
            <w:shd w:val="clear" w:color="auto" w:fill="auto"/>
          </w:tcPr>
          <w:p w14:paraId="7DF7D9C5" w14:textId="77777777" w:rsidR="00174B1B" w:rsidRDefault="00174B1B" w:rsidP="00174B1B">
            <w:pPr>
              <w:suppressAutoHyphens w:val="0"/>
              <w:spacing w:before="40" w:after="120"/>
              <w:ind w:right="113"/>
              <w:rPr>
                <w:lang w:val="es-ES"/>
              </w:rPr>
            </w:pPr>
          </w:p>
        </w:tc>
        <w:tc>
          <w:tcPr>
            <w:tcW w:w="2043" w:type="dxa"/>
            <w:tcBorders>
              <w:top w:val="single" w:sz="12" w:space="0" w:color="auto"/>
            </w:tcBorders>
            <w:shd w:val="clear" w:color="auto" w:fill="auto"/>
          </w:tcPr>
          <w:p w14:paraId="286A4484" w14:textId="77777777" w:rsidR="00174B1B" w:rsidRDefault="00174B1B" w:rsidP="00174B1B">
            <w:pPr>
              <w:suppressAutoHyphens w:val="0"/>
              <w:spacing w:before="40" w:after="120"/>
              <w:ind w:right="113"/>
              <w:rPr>
                <w:lang w:val="es-ES"/>
              </w:rPr>
            </w:pPr>
          </w:p>
        </w:tc>
        <w:tc>
          <w:tcPr>
            <w:tcW w:w="2058" w:type="dxa"/>
            <w:tcBorders>
              <w:top w:val="single" w:sz="12" w:space="0" w:color="auto"/>
            </w:tcBorders>
            <w:shd w:val="clear" w:color="auto" w:fill="auto"/>
          </w:tcPr>
          <w:p w14:paraId="0FD34FCD" w14:textId="77777777" w:rsidR="00174B1B" w:rsidRDefault="00174B1B" w:rsidP="00174B1B">
            <w:pPr>
              <w:suppressAutoHyphens w:val="0"/>
              <w:spacing w:before="40" w:after="120"/>
              <w:ind w:right="113"/>
              <w:rPr>
                <w:lang w:val="es-ES"/>
              </w:rPr>
            </w:pPr>
          </w:p>
        </w:tc>
      </w:tr>
      <w:tr w:rsidR="002667B2" w14:paraId="3FA03C40" w14:textId="77777777" w:rsidTr="002667B2">
        <w:tc>
          <w:tcPr>
            <w:tcW w:w="1344" w:type="dxa"/>
            <w:shd w:val="clear" w:color="auto" w:fill="auto"/>
          </w:tcPr>
          <w:p w14:paraId="4C8DB102"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Albania</w:t>
            </w:r>
            <w:r w:rsidRPr="00174B1B">
              <w:rPr>
                <w:sz w:val="18"/>
                <w:szCs w:val="18"/>
                <w:lang w:val="es-ES"/>
              </w:rPr>
              <w:t>*</w:t>
            </w:r>
          </w:p>
        </w:tc>
        <w:tc>
          <w:tcPr>
            <w:tcW w:w="2030" w:type="dxa"/>
            <w:shd w:val="clear" w:color="auto" w:fill="auto"/>
            <w:vAlign w:val="bottom"/>
          </w:tcPr>
          <w:p w14:paraId="72CC705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noviembre de 2007</w:t>
            </w:r>
          </w:p>
        </w:tc>
        <w:tc>
          <w:tcPr>
            <w:tcW w:w="2072" w:type="dxa"/>
            <w:shd w:val="clear" w:color="auto" w:fill="auto"/>
            <w:vAlign w:val="bottom"/>
          </w:tcPr>
          <w:p w14:paraId="27FEB8E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72088D7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4D292C9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11 de noviembre de 2015</w:t>
            </w:r>
          </w:p>
        </w:tc>
      </w:tr>
      <w:tr w:rsidR="002667B2" w14:paraId="2A45106D" w14:textId="77777777" w:rsidTr="002667B2">
        <w:tc>
          <w:tcPr>
            <w:tcW w:w="1344" w:type="dxa"/>
            <w:shd w:val="clear" w:color="auto" w:fill="auto"/>
          </w:tcPr>
          <w:p w14:paraId="01344137"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Argentina</w:t>
            </w:r>
            <w:r w:rsidRPr="00174B1B">
              <w:rPr>
                <w:sz w:val="18"/>
                <w:szCs w:val="18"/>
                <w:lang w:val="es-ES"/>
              </w:rPr>
              <w:t>*</w:t>
            </w:r>
          </w:p>
        </w:tc>
        <w:tc>
          <w:tcPr>
            <w:tcW w:w="2030" w:type="dxa"/>
            <w:shd w:val="clear" w:color="auto" w:fill="auto"/>
            <w:vAlign w:val="bottom"/>
          </w:tcPr>
          <w:p w14:paraId="4CB685E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diciembre de 2007</w:t>
            </w:r>
          </w:p>
        </w:tc>
        <w:tc>
          <w:tcPr>
            <w:tcW w:w="2072" w:type="dxa"/>
            <w:shd w:val="clear" w:color="auto" w:fill="auto"/>
            <w:vAlign w:val="bottom"/>
          </w:tcPr>
          <w:p w14:paraId="113C3EE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4F46ABA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653480F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diciembre de 2012</w:t>
            </w:r>
          </w:p>
        </w:tc>
      </w:tr>
      <w:tr w:rsidR="002667B2" w14:paraId="6FDC7C31" w14:textId="77777777" w:rsidTr="002667B2">
        <w:tc>
          <w:tcPr>
            <w:tcW w:w="1344" w:type="dxa"/>
            <w:shd w:val="clear" w:color="auto" w:fill="auto"/>
          </w:tcPr>
          <w:p w14:paraId="3693E70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México</w:t>
            </w:r>
          </w:p>
        </w:tc>
        <w:tc>
          <w:tcPr>
            <w:tcW w:w="2030" w:type="dxa"/>
            <w:shd w:val="clear" w:color="auto" w:fill="auto"/>
            <w:vAlign w:val="bottom"/>
          </w:tcPr>
          <w:p w14:paraId="6312278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marzo de 2008</w:t>
            </w:r>
          </w:p>
        </w:tc>
        <w:tc>
          <w:tcPr>
            <w:tcW w:w="2072" w:type="dxa"/>
            <w:shd w:val="clear" w:color="auto" w:fill="auto"/>
            <w:vAlign w:val="bottom"/>
          </w:tcPr>
          <w:p w14:paraId="4A82F37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1CC296B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701BA6D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11 de marzo de 2014</w:t>
            </w:r>
          </w:p>
        </w:tc>
      </w:tr>
      <w:tr w:rsidR="002667B2" w14:paraId="2288E880" w14:textId="77777777" w:rsidTr="002667B2">
        <w:tc>
          <w:tcPr>
            <w:tcW w:w="1344" w:type="dxa"/>
            <w:shd w:val="clear" w:color="auto" w:fill="auto"/>
          </w:tcPr>
          <w:p w14:paraId="789547D4"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Honduras</w:t>
            </w:r>
          </w:p>
        </w:tc>
        <w:tc>
          <w:tcPr>
            <w:tcW w:w="2030" w:type="dxa"/>
            <w:shd w:val="clear" w:color="auto" w:fill="auto"/>
            <w:vAlign w:val="bottom"/>
          </w:tcPr>
          <w:p w14:paraId="11F17CB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abril de 2008</w:t>
            </w:r>
          </w:p>
        </w:tc>
        <w:tc>
          <w:tcPr>
            <w:tcW w:w="2072" w:type="dxa"/>
            <w:shd w:val="clear" w:color="auto" w:fill="auto"/>
            <w:vAlign w:val="bottom"/>
          </w:tcPr>
          <w:p w14:paraId="784B27B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763F752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7B7DC20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febrero de 2016</w:t>
            </w:r>
          </w:p>
        </w:tc>
      </w:tr>
      <w:tr w:rsidR="002667B2" w14:paraId="500B67E3" w14:textId="77777777" w:rsidTr="002667B2">
        <w:tc>
          <w:tcPr>
            <w:tcW w:w="1344" w:type="dxa"/>
            <w:shd w:val="clear" w:color="auto" w:fill="auto"/>
          </w:tcPr>
          <w:p w14:paraId="794C3044"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Francia</w:t>
            </w:r>
            <w:r w:rsidRPr="00174B1B">
              <w:rPr>
                <w:sz w:val="18"/>
                <w:szCs w:val="18"/>
                <w:lang w:val="es-ES"/>
              </w:rPr>
              <w:t>*</w:t>
            </w:r>
          </w:p>
        </w:tc>
        <w:tc>
          <w:tcPr>
            <w:tcW w:w="2030" w:type="dxa"/>
            <w:shd w:val="clear" w:color="auto" w:fill="auto"/>
            <w:vAlign w:val="bottom"/>
          </w:tcPr>
          <w:p w14:paraId="7AE4A2A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septiembre de 2008</w:t>
            </w:r>
          </w:p>
        </w:tc>
        <w:tc>
          <w:tcPr>
            <w:tcW w:w="2072" w:type="dxa"/>
            <w:shd w:val="clear" w:color="auto" w:fill="auto"/>
            <w:vAlign w:val="bottom"/>
          </w:tcPr>
          <w:p w14:paraId="303FD32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1B936E5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01FC887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diciembre de 2012</w:t>
            </w:r>
          </w:p>
        </w:tc>
      </w:tr>
      <w:tr w:rsidR="002667B2" w14:paraId="0379462B" w14:textId="77777777" w:rsidTr="002667B2">
        <w:tc>
          <w:tcPr>
            <w:tcW w:w="1344" w:type="dxa"/>
            <w:shd w:val="clear" w:color="auto" w:fill="auto"/>
          </w:tcPr>
          <w:p w14:paraId="609D4D9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Senegal</w:t>
            </w:r>
          </w:p>
        </w:tc>
        <w:tc>
          <w:tcPr>
            <w:tcW w:w="2030" w:type="dxa"/>
            <w:shd w:val="clear" w:color="auto" w:fill="auto"/>
            <w:vAlign w:val="bottom"/>
          </w:tcPr>
          <w:p w14:paraId="0DB5F6A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11 de diciembre de 2008</w:t>
            </w:r>
          </w:p>
        </w:tc>
        <w:tc>
          <w:tcPr>
            <w:tcW w:w="2072" w:type="dxa"/>
            <w:shd w:val="clear" w:color="auto" w:fill="auto"/>
            <w:vAlign w:val="bottom"/>
          </w:tcPr>
          <w:p w14:paraId="18C3BD2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283D721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584FABA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28 de abril de 2015</w:t>
            </w:r>
          </w:p>
        </w:tc>
      </w:tr>
      <w:tr w:rsidR="002667B2" w14:paraId="0A376DAC" w14:textId="77777777" w:rsidTr="004E20AB">
        <w:tc>
          <w:tcPr>
            <w:tcW w:w="1344" w:type="dxa"/>
            <w:shd w:val="clear" w:color="auto" w:fill="auto"/>
          </w:tcPr>
          <w:p w14:paraId="5E8595F1" w14:textId="77777777" w:rsidR="00174B1B" w:rsidRPr="00BC3867" w:rsidRDefault="00174B1B" w:rsidP="00BC3867">
            <w:pPr>
              <w:suppressAutoHyphens w:val="0"/>
              <w:spacing w:before="40" w:after="120"/>
              <w:rPr>
                <w:b/>
                <w:bCs/>
                <w:spacing w:val="-6"/>
                <w:sz w:val="18"/>
                <w:szCs w:val="18"/>
                <w:lang w:val="es-ES"/>
              </w:rPr>
            </w:pPr>
            <w:r w:rsidRPr="00BC3867">
              <w:rPr>
                <w:b/>
                <w:bCs/>
                <w:spacing w:val="-6"/>
                <w:sz w:val="18"/>
                <w:szCs w:val="18"/>
                <w:lang w:val="es-ES"/>
              </w:rPr>
              <w:t>Bolivia (Estado Plurinacional de)</w:t>
            </w:r>
          </w:p>
        </w:tc>
        <w:tc>
          <w:tcPr>
            <w:tcW w:w="2030" w:type="dxa"/>
            <w:shd w:val="clear" w:color="auto" w:fill="auto"/>
          </w:tcPr>
          <w:p w14:paraId="45D632D7"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17 de diciembre de 2008</w:t>
            </w:r>
          </w:p>
        </w:tc>
        <w:tc>
          <w:tcPr>
            <w:tcW w:w="2072" w:type="dxa"/>
            <w:shd w:val="clear" w:color="auto" w:fill="auto"/>
          </w:tcPr>
          <w:p w14:paraId="45693859"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tcPr>
          <w:p w14:paraId="70A38ACA"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tcPr>
          <w:p w14:paraId="4D106D21"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28 de septiembre de 2018</w:t>
            </w:r>
          </w:p>
        </w:tc>
      </w:tr>
      <w:tr w:rsidR="002667B2" w14:paraId="176986F5" w14:textId="77777777" w:rsidTr="002667B2">
        <w:tc>
          <w:tcPr>
            <w:tcW w:w="1344" w:type="dxa"/>
            <w:shd w:val="clear" w:color="auto" w:fill="auto"/>
          </w:tcPr>
          <w:p w14:paraId="0B771B6E"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Cuba</w:t>
            </w:r>
          </w:p>
        </w:tc>
        <w:tc>
          <w:tcPr>
            <w:tcW w:w="2030" w:type="dxa"/>
            <w:shd w:val="clear" w:color="auto" w:fill="auto"/>
            <w:vAlign w:val="bottom"/>
          </w:tcPr>
          <w:p w14:paraId="73640A6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febrero de 2009</w:t>
            </w:r>
          </w:p>
        </w:tc>
        <w:tc>
          <w:tcPr>
            <w:tcW w:w="2072" w:type="dxa"/>
            <w:shd w:val="clear" w:color="auto" w:fill="auto"/>
            <w:vAlign w:val="bottom"/>
          </w:tcPr>
          <w:p w14:paraId="5FF0CBA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33C2317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3BF093F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abril de 2015</w:t>
            </w:r>
          </w:p>
        </w:tc>
      </w:tr>
      <w:tr w:rsidR="002667B2" w14:paraId="6E7C635A" w14:textId="77777777" w:rsidTr="002667B2">
        <w:tc>
          <w:tcPr>
            <w:tcW w:w="1344" w:type="dxa"/>
            <w:shd w:val="clear" w:color="auto" w:fill="auto"/>
          </w:tcPr>
          <w:p w14:paraId="466B3421"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Kazajstán</w:t>
            </w:r>
          </w:p>
        </w:tc>
        <w:tc>
          <w:tcPr>
            <w:tcW w:w="2030" w:type="dxa"/>
            <w:shd w:val="clear" w:color="auto" w:fill="auto"/>
            <w:vAlign w:val="bottom"/>
          </w:tcPr>
          <w:p w14:paraId="19BBA8A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febrero de 2009</w:t>
            </w:r>
          </w:p>
        </w:tc>
        <w:tc>
          <w:tcPr>
            <w:tcW w:w="2072" w:type="dxa"/>
            <w:shd w:val="clear" w:color="auto" w:fill="auto"/>
            <w:vAlign w:val="bottom"/>
          </w:tcPr>
          <w:p w14:paraId="4F41361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13C568D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1753374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 de junio de 2014</w:t>
            </w:r>
          </w:p>
        </w:tc>
      </w:tr>
      <w:tr w:rsidR="002667B2" w14:paraId="5E64F2F0" w14:textId="77777777" w:rsidTr="002667B2">
        <w:tc>
          <w:tcPr>
            <w:tcW w:w="1344" w:type="dxa"/>
            <w:shd w:val="clear" w:color="auto" w:fill="auto"/>
          </w:tcPr>
          <w:p w14:paraId="34FC5541"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Uruguay</w:t>
            </w:r>
            <w:r w:rsidRPr="00174B1B">
              <w:rPr>
                <w:sz w:val="18"/>
                <w:szCs w:val="18"/>
                <w:lang w:val="es-ES"/>
              </w:rPr>
              <w:t>*</w:t>
            </w:r>
          </w:p>
        </w:tc>
        <w:tc>
          <w:tcPr>
            <w:tcW w:w="2030" w:type="dxa"/>
            <w:shd w:val="clear" w:color="auto" w:fill="auto"/>
            <w:vAlign w:val="bottom"/>
          </w:tcPr>
          <w:p w14:paraId="4F5F654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marzo de 2009</w:t>
            </w:r>
          </w:p>
        </w:tc>
        <w:tc>
          <w:tcPr>
            <w:tcW w:w="2072" w:type="dxa"/>
            <w:shd w:val="clear" w:color="auto" w:fill="auto"/>
            <w:vAlign w:val="bottom"/>
          </w:tcPr>
          <w:p w14:paraId="19BCECE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7FD9DFF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647101F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septiembre de 2012</w:t>
            </w:r>
          </w:p>
        </w:tc>
      </w:tr>
      <w:tr w:rsidR="002667B2" w14:paraId="47A8CCFE" w14:textId="77777777" w:rsidTr="002667B2">
        <w:tc>
          <w:tcPr>
            <w:tcW w:w="1344" w:type="dxa"/>
            <w:shd w:val="clear" w:color="auto" w:fill="auto"/>
          </w:tcPr>
          <w:p w14:paraId="61C8C058"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Malí</w:t>
            </w:r>
            <w:r w:rsidRPr="00174B1B">
              <w:rPr>
                <w:sz w:val="18"/>
                <w:szCs w:val="18"/>
                <w:lang w:val="es-ES"/>
              </w:rPr>
              <w:t>*</w:t>
            </w:r>
          </w:p>
        </w:tc>
        <w:tc>
          <w:tcPr>
            <w:tcW w:w="2030" w:type="dxa"/>
            <w:shd w:val="clear" w:color="auto" w:fill="auto"/>
            <w:vAlign w:val="bottom"/>
          </w:tcPr>
          <w:p w14:paraId="6D87E40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julio de 2009</w:t>
            </w:r>
          </w:p>
        </w:tc>
        <w:tc>
          <w:tcPr>
            <w:tcW w:w="2072" w:type="dxa"/>
            <w:shd w:val="clear" w:color="auto" w:fill="auto"/>
            <w:vAlign w:val="bottom"/>
          </w:tcPr>
          <w:p w14:paraId="1143EE9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7625992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1B708B9D" w14:textId="77777777" w:rsidR="00174B1B" w:rsidRPr="00174B1B" w:rsidRDefault="00174B1B" w:rsidP="002667B2">
            <w:pPr>
              <w:suppressAutoHyphens w:val="0"/>
              <w:spacing w:before="40" w:after="120"/>
              <w:ind w:right="57"/>
              <w:rPr>
                <w:sz w:val="18"/>
                <w:szCs w:val="18"/>
                <w:lang w:val="es-ES"/>
              </w:rPr>
            </w:pPr>
          </w:p>
        </w:tc>
      </w:tr>
      <w:tr w:rsidR="002667B2" w14:paraId="082C9E26" w14:textId="77777777" w:rsidTr="002667B2">
        <w:tc>
          <w:tcPr>
            <w:tcW w:w="1344" w:type="dxa"/>
            <w:shd w:val="clear" w:color="auto" w:fill="auto"/>
          </w:tcPr>
          <w:p w14:paraId="31CD06A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Japón</w:t>
            </w:r>
            <w:r w:rsidRPr="00174B1B">
              <w:rPr>
                <w:sz w:val="18"/>
                <w:szCs w:val="18"/>
                <w:lang w:val="es-ES"/>
              </w:rPr>
              <w:t>*</w:t>
            </w:r>
          </w:p>
        </w:tc>
        <w:tc>
          <w:tcPr>
            <w:tcW w:w="2030" w:type="dxa"/>
            <w:shd w:val="clear" w:color="auto" w:fill="auto"/>
            <w:vAlign w:val="bottom"/>
          </w:tcPr>
          <w:p w14:paraId="2184774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julio de 2009</w:t>
            </w:r>
          </w:p>
        </w:tc>
        <w:tc>
          <w:tcPr>
            <w:tcW w:w="2072" w:type="dxa"/>
            <w:shd w:val="clear" w:color="auto" w:fill="auto"/>
            <w:vAlign w:val="bottom"/>
          </w:tcPr>
          <w:p w14:paraId="71E1A7E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78F2339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7EB1DB0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julio de 2016</w:t>
            </w:r>
          </w:p>
        </w:tc>
      </w:tr>
      <w:tr w:rsidR="002667B2" w14:paraId="7FF2CCBF" w14:textId="77777777" w:rsidTr="002667B2">
        <w:tc>
          <w:tcPr>
            <w:tcW w:w="1344" w:type="dxa"/>
            <w:shd w:val="clear" w:color="auto" w:fill="auto"/>
          </w:tcPr>
          <w:p w14:paraId="32BBBBFF"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Nigeria</w:t>
            </w:r>
          </w:p>
        </w:tc>
        <w:tc>
          <w:tcPr>
            <w:tcW w:w="2030" w:type="dxa"/>
            <w:shd w:val="clear" w:color="auto" w:fill="auto"/>
            <w:vAlign w:val="bottom"/>
          </w:tcPr>
          <w:p w14:paraId="6727F53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julio de 2009</w:t>
            </w:r>
          </w:p>
        </w:tc>
        <w:tc>
          <w:tcPr>
            <w:tcW w:w="2072" w:type="dxa"/>
            <w:shd w:val="clear" w:color="auto" w:fill="auto"/>
            <w:vAlign w:val="bottom"/>
          </w:tcPr>
          <w:p w14:paraId="02F6EEB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56308AA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1F439D35" w14:textId="77777777" w:rsidR="00174B1B" w:rsidRPr="00174B1B" w:rsidRDefault="00174B1B" w:rsidP="002667B2">
            <w:pPr>
              <w:suppressAutoHyphens w:val="0"/>
              <w:spacing w:before="40" w:after="120"/>
              <w:ind w:right="57"/>
              <w:rPr>
                <w:sz w:val="18"/>
                <w:szCs w:val="18"/>
                <w:lang w:val="es-ES"/>
              </w:rPr>
            </w:pPr>
          </w:p>
        </w:tc>
      </w:tr>
      <w:tr w:rsidR="002667B2" w14:paraId="2963AF74" w14:textId="77777777" w:rsidTr="002667B2">
        <w:tc>
          <w:tcPr>
            <w:tcW w:w="1344" w:type="dxa"/>
            <w:shd w:val="clear" w:color="auto" w:fill="auto"/>
          </w:tcPr>
          <w:p w14:paraId="20A5BB11"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España</w:t>
            </w:r>
            <w:r w:rsidRPr="00174B1B">
              <w:rPr>
                <w:sz w:val="18"/>
                <w:szCs w:val="18"/>
                <w:lang w:val="es-ES"/>
              </w:rPr>
              <w:t>*</w:t>
            </w:r>
          </w:p>
        </w:tc>
        <w:tc>
          <w:tcPr>
            <w:tcW w:w="2030" w:type="dxa"/>
            <w:shd w:val="clear" w:color="auto" w:fill="auto"/>
            <w:vAlign w:val="bottom"/>
          </w:tcPr>
          <w:p w14:paraId="1106427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septiembre de 2009</w:t>
            </w:r>
          </w:p>
        </w:tc>
        <w:tc>
          <w:tcPr>
            <w:tcW w:w="2072" w:type="dxa"/>
            <w:shd w:val="clear" w:color="auto" w:fill="auto"/>
            <w:vAlign w:val="bottom"/>
          </w:tcPr>
          <w:p w14:paraId="382F6C3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0E56AC2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2E16526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diciembre de 2012</w:t>
            </w:r>
          </w:p>
        </w:tc>
      </w:tr>
      <w:tr w:rsidR="002667B2" w14:paraId="3ADD0C3B" w14:textId="77777777" w:rsidTr="002667B2">
        <w:tc>
          <w:tcPr>
            <w:tcW w:w="1344" w:type="dxa"/>
            <w:shd w:val="clear" w:color="auto" w:fill="auto"/>
          </w:tcPr>
          <w:p w14:paraId="704EC8E8"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Alemania</w:t>
            </w:r>
            <w:r w:rsidRPr="00174B1B">
              <w:rPr>
                <w:sz w:val="18"/>
                <w:szCs w:val="18"/>
                <w:lang w:val="es-ES"/>
              </w:rPr>
              <w:t>*</w:t>
            </w:r>
          </w:p>
        </w:tc>
        <w:tc>
          <w:tcPr>
            <w:tcW w:w="2030" w:type="dxa"/>
            <w:shd w:val="clear" w:color="auto" w:fill="auto"/>
            <w:vAlign w:val="bottom"/>
          </w:tcPr>
          <w:p w14:paraId="197E6F5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septiembre de 2009</w:t>
            </w:r>
          </w:p>
        </w:tc>
        <w:tc>
          <w:tcPr>
            <w:tcW w:w="2072" w:type="dxa"/>
            <w:shd w:val="clear" w:color="auto" w:fill="auto"/>
            <w:vAlign w:val="bottom"/>
          </w:tcPr>
          <w:p w14:paraId="2281DDE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6B29DDF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40348B9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25 de marzo de 2013</w:t>
            </w:r>
          </w:p>
        </w:tc>
      </w:tr>
      <w:tr w:rsidR="002667B2" w14:paraId="50A7408F" w14:textId="77777777" w:rsidTr="002667B2">
        <w:tc>
          <w:tcPr>
            <w:tcW w:w="1344" w:type="dxa"/>
            <w:shd w:val="clear" w:color="auto" w:fill="auto"/>
          </w:tcPr>
          <w:p w14:paraId="4D2B197C"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Ecuador</w:t>
            </w:r>
            <w:r w:rsidRPr="00174B1B">
              <w:rPr>
                <w:sz w:val="18"/>
                <w:szCs w:val="18"/>
                <w:lang w:val="es-ES"/>
              </w:rPr>
              <w:t>*</w:t>
            </w:r>
          </w:p>
        </w:tc>
        <w:tc>
          <w:tcPr>
            <w:tcW w:w="2030" w:type="dxa"/>
            <w:shd w:val="clear" w:color="auto" w:fill="auto"/>
            <w:vAlign w:val="bottom"/>
          </w:tcPr>
          <w:p w14:paraId="097D930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octubre de 2009</w:t>
            </w:r>
          </w:p>
        </w:tc>
        <w:tc>
          <w:tcPr>
            <w:tcW w:w="2072" w:type="dxa"/>
            <w:shd w:val="clear" w:color="auto" w:fill="auto"/>
            <w:vAlign w:val="bottom"/>
          </w:tcPr>
          <w:p w14:paraId="317E130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4CAC3F0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06FA6FF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5 de junio de 2015</w:t>
            </w:r>
          </w:p>
        </w:tc>
      </w:tr>
      <w:tr w:rsidR="002667B2" w14:paraId="679B172E" w14:textId="77777777" w:rsidTr="002667B2">
        <w:tc>
          <w:tcPr>
            <w:tcW w:w="1344" w:type="dxa"/>
            <w:shd w:val="clear" w:color="auto" w:fill="auto"/>
          </w:tcPr>
          <w:p w14:paraId="3B648D42"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Burkina Faso</w:t>
            </w:r>
          </w:p>
        </w:tc>
        <w:tc>
          <w:tcPr>
            <w:tcW w:w="2030" w:type="dxa"/>
            <w:shd w:val="clear" w:color="auto" w:fill="auto"/>
            <w:vAlign w:val="bottom"/>
          </w:tcPr>
          <w:p w14:paraId="1B8BF89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 de diciembre de 2009</w:t>
            </w:r>
          </w:p>
        </w:tc>
        <w:tc>
          <w:tcPr>
            <w:tcW w:w="2072" w:type="dxa"/>
            <w:shd w:val="clear" w:color="auto" w:fill="auto"/>
            <w:vAlign w:val="bottom"/>
          </w:tcPr>
          <w:p w14:paraId="63CD7E7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5D7A915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4226DA8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octubre de 2014</w:t>
            </w:r>
          </w:p>
        </w:tc>
      </w:tr>
      <w:tr w:rsidR="002667B2" w14:paraId="243C41B5" w14:textId="77777777" w:rsidTr="002667B2">
        <w:tc>
          <w:tcPr>
            <w:tcW w:w="1344" w:type="dxa"/>
            <w:shd w:val="clear" w:color="auto" w:fill="auto"/>
          </w:tcPr>
          <w:p w14:paraId="43D5363F"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Chile</w:t>
            </w:r>
            <w:r w:rsidRPr="00174B1B">
              <w:rPr>
                <w:sz w:val="18"/>
                <w:szCs w:val="18"/>
                <w:lang w:val="es-ES"/>
              </w:rPr>
              <w:t>*</w:t>
            </w:r>
          </w:p>
        </w:tc>
        <w:tc>
          <w:tcPr>
            <w:tcW w:w="2030" w:type="dxa"/>
            <w:shd w:val="clear" w:color="auto" w:fill="auto"/>
            <w:vAlign w:val="bottom"/>
          </w:tcPr>
          <w:p w14:paraId="658EF65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diciembre de 2009</w:t>
            </w:r>
          </w:p>
        </w:tc>
        <w:tc>
          <w:tcPr>
            <w:tcW w:w="2072" w:type="dxa"/>
            <w:shd w:val="clear" w:color="auto" w:fill="auto"/>
            <w:vAlign w:val="bottom"/>
          </w:tcPr>
          <w:p w14:paraId="388E21B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3FAFE10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59581C2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diciembre de 2017</w:t>
            </w:r>
          </w:p>
        </w:tc>
      </w:tr>
      <w:tr w:rsidR="002667B2" w14:paraId="2E1A943F" w14:textId="77777777" w:rsidTr="002667B2">
        <w:tc>
          <w:tcPr>
            <w:tcW w:w="1344" w:type="dxa"/>
            <w:shd w:val="clear" w:color="auto" w:fill="auto"/>
          </w:tcPr>
          <w:p w14:paraId="36B1922C"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Paraguay</w:t>
            </w:r>
          </w:p>
        </w:tc>
        <w:tc>
          <w:tcPr>
            <w:tcW w:w="2030" w:type="dxa"/>
            <w:shd w:val="clear" w:color="auto" w:fill="auto"/>
            <w:vAlign w:val="bottom"/>
          </w:tcPr>
          <w:p w14:paraId="55417E8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 de agosto de 2010</w:t>
            </w:r>
          </w:p>
        </w:tc>
        <w:tc>
          <w:tcPr>
            <w:tcW w:w="2072" w:type="dxa"/>
            <w:shd w:val="clear" w:color="auto" w:fill="auto"/>
            <w:vAlign w:val="bottom"/>
          </w:tcPr>
          <w:p w14:paraId="4C9F9AA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21FD709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12D5C60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28 de agosto de 2013</w:t>
            </w:r>
          </w:p>
        </w:tc>
      </w:tr>
      <w:tr w:rsidR="002667B2" w14:paraId="5A88E199" w14:textId="77777777" w:rsidTr="002667B2">
        <w:tc>
          <w:tcPr>
            <w:tcW w:w="1344" w:type="dxa"/>
            <w:shd w:val="clear" w:color="auto" w:fill="auto"/>
          </w:tcPr>
          <w:p w14:paraId="4CB5F3FA"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Iraq</w:t>
            </w:r>
          </w:p>
        </w:tc>
        <w:tc>
          <w:tcPr>
            <w:tcW w:w="2030" w:type="dxa"/>
            <w:shd w:val="clear" w:color="auto" w:fill="auto"/>
            <w:vAlign w:val="bottom"/>
          </w:tcPr>
          <w:p w14:paraId="7B5D956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noviembre de 2010</w:t>
            </w:r>
          </w:p>
        </w:tc>
        <w:tc>
          <w:tcPr>
            <w:tcW w:w="2072" w:type="dxa"/>
            <w:shd w:val="clear" w:color="auto" w:fill="auto"/>
            <w:vAlign w:val="bottom"/>
          </w:tcPr>
          <w:p w14:paraId="5039C3F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2010</w:t>
            </w:r>
          </w:p>
        </w:tc>
        <w:tc>
          <w:tcPr>
            <w:tcW w:w="2043" w:type="dxa"/>
            <w:shd w:val="clear" w:color="auto" w:fill="auto"/>
            <w:vAlign w:val="bottom"/>
          </w:tcPr>
          <w:p w14:paraId="531EFCD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diciembre de 2012</w:t>
            </w:r>
          </w:p>
        </w:tc>
        <w:tc>
          <w:tcPr>
            <w:tcW w:w="2058" w:type="dxa"/>
            <w:shd w:val="clear" w:color="auto" w:fill="auto"/>
            <w:vAlign w:val="bottom"/>
          </w:tcPr>
          <w:p w14:paraId="66D6D3D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junio de 2014</w:t>
            </w:r>
          </w:p>
        </w:tc>
      </w:tr>
      <w:tr w:rsidR="002667B2" w14:paraId="10525BD8" w14:textId="77777777" w:rsidTr="002667B2">
        <w:tc>
          <w:tcPr>
            <w:tcW w:w="1344" w:type="dxa"/>
            <w:shd w:val="clear" w:color="auto" w:fill="auto"/>
          </w:tcPr>
          <w:p w14:paraId="5043A145"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Brasil</w:t>
            </w:r>
          </w:p>
        </w:tc>
        <w:tc>
          <w:tcPr>
            <w:tcW w:w="2030" w:type="dxa"/>
            <w:shd w:val="clear" w:color="auto" w:fill="auto"/>
            <w:vAlign w:val="bottom"/>
          </w:tcPr>
          <w:p w14:paraId="4D8EA31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noviembre de 2010</w:t>
            </w:r>
          </w:p>
        </w:tc>
        <w:tc>
          <w:tcPr>
            <w:tcW w:w="2072" w:type="dxa"/>
            <w:shd w:val="clear" w:color="auto" w:fill="auto"/>
            <w:vAlign w:val="bottom"/>
          </w:tcPr>
          <w:p w14:paraId="7414819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diciembre de 2010</w:t>
            </w:r>
          </w:p>
        </w:tc>
        <w:tc>
          <w:tcPr>
            <w:tcW w:w="2043" w:type="dxa"/>
            <w:shd w:val="clear" w:color="auto" w:fill="auto"/>
            <w:vAlign w:val="bottom"/>
          </w:tcPr>
          <w:p w14:paraId="51BBCFC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diciembre de 2012</w:t>
            </w:r>
          </w:p>
        </w:tc>
        <w:tc>
          <w:tcPr>
            <w:tcW w:w="2058" w:type="dxa"/>
            <w:shd w:val="clear" w:color="auto" w:fill="auto"/>
            <w:vAlign w:val="bottom"/>
          </w:tcPr>
          <w:p w14:paraId="2D1EC40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30 de junio de 2019</w:t>
            </w:r>
          </w:p>
        </w:tc>
      </w:tr>
      <w:tr w:rsidR="002667B2" w14:paraId="73297307" w14:textId="77777777" w:rsidTr="002667B2">
        <w:tc>
          <w:tcPr>
            <w:tcW w:w="1344" w:type="dxa"/>
            <w:shd w:val="clear" w:color="auto" w:fill="auto"/>
          </w:tcPr>
          <w:p w14:paraId="429A1C26"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Gabón</w:t>
            </w:r>
          </w:p>
        </w:tc>
        <w:tc>
          <w:tcPr>
            <w:tcW w:w="2030" w:type="dxa"/>
            <w:shd w:val="clear" w:color="auto" w:fill="auto"/>
            <w:vAlign w:val="bottom"/>
          </w:tcPr>
          <w:p w14:paraId="2D36BDD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19 de enero de 2011</w:t>
            </w:r>
          </w:p>
        </w:tc>
        <w:tc>
          <w:tcPr>
            <w:tcW w:w="2072" w:type="dxa"/>
            <w:shd w:val="clear" w:color="auto" w:fill="auto"/>
            <w:vAlign w:val="bottom"/>
          </w:tcPr>
          <w:p w14:paraId="281E9BE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febrero de 2011</w:t>
            </w:r>
          </w:p>
        </w:tc>
        <w:tc>
          <w:tcPr>
            <w:tcW w:w="2043" w:type="dxa"/>
            <w:shd w:val="clear" w:color="auto" w:fill="auto"/>
            <w:vAlign w:val="bottom"/>
          </w:tcPr>
          <w:p w14:paraId="394EE35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febrero de 2013</w:t>
            </w:r>
          </w:p>
        </w:tc>
        <w:tc>
          <w:tcPr>
            <w:tcW w:w="2058" w:type="dxa"/>
            <w:shd w:val="clear" w:color="auto" w:fill="auto"/>
            <w:vAlign w:val="bottom"/>
          </w:tcPr>
          <w:p w14:paraId="2274BAA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10 de junio de 2015</w:t>
            </w:r>
          </w:p>
        </w:tc>
      </w:tr>
      <w:tr w:rsidR="002667B2" w14:paraId="11A4EF65" w14:textId="77777777" w:rsidTr="002667B2">
        <w:tc>
          <w:tcPr>
            <w:tcW w:w="1344" w:type="dxa"/>
            <w:shd w:val="clear" w:color="auto" w:fill="auto"/>
          </w:tcPr>
          <w:p w14:paraId="182ED5FF"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Armenia</w:t>
            </w:r>
          </w:p>
        </w:tc>
        <w:tc>
          <w:tcPr>
            <w:tcW w:w="2030" w:type="dxa"/>
            <w:shd w:val="clear" w:color="auto" w:fill="auto"/>
            <w:vAlign w:val="bottom"/>
          </w:tcPr>
          <w:p w14:paraId="57D4544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enero de 2011</w:t>
            </w:r>
          </w:p>
        </w:tc>
        <w:tc>
          <w:tcPr>
            <w:tcW w:w="2072" w:type="dxa"/>
            <w:shd w:val="clear" w:color="auto" w:fill="auto"/>
            <w:vAlign w:val="bottom"/>
          </w:tcPr>
          <w:p w14:paraId="07B1196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febrero de 2011</w:t>
            </w:r>
          </w:p>
        </w:tc>
        <w:tc>
          <w:tcPr>
            <w:tcW w:w="2043" w:type="dxa"/>
            <w:shd w:val="clear" w:color="auto" w:fill="auto"/>
            <w:vAlign w:val="bottom"/>
          </w:tcPr>
          <w:p w14:paraId="3029664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febrero de 2013</w:t>
            </w:r>
          </w:p>
        </w:tc>
        <w:tc>
          <w:tcPr>
            <w:tcW w:w="2058" w:type="dxa"/>
            <w:shd w:val="clear" w:color="auto" w:fill="auto"/>
            <w:vAlign w:val="bottom"/>
          </w:tcPr>
          <w:p w14:paraId="3F4693E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octubre de 2013</w:t>
            </w:r>
          </w:p>
        </w:tc>
      </w:tr>
      <w:tr w:rsidR="002667B2" w14:paraId="6BFF5BAE" w14:textId="77777777" w:rsidTr="002667B2">
        <w:tc>
          <w:tcPr>
            <w:tcW w:w="1344" w:type="dxa"/>
            <w:shd w:val="clear" w:color="auto" w:fill="auto"/>
          </w:tcPr>
          <w:p w14:paraId="7F80AD6F"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Países Bajos</w:t>
            </w:r>
            <w:r w:rsidRPr="00174B1B">
              <w:rPr>
                <w:sz w:val="18"/>
                <w:szCs w:val="18"/>
                <w:lang w:val="es-ES"/>
              </w:rPr>
              <w:t>*</w:t>
            </w:r>
          </w:p>
        </w:tc>
        <w:tc>
          <w:tcPr>
            <w:tcW w:w="2030" w:type="dxa"/>
            <w:shd w:val="clear" w:color="auto" w:fill="auto"/>
            <w:vAlign w:val="bottom"/>
          </w:tcPr>
          <w:p w14:paraId="068A80E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marzo de 2011</w:t>
            </w:r>
          </w:p>
        </w:tc>
        <w:tc>
          <w:tcPr>
            <w:tcW w:w="2072" w:type="dxa"/>
            <w:shd w:val="clear" w:color="auto" w:fill="auto"/>
            <w:vAlign w:val="bottom"/>
          </w:tcPr>
          <w:p w14:paraId="0A80B27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abril de 2011</w:t>
            </w:r>
          </w:p>
        </w:tc>
        <w:tc>
          <w:tcPr>
            <w:tcW w:w="2043" w:type="dxa"/>
            <w:shd w:val="clear" w:color="auto" w:fill="auto"/>
            <w:vAlign w:val="bottom"/>
          </w:tcPr>
          <w:p w14:paraId="064BDCD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abril de 2013</w:t>
            </w:r>
          </w:p>
        </w:tc>
        <w:tc>
          <w:tcPr>
            <w:tcW w:w="2058" w:type="dxa"/>
            <w:shd w:val="clear" w:color="auto" w:fill="auto"/>
            <w:vAlign w:val="bottom"/>
          </w:tcPr>
          <w:p w14:paraId="276515B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11 de junio de 2013</w:t>
            </w:r>
          </w:p>
        </w:tc>
      </w:tr>
      <w:tr w:rsidR="002667B2" w14:paraId="65539A46" w14:textId="77777777" w:rsidTr="002667B2">
        <w:tc>
          <w:tcPr>
            <w:tcW w:w="1344" w:type="dxa"/>
            <w:shd w:val="clear" w:color="auto" w:fill="auto"/>
          </w:tcPr>
          <w:p w14:paraId="3E6D1D9E"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Zambia</w:t>
            </w:r>
          </w:p>
        </w:tc>
        <w:tc>
          <w:tcPr>
            <w:tcW w:w="2030" w:type="dxa"/>
            <w:shd w:val="clear" w:color="auto" w:fill="auto"/>
            <w:vAlign w:val="bottom"/>
          </w:tcPr>
          <w:p w14:paraId="7B16168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abril de 2011</w:t>
            </w:r>
          </w:p>
        </w:tc>
        <w:tc>
          <w:tcPr>
            <w:tcW w:w="2072" w:type="dxa"/>
            <w:shd w:val="clear" w:color="auto" w:fill="auto"/>
            <w:vAlign w:val="bottom"/>
          </w:tcPr>
          <w:p w14:paraId="196B3AF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mayo de 2011</w:t>
            </w:r>
          </w:p>
        </w:tc>
        <w:tc>
          <w:tcPr>
            <w:tcW w:w="2043" w:type="dxa"/>
            <w:shd w:val="clear" w:color="auto" w:fill="auto"/>
            <w:vAlign w:val="bottom"/>
          </w:tcPr>
          <w:p w14:paraId="41C214B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4 de mayo de 2013</w:t>
            </w:r>
          </w:p>
        </w:tc>
        <w:tc>
          <w:tcPr>
            <w:tcW w:w="2058" w:type="dxa"/>
            <w:shd w:val="clear" w:color="auto" w:fill="auto"/>
            <w:vAlign w:val="bottom"/>
          </w:tcPr>
          <w:p w14:paraId="4DA24591" w14:textId="77777777" w:rsidR="00174B1B" w:rsidRPr="00174B1B" w:rsidRDefault="00174B1B" w:rsidP="002667B2">
            <w:pPr>
              <w:suppressAutoHyphens w:val="0"/>
              <w:spacing w:before="40" w:after="120"/>
              <w:ind w:right="57"/>
              <w:rPr>
                <w:sz w:val="18"/>
                <w:szCs w:val="18"/>
                <w:lang w:val="es-ES"/>
              </w:rPr>
            </w:pPr>
          </w:p>
        </w:tc>
      </w:tr>
      <w:tr w:rsidR="002667B2" w14:paraId="16E4DAF8" w14:textId="77777777" w:rsidTr="002667B2">
        <w:tc>
          <w:tcPr>
            <w:tcW w:w="1344" w:type="dxa"/>
            <w:shd w:val="clear" w:color="auto" w:fill="auto"/>
          </w:tcPr>
          <w:p w14:paraId="53525E06" w14:textId="77777777" w:rsidR="00174B1B" w:rsidRPr="00174B1B" w:rsidRDefault="00174B1B" w:rsidP="002667B2">
            <w:pPr>
              <w:keepNext/>
              <w:keepLines/>
              <w:suppressAutoHyphens w:val="0"/>
              <w:spacing w:before="40" w:after="120"/>
              <w:ind w:right="57"/>
              <w:rPr>
                <w:b/>
                <w:bCs/>
                <w:sz w:val="18"/>
                <w:szCs w:val="18"/>
                <w:lang w:val="es-ES"/>
              </w:rPr>
            </w:pPr>
            <w:r w:rsidRPr="00174B1B">
              <w:rPr>
                <w:b/>
                <w:bCs/>
                <w:sz w:val="18"/>
                <w:szCs w:val="18"/>
                <w:lang w:val="es-ES"/>
              </w:rPr>
              <w:t>Serbia</w:t>
            </w:r>
            <w:r w:rsidRPr="00174B1B">
              <w:rPr>
                <w:sz w:val="18"/>
                <w:szCs w:val="18"/>
                <w:lang w:val="es-ES"/>
              </w:rPr>
              <w:t>*</w:t>
            </w:r>
          </w:p>
        </w:tc>
        <w:tc>
          <w:tcPr>
            <w:tcW w:w="2030" w:type="dxa"/>
            <w:shd w:val="clear" w:color="auto" w:fill="auto"/>
            <w:vAlign w:val="bottom"/>
          </w:tcPr>
          <w:p w14:paraId="19EDE9EB"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18 de mayo de 2011</w:t>
            </w:r>
          </w:p>
        </w:tc>
        <w:tc>
          <w:tcPr>
            <w:tcW w:w="2072" w:type="dxa"/>
            <w:shd w:val="clear" w:color="auto" w:fill="auto"/>
            <w:vAlign w:val="bottom"/>
          </w:tcPr>
          <w:p w14:paraId="573398C3"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17 de junio de 2011</w:t>
            </w:r>
          </w:p>
        </w:tc>
        <w:tc>
          <w:tcPr>
            <w:tcW w:w="2043" w:type="dxa"/>
            <w:shd w:val="clear" w:color="auto" w:fill="auto"/>
            <w:vAlign w:val="bottom"/>
          </w:tcPr>
          <w:p w14:paraId="71785A1D"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17 de junio de 2013</w:t>
            </w:r>
          </w:p>
        </w:tc>
        <w:tc>
          <w:tcPr>
            <w:tcW w:w="2058" w:type="dxa"/>
            <w:shd w:val="clear" w:color="auto" w:fill="auto"/>
            <w:vAlign w:val="bottom"/>
          </w:tcPr>
          <w:p w14:paraId="3125EC3E"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30 de diciembre de 2013</w:t>
            </w:r>
          </w:p>
        </w:tc>
      </w:tr>
      <w:tr w:rsidR="002667B2" w14:paraId="6CF65626" w14:textId="77777777" w:rsidTr="002667B2">
        <w:tc>
          <w:tcPr>
            <w:tcW w:w="1344" w:type="dxa"/>
            <w:shd w:val="clear" w:color="auto" w:fill="auto"/>
          </w:tcPr>
          <w:p w14:paraId="64B12AC4" w14:textId="77777777" w:rsidR="00174B1B" w:rsidRPr="00174B1B" w:rsidRDefault="00174B1B" w:rsidP="002667B2">
            <w:pPr>
              <w:keepNext/>
              <w:keepLines/>
              <w:suppressAutoHyphens w:val="0"/>
              <w:spacing w:before="40" w:after="120"/>
              <w:ind w:right="57"/>
              <w:rPr>
                <w:b/>
                <w:bCs/>
                <w:sz w:val="18"/>
                <w:szCs w:val="18"/>
                <w:lang w:val="es-ES"/>
              </w:rPr>
            </w:pPr>
            <w:r w:rsidRPr="00174B1B">
              <w:rPr>
                <w:b/>
                <w:bCs/>
                <w:sz w:val="18"/>
                <w:szCs w:val="18"/>
                <w:lang w:val="es-ES"/>
              </w:rPr>
              <w:t>Bélgica</w:t>
            </w:r>
            <w:r w:rsidRPr="00174B1B">
              <w:rPr>
                <w:sz w:val="18"/>
                <w:szCs w:val="18"/>
                <w:lang w:val="es-ES"/>
              </w:rPr>
              <w:t>*</w:t>
            </w:r>
          </w:p>
        </w:tc>
        <w:tc>
          <w:tcPr>
            <w:tcW w:w="2030" w:type="dxa"/>
            <w:shd w:val="clear" w:color="auto" w:fill="auto"/>
            <w:vAlign w:val="bottom"/>
          </w:tcPr>
          <w:p w14:paraId="7BC296C3"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2 de junio de 2011</w:t>
            </w:r>
          </w:p>
        </w:tc>
        <w:tc>
          <w:tcPr>
            <w:tcW w:w="2072" w:type="dxa"/>
            <w:shd w:val="clear" w:color="auto" w:fill="auto"/>
            <w:vAlign w:val="bottom"/>
          </w:tcPr>
          <w:p w14:paraId="731EB6D1"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2 de julio de 2011</w:t>
            </w:r>
          </w:p>
        </w:tc>
        <w:tc>
          <w:tcPr>
            <w:tcW w:w="2043" w:type="dxa"/>
            <w:shd w:val="clear" w:color="auto" w:fill="auto"/>
            <w:vAlign w:val="bottom"/>
          </w:tcPr>
          <w:p w14:paraId="7C58530D"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2 de julio de 2013</w:t>
            </w:r>
          </w:p>
        </w:tc>
        <w:tc>
          <w:tcPr>
            <w:tcW w:w="2058" w:type="dxa"/>
            <w:shd w:val="clear" w:color="auto" w:fill="auto"/>
            <w:vAlign w:val="bottom"/>
          </w:tcPr>
          <w:p w14:paraId="637725E9"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8 de julio de 2013</w:t>
            </w:r>
          </w:p>
        </w:tc>
      </w:tr>
      <w:tr w:rsidR="002667B2" w14:paraId="2157F370" w14:textId="77777777" w:rsidTr="002667B2">
        <w:tc>
          <w:tcPr>
            <w:tcW w:w="1344" w:type="dxa"/>
            <w:shd w:val="clear" w:color="auto" w:fill="auto"/>
          </w:tcPr>
          <w:p w14:paraId="4153EF55"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Panamá</w:t>
            </w:r>
          </w:p>
        </w:tc>
        <w:tc>
          <w:tcPr>
            <w:tcW w:w="2030" w:type="dxa"/>
            <w:shd w:val="clear" w:color="auto" w:fill="auto"/>
            <w:vAlign w:val="bottom"/>
          </w:tcPr>
          <w:p w14:paraId="4C116FB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junio de 2011</w:t>
            </w:r>
          </w:p>
        </w:tc>
        <w:tc>
          <w:tcPr>
            <w:tcW w:w="2072" w:type="dxa"/>
            <w:shd w:val="clear" w:color="auto" w:fill="auto"/>
            <w:vAlign w:val="bottom"/>
          </w:tcPr>
          <w:p w14:paraId="53F77F2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julio de 2011</w:t>
            </w:r>
          </w:p>
        </w:tc>
        <w:tc>
          <w:tcPr>
            <w:tcW w:w="2043" w:type="dxa"/>
            <w:shd w:val="clear" w:color="auto" w:fill="auto"/>
            <w:vAlign w:val="bottom"/>
          </w:tcPr>
          <w:p w14:paraId="58D67D9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julio de 2013</w:t>
            </w:r>
          </w:p>
        </w:tc>
        <w:tc>
          <w:tcPr>
            <w:tcW w:w="2058" w:type="dxa"/>
            <w:shd w:val="clear" w:color="auto" w:fill="auto"/>
            <w:vAlign w:val="bottom"/>
          </w:tcPr>
          <w:p w14:paraId="379D1C6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30 de junio de 2019</w:t>
            </w:r>
          </w:p>
        </w:tc>
      </w:tr>
      <w:tr w:rsidR="002667B2" w14:paraId="246D1FCC" w14:textId="77777777" w:rsidTr="002667B2">
        <w:tc>
          <w:tcPr>
            <w:tcW w:w="1344" w:type="dxa"/>
            <w:shd w:val="clear" w:color="auto" w:fill="auto"/>
          </w:tcPr>
          <w:p w14:paraId="4622DCDD"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lastRenderedPageBreak/>
              <w:t>Túnez</w:t>
            </w:r>
          </w:p>
        </w:tc>
        <w:tc>
          <w:tcPr>
            <w:tcW w:w="2030" w:type="dxa"/>
            <w:shd w:val="clear" w:color="auto" w:fill="auto"/>
            <w:vAlign w:val="bottom"/>
          </w:tcPr>
          <w:p w14:paraId="427FE79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junio de 2011</w:t>
            </w:r>
          </w:p>
        </w:tc>
        <w:tc>
          <w:tcPr>
            <w:tcW w:w="2072" w:type="dxa"/>
            <w:shd w:val="clear" w:color="auto" w:fill="auto"/>
            <w:vAlign w:val="bottom"/>
          </w:tcPr>
          <w:p w14:paraId="3FE3AB5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julio de 2011</w:t>
            </w:r>
          </w:p>
        </w:tc>
        <w:tc>
          <w:tcPr>
            <w:tcW w:w="2043" w:type="dxa"/>
            <w:shd w:val="clear" w:color="auto" w:fill="auto"/>
            <w:vAlign w:val="bottom"/>
          </w:tcPr>
          <w:p w14:paraId="1C3150F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julio de 2013</w:t>
            </w:r>
          </w:p>
        </w:tc>
        <w:tc>
          <w:tcPr>
            <w:tcW w:w="2058" w:type="dxa"/>
            <w:shd w:val="clear" w:color="auto" w:fill="auto"/>
            <w:vAlign w:val="bottom"/>
          </w:tcPr>
          <w:p w14:paraId="2AFC198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25 de septiembre de 2014</w:t>
            </w:r>
          </w:p>
        </w:tc>
      </w:tr>
      <w:tr w:rsidR="002667B2" w14:paraId="66DF1A1D" w14:textId="77777777" w:rsidTr="002667B2">
        <w:tc>
          <w:tcPr>
            <w:tcW w:w="1344" w:type="dxa"/>
            <w:shd w:val="clear" w:color="auto" w:fill="auto"/>
          </w:tcPr>
          <w:p w14:paraId="0969AC54"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Montenegro</w:t>
            </w:r>
            <w:r w:rsidRPr="00174B1B">
              <w:rPr>
                <w:sz w:val="18"/>
                <w:szCs w:val="18"/>
                <w:lang w:val="es-ES"/>
              </w:rPr>
              <w:t>*</w:t>
            </w:r>
          </w:p>
        </w:tc>
        <w:tc>
          <w:tcPr>
            <w:tcW w:w="2030" w:type="dxa"/>
            <w:shd w:val="clear" w:color="auto" w:fill="auto"/>
            <w:vAlign w:val="bottom"/>
          </w:tcPr>
          <w:p w14:paraId="3604D67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septiembre de 2011</w:t>
            </w:r>
          </w:p>
        </w:tc>
        <w:tc>
          <w:tcPr>
            <w:tcW w:w="2072" w:type="dxa"/>
            <w:shd w:val="clear" w:color="auto" w:fill="auto"/>
            <w:vAlign w:val="bottom"/>
          </w:tcPr>
          <w:p w14:paraId="72A4D67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octubre de 2011</w:t>
            </w:r>
          </w:p>
        </w:tc>
        <w:tc>
          <w:tcPr>
            <w:tcW w:w="2043" w:type="dxa"/>
            <w:shd w:val="clear" w:color="auto" w:fill="auto"/>
            <w:vAlign w:val="bottom"/>
          </w:tcPr>
          <w:p w14:paraId="38C5874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octubre de 2013</w:t>
            </w:r>
          </w:p>
        </w:tc>
        <w:tc>
          <w:tcPr>
            <w:tcW w:w="2058" w:type="dxa"/>
            <w:shd w:val="clear" w:color="auto" w:fill="auto"/>
            <w:vAlign w:val="bottom"/>
          </w:tcPr>
          <w:p w14:paraId="0CE2764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30 de enero de 2014</w:t>
            </w:r>
          </w:p>
        </w:tc>
      </w:tr>
      <w:tr w:rsidR="002667B2" w14:paraId="2888C44B" w14:textId="77777777" w:rsidTr="002667B2">
        <w:tc>
          <w:tcPr>
            <w:tcW w:w="1344" w:type="dxa"/>
            <w:shd w:val="clear" w:color="auto" w:fill="auto"/>
          </w:tcPr>
          <w:p w14:paraId="17F9B277"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Costa Rica</w:t>
            </w:r>
          </w:p>
        </w:tc>
        <w:tc>
          <w:tcPr>
            <w:tcW w:w="2030" w:type="dxa"/>
            <w:shd w:val="clear" w:color="auto" w:fill="auto"/>
            <w:vAlign w:val="bottom"/>
          </w:tcPr>
          <w:p w14:paraId="6140303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16 de febrero de 2012</w:t>
            </w:r>
          </w:p>
        </w:tc>
        <w:tc>
          <w:tcPr>
            <w:tcW w:w="2072" w:type="dxa"/>
            <w:shd w:val="clear" w:color="auto" w:fill="auto"/>
            <w:vAlign w:val="bottom"/>
          </w:tcPr>
          <w:p w14:paraId="76873FB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17 de marzo de 2012</w:t>
            </w:r>
          </w:p>
        </w:tc>
        <w:tc>
          <w:tcPr>
            <w:tcW w:w="2043" w:type="dxa"/>
            <w:shd w:val="clear" w:color="auto" w:fill="auto"/>
            <w:vAlign w:val="bottom"/>
          </w:tcPr>
          <w:p w14:paraId="3DA3579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17 de marzo de 2014</w:t>
            </w:r>
          </w:p>
        </w:tc>
        <w:tc>
          <w:tcPr>
            <w:tcW w:w="2058" w:type="dxa"/>
            <w:shd w:val="clear" w:color="auto" w:fill="auto"/>
            <w:vAlign w:val="bottom"/>
          </w:tcPr>
          <w:p w14:paraId="3E644A7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mayo de 2020</w:t>
            </w:r>
          </w:p>
        </w:tc>
      </w:tr>
      <w:tr w:rsidR="002667B2" w14:paraId="20F36CE0" w14:textId="77777777" w:rsidTr="002667B2">
        <w:tc>
          <w:tcPr>
            <w:tcW w:w="1344" w:type="dxa"/>
            <w:shd w:val="clear" w:color="auto" w:fill="auto"/>
          </w:tcPr>
          <w:p w14:paraId="21DF32A9"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Bosnia y Herzegovina</w:t>
            </w:r>
            <w:r w:rsidRPr="00174B1B">
              <w:rPr>
                <w:sz w:val="18"/>
                <w:szCs w:val="18"/>
                <w:lang w:val="es-ES"/>
              </w:rPr>
              <w:t>*</w:t>
            </w:r>
          </w:p>
        </w:tc>
        <w:tc>
          <w:tcPr>
            <w:tcW w:w="2030" w:type="dxa"/>
            <w:shd w:val="clear" w:color="auto" w:fill="auto"/>
            <w:vAlign w:val="bottom"/>
          </w:tcPr>
          <w:p w14:paraId="0AA746D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30 de marzo de 2012</w:t>
            </w:r>
          </w:p>
        </w:tc>
        <w:tc>
          <w:tcPr>
            <w:tcW w:w="2072" w:type="dxa"/>
            <w:shd w:val="clear" w:color="auto" w:fill="auto"/>
            <w:vAlign w:val="bottom"/>
          </w:tcPr>
          <w:p w14:paraId="4E54E6C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abril de 2012</w:t>
            </w:r>
          </w:p>
        </w:tc>
        <w:tc>
          <w:tcPr>
            <w:tcW w:w="2043" w:type="dxa"/>
            <w:shd w:val="clear" w:color="auto" w:fill="auto"/>
            <w:vAlign w:val="bottom"/>
          </w:tcPr>
          <w:p w14:paraId="2A26C0E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29 de abril de 2014</w:t>
            </w:r>
          </w:p>
        </w:tc>
        <w:tc>
          <w:tcPr>
            <w:tcW w:w="2058" w:type="dxa"/>
            <w:shd w:val="clear" w:color="auto" w:fill="auto"/>
            <w:vAlign w:val="bottom"/>
          </w:tcPr>
          <w:p w14:paraId="2BC4335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enero de 2015</w:t>
            </w:r>
          </w:p>
        </w:tc>
      </w:tr>
      <w:tr w:rsidR="002667B2" w14:paraId="39C6E21A" w14:textId="77777777" w:rsidTr="002667B2">
        <w:tc>
          <w:tcPr>
            <w:tcW w:w="1344" w:type="dxa"/>
            <w:shd w:val="clear" w:color="auto" w:fill="auto"/>
          </w:tcPr>
          <w:p w14:paraId="35A48B0B"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Austria</w:t>
            </w:r>
            <w:r w:rsidRPr="00174B1B">
              <w:rPr>
                <w:sz w:val="18"/>
                <w:szCs w:val="18"/>
                <w:lang w:val="es-ES"/>
              </w:rPr>
              <w:t>*</w:t>
            </w:r>
          </w:p>
        </w:tc>
        <w:tc>
          <w:tcPr>
            <w:tcW w:w="2030" w:type="dxa"/>
            <w:shd w:val="clear" w:color="auto" w:fill="auto"/>
            <w:vAlign w:val="bottom"/>
          </w:tcPr>
          <w:p w14:paraId="0476EB4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junio de 2012</w:t>
            </w:r>
          </w:p>
        </w:tc>
        <w:tc>
          <w:tcPr>
            <w:tcW w:w="2072" w:type="dxa"/>
            <w:shd w:val="clear" w:color="auto" w:fill="auto"/>
            <w:vAlign w:val="bottom"/>
          </w:tcPr>
          <w:p w14:paraId="612CEB2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julio de 2012</w:t>
            </w:r>
          </w:p>
        </w:tc>
        <w:tc>
          <w:tcPr>
            <w:tcW w:w="2043" w:type="dxa"/>
            <w:shd w:val="clear" w:color="auto" w:fill="auto"/>
            <w:vAlign w:val="bottom"/>
          </w:tcPr>
          <w:p w14:paraId="1346AB7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julio de 2014</w:t>
            </w:r>
          </w:p>
        </w:tc>
        <w:tc>
          <w:tcPr>
            <w:tcW w:w="2058" w:type="dxa"/>
            <w:shd w:val="clear" w:color="auto" w:fill="auto"/>
            <w:vAlign w:val="bottom"/>
          </w:tcPr>
          <w:p w14:paraId="192BA0D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31 de mayo de 2016</w:t>
            </w:r>
          </w:p>
        </w:tc>
      </w:tr>
      <w:tr w:rsidR="002667B2" w14:paraId="770D3401" w14:textId="77777777" w:rsidTr="002667B2">
        <w:tc>
          <w:tcPr>
            <w:tcW w:w="1344" w:type="dxa"/>
            <w:shd w:val="clear" w:color="auto" w:fill="auto"/>
          </w:tcPr>
          <w:p w14:paraId="1DDCD28B"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Colombia</w:t>
            </w:r>
          </w:p>
        </w:tc>
        <w:tc>
          <w:tcPr>
            <w:tcW w:w="2030" w:type="dxa"/>
            <w:shd w:val="clear" w:color="auto" w:fill="auto"/>
            <w:vAlign w:val="bottom"/>
          </w:tcPr>
          <w:p w14:paraId="3B85E2D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11 de julio de 2012</w:t>
            </w:r>
          </w:p>
        </w:tc>
        <w:tc>
          <w:tcPr>
            <w:tcW w:w="2072" w:type="dxa"/>
            <w:shd w:val="clear" w:color="auto" w:fill="auto"/>
            <w:vAlign w:val="bottom"/>
          </w:tcPr>
          <w:p w14:paraId="1A5BD20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10 de agosto de 2012</w:t>
            </w:r>
          </w:p>
        </w:tc>
        <w:tc>
          <w:tcPr>
            <w:tcW w:w="2043" w:type="dxa"/>
            <w:shd w:val="clear" w:color="auto" w:fill="auto"/>
            <w:vAlign w:val="bottom"/>
          </w:tcPr>
          <w:p w14:paraId="4F954FC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10 de agosto de 2014</w:t>
            </w:r>
          </w:p>
        </w:tc>
        <w:tc>
          <w:tcPr>
            <w:tcW w:w="2058" w:type="dxa"/>
            <w:shd w:val="clear" w:color="auto" w:fill="auto"/>
            <w:vAlign w:val="bottom"/>
          </w:tcPr>
          <w:p w14:paraId="2E225B1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17 de diciembre de 2014</w:t>
            </w:r>
          </w:p>
        </w:tc>
      </w:tr>
      <w:tr w:rsidR="002667B2" w14:paraId="726FD6B7" w14:textId="77777777" w:rsidTr="002667B2">
        <w:tc>
          <w:tcPr>
            <w:tcW w:w="1344" w:type="dxa"/>
            <w:shd w:val="clear" w:color="auto" w:fill="auto"/>
          </w:tcPr>
          <w:p w14:paraId="50910279"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Perú</w:t>
            </w:r>
            <w:r w:rsidRPr="00174B1B">
              <w:rPr>
                <w:sz w:val="18"/>
                <w:szCs w:val="18"/>
                <w:lang w:val="es-ES"/>
              </w:rPr>
              <w:t>*</w:t>
            </w:r>
          </w:p>
        </w:tc>
        <w:tc>
          <w:tcPr>
            <w:tcW w:w="2030" w:type="dxa"/>
            <w:shd w:val="clear" w:color="auto" w:fill="auto"/>
            <w:vAlign w:val="bottom"/>
          </w:tcPr>
          <w:p w14:paraId="6618BC6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septiembre de 2012</w:t>
            </w:r>
          </w:p>
        </w:tc>
        <w:tc>
          <w:tcPr>
            <w:tcW w:w="2072" w:type="dxa"/>
            <w:shd w:val="clear" w:color="auto" w:fill="auto"/>
            <w:vAlign w:val="bottom"/>
          </w:tcPr>
          <w:p w14:paraId="5E00196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octubre de 2012</w:t>
            </w:r>
          </w:p>
        </w:tc>
        <w:tc>
          <w:tcPr>
            <w:tcW w:w="2043" w:type="dxa"/>
            <w:shd w:val="clear" w:color="auto" w:fill="auto"/>
            <w:vAlign w:val="bottom"/>
          </w:tcPr>
          <w:p w14:paraId="44DB4C6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octubre de 2014</w:t>
            </w:r>
          </w:p>
        </w:tc>
        <w:tc>
          <w:tcPr>
            <w:tcW w:w="2058" w:type="dxa"/>
            <w:shd w:val="clear" w:color="auto" w:fill="auto"/>
            <w:vAlign w:val="bottom"/>
          </w:tcPr>
          <w:p w14:paraId="2C0FBA6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agosto de 2016</w:t>
            </w:r>
          </w:p>
        </w:tc>
      </w:tr>
      <w:tr w:rsidR="002667B2" w14:paraId="7D5EC6C9" w14:textId="77777777" w:rsidTr="002667B2">
        <w:tc>
          <w:tcPr>
            <w:tcW w:w="1344" w:type="dxa"/>
            <w:shd w:val="clear" w:color="auto" w:fill="auto"/>
          </w:tcPr>
          <w:p w14:paraId="478D12A1"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Mauritania</w:t>
            </w:r>
          </w:p>
        </w:tc>
        <w:tc>
          <w:tcPr>
            <w:tcW w:w="2030" w:type="dxa"/>
            <w:shd w:val="clear" w:color="auto" w:fill="auto"/>
            <w:vAlign w:val="bottom"/>
          </w:tcPr>
          <w:p w14:paraId="0A1096E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3 de octubre de 2012</w:t>
            </w:r>
          </w:p>
        </w:tc>
        <w:tc>
          <w:tcPr>
            <w:tcW w:w="2072" w:type="dxa"/>
            <w:shd w:val="clear" w:color="auto" w:fill="auto"/>
            <w:vAlign w:val="bottom"/>
          </w:tcPr>
          <w:p w14:paraId="397A3C1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noviembre de 2012</w:t>
            </w:r>
          </w:p>
        </w:tc>
        <w:tc>
          <w:tcPr>
            <w:tcW w:w="2043" w:type="dxa"/>
            <w:shd w:val="clear" w:color="auto" w:fill="auto"/>
            <w:vAlign w:val="bottom"/>
          </w:tcPr>
          <w:p w14:paraId="21610BB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noviembre de 2014</w:t>
            </w:r>
          </w:p>
        </w:tc>
        <w:tc>
          <w:tcPr>
            <w:tcW w:w="2058" w:type="dxa"/>
            <w:shd w:val="clear" w:color="auto" w:fill="auto"/>
            <w:vAlign w:val="bottom"/>
          </w:tcPr>
          <w:p w14:paraId="230B2387" w14:textId="77777777" w:rsidR="00174B1B" w:rsidRPr="00174B1B" w:rsidRDefault="00174B1B" w:rsidP="002667B2">
            <w:pPr>
              <w:suppressAutoHyphens w:val="0"/>
              <w:spacing w:before="40" w:after="120"/>
              <w:ind w:right="57"/>
              <w:rPr>
                <w:sz w:val="18"/>
                <w:szCs w:val="18"/>
                <w:lang w:val="es-ES"/>
              </w:rPr>
            </w:pPr>
          </w:p>
        </w:tc>
      </w:tr>
      <w:tr w:rsidR="002667B2" w14:paraId="2C720955" w14:textId="77777777" w:rsidTr="002667B2">
        <w:tc>
          <w:tcPr>
            <w:tcW w:w="1344" w:type="dxa"/>
            <w:shd w:val="clear" w:color="auto" w:fill="auto"/>
          </w:tcPr>
          <w:p w14:paraId="37FCF792"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Samoa</w:t>
            </w:r>
          </w:p>
        </w:tc>
        <w:tc>
          <w:tcPr>
            <w:tcW w:w="2030" w:type="dxa"/>
            <w:shd w:val="clear" w:color="auto" w:fill="auto"/>
            <w:vAlign w:val="bottom"/>
          </w:tcPr>
          <w:p w14:paraId="7EB25AE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noviembre de 2012</w:t>
            </w:r>
          </w:p>
        </w:tc>
        <w:tc>
          <w:tcPr>
            <w:tcW w:w="2072" w:type="dxa"/>
            <w:shd w:val="clear" w:color="auto" w:fill="auto"/>
            <w:vAlign w:val="bottom"/>
          </w:tcPr>
          <w:p w14:paraId="1B5638F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diciembre de 2012</w:t>
            </w:r>
          </w:p>
        </w:tc>
        <w:tc>
          <w:tcPr>
            <w:tcW w:w="2043" w:type="dxa"/>
            <w:shd w:val="clear" w:color="auto" w:fill="auto"/>
            <w:vAlign w:val="bottom"/>
          </w:tcPr>
          <w:p w14:paraId="55D44F0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diciembre de 2014</w:t>
            </w:r>
          </w:p>
        </w:tc>
        <w:tc>
          <w:tcPr>
            <w:tcW w:w="2058" w:type="dxa"/>
            <w:shd w:val="clear" w:color="auto" w:fill="auto"/>
            <w:vAlign w:val="bottom"/>
          </w:tcPr>
          <w:p w14:paraId="4CE947BD" w14:textId="77777777" w:rsidR="00174B1B" w:rsidRPr="00174B1B" w:rsidRDefault="00174B1B" w:rsidP="002667B2">
            <w:pPr>
              <w:suppressAutoHyphens w:val="0"/>
              <w:spacing w:before="40" w:after="120"/>
              <w:ind w:right="57"/>
              <w:rPr>
                <w:sz w:val="18"/>
                <w:szCs w:val="18"/>
                <w:lang w:val="es-ES"/>
              </w:rPr>
            </w:pPr>
          </w:p>
        </w:tc>
      </w:tr>
      <w:tr w:rsidR="002667B2" w14:paraId="1ED6D882" w14:textId="77777777" w:rsidTr="002667B2">
        <w:tc>
          <w:tcPr>
            <w:tcW w:w="1344" w:type="dxa"/>
            <w:shd w:val="clear" w:color="auto" w:fill="auto"/>
          </w:tcPr>
          <w:p w14:paraId="2DDCDC65"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Marruecos</w:t>
            </w:r>
          </w:p>
        </w:tc>
        <w:tc>
          <w:tcPr>
            <w:tcW w:w="2030" w:type="dxa"/>
            <w:shd w:val="clear" w:color="auto" w:fill="auto"/>
            <w:vAlign w:val="bottom"/>
          </w:tcPr>
          <w:p w14:paraId="0CFFD25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mayo de 2013</w:t>
            </w:r>
          </w:p>
        </w:tc>
        <w:tc>
          <w:tcPr>
            <w:tcW w:w="2072" w:type="dxa"/>
            <w:shd w:val="clear" w:color="auto" w:fill="auto"/>
            <w:vAlign w:val="bottom"/>
          </w:tcPr>
          <w:p w14:paraId="4D35A15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junio de 2013</w:t>
            </w:r>
          </w:p>
        </w:tc>
        <w:tc>
          <w:tcPr>
            <w:tcW w:w="2043" w:type="dxa"/>
            <w:shd w:val="clear" w:color="auto" w:fill="auto"/>
            <w:vAlign w:val="bottom"/>
          </w:tcPr>
          <w:p w14:paraId="1D7C180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junio de 2015</w:t>
            </w:r>
          </w:p>
        </w:tc>
        <w:tc>
          <w:tcPr>
            <w:tcW w:w="2058" w:type="dxa"/>
            <w:shd w:val="clear" w:color="auto" w:fill="auto"/>
            <w:vAlign w:val="bottom"/>
          </w:tcPr>
          <w:p w14:paraId="3CB24A3D" w14:textId="77777777" w:rsidR="00174B1B" w:rsidRPr="00174B1B" w:rsidRDefault="00174B1B" w:rsidP="002667B2">
            <w:pPr>
              <w:suppressAutoHyphens w:val="0"/>
              <w:spacing w:before="40" w:after="120"/>
              <w:ind w:right="57"/>
              <w:rPr>
                <w:sz w:val="18"/>
                <w:szCs w:val="18"/>
                <w:lang w:val="es-ES"/>
              </w:rPr>
            </w:pPr>
          </w:p>
        </w:tc>
      </w:tr>
      <w:tr w:rsidR="002667B2" w14:paraId="10B3D8CE" w14:textId="77777777" w:rsidTr="002667B2">
        <w:tc>
          <w:tcPr>
            <w:tcW w:w="1344" w:type="dxa"/>
            <w:shd w:val="clear" w:color="auto" w:fill="auto"/>
          </w:tcPr>
          <w:p w14:paraId="333CBE9B"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Camboya</w:t>
            </w:r>
          </w:p>
        </w:tc>
        <w:tc>
          <w:tcPr>
            <w:tcW w:w="2030" w:type="dxa"/>
            <w:shd w:val="clear" w:color="auto" w:fill="auto"/>
            <w:vAlign w:val="bottom"/>
          </w:tcPr>
          <w:p w14:paraId="3C690FC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junio de 2013</w:t>
            </w:r>
          </w:p>
        </w:tc>
        <w:tc>
          <w:tcPr>
            <w:tcW w:w="2072" w:type="dxa"/>
            <w:shd w:val="clear" w:color="auto" w:fill="auto"/>
            <w:vAlign w:val="bottom"/>
          </w:tcPr>
          <w:p w14:paraId="2590475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julio de 2013</w:t>
            </w:r>
          </w:p>
        </w:tc>
        <w:tc>
          <w:tcPr>
            <w:tcW w:w="2043" w:type="dxa"/>
            <w:shd w:val="clear" w:color="auto" w:fill="auto"/>
            <w:vAlign w:val="bottom"/>
          </w:tcPr>
          <w:p w14:paraId="2B0D0DC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julio de 2015</w:t>
            </w:r>
          </w:p>
        </w:tc>
        <w:tc>
          <w:tcPr>
            <w:tcW w:w="2058" w:type="dxa"/>
            <w:shd w:val="clear" w:color="auto" w:fill="auto"/>
            <w:vAlign w:val="bottom"/>
          </w:tcPr>
          <w:p w14:paraId="2ED7325D" w14:textId="77777777" w:rsidR="00174B1B" w:rsidRPr="00174B1B" w:rsidRDefault="00174B1B" w:rsidP="002667B2">
            <w:pPr>
              <w:suppressAutoHyphens w:val="0"/>
              <w:spacing w:before="40" w:after="120"/>
              <w:ind w:right="57"/>
              <w:rPr>
                <w:sz w:val="18"/>
                <w:szCs w:val="18"/>
                <w:lang w:val="es-ES"/>
              </w:rPr>
            </w:pPr>
          </w:p>
        </w:tc>
      </w:tr>
      <w:tr w:rsidR="002667B2" w14:paraId="5302CF3A" w14:textId="77777777" w:rsidTr="002667B2">
        <w:tc>
          <w:tcPr>
            <w:tcW w:w="1344" w:type="dxa"/>
            <w:shd w:val="clear" w:color="auto" w:fill="auto"/>
          </w:tcPr>
          <w:p w14:paraId="5E910118"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Lituania</w:t>
            </w:r>
            <w:r w:rsidRPr="00174B1B">
              <w:rPr>
                <w:sz w:val="18"/>
                <w:szCs w:val="18"/>
                <w:lang w:val="es-ES"/>
              </w:rPr>
              <w:t>*</w:t>
            </w:r>
          </w:p>
        </w:tc>
        <w:tc>
          <w:tcPr>
            <w:tcW w:w="2030" w:type="dxa"/>
            <w:shd w:val="clear" w:color="auto" w:fill="auto"/>
            <w:vAlign w:val="bottom"/>
          </w:tcPr>
          <w:p w14:paraId="7BE3E0A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agosto de 2013</w:t>
            </w:r>
          </w:p>
        </w:tc>
        <w:tc>
          <w:tcPr>
            <w:tcW w:w="2072" w:type="dxa"/>
            <w:shd w:val="clear" w:color="auto" w:fill="auto"/>
            <w:vAlign w:val="bottom"/>
          </w:tcPr>
          <w:p w14:paraId="702DD52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septiembre de 2013</w:t>
            </w:r>
          </w:p>
        </w:tc>
        <w:tc>
          <w:tcPr>
            <w:tcW w:w="2043" w:type="dxa"/>
            <w:shd w:val="clear" w:color="auto" w:fill="auto"/>
            <w:vAlign w:val="bottom"/>
          </w:tcPr>
          <w:p w14:paraId="2956666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septiembre de 2015</w:t>
            </w:r>
          </w:p>
        </w:tc>
        <w:tc>
          <w:tcPr>
            <w:tcW w:w="2058" w:type="dxa"/>
            <w:shd w:val="clear" w:color="auto" w:fill="auto"/>
            <w:vAlign w:val="bottom"/>
          </w:tcPr>
          <w:p w14:paraId="72A22F7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6 de octubre de 2015</w:t>
            </w:r>
          </w:p>
        </w:tc>
      </w:tr>
      <w:tr w:rsidR="002667B2" w14:paraId="57516D39" w14:textId="77777777" w:rsidTr="002667B2">
        <w:tc>
          <w:tcPr>
            <w:tcW w:w="1344" w:type="dxa"/>
            <w:shd w:val="clear" w:color="auto" w:fill="auto"/>
          </w:tcPr>
          <w:p w14:paraId="2DD4C182"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Lesotho</w:t>
            </w:r>
          </w:p>
        </w:tc>
        <w:tc>
          <w:tcPr>
            <w:tcW w:w="2030" w:type="dxa"/>
            <w:shd w:val="clear" w:color="auto" w:fill="auto"/>
            <w:vAlign w:val="bottom"/>
          </w:tcPr>
          <w:p w14:paraId="56105F1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6 de diciembre de 2013</w:t>
            </w:r>
          </w:p>
        </w:tc>
        <w:tc>
          <w:tcPr>
            <w:tcW w:w="2072" w:type="dxa"/>
            <w:shd w:val="clear" w:color="auto" w:fill="auto"/>
            <w:vAlign w:val="bottom"/>
          </w:tcPr>
          <w:p w14:paraId="4D1D889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5 de enero de 2014</w:t>
            </w:r>
          </w:p>
        </w:tc>
        <w:tc>
          <w:tcPr>
            <w:tcW w:w="2043" w:type="dxa"/>
            <w:shd w:val="clear" w:color="auto" w:fill="auto"/>
            <w:vAlign w:val="bottom"/>
          </w:tcPr>
          <w:p w14:paraId="010D02E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5 de enero de 2016</w:t>
            </w:r>
          </w:p>
        </w:tc>
        <w:tc>
          <w:tcPr>
            <w:tcW w:w="2058" w:type="dxa"/>
            <w:shd w:val="clear" w:color="auto" w:fill="auto"/>
            <w:vAlign w:val="bottom"/>
          </w:tcPr>
          <w:p w14:paraId="6B347AA1" w14:textId="77777777" w:rsidR="00174B1B" w:rsidRPr="00174B1B" w:rsidRDefault="00174B1B" w:rsidP="002667B2">
            <w:pPr>
              <w:suppressAutoHyphens w:val="0"/>
              <w:spacing w:before="40" w:after="120"/>
              <w:ind w:right="57"/>
              <w:rPr>
                <w:sz w:val="18"/>
                <w:szCs w:val="18"/>
                <w:lang w:val="es-ES"/>
              </w:rPr>
            </w:pPr>
          </w:p>
        </w:tc>
      </w:tr>
      <w:tr w:rsidR="002667B2" w14:paraId="76857FD8" w14:textId="77777777" w:rsidTr="002667B2">
        <w:tc>
          <w:tcPr>
            <w:tcW w:w="1344" w:type="dxa"/>
            <w:shd w:val="clear" w:color="auto" w:fill="auto"/>
          </w:tcPr>
          <w:p w14:paraId="69D7F6F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Portugal</w:t>
            </w:r>
            <w:r w:rsidRPr="00174B1B">
              <w:rPr>
                <w:sz w:val="18"/>
                <w:szCs w:val="18"/>
                <w:lang w:val="es-ES"/>
              </w:rPr>
              <w:t>*</w:t>
            </w:r>
          </w:p>
        </w:tc>
        <w:tc>
          <w:tcPr>
            <w:tcW w:w="2030" w:type="dxa"/>
            <w:shd w:val="clear" w:color="auto" w:fill="auto"/>
            <w:vAlign w:val="bottom"/>
          </w:tcPr>
          <w:p w14:paraId="1D29C0E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enero de 2014</w:t>
            </w:r>
          </w:p>
        </w:tc>
        <w:tc>
          <w:tcPr>
            <w:tcW w:w="2072" w:type="dxa"/>
            <w:shd w:val="clear" w:color="auto" w:fill="auto"/>
            <w:vAlign w:val="bottom"/>
          </w:tcPr>
          <w:p w14:paraId="65DA956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febrero de 2014</w:t>
            </w:r>
          </w:p>
        </w:tc>
        <w:tc>
          <w:tcPr>
            <w:tcW w:w="2043" w:type="dxa"/>
            <w:shd w:val="clear" w:color="auto" w:fill="auto"/>
            <w:vAlign w:val="bottom"/>
          </w:tcPr>
          <w:p w14:paraId="0DA2FD7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febrero de 2016</w:t>
            </w:r>
          </w:p>
        </w:tc>
        <w:tc>
          <w:tcPr>
            <w:tcW w:w="2058" w:type="dxa"/>
            <w:shd w:val="clear" w:color="auto" w:fill="auto"/>
            <w:vAlign w:val="bottom"/>
          </w:tcPr>
          <w:p w14:paraId="40E3998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junio de 2016</w:t>
            </w:r>
          </w:p>
        </w:tc>
      </w:tr>
      <w:tr w:rsidR="002667B2" w14:paraId="04C65051" w14:textId="77777777" w:rsidTr="002667B2">
        <w:tc>
          <w:tcPr>
            <w:tcW w:w="1344" w:type="dxa"/>
            <w:shd w:val="clear" w:color="auto" w:fill="auto"/>
          </w:tcPr>
          <w:p w14:paraId="7A867D52"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Togo</w:t>
            </w:r>
          </w:p>
        </w:tc>
        <w:tc>
          <w:tcPr>
            <w:tcW w:w="2030" w:type="dxa"/>
            <w:shd w:val="clear" w:color="auto" w:fill="auto"/>
            <w:vAlign w:val="bottom"/>
          </w:tcPr>
          <w:p w14:paraId="1482BCB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julio de 2014</w:t>
            </w:r>
          </w:p>
        </w:tc>
        <w:tc>
          <w:tcPr>
            <w:tcW w:w="2072" w:type="dxa"/>
            <w:shd w:val="clear" w:color="auto" w:fill="auto"/>
            <w:vAlign w:val="bottom"/>
          </w:tcPr>
          <w:p w14:paraId="768F3B3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agosto de 2014</w:t>
            </w:r>
          </w:p>
        </w:tc>
        <w:tc>
          <w:tcPr>
            <w:tcW w:w="2043" w:type="dxa"/>
            <w:shd w:val="clear" w:color="auto" w:fill="auto"/>
            <w:vAlign w:val="bottom"/>
          </w:tcPr>
          <w:p w14:paraId="6FDF41F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20 de agosto de 2016</w:t>
            </w:r>
          </w:p>
        </w:tc>
        <w:tc>
          <w:tcPr>
            <w:tcW w:w="2058" w:type="dxa"/>
            <w:shd w:val="clear" w:color="auto" w:fill="auto"/>
            <w:vAlign w:val="bottom"/>
          </w:tcPr>
          <w:p w14:paraId="62F24ECF" w14:textId="77777777" w:rsidR="00174B1B" w:rsidRPr="00174B1B" w:rsidRDefault="00174B1B" w:rsidP="002667B2">
            <w:pPr>
              <w:suppressAutoHyphens w:val="0"/>
              <w:spacing w:before="40" w:after="120"/>
              <w:ind w:right="57"/>
              <w:rPr>
                <w:sz w:val="18"/>
                <w:szCs w:val="18"/>
                <w:lang w:val="es-ES"/>
              </w:rPr>
            </w:pPr>
          </w:p>
        </w:tc>
      </w:tr>
      <w:tr w:rsidR="002667B2" w14:paraId="35F98E72" w14:textId="77777777" w:rsidTr="002667B2">
        <w:tc>
          <w:tcPr>
            <w:tcW w:w="1344" w:type="dxa"/>
            <w:shd w:val="clear" w:color="auto" w:fill="auto"/>
          </w:tcPr>
          <w:p w14:paraId="4703E33B"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Eslovaquia</w:t>
            </w:r>
            <w:r w:rsidRPr="00174B1B">
              <w:rPr>
                <w:sz w:val="18"/>
                <w:szCs w:val="18"/>
                <w:lang w:val="es-ES"/>
              </w:rPr>
              <w:t>*</w:t>
            </w:r>
          </w:p>
        </w:tc>
        <w:tc>
          <w:tcPr>
            <w:tcW w:w="2030" w:type="dxa"/>
            <w:shd w:val="clear" w:color="auto" w:fill="auto"/>
            <w:vAlign w:val="bottom"/>
          </w:tcPr>
          <w:p w14:paraId="7B3123E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15 de diciembre de 2014</w:t>
            </w:r>
          </w:p>
        </w:tc>
        <w:tc>
          <w:tcPr>
            <w:tcW w:w="2072" w:type="dxa"/>
            <w:shd w:val="clear" w:color="auto" w:fill="auto"/>
            <w:vAlign w:val="bottom"/>
          </w:tcPr>
          <w:p w14:paraId="273C1E9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enero de 2015</w:t>
            </w:r>
          </w:p>
        </w:tc>
        <w:tc>
          <w:tcPr>
            <w:tcW w:w="2043" w:type="dxa"/>
            <w:shd w:val="clear" w:color="auto" w:fill="auto"/>
            <w:vAlign w:val="bottom"/>
          </w:tcPr>
          <w:p w14:paraId="486EDC2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enero de 2017</w:t>
            </w:r>
          </w:p>
        </w:tc>
        <w:tc>
          <w:tcPr>
            <w:tcW w:w="2058" w:type="dxa"/>
            <w:shd w:val="clear" w:color="auto" w:fill="auto"/>
            <w:vAlign w:val="bottom"/>
          </w:tcPr>
          <w:p w14:paraId="6001893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abril de 2018</w:t>
            </w:r>
          </w:p>
        </w:tc>
      </w:tr>
      <w:tr w:rsidR="002667B2" w14:paraId="7B84CAD7" w14:textId="77777777" w:rsidTr="002667B2">
        <w:tc>
          <w:tcPr>
            <w:tcW w:w="1344" w:type="dxa"/>
            <w:shd w:val="clear" w:color="auto" w:fill="auto"/>
          </w:tcPr>
          <w:p w14:paraId="41DA7D3C"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Mongolia</w:t>
            </w:r>
          </w:p>
        </w:tc>
        <w:tc>
          <w:tcPr>
            <w:tcW w:w="2030" w:type="dxa"/>
            <w:shd w:val="clear" w:color="auto" w:fill="auto"/>
            <w:vAlign w:val="bottom"/>
          </w:tcPr>
          <w:p w14:paraId="76034E1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12 de febrero de 2015</w:t>
            </w:r>
          </w:p>
        </w:tc>
        <w:tc>
          <w:tcPr>
            <w:tcW w:w="2072" w:type="dxa"/>
            <w:shd w:val="clear" w:color="auto" w:fill="auto"/>
            <w:vAlign w:val="bottom"/>
          </w:tcPr>
          <w:p w14:paraId="77D8E79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marzo de 2015</w:t>
            </w:r>
          </w:p>
        </w:tc>
        <w:tc>
          <w:tcPr>
            <w:tcW w:w="2043" w:type="dxa"/>
            <w:shd w:val="clear" w:color="auto" w:fill="auto"/>
            <w:vAlign w:val="bottom"/>
          </w:tcPr>
          <w:p w14:paraId="573A185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marzo de 2017</w:t>
            </w:r>
          </w:p>
        </w:tc>
        <w:tc>
          <w:tcPr>
            <w:tcW w:w="2058" w:type="dxa"/>
            <w:shd w:val="clear" w:color="auto" w:fill="auto"/>
            <w:vAlign w:val="bottom"/>
          </w:tcPr>
          <w:p w14:paraId="6AC3FB1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diciembre de 2018</w:t>
            </w:r>
          </w:p>
        </w:tc>
      </w:tr>
      <w:tr w:rsidR="002667B2" w14:paraId="52A06BAF" w14:textId="77777777" w:rsidTr="002667B2">
        <w:tc>
          <w:tcPr>
            <w:tcW w:w="1344" w:type="dxa"/>
            <w:shd w:val="clear" w:color="auto" w:fill="auto"/>
          </w:tcPr>
          <w:p w14:paraId="3066955D"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Malta</w:t>
            </w:r>
          </w:p>
        </w:tc>
        <w:tc>
          <w:tcPr>
            <w:tcW w:w="2030" w:type="dxa"/>
            <w:shd w:val="clear" w:color="auto" w:fill="auto"/>
            <w:vAlign w:val="bottom"/>
          </w:tcPr>
          <w:p w14:paraId="6A7CE2FB"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27 de marzo de 2015</w:t>
            </w:r>
          </w:p>
        </w:tc>
        <w:tc>
          <w:tcPr>
            <w:tcW w:w="2072" w:type="dxa"/>
            <w:shd w:val="clear" w:color="auto" w:fill="auto"/>
            <w:vAlign w:val="bottom"/>
          </w:tcPr>
          <w:p w14:paraId="541C9AF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abril de 2015</w:t>
            </w:r>
          </w:p>
        </w:tc>
        <w:tc>
          <w:tcPr>
            <w:tcW w:w="2043" w:type="dxa"/>
            <w:shd w:val="clear" w:color="auto" w:fill="auto"/>
            <w:vAlign w:val="bottom"/>
          </w:tcPr>
          <w:p w14:paraId="6872B3A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26 de abril de 2017</w:t>
            </w:r>
          </w:p>
        </w:tc>
        <w:tc>
          <w:tcPr>
            <w:tcW w:w="2058" w:type="dxa"/>
            <w:shd w:val="clear" w:color="auto" w:fill="auto"/>
            <w:vAlign w:val="bottom"/>
          </w:tcPr>
          <w:p w14:paraId="1362DC0C" w14:textId="77777777" w:rsidR="00174B1B" w:rsidRPr="00174B1B" w:rsidRDefault="00174B1B" w:rsidP="002667B2">
            <w:pPr>
              <w:suppressAutoHyphens w:val="0"/>
              <w:spacing w:before="40" w:after="120"/>
              <w:ind w:right="57"/>
              <w:rPr>
                <w:sz w:val="18"/>
                <w:szCs w:val="18"/>
                <w:lang w:val="es-ES"/>
              </w:rPr>
            </w:pPr>
          </w:p>
        </w:tc>
      </w:tr>
      <w:tr w:rsidR="002667B2" w14:paraId="1EB2A9EE" w14:textId="77777777" w:rsidTr="002667B2">
        <w:tc>
          <w:tcPr>
            <w:tcW w:w="1344" w:type="dxa"/>
            <w:shd w:val="clear" w:color="auto" w:fill="auto"/>
          </w:tcPr>
          <w:p w14:paraId="6F5002AC"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Grecia</w:t>
            </w:r>
          </w:p>
        </w:tc>
        <w:tc>
          <w:tcPr>
            <w:tcW w:w="2030" w:type="dxa"/>
            <w:shd w:val="clear" w:color="auto" w:fill="auto"/>
            <w:vAlign w:val="bottom"/>
          </w:tcPr>
          <w:p w14:paraId="6B83621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9 de julio de 2015</w:t>
            </w:r>
          </w:p>
        </w:tc>
        <w:tc>
          <w:tcPr>
            <w:tcW w:w="2072" w:type="dxa"/>
            <w:shd w:val="clear" w:color="auto" w:fill="auto"/>
            <w:vAlign w:val="bottom"/>
          </w:tcPr>
          <w:p w14:paraId="2A57E67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agosto de 2015</w:t>
            </w:r>
          </w:p>
        </w:tc>
        <w:tc>
          <w:tcPr>
            <w:tcW w:w="2043" w:type="dxa"/>
            <w:shd w:val="clear" w:color="auto" w:fill="auto"/>
            <w:vAlign w:val="bottom"/>
          </w:tcPr>
          <w:p w14:paraId="0930A39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agosto de 2017</w:t>
            </w:r>
          </w:p>
        </w:tc>
        <w:tc>
          <w:tcPr>
            <w:tcW w:w="2058" w:type="dxa"/>
            <w:shd w:val="clear" w:color="auto" w:fill="auto"/>
            <w:vAlign w:val="bottom"/>
          </w:tcPr>
          <w:p w14:paraId="2A01B61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febrero de 2019</w:t>
            </w:r>
          </w:p>
        </w:tc>
      </w:tr>
      <w:tr w:rsidR="002667B2" w14:paraId="439FDABD" w14:textId="77777777" w:rsidTr="002667B2">
        <w:tc>
          <w:tcPr>
            <w:tcW w:w="1344" w:type="dxa"/>
            <w:shd w:val="clear" w:color="auto" w:fill="auto"/>
          </w:tcPr>
          <w:p w14:paraId="472DDDB0"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Níger</w:t>
            </w:r>
          </w:p>
        </w:tc>
        <w:tc>
          <w:tcPr>
            <w:tcW w:w="2030" w:type="dxa"/>
            <w:shd w:val="clear" w:color="auto" w:fill="auto"/>
            <w:vAlign w:val="bottom"/>
          </w:tcPr>
          <w:p w14:paraId="459E74B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julio de 2015</w:t>
            </w:r>
          </w:p>
        </w:tc>
        <w:tc>
          <w:tcPr>
            <w:tcW w:w="2072" w:type="dxa"/>
            <w:shd w:val="clear" w:color="auto" w:fill="auto"/>
            <w:vAlign w:val="bottom"/>
          </w:tcPr>
          <w:p w14:paraId="6AEF764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agosto de 2015</w:t>
            </w:r>
          </w:p>
        </w:tc>
        <w:tc>
          <w:tcPr>
            <w:tcW w:w="2043" w:type="dxa"/>
            <w:shd w:val="clear" w:color="auto" w:fill="auto"/>
            <w:vAlign w:val="bottom"/>
          </w:tcPr>
          <w:p w14:paraId="7F9962A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23 de agosto de 2017</w:t>
            </w:r>
          </w:p>
        </w:tc>
        <w:tc>
          <w:tcPr>
            <w:tcW w:w="2058" w:type="dxa"/>
            <w:shd w:val="clear" w:color="auto" w:fill="auto"/>
            <w:vAlign w:val="bottom"/>
          </w:tcPr>
          <w:p w14:paraId="3A6B5B7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agosto de 2019</w:t>
            </w:r>
          </w:p>
        </w:tc>
      </w:tr>
      <w:tr w:rsidR="00174B1B" w14:paraId="4460E361" w14:textId="77777777" w:rsidTr="002667B2">
        <w:tc>
          <w:tcPr>
            <w:tcW w:w="1344" w:type="dxa"/>
            <w:shd w:val="clear" w:color="auto" w:fill="auto"/>
          </w:tcPr>
          <w:p w14:paraId="66975295"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Belice</w:t>
            </w:r>
          </w:p>
        </w:tc>
        <w:tc>
          <w:tcPr>
            <w:tcW w:w="2030" w:type="dxa"/>
            <w:shd w:val="clear" w:color="auto" w:fill="auto"/>
            <w:vAlign w:val="bottom"/>
          </w:tcPr>
          <w:p w14:paraId="56481AB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agosto de 2015</w:t>
            </w:r>
          </w:p>
        </w:tc>
        <w:tc>
          <w:tcPr>
            <w:tcW w:w="2072" w:type="dxa"/>
            <w:shd w:val="clear" w:color="auto" w:fill="auto"/>
            <w:vAlign w:val="bottom"/>
          </w:tcPr>
          <w:p w14:paraId="27367AC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septiembre de 2015</w:t>
            </w:r>
          </w:p>
        </w:tc>
        <w:tc>
          <w:tcPr>
            <w:tcW w:w="2043" w:type="dxa"/>
            <w:shd w:val="clear" w:color="auto" w:fill="auto"/>
            <w:vAlign w:val="bottom"/>
          </w:tcPr>
          <w:p w14:paraId="701043DC"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septiembre de 2017</w:t>
            </w:r>
          </w:p>
        </w:tc>
        <w:tc>
          <w:tcPr>
            <w:tcW w:w="2058" w:type="dxa"/>
            <w:shd w:val="clear" w:color="auto" w:fill="auto"/>
            <w:vAlign w:val="bottom"/>
          </w:tcPr>
          <w:p w14:paraId="3B083187" w14:textId="77777777" w:rsidR="00174B1B" w:rsidRPr="00174B1B" w:rsidRDefault="00174B1B" w:rsidP="002667B2">
            <w:pPr>
              <w:suppressAutoHyphens w:val="0"/>
              <w:spacing w:before="40" w:after="120"/>
              <w:ind w:right="57"/>
              <w:rPr>
                <w:sz w:val="18"/>
                <w:szCs w:val="18"/>
                <w:lang w:val="es-ES"/>
              </w:rPr>
            </w:pPr>
          </w:p>
        </w:tc>
      </w:tr>
      <w:tr w:rsidR="00174B1B" w14:paraId="20D9BA68" w14:textId="77777777" w:rsidTr="002667B2">
        <w:tc>
          <w:tcPr>
            <w:tcW w:w="1344" w:type="dxa"/>
            <w:shd w:val="clear" w:color="auto" w:fill="auto"/>
          </w:tcPr>
          <w:p w14:paraId="53FFEA30"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Ucrania</w:t>
            </w:r>
            <w:r w:rsidRPr="00174B1B">
              <w:rPr>
                <w:sz w:val="18"/>
                <w:szCs w:val="18"/>
                <w:lang w:val="es-ES"/>
              </w:rPr>
              <w:t>*</w:t>
            </w:r>
          </w:p>
        </w:tc>
        <w:tc>
          <w:tcPr>
            <w:tcW w:w="2030" w:type="dxa"/>
            <w:shd w:val="clear" w:color="auto" w:fill="auto"/>
            <w:vAlign w:val="bottom"/>
          </w:tcPr>
          <w:p w14:paraId="1BC8072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14 de agosto de 2015</w:t>
            </w:r>
          </w:p>
        </w:tc>
        <w:tc>
          <w:tcPr>
            <w:tcW w:w="2072" w:type="dxa"/>
            <w:shd w:val="clear" w:color="auto" w:fill="auto"/>
            <w:vAlign w:val="bottom"/>
          </w:tcPr>
          <w:p w14:paraId="63C6791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septiembre de 2015</w:t>
            </w:r>
          </w:p>
        </w:tc>
        <w:tc>
          <w:tcPr>
            <w:tcW w:w="2043" w:type="dxa"/>
            <w:shd w:val="clear" w:color="auto" w:fill="auto"/>
            <w:vAlign w:val="bottom"/>
          </w:tcPr>
          <w:p w14:paraId="501F799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 xml:space="preserve">13 de septiembre de 2017 </w:t>
            </w:r>
          </w:p>
        </w:tc>
        <w:tc>
          <w:tcPr>
            <w:tcW w:w="2058" w:type="dxa"/>
            <w:shd w:val="clear" w:color="auto" w:fill="auto"/>
            <w:vAlign w:val="bottom"/>
          </w:tcPr>
          <w:p w14:paraId="6288455C" w14:textId="77777777" w:rsidR="00174B1B" w:rsidRPr="00174B1B" w:rsidRDefault="00174B1B" w:rsidP="002667B2">
            <w:pPr>
              <w:suppressAutoHyphens w:val="0"/>
              <w:spacing w:before="40" w:after="120"/>
              <w:ind w:right="57"/>
              <w:rPr>
                <w:sz w:val="18"/>
                <w:szCs w:val="18"/>
                <w:lang w:val="es-ES"/>
              </w:rPr>
            </w:pPr>
          </w:p>
        </w:tc>
      </w:tr>
      <w:tr w:rsidR="00174B1B" w14:paraId="178D733D" w14:textId="77777777" w:rsidTr="002667B2">
        <w:tc>
          <w:tcPr>
            <w:tcW w:w="1344" w:type="dxa"/>
            <w:shd w:val="clear" w:color="auto" w:fill="auto"/>
          </w:tcPr>
          <w:p w14:paraId="5BD0F568"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Italia</w:t>
            </w:r>
          </w:p>
        </w:tc>
        <w:tc>
          <w:tcPr>
            <w:tcW w:w="2030" w:type="dxa"/>
            <w:shd w:val="clear" w:color="auto" w:fill="auto"/>
            <w:vAlign w:val="bottom"/>
          </w:tcPr>
          <w:p w14:paraId="7A63778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8 de octubre de 2015</w:t>
            </w:r>
          </w:p>
        </w:tc>
        <w:tc>
          <w:tcPr>
            <w:tcW w:w="2072" w:type="dxa"/>
            <w:shd w:val="clear" w:color="auto" w:fill="auto"/>
            <w:vAlign w:val="bottom"/>
          </w:tcPr>
          <w:p w14:paraId="54ECC98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noviembre de 2015</w:t>
            </w:r>
          </w:p>
        </w:tc>
        <w:tc>
          <w:tcPr>
            <w:tcW w:w="2043" w:type="dxa"/>
            <w:shd w:val="clear" w:color="auto" w:fill="auto"/>
            <w:vAlign w:val="bottom"/>
          </w:tcPr>
          <w:p w14:paraId="1AFC6AC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7 de noviembre de 2017</w:t>
            </w:r>
          </w:p>
        </w:tc>
        <w:tc>
          <w:tcPr>
            <w:tcW w:w="2058" w:type="dxa"/>
            <w:shd w:val="clear" w:color="auto" w:fill="auto"/>
            <w:vAlign w:val="bottom"/>
          </w:tcPr>
          <w:p w14:paraId="609A391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diciembre de 2017</w:t>
            </w:r>
          </w:p>
        </w:tc>
      </w:tr>
      <w:tr w:rsidR="00174B1B" w14:paraId="41E93136" w14:textId="77777777" w:rsidTr="002667B2">
        <w:tc>
          <w:tcPr>
            <w:tcW w:w="1344" w:type="dxa"/>
            <w:shd w:val="clear" w:color="auto" w:fill="auto"/>
          </w:tcPr>
          <w:p w14:paraId="288AA801"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Sri Lanka</w:t>
            </w:r>
          </w:p>
        </w:tc>
        <w:tc>
          <w:tcPr>
            <w:tcW w:w="2030" w:type="dxa"/>
            <w:shd w:val="clear" w:color="auto" w:fill="auto"/>
            <w:vAlign w:val="bottom"/>
          </w:tcPr>
          <w:p w14:paraId="6A5BF4B8"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25 de mayo de 2016</w:t>
            </w:r>
          </w:p>
        </w:tc>
        <w:tc>
          <w:tcPr>
            <w:tcW w:w="2072" w:type="dxa"/>
            <w:shd w:val="clear" w:color="auto" w:fill="auto"/>
            <w:vAlign w:val="bottom"/>
          </w:tcPr>
          <w:p w14:paraId="64C8262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junio de 2016</w:t>
            </w:r>
          </w:p>
        </w:tc>
        <w:tc>
          <w:tcPr>
            <w:tcW w:w="2043" w:type="dxa"/>
            <w:shd w:val="clear" w:color="auto" w:fill="auto"/>
            <w:vAlign w:val="bottom"/>
          </w:tcPr>
          <w:p w14:paraId="6D6DD621"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24 de junio de 2018</w:t>
            </w:r>
          </w:p>
        </w:tc>
        <w:tc>
          <w:tcPr>
            <w:tcW w:w="2058" w:type="dxa"/>
            <w:shd w:val="clear" w:color="auto" w:fill="auto"/>
            <w:vAlign w:val="bottom"/>
          </w:tcPr>
          <w:p w14:paraId="29BC8FE6" w14:textId="77777777" w:rsidR="00174B1B" w:rsidRPr="00174B1B" w:rsidRDefault="00174B1B" w:rsidP="002667B2">
            <w:pPr>
              <w:suppressAutoHyphens w:val="0"/>
              <w:spacing w:before="40" w:after="120"/>
              <w:ind w:right="57"/>
              <w:rPr>
                <w:sz w:val="18"/>
                <w:szCs w:val="18"/>
                <w:lang w:val="es-ES"/>
              </w:rPr>
            </w:pPr>
          </w:p>
        </w:tc>
      </w:tr>
      <w:tr w:rsidR="00174B1B" w14:paraId="12E59E92" w14:textId="77777777" w:rsidTr="004E20AB">
        <w:tc>
          <w:tcPr>
            <w:tcW w:w="1344" w:type="dxa"/>
            <w:shd w:val="clear" w:color="auto" w:fill="auto"/>
          </w:tcPr>
          <w:p w14:paraId="2A11C979" w14:textId="77777777" w:rsidR="00174B1B" w:rsidRPr="00174B1B" w:rsidRDefault="00174B1B" w:rsidP="002667B2">
            <w:pPr>
              <w:suppressAutoHyphens w:val="0"/>
              <w:spacing w:before="40" w:after="120"/>
              <w:rPr>
                <w:b/>
                <w:bCs/>
                <w:sz w:val="18"/>
                <w:szCs w:val="18"/>
                <w:lang w:val="es-ES"/>
              </w:rPr>
            </w:pPr>
            <w:r w:rsidRPr="00174B1B">
              <w:rPr>
                <w:b/>
                <w:bCs/>
                <w:sz w:val="18"/>
                <w:szCs w:val="18"/>
                <w:lang w:val="es-ES"/>
              </w:rPr>
              <w:t>República Centroafricana</w:t>
            </w:r>
          </w:p>
        </w:tc>
        <w:tc>
          <w:tcPr>
            <w:tcW w:w="2030" w:type="dxa"/>
            <w:shd w:val="clear" w:color="auto" w:fill="auto"/>
          </w:tcPr>
          <w:p w14:paraId="076AED2B"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11 de octubre de 2016</w:t>
            </w:r>
          </w:p>
        </w:tc>
        <w:tc>
          <w:tcPr>
            <w:tcW w:w="2072" w:type="dxa"/>
            <w:shd w:val="clear" w:color="auto" w:fill="auto"/>
          </w:tcPr>
          <w:p w14:paraId="2C1945AB"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10 de noviembre de 2016</w:t>
            </w:r>
          </w:p>
        </w:tc>
        <w:tc>
          <w:tcPr>
            <w:tcW w:w="2043" w:type="dxa"/>
            <w:shd w:val="clear" w:color="auto" w:fill="auto"/>
          </w:tcPr>
          <w:p w14:paraId="609269B1" w14:textId="77777777" w:rsidR="00174B1B" w:rsidRPr="00174B1B" w:rsidRDefault="00174B1B" w:rsidP="004E20AB">
            <w:pPr>
              <w:suppressAutoHyphens w:val="0"/>
              <w:spacing w:before="40" w:after="120"/>
              <w:ind w:right="57"/>
              <w:rPr>
                <w:sz w:val="18"/>
                <w:szCs w:val="18"/>
                <w:lang w:val="es-ES"/>
              </w:rPr>
            </w:pPr>
            <w:r w:rsidRPr="00174B1B">
              <w:rPr>
                <w:sz w:val="18"/>
                <w:szCs w:val="18"/>
                <w:lang w:val="es-ES"/>
              </w:rPr>
              <w:t>10 de noviembre de 2018</w:t>
            </w:r>
          </w:p>
        </w:tc>
        <w:tc>
          <w:tcPr>
            <w:tcW w:w="2058" w:type="dxa"/>
            <w:shd w:val="clear" w:color="auto" w:fill="auto"/>
          </w:tcPr>
          <w:p w14:paraId="6BED8A75" w14:textId="77777777" w:rsidR="00174B1B" w:rsidRPr="00174B1B" w:rsidRDefault="00174B1B" w:rsidP="004E20AB">
            <w:pPr>
              <w:suppressAutoHyphens w:val="0"/>
              <w:spacing w:before="40" w:after="120"/>
              <w:ind w:right="57"/>
              <w:rPr>
                <w:sz w:val="18"/>
                <w:szCs w:val="18"/>
                <w:lang w:val="es-ES"/>
              </w:rPr>
            </w:pPr>
          </w:p>
        </w:tc>
      </w:tr>
      <w:tr w:rsidR="00174B1B" w14:paraId="70416DE1" w14:textId="77777777" w:rsidTr="002667B2">
        <w:tc>
          <w:tcPr>
            <w:tcW w:w="1344" w:type="dxa"/>
            <w:shd w:val="clear" w:color="auto" w:fill="auto"/>
          </w:tcPr>
          <w:p w14:paraId="0E010874"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Suiza</w:t>
            </w:r>
            <w:r w:rsidRPr="00174B1B">
              <w:rPr>
                <w:sz w:val="18"/>
                <w:szCs w:val="18"/>
                <w:lang w:val="es-ES"/>
              </w:rPr>
              <w:t>*</w:t>
            </w:r>
          </w:p>
        </w:tc>
        <w:tc>
          <w:tcPr>
            <w:tcW w:w="2030" w:type="dxa"/>
            <w:shd w:val="clear" w:color="auto" w:fill="auto"/>
            <w:vAlign w:val="bottom"/>
          </w:tcPr>
          <w:p w14:paraId="58AE1392"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diciembre de 2016</w:t>
            </w:r>
          </w:p>
        </w:tc>
        <w:tc>
          <w:tcPr>
            <w:tcW w:w="2072" w:type="dxa"/>
            <w:shd w:val="clear" w:color="auto" w:fill="auto"/>
            <w:vAlign w:val="bottom"/>
          </w:tcPr>
          <w:p w14:paraId="2931A22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enero de 2017</w:t>
            </w:r>
          </w:p>
        </w:tc>
        <w:tc>
          <w:tcPr>
            <w:tcW w:w="2043" w:type="dxa"/>
            <w:shd w:val="clear" w:color="auto" w:fill="auto"/>
            <w:vAlign w:val="bottom"/>
          </w:tcPr>
          <w:p w14:paraId="702785E4"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 de enero de 2019</w:t>
            </w:r>
          </w:p>
        </w:tc>
        <w:tc>
          <w:tcPr>
            <w:tcW w:w="2058" w:type="dxa"/>
            <w:shd w:val="clear" w:color="auto" w:fill="auto"/>
            <w:vAlign w:val="bottom"/>
          </w:tcPr>
          <w:p w14:paraId="37486B1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diciembre de 2018</w:t>
            </w:r>
          </w:p>
        </w:tc>
      </w:tr>
      <w:tr w:rsidR="00174B1B" w14:paraId="4466E998" w14:textId="77777777" w:rsidTr="002667B2">
        <w:tc>
          <w:tcPr>
            <w:tcW w:w="1344" w:type="dxa"/>
            <w:shd w:val="clear" w:color="auto" w:fill="auto"/>
          </w:tcPr>
          <w:p w14:paraId="19213BBD"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Seychelles</w:t>
            </w:r>
          </w:p>
        </w:tc>
        <w:tc>
          <w:tcPr>
            <w:tcW w:w="2030" w:type="dxa"/>
            <w:shd w:val="clear" w:color="auto" w:fill="auto"/>
            <w:vAlign w:val="bottom"/>
          </w:tcPr>
          <w:p w14:paraId="2AFD83D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enero de 2017</w:t>
            </w:r>
          </w:p>
        </w:tc>
        <w:tc>
          <w:tcPr>
            <w:tcW w:w="2072" w:type="dxa"/>
            <w:shd w:val="clear" w:color="auto" w:fill="auto"/>
            <w:vAlign w:val="bottom"/>
          </w:tcPr>
          <w:p w14:paraId="5AB6F80A"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17 de febrero de 2017</w:t>
            </w:r>
          </w:p>
        </w:tc>
        <w:tc>
          <w:tcPr>
            <w:tcW w:w="2043" w:type="dxa"/>
            <w:shd w:val="clear" w:color="auto" w:fill="auto"/>
            <w:vAlign w:val="bottom"/>
          </w:tcPr>
          <w:p w14:paraId="38566EE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17 de febrero de 2019</w:t>
            </w:r>
          </w:p>
        </w:tc>
        <w:tc>
          <w:tcPr>
            <w:tcW w:w="2058" w:type="dxa"/>
            <w:shd w:val="clear" w:color="auto" w:fill="auto"/>
            <w:vAlign w:val="bottom"/>
          </w:tcPr>
          <w:p w14:paraId="66EA4506" w14:textId="77777777" w:rsidR="00174B1B" w:rsidRPr="00174B1B" w:rsidRDefault="00174B1B" w:rsidP="002667B2">
            <w:pPr>
              <w:suppressAutoHyphens w:val="0"/>
              <w:spacing w:before="40" w:after="120"/>
              <w:ind w:right="57"/>
              <w:rPr>
                <w:sz w:val="18"/>
                <w:szCs w:val="18"/>
                <w:lang w:val="es-ES"/>
              </w:rPr>
            </w:pPr>
          </w:p>
        </w:tc>
      </w:tr>
      <w:tr w:rsidR="00174B1B" w14:paraId="29E0B48C" w14:textId="77777777" w:rsidTr="002667B2">
        <w:tc>
          <w:tcPr>
            <w:tcW w:w="1344" w:type="dxa"/>
            <w:shd w:val="clear" w:color="auto" w:fill="auto"/>
          </w:tcPr>
          <w:p w14:paraId="3B1C5412" w14:textId="77777777" w:rsidR="00174B1B" w:rsidRPr="00174B1B" w:rsidRDefault="00174B1B" w:rsidP="002667B2">
            <w:pPr>
              <w:keepNext/>
              <w:keepLines/>
              <w:suppressAutoHyphens w:val="0"/>
              <w:spacing w:before="40" w:after="120"/>
              <w:ind w:right="57"/>
              <w:rPr>
                <w:b/>
                <w:bCs/>
                <w:sz w:val="18"/>
                <w:szCs w:val="18"/>
                <w:lang w:val="es-ES"/>
              </w:rPr>
            </w:pPr>
            <w:r w:rsidRPr="00174B1B">
              <w:rPr>
                <w:b/>
                <w:bCs/>
                <w:sz w:val="18"/>
                <w:szCs w:val="18"/>
                <w:lang w:val="es-ES"/>
              </w:rPr>
              <w:t>Chequia</w:t>
            </w:r>
            <w:r w:rsidRPr="00174B1B">
              <w:rPr>
                <w:sz w:val="18"/>
                <w:szCs w:val="18"/>
                <w:lang w:val="es-ES"/>
              </w:rPr>
              <w:t>*</w:t>
            </w:r>
          </w:p>
        </w:tc>
        <w:tc>
          <w:tcPr>
            <w:tcW w:w="2030" w:type="dxa"/>
            <w:shd w:val="clear" w:color="auto" w:fill="auto"/>
            <w:vAlign w:val="bottom"/>
          </w:tcPr>
          <w:p w14:paraId="48D206F0"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8 de febrero de 2017</w:t>
            </w:r>
          </w:p>
        </w:tc>
        <w:tc>
          <w:tcPr>
            <w:tcW w:w="2072" w:type="dxa"/>
            <w:shd w:val="clear" w:color="auto" w:fill="auto"/>
            <w:vAlign w:val="bottom"/>
          </w:tcPr>
          <w:p w14:paraId="3C60FB35"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10 de marzo de 2017</w:t>
            </w:r>
          </w:p>
        </w:tc>
        <w:tc>
          <w:tcPr>
            <w:tcW w:w="2043" w:type="dxa"/>
            <w:shd w:val="clear" w:color="auto" w:fill="auto"/>
            <w:vAlign w:val="bottom"/>
          </w:tcPr>
          <w:p w14:paraId="6F91E7CF"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10 de marzo de 2019</w:t>
            </w:r>
          </w:p>
        </w:tc>
        <w:tc>
          <w:tcPr>
            <w:tcW w:w="2058" w:type="dxa"/>
            <w:shd w:val="clear" w:color="auto" w:fill="auto"/>
            <w:vAlign w:val="bottom"/>
          </w:tcPr>
          <w:p w14:paraId="4B76DBF2"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22 de mayo de 2019</w:t>
            </w:r>
          </w:p>
        </w:tc>
      </w:tr>
      <w:tr w:rsidR="00174B1B" w14:paraId="5BD6A71A" w14:textId="77777777" w:rsidTr="002667B2">
        <w:tc>
          <w:tcPr>
            <w:tcW w:w="1344" w:type="dxa"/>
            <w:shd w:val="clear" w:color="auto" w:fill="auto"/>
          </w:tcPr>
          <w:p w14:paraId="2C7B2C56" w14:textId="77777777" w:rsidR="00174B1B" w:rsidRPr="00174B1B" w:rsidRDefault="00174B1B" w:rsidP="002667B2">
            <w:pPr>
              <w:keepNext/>
              <w:keepLines/>
              <w:suppressAutoHyphens w:val="0"/>
              <w:spacing w:before="40" w:after="120"/>
              <w:ind w:right="57"/>
              <w:rPr>
                <w:b/>
                <w:bCs/>
                <w:sz w:val="18"/>
                <w:szCs w:val="18"/>
                <w:lang w:val="es-ES"/>
              </w:rPr>
            </w:pPr>
            <w:r w:rsidRPr="00174B1B">
              <w:rPr>
                <w:b/>
                <w:bCs/>
                <w:sz w:val="18"/>
                <w:szCs w:val="18"/>
                <w:lang w:val="es-ES"/>
              </w:rPr>
              <w:t>Malawi</w:t>
            </w:r>
            <w:r w:rsidRPr="00174B1B">
              <w:rPr>
                <w:sz w:val="18"/>
                <w:szCs w:val="18"/>
                <w:lang w:val="es-ES"/>
              </w:rPr>
              <w:t>*</w:t>
            </w:r>
          </w:p>
        </w:tc>
        <w:tc>
          <w:tcPr>
            <w:tcW w:w="2030" w:type="dxa"/>
            <w:shd w:val="clear" w:color="auto" w:fill="auto"/>
            <w:vAlign w:val="bottom"/>
          </w:tcPr>
          <w:p w14:paraId="0C60B20B"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14 de julio de 2017</w:t>
            </w:r>
          </w:p>
        </w:tc>
        <w:tc>
          <w:tcPr>
            <w:tcW w:w="2072" w:type="dxa"/>
            <w:shd w:val="clear" w:color="auto" w:fill="auto"/>
            <w:vAlign w:val="bottom"/>
          </w:tcPr>
          <w:p w14:paraId="749AF874"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13 de agosto de 2017</w:t>
            </w:r>
          </w:p>
        </w:tc>
        <w:tc>
          <w:tcPr>
            <w:tcW w:w="2043" w:type="dxa"/>
            <w:shd w:val="clear" w:color="auto" w:fill="auto"/>
            <w:vAlign w:val="bottom"/>
          </w:tcPr>
          <w:p w14:paraId="783A7DA3" w14:textId="77777777" w:rsidR="00174B1B" w:rsidRPr="00174B1B" w:rsidRDefault="00174B1B" w:rsidP="002667B2">
            <w:pPr>
              <w:keepNext/>
              <w:keepLines/>
              <w:suppressAutoHyphens w:val="0"/>
              <w:spacing w:before="40" w:after="120"/>
              <w:ind w:right="57"/>
              <w:rPr>
                <w:sz w:val="18"/>
                <w:szCs w:val="18"/>
                <w:lang w:val="es-ES"/>
              </w:rPr>
            </w:pPr>
            <w:r w:rsidRPr="00174B1B">
              <w:rPr>
                <w:sz w:val="18"/>
                <w:szCs w:val="18"/>
                <w:lang w:val="es-ES"/>
              </w:rPr>
              <w:t>13 de agosto de 2019</w:t>
            </w:r>
          </w:p>
        </w:tc>
        <w:tc>
          <w:tcPr>
            <w:tcW w:w="2058" w:type="dxa"/>
            <w:shd w:val="clear" w:color="auto" w:fill="auto"/>
            <w:vAlign w:val="bottom"/>
          </w:tcPr>
          <w:p w14:paraId="76F2CE06" w14:textId="77777777" w:rsidR="00174B1B" w:rsidRPr="00174B1B" w:rsidRDefault="00174B1B" w:rsidP="002667B2">
            <w:pPr>
              <w:keepNext/>
              <w:keepLines/>
              <w:suppressAutoHyphens w:val="0"/>
              <w:spacing w:before="40" w:after="120"/>
              <w:ind w:right="57"/>
              <w:rPr>
                <w:sz w:val="18"/>
                <w:szCs w:val="18"/>
                <w:lang w:val="es-ES"/>
              </w:rPr>
            </w:pPr>
          </w:p>
        </w:tc>
      </w:tr>
      <w:tr w:rsidR="00174B1B" w14:paraId="512624DB" w14:textId="77777777" w:rsidTr="002667B2">
        <w:tc>
          <w:tcPr>
            <w:tcW w:w="1344" w:type="dxa"/>
            <w:shd w:val="clear" w:color="auto" w:fill="auto"/>
          </w:tcPr>
          <w:p w14:paraId="54D5721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Benin</w:t>
            </w:r>
          </w:p>
        </w:tc>
        <w:tc>
          <w:tcPr>
            <w:tcW w:w="2030" w:type="dxa"/>
            <w:shd w:val="clear" w:color="auto" w:fill="auto"/>
            <w:vAlign w:val="bottom"/>
          </w:tcPr>
          <w:p w14:paraId="1B8636B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noviembre de 2017</w:t>
            </w:r>
          </w:p>
        </w:tc>
        <w:tc>
          <w:tcPr>
            <w:tcW w:w="2072" w:type="dxa"/>
            <w:shd w:val="clear" w:color="auto" w:fill="auto"/>
            <w:vAlign w:val="bottom"/>
          </w:tcPr>
          <w:p w14:paraId="06EEE9D3"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diciembre de 2017</w:t>
            </w:r>
          </w:p>
        </w:tc>
        <w:tc>
          <w:tcPr>
            <w:tcW w:w="2043" w:type="dxa"/>
            <w:shd w:val="clear" w:color="auto" w:fill="auto"/>
            <w:vAlign w:val="bottom"/>
          </w:tcPr>
          <w:p w14:paraId="168CEC1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 de diciembre de 2019</w:t>
            </w:r>
          </w:p>
        </w:tc>
        <w:tc>
          <w:tcPr>
            <w:tcW w:w="2058" w:type="dxa"/>
            <w:shd w:val="clear" w:color="auto" w:fill="auto"/>
            <w:vAlign w:val="bottom"/>
          </w:tcPr>
          <w:p w14:paraId="374AF1AC" w14:textId="77777777" w:rsidR="00174B1B" w:rsidRPr="00174B1B" w:rsidRDefault="00174B1B" w:rsidP="002667B2">
            <w:pPr>
              <w:suppressAutoHyphens w:val="0"/>
              <w:spacing w:before="40" w:after="120"/>
              <w:ind w:right="57"/>
              <w:rPr>
                <w:sz w:val="18"/>
                <w:szCs w:val="18"/>
                <w:lang w:val="es-ES"/>
              </w:rPr>
            </w:pPr>
          </w:p>
        </w:tc>
      </w:tr>
      <w:tr w:rsidR="00174B1B" w14:paraId="679D7DF0" w14:textId="77777777" w:rsidTr="002667B2">
        <w:tc>
          <w:tcPr>
            <w:tcW w:w="1344" w:type="dxa"/>
            <w:shd w:val="clear" w:color="auto" w:fill="auto"/>
          </w:tcPr>
          <w:p w14:paraId="3F60C970"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Gambia</w:t>
            </w:r>
          </w:p>
        </w:tc>
        <w:tc>
          <w:tcPr>
            <w:tcW w:w="2030" w:type="dxa"/>
            <w:shd w:val="clear" w:color="auto" w:fill="auto"/>
            <w:vAlign w:val="bottom"/>
          </w:tcPr>
          <w:p w14:paraId="7F1CAC6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28 de septiembre de 2018</w:t>
            </w:r>
          </w:p>
        </w:tc>
        <w:tc>
          <w:tcPr>
            <w:tcW w:w="2072" w:type="dxa"/>
            <w:shd w:val="clear" w:color="auto" w:fill="auto"/>
            <w:vAlign w:val="bottom"/>
          </w:tcPr>
          <w:p w14:paraId="0A0E8F50"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28 de octubre de 2018</w:t>
            </w:r>
          </w:p>
        </w:tc>
        <w:tc>
          <w:tcPr>
            <w:tcW w:w="2043" w:type="dxa"/>
            <w:shd w:val="clear" w:color="auto" w:fill="auto"/>
            <w:vAlign w:val="bottom"/>
          </w:tcPr>
          <w:p w14:paraId="6B9CA3D6"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28 de octubre de 2020</w:t>
            </w:r>
          </w:p>
        </w:tc>
        <w:tc>
          <w:tcPr>
            <w:tcW w:w="2058" w:type="dxa"/>
            <w:shd w:val="clear" w:color="auto" w:fill="auto"/>
            <w:vAlign w:val="bottom"/>
          </w:tcPr>
          <w:p w14:paraId="73463649" w14:textId="77777777" w:rsidR="00174B1B" w:rsidRPr="00174B1B" w:rsidRDefault="00174B1B" w:rsidP="002667B2">
            <w:pPr>
              <w:suppressAutoHyphens w:val="0"/>
              <w:spacing w:before="40" w:after="120"/>
              <w:ind w:right="57"/>
              <w:rPr>
                <w:sz w:val="18"/>
                <w:szCs w:val="18"/>
                <w:lang w:val="es-ES"/>
              </w:rPr>
            </w:pPr>
          </w:p>
        </w:tc>
      </w:tr>
      <w:tr w:rsidR="00174B1B" w14:paraId="7687689E" w14:textId="77777777" w:rsidTr="002667B2">
        <w:tc>
          <w:tcPr>
            <w:tcW w:w="1344" w:type="dxa"/>
            <w:shd w:val="clear" w:color="auto" w:fill="auto"/>
          </w:tcPr>
          <w:p w14:paraId="1FF53DED"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Dominica</w:t>
            </w:r>
          </w:p>
        </w:tc>
        <w:tc>
          <w:tcPr>
            <w:tcW w:w="2030" w:type="dxa"/>
            <w:shd w:val="clear" w:color="auto" w:fill="auto"/>
            <w:vAlign w:val="bottom"/>
          </w:tcPr>
          <w:p w14:paraId="1E55697E"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13 de mayo de 2019</w:t>
            </w:r>
          </w:p>
        </w:tc>
        <w:tc>
          <w:tcPr>
            <w:tcW w:w="2072" w:type="dxa"/>
            <w:shd w:val="clear" w:color="auto" w:fill="auto"/>
            <w:vAlign w:val="bottom"/>
          </w:tcPr>
          <w:p w14:paraId="4DBCC9A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12 de junio de 2019</w:t>
            </w:r>
          </w:p>
        </w:tc>
        <w:tc>
          <w:tcPr>
            <w:tcW w:w="2043" w:type="dxa"/>
            <w:shd w:val="clear" w:color="auto" w:fill="auto"/>
            <w:vAlign w:val="bottom"/>
          </w:tcPr>
          <w:p w14:paraId="5E92204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12 de junio de 2021</w:t>
            </w:r>
          </w:p>
        </w:tc>
        <w:tc>
          <w:tcPr>
            <w:tcW w:w="2058" w:type="dxa"/>
            <w:shd w:val="clear" w:color="auto" w:fill="auto"/>
            <w:vAlign w:val="bottom"/>
          </w:tcPr>
          <w:p w14:paraId="26ED3E9A" w14:textId="77777777" w:rsidR="00174B1B" w:rsidRPr="00174B1B" w:rsidRDefault="00174B1B" w:rsidP="002667B2">
            <w:pPr>
              <w:suppressAutoHyphens w:val="0"/>
              <w:spacing w:before="40" w:after="120"/>
              <w:ind w:right="57"/>
              <w:rPr>
                <w:sz w:val="18"/>
                <w:szCs w:val="18"/>
                <w:lang w:val="es-ES"/>
              </w:rPr>
            </w:pPr>
          </w:p>
        </w:tc>
      </w:tr>
      <w:tr w:rsidR="00174B1B" w14:paraId="041AA73C" w14:textId="77777777" w:rsidTr="002667B2">
        <w:tc>
          <w:tcPr>
            <w:tcW w:w="1344" w:type="dxa"/>
            <w:shd w:val="clear" w:color="auto" w:fill="auto"/>
          </w:tcPr>
          <w:p w14:paraId="43C56AF6"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lastRenderedPageBreak/>
              <w:t>Fiji</w:t>
            </w:r>
          </w:p>
        </w:tc>
        <w:tc>
          <w:tcPr>
            <w:tcW w:w="2030" w:type="dxa"/>
            <w:shd w:val="clear" w:color="auto" w:fill="auto"/>
            <w:vAlign w:val="bottom"/>
          </w:tcPr>
          <w:p w14:paraId="07A5390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19 de agosto de 2019</w:t>
            </w:r>
          </w:p>
        </w:tc>
        <w:tc>
          <w:tcPr>
            <w:tcW w:w="2072" w:type="dxa"/>
            <w:shd w:val="clear" w:color="auto" w:fill="auto"/>
            <w:vAlign w:val="bottom"/>
          </w:tcPr>
          <w:p w14:paraId="688AB82F"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septiembre de 2019</w:t>
            </w:r>
          </w:p>
        </w:tc>
        <w:tc>
          <w:tcPr>
            <w:tcW w:w="2043" w:type="dxa"/>
            <w:shd w:val="clear" w:color="auto" w:fill="auto"/>
            <w:vAlign w:val="bottom"/>
          </w:tcPr>
          <w:p w14:paraId="2CC8C4B5"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18 de septiembre de 2021</w:t>
            </w:r>
          </w:p>
        </w:tc>
        <w:tc>
          <w:tcPr>
            <w:tcW w:w="2058" w:type="dxa"/>
            <w:shd w:val="clear" w:color="auto" w:fill="auto"/>
            <w:vAlign w:val="bottom"/>
          </w:tcPr>
          <w:p w14:paraId="2D2F213B" w14:textId="77777777" w:rsidR="00174B1B" w:rsidRPr="00174B1B" w:rsidRDefault="00174B1B" w:rsidP="002667B2">
            <w:pPr>
              <w:suppressAutoHyphens w:val="0"/>
              <w:spacing w:before="40" w:after="120"/>
              <w:ind w:right="57"/>
              <w:rPr>
                <w:sz w:val="18"/>
                <w:szCs w:val="18"/>
                <w:lang w:val="es-ES"/>
              </w:rPr>
            </w:pPr>
          </w:p>
        </w:tc>
      </w:tr>
      <w:tr w:rsidR="00174B1B" w14:paraId="60C93E6E" w14:textId="77777777" w:rsidTr="002667B2">
        <w:tc>
          <w:tcPr>
            <w:tcW w:w="1344" w:type="dxa"/>
            <w:tcBorders>
              <w:bottom w:val="single" w:sz="12" w:space="0" w:color="auto"/>
            </w:tcBorders>
            <w:shd w:val="clear" w:color="auto" w:fill="auto"/>
          </w:tcPr>
          <w:p w14:paraId="0D8E5143" w14:textId="77777777" w:rsidR="00174B1B" w:rsidRPr="00174B1B" w:rsidRDefault="00174B1B" w:rsidP="002667B2">
            <w:pPr>
              <w:suppressAutoHyphens w:val="0"/>
              <w:spacing w:before="40" w:after="120"/>
              <w:ind w:right="57"/>
              <w:rPr>
                <w:b/>
                <w:bCs/>
                <w:sz w:val="18"/>
                <w:szCs w:val="18"/>
                <w:lang w:val="es-ES"/>
              </w:rPr>
            </w:pPr>
            <w:r w:rsidRPr="00174B1B">
              <w:rPr>
                <w:b/>
                <w:bCs/>
                <w:sz w:val="18"/>
                <w:szCs w:val="18"/>
                <w:lang w:val="es-ES"/>
              </w:rPr>
              <w:t>Noruega</w:t>
            </w:r>
          </w:p>
        </w:tc>
        <w:tc>
          <w:tcPr>
            <w:tcW w:w="2030" w:type="dxa"/>
            <w:tcBorders>
              <w:bottom w:val="single" w:sz="12" w:space="0" w:color="auto"/>
            </w:tcBorders>
            <w:shd w:val="clear" w:color="auto" w:fill="auto"/>
            <w:vAlign w:val="bottom"/>
          </w:tcPr>
          <w:p w14:paraId="27D02E1D"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22 de agosto de 2019</w:t>
            </w:r>
          </w:p>
        </w:tc>
        <w:tc>
          <w:tcPr>
            <w:tcW w:w="2072" w:type="dxa"/>
            <w:tcBorders>
              <w:bottom w:val="single" w:sz="12" w:space="0" w:color="auto"/>
            </w:tcBorders>
            <w:shd w:val="clear" w:color="auto" w:fill="auto"/>
            <w:vAlign w:val="bottom"/>
          </w:tcPr>
          <w:p w14:paraId="7885DFE7"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agosto de 2019</w:t>
            </w:r>
          </w:p>
        </w:tc>
        <w:tc>
          <w:tcPr>
            <w:tcW w:w="2043" w:type="dxa"/>
            <w:tcBorders>
              <w:bottom w:val="single" w:sz="12" w:space="0" w:color="auto"/>
            </w:tcBorders>
            <w:shd w:val="clear" w:color="auto" w:fill="auto"/>
            <w:vAlign w:val="bottom"/>
          </w:tcPr>
          <w:p w14:paraId="42EBAB29" w14:textId="77777777" w:rsidR="00174B1B" w:rsidRPr="00174B1B" w:rsidRDefault="00174B1B" w:rsidP="002667B2">
            <w:pPr>
              <w:suppressAutoHyphens w:val="0"/>
              <w:spacing w:before="40" w:after="120"/>
              <w:ind w:right="57"/>
              <w:rPr>
                <w:sz w:val="18"/>
                <w:szCs w:val="18"/>
                <w:lang w:val="es-ES"/>
              </w:rPr>
            </w:pPr>
            <w:r w:rsidRPr="00174B1B">
              <w:rPr>
                <w:sz w:val="18"/>
                <w:szCs w:val="18"/>
                <w:lang w:val="es-ES"/>
              </w:rPr>
              <w:t>21 de agosto de 2021</w:t>
            </w:r>
          </w:p>
        </w:tc>
        <w:tc>
          <w:tcPr>
            <w:tcW w:w="2058" w:type="dxa"/>
            <w:tcBorders>
              <w:bottom w:val="single" w:sz="12" w:space="0" w:color="auto"/>
            </w:tcBorders>
            <w:shd w:val="clear" w:color="auto" w:fill="auto"/>
            <w:vAlign w:val="bottom"/>
          </w:tcPr>
          <w:p w14:paraId="661222AD" w14:textId="77777777" w:rsidR="00174B1B" w:rsidRPr="00174B1B" w:rsidRDefault="00174B1B" w:rsidP="002667B2">
            <w:pPr>
              <w:suppressAutoHyphens w:val="0"/>
              <w:spacing w:before="40" w:after="120"/>
              <w:ind w:right="57"/>
              <w:rPr>
                <w:sz w:val="18"/>
                <w:szCs w:val="18"/>
                <w:lang w:val="es-ES"/>
              </w:rPr>
            </w:pPr>
          </w:p>
        </w:tc>
      </w:tr>
    </w:tbl>
    <w:p w14:paraId="236CFE45" w14:textId="77777777" w:rsidR="00C77F5B" w:rsidRPr="00A0621D" w:rsidRDefault="00C77F5B" w:rsidP="002667B2">
      <w:pPr>
        <w:pStyle w:val="SingleTxtG"/>
        <w:spacing w:before="120"/>
        <w:ind w:left="57" w:right="567" w:firstLine="170"/>
        <w:jc w:val="left"/>
        <w:rPr>
          <w:sz w:val="18"/>
          <w:szCs w:val="18"/>
          <w:lang w:val="es-ES"/>
        </w:rPr>
      </w:pPr>
      <w:bookmarkStart w:id="180" w:name="BM7"/>
      <w:bookmarkStart w:id="181" w:name="_Toc460489568"/>
      <w:bookmarkStart w:id="182" w:name="_Toc522200483"/>
      <w:bookmarkStart w:id="183" w:name="_Toc326162697"/>
      <w:bookmarkStart w:id="184" w:name="_Toc326220812"/>
      <w:bookmarkEnd w:id="180"/>
      <w:r w:rsidRPr="002667B2">
        <w:rPr>
          <w:i/>
          <w:sz w:val="18"/>
          <w:szCs w:val="18"/>
          <w:lang w:val="es-ES"/>
        </w:rPr>
        <w:t>Nota:</w:t>
      </w:r>
      <w:r w:rsidRPr="00174B1B">
        <w:rPr>
          <w:sz w:val="18"/>
          <w:szCs w:val="18"/>
          <w:lang w:val="es-ES"/>
        </w:rPr>
        <w:t xml:space="preserve"> </w:t>
      </w:r>
      <w:r w:rsidRPr="005707CD">
        <w:rPr>
          <w:b/>
          <w:bCs/>
          <w:sz w:val="18"/>
          <w:szCs w:val="18"/>
          <w:lang w:val="es-ES"/>
        </w:rPr>
        <w:t>Los Estados partes marcados con un asterisco han formulado declaraciones por las que han reconocido la competencia del Comité en virtud de los artículos 31 y/o 32 de la Convención.</w:t>
      </w:r>
      <w:r w:rsidRPr="00174B1B">
        <w:rPr>
          <w:sz w:val="18"/>
          <w:szCs w:val="18"/>
          <w:lang w:val="es-ES"/>
        </w:rPr>
        <w:t xml:space="preserve"> El texto completo de las declaraciones y reservas formuladas por los Estados partes puede consultarse </w:t>
      </w:r>
      <w:r w:rsidRPr="00A0621D">
        <w:rPr>
          <w:sz w:val="18"/>
          <w:szCs w:val="18"/>
          <w:lang w:val="es-ES"/>
        </w:rPr>
        <w:t xml:space="preserve">en </w:t>
      </w:r>
      <w:hyperlink r:id="rId51" w:history="1">
        <w:r w:rsidR="00E2476C" w:rsidRPr="00A0621D">
          <w:rPr>
            <w:rStyle w:val="Hyperlink"/>
            <w:sz w:val="18"/>
            <w:szCs w:val="18"/>
            <w:u w:val="none"/>
            <w:lang w:val="es-ES"/>
          </w:rPr>
          <w:t>https://treaties.un.org/Pages/ViewDetails.aspx?src=</w:t>
        </w:r>
        <w:r w:rsidR="00E2476C" w:rsidRPr="00A0621D">
          <w:rPr>
            <w:rStyle w:val="Hyperlink"/>
            <w:sz w:val="18"/>
            <w:szCs w:val="18"/>
            <w:u w:val="none"/>
            <w:lang w:val="es-ES"/>
          </w:rPr>
          <w:br/>
          <w:t>TREATY&amp;mtdsg_no=IV-16&amp;chapter=4&amp;lang=en</w:t>
        </w:r>
      </w:hyperlink>
      <w:r w:rsidRPr="00A0621D">
        <w:rPr>
          <w:sz w:val="18"/>
          <w:szCs w:val="18"/>
          <w:lang w:val="es-ES"/>
        </w:rPr>
        <w:t>.</w:t>
      </w:r>
      <w:bookmarkEnd w:id="181"/>
      <w:bookmarkEnd w:id="182"/>
    </w:p>
    <w:bookmarkEnd w:id="183"/>
    <w:bookmarkEnd w:id="184"/>
    <w:p w14:paraId="27635DA8" w14:textId="77777777" w:rsidR="003F50F6" w:rsidRPr="003F50F6" w:rsidRDefault="00787BE0" w:rsidP="003F50F6">
      <w:pPr>
        <w:pStyle w:val="SingleTxtG"/>
        <w:spacing w:before="240"/>
        <w:jc w:val="center"/>
        <w:rPr>
          <w:u w:val="single"/>
          <w:lang w:val="es-ES"/>
        </w:rPr>
      </w:pPr>
      <w:r w:rsidRPr="00641D11">
        <w:rPr>
          <w:noProof/>
          <w:u w:val="single"/>
          <w:lang w:val="es-ES" w:eastAsia="es-ES"/>
        </w:rPr>
        <mc:AlternateContent>
          <mc:Choice Requires="wps">
            <w:drawing>
              <wp:anchor distT="45720" distB="45720" distL="114300" distR="114300" simplePos="0" relativeHeight="251658240" behindDoc="0" locked="0" layoutInCell="1" allowOverlap="1" wp14:anchorId="3C357EE8" wp14:editId="6B526791">
                <wp:simplePos x="0" y="0"/>
                <wp:positionH relativeFrom="column">
                  <wp:posOffset>4918251</wp:posOffset>
                </wp:positionH>
                <wp:positionV relativeFrom="paragraph">
                  <wp:posOffset>6986446</wp:posOffset>
                </wp:positionV>
                <wp:extent cx="1274445" cy="1404620"/>
                <wp:effectExtent l="0" t="0" r="190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404620"/>
                        </a:xfrm>
                        <a:prstGeom prst="rect">
                          <a:avLst/>
                        </a:prstGeom>
                        <a:solidFill>
                          <a:srgbClr val="FFFFFF"/>
                        </a:solidFill>
                        <a:ln w="9525">
                          <a:noFill/>
                          <a:miter lim="800000"/>
                          <a:headEnd/>
                          <a:tailEnd/>
                        </a:ln>
                      </wps:spPr>
                      <wps:txbx>
                        <w:txbxContent>
                          <w:p w14:paraId="3DA7B8C4" w14:textId="77777777" w:rsidR="003F50F6" w:rsidRDefault="003F50F6" w:rsidP="003F50F6">
                            <w:r>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938F2" id="_x0000_t202" coordsize="21600,21600" o:spt="202" path="m,l,21600r21600,l21600,xe">
                <v:stroke joinstyle="miter"/>
                <v:path gradientshapeok="t" o:connecttype="rect"/>
              </v:shapetype>
              <v:shape id="Cuadro de texto 2" o:spid="_x0000_s1026" type="#_x0000_t202" style="position:absolute;left:0;text-align:left;margin-left:387.25pt;margin-top:550.1pt;width:100.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" stroked="f">
                <v:textbox style="mso-fit-shape-to-text:t">
                  <w:txbxContent>
                    <w:p w:rsidR="003F50F6" w:rsidRDefault="003F50F6" w:rsidP="003F50F6">
                      <w:r>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r w:rsidRPr="003F50F6">
                        <w:rPr>
                          <w:rFonts w:ascii="C39T30Lfz" w:hAnsi="C39T30Lfz"/>
                          <w:sz w:val="56"/>
                        </w:rPr>
                        <w:t></w:t>
                      </w:r>
                    </w:p>
                  </w:txbxContent>
                </v:textbox>
                <w10:wrap type="square"/>
              </v:shape>
            </w:pict>
          </mc:Fallback>
        </mc:AlternateContent>
      </w:r>
      <w:r w:rsidR="00C77F5B" w:rsidRPr="00C0426D">
        <w:rPr>
          <w:u w:val="single"/>
          <w:lang w:val="es-ES"/>
        </w:rPr>
        <w:tab/>
      </w:r>
      <w:r w:rsidR="00C77F5B" w:rsidRPr="00C0426D">
        <w:rPr>
          <w:u w:val="single"/>
          <w:lang w:val="es-ES"/>
        </w:rPr>
        <w:tab/>
      </w:r>
      <w:r w:rsidR="00C77F5B" w:rsidRPr="00C0426D">
        <w:rPr>
          <w:u w:val="single"/>
          <w:lang w:val="es-ES"/>
        </w:rPr>
        <w:tab/>
      </w:r>
    </w:p>
    <w:sectPr w:rsidR="003F50F6" w:rsidRPr="003F50F6" w:rsidSect="00E276DF">
      <w:footerReference w:type="default" r:id="rId52"/>
      <w:footerReference w:type="first" r:id="rId53"/>
      <w:endnotePr>
        <w:numFmt w:val="decimal"/>
      </w:endnotePr>
      <w:type w:val="oddPage"/>
      <w:pgSz w:w="11906" w:h="16838" w:code="9"/>
      <w:pgMar w:top="1417" w:right="1134" w:bottom="1134" w:left="1134"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6F67" w14:textId="77777777" w:rsidR="007020CC" w:rsidRDefault="007020CC">
      <w:pPr>
        <w:pStyle w:val="Footer"/>
      </w:pPr>
    </w:p>
  </w:endnote>
  <w:endnote w:type="continuationSeparator" w:id="0">
    <w:p w14:paraId="17E9076A" w14:textId="77777777" w:rsidR="007020CC" w:rsidRDefault="007020C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1D6C" w14:textId="77777777" w:rsidR="007020CC" w:rsidRPr="00EE2D8A" w:rsidRDefault="007020CC" w:rsidP="00EE2D8A">
    <w:pPr>
      <w:pStyle w:val="Footer"/>
      <w:tabs>
        <w:tab w:val="left" w:pos="9639"/>
      </w:tabs>
      <w:ind w:right="357"/>
      <w:rPr>
        <w:sz w:val="20"/>
      </w:rPr>
    </w:pPr>
    <w:r>
      <w:rPr>
        <w:sz w:val="20"/>
      </w:rPr>
      <w:t>GE.13-…..  (S)    …..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5D5" w14:textId="77777777" w:rsidR="007020CC" w:rsidRDefault="007020CC">
    <w:pPr>
      <w:pStyle w:val="Footer"/>
    </w:pPr>
    <w:r>
      <w:rPr>
        <w:noProof/>
        <w:lang w:val="es-ES" w:eastAsia="es-ES"/>
      </w:rPr>
      <w:drawing>
        <wp:anchor distT="0" distB="0" distL="114300" distR="114300" simplePos="0" relativeHeight="251658752" behindDoc="0" locked="0" layoutInCell="1" allowOverlap="1" wp14:anchorId="1D207FC2" wp14:editId="02D1FA7D">
          <wp:simplePos x="0" y="0"/>
          <wp:positionH relativeFrom="margin">
            <wp:posOffset>5560060</wp:posOffset>
          </wp:positionH>
          <wp:positionV relativeFrom="margin">
            <wp:posOffset>8729980</wp:posOffset>
          </wp:positionV>
          <wp:extent cx="561975" cy="561975"/>
          <wp:effectExtent l="0" t="0" r="9525" b="9525"/>
          <wp:wrapNone/>
          <wp:docPr id="2" name="Imagen 1" descr="https://undocs.org/m2/QRCode.ashx?DS=A/75/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5/5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0" locked="1" layoutInCell="1" allowOverlap="1" wp14:anchorId="4C834C0D" wp14:editId="640962DE">
          <wp:simplePos x="0" y="0"/>
          <wp:positionH relativeFrom="margin">
            <wp:posOffset>4399915</wp:posOffset>
          </wp:positionH>
          <wp:positionV relativeFrom="margin">
            <wp:posOffset>9064625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A516" w14:textId="77777777" w:rsidR="007020CC" w:rsidRDefault="00702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EFEE" w14:textId="77777777" w:rsidR="007020CC" w:rsidRPr="00457366" w:rsidRDefault="007020CC" w:rsidP="004573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DF44" w14:textId="77777777" w:rsidR="007020CC" w:rsidRDefault="007020CC" w:rsidP="00B90E98">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rPr>
        <w:szCs w:val="16"/>
      </w:rPr>
      <w:t>GE.20-</w:t>
    </w:r>
    <w:r w:rsidR="00787BE0">
      <w:rPr>
        <w:szCs w:val="16"/>
      </w:rPr>
      <w:t>0</w:t>
    </w:r>
    <w:r>
      <w:rPr>
        <w:szCs w:val="16"/>
      </w:rPr>
      <w:t>8453S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A390" w14:textId="77777777" w:rsidR="007020CC" w:rsidRPr="00C55ADD" w:rsidRDefault="007020CC" w:rsidP="00AE2E9F">
    <w:pPr>
      <w:pStyle w:val="Footer"/>
      <w:tabs>
        <w:tab w:val="right" w:pos="9639"/>
      </w:tabs>
      <w:spacing w:line="240" w:lineRule="auto"/>
      <w:ind w:right="357"/>
    </w:pPr>
    <w:r>
      <w:t>GE.20-08453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AFF2" w14:textId="77777777" w:rsidR="007020CC" w:rsidRDefault="007020CC" w:rsidP="00C55A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0F3A570" w14:textId="77777777" w:rsidR="007020CC" w:rsidRPr="00C55ADD" w:rsidRDefault="007020CC" w:rsidP="00C55ADD">
    <w:pPr>
      <w:pStyle w:val="Footer"/>
      <w:tabs>
        <w:tab w:val="left" w:pos="9639"/>
      </w:tabs>
      <w:ind w:right="357"/>
      <w:rPr>
        <w:sz w:val="20"/>
      </w:rPr>
    </w:pPr>
    <w:r>
      <w:rPr>
        <w:sz w:val="20"/>
      </w:rPr>
      <w:t>GE.20-08453  (S)    020720    0</w:t>
    </w:r>
    <w:r w:rsidR="00CA3ABB">
      <w:rPr>
        <w:sz w:val="20"/>
      </w:rPr>
      <w:t>7</w:t>
    </w:r>
    <w:r>
      <w:rPr>
        <w:sz w:val="20"/>
      </w:rPr>
      <w:t>0720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5BFF" w14:textId="77777777" w:rsidR="007020CC" w:rsidRPr="00C55ADD" w:rsidRDefault="007020CC" w:rsidP="00DE4C10">
    <w:pPr>
      <w:pStyle w:val="Footer"/>
      <w:tabs>
        <w:tab w:val="right" w:pos="9639"/>
      </w:tabs>
      <w:spacing w:line="240" w:lineRule="auto"/>
      <w:ind w:right="357"/>
    </w:pPr>
    <w:r>
      <w:t>GE.20-08453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A46F" w14:textId="77777777" w:rsidR="007020CC" w:rsidRPr="00C55ADD" w:rsidRDefault="007020CC" w:rsidP="00DE4C10">
    <w:pPr>
      <w:pStyle w:val="Footer"/>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04FC" w14:textId="77777777" w:rsidR="007020CC" w:rsidRDefault="007020CC">
      <w:pPr>
        <w:tabs>
          <w:tab w:val="right" w:pos="2155"/>
        </w:tabs>
        <w:spacing w:after="80" w:line="240" w:lineRule="auto"/>
        <w:ind w:left="680"/>
        <w:rPr>
          <w:u w:val="single"/>
        </w:rPr>
      </w:pPr>
      <w:r>
        <w:rPr>
          <w:u w:val="single"/>
        </w:rPr>
        <w:tab/>
      </w:r>
    </w:p>
  </w:footnote>
  <w:footnote w:type="continuationSeparator" w:id="0">
    <w:p w14:paraId="5E44D188" w14:textId="77777777" w:rsidR="007020CC" w:rsidRDefault="007020CC">
      <w:pPr>
        <w:tabs>
          <w:tab w:val="right" w:pos="2155"/>
        </w:tabs>
        <w:spacing w:after="80" w:line="240" w:lineRule="auto"/>
        <w:ind w:left="680"/>
      </w:pPr>
      <w:r>
        <w:rPr>
          <w:u w:val="single"/>
        </w:rPr>
        <w:tab/>
      </w:r>
    </w:p>
  </w:footnote>
  <w:footnote w:id="1">
    <w:p w14:paraId="5722CED1" w14:textId="77777777" w:rsidR="004E3B1C" w:rsidRPr="004E3B1C" w:rsidRDefault="004E3B1C" w:rsidP="004E3B1C">
      <w:pPr>
        <w:pStyle w:val="FootnoteText"/>
        <w:widowControl w:val="0"/>
        <w:tabs>
          <w:tab w:val="clear" w:pos="1021"/>
          <w:tab w:val="right" w:pos="1020"/>
        </w:tabs>
        <w:rPr>
          <w:lang w:val="es-ES"/>
        </w:rPr>
      </w:pPr>
      <w:r>
        <w:rPr>
          <w:lang w:val="es-ES"/>
        </w:rPr>
        <w:tab/>
      </w:r>
      <w:r>
        <w:rPr>
          <w:rStyle w:val="FootnoteReference"/>
        </w:rPr>
        <w:footnoteRef/>
      </w:r>
      <w:r>
        <w:rPr>
          <w:lang w:val="es-ES"/>
        </w:rPr>
        <w:tab/>
      </w:r>
      <w:hyperlink r:id="rId1" w:history="1">
        <w:r w:rsidRPr="00A24CC1">
          <w:rPr>
            <w:rStyle w:val="Hyperlink"/>
            <w:u w:val="none"/>
            <w:lang w:val="es-ES"/>
          </w:rPr>
          <w:t>https://treaties.un.org/Pages/ViewDetails.aspx?src=TREATY&amp;mtdsg_no=IV-16&amp;chapter=4&amp;clang=_en</w:t>
        </w:r>
      </w:hyperlink>
      <w:r>
        <w:rPr>
          <w:lang w:val="es-ES"/>
        </w:rPr>
        <w:t>.</w:t>
      </w:r>
    </w:p>
  </w:footnote>
  <w:footnote w:id="2">
    <w:p w14:paraId="6D64FE8A" w14:textId="77777777" w:rsidR="007020CC" w:rsidRPr="00E03971" w:rsidRDefault="007020CC" w:rsidP="00E03971">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E03971">
        <w:rPr>
          <w:lang w:val="es-ES"/>
        </w:rPr>
        <w:t>En el 18º período de sesiones, el Comité celebró debates y adoptó decisiones en la sesión en línea del 4 de mayo de 2020 y entre períodos de sesiones.</w:t>
      </w:r>
    </w:p>
  </w:footnote>
  <w:footnote w:id="3">
    <w:p w14:paraId="5685F36F" w14:textId="77777777" w:rsidR="007020CC" w:rsidRPr="00C77F5B" w:rsidRDefault="007020CC" w:rsidP="00C77F5B">
      <w:pPr>
        <w:pStyle w:val="FootnoteText"/>
        <w:widowControl w:val="0"/>
        <w:tabs>
          <w:tab w:val="clear" w:pos="1021"/>
          <w:tab w:val="right" w:pos="1020"/>
        </w:tabs>
        <w:rPr>
          <w:lang w:val="es-ES"/>
        </w:rPr>
      </w:pPr>
      <w:r>
        <w:rPr>
          <w:lang w:val="es-ES"/>
        </w:rPr>
        <w:tab/>
      </w:r>
      <w:r>
        <w:rPr>
          <w:rStyle w:val="FootnoteReference"/>
        </w:rPr>
        <w:footnoteRef/>
      </w:r>
      <w:r>
        <w:rPr>
          <w:lang w:val="es-ES"/>
        </w:rPr>
        <w:tab/>
        <w:t>En el 18º período de sesiones, el Comité celebró debates y adoptó decisiones en la sesión en línea del 4 de mayo de 2020 y entre períodos de sesiones.</w:t>
      </w:r>
    </w:p>
  </w:footnote>
  <w:footnote w:id="4">
    <w:p w14:paraId="6BD8DA8A" w14:textId="77777777" w:rsidR="007020CC" w:rsidRPr="00C77F5B" w:rsidRDefault="007020CC" w:rsidP="00C77F5B">
      <w:pPr>
        <w:pStyle w:val="FootnoteText"/>
        <w:widowControl w:val="0"/>
        <w:tabs>
          <w:tab w:val="clear" w:pos="1021"/>
          <w:tab w:val="right" w:pos="1020"/>
        </w:tabs>
        <w:rPr>
          <w:lang w:val="es-ES"/>
        </w:rPr>
      </w:pPr>
      <w:r>
        <w:rPr>
          <w:lang w:val="es-ES"/>
        </w:rPr>
        <w:tab/>
      </w:r>
      <w:r>
        <w:rPr>
          <w:rStyle w:val="FootnoteReference"/>
        </w:rPr>
        <w:footnoteRef/>
      </w:r>
      <w:r>
        <w:rPr>
          <w:lang w:val="es-ES"/>
        </w:rPr>
        <w:tab/>
        <w:t>En el 18º período de sesiones, el Comité celebró debates y adoptó decisiones en la sesión en línea del 4 de mayo de 2020 y entre períodos de sesiones.</w:t>
      </w:r>
    </w:p>
  </w:footnote>
  <w:footnote w:id="5">
    <w:p w14:paraId="7944CB94" w14:textId="77777777" w:rsidR="007020CC" w:rsidRPr="00AF4462" w:rsidRDefault="007020CC" w:rsidP="00AF4462">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AF4462">
        <w:rPr>
          <w:lang w:val="es-ES"/>
        </w:rPr>
        <w:t>En el 18º período de sesiones, el Comité celebró debates y adoptó decisiones en la sesión en línea del 4 de mayo de 2020 y entre períodos de sesiones.</w:t>
      </w:r>
    </w:p>
  </w:footnote>
  <w:footnote w:id="6">
    <w:p w14:paraId="5F42D8E3" w14:textId="77777777" w:rsidR="007020CC" w:rsidRPr="00C0426D" w:rsidRDefault="007020CC" w:rsidP="00C77F5B">
      <w:pPr>
        <w:pStyle w:val="FootnoteText"/>
        <w:rPr>
          <w:lang w:val="es-ES"/>
        </w:rPr>
      </w:pPr>
      <w:r>
        <w:rPr>
          <w:lang w:val="es-ES"/>
        </w:rPr>
        <w:tab/>
      </w:r>
      <w:r>
        <w:rPr>
          <w:rStyle w:val="FootnoteReference"/>
          <w:lang w:val="es-ES"/>
        </w:rPr>
        <w:footnoteRef/>
      </w:r>
      <w:r>
        <w:rPr>
          <w:lang w:val="es-ES"/>
        </w:rPr>
        <w:tab/>
        <w:t>En el 18º período de sesiones, el Comité celebró debates y adoptó decisiones en la sesión en línea del 4 de mayo de 2020 y entre períodos de sesiones.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0732" w14:textId="77777777" w:rsidR="007020CC" w:rsidRDefault="007020CC" w:rsidP="00C55ADD">
    <w:pPr>
      <w:pStyle w:val="Header"/>
      <w:tabs>
        <w:tab w:val="left" w:pos="4320"/>
        <w:tab w:val="right" w:pos="9496"/>
      </w:tabs>
      <w:suppressAutoHyphens w:val="0"/>
    </w:pPr>
    <w:r>
      <w:t>A/75/56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FE27" w14:textId="77777777" w:rsidR="007020CC" w:rsidRPr="0096750D" w:rsidRDefault="007020CC" w:rsidP="0096750D">
    <w:pPr>
      <w:pStyle w:val="Header"/>
      <w:jc w:val="right"/>
    </w:pPr>
    <w:r>
      <w:rPr>
        <w:lang w:val="es-ES"/>
      </w:rPr>
      <w:t>A/75/56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06B" w14:textId="77777777" w:rsidR="007020CC" w:rsidRPr="00C55ADD" w:rsidRDefault="007020CC" w:rsidP="00C55ADD">
    <w:pPr>
      <w:pStyle w:val="Header"/>
      <w:jc w:val="right"/>
      <w:rPr>
        <w:lang w:val="es-ES"/>
      </w:rPr>
    </w:pPr>
    <w:r>
      <w:rPr>
        <w:lang w:val="es-ES"/>
      </w:rPr>
      <w:t>A/75/56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1"/>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349F"/>
    <w:rsid w:val="00002C93"/>
    <w:rsid w:val="00040993"/>
    <w:rsid w:val="0004426D"/>
    <w:rsid w:val="00045202"/>
    <w:rsid w:val="000479E3"/>
    <w:rsid w:val="0005377B"/>
    <w:rsid w:val="00057523"/>
    <w:rsid w:val="0006449B"/>
    <w:rsid w:val="00074498"/>
    <w:rsid w:val="000745D5"/>
    <w:rsid w:val="00085FA4"/>
    <w:rsid w:val="0009013E"/>
    <w:rsid w:val="000A6338"/>
    <w:rsid w:val="000B2515"/>
    <w:rsid w:val="000B42B2"/>
    <w:rsid w:val="000D4E0B"/>
    <w:rsid w:val="000E5A34"/>
    <w:rsid w:val="000F341E"/>
    <w:rsid w:val="000F35B5"/>
    <w:rsid w:val="00103BDC"/>
    <w:rsid w:val="001066C9"/>
    <w:rsid w:val="001415D1"/>
    <w:rsid w:val="00146C52"/>
    <w:rsid w:val="00174B1B"/>
    <w:rsid w:val="00183201"/>
    <w:rsid w:val="00184B59"/>
    <w:rsid w:val="00187200"/>
    <w:rsid w:val="00191725"/>
    <w:rsid w:val="00191BEC"/>
    <w:rsid w:val="001A4DC6"/>
    <w:rsid w:val="001B70F5"/>
    <w:rsid w:val="001C2144"/>
    <w:rsid w:val="001F4334"/>
    <w:rsid w:val="002146FD"/>
    <w:rsid w:val="00225FDA"/>
    <w:rsid w:val="0024494A"/>
    <w:rsid w:val="00250713"/>
    <w:rsid w:val="0026585F"/>
    <w:rsid w:val="002667B2"/>
    <w:rsid w:val="00276CD9"/>
    <w:rsid w:val="0029161E"/>
    <w:rsid w:val="00291644"/>
    <w:rsid w:val="002B4818"/>
    <w:rsid w:val="002C4056"/>
    <w:rsid w:val="002D20AB"/>
    <w:rsid w:val="002F5C9C"/>
    <w:rsid w:val="003350BA"/>
    <w:rsid w:val="003509C2"/>
    <w:rsid w:val="00367BEE"/>
    <w:rsid w:val="003732D8"/>
    <w:rsid w:val="00377191"/>
    <w:rsid w:val="0039031F"/>
    <w:rsid w:val="003B17FC"/>
    <w:rsid w:val="003B7DFB"/>
    <w:rsid w:val="003C0877"/>
    <w:rsid w:val="003D0BA4"/>
    <w:rsid w:val="003D1D4A"/>
    <w:rsid w:val="003D2760"/>
    <w:rsid w:val="003F50F6"/>
    <w:rsid w:val="003F6C51"/>
    <w:rsid w:val="004112FD"/>
    <w:rsid w:val="004207CF"/>
    <w:rsid w:val="00432BE7"/>
    <w:rsid w:val="00441FB9"/>
    <w:rsid w:val="00441FBC"/>
    <w:rsid w:val="00452DF0"/>
    <w:rsid w:val="004552D4"/>
    <w:rsid w:val="00457366"/>
    <w:rsid w:val="004655E8"/>
    <w:rsid w:val="00476A8D"/>
    <w:rsid w:val="0049248A"/>
    <w:rsid w:val="00495818"/>
    <w:rsid w:val="004C05E3"/>
    <w:rsid w:val="004E20AB"/>
    <w:rsid w:val="004E33E8"/>
    <w:rsid w:val="004E3B1C"/>
    <w:rsid w:val="004E663E"/>
    <w:rsid w:val="004F1922"/>
    <w:rsid w:val="004F738F"/>
    <w:rsid w:val="00524DB3"/>
    <w:rsid w:val="00533E47"/>
    <w:rsid w:val="0054058F"/>
    <w:rsid w:val="00544E1F"/>
    <w:rsid w:val="00546470"/>
    <w:rsid w:val="00550EF4"/>
    <w:rsid w:val="00567E03"/>
    <w:rsid w:val="005707CD"/>
    <w:rsid w:val="005862BC"/>
    <w:rsid w:val="00593622"/>
    <w:rsid w:val="005A69A2"/>
    <w:rsid w:val="005A78A5"/>
    <w:rsid w:val="005B1F71"/>
    <w:rsid w:val="005B286F"/>
    <w:rsid w:val="005B29A3"/>
    <w:rsid w:val="005B6CF5"/>
    <w:rsid w:val="005C1DBE"/>
    <w:rsid w:val="005C3586"/>
    <w:rsid w:val="005C472F"/>
    <w:rsid w:val="005C5B44"/>
    <w:rsid w:val="005D2CAF"/>
    <w:rsid w:val="005E56DA"/>
    <w:rsid w:val="005E5F7F"/>
    <w:rsid w:val="005F688E"/>
    <w:rsid w:val="00622549"/>
    <w:rsid w:val="0062719E"/>
    <w:rsid w:val="00653714"/>
    <w:rsid w:val="00653B00"/>
    <w:rsid w:val="006626F9"/>
    <w:rsid w:val="00665E27"/>
    <w:rsid w:val="00680249"/>
    <w:rsid w:val="00683071"/>
    <w:rsid w:val="0069426A"/>
    <w:rsid w:val="00694755"/>
    <w:rsid w:val="006B1A6F"/>
    <w:rsid w:val="006B4565"/>
    <w:rsid w:val="006B5198"/>
    <w:rsid w:val="006B6809"/>
    <w:rsid w:val="006D7795"/>
    <w:rsid w:val="006F2B42"/>
    <w:rsid w:val="007020CC"/>
    <w:rsid w:val="007030FD"/>
    <w:rsid w:val="00703358"/>
    <w:rsid w:val="00721CE4"/>
    <w:rsid w:val="00722EC0"/>
    <w:rsid w:val="007259C5"/>
    <w:rsid w:val="00730EB0"/>
    <w:rsid w:val="00736A0D"/>
    <w:rsid w:val="00737516"/>
    <w:rsid w:val="007402B9"/>
    <w:rsid w:val="00751538"/>
    <w:rsid w:val="00764C02"/>
    <w:rsid w:val="00772F25"/>
    <w:rsid w:val="007778EE"/>
    <w:rsid w:val="00780501"/>
    <w:rsid w:val="00781299"/>
    <w:rsid w:val="00787BE0"/>
    <w:rsid w:val="00791589"/>
    <w:rsid w:val="007A1F98"/>
    <w:rsid w:val="007A6C93"/>
    <w:rsid w:val="007B0DC7"/>
    <w:rsid w:val="007C1342"/>
    <w:rsid w:val="007C2041"/>
    <w:rsid w:val="007C397B"/>
    <w:rsid w:val="007D595E"/>
    <w:rsid w:val="007D5A09"/>
    <w:rsid w:val="007F280C"/>
    <w:rsid w:val="0080088F"/>
    <w:rsid w:val="00831D24"/>
    <w:rsid w:val="008338D3"/>
    <w:rsid w:val="008431E7"/>
    <w:rsid w:val="008742B1"/>
    <w:rsid w:val="00885B2C"/>
    <w:rsid w:val="008932DE"/>
    <w:rsid w:val="008B0B1F"/>
    <w:rsid w:val="008C2521"/>
    <w:rsid w:val="008C68C7"/>
    <w:rsid w:val="008D495A"/>
    <w:rsid w:val="008D61DB"/>
    <w:rsid w:val="00902633"/>
    <w:rsid w:val="00907899"/>
    <w:rsid w:val="0091421C"/>
    <w:rsid w:val="00931A8A"/>
    <w:rsid w:val="009458B1"/>
    <w:rsid w:val="00955E11"/>
    <w:rsid w:val="009646E7"/>
    <w:rsid w:val="0096750D"/>
    <w:rsid w:val="00972EE3"/>
    <w:rsid w:val="00974DB6"/>
    <w:rsid w:val="00976597"/>
    <w:rsid w:val="00983320"/>
    <w:rsid w:val="009A417C"/>
    <w:rsid w:val="009C5D5A"/>
    <w:rsid w:val="009D04FE"/>
    <w:rsid w:val="009E1D77"/>
    <w:rsid w:val="009F22F5"/>
    <w:rsid w:val="009F7423"/>
    <w:rsid w:val="00A03A69"/>
    <w:rsid w:val="00A057F4"/>
    <w:rsid w:val="00A0621D"/>
    <w:rsid w:val="00A24CC1"/>
    <w:rsid w:val="00A351AC"/>
    <w:rsid w:val="00A37DAB"/>
    <w:rsid w:val="00A51992"/>
    <w:rsid w:val="00A55168"/>
    <w:rsid w:val="00A92060"/>
    <w:rsid w:val="00A950A2"/>
    <w:rsid w:val="00A95598"/>
    <w:rsid w:val="00AA0022"/>
    <w:rsid w:val="00AA5D9A"/>
    <w:rsid w:val="00AB722F"/>
    <w:rsid w:val="00AD1CE5"/>
    <w:rsid w:val="00AD7F71"/>
    <w:rsid w:val="00AE2E9F"/>
    <w:rsid w:val="00AF4462"/>
    <w:rsid w:val="00B30D91"/>
    <w:rsid w:val="00B30FEA"/>
    <w:rsid w:val="00B52EC2"/>
    <w:rsid w:val="00B63A76"/>
    <w:rsid w:val="00B651B9"/>
    <w:rsid w:val="00B741FD"/>
    <w:rsid w:val="00B75E03"/>
    <w:rsid w:val="00B81C08"/>
    <w:rsid w:val="00B90E98"/>
    <w:rsid w:val="00B97B56"/>
    <w:rsid w:val="00BB771F"/>
    <w:rsid w:val="00BC3867"/>
    <w:rsid w:val="00BC6515"/>
    <w:rsid w:val="00BE3B2E"/>
    <w:rsid w:val="00BE7E23"/>
    <w:rsid w:val="00BF1A5A"/>
    <w:rsid w:val="00BF4D4D"/>
    <w:rsid w:val="00C00C0F"/>
    <w:rsid w:val="00C16486"/>
    <w:rsid w:val="00C16A0F"/>
    <w:rsid w:val="00C4034D"/>
    <w:rsid w:val="00C500D0"/>
    <w:rsid w:val="00C55ADD"/>
    <w:rsid w:val="00C6432A"/>
    <w:rsid w:val="00C64886"/>
    <w:rsid w:val="00C77F5B"/>
    <w:rsid w:val="00CA063B"/>
    <w:rsid w:val="00CA0D4A"/>
    <w:rsid w:val="00CA3ABB"/>
    <w:rsid w:val="00CC0EAC"/>
    <w:rsid w:val="00CC71E1"/>
    <w:rsid w:val="00CF5DEB"/>
    <w:rsid w:val="00D12FDE"/>
    <w:rsid w:val="00D31E22"/>
    <w:rsid w:val="00D4111D"/>
    <w:rsid w:val="00D532E4"/>
    <w:rsid w:val="00D55C18"/>
    <w:rsid w:val="00D63382"/>
    <w:rsid w:val="00D6425B"/>
    <w:rsid w:val="00D645CB"/>
    <w:rsid w:val="00D74525"/>
    <w:rsid w:val="00D77E29"/>
    <w:rsid w:val="00D871B7"/>
    <w:rsid w:val="00DA740E"/>
    <w:rsid w:val="00DC086B"/>
    <w:rsid w:val="00DE43E4"/>
    <w:rsid w:val="00DE4C10"/>
    <w:rsid w:val="00DF43BC"/>
    <w:rsid w:val="00DF7F37"/>
    <w:rsid w:val="00E03971"/>
    <w:rsid w:val="00E0454D"/>
    <w:rsid w:val="00E11EC4"/>
    <w:rsid w:val="00E2476C"/>
    <w:rsid w:val="00E26A08"/>
    <w:rsid w:val="00E276DF"/>
    <w:rsid w:val="00E32216"/>
    <w:rsid w:val="00E442E1"/>
    <w:rsid w:val="00E46948"/>
    <w:rsid w:val="00E537ED"/>
    <w:rsid w:val="00E56256"/>
    <w:rsid w:val="00E629AE"/>
    <w:rsid w:val="00E6749B"/>
    <w:rsid w:val="00E71EB7"/>
    <w:rsid w:val="00E73C4D"/>
    <w:rsid w:val="00E762FE"/>
    <w:rsid w:val="00E91AC9"/>
    <w:rsid w:val="00E960AC"/>
    <w:rsid w:val="00EB5B04"/>
    <w:rsid w:val="00EE2D8A"/>
    <w:rsid w:val="00EF6C2B"/>
    <w:rsid w:val="00EF6D9D"/>
    <w:rsid w:val="00F03EF9"/>
    <w:rsid w:val="00F14E19"/>
    <w:rsid w:val="00F5494D"/>
    <w:rsid w:val="00F54ABC"/>
    <w:rsid w:val="00F6196C"/>
    <w:rsid w:val="00F65594"/>
    <w:rsid w:val="00F67D67"/>
    <w:rsid w:val="00F840C3"/>
    <w:rsid w:val="00F84996"/>
    <w:rsid w:val="00FC7060"/>
    <w:rsid w:val="00FD3720"/>
    <w:rsid w:val="00FE744C"/>
    <w:rsid w:val="00FF0DF9"/>
    <w:rsid w:val="00FF349F"/>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AC5FB"/>
  <w15:docId w15:val="{A40176BF-20A8-4A40-B026-40BBE7D2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A0D4A"/>
    <w:pPr>
      <w:suppressAutoHyphens/>
      <w:spacing w:line="240" w:lineRule="atLeast"/>
    </w:pPr>
    <w:rPr>
      <w:lang w:val="en-GB" w:eastAsia="en-U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styleId="HTMLAcronym">
    <w:name w:val="HTML Acronym"/>
    <w:basedOn w:val="DefaultParagraphFont"/>
    <w:semiHidden/>
  </w:style>
  <w:style w:type="numbering" w:styleId="ArticleSection">
    <w:name w:val="Outline List 3"/>
    <w:basedOn w:val="NoList"/>
    <w:semiHidden/>
    <w:pPr>
      <w:numPr>
        <w:numId w:val="4"/>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ListBullet">
    <w:name w:val="List Bullet"/>
    <w:basedOn w:val="Normal"/>
    <w:semiHidden/>
    <w:pPr>
      <w:numPr>
        <w:numId w:val="1"/>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basedOn w:val="DefaultParagraphFont"/>
    <w:qFormat/>
    <w:rPr>
      <w:b/>
      <w:sz w:val="18"/>
    </w:rPr>
  </w:style>
  <w:style w:type="character" w:customStyle="1" w:styleId="SingleTxtGChar">
    <w:name w:val="_ Single Txt_G Char"/>
    <w:basedOn w:val="DefaultParagraphFont"/>
    <w:link w:val="SingleTxtG"/>
    <w:rsid w:val="00CA0D4A"/>
    <w:rPr>
      <w:lang w:val="es-ES" w:eastAsia="es-ES" w:bidi="ar-SA"/>
    </w:rPr>
  </w:style>
  <w:style w:type="character" w:customStyle="1" w:styleId="HeaderChar">
    <w:name w:val="Header Char"/>
    <w:aliases w:val="6_G Char"/>
    <w:basedOn w:val="DefaultParagraphFont"/>
    <w:link w:val="Header"/>
    <w:locked/>
    <w:rsid w:val="0096750D"/>
    <w:rPr>
      <w:b/>
      <w:sz w:val="18"/>
      <w:lang w:val="es-ES" w:eastAsia="es-ES" w:bidi="ar-SA"/>
    </w:rPr>
  </w:style>
  <w:style w:type="character" w:customStyle="1" w:styleId="FooterChar">
    <w:name w:val="Footer Char"/>
    <w:aliases w:val="3_G Char"/>
    <w:basedOn w:val="DefaultParagraphFont"/>
    <w:link w:val="Footer"/>
    <w:rsid w:val="00EE2D8A"/>
    <w:rPr>
      <w:sz w:val="16"/>
      <w:lang w:val="es-ES" w:eastAsia="es-ES" w:bidi="ar-SA"/>
    </w:rPr>
  </w:style>
  <w:style w:type="character" w:customStyle="1" w:styleId="H4GCar">
    <w:name w:val="_ H_4_G Car"/>
    <w:basedOn w:val="DefaultParagraphFont"/>
    <w:link w:val="H4G"/>
    <w:rsid w:val="00D645CB"/>
    <w:rPr>
      <w:i/>
      <w:lang w:val="en-GB" w:eastAsia="en-US" w:bidi="ar-SA"/>
    </w:rPr>
  </w:style>
  <w:style w:type="paragraph" w:styleId="BalloonText">
    <w:name w:val="Balloon Text"/>
    <w:basedOn w:val="Normal"/>
    <w:link w:val="BalloonTextChar"/>
    <w:rsid w:val="00730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0EB0"/>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A24CC1"/>
    <w:rPr>
      <w:color w:val="605E5C"/>
      <w:shd w:val="clear" w:color="auto" w:fill="E1DFDD"/>
    </w:rPr>
  </w:style>
  <w:style w:type="character" w:customStyle="1" w:styleId="FootnoteTextChar">
    <w:name w:val="Footnote Text Char"/>
    <w:aliases w:val="5_G Char"/>
    <w:basedOn w:val="DefaultParagraphFont"/>
    <w:link w:val="FootnoteText"/>
    <w:rsid w:val="00C77F5B"/>
    <w:rPr>
      <w:sz w:val="18"/>
      <w:lang w:val="en-GB" w:eastAsia="en-US"/>
    </w:rPr>
  </w:style>
  <w:style w:type="paragraph" w:customStyle="1" w:styleId="ParNoG">
    <w:name w:val="_ParNo_G"/>
    <w:basedOn w:val="Normal"/>
    <w:qFormat/>
    <w:rsid w:val="00C77F5B"/>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undocs.org/sp/CED/C/10/D/1/2013" TargetMode="External"/><Relationship Id="rId39" Type="http://schemas.openxmlformats.org/officeDocument/2006/relationships/hyperlink" Target="https://undocs.org/sp/CED/C/COL/AI/1" TargetMode="External"/><Relationship Id="rId21" Type="http://schemas.openxmlformats.org/officeDocument/2006/relationships/hyperlink" Target="https://undocs.org/sp/CED/C/17/1" TargetMode="External"/><Relationship Id="rId34" Type="http://schemas.openxmlformats.org/officeDocument/2006/relationships/hyperlink" Target="https://undocs.org/sp/CED/C/CHE/Q/1" TargetMode="External"/><Relationship Id="rId42" Type="http://schemas.openxmlformats.org/officeDocument/2006/relationships/hyperlink" Target="https://undocs.org/sp/CED/C/IRQ/AI/1" TargetMode="External"/><Relationship Id="rId47" Type="http://schemas.openxmlformats.org/officeDocument/2006/relationships/hyperlink" Target="https://undocs.org/sp/CED/C/14/2" TargetMode="External"/><Relationship Id="rId50" Type="http://schemas.openxmlformats.org/officeDocument/2006/relationships/hyperlink" Target="https://undocs.org/sp/CCPR/C/SR.3654" TargetMode="External"/><Relationship Id="rId55" Type="http://schemas.openxmlformats.org/officeDocument/2006/relationships/theme" Target="theme/theme1.xml"/><Relationship Id="rId7" Type="http://schemas.openxmlformats.org/officeDocument/2006/relationships/hyperlink" Target="https://undocs.org/sp/A/75/56" TargetMode="Externa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s://undocs.org/sp/CED/C/17/2" TargetMode="External"/><Relationship Id="rId33" Type="http://schemas.openxmlformats.org/officeDocument/2006/relationships/hyperlink" Target="https://undocs.org/sp/CED/C/MNG/Q/1" TargetMode="External"/><Relationship Id="rId38" Type="http://schemas.openxmlformats.org/officeDocument/2006/relationships/hyperlink" Target="https://undocs.org/sp/CED/C/ARG/AI/1" TargetMode="External"/><Relationship Id="rId46" Type="http://schemas.openxmlformats.org/officeDocument/2006/relationships/hyperlink" Target="https://undocs.org/sp/CED/C/13/3"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hyperlink" Target="https://undocs.org/sp/CED/C/BOL/CO/1" TargetMode="External"/><Relationship Id="rId41" Type="http://schemas.openxmlformats.org/officeDocument/2006/relationships/hyperlink" Target="https://undocs.org/sp/CED/C/FRA/AI/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sp/A/75/56" TargetMode="External"/><Relationship Id="rId24" Type="http://schemas.openxmlformats.org/officeDocument/2006/relationships/hyperlink" Target="http://www.ohchr.org/EN/HRBodies/CED/Pages/Membership.aspx" TargetMode="External"/><Relationship Id="rId32" Type="http://schemas.openxmlformats.org/officeDocument/2006/relationships/hyperlink" Target="https://undocs.org/sp/CED/C/CHE/1" TargetMode="External"/><Relationship Id="rId37" Type="http://schemas.openxmlformats.org/officeDocument/2006/relationships/hyperlink" Target="https://undocs.org/sp/CED/C/PAN/Q/1" TargetMode="External"/><Relationship Id="rId40" Type="http://schemas.openxmlformats.org/officeDocument/2006/relationships/hyperlink" Target="https://undocs.org/sp/CED/C/ESP/AI/1" TargetMode="External"/><Relationship Id="rId45" Type="http://schemas.openxmlformats.org/officeDocument/2006/relationships/hyperlink" Target="https://undocs.org/sp/CED/C/12/2" TargetMode="External"/><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undocs.org/sp/A/74/643" TargetMode="External"/><Relationship Id="rId28" Type="http://schemas.openxmlformats.org/officeDocument/2006/relationships/hyperlink" Target="https://undocs.org/sp/CED/C/SVK/1" TargetMode="External"/><Relationship Id="rId36" Type="http://schemas.openxmlformats.org/officeDocument/2006/relationships/hyperlink" Target="https://undocs.org/sp/CED/C/BRA/Q/1" TargetMode="External"/><Relationship Id="rId49" Type="http://schemas.openxmlformats.org/officeDocument/2006/relationships/hyperlink" Target="https://undocs.org/sp/CED/C/16/2"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undocs.org/sp/CED/C/MNG/1" TargetMode="External"/><Relationship Id="rId44" Type="http://schemas.openxmlformats.org/officeDocument/2006/relationships/hyperlink" Target="https://undocs.org/sp/CED/C/11/3" TargetMode="Externa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undocs.org/sp/CED/C/7" TargetMode="External"/><Relationship Id="rId27" Type="http://schemas.openxmlformats.org/officeDocument/2006/relationships/hyperlink" Target="https://undocs.org/sp/CED/C/BOL/1" TargetMode="External"/><Relationship Id="rId30" Type="http://schemas.openxmlformats.org/officeDocument/2006/relationships/hyperlink" Target="https://undocs.org/sp/CED/C/SVK/CO/1" TargetMode="External"/><Relationship Id="rId35" Type="http://schemas.openxmlformats.org/officeDocument/2006/relationships/hyperlink" Target="https://undocs.org/sp/CED/C/NGA/QAR/1" TargetMode="External"/><Relationship Id="rId43" Type="http://schemas.openxmlformats.org/officeDocument/2006/relationships/hyperlink" Target="https://undocs.org/sp/CED/C/URY/AI/1" TargetMode="External"/><Relationship Id="rId48" Type="http://schemas.openxmlformats.org/officeDocument/2006/relationships/hyperlink" Target="https://undocs.org/sp/CED/C/15/3" TargetMode="External"/><Relationship Id="rId8" Type="http://schemas.openxmlformats.org/officeDocument/2006/relationships/image" Target="media/image1.png"/><Relationship Id="rId51" Type="http://schemas.openxmlformats.org/officeDocument/2006/relationships/hyperlink" Target="https://treaties.un.org/Pages/ViewDetails.aspx?src=TREATY&amp;mtdsg_no=IV-16&amp;chapter=4&amp;lang=e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IV-16&amp;chapter=4&amp;clang=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Informe.dotm</Template>
  <TotalTime>0</TotalTime>
  <Pages>30</Pages>
  <Words>8415</Words>
  <Characters>47971</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A/75/56</vt:lpstr>
    </vt:vector>
  </TitlesOfParts>
  <Company>CSD</Company>
  <LinksUpToDate>false</LinksUpToDate>
  <CharactersWithSpaces>56274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A/75/56</dc:title>
  <dc:subject/>
  <dc:creator>Luz Maria URQUIZU MARROQUIN</dc:creator>
  <cp:keywords/>
  <dc:description/>
  <cp:lastModifiedBy>Maria Luisa Zeballos Moreno</cp:lastModifiedBy>
  <cp:revision>3</cp:revision>
  <cp:lastPrinted>2020-07-07T05:22:00Z</cp:lastPrinted>
  <dcterms:created xsi:type="dcterms:W3CDTF">2020-07-07T05:22:00Z</dcterms:created>
  <dcterms:modified xsi:type="dcterms:W3CDTF">2020-07-07T05:23:00Z</dcterms:modified>
</cp:coreProperties>
</file>