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D0490F" w:rsidP="0022130F">
            <w:pPr>
              <w:spacing w:after="80" w:line="300" w:lineRule="exact"/>
              <w:rPr>
                <w:sz w:val="28"/>
                <w:szCs w:val="28"/>
              </w:rPr>
            </w:pPr>
            <w:r w:rsidRPr="007500C5">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DD76B4" w:rsidP="00D0490F">
            <w:pPr>
              <w:jc w:val="right"/>
            </w:pPr>
            <w:r w:rsidRPr="00DD76B4">
              <w:rPr>
                <w:sz w:val="40"/>
              </w:rPr>
              <w:t>A</w:t>
            </w:r>
            <w:r>
              <w:t>/HRC/29/</w:t>
            </w:r>
            <w:r w:rsidR="00383C54">
              <w:t xml:space="preserve">25/Add.1 </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440C18" w:rsidP="00956D9B">
            <w:pPr>
              <w:spacing w:before="120"/>
              <w:jc w:val="center"/>
            </w:pPr>
            <w:r>
              <w:rPr>
                <w:noProof/>
                <w:lang w:eastAsia="zh-CN"/>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0490F" w:rsidP="00EF5BDB">
            <w:pPr>
              <w:spacing w:before="120" w:line="420" w:lineRule="exact"/>
              <w:rPr>
                <w:b/>
                <w:sz w:val="40"/>
                <w:szCs w:val="40"/>
              </w:rPr>
            </w:pPr>
            <w:r w:rsidRPr="007500C5">
              <w:rPr>
                <w:b/>
                <w:sz w:val="40"/>
                <w:szCs w:val="40"/>
              </w:rPr>
              <w:t>General Assembly</w:t>
            </w:r>
          </w:p>
        </w:tc>
        <w:tc>
          <w:tcPr>
            <w:tcW w:w="2930" w:type="dxa"/>
            <w:tcBorders>
              <w:top w:val="single" w:sz="4" w:space="0" w:color="auto"/>
              <w:left w:val="nil"/>
              <w:bottom w:val="single" w:sz="12" w:space="0" w:color="auto"/>
              <w:right w:val="nil"/>
            </w:tcBorders>
          </w:tcPr>
          <w:p w:rsidR="003107FA" w:rsidRDefault="00DD76B4" w:rsidP="00DD76B4">
            <w:pPr>
              <w:spacing w:before="240" w:line="240" w:lineRule="exact"/>
            </w:pPr>
            <w:r>
              <w:t>Distr.: General</w:t>
            </w:r>
          </w:p>
          <w:p w:rsidR="00DD76B4" w:rsidRDefault="008D6BA9" w:rsidP="00AF2298">
            <w:pPr>
              <w:spacing w:line="240" w:lineRule="exact"/>
            </w:pPr>
            <w:r>
              <w:t>2</w:t>
            </w:r>
            <w:r w:rsidR="00B67E86">
              <w:t>7</w:t>
            </w:r>
            <w:r>
              <w:t xml:space="preserve"> </w:t>
            </w:r>
            <w:r w:rsidR="00D0490F">
              <w:t>April</w:t>
            </w:r>
            <w:r w:rsidR="00AD0009">
              <w:t xml:space="preserve"> 2015</w:t>
            </w:r>
          </w:p>
          <w:p w:rsidR="00DD76B4" w:rsidRDefault="00DD76B4" w:rsidP="00DD76B4">
            <w:pPr>
              <w:spacing w:line="240" w:lineRule="exact"/>
            </w:pPr>
          </w:p>
          <w:p w:rsidR="00DD76B4" w:rsidRDefault="00DD76B4" w:rsidP="00440C18">
            <w:pPr>
              <w:spacing w:line="240" w:lineRule="exact"/>
            </w:pPr>
            <w:r>
              <w:t>Original: English</w:t>
            </w:r>
            <w:bookmarkStart w:id="0" w:name="_GoBack"/>
            <w:bookmarkEnd w:id="0"/>
          </w:p>
        </w:tc>
      </w:tr>
    </w:tbl>
    <w:p w:rsidR="00DD76B4" w:rsidRPr="00E534E2" w:rsidRDefault="00DD76B4" w:rsidP="00DD76B4">
      <w:pPr>
        <w:tabs>
          <w:tab w:val="left" w:pos="2268"/>
        </w:tabs>
        <w:spacing w:before="120"/>
        <w:jc w:val="both"/>
        <w:rPr>
          <w:b/>
          <w:sz w:val="24"/>
          <w:szCs w:val="24"/>
        </w:rPr>
      </w:pPr>
      <w:r w:rsidRPr="00E534E2">
        <w:rPr>
          <w:b/>
          <w:sz w:val="24"/>
          <w:szCs w:val="24"/>
        </w:rPr>
        <w:t>Human Rights Council</w:t>
      </w:r>
      <w:r w:rsidR="00440C18">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29/25/Add.1 &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5/Add.1 &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B4" w:rsidRDefault="00DD76B4" w:rsidP="00DD76B4">
      <w:pPr>
        <w:rPr>
          <w:b/>
        </w:rPr>
      </w:pPr>
      <w:r>
        <w:rPr>
          <w:b/>
        </w:rPr>
        <w:t>Twenty-</w:t>
      </w:r>
      <w:r w:rsidR="00840FD1">
        <w:rPr>
          <w:b/>
        </w:rPr>
        <w:t>ninth</w:t>
      </w:r>
      <w:r w:rsidR="00840FD1" w:rsidRPr="008C5C90">
        <w:rPr>
          <w:b/>
        </w:rPr>
        <w:t xml:space="preserve"> </w:t>
      </w:r>
      <w:r w:rsidRPr="008C5C90">
        <w:rPr>
          <w:b/>
        </w:rPr>
        <w:t>session</w:t>
      </w:r>
    </w:p>
    <w:p w:rsidR="00DD76B4" w:rsidRPr="00E534E2" w:rsidRDefault="00DD76B4" w:rsidP="00DD76B4">
      <w:pPr>
        <w:tabs>
          <w:tab w:val="left" w:pos="2268"/>
        </w:tabs>
        <w:jc w:val="both"/>
      </w:pPr>
      <w:r w:rsidRPr="00E534E2">
        <w:t>Agenda item</w:t>
      </w:r>
      <w:r>
        <w:t xml:space="preserve"> </w:t>
      </w:r>
      <w:r w:rsidR="00383C54">
        <w:t>3</w:t>
      </w:r>
    </w:p>
    <w:p w:rsidR="00DD76B4" w:rsidRDefault="00DD76B4" w:rsidP="00DD76B4">
      <w:pPr>
        <w:tabs>
          <w:tab w:val="left" w:pos="2268"/>
        </w:tabs>
        <w:rPr>
          <w:b/>
        </w:rPr>
      </w:pPr>
      <w:r w:rsidRPr="00E534E2">
        <w:rPr>
          <w:b/>
        </w:rPr>
        <w:t xml:space="preserve">Promotion and protection of all human rights, civil, </w:t>
      </w:r>
      <w:r w:rsidRPr="00E534E2">
        <w:rPr>
          <w:b/>
        </w:rPr>
        <w:br/>
        <w:t xml:space="preserve">political, economic, social and cultural rights, </w:t>
      </w:r>
      <w:r w:rsidRPr="00E534E2">
        <w:rPr>
          <w:b/>
        </w:rPr>
        <w:br/>
        <w:t>including the right to development</w:t>
      </w:r>
    </w:p>
    <w:p w:rsidR="008A6843" w:rsidRDefault="008A6843" w:rsidP="008A6843">
      <w:pPr>
        <w:pStyle w:val="HChG"/>
      </w:pPr>
      <w:r>
        <w:tab/>
      </w:r>
      <w:r>
        <w:tab/>
      </w:r>
      <w:r w:rsidRPr="00D61409">
        <w:t>Report of the Special Rapporteur on the rights to freedom of</w:t>
      </w:r>
      <w:r w:rsidR="00D6527E">
        <w:t> </w:t>
      </w:r>
      <w:r w:rsidRPr="00D61409">
        <w:t xml:space="preserve">peaceful assembly and of association, </w:t>
      </w:r>
      <w:proofErr w:type="spellStart"/>
      <w:r w:rsidRPr="00D61409">
        <w:t>Maina</w:t>
      </w:r>
      <w:proofErr w:type="spellEnd"/>
      <w:r w:rsidRPr="00D61409">
        <w:t xml:space="preserve"> </w:t>
      </w:r>
      <w:proofErr w:type="spellStart"/>
      <w:r w:rsidRPr="00D61409">
        <w:t>Kiai</w:t>
      </w:r>
      <w:proofErr w:type="spellEnd"/>
    </w:p>
    <w:p w:rsidR="008A6843" w:rsidRDefault="008A6843" w:rsidP="00B21831">
      <w:pPr>
        <w:pStyle w:val="H23G"/>
      </w:pPr>
      <w:r>
        <w:tab/>
      </w:r>
      <w:r>
        <w:tab/>
      </w:r>
      <w:r w:rsidRPr="007F5683">
        <w:t>Addendum</w:t>
      </w:r>
    </w:p>
    <w:p w:rsidR="008A6843" w:rsidRDefault="008A6843" w:rsidP="00D532B9">
      <w:pPr>
        <w:pStyle w:val="H1G"/>
        <w:rPr>
          <w:sz w:val="20"/>
        </w:rPr>
      </w:pPr>
      <w:r>
        <w:rPr>
          <w:b w:val="0"/>
        </w:rPr>
        <w:tab/>
      </w:r>
      <w:r>
        <w:rPr>
          <w:b w:val="0"/>
        </w:rPr>
        <w:tab/>
      </w:r>
      <w:r w:rsidRPr="00A20816">
        <w:t>M</w:t>
      </w:r>
      <w:r w:rsidR="00872FF7">
        <w:t xml:space="preserve">ission to </w:t>
      </w:r>
      <w:r>
        <w:t>Oman</w:t>
      </w:r>
      <w:r w:rsidR="00383C54" w:rsidRPr="00440C18">
        <w:rPr>
          <w:rStyle w:val="FootnoteReference"/>
          <w:b w:val="0"/>
          <w:sz w:val="20"/>
          <w:vertAlign w:val="baseline"/>
          <w:lang w:val="en-U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Change w:id="1">
          <w:tblGrid>
            <w:gridCol w:w="9637"/>
          </w:tblGrid>
        </w:tblGridChange>
      </w:tblGrid>
      <w:tr w:rsidR="00CA5B0D" w:rsidTr="007C59C7">
        <w:trPr>
          <w:cantSplit/>
          <w:jc w:val="center"/>
        </w:trPr>
        <w:tc>
          <w:tcPr>
            <w:tcW w:w="9637" w:type="dxa"/>
            <w:shd w:val="clear" w:color="auto" w:fill="auto"/>
          </w:tcPr>
          <w:p w:rsidR="00CA5B0D" w:rsidRPr="00573C4D" w:rsidRDefault="00CA5B0D" w:rsidP="007C59C7">
            <w:pPr>
              <w:spacing w:before="240" w:after="120"/>
              <w:ind w:left="255"/>
              <w:rPr>
                <w:i/>
                <w:sz w:val="24"/>
              </w:rPr>
            </w:pPr>
            <w:r w:rsidRPr="00573C4D">
              <w:rPr>
                <w:i/>
                <w:sz w:val="24"/>
              </w:rPr>
              <w:t>Summary</w:t>
            </w:r>
          </w:p>
        </w:tc>
      </w:tr>
      <w:tr w:rsidR="00CA5B0D" w:rsidTr="007C59C7">
        <w:trPr>
          <w:cantSplit/>
          <w:jc w:val="center"/>
        </w:trPr>
        <w:tc>
          <w:tcPr>
            <w:tcW w:w="9637" w:type="dxa"/>
            <w:tcBorders>
              <w:bottom w:val="nil"/>
            </w:tcBorders>
            <w:shd w:val="clear" w:color="auto" w:fill="auto"/>
          </w:tcPr>
          <w:p w:rsidR="00CA5B0D" w:rsidRDefault="00CA5B0D" w:rsidP="00CC3076">
            <w:pPr>
              <w:pStyle w:val="SingleTxtG"/>
              <w:ind w:firstLine="567"/>
            </w:pPr>
            <w:r w:rsidRPr="00C17B2F">
              <w:t xml:space="preserve">The Special Rapporteur on the rights to freedom of peaceful assembly and of association conducted an official visit to Oman from 8 to 13 September 2014 to assess the situation of the rights to freedom of peaceful assembly and of association in the country, pursuant to </w:t>
            </w:r>
            <w:r w:rsidR="004730AE">
              <w:t xml:space="preserve">Human Rights </w:t>
            </w:r>
            <w:r w:rsidRPr="00C17B2F">
              <w:t>Council resolutions 15/21 and 24/5</w:t>
            </w:r>
            <w:r>
              <w:t>.</w:t>
            </w:r>
          </w:p>
        </w:tc>
      </w:tr>
      <w:tr w:rsidR="00CA5B0D" w:rsidTr="007C59C7">
        <w:trPr>
          <w:cantSplit/>
          <w:jc w:val="center"/>
        </w:trPr>
        <w:tc>
          <w:tcPr>
            <w:tcW w:w="9637" w:type="dxa"/>
            <w:tcBorders>
              <w:top w:val="nil"/>
              <w:bottom w:val="nil"/>
            </w:tcBorders>
            <w:shd w:val="clear" w:color="auto" w:fill="auto"/>
          </w:tcPr>
          <w:p w:rsidR="00CA5B0D" w:rsidRDefault="00CA5B0D" w:rsidP="00CC3076">
            <w:pPr>
              <w:pStyle w:val="SingleTxtG"/>
              <w:ind w:firstLine="567"/>
            </w:pPr>
            <w:r w:rsidRPr="00CA5B0D">
              <w:t>Following two introductory sections, in section</w:t>
            </w:r>
            <w:r w:rsidR="004730AE">
              <w:t>s</w:t>
            </w:r>
            <w:r w:rsidRPr="00CA5B0D">
              <w:t xml:space="preserve"> III and IV the Special Rapporteur refers to a number of challenges in law and in practice in relation to the exercise of the rights under his mandate</w:t>
            </w:r>
            <w:r w:rsidR="004730AE">
              <w:t>.</w:t>
            </w:r>
          </w:p>
        </w:tc>
      </w:tr>
      <w:tr w:rsidR="00CA5B0D" w:rsidTr="007C59C7">
        <w:trPr>
          <w:cantSplit/>
          <w:jc w:val="center"/>
        </w:trPr>
        <w:tc>
          <w:tcPr>
            <w:tcW w:w="9637" w:type="dxa"/>
            <w:tcBorders>
              <w:top w:val="nil"/>
              <w:bottom w:val="nil"/>
            </w:tcBorders>
            <w:shd w:val="clear" w:color="auto" w:fill="auto"/>
          </w:tcPr>
          <w:p w:rsidR="00CA5B0D" w:rsidRDefault="00CA5B0D" w:rsidP="00CC3076">
            <w:pPr>
              <w:pStyle w:val="SingleTxtG"/>
              <w:ind w:firstLine="567"/>
            </w:pPr>
            <w:r w:rsidRPr="00CA5B0D">
              <w:t xml:space="preserve">In sections V and VI, </w:t>
            </w:r>
            <w:r w:rsidR="00B31FC8">
              <w:t>he</w:t>
            </w:r>
            <w:r w:rsidRPr="00CA5B0D">
              <w:t xml:space="preserve"> focuses on the role of the National Human Rights Commission and the assistance activities </w:t>
            </w:r>
            <w:r w:rsidR="004730AE">
              <w:t xml:space="preserve">of the </w:t>
            </w:r>
            <w:r w:rsidR="004730AE" w:rsidRPr="00DA0C61">
              <w:t xml:space="preserve">Regional Office for the Middle East </w:t>
            </w:r>
            <w:r w:rsidR="004730AE">
              <w:t>and North Africa of the Office of the United Nations High Commissioner for Human Rights.</w:t>
            </w:r>
          </w:p>
        </w:tc>
      </w:tr>
      <w:tr w:rsidR="00CA5B0D" w:rsidTr="007C59C7">
        <w:trPr>
          <w:cantSplit/>
          <w:jc w:val="center"/>
        </w:trPr>
        <w:tc>
          <w:tcPr>
            <w:tcW w:w="9637" w:type="dxa"/>
            <w:shd w:val="clear" w:color="auto" w:fill="auto"/>
          </w:tcPr>
          <w:p w:rsidR="00CA5B0D" w:rsidRDefault="00CA5B0D" w:rsidP="00CC3076">
            <w:pPr>
              <w:pStyle w:val="SingleTxtG"/>
              <w:ind w:firstLine="567"/>
            </w:pPr>
            <w:r w:rsidRPr="00CA5B0D">
              <w:t>Finally, in section VII, the Special Rapporteur formulates conclusions and recommendations.</w:t>
            </w:r>
          </w:p>
        </w:tc>
      </w:tr>
      <w:tr w:rsidR="00CA5B0D" w:rsidTr="007C59C7">
        <w:trPr>
          <w:cantSplit/>
          <w:jc w:val="center"/>
        </w:trPr>
        <w:tc>
          <w:tcPr>
            <w:tcW w:w="9637" w:type="dxa"/>
            <w:shd w:val="clear" w:color="auto" w:fill="auto"/>
          </w:tcPr>
          <w:p w:rsidR="00CA5B0D" w:rsidRDefault="00CA5B0D" w:rsidP="007C59C7"/>
        </w:tc>
      </w:tr>
    </w:tbl>
    <w:p w:rsidR="00DD76B4" w:rsidRDefault="008A6843" w:rsidP="00E33536">
      <w:pPr>
        <w:pStyle w:val="HChG"/>
      </w:pPr>
      <w:r>
        <w:br w:type="page"/>
      </w:r>
      <w:r w:rsidR="00E33536">
        <w:lastRenderedPageBreak/>
        <w:t>Annex</w:t>
      </w:r>
    </w:p>
    <w:p w:rsidR="00CC3076" w:rsidRPr="00013D16" w:rsidRDefault="00CC3076" w:rsidP="00CC3076">
      <w:pPr>
        <w:jc w:val="right"/>
      </w:pPr>
      <w:r w:rsidRPr="00013D16">
        <w:rPr>
          <w:i/>
          <w:iCs/>
          <w:lang w:val="en-US"/>
        </w:rPr>
        <w:t>[</w:t>
      </w:r>
      <w:r>
        <w:rPr>
          <w:i/>
          <w:iCs/>
          <w:lang w:val="en-US"/>
        </w:rPr>
        <w:t xml:space="preserve">Arabic and English </w:t>
      </w:r>
      <w:r w:rsidRPr="00013D16">
        <w:rPr>
          <w:i/>
          <w:iCs/>
          <w:lang w:val="en-US"/>
        </w:rPr>
        <w:t>only]</w:t>
      </w:r>
    </w:p>
    <w:p w:rsidR="00872FF7" w:rsidRDefault="00872FF7" w:rsidP="000F0BEA">
      <w:pPr>
        <w:pStyle w:val="HChG"/>
      </w:pPr>
      <w:r w:rsidRPr="00A20816">
        <w:tab/>
      </w:r>
      <w:r>
        <w:tab/>
      </w:r>
      <w:r w:rsidRPr="00D95C18">
        <w:t xml:space="preserve">Report of the Special Rapporteur on the rights to freedom of peaceful assembly and of association, </w:t>
      </w:r>
      <w:proofErr w:type="spellStart"/>
      <w:r w:rsidRPr="00D95C18">
        <w:t>Ma</w:t>
      </w:r>
      <w:r>
        <w:t>ina</w:t>
      </w:r>
      <w:proofErr w:type="spellEnd"/>
      <w:r>
        <w:t xml:space="preserve"> </w:t>
      </w:r>
      <w:proofErr w:type="spellStart"/>
      <w:r>
        <w:t>Kiai</w:t>
      </w:r>
      <w:proofErr w:type="spellEnd"/>
      <w:r>
        <w:t xml:space="preserve">, on his mission to </w:t>
      </w:r>
      <w:r w:rsidRPr="00B929FE">
        <w:t>Oman (</w:t>
      </w:r>
      <w:r w:rsidR="00B929FE" w:rsidRPr="00B929FE">
        <w:t>8</w:t>
      </w:r>
      <w:r w:rsidR="00CA5B0D">
        <w:t>–</w:t>
      </w:r>
      <w:r w:rsidR="00B929FE" w:rsidRPr="00B929FE">
        <w:t>13 September 2014</w:t>
      </w:r>
      <w:r w:rsidRPr="00B929FE">
        <w:t>)</w:t>
      </w:r>
    </w:p>
    <w:p w:rsidR="00E33536" w:rsidRPr="0038042C" w:rsidRDefault="00E33536" w:rsidP="00E33536">
      <w:pPr>
        <w:spacing w:after="120"/>
        <w:rPr>
          <w:sz w:val="28"/>
          <w:lang w:val="fr-CH"/>
        </w:rPr>
      </w:pPr>
      <w:r w:rsidRPr="0038042C">
        <w:rPr>
          <w:sz w:val="28"/>
          <w:lang w:val="fr-CH"/>
        </w:rPr>
        <w:t>Contents</w:t>
      </w:r>
    </w:p>
    <w:p w:rsidR="00EF3FD1" w:rsidRPr="0038042C" w:rsidRDefault="00EF3FD1" w:rsidP="00EF3FD1">
      <w:pPr>
        <w:tabs>
          <w:tab w:val="right" w:pos="8929"/>
          <w:tab w:val="right" w:pos="9638"/>
        </w:tabs>
        <w:spacing w:after="120"/>
        <w:ind w:left="283"/>
        <w:rPr>
          <w:lang w:val="fr-CH"/>
        </w:rPr>
      </w:pPr>
      <w:r w:rsidRPr="0038042C">
        <w:rPr>
          <w:i/>
          <w:sz w:val="18"/>
          <w:lang w:val="fr-CH"/>
        </w:rPr>
        <w:tab/>
      </w:r>
      <w:proofErr w:type="spellStart"/>
      <w:r w:rsidRPr="0038042C">
        <w:rPr>
          <w:i/>
          <w:sz w:val="18"/>
          <w:lang w:val="fr-CH"/>
        </w:rPr>
        <w:t>Paragraphs</w:t>
      </w:r>
      <w:proofErr w:type="spellEnd"/>
      <w:r w:rsidRPr="0038042C">
        <w:rPr>
          <w:i/>
          <w:sz w:val="18"/>
          <w:lang w:val="fr-CH"/>
        </w:rPr>
        <w:tab/>
        <w:t>Page</w:t>
      </w:r>
    </w:p>
    <w:p w:rsidR="00EF3FD1" w:rsidRPr="0038042C" w:rsidRDefault="00EF3FD1" w:rsidP="00EF3FD1">
      <w:pPr>
        <w:tabs>
          <w:tab w:val="right" w:pos="850"/>
          <w:tab w:val="left" w:pos="1134"/>
          <w:tab w:val="left" w:pos="1559"/>
          <w:tab w:val="left" w:pos="1984"/>
          <w:tab w:val="left" w:leader="dot" w:pos="7654"/>
          <w:tab w:val="right" w:pos="8929"/>
          <w:tab w:val="right" w:pos="9638"/>
        </w:tabs>
        <w:spacing w:after="120"/>
        <w:rPr>
          <w:lang w:val="fr-CH"/>
        </w:rPr>
      </w:pPr>
      <w:r w:rsidRPr="0038042C">
        <w:rPr>
          <w:lang w:val="fr-CH"/>
        </w:rPr>
        <w:tab/>
        <w:t>I.</w:t>
      </w:r>
      <w:r w:rsidRPr="0038042C">
        <w:rPr>
          <w:lang w:val="fr-CH"/>
        </w:rPr>
        <w:tab/>
        <w:t>Introduction</w:t>
      </w:r>
      <w:r w:rsidRPr="0038042C">
        <w:rPr>
          <w:lang w:val="fr-CH"/>
        </w:rPr>
        <w:tab/>
      </w:r>
      <w:r w:rsidRPr="0038042C">
        <w:rPr>
          <w:lang w:val="fr-CH"/>
        </w:rPr>
        <w:tab/>
        <w:t>1–5</w:t>
      </w:r>
      <w:r w:rsidRPr="0038042C">
        <w:rPr>
          <w:lang w:val="fr-CH"/>
        </w:rPr>
        <w:tab/>
        <w:t>3</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rsidRPr="0038042C">
        <w:rPr>
          <w:lang w:val="fr-CH"/>
        </w:rPr>
        <w:tab/>
      </w:r>
      <w:r>
        <w:t>II.</w:t>
      </w:r>
      <w:r>
        <w:tab/>
        <w:t>Political, economic, social and legal context</w:t>
      </w:r>
      <w:r>
        <w:tab/>
      </w:r>
      <w:r>
        <w:tab/>
        <w:t>6–16</w:t>
      </w:r>
      <w:r>
        <w:tab/>
      </w:r>
      <w:r w:rsidR="000626E3">
        <w:t>3</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t>III.</w:t>
      </w:r>
      <w:r>
        <w:tab/>
        <w:t>Challenges to the exercise of the right to freedom of peaceful assembly</w:t>
      </w:r>
      <w:r>
        <w:tab/>
      </w:r>
      <w:r>
        <w:tab/>
        <w:t>17–3</w:t>
      </w:r>
      <w:r w:rsidR="000626E3">
        <w:t>6</w:t>
      </w:r>
      <w:r>
        <w:tab/>
      </w:r>
      <w:r w:rsidR="000626E3">
        <w:t>5</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A.</w:t>
      </w:r>
      <w:r>
        <w:tab/>
        <w:t>Legal framework</w:t>
      </w:r>
      <w:r>
        <w:tab/>
      </w:r>
      <w:r>
        <w:tab/>
        <w:t>17–19</w:t>
      </w:r>
      <w:r>
        <w:tab/>
      </w:r>
      <w:r w:rsidR="000626E3">
        <w:t>5</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B.</w:t>
      </w:r>
      <w:r>
        <w:tab/>
        <w:t>Practice</w:t>
      </w:r>
      <w:r>
        <w:tab/>
      </w:r>
      <w:r>
        <w:tab/>
        <w:t>20–36</w:t>
      </w:r>
      <w:r>
        <w:tab/>
        <w:t>7</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t>IV.</w:t>
      </w:r>
      <w:r>
        <w:tab/>
        <w:t>Challenges to the exercise of the right to freedom of association</w:t>
      </w:r>
      <w:r>
        <w:tab/>
      </w:r>
      <w:r>
        <w:tab/>
        <w:t>37–53</w:t>
      </w:r>
      <w:r>
        <w:tab/>
        <w:t>11</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A.</w:t>
      </w:r>
      <w:r>
        <w:tab/>
        <w:t>Legal framework</w:t>
      </w:r>
      <w:r>
        <w:tab/>
      </w:r>
      <w:r>
        <w:tab/>
        <w:t>37–40</w:t>
      </w:r>
      <w:r>
        <w:tab/>
        <w:t>11</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B.</w:t>
      </w:r>
      <w:r>
        <w:tab/>
        <w:t>Practice</w:t>
      </w:r>
      <w:r>
        <w:tab/>
      </w:r>
      <w:r>
        <w:tab/>
        <w:t>41–53</w:t>
      </w:r>
      <w:r>
        <w:tab/>
        <w:t>12</w:t>
      </w:r>
    </w:p>
    <w:p w:rsidR="00EF3FD1" w:rsidRDefault="00EF3FD1" w:rsidP="000F0BEA">
      <w:pPr>
        <w:tabs>
          <w:tab w:val="right" w:pos="850"/>
          <w:tab w:val="left" w:pos="1134"/>
          <w:tab w:val="left" w:pos="1559"/>
          <w:tab w:val="left" w:pos="1984"/>
          <w:tab w:val="left" w:leader="dot" w:pos="7654"/>
          <w:tab w:val="right" w:pos="8929"/>
          <w:tab w:val="right" w:pos="9638"/>
        </w:tabs>
        <w:spacing w:after="120"/>
      </w:pPr>
      <w:r>
        <w:tab/>
        <w:t>V.</w:t>
      </w:r>
      <w:r>
        <w:tab/>
        <w:t xml:space="preserve">National </w:t>
      </w:r>
      <w:r w:rsidR="00CA5B0D">
        <w:t>H</w:t>
      </w:r>
      <w:r>
        <w:t xml:space="preserve">uman </w:t>
      </w:r>
      <w:r w:rsidR="00CA5B0D">
        <w:t>R</w:t>
      </w:r>
      <w:r>
        <w:t>ights</w:t>
      </w:r>
      <w:r w:rsidR="00CA5B0D">
        <w:t xml:space="preserve"> Commission </w:t>
      </w:r>
      <w:r>
        <w:tab/>
      </w:r>
      <w:r>
        <w:tab/>
        <w:t>54–61</w:t>
      </w:r>
      <w:r>
        <w:tab/>
        <w:t>15</w:t>
      </w:r>
    </w:p>
    <w:p w:rsidR="00EF3FD1" w:rsidRDefault="00EF3FD1" w:rsidP="000F0BEA">
      <w:pPr>
        <w:tabs>
          <w:tab w:val="right" w:pos="850"/>
          <w:tab w:val="left" w:pos="1134"/>
          <w:tab w:val="left" w:pos="1559"/>
          <w:tab w:val="left" w:pos="1984"/>
          <w:tab w:val="left" w:leader="dot" w:pos="7654"/>
          <w:tab w:val="right" w:pos="8929"/>
          <w:tab w:val="right" w:pos="9638"/>
        </w:tabs>
        <w:spacing w:after="120"/>
      </w:pPr>
      <w:r>
        <w:tab/>
        <w:t>VI.</w:t>
      </w:r>
      <w:r>
        <w:tab/>
      </w:r>
      <w:r w:rsidRPr="00A731C0">
        <w:t>Assistance activities</w:t>
      </w:r>
      <w:r>
        <w:t xml:space="preserve"> of the </w:t>
      </w:r>
      <w:r w:rsidR="00956086">
        <w:t>R</w:t>
      </w:r>
      <w:r>
        <w:t xml:space="preserve">egional </w:t>
      </w:r>
      <w:r w:rsidR="00956086">
        <w:t>O</w:t>
      </w:r>
      <w:r>
        <w:t xml:space="preserve">ffice </w:t>
      </w:r>
      <w:r w:rsidR="00956086" w:rsidRPr="00DA0C61">
        <w:t>for the Middle East</w:t>
      </w:r>
      <w:r w:rsidR="00956086">
        <w:t xml:space="preserve"> and </w:t>
      </w:r>
      <w:r w:rsidR="00956086">
        <w:br/>
      </w:r>
      <w:r w:rsidR="00956086">
        <w:tab/>
      </w:r>
      <w:r w:rsidR="00956086">
        <w:tab/>
        <w:t xml:space="preserve">North Africa </w:t>
      </w:r>
      <w:r>
        <w:t xml:space="preserve">of the </w:t>
      </w:r>
      <w:r w:rsidR="00956086">
        <w:t xml:space="preserve">Office of the </w:t>
      </w:r>
      <w:r>
        <w:t xml:space="preserve">United Nations </w:t>
      </w:r>
      <w:r w:rsidR="00956086">
        <w:t xml:space="preserve">High Commissioner for </w:t>
      </w:r>
      <w:r w:rsidR="00956086">
        <w:br/>
      </w:r>
      <w:r w:rsidR="00956086">
        <w:tab/>
      </w:r>
      <w:r w:rsidR="00956086">
        <w:tab/>
        <w:t>Human Rights</w:t>
      </w:r>
      <w:r>
        <w:tab/>
      </w:r>
      <w:r>
        <w:tab/>
        <w:t>62–64</w:t>
      </w:r>
      <w:r>
        <w:tab/>
        <w:t>1</w:t>
      </w:r>
      <w:r w:rsidR="00943ADA">
        <w:t>6</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t>VII.</w:t>
      </w:r>
      <w:r>
        <w:tab/>
        <w:t>Conclusion and recommendations</w:t>
      </w:r>
      <w:r>
        <w:tab/>
      </w:r>
      <w:r>
        <w:tab/>
        <w:t>65–75</w:t>
      </w:r>
      <w:r>
        <w:tab/>
        <w:t>17</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A.</w:t>
      </w:r>
      <w:r>
        <w:tab/>
        <w:t>Conclusion</w:t>
      </w:r>
      <w:r>
        <w:tab/>
      </w:r>
      <w:r>
        <w:tab/>
        <w:t>65–69</w:t>
      </w:r>
      <w:r>
        <w:tab/>
        <w:t>17</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B.</w:t>
      </w:r>
      <w:r>
        <w:tab/>
        <w:t>Recommendations</w:t>
      </w:r>
      <w:r>
        <w:tab/>
      </w:r>
      <w:r>
        <w:tab/>
        <w:t>70–75</w:t>
      </w:r>
      <w:r>
        <w:tab/>
        <w:t>18</w:t>
      </w:r>
    </w:p>
    <w:p w:rsidR="00E33536" w:rsidRPr="008B4ABB" w:rsidRDefault="00E33536" w:rsidP="00E33536">
      <w:pPr>
        <w:pStyle w:val="HChG"/>
        <w:ind w:left="0" w:firstLine="0"/>
        <w:rPr>
          <w:lang w:val="fr-CH"/>
        </w:rPr>
      </w:pPr>
      <w:r>
        <w:br w:type="page"/>
      </w:r>
      <w:r>
        <w:lastRenderedPageBreak/>
        <w:tab/>
        <w:t>I.</w:t>
      </w:r>
      <w:r>
        <w:tab/>
      </w:r>
      <w:r w:rsidR="009E0553">
        <w:rPr>
          <w:lang w:val="fr-CH"/>
        </w:rPr>
        <w:t>Introduction</w:t>
      </w:r>
    </w:p>
    <w:p w:rsidR="00E33536" w:rsidRDefault="00E33536" w:rsidP="00B21831">
      <w:pPr>
        <w:pStyle w:val="SingleTxtG"/>
        <w:numPr>
          <w:ilvl w:val="0"/>
          <w:numId w:val="2"/>
        </w:numPr>
        <w:ind w:left="1134" w:firstLine="0"/>
      </w:pPr>
      <w:r>
        <w:t xml:space="preserve">The Special Rapporteur on the rights to freedom of peaceful assembly and of association conducted an official visit to Oman from 8 to 13 September 2014. The purpose of the visit was to assess the exercise, promotion and protection of the rights under his mandate. </w:t>
      </w:r>
    </w:p>
    <w:p w:rsidR="00E33536" w:rsidRPr="00E621BC" w:rsidRDefault="00E33536" w:rsidP="000F0BEA">
      <w:pPr>
        <w:pStyle w:val="SingleTxtG"/>
        <w:numPr>
          <w:ilvl w:val="0"/>
          <w:numId w:val="2"/>
        </w:numPr>
        <w:ind w:left="1134" w:firstLine="0"/>
      </w:pPr>
      <w:r>
        <w:t xml:space="preserve">The Special Rapporteur views </w:t>
      </w:r>
      <w:r w:rsidR="00B31FC8">
        <w:t xml:space="preserve">the invitation that was extended to him by Oman </w:t>
      </w:r>
      <w:r>
        <w:t xml:space="preserve">as testimony of </w:t>
      </w:r>
      <w:r w:rsidR="00B31FC8">
        <w:t xml:space="preserve">the State’s </w:t>
      </w:r>
      <w:r>
        <w:t xml:space="preserve">willingness to </w:t>
      </w:r>
      <w:r w:rsidR="00D8696C">
        <w:t xml:space="preserve">engage in </w:t>
      </w:r>
      <w:r>
        <w:t xml:space="preserve">a frank, constructive and open dialogue on the situation of human rights. He therefore presents his findings and offers his recommendations in a spirit of </w:t>
      </w:r>
      <w:r w:rsidR="00FF5000">
        <w:t xml:space="preserve">shared endeavour </w:t>
      </w:r>
      <w:r>
        <w:t xml:space="preserve">and </w:t>
      </w:r>
      <w:r w:rsidR="00FF5000">
        <w:t>commitment</w:t>
      </w:r>
      <w:r>
        <w:t>, supporting the efforts of Oman towards the realization of the rights to freedom of peaceful assembly and of association.</w:t>
      </w:r>
    </w:p>
    <w:p w:rsidR="00E33536" w:rsidRDefault="00E33536" w:rsidP="000F0BEA">
      <w:pPr>
        <w:pStyle w:val="SingleTxtG"/>
        <w:numPr>
          <w:ilvl w:val="0"/>
          <w:numId w:val="2"/>
        </w:numPr>
        <w:ind w:left="1134" w:firstLine="0"/>
      </w:pPr>
      <w:r>
        <w:t xml:space="preserve">He thanks the Government for its cooperation before and during the conduct of the mission and commends Oman for being the first Arab country to agree on an official country visit. He had constructive talks with members of the executive, legislative and judicial branches. He met with the Attorney General, </w:t>
      </w:r>
      <w:r w:rsidR="008114C8">
        <w:t>t</w:t>
      </w:r>
      <w:r>
        <w:t xml:space="preserve">he Minister </w:t>
      </w:r>
      <w:r w:rsidR="0074019F">
        <w:t xml:space="preserve">for </w:t>
      </w:r>
      <w:r>
        <w:t xml:space="preserve">Social Development, the Secretary-General of the Ministry of Foreign Affairs, the Assistant Inspector General of the Royal Oman Police, </w:t>
      </w:r>
      <w:r w:rsidR="008114C8">
        <w:t>t</w:t>
      </w:r>
      <w:r>
        <w:t>he Secretary</w:t>
      </w:r>
      <w:r w:rsidR="00AA6A6E">
        <w:t>-</w:t>
      </w:r>
      <w:r>
        <w:t xml:space="preserve">General of the State Council, </w:t>
      </w:r>
      <w:r w:rsidR="008114C8">
        <w:t>t</w:t>
      </w:r>
      <w:r>
        <w:t xml:space="preserve">he Chairman of the Consultative Council and the Chairman of the </w:t>
      </w:r>
      <w:r w:rsidRPr="00C17B2F">
        <w:t>Public Administration of Judg</w:t>
      </w:r>
      <w:r w:rsidR="00AA6A6E" w:rsidRPr="00C17B2F">
        <w:t>e</w:t>
      </w:r>
      <w:r w:rsidRPr="00C17B2F">
        <w:t>ment Enforcement</w:t>
      </w:r>
      <w:r>
        <w:t>.</w:t>
      </w:r>
      <w:r w:rsidR="00E74C18">
        <w:t xml:space="preserve"> </w:t>
      </w:r>
      <w:r>
        <w:t xml:space="preserve">In addition to </w:t>
      </w:r>
      <w:r w:rsidR="00B31FC8">
        <w:t>holding</w:t>
      </w:r>
      <w:r>
        <w:t xml:space="preserve"> meetings in Muscat, the Special Rapporteur travelled to </w:t>
      </w:r>
      <w:proofErr w:type="spellStart"/>
      <w:r>
        <w:t>Salalah</w:t>
      </w:r>
      <w:proofErr w:type="spellEnd"/>
      <w:r>
        <w:t>, in the south of the country, where he met with the Advis</w:t>
      </w:r>
      <w:r w:rsidR="00B31FC8">
        <w:t>e</w:t>
      </w:r>
      <w:r>
        <w:t xml:space="preserve">r at the Office of the Minister of State and Governor of </w:t>
      </w:r>
      <w:proofErr w:type="spellStart"/>
      <w:r>
        <w:t>Dhofar</w:t>
      </w:r>
      <w:proofErr w:type="spellEnd"/>
      <w:r>
        <w:t xml:space="preserve">. The Special Rapporteur also had the opportunity to consult with representatives of the National Human Rights Commission and with human rights activists, both men and women, including lawyers, bloggers and researchers. He is most grateful to all his </w:t>
      </w:r>
      <w:r w:rsidRPr="00063502">
        <w:t>interlocutors</w:t>
      </w:r>
      <w:r>
        <w:t>.</w:t>
      </w:r>
    </w:p>
    <w:p w:rsidR="00E33536" w:rsidRDefault="00E33536" w:rsidP="000F0BEA">
      <w:pPr>
        <w:pStyle w:val="SingleTxtG"/>
        <w:numPr>
          <w:ilvl w:val="0"/>
          <w:numId w:val="2"/>
        </w:numPr>
        <w:ind w:left="1134" w:firstLine="0"/>
      </w:pPr>
      <w:r>
        <w:t>T</w:t>
      </w:r>
      <w:r w:rsidRPr="0094386B">
        <w:t>he Speci</w:t>
      </w:r>
      <w:r>
        <w:t xml:space="preserve">al Rapporteur regrets, however, that the Ministry of Foreign Affairs did not accommodate his request to meet with </w:t>
      </w:r>
      <w:proofErr w:type="spellStart"/>
      <w:r>
        <w:t>Talib</w:t>
      </w:r>
      <w:proofErr w:type="spellEnd"/>
      <w:r>
        <w:t xml:space="preserve"> </w:t>
      </w:r>
      <w:r w:rsidR="00AA6A6E">
        <w:t>a</w:t>
      </w:r>
      <w:r>
        <w:t>l-</w:t>
      </w:r>
      <w:proofErr w:type="spellStart"/>
      <w:r>
        <w:t>Mamari</w:t>
      </w:r>
      <w:proofErr w:type="spellEnd"/>
      <w:r>
        <w:t xml:space="preserve">, a member of the lower chamber of the </w:t>
      </w:r>
      <w:r w:rsidR="008114C8">
        <w:t>p</w:t>
      </w:r>
      <w:r>
        <w:t>arliament</w:t>
      </w:r>
      <w:r w:rsidR="008114C8">
        <w:t>, who was</w:t>
      </w:r>
      <w:r>
        <w:t xml:space="preserve"> convicted of convening an illegal gathering and </w:t>
      </w:r>
      <w:r w:rsidR="008114C8">
        <w:t xml:space="preserve">is </w:t>
      </w:r>
      <w:r>
        <w:t xml:space="preserve">currently serving a prison sentence at </w:t>
      </w:r>
      <w:proofErr w:type="spellStart"/>
      <w:r>
        <w:t>Sumail</w:t>
      </w:r>
      <w:proofErr w:type="spellEnd"/>
      <w:r>
        <w:t xml:space="preserve"> Central Prison. He also regrets that</w:t>
      </w:r>
      <w:r w:rsidR="008114C8">
        <w:t>,</w:t>
      </w:r>
      <w:r>
        <w:t xml:space="preserve"> although he would have liked to meet with representatives from the Ministry of </w:t>
      </w:r>
      <w:r w:rsidR="00AA6A6E">
        <w:t xml:space="preserve">the </w:t>
      </w:r>
      <w:r>
        <w:t>Interior, he was not accorded this opportunity. The Special Rapporteur would like to emphasi</w:t>
      </w:r>
      <w:r w:rsidR="008114C8">
        <w:t>z</w:t>
      </w:r>
      <w:r>
        <w:t xml:space="preserve">e the importance of guaranteeing freedom of inquiry to mandate holders </w:t>
      </w:r>
      <w:r w:rsidR="00B31FC8">
        <w:t xml:space="preserve">so that </w:t>
      </w:r>
      <w:r>
        <w:t xml:space="preserve">they </w:t>
      </w:r>
      <w:r w:rsidR="00B31FC8">
        <w:t xml:space="preserve">can </w:t>
      </w:r>
      <w:r>
        <w:t>have free access to prisons and representatives of central and local authorities of all branches of Government</w:t>
      </w:r>
      <w:r w:rsidR="004B7CA9">
        <w:t>,</w:t>
      </w:r>
      <w:r>
        <w:t xml:space="preserve"> as provided for in the </w:t>
      </w:r>
      <w:r w:rsidR="00B31FC8">
        <w:t>t</w:t>
      </w:r>
      <w:r>
        <w:t xml:space="preserve">erms of </w:t>
      </w:r>
      <w:r w:rsidR="00B31FC8">
        <w:t>r</w:t>
      </w:r>
      <w:r>
        <w:t xml:space="preserve">eference </w:t>
      </w:r>
      <w:r w:rsidR="00B31FC8" w:rsidRPr="00436C39">
        <w:t xml:space="preserve">for </w:t>
      </w:r>
      <w:r w:rsidR="00B31FC8">
        <w:t>c</w:t>
      </w:r>
      <w:r>
        <w:t xml:space="preserve">ountry </w:t>
      </w:r>
      <w:r w:rsidR="00B31FC8">
        <w:t>v</w:t>
      </w:r>
      <w:r>
        <w:t>isits</w:t>
      </w:r>
      <w:r w:rsidR="00B31FC8">
        <w:t xml:space="preserve"> </w:t>
      </w:r>
      <w:r w:rsidR="00B31FC8" w:rsidRPr="00436C39">
        <w:t>(E/CN.4/1998/45)</w:t>
      </w:r>
      <w:r>
        <w:t xml:space="preserve">. Free access enables the Special Rapporteur to objectively assess the </w:t>
      </w:r>
      <w:r w:rsidRPr="001033F7">
        <w:t>state</w:t>
      </w:r>
      <w:r>
        <w:t xml:space="preserve"> of the rights under his mandate.</w:t>
      </w:r>
    </w:p>
    <w:p w:rsidR="00E33536" w:rsidRDefault="00E33536" w:rsidP="000F0BEA">
      <w:pPr>
        <w:pStyle w:val="SingleTxtG"/>
        <w:numPr>
          <w:ilvl w:val="0"/>
          <w:numId w:val="2"/>
        </w:numPr>
        <w:ind w:left="1134" w:firstLine="0"/>
      </w:pPr>
      <w:r>
        <w:t xml:space="preserve">In carrying out his visit, the Special Rapporteur was guided by several international legal standards, including the International Covenant on Civil and Political Rights, </w:t>
      </w:r>
      <w:r w:rsidR="004B7CA9">
        <w:t xml:space="preserve">in particular its </w:t>
      </w:r>
      <w:r w:rsidR="00622328">
        <w:t>articles </w:t>
      </w:r>
      <w:r>
        <w:t>21 and 22; the International Covenant on Economic, Social and Cultural Rights</w:t>
      </w:r>
      <w:r w:rsidR="004B7CA9">
        <w:t>;</w:t>
      </w:r>
      <w:r>
        <w:t xml:space="preserve"> the </w:t>
      </w:r>
      <w:r w:rsidRPr="00D100F1">
        <w:t>Declaration on the Right and Responsibility of Individuals, Groups and Organs of Society to Promote and Protect Universally Recognized Human Rights and Fundamental Freedoms</w:t>
      </w:r>
      <w:r w:rsidR="004B7CA9">
        <w:t>;</w:t>
      </w:r>
      <w:r>
        <w:t xml:space="preserve"> and relevant Human Rights Council resolutions. </w:t>
      </w:r>
    </w:p>
    <w:p w:rsidR="00E33536" w:rsidRPr="009E0553" w:rsidRDefault="00E33536" w:rsidP="00E33536">
      <w:pPr>
        <w:pStyle w:val="HChG"/>
      </w:pPr>
      <w:r w:rsidRPr="00E33536">
        <w:tab/>
      </w:r>
      <w:r w:rsidRPr="009E0553">
        <w:t>II.</w:t>
      </w:r>
      <w:r w:rsidRPr="009E0553">
        <w:tab/>
      </w:r>
      <w:r w:rsidR="000E5BD0">
        <w:t>Political, economic, social and legal c</w:t>
      </w:r>
      <w:r w:rsidR="009E0553">
        <w:t>ontext</w:t>
      </w:r>
    </w:p>
    <w:p w:rsidR="00E33536" w:rsidRDefault="00E33536" w:rsidP="000F0BEA">
      <w:pPr>
        <w:pStyle w:val="SingleTxtG"/>
        <w:numPr>
          <w:ilvl w:val="0"/>
          <w:numId w:val="2"/>
        </w:numPr>
        <w:ind w:left="1134" w:firstLine="0"/>
      </w:pPr>
      <w:r>
        <w:t>Oman is a hereditary monarchy headed by the Sultan</w:t>
      </w:r>
      <w:r w:rsidR="001D7024">
        <w:t>, who is</w:t>
      </w:r>
      <w:r>
        <w:t xml:space="preserve"> Head of State and Supreme Commander of the Armed Forces. </w:t>
      </w:r>
    </w:p>
    <w:p w:rsidR="00E33536" w:rsidRDefault="00E33536" w:rsidP="000F0BEA">
      <w:pPr>
        <w:pStyle w:val="SingleTxtG"/>
        <w:numPr>
          <w:ilvl w:val="0"/>
          <w:numId w:val="2"/>
        </w:numPr>
        <w:ind w:left="1134" w:firstLine="0"/>
      </w:pPr>
      <w:r>
        <w:t xml:space="preserve">Among </w:t>
      </w:r>
      <w:r w:rsidR="003E5FF5">
        <w:t xml:space="preserve">his </w:t>
      </w:r>
      <w:r>
        <w:t xml:space="preserve">other </w:t>
      </w:r>
      <w:r w:rsidR="003E5FF5">
        <w:t>duties</w:t>
      </w:r>
      <w:r>
        <w:t xml:space="preserve">, the Sultan presides over the Council of Ministers, </w:t>
      </w:r>
      <w:r w:rsidR="003E5FF5">
        <w:t>which</w:t>
      </w:r>
      <w:r>
        <w:t xml:space="preserve"> implement</w:t>
      </w:r>
      <w:r w:rsidR="003E5FF5">
        <w:t>s</w:t>
      </w:r>
      <w:r>
        <w:t xml:space="preserve"> State</w:t>
      </w:r>
      <w:r w:rsidR="003E5FF5">
        <w:t xml:space="preserve"> policy</w:t>
      </w:r>
      <w:r>
        <w:t xml:space="preserve">. </w:t>
      </w:r>
      <w:r w:rsidR="003E5FF5">
        <w:t>T</w:t>
      </w:r>
      <w:r>
        <w:t xml:space="preserve">he Sultan appoints and </w:t>
      </w:r>
      <w:r w:rsidR="003E5FF5">
        <w:t>dismisses</w:t>
      </w:r>
      <w:r>
        <w:t xml:space="preserve"> ministers and </w:t>
      </w:r>
      <w:r w:rsidR="00D532B9">
        <w:t xml:space="preserve">other officials </w:t>
      </w:r>
      <w:r>
        <w:t xml:space="preserve">of </w:t>
      </w:r>
      <w:r w:rsidR="00D532B9">
        <w:lastRenderedPageBreak/>
        <w:t xml:space="preserve">equivalent </w:t>
      </w:r>
      <w:r>
        <w:t>status and authori</w:t>
      </w:r>
      <w:r w:rsidR="003E5FF5">
        <w:t>z</w:t>
      </w:r>
      <w:r>
        <w:t>es and approves laws, decrees and accession to international treaties</w:t>
      </w:r>
      <w:r w:rsidR="001D7024">
        <w:t xml:space="preserve"> (see </w:t>
      </w:r>
      <w:r w:rsidR="001D7024" w:rsidRPr="00436C39">
        <w:t>HRI/CORE/OMN/2013, paras. 18–20</w:t>
      </w:r>
      <w:r w:rsidR="001D7024">
        <w:t>)</w:t>
      </w:r>
      <w:r>
        <w:t>.</w:t>
      </w:r>
    </w:p>
    <w:p w:rsidR="00E33536" w:rsidRDefault="00E33536" w:rsidP="000F0BEA">
      <w:pPr>
        <w:pStyle w:val="SingleTxtG"/>
        <w:numPr>
          <w:ilvl w:val="0"/>
          <w:numId w:val="2"/>
        </w:numPr>
        <w:ind w:left="1134" w:firstLine="0"/>
      </w:pPr>
      <w:r>
        <w:t xml:space="preserve">A series of political reforms have gradually increased the representation in </w:t>
      </w:r>
      <w:r w:rsidR="00F778AE">
        <w:t>g</w:t>
      </w:r>
      <w:r>
        <w:t>overnment</w:t>
      </w:r>
      <w:r w:rsidR="00F778AE">
        <w:t xml:space="preserve"> of elected officials</w:t>
      </w:r>
      <w:r>
        <w:t>, albeit in an advisory capacity. The legislative branch comprises the Council of State (</w:t>
      </w:r>
      <w:proofErr w:type="spellStart"/>
      <w:r>
        <w:t>Majlis</w:t>
      </w:r>
      <w:proofErr w:type="spellEnd"/>
      <w:r>
        <w:t xml:space="preserve"> al-</w:t>
      </w:r>
      <w:proofErr w:type="spellStart"/>
      <w:r>
        <w:t>Dawla</w:t>
      </w:r>
      <w:proofErr w:type="spellEnd"/>
      <w:r>
        <w:t>), with 83 members, including 15 women, selected by the Sultan, and the Consultative Council (</w:t>
      </w:r>
      <w:proofErr w:type="spellStart"/>
      <w:r>
        <w:t>Majlis</w:t>
      </w:r>
      <w:proofErr w:type="spellEnd"/>
      <w:r>
        <w:t xml:space="preserve"> al-</w:t>
      </w:r>
      <w:proofErr w:type="spellStart"/>
      <w:r>
        <w:t>Shura</w:t>
      </w:r>
      <w:proofErr w:type="spellEnd"/>
      <w:r>
        <w:t>). The Consultative Council works as an advisory body to the Sultan</w:t>
      </w:r>
      <w:r w:rsidR="00D02C3B">
        <w:t>,</w:t>
      </w:r>
      <w:r>
        <w:t xml:space="preserve"> with limited powers to propose legislation; it is composed of 84 members, including </w:t>
      </w:r>
      <w:r w:rsidR="003648C8">
        <w:t xml:space="preserve">1 </w:t>
      </w:r>
      <w:r>
        <w:t>woman, elected by universal suffrage</w:t>
      </w:r>
      <w:r w:rsidR="00F778AE">
        <w:t xml:space="preserve"> (i</w:t>
      </w:r>
      <w:r w:rsidR="00F778AE" w:rsidRPr="00436C39">
        <w:t>bid., paras. 21–26</w:t>
      </w:r>
      <w:r w:rsidR="00F778AE">
        <w:t>)</w:t>
      </w:r>
      <w:r>
        <w:t>.</w:t>
      </w:r>
    </w:p>
    <w:p w:rsidR="00E33536" w:rsidRDefault="00E33536" w:rsidP="000F0BEA">
      <w:pPr>
        <w:pStyle w:val="SingleTxtG"/>
        <w:numPr>
          <w:ilvl w:val="0"/>
          <w:numId w:val="2"/>
        </w:numPr>
        <w:ind w:left="1134" w:firstLine="0"/>
      </w:pPr>
      <w:r>
        <w:t>The Sultan chairs the Supreme Council of the Judiciary, an organ with supervisory powers over the judicial system. Further</w:t>
      </w:r>
      <w:r w:rsidR="00EB00E8">
        <w:t>more</w:t>
      </w:r>
      <w:r>
        <w:t xml:space="preserve">, </w:t>
      </w:r>
      <w:r w:rsidRPr="00325B9F">
        <w:t>the Sultan directly appoints</w:t>
      </w:r>
      <w:r>
        <w:t xml:space="preserve"> and </w:t>
      </w:r>
      <w:r w:rsidR="005225C6">
        <w:t>dismisses</w:t>
      </w:r>
      <w:r w:rsidRPr="00325B9F">
        <w:t xml:space="preserve"> senior judges </w:t>
      </w:r>
      <w:r>
        <w:t xml:space="preserve">and </w:t>
      </w:r>
      <w:r w:rsidRPr="00325B9F">
        <w:t>presides over the Council of Ministers</w:t>
      </w:r>
      <w:r>
        <w:t>, which is tasked with overseeing</w:t>
      </w:r>
      <w:r w:rsidRPr="00325B9F">
        <w:t xml:space="preserve"> compliance </w:t>
      </w:r>
      <w:r w:rsidR="005225C6">
        <w:t>with</w:t>
      </w:r>
      <w:r w:rsidR="005225C6" w:rsidRPr="00325B9F">
        <w:t xml:space="preserve"> </w:t>
      </w:r>
      <w:r w:rsidRPr="00325B9F">
        <w:t>court judgements</w:t>
      </w:r>
      <w:r>
        <w:t>. Though nominally independent</w:t>
      </w:r>
      <w:r w:rsidR="00F778AE">
        <w:t xml:space="preserve"> (i</w:t>
      </w:r>
      <w:r w:rsidR="00F778AE" w:rsidRPr="00436C39">
        <w:t>bid., para. 27</w:t>
      </w:r>
      <w:r w:rsidR="00F778AE">
        <w:t>)</w:t>
      </w:r>
      <w:r>
        <w:t>, the judiciary remains strongly influenced by the executive.</w:t>
      </w:r>
      <w:r w:rsidRPr="00325B9F">
        <w:t xml:space="preserve"> </w:t>
      </w:r>
    </w:p>
    <w:p w:rsidR="00E33536" w:rsidRDefault="00E33536" w:rsidP="000F0BEA">
      <w:pPr>
        <w:pStyle w:val="SingleTxtG"/>
        <w:numPr>
          <w:ilvl w:val="0"/>
          <w:numId w:val="2"/>
        </w:numPr>
        <w:ind w:left="1134" w:firstLine="0"/>
      </w:pPr>
      <w:r>
        <w:t xml:space="preserve">Since the 1970s, Oman has made remarkable progress in developing its economy, building infrastructure, widening access to education and improving health and basic services, such as water, housing and electricity. The country has tried to diversify its petroleum-dependent economy, promoting sectors based on renewable natural resources such as agriculture and fishing, encouraging tourism and producing light industrial goods. Oman has expanded its diplomatic relations, resolved its border disputes and </w:t>
      </w:r>
      <w:r w:rsidR="00BF4496">
        <w:t>as</w:t>
      </w:r>
      <w:r w:rsidRPr="00BF4496">
        <w:t>sured</w:t>
      </w:r>
      <w:r>
        <w:t xml:space="preserve"> a high degree of internal stability in a region often subject to turbulence, tensions and conflicts. The Special Rapporteur acknowledges </w:t>
      </w:r>
      <w:r w:rsidR="00F27108">
        <w:t xml:space="preserve">the </w:t>
      </w:r>
      <w:r>
        <w:t xml:space="preserve">significant </w:t>
      </w:r>
      <w:r w:rsidRPr="004D1BE3">
        <w:t>achievements</w:t>
      </w:r>
      <w:r>
        <w:t xml:space="preserve"> </w:t>
      </w:r>
      <w:r w:rsidR="00F27108">
        <w:t xml:space="preserve">made by Oman </w:t>
      </w:r>
      <w:r w:rsidRPr="004D1BE3">
        <w:t>and</w:t>
      </w:r>
      <w:r>
        <w:t xml:space="preserve"> </w:t>
      </w:r>
      <w:r w:rsidRPr="004D1BE3">
        <w:t>commends</w:t>
      </w:r>
      <w:r>
        <w:t xml:space="preserve"> </w:t>
      </w:r>
      <w:r w:rsidRPr="004D1BE3">
        <w:t>the</w:t>
      </w:r>
      <w:r>
        <w:t xml:space="preserve"> people and the </w:t>
      </w:r>
      <w:r w:rsidRPr="004D1BE3">
        <w:t>Government</w:t>
      </w:r>
      <w:r>
        <w:t xml:space="preserve"> </w:t>
      </w:r>
      <w:r w:rsidRPr="004D1BE3">
        <w:t>for</w:t>
      </w:r>
      <w:r>
        <w:t xml:space="preserve"> </w:t>
      </w:r>
      <w:r w:rsidRPr="004D1BE3">
        <w:t>the</w:t>
      </w:r>
      <w:r>
        <w:t xml:space="preserve"> </w:t>
      </w:r>
      <w:r w:rsidRPr="004D1BE3">
        <w:t>considerable</w:t>
      </w:r>
      <w:r>
        <w:t xml:space="preserve"> </w:t>
      </w:r>
      <w:r w:rsidRPr="004D1BE3">
        <w:t>progress</w:t>
      </w:r>
      <w:r>
        <w:t xml:space="preserve"> they have made. </w:t>
      </w:r>
    </w:p>
    <w:p w:rsidR="00E33536" w:rsidRDefault="00E33536" w:rsidP="00AF2298">
      <w:pPr>
        <w:pStyle w:val="SingleTxtG"/>
        <w:numPr>
          <w:ilvl w:val="0"/>
          <w:numId w:val="2"/>
        </w:numPr>
        <w:ind w:left="1134" w:firstLine="0"/>
      </w:pPr>
      <w:r>
        <w:t xml:space="preserve">The Special Rapporteur also notes that Oman is blessed with a diversity of ethnicities, cultures and nationalities and has remained largely cohesive and stable. </w:t>
      </w:r>
    </w:p>
    <w:p w:rsidR="00E33536" w:rsidRDefault="00E33536" w:rsidP="000F0BEA">
      <w:pPr>
        <w:pStyle w:val="SingleTxtG"/>
        <w:numPr>
          <w:ilvl w:val="0"/>
          <w:numId w:val="2"/>
        </w:numPr>
        <w:ind w:left="1134" w:firstLine="0"/>
      </w:pPr>
      <w:r>
        <w:t xml:space="preserve">The Special Rapporteur notes </w:t>
      </w:r>
      <w:r w:rsidR="0028005C">
        <w:t xml:space="preserve">the </w:t>
      </w:r>
      <w:r>
        <w:t xml:space="preserve">efforts </w:t>
      </w:r>
      <w:r w:rsidR="0028005C">
        <w:t xml:space="preserve">made by Oman </w:t>
      </w:r>
      <w:r>
        <w:t xml:space="preserve">to consolidate the legal framework for the protection and promotion of human rights. The Basic Law of </w:t>
      </w:r>
      <w:r w:rsidR="00C12152">
        <w:t xml:space="preserve">Oman </w:t>
      </w:r>
      <w:r>
        <w:t>sets out civil and political liberties for all, including the rights of expression and association, the rights to private property and personal privacy and the right to freedom of religion or belief. The right</w:t>
      </w:r>
      <w:r w:rsidR="0005463D">
        <w:t>s</w:t>
      </w:r>
      <w:r>
        <w:t xml:space="preserve"> of peaceful assembly and non-discrimination are, however, guaranteed </w:t>
      </w:r>
      <w:r w:rsidR="001033F7">
        <w:t xml:space="preserve">only </w:t>
      </w:r>
      <w:r>
        <w:t xml:space="preserve">to </w:t>
      </w:r>
      <w:r w:rsidRPr="00E1459E">
        <w:t xml:space="preserve">Omani </w:t>
      </w:r>
      <w:r w:rsidRPr="00952A4E">
        <w:t>citizens</w:t>
      </w:r>
      <w:r w:rsidR="0005463D">
        <w:t>,</w:t>
      </w:r>
      <w:r w:rsidRPr="00722649">
        <w:rPr>
          <w:rStyle w:val="FootnoteReference"/>
        </w:rPr>
        <w:footnoteReference w:id="3"/>
      </w:r>
      <w:r w:rsidRPr="002862B7">
        <w:t xml:space="preserve"> contrary to best practices</w:t>
      </w:r>
      <w:r w:rsidR="0005463D">
        <w:t>.</w:t>
      </w:r>
      <w:r>
        <w:t xml:space="preserve"> In addition, a number of laws and decrees limit the rights to freedom of peaceful assembly and of association. </w:t>
      </w:r>
    </w:p>
    <w:p w:rsidR="00E33536" w:rsidRDefault="00E33536" w:rsidP="002A4F94">
      <w:pPr>
        <w:pStyle w:val="SingleTxtG"/>
        <w:numPr>
          <w:ilvl w:val="0"/>
          <w:numId w:val="2"/>
        </w:numPr>
        <w:ind w:left="1134" w:firstLine="0"/>
      </w:pPr>
      <w:r>
        <w:t xml:space="preserve">Oman is a party to international treaties relevant to peaceful assembly and association rights, including the Convention on the Elimination of All Forms of Discrimination against Women and the Convention </w:t>
      </w:r>
      <w:r w:rsidR="006E23E8">
        <w:t xml:space="preserve">on </w:t>
      </w:r>
      <w:r>
        <w:t xml:space="preserve">the Rights of the Child. In addition, Oman has acceded to the International Convention on the Elimination of All Forms of Racial Discrimination and to the Convention on the Rights of Persons with Disabilities. </w:t>
      </w:r>
      <w:r w:rsidR="007478BA">
        <w:t>From 1998 to 2001</w:t>
      </w:r>
      <w:r w:rsidR="00634119">
        <w:t>,</w:t>
      </w:r>
      <w:r w:rsidR="007478BA">
        <w:t xml:space="preserve"> i</w:t>
      </w:r>
      <w:r>
        <w:t>t ratified four relevant conventions of the International Labour Organization</w:t>
      </w:r>
      <w:r w:rsidR="0091678D">
        <w:t xml:space="preserve"> (ILO)</w:t>
      </w:r>
      <w:r>
        <w:t>.</w:t>
      </w:r>
      <w:r w:rsidRPr="001C6590">
        <w:rPr>
          <w:rStyle w:val="FootnoteReference"/>
        </w:rPr>
        <w:footnoteReference w:id="4"/>
      </w:r>
      <w:r>
        <w:t xml:space="preserve"> </w:t>
      </w:r>
    </w:p>
    <w:p w:rsidR="00E33536" w:rsidRDefault="00E33536" w:rsidP="000F0BEA">
      <w:pPr>
        <w:pStyle w:val="SingleTxtG"/>
        <w:numPr>
          <w:ilvl w:val="0"/>
          <w:numId w:val="2"/>
        </w:numPr>
        <w:ind w:left="1134" w:firstLine="0"/>
      </w:pPr>
      <w:r>
        <w:lastRenderedPageBreak/>
        <w:t>The Basic Law of Oman provides that international law has primacy over national laws,</w:t>
      </w:r>
      <w:r w:rsidRPr="001C6590">
        <w:rPr>
          <w:rStyle w:val="FootnoteReference"/>
        </w:rPr>
        <w:footnoteReference w:id="5"/>
      </w:r>
      <w:r>
        <w:t xml:space="preserve"> but the country has made reservations to </w:t>
      </w:r>
      <w:r w:rsidR="00622328">
        <w:t>articles </w:t>
      </w:r>
      <w:r>
        <w:t xml:space="preserve">9, 15, 16 and 29 of the Convention on the Elimination of All Forms of Discrimination against Women and </w:t>
      </w:r>
      <w:r w:rsidR="00810806">
        <w:t>to articles</w:t>
      </w:r>
      <w:r w:rsidR="00D6527E">
        <w:t> </w:t>
      </w:r>
      <w:r>
        <w:t xml:space="preserve">7, 9, 14, 21 and 30 of the Convention </w:t>
      </w:r>
      <w:r w:rsidR="00810806">
        <w:t xml:space="preserve">on </w:t>
      </w:r>
      <w:r>
        <w:t xml:space="preserve">the Rights of the Child. The Special Rapporteur is pleased that Oman </w:t>
      </w:r>
      <w:r w:rsidR="006036DE">
        <w:t xml:space="preserve">has </w:t>
      </w:r>
      <w:r>
        <w:t xml:space="preserve">recently lifted four of its reservations to </w:t>
      </w:r>
      <w:r w:rsidR="00810806">
        <w:t>the latter</w:t>
      </w:r>
      <w:r>
        <w:t xml:space="preserve"> treaty and limited the scope of another reservation</w:t>
      </w:r>
      <w:r w:rsidR="00E12D8A">
        <w:t xml:space="preserve"> (see </w:t>
      </w:r>
      <w:r w:rsidR="00E12D8A" w:rsidRPr="00436C39">
        <w:t>A/HRC/17/7, para. 12</w:t>
      </w:r>
      <w:r w:rsidR="00E12D8A">
        <w:t>)</w:t>
      </w:r>
      <w:r>
        <w:t xml:space="preserve">. Oman </w:t>
      </w:r>
      <w:r w:rsidR="00FA75CB">
        <w:t xml:space="preserve">undertook to examine recommendations to </w:t>
      </w:r>
      <w:r>
        <w:t>remov</w:t>
      </w:r>
      <w:r w:rsidR="00FA75CB">
        <w:t>e</w:t>
      </w:r>
      <w:r>
        <w:t xml:space="preserve"> its reservations to the Convention on the Elimination of All Forms of Discrimination against Women</w:t>
      </w:r>
      <w:r w:rsidR="00E12D8A">
        <w:t xml:space="preserve"> (i</w:t>
      </w:r>
      <w:r w:rsidR="00E12D8A" w:rsidRPr="00436C39">
        <w:t>bid., para. 90.16</w:t>
      </w:r>
      <w:r w:rsidR="00E12D8A">
        <w:t>)</w:t>
      </w:r>
      <w:r>
        <w:t>.</w:t>
      </w:r>
    </w:p>
    <w:p w:rsidR="00E33536" w:rsidRDefault="00E33536" w:rsidP="000F0BEA">
      <w:pPr>
        <w:pStyle w:val="SingleTxtG"/>
        <w:numPr>
          <w:ilvl w:val="0"/>
          <w:numId w:val="2"/>
        </w:numPr>
        <w:ind w:left="1134" w:firstLine="0"/>
      </w:pPr>
      <w:r>
        <w:t xml:space="preserve">The Special Rapporteur regrets that Oman has </w:t>
      </w:r>
      <w:r w:rsidR="0072098F">
        <w:t xml:space="preserve">neither </w:t>
      </w:r>
      <w:r>
        <w:t>acceded to the core universal human rights instruments</w:t>
      </w:r>
      <w:r w:rsidR="0072098F">
        <w:t>,</w:t>
      </w:r>
      <w:r>
        <w:t xml:space="preserve"> such as the International Covenant on Civil and Political Rights and the International Covenant on Economic, Social and Cultural Rights</w:t>
      </w:r>
      <w:r w:rsidR="0072098F">
        <w:t>,</w:t>
      </w:r>
      <w:r w:rsidRPr="00BF4496">
        <w:t xml:space="preserve"> </w:t>
      </w:r>
      <w:r w:rsidR="0072098F">
        <w:t xml:space="preserve">nor </w:t>
      </w:r>
      <w:r>
        <w:t>ratified the Convention against Torture</w:t>
      </w:r>
      <w:r w:rsidRPr="005D7C37">
        <w:t xml:space="preserve"> and Other Cruel, Inhuman or Degrading Treatment or Punishment</w:t>
      </w:r>
      <w:r>
        <w:t xml:space="preserve"> or the International Convention on the Protection of the Rights of All Migrant Workers and Members of </w:t>
      </w:r>
      <w:r w:rsidR="0072098F">
        <w:t>t</w:t>
      </w:r>
      <w:r>
        <w:t>heir Families. The Special Rapporteur notes that</w:t>
      </w:r>
      <w:r w:rsidR="00705ADB">
        <w:t>,</w:t>
      </w:r>
      <w:r>
        <w:t xml:space="preserve"> during its review </w:t>
      </w:r>
      <w:r w:rsidR="00E12D8A">
        <w:t xml:space="preserve">in the framework of </w:t>
      </w:r>
      <w:r>
        <w:t xml:space="preserve">the </w:t>
      </w:r>
      <w:r w:rsidR="00705ADB">
        <w:t>u</w:t>
      </w:r>
      <w:r>
        <w:t xml:space="preserve">niversal </w:t>
      </w:r>
      <w:r w:rsidR="00705ADB">
        <w:t>p</w:t>
      </w:r>
      <w:r>
        <w:t xml:space="preserve">eriodic </w:t>
      </w:r>
      <w:r w:rsidR="00705ADB">
        <w:t>review m</w:t>
      </w:r>
      <w:r>
        <w:t xml:space="preserve">echanism in January 2011, Oman </w:t>
      </w:r>
      <w:r w:rsidR="00705ADB">
        <w:t xml:space="preserve">agreed </w:t>
      </w:r>
      <w:r>
        <w:t xml:space="preserve">to consider </w:t>
      </w:r>
      <w:r w:rsidRPr="00BF4496">
        <w:t>acce</w:t>
      </w:r>
      <w:r w:rsidR="00705ADB" w:rsidRPr="00BF4496">
        <w:t>ssion</w:t>
      </w:r>
      <w:r w:rsidRPr="00BF4496">
        <w:t xml:space="preserve"> to </w:t>
      </w:r>
      <w:r w:rsidR="00BF4496">
        <w:t xml:space="preserve">the </w:t>
      </w:r>
      <w:r w:rsidRPr="00BF4496">
        <w:t>basic international</w:t>
      </w:r>
      <w:r w:rsidRPr="003D6568">
        <w:t xml:space="preserve"> instruments </w:t>
      </w:r>
      <w:r>
        <w:t xml:space="preserve">and </w:t>
      </w:r>
      <w:r w:rsidRPr="001B475A">
        <w:t>postponed for further consideration</w:t>
      </w:r>
      <w:r>
        <w:t xml:space="preserve"> the recommendations to sign and accede to the Covenant</w:t>
      </w:r>
      <w:r w:rsidR="00E12D8A">
        <w:t>s</w:t>
      </w:r>
      <w:r>
        <w:t xml:space="preserve"> and their optional protocols</w:t>
      </w:r>
      <w:r w:rsidR="00E12D8A">
        <w:t xml:space="preserve"> (i</w:t>
      </w:r>
      <w:r w:rsidR="00E12D8A" w:rsidRPr="00436C39">
        <w:t xml:space="preserve">bid., </w:t>
      </w:r>
      <w:r w:rsidR="00E12D8A">
        <w:t>paras. </w:t>
      </w:r>
      <w:r w:rsidR="000F0BEA">
        <w:t>87</w:t>
      </w:r>
      <w:r w:rsidR="006B673A">
        <w:t xml:space="preserve"> and 89.2</w:t>
      </w:r>
      <w:r w:rsidR="00E12D8A">
        <w:t>)</w:t>
      </w:r>
      <w:r>
        <w:t xml:space="preserve">. The Special Rapporteur was informed by multiple </w:t>
      </w:r>
      <w:r w:rsidR="00135F7B">
        <w:t>g</w:t>
      </w:r>
      <w:r>
        <w:t>overnment officials that the Government was currently considering ratifying th</w:t>
      </w:r>
      <w:r w:rsidR="00135F7B">
        <w:t>o</w:t>
      </w:r>
      <w:r>
        <w:t>se instruments. He urges the Government to ratif</w:t>
      </w:r>
      <w:r w:rsidR="000F0BEA">
        <w:t>y</w:t>
      </w:r>
      <w:r>
        <w:t xml:space="preserve"> the instruments at </w:t>
      </w:r>
      <w:r w:rsidR="00135F7B">
        <w:t>its earliest opportunity</w:t>
      </w:r>
      <w:r>
        <w:t xml:space="preserve">. While he agrees that States should take seriously any commitments they </w:t>
      </w:r>
      <w:r w:rsidR="00135F7B">
        <w:t>make</w:t>
      </w:r>
      <w:r>
        <w:t xml:space="preserve"> and should therefore be prepared to implement </w:t>
      </w:r>
      <w:r w:rsidR="00135F7B" w:rsidRPr="000F0BEA">
        <w:t xml:space="preserve">the </w:t>
      </w:r>
      <w:r w:rsidR="00135F7B" w:rsidRPr="00C17B2F">
        <w:t>relevant</w:t>
      </w:r>
      <w:r w:rsidR="00135F7B" w:rsidRPr="000F0BEA">
        <w:t xml:space="preserve"> </w:t>
      </w:r>
      <w:r w:rsidRPr="000F0BEA">
        <w:t>obligations</w:t>
      </w:r>
      <w:r>
        <w:t xml:space="preserve">, </w:t>
      </w:r>
      <w:r w:rsidR="00135F7B">
        <w:t xml:space="preserve">that </w:t>
      </w:r>
      <w:r>
        <w:t>should not be used as an excuse to indefinitely delay ratification. The Special Rapporteur is convinced that the great strides that Oman has made in transforming and moderni</w:t>
      </w:r>
      <w:r w:rsidR="00135F7B">
        <w:t>z</w:t>
      </w:r>
      <w:r>
        <w:t xml:space="preserve">ing its society in the </w:t>
      </w:r>
      <w:r w:rsidR="00840C6E">
        <w:t xml:space="preserve">past </w:t>
      </w:r>
      <w:r>
        <w:t>40 years signal the abundant capacity of the State to successfully implement the core international human rights treaties.</w:t>
      </w:r>
    </w:p>
    <w:p w:rsidR="00E33536" w:rsidRDefault="00E33536" w:rsidP="000F0BEA">
      <w:pPr>
        <w:pStyle w:val="SingleTxtG"/>
        <w:numPr>
          <w:ilvl w:val="0"/>
          <w:numId w:val="2"/>
        </w:numPr>
        <w:ind w:left="1134" w:firstLine="0"/>
      </w:pPr>
      <w:r>
        <w:t xml:space="preserve">The Special Rapporteur notes with appreciation that Oman has accepted a recommendation to </w:t>
      </w:r>
      <w:r w:rsidR="00135F7B">
        <w:t xml:space="preserve">examine </w:t>
      </w:r>
      <w:r>
        <w:t xml:space="preserve">the possibility of extending an open invitation to all </w:t>
      </w:r>
      <w:r w:rsidR="00585BD6">
        <w:t>s</w:t>
      </w:r>
      <w:r>
        <w:t xml:space="preserve">pecial </w:t>
      </w:r>
      <w:r w:rsidR="00585BD6">
        <w:t>p</w:t>
      </w:r>
      <w:r>
        <w:t>rocedures</w:t>
      </w:r>
      <w:r w:rsidR="000F0BEA">
        <w:t xml:space="preserve"> mandate holders</w:t>
      </w:r>
      <w:r>
        <w:t xml:space="preserve"> in line with its belief in an open and constructive engagement with the United Nations human rights mechanisms</w:t>
      </w:r>
      <w:r w:rsidR="000F0BEA">
        <w:t xml:space="preserve"> (see A/HRC/</w:t>
      </w:r>
      <w:r w:rsidR="000F0BEA" w:rsidRPr="00436C39">
        <w:t>17/2, para. 367</w:t>
      </w:r>
      <w:r w:rsidR="000F0BEA">
        <w:t>)</w:t>
      </w:r>
      <w:r>
        <w:t xml:space="preserve"> and that it welcomes visits conducted by all special procedures in compliance with the established procedures therefor</w:t>
      </w:r>
      <w:r w:rsidR="000F0BEA">
        <w:t xml:space="preserve">e (see </w:t>
      </w:r>
      <w:r w:rsidR="000F0BEA" w:rsidRPr="00436C39">
        <w:t xml:space="preserve">A/HRC/17/7/Add.1, </w:t>
      </w:r>
      <w:r w:rsidR="000F0BEA">
        <w:t>para.</w:t>
      </w:r>
      <w:r w:rsidR="000F0BEA" w:rsidRPr="00436C39">
        <w:t xml:space="preserve"> 90.27</w:t>
      </w:r>
      <w:r w:rsidR="000F0BEA">
        <w:t>)</w:t>
      </w:r>
      <w:r>
        <w:t>.</w:t>
      </w:r>
    </w:p>
    <w:p w:rsidR="00E33536" w:rsidRPr="00984578" w:rsidRDefault="00922527" w:rsidP="00984578">
      <w:pPr>
        <w:pStyle w:val="HChG"/>
      </w:pPr>
      <w:r>
        <w:tab/>
        <w:t>III.</w:t>
      </w:r>
      <w:r>
        <w:tab/>
      </w:r>
      <w:r w:rsidR="006A7117">
        <w:t xml:space="preserve">Challenges to the exercise of the right to freedom </w:t>
      </w:r>
      <w:r w:rsidR="00897947">
        <w:br/>
      </w:r>
      <w:r w:rsidR="006A7117">
        <w:t xml:space="preserve">of </w:t>
      </w:r>
      <w:r w:rsidR="006A7117" w:rsidRPr="00EF3FD1">
        <w:t>peaceful</w:t>
      </w:r>
      <w:r w:rsidR="007400D5" w:rsidRPr="00EF3FD1">
        <w:t xml:space="preserve"> </w:t>
      </w:r>
      <w:r w:rsidR="007400D5" w:rsidRPr="00C17B2F">
        <w:t>assembly</w:t>
      </w:r>
    </w:p>
    <w:p w:rsidR="00E33536" w:rsidRPr="00984578" w:rsidRDefault="00922527" w:rsidP="00984578">
      <w:pPr>
        <w:pStyle w:val="H1G"/>
      </w:pPr>
      <w:r>
        <w:tab/>
        <w:t>A.</w:t>
      </w:r>
      <w:r>
        <w:tab/>
      </w:r>
      <w:r w:rsidR="00E33536" w:rsidRPr="00922527">
        <w:t>Legal framework</w:t>
      </w:r>
      <w:r w:rsidR="00E74C18">
        <w:t xml:space="preserve"> </w:t>
      </w:r>
    </w:p>
    <w:p w:rsidR="00E33536" w:rsidRDefault="00622328" w:rsidP="00571BA5">
      <w:pPr>
        <w:pStyle w:val="SingleTxtG"/>
        <w:numPr>
          <w:ilvl w:val="0"/>
          <w:numId w:val="2"/>
        </w:numPr>
        <w:ind w:left="1134" w:firstLine="0"/>
      </w:pPr>
      <w:r>
        <w:t>Article </w:t>
      </w:r>
      <w:r w:rsidR="00E33536">
        <w:t xml:space="preserve">32 of </w:t>
      </w:r>
      <w:r w:rsidR="00C12152">
        <w:t xml:space="preserve">the </w:t>
      </w:r>
      <w:r w:rsidR="00E33536">
        <w:t xml:space="preserve">Basic Law </w:t>
      </w:r>
      <w:r w:rsidR="00C12152">
        <w:t xml:space="preserve">of Oman </w:t>
      </w:r>
      <w:r w:rsidR="00667E50">
        <w:t xml:space="preserve">provides </w:t>
      </w:r>
      <w:r w:rsidR="00E33536">
        <w:t>that “</w:t>
      </w:r>
      <w:r w:rsidR="00E33536" w:rsidRPr="00464015">
        <w:t>citizens have the right to assemble</w:t>
      </w:r>
      <w:r w:rsidR="00E33536">
        <w:t xml:space="preserve"> within the limits of the Law”</w:t>
      </w:r>
      <w:r w:rsidR="00667E50">
        <w:t>,</w:t>
      </w:r>
      <w:r w:rsidR="00E33536">
        <w:t xml:space="preserve"> but there are no laws that clearly and explicitly establish the presumption in favour of holding peaceful assemblies or, generally speaking, which promote the right to peaceful assembly. </w:t>
      </w:r>
      <w:r w:rsidR="00E33536" w:rsidRPr="00BF4496">
        <w:t>Rather</w:t>
      </w:r>
      <w:r w:rsidR="00E33536">
        <w:t xml:space="preserve">, most laws impose limits. </w:t>
      </w:r>
    </w:p>
    <w:p w:rsidR="00E33536" w:rsidRDefault="00E33536" w:rsidP="00571BA5">
      <w:pPr>
        <w:pStyle w:val="SingleTxtG"/>
        <w:numPr>
          <w:ilvl w:val="0"/>
          <w:numId w:val="2"/>
        </w:numPr>
        <w:ind w:left="1134" w:firstLine="0"/>
      </w:pPr>
      <w:r>
        <w:lastRenderedPageBreak/>
        <w:t xml:space="preserve">For example, </w:t>
      </w:r>
      <w:r w:rsidR="00622328">
        <w:t>articles </w:t>
      </w:r>
      <w:r>
        <w:t>137 and 138 of the Penal Code criminalize seditious assembly, which is defined as “</w:t>
      </w:r>
      <w:r w:rsidRPr="00102199">
        <w:t xml:space="preserve">a private gathering including at least </w:t>
      </w:r>
      <w:r w:rsidR="00956086">
        <w:t>10</w:t>
      </w:r>
      <w:r w:rsidR="00956086" w:rsidRPr="00102199">
        <w:t xml:space="preserve"> </w:t>
      </w:r>
      <w:r w:rsidRPr="00102199">
        <w:t xml:space="preserve">individuals with a view to </w:t>
      </w:r>
      <w:r w:rsidRPr="00D15D7D">
        <w:t>commit</w:t>
      </w:r>
      <w:r w:rsidR="00667E50" w:rsidRPr="00C17B2F">
        <w:t>ting</w:t>
      </w:r>
      <w:r w:rsidRPr="00102199">
        <w:t xml:space="preserve"> a riot or a breach of public order</w:t>
      </w:r>
      <w:r>
        <w:t>”</w:t>
      </w:r>
      <w:r w:rsidR="00C12152">
        <w:t>.</w:t>
      </w:r>
      <w:r>
        <w:t xml:space="preserve"> The punishment for not dispersing an assembly following an order by the authorities is between 10 days </w:t>
      </w:r>
      <w:r w:rsidR="00C12152">
        <w:t xml:space="preserve">and </w:t>
      </w:r>
      <w:r>
        <w:t xml:space="preserve">one year </w:t>
      </w:r>
      <w:r w:rsidR="00C12152">
        <w:t xml:space="preserve">in prison </w:t>
      </w:r>
      <w:r w:rsidRPr="00102199">
        <w:t xml:space="preserve">and </w:t>
      </w:r>
      <w:r>
        <w:t xml:space="preserve">a fine not exceeding </w:t>
      </w:r>
      <w:r w:rsidR="00C12152">
        <w:t xml:space="preserve">50 </w:t>
      </w:r>
      <w:proofErr w:type="spellStart"/>
      <w:r w:rsidR="00C12152">
        <w:t>rials</w:t>
      </w:r>
      <w:proofErr w:type="spellEnd"/>
      <w:r>
        <w:t xml:space="preserve">. Furthermore, the law places limits on assembly rights </w:t>
      </w:r>
      <w:r w:rsidR="00C12152">
        <w:t xml:space="preserve">that </w:t>
      </w:r>
      <w:r>
        <w:t xml:space="preserve">are vague and susceptible to misuse by </w:t>
      </w:r>
      <w:r w:rsidR="00667E50">
        <w:t xml:space="preserve">the </w:t>
      </w:r>
      <w:r>
        <w:t>authorities. For example, “any</w:t>
      </w:r>
      <w:r w:rsidRPr="00D262EC">
        <w:t xml:space="preserve">one who commits an act </w:t>
      </w:r>
      <w:r>
        <w:t>…</w:t>
      </w:r>
      <w:r w:rsidRPr="00D262EC">
        <w:t xml:space="preserve"> expressing hatred and contempt</w:t>
      </w:r>
      <w:r>
        <w:t>” faces between three months and</w:t>
      </w:r>
      <w:r w:rsidRPr="00D262EC">
        <w:t xml:space="preserve"> three years </w:t>
      </w:r>
      <w:r>
        <w:t xml:space="preserve">in prison </w:t>
      </w:r>
      <w:r w:rsidRPr="00D262EC">
        <w:t xml:space="preserve">and </w:t>
      </w:r>
      <w:r>
        <w:t xml:space="preserve">a </w:t>
      </w:r>
      <w:r w:rsidRPr="00D262EC">
        <w:t xml:space="preserve">fine </w:t>
      </w:r>
      <w:r w:rsidR="00571BA5">
        <w:t xml:space="preserve">of </w:t>
      </w:r>
      <w:r>
        <w:t xml:space="preserve">up </w:t>
      </w:r>
      <w:r w:rsidRPr="00D262EC">
        <w:t xml:space="preserve">to </w:t>
      </w:r>
      <w:r>
        <w:t>500</w:t>
      </w:r>
      <w:r w:rsidR="00C12152">
        <w:t xml:space="preserve"> </w:t>
      </w:r>
      <w:proofErr w:type="spellStart"/>
      <w:r w:rsidR="00C12152">
        <w:t>rials</w:t>
      </w:r>
      <w:proofErr w:type="spellEnd"/>
      <w:r w:rsidRPr="00D262EC">
        <w:t>.</w:t>
      </w:r>
      <w:r>
        <w:t xml:space="preserve"> </w:t>
      </w:r>
      <w:r w:rsidR="00622328">
        <w:t>Article </w:t>
      </w:r>
      <w:r>
        <w:t>130</w:t>
      </w:r>
      <w:r w:rsidR="00C12152">
        <w:t xml:space="preserve"> </w:t>
      </w:r>
      <w:proofErr w:type="spellStart"/>
      <w:r>
        <w:t>bis</w:t>
      </w:r>
      <w:proofErr w:type="spellEnd"/>
      <w:r>
        <w:t xml:space="preserve"> of the </w:t>
      </w:r>
      <w:r w:rsidR="00667E50">
        <w:t>C</w:t>
      </w:r>
      <w:r>
        <w:t xml:space="preserve">riminal </w:t>
      </w:r>
      <w:r w:rsidR="00667E50">
        <w:t>C</w:t>
      </w:r>
      <w:r>
        <w:t xml:space="preserve">ode </w:t>
      </w:r>
      <w:r w:rsidR="00667E50">
        <w:t xml:space="preserve">provides for </w:t>
      </w:r>
      <w:r>
        <w:t>punish</w:t>
      </w:r>
      <w:r w:rsidR="00667E50">
        <w:t>ment of</w:t>
      </w:r>
      <w:r>
        <w:t xml:space="preserve"> “anyone who promotes religious or sectarian dissension, or stirs up feelings of hatred among the country’s population” by imprisonmen</w:t>
      </w:r>
      <w:r w:rsidR="00984578">
        <w:t>t for a period not exceeding 10 </w:t>
      </w:r>
      <w:r>
        <w:t>years</w:t>
      </w:r>
      <w:r w:rsidR="002F745F">
        <w:t>.</w:t>
      </w:r>
      <w:r w:rsidRPr="001135DC">
        <w:rPr>
          <w:rStyle w:val="FootnoteReference"/>
        </w:rPr>
        <w:footnoteReference w:id="6"/>
      </w:r>
      <w:r>
        <w:t xml:space="preserve"> Terms such as “hatred”</w:t>
      </w:r>
      <w:r w:rsidR="00B84F44">
        <w:t>,</w:t>
      </w:r>
      <w:r>
        <w:t xml:space="preserve"> “contempt” and “dissension” are ambiguous and are not defined in the law. </w:t>
      </w:r>
    </w:p>
    <w:p w:rsidR="00E33536" w:rsidRDefault="00E33536" w:rsidP="00667E50">
      <w:pPr>
        <w:pStyle w:val="SingleTxtG"/>
        <w:numPr>
          <w:ilvl w:val="0"/>
          <w:numId w:val="2"/>
        </w:numPr>
        <w:ind w:left="1134" w:firstLine="0"/>
      </w:pPr>
      <w:r w:rsidRPr="00C628F3">
        <w:t>The Special Rapporte</w:t>
      </w:r>
      <w:r>
        <w:t xml:space="preserve">ur finds that </w:t>
      </w:r>
      <w:r w:rsidR="00667E50">
        <w:t xml:space="preserve">the country’s </w:t>
      </w:r>
      <w:r w:rsidRPr="00C628F3">
        <w:t xml:space="preserve">legal framework is not conducive to </w:t>
      </w:r>
      <w:r w:rsidR="00571BA5">
        <w:t xml:space="preserve">the </w:t>
      </w:r>
      <w:r w:rsidRPr="00C628F3">
        <w:t>free and unhinde</w:t>
      </w:r>
      <w:r>
        <w:t>red exercise of the right to freedom of peaceful assembly. He is particularly concerned that:</w:t>
      </w:r>
    </w:p>
    <w:p w:rsidR="00E33536" w:rsidRDefault="00984578" w:rsidP="00571BA5">
      <w:pPr>
        <w:pStyle w:val="SingleTxtG"/>
        <w:ind w:firstLine="567"/>
      </w:pPr>
      <w:r>
        <w:t>(a)</w:t>
      </w:r>
      <w:r>
        <w:tab/>
      </w:r>
      <w:r w:rsidR="00E33536">
        <w:t>The right to freedom of peaceful assembly is not recogni</w:t>
      </w:r>
      <w:r w:rsidR="00667E50">
        <w:t>z</w:t>
      </w:r>
      <w:r w:rsidR="00E33536">
        <w:t xml:space="preserve">ed for everyone. In a country where a significant percentage of the population consists of migrant workers, restricting their rights to peacefully gather to express their concerns amounts to denying them an outlet to air their grievances. It places them at a higher risk of violations and abuses that may go unreported, </w:t>
      </w:r>
      <w:proofErr w:type="spellStart"/>
      <w:r w:rsidR="00E33536">
        <w:t>uninvestigated</w:t>
      </w:r>
      <w:proofErr w:type="spellEnd"/>
      <w:r w:rsidR="00E33536">
        <w:t xml:space="preserve"> and unpunished. The Special Rapporteur emphasi</w:t>
      </w:r>
      <w:r w:rsidR="00A2578C">
        <w:t>z</w:t>
      </w:r>
      <w:r w:rsidR="00E33536">
        <w:t xml:space="preserve">es that </w:t>
      </w:r>
      <w:r w:rsidR="00E33536" w:rsidRPr="00027CEB">
        <w:t>groups that are disenfranchised from mainstream political activities, such as voting and holding office, have an even greater need for alternative means to participate in the public sphere. Peaceful assemblies are an important tool for allowing the voices of otherwise excluded groups to be heard</w:t>
      </w:r>
      <w:r w:rsidR="00571BA5">
        <w:t xml:space="preserve"> (see A/HRC/26/29, para. 25);</w:t>
      </w:r>
      <w:r w:rsidR="00E33536">
        <w:t xml:space="preserve"> </w:t>
      </w:r>
    </w:p>
    <w:p w:rsidR="00E33536" w:rsidRDefault="00984578" w:rsidP="00571BA5">
      <w:pPr>
        <w:pStyle w:val="SingleTxtG"/>
        <w:ind w:firstLine="567"/>
      </w:pPr>
      <w:r>
        <w:t>(b)</w:t>
      </w:r>
      <w:r>
        <w:tab/>
      </w:r>
      <w:r w:rsidR="00E33536">
        <w:t>The legal framework lends itself to the criminali</w:t>
      </w:r>
      <w:r w:rsidR="00536BA5">
        <w:t>z</w:t>
      </w:r>
      <w:r w:rsidR="00E33536">
        <w:t>ation of the exercise of fundamental freedoms, including the right to freedom of peaceful assembly</w:t>
      </w:r>
      <w:r w:rsidR="00767712">
        <w:t>,</w:t>
      </w:r>
      <w:r w:rsidR="00E33536">
        <w:t xml:space="preserve"> and opens the door to judicial harassment, persecution and intimidation of individuals peacefully exercising </w:t>
      </w:r>
      <w:r w:rsidR="00536BA5">
        <w:t xml:space="preserve">that </w:t>
      </w:r>
      <w:r w:rsidR="00E33536">
        <w:t>right.</w:t>
      </w:r>
      <w:r w:rsidR="00E33536" w:rsidRPr="00750F38">
        <w:t xml:space="preserve"> </w:t>
      </w:r>
      <w:r w:rsidR="00767712">
        <w:t>Under the Penal Code, t</w:t>
      </w:r>
      <w:r w:rsidR="00E33536">
        <w:t>he actions of libelling or expressing public criticism of the Sultan</w:t>
      </w:r>
      <w:r w:rsidR="00536BA5">
        <w:t>,</w:t>
      </w:r>
      <w:r w:rsidR="00E33536" w:rsidRPr="001135DC">
        <w:rPr>
          <w:rStyle w:val="FootnoteReference"/>
        </w:rPr>
        <w:footnoteReference w:id="7"/>
      </w:r>
      <w:r w:rsidR="00E33536">
        <w:t xml:space="preserve"> committing an affront to an official in service “publicly by publication and by speech or gestures”</w:t>
      </w:r>
      <w:r w:rsidR="00E33536" w:rsidRPr="001135DC">
        <w:rPr>
          <w:rStyle w:val="FootnoteReference"/>
        </w:rPr>
        <w:footnoteReference w:id="8"/>
      </w:r>
      <w:r w:rsidR="00E33536">
        <w:t xml:space="preserve"> and blaspheming or “</w:t>
      </w:r>
      <w:proofErr w:type="spellStart"/>
      <w:r w:rsidR="00E33536">
        <w:t>pronounc</w:t>
      </w:r>
      <w:proofErr w:type="spellEnd"/>
      <w:r w:rsidR="00E33536">
        <w:t>[</w:t>
      </w:r>
      <w:proofErr w:type="spellStart"/>
      <w:r w:rsidR="00E33536">
        <w:t>ing</w:t>
      </w:r>
      <w:proofErr w:type="spellEnd"/>
      <w:r w:rsidR="00E33536">
        <w:t xml:space="preserve">] </w:t>
      </w:r>
      <w:r w:rsidR="00E33536" w:rsidRPr="00391C32">
        <w:t>a curse at his Prophets</w:t>
      </w:r>
      <w:r w:rsidR="00E33536">
        <w:t>”</w:t>
      </w:r>
      <w:r w:rsidR="00E33536" w:rsidRPr="001135DC">
        <w:rPr>
          <w:rStyle w:val="FootnoteReference"/>
        </w:rPr>
        <w:footnoteReference w:id="9"/>
      </w:r>
      <w:r w:rsidR="00E33536">
        <w:t xml:space="preserve"> are all punishable by a maximum sentence of three years and/or a fine of up to 500 </w:t>
      </w:r>
      <w:proofErr w:type="spellStart"/>
      <w:r w:rsidR="00767712">
        <w:t>rials</w:t>
      </w:r>
      <w:proofErr w:type="spellEnd"/>
      <w:r w:rsidR="00E33536">
        <w:t xml:space="preserve">. </w:t>
      </w:r>
      <w:r w:rsidR="00622328">
        <w:t>Article </w:t>
      </w:r>
      <w:r w:rsidR="00E33536">
        <w:t xml:space="preserve">312 </w:t>
      </w:r>
      <w:r w:rsidR="009923AA">
        <w:t xml:space="preserve">of the Code </w:t>
      </w:r>
      <w:r w:rsidR="00E33536">
        <w:t xml:space="preserve">also </w:t>
      </w:r>
      <w:r w:rsidR="003A7417">
        <w:t xml:space="preserve">makes </w:t>
      </w:r>
      <w:r w:rsidR="00E33536">
        <w:t>the action</w:t>
      </w:r>
      <w:r w:rsidR="003A7417">
        <w:t>s</w:t>
      </w:r>
      <w:r w:rsidR="00E33536">
        <w:t xml:space="preserve"> of disturbing “public tranquillity by screaming or making noise, with no reason, or by using any noisy device … in public or private places”</w:t>
      </w:r>
      <w:r w:rsidR="00E33536" w:rsidRPr="001135DC">
        <w:rPr>
          <w:rStyle w:val="FootnoteReference"/>
        </w:rPr>
        <w:footnoteReference w:id="10"/>
      </w:r>
      <w:r w:rsidR="00E33536">
        <w:t xml:space="preserve"> and obstructing public roads</w:t>
      </w:r>
      <w:r w:rsidR="00E33536" w:rsidRPr="001135DC">
        <w:rPr>
          <w:rStyle w:val="FootnoteReference"/>
        </w:rPr>
        <w:footnoteReference w:id="11"/>
      </w:r>
      <w:r w:rsidR="003A7417">
        <w:t xml:space="preserve"> punishable by prison sentences and/or fines</w:t>
      </w:r>
      <w:r w:rsidR="00571BA5">
        <w:t>;</w:t>
      </w:r>
      <w:r w:rsidR="003A7417">
        <w:t xml:space="preserve"> </w:t>
      </w:r>
    </w:p>
    <w:p w:rsidR="00571BA5" w:rsidRDefault="00984578" w:rsidP="00571BA5">
      <w:pPr>
        <w:pStyle w:val="SingleTxtG"/>
        <w:ind w:firstLine="567"/>
      </w:pPr>
      <w:r>
        <w:t>(c)</w:t>
      </w:r>
      <w:r>
        <w:tab/>
      </w:r>
      <w:r w:rsidR="00E33536">
        <w:t>Some provisions in the laws are so broadly worded as to allow virtually unlimited interpretations of what could be an offen</w:t>
      </w:r>
      <w:r w:rsidR="005119E1">
        <w:t>c</w:t>
      </w:r>
      <w:r w:rsidR="00E33536">
        <w:t xml:space="preserve">e. </w:t>
      </w:r>
      <w:r w:rsidR="00E07C61">
        <w:t xml:space="preserve">That </w:t>
      </w:r>
      <w:r w:rsidR="00E33536">
        <w:t xml:space="preserve">places excessive discretion in the hands of implementing authorities and creates uncertainty about what the law means for those exercising their rights. Some of the </w:t>
      </w:r>
      <w:r w:rsidR="00671B9E">
        <w:t xml:space="preserve">prohibitions </w:t>
      </w:r>
      <w:r w:rsidR="008202F8">
        <w:t xml:space="preserve">impair </w:t>
      </w:r>
      <w:r w:rsidR="003A7417">
        <w:t xml:space="preserve">the very essence </w:t>
      </w:r>
      <w:r w:rsidR="00E33536">
        <w:t>of the rights to freedom of peaceful assembly, opinion and expression</w:t>
      </w:r>
      <w:r w:rsidR="003A7417">
        <w:t>.</w:t>
      </w:r>
      <w:r w:rsidR="00E33536">
        <w:t xml:space="preserve"> For example, </w:t>
      </w:r>
      <w:r w:rsidR="002F745F">
        <w:t>a</w:t>
      </w:r>
      <w:r w:rsidR="00622328">
        <w:t>rticle </w:t>
      </w:r>
      <w:r w:rsidR="00E33536">
        <w:t>34 of the Penal Code defines public crimes as</w:t>
      </w:r>
      <w:r w:rsidR="00571BA5">
        <w:t>:</w:t>
      </w:r>
    </w:p>
    <w:p w:rsidR="00066D1B" w:rsidRDefault="00571BA5" w:rsidP="00571BA5">
      <w:pPr>
        <w:pStyle w:val="SingleTxtG"/>
        <w:ind w:left="1701"/>
      </w:pPr>
      <w:r>
        <w:t>T</w:t>
      </w:r>
      <w:r w:rsidR="00E33536">
        <w:t>he one</w:t>
      </w:r>
      <w:r w:rsidR="002F745F">
        <w:t>s</w:t>
      </w:r>
      <w:r w:rsidR="00E33536">
        <w:t xml:space="preserve"> perpetrated by the following means: (1)</w:t>
      </w:r>
      <w:r w:rsidR="00897947">
        <w:t> </w:t>
      </w:r>
      <w:r w:rsidR="00E33536">
        <w:t xml:space="preserve">Acts and gestures committed in a public place, or a place open to the public or exposed to sight, or </w:t>
      </w:r>
      <w:r w:rsidR="00E74C18">
        <w:t>those seen, due to the offender’</w:t>
      </w:r>
      <w:r w:rsidR="00E33536">
        <w:t>s fault, by an individual not intervening in the act or gesture</w:t>
      </w:r>
      <w:r w:rsidR="003A7417">
        <w:t>;</w:t>
      </w:r>
      <w:r w:rsidR="00E33536">
        <w:t xml:space="preserve"> (2)</w:t>
      </w:r>
      <w:r w:rsidR="00897947">
        <w:t> </w:t>
      </w:r>
      <w:r w:rsidR="00E33536">
        <w:t xml:space="preserve">Speech </w:t>
      </w:r>
      <w:r w:rsidR="00E33536">
        <w:lastRenderedPageBreak/>
        <w:t>and screams either made directly by the offender or through devices, so as they are heard by an individual not intervening in such speech or screams</w:t>
      </w:r>
      <w:r w:rsidR="003A7417">
        <w:t>;</w:t>
      </w:r>
      <w:r w:rsidR="00E33536">
        <w:t xml:space="preserve"> (3)</w:t>
      </w:r>
      <w:r w:rsidR="00897947">
        <w:t> </w:t>
      </w:r>
      <w:r w:rsidR="00E33536">
        <w:t xml:space="preserve">Various writings, drawings, pictures, </w:t>
      </w:r>
      <w:proofErr w:type="spellStart"/>
      <w:r w:rsidR="00E33536">
        <w:t>photograp</w:t>
      </w:r>
      <w:r w:rsidR="00E33536" w:rsidRPr="00BE783B">
        <w:t>hies</w:t>
      </w:r>
      <w:proofErr w:type="spellEnd"/>
      <w:r w:rsidR="00E33536">
        <w:t>, films, emblems, if shown in a public place or a place open to the public”</w:t>
      </w:r>
      <w:r w:rsidR="003A7417">
        <w:t>.</w:t>
      </w:r>
      <w:r w:rsidR="00E33536">
        <w:t xml:space="preserve"> </w:t>
      </w:r>
      <w:r w:rsidR="00622328">
        <w:t>Article </w:t>
      </w:r>
      <w:r w:rsidR="00E33536" w:rsidRPr="008A0749">
        <w:t>223</w:t>
      </w:r>
      <w:r w:rsidR="00E33536">
        <w:t xml:space="preserve"> prohibits homosexuality and states that “t</w:t>
      </w:r>
      <w:r w:rsidR="00E33536" w:rsidRPr="008A0749">
        <w:t xml:space="preserve">he suspects of homosexual or lesbian intercourse shall be prosecuted without a prior complaint, if the </w:t>
      </w:r>
      <w:r w:rsidR="00E33536">
        <w:t>act results in a public scandal</w:t>
      </w:r>
      <w:r w:rsidR="003A7417">
        <w:t>.</w:t>
      </w:r>
      <w:r w:rsidR="00E33536">
        <w:t xml:space="preserve">” </w:t>
      </w:r>
    </w:p>
    <w:p w:rsidR="00E33536" w:rsidRDefault="00E33536" w:rsidP="00C17B2F">
      <w:pPr>
        <w:pStyle w:val="SingleTxtG"/>
      </w:pPr>
      <w:r>
        <w:t xml:space="preserve">Public scandal </w:t>
      </w:r>
      <w:r w:rsidR="002F745F">
        <w:t xml:space="preserve">is defined in </w:t>
      </w:r>
      <w:r>
        <w:t xml:space="preserve">the same </w:t>
      </w:r>
      <w:r w:rsidR="002F745F">
        <w:t xml:space="preserve">way </w:t>
      </w:r>
      <w:r>
        <w:t>as public crime, making it de facto illegal for individuals to peacefully gather to c</w:t>
      </w:r>
      <w:r w:rsidRPr="00660632">
        <w:t>laim the rights of sexual minorities</w:t>
      </w:r>
      <w:r w:rsidR="00066D1B">
        <w:t>;</w:t>
      </w:r>
    </w:p>
    <w:p w:rsidR="00E33536" w:rsidRDefault="00984578" w:rsidP="000F0BEA">
      <w:pPr>
        <w:pStyle w:val="SingleTxtG"/>
        <w:ind w:firstLine="567"/>
      </w:pPr>
      <w:r>
        <w:t>(d)</w:t>
      </w:r>
      <w:r>
        <w:tab/>
      </w:r>
      <w:r w:rsidR="00E33536">
        <w:t xml:space="preserve">The laws allow the authorities wide powers to monitor people’s activities, infringing the right to privacy and </w:t>
      </w:r>
      <w:r w:rsidR="00822AE1">
        <w:t>“</w:t>
      </w:r>
      <w:r w:rsidR="00E33536">
        <w:t>chilling</w:t>
      </w:r>
      <w:r w:rsidR="00822AE1">
        <w:t>”</w:t>
      </w:r>
      <w:r w:rsidR="00E33536">
        <w:t xml:space="preserve"> social interaction and political activity. For example, the Telecommunications Act makes it illegal to knowingly send a message</w:t>
      </w:r>
      <w:r w:rsidR="00BD06D9">
        <w:t>,</w:t>
      </w:r>
      <w:r w:rsidR="00E33536">
        <w:t xml:space="preserve"> </w:t>
      </w:r>
      <w:r w:rsidR="00956086">
        <w:t xml:space="preserve">by </w:t>
      </w:r>
      <w:r w:rsidR="00E33536">
        <w:t>any form of communication</w:t>
      </w:r>
      <w:r w:rsidR="00BD06D9">
        <w:t>,</w:t>
      </w:r>
      <w:r w:rsidR="00E33536">
        <w:t xml:space="preserve"> that violates public order and morals or is harmful to any person’s safety.</w:t>
      </w:r>
      <w:r w:rsidR="00E33536" w:rsidRPr="001135DC">
        <w:rPr>
          <w:rStyle w:val="FootnoteReference"/>
        </w:rPr>
        <w:footnoteReference w:id="12"/>
      </w:r>
      <w:r w:rsidR="00E33536">
        <w:t xml:space="preserve"> The Law on Press and Publications authorizes the Government to censor, </w:t>
      </w:r>
      <w:r w:rsidR="00BA455D">
        <w:t>inter alia</w:t>
      </w:r>
      <w:r w:rsidR="00E33536">
        <w:t xml:space="preserve">, communication exchanges </w:t>
      </w:r>
      <w:r w:rsidR="00BD06D9">
        <w:t xml:space="preserve">made using </w:t>
      </w:r>
      <w:r w:rsidR="00E33536">
        <w:t xml:space="preserve">any sort of device, including </w:t>
      </w:r>
      <w:r w:rsidR="00BD06D9">
        <w:t xml:space="preserve">the </w:t>
      </w:r>
      <w:r w:rsidR="00E33536">
        <w:t xml:space="preserve">Internet and smartphone applications, that </w:t>
      </w:r>
      <w:r w:rsidR="00BD06D9">
        <w:t xml:space="preserve">might </w:t>
      </w:r>
      <w:r w:rsidR="00E33536">
        <w:t xml:space="preserve">prejudice the safety and security of the State, without the permission of the competent authorities, or </w:t>
      </w:r>
      <w:r w:rsidR="00BD06D9">
        <w:t xml:space="preserve">that might </w:t>
      </w:r>
      <w:r w:rsidR="00E33536">
        <w:t xml:space="preserve">defame the Sultan, implicitly or explicitly, offend the ruling system </w:t>
      </w:r>
      <w:r w:rsidR="00BD06D9">
        <w:t xml:space="preserve">or </w:t>
      </w:r>
      <w:r w:rsidR="00E33536">
        <w:t>promote matters violating “the principles of the true Islamic religion”.</w:t>
      </w:r>
      <w:r w:rsidR="00E33536" w:rsidRPr="001135DC">
        <w:rPr>
          <w:rStyle w:val="FootnoteReference"/>
        </w:rPr>
        <w:footnoteReference w:id="13"/>
      </w:r>
      <w:r w:rsidR="00E33536">
        <w:t xml:space="preserve"> </w:t>
      </w:r>
      <w:r w:rsidR="00E76FC8">
        <w:t>I</w:t>
      </w:r>
      <w:r w:rsidR="00E33536">
        <w:t>n interactions with civil society activists, the Special Rapporteur was repeatedly told of hacked e</w:t>
      </w:r>
      <w:r w:rsidR="00E76FC8">
        <w:t>-</w:t>
      </w:r>
      <w:r w:rsidR="00E33536">
        <w:t xml:space="preserve">mail and social media accounts and </w:t>
      </w:r>
      <w:r w:rsidR="00BD06D9">
        <w:t xml:space="preserve">of civil society activists who were </w:t>
      </w:r>
      <w:r w:rsidR="00E33536">
        <w:t>repeated</w:t>
      </w:r>
      <w:r w:rsidR="00BD06D9">
        <w:t>ly</w:t>
      </w:r>
      <w:r w:rsidR="00E33536">
        <w:t xml:space="preserve"> summons</w:t>
      </w:r>
      <w:r w:rsidR="00BD06D9">
        <w:t>ed</w:t>
      </w:r>
      <w:r w:rsidR="00E33536">
        <w:t xml:space="preserve"> to meet with intelligence officers</w:t>
      </w:r>
      <w:r w:rsidR="00BD06D9">
        <w:t>,</w:t>
      </w:r>
      <w:r w:rsidR="00E33536">
        <w:t xml:space="preserve"> who had detailed knowledge </w:t>
      </w:r>
      <w:r w:rsidR="00BD06D9">
        <w:t xml:space="preserve">of their </w:t>
      </w:r>
      <w:r w:rsidR="00E33536">
        <w:t xml:space="preserve">movements and activities. </w:t>
      </w:r>
      <w:r w:rsidR="00E76FC8">
        <w:t xml:space="preserve">Such </w:t>
      </w:r>
      <w:r w:rsidR="00E33536">
        <w:t>surveillance</w:t>
      </w:r>
      <w:r w:rsidR="00384456">
        <w:t>,</w:t>
      </w:r>
      <w:r w:rsidR="00E33536">
        <w:t xml:space="preserve"> even if it does not lead to formal criminal charges</w:t>
      </w:r>
      <w:r w:rsidR="00BD06D9">
        <w:t>,</w:t>
      </w:r>
      <w:r w:rsidR="00E33536">
        <w:t xml:space="preserve"> has the effect of intimidating people and spreading fear among </w:t>
      </w:r>
      <w:r w:rsidR="00E76FC8">
        <w:t xml:space="preserve">those </w:t>
      </w:r>
      <w:r w:rsidR="00E33536">
        <w:t xml:space="preserve">who </w:t>
      </w:r>
      <w:r w:rsidR="00E76FC8">
        <w:t xml:space="preserve">wish </w:t>
      </w:r>
      <w:r w:rsidR="00E33536">
        <w:t xml:space="preserve">to speak </w:t>
      </w:r>
      <w:r w:rsidR="001D2D6F">
        <w:t xml:space="preserve">out </w:t>
      </w:r>
      <w:r w:rsidR="00E33536">
        <w:t xml:space="preserve">and work for reforms in Oman. </w:t>
      </w:r>
      <w:r w:rsidR="00E76FC8">
        <w:t>M</w:t>
      </w:r>
      <w:r w:rsidR="00E33536">
        <w:t xml:space="preserve">ost activists that the Special Rapporteur met with believed that it was designed with </w:t>
      </w:r>
      <w:r w:rsidR="00E76FC8">
        <w:t xml:space="preserve">that </w:t>
      </w:r>
      <w:r w:rsidR="00E33536">
        <w:t xml:space="preserve">goal in mind. </w:t>
      </w:r>
    </w:p>
    <w:p w:rsidR="00E33536" w:rsidRPr="00922527" w:rsidRDefault="00922527" w:rsidP="00922527">
      <w:pPr>
        <w:pStyle w:val="H1G"/>
      </w:pPr>
      <w:r>
        <w:tab/>
        <w:t>B.</w:t>
      </w:r>
      <w:r>
        <w:tab/>
      </w:r>
      <w:r w:rsidR="00E33536" w:rsidRPr="00922527">
        <w:t>Practice</w:t>
      </w:r>
    </w:p>
    <w:p w:rsidR="00E33536" w:rsidRDefault="00E33536" w:rsidP="000D297D">
      <w:pPr>
        <w:pStyle w:val="SingleTxtG"/>
        <w:numPr>
          <w:ilvl w:val="0"/>
          <w:numId w:val="2"/>
        </w:numPr>
        <w:ind w:left="1134" w:firstLine="0"/>
      </w:pPr>
      <w:r>
        <w:t xml:space="preserve">The Special Rapporteur’s extensive discussions with civil society actors and authorities revealed a </w:t>
      </w:r>
      <w:r w:rsidRPr="00C17B2F">
        <w:t>predominant</w:t>
      </w:r>
      <w:r>
        <w:t xml:space="preserve"> concern </w:t>
      </w:r>
      <w:r w:rsidR="00E76FC8">
        <w:t xml:space="preserve">on the part of the State </w:t>
      </w:r>
      <w:r>
        <w:t xml:space="preserve">with maintaining peace, </w:t>
      </w:r>
      <w:r w:rsidRPr="00502CD5">
        <w:t>order and stability</w:t>
      </w:r>
      <w:r w:rsidR="00E76FC8">
        <w:t>,</w:t>
      </w:r>
      <w:r>
        <w:t xml:space="preserve"> to the extent of excessive control. Th</w:t>
      </w:r>
      <w:r w:rsidR="00E76FC8">
        <w:t>o</w:t>
      </w:r>
      <w:r>
        <w:t xml:space="preserve">se are legitimate concerns for any State, but it is essential that </w:t>
      </w:r>
      <w:r w:rsidR="00BD06D9">
        <w:t xml:space="preserve">the </w:t>
      </w:r>
      <w:r>
        <w:t xml:space="preserve">measures taken to ensure stability do not impair the essence of any fundamental right. Restrictions must also meet the strict standards of necessity and proportionality set </w:t>
      </w:r>
      <w:r w:rsidR="00E76FC8">
        <w:t xml:space="preserve">out </w:t>
      </w:r>
      <w:r>
        <w:t>in international law. The Special Rapporteur has previously stressed that there should be a presumption in favour of the right to freedom of peaceful assembly, meaning that assemblies should be deemed de facto lawful and as not constituting a threat to</w:t>
      </w:r>
      <w:r w:rsidR="000B6CB2">
        <w:t xml:space="preserve"> public order</w:t>
      </w:r>
      <w:r w:rsidR="000D297D">
        <w:t xml:space="preserve"> (see A/HRC/23/39, paras. 49-50)</w:t>
      </w:r>
      <w:r w:rsidR="00892FB6">
        <w:t>.</w:t>
      </w:r>
      <w:r w:rsidR="000D297D">
        <w:t xml:space="preserve"> </w:t>
      </w:r>
      <w:r>
        <w:t xml:space="preserve">He is therefore concerned at the reports from Oman of restrictions on assemblies, excessive use of force by the police, threats, arbitrary arrests, abductions, detentions in secret locations and torture at the hands of authorities. </w:t>
      </w:r>
    </w:p>
    <w:p w:rsidR="00E33536" w:rsidRDefault="00E33536" w:rsidP="00D15D7D">
      <w:pPr>
        <w:pStyle w:val="SingleTxtG"/>
        <w:numPr>
          <w:ilvl w:val="0"/>
          <w:numId w:val="2"/>
        </w:numPr>
        <w:ind w:left="1134" w:firstLine="0"/>
      </w:pPr>
      <w:r>
        <w:t>During meetings with civil society activists</w:t>
      </w:r>
      <w:r w:rsidR="00892FB6">
        <w:t>,</w:t>
      </w:r>
      <w:r>
        <w:t xml:space="preserve"> the Special Rapporteur heard harrowing reports of activist</w:t>
      </w:r>
      <w:r w:rsidRPr="00C17B2F">
        <w:t xml:space="preserve">s </w:t>
      </w:r>
      <w:r w:rsidR="00892FB6" w:rsidRPr="00C17B2F">
        <w:t xml:space="preserve">who had been </w:t>
      </w:r>
      <w:r w:rsidRPr="00C17B2F">
        <w:t>k</w:t>
      </w:r>
      <w:r>
        <w:t>idnapped off the streets, sometimes hooded and handcuffed, and taken to secret detention locations</w:t>
      </w:r>
      <w:r w:rsidR="00892FB6">
        <w:t>,</w:t>
      </w:r>
      <w:r>
        <w:t xml:space="preserve"> where they </w:t>
      </w:r>
      <w:r w:rsidR="00892FB6">
        <w:t xml:space="preserve">were </w:t>
      </w:r>
      <w:r>
        <w:t xml:space="preserve">interrogated for long hours and often detained for days. Several sources who </w:t>
      </w:r>
      <w:r w:rsidR="00F81F33">
        <w:t xml:space="preserve">had been </w:t>
      </w:r>
      <w:r>
        <w:t xml:space="preserve">detained reported that they were subjected to loud music at all hours and that authorities sometimes left the lights on </w:t>
      </w:r>
      <w:r>
        <w:lastRenderedPageBreak/>
        <w:t>24</w:t>
      </w:r>
      <w:r w:rsidR="00897947">
        <w:t> </w:t>
      </w:r>
      <w:r>
        <w:t>hours a day.</w:t>
      </w:r>
      <w:r w:rsidRPr="00A25589">
        <w:rPr>
          <w:rStyle w:val="FootnoteReference"/>
        </w:rPr>
        <w:footnoteReference w:id="14"/>
      </w:r>
      <w:r>
        <w:t xml:space="preserve"> Beyond detention, activists are subjected to stigmati</w:t>
      </w:r>
      <w:r w:rsidR="002A5ECA">
        <w:t>z</w:t>
      </w:r>
      <w:r>
        <w:t>ation in the largely</w:t>
      </w:r>
      <w:r w:rsidR="002A5ECA">
        <w:t xml:space="preserve"> </w:t>
      </w:r>
      <w:r>
        <w:t>government</w:t>
      </w:r>
      <w:r w:rsidR="002A5ECA">
        <w:t>-</w:t>
      </w:r>
      <w:r>
        <w:t xml:space="preserve">controlled press, which not only affects the activists themselves but also members of their families, </w:t>
      </w:r>
      <w:r w:rsidR="00892FB6">
        <w:t xml:space="preserve">thus chilling </w:t>
      </w:r>
      <w:r>
        <w:t>their activities.</w:t>
      </w:r>
    </w:p>
    <w:p w:rsidR="00E33536" w:rsidRDefault="00E33536" w:rsidP="00D15D7D">
      <w:pPr>
        <w:pStyle w:val="SingleTxtG"/>
        <w:numPr>
          <w:ilvl w:val="0"/>
          <w:numId w:val="2"/>
        </w:numPr>
        <w:ind w:left="1134" w:firstLine="0"/>
      </w:pPr>
      <w:r>
        <w:t>The Special Rapporteur is concerned that arrests and pro</w:t>
      </w:r>
      <w:r w:rsidR="007049CE">
        <w:t>secutions for certain offen</w:t>
      </w:r>
      <w:r w:rsidR="002A5ECA">
        <w:t>c</w:t>
      </w:r>
      <w:r w:rsidR="007049CE">
        <w:t>es</w:t>
      </w:r>
      <w:r w:rsidR="00384456">
        <w:t>,</w:t>
      </w:r>
      <w:r w:rsidR="00F40421">
        <w:t xml:space="preserve"> </w:t>
      </w:r>
      <w:r>
        <w:t>particularly defamation of the Sultan, illegal gatherings and attemp</w:t>
      </w:r>
      <w:r w:rsidR="007049CE">
        <w:t>ts to overthrow the Government</w:t>
      </w:r>
      <w:r w:rsidR="00384456">
        <w:t>,</w:t>
      </w:r>
      <w:r w:rsidR="00F40421">
        <w:t xml:space="preserve"> </w:t>
      </w:r>
      <w:r>
        <w:t xml:space="preserve">are used not to punish actual criminal activity but to suppress activists </w:t>
      </w:r>
      <w:r w:rsidR="00892FB6">
        <w:t xml:space="preserve">who call </w:t>
      </w:r>
      <w:r>
        <w:t>for reform and advocat</w:t>
      </w:r>
      <w:r w:rsidR="00892FB6">
        <w:t>e</w:t>
      </w:r>
      <w:r>
        <w:t xml:space="preserve"> for increased reali</w:t>
      </w:r>
      <w:r w:rsidR="002A5ECA">
        <w:t>z</w:t>
      </w:r>
      <w:r>
        <w:t xml:space="preserve">ation of human rights. His concern is not allayed by the fact that some activists arrested are not </w:t>
      </w:r>
      <w:r w:rsidR="00BF4496">
        <w:t xml:space="preserve">subsequently </w:t>
      </w:r>
      <w:r>
        <w:t xml:space="preserve">prosecuted. Rather, he believes that the practice of “arrest-interrogate-release” </w:t>
      </w:r>
      <w:r w:rsidR="00892FB6" w:rsidRPr="00D15D7D">
        <w:t>could</w:t>
      </w:r>
      <w:r w:rsidR="00892FB6">
        <w:t xml:space="preserve"> </w:t>
      </w:r>
      <w:r>
        <w:t xml:space="preserve">be used as a tactic to intimidate and control. </w:t>
      </w:r>
      <w:r w:rsidR="00892FB6">
        <w:t xml:space="preserve">That practice </w:t>
      </w:r>
      <w:r>
        <w:t xml:space="preserve">should be vigorously discouraged. Activists know that charges stemming from an earlier arrest could be revived at opportune times and used as leverage to discourage them from continuing their activities. </w:t>
      </w:r>
    </w:p>
    <w:p w:rsidR="00E33536" w:rsidRDefault="00E33536" w:rsidP="000D297D">
      <w:pPr>
        <w:pStyle w:val="SingleTxtG"/>
        <w:numPr>
          <w:ilvl w:val="0"/>
          <w:numId w:val="2"/>
        </w:numPr>
        <w:ind w:left="1134" w:firstLine="0"/>
      </w:pPr>
      <w:r>
        <w:t>The Special Rapporteur was informed that gatherings of more than nine people require</w:t>
      </w:r>
      <w:r w:rsidR="002A5ECA">
        <w:t>d</w:t>
      </w:r>
      <w:r>
        <w:t xml:space="preserve"> de facto approval from authorities, an administrative procedure that cannot be contested before a court of law. </w:t>
      </w:r>
      <w:r w:rsidR="002A5ECA">
        <w:t>The a</w:t>
      </w:r>
      <w:r>
        <w:t>uthorities are under no obligation to offer reasons for their decision to disperse an assembly and can broadly interpret what is perceived to be a threat to public order. Under international law</w:t>
      </w:r>
      <w:r w:rsidR="004621BC">
        <w:t>,</w:t>
      </w:r>
      <w:r>
        <w:t xml:space="preserve"> prior authori</w:t>
      </w:r>
      <w:r w:rsidR="002A5ECA">
        <w:t>z</w:t>
      </w:r>
      <w:r>
        <w:t>ation is not required for the exercise of the freedom of peaceful assembly. At most</w:t>
      </w:r>
      <w:r w:rsidR="004621BC">
        <w:t>,</w:t>
      </w:r>
      <w:r>
        <w:t xml:space="preserve"> a prior notification regime may be in place to enable </w:t>
      </w:r>
      <w:r w:rsidR="000F35EC">
        <w:t xml:space="preserve">the </w:t>
      </w:r>
      <w:r>
        <w:t xml:space="preserve">authorities </w:t>
      </w:r>
      <w:r w:rsidR="000F35EC">
        <w:t xml:space="preserve">to </w:t>
      </w:r>
      <w:r>
        <w:t xml:space="preserve">take measures to facilitate the assembly </w:t>
      </w:r>
      <w:r w:rsidR="000F35EC">
        <w:t>and to</w:t>
      </w:r>
      <w:r>
        <w:t xml:space="preserve"> protect public safety and the rights and freedoms of others</w:t>
      </w:r>
      <w:r w:rsidR="000D297D">
        <w:t xml:space="preserve"> (see </w:t>
      </w:r>
      <w:r w:rsidR="000D297D" w:rsidRPr="00436C39">
        <w:t>A/HRC/20/27, para. 28</w:t>
      </w:r>
      <w:r w:rsidR="000D297D">
        <w:t>)</w:t>
      </w:r>
      <w:r>
        <w:t>. Spontaneous gatherings should be recogni</w:t>
      </w:r>
      <w:r w:rsidR="002B4B9F">
        <w:t>z</w:t>
      </w:r>
      <w:r>
        <w:t>ed by law and exempted from prior notification</w:t>
      </w:r>
      <w:r w:rsidR="00DD3B61">
        <w:t xml:space="preserve"> requirements</w:t>
      </w:r>
      <w:r w:rsidR="000D297D">
        <w:t xml:space="preserve"> (ibid., para. 29)</w:t>
      </w:r>
      <w:r>
        <w:t>.</w:t>
      </w:r>
    </w:p>
    <w:p w:rsidR="00E33536" w:rsidRDefault="00E33536" w:rsidP="00AF2298">
      <w:pPr>
        <w:pStyle w:val="SingleTxtG"/>
        <w:numPr>
          <w:ilvl w:val="0"/>
          <w:numId w:val="2"/>
        </w:numPr>
        <w:ind w:left="1134" w:firstLine="0"/>
      </w:pPr>
      <w:r>
        <w:t xml:space="preserve">The Special Rapporteur met with several activists who described how they and their colleagues </w:t>
      </w:r>
      <w:r w:rsidR="002B4B9F">
        <w:t xml:space="preserve">had been </w:t>
      </w:r>
      <w:r>
        <w:t>arrested or in several cases abducted, transported to secret detention locations, denied access to their lawyers and not brought before court within the stipulated period of 48</w:t>
      </w:r>
      <w:r w:rsidR="00897947">
        <w:t> </w:t>
      </w:r>
      <w:r>
        <w:t>hours.</w:t>
      </w:r>
      <w:r w:rsidR="00E74C18">
        <w:t xml:space="preserve"> </w:t>
      </w:r>
      <w:r>
        <w:t xml:space="preserve">Ismail </w:t>
      </w:r>
      <w:r w:rsidR="00F40421">
        <w:t>a</w:t>
      </w:r>
      <w:r>
        <w:t>l</w:t>
      </w:r>
      <w:r w:rsidR="00F40421">
        <w:t>-</w:t>
      </w:r>
      <w:proofErr w:type="spellStart"/>
      <w:r>
        <w:t>Muqbali</w:t>
      </w:r>
      <w:proofErr w:type="spellEnd"/>
      <w:r>
        <w:t xml:space="preserve"> described how he was kept in solitary confinement for three months. It was only after 60</w:t>
      </w:r>
      <w:r w:rsidR="00897947">
        <w:t> </w:t>
      </w:r>
      <w:r>
        <w:t xml:space="preserve">days in detention that he was </w:t>
      </w:r>
      <w:r w:rsidR="002B4B9F">
        <w:t>brought before a</w:t>
      </w:r>
      <w:r>
        <w:t xml:space="preserve"> court.</w:t>
      </w:r>
    </w:p>
    <w:p w:rsidR="00E33536" w:rsidRDefault="002B4B9F" w:rsidP="00B20F6C">
      <w:pPr>
        <w:pStyle w:val="SingleTxtG"/>
        <w:numPr>
          <w:ilvl w:val="0"/>
          <w:numId w:val="2"/>
        </w:numPr>
        <w:ind w:left="1134" w:firstLine="0"/>
      </w:pPr>
      <w:r>
        <w:t>The a</w:t>
      </w:r>
      <w:r w:rsidR="00E33536">
        <w:t>uthorities also frequently prevail upon the owners of establishments open to the public</w:t>
      </w:r>
      <w:r w:rsidR="004621BC">
        <w:t>,</w:t>
      </w:r>
      <w:r w:rsidR="00E33536">
        <w:t xml:space="preserve"> such as coffee shops, hotels and Internet cafes</w:t>
      </w:r>
      <w:r w:rsidR="004621BC">
        <w:t>,</w:t>
      </w:r>
      <w:r w:rsidR="00E33536">
        <w:t xml:space="preserve"> not to host meetings </w:t>
      </w:r>
      <w:r w:rsidR="00B20F6C">
        <w:t>to</w:t>
      </w:r>
      <w:r w:rsidR="00E33536">
        <w:t xml:space="preserve"> discuss issues that are deemed political or critical of the Government. The Special Rapporteur was informed that awareness-raising meetings that are open to the public</w:t>
      </w:r>
      <w:r w:rsidR="004621BC">
        <w:t>,</w:t>
      </w:r>
      <w:r w:rsidR="00E33536">
        <w:t xml:space="preserve"> such as book clubs and even social gatherings</w:t>
      </w:r>
      <w:r w:rsidR="004621BC">
        <w:t>,</w:t>
      </w:r>
      <w:r w:rsidR="00E33536">
        <w:t xml:space="preserve"> have all been targeted by </w:t>
      </w:r>
      <w:r w:rsidR="00B20F6C">
        <w:t xml:space="preserve">the </w:t>
      </w:r>
      <w:r w:rsidR="00E33536">
        <w:t>authorities for dispersal.</w:t>
      </w:r>
    </w:p>
    <w:p w:rsidR="00E33536" w:rsidRDefault="00E33536" w:rsidP="000D297D">
      <w:pPr>
        <w:pStyle w:val="SingleTxtG"/>
        <w:numPr>
          <w:ilvl w:val="0"/>
          <w:numId w:val="2"/>
        </w:numPr>
        <w:ind w:left="1134" w:firstLine="0"/>
      </w:pPr>
      <w:r w:rsidRPr="00CF05E2">
        <w:t xml:space="preserve">In his report </w:t>
      </w:r>
      <w:r w:rsidR="000D297D">
        <w:t xml:space="preserve">submitted </w:t>
      </w:r>
      <w:r w:rsidRPr="00CF05E2">
        <w:t xml:space="preserve">to the Human Rights Council in April 2013, the Special Rapporteur </w:t>
      </w:r>
      <w:r>
        <w:t xml:space="preserve">said </w:t>
      </w:r>
      <w:r w:rsidR="000D297D">
        <w:t xml:space="preserve">that </w:t>
      </w:r>
      <w:r>
        <w:t xml:space="preserve">he was </w:t>
      </w:r>
      <w:r w:rsidRPr="00CF05E2">
        <w:t xml:space="preserve">very concerned about the high number of arrests, of charges and of sentencing against individuals who </w:t>
      </w:r>
      <w:r w:rsidR="004621BC">
        <w:t xml:space="preserve">had </w:t>
      </w:r>
      <w:r w:rsidRPr="00CF05E2">
        <w:t xml:space="preserve">taken part in or </w:t>
      </w:r>
      <w:r w:rsidR="004621BC">
        <w:t xml:space="preserve">had </w:t>
      </w:r>
      <w:r w:rsidRPr="00CF05E2">
        <w:t xml:space="preserve">monitored peaceful assemblies </w:t>
      </w:r>
      <w:r w:rsidR="004621BC">
        <w:t xml:space="preserve">during the reporting period, and that </w:t>
      </w:r>
      <w:r>
        <w:t>t</w:t>
      </w:r>
      <w:r w:rsidRPr="00CF05E2">
        <w:t xml:space="preserve">he replies transmitted by the Government </w:t>
      </w:r>
      <w:r w:rsidR="004621BC">
        <w:t xml:space="preserve">had </w:t>
      </w:r>
      <w:r w:rsidRPr="00CF05E2">
        <w:t>not dispelled his concerns about the physical and psychological integrity of individuals exercising their rights to freedom of peaceful assembly and</w:t>
      </w:r>
      <w:r>
        <w:t xml:space="preserve"> </w:t>
      </w:r>
      <w:r w:rsidRPr="00CF05E2">
        <w:t>association in the country</w:t>
      </w:r>
      <w:r w:rsidR="000D297D">
        <w:t xml:space="preserve"> (</w:t>
      </w:r>
      <w:r w:rsidR="000D297D">
        <w:rPr>
          <w:rFonts w:cs="Calibri"/>
        </w:rPr>
        <w:t xml:space="preserve">see </w:t>
      </w:r>
      <w:r w:rsidR="000D297D" w:rsidRPr="00436C39">
        <w:t>A/HRC/</w:t>
      </w:r>
      <w:r w:rsidR="000D297D" w:rsidRPr="00436C39">
        <w:rPr>
          <w:rFonts w:cs="Calibri"/>
        </w:rPr>
        <w:t>23/39/Add.2, para. 300</w:t>
      </w:r>
      <w:r w:rsidR="000D297D">
        <w:rPr>
          <w:rFonts w:cs="Calibri"/>
        </w:rPr>
        <w:t>)</w:t>
      </w:r>
      <w:r w:rsidRPr="00CF05E2">
        <w:t>.</w:t>
      </w:r>
    </w:p>
    <w:p w:rsidR="00E33536" w:rsidRDefault="00E33536" w:rsidP="00107F2A">
      <w:pPr>
        <w:pStyle w:val="SingleTxtG"/>
        <w:numPr>
          <w:ilvl w:val="0"/>
          <w:numId w:val="2"/>
        </w:numPr>
        <w:ind w:left="1134" w:firstLine="0"/>
      </w:pPr>
      <w:r>
        <w:t xml:space="preserve">His concerns were heightened by </w:t>
      </w:r>
      <w:r w:rsidR="00107F2A">
        <w:t xml:space="preserve">reports of </w:t>
      </w:r>
      <w:r>
        <w:t xml:space="preserve">non-governmental organizations and </w:t>
      </w:r>
      <w:r w:rsidR="00107F2A">
        <w:t xml:space="preserve">the </w:t>
      </w:r>
      <w:r>
        <w:t xml:space="preserve">media referring to </w:t>
      </w:r>
      <w:r w:rsidR="00B20F6C">
        <w:t xml:space="preserve">the </w:t>
      </w:r>
      <w:r>
        <w:t xml:space="preserve">unprecedented use of force and mass arrests </w:t>
      </w:r>
      <w:r w:rsidR="00107F2A">
        <w:t xml:space="preserve">of </w:t>
      </w:r>
      <w:r>
        <w:t xml:space="preserve">peaceful protestors who gathered in Muscat and </w:t>
      </w:r>
      <w:proofErr w:type="spellStart"/>
      <w:r>
        <w:t>Sohar</w:t>
      </w:r>
      <w:proofErr w:type="spellEnd"/>
      <w:r>
        <w:t xml:space="preserve"> in January and February 2011 to demand</w:t>
      </w:r>
      <w:r w:rsidR="004621BC">
        <w:t>, inter alia,</w:t>
      </w:r>
      <w:r>
        <w:t xml:space="preserve"> better working conditions, higher standards in education, the end of corruption and economic and political reforms. Furthermore, reports indicate that a massive peaceful protest was violently dispersed by the police in </w:t>
      </w:r>
      <w:proofErr w:type="spellStart"/>
      <w:r>
        <w:t>Sohar</w:t>
      </w:r>
      <w:proofErr w:type="spellEnd"/>
      <w:r>
        <w:t xml:space="preserve"> in April 2011, resulting in one death, </w:t>
      </w:r>
      <w:r>
        <w:lastRenderedPageBreak/>
        <w:t xml:space="preserve">dozens of injuries and 23 arrests. In May 2011, about 80 people were arrested in Muscat while participating in a peaceful protest calling for the release of other protestors, themselves recently arrested in Muscat, </w:t>
      </w:r>
      <w:proofErr w:type="spellStart"/>
      <w:r>
        <w:t>Salalah</w:t>
      </w:r>
      <w:proofErr w:type="spellEnd"/>
      <w:r>
        <w:t xml:space="preserve"> and </w:t>
      </w:r>
      <w:proofErr w:type="spellStart"/>
      <w:r>
        <w:t>Sohar</w:t>
      </w:r>
      <w:proofErr w:type="spellEnd"/>
      <w:r>
        <w:t xml:space="preserve">. Among the detainees were young lawyers, bloggers, writers and members of unregistered organizations, including women. </w:t>
      </w:r>
    </w:p>
    <w:p w:rsidR="00E33536" w:rsidRDefault="00E33536" w:rsidP="00107F2A">
      <w:pPr>
        <w:pStyle w:val="SingleTxtG"/>
        <w:numPr>
          <w:ilvl w:val="0"/>
          <w:numId w:val="2"/>
        </w:numPr>
        <w:ind w:left="1134" w:firstLine="0"/>
      </w:pPr>
      <w:r>
        <w:t xml:space="preserve">During the Special Rapporteur’s visit, the authorities acknowledged arresting protestors and placing </w:t>
      </w:r>
      <w:r w:rsidR="006469B4">
        <w:t>several</w:t>
      </w:r>
      <w:r>
        <w:t xml:space="preserve"> in solitary confinement following the peaceful protests in January and February 2011. They also admitted t</w:t>
      </w:r>
      <w:r w:rsidR="006C58F6">
        <w:t xml:space="preserve">hat one person </w:t>
      </w:r>
      <w:r w:rsidR="005C67A8">
        <w:t xml:space="preserve">had been </w:t>
      </w:r>
      <w:r w:rsidR="006C58F6">
        <w:t>killed on 27</w:t>
      </w:r>
      <w:r w:rsidR="00D6527E">
        <w:t xml:space="preserve"> </w:t>
      </w:r>
      <w:r>
        <w:t xml:space="preserve">February 2011 and another on 28 April 2011 following a protest and that investigations were ongoing. They further confirmed that individuals involved in the protests </w:t>
      </w:r>
      <w:r w:rsidR="006469B4">
        <w:t xml:space="preserve">had been </w:t>
      </w:r>
      <w:r>
        <w:t xml:space="preserve">arrested at their homes in March 2011, but that they </w:t>
      </w:r>
      <w:r w:rsidR="006469B4">
        <w:t xml:space="preserve">had been </w:t>
      </w:r>
      <w:r>
        <w:t xml:space="preserve">released without charges after signing pledges not </w:t>
      </w:r>
      <w:r w:rsidR="006469B4">
        <w:t xml:space="preserve">to </w:t>
      </w:r>
      <w:r>
        <w:t>commit acts of destruction of public property</w:t>
      </w:r>
      <w:r w:rsidR="00107F2A">
        <w:t xml:space="preserve"> (s</w:t>
      </w:r>
      <w:r w:rsidR="00107F2A">
        <w:rPr>
          <w:rFonts w:cs="Calibri"/>
        </w:rPr>
        <w:t xml:space="preserve">ee </w:t>
      </w:r>
      <w:r w:rsidR="00107F2A" w:rsidRPr="003A4761">
        <w:t>A/HRC/</w:t>
      </w:r>
      <w:r w:rsidR="00107F2A" w:rsidRPr="003A4761">
        <w:rPr>
          <w:rFonts w:cs="Calibri"/>
        </w:rPr>
        <w:t>18/51</w:t>
      </w:r>
      <w:r w:rsidR="00107F2A">
        <w:rPr>
          <w:rFonts w:cs="Calibri"/>
        </w:rPr>
        <w:t>, case No. </w:t>
      </w:r>
      <w:r w:rsidR="00107F2A">
        <w:rPr>
          <w:sz w:val="19"/>
          <w:szCs w:val="19"/>
        </w:rPr>
        <w:t>OMN 1/2011)</w:t>
      </w:r>
      <w:r>
        <w:t xml:space="preserve">. The Government has also informed the </w:t>
      </w:r>
      <w:r w:rsidR="006469B4">
        <w:t>s</w:t>
      </w:r>
      <w:r>
        <w:t xml:space="preserve">pecial </w:t>
      </w:r>
      <w:r w:rsidR="006469B4">
        <w:t>p</w:t>
      </w:r>
      <w:r>
        <w:t>rocedures of the Human Rights Council that the court of first instance released all the remaining accused on 18 May 2011.</w:t>
      </w:r>
    </w:p>
    <w:p w:rsidR="00E33536" w:rsidRDefault="00E33536" w:rsidP="00F6215C">
      <w:pPr>
        <w:pStyle w:val="SingleTxtG"/>
        <w:numPr>
          <w:ilvl w:val="0"/>
          <w:numId w:val="2"/>
        </w:numPr>
        <w:ind w:left="1134" w:firstLine="0"/>
      </w:pPr>
      <w:r>
        <w:t xml:space="preserve">The Special Rapporteur joined an urgent appeal to Oman on 21 June 2012 </w:t>
      </w:r>
      <w:r w:rsidR="005C67A8">
        <w:t xml:space="preserve">concerning </w:t>
      </w:r>
      <w:r>
        <w:t xml:space="preserve">the reported arrests of three members of the Omani Group for Human Rights, including one woman, while on their way to </w:t>
      </w:r>
      <w:proofErr w:type="spellStart"/>
      <w:r w:rsidRPr="00C17B2F">
        <w:t>Fohod</w:t>
      </w:r>
      <w:proofErr w:type="spellEnd"/>
      <w:r w:rsidRPr="00D15D7D">
        <w:t xml:space="preserve"> </w:t>
      </w:r>
      <w:r>
        <w:t>oil field to monitor a strike on 31 May 2012</w:t>
      </w:r>
      <w:r w:rsidR="00BF1EE2">
        <w:t xml:space="preserve"> (</w:t>
      </w:r>
      <w:r w:rsidR="00BF1EE2" w:rsidRPr="00436C39">
        <w:t>A/HRC/</w:t>
      </w:r>
      <w:r w:rsidR="00BF1EE2" w:rsidRPr="00724C99">
        <w:t>22/67, p. 23)</w:t>
      </w:r>
      <w:r w:rsidRPr="00724C99">
        <w:t>.</w:t>
      </w:r>
      <w:r>
        <w:t xml:space="preserve"> In its reply, the Government stated that the three individuals </w:t>
      </w:r>
      <w:r w:rsidR="00F438DD">
        <w:t xml:space="preserve">had been </w:t>
      </w:r>
      <w:r>
        <w:t>handed over to the Public Prosecutor on the charges of “</w:t>
      </w:r>
      <w:proofErr w:type="spellStart"/>
      <w:r>
        <w:t>incit</w:t>
      </w:r>
      <w:proofErr w:type="spellEnd"/>
      <w:r>
        <w:t>[</w:t>
      </w:r>
      <w:proofErr w:type="spellStart"/>
      <w:r>
        <w:t>ing</w:t>
      </w:r>
      <w:proofErr w:type="spellEnd"/>
      <w:r>
        <w:t>] participation in a strike gathering” and “stir[ring] unrest in the oil sector”</w:t>
      </w:r>
      <w:r w:rsidR="00BF1EE2">
        <w:t xml:space="preserve"> (ibid.)</w:t>
      </w:r>
      <w:r>
        <w:t xml:space="preserve">. During the country visit, </w:t>
      </w:r>
      <w:r w:rsidR="00F438DD">
        <w:t>g</w:t>
      </w:r>
      <w:r>
        <w:t xml:space="preserve">overnment representatives asserted that the Group had </w:t>
      </w:r>
      <w:r w:rsidR="000E42BC">
        <w:t xml:space="preserve">had </w:t>
      </w:r>
      <w:r>
        <w:t>no authori</w:t>
      </w:r>
      <w:r w:rsidR="00F438DD">
        <w:t>z</w:t>
      </w:r>
      <w:r>
        <w:t>ation or mandate to go into the oil fields. While the Special Rapporteur does not dispute the Government’s position that the oil fields are vital installations on which the economy depends, he does not consider that this necessarily implies that no peaceful assemblies or monitoring of assemblies can take place at th</w:t>
      </w:r>
      <w:r w:rsidR="00F438DD">
        <w:t>o</w:t>
      </w:r>
      <w:r>
        <w:t>se locations. He reiterates that blanket restrictions on peaceful assemblies are intrinsically disproportionate and should thus not be imposed</w:t>
      </w:r>
      <w:r w:rsidR="00BF1EE2">
        <w:t xml:space="preserve"> (see A/68/299, para. 25)</w:t>
      </w:r>
      <w:r w:rsidR="000E42BC">
        <w:t>.</w:t>
      </w:r>
    </w:p>
    <w:p w:rsidR="00E33536" w:rsidRDefault="00E33536" w:rsidP="004B74F3">
      <w:pPr>
        <w:pStyle w:val="SingleTxtG"/>
        <w:numPr>
          <w:ilvl w:val="0"/>
          <w:numId w:val="2"/>
        </w:numPr>
        <w:ind w:left="1134" w:firstLine="0"/>
      </w:pPr>
      <w:r>
        <w:t xml:space="preserve">In the weeks that followed the arrests of the Omani Group for Human Rights members, </w:t>
      </w:r>
      <w:r w:rsidR="00420108">
        <w:t xml:space="preserve">the </w:t>
      </w:r>
      <w:r>
        <w:t>authorities reportedly began actively apprehending online activists for their comments on social platforms such as Facebook and Twitter. The police also reportedly cracked down on a peaceful sit-in calling for the release of political detainees and arrested more than 20 people for seditious assembly, blocking traffic, insulting the Sultan and using the I</w:t>
      </w:r>
      <w:r w:rsidRPr="00C60E18">
        <w:t>nternet to publish defamatory material</w:t>
      </w:r>
      <w:r>
        <w:t>.</w:t>
      </w:r>
      <w:r w:rsidRPr="00A25589">
        <w:rPr>
          <w:rStyle w:val="FootnoteReference"/>
        </w:rPr>
        <w:footnoteReference w:id="15"/>
      </w:r>
      <w:r>
        <w:t xml:space="preserve"> </w:t>
      </w:r>
    </w:p>
    <w:p w:rsidR="00E33536" w:rsidRPr="00D15D7D" w:rsidRDefault="00E33536" w:rsidP="00F6215C">
      <w:pPr>
        <w:pStyle w:val="SingleTxtG"/>
        <w:numPr>
          <w:ilvl w:val="0"/>
          <w:numId w:val="2"/>
        </w:numPr>
        <w:ind w:left="1134" w:firstLine="0"/>
      </w:pPr>
      <w:r>
        <w:t xml:space="preserve">Following a series of group trials during July, August and September 2012, the Muscat court of first instance reportedly convicted 29 people and sentenced 28 of them to between </w:t>
      </w:r>
      <w:r w:rsidR="00755F56">
        <w:t xml:space="preserve">6 </w:t>
      </w:r>
      <w:r>
        <w:t>and 18 months in prison and to fines ranging f</w:t>
      </w:r>
      <w:r w:rsidR="006C58F6">
        <w:t xml:space="preserve">rom 200 to 1,000 </w:t>
      </w:r>
      <w:proofErr w:type="spellStart"/>
      <w:r w:rsidR="00F6215C">
        <w:t>r</w:t>
      </w:r>
      <w:r w:rsidR="000E42BC">
        <w:t>ials</w:t>
      </w:r>
      <w:proofErr w:type="spellEnd"/>
      <w:r>
        <w:t>.</w:t>
      </w:r>
      <w:r w:rsidRPr="00A25589">
        <w:rPr>
          <w:rStyle w:val="FootnoteReference"/>
        </w:rPr>
        <w:footnoteReference w:id="16"/>
      </w:r>
      <w:r>
        <w:t xml:space="preserve"> </w:t>
      </w:r>
      <w:r w:rsidR="00143D12">
        <w:t xml:space="preserve">According to reports, </w:t>
      </w:r>
      <w:r>
        <w:t xml:space="preserve">the appeal court in Muscat upheld all the convictions in December </w:t>
      </w:r>
      <w:r w:rsidRPr="00D15D7D">
        <w:t>2012.</w:t>
      </w:r>
    </w:p>
    <w:p w:rsidR="00E33536" w:rsidRDefault="00E33536" w:rsidP="00F6215C">
      <w:pPr>
        <w:pStyle w:val="SingleTxtG"/>
        <w:numPr>
          <w:ilvl w:val="0"/>
          <w:numId w:val="2"/>
        </w:numPr>
        <w:ind w:left="1134" w:firstLine="0"/>
      </w:pPr>
      <w:r w:rsidRPr="008D7E68">
        <w:t xml:space="preserve">The Special Rapporteur </w:t>
      </w:r>
      <w:r>
        <w:t xml:space="preserve">is also concerned about the case of 11 people, </w:t>
      </w:r>
      <w:r w:rsidRPr="008D7E68">
        <w:t>includ</w:t>
      </w:r>
      <w:r>
        <w:t>ing</w:t>
      </w:r>
      <w:r w:rsidRPr="008D7E68">
        <w:t xml:space="preserve"> </w:t>
      </w:r>
      <w:r w:rsidR="00B81589">
        <w:t xml:space="preserve">two </w:t>
      </w:r>
      <w:r w:rsidRPr="008D7E68">
        <w:t>women</w:t>
      </w:r>
      <w:r>
        <w:t xml:space="preserve">, who were </w:t>
      </w:r>
      <w:r w:rsidRPr="008D7E68">
        <w:t xml:space="preserve">convicted in 2012 on charges </w:t>
      </w:r>
      <w:r>
        <w:t>including</w:t>
      </w:r>
      <w:r w:rsidRPr="008D7E68">
        <w:t xml:space="preserve"> insulting the Sultan, using the Internet to </w:t>
      </w:r>
      <w:r>
        <w:t xml:space="preserve">send </w:t>
      </w:r>
      <w:r w:rsidRPr="008D7E68">
        <w:t>defamatory material, unlawful</w:t>
      </w:r>
      <w:r>
        <w:t>ly</w:t>
      </w:r>
      <w:r w:rsidRPr="008D7E68">
        <w:t xml:space="preserve"> gathering and publishing harmful and provocative material.</w:t>
      </w:r>
      <w:r>
        <w:t xml:space="preserve"> The Special Rapporteur </w:t>
      </w:r>
      <w:r w:rsidRPr="008D7E68">
        <w:t>sent a joint appeal to Oman on 27 February 2013, 15</w:t>
      </w:r>
      <w:r w:rsidR="00210D1B">
        <w:t> </w:t>
      </w:r>
      <w:r w:rsidRPr="008D7E68">
        <w:t xml:space="preserve">days after the </w:t>
      </w:r>
      <w:r>
        <w:t xml:space="preserve">11 detainees reportedly </w:t>
      </w:r>
      <w:r w:rsidRPr="008D7E68">
        <w:t>start</w:t>
      </w:r>
      <w:r>
        <w:t>ed</w:t>
      </w:r>
      <w:r w:rsidRPr="008D7E68">
        <w:t xml:space="preserve"> a hunger strike </w:t>
      </w:r>
      <w:r>
        <w:t xml:space="preserve">over </w:t>
      </w:r>
      <w:r w:rsidRPr="008D7E68">
        <w:t xml:space="preserve">delays in </w:t>
      </w:r>
      <w:r w:rsidRPr="008D7E68">
        <w:lastRenderedPageBreak/>
        <w:t>processing their cases</w:t>
      </w:r>
      <w:r w:rsidR="00F6215C">
        <w:t xml:space="preserve"> (s</w:t>
      </w:r>
      <w:r w:rsidR="00F6215C">
        <w:rPr>
          <w:rFonts w:cs="Calibri"/>
        </w:rPr>
        <w:t xml:space="preserve">ee </w:t>
      </w:r>
      <w:r w:rsidR="00F6215C" w:rsidRPr="00436C39">
        <w:rPr>
          <w:rFonts w:cs="Calibri"/>
        </w:rPr>
        <w:t xml:space="preserve">A/HRC/23/51, </w:t>
      </w:r>
      <w:r w:rsidR="00F6215C">
        <w:rPr>
          <w:rFonts w:cs="Calibri"/>
        </w:rPr>
        <w:t>case OMN 1/2013)</w:t>
      </w:r>
      <w:r w:rsidRPr="008D7E68">
        <w:t xml:space="preserve">. On 22 March, the Government informed the </w:t>
      </w:r>
      <w:r w:rsidR="00D45E9C">
        <w:t>s</w:t>
      </w:r>
      <w:r w:rsidRPr="008D7E68">
        <w:t xml:space="preserve">pecial </w:t>
      </w:r>
      <w:r w:rsidR="00D45E9C">
        <w:t>p</w:t>
      </w:r>
      <w:r w:rsidRPr="008D7E68">
        <w:t xml:space="preserve">rocedures of the Human Rights Council that the Sultan had pardoned the 11 </w:t>
      </w:r>
      <w:r w:rsidRPr="00C17B2F">
        <w:t>individuals</w:t>
      </w:r>
      <w:r>
        <w:t>.</w:t>
      </w:r>
    </w:p>
    <w:p w:rsidR="00E33536" w:rsidRDefault="00E33536" w:rsidP="00AF2298">
      <w:pPr>
        <w:pStyle w:val="SingleTxtG"/>
        <w:numPr>
          <w:ilvl w:val="0"/>
          <w:numId w:val="2"/>
        </w:numPr>
        <w:ind w:left="1134" w:firstLine="0"/>
      </w:pPr>
      <w:r>
        <w:t>In August 2013, the Special Rapporteur received information on additi</w:t>
      </w:r>
      <w:r w:rsidR="007049CE">
        <w:t xml:space="preserve">onal protest movements in </w:t>
      </w:r>
      <w:proofErr w:type="spellStart"/>
      <w:r w:rsidR="007049CE">
        <w:t>Liwa</w:t>
      </w:r>
      <w:proofErr w:type="spellEnd"/>
      <w:r w:rsidR="00D45E9C">
        <w:t>,</w:t>
      </w:r>
      <w:r w:rsidR="007049CE">
        <w:t xml:space="preserve"> a city north of </w:t>
      </w:r>
      <w:proofErr w:type="spellStart"/>
      <w:r w:rsidR="007049CE">
        <w:t>Sohar</w:t>
      </w:r>
      <w:proofErr w:type="spellEnd"/>
      <w:r w:rsidR="00D45E9C">
        <w:t>,</w:t>
      </w:r>
      <w:r w:rsidR="007049CE">
        <w:t xml:space="preserve"> </w:t>
      </w:r>
      <w:r>
        <w:t xml:space="preserve">against the </w:t>
      </w:r>
      <w:r w:rsidR="00D45E9C">
        <w:t xml:space="preserve">pollution </w:t>
      </w:r>
      <w:r>
        <w:t>of the waters of the port by petrochemical industries. Police reportedly dispersed the demonstrations with tear gas and water can</w:t>
      </w:r>
      <w:r w:rsidR="00421F9F">
        <w:t>n</w:t>
      </w:r>
      <w:r>
        <w:t>ons and arreste</w:t>
      </w:r>
      <w:r w:rsidR="004052F0">
        <w:t xml:space="preserve">d several people, including </w:t>
      </w:r>
      <w:proofErr w:type="spellStart"/>
      <w:r>
        <w:t>Talib</w:t>
      </w:r>
      <w:proofErr w:type="spellEnd"/>
      <w:r>
        <w:t xml:space="preserve"> </w:t>
      </w:r>
      <w:r w:rsidR="00F40421">
        <w:t>a</w:t>
      </w:r>
      <w:r>
        <w:t>l</w:t>
      </w:r>
      <w:r w:rsidR="00F40421">
        <w:t>-</w:t>
      </w:r>
      <w:proofErr w:type="spellStart"/>
      <w:r>
        <w:t>Mamari</w:t>
      </w:r>
      <w:proofErr w:type="spellEnd"/>
      <w:r>
        <w:t xml:space="preserve">, who was elected to the Consultative Council in 2011 and known for his </w:t>
      </w:r>
      <w:r w:rsidR="004052F0">
        <w:t>moderate critical opinions. Mr. </w:t>
      </w:r>
      <w:r>
        <w:t>Al</w:t>
      </w:r>
      <w:r w:rsidR="00F40421">
        <w:t>-</w:t>
      </w:r>
      <w:proofErr w:type="spellStart"/>
      <w:r>
        <w:t>Mamari</w:t>
      </w:r>
      <w:proofErr w:type="spellEnd"/>
      <w:r>
        <w:t xml:space="preserve"> was reportedly arrested at night at his brother’s home and charged with inciting a crowd and seditious assembly. His sentence was reportedly upheld by the court of appeal, but overturned by the Supreme Court </w:t>
      </w:r>
      <w:r w:rsidR="00705B1A">
        <w:t>because of</w:t>
      </w:r>
      <w:r>
        <w:t xml:space="preserve"> a procedural error. The retrial was </w:t>
      </w:r>
      <w:r w:rsidR="00705B1A">
        <w:t>held</w:t>
      </w:r>
      <w:r>
        <w:t xml:space="preserve"> in Muscat on 6 August 2014. He reportedly faces a four-year prison term and is currently in custody awaiting his appeal.</w:t>
      </w:r>
    </w:p>
    <w:p w:rsidR="00E33536" w:rsidRDefault="00E33536" w:rsidP="00ED41B1">
      <w:pPr>
        <w:pStyle w:val="SingleTxtG"/>
        <w:numPr>
          <w:ilvl w:val="0"/>
          <w:numId w:val="2"/>
        </w:numPr>
        <w:ind w:left="1134" w:firstLine="0"/>
      </w:pPr>
      <w:r>
        <w:t xml:space="preserve">The Special Rapporteur firmly believes that the rights to freedom of peaceful assembly and of association apply </w:t>
      </w:r>
      <w:r w:rsidR="00002A29">
        <w:t xml:space="preserve">both </w:t>
      </w:r>
      <w:r>
        <w:t>offline</w:t>
      </w:r>
      <w:r w:rsidR="00C510D8">
        <w:t xml:space="preserve"> and </w:t>
      </w:r>
      <w:r>
        <w:t>online</w:t>
      </w:r>
      <w:r w:rsidR="00E61E79">
        <w:t>,</w:t>
      </w:r>
      <w:r>
        <w:t xml:space="preserve"> as the Human Rights Council has affirmed</w:t>
      </w:r>
      <w:r w:rsidR="00ED41B1">
        <w:t xml:space="preserve"> in its resolutions </w:t>
      </w:r>
      <w:r w:rsidR="00ED41B1" w:rsidRPr="00436C39">
        <w:rPr>
          <w:rFonts w:cs="Calibri"/>
        </w:rPr>
        <w:t>21/16 and 26/13</w:t>
      </w:r>
      <w:r w:rsidR="002F745F">
        <w:t>.</w:t>
      </w:r>
      <w:r>
        <w:t xml:space="preserve"> He was therefore concerned to hear during his visit that </w:t>
      </w:r>
      <w:r w:rsidR="00002A29">
        <w:t xml:space="preserve">the </w:t>
      </w:r>
      <w:r>
        <w:t xml:space="preserve">authorities </w:t>
      </w:r>
      <w:r w:rsidR="00E61E79">
        <w:t xml:space="preserve">had </w:t>
      </w:r>
      <w:r>
        <w:t>reportedly employ</w:t>
      </w:r>
      <w:r w:rsidR="00002A29">
        <w:t>ed</w:t>
      </w:r>
      <w:r>
        <w:t xml:space="preserve"> a variety of tactics to clamp down </w:t>
      </w:r>
      <w:r w:rsidR="00002A29">
        <w:t xml:space="preserve">on </w:t>
      </w:r>
      <w:r>
        <w:t xml:space="preserve">and control the use </w:t>
      </w:r>
      <w:r w:rsidR="00002A29">
        <w:t xml:space="preserve">of </w:t>
      </w:r>
      <w:r>
        <w:t>information and communications technolog</w:t>
      </w:r>
      <w:r w:rsidR="00E61E79">
        <w:t>y</w:t>
      </w:r>
      <w:r>
        <w:t xml:space="preserve">. There are widespread reports that authorities systematically hack into online accounts and hijack them and </w:t>
      </w:r>
      <w:r w:rsidRPr="002B2770">
        <w:t xml:space="preserve">flood </w:t>
      </w:r>
      <w:r>
        <w:t xml:space="preserve">social media such as </w:t>
      </w:r>
      <w:r w:rsidRPr="002B2770">
        <w:t>Twitter with an endless stream of hashtag</w:t>
      </w:r>
      <w:r w:rsidR="00E61E79">
        <w:t xml:space="preserve"> references</w:t>
      </w:r>
      <w:r w:rsidR="00002A29">
        <w:t>,</w:t>
      </w:r>
      <w:r>
        <w:t xml:space="preserve"> thus disrupting discussion on specific topics. The example of the Omani Group for Human Rights is instructive. In addition to online surveillance, authorities reportedly went as far as preventing the group members from communicating on Whats</w:t>
      </w:r>
      <w:r w:rsidR="00C91A22">
        <w:t>A</w:t>
      </w:r>
      <w:r>
        <w:t xml:space="preserve">pp. </w:t>
      </w:r>
      <w:r w:rsidRPr="00D15D7D">
        <w:t>Voice over Internet Protocol</w:t>
      </w:r>
      <w:r>
        <w:t xml:space="preserve"> services such as Skype are blocked in Oman, a situation </w:t>
      </w:r>
      <w:r w:rsidR="00E61E79">
        <w:t xml:space="preserve">that </w:t>
      </w:r>
      <w:r>
        <w:t xml:space="preserve">the Special Rapporteur experienced </w:t>
      </w:r>
      <w:proofErr w:type="spellStart"/>
      <w:r w:rsidR="00421F9F">
        <w:t>first</w:t>
      </w:r>
      <w:r w:rsidR="00ED41B1">
        <w:t xml:space="preserve"> </w:t>
      </w:r>
      <w:r w:rsidR="00421F9F">
        <w:t>hand</w:t>
      </w:r>
      <w:proofErr w:type="spellEnd"/>
      <w:r>
        <w:t>. The Special Rapporteur reiterates that States have the obligation to ensure that online assemblies are facilitated in accordance with international human rights standards.</w:t>
      </w:r>
    </w:p>
    <w:p w:rsidR="00E33536" w:rsidRDefault="00E33536" w:rsidP="00D15D7D">
      <w:pPr>
        <w:pStyle w:val="SingleTxtG"/>
        <w:numPr>
          <w:ilvl w:val="0"/>
          <w:numId w:val="2"/>
        </w:numPr>
        <w:ind w:left="1134" w:firstLine="0"/>
      </w:pPr>
      <w:r>
        <w:t xml:space="preserve">Members of civil society who met with the Special Rapporteur made repeated mention of the Internal Security Forces of Oman, a </w:t>
      </w:r>
      <w:r w:rsidR="005D7D05">
        <w:t>g</w:t>
      </w:r>
      <w:r>
        <w:t xml:space="preserve">overnment agency </w:t>
      </w:r>
      <w:r w:rsidR="001C0E0E">
        <w:t xml:space="preserve">that </w:t>
      </w:r>
      <w:r>
        <w:t xml:space="preserve">they say is primarily responsible for the reported harassment, abduction, unlawful detention and torture of peaceful protestors. The Special Rapporteur wishes to restate his deep regret that </w:t>
      </w:r>
      <w:r w:rsidR="001C0E0E">
        <w:t xml:space="preserve">his </w:t>
      </w:r>
      <w:r>
        <w:t xml:space="preserve">requests to meet with representatives from </w:t>
      </w:r>
      <w:r w:rsidR="005D7D05">
        <w:t xml:space="preserve">the </w:t>
      </w:r>
      <w:r>
        <w:t xml:space="preserve">agency were not </w:t>
      </w:r>
      <w:r w:rsidR="001C0E0E">
        <w:t>granted</w:t>
      </w:r>
      <w:r>
        <w:t xml:space="preserve">. It would appear that </w:t>
      </w:r>
      <w:r w:rsidR="005D7D05">
        <w:t xml:space="preserve">the </w:t>
      </w:r>
      <w:r>
        <w:t xml:space="preserve">body is a key interlocutor and the Government lost an opportunity to engage in frank discussions on the role it plays. Of greater concern is the opaqueness with which </w:t>
      </w:r>
      <w:r w:rsidR="005D7D05">
        <w:t xml:space="preserve">the </w:t>
      </w:r>
      <w:r>
        <w:t xml:space="preserve">agency operates. Officials from the Government itself told the Special Rapporteur that the agency is a secret intelligence unit with an unknown configuration and budget that reports directly to the Sultan. </w:t>
      </w:r>
    </w:p>
    <w:p w:rsidR="00E33536" w:rsidRDefault="00E33536" w:rsidP="00D15D7D">
      <w:pPr>
        <w:pStyle w:val="SingleTxtG"/>
        <w:numPr>
          <w:ilvl w:val="0"/>
          <w:numId w:val="2"/>
        </w:numPr>
        <w:ind w:left="1134" w:firstLine="0"/>
      </w:pPr>
      <w:r>
        <w:t xml:space="preserve">The Special Rapporteur is also </w:t>
      </w:r>
      <w:r w:rsidR="001C0E0E">
        <w:t xml:space="preserve">unaware as to </w:t>
      </w:r>
      <w:r w:rsidR="00BF4496">
        <w:t xml:space="preserve">where </w:t>
      </w:r>
      <w:r w:rsidR="00384456">
        <w:t xml:space="preserve">the </w:t>
      </w:r>
      <w:r w:rsidRPr="00BF4496">
        <w:t xml:space="preserve">agency </w:t>
      </w:r>
      <w:r w:rsidR="00BF4496">
        <w:t xml:space="preserve">stands in </w:t>
      </w:r>
      <w:r w:rsidRPr="00BF4496">
        <w:t>relat</w:t>
      </w:r>
      <w:r w:rsidR="00BF4496">
        <w:t>ion</w:t>
      </w:r>
      <w:r w:rsidRPr="00BF4496">
        <w:t xml:space="preserve"> to</w:t>
      </w:r>
      <w:r>
        <w:t xml:space="preserve"> the Royal Oman Police, the latter being the authorities officially charged with maintaining law and order in the country. The police </w:t>
      </w:r>
      <w:r w:rsidR="001C0E0E">
        <w:t xml:space="preserve">is </w:t>
      </w:r>
      <w:r>
        <w:t>the only body authori</w:t>
      </w:r>
      <w:r w:rsidR="0035719C">
        <w:t>z</w:t>
      </w:r>
      <w:r>
        <w:t xml:space="preserve">ed to carry out arrests. </w:t>
      </w:r>
      <w:r w:rsidR="001C0E0E">
        <w:t xml:space="preserve">Its </w:t>
      </w:r>
      <w:r>
        <w:t xml:space="preserve">Directorate General of Operations plans and implements </w:t>
      </w:r>
      <w:r w:rsidR="0035719C">
        <w:t xml:space="preserve">police </w:t>
      </w:r>
      <w:r>
        <w:t>activities related to maintaining public security and safety. The Directorate also makes decisions on the granting of permits to hold assemblies and the security arrangements during these events.</w:t>
      </w:r>
    </w:p>
    <w:p w:rsidR="00E33536" w:rsidRPr="00922527" w:rsidRDefault="00922527" w:rsidP="00922527">
      <w:pPr>
        <w:pStyle w:val="HChG"/>
      </w:pPr>
      <w:r>
        <w:lastRenderedPageBreak/>
        <w:tab/>
        <w:t>IV.</w:t>
      </w:r>
      <w:r>
        <w:tab/>
      </w:r>
      <w:r w:rsidR="000E5BD0">
        <w:t xml:space="preserve">Challenges to the exercise of the right to </w:t>
      </w:r>
      <w:r w:rsidR="000E5BD0" w:rsidRPr="00E44E68">
        <w:t>freedom of</w:t>
      </w:r>
      <w:r w:rsidR="00210D1B">
        <w:t> </w:t>
      </w:r>
      <w:r w:rsidR="00E44E68" w:rsidRPr="00C17B2F">
        <w:t>association</w:t>
      </w:r>
    </w:p>
    <w:p w:rsidR="00E33536" w:rsidRPr="00922527" w:rsidRDefault="00922527" w:rsidP="00922527">
      <w:pPr>
        <w:pStyle w:val="H1G"/>
      </w:pPr>
      <w:r>
        <w:tab/>
        <w:t>A.</w:t>
      </w:r>
      <w:r>
        <w:tab/>
      </w:r>
      <w:r w:rsidR="00E33536" w:rsidRPr="00922527">
        <w:t>Legal framework</w:t>
      </w:r>
    </w:p>
    <w:p w:rsidR="00E33536" w:rsidRDefault="00E33536" w:rsidP="00D15D7D">
      <w:pPr>
        <w:pStyle w:val="SingleTxtG"/>
        <w:numPr>
          <w:ilvl w:val="0"/>
          <w:numId w:val="2"/>
        </w:numPr>
        <w:ind w:left="1134" w:firstLine="0"/>
      </w:pPr>
      <w:r>
        <w:t xml:space="preserve">The </w:t>
      </w:r>
      <w:r w:rsidR="001C0E0E">
        <w:t xml:space="preserve">right to </w:t>
      </w:r>
      <w:r>
        <w:t xml:space="preserve">freedom to form associations is virtually non-existent in Oman, despite the fact that it is nominally protected as a </w:t>
      </w:r>
      <w:r w:rsidR="00716FC5">
        <w:t>c</w:t>
      </w:r>
      <w:r>
        <w:t xml:space="preserve">onstitutional right under </w:t>
      </w:r>
      <w:r w:rsidR="00767D5F">
        <w:t>a</w:t>
      </w:r>
      <w:r w:rsidR="00622328">
        <w:t>rticle </w:t>
      </w:r>
      <w:r>
        <w:t>33 of the Basic Law</w:t>
      </w:r>
      <w:r w:rsidR="007049CE">
        <w:t>. The 1972 Law on Associations</w:t>
      </w:r>
      <w:r w:rsidR="006D3A72">
        <w:t>,</w:t>
      </w:r>
      <w:r w:rsidR="007049CE">
        <w:t xml:space="preserve"> </w:t>
      </w:r>
      <w:r>
        <w:t>since amended several times</w:t>
      </w:r>
      <w:r w:rsidR="006D3A72">
        <w:t>,</w:t>
      </w:r>
      <w:r w:rsidRPr="00A25589">
        <w:rPr>
          <w:rStyle w:val="FootnoteReference"/>
        </w:rPr>
        <w:footnoteReference w:id="17"/>
      </w:r>
      <w:r w:rsidR="007049CE">
        <w:t xml:space="preserve"> </w:t>
      </w:r>
      <w:r>
        <w:t xml:space="preserve">places severe and sweeping restrictions on the right, making it virtually impossible </w:t>
      </w:r>
      <w:r w:rsidR="00767D5F">
        <w:t xml:space="preserve">to </w:t>
      </w:r>
      <w:r>
        <w:t xml:space="preserve">establish a legal association without </w:t>
      </w:r>
      <w:r w:rsidR="00767D5F">
        <w:t>g</w:t>
      </w:r>
      <w:r>
        <w:t xml:space="preserve">overnment consent, cooperation and control. </w:t>
      </w:r>
      <w:r w:rsidR="001C0E0E">
        <w:t xml:space="preserve">The </w:t>
      </w:r>
      <w:r>
        <w:t>law</w:t>
      </w:r>
      <w:r w:rsidR="001C0E0E">
        <w:t>, inter alia</w:t>
      </w:r>
      <w:r>
        <w:t>:</w:t>
      </w:r>
    </w:p>
    <w:p w:rsidR="00E33536" w:rsidRDefault="006C58F6" w:rsidP="006C58F6">
      <w:pPr>
        <w:pStyle w:val="SingleTxtG"/>
        <w:ind w:firstLine="567"/>
      </w:pPr>
      <w:r>
        <w:t>(a)</w:t>
      </w:r>
      <w:r>
        <w:tab/>
      </w:r>
      <w:r w:rsidR="00E33536">
        <w:t>Limits the type of associations that may be formed, their objectives and the areas that they can cover</w:t>
      </w:r>
      <w:r>
        <w:t>;</w:t>
      </w:r>
    </w:p>
    <w:p w:rsidR="00E33536" w:rsidRDefault="006C58F6" w:rsidP="006C58F6">
      <w:pPr>
        <w:pStyle w:val="SingleTxtG"/>
        <w:ind w:firstLine="567"/>
      </w:pPr>
      <w:r>
        <w:t>(b)</w:t>
      </w:r>
      <w:r>
        <w:tab/>
      </w:r>
      <w:r w:rsidR="00E33536">
        <w:t>Bans political parties</w:t>
      </w:r>
      <w:r>
        <w:t>;</w:t>
      </w:r>
    </w:p>
    <w:p w:rsidR="00E33536" w:rsidRDefault="006C58F6" w:rsidP="006C58F6">
      <w:pPr>
        <w:pStyle w:val="SingleTxtG"/>
        <w:ind w:firstLine="567"/>
      </w:pPr>
      <w:r>
        <w:t>(c)</w:t>
      </w:r>
      <w:r>
        <w:tab/>
      </w:r>
      <w:r w:rsidR="00E33536">
        <w:t>Makes registration mandatory</w:t>
      </w:r>
      <w:r>
        <w:t>;</w:t>
      </w:r>
    </w:p>
    <w:p w:rsidR="00E33536" w:rsidRDefault="006C58F6" w:rsidP="00ED41B1">
      <w:pPr>
        <w:pStyle w:val="SingleTxtG"/>
        <w:ind w:firstLine="567"/>
      </w:pPr>
      <w:r>
        <w:t>(d)</w:t>
      </w:r>
      <w:r>
        <w:tab/>
      </w:r>
      <w:r w:rsidR="00E33536">
        <w:t>Gives the Ministry of Social Development unbridled discretion to approve or deny registration applications for any reason the Minister deems relevant</w:t>
      </w:r>
      <w:r>
        <w:t>;</w:t>
      </w:r>
    </w:p>
    <w:p w:rsidR="00E33536" w:rsidRDefault="006C58F6" w:rsidP="00F769B0">
      <w:pPr>
        <w:pStyle w:val="SingleTxtG"/>
        <w:ind w:firstLine="567"/>
      </w:pPr>
      <w:r>
        <w:t>(e)</w:t>
      </w:r>
      <w:r>
        <w:tab/>
      </w:r>
      <w:r w:rsidR="00E33536">
        <w:t xml:space="preserve">Requires associations to obtain </w:t>
      </w:r>
      <w:r w:rsidR="00F769B0">
        <w:t>g</w:t>
      </w:r>
      <w:r w:rsidR="00E33536">
        <w:t>overnment approval before they work with, or receive funding from</w:t>
      </w:r>
      <w:r w:rsidR="00F769B0">
        <w:t>,</w:t>
      </w:r>
      <w:r w:rsidR="00E33536">
        <w:t xml:space="preserve"> foreign organizations</w:t>
      </w:r>
      <w:r>
        <w:t>;</w:t>
      </w:r>
    </w:p>
    <w:p w:rsidR="00E33536" w:rsidRDefault="006C58F6" w:rsidP="00D15D7D">
      <w:pPr>
        <w:pStyle w:val="SingleTxtG"/>
        <w:ind w:firstLine="567"/>
      </w:pPr>
      <w:r>
        <w:t>(f)</w:t>
      </w:r>
      <w:r>
        <w:tab/>
      </w:r>
      <w:r w:rsidR="00E33536">
        <w:t>Requires associations to notify the Government of any planned meeting at least 15 days in advance and to provide a copy of the meeting minutes</w:t>
      </w:r>
      <w:r>
        <w:t>;</w:t>
      </w:r>
    </w:p>
    <w:p w:rsidR="00E33536" w:rsidRDefault="00C91A22" w:rsidP="00F769B0">
      <w:pPr>
        <w:pStyle w:val="SingleTxtG"/>
        <w:ind w:firstLine="567"/>
      </w:pPr>
      <w:r>
        <w:t>(</w:t>
      </w:r>
      <w:r w:rsidR="006C58F6">
        <w:t>g)</w:t>
      </w:r>
      <w:r w:rsidR="006C58F6">
        <w:tab/>
      </w:r>
      <w:r w:rsidR="00E33536">
        <w:t>Prescribes that a representative of the Government attend the meetings of associations</w:t>
      </w:r>
      <w:r w:rsidR="006C58F6">
        <w:t>.</w:t>
      </w:r>
    </w:p>
    <w:p w:rsidR="00E33536" w:rsidRDefault="00E33536" w:rsidP="00D15D7D">
      <w:pPr>
        <w:pStyle w:val="SingleTxtG"/>
        <w:numPr>
          <w:ilvl w:val="0"/>
          <w:numId w:val="2"/>
        </w:numPr>
        <w:ind w:left="1134" w:firstLine="0"/>
      </w:pPr>
      <w:r>
        <w:t>Th</w:t>
      </w:r>
      <w:r w:rsidRPr="00BF4496">
        <w:t>e</w:t>
      </w:r>
      <w:r>
        <w:t xml:space="preserve"> provisions run </w:t>
      </w:r>
      <w:r w:rsidR="00EC7635">
        <w:t xml:space="preserve">counter </w:t>
      </w:r>
      <w:r>
        <w:t xml:space="preserve">to the most elementary precepts of international law on the subject of freedom of association, and effectively </w:t>
      </w:r>
      <w:r w:rsidR="001C0E0E">
        <w:t xml:space="preserve">turn </w:t>
      </w:r>
      <w:r>
        <w:t xml:space="preserve">associations into pseudo-governmental bodies. It is critical that associations have the ability to remain independent of the </w:t>
      </w:r>
      <w:r w:rsidR="00421F9F">
        <w:t>G</w:t>
      </w:r>
      <w:r>
        <w:t xml:space="preserve">overnment, as the right to freedom of association is fundamentally </w:t>
      </w:r>
      <w:r w:rsidR="00E95E37">
        <w:t xml:space="preserve">a matter of </w:t>
      </w:r>
      <w:r>
        <w:t xml:space="preserve">providing a vehicle </w:t>
      </w:r>
      <w:r w:rsidR="00F81069">
        <w:t xml:space="preserve">for individuals </w:t>
      </w:r>
      <w:r>
        <w:t>to come together and express their concerns, free of official sanction or interference. It is to be e</w:t>
      </w:r>
      <w:r w:rsidR="007049CE">
        <w:t xml:space="preserve">xpected that people’s concerns </w:t>
      </w:r>
      <w:r w:rsidR="007049CE" w:rsidRPr="00EC7635">
        <w:t>— in any country —</w:t>
      </w:r>
      <w:r>
        <w:t xml:space="preserve"> would include criticism of the </w:t>
      </w:r>
      <w:r w:rsidR="00304E87">
        <w:t>G</w:t>
      </w:r>
      <w:r>
        <w:t xml:space="preserve">overnment and its policies. Excessive </w:t>
      </w:r>
      <w:r w:rsidR="00F81069">
        <w:t>g</w:t>
      </w:r>
      <w:r>
        <w:t xml:space="preserve">overnment control over the establishment and operation of associations is a natural obstacle to </w:t>
      </w:r>
      <w:r w:rsidR="00F81069">
        <w:t>that</w:t>
      </w:r>
      <w:r>
        <w:t xml:space="preserve">. The Government pledged to amend </w:t>
      </w:r>
      <w:r w:rsidR="00F81069">
        <w:t xml:space="preserve">the </w:t>
      </w:r>
      <w:r>
        <w:t xml:space="preserve">law during its </w:t>
      </w:r>
      <w:r w:rsidR="00F81069">
        <w:t>u</w:t>
      </w:r>
      <w:r>
        <w:t xml:space="preserve">niversal </w:t>
      </w:r>
      <w:r w:rsidR="00F81069">
        <w:t>p</w:t>
      </w:r>
      <w:r>
        <w:t xml:space="preserve">eriodic </w:t>
      </w:r>
      <w:r w:rsidR="00F81069">
        <w:t>r</w:t>
      </w:r>
      <w:r>
        <w:t xml:space="preserve">eview in January 2011. The Special Rapporteur was pleased to hear during his visit that the law was being reviewed, but expresses his disappointment that the Government did not share an official draft of the law or elaborate on the specific changes that were being made. He hopes that the amendments will greatly improve the current legal environment and place </w:t>
      </w:r>
      <w:r w:rsidR="0047315A">
        <w:t xml:space="preserve">the </w:t>
      </w:r>
      <w:r>
        <w:t>emphasis on creating an enabling environment for civil society. He remains available for technical assistance on the content of the law.</w:t>
      </w:r>
    </w:p>
    <w:p w:rsidR="00E33536" w:rsidRDefault="00DB0820" w:rsidP="00D15D7D">
      <w:pPr>
        <w:pStyle w:val="SingleTxtG"/>
        <w:numPr>
          <w:ilvl w:val="0"/>
          <w:numId w:val="2"/>
        </w:numPr>
        <w:ind w:left="1134" w:firstLine="0"/>
      </w:pPr>
      <w:r>
        <w:t>In addition, p</w:t>
      </w:r>
      <w:r w:rsidR="00E33536">
        <w:t xml:space="preserve">olitical parties and other associations </w:t>
      </w:r>
      <w:r w:rsidR="001C0E0E">
        <w:t xml:space="preserve">that </w:t>
      </w:r>
      <w:r w:rsidR="00E33536">
        <w:t xml:space="preserve">“are against Oman’s statutes or social and economic systems” are banned under </w:t>
      </w:r>
      <w:r w:rsidR="00384456">
        <w:t>a</w:t>
      </w:r>
      <w:r w:rsidR="00622328">
        <w:t>rticle </w:t>
      </w:r>
      <w:r w:rsidR="00E33536">
        <w:t xml:space="preserve">134 of the Penal Code. </w:t>
      </w:r>
      <w:r>
        <w:t xml:space="preserve">Any </w:t>
      </w:r>
      <w:r w:rsidR="00E33536">
        <w:t xml:space="preserve">breach of </w:t>
      </w:r>
      <w:r w:rsidR="001C0E0E">
        <w:t xml:space="preserve">these </w:t>
      </w:r>
      <w:r w:rsidR="00E33536">
        <w:t xml:space="preserve">provisions </w:t>
      </w:r>
      <w:r w:rsidR="00E33536" w:rsidRPr="00C17B2F">
        <w:t>results in</w:t>
      </w:r>
      <w:r w:rsidR="00E33536">
        <w:t xml:space="preserve"> </w:t>
      </w:r>
      <w:r w:rsidR="006051E4">
        <w:t xml:space="preserve">the </w:t>
      </w:r>
      <w:r w:rsidR="00E33536">
        <w:t xml:space="preserve">dissolution of the association, confiscation of assets, </w:t>
      </w:r>
      <w:r w:rsidR="002272ED">
        <w:t xml:space="preserve">3 </w:t>
      </w:r>
      <w:r w:rsidR="00E33536">
        <w:t xml:space="preserve">to </w:t>
      </w:r>
      <w:r w:rsidR="002272ED">
        <w:t>10</w:t>
      </w:r>
      <w:r w:rsidR="00210D1B">
        <w:t> </w:t>
      </w:r>
      <w:r w:rsidR="00E33536">
        <w:t>years</w:t>
      </w:r>
      <w:r w:rsidR="002272ED">
        <w:t>’</w:t>
      </w:r>
      <w:r w:rsidR="00E33536">
        <w:t xml:space="preserve"> imprisonment of </w:t>
      </w:r>
      <w:r w:rsidR="002272ED">
        <w:t xml:space="preserve">the </w:t>
      </w:r>
      <w:r w:rsidR="00E33536">
        <w:t xml:space="preserve">founding members and the board of directors and a five-year prohibition on </w:t>
      </w:r>
      <w:r w:rsidR="002272ED">
        <w:t>their</w:t>
      </w:r>
      <w:r w:rsidR="00E33536">
        <w:t xml:space="preserve"> right to hold a leadership position in an association. Members face one </w:t>
      </w:r>
      <w:r w:rsidR="002272ED">
        <w:t xml:space="preserve">to </w:t>
      </w:r>
      <w:r w:rsidR="00E33536">
        <w:t>three years</w:t>
      </w:r>
      <w:r w:rsidR="00C91A22">
        <w:t>’</w:t>
      </w:r>
      <w:r w:rsidR="00E33536">
        <w:t xml:space="preserve"> imprisonment. </w:t>
      </w:r>
    </w:p>
    <w:p w:rsidR="00E33536" w:rsidRDefault="00E33536" w:rsidP="004B74F3">
      <w:pPr>
        <w:pStyle w:val="SingleTxtG"/>
        <w:numPr>
          <w:ilvl w:val="0"/>
          <w:numId w:val="2"/>
        </w:numPr>
        <w:ind w:left="1134" w:firstLine="0"/>
      </w:pPr>
      <w:r>
        <w:lastRenderedPageBreak/>
        <w:t>In addition, the Special Rapporteur refers to the following laws</w:t>
      </w:r>
      <w:r w:rsidR="002272ED">
        <w:t>,</w:t>
      </w:r>
      <w:r>
        <w:t xml:space="preserve"> which also limit the enjoyment of association rights in Oman:</w:t>
      </w:r>
    </w:p>
    <w:p w:rsidR="00E33536" w:rsidRDefault="009C510D" w:rsidP="00D15D7D">
      <w:pPr>
        <w:pStyle w:val="SingleTxtG"/>
        <w:ind w:firstLine="567"/>
      </w:pPr>
      <w:r>
        <w:t>(a)</w:t>
      </w:r>
      <w:r>
        <w:tab/>
      </w:r>
      <w:r w:rsidR="00E33536">
        <w:t xml:space="preserve">The </w:t>
      </w:r>
      <w:r w:rsidR="00E33536" w:rsidRPr="00F466EE">
        <w:t xml:space="preserve">Law on </w:t>
      </w:r>
      <w:r w:rsidR="00E33536">
        <w:t>L</w:t>
      </w:r>
      <w:r w:rsidR="00E33536" w:rsidRPr="00080952">
        <w:t xml:space="preserve">abour </w:t>
      </w:r>
      <w:r w:rsidR="00E33536">
        <w:t>U</w:t>
      </w:r>
      <w:r w:rsidR="00E33536" w:rsidRPr="00080952">
        <w:t>nions</w:t>
      </w:r>
      <w:r w:rsidR="00E33536">
        <w:t xml:space="preserve"> </w:t>
      </w:r>
      <w:r w:rsidR="00BF4496">
        <w:t xml:space="preserve">gives </w:t>
      </w:r>
      <w:r w:rsidR="00E33536">
        <w:t>workers the right to form trade unions.</w:t>
      </w:r>
      <w:r w:rsidR="00E33536" w:rsidRPr="00A25589">
        <w:rPr>
          <w:rStyle w:val="FootnoteReference"/>
        </w:rPr>
        <w:footnoteReference w:id="18"/>
      </w:r>
      <w:r w:rsidR="00E33536">
        <w:t xml:space="preserve"> </w:t>
      </w:r>
      <w:r w:rsidR="00E33536" w:rsidRPr="00DB4C93">
        <w:t>Accord</w:t>
      </w:r>
      <w:r w:rsidR="00E33536">
        <w:t>ing to Ministerial Decision 570/</w:t>
      </w:r>
      <w:r w:rsidR="00E33536" w:rsidRPr="00DB4C93">
        <w:t>2012</w:t>
      </w:r>
      <w:r w:rsidR="00E33536">
        <w:t>,</w:t>
      </w:r>
      <w:r w:rsidR="00E33536" w:rsidRPr="00DB4C93">
        <w:t xml:space="preserve"> a trade union can be formed by any private sector organization with </w:t>
      </w:r>
      <w:r w:rsidR="00E33536">
        <w:t>25 or more</w:t>
      </w:r>
      <w:r w:rsidR="00E33536" w:rsidRPr="00DB4C93">
        <w:t xml:space="preserve"> employee</w:t>
      </w:r>
      <w:r w:rsidR="00E33536">
        <w:t>s</w:t>
      </w:r>
      <w:r w:rsidR="00E33536" w:rsidRPr="00DB4C93">
        <w:t xml:space="preserve"> and, once registered, has an independent legal identity.</w:t>
      </w:r>
      <w:r w:rsidR="00E33536" w:rsidRPr="00A25589">
        <w:rPr>
          <w:rStyle w:val="FootnoteReference"/>
        </w:rPr>
        <w:footnoteReference w:id="19"/>
      </w:r>
      <w:r w:rsidR="00E33536">
        <w:t xml:space="preserve"> The Special Rapporteur notes with appreciation </w:t>
      </w:r>
      <w:r w:rsidR="00521321">
        <w:t xml:space="preserve">the </w:t>
      </w:r>
      <w:r w:rsidR="00E33536">
        <w:t xml:space="preserve">recent efforts </w:t>
      </w:r>
      <w:r w:rsidR="00521321">
        <w:t xml:space="preserve">made by Oman </w:t>
      </w:r>
      <w:r w:rsidR="00E33536">
        <w:t>in bringing</w:t>
      </w:r>
      <w:r w:rsidR="00E33536" w:rsidRPr="00542491">
        <w:t xml:space="preserve"> Omani law closer </w:t>
      </w:r>
      <w:r w:rsidR="008953CF" w:rsidRPr="00542491">
        <w:t xml:space="preserve">into </w:t>
      </w:r>
      <w:r w:rsidR="00E33536" w:rsidRPr="00542491">
        <w:t>alignme</w:t>
      </w:r>
      <w:r w:rsidR="00E33536">
        <w:t xml:space="preserve">nt with international standards. Nevertheless, he has received </w:t>
      </w:r>
      <w:r w:rsidR="00E33536" w:rsidRPr="00D15D7D">
        <w:t>reports critici</w:t>
      </w:r>
      <w:r w:rsidR="00521321" w:rsidRPr="00D15D7D">
        <w:t>z</w:t>
      </w:r>
      <w:r w:rsidR="00E33536" w:rsidRPr="00D15D7D">
        <w:t xml:space="preserve">ing the </w:t>
      </w:r>
      <w:r w:rsidR="00E758A2" w:rsidRPr="00C17B2F">
        <w:t>far-reaching</w:t>
      </w:r>
      <w:r w:rsidR="00E758A2">
        <w:t xml:space="preserve"> </w:t>
      </w:r>
      <w:r w:rsidR="00E33536">
        <w:t xml:space="preserve">influence of the Government over the </w:t>
      </w:r>
      <w:r w:rsidR="00E33536" w:rsidRPr="00CD68BD">
        <w:t>General Labo</w:t>
      </w:r>
      <w:r w:rsidR="00E33536">
        <w:t>ur Union, the umbrella organization that</w:t>
      </w:r>
      <w:r w:rsidR="00E33536" w:rsidRPr="00CD68BD">
        <w:t xml:space="preserve"> serve</w:t>
      </w:r>
      <w:r w:rsidR="00E33536">
        <w:t>s</w:t>
      </w:r>
      <w:r w:rsidR="00E33536" w:rsidRPr="00CD68BD">
        <w:t xml:space="preserve"> as a confederation of Oman’s labo</w:t>
      </w:r>
      <w:r w:rsidR="00E33536">
        <w:t>u</w:t>
      </w:r>
      <w:r w:rsidR="00E33536" w:rsidRPr="00CD68BD">
        <w:t>r unions</w:t>
      </w:r>
      <w:r w:rsidR="00210D1B">
        <w:t>;</w:t>
      </w:r>
    </w:p>
    <w:p w:rsidR="00E33536" w:rsidRDefault="009C510D" w:rsidP="00D15D7D">
      <w:pPr>
        <w:pStyle w:val="SingleTxtG"/>
        <w:ind w:firstLine="567"/>
      </w:pPr>
      <w:r>
        <w:t>(b)</w:t>
      </w:r>
      <w:r>
        <w:tab/>
      </w:r>
      <w:r w:rsidR="00E33536">
        <w:t xml:space="preserve">The Law on Nationality </w:t>
      </w:r>
      <w:r w:rsidR="00E758A2">
        <w:t>p</w:t>
      </w:r>
      <w:r w:rsidR="00E33536">
        <w:t>rovides that an Omani born citizen will lose his/her citizenship if he</w:t>
      </w:r>
      <w:r w:rsidR="008953CF">
        <w:t xml:space="preserve"> or </w:t>
      </w:r>
      <w:r w:rsidR="00E33536">
        <w:t xml:space="preserve">she  belongs to a group, party or organization that embraces principles or doctrine harming Oman’s interests, or </w:t>
      </w:r>
      <w:r w:rsidR="008953CF">
        <w:t xml:space="preserve">either </w:t>
      </w:r>
      <w:r w:rsidR="00E33536">
        <w:t>works for a foreign country in any capacity in or outside Oman and does not resign before the imposed deadline or works in favour of a hostile State.</w:t>
      </w:r>
      <w:r w:rsidR="00E33536" w:rsidRPr="00A25589">
        <w:rPr>
          <w:rStyle w:val="FootnoteReference"/>
        </w:rPr>
        <w:footnoteReference w:id="20"/>
      </w:r>
      <w:r w:rsidR="00E33536">
        <w:t xml:space="preserve"> The Special Rapporteur is concerned that </w:t>
      </w:r>
      <w:r w:rsidR="00E758A2">
        <w:t xml:space="preserve">the </w:t>
      </w:r>
      <w:r w:rsidR="00E33536">
        <w:t xml:space="preserve">law </w:t>
      </w:r>
      <w:r w:rsidR="008953CF" w:rsidRPr="00D15D7D">
        <w:t>could</w:t>
      </w:r>
      <w:r w:rsidR="008953CF">
        <w:t xml:space="preserve"> </w:t>
      </w:r>
      <w:r w:rsidR="00E33536">
        <w:t>be used to threaten or punish civil society activists who gather to express dissent or criticism in a specific field of common interest.</w:t>
      </w:r>
    </w:p>
    <w:p w:rsidR="00E33536" w:rsidRPr="003F7BD1" w:rsidRDefault="003F7BD1" w:rsidP="003F7BD1">
      <w:pPr>
        <w:pStyle w:val="H1G"/>
      </w:pPr>
      <w:r>
        <w:tab/>
        <w:t>B.</w:t>
      </w:r>
      <w:r>
        <w:tab/>
        <w:t>Practice</w:t>
      </w:r>
    </w:p>
    <w:p w:rsidR="00E33536" w:rsidRDefault="00E33536" w:rsidP="00D15D7D">
      <w:pPr>
        <w:pStyle w:val="SingleTxtG"/>
        <w:numPr>
          <w:ilvl w:val="0"/>
          <w:numId w:val="2"/>
        </w:numPr>
        <w:ind w:left="1134" w:firstLine="0"/>
      </w:pPr>
      <w:r>
        <w:t>The Special Rapporteur is extremely concerned about the restrictive environment for the exercise of the right to freedom of association in Oman.</w:t>
      </w:r>
      <w:r w:rsidRPr="00A25589">
        <w:rPr>
          <w:rStyle w:val="FootnoteReference"/>
        </w:rPr>
        <w:footnoteReference w:id="21"/>
      </w:r>
      <w:r>
        <w:t xml:space="preserve"> The authorities cite security considerations as the rationale for </w:t>
      </w:r>
      <w:r w:rsidR="00E758A2">
        <w:t xml:space="preserve">such a </w:t>
      </w:r>
      <w:r>
        <w:t xml:space="preserve">restrictive approach to </w:t>
      </w:r>
      <w:r w:rsidR="00EA4DDD">
        <w:t xml:space="preserve">that </w:t>
      </w:r>
      <w:r>
        <w:t xml:space="preserve">right in Oman. However, </w:t>
      </w:r>
      <w:r w:rsidR="00081A19">
        <w:t xml:space="preserve">the Special Rapporteur </w:t>
      </w:r>
      <w:r>
        <w:t xml:space="preserve">believes strongly that restrictive approaches to both </w:t>
      </w:r>
      <w:r w:rsidR="00EA4DDD">
        <w:t xml:space="preserve">that right and </w:t>
      </w:r>
      <w:r w:rsidR="00081A19">
        <w:t xml:space="preserve">the right </w:t>
      </w:r>
      <w:r w:rsidR="00EA4DDD">
        <w:t xml:space="preserve">to freedom of peaceful </w:t>
      </w:r>
      <w:r>
        <w:t>assembly are actually cou</w:t>
      </w:r>
      <w:r w:rsidR="007049CE">
        <w:t xml:space="preserve">nter-productive. It is natural and inevitable </w:t>
      </w:r>
      <w:r>
        <w:t xml:space="preserve">for people in any society at some point to experience dissatisfaction, the urge to improve things and even anger. The rights to freedom of peaceful assembly and of association are safety valves that allow </w:t>
      </w:r>
      <w:r w:rsidR="007546CD">
        <w:t xml:space="preserve">such </w:t>
      </w:r>
      <w:r>
        <w:t xml:space="preserve">emotions to be released </w:t>
      </w:r>
      <w:r w:rsidR="00EA4DDD">
        <w:t xml:space="preserve">in a non-violent </w:t>
      </w:r>
      <w:r>
        <w:t>and productive</w:t>
      </w:r>
      <w:r w:rsidR="00EA4DDD">
        <w:t xml:space="preserve"> manner</w:t>
      </w:r>
      <w:r>
        <w:t xml:space="preserve">. Individuals need to feel </w:t>
      </w:r>
      <w:r w:rsidR="007546CD">
        <w:t xml:space="preserve">that </w:t>
      </w:r>
      <w:r>
        <w:t xml:space="preserve">they have </w:t>
      </w:r>
      <w:r w:rsidR="007546CD">
        <w:t xml:space="preserve">the </w:t>
      </w:r>
      <w:r>
        <w:t xml:space="preserve">means to </w:t>
      </w:r>
      <w:r w:rsidR="00EA4DDD">
        <w:t xml:space="preserve">bring about </w:t>
      </w:r>
      <w:r>
        <w:t xml:space="preserve">change </w:t>
      </w:r>
      <w:r w:rsidR="00EA4DDD">
        <w:t xml:space="preserve">peacefully </w:t>
      </w:r>
      <w:r>
        <w:t xml:space="preserve">and </w:t>
      </w:r>
      <w:r w:rsidR="00EA4DDD">
        <w:t xml:space="preserve">to </w:t>
      </w:r>
      <w:r>
        <w:t xml:space="preserve">improve things or gain redress. If they do not, they will find other ways to change </w:t>
      </w:r>
      <w:r w:rsidR="007546CD">
        <w:t>things</w:t>
      </w:r>
      <w:r>
        <w:t xml:space="preserve"> and</w:t>
      </w:r>
      <w:r w:rsidR="00EA4DDD">
        <w:t>,</w:t>
      </w:r>
      <w:r>
        <w:t xml:space="preserve"> as </w:t>
      </w:r>
      <w:r w:rsidR="007546CD">
        <w:t>has been</w:t>
      </w:r>
      <w:r>
        <w:t xml:space="preserve"> seen in recent years, many </w:t>
      </w:r>
      <w:r w:rsidR="007546CD">
        <w:t>such</w:t>
      </w:r>
      <w:r>
        <w:t xml:space="preserve"> ways can be extremist, non-peaceful or unproductive. Indeed, the Special Rapporteur believes that restrictions on peaceful and open </w:t>
      </w:r>
      <w:r w:rsidRPr="00EB76FF">
        <w:t xml:space="preserve">civil society </w:t>
      </w:r>
      <w:r>
        <w:t xml:space="preserve">movements are likely to push associations underground, where they are marginalized, criminalized and ultimately more likely to </w:t>
      </w:r>
      <w:r w:rsidR="00EA4DDD" w:rsidRPr="00D15D7D">
        <w:t>transform</w:t>
      </w:r>
      <w:r w:rsidR="00EA4DDD">
        <w:t xml:space="preserve"> </w:t>
      </w:r>
      <w:r>
        <w:t>into extremist movements.</w:t>
      </w:r>
    </w:p>
    <w:p w:rsidR="00E33536" w:rsidRDefault="00E33536" w:rsidP="00D15D7D">
      <w:pPr>
        <w:pStyle w:val="SingleTxtG"/>
        <w:numPr>
          <w:ilvl w:val="0"/>
          <w:numId w:val="2"/>
        </w:numPr>
        <w:ind w:left="1134" w:firstLine="0"/>
      </w:pPr>
      <w:r>
        <w:t>The Special Rapporteur is deeply concerned about the role of t</w:t>
      </w:r>
      <w:r w:rsidRPr="00A17E3E">
        <w:t xml:space="preserve">he </w:t>
      </w:r>
      <w:r>
        <w:t xml:space="preserve">Ministry of Social Development in the regulation of associations. The Ministry is an executive-branch body </w:t>
      </w:r>
      <w:r>
        <w:lastRenderedPageBreak/>
        <w:t>whose</w:t>
      </w:r>
      <w:r w:rsidRPr="00C7482C">
        <w:t xml:space="preserve"> </w:t>
      </w:r>
      <w:r>
        <w:t>Department of Social Societies and Community Clubs exercises vast control</w:t>
      </w:r>
      <w:r w:rsidR="007049CE">
        <w:t xml:space="preserve"> over the civil society sector</w:t>
      </w:r>
      <w:r w:rsidR="00EA4DDD">
        <w:t>,</w:t>
      </w:r>
      <w:r w:rsidR="007049CE">
        <w:t xml:space="preserve"> </w:t>
      </w:r>
      <w:r w:rsidR="00EA4DDD">
        <w:t xml:space="preserve">including </w:t>
      </w:r>
      <w:r>
        <w:t xml:space="preserve">handling </w:t>
      </w:r>
      <w:r w:rsidR="007546CD">
        <w:t xml:space="preserve">the </w:t>
      </w:r>
      <w:r>
        <w:t xml:space="preserve">registration of associations, monitoring associations’ operations and </w:t>
      </w:r>
      <w:r w:rsidR="00EA4DDD">
        <w:t xml:space="preserve">supervising </w:t>
      </w:r>
      <w:r>
        <w:t xml:space="preserve">their activities. In addition, the Department limits registration to associations </w:t>
      </w:r>
      <w:r w:rsidR="00EA4DDD">
        <w:t xml:space="preserve">that </w:t>
      </w:r>
      <w:r>
        <w:t xml:space="preserve">fall under the one of its four identified thematic branches: </w:t>
      </w:r>
    </w:p>
    <w:p w:rsidR="00E33536" w:rsidRDefault="001104F0" w:rsidP="00D15D7D">
      <w:pPr>
        <w:pStyle w:val="SingleTxtG"/>
        <w:ind w:firstLine="567"/>
      </w:pPr>
      <w:r>
        <w:t>(</w:t>
      </w:r>
      <w:r w:rsidR="007546CD">
        <w:t>a</w:t>
      </w:r>
      <w:r>
        <w:t>)</w:t>
      </w:r>
      <w:r>
        <w:tab/>
      </w:r>
      <w:r w:rsidR="00E33536">
        <w:t>The department of charities and funds</w:t>
      </w:r>
      <w:r w:rsidR="00EA4DDD">
        <w:t>,</w:t>
      </w:r>
      <w:r w:rsidR="00E33536">
        <w:t xml:space="preserve"> for associations that contribute to social care and economic, s</w:t>
      </w:r>
      <w:r w:rsidR="00F675CC">
        <w:t>ocial and cultural development;</w:t>
      </w:r>
    </w:p>
    <w:p w:rsidR="00E33536" w:rsidRDefault="001104F0" w:rsidP="007546CD">
      <w:pPr>
        <w:pStyle w:val="SingleTxtG"/>
        <w:ind w:firstLine="567"/>
      </w:pPr>
      <w:r>
        <w:t>(</w:t>
      </w:r>
      <w:r w:rsidR="007546CD">
        <w:t>b</w:t>
      </w:r>
      <w:r>
        <w:t>)</w:t>
      </w:r>
      <w:r>
        <w:tab/>
      </w:r>
      <w:r w:rsidR="00E33536">
        <w:t>The department of professional associations</w:t>
      </w:r>
      <w:r w:rsidR="00EA4DDD">
        <w:t>,</w:t>
      </w:r>
      <w:r w:rsidR="00E33536">
        <w:t xml:space="preserve"> for associations that represent professional branc</w:t>
      </w:r>
      <w:r w:rsidR="00F675CC">
        <w:t>hes;</w:t>
      </w:r>
    </w:p>
    <w:p w:rsidR="00E33536" w:rsidRDefault="001104F0" w:rsidP="00D15D7D">
      <w:pPr>
        <w:pStyle w:val="SingleTxtG"/>
        <w:ind w:firstLine="567"/>
      </w:pPr>
      <w:r>
        <w:t>(</w:t>
      </w:r>
      <w:r w:rsidR="007546CD">
        <w:t>c</w:t>
      </w:r>
      <w:r>
        <w:t>)</w:t>
      </w:r>
      <w:r>
        <w:tab/>
      </w:r>
      <w:r w:rsidR="00E33536">
        <w:t>The department of Omani women’s associations</w:t>
      </w:r>
      <w:r w:rsidR="00EA4DDD">
        <w:t>,</w:t>
      </w:r>
      <w:r w:rsidR="00E33536">
        <w:t xml:space="preserve"> </w:t>
      </w:r>
      <w:r w:rsidR="00EA4DDD">
        <w:t xml:space="preserve">for associations </w:t>
      </w:r>
      <w:r w:rsidR="00E33536">
        <w:t xml:space="preserve">that work in </w:t>
      </w:r>
      <w:r w:rsidR="00F675CC">
        <w:t>the social and cultural spheres;</w:t>
      </w:r>
      <w:r w:rsidR="00E33536">
        <w:t xml:space="preserve"> </w:t>
      </w:r>
    </w:p>
    <w:p w:rsidR="00E33536" w:rsidRDefault="001104F0" w:rsidP="00D15D7D">
      <w:pPr>
        <w:pStyle w:val="SingleTxtG"/>
        <w:ind w:firstLine="567"/>
      </w:pPr>
      <w:r>
        <w:t>(</w:t>
      </w:r>
      <w:r w:rsidR="007546CD">
        <w:t>d</w:t>
      </w:r>
      <w:r>
        <w:t>)</w:t>
      </w:r>
      <w:r>
        <w:tab/>
      </w:r>
      <w:r w:rsidR="00E33536">
        <w:t>The department of community social clubs</w:t>
      </w:r>
      <w:r w:rsidR="00EA4DDD">
        <w:t>,</w:t>
      </w:r>
      <w:r w:rsidR="00E33536">
        <w:t xml:space="preserve"> </w:t>
      </w:r>
      <w:r w:rsidR="00EA4DDD">
        <w:t xml:space="preserve">for associations </w:t>
      </w:r>
      <w:r w:rsidR="00E33536">
        <w:t xml:space="preserve">that organize cultural, social and </w:t>
      </w:r>
      <w:r w:rsidR="00EA4DDD">
        <w:t xml:space="preserve">sporting </w:t>
      </w:r>
      <w:r w:rsidR="00E33536">
        <w:t>activities.</w:t>
      </w:r>
      <w:r w:rsidR="00D6527E">
        <w:t xml:space="preserve"> </w:t>
      </w:r>
    </w:p>
    <w:p w:rsidR="00E33536" w:rsidRDefault="00E33536" w:rsidP="00D15D7D">
      <w:pPr>
        <w:pStyle w:val="SingleTxtG"/>
        <w:numPr>
          <w:ilvl w:val="0"/>
          <w:numId w:val="2"/>
        </w:numPr>
        <w:ind w:left="1134" w:firstLine="0"/>
      </w:pPr>
      <w:r>
        <w:t xml:space="preserve">The Special Rapporteur finds it troubling that an executive branch body has total authority over who can form and operate an association and on what issues associations can focus. The Minister </w:t>
      </w:r>
      <w:r w:rsidR="0074019F">
        <w:t xml:space="preserve">for </w:t>
      </w:r>
      <w:r>
        <w:t>Social Development informed the Special Rapporteur that associations would not be denied registration provided that they met the requirements of the law and did not duplicate the activities of an association</w:t>
      </w:r>
      <w:r w:rsidR="004E3696">
        <w:t xml:space="preserve"> already registered</w:t>
      </w:r>
      <w:r>
        <w:t xml:space="preserve">. </w:t>
      </w:r>
      <w:r w:rsidR="004E3696">
        <w:t>T</w:t>
      </w:r>
      <w:r>
        <w:t xml:space="preserve">he Special Rapporteur was informed of situations in Oman where political organizations </w:t>
      </w:r>
      <w:r w:rsidR="004E3696">
        <w:t xml:space="preserve">had </w:t>
      </w:r>
      <w:r>
        <w:t>been denied registration because their work was “already covered” by other associations.</w:t>
      </w:r>
      <w:r w:rsidRPr="0035723C">
        <w:rPr>
          <w:rStyle w:val="FootnoteReference"/>
        </w:rPr>
        <w:footnoteReference w:id="22"/>
      </w:r>
      <w:r>
        <w:t xml:space="preserve"> Other sources told the Special Rapporteur that an association working to protect forest</w:t>
      </w:r>
      <w:r w:rsidR="0074019F">
        <w:t xml:space="preserve"> </w:t>
      </w:r>
      <w:r>
        <w:t xml:space="preserve">land in the </w:t>
      </w:r>
      <w:proofErr w:type="spellStart"/>
      <w:r>
        <w:t>Dhofar</w:t>
      </w:r>
      <w:proofErr w:type="spellEnd"/>
      <w:r>
        <w:t xml:space="preserve"> region </w:t>
      </w:r>
      <w:r w:rsidR="0074019F">
        <w:t xml:space="preserve">had been </w:t>
      </w:r>
      <w:r>
        <w:t xml:space="preserve">denied registration because its work was “too similar” to that of another group </w:t>
      </w:r>
      <w:r w:rsidR="0074019F">
        <w:t xml:space="preserve">based in Muscat </w:t>
      </w:r>
      <w:r>
        <w:t>working more generally on environmental issues.</w:t>
      </w:r>
    </w:p>
    <w:p w:rsidR="00E33536" w:rsidRDefault="00E33536" w:rsidP="00724C99">
      <w:pPr>
        <w:pStyle w:val="SingleTxtG"/>
        <w:numPr>
          <w:ilvl w:val="0"/>
          <w:numId w:val="2"/>
        </w:numPr>
        <w:ind w:left="1134" w:firstLine="0"/>
      </w:pPr>
      <w:r>
        <w:t>In the same vein, the Special Rapporteur received a report indicating that</w:t>
      </w:r>
      <w:r w:rsidR="0074019F">
        <w:t>,</w:t>
      </w:r>
      <w:r>
        <w:t xml:space="preserve"> </w:t>
      </w:r>
      <w:r w:rsidR="0074019F">
        <w:t xml:space="preserve">on 3 June 2014, </w:t>
      </w:r>
      <w:r>
        <w:t xml:space="preserve">the Ministry of Social Development </w:t>
      </w:r>
      <w:r w:rsidR="004E3696">
        <w:t xml:space="preserve">had </w:t>
      </w:r>
      <w:r>
        <w:t xml:space="preserve">rejected the registration application of an association for people with visual disabilities on the </w:t>
      </w:r>
      <w:r w:rsidR="004E3696">
        <w:t xml:space="preserve">basis </w:t>
      </w:r>
      <w:r>
        <w:t xml:space="preserve">that an association for the blind already existed in Oman. The association filed a case first in the </w:t>
      </w:r>
      <w:r w:rsidR="00724C99">
        <w:t>c</w:t>
      </w:r>
      <w:r>
        <w:t xml:space="preserve">ourt of </w:t>
      </w:r>
      <w:r w:rsidR="00724C99">
        <w:t>f</w:t>
      </w:r>
      <w:r>
        <w:t xml:space="preserve">irst </w:t>
      </w:r>
      <w:r w:rsidR="00724C99">
        <w:t>i</w:t>
      </w:r>
      <w:r>
        <w:t xml:space="preserve">nstance and then </w:t>
      </w:r>
      <w:r w:rsidR="004E3696">
        <w:t xml:space="preserve">in </w:t>
      </w:r>
      <w:r>
        <w:t>the Court of Appeal</w:t>
      </w:r>
      <w:r w:rsidR="004E3696">
        <w:t>,</w:t>
      </w:r>
      <w:r>
        <w:t xml:space="preserve"> arguing that the definition of “visual disabilities” was wider than “blind” and that the pre-existing association for the blind was limited to adults. The court ruled against it in June 2014</w:t>
      </w:r>
      <w:r w:rsidR="004E3696">
        <w:t>,</w:t>
      </w:r>
      <w:r>
        <w:t xml:space="preserve"> </w:t>
      </w:r>
      <w:r w:rsidR="008D40C8">
        <w:t>basing</w:t>
      </w:r>
      <w:r>
        <w:t xml:space="preserve"> its decision on the rightful use by the Ministry of Social Development of its margin of discretion</w:t>
      </w:r>
      <w:r w:rsidR="008D40C8">
        <w:t>,</w:t>
      </w:r>
      <w:r>
        <w:t xml:space="preserve"> </w:t>
      </w:r>
      <w:r w:rsidR="004E3696">
        <w:t xml:space="preserve">as </w:t>
      </w:r>
      <w:r>
        <w:t>stipulated in the Law on Associations.</w:t>
      </w:r>
    </w:p>
    <w:p w:rsidR="00E33536" w:rsidRDefault="00E33536" w:rsidP="00D15D7D">
      <w:pPr>
        <w:pStyle w:val="SingleTxtG"/>
        <w:numPr>
          <w:ilvl w:val="0"/>
          <w:numId w:val="2"/>
        </w:numPr>
        <w:ind w:left="1134" w:firstLine="0"/>
      </w:pPr>
      <w:r>
        <w:t xml:space="preserve">An adverse effect of the Ministry of Social Development’s immense power over registrations is the centralization of decision-making in Muscat. As such, it is probably not a coincidence that most of </w:t>
      </w:r>
      <w:r w:rsidR="008D40C8">
        <w:t xml:space="preserve">the </w:t>
      </w:r>
      <w:r>
        <w:t xml:space="preserve">registered associations </w:t>
      </w:r>
      <w:r w:rsidR="008D40C8">
        <w:t xml:space="preserve">in Oman </w:t>
      </w:r>
      <w:r>
        <w:t>are located in Muscat. This centrali</w:t>
      </w:r>
      <w:r w:rsidR="008D40C8">
        <w:t>z</w:t>
      </w:r>
      <w:r>
        <w:t>ation serves to silence the needs and demands of civil society organizations in regions outside the capital. It is not enough for Muscat-based organizations to open branches outside of the capital; there is also a need for robust and independent associations at the local and grass</w:t>
      </w:r>
      <w:r w:rsidR="0074019F">
        <w:t>-</w:t>
      </w:r>
      <w:r>
        <w:t xml:space="preserve">roots levels. </w:t>
      </w:r>
    </w:p>
    <w:p w:rsidR="00E33536" w:rsidRDefault="00E33536" w:rsidP="00D15D7D">
      <w:pPr>
        <w:pStyle w:val="SingleTxtG"/>
        <w:numPr>
          <w:ilvl w:val="0"/>
          <w:numId w:val="2"/>
        </w:numPr>
        <w:ind w:left="1134" w:firstLine="0"/>
      </w:pPr>
      <w:r>
        <w:t xml:space="preserve">Associations can be de-registered if they do not carry out the activities </w:t>
      </w:r>
      <w:r w:rsidR="0074019F">
        <w:t xml:space="preserve">for which </w:t>
      </w:r>
      <w:r>
        <w:t xml:space="preserve">they were established. If the association is deemed not to be running smoothly, the Ministry of Social Development may step in to suggest restructuring to “promote efficiency”. In the </w:t>
      </w:r>
      <w:r w:rsidR="0074019F">
        <w:t xml:space="preserve">view of the </w:t>
      </w:r>
      <w:r>
        <w:t>Special Rapporteur, this expansive oversight by the Ministry constitutes unjustifiable interference in the operations and activities of associations.</w:t>
      </w:r>
    </w:p>
    <w:p w:rsidR="00E33536" w:rsidRDefault="00E33536" w:rsidP="00D15D7D">
      <w:pPr>
        <w:pStyle w:val="SingleTxtG"/>
        <w:numPr>
          <w:ilvl w:val="0"/>
          <w:numId w:val="2"/>
        </w:numPr>
        <w:ind w:left="1134" w:firstLine="0"/>
      </w:pPr>
      <w:r>
        <w:t xml:space="preserve">Independence from the Government and other institutions is one of the </w:t>
      </w:r>
      <w:r w:rsidR="0074019F">
        <w:t xml:space="preserve">founding </w:t>
      </w:r>
      <w:r>
        <w:t>aspects of the right to freedom of association. The right is meant to empower individuals to come togethe</w:t>
      </w:r>
      <w:r w:rsidR="007049CE">
        <w:t>r and work for their interests</w:t>
      </w:r>
      <w:r w:rsidR="0074019F">
        <w:t>,</w:t>
      </w:r>
      <w:r w:rsidR="007049CE">
        <w:t xml:space="preserve"> </w:t>
      </w:r>
      <w:r>
        <w:t xml:space="preserve">so long as they are doing so for legal and </w:t>
      </w:r>
      <w:r>
        <w:lastRenderedPageBreak/>
        <w:t xml:space="preserve">peaceful purposes. The Special Rapporteur urges the Government to accord civil society </w:t>
      </w:r>
      <w:r w:rsidR="00300743">
        <w:t xml:space="preserve">actors </w:t>
      </w:r>
      <w:r>
        <w:t>the same freedom to establish themselves</w:t>
      </w:r>
      <w:r w:rsidR="0074019F">
        <w:t xml:space="preserve"> as businesses</w:t>
      </w:r>
      <w:r>
        <w:t xml:space="preserve">, even </w:t>
      </w:r>
      <w:r w:rsidR="00300743">
        <w:t xml:space="preserve">where </w:t>
      </w:r>
      <w:r>
        <w:t>they are working on the same issues. It is unlikely that Government would step in to restructure a private business</w:t>
      </w:r>
      <w:r w:rsidR="0074019F">
        <w:t>,</w:t>
      </w:r>
      <w:r>
        <w:t xml:space="preserve"> even if it was deemed to be “operating inefficiently”, or that the Government would prohibit, for example, the establishment of a hotel because another </w:t>
      </w:r>
      <w:r w:rsidR="00300743">
        <w:t xml:space="preserve">was established </w:t>
      </w:r>
      <w:r>
        <w:t>in the same area. There is no justifiable reason to distinguish between civil society and business</w:t>
      </w:r>
      <w:r w:rsidR="00300743">
        <w:t xml:space="preserve"> sector organizations</w:t>
      </w:r>
      <w:r>
        <w:t>, both of which are non-State actors.</w:t>
      </w:r>
    </w:p>
    <w:p w:rsidR="00E33536" w:rsidRDefault="00E33536" w:rsidP="00D15D7D">
      <w:pPr>
        <w:pStyle w:val="SingleTxtG"/>
        <w:numPr>
          <w:ilvl w:val="0"/>
          <w:numId w:val="2"/>
        </w:numPr>
        <w:ind w:left="1134" w:firstLine="0"/>
      </w:pPr>
      <w:r w:rsidRPr="00D15D7D">
        <w:t xml:space="preserve">The Special Rapporteur is gravely concerned </w:t>
      </w:r>
      <w:r w:rsidR="00300743" w:rsidRPr="00D15D7D">
        <w:t xml:space="preserve">at </w:t>
      </w:r>
      <w:r w:rsidRPr="00D15D7D">
        <w:t xml:space="preserve">the </w:t>
      </w:r>
      <w:r w:rsidRPr="00C17B2F">
        <w:t>inability</w:t>
      </w:r>
      <w:r w:rsidRPr="00D15D7D">
        <w:t xml:space="preserve"> </w:t>
      </w:r>
      <w:r w:rsidR="0074019F" w:rsidRPr="00D15D7D">
        <w:t xml:space="preserve">to associate </w:t>
      </w:r>
      <w:r w:rsidRPr="00D15D7D">
        <w:t xml:space="preserve">of </w:t>
      </w:r>
      <w:r w:rsidR="0074019F" w:rsidRPr="00D15D7D">
        <w:t>those</w:t>
      </w:r>
      <w:r w:rsidR="0074019F">
        <w:t xml:space="preserve"> </w:t>
      </w:r>
      <w:r>
        <w:t xml:space="preserve">independent activists who express dissenting views. The activists that the Special Rapporteur met </w:t>
      </w:r>
      <w:r w:rsidR="0074019F">
        <w:t xml:space="preserve">with </w:t>
      </w:r>
      <w:r>
        <w:t>in Oman and elsewhere, from both domestic and international organizations, reported that the right to associate to express critical opinions is virtually non-existent.</w:t>
      </w:r>
    </w:p>
    <w:p w:rsidR="00E33536" w:rsidRDefault="00E33536" w:rsidP="00ED41B1">
      <w:pPr>
        <w:pStyle w:val="SingleTxtG"/>
        <w:numPr>
          <w:ilvl w:val="0"/>
          <w:numId w:val="2"/>
        </w:numPr>
        <w:ind w:left="1134" w:firstLine="0"/>
      </w:pPr>
      <w:r>
        <w:t>At the time of the Special Rapporteur’s visit, there were 26 professional association</w:t>
      </w:r>
      <w:r w:rsidR="0074019F">
        <w:t>s</w:t>
      </w:r>
      <w:r>
        <w:t>, 28 charit</w:t>
      </w:r>
      <w:r w:rsidR="00300743">
        <w:t>ies</w:t>
      </w:r>
      <w:r>
        <w:t>, 54 women’s associations, 12 community clubs and 196 labour unions registered in Oman.</w:t>
      </w:r>
      <w:r w:rsidRPr="0035723C">
        <w:rPr>
          <w:rStyle w:val="FootnoteReference"/>
        </w:rPr>
        <w:footnoteReference w:id="23"/>
      </w:r>
      <w:r>
        <w:t xml:space="preserve"> There was, however, a total lack of associations with objectives falling outside the scope of work </w:t>
      </w:r>
      <w:r w:rsidR="00300743">
        <w:t xml:space="preserve">defined </w:t>
      </w:r>
      <w:r>
        <w:t xml:space="preserve">by the </w:t>
      </w:r>
      <w:r w:rsidRPr="006049A4">
        <w:t xml:space="preserve">Department of </w:t>
      </w:r>
      <w:r w:rsidR="00300743">
        <w:t>S</w:t>
      </w:r>
      <w:r w:rsidRPr="006049A4">
        <w:t xml:space="preserve">ocial </w:t>
      </w:r>
      <w:r w:rsidR="00300743">
        <w:t>S</w:t>
      </w:r>
      <w:r w:rsidRPr="006049A4">
        <w:t xml:space="preserve">ocieties and </w:t>
      </w:r>
      <w:r w:rsidR="00300743">
        <w:t>C</w:t>
      </w:r>
      <w:r w:rsidRPr="006049A4">
        <w:t xml:space="preserve">ommunity </w:t>
      </w:r>
      <w:r w:rsidR="00300743">
        <w:t>C</w:t>
      </w:r>
      <w:r w:rsidRPr="006049A4">
        <w:t>lubs</w:t>
      </w:r>
      <w:r>
        <w:t>. The main activities of registered associations are the support and financing of economic, social and cultural program</w:t>
      </w:r>
      <w:r w:rsidR="00300743">
        <w:t>me</w:t>
      </w:r>
      <w:r>
        <w:t xml:space="preserve">s. </w:t>
      </w:r>
      <w:r w:rsidR="00B139C7">
        <w:t>F</w:t>
      </w:r>
      <w:r>
        <w:t xml:space="preserve">or example, </w:t>
      </w:r>
      <w:r w:rsidR="00B139C7">
        <w:t xml:space="preserve">the work of women's associations is </w:t>
      </w:r>
      <w:r>
        <w:t xml:space="preserve">restricted to health, education and poverty reduction. The Committee </w:t>
      </w:r>
      <w:r w:rsidR="00300743">
        <w:t xml:space="preserve">on the Elimination of Discrimination against Women </w:t>
      </w:r>
      <w:r>
        <w:t>has expressed concern that equality between women and men is limited to the public rights and does not extend to the private sphere relations of family and marriage</w:t>
      </w:r>
      <w:r w:rsidR="00ED41B1">
        <w:t xml:space="preserve"> (s</w:t>
      </w:r>
      <w:r w:rsidR="00ED41B1">
        <w:rPr>
          <w:rFonts w:cs="Calibri"/>
        </w:rPr>
        <w:t xml:space="preserve">ee </w:t>
      </w:r>
      <w:r w:rsidR="00ED41B1" w:rsidRPr="00436C39">
        <w:rPr>
          <w:rFonts w:cs="Calibri"/>
        </w:rPr>
        <w:t>CEDAW/C/OMN/CO/1, para. 13</w:t>
      </w:r>
      <w:r w:rsidR="00ED41B1">
        <w:rPr>
          <w:rFonts w:cs="Calibri"/>
        </w:rPr>
        <w:t>)</w:t>
      </w:r>
      <w:r>
        <w:t xml:space="preserve">. </w:t>
      </w:r>
      <w:r w:rsidR="00300743">
        <w:t>However</w:t>
      </w:r>
      <w:r>
        <w:t>, there are no women</w:t>
      </w:r>
      <w:r w:rsidR="00300743">
        <w:t>’s</w:t>
      </w:r>
      <w:r>
        <w:t xml:space="preserve"> associations in Oman that strive to achieve equality between women and men from a civil and political rights perspective or work on human rights issues, such as violence against women.</w:t>
      </w:r>
    </w:p>
    <w:p w:rsidR="00E33536" w:rsidRDefault="00E33536" w:rsidP="00ED41B1">
      <w:pPr>
        <w:pStyle w:val="SingleTxtG"/>
        <w:numPr>
          <w:ilvl w:val="0"/>
          <w:numId w:val="2"/>
        </w:numPr>
        <w:ind w:left="1134" w:firstLine="0"/>
      </w:pPr>
      <w:r>
        <w:t xml:space="preserve">Associations pursuing political reforms and </w:t>
      </w:r>
      <w:r w:rsidR="00300743">
        <w:t>g</w:t>
      </w:r>
      <w:r>
        <w:t xml:space="preserve">overnment accountability and transparency are systematically denied registration. For example, the Change and Reform and Association against Corruption </w:t>
      </w:r>
      <w:r w:rsidR="00300743">
        <w:t xml:space="preserve">associations </w:t>
      </w:r>
      <w:r>
        <w:t xml:space="preserve">were both denied registration in 2011. </w:t>
      </w:r>
      <w:r w:rsidR="00300743">
        <w:t xml:space="preserve">That </w:t>
      </w:r>
      <w:r>
        <w:t xml:space="preserve">is all the more striking because both the Government and civil society repeatedly raised the issue of corruption in their meetings with the Special Rapporteur, with </w:t>
      </w:r>
      <w:r w:rsidR="00CE3BBE">
        <w:t xml:space="preserve">all concerned </w:t>
      </w:r>
      <w:r>
        <w:t xml:space="preserve">expressing the need to combat it. The Special Rapporteur underlines that this is a point of convergence between </w:t>
      </w:r>
      <w:r w:rsidR="00CE3BBE">
        <w:t xml:space="preserve">the </w:t>
      </w:r>
      <w:r>
        <w:t xml:space="preserve">authorities and civil society </w:t>
      </w:r>
      <w:r w:rsidR="00B139C7">
        <w:t xml:space="preserve">that </w:t>
      </w:r>
      <w:r>
        <w:t>Government officials should welcome. Voices from outside the Government are needed to end corruption and hold the Government accountable. It i</w:t>
      </w:r>
      <w:r w:rsidR="007049CE">
        <w:t>s axiomatic that organizations</w:t>
      </w:r>
      <w:r w:rsidR="00CE3BBE">
        <w:t>,</w:t>
      </w:r>
      <w:r w:rsidR="007049CE">
        <w:t xml:space="preserve"> whether private or public</w:t>
      </w:r>
      <w:r w:rsidR="00CE3BBE">
        <w:t>,</w:t>
      </w:r>
      <w:r w:rsidR="007049CE">
        <w:t xml:space="preserve"> </w:t>
      </w:r>
      <w:r>
        <w:t>require independent, external audits in order to be deemed credible and transparent.</w:t>
      </w:r>
    </w:p>
    <w:p w:rsidR="00E33536" w:rsidRDefault="00E33536" w:rsidP="00D15D7D">
      <w:pPr>
        <w:pStyle w:val="SingleTxtG"/>
        <w:numPr>
          <w:ilvl w:val="0"/>
          <w:numId w:val="2"/>
        </w:numPr>
        <w:ind w:left="1134" w:firstLine="0"/>
      </w:pPr>
      <w:r>
        <w:t xml:space="preserve">In meetings with the Government, several officials also emphasized that Omani society valued a culture of consensus. The Special Rapporteur considers that consensus requires open, unhindered dialogue </w:t>
      </w:r>
      <w:r w:rsidR="00CE3BBE">
        <w:t xml:space="preserve">among </w:t>
      </w:r>
      <w:r>
        <w:t xml:space="preserve">all stakeholders and should not </w:t>
      </w:r>
      <w:r w:rsidR="00CE3BBE">
        <w:t xml:space="preserve">involve </w:t>
      </w:r>
      <w:r>
        <w:t>silencing dissenting or critical voices. The Special Rapporteur emphasizes that an independent, free and robust civil society is a valuable partner in drawing up and implement</w:t>
      </w:r>
      <w:r w:rsidR="00B139C7">
        <w:t>ing</w:t>
      </w:r>
      <w:r>
        <w:t xml:space="preserve"> policies for combating corruption and promoting further growth.</w:t>
      </w:r>
    </w:p>
    <w:p w:rsidR="00E33536" w:rsidRDefault="00E33536" w:rsidP="00E82D30">
      <w:pPr>
        <w:pStyle w:val="SingleTxtG"/>
        <w:numPr>
          <w:ilvl w:val="0"/>
          <w:numId w:val="2"/>
        </w:numPr>
        <w:ind w:left="1134" w:firstLine="0"/>
      </w:pPr>
      <w:r>
        <w:t xml:space="preserve">Finally, the Special Rapporteur is deeply concerned by the inability of activists in Oman to associate </w:t>
      </w:r>
      <w:r w:rsidR="00B139C7">
        <w:t xml:space="preserve">freely </w:t>
      </w:r>
      <w:r>
        <w:t>online. As noted above, he observed first</w:t>
      </w:r>
      <w:r w:rsidR="00E82D30">
        <w:t>-</w:t>
      </w:r>
      <w:r>
        <w:t xml:space="preserve">hand that access to some of </w:t>
      </w:r>
      <w:r w:rsidRPr="00F81B94">
        <w:t xml:space="preserve">technologies for the delivery of voice communications and multimedia </w:t>
      </w:r>
      <w:r w:rsidR="00B139C7">
        <w:t xml:space="preserve">through </w:t>
      </w:r>
      <w:r w:rsidR="00C228C3">
        <w:t>Voice over Internet Protocol</w:t>
      </w:r>
      <w:r>
        <w:t xml:space="preserve"> and instant messaging services </w:t>
      </w:r>
      <w:r w:rsidR="00CE3BBE">
        <w:t xml:space="preserve">was </w:t>
      </w:r>
      <w:r>
        <w:t xml:space="preserve">limited, and a number of bloggers and writers have been imprisoned </w:t>
      </w:r>
      <w:r w:rsidR="00CE3BBE" w:rsidRPr="00C17B2F">
        <w:t xml:space="preserve">for </w:t>
      </w:r>
      <w:r w:rsidRPr="00C17B2F">
        <w:t>allegedly</w:t>
      </w:r>
      <w:r>
        <w:t xml:space="preserve"> expressing dissenting views online. </w:t>
      </w:r>
    </w:p>
    <w:p w:rsidR="00E33536" w:rsidRDefault="00E33536" w:rsidP="00D15D7D">
      <w:pPr>
        <w:pStyle w:val="SingleTxtG"/>
        <w:numPr>
          <w:ilvl w:val="0"/>
          <w:numId w:val="2"/>
        </w:numPr>
        <w:ind w:left="1134" w:firstLine="0"/>
      </w:pPr>
      <w:r>
        <w:lastRenderedPageBreak/>
        <w:t xml:space="preserve">The Special Rapporteur reiterates the importance of new communication technologies and the integral role they play in the enjoyment of the rights to freedom of peaceful assembly and of association. </w:t>
      </w:r>
      <w:r w:rsidR="00132FB3">
        <w:t xml:space="preserve">On 26 June 2014, the </w:t>
      </w:r>
      <w:r>
        <w:t xml:space="preserve">Human Rights Council </w:t>
      </w:r>
      <w:r w:rsidR="00132FB3">
        <w:t xml:space="preserve">adopted its resolution 26/13, </w:t>
      </w:r>
      <w:r>
        <w:t>on the promotion, protection and enjoyment of human rights on the Internet</w:t>
      </w:r>
      <w:r w:rsidR="00132FB3">
        <w:t>.</w:t>
      </w:r>
      <w:r>
        <w:t xml:space="preserve"> </w:t>
      </w:r>
      <w:r w:rsidR="00132FB3">
        <w:t xml:space="preserve">Furthermore, in its resolution </w:t>
      </w:r>
      <w:r w:rsidR="00CA10E4">
        <w:t xml:space="preserve">21/16, the Council </w:t>
      </w:r>
      <w:r>
        <w:t>reminded States of their obligation to respect and fully protect the rights of all individuals to assemble peacefully and associate freely, online as well as offline</w:t>
      </w:r>
      <w:r w:rsidR="00CA10E4">
        <w:t xml:space="preserve">. </w:t>
      </w:r>
      <w:r>
        <w:t>The Special Rapporteur echoes th</w:t>
      </w:r>
      <w:r w:rsidR="000424CF">
        <w:t>o</w:t>
      </w:r>
      <w:r>
        <w:t xml:space="preserve">se calls and argues that information </w:t>
      </w:r>
      <w:r w:rsidR="00CA10E4">
        <w:t xml:space="preserve">and communications </w:t>
      </w:r>
      <w:r>
        <w:t xml:space="preserve">technology is integral to the exercise of assembly and association rights. The Special Rapporteur is convinced that </w:t>
      </w:r>
      <w:r w:rsidR="000424CF">
        <w:t xml:space="preserve">the </w:t>
      </w:r>
      <w:r>
        <w:t xml:space="preserve">technology is both a means to facilitate fundamental rights offline and a virtual space where the rights themselves </w:t>
      </w:r>
      <w:r w:rsidR="000424CF" w:rsidRPr="00C17B2F">
        <w:t>can be</w:t>
      </w:r>
      <w:r w:rsidR="000424CF">
        <w:t xml:space="preserve"> </w:t>
      </w:r>
      <w:r>
        <w:t xml:space="preserve">actively exercised. </w:t>
      </w:r>
    </w:p>
    <w:p w:rsidR="00E33536" w:rsidRPr="00A11C2A" w:rsidRDefault="00A11C2A" w:rsidP="000F0BEA">
      <w:pPr>
        <w:pStyle w:val="HChG"/>
      </w:pPr>
      <w:r>
        <w:tab/>
        <w:t>V.</w:t>
      </w:r>
      <w:r>
        <w:tab/>
      </w:r>
      <w:r w:rsidR="005A0263">
        <w:t xml:space="preserve">National </w:t>
      </w:r>
      <w:r w:rsidR="00CA5B0D">
        <w:t>H</w:t>
      </w:r>
      <w:r w:rsidR="005A0263">
        <w:t xml:space="preserve">uman </w:t>
      </w:r>
      <w:r w:rsidR="00CA5B0D">
        <w:t>R</w:t>
      </w:r>
      <w:r w:rsidR="00E44E68" w:rsidRPr="00C17B2F">
        <w:t>ights</w:t>
      </w:r>
      <w:r w:rsidR="00CA5B0D">
        <w:t xml:space="preserve"> Commission </w:t>
      </w:r>
    </w:p>
    <w:p w:rsidR="00E33536" w:rsidRDefault="00E33536" w:rsidP="00D15D7D">
      <w:pPr>
        <w:pStyle w:val="SingleTxtG"/>
        <w:numPr>
          <w:ilvl w:val="0"/>
          <w:numId w:val="2"/>
        </w:numPr>
        <w:ind w:left="1134" w:firstLine="0"/>
      </w:pPr>
      <w:r w:rsidRPr="00DD0D93">
        <w:t>Royal Decree 124/2008</w:t>
      </w:r>
      <w:r>
        <w:t xml:space="preserve"> of 15 November 2008</w:t>
      </w:r>
      <w:r w:rsidRPr="00DD0D93">
        <w:t xml:space="preserve"> establishe</w:t>
      </w:r>
      <w:r>
        <w:t>s</w:t>
      </w:r>
      <w:r w:rsidRPr="00DD0D93">
        <w:t xml:space="preserve"> the National Human Rights </w:t>
      </w:r>
      <w:r>
        <w:t xml:space="preserve">Commission </w:t>
      </w:r>
      <w:r w:rsidRPr="00DD0D93">
        <w:t>and define</w:t>
      </w:r>
      <w:r>
        <w:t>s</w:t>
      </w:r>
      <w:r w:rsidRPr="00DD0D93">
        <w:t xml:space="preserve"> its prerogatives.</w:t>
      </w:r>
      <w:r>
        <w:t xml:space="preserve"> </w:t>
      </w:r>
      <w:r w:rsidR="00622328">
        <w:t>Article </w:t>
      </w:r>
      <w:r>
        <w:t xml:space="preserve">1 of the </w:t>
      </w:r>
      <w:r w:rsidR="0085133E">
        <w:t>D</w:t>
      </w:r>
      <w:r>
        <w:t xml:space="preserve">ecree provides that the Commission is administratively affiliated to the Council of State. The Decree stipulates that the Commission shall be independent and that it has been established for the “protection and follow up of human rights and freedom in the Sultanate according to basic statute of the </w:t>
      </w:r>
      <w:r w:rsidR="004B7CA9">
        <w:t>S</w:t>
      </w:r>
      <w:r>
        <w:t>tate and the international covenants and agreements”.</w:t>
      </w:r>
      <w:r w:rsidRPr="0035723C">
        <w:rPr>
          <w:rStyle w:val="FootnoteReference"/>
        </w:rPr>
        <w:footnoteReference w:id="24"/>
      </w:r>
      <w:r>
        <w:t xml:space="preserve"> </w:t>
      </w:r>
    </w:p>
    <w:p w:rsidR="00E33536" w:rsidRDefault="00E33536" w:rsidP="004B74F3">
      <w:pPr>
        <w:pStyle w:val="SingleTxtG"/>
        <w:numPr>
          <w:ilvl w:val="0"/>
          <w:numId w:val="2"/>
        </w:numPr>
        <w:ind w:left="1134" w:firstLine="0"/>
      </w:pPr>
      <w:r>
        <w:t>The Commission is mandated to, inter alia:</w:t>
      </w:r>
    </w:p>
    <w:p w:rsidR="00E33536" w:rsidRPr="00A11C2A" w:rsidRDefault="003C62FE" w:rsidP="003C62FE">
      <w:pPr>
        <w:pStyle w:val="SingleTxtG"/>
        <w:ind w:firstLine="567"/>
      </w:pPr>
      <w:r>
        <w:t>(a)</w:t>
      </w:r>
      <w:r>
        <w:tab/>
        <w:t>Monitor human rights violations;</w:t>
      </w:r>
    </w:p>
    <w:p w:rsidR="00E33536" w:rsidRPr="00A11C2A" w:rsidRDefault="003C62FE" w:rsidP="003C62FE">
      <w:pPr>
        <w:pStyle w:val="SingleTxtG"/>
        <w:ind w:firstLine="567"/>
      </w:pPr>
      <w:r>
        <w:t>(b)</w:t>
      </w:r>
      <w:r>
        <w:tab/>
      </w:r>
      <w:r w:rsidR="00E33536" w:rsidRPr="00A11C2A">
        <w:t xml:space="preserve">Liaise with the concerned authorities on </w:t>
      </w:r>
      <w:r>
        <w:t>matters related to human rights;</w:t>
      </w:r>
    </w:p>
    <w:p w:rsidR="00E33536" w:rsidRPr="00A11C2A" w:rsidRDefault="003C62FE" w:rsidP="00ED41B1">
      <w:pPr>
        <w:pStyle w:val="SingleTxtG"/>
        <w:ind w:firstLine="567"/>
      </w:pPr>
      <w:r>
        <w:t>(c)</w:t>
      </w:r>
      <w:r>
        <w:tab/>
      </w:r>
      <w:r w:rsidR="00E33536" w:rsidRPr="00A11C2A">
        <w:t xml:space="preserve">Submit </w:t>
      </w:r>
      <w:r w:rsidR="0085133E" w:rsidRPr="00A11C2A">
        <w:t>to the Council of Ministers for approval</w:t>
      </w:r>
      <w:r w:rsidR="0085133E">
        <w:t xml:space="preserve"> </w:t>
      </w:r>
      <w:r w:rsidR="00E33536" w:rsidRPr="00A11C2A">
        <w:t xml:space="preserve">an annual </w:t>
      </w:r>
      <w:proofErr w:type="spellStart"/>
      <w:r w:rsidR="00E33536" w:rsidRPr="00A11C2A">
        <w:t>workplan</w:t>
      </w:r>
      <w:proofErr w:type="spellEnd"/>
      <w:r w:rsidR="00E33536" w:rsidRPr="00A11C2A">
        <w:t xml:space="preserve"> on </w:t>
      </w:r>
      <w:r w:rsidR="0085133E">
        <w:t xml:space="preserve">the </w:t>
      </w:r>
      <w:r w:rsidR="00E33536" w:rsidRPr="00A11C2A">
        <w:t>implementation of human rights</w:t>
      </w:r>
      <w:r>
        <w:t>;</w:t>
      </w:r>
    </w:p>
    <w:p w:rsidR="00E33536" w:rsidRPr="00C17B2F" w:rsidRDefault="003C62FE" w:rsidP="00D15D7D">
      <w:pPr>
        <w:pStyle w:val="SingleTxtG"/>
        <w:ind w:firstLine="567"/>
      </w:pPr>
      <w:r>
        <w:t>(d)</w:t>
      </w:r>
      <w:r>
        <w:tab/>
      </w:r>
      <w:r w:rsidR="00E33536" w:rsidRPr="00A11C2A">
        <w:t xml:space="preserve">Coordinate input on human rights from foreign </w:t>
      </w:r>
      <w:r w:rsidR="004B7CA9">
        <w:t>S</w:t>
      </w:r>
      <w:r w:rsidR="00E33536" w:rsidRPr="00A11C2A">
        <w:t xml:space="preserve">tates, international organizations and </w:t>
      </w:r>
      <w:r w:rsidR="004621BC">
        <w:t>non-governmental organizations</w:t>
      </w:r>
      <w:r w:rsidR="00897947">
        <w:t>.</w:t>
      </w:r>
    </w:p>
    <w:p w:rsidR="00E33536" w:rsidRPr="00D15D7D" w:rsidRDefault="00E33536" w:rsidP="00ED41B1">
      <w:pPr>
        <w:pStyle w:val="SingleTxtG"/>
        <w:numPr>
          <w:ilvl w:val="0"/>
          <w:numId w:val="2"/>
        </w:numPr>
        <w:ind w:left="1134" w:firstLine="0"/>
      </w:pPr>
      <w:r>
        <w:t xml:space="preserve">The Special Rapporteur notes that the International Coordinating Committee of National Institutions </w:t>
      </w:r>
      <w:r w:rsidR="002206DB">
        <w:t xml:space="preserve">for the Promotion and Protection of Human Rights </w:t>
      </w:r>
      <w:r w:rsidR="001702D3">
        <w:t xml:space="preserve">accredited </w:t>
      </w:r>
      <w:r>
        <w:t xml:space="preserve">the Commission </w:t>
      </w:r>
      <w:r w:rsidR="001702D3">
        <w:t xml:space="preserve">with B status </w:t>
      </w:r>
      <w:r>
        <w:t>in November 2013, i.e. n</w:t>
      </w:r>
      <w:r w:rsidRPr="00B1571F">
        <w:t xml:space="preserve">ot </w:t>
      </w:r>
      <w:r w:rsidRPr="00D15D7D">
        <w:t xml:space="preserve">fully in compliance with the </w:t>
      </w:r>
      <w:r w:rsidR="0044733E" w:rsidRPr="00D15D7D">
        <w:t xml:space="preserve">Principles relating to the </w:t>
      </w:r>
      <w:r w:rsidR="00ED41B1">
        <w:t>s</w:t>
      </w:r>
      <w:r w:rsidR="0044733E" w:rsidRPr="00D15D7D">
        <w:t xml:space="preserve">tatus of </w:t>
      </w:r>
      <w:r w:rsidR="00ED41B1">
        <w:t>n</w:t>
      </w:r>
      <w:r w:rsidR="0044733E" w:rsidRPr="00D15D7D">
        <w:t xml:space="preserve">ational </w:t>
      </w:r>
      <w:r w:rsidR="00ED41B1">
        <w:t>i</w:t>
      </w:r>
      <w:r w:rsidR="0044733E" w:rsidRPr="00D15D7D">
        <w:t>nstitutions</w:t>
      </w:r>
      <w:r w:rsidR="00ED41B1">
        <w:t xml:space="preserve"> for the promotion and protection of human rights</w:t>
      </w:r>
      <w:r w:rsidR="0044733E" w:rsidRPr="00D15D7D">
        <w:t xml:space="preserve"> (</w:t>
      </w:r>
      <w:r w:rsidRPr="00D15D7D">
        <w:t>Paris Principles</w:t>
      </w:r>
      <w:r w:rsidR="0044733E" w:rsidRPr="00D15D7D">
        <w:t>)</w:t>
      </w:r>
      <w:r w:rsidRPr="00D15D7D">
        <w:t xml:space="preserve">. The Sub-Committee </w:t>
      </w:r>
      <w:r w:rsidR="00ED41B1">
        <w:t xml:space="preserve">on Accreditation </w:t>
      </w:r>
      <w:r w:rsidRPr="00D15D7D">
        <w:t>considered the following factors in assigning the grade:</w:t>
      </w:r>
    </w:p>
    <w:p w:rsidR="00E33536" w:rsidRDefault="00F57BF4" w:rsidP="000F0BEA">
      <w:pPr>
        <w:pStyle w:val="SingleTxtG"/>
        <w:ind w:firstLine="567"/>
      </w:pPr>
      <w:r w:rsidRPr="00D15D7D">
        <w:t>(a)</w:t>
      </w:r>
      <w:r w:rsidRPr="00D15D7D">
        <w:tab/>
      </w:r>
      <w:r w:rsidR="00E33536" w:rsidRPr="00C17B2F">
        <w:rPr>
          <w:b/>
          <w:bCs/>
        </w:rPr>
        <w:t>Representatives</w:t>
      </w:r>
      <w:r w:rsidR="001F5A93">
        <w:t>.</w:t>
      </w:r>
      <w:r w:rsidR="00E33536" w:rsidRPr="00D15D7D">
        <w:t xml:space="preserve"> Royal Decree 124/2004 stipulates that the Commission shall have 14 members, of which two are members of </w:t>
      </w:r>
      <w:r w:rsidR="0085133E">
        <w:t xml:space="preserve">the </w:t>
      </w:r>
      <w:r w:rsidR="00E33536" w:rsidRPr="00D15D7D">
        <w:t xml:space="preserve">legislative branch and six of the executive. The </w:t>
      </w:r>
      <w:r w:rsidR="00533961" w:rsidRPr="00D15D7D">
        <w:t xml:space="preserve">Sub-Committee </w:t>
      </w:r>
      <w:r w:rsidR="00E33536" w:rsidRPr="00D15D7D">
        <w:t xml:space="preserve">considers that </w:t>
      </w:r>
      <w:r w:rsidR="0085133E">
        <w:t>g</w:t>
      </w:r>
      <w:r w:rsidR="00E33536" w:rsidRPr="00D15D7D">
        <w:t>overnme</w:t>
      </w:r>
      <w:r w:rsidR="00E33536">
        <w:t xml:space="preserve">nt officials should not be represented </w:t>
      </w:r>
      <w:r w:rsidR="001F5A93">
        <w:t>in a national human rights institution</w:t>
      </w:r>
      <w:r w:rsidR="00E33536">
        <w:t xml:space="preserve">. For the same reason, members of parliament should not be members of nor participate in the decision-making organs of </w:t>
      </w:r>
      <w:r w:rsidR="0085133E">
        <w:t>such institution</w:t>
      </w:r>
      <w:r w:rsidR="001F5A93">
        <w:t>s</w:t>
      </w:r>
      <w:r w:rsidR="00E33536">
        <w:t xml:space="preserve">. Their presence and participation in the </w:t>
      </w:r>
      <w:r w:rsidR="001F5A93">
        <w:t>decision-</w:t>
      </w:r>
      <w:r w:rsidR="00E33536">
        <w:t xml:space="preserve">making body of </w:t>
      </w:r>
      <w:r w:rsidR="001F5A93">
        <w:t xml:space="preserve">such </w:t>
      </w:r>
      <w:r w:rsidR="0085133E">
        <w:t>institution</w:t>
      </w:r>
      <w:r w:rsidR="001F5A93">
        <w:t>s</w:t>
      </w:r>
      <w:r w:rsidR="0085133E">
        <w:t xml:space="preserve"> </w:t>
      </w:r>
      <w:r w:rsidR="00E33536">
        <w:t xml:space="preserve">has the potential to </w:t>
      </w:r>
      <w:r w:rsidR="001F5A93">
        <w:t xml:space="preserve">affect </w:t>
      </w:r>
      <w:r w:rsidR="00E33536">
        <w:t>both the real and per</w:t>
      </w:r>
      <w:r w:rsidR="00D321F3">
        <w:t xml:space="preserve">ceived independence of the </w:t>
      </w:r>
      <w:r w:rsidR="0085133E">
        <w:t>institution</w:t>
      </w:r>
      <w:r w:rsidR="00D321F3">
        <w:t>;</w:t>
      </w:r>
      <w:r w:rsidR="00E33536" w:rsidRPr="0035723C">
        <w:rPr>
          <w:rStyle w:val="FootnoteReference"/>
        </w:rPr>
        <w:footnoteReference w:id="25"/>
      </w:r>
    </w:p>
    <w:p w:rsidR="00E33536" w:rsidRDefault="00F57BF4" w:rsidP="00D15D7D">
      <w:pPr>
        <w:pStyle w:val="SingleTxtG"/>
        <w:ind w:firstLine="567"/>
      </w:pPr>
      <w:r>
        <w:lastRenderedPageBreak/>
        <w:t>(b)</w:t>
      </w:r>
      <w:r>
        <w:tab/>
      </w:r>
      <w:r w:rsidR="00E33536" w:rsidRPr="00C17B2F">
        <w:rPr>
          <w:b/>
          <w:bCs/>
        </w:rPr>
        <w:t>Mandate</w:t>
      </w:r>
      <w:r w:rsidR="001F5A93">
        <w:t>.</w:t>
      </w:r>
      <w:r w:rsidR="00E33536">
        <w:t xml:space="preserve"> </w:t>
      </w:r>
      <w:r w:rsidR="001F5A93">
        <w:t xml:space="preserve">The </w:t>
      </w:r>
      <w:r w:rsidR="00E33536">
        <w:t>Decree fails to provide the Commission with a clear mandate and appropriate powers to promote and protect human rights in the areas specifically highl</w:t>
      </w:r>
      <w:r w:rsidR="00D321F3">
        <w:t>ighted by the Paris Principles;</w:t>
      </w:r>
      <w:r w:rsidR="00E33536" w:rsidRPr="0035723C">
        <w:rPr>
          <w:rStyle w:val="FootnoteReference"/>
        </w:rPr>
        <w:footnoteReference w:id="26"/>
      </w:r>
    </w:p>
    <w:p w:rsidR="00E33536" w:rsidRDefault="00F57BF4" w:rsidP="00D15D7D">
      <w:pPr>
        <w:pStyle w:val="SingleTxtG"/>
        <w:ind w:firstLine="567"/>
      </w:pPr>
      <w:r>
        <w:t>(c)</w:t>
      </w:r>
      <w:r>
        <w:tab/>
      </w:r>
      <w:r w:rsidR="00E33536" w:rsidRPr="00C17B2F">
        <w:rPr>
          <w:b/>
          <w:bCs/>
        </w:rPr>
        <w:t>Selection</w:t>
      </w:r>
      <w:r w:rsidR="001F5A93">
        <w:t>.</w:t>
      </w:r>
      <w:r w:rsidR="00E33536">
        <w:t xml:space="preserve"> </w:t>
      </w:r>
      <w:r w:rsidR="001F5A93">
        <w:t>The Decree f</w:t>
      </w:r>
      <w:r w:rsidR="00E33536">
        <w:t>ails to meet the requirement for clear, transparent and participatory selection of candidates</w:t>
      </w:r>
      <w:r w:rsidR="005505F9">
        <w:t>.</w:t>
      </w:r>
      <w:r w:rsidR="00E33536" w:rsidRPr="0035723C">
        <w:rPr>
          <w:rStyle w:val="FootnoteReference"/>
        </w:rPr>
        <w:footnoteReference w:id="27"/>
      </w:r>
    </w:p>
    <w:p w:rsidR="00E33536" w:rsidRDefault="00E33536" w:rsidP="00D15D7D">
      <w:pPr>
        <w:pStyle w:val="SingleTxtG"/>
        <w:numPr>
          <w:ilvl w:val="0"/>
          <w:numId w:val="2"/>
        </w:numPr>
        <w:ind w:left="1134" w:firstLine="0"/>
      </w:pPr>
      <w:r>
        <w:t xml:space="preserve">When reviewing Oman, the </w:t>
      </w:r>
      <w:r w:rsidR="00533961">
        <w:t xml:space="preserve">Sub-Committee </w:t>
      </w:r>
      <w:r>
        <w:t xml:space="preserve">looked at the </w:t>
      </w:r>
      <w:r w:rsidR="00533961">
        <w:t xml:space="preserve">questions </w:t>
      </w:r>
      <w:r>
        <w:t xml:space="preserve">of immunity, tenure of members, interaction with </w:t>
      </w:r>
      <w:r w:rsidR="00533961">
        <w:t xml:space="preserve">the </w:t>
      </w:r>
      <w:r>
        <w:t>international human rights system, annual report</w:t>
      </w:r>
      <w:r w:rsidR="00533961">
        <w:t>s</w:t>
      </w:r>
      <w:r>
        <w:t>, funding</w:t>
      </w:r>
      <w:r w:rsidR="00533961">
        <w:t xml:space="preserve"> and</w:t>
      </w:r>
      <w:r>
        <w:t xml:space="preserve"> conflict of interests, and encouraged the Commission to advocate for the inclusion in Royal Decree 124/2008 of a specific mandate to encourage </w:t>
      </w:r>
      <w:r w:rsidR="00533961">
        <w:t xml:space="preserve">the </w:t>
      </w:r>
      <w:r>
        <w:t xml:space="preserve">ratification and implementation </w:t>
      </w:r>
      <w:r w:rsidR="00533961">
        <w:t xml:space="preserve">by Oman </w:t>
      </w:r>
      <w:r>
        <w:t>of international human rights standards.</w:t>
      </w:r>
      <w:r w:rsidRPr="0035723C">
        <w:rPr>
          <w:rStyle w:val="FootnoteReference"/>
        </w:rPr>
        <w:footnoteReference w:id="28"/>
      </w:r>
    </w:p>
    <w:p w:rsidR="00E33536" w:rsidRDefault="00E33536" w:rsidP="00533961">
      <w:pPr>
        <w:pStyle w:val="SingleTxtG"/>
        <w:numPr>
          <w:ilvl w:val="0"/>
          <w:numId w:val="2"/>
        </w:numPr>
        <w:ind w:left="1134" w:firstLine="0"/>
      </w:pPr>
      <w:r>
        <w:t xml:space="preserve">The Special Rapporteur echoes </w:t>
      </w:r>
      <w:r w:rsidR="00533961">
        <w:t xml:space="preserve">the Sub-Committee’s </w:t>
      </w:r>
      <w:r>
        <w:t xml:space="preserve">concerns. Civil society activists similarly expressed a lack of confidence in the National Human Rights Commission, and </w:t>
      </w:r>
      <w:r w:rsidR="00533961">
        <w:t xml:space="preserve">felt </w:t>
      </w:r>
      <w:r>
        <w:t xml:space="preserve">that the Commission could do more to bridge the gap between the Government and civil society. The Special Rapporteur agrees. The members of the Commission corroborated </w:t>
      </w:r>
      <w:r w:rsidR="00533961">
        <w:t xml:space="preserve">that </w:t>
      </w:r>
      <w:r>
        <w:t xml:space="preserve">sentiment when they admitted that civil society activists </w:t>
      </w:r>
      <w:r w:rsidR="00533961">
        <w:t xml:space="preserve">did </w:t>
      </w:r>
      <w:r>
        <w:t>not approach the Commission with information on violations of human rights.</w:t>
      </w:r>
    </w:p>
    <w:p w:rsidR="00E33536" w:rsidRDefault="00E33536" w:rsidP="00533961">
      <w:pPr>
        <w:pStyle w:val="SingleTxtG"/>
        <w:numPr>
          <w:ilvl w:val="0"/>
          <w:numId w:val="2"/>
        </w:numPr>
        <w:ind w:left="1134" w:firstLine="0"/>
      </w:pPr>
      <w:r>
        <w:t xml:space="preserve">The Special Rapporteur notes the work done by the Commission in monitoring and reporting on peaceful assemblies, including observing the trials of those arrested during </w:t>
      </w:r>
      <w:r w:rsidR="00533961">
        <w:t xml:space="preserve">such </w:t>
      </w:r>
      <w:r>
        <w:t>assemblies, while recogni</w:t>
      </w:r>
      <w:r w:rsidR="00533961">
        <w:t>z</w:t>
      </w:r>
      <w:r>
        <w:t xml:space="preserve">ing the limitations in its mandate. The Special Rapporteur is pleased to learn that Oman supported the recommendations made during its </w:t>
      </w:r>
      <w:r w:rsidR="00533961">
        <w:t>u</w:t>
      </w:r>
      <w:r>
        <w:t xml:space="preserve">niversal </w:t>
      </w:r>
      <w:r w:rsidR="00533961">
        <w:t>p</w:t>
      </w:r>
      <w:r>
        <w:t xml:space="preserve">eriodic </w:t>
      </w:r>
      <w:r w:rsidR="00533961">
        <w:t>r</w:t>
      </w:r>
      <w:r>
        <w:t xml:space="preserve">eview to establish an independent </w:t>
      </w:r>
      <w:r w:rsidR="00533961">
        <w:t>n</w:t>
      </w:r>
      <w:r>
        <w:t xml:space="preserve">ational </w:t>
      </w:r>
      <w:r w:rsidR="00533961">
        <w:t>h</w:t>
      </w:r>
      <w:r>
        <w:t xml:space="preserve">uman </w:t>
      </w:r>
      <w:r w:rsidR="00533961">
        <w:t>r</w:t>
      </w:r>
      <w:r>
        <w:t xml:space="preserve">ights </w:t>
      </w:r>
      <w:r w:rsidR="00533961">
        <w:t>c</w:t>
      </w:r>
      <w:r>
        <w:t xml:space="preserve">ommission and adapt it fully to the Paris </w:t>
      </w:r>
      <w:r w:rsidR="00533961">
        <w:t>P</w:t>
      </w:r>
      <w:r>
        <w:t xml:space="preserve">rinciples, with a broad and clear mandate. </w:t>
      </w:r>
    </w:p>
    <w:p w:rsidR="00E33536" w:rsidRDefault="00E33536" w:rsidP="0091678D">
      <w:pPr>
        <w:pStyle w:val="SingleTxtG"/>
        <w:numPr>
          <w:ilvl w:val="0"/>
          <w:numId w:val="2"/>
        </w:numPr>
        <w:ind w:left="1134" w:firstLine="0"/>
      </w:pPr>
      <w:r>
        <w:t>The Special Rapporteur emphasi</w:t>
      </w:r>
      <w:r w:rsidR="0044733E">
        <w:t>z</w:t>
      </w:r>
      <w:r>
        <w:t>es that</w:t>
      </w:r>
      <w:r w:rsidR="0044733E">
        <w:t>,</w:t>
      </w:r>
      <w:r>
        <w:t xml:space="preserve"> although the scope of Commission’s mandate is of concern, its credibility depends upon how it executes its existing mandate. He was encouraged by the positive energy displayed by the members and staff of the Commission. He notes with appreciation that the Commission is seeking to strengthen its role </w:t>
      </w:r>
      <w:r w:rsidR="00D15D7D">
        <w:t>by</w:t>
      </w:r>
      <w:r w:rsidR="0044733E">
        <w:t>,</w:t>
      </w:r>
      <w:r>
        <w:t xml:space="preserve"> </w:t>
      </w:r>
      <w:r w:rsidR="00D15D7D">
        <w:t>inter alia</w:t>
      </w:r>
      <w:r w:rsidR="0044733E">
        <w:t>,</w:t>
      </w:r>
      <w:r>
        <w:t xml:space="preserve"> advocating for the ratification of </w:t>
      </w:r>
      <w:r w:rsidR="0091678D">
        <w:t xml:space="preserve">ILO </w:t>
      </w:r>
      <w:r w:rsidR="00D15D7D">
        <w:t>c</w:t>
      </w:r>
      <w:r w:rsidR="0052351F">
        <w:t>onventions</w:t>
      </w:r>
      <w:r w:rsidR="0044733E">
        <w:t xml:space="preserve"> No.</w:t>
      </w:r>
      <w:r w:rsidR="0052351F">
        <w:t> </w:t>
      </w:r>
      <w:r>
        <w:t>87</w:t>
      </w:r>
      <w:r w:rsidR="004A7863">
        <w:t xml:space="preserve"> (1948) concerning Freedom of Association and Protection of the Right to Organise</w:t>
      </w:r>
      <w:r>
        <w:t xml:space="preserve"> and </w:t>
      </w:r>
      <w:r w:rsidR="00D6527E">
        <w:t>No. </w:t>
      </w:r>
      <w:r>
        <w:t>98</w:t>
      </w:r>
      <w:r w:rsidR="004A7863">
        <w:t xml:space="preserve"> (1949) concerning the Application of the Principles of the Right to Organise and to Bargain Collectively</w:t>
      </w:r>
      <w:r w:rsidR="00D15D7D">
        <w:t>;</w:t>
      </w:r>
      <w:r>
        <w:t xml:space="preserve"> encouraging associations to participate in the </w:t>
      </w:r>
      <w:r w:rsidRPr="00BF4496">
        <w:t>next</w:t>
      </w:r>
      <w:r>
        <w:t xml:space="preserve"> </w:t>
      </w:r>
      <w:r w:rsidR="004A7863">
        <w:t>u</w:t>
      </w:r>
      <w:r>
        <w:t xml:space="preserve">niversal </w:t>
      </w:r>
      <w:r w:rsidR="004A7863">
        <w:t>p</w:t>
      </w:r>
      <w:r>
        <w:t xml:space="preserve">eriodic </w:t>
      </w:r>
      <w:r w:rsidR="004A7863">
        <w:t>r</w:t>
      </w:r>
      <w:r>
        <w:t>eview exercise</w:t>
      </w:r>
      <w:r w:rsidR="00D15D7D">
        <w:t>;</w:t>
      </w:r>
      <w:r>
        <w:t xml:space="preserve"> visiting detainees in prisons</w:t>
      </w:r>
      <w:r w:rsidR="00D15D7D">
        <w:t>;</w:t>
      </w:r>
      <w:r>
        <w:t xml:space="preserve"> and disseminating information about human rights though </w:t>
      </w:r>
      <w:r w:rsidR="00D756FF">
        <w:t>meetings</w:t>
      </w:r>
      <w:r>
        <w:t xml:space="preserve"> with various stakeholders. The Special Rapporteur stresses that the Commission’s robust engagement with the issues </w:t>
      </w:r>
      <w:r w:rsidR="00D15D7D">
        <w:t xml:space="preserve">that </w:t>
      </w:r>
      <w:r>
        <w:t>fall within the current scope of its mandate is a good indication that a new, better-defi</w:t>
      </w:r>
      <w:r w:rsidR="007049CE">
        <w:t>ned mandate</w:t>
      </w:r>
      <w:r w:rsidR="004A7863">
        <w:t>,</w:t>
      </w:r>
      <w:r w:rsidR="007049CE">
        <w:t xml:space="preserve"> </w:t>
      </w:r>
      <w:r>
        <w:t>to</w:t>
      </w:r>
      <w:r w:rsidR="007049CE">
        <w:t>gether with appropriate powers</w:t>
      </w:r>
      <w:r w:rsidR="004A7863">
        <w:t>,</w:t>
      </w:r>
      <w:r w:rsidR="007049CE">
        <w:t xml:space="preserve"> </w:t>
      </w:r>
      <w:r>
        <w:t xml:space="preserve">would be a useful tool in the hands of the Commission. </w:t>
      </w:r>
    </w:p>
    <w:p w:rsidR="00E33536" w:rsidRDefault="00E33536" w:rsidP="004B74F3">
      <w:pPr>
        <w:pStyle w:val="SingleTxtG"/>
        <w:numPr>
          <w:ilvl w:val="0"/>
          <w:numId w:val="2"/>
        </w:numPr>
        <w:ind w:left="1134" w:firstLine="0"/>
      </w:pPr>
      <w:r>
        <w:t>The Special Rapporteur remains available to provide technical assistance to the Commission on the rights under his mandate.</w:t>
      </w:r>
    </w:p>
    <w:p w:rsidR="00E33536" w:rsidRPr="00A11C2A" w:rsidRDefault="00A11C2A" w:rsidP="001235FA">
      <w:pPr>
        <w:pStyle w:val="HChG"/>
      </w:pPr>
      <w:r>
        <w:tab/>
        <w:t>VI.</w:t>
      </w:r>
      <w:r>
        <w:tab/>
      </w:r>
      <w:r w:rsidR="00203BBF">
        <w:t>Assistance activities</w:t>
      </w:r>
      <w:r w:rsidR="00E6775B">
        <w:t xml:space="preserve"> of the </w:t>
      </w:r>
      <w:r w:rsidR="001235FA">
        <w:t>R</w:t>
      </w:r>
      <w:r w:rsidR="00E6775B">
        <w:t xml:space="preserve">egional </w:t>
      </w:r>
      <w:r w:rsidR="001235FA">
        <w:t>O</w:t>
      </w:r>
      <w:r w:rsidR="00E6775B">
        <w:t xml:space="preserve">ffice </w:t>
      </w:r>
      <w:r w:rsidR="001235FA" w:rsidRPr="00DA0C61">
        <w:t>for the Middle East</w:t>
      </w:r>
      <w:r w:rsidR="001235FA">
        <w:t xml:space="preserve"> and North Africa </w:t>
      </w:r>
      <w:r w:rsidR="00E6775B">
        <w:t xml:space="preserve">of the </w:t>
      </w:r>
      <w:r w:rsidR="001235FA">
        <w:t xml:space="preserve">Office of the </w:t>
      </w:r>
      <w:r w:rsidR="00E6775B">
        <w:t>United Nations H</w:t>
      </w:r>
      <w:r w:rsidR="00203BBF">
        <w:t xml:space="preserve">igh </w:t>
      </w:r>
      <w:r w:rsidR="00E6775B">
        <w:t>C</w:t>
      </w:r>
      <w:r w:rsidR="00E44E68">
        <w:t>ommissioner</w:t>
      </w:r>
      <w:r w:rsidR="001235FA">
        <w:t xml:space="preserve"> for Human Rights</w:t>
      </w:r>
      <w:r w:rsidR="001235FA" w:rsidRPr="00DA0C61">
        <w:t xml:space="preserve"> </w:t>
      </w:r>
    </w:p>
    <w:p w:rsidR="00E33536" w:rsidRDefault="00A91B9A" w:rsidP="000F0BEA">
      <w:pPr>
        <w:pStyle w:val="SingleTxtG"/>
        <w:numPr>
          <w:ilvl w:val="0"/>
          <w:numId w:val="2"/>
        </w:numPr>
        <w:ind w:left="1134" w:firstLine="0"/>
      </w:pPr>
      <w:r>
        <w:t>T</w:t>
      </w:r>
      <w:r w:rsidR="00E33536" w:rsidRPr="00DA0C61">
        <w:t xml:space="preserve">he Regional Office </w:t>
      </w:r>
      <w:r w:rsidR="001235FA" w:rsidRPr="00DA0C61">
        <w:t xml:space="preserve">for the Middle East </w:t>
      </w:r>
      <w:r w:rsidR="001235FA">
        <w:t xml:space="preserve">and North Africa </w:t>
      </w:r>
      <w:r>
        <w:t xml:space="preserve">of the </w:t>
      </w:r>
      <w:r w:rsidR="001235FA">
        <w:t xml:space="preserve">Office of the United Nations </w:t>
      </w:r>
      <w:r>
        <w:t>High Commissioner for Human Rights</w:t>
      </w:r>
      <w:r w:rsidRPr="00DA0C61">
        <w:t xml:space="preserve"> </w:t>
      </w:r>
      <w:r w:rsidR="001235FA">
        <w:t xml:space="preserve">(OHCHR) </w:t>
      </w:r>
      <w:r w:rsidR="009A315A">
        <w:t xml:space="preserve">has worked to, </w:t>
      </w:r>
      <w:r w:rsidR="004A7863">
        <w:t>inter alia</w:t>
      </w:r>
      <w:r w:rsidR="00E33536">
        <w:t>:</w:t>
      </w:r>
    </w:p>
    <w:p w:rsidR="0095167B" w:rsidRDefault="0052351F" w:rsidP="0052351F">
      <w:pPr>
        <w:pStyle w:val="SingleTxtG"/>
        <w:ind w:firstLine="567"/>
      </w:pPr>
      <w:r>
        <w:lastRenderedPageBreak/>
        <w:t>(a)</w:t>
      </w:r>
      <w:r>
        <w:tab/>
        <w:t>Respond to ongoing developments;</w:t>
      </w:r>
    </w:p>
    <w:p w:rsidR="0095167B" w:rsidRDefault="0052351F" w:rsidP="0052351F">
      <w:pPr>
        <w:pStyle w:val="SingleTxtG"/>
        <w:ind w:firstLine="567"/>
      </w:pPr>
      <w:r>
        <w:t>(b)</w:t>
      </w:r>
      <w:r>
        <w:tab/>
      </w:r>
      <w:r w:rsidR="0095167B">
        <w:t xml:space="preserve">Follow </w:t>
      </w:r>
      <w:r w:rsidR="005D242E">
        <w:t>political, legal and institutional reforms</w:t>
      </w:r>
      <w:r>
        <w:t>;</w:t>
      </w:r>
    </w:p>
    <w:p w:rsidR="0095167B" w:rsidRDefault="0052351F" w:rsidP="001235FA">
      <w:pPr>
        <w:pStyle w:val="SingleTxtG"/>
        <w:ind w:firstLine="567"/>
      </w:pPr>
      <w:r>
        <w:t>(c)</w:t>
      </w:r>
      <w:r>
        <w:tab/>
      </w:r>
      <w:r w:rsidR="005D242E">
        <w:t>Remain fully engaged with the transition processes</w:t>
      </w:r>
      <w:r>
        <w:t>.</w:t>
      </w:r>
    </w:p>
    <w:p w:rsidR="00E33536" w:rsidRDefault="00E33536" w:rsidP="001235FA">
      <w:pPr>
        <w:pStyle w:val="SingleTxtG"/>
        <w:numPr>
          <w:ilvl w:val="0"/>
          <w:numId w:val="2"/>
        </w:numPr>
        <w:ind w:left="1134" w:firstLine="0"/>
      </w:pPr>
      <w:r>
        <w:t xml:space="preserve">The Special Rapporteur welcomes the work of OHCHR in developing </w:t>
      </w:r>
      <w:r w:rsidRPr="00953314">
        <w:t xml:space="preserve">training programmes to enhance the capacity of civil society and the </w:t>
      </w:r>
      <w:r>
        <w:t xml:space="preserve">National Human Rights Commission </w:t>
      </w:r>
      <w:r w:rsidR="004A7863">
        <w:t xml:space="preserve">with </w:t>
      </w:r>
      <w:r w:rsidRPr="00953314">
        <w:t>regard</w:t>
      </w:r>
      <w:r w:rsidR="004A7863">
        <w:t xml:space="preserve"> to</w:t>
      </w:r>
      <w:r w:rsidRPr="00953314">
        <w:t xml:space="preserve"> international mechanisms for human rights</w:t>
      </w:r>
      <w:r>
        <w:t>,</w:t>
      </w:r>
      <w:r w:rsidRPr="00953314">
        <w:t xml:space="preserve"> including the</w:t>
      </w:r>
      <w:r>
        <w:t xml:space="preserve"> </w:t>
      </w:r>
      <w:r w:rsidR="004A7863">
        <w:t>u</w:t>
      </w:r>
      <w:r>
        <w:t xml:space="preserve">niversal </w:t>
      </w:r>
      <w:r w:rsidR="004A7863">
        <w:t>p</w:t>
      </w:r>
      <w:r>
        <w:t xml:space="preserve">eriodic </w:t>
      </w:r>
      <w:r w:rsidR="004A7863">
        <w:t>r</w:t>
      </w:r>
      <w:r w:rsidRPr="00953314">
        <w:t>eview</w:t>
      </w:r>
      <w:r>
        <w:t>,</w:t>
      </w:r>
      <w:r w:rsidRPr="00953314">
        <w:t xml:space="preserve"> </w:t>
      </w:r>
      <w:r>
        <w:t>and</w:t>
      </w:r>
      <w:r w:rsidRPr="00953314">
        <w:t xml:space="preserve"> responding to requests </w:t>
      </w:r>
      <w:r w:rsidR="004A7863">
        <w:t>for</w:t>
      </w:r>
      <w:r w:rsidR="004A7863" w:rsidRPr="00953314">
        <w:t xml:space="preserve"> </w:t>
      </w:r>
      <w:r w:rsidRPr="00953314">
        <w:t>technical assistance by the authorities.</w:t>
      </w:r>
    </w:p>
    <w:p w:rsidR="00E33536" w:rsidRDefault="00E33536" w:rsidP="00E05427">
      <w:pPr>
        <w:pStyle w:val="SingleTxtG"/>
        <w:numPr>
          <w:ilvl w:val="0"/>
          <w:numId w:val="2"/>
        </w:numPr>
        <w:ind w:left="1134" w:firstLine="0"/>
      </w:pPr>
      <w:r>
        <w:t xml:space="preserve">The Special Rapporteur urges OHCHR to continue its activities in providing technical support to </w:t>
      </w:r>
      <w:r w:rsidR="004A7863">
        <w:t>g</w:t>
      </w:r>
      <w:r>
        <w:t xml:space="preserve">overnment institutions and civil society. He also urges it to reach out to local civil society activists, particularly online civil and political rights activists, including women, </w:t>
      </w:r>
      <w:r w:rsidR="00E05427">
        <w:t xml:space="preserve">both within </w:t>
      </w:r>
      <w:r>
        <w:t xml:space="preserve">and outside </w:t>
      </w:r>
      <w:r w:rsidR="00E05427">
        <w:t xml:space="preserve">of </w:t>
      </w:r>
      <w:r>
        <w:t>Muscat.</w:t>
      </w:r>
    </w:p>
    <w:p w:rsidR="00E33536" w:rsidRPr="00A11C2A" w:rsidRDefault="00A11C2A" w:rsidP="00A11C2A">
      <w:pPr>
        <w:pStyle w:val="HChG"/>
      </w:pPr>
      <w:r>
        <w:tab/>
        <w:t>VII.</w:t>
      </w:r>
      <w:r>
        <w:tab/>
      </w:r>
      <w:r w:rsidR="005A3FB1">
        <w:t>Conclusion and recommendations</w:t>
      </w:r>
    </w:p>
    <w:p w:rsidR="00E33536" w:rsidRPr="00A11C2A" w:rsidRDefault="00A11C2A" w:rsidP="00A11C2A">
      <w:pPr>
        <w:pStyle w:val="H1G"/>
      </w:pPr>
      <w:r>
        <w:tab/>
        <w:t>A.</w:t>
      </w:r>
      <w:r>
        <w:tab/>
      </w:r>
      <w:r w:rsidR="00E33536" w:rsidRPr="00A11C2A">
        <w:t>Conclusion</w:t>
      </w:r>
    </w:p>
    <w:p w:rsidR="00E33536" w:rsidRPr="00EC70DB" w:rsidRDefault="00E33536" w:rsidP="004B74F3">
      <w:pPr>
        <w:pStyle w:val="SingleTxtG"/>
        <w:numPr>
          <w:ilvl w:val="0"/>
          <w:numId w:val="2"/>
        </w:numPr>
        <w:ind w:left="1134" w:firstLine="0"/>
        <w:rPr>
          <w:b/>
        </w:rPr>
      </w:pPr>
      <w:r w:rsidRPr="00EC70DB">
        <w:rPr>
          <w:b/>
        </w:rPr>
        <w:t xml:space="preserve">The rights to freedom of peaceful assembly and of association are both platforms and collective exercises of other fundamental freedoms; they foster accountability, ethnic equity, cultural diversity, tolerance, participation and good governance, which in turn promote stability and peace. </w:t>
      </w:r>
    </w:p>
    <w:p w:rsidR="00E33536" w:rsidRPr="00EC70DB" w:rsidRDefault="00E33536" w:rsidP="004A7863">
      <w:pPr>
        <w:pStyle w:val="SingleTxtG"/>
        <w:numPr>
          <w:ilvl w:val="0"/>
          <w:numId w:val="2"/>
        </w:numPr>
        <w:ind w:left="1134" w:firstLine="0"/>
        <w:rPr>
          <w:b/>
        </w:rPr>
      </w:pPr>
      <w:r w:rsidRPr="00EC70DB">
        <w:rPr>
          <w:b/>
        </w:rPr>
        <w:t>In his meetings with the Government, the Special Rapporteur observed a consistent focus on maintaining peace, order and stability in Oman, often used as the rationale for limiting assembly and association rights. Nevertheless, in his view</w:t>
      </w:r>
      <w:r w:rsidR="00D46EFD">
        <w:rPr>
          <w:b/>
        </w:rPr>
        <w:t>,</w:t>
      </w:r>
      <w:r w:rsidRPr="00EC70DB">
        <w:rPr>
          <w:b/>
        </w:rPr>
        <w:t xml:space="preserve"> human rights are the foundation for true and sustainable stability. Stability flows organically through involvement and consensus, </w:t>
      </w:r>
      <w:r w:rsidR="004A7863">
        <w:rPr>
          <w:b/>
        </w:rPr>
        <w:t>as part of</w:t>
      </w:r>
      <w:r w:rsidR="004A7863" w:rsidRPr="00EC70DB">
        <w:rPr>
          <w:b/>
        </w:rPr>
        <w:t xml:space="preserve"> </w:t>
      </w:r>
      <w:r w:rsidRPr="00EC70DB">
        <w:rPr>
          <w:b/>
        </w:rPr>
        <w:t xml:space="preserve">a social contract in which everyone freely participates. </w:t>
      </w:r>
    </w:p>
    <w:p w:rsidR="00E33536" w:rsidRPr="00EC70DB" w:rsidRDefault="00E33536" w:rsidP="000871A8">
      <w:pPr>
        <w:pStyle w:val="SingleTxtG"/>
        <w:numPr>
          <w:ilvl w:val="0"/>
          <w:numId w:val="2"/>
        </w:numPr>
        <w:ind w:left="1134" w:firstLine="0"/>
        <w:rPr>
          <w:b/>
        </w:rPr>
      </w:pPr>
      <w:r w:rsidRPr="00EC70DB">
        <w:rPr>
          <w:b/>
        </w:rPr>
        <w:t>The legal environment for the exercise of the rights to freedom of peaceful assembly and of association in Oman is problematic and needs to be strengthened with reference to international human rights standards. The country’s impressive achievements in building the economy, maintaining stability and moderni</w:t>
      </w:r>
      <w:r w:rsidR="004A7863">
        <w:rPr>
          <w:b/>
        </w:rPr>
        <w:t>z</w:t>
      </w:r>
      <w:r w:rsidRPr="00EC70DB">
        <w:rPr>
          <w:b/>
        </w:rPr>
        <w:t>ing society are threatened in the long term by a climate in which the populace is not free to associate and organi</w:t>
      </w:r>
      <w:r w:rsidR="004A7863">
        <w:rPr>
          <w:b/>
        </w:rPr>
        <w:t>z</w:t>
      </w:r>
      <w:r w:rsidRPr="00EC70DB">
        <w:rPr>
          <w:b/>
        </w:rPr>
        <w:t xml:space="preserve">e </w:t>
      </w:r>
      <w:r w:rsidR="004A7863">
        <w:rPr>
          <w:b/>
        </w:rPr>
        <w:t>itself</w:t>
      </w:r>
      <w:r w:rsidR="004A7863" w:rsidRPr="00EC70DB">
        <w:rPr>
          <w:b/>
        </w:rPr>
        <w:t xml:space="preserve"> </w:t>
      </w:r>
      <w:r w:rsidRPr="00EC70DB">
        <w:rPr>
          <w:b/>
        </w:rPr>
        <w:t xml:space="preserve">to address </w:t>
      </w:r>
      <w:r w:rsidR="004A7863">
        <w:rPr>
          <w:b/>
        </w:rPr>
        <w:t>its</w:t>
      </w:r>
      <w:r w:rsidR="004A7863" w:rsidRPr="00EC70DB">
        <w:rPr>
          <w:b/>
        </w:rPr>
        <w:t xml:space="preserve"> </w:t>
      </w:r>
      <w:r w:rsidRPr="00EC70DB">
        <w:rPr>
          <w:b/>
        </w:rPr>
        <w:t xml:space="preserve">concerns or pursue </w:t>
      </w:r>
      <w:r w:rsidR="000871A8">
        <w:rPr>
          <w:b/>
        </w:rPr>
        <w:t>its</w:t>
      </w:r>
      <w:r w:rsidR="000871A8" w:rsidRPr="00EC70DB">
        <w:rPr>
          <w:b/>
        </w:rPr>
        <w:t xml:space="preserve"> </w:t>
      </w:r>
      <w:r w:rsidRPr="00EC70DB">
        <w:rPr>
          <w:b/>
        </w:rPr>
        <w:t xml:space="preserve">own interests. Silencing voices of dissent is not a viable approach going forward. When a Government fails to provide an outlet for popular sentiment, it loses a valuable opportunity to feel the pulse of the nation, and effectively creates a sealed vessel under pressure that will eventually explode with dire consequences. </w:t>
      </w:r>
    </w:p>
    <w:p w:rsidR="00E33536" w:rsidRPr="00EC70DB" w:rsidRDefault="00E33536" w:rsidP="00D46EFD">
      <w:pPr>
        <w:pStyle w:val="SingleTxtG"/>
        <w:numPr>
          <w:ilvl w:val="0"/>
          <w:numId w:val="2"/>
        </w:numPr>
        <w:ind w:left="1134" w:firstLine="0"/>
        <w:rPr>
          <w:b/>
        </w:rPr>
      </w:pPr>
      <w:r w:rsidRPr="00EC70DB">
        <w:rPr>
          <w:b/>
        </w:rPr>
        <w:t>The Special Rapporteur makes the recommendations</w:t>
      </w:r>
      <w:r w:rsidR="00D46EFD">
        <w:rPr>
          <w:b/>
        </w:rPr>
        <w:t xml:space="preserve"> below</w:t>
      </w:r>
      <w:r w:rsidRPr="00EC70DB">
        <w:rPr>
          <w:b/>
        </w:rPr>
        <w:t xml:space="preserve">, confident that the Government will take </w:t>
      </w:r>
      <w:r w:rsidR="00D46EFD">
        <w:rPr>
          <w:b/>
        </w:rPr>
        <w:t xml:space="preserve">their </w:t>
      </w:r>
      <w:r w:rsidR="00D46EFD" w:rsidRPr="00EC70DB">
        <w:rPr>
          <w:b/>
        </w:rPr>
        <w:t>implement</w:t>
      </w:r>
      <w:r w:rsidR="00D46EFD">
        <w:rPr>
          <w:b/>
        </w:rPr>
        <w:t xml:space="preserve">ation </w:t>
      </w:r>
      <w:r w:rsidRPr="00EC70DB">
        <w:rPr>
          <w:b/>
        </w:rPr>
        <w:t>as an opportunity to consolidate the progress of Oman towards the realizations of the rights to freedom of peaceful assembly and of association. Its efforts would undoubtedly resonate at the regional and international levels and influence other countries positively.</w:t>
      </w:r>
    </w:p>
    <w:p w:rsidR="00E33536" w:rsidRPr="00EC70DB" w:rsidRDefault="00E33536" w:rsidP="004B74F3">
      <w:pPr>
        <w:pStyle w:val="SingleTxtG"/>
        <w:numPr>
          <w:ilvl w:val="0"/>
          <w:numId w:val="2"/>
        </w:numPr>
        <w:ind w:left="1134" w:firstLine="0"/>
        <w:rPr>
          <w:b/>
        </w:rPr>
      </w:pPr>
      <w:r w:rsidRPr="00EC70DB">
        <w:rPr>
          <w:b/>
        </w:rPr>
        <w:t xml:space="preserve">The Special Rapporteur reiterates that he stands ready to provide technical cooperation to the Government </w:t>
      </w:r>
      <w:r w:rsidRPr="00C17B2F">
        <w:rPr>
          <w:b/>
        </w:rPr>
        <w:t>as</w:t>
      </w:r>
      <w:r w:rsidRPr="00EC70DB">
        <w:rPr>
          <w:b/>
        </w:rPr>
        <w:t xml:space="preserve"> it implements the recommendations.</w:t>
      </w:r>
    </w:p>
    <w:p w:rsidR="00E33536" w:rsidRPr="00A11C2A" w:rsidRDefault="00A11C2A" w:rsidP="00A11C2A">
      <w:pPr>
        <w:pStyle w:val="H1G"/>
      </w:pPr>
      <w:r>
        <w:lastRenderedPageBreak/>
        <w:tab/>
        <w:t>B.</w:t>
      </w:r>
      <w:r>
        <w:tab/>
      </w:r>
      <w:r w:rsidR="00E33536" w:rsidRPr="00A11C2A">
        <w:t xml:space="preserve">Recommendations </w:t>
      </w:r>
    </w:p>
    <w:p w:rsidR="00E33536" w:rsidRPr="00EC70DB" w:rsidRDefault="00E33536" w:rsidP="004B74F3">
      <w:pPr>
        <w:pStyle w:val="SingleTxtG"/>
        <w:numPr>
          <w:ilvl w:val="0"/>
          <w:numId w:val="2"/>
        </w:numPr>
        <w:ind w:left="1134" w:firstLine="0"/>
        <w:rPr>
          <w:b/>
        </w:rPr>
      </w:pPr>
      <w:r w:rsidRPr="00EC70DB">
        <w:rPr>
          <w:b/>
        </w:rPr>
        <w:t>The Special Rapporteur would like to offer the following general recommendations:</w:t>
      </w:r>
    </w:p>
    <w:p w:rsidR="00E33536" w:rsidRPr="00F23EF1" w:rsidRDefault="00F23EF1" w:rsidP="00F23EF1">
      <w:pPr>
        <w:pStyle w:val="SingleTxtG"/>
        <w:ind w:firstLine="567"/>
        <w:rPr>
          <w:b/>
          <w:bCs/>
        </w:rPr>
      </w:pPr>
      <w:r w:rsidRPr="00C17B2F">
        <w:t>(a)</w:t>
      </w:r>
      <w:r w:rsidRPr="00F23EF1">
        <w:rPr>
          <w:b/>
          <w:bCs/>
        </w:rPr>
        <w:tab/>
      </w:r>
      <w:r w:rsidR="00E33536" w:rsidRPr="00F23EF1">
        <w:rPr>
          <w:b/>
          <w:bCs/>
        </w:rPr>
        <w:t>Expedite the ratification of the International Covenant on Economic, Social and Cultural Rights and the International Covenant on Civil and Political Rights;</w:t>
      </w:r>
    </w:p>
    <w:p w:rsidR="00E33536" w:rsidRPr="00F23EF1" w:rsidRDefault="00F23EF1" w:rsidP="00D46EFD">
      <w:pPr>
        <w:pStyle w:val="SingleTxtG"/>
        <w:ind w:firstLine="567"/>
        <w:rPr>
          <w:b/>
          <w:bCs/>
        </w:rPr>
      </w:pPr>
      <w:r w:rsidRPr="00C17B2F">
        <w:t>(b)</w:t>
      </w:r>
      <w:r w:rsidRPr="00F23EF1">
        <w:rPr>
          <w:b/>
          <w:bCs/>
        </w:rPr>
        <w:tab/>
      </w:r>
      <w:r w:rsidR="00E33536" w:rsidRPr="00F23EF1">
        <w:rPr>
          <w:b/>
          <w:bCs/>
        </w:rPr>
        <w:t xml:space="preserve">Withdraw all outstanding reservations </w:t>
      </w:r>
      <w:r w:rsidR="000871A8">
        <w:rPr>
          <w:b/>
          <w:bCs/>
        </w:rPr>
        <w:t>to</w:t>
      </w:r>
      <w:r w:rsidR="000871A8" w:rsidRPr="00F23EF1">
        <w:rPr>
          <w:b/>
          <w:bCs/>
        </w:rPr>
        <w:t xml:space="preserve"> </w:t>
      </w:r>
      <w:r w:rsidR="00E33536" w:rsidRPr="00F23EF1">
        <w:rPr>
          <w:b/>
          <w:bCs/>
        </w:rPr>
        <w:t xml:space="preserve">human rights treaties </w:t>
      </w:r>
      <w:r w:rsidR="000871A8" w:rsidRPr="00C17B2F">
        <w:rPr>
          <w:b/>
          <w:bCs/>
        </w:rPr>
        <w:t>in the interest of</w:t>
      </w:r>
      <w:r w:rsidR="000871A8" w:rsidRPr="00F23EF1">
        <w:rPr>
          <w:b/>
          <w:bCs/>
        </w:rPr>
        <w:t xml:space="preserve"> </w:t>
      </w:r>
      <w:r w:rsidR="00D46EFD">
        <w:rPr>
          <w:b/>
          <w:bCs/>
        </w:rPr>
        <w:t xml:space="preserve">ensuring </w:t>
      </w:r>
      <w:r w:rsidR="00E33536" w:rsidRPr="00F23EF1">
        <w:rPr>
          <w:b/>
          <w:bCs/>
        </w:rPr>
        <w:t>the full enjoyment of human rights by everyone in Oman;</w:t>
      </w:r>
    </w:p>
    <w:p w:rsidR="00E33536" w:rsidRPr="00F23EF1" w:rsidRDefault="00F23EF1" w:rsidP="0051082A">
      <w:pPr>
        <w:pStyle w:val="SingleTxtG"/>
        <w:ind w:firstLine="567"/>
        <w:rPr>
          <w:b/>
          <w:bCs/>
        </w:rPr>
      </w:pPr>
      <w:r w:rsidRPr="00C17B2F">
        <w:t>(c)</w:t>
      </w:r>
      <w:r w:rsidRPr="00F23EF1">
        <w:rPr>
          <w:b/>
          <w:bCs/>
        </w:rPr>
        <w:tab/>
      </w:r>
      <w:r w:rsidR="00E33536" w:rsidRPr="00F23EF1">
        <w:rPr>
          <w:b/>
          <w:bCs/>
        </w:rPr>
        <w:t>Ensure in law and in practice that the rights to freedom of peaceful assembly and of association play a decisive role in the emergence and maintenance of effective democratic systems as channels for dialogue, pluralism, tolerance and broadmindedness, where minority or dissenting views or beliefs are respected;</w:t>
      </w:r>
    </w:p>
    <w:p w:rsidR="00E33536" w:rsidRPr="00F23EF1" w:rsidRDefault="00F23EF1" w:rsidP="00ED41B1">
      <w:pPr>
        <w:pStyle w:val="SingleTxtG"/>
        <w:ind w:firstLine="567"/>
        <w:rPr>
          <w:b/>
          <w:bCs/>
        </w:rPr>
      </w:pPr>
      <w:r w:rsidRPr="00C17B2F">
        <w:t>(d)</w:t>
      </w:r>
      <w:r w:rsidRPr="00F23EF1">
        <w:rPr>
          <w:b/>
          <w:bCs/>
        </w:rPr>
        <w:tab/>
      </w:r>
      <w:r w:rsidR="00E33536" w:rsidRPr="00F23EF1">
        <w:rPr>
          <w:b/>
          <w:bCs/>
        </w:rPr>
        <w:t xml:space="preserve">Ensure a conducive and safe environment for everyone exercising or seeking to exercise his or her rights to freedom of peaceful assembly and of association, abolish </w:t>
      </w:r>
      <w:r w:rsidR="000871A8">
        <w:rPr>
          <w:b/>
          <w:bCs/>
        </w:rPr>
        <w:t>legislation</w:t>
      </w:r>
      <w:r w:rsidR="00E33536" w:rsidRPr="00F23EF1">
        <w:rPr>
          <w:b/>
          <w:bCs/>
        </w:rPr>
        <w:t xml:space="preserve"> that criminalize</w:t>
      </w:r>
      <w:r w:rsidR="000871A8">
        <w:rPr>
          <w:b/>
          <w:bCs/>
        </w:rPr>
        <w:t>s</w:t>
      </w:r>
      <w:r w:rsidR="00E33536" w:rsidRPr="00F23EF1">
        <w:rPr>
          <w:b/>
          <w:bCs/>
        </w:rPr>
        <w:t xml:space="preserve"> homosexuality </w:t>
      </w:r>
      <w:r w:rsidR="008202F8">
        <w:rPr>
          <w:b/>
          <w:bCs/>
        </w:rPr>
        <w:t xml:space="preserve">and ensure that </w:t>
      </w:r>
      <w:r w:rsidR="00E33536" w:rsidRPr="00F23EF1">
        <w:rPr>
          <w:b/>
          <w:bCs/>
        </w:rPr>
        <w:t>State obligations to achieve non-discrimination and equality are immediate and not subject to progressive realization</w:t>
      </w:r>
      <w:r w:rsidR="00ED41B1" w:rsidRPr="00ED41B1">
        <w:rPr>
          <w:b/>
          <w:bCs/>
        </w:rPr>
        <w:t xml:space="preserve"> (s</w:t>
      </w:r>
      <w:r w:rsidR="00ED41B1" w:rsidRPr="00C17B2F">
        <w:rPr>
          <w:rFonts w:cs="Calibri"/>
          <w:b/>
          <w:bCs/>
        </w:rPr>
        <w:t>ee A/HRC/26/29, para. 19)</w:t>
      </w:r>
      <w:r w:rsidR="002F745F">
        <w:rPr>
          <w:b/>
          <w:bCs/>
        </w:rPr>
        <w:t>;</w:t>
      </w:r>
    </w:p>
    <w:p w:rsidR="00E33536" w:rsidRPr="00F23EF1" w:rsidRDefault="00F23EF1" w:rsidP="000871A8">
      <w:pPr>
        <w:pStyle w:val="SingleTxtG"/>
        <w:ind w:firstLine="567"/>
        <w:rPr>
          <w:b/>
          <w:bCs/>
        </w:rPr>
      </w:pPr>
      <w:r w:rsidRPr="00C17B2F">
        <w:t>(e)</w:t>
      </w:r>
      <w:r w:rsidRPr="00F23EF1">
        <w:rPr>
          <w:b/>
          <w:bCs/>
        </w:rPr>
        <w:tab/>
      </w:r>
      <w:r w:rsidR="00E33536" w:rsidRPr="00F23EF1">
        <w:rPr>
          <w:b/>
          <w:bCs/>
        </w:rPr>
        <w:t>Ensure that no one is criminali</w:t>
      </w:r>
      <w:r w:rsidR="000871A8">
        <w:rPr>
          <w:b/>
          <w:bCs/>
        </w:rPr>
        <w:t>z</w:t>
      </w:r>
      <w:r w:rsidR="00E33536" w:rsidRPr="00F23EF1">
        <w:rPr>
          <w:b/>
          <w:bCs/>
        </w:rPr>
        <w:t xml:space="preserve">ed for exercising the rights to freedom of peaceful assembly </w:t>
      </w:r>
      <w:r w:rsidR="000871A8">
        <w:rPr>
          <w:b/>
          <w:bCs/>
        </w:rPr>
        <w:t>or</w:t>
      </w:r>
      <w:r w:rsidR="000871A8" w:rsidRPr="00F23EF1">
        <w:rPr>
          <w:b/>
          <w:bCs/>
        </w:rPr>
        <w:t xml:space="preserve"> </w:t>
      </w:r>
      <w:r w:rsidR="00E33536" w:rsidRPr="00F23EF1">
        <w:rPr>
          <w:b/>
          <w:bCs/>
        </w:rPr>
        <w:t>of association, or subject</w:t>
      </w:r>
      <w:r w:rsidR="000871A8">
        <w:rPr>
          <w:b/>
          <w:bCs/>
        </w:rPr>
        <w:t>ed</w:t>
      </w:r>
      <w:r w:rsidR="00E33536" w:rsidRPr="00F23EF1">
        <w:rPr>
          <w:b/>
          <w:bCs/>
        </w:rPr>
        <w:t xml:space="preserve"> to threats or use of violence, harassment, persecution, intimidation or reprisals;</w:t>
      </w:r>
    </w:p>
    <w:p w:rsidR="00E33536" w:rsidRPr="00F23EF1" w:rsidRDefault="00F23EF1" w:rsidP="00F23EF1">
      <w:pPr>
        <w:pStyle w:val="SingleTxtG"/>
        <w:ind w:firstLine="567"/>
        <w:rPr>
          <w:b/>
          <w:bCs/>
        </w:rPr>
      </w:pPr>
      <w:r w:rsidRPr="00C17B2F">
        <w:t>(f)</w:t>
      </w:r>
      <w:r w:rsidRPr="00F23EF1">
        <w:rPr>
          <w:b/>
          <w:bCs/>
        </w:rPr>
        <w:tab/>
      </w:r>
      <w:r w:rsidR="00E33536" w:rsidRPr="00F23EF1">
        <w:rPr>
          <w:b/>
          <w:bCs/>
        </w:rPr>
        <w:t>Ensure that any restrictions on the rights to freedom of peaceful assembly and of association are guided by the principle that they must not impair the essence of the right and that they are prescribed by law</w:t>
      </w:r>
      <w:r w:rsidR="000871A8">
        <w:rPr>
          <w:b/>
          <w:bCs/>
        </w:rPr>
        <w:t>;</w:t>
      </w:r>
      <w:r w:rsidR="00E33536" w:rsidRPr="00F23EF1">
        <w:rPr>
          <w:b/>
          <w:bCs/>
        </w:rPr>
        <w:t xml:space="preserve"> </w:t>
      </w:r>
      <w:r w:rsidR="00671B9E">
        <w:rPr>
          <w:b/>
          <w:bCs/>
        </w:rPr>
        <w:t xml:space="preserve">are </w:t>
      </w:r>
      <w:r w:rsidR="00E33536" w:rsidRPr="00F23EF1">
        <w:rPr>
          <w:b/>
          <w:bCs/>
        </w:rPr>
        <w:t>necessary in a democratic society</w:t>
      </w:r>
      <w:r w:rsidR="000871A8">
        <w:rPr>
          <w:b/>
          <w:bCs/>
        </w:rPr>
        <w:t>;</w:t>
      </w:r>
      <w:r w:rsidR="00E33536" w:rsidRPr="00F23EF1">
        <w:rPr>
          <w:b/>
          <w:bCs/>
        </w:rPr>
        <w:t xml:space="preserve"> </w:t>
      </w:r>
      <w:r w:rsidR="00671B9E">
        <w:rPr>
          <w:b/>
          <w:bCs/>
        </w:rPr>
        <w:t xml:space="preserve">are </w:t>
      </w:r>
      <w:r w:rsidR="00E33536" w:rsidRPr="00F23EF1">
        <w:rPr>
          <w:b/>
          <w:bCs/>
        </w:rPr>
        <w:t>proportionate to the aim pursued</w:t>
      </w:r>
      <w:r w:rsidR="000871A8">
        <w:rPr>
          <w:b/>
          <w:bCs/>
        </w:rPr>
        <w:t>;</w:t>
      </w:r>
      <w:r w:rsidR="00E33536" w:rsidRPr="00F23EF1">
        <w:rPr>
          <w:b/>
          <w:bCs/>
        </w:rPr>
        <w:t xml:space="preserve"> and </w:t>
      </w:r>
      <w:r w:rsidR="00671B9E">
        <w:rPr>
          <w:b/>
          <w:bCs/>
        </w:rPr>
        <w:t xml:space="preserve">are </w:t>
      </w:r>
      <w:r w:rsidR="00E33536" w:rsidRPr="00F23EF1">
        <w:rPr>
          <w:b/>
          <w:bCs/>
        </w:rPr>
        <w:t>subject to an independent, impartial and prompt judicial review;</w:t>
      </w:r>
    </w:p>
    <w:p w:rsidR="00E33536" w:rsidRPr="00F23EF1" w:rsidRDefault="00F23EF1" w:rsidP="0051082A">
      <w:pPr>
        <w:pStyle w:val="SingleTxtG"/>
        <w:ind w:firstLine="567"/>
        <w:rPr>
          <w:b/>
          <w:bCs/>
        </w:rPr>
      </w:pPr>
      <w:r w:rsidRPr="00C17B2F">
        <w:t>(g)</w:t>
      </w:r>
      <w:r w:rsidRPr="00F23EF1">
        <w:rPr>
          <w:b/>
          <w:bCs/>
        </w:rPr>
        <w:tab/>
      </w:r>
      <w:r w:rsidR="00E33536" w:rsidRPr="00F23EF1">
        <w:rPr>
          <w:b/>
          <w:bCs/>
        </w:rPr>
        <w:t>Ensure free</w:t>
      </w:r>
      <w:r w:rsidR="000871A8">
        <w:rPr>
          <w:b/>
          <w:bCs/>
        </w:rPr>
        <w:t>dom of</w:t>
      </w:r>
      <w:r w:rsidR="00E33536" w:rsidRPr="00F23EF1">
        <w:rPr>
          <w:b/>
          <w:bCs/>
        </w:rPr>
        <w:t xml:space="preserve"> access to the Internet in accordance with international human rights standards</w:t>
      </w:r>
      <w:r w:rsidR="00671B9E">
        <w:rPr>
          <w:b/>
          <w:bCs/>
        </w:rPr>
        <w:t>,</w:t>
      </w:r>
      <w:r w:rsidR="00E33536" w:rsidRPr="00F23EF1">
        <w:rPr>
          <w:b/>
          <w:bCs/>
        </w:rPr>
        <w:t xml:space="preserve"> including the protection of the rights to freedom of peaceful assembly and of association online;</w:t>
      </w:r>
    </w:p>
    <w:p w:rsidR="00E33536" w:rsidRPr="00F23EF1" w:rsidRDefault="00F23EF1" w:rsidP="008A41E6">
      <w:pPr>
        <w:pStyle w:val="SingleTxtG"/>
        <w:ind w:firstLine="567"/>
        <w:rPr>
          <w:b/>
          <w:bCs/>
        </w:rPr>
      </w:pPr>
      <w:r w:rsidRPr="00C17B2F">
        <w:t>(h)</w:t>
      </w:r>
      <w:r w:rsidRPr="00F23EF1">
        <w:rPr>
          <w:b/>
          <w:bCs/>
        </w:rPr>
        <w:tab/>
      </w:r>
      <w:r w:rsidR="00E33536" w:rsidRPr="00F23EF1">
        <w:rPr>
          <w:b/>
          <w:bCs/>
        </w:rPr>
        <w:t>Provide individuals exercising their rights to freedom of peaceful assembly and of association with the protection offered by the right to freedom of expression;</w:t>
      </w:r>
    </w:p>
    <w:p w:rsidR="00E33536" w:rsidRPr="00F23EF1" w:rsidRDefault="00F23EF1" w:rsidP="00F23EF1">
      <w:pPr>
        <w:pStyle w:val="SingleTxtG"/>
        <w:ind w:firstLine="567"/>
        <w:rPr>
          <w:b/>
          <w:bCs/>
        </w:rPr>
      </w:pPr>
      <w:r w:rsidRPr="00C17B2F">
        <w:t>(</w:t>
      </w:r>
      <w:proofErr w:type="spellStart"/>
      <w:r w:rsidRPr="00C17B2F">
        <w:t>i</w:t>
      </w:r>
      <w:proofErr w:type="spellEnd"/>
      <w:r w:rsidRPr="00C17B2F">
        <w:t>)</w:t>
      </w:r>
      <w:r w:rsidRPr="00F23EF1">
        <w:rPr>
          <w:b/>
          <w:bCs/>
        </w:rPr>
        <w:tab/>
      </w:r>
      <w:r w:rsidR="00E33536" w:rsidRPr="00F23EF1">
        <w:rPr>
          <w:b/>
          <w:bCs/>
        </w:rPr>
        <w:t>Ensure that administrative and law enforcement officials are adequately trained in relation to international human rights norms and standards governing the rights to freedom of peaceful assembly and of association;</w:t>
      </w:r>
    </w:p>
    <w:p w:rsidR="00E33536" w:rsidRPr="00F23EF1" w:rsidRDefault="00F23EF1" w:rsidP="008A41E6">
      <w:pPr>
        <w:pStyle w:val="SingleTxtG"/>
        <w:ind w:firstLine="567"/>
        <w:rPr>
          <w:b/>
          <w:bCs/>
        </w:rPr>
      </w:pPr>
      <w:r w:rsidRPr="00C17B2F">
        <w:t>(j)</w:t>
      </w:r>
      <w:r w:rsidRPr="00F23EF1">
        <w:rPr>
          <w:b/>
          <w:bCs/>
        </w:rPr>
        <w:tab/>
      </w:r>
      <w:r w:rsidR="00E33536" w:rsidRPr="00F23EF1">
        <w:rPr>
          <w:b/>
          <w:bCs/>
        </w:rPr>
        <w:t>Ensure that law enforcement officials who violate the rights to freedom of peaceful assembly and of association are held personally and fully accountable for such violations by an independent and impartial oversight body, and by the courts of</w:t>
      </w:r>
      <w:r w:rsidR="008A41E6">
        <w:rPr>
          <w:b/>
          <w:bCs/>
        </w:rPr>
        <w:t xml:space="preserve"> </w:t>
      </w:r>
      <w:r w:rsidR="00E33536" w:rsidRPr="00F23EF1">
        <w:rPr>
          <w:b/>
          <w:bCs/>
        </w:rPr>
        <w:t>law;</w:t>
      </w:r>
    </w:p>
    <w:p w:rsidR="00E33536" w:rsidRPr="00F23EF1" w:rsidRDefault="00F23EF1" w:rsidP="00F23EF1">
      <w:pPr>
        <w:pStyle w:val="SingleTxtG"/>
        <w:ind w:firstLine="567"/>
        <w:rPr>
          <w:b/>
          <w:bCs/>
        </w:rPr>
      </w:pPr>
      <w:r w:rsidRPr="00C17B2F">
        <w:t>(k)</w:t>
      </w:r>
      <w:r w:rsidRPr="00F23EF1">
        <w:rPr>
          <w:b/>
          <w:bCs/>
        </w:rPr>
        <w:tab/>
      </w:r>
      <w:r w:rsidR="00E33536" w:rsidRPr="00F23EF1">
        <w:rPr>
          <w:b/>
          <w:bCs/>
        </w:rPr>
        <w:t xml:space="preserve">Ensure that the victims of violations and abuses of the rights to freedom of peaceful assembly and of association have the right to an effective remedy and </w:t>
      </w:r>
      <w:r w:rsidR="00383CEA" w:rsidRPr="00C17B2F">
        <w:rPr>
          <w:b/>
          <w:bCs/>
        </w:rPr>
        <w:t>to</w:t>
      </w:r>
      <w:r w:rsidR="00383CEA">
        <w:rPr>
          <w:b/>
          <w:bCs/>
        </w:rPr>
        <w:t xml:space="preserve"> </w:t>
      </w:r>
      <w:r w:rsidR="00E33536" w:rsidRPr="00F23EF1">
        <w:rPr>
          <w:b/>
          <w:bCs/>
        </w:rPr>
        <w:t>obtain effective redress;</w:t>
      </w:r>
    </w:p>
    <w:p w:rsidR="00E33536" w:rsidRPr="00F23EF1" w:rsidRDefault="00F23EF1" w:rsidP="00F23EF1">
      <w:pPr>
        <w:pStyle w:val="SingleTxtG"/>
        <w:ind w:firstLine="567"/>
        <w:rPr>
          <w:b/>
          <w:bCs/>
        </w:rPr>
      </w:pPr>
      <w:r w:rsidRPr="00C17B2F">
        <w:t>(l)</w:t>
      </w:r>
      <w:r w:rsidRPr="00F23EF1">
        <w:rPr>
          <w:b/>
          <w:bCs/>
        </w:rPr>
        <w:tab/>
      </w:r>
      <w:r w:rsidR="00E33536" w:rsidRPr="00F23EF1">
        <w:rPr>
          <w:b/>
          <w:bCs/>
        </w:rPr>
        <w:t>Raise public awareness on the laws and regulations pertaining to the rights to freedom of peaceful assembly and of association</w:t>
      </w:r>
      <w:r w:rsidR="00447981">
        <w:rPr>
          <w:b/>
          <w:bCs/>
        </w:rPr>
        <w:t>.</w:t>
      </w:r>
    </w:p>
    <w:p w:rsidR="00E33536" w:rsidRPr="00EC70DB" w:rsidRDefault="00E33536" w:rsidP="008A41E6">
      <w:pPr>
        <w:pStyle w:val="SingleTxtG"/>
        <w:numPr>
          <w:ilvl w:val="0"/>
          <w:numId w:val="2"/>
        </w:numPr>
        <w:ind w:left="1134" w:firstLine="0"/>
        <w:rPr>
          <w:b/>
        </w:rPr>
      </w:pPr>
      <w:r w:rsidRPr="00EC70DB">
        <w:rPr>
          <w:b/>
        </w:rPr>
        <w:t>Concerning the right to freedom of peaceful assembly, the Special Rapporteur calls on the relevant authorities</w:t>
      </w:r>
      <w:r w:rsidR="008A41E6">
        <w:rPr>
          <w:b/>
        </w:rPr>
        <w:t xml:space="preserve"> </w:t>
      </w:r>
      <w:r w:rsidRPr="00EC70DB">
        <w:rPr>
          <w:b/>
        </w:rPr>
        <w:t>to:</w:t>
      </w:r>
    </w:p>
    <w:p w:rsidR="00E33536" w:rsidRPr="00F23EF1" w:rsidRDefault="00F23EF1" w:rsidP="00F23EF1">
      <w:pPr>
        <w:pStyle w:val="SingleTxtG"/>
        <w:ind w:firstLine="567"/>
        <w:rPr>
          <w:b/>
          <w:bCs/>
        </w:rPr>
      </w:pPr>
      <w:r w:rsidRPr="00C17B2F">
        <w:lastRenderedPageBreak/>
        <w:t>(a)</w:t>
      </w:r>
      <w:r w:rsidRPr="00F23EF1">
        <w:rPr>
          <w:b/>
          <w:bCs/>
        </w:rPr>
        <w:tab/>
      </w:r>
      <w:r w:rsidR="00E33536" w:rsidRPr="00F23EF1">
        <w:rPr>
          <w:b/>
          <w:bCs/>
        </w:rPr>
        <w:t xml:space="preserve">Guarantee in law and in practice the right to freedom of peaceful assembly of everyone, including citizens and </w:t>
      </w:r>
      <w:r>
        <w:rPr>
          <w:b/>
          <w:bCs/>
        </w:rPr>
        <w:t>non-citizens, without exception;</w:t>
      </w:r>
    </w:p>
    <w:p w:rsidR="00E33536" w:rsidRPr="00F23EF1" w:rsidRDefault="00F23EF1" w:rsidP="00F23EF1">
      <w:pPr>
        <w:pStyle w:val="SingleTxtG"/>
        <w:ind w:firstLine="567"/>
        <w:rPr>
          <w:b/>
          <w:bCs/>
        </w:rPr>
      </w:pPr>
      <w:r w:rsidRPr="00C17B2F">
        <w:t>(b)</w:t>
      </w:r>
      <w:r w:rsidRPr="00F23EF1">
        <w:rPr>
          <w:b/>
          <w:bCs/>
        </w:rPr>
        <w:tab/>
      </w:r>
      <w:r w:rsidR="00E33536" w:rsidRPr="00F23EF1">
        <w:rPr>
          <w:b/>
          <w:bCs/>
        </w:rPr>
        <w:t>Adopt a law that clearly and explicitly establish</w:t>
      </w:r>
      <w:r w:rsidR="00DD3B61">
        <w:rPr>
          <w:b/>
          <w:bCs/>
        </w:rPr>
        <w:t>es</w:t>
      </w:r>
      <w:r w:rsidR="00E33536" w:rsidRPr="00F23EF1">
        <w:rPr>
          <w:b/>
          <w:bCs/>
        </w:rPr>
        <w:t xml:space="preserve"> the presumption in favour of holding peaceful assemblies</w:t>
      </w:r>
      <w:r>
        <w:rPr>
          <w:b/>
          <w:bCs/>
        </w:rPr>
        <w:t>;</w:t>
      </w:r>
    </w:p>
    <w:p w:rsidR="00E33536" w:rsidRPr="00F23EF1" w:rsidRDefault="00F23EF1" w:rsidP="00AF2298">
      <w:pPr>
        <w:pStyle w:val="SingleTxtG"/>
        <w:ind w:firstLine="567"/>
        <w:rPr>
          <w:b/>
          <w:bCs/>
        </w:rPr>
      </w:pPr>
      <w:r w:rsidRPr="00C17B2F">
        <w:t>(c)</w:t>
      </w:r>
      <w:r w:rsidRPr="00F23EF1">
        <w:rPr>
          <w:b/>
          <w:bCs/>
        </w:rPr>
        <w:tab/>
      </w:r>
      <w:r w:rsidR="00DD3B61">
        <w:rPr>
          <w:b/>
          <w:bCs/>
        </w:rPr>
        <w:t>Repeal</w:t>
      </w:r>
      <w:r w:rsidR="00DD3B61" w:rsidRPr="00F23EF1">
        <w:rPr>
          <w:b/>
          <w:bCs/>
        </w:rPr>
        <w:t xml:space="preserve"> </w:t>
      </w:r>
      <w:r w:rsidR="00E33536" w:rsidRPr="00F23EF1">
        <w:rPr>
          <w:b/>
          <w:bCs/>
        </w:rPr>
        <w:t xml:space="preserve">laws that criminalize the act of defaming the </w:t>
      </w:r>
      <w:r w:rsidR="004B7CA9" w:rsidRPr="00C17B2F">
        <w:rPr>
          <w:b/>
          <w:bCs/>
        </w:rPr>
        <w:t>H</w:t>
      </w:r>
      <w:r w:rsidR="00E33536" w:rsidRPr="008A41E6">
        <w:rPr>
          <w:b/>
          <w:bCs/>
        </w:rPr>
        <w:t xml:space="preserve">ead of </w:t>
      </w:r>
      <w:r w:rsidR="004B7CA9" w:rsidRPr="00C17B2F">
        <w:rPr>
          <w:b/>
          <w:bCs/>
        </w:rPr>
        <w:t>S</w:t>
      </w:r>
      <w:r w:rsidR="00E33536" w:rsidRPr="008A41E6">
        <w:rPr>
          <w:b/>
          <w:bCs/>
        </w:rPr>
        <w:t>tate</w:t>
      </w:r>
      <w:r w:rsidR="00E33536" w:rsidRPr="00F23EF1">
        <w:rPr>
          <w:b/>
          <w:bCs/>
        </w:rPr>
        <w:t xml:space="preserve"> or other political figures</w:t>
      </w:r>
      <w:r>
        <w:rPr>
          <w:b/>
          <w:bCs/>
        </w:rPr>
        <w:t>;</w:t>
      </w:r>
    </w:p>
    <w:p w:rsidR="00E33536" w:rsidRPr="00F23EF1" w:rsidRDefault="00F23EF1" w:rsidP="00DD3B61">
      <w:pPr>
        <w:pStyle w:val="SingleTxtG"/>
        <w:ind w:firstLine="567"/>
        <w:rPr>
          <w:b/>
          <w:bCs/>
        </w:rPr>
      </w:pPr>
      <w:r w:rsidRPr="00C17B2F">
        <w:t>(d)</w:t>
      </w:r>
      <w:r w:rsidRPr="00F23EF1">
        <w:rPr>
          <w:b/>
          <w:bCs/>
        </w:rPr>
        <w:tab/>
      </w:r>
      <w:r w:rsidR="00E33536" w:rsidRPr="00F23EF1">
        <w:rPr>
          <w:b/>
          <w:bCs/>
        </w:rPr>
        <w:t>Amend Royal Decrees 30/2002</w:t>
      </w:r>
      <w:r w:rsidR="00E33536" w:rsidRPr="00C17B2F">
        <w:rPr>
          <w:rStyle w:val="FootnoteReference"/>
        </w:rPr>
        <w:footnoteReference w:id="29"/>
      </w:r>
      <w:r w:rsidR="00E33536" w:rsidRPr="00F23EF1">
        <w:rPr>
          <w:b/>
          <w:bCs/>
        </w:rPr>
        <w:t xml:space="preserve"> and 49/1984</w:t>
      </w:r>
      <w:r w:rsidR="00E33536" w:rsidRPr="00C17B2F">
        <w:rPr>
          <w:rStyle w:val="FootnoteReference"/>
        </w:rPr>
        <w:footnoteReference w:id="30"/>
      </w:r>
      <w:r w:rsidR="00E33536" w:rsidRPr="00F23EF1">
        <w:rPr>
          <w:b/>
          <w:bCs/>
        </w:rPr>
        <w:t xml:space="preserve"> in full consultation with civil society and other relevant stakeholders </w:t>
      </w:r>
      <w:r w:rsidR="008A41E6">
        <w:rPr>
          <w:b/>
          <w:bCs/>
        </w:rPr>
        <w:t xml:space="preserve">in order </w:t>
      </w:r>
      <w:r w:rsidR="00E33536" w:rsidRPr="00F23EF1">
        <w:rPr>
          <w:b/>
          <w:bCs/>
        </w:rPr>
        <w:t>to ensure compliance with international human rights standards, including the right to freedom of peaceful assembly</w:t>
      </w:r>
      <w:r>
        <w:rPr>
          <w:b/>
          <w:bCs/>
        </w:rPr>
        <w:t>;</w:t>
      </w:r>
    </w:p>
    <w:p w:rsidR="00E33536" w:rsidRPr="00F23EF1" w:rsidRDefault="00F23EF1" w:rsidP="00DD3B61">
      <w:pPr>
        <w:pStyle w:val="SingleTxtG"/>
        <w:ind w:firstLine="567"/>
        <w:rPr>
          <w:b/>
          <w:bCs/>
        </w:rPr>
      </w:pPr>
      <w:r w:rsidRPr="00C17B2F">
        <w:t>(e)</w:t>
      </w:r>
      <w:r w:rsidRPr="00F23EF1">
        <w:rPr>
          <w:b/>
          <w:bCs/>
        </w:rPr>
        <w:tab/>
      </w:r>
      <w:r w:rsidR="00E33536" w:rsidRPr="00F23EF1">
        <w:rPr>
          <w:b/>
          <w:bCs/>
        </w:rPr>
        <w:t>Ensure that allegations of excessive use of force by law enforcement officers are effectively investigated and that individuals responsible are held accountable</w:t>
      </w:r>
      <w:r>
        <w:rPr>
          <w:b/>
          <w:bCs/>
        </w:rPr>
        <w:t>;</w:t>
      </w:r>
    </w:p>
    <w:p w:rsidR="00E33536" w:rsidRPr="00F23EF1" w:rsidRDefault="00F23EF1" w:rsidP="00DD3B61">
      <w:pPr>
        <w:pStyle w:val="SingleTxtG"/>
        <w:ind w:firstLine="567"/>
        <w:rPr>
          <w:b/>
          <w:bCs/>
        </w:rPr>
      </w:pPr>
      <w:r w:rsidRPr="00C17B2F">
        <w:t>(f)</w:t>
      </w:r>
      <w:r w:rsidRPr="00F23EF1">
        <w:rPr>
          <w:b/>
          <w:bCs/>
        </w:rPr>
        <w:tab/>
      </w:r>
      <w:r w:rsidR="00E33536" w:rsidRPr="00F23EF1">
        <w:rPr>
          <w:b/>
          <w:bCs/>
        </w:rPr>
        <w:t xml:space="preserve">Release all those detained </w:t>
      </w:r>
      <w:r w:rsidR="00DD3B61">
        <w:rPr>
          <w:b/>
          <w:bCs/>
        </w:rPr>
        <w:t>for</w:t>
      </w:r>
      <w:r w:rsidR="00E33536" w:rsidRPr="00F23EF1">
        <w:rPr>
          <w:b/>
          <w:bCs/>
        </w:rPr>
        <w:t xml:space="preserve"> exercising the right to freedom of peaceful assembly</w:t>
      </w:r>
      <w:r>
        <w:rPr>
          <w:b/>
          <w:bCs/>
        </w:rPr>
        <w:t>;</w:t>
      </w:r>
    </w:p>
    <w:p w:rsidR="00E33536" w:rsidRPr="00F23EF1" w:rsidRDefault="00F23EF1" w:rsidP="008A41E6">
      <w:pPr>
        <w:pStyle w:val="SingleTxtG"/>
        <w:ind w:firstLine="567"/>
        <w:rPr>
          <w:b/>
          <w:bCs/>
        </w:rPr>
      </w:pPr>
      <w:r w:rsidRPr="00C17B2F">
        <w:t>(g)</w:t>
      </w:r>
      <w:r w:rsidRPr="008A41E6">
        <w:rPr>
          <w:b/>
          <w:bCs/>
        </w:rPr>
        <w:tab/>
      </w:r>
      <w:r w:rsidR="00E33536" w:rsidRPr="008A41E6">
        <w:rPr>
          <w:b/>
          <w:bCs/>
        </w:rPr>
        <w:t xml:space="preserve">Endorse a prior notification regime for all peaceful assemblies </w:t>
      </w:r>
      <w:r w:rsidR="008A41E6" w:rsidRPr="00C17B2F">
        <w:rPr>
          <w:b/>
          <w:bCs/>
        </w:rPr>
        <w:t xml:space="preserve">in order </w:t>
      </w:r>
      <w:r w:rsidR="00E33536" w:rsidRPr="00C17B2F">
        <w:rPr>
          <w:b/>
          <w:bCs/>
        </w:rPr>
        <w:t>to better</w:t>
      </w:r>
      <w:r w:rsidR="00E33536" w:rsidRPr="00F23EF1">
        <w:rPr>
          <w:b/>
          <w:bCs/>
        </w:rPr>
        <w:t xml:space="preserve"> facilitate and protect them</w:t>
      </w:r>
      <w:r>
        <w:rPr>
          <w:b/>
          <w:bCs/>
        </w:rPr>
        <w:t>;</w:t>
      </w:r>
    </w:p>
    <w:p w:rsidR="00E33536" w:rsidRPr="00F23EF1" w:rsidRDefault="00F23EF1" w:rsidP="00F23EF1">
      <w:pPr>
        <w:pStyle w:val="SingleTxtG"/>
        <w:ind w:firstLine="567"/>
        <w:rPr>
          <w:b/>
          <w:bCs/>
        </w:rPr>
      </w:pPr>
      <w:r w:rsidRPr="00C17B2F">
        <w:t>(h)</w:t>
      </w:r>
      <w:r w:rsidRPr="00F23EF1">
        <w:rPr>
          <w:b/>
          <w:bCs/>
        </w:rPr>
        <w:tab/>
      </w:r>
      <w:r w:rsidR="00E33536" w:rsidRPr="00F23EF1">
        <w:rPr>
          <w:b/>
          <w:bCs/>
        </w:rPr>
        <w:t>Recognize in law</w:t>
      </w:r>
      <w:r w:rsidR="00DD3B61">
        <w:rPr>
          <w:b/>
          <w:bCs/>
        </w:rPr>
        <w:t>,</w:t>
      </w:r>
      <w:r w:rsidR="00E33536" w:rsidRPr="00F23EF1">
        <w:rPr>
          <w:b/>
          <w:bCs/>
        </w:rPr>
        <w:t xml:space="preserve"> and facilitate</w:t>
      </w:r>
      <w:r w:rsidR="00DD3B61">
        <w:rPr>
          <w:b/>
          <w:bCs/>
        </w:rPr>
        <w:t>,</w:t>
      </w:r>
      <w:r w:rsidR="00E33536" w:rsidRPr="00F23EF1">
        <w:rPr>
          <w:b/>
          <w:bCs/>
        </w:rPr>
        <w:t xml:space="preserve"> spontaneous peaceful assemblies, which should be exempted from prior notification</w:t>
      </w:r>
      <w:r w:rsidR="00DD3B61">
        <w:rPr>
          <w:b/>
          <w:bCs/>
        </w:rPr>
        <w:t xml:space="preserve"> requirements</w:t>
      </w:r>
      <w:r>
        <w:rPr>
          <w:b/>
          <w:bCs/>
        </w:rPr>
        <w:t>;</w:t>
      </w:r>
    </w:p>
    <w:p w:rsidR="00E33536" w:rsidRPr="00F23EF1" w:rsidRDefault="00F23EF1" w:rsidP="00F23EF1">
      <w:pPr>
        <w:pStyle w:val="SingleTxtG"/>
        <w:ind w:firstLine="567"/>
        <w:rPr>
          <w:b/>
          <w:bCs/>
        </w:rPr>
      </w:pPr>
      <w:r w:rsidRPr="00C17B2F">
        <w:t>(</w:t>
      </w:r>
      <w:proofErr w:type="spellStart"/>
      <w:r w:rsidRPr="00C17B2F">
        <w:t>i</w:t>
      </w:r>
      <w:proofErr w:type="spellEnd"/>
      <w:r w:rsidRPr="00C17B2F">
        <w:t>)</w:t>
      </w:r>
      <w:r w:rsidRPr="00F23EF1">
        <w:rPr>
          <w:b/>
          <w:bCs/>
        </w:rPr>
        <w:tab/>
      </w:r>
      <w:r w:rsidR="00E33536" w:rsidRPr="00F23EF1">
        <w:rPr>
          <w:b/>
          <w:bCs/>
        </w:rPr>
        <w:t>Ensure that restrictions imposed on peaceful assemblies can be appealed before an impartial and independent court</w:t>
      </w:r>
      <w:r>
        <w:rPr>
          <w:b/>
          <w:bCs/>
        </w:rPr>
        <w:t>.</w:t>
      </w:r>
    </w:p>
    <w:p w:rsidR="00E33536" w:rsidRPr="00EC70DB" w:rsidRDefault="00E33536" w:rsidP="0051082A">
      <w:pPr>
        <w:pStyle w:val="SingleTxtG"/>
        <w:numPr>
          <w:ilvl w:val="0"/>
          <w:numId w:val="2"/>
        </w:numPr>
        <w:ind w:left="1134" w:firstLine="0"/>
        <w:rPr>
          <w:b/>
        </w:rPr>
      </w:pPr>
      <w:r w:rsidRPr="00EC70DB">
        <w:rPr>
          <w:b/>
        </w:rPr>
        <w:t>Concerning the right to freedom of association, the Special Rapporteur calls on the relevant authorities</w:t>
      </w:r>
      <w:r w:rsidR="0051082A">
        <w:rPr>
          <w:b/>
        </w:rPr>
        <w:t xml:space="preserve"> </w:t>
      </w:r>
      <w:r w:rsidRPr="00EC70DB">
        <w:rPr>
          <w:b/>
        </w:rPr>
        <w:t>to:</w:t>
      </w:r>
    </w:p>
    <w:p w:rsidR="00E33536" w:rsidRPr="00985095" w:rsidRDefault="00985095" w:rsidP="00985095">
      <w:pPr>
        <w:pStyle w:val="SingleTxtG"/>
        <w:ind w:firstLine="567"/>
        <w:rPr>
          <w:b/>
          <w:bCs/>
        </w:rPr>
      </w:pPr>
      <w:r w:rsidRPr="00C17B2F">
        <w:t>(a)</w:t>
      </w:r>
      <w:r w:rsidRPr="00985095">
        <w:rPr>
          <w:b/>
          <w:bCs/>
        </w:rPr>
        <w:tab/>
      </w:r>
      <w:r w:rsidR="00E33536" w:rsidRPr="00985095">
        <w:rPr>
          <w:b/>
          <w:bCs/>
        </w:rPr>
        <w:t xml:space="preserve">Adopt without delay a new law on associations that complies with international human rights standards, including the </w:t>
      </w:r>
      <w:r w:rsidRPr="00985095">
        <w:rPr>
          <w:b/>
          <w:bCs/>
        </w:rPr>
        <w:t>right to freedom of association;</w:t>
      </w:r>
    </w:p>
    <w:p w:rsidR="00E33536" w:rsidRPr="00985095" w:rsidRDefault="00985095" w:rsidP="00DD3B61">
      <w:pPr>
        <w:pStyle w:val="SingleTxtG"/>
        <w:ind w:firstLine="567"/>
        <w:rPr>
          <w:b/>
          <w:bCs/>
        </w:rPr>
      </w:pPr>
      <w:r w:rsidRPr="00C17B2F">
        <w:t>(b)</w:t>
      </w:r>
      <w:r w:rsidRPr="00985095">
        <w:rPr>
          <w:b/>
          <w:bCs/>
        </w:rPr>
        <w:tab/>
      </w:r>
      <w:r w:rsidR="00E33536" w:rsidRPr="00985095">
        <w:rPr>
          <w:b/>
          <w:bCs/>
        </w:rPr>
        <w:t xml:space="preserve">Amend </w:t>
      </w:r>
      <w:r w:rsidR="00622328" w:rsidRPr="00985095">
        <w:rPr>
          <w:b/>
          <w:bCs/>
        </w:rPr>
        <w:t>article </w:t>
      </w:r>
      <w:r w:rsidR="00E33536" w:rsidRPr="009450DD">
        <w:rPr>
          <w:b/>
          <w:bCs/>
        </w:rPr>
        <w:t xml:space="preserve">134 of </w:t>
      </w:r>
      <w:r w:rsidR="00956086">
        <w:rPr>
          <w:b/>
          <w:bCs/>
        </w:rPr>
        <w:t xml:space="preserve">the </w:t>
      </w:r>
      <w:r w:rsidR="00E33536" w:rsidRPr="009450DD">
        <w:rPr>
          <w:b/>
          <w:bCs/>
        </w:rPr>
        <w:t xml:space="preserve">Penal Code </w:t>
      </w:r>
      <w:r w:rsidR="00DD3B61" w:rsidRPr="009450DD">
        <w:rPr>
          <w:b/>
          <w:bCs/>
        </w:rPr>
        <w:t xml:space="preserve">of Oman </w:t>
      </w:r>
      <w:r w:rsidR="00E33536" w:rsidRPr="009450DD">
        <w:rPr>
          <w:b/>
          <w:bCs/>
        </w:rPr>
        <w:t xml:space="preserve">and any other </w:t>
      </w:r>
      <w:r w:rsidR="00DD3B61" w:rsidRPr="00C17B2F">
        <w:rPr>
          <w:b/>
          <w:bCs/>
        </w:rPr>
        <w:t>legislation</w:t>
      </w:r>
      <w:r w:rsidR="00E33536" w:rsidRPr="009450DD">
        <w:rPr>
          <w:b/>
          <w:bCs/>
        </w:rPr>
        <w:t xml:space="preserve"> that disproportionately restrict</w:t>
      </w:r>
      <w:r w:rsidR="00DD3B61" w:rsidRPr="00C17B2F">
        <w:rPr>
          <w:b/>
          <w:bCs/>
        </w:rPr>
        <w:t>s</w:t>
      </w:r>
      <w:r w:rsidR="00E33536" w:rsidRPr="009450DD">
        <w:rPr>
          <w:b/>
          <w:bCs/>
        </w:rPr>
        <w:t xml:space="preserve"> t</w:t>
      </w:r>
      <w:r w:rsidR="00E33536" w:rsidRPr="00985095">
        <w:rPr>
          <w:b/>
          <w:bCs/>
        </w:rPr>
        <w:t>he right to freedom of association</w:t>
      </w:r>
      <w:r w:rsidRPr="00985095">
        <w:rPr>
          <w:b/>
          <w:bCs/>
        </w:rPr>
        <w:t>;</w:t>
      </w:r>
    </w:p>
    <w:p w:rsidR="00E33536" w:rsidRPr="00985095" w:rsidRDefault="00985095" w:rsidP="00DD3B61">
      <w:pPr>
        <w:pStyle w:val="SingleTxtG"/>
        <w:ind w:firstLine="567"/>
        <w:rPr>
          <w:b/>
          <w:bCs/>
        </w:rPr>
      </w:pPr>
      <w:r w:rsidRPr="00C17B2F">
        <w:t>(c)</w:t>
      </w:r>
      <w:r w:rsidRPr="00985095">
        <w:rPr>
          <w:b/>
          <w:bCs/>
        </w:rPr>
        <w:tab/>
      </w:r>
      <w:r w:rsidR="00E33536" w:rsidRPr="00985095">
        <w:rPr>
          <w:b/>
          <w:bCs/>
        </w:rPr>
        <w:t>Amend Royal Decree 38/2014</w:t>
      </w:r>
      <w:r w:rsidR="00E33536" w:rsidRPr="00C17B2F">
        <w:rPr>
          <w:rStyle w:val="FootnoteReference"/>
        </w:rPr>
        <w:footnoteReference w:id="31"/>
      </w:r>
      <w:r w:rsidR="00E33536" w:rsidRPr="00985095">
        <w:rPr>
          <w:b/>
          <w:bCs/>
        </w:rPr>
        <w:t xml:space="preserve"> in full consultation with civil society and other relevant stakeholders to ensure that it complies with international human rights standards, including the right to freedom of association</w:t>
      </w:r>
      <w:r w:rsidRPr="00985095">
        <w:rPr>
          <w:b/>
          <w:bCs/>
        </w:rPr>
        <w:t>;</w:t>
      </w:r>
    </w:p>
    <w:p w:rsidR="00E33536" w:rsidRPr="00985095" w:rsidRDefault="00985095" w:rsidP="00985095">
      <w:pPr>
        <w:pStyle w:val="SingleTxtG"/>
        <w:ind w:firstLine="567"/>
        <w:rPr>
          <w:b/>
          <w:bCs/>
        </w:rPr>
      </w:pPr>
      <w:r w:rsidRPr="00C17B2F">
        <w:t>(d)</w:t>
      </w:r>
      <w:r w:rsidRPr="00985095">
        <w:rPr>
          <w:b/>
          <w:bCs/>
        </w:rPr>
        <w:tab/>
      </w:r>
      <w:r w:rsidR="00E33536" w:rsidRPr="00985095">
        <w:rPr>
          <w:b/>
          <w:bCs/>
        </w:rPr>
        <w:t>Offer all citizens, including political opponents, the right and opportunity</w:t>
      </w:r>
      <w:r w:rsidR="00DD3B61">
        <w:rPr>
          <w:b/>
          <w:bCs/>
        </w:rPr>
        <w:t>,</w:t>
      </w:r>
      <w:r w:rsidR="00E33536" w:rsidRPr="00985095">
        <w:rPr>
          <w:b/>
          <w:bCs/>
        </w:rPr>
        <w:t xml:space="preserve"> without any distinctions and without unreasonable restrictions</w:t>
      </w:r>
      <w:r w:rsidR="00DD3B61">
        <w:rPr>
          <w:b/>
          <w:bCs/>
        </w:rPr>
        <w:t>,</w:t>
      </w:r>
      <w:r w:rsidR="00E33536" w:rsidRPr="00985095">
        <w:rPr>
          <w:b/>
          <w:bCs/>
        </w:rPr>
        <w:t xml:space="preserve"> to freely form and register a political party and operate in a pluralistic political sphere</w:t>
      </w:r>
      <w:r w:rsidRPr="00985095">
        <w:rPr>
          <w:b/>
          <w:bCs/>
        </w:rPr>
        <w:t>;</w:t>
      </w:r>
    </w:p>
    <w:p w:rsidR="00E33536" w:rsidRPr="00985095" w:rsidRDefault="00985095" w:rsidP="000F0BEA">
      <w:pPr>
        <w:pStyle w:val="SingleTxtG"/>
        <w:ind w:firstLine="567"/>
        <w:rPr>
          <w:b/>
          <w:bCs/>
        </w:rPr>
      </w:pPr>
      <w:r w:rsidRPr="00C17B2F">
        <w:t>(e)</w:t>
      </w:r>
      <w:r w:rsidRPr="00985095">
        <w:rPr>
          <w:b/>
          <w:bCs/>
        </w:rPr>
        <w:tab/>
      </w:r>
      <w:r w:rsidR="00E33536" w:rsidRPr="00985095">
        <w:rPr>
          <w:b/>
          <w:bCs/>
        </w:rPr>
        <w:t>Promote the rights of women to freely associate and enable them to participate more effectively in public life</w:t>
      </w:r>
      <w:r w:rsidRPr="00985095">
        <w:rPr>
          <w:b/>
          <w:bCs/>
        </w:rPr>
        <w:t>;</w:t>
      </w:r>
    </w:p>
    <w:p w:rsidR="00E33536" w:rsidRPr="00985095" w:rsidRDefault="00985095" w:rsidP="0091678D">
      <w:pPr>
        <w:pStyle w:val="SingleTxtG"/>
        <w:ind w:firstLine="567"/>
        <w:rPr>
          <w:b/>
          <w:bCs/>
        </w:rPr>
      </w:pPr>
      <w:r w:rsidRPr="00C17B2F">
        <w:t>(f)</w:t>
      </w:r>
      <w:r w:rsidRPr="00985095">
        <w:rPr>
          <w:b/>
          <w:bCs/>
        </w:rPr>
        <w:tab/>
      </w:r>
      <w:r w:rsidR="00E33536" w:rsidRPr="00985095">
        <w:rPr>
          <w:b/>
          <w:bCs/>
        </w:rPr>
        <w:t xml:space="preserve">Ratify core labour standards protecting the right to freedom of association, including </w:t>
      </w:r>
      <w:r w:rsidR="002A636B">
        <w:rPr>
          <w:b/>
          <w:bCs/>
        </w:rPr>
        <w:t>I</w:t>
      </w:r>
      <w:r w:rsidR="00956086">
        <w:rPr>
          <w:b/>
          <w:bCs/>
        </w:rPr>
        <w:t xml:space="preserve">nternational </w:t>
      </w:r>
      <w:r w:rsidR="002A636B">
        <w:rPr>
          <w:b/>
          <w:bCs/>
        </w:rPr>
        <w:t>L</w:t>
      </w:r>
      <w:r w:rsidR="00956086">
        <w:rPr>
          <w:b/>
          <w:bCs/>
        </w:rPr>
        <w:t xml:space="preserve">abour </w:t>
      </w:r>
      <w:r w:rsidR="002A636B">
        <w:rPr>
          <w:b/>
          <w:bCs/>
        </w:rPr>
        <w:t>O</w:t>
      </w:r>
      <w:r w:rsidR="00956086">
        <w:rPr>
          <w:b/>
          <w:bCs/>
        </w:rPr>
        <w:t>rganization</w:t>
      </w:r>
      <w:r w:rsidR="002A636B">
        <w:rPr>
          <w:b/>
          <w:bCs/>
        </w:rPr>
        <w:t xml:space="preserve"> </w:t>
      </w:r>
      <w:r w:rsidR="0091678D">
        <w:rPr>
          <w:b/>
          <w:bCs/>
        </w:rPr>
        <w:t>c</w:t>
      </w:r>
      <w:r w:rsidR="00E33536" w:rsidRPr="00985095">
        <w:rPr>
          <w:b/>
          <w:bCs/>
        </w:rPr>
        <w:t>onvention</w:t>
      </w:r>
      <w:r w:rsidR="009D4111">
        <w:rPr>
          <w:b/>
          <w:bCs/>
        </w:rPr>
        <w:t>s</w:t>
      </w:r>
      <w:r w:rsidR="00E33536" w:rsidRPr="00985095">
        <w:rPr>
          <w:b/>
          <w:bCs/>
        </w:rPr>
        <w:t xml:space="preserve"> </w:t>
      </w:r>
      <w:r w:rsidR="00622328" w:rsidRPr="00985095">
        <w:rPr>
          <w:b/>
          <w:bCs/>
        </w:rPr>
        <w:t>No. </w:t>
      </w:r>
      <w:r w:rsidR="00E33536" w:rsidRPr="00985095">
        <w:rPr>
          <w:b/>
          <w:bCs/>
        </w:rPr>
        <w:t xml:space="preserve">87 </w:t>
      </w:r>
      <w:r w:rsidR="009D4111">
        <w:rPr>
          <w:b/>
          <w:bCs/>
        </w:rPr>
        <w:t>(1948)</w:t>
      </w:r>
      <w:r w:rsidR="008F6BBA">
        <w:rPr>
          <w:b/>
          <w:bCs/>
        </w:rPr>
        <w:t xml:space="preserve"> </w:t>
      </w:r>
      <w:r w:rsidR="002A636B">
        <w:rPr>
          <w:b/>
          <w:bCs/>
        </w:rPr>
        <w:lastRenderedPageBreak/>
        <w:t>concerning</w:t>
      </w:r>
      <w:r w:rsidR="002A636B" w:rsidRPr="00985095">
        <w:rPr>
          <w:b/>
          <w:bCs/>
        </w:rPr>
        <w:t xml:space="preserve"> </w:t>
      </w:r>
      <w:r w:rsidR="00E33536" w:rsidRPr="00985095">
        <w:rPr>
          <w:b/>
          <w:bCs/>
        </w:rPr>
        <w:t xml:space="preserve">Freedom of Association and Protection of the Right to Organise and </w:t>
      </w:r>
      <w:r w:rsidR="00622328" w:rsidRPr="00985095">
        <w:rPr>
          <w:b/>
          <w:bCs/>
        </w:rPr>
        <w:t>No. </w:t>
      </w:r>
      <w:r w:rsidR="00E33536" w:rsidRPr="00985095">
        <w:rPr>
          <w:b/>
          <w:bCs/>
        </w:rPr>
        <w:t xml:space="preserve">98 </w:t>
      </w:r>
      <w:r w:rsidR="009D4111">
        <w:rPr>
          <w:b/>
          <w:bCs/>
        </w:rPr>
        <w:t>(1949) concerning</w:t>
      </w:r>
      <w:r w:rsidR="009D4111" w:rsidRPr="00985095">
        <w:rPr>
          <w:b/>
          <w:bCs/>
        </w:rPr>
        <w:t xml:space="preserve"> </w:t>
      </w:r>
      <w:r w:rsidR="00E33536" w:rsidRPr="00985095">
        <w:rPr>
          <w:b/>
          <w:bCs/>
        </w:rPr>
        <w:t>the Right to Organi</w:t>
      </w:r>
      <w:r w:rsidR="009D4111">
        <w:rPr>
          <w:b/>
          <w:bCs/>
        </w:rPr>
        <w:t>s</w:t>
      </w:r>
      <w:r w:rsidR="00E33536" w:rsidRPr="00985095">
        <w:rPr>
          <w:b/>
          <w:bCs/>
        </w:rPr>
        <w:t xml:space="preserve">e and </w:t>
      </w:r>
      <w:r w:rsidR="009D4111">
        <w:rPr>
          <w:b/>
          <w:bCs/>
        </w:rPr>
        <w:t xml:space="preserve">to </w:t>
      </w:r>
      <w:r w:rsidR="00E33536" w:rsidRPr="00985095">
        <w:rPr>
          <w:b/>
          <w:bCs/>
        </w:rPr>
        <w:t>Bargain</w:t>
      </w:r>
      <w:r w:rsidR="009D4111">
        <w:rPr>
          <w:b/>
          <w:bCs/>
        </w:rPr>
        <w:t xml:space="preserve"> Collectively</w:t>
      </w:r>
      <w:r w:rsidRPr="00985095">
        <w:rPr>
          <w:b/>
          <w:bCs/>
        </w:rPr>
        <w:t>;</w:t>
      </w:r>
    </w:p>
    <w:p w:rsidR="00E33536" w:rsidRPr="00985095" w:rsidRDefault="00985095" w:rsidP="00985095">
      <w:pPr>
        <w:pStyle w:val="SingleTxtG"/>
        <w:ind w:firstLine="567"/>
        <w:rPr>
          <w:b/>
          <w:bCs/>
        </w:rPr>
      </w:pPr>
      <w:r w:rsidRPr="00C17B2F">
        <w:t>(g)</w:t>
      </w:r>
      <w:r w:rsidRPr="00985095">
        <w:rPr>
          <w:b/>
          <w:bCs/>
        </w:rPr>
        <w:tab/>
      </w:r>
      <w:r w:rsidR="00E33536" w:rsidRPr="00985095">
        <w:rPr>
          <w:b/>
          <w:bCs/>
        </w:rPr>
        <w:t>Refrain from interfering with the work of the General Labour Union</w:t>
      </w:r>
      <w:r w:rsidRPr="00985095">
        <w:rPr>
          <w:b/>
          <w:bCs/>
        </w:rPr>
        <w:t>;</w:t>
      </w:r>
    </w:p>
    <w:p w:rsidR="00E33536" w:rsidRPr="00985095" w:rsidRDefault="00985095" w:rsidP="00471997">
      <w:pPr>
        <w:pStyle w:val="SingleTxtG"/>
        <w:ind w:firstLine="567"/>
        <w:rPr>
          <w:b/>
          <w:bCs/>
        </w:rPr>
      </w:pPr>
      <w:r w:rsidRPr="00C17B2F">
        <w:t>(h)</w:t>
      </w:r>
      <w:r w:rsidRPr="00985095">
        <w:rPr>
          <w:b/>
          <w:bCs/>
        </w:rPr>
        <w:tab/>
      </w:r>
      <w:r w:rsidR="00E33536" w:rsidRPr="00985095">
        <w:rPr>
          <w:b/>
          <w:bCs/>
        </w:rPr>
        <w:t>Endorse a regime of notification whereby an association is considered a legal entity as soon as it has notified its existence to the relevant authorities</w:t>
      </w:r>
      <w:r w:rsidRPr="00985095">
        <w:rPr>
          <w:b/>
          <w:bCs/>
        </w:rPr>
        <w:t>;</w:t>
      </w:r>
    </w:p>
    <w:p w:rsidR="00E33536" w:rsidRPr="00985095" w:rsidRDefault="00985095" w:rsidP="00985095">
      <w:pPr>
        <w:pStyle w:val="SingleTxtG"/>
        <w:ind w:firstLine="567"/>
        <w:rPr>
          <w:b/>
          <w:bCs/>
        </w:rPr>
      </w:pPr>
      <w:r w:rsidRPr="00C17B2F">
        <w:t>(</w:t>
      </w:r>
      <w:proofErr w:type="spellStart"/>
      <w:r w:rsidRPr="00C17B2F">
        <w:t>i</w:t>
      </w:r>
      <w:proofErr w:type="spellEnd"/>
      <w:r w:rsidRPr="00C17B2F">
        <w:t>)</w:t>
      </w:r>
      <w:r w:rsidRPr="00985095">
        <w:rPr>
          <w:b/>
          <w:bCs/>
        </w:rPr>
        <w:tab/>
      </w:r>
      <w:r w:rsidR="00E33536" w:rsidRPr="00985095">
        <w:rPr>
          <w:b/>
          <w:bCs/>
        </w:rPr>
        <w:t>Allow unregistered associations to operate</w:t>
      </w:r>
      <w:r w:rsidRPr="00985095">
        <w:rPr>
          <w:b/>
          <w:bCs/>
        </w:rPr>
        <w:t>;</w:t>
      </w:r>
    </w:p>
    <w:p w:rsidR="00E33536" w:rsidRPr="00985095" w:rsidRDefault="00985095" w:rsidP="00985095">
      <w:pPr>
        <w:pStyle w:val="SingleTxtG"/>
        <w:ind w:firstLine="567"/>
        <w:rPr>
          <w:b/>
          <w:bCs/>
        </w:rPr>
      </w:pPr>
      <w:r w:rsidRPr="00C17B2F">
        <w:t>(j)</w:t>
      </w:r>
      <w:r w:rsidRPr="00985095">
        <w:rPr>
          <w:b/>
          <w:bCs/>
        </w:rPr>
        <w:tab/>
      </w:r>
      <w:r w:rsidR="00E33536" w:rsidRPr="00985095">
        <w:rPr>
          <w:b/>
          <w:bCs/>
        </w:rPr>
        <w:t>Avoid interference with the operations of associations, including funding and private meetings</w:t>
      </w:r>
      <w:r w:rsidRPr="00985095">
        <w:rPr>
          <w:b/>
          <w:bCs/>
        </w:rPr>
        <w:t>;</w:t>
      </w:r>
    </w:p>
    <w:p w:rsidR="00E33536" w:rsidRPr="00985095" w:rsidRDefault="00985095" w:rsidP="00471997">
      <w:pPr>
        <w:pStyle w:val="SingleTxtG"/>
        <w:ind w:firstLine="567"/>
        <w:rPr>
          <w:b/>
          <w:bCs/>
        </w:rPr>
      </w:pPr>
      <w:r w:rsidRPr="00C17B2F">
        <w:t>(k)</w:t>
      </w:r>
      <w:r w:rsidRPr="00985095">
        <w:rPr>
          <w:b/>
          <w:bCs/>
        </w:rPr>
        <w:tab/>
      </w:r>
      <w:r w:rsidR="00E33536" w:rsidRPr="00985095">
        <w:rPr>
          <w:b/>
          <w:bCs/>
        </w:rPr>
        <w:t xml:space="preserve">Ensure that any partnerships between </w:t>
      </w:r>
      <w:r w:rsidR="00471997" w:rsidRPr="00C17B2F">
        <w:rPr>
          <w:b/>
          <w:bCs/>
        </w:rPr>
        <w:t>G</w:t>
      </w:r>
      <w:r w:rsidR="00E33536" w:rsidRPr="00471997">
        <w:rPr>
          <w:b/>
          <w:bCs/>
        </w:rPr>
        <w:t>overnment</w:t>
      </w:r>
      <w:r w:rsidR="00E33536" w:rsidRPr="00985095">
        <w:rPr>
          <w:b/>
          <w:bCs/>
        </w:rPr>
        <w:t xml:space="preserve"> and civil society are voluntary</w:t>
      </w:r>
      <w:r w:rsidRPr="00985095">
        <w:rPr>
          <w:b/>
          <w:bCs/>
        </w:rPr>
        <w:t>.</w:t>
      </w:r>
    </w:p>
    <w:p w:rsidR="00E33536" w:rsidRPr="00EC70DB" w:rsidRDefault="00E33536" w:rsidP="00471997">
      <w:pPr>
        <w:pStyle w:val="SingleTxtG"/>
        <w:numPr>
          <w:ilvl w:val="0"/>
          <w:numId w:val="2"/>
        </w:numPr>
        <w:ind w:left="1134" w:firstLine="0"/>
        <w:rPr>
          <w:b/>
        </w:rPr>
      </w:pPr>
      <w:r w:rsidRPr="00EC70DB">
        <w:rPr>
          <w:b/>
        </w:rPr>
        <w:t>In addition, the Special Rapporteur calls upon the National Human Rights Commission</w:t>
      </w:r>
      <w:r w:rsidR="00471997">
        <w:rPr>
          <w:b/>
        </w:rPr>
        <w:t xml:space="preserve"> </w:t>
      </w:r>
      <w:r w:rsidRPr="00EC70DB">
        <w:rPr>
          <w:b/>
        </w:rPr>
        <w:t>to:</w:t>
      </w:r>
    </w:p>
    <w:p w:rsidR="00E33536" w:rsidRPr="00F37986" w:rsidRDefault="00985095" w:rsidP="00D15D7D">
      <w:pPr>
        <w:pStyle w:val="SingleTxtG"/>
        <w:ind w:firstLine="567"/>
        <w:rPr>
          <w:b/>
          <w:bCs/>
        </w:rPr>
      </w:pPr>
      <w:r w:rsidRPr="00C17B2F">
        <w:t>(a)</w:t>
      </w:r>
      <w:r w:rsidRPr="00F37986">
        <w:rPr>
          <w:b/>
          <w:bCs/>
        </w:rPr>
        <w:tab/>
      </w:r>
      <w:r w:rsidR="00E33536" w:rsidRPr="00F37986">
        <w:rPr>
          <w:b/>
          <w:bCs/>
        </w:rPr>
        <w:t xml:space="preserve">Apply the recommendations of the </w:t>
      </w:r>
      <w:r w:rsidR="006D6D6E">
        <w:rPr>
          <w:b/>
          <w:bCs/>
        </w:rPr>
        <w:t xml:space="preserve">Sub-Committee on Accreditation of the </w:t>
      </w:r>
      <w:r w:rsidR="0085133E" w:rsidRPr="00C17B2F">
        <w:rPr>
          <w:b/>
          <w:bCs/>
        </w:rPr>
        <w:t>International Coordinating Committee of National Institutions for the Promotion and Protection of Human Rights</w:t>
      </w:r>
      <w:r w:rsidR="0085133E">
        <w:rPr>
          <w:b/>
          <w:bCs/>
        </w:rPr>
        <w:t xml:space="preserve"> </w:t>
      </w:r>
      <w:r w:rsidR="00E33536" w:rsidRPr="00F37986">
        <w:rPr>
          <w:b/>
          <w:bCs/>
        </w:rPr>
        <w:t>without further delay to gain credibility and enhance its protection</w:t>
      </w:r>
      <w:r w:rsidRPr="00F37986">
        <w:rPr>
          <w:b/>
          <w:bCs/>
        </w:rPr>
        <w:t xml:space="preserve"> and advocacy roles;</w:t>
      </w:r>
    </w:p>
    <w:p w:rsidR="00E33536" w:rsidRPr="00F37986" w:rsidRDefault="00985095" w:rsidP="006D6D6E">
      <w:pPr>
        <w:pStyle w:val="SingleTxtG"/>
        <w:ind w:firstLine="567"/>
        <w:rPr>
          <w:b/>
          <w:bCs/>
        </w:rPr>
      </w:pPr>
      <w:r w:rsidRPr="00C17B2F">
        <w:t>(b)</w:t>
      </w:r>
      <w:r w:rsidRPr="00F37986">
        <w:rPr>
          <w:b/>
          <w:bCs/>
        </w:rPr>
        <w:tab/>
      </w:r>
      <w:r w:rsidR="00E33536" w:rsidRPr="00F37986">
        <w:rPr>
          <w:b/>
          <w:bCs/>
        </w:rPr>
        <w:t xml:space="preserve">Enquire proactively and take </w:t>
      </w:r>
      <w:r w:rsidR="006D6D6E">
        <w:rPr>
          <w:b/>
          <w:bCs/>
        </w:rPr>
        <w:t xml:space="preserve">a </w:t>
      </w:r>
      <w:r w:rsidR="00E33536" w:rsidRPr="00F37986">
        <w:rPr>
          <w:b/>
          <w:bCs/>
        </w:rPr>
        <w:t xml:space="preserve">public critical stand </w:t>
      </w:r>
      <w:r w:rsidR="006D6D6E">
        <w:rPr>
          <w:b/>
          <w:bCs/>
        </w:rPr>
        <w:t>on</w:t>
      </w:r>
      <w:r w:rsidR="006D6D6E" w:rsidRPr="00F37986">
        <w:rPr>
          <w:b/>
          <w:bCs/>
        </w:rPr>
        <w:t xml:space="preserve"> </w:t>
      </w:r>
      <w:r w:rsidR="00E33536" w:rsidRPr="00F37986">
        <w:rPr>
          <w:b/>
          <w:bCs/>
        </w:rPr>
        <w:t>violations of the rights to freedom of peaceful assembly and of association</w:t>
      </w:r>
      <w:r w:rsidRPr="00F37986">
        <w:rPr>
          <w:b/>
          <w:bCs/>
        </w:rPr>
        <w:t>;</w:t>
      </w:r>
    </w:p>
    <w:p w:rsidR="00E33536" w:rsidRPr="00F37986" w:rsidRDefault="00985095" w:rsidP="00F37986">
      <w:pPr>
        <w:pStyle w:val="SingleTxtG"/>
        <w:ind w:firstLine="567"/>
        <w:rPr>
          <w:b/>
          <w:bCs/>
        </w:rPr>
      </w:pPr>
      <w:r w:rsidRPr="00C17B2F">
        <w:t>(c)</w:t>
      </w:r>
      <w:r w:rsidRPr="00F37986">
        <w:rPr>
          <w:b/>
          <w:bCs/>
        </w:rPr>
        <w:tab/>
      </w:r>
      <w:r w:rsidR="00E33536" w:rsidRPr="00F37986">
        <w:rPr>
          <w:b/>
          <w:bCs/>
        </w:rPr>
        <w:t>Clearly and publicly articulate and disseminate international human rights norms and standards governing the rights to freedom of peaceful assembly and of association</w:t>
      </w:r>
      <w:r w:rsidRPr="00F37986">
        <w:rPr>
          <w:b/>
          <w:bCs/>
        </w:rPr>
        <w:t>;</w:t>
      </w:r>
    </w:p>
    <w:p w:rsidR="00E33536" w:rsidRPr="00F37986" w:rsidRDefault="00985095" w:rsidP="006D6D6E">
      <w:pPr>
        <w:pStyle w:val="SingleTxtG"/>
        <w:ind w:firstLine="567"/>
        <w:rPr>
          <w:b/>
          <w:bCs/>
        </w:rPr>
      </w:pPr>
      <w:r w:rsidRPr="00C17B2F">
        <w:t>(d)</w:t>
      </w:r>
      <w:r w:rsidRPr="00F37986">
        <w:rPr>
          <w:b/>
          <w:bCs/>
        </w:rPr>
        <w:tab/>
      </w:r>
      <w:r w:rsidR="00E33536" w:rsidRPr="00F37986">
        <w:rPr>
          <w:b/>
          <w:bCs/>
        </w:rPr>
        <w:t xml:space="preserve">Engage further with civil society to address </w:t>
      </w:r>
      <w:r w:rsidR="006D6D6E">
        <w:rPr>
          <w:b/>
          <w:bCs/>
        </w:rPr>
        <w:t>its</w:t>
      </w:r>
      <w:r w:rsidR="006D6D6E" w:rsidRPr="00F37986">
        <w:rPr>
          <w:b/>
          <w:bCs/>
        </w:rPr>
        <w:t xml:space="preserve"> </w:t>
      </w:r>
      <w:r w:rsidR="00E33536" w:rsidRPr="00F37986">
        <w:rPr>
          <w:b/>
          <w:bCs/>
        </w:rPr>
        <w:t>concerns in relation to the exercise of the rights to freedom of peaceful assembly and of association</w:t>
      </w:r>
      <w:r w:rsidRPr="00F37986">
        <w:rPr>
          <w:b/>
          <w:bCs/>
        </w:rPr>
        <w:t>;</w:t>
      </w:r>
    </w:p>
    <w:p w:rsidR="00E33536" w:rsidRPr="00F37986" w:rsidRDefault="00985095" w:rsidP="006D6D6E">
      <w:pPr>
        <w:pStyle w:val="SingleTxtG"/>
        <w:ind w:firstLine="567"/>
        <w:rPr>
          <w:b/>
          <w:bCs/>
        </w:rPr>
      </w:pPr>
      <w:r w:rsidRPr="00C17B2F">
        <w:t>(e)</w:t>
      </w:r>
      <w:r w:rsidRPr="00F37986">
        <w:rPr>
          <w:b/>
          <w:bCs/>
        </w:rPr>
        <w:tab/>
      </w:r>
      <w:r w:rsidR="00E33536" w:rsidRPr="00F37986">
        <w:rPr>
          <w:b/>
          <w:bCs/>
        </w:rPr>
        <w:t xml:space="preserve">Offer training activities to </w:t>
      </w:r>
      <w:r w:rsidR="006D6D6E">
        <w:rPr>
          <w:b/>
          <w:bCs/>
        </w:rPr>
        <w:t>g</w:t>
      </w:r>
      <w:r w:rsidR="00E33536" w:rsidRPr="00F37986">
        <w:rPr>
          <w:b/>
          <w:bCs/>
        </w:rPr>
        <w:t>overnment officials and members of civil society on international human rights norms and standards, including those governing the right to freedom of peaceful assembly and of association</w:t>
      </w:r>
      <w:r w:rsidRPr="00F37986">
        <w:rPr>
          <w:b/>
          <w:bCs/>
        </w:rPr>
        <w:t>;</w:t>
      </w:r>
    </w:p>
    <w:p w:rsidR="00E33536" w:rsidRPr="00F37986" w:rsidRDefault="00985095" w:rsidP="00471997">
      <w:pPr>
        <w:pStyle w:val="SingleTxtG"/>
        <w:ind w:firstLine="567"/>
        <w:rPr>
          <w:b/>
          <w:bCs/>
        </w:rPr>
      </w:pPr>
      <w:r w:rsidRPr="00C17B2F">
        <w:t>(f)</w:t>
      </w:r>
      <w:r w:rsidRPr="00F37986">
        <w:rPr>
          <w:b/>
          <w:bCs/>
        </w:rPr>
        <w:tab/>
      </w:r>
      <w:r w:rsidR="00E33536" w:rsidRPr="00F37986">
        <w:rPr>
          <w:b/>
          <w:bCs/>
        </w:rPr>
        <w:t>Follow</w:t>
      </w:r>
      <w:r w:rsidR="006D6D6E">
        <w:rPr>
          <w:b/>
          <w:bCs/>
        </w:rPr>
        <w:t xml:space="preserve"> </w:t>
      </w:r>
      <w:r w:rsidR="00E33536" w:rsidRPr="00F37986">
        <w:rPr>
          <w:b/>
          <w:bCs/>
        </w:rPr>
        <w:t xml:space="preserve">up and monitor the implementation of the recommendations contained in </w:t>
      </w:r>
      <w:r w:rsidR="00471997">
        <w:rPr>
          <w:b/>
          <w:bCs/>
        </w:rPr>
        <w:t xml:space="preserve">the present </w:t>
      </w:r>
      <w:r w:rsidR="00E33536" w:rsidRPr="00F37986">
        <w:rPr>
          <w:b/>
          <w:bCs/>
        </w:rPr>
        <w:t>report</w:t>
      </w:r>
      <w:r w:rsidRPr="00F37986">
        <w:rPr>
          <w:b/>
          <w:bCs/>
        </w:rPr>
        <w:t>.</w:t>
      </w:r>
    </w:p>
    <w:p w:rsidR="00E33536" w:rsidRPr="00EC70DB" w:rsidRDefault="00E33536" w:rsidP="00471997">
      <w:pPr>
        <w:pStyle w:val="SingleTxtG"/>
        <w:keepNext/>
        <w:numPr>
          <w:ilvl w:val="0"/>
          <w:numId w:val="2"/>
        </w:numPr>
        <w:ind w:left="1134" w:firstLine="0"/>
        <w:rPr>
          <w:b/>
        </w:rPr>
      </w:pPr>
      <w:r w:rsidRPr="00EC70DB">
        <w:rPr>
          <w:b/>
        </w:rPr>
        <w:t>The Special Rapporteur also calls upon civil society organizations</w:t>
      </w:r>
      <w:r w:rsidR="00471997">
        <w:rPr>
          <w:b/>
        </w:rPr>
        <w:t xml:space="preserve"> </w:t>
      </w:r>
      <w:r w:rsidRPr="00EC70DB">
        <w:rPr>
          <w:b/>
        </w:rPr>
        <w:t>to:</w:t>
      </w:r>
    </w:p>
    <w:p w:rsidR="00E33536" w:rsidRPr="00F37986" w:rsidRDefault="00F37986" w:rsidP="0051082A">
      <w:pPr>
        <w:pStyle w:val="SingleTxtG"/>
        <w:keepNext/>
        <w:ind w:firstLine="567"/>
        <w:rPr>
          <w:b/>
          <w:bCs/>
        </w:rPr>
      </w:pPr>
      <w:r w:rsidRPr="00C17B2F">
        <w:t>(a)</w:t>
      </w:r>
      <w:r w:rsidRPr="00F37986">
        <w:rPr>
          <w:b/>
          <w:bCs/>
        </w:rPr>
        <w:tab/>
      </w:r>
      <w:r w:rsidR="00E33536" w:rsidRPr="00F37986">
        <w:rPr>
          <w:b/>
          <w:bCs/>
        </w:rPr>
        <w:t>Use every opportunity to participate in decision-making processes</w:t>
      </w:r>
      <w:r w:rsidRPr="00F37986">
        <w:rPr>
          <w:b/>
          <w:bCs/>
        </w:rPr>
        <w:t>;</w:t>
      </w:r>
    </w:p>
    <w:p w:rsidR="00E33536" w:rsidRPr="00F37986" w:rsidRDefault="00F37986" w:rsidP="00F37986">
      <w:pPr>
        <w:pStyle w:val="SingleTxtG"/>
        <w:ind w:firstLine="567"/>
        <w:rPr>
          <w:b/>
          <w:bCs/>
        </w:rPr>
      </w:pPr>
      <w:r w:rsidRPr="00C17B2F">
        <w:t>(b)</w:t>
      </w:r>
      <w:r w:rsidRPr="00F37986">
        <w:rPr>
          <w:b/>
          <w:bCs/>
        </w:rPr>
        <w:tab/>
      </w:r>
      <w:r w:rsidR="00E33536" w:rsidRPr="00F37986">
        <w:rPr>
          <w:b/>
          <w:bCs/>
        </w:rPr>
        <w:t>Seize all opportunities for training offered to its members</w:t>
      </w:r>
      <w:r w:rsidRPr="00F37986">
        <w:rPr>
          <w:b/>
          <w:bCs/>
        </w:rPr>
        <w:t>;</w:t>
      </w:r>
    </w:p>
    <w:p w:rsidR="00E33536" w:rsidRPr="00F37986" w:rsidRDefault="00F37986" w:rsidP="00F37986">
      <w:pPr>
        <w:pStyle w:val="SingleTxtG"/>
        <w:ind w:firstLine="567"/>
        <w:rPr>
          <w:b/>
          <w:bCs/>
        </w:rPr>
      </w:pPr>
      <w:r w:rsidRPr="00C17B2F">
        <w:t>(c)</w:t>
      </w:r>
      <w:r w:rsidRPr="00F37986">
        <w:rPr>
          <w:b/>
          <w:bCs/>
        </w:rPr>
        <w:tab/>
      </w:r>
      <w:r w:rsidR="00E33536" w:rsidRPr="00F37986">
        <w:rPr>
          <w:b/>
          <w:bCs/>
        </w:rPr>
        <w:t>Engage with various stakeholders, including the international community</w:t>
      </w:r>
      <w:r w:rsidRPr="00F37986">
        <w:rPr>
          <w:b/>
          <w:bCs/>
        </w:rPr>
        <w:t>;</w:t>
      </w:r>
    </w:p>
    <w:p w:rsidR="00E33536" w:rsidRPr="00F37986" w:rsidRDefault="00F37986" w:rsidP="0020791C">
      <w:pPr>
        <w:pStyle w:val="SingleTxtG"/>
        <w:ind w:firstLine="567"/>
        <w:rPr>
          <w:b/>
          <w:bCs/>
        </w:rPr>
      </w:pPr>
      <w:r w:rsidRPr="00C17B2F">
        <w:t>(d)</w:t>
      </w:r>
      <w:r w:rsidRPr="00F37986">
        <w:rPr>
          <w:b/>
          <w:bCs/>
        </w:rPr>
        <w:tab/>
      </w:r>
      <w:r w:rsidR="00E33536" w:rsidRPr="00F37986">
        <w:rPr>
          <w:b/>
          <w:bCs/>
        </w:rPr>
        <w:t>Follow</w:t>
      </w:r>
      <w:r w:rsidR="006D6D6E">
        <w:rPr>
          <w:b/>
          <w:bCs/>
        </w:rPr>
        <w:t xml:space="preserve"> </w:t>
      </w:r>
      <w:r w:rsidR="00E33536" w:rsidRPr="00F37986">
        <w:rPr>
          <w:b/>
          <w:bCs/>
        </w:rPr>
        <w:t xml:space="preserve">up and monitor the implementation of the recommendations contained in </w:t>
      </w:r>
      <w:r w:rsidR="0020791C">
        <w:rPr>
          <w:b/>
          <w:bCs/>
        </w:rPr>
        <w:t xml:space="preserve">the present </w:t>
      </w:r>
      <w:r w:rsidR="00E33536" w:rsidRPr="00F37986">
        <w:rPr>
          <w:b/>
          <w:bCs/>
        </w:rPr>
        <w:t>report</w:t>
      </w:r>
      <w:r w:rsidRPr="00F37986">
        <w:rPr>
          <w:b/>
          <w:bCs/>
        </w:rPr>
        <w:t>.</w:t>
      </w:r>
    </w:p>
    <w:p w:rsidR="00E33536" w:rsidRPr="00EC70DB" w:rsidRDefault="0020791C" w:rsidP="0020791C">
      <w:pPr>
        <w:pStyle w:val="SingleTxtG"/>
        <w:numPr>
          <w:ilvl w:val="0"/>
          <w:numId w:val="2"/>
        </w:numPr>
        <w:ind w:left="1134" w:firstLine="0"/>
        <w:rPr>
          <w:b/>
        </w:rPr>
      </w:pPr>
      <w:r>
        <w:rPr>
          <w:b/>
        </w:rPr>
        <w:t>T</w:t>
      </w:r>
      <w:r w:rsidR="00E33536" w:rsidRPr="00EC70DB">
        <w:rPr>
          <w:b/>
        </w:rPr>
        <w:t>he Special Rapporteur calls on the United Nations and other intergovernmental organizations, and other stakeholders</w:t>
      </w:r>
      <w:r>
        <w:rPr>
          <w:b/>
        </w:rPr>
        <w:t xml:space="preserve">, </w:t>
      </w:r>
      <w:r w:rsidR="00E33536" w:rsidRPr="00EC70DB">
        <w:rPr>
          <w:b/>
        </w:rPr>
        <w:t>to:</w:t>
      </w:r>
    </w:p>
    <w:p w:rsidR="00CC3076" w:rsidRDefault="00F37986" w:rsidP="006D6D6E">
      <w:pPr>
        <w:pStyle w:val="SingleTxtG"/>
        <w:ind w:firstLine="567"/>
        <w:rPr>
          <w:b/>
          <w:bCs/>
        </w:rPr>
      </w:pPr>
      <w:r w:rsidRPr="00C17B2F">
        <w:t>(a)</w:t>
      </w:r>
      <w:r w:rsidRPr="00F37986">
        <w:rPr>
          <w:b/>
          <w:bCs/>
        </w:rPr>
        <w:tab/>
      </w:r>
      <w:r w:rsidR="00E33536" w:rsidRPr="00F37986">
        <w:rPr>
          <w:b/>
          <w:bCs/>
        </w:rPr>
        <w:t xml:space="preserve">Advocate with </w:t>
      </w:r>
      <w:r w:rsidR="00956086">
        <w:rPr>
          <w:b/>
          <w:bCs/>
        </w:rPr>
        <w:t xml:space="preserve">the </w:t>
      </w:r>
      <w:r w:rsidR="00E33536" w:rsidRPr="00F37986">
        <w:rPr>
          <w:b/>
          <w:bCs/>
        </w:rPr>
        <w:t xml:space="preserve">relevant authorities concerning respect </w:t>
      </w:r>
      <w:r w:rsidR="006D6D6E">
        <w:rPr>
          <w:b/>
          <w:bCs/>
        </w:rPr>
        <w:t>for</w:t>
      </w:r>
      <w:r w:rsidR="006D6D6E" w:rsidRPr="00F37986">
        <w:rPr>
          <w:b/>
          <w:bCs/>
        </w:rPr>
        <w:t xml:space="preserve"> </w:t>
      </w:r>
      <w:r w:rsidR="00E33536" w:rsidRPr="00F37986">
        <w:rPr>
          <w:b/>
          <w:bCs/>
        </w:rPr>
        <w:t>the rights to freedom of peaceful assembly and of association</w:t>
      </w:r>
      <w:r>
        <w:rPr>
          <w:b/>
          <w:bCs/>
        </w:rPr>
        <w:t>;</w:t>
      </w:r>
    </w:p>
    <w:p w:rsidR="00E33536" w:rsidRPr="00F37986" w:rsidRDefault="00CC3076" w:rsidP="00F37986">
      <w:pPr>
        <w:pStyle w:val="SingleTxtG"/>
        <w:ind w:firstLine="567"/>
        <w:rPr>
          <w:b/>
          <w:bCs/>
        </w:rPr>
      </w:pPr>
      <w:r>
        <w:rPr>
          <w:b/>
          <w:bCs/>
        </w:rPr>
        <w:br w:type="page"/>
      </w:r>
      <w:r w:rsidR="00F37986" w:rsidRPr="00C17B2F">
        <w:lastRenderedPageBreak/>
        <w:t>(b)</w:t>
      </w:r>
      <w:r w:rsidR="00F37986" w:rsidRPr="00F37986">
        <w:rPr>
          <w:b/>
          <w:bCs/>
        </w:rPr>
        <w:tab/>
      </w:r>
      <w:r w:rsidR="00E33536" w:rsidRPr="00F37986">
        <w:rPr>
          <w:b/>
          <w:bCs/>
        </w:rPr>
        <w:t xml:space="preserve">Build </w:t>
      </w:r>
      <w:r w:rsidR="006D6D6E">
        <w:rPr>
          <w:b/>
          <w:bCs/>
        </w:rPr>
        <w:t xml:space="preserve">the </w:t>
      </w:r>
      <w:r w:rsidR="00E33536" w:rsidRPr="00F37986">
        <w:rPr>
          <w:b/>
          <w:bCs/>
        </w:rPr>
        <w:t>capacities of the relevant authorities, the National Human Rights Commission and civil society organizations</w:t>
      </w:r>
      <w:r w:rsidR="00F37986">
        <w:rPr>
          <w:b/>
          <w:bCs/>
        </w:rPr>
        <w:t>;</w:t>
      </w:r>
    </w:p>
    <w:p w:rsidR="00E33536" w:rsidRPr="00F37986" w:rsidRDefault="00F37986" w:rsidP="0020791C">
      <w:pPr>
        <w:pStyle w:val="SingleTxtG"/>
        <w:ind w:firstLine="567"/>
        <w:rPr>
          <w:b/>
          <w:bCs/>
        </w:rPr>
      </w:pPr>
      <w:r w:rsidRPr="00C17B2F">
        <w:t>(c)</w:t>
      </w:r>
      <w:r w:rsidRPr="00F37986">
        <w:rPr>
          <w:b/>
          <w:bCs/>
        </w:rPr>
        <w:tab/>
      </w:r>
      <w:r w:rsidR="00E33536" w:rsidRPr="00F37986">
        <w:rPr>
          <w:b/>
          <w:bCs/>
        </w:rPr>
        <w:t>Monitor the implementation of the recommendations contained in the present report</w:t>
      </w:r>
      <w:r>
        <w:rPr>
          <w:b/>
          <w:bCs/>
        </w:rPr>
        <w:t>.</w:t>
      </w:r>
    </w:p>
    <w:p w:rsidR="00CD4581" w:rsidRPr="00CD4581" w:rsidRDefault="00CD4581" w:rsidP="00CD4581">
      <w:pPr>
        <w:pStyle w:val="Bullet1G"/>
        <w:numPr>
          <w:ilvl w:val="0"/>
          <w:numId w:val="0"/>
        </w:numPr>
        <w:spacing w:before="240" w:after="0"/>
        <w:ind w:left="1134"/>
        <w:jc w:val="center"/>
        <w:rPr>
          <w:u w:val="single"/>
        </w:rPr>
      </w:pPr>
      <w:r>
        <w:rPr>
          <w:u w:val="single"/>
        </w:rPr>
        <w:tab/>
      </w:r>
      <w:r>
        <w:rPr>
          <w:u w:val="single"/>
        </w:rPr>
        <w:tab/>
      </w:r>
      <w:r>
        <w:rPr>
          <w:u w:val="single"/>
        </w:rPr>
        <w:tab/>
      </w:r>
    </w:p>
    <w:sectPr w:rsidR="00CD4581" w:rsidRPr="00CD4581" w:rsidSect="00D6527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FD" w:rsidRDefault="00B70BFD"/>
  </w:endnote>
  <w:endnote w:type="continuationSeparator" w:id="0">
    <w:p w:rsidR="00B70BFD" w:rsidRDefault="00B70BFD"/>
  </w:endnote>
  <w:endnote w:type="continuationNotice" w:id="1">
    <w:p w:rsidR="00B70BFD" w:rsidRDefault="00B70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30" w:rsidRPr="00DD76B4" w:rsidRDefault="00E82D30" w:rsidP="00DD76B4">
    <w:pPr>
      <w:pStyle w:val="Footer"/>
      <w:tabs>
        <w:tab w:val="right" w:pos="9638"/>
      </w:tabs>
    </w:pPr>
    <w:r w:rsidRPr="00DD76B4">
      <w:rPr>
        <w:b/>
        <w:sz w:val="18"/>
      </w:rPr>
      <w:fldChar w:fldCharType="begin"/>
    </w:r>
    <w:r w:rsidRPr="00DD76B4">
      <w:rPr>
        <w:b/>
        <w:sz w:val="18"/>
      </w:rPr>
      <w:instrText xml:space="preserve"> PAGE  \* MERGEFORMAT </w:instrText>
    </w:r>
    <w:r w:rsidRPr="00DD76B4">
      <w:rPr>
        <w:b/>
        <w:sz w:val="18"/>
      </w:rPr>
      <w:fldChar w:fldCharType="separate"/>
    </w:r>
    <w:r w:rsidR="002263A8">
      <w:rPr>
        <w:b/>
        <w:noProof/>
        <w:sz w:val="18"/>
      </w:rPr>
      <w:t>20</w:t>
    </w:r>
    <w:r w:rsidRPr="00DD76B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30" w:rsidRPr="00DD76B4" w:rsidRDefault="00E82D30" w:rsidP="00DD76B4">
    <w:pPr>
      <w:pStyle w:val="Footer"/>
      <w:tabs>
        <w:tab w:val="right" w:pos="9638"/>
      </w:tabs>
      <w:rPr>
        <w:b/>
        <w:sz w:val="18"/>
      </w:rPr>
    </w:pPr>
    <w:r>
      <w:tab/>
    </w:r>
    <w:r w:rsidRPr="00DD76B4">
      <w:rPr>
        <w:b/>
        <w:sz w:val="18"/>
      </w:rPr>
      <w:fldChar w:fldCharType="begin"/>
    </w:r>
    <w:r w:rsidRPr="00DD76B4">
      <w:rPr>
        <w:b/>
        <w:sz w:val="18"/>
      </w:rPr>
      <w:instrText xml:space="preserve"> PAGE  \* MERGEFORMAT </w:instrText>
    </w:r>
    <w:r w:rsidRPr="00DD76B4">
      <w:rPr>
        <w:b/>
        <w:sz w:val="18"/>
      </w:rPr>
      <w:fldChar w:fldCharType="separate"/>
    </w:r>
    <w:r w:rsidR="002263A8">
      <w:rPr>
        <w:b/>
        <w:noProof/>
        <w:sz w:val="18"/>
      </w:rPr>
      <w:t>21</w:t>
    </w:r>
    <w:r w:rsidRPr="00DD76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30" w:rsidRPr="00DD76B4" w:rsidRDefault="00440C18" w:rsidP="00542574">
    <w:r>
      <w:rPr>
        <w:noProof/>
        <w:lang w:eastAsia="zh-CN"/>
      </w:rPr>
      <w:drawing>
        <wp:anchor distT="0" distB="0" distL="114300" distR="114300" simplePos="0" relativeHeight="251657728" behindDoc="0" locked="1" layoutInCell="1" allowOverlap="1">
          <wp:simplePos x="0" y="0"/>
          <wp:positionH relativeFrom="column">
            <wp:posOffset>4267835</wp:posOffset>
          </wp:positionH>
          <wp:positionV relativeFrom="paragraph">
            <wp:posOffset>238760</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E82D30">
      <w:t>GE.15-</w:t>
    </w:r>
    <w:r w:rsidR="00F95962">
      <w:t>08310</w:t>
    </w:r>
    <w:r>
      <w:t xml:space="preserve">  (E)</w:t>
    </w:r>
    <w:r>
      <w:br/>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FD" w:rsidRPr="000B175B" w:rsidRDefault="00B70BFD" w:rsidP="000B175B">
      <w:pPr>
        <w:tabs>
          <w:tab w:val="right" w:pos="2155"/>
        </w:tabs>
        <w:spacing w:after="80"/>
        <w:ind w:left="680"/>
        <w:rPr>
          <w:u w:val="single"/>
        </w:rPr>
      </w:pPr>
      <w:r>
        <w:rPr>
          <w:u w:val="single"/>
        </w:rPr>
        <w:tab/>
      </w:r>
    </w:p>
  </w:footnote>
  <w:footnote w:type="continuationSeparator" w:id="0">
    <w:p w:rsidR="00B70BFD" w:rsidRPr="00FC68B7" w:rsidRDefault="00B70BFD" w:rsidP="00FC68B7">
      <w:pPr>
        <w:tabs>
          <w:tab w:val="left" w:pos="2155"/>
        </w:tabs>
        <w:spacing w:after="80"/>
        <w:ind w:left="680"/>
        <w:rPr>
          <w:u w:val="single"/>
        </w:rPr>
      </w:pPr>
      <w:r>
        <w:rPr>
          <w:u w:val="single"/>
        </w:rPr>
        <w:tab/>
      </w:r>
    </w:p>
  </w:footnote>
  <w:footnote w:type="continuationNotice" w:id="1">
    <w:p w:rsidR="00B70BFD" w:rsidRDefault="00B70BFD"/>
  </w:footnote>
  <w:footnote w:id="2">
    <w:p w:rsidR="00E82D30" w:rsidRPr="00C17B2F" w:rsidRDefault="00E82D30" w:rsidP="00383C54">
      <w:pPr>
        <w:pStyle w:val="FootnoteText"/>
        <w:rPr>
          <w:szCs w:val="18"/>
          <w:lang w:val="en-GB"/>
        </w:rPr>
      </w:pPr>
      <w:r w:rsidRPr="00C17B2F">
        <w:rPr>
          <w:rStyle w:val="FootnoteReference"/>
          <w:lang w:val="en-GB"/>
        </w:rPr>
        <w:tab/>
      </w:r>
      <w:r w:rsidRPr="00440C18">
        <w:rPr>
          <w:rStyle w:val="FootnoteReference"/>
          <w:sz w:val="20"/>
          <w:vertAlign w:val="baseline"/>
          <w:lang w:val="en-GB"/>
        </w:rPr>
        <w:t>*</w:t>
      </w:r>
      <w:r w:rsidRPr="00C17B2F">
        <w:rPr>
          <w:rStyle w:val="FootnoteReference"/>
          <w:sz w:val="20"/>
          <w:vertAlign w:val="baseline"/>
          <w:lang w:val="en-GB"/>
        </w:rPr>
        <w:tab/>
      </w:r>
      <w:r w:rsidRPr="00C17B2F">
        <w:rPr>
          <w:szCs w:val="18"/>
          <w:lang w:val="en-GB"/>
        </w:rPr>
        <w:t>The summary of the present report is circulated in all official languages. The report itself, contained in the annex to the summary, is circulated in the language of submission and Arabic only.</w:t>
      </w:r>
    </w:p>
  </w:footnote>
  <w:footnote w:id="3">
    <w:p w:rsidR="00E82D30" w:rsidRPr="00C17B2F" w:rsidRDefault="00E82D30" w:rsidP="000F0BEA">
      <w:pPr>
        <w:pStyle w:val="FootnoteText"/>
        <w:rPr>
          <w:lang w:val="en-GB"/>
        </w:rPr>
      </w:pPr>
      <w:r w:rsidRPr="00C17B2F">
        <w:rPr>
          <w:lang w:val="en-GB"/>
        </w:rPr>
        <w:tab/>
      </w:r>
      <w:r w:rsidRPr="00C17B2F">
        <w:rPr>
          <w:vertAlign w:val="superscript"/>
          <w:lang w:val="en-GB"/>
        </w:rPr>
        <w:footnoteRef/>
      </w:r>
      <w:r w:rsidRPr="00C17B2F">
        <w:rPr>
          <w:lang w:val="en-GB"/>
        </w:rPr>
        <w:tab/>
      </w:r>
      <w:r w:rsidR="00956086" w:rsidRPr="00573C4D">
        <w:rPr>
          <w:lang w:val="en-GB"/>
        </w:rPr>
        <w:t>Basic law of the Sultanate of Oman, promulgated by Royal Decree No. 101/96.</w:t>
      </w:r>
      <w:r w:rsidRPr="00C17B2F">
        <w:rPr>
          <w:lang w:val="en-GB"/>
        </w:rPr>
        <w:t>, arts. 32 and 17, respectively.</w:t>
      </w:r>
    </w:p>
  </w:footnote>
  <w:footnote w:id="4">
    <w:p w:rsidR="00E82D30" w:rsidRPr="00C17B2F" w:rsidRDefault="00E82D30" w:rsidP="002A4F94">
      <w:pPr>
        <w:pStyle w:val="FootnoteText"/>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Oman ratified </w:t>
      </w:r>
      <w:r w:rsidRPr="00C17B2F">
        <w:rPr>
          <w:lang w:val="en-GB"/>
        </w:rPr>
        <w:t>Conventions</w:t>
      </w:r>
      <w:r w:rsidRPr="00C17B2F">
        <w:rPr>
          <w:rFonts w:cs="Calibri"/>
          <w:lang w:val="en-GB"/>
        </w:rPr>
        <w:t xml:space="preserve"> No. 29 (1930) concerning Forced or Compulsory Labour in 1998; No. 182 </w:t>
      </w:r>
      <w:r w:rsidRPr="00E5346C">
        <w:rPr>
          <w:rFonts w:cs="Calibri"/>
          <w:lang w:val="en-GB"/>
        </w:rPr>
        <w:t xml:space="preserve">(1999) </w:t>
      </w:r>
      <w:r w:rsidRPr="00C17B2F">
        <w:rPr>
          <w:rFonts w:cs="Calibri"/>
          <w:lang w:val="en-GB"/>
        </w:rPr>
        <w:t xml:space="preserve">concerning the Prohibition and Immediate Action for the Elimination of the Worst Forms of Child Labour in 2001; No. 138 </w:t>
      </w:r>
      <w:r w:rsidRPr="00E5346C">
        <w:rPr>
          <w:rFonts w:cs="Calibri"/>
          <w:lang w:val="en-GB"/>
        </w:rPr>
        <w:t xml:space="preserve">(1973) </w:t>
      </w:r>
      <w:r w:rsidRPr="00C17B2F">
        <w:rPr>
          <w:rFonts w:cs="Calibri"/>
          <w:lang w:val="en-GB"/>
        </w:rPr>
        <w:t xml:space="preserve">concerning Minimum Age for Admission to Employment in 2005; and No. 105 (1957) concerning the Abolition of Forced Labour in 2005. </w:t>
      </w:r>
    </w:p>
  </w:footnote>
  <w:footnote w:id="5">
    <w:p w:rsidR="00E82D30" w:rsidRPr="00C17B2F" w:rsidRDefault="00E82D30" w:rsidP="002A4F94">
      <w:pPr>
        <w:pStyle w:val="FootnoteText"/>
        <w:rPr>
          <w:lang w:val="en-GB"/>
        </w:rPr>
      </w:pPr>
      <w:r w:rsidRPr="00C17B2F">
        <w:rPr>
          <w:lang w:val="en-GB"/>
        </w:rPr>
        <w:tab/>
      </w:r>
      <w:r w:rsidRPr="00C17B2F">
        <w:rPr>
          <w:vertAlign w:val="superscript"/>
          <w:lang w:val="en-GB"/>
        </w:rPr>
        <w:footnoteRef/>
      </w:r>
      <w:r w:rsidRPr="00C17B2F">
        <w:rPr>
          <w:lang w:val="en-GB"/>
        </w:rPr>
        <w:tab/>
        <w:t xml:space="preserve">Article (72) </w:t>
      </w:r>
      <w:r w:rsidR="00956086">
        <w:rPr>
          <w:lang w:val="en-GB"/>
        </w:rPr>
        <w:t xml:space="preserve">states that </w:t>
      </w:r>
      <w:r w:rsidRPr="00C17B2F">
        <w:rPr>
          <w:lang w:val="en-GB"/>
        </w:rPr>
        <w:t xml:space="preserve">“The application of this Basic </w:t>
      </w:r>
      <w:r>
        <w:rPr>
          <w:lang w:val="en-GB"/>
        </w:rPr>
        <w:t xml:space="preserve">Statute </w:t>
      </w:r>
      <w:r w:rsidRPr="00C17B2F">
        <w:rPr>
          <w:lang w:val="en-GB"/>
        </w:rPr>
        <w:t xml:space="preserve">shall not </w:t>
      </w:r>
      <w:r>
        <w:rPr>
          <w:lang w:val="en-GB"/>
        </w:rPr>
        <w:t xml:space="preserve">prejudice </w:t>
      </w:r>
      <w:r w:rsidRPr="00C17B2F">
        <w:rPr>
          <w:lang w:val="en-GB"/>
        </w:rPr>
        <w:t xml:space="preserve">treaties and agreements the Sultanate </w:t>
      </w:r>
      <w:r>
        <w:rPr>
          <w:lang w:val="en-GB"/>
        </w:rPr>
        <w:t xml:space="preserve">has entered into with </w:t>
      </w:r>
      <w:r w:rsidRPr="00C17B2F">
        <w:rPr>
          <w:lang w:val="en-GB"/>
        </w:rPr>
        <w:t xml:space="preserve">other </w:t>
      </w:r>
      <w:r>
        <w:rPr>
          <w:lang w:val="en-GB"/>
        </w:rPr>
        <w:t xml:space="preserve">countries, </w:t>
      </w:r>
      <w:r w:rsidRPr="00C17B2F">
        <w:rPr>
          <w:lang w:val="en-GB"/>
        </w:rPr>
        <w:t>international bodies and organisations”</w:t>
      </w:r>
      <w:r>
        <w:rPr>
          <w:lang w:val="en-GB"/>
        </w:rPr>
        <w:t>.</w:t>
      </w:r>
      <w:r w:rsidRPr="00C17B2F">
        <w:rPr>
          <w:lang w:val="en-GB"/>
        </w:rPr>
        <w:t xml:space="preserve"> Article (80) </w:t>
      </w:r>
      <w:r w:rsidR="00956086">
        <w:rPr>
          <w:lang w:val="en-GB"/>
        </w:rPr>
        <w:t xml:space="preserve">states that </w:t>
      </w:r>
      <w:r w:rsidRPr="00C17B2F">
        <w:rPr>
          <w:lang w:val="en-GB"/>
        </w:rPr>
        <w:t xml:space="preserve">“No </w:t>
      </w:r>
      <w:r>
        <w:rPr>
          <w:lang w:val="en-GB"/>
        </w:rPr>
        <w:t>authority</w:t>
      </w:r>
      <w:r w:rsidRPr="00C17B2F">
        <w:rPr>
          <w:lang w:val="en-GB"/>
        </w:rPr>
        <w:t xml:space="preserve"> in the State may issue regulations, </w:t>
      </w:r>
      <w:r>
        <w:rPr>
          <w:lang w:val="en-GB"/>
        </w:rPr>
        <w:t xml:space="preserve">statutes, </w:t>
      </w:r>
      <w:r w:rsidRPr="00C17B2F">
        <w:rPr>
          <w:lang w:val="en-GB"/>
        </w:rPr>
        <w:t xml:space="preserve">decisions or </w:t>
      </w:r>
      <w:r>
        <w:rPr>
          <w:lang w:val="en-GB"/>
        </w:rPr>
        <w:t xml:space="preserve">directives that </w:t>
      </w:r>
      <w:r w:rsidRPr="00A6791D">
        <w:rPr>
          <w:lang w:val="en-GB"/>
        </w:rPr>
        <w:t>contra</w:t>
      </w:r>
      <w:r>
        <w:rPr>
          <w:lang w:val="en-GB"/>
        </w:rPr>
        <w:t xml:space="preserve">dict </w:t>
      </w:r>
      <w:r w:rsidRPr="00C17B2F">
        <w:rPr>
          <w:lang w:val="en-GB"/>
        </w:rPr>
        <w:t xml:space="preserve">the provisions of laws and decrees in force, or international treaties and agreements which constitute part of the </w:t>
      </w:r>
      <w:r>
        <w:rPr>
          <w:lang w:val="en-GB"/>
        </w:rPr>
        <w:t>L</w:t>
      </w:r>
      <w:r w:rsidRPr="00C17B2F">
        <w:rPr>
          <w:lang w:val="en-GB"/>
        </w:rPr>
        <w:t xml:space="preserve">aw of the </w:t>
      </w:r>
      <w:r>
        <w:rPr>
          <w:lang w:val="en-GB"/>
        </w:rPr>
        <w:t>Land</w:t>
      </w:r>
      <w:r w:rsidRPr="00C17B2F">
        <w:rPr>
          <w:lang w:val="en-GB"/>
        </w:rPr>
        <w:t>”</w:t>
      </w:r>
      <w:r>
        <w:rPr>
          <w:lang w:val="en-GB"/>
        </w:rPr>
        <w:t>.</w:t>
      </w:r>
    </w:p>
  </w:footnote>
  <w:footnote w:id="6">
    <w:p w:rsidR="00E82D30" w:rsidRPr="00C17B2F" w:rsidRDefault="00E82D30" w:rsidP="001135DC">
      <w:pPr>
        <w:pStyle w:val="FootnoteText"/>
        <w:rPr>
          <w:lang w:val="en-GB"/>
        </w:rPr>
      </w:pPr>
      <w:r w:rsidRPr="00C17B2F">
        <w:rPr>
          <w:lang w:val="en-GB"/>
        </w:rPr>
        <w:tab/>
      </w:r>
      <w:r w:rsidRPr="00C17B2F">
        <w:rPr>
          <w:rStyle w:val="FootnoteReference"/>
          <w:lang w:val="en-GB"/>
        </w:rPr>
        <w:footnoteRef/>
      </w:r>
      <w:r w:rsidRPr="00C17B2F">
        <w:rPr>
          <w:lang w:val="en-GB"/>
        </w:rPr>
        <w:tab/>
        <w:t>Royal Decree No. 72/2001, Assault Against the State’s Internal Security.</w:t>
      </w:r>
    </w:p>
  </w:footnote>
  <w:footnote w:id="7">
    <w:p w:rsidR="00E82D30" w:rsidRPr="00C17B2F" w:rsidRDefault="00E82D30" w:rsidP="004826B1">
      <w:pPr>
        <w:pStyle w:val="FootnoteText"/>
        <w:rPr>
          <w:lang w:val="en-GB"/>
        </w:rPr>
      </w:pPr>
      <w:r w:rsidRPr="00C17B2F">
        <w:rPr>
          <w:lang w:val="en-GB"/>
        </w:rPr>
        <w:tab/>
      </w:r>
      <w:r w:rsidRPr="00C17B2F">
        <w:rPr>
          <w:rStyle w:val="FootnoteReference"/>
          <w:lang w:val="en-GB"/>
        </w:rPr>
        <w:footnoteRef/>
      </w:r>
      <w:r w:rsidRPr="00C17B2F">
        <w:rPr>
          <w:lang w:val="en-GB"/>
        </w:rPr>
        <w:tab/>
        <w:t>Royal Decree 7/74 establishing the Omani Penal Code, 16 February 1974, art. 126.</w:t>
      </w:r>
    </w:p>
  </w:footnote>
  <w:footnote w:id="8">
    <w:p w:rsidR="00E82D30" w:rsidRPr="00C17B2F" w:rsidRDefault="00E82D30" w:rsidP="001135DC">
      <w:pPr>
        <w:pStyle w:val="FootnoteText"/>
        <w:rPr>
          <w:lang w:val="en-GB"/>
        </w:rPr>
      </w:pPr>
      <w:r w:rsidRPr="00C17B2F">
        <w:rPr>
          <w:lang w:val="en-GB"/>
        </w:rPr>
        <w:tab/>
      </w:r>
      <w:r w:rsidRPr="00C17B2F">
        <w:rPr>
          <w:rStyle w:val="FootnoteReference"/>
          <w:lang w:val="en-GB"/>
        </w:rPr>
        <w:footnoteRef/>
      </w:r>
      <w:r w:rsidRPr="00C17B2F">
        <w:rPr>
          <w:lang w:val="en-GB"/>
        </w:rPr>
        <w:tab/>
        <w:t>Ibid., art. 173.</w:t>
      </w:r>
    </w:p>
  </w:footnote>
  <w:footnote w:id="9">
    <w:p w:rsidR="00E82D30" w:rsidRPr="00C17B2F" w:rsidRDefault="00E82D30" w:rsidP="001135DC">
      <w:pPr>
        <w:pStyle w:val="FootnoteText"/>
        <w:rPr>
          <w:lang w:val="en-GB"/>
        </w:rPr>
      </w:pPr>
      <w:r w:rsidRPr="00C17B2F">
        <w:rPr>
          <w:lang w:val="en-GB"/>
        </w:rPr>
        <w:tab/>
      </w:r>
      <w:r w:rsidRPr="00C17B2F">
        <w:rPr>
          <w:rStyle w:val="FootnoteReference"/>
          <w:lang w:val="en-GB"/>
        </w:rPr>
        <w:footnoteRef/>
      </w:r>
      <w:r w:rsidRPr="00C17B2F">
        <w:rPr>
          <w:lang w:val="en-GB"/>
        </w:rPr>
        <w:tab/>
        <w:t>Ibid., art. 209 (1).</w:t>
      </w:r>
    </w:p>
  </w:footnote>
  <w:footnote w:id="10">
    <w:p w:rsidR="00E82D30" w:rsidRPr="00C17B2F" w:rsidRDefault="00E82D30" w:rsidP="001135DC">
      <w:pPr>
        <w:pStyle w:val="FootnoteText"/>
        <w:rPr>
          <w:lang w:val="en-GB"/>
        </w:rPr>
      </w:pPr>
      <w:r w:rsidRPr="00C17B2F">
        <w:rPr>
          <w:lang w:val="en-GB"/>
        </w:rPr>
        <w:tab/>
      </w:r>
      <w:r w:rsidRPr="00C17B2F">
        <w:rPr>
          <w:rStyle w:val="FootnoteReference"/>
          <w:lang w:val="en-GB"/>
        </w:rPr>
        <w:footnoteRef/>
      </w:r>
      <w:r w:rsidRPr="00C17B2F">
        <w:rPr>
          <w:lang w:val="en-GB"/>
        </w:rPr>
        <w:tab/>
        <w:t>Ibid., art. 312 (4).</w:t>
      </w:r>
    </w:p>
  </w:footnote>
  <w:footnote w:id="11">
    <w:p w:rsidR="00E82D30" w:rsidRPr="00C17B2F" w:rsidRDefault="00E82D30" w:rsidP="001135DC">
      <w:pPr>
        <w:pStyle w:val="FootnoteText"/>
        <w:rPr>
          <w:lang w:val="en-GB"/>
        </w:rPr>
      </w:pPr>
      <w:r w:rsidRPr="00C17B2F">
        <w:rPr>
          <w:lang w:val="en-GB"/>
        </w:rPr>
        <w:tab/>
      </w:r>
      <w:r w:rsidRPr="00C17B2F">
        <w:rPr>
          <w:rStyle w:val="FootnoteReference"/>
          <w:lang w:val="en-GB"/>
        </w:rPr>
        <w:footnoteRef/>
      </w:r>
      <w:r w:rsidRPr="00C17B2F">
        <w:rPr>
          <w:lang w:val="en-GB"/>
        </w:rPr>
        <w:tab/>
        <w:t>Ibid., art. 312 (11).</w:t>
      </w:r>
    </w:p>
  </w:footnote>
  <w:footnote w:id="12">
    <w:p w:rsidR="00E82D30" w:rsidRPr="00C17B2F" w:rsidRDefault="00E82D30" w:rsidP="00D15D7D">
      <w:pPr>
        <w:pStyle w:val="FootnoteText"/>
        <w:rPr>
          <w:lang w:val="en-GB"/>
        </w:rPr>
      </w:pPr>
      <w:r w:rsidRPr="00C17B2F">
        <w:rPr>
          <w:lang w:val="en-GB"/>
        </w:rPr>
        <w:tab/>
      </w:r>
      <w:r w:rsidRPr="00C17B2F">
        <w:rPr>
          <w:rStyle w:val="FootnoteReference"/>
          <w:lang w:val="en-GB"/>
        </w:rPr>
        <w:footnoteRef/>
      </w:r>
      <w:r w:rsidRPr="00C17B2F">
        <w:rPr>
          <w:lang w:val="en-GB"/>
        </w:rPr>
        <w:tab/>
        <w:t xml:space="preserve">Royal Decree 30/2002 (amended by Royal Decree 64/2007), Telecommunications Regulatory Act </w:t>
      </w:r>
      <w:r>
        <w:rPr>
          <w:lang w:val="en-GB"/>
        </w:rPr>
        <w:t>and</w:t>
      </w:r>
      <w:r w:rsidRPr="00C17B2F">
        <w:rPr>
          <w:lang w:val="en-GB"/>
        </w:rPr>
        <w:t> Amendments, 12 March 2002, art. 61.</w:t>
      </w:r>
    </w:p>
  </w:footnote>
  <w:footnote w:id="13">
    <w:p w:rsidR="00E82D30" w:rsidRPr="00C17B2F" w:rsidRDefault="00E82D30" w:rsidP="00253ACA">
      <w:pPr>
        <w:pStyle w:val="FootnoteText"/>
        <w:rPr>
          <w:lang w:val="en-GB"/>
        </w:rPr>
      </w:pPr>
      <w:r w:rsidRPr="00C17B2F">
        <w:rPr>
          <w:lang w:val="en-GB"/>
        </w:rPr>
        <w:tab/>
      </w:r>
      <w:r w:rsidRPr="00C17B2F">
        <w:rPr>
          <w:rStyle w:val="FootnoteReference"/>
          <w:lang w:val="en-GB"/>
        </w:rPr>
        <w:footnoteRef/>
      </w:r>
      <w:r w:rsidRPr="00C17B2F">
        <w:rPr>
          <w:lang w:val="en-GB"/>
        </w:rPr>
        <w:tab/>
        <w:t>Royal Decree 49/1984 (amended by Royal Decree No 95/2011), Press and Publications, 29 May 1984, arts. 25 and 26.</w:t>
      </w:r>
    </w:p>
  </w:footnote>
  <w:footnote w:id="14">
    <w:p w:rsidR="00E82D30" w:rsidRPr="00C17B2F" w:rsidRDefault="00E82D30" w:rsidP="000D297D">
      <w:pPr>
        <w:pStyle w:val="FootnoteText"/>
        <w:rPr>
          <w:lang w:val="en-GB"/>
        </w:rPr>
      </w:pPr>
      <w:r w:rsidRPr="00C17B2F">
        <w:rPr>
          <w:lang w:val="en-GB"/>
        </w:rPr>
        <w:tab/>
      </w:r>
      <w:r w:rsidRPr="00C17B2F">
        <w:rPr>
          <w:rStyle w:val="FootnoteReference"/>
          <w:lang w:val="en-GB"/>
        </w:rPr>
        <w:footnoteRef/>
      </w:r>
      <w:r w:rsidRPr="00C17B2F">
        <w:rPr>
          <w:lang w:val="en-GB"/>
        </w:rPr>
        <w:tab/>
        <w:t xml:space="preserve">The Committee </w:t>
      </w:r>
      <w:r w:rsidR="000D297D">
        <w:rPr>
          <w:lang w:val="en-GB"/>
        </w:rPr>
        <w:t>a</w:t>
      </w:r>
      <w:r w:rsidRPr="00C17B2F">
        <w:rPr>
          <w:lang w:val="en-GB"/>
        </w:rPr>
        <w:t xml:space="preserve">gainst Torture has noted that sleep deprivation, when used for prolonged periods, constitutes a breach of the Convention </w:t>
      </w:r>
      <w:r w:rsidR="000D297D">
        <w:rPr>
          <w:lang w:val="en-GB"/>
        </w:rPr>
        <w:t>a</w:t>
      </w:r>
      <w:r w:rsidRPr="00C17B2F">
        <w:rPr>
          <w:lang w:val="en-GB"/>
        </w:rPr>
        <w:t xml:space="preserve">gainst Torture </w:t>
      </w:r>
      <w:r w:rsidR="000D297D">
        <w:rPr>
          <w:lang w:val="en-GB"/>
        </w:rPr>
        <w:t>(</w:t>
      </w:r>
      <w:r w:rsidRPr="00C17B2F">
        <w:rPr>
          <w:lang w:val="en-GB"/>
        </w:rPr>
        <w:t xml:space="preserve">see, </w:t>
      </w:r>
      <w:r w:rsidR="000D297D">
        <w:rPr>
          <w:lang w:val="en-GB"/>
        </w:rPr>
        <w:t xml:space="preserve">for example, </w:t>
      </w:r>
      <w:r w:rsidRPr="00C17B2F">
        <w:rPr>
          <w:lang w:val="en-GB"/>
        </w:rPr>
        <w:t>CCPR/C/USA/CO/3/Rev.1, para. 13</w:t>
      </w:r>
      <w:r w:rsidR="000D297D">
        <w:rPr>
          <w:lang w:val="en-GB"/>
        </w:rPr>
        <w:t>)</w:t>
      </w:r>
      <w:r>
        <w:rPr>
          <w:lang w:val="en-GB"/>
        </w:rPr>
        <w:t>.</w:t>
      </w:r>
    </w:p>
  </w:footnote>
  <w:footnote w:id="15">
    <w:p w:rsidR="00E82D30" w:rsidRPr="00C17B2F" w:rsidRDefault="00E82D30" w:rsidP="000F0BEA">
      <w:pPr>
        <w:pStyle w:val="FootnoteText"/>
        <w:spacing w:line="240" w:lineRule="auto"/>
        <w:rPr>
          <w:rFonts w:cs="Calibri"/>
          <w:lang w:val="en-GB"/>
        </w:rPr>
      </w:pPr>
      <w:r w:rsidRPr="00C17B2F">
        <w:rPr>
          <w:rFonts w:cs="Calibri"/>
          <w:bCs/>
          <w:lang w:val="en-GB"/>
        </w:rPr>
        <w:tab/>
      </w:r>
      <w:r w:rsidRPr="00C17B2F">
        <w:rPr>
          <w:rStyle w:val="FootnoteReference"/>
          <w:rFonts w:cs="Calibri"/>
          <w:lang w:val="en-GB"/>
        </w:rPr>
        <w:footnoteRef/>
      </w:r>
      <w:r w:rsidRPr="00C17B2F">
        <w:rPr>
          <w:rFonts w:cs="Calibri"/>
          <w:bCs/>
          <w:lang w:val="en-GB"/>
        </w:rPr>
        <w:tab/>
      </w:r>
      <w:r w:rsidRPr="00C17B2F">
        <w:rPr>
          <w:rFonts w:cs="Calibri"/>
          <w:lang w:val="en-GB"/>
        </w:rPr>
        <w:t xml:space="preserve">Amnesty International public statement, </w:t>
      </w:r>
      <w:r w:rsidRPr="00C17B2F">
        <w:rPr>
          <w:rFonts w:cs="Calibri"/>
          <w:bCs/>
          <w:lang w:val="en-GB"/>
        </w:rPr>
        <w:t>“Oman must end assault on freedoms of expression and assembly”</w:t>
      </w:r>
      <w:r w:rsidRPr="00C17B2F">
        <w:rPr>
          <w:rFonts w:cs="Calibri"/>
          <w:lang w:val="en-GB"/>
        </w:rPr>
        <w:t>, 21 December 2012</w:t>
      </w:r>
      <w:r w:rsidR="00956086">
        <w:rPr>
          <w:rFonts w:cs="Calibri"/>
          <w:lang w:val="en-GB"/>
        </w:rPr>
        <w:t>.</w:t>
      </w:r>
      <w:r w:rsidRPr="00C17B2F">
        <w:rPr>
          <w:rFonts w:cs="Calibri"/>
          <w:lang w:val="en-GB"/>
        </w:rPr>
        <w:t xml:space="preserve"> </w:t>
      </w:r>
      <w:r w:rsidR="00956086">
        <w:rPr>
          <w:rFonts w:cs="Calibri"/>
          <w:lang w:val="en-GB"/>
        </w:rPr>
        <w:t>A</w:t>
      </w:r>
      <w:r w:rsidRPr="00C17B2F">
        <w:rPr>
          <w:rFonts w:cs="Calibri"/>
          <w:lang w:val="en-GB"/>
        </w:rPr>
        <w:t>vailable from www.amnesty.org/ar/library/asset/MDE20/006/</w:t>
      </w:r>
      <w:r w:rsidRPr="00C17B2F">
        <w:rPr>
          <w:rFonts w:cs="Calibri"/>
          <w:lang w:val="en-GB"/>
        </w:rPr>
        <w:br/>
        <w:t>2012/en/0009f1b4-fd9f-4943-ae89-7c6aa44b4dd1/mde200062012en.pdf.</w:t>
      </w:r>
    </w:p>
  </w:footnote>
  <w:footnote w:id="16">
    <w:p w:rsidR="00E82D30" w:rsidRPr="00C17B2F" w:rsidRDefault="00E82D30" w:rsidP="008E3A41">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Human Rights Watch, </w:t>
      </w:r>
      <w:r w:rsidRPr="00C17B2F">
        <w:rPr>
          <w:rFonts w:cs="Calibri"/>
          <w:i/>
          <w:iCs/>
          <w:lang w:val="en-GB"/>
        </w:rPr>
        <w:t>World Report 2013</w:t>
      </w:r>
      <w:r w:rsidRPr="00C17B2F">
        <w:rPr>
          <w:rFonts w:cs="Calibri"/>
          <w:lang w:val="en-GB"/>
        </w:rPr>
        <w:t>, Oman, available from www.hrw.org/world-report/</w:t>
      </w:r>
      <w:r w:rsidRPr="00C17B2F">
        <w:rPr>
          <w:rFonts w:cs="Calibri"/>
          <w:lang w:val="en-GB"/>
        </w:rPr>
        <w:br/>
        <w:t>2013/country-chapters/</w:t>
      </w:r>
      <w:proofErr w:type="spellStart"/>
      <w:r w:rsidRPr="00C17B2F">
        <w:rPr>
          <w:rFonts w:cs="Calibri"/>
          <w:lang w:val="en-GB"/>
        </w:rPr>
        <w:t>oman?page</w:t>
      </w:r>
      <w:proofErr w:type="spellEnd"/>
      <w:r w:rsidRPr="00C17B2F">
        <w:rPr>
          <w:rFonts w:cs="Calibri"/>
          <w:lang w:val="en-GB"/>
        </w:rPr>
        <w:t>=1.</w:t>
      </w:r>
    </w:p>
  </w:footnote>
  <w:footnote w:id="17">
    <w:p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See Royal Decrees 14/2000, 30/2001 and 23/2007.</w:t>
      </w:r>
    </w:p>
  </w:footnote>
  <w:footnote w:id="18">
    <w:p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Royal Decree 35/2003</w:t>
      </w:r>
      <w:r>
        <w:rPr>
          <w:rFonts w:cs="Calibri"/>
          <w:lang w:val="en-GB"/>
        </w:rPr>
        <w:t>,</w:t>
      </w:r>
      <w:r w:rsidRPr="00C17B2F">
        <w:rPr>
          <w:rFonts w:cs="Calibri"/>
          <w:lang w:val="en-GB"/>
        </w:rPr>
        <w:t xml:space="preserve"> as amended by Royal Decree 74/2006 </w:t>
      </w:r>
      <w:r>
        <w:rPr>
          <w:rFonts w:cs="Calibri"/>
          <w:lang w:val="en-GB"/>
        </w:rPr>
        <w:t xml:space="preserve">on </w:t>
      </w:r>
      <w:r w:rsidRPr="00C17B2F">
        <w:rPr>
          <w:rFonts w:cs="Calibri"/>
          <w:lang w:val="en-GB"/>
        </w:rPr>
        <w:t xml:space="preserve">Labour </w:t>
      </w:r>
      <w:r>
        <w:rPr>
          <w:rFonts w:cs="Calibri"/>
          <w:lang w:val="en-GB"/>
        </w:rPr>
        <w:t>U</w:t>
      </w:r>
      <w:r w:rsidRPr="00C17B2F">
        <w:rPr>
          <w:rFonts w:cs="Calibri"/>
          <w:lang w:val="en-GB"/>
        </w:rPr>
        <w:t xml:space="preserve">nions, </w:t>
      </w:r>
      <w:r>
        <w:rPr>
          <w:rFonts w:cs="Calibri"/>
          <w:lang w:val="en-GB"/>
        </w:rPr>
        <w:t xml:space="preserve">dated </w:t>
      </w:r>
      <w:r w:rsidRPr="00C17B2F">
        <w:rPr>
          <w:rFonts w:cs="Calibri"/>
          <w:lang w:val="en-GB"/>
        </w:rPr>
        <w:t>8 July 2006.</w:t>
      </w:r>
    </w:p>
  </w:footnote>
  <w:footnote w:id="19">
    <w:p w:rsidR="00E82D30" w:rsidRPr="00C17B2F" w:rsidRDefault="00E82D30" w:rsidP="00703943">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Ministerial Decision 570/2012 promulgating the formation, functioning and registration of trade syndicates, trade unions and the General Federation of Oman Trade Unions, 15 October 2014.</w:t>
      </w:r>
    </w:p>
  </w:footnote>
  <w:footnote w:id="20">
    <w:p w:rsidR="00E82D30" w:rsidRPr="00C17B2F" w:rsidRDefault="00E82D30" w:rsidP="00E33536">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Royal Decree 1/1972 as amended by Royal Decree 38/2014, Nationality, 11 August 2014.</w:t>
      </w:r>
    </w:p>
  </w:footnote>
  <w:footnote w:id="21">
    <w:p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The Committee on the Rights of the Child and </w:t>
      </w:r>
      <w:r>
        <w:rPr>
          <w:rFonts w:cs="Calibri"/>
          <w:lang w:val="en-GB"/>
        </w:rPr>
        <w:t xml:space="preserve">the </w:t>
      </w:r>
      <w:r w:rsidRPr="00FB1BB9">
        <w:rPr>
          <w:rFonts w:cs="Calibri"/>
          <w:lang w:val="en-GB"/>
        </w:rPr>
        <w:t xml:space="preserve">Committee </w:t>
      </w:r>
      <w:r w:rsidRPr="00C17B2F">
        <w:rPr>
          <w:rFonts w:cs="Calibri"/>
          <w:lang w:val="en-GB"/>
        </w:rPr>
        <w:t>on the Elimination of Discrimination against Women reviewed Oman in 2001 and 2006, and 2011, respectively. The latter Committee said that it was “concerned about the absence of a vibrant civil society, including autonomous and active women’s human rights organizations” (</w:t>
      </w:r>
      <w:r>
        <w:rPr>
          <w:rFonts w:cs="Calibri"/>
          <w:lang w:val="en-GB"/>
        </w:rPr>
        <w:t xml:space="preserve">see </w:t>
      </w:r>
      <w:r w:rsidRPr="00C17B2F">
        <w:rPr>
          <w:rFonts w:cs="Calibri"/>
          <w:lang w:val="en-GB"/>
        </w:rPr>
        <w:t>CEDAW/C/OMN/CO/1, para. 31). The Committee on the Rights of the Child stated in 2001 that “insufficient efforts have been made to involve civil society, particularly in the area of civil rights and freedoms, with respect to awareness-raising and in the implementation of the Convention” (</w:t>
      </w:r>
      <w:r>
        <w:rPr>
          <w:rFonts w:cs="Calibri"/>
          <w:lang w:val="en-GB"/>
        </w:rPr>
        <w:t xml:space="preserve">see </w:t>
      </w:r>
      <w:r w:rsidRPr="00C17B2F">
        <w:rPr>
          <w:rFonts w:cs="Calibri"/>
          <w:lang w:val="en-GB"/>
        </w:rPr>
        <w:t xml:space="preserve">CRC/C/15/Add.161, para. 14), but took note in 2006 of the </w:t>
      </w:r>
      <w:r w:rsidRPr="00FB1BB9">
        <w:rPr>
          <w:rFonts w:cs="Calibri"/>
          <w:lang w:val="en-GB"/>
        </w:rPr>
        <w:t>“</w:t>
      </w:r>
      <w:r w:rsidRPr="00C17B2F">
        <w:rPr>
          <w:rFonts w:cs="Calibri"/>
          <w:lang w:val="en-GB"/>
        </w:rPr>
        <w:t>active role played by civil society in the provision of services, particularly health and social services, for example for children with disabilities” (</w:t>
      </w:r>
      <w:r>
        <w:rPr>
          <w:rFonts w:cs="Calibri"/>
          <w:lang w:val="en-GB"/>
        </w:rPr>
        <w:t xml:space="preserve">see </w:t>
      </w:r>
      <w:r w:rsidRPr="00C17B2F">
        <w:rPr>
          <w:rFonts w:cs="Calibri"/>
          <w:lang w:val="en-GB"/>
        </w:rPr>
        <w:t>CRC/C/OMN/CO/2, para. 20).</w:t>
      </w:r>
    </w:p>
  </w:footnote>
  <w:footnote w:id="22">
    <w:p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Reply of the Minister of Social Development when questioned about registration arrangements for political organizations, Muscat, 9 September 2014.</w:t>
      </w:r>
    </w:p>
  </w:footnote>
  <w:footnote w:id="23">
    <w:p w:rsidR="00E82D30" w:rsidRPr="00C17B2F" w:rsidRDefault="00E82D30" w:rsidP="00E33536">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Numbers provided by the National Human Rights Commission of Oman on 9 September 2014.</w:t>
      </w:r>
    </w:p>
  </w:footnote>
  <w:footnote w:id="24">
    <w:p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Royal Decree 124/2008, Human Rights Commission, 15 November 2008, </w:t>
      </w:r>
      <w:r w:rsidRPr="000F0BEA">
        <w:rPr>
          <w:rFonts w:cs="Calibri"/>
          <w:lang w:val="en-GB"/>
        </w:rPr>
        <w:t>art</w:t>
      </w:r>
      <w:r w:rsidRPr="00C17B2F">
        <w:rPr>
          <w:rFonts w:cs="Calibri"/>
          <w:lang w:val="en-GB"/>
        </w:rPr>
        <w:t>. 7.1.</w:t>
      </w:r>
    </w:p>
  </w:footnote>
  <w:footnote w:id="25">
    <w:p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r>
      <w:r>
        <w:rPr>
          <w:rFonts w:cs="Calibri"/>
          <w:lang w:val="en-GB"/>
        </w:rPr>
        <w:t xml:space="preserve">See </w:t>
      </w:r>
      <w:r w:rsidRPr="00C17B2F">
        <w:rPr>
          <w:rFonts w:cs="Calibri"/>
          <w:lang w:val="en-GB"/>
        </w:rPr>
        <w:t xml:space="preserve">Report and Recommendations of the Session of the Sub-Committee on Accreditation, Geneva, 18–22 November 2013, </w:t>
      </w:r>
      <w:r>
        <w:rPr>
          <w:rFonts w:cs="Calibri"/>
          <w:lang w:val="en-GB"/>
        </w:rPr>
        <w:t>sect. 2.4, para. 1</w:t>
      </w:r>
      <w:r w:rsidRPr="00C17B2F">
        <w:rPr>
          <w:rFonts w:cs="Calibri"/>
          <w:lang w:val="en-GB"/>
        </w:rPr>
        <w:t>.</w:t>
      </w:r>
      <w:r>
        <w:rPr>
          <w:rFonts w:cs="Calibri"/>
          <w:lang w:val="en-GB"/>
        </w:rPr>
        <w:t xml:space="preserve"> Available from </w:t>
      </w:r>
      <w:r w:rsidRPr="001F5A93">
        <w:rPr>
          <w:rFonts w:cs="Calibri"/>
          <w:lang w:val="en-GB"/>
        </w:rPr>
        <w:t>http://nhri.ohchr.org/EN/AboutUs/</w:t>
      </w:r>
      <w:r>
        <w:rPr>
          <w:rFonts w:cs="Calibri"/>
          <w:lang w:val="en-GB"/>
        </w:rPr>
        <w:br/>
      </w:r>
      <w:proofErr w:type="spellStart"/>
      <w:r w:rsidRPr="001F5A93">
        <w:rPr>
          <w:rFonts w:cs="Calibri"/>
          <w:lang w:val="en-GB"/>
        </w:rPr>
        <w:t>ICCAccreditation</w:t>
      </w:r>
      <w:proofErr w:type="spellEnd"/>
      <w:r w:rsidRPr="001F5A93">
        <w:rPr>
          <w:rFonts w:cs="Calibri"/>
          <w:lang w:val="en-GB"/>
        </w:rPr>
        <w:t>/Pages/SCA-Reports.aspx</w:t>
      </w:r>
      <w:r>
        <w:rPr>
          <w:rFonts w:cs="Calibri"/>
          <w:lang w:val="en-GB"/>
        </w:rPr>
        <w:t>.</w:t>
      </w:r>
    </w:p>
  </w:footnote>
  <w:footnote w:id="26">
    <w:p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Ibid.</w:t>
      </w:r>
      <w:r>
        <w:rPr>
          <w:rFonts w:cs="Calibri"/>
          <w:lang w:val="en-GB"/>
        </w:rPr>
        <w:t>, para. 2.</w:t>
      </w:r>
    </w:p>
  </w:footnote>
  <w:footnote w:id="27">
    <w:p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Ibid.</w:t>
      </w:r>
      <w:r>
        <w:rPr>
          <w:rFonts w:cs="Calibri"/>
          <w:lang w:val="en-GB"/>
        </w:rPr>
        <w:t>, para. 3.</w:t>
      </w:r>
    </w:p>
  </w:footnote>
  <w:footnote w:id="28">
    <w:p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Ibid., </w:t>
      </w:r>
      <w:r>
        <w:rPr>
          <w:rFonts w:cs="Calibri"/>
          <w:lang w:val="en-GB"/>
        </w:rPr>
        <w:t>paras. 4–10</w:t>
      </w:r>
      <w:r w:rsidRPr="00C17B2F">
        <w:rPr>
          <w:rFonts w:cs="Calibri"/>
          <w:lang w:val="en-GB"/>
        </w:rPr>
        <w:t>.</w:t>
      </w:r>
    </w:p>
  </w:footnote>
  <w:footnote w:id="29">
    <w:p w:rsidR="00E82D30" w:rsidRPr="00C17B2F" w:rsidRDefault="00E82D30" w:rsidP="008A41E6">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The Decree makes it illegal to knowingly </w:t>
      </w:r>
      <w:r w:rsidRPr="008A41E6">
        <w:rPr>
          <w:rFonts w:cs="Calibri"/>
          <w:lang w:val="en-GB"/>
        </w:rPr>
        <w:t xml:space="preserve">use </w:t>
      </w:r>
      <w:r w:rsidRPr="00C17B2F">
        <w:rPr>
          <w:rFonts w:cs="Calibri"/>
          <w:lang w:val="en-GB"/>
        </w:rPr>
        <w:t xml:space="preserve">any form of communication </w:t>
      </w:r>
      <w:r w:rsidRPr="008A41E6">
        <w:rPr>
          <w:rFonts w:cs="Calibri"/>
          <w:lang w:val="en-GB"/>
        </w:rPr>
        <w:t xml:space="preserve">to </w:t>
      </w:r>
      <w:r w:rsidRPr="00C17B2F">
        <w:rPr>
          <w:rFonts w:cs="Calibri"/>
          <w:lang w:val="en-GB"/>
        </w:rPr>
        <w:t>send a message that violates public order and morals or is harmful to any person’s safety.</w:t>
      </w:r>
    </w:p>
  </w:footnote>
  <w:footnote w:id="30">
    <w:p w:rsidR="00E82D30" w:rsidRPr="00C17B2F" w:rsidRDefault="00E82D30" w:rsidP="00C82245">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The Decree authorizes the Government to censor communication exchanges with any sort of device.</w:t>
      </w:r>
    </w:p>
  </w:footnote>
  <w:footnote w:id="31">
    <w:p w:rsidR="00E82D30" w:rsidRPr="00C17B2F" w:rsidRDefault="00E82D30" w:rsidP="000F0BEA">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The Decree provides that an Omani-born citizen will lose his/her citizenship if he</w:t>
      </w:r>
      <w:r>
        <w:rPr>
          <w:rFonts w:cs="Calibri"/>
          <w:lang w:val="en-GB"/>
        </w:rPr>
        <w:t xml:space="preserve"> or </w:t>
      </w:r>
      <w:r w:rsidRPr="00C17B2F">
        <w:rPr>
          <w:rFonts w:cs="Calibri"/>
          <w:lang w:val="en-GB"/>
        </w:rPr>
        <w:t xml:space="preserve">she </w:t>
      </w:r>
      <w:r>
        <w:rPr>
          <w:rFonts w:cs="Calibri"/>
          <w:lang w:val="en-GB"/>
        </w:rPr>
        <w:t xml:space="preserve"> </w:t>
      </w:r>
      <w:r w:rsidRPr="00C17B2F">
        <w:rPr>
          <w:rFonts w:cs="Calibri"/>
          <w:lang w:val="en-GB"/>
        </w:rPr>
        <w:t xml:space="preserve">belongs to a group, party or organization that embraces principles or doctrine harming Oman’s interests, or </w:t>
      </w:r>
      <w:r w:rsidR="00956086">
        <w:rPr>
          <w:rFonts w:cs="Calibri"/>
          <w:lang w:val="en-GB"/>
        </w:rPr>
        <w:t xml:space="preserve">either </w:t>
      </w:r>
      <w:r w:rsidRPr="00C17B2F">
        <w:rPr>
          <w:rFonts w:cs="Calibri"/>
          <w:lang w:val="en-GB"/>
        </w:rPr>
        <w:t>works for a foreign country in any capacity in or outside Oman and does not resign before the imposed deadline or works in favour of a hostile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30" w:rsidRPr="00DD76B4" w:rsidRDefault="00E82D30">
    <w:pPr>
      <w:pStyle w:val="Header"/>
    </w:pPr>
    <w:r>
      <w:t xml:space="preserve">A/HRC/29/25/Add.1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30" w:rsidRPr="00DD76B4" w:rsidRDefault="00E82D30" w:rsidP="00DD76B4">
    <w:pPr>
      <w:pStyle w:val="Header"/>
      <w:jc w:val="right"/>
    </w:pPr>
    <w:r>
      <w:t xml:space="preserve">A/HRC/29/25/Add.1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289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508DE"/>
    <w:multiLevelType w:val="hybridMultilevel"/>
    <w:tmpl w:val="8F0A027C"/>
    <w:lvl w:ilvl="0" w:tplc="9E04ADE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4BAF3303"/>
    <w:multiLevelType w:val="hybridMultilevel"/>
    <w:tmpl w:val="90B86A58"/>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9640810"/>
    <w:multiLevelType w:val="hybridMultilevel"/>
    <w:tmpl w:val="D4E0534A"/>
    <w:lvl w:ilvl="0" w:tplc="D5AA9442">
      <w:start w:val="1"/>
      <w:numFmt w:val="lowerLetter"/>
      <w:pStyle w:val="Bullet1G"/>
      <w:lvlText w:val="(%1)"/>
      <w:lvlJc w:val="left"/>
      <w:pPr>
        <w:tabs>
          <w:tab w:val="num" w:pos="1701"/>
        </w:tabs>
        <w:ind w:left="1701" w:hanging="17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B4"/>
    <w:rsid w:val="00002A29"/>
    <w:rsid w:val="00002C52"/>
    <w:rsid w:val="00005CE2"/>
    <w:rsid w:val="00007F7F"/>
    <w:rsid w:val="00017B00"/>
    <w:rsid w:val="00022DB5"/>
    <w:rsid w:val="000272A1"/>
    <w:rsid w:val="000403D1"/>
    <w:rsid w:val="00040C5D"/>
    <w:rsid w:val="000424CF"/>
    <w:rsid w:val="000449AA"/>
    <w:rsid w:val="00050F6B"/>
    <w:rsid w:val="00051C4B"/>
    <w:rsid w:val="0005463D"/>
    <w:rsid w:val="000626E3"/>
    <w:rsid w:val="00066D1B"/>
    <w:rsid w:val="00072C8C"/>
    <w:rsid w:val="00073E70"/>
    <w:rsid w:val="000802A3"/>
    <w:rsid w:val="00081A19"/>
    <w:rsid w:val="000871A8"/>
    <w:rsid w:val="000876EB"/>
    <w:rsid w:val="00091419"/>
    <w:rsid w:val="000931C0"/>
    <w:rsid w:val="00093F76"/>
    <w:rsid w:val="00094365"/>
    <w:rsid w:val="00095AD0"/>
    <w:rsid w:val="000A62C7"/>
    <w:rsid w:val="000B175B"/>
    <w:rsid w:val="000B3A0F"/>
    <w:rsid w:val="000B4A3B"/>
    <w:rsid w:val="000B6CB2"/>
    <w:rsid w:val="000C03F8"/>
    <w:rsid w:val="000D05A6"/>
    <w:rsid w:val="000D1851"/>
    <w:rsid w:val="000D297D"/>
    <w:rsid w:val="000D42D9"/>
    <w:rsid w:val="000E0415"/>
    <w:rsid w:val="000E42BC"/>
    <w:rsid w:val="000E4460"/>
    <w:rsid w:val="000E5BD0"/>
    <w:rsid w:val="000E7C5C"/>
    <w:rsid w:val="000F0BEA"/>
    <w:rsid w:val="000F3567"/>
    <w:rsid w:val="000F35EC"/>
    <w:rsid w:val="001033F7"/>
    <w:rsid w:val="00107F2A"/>
    <w:rsid w:val="001104F0"/>
    <w:rsid w:val="001135DC"/>
    <w:rsid w:val="001235FA"/>
    <w:rsid w:val="00132FB3"/>
    <w:rsid w:val="00135F7B"/>
    <w:rsid w:val="00143D12"/>
    <w:rsid w:val="00146D32"/>
    <w:rsid w:val="001509BA"/>
    <w:rsid w:val="001702D3"/>
    <w:rsid w:val="001731FD"/>
    <w:rsid w:val="00174566"/>
    <w:rsid w:val="001A78A6"/>
    <w:rsid w:val="001B4B04"/>
    <w:rsid w:val="001C0E0E"/>
    <w:rsid w:val="001C3221"/>
    <w:rsid w:val="001C6590"/>
    <w:rsid w:val="001C6663"/>
    <w:rsid w:val="001C66D3"/>
    <w:rsid w:val="001C7895"/>
    <w:rsid w:val="001D1FC2"/>
    <w:rsid w:val="001D26DF"/>
    <w:rsid w:val="001D2D6F"/>
    <w:rsid w:val="001D7024"/>
    <w:rsid w:val="001D7D69"/>
    <w:rsid w:val="001E2790"/>
    <w:rsid w:val="001F5A93"/>
    <w:rsid w:val="00203BBF"/>
    <w:rsid w:val="0020791C"/>
    <w:rsid w:val="00210D1B"/>
    <w:rsid w:val="00211E0B"/>
    <w:rsid w:val="00211E72"/>
    <w:rsid w:val="00214047"/>
    <w:rsid w:val="002140D5"/>
    <w:rsid w:val="002206DB"/>
    <w:rsid w:val="0022130F"/>
    <w:rsid w:val="002263A8"/>
    <w:rsid w:val="00226DE7"/>
    <w:rsid w:val="002272ED"/>
    <w:rsid w:val="00230D17"/>
    <w:rsid w:val="00237785"/>
    <w:rsid w:val="002410DD"/>
    <w:rsid w:val="00241466"/>
    <w:rsid w:val="00253ACA"/>
    <w:rsid w:val="00253D58"/>
    <w:rsid w:val="002611AD"/>
    <w:rsid w:val="0026284C"/>
    <w:rsid w:val="002644FA"/>
    <w:rsid w:val="0026568A"/>
    <w:rsid w:val="00275F1D"/>
    <w:rsid w:val="0027725F"/>
    <w:rsid w:val="0028005C"/>
    <w:rsid w:val="00291DFD"/>
    <w:rsid w:val="002A3CC9"/>
    <w:rsid w:val="002A4165"/>
    <w:rsid w:val="002A4F94"/>
    <w:rsid w:val="002A5ECA"/>
    <w:rsid w:val="002A636B"/>
    <w:rsid w:val="002B4B9F"/>
    <w:rsid w:val="002C21F0"/>
    <w:rsid w:val="002D14E7"/>
    <w:rsid w:val="002D2DA1"/>
    <w:rsid w:val="002D3360"/>
    <w:rsid w:val="002D7E0B"/>
    <w:rsid w:val="002F3DAB"/>
    <w:rsid w:val="002F57AE"/>
    <w:rsid w:val="002F745F"/>
    <w:rsid w:val="00300743"/>
    <w:rsid w:val="00304E87"/>
    <w:rsid w:val="003107FA"/>
    <w:rsid w:val="00317977"/>
    <w:rsid w:val="003229D8"/>
    <w:rsid w:val="003314D1"/>
    <w:rsid w:val="00335A2F"/>
    <w:rsid w:val="00341937"/>
    <w:rsid w:val="0035719C"/>
    <w:rsid w:val="0035723C"/>
    <w:rsid w:val="003648C8"/>
    <w:rsid w:val="0037733A"/>
    <w:rsid w:val="0038042C"/>
    <w:rsid w:val="00383C54"/>
    <w:rsid w:val="00383CEA"/>
    <w:rsid w:val="00384456"/>
    <w:rsid w:val="003850C4"/>
    <w:rsid w:val="00386ECA"/>
    <w:rsid w:val="0039277A"/>
    <w:rsid w:val="003972E0"/>
    <w:rsid w:val="003975ED"/>
    <w:rsid w:val="003A7417"/>
    <w:rsid w:val="003C2CC4"/>
    <w:rsid w:val="003C62FE"/>
    <w:rsid w:val="003D4B23"/>
    <w:rsid w:val="003D69FF"/>
    <w:rsid w:val="003E5FF5"/>
    <w:rsid w:val="003F0D0C"/>
    <w:rsid w:val="003F7BD1"/>
    <w:rsid w:val="00400136"/>
    <w:rsid w:val="004040B4"/>
    <w:rsid w:val="004052F0"/>
    <w:rsid w:val="00412A54"/>
    <w:rsid w:val="00420108"/>
    <w:rsid w:val="00420CE8"/>
    <w:rsid w:val="00421F9F"/>
    <w:rsid w:val="00424C80"/>
    <w:rsid w:val="004325CB"/>
    <w:rsid w:val="00433559"/>
    <w:rsid w:val="00440C18"/>
    <w:rsid w:val="00443A74"/>
    <w:rsid w:val="00444ABB"/>
    <w:rsid w:val="0044503A"/>
    <w:rsid w:val="00446DE4"/>
    <w:rsid w:val="0044733E"/>
    <w:rsid w:val="00447761"/>
    <w:rsid w:val="00447981"/>
    <w:rsid w:val="00451EC3"/>
    <w:rsid w:val="00455B87"/>
    <w:rsid w:val="004562CA"/>
    <w:rsid w:val="00457AD9"/>
    <w:rsid w:val="004621BC"/>
    <w:rsid w:val="004700DB"/>
    <w:rsid w:val="00471997"/>
    <w:rsid w:val="004721B1"/>
    <w:rsid w:val="004730AE"/>
    <w:rsid w:val="0047315A"/>
    <w:rsid w:val="004826B1"/>
    <w:rsid w:val="004859EC"/>
    <w:rsid w:val="00496A15"/>
    <w:rsid w:val="00497510"/>
    <w:rsid w:val="004A7863"/>
    <w:rsid w:val="004B74F3"/>
    <w:rsid w:val="004B75D2"/>
    <w:rsid w:val="004B78C4"/>
    <w:rsid w:val="004B7CA9"/>
    <w:rsid w:val="004D1140"/>
    <w:rsid w:val="004D76EA"/>
    <w:rsid w:val="004E3696"/>
    <w:rsid w:val="004F55ED"/>
    <w:rsid w:val="00505881"/>
    <w:rsid w:val="0051082A"/>
    <w:rsid w:val="005119E1"/>
    <w:rsid w:val="00513F9B"/>
    <w:rsid w:val="00521321"/>
    <w:rsid w:val="0052176C"/>
    <w:rsid w:val="005225C6"/>
    <w:rsid w:val="0052351F"/>
    <w:rsid w:val="005261D4"/>
    <w:rsid w:val="005261E5"/>
    <w:rsid w:val="005324DA"/>
    <w:rsid w:val="00533961"/>
    <w:rsid w:val="00536BA5"/>
    <w:rsid w:val="005420F2"/>
    <w:rsid w:val="00542574"/>
    <w:rsid w:val="005436AB"/>
    <w:rsid w:val="00545A1B"/>
    <w:rsid w:val="00546DBF"/>
    <w:rsid w:val="005505F9"/>
    <w:rsid w:val="00553D76"/>
    <w:rsid w:val="005552B5"/>
    <w:rsid w:val="0056117B"/>
    <w:rsid w:val="00566CC4"/>
    <w:rsid w:val="00571365"/>
    <w:rsid w:val="00571BA5"/>
    <w:rsid w:val="005734F0"/>
    <w:rsid w:val="0057526B"/>
    <w:rsid w:val="005827B6"/>
    <w:rsid w:val="00585BD6"/>
    <w:rsid w:val="00594FE4"/>
    <w:rsid w:val="00596433"/>
    <w:rsid w:val="005A0263"/>
    <w:rsid w:val="005A3FB1"/>
    <w:rsid w:val="005A4A2E"/>
    <w:rsid w:val="005B3DB3"/>
    <w:rsid w:val="005B6E48"/>
    <w:rsid w:val="005B78AE"/>
    <w:rsid w:val="005C4C70"/>
    <w:rsid w:val="005C67A8"/>
    <w:rsid w:val="005D242E"/>
    <w:rsid w:val="005D7D05"/>
    <w:rsid w:val="005E1712"/>
    <w:rsid w:val="005F7583"/>
    <w:rsid w:val="006036DE"/>
    <w:rsid w:val="00604EA5"/>
    <w:rsid w:val="006051E4"/>
    <w:rsid w:val="00611FC4"/>
    <w:rsid w:val="006176FB"/>
    <w:rsid w:val="00622328"/>
    <w:rsid w:val="00634119"/>
    <w:rsid w:val="00640B26"/>
    <w:rsid w:val="00645D86"/>
    <w:rsid w:val="006469B4"/>
    <w:rsid w:val="00655360"/>
    <w:rsid w:val="00667E50"/>
    <w:rsid w:val="00670741"/>
    <w:rsid w:val="006715AE"/>
    <w:rsid w:val="00671B9E"/>
    <w:rsid w:val="006965DA"/>
    <w:rsid w:val="00696BD6"/>
    <w:rsid w:val="006A6B9D"/>
    <w:rsid w:val="006A7117"/>
    <w:rsid w:val="006A7392"/>
    <w:rsid w:val="006B036B"/>
    <w:rsid w:val="006B3189"/>
    <w:rsid w:val="006B673A"/>
    <w:rsid w:val="006B70AE"/>
    <w:rsid w:val="006B7D65"/>
    <w:rsid w:val="006C58F6"/>
    <w:rsid w:val="006D3A72"/>
    <w:rsid w:val="006D6D6E"/>
    <w:rsid w:val="006D6DA6"/>
    <w:rsid w:val="006E23E8"/>
    <w:rsid w:val="006E564B"/>
    <w:rsid w:val="006E630A"/>
    <w:rsid w:val="006F13F0"/>
    <w:rsid w:val="006F5035"/>
    <w:rsid w:val="00703943"/>
    <w:rsid w:val="007049CE"/>
    <w:rsid w:val="00705ADB"/>
    <w:rsid w:val="00705B1A"/>
    <w:rsid w:val="007065EB"/>
    <w:rsid w:val="00716FC5"/>
    <w:rsid w:val="007200AB"/>
    <w:rsid w:val="00720183"/>
    <w:rsid w:val="0072098F"/>
    <w:rsid w:val="00722649"/>
    <w:rsid w:val="0072401B"/>
    <w:rsid w:val="00724C99"/>
    <w:rsid w:val="00725EE2"/>
    <w:rsid w:val="0072632A"/>
    <w:rsid w:val="007400D5"/>
    <w:rsid w:val="0074019F"/>
    <w:rsid w:val="0074080C"/>
    <w:rsid w:val="0074200B"/>
    <w:rsid w:val="007478BA"/>
    <w:rsid w:val="007546CD"/>
    <w:rsid w:val="00755F56"/>
    <w:rsid w:val="00767712"/>
    <w:rsid w:val="00767D5F"/>
    <w:rsid w:val="00795889"/>
    <w:rsid w:val="007A54DA"/>
    <w:rsid w:val="007A6296"/>
    <w:rsid w:val="007B6BA5"/>
    <w:rsid w:val="007C012D"/>
    <w:rsid w:val="007C1B62"/>
    <w:rsid w:val="007C3390"/>
    <w:rsid w:val="007C4F4B"/>
    <w:rsid w:val="007C59C7"/>
    <w:rsid w:val="007D2CDC"/>
    <w:rsid w:val="007D5327"/>
    <w:rsid w:val="007D78C7"/>
    <w:rsid w:val="007F4245"/>
    <w:rsid w:val="007F6611"/>
    <w:rsid w:val="008009B7"/>
    <w:rsid w:val="00810806"/>
    <w:rsid w:val="008114C8"/>
    <w:rsid w:val="008155C3"/>
    <w:rsid w:val="008175E9"/>
    <w:rsid w:val="008202F8"/>
    <w:rsid w:val="0082243E"/>
    <w:rsid w:val="00822AE1"/>
    <w:rsid w:val="008242D7"/>
    <w:rsid w:val="008404E5"/>
    <w:rsid w:val="00840C6E"/>
    <w:rsid w:val="00840FD1"/>
    <w:rsid w:val="00847690"/>
    <w:rsid w:val="0085133E"/>
    <w:rsid w:val="00854FA3"/>
    <w:rsid w:val="00856CD2"/>
    <w:rsid w:val="00861BC6"/>
    <w:rsid w:val="00862FD5"/>
    <w:rsid w:val="00871FD5"/>
    <w:rsid w:val="00872FF7"/>
    <w:rsid w:val="00892FB6"/>
    <w:rsid w:val="008953CF"/>
    <w:rsid w:val="00897947"/>
    <w:rsid w:val="008979B1"/>
    <w:rsid w:val="008A41E6"/>
    <w:rsid w:val="008A6843"/>
    <w:rsid w:val="008A6B25"/>
    <w:rsid w:val="008A6C4F"/>
    <w:rsid w:val="008C1E4D"/>
    <w:rsid w:val="008D11A5"/>
    <w:rsid w:val="008D40C8"/>
    <w:rsid w:val="008D6BA9"/>
    <w:rsid w:val="008E0E46"/>
    <w:rsid w:val="008E3A41"/>
    <w:rsid w:val="008E521E"/>
    <w:rsid w:val="008F1B22"/>
    <w:rsid w:val="008F6BBA"/>
    <w:rsid w:val="0090452C"/>
    <w:rsid w:val="00907C3F"/>
    <w:rsid w:val="0091678D"/>
    <w:rsid w:val="0092237C"/>
    <w:rsid w:val="00922527"/>
    <w:rsid w:val="00926640"/>
    <w:rsid w:val="0093707B"/>
    <w:rsid w:val="009400EB"/>
    <w:rsid w:val="009427E3"/>
    <w:rsid w:val="00943ADA"/>
    <w:rsid w:val="009450DD"/>
    <w:rsid w:val="0095167B"/>
    <w:rsid w:val="00956086"/>
    <w:rsid w:val="00956D9B"/>
    <w:rsid w:val="00961159"/>
    <w:rsid w:val="009629A7"/>
    <w:rsid w:val="00963CBA"/>
    <w:rsid w:val="009654B7"/>
    <w:rsid w:val="00965FF7"/>
    <w:rsid w:val="00976458"/>
    <w:rsid w:val="009766FF"/>
    <w:rsid w:val="00984578"/>
    <w:rsid w:val="00985095"/>
    <w:rsid w:val="00991261"/>
    <w:rsid w:val="009923AA"/>
    <w:rsid w:val="009A0B83"/>
    <w:rsid w:val="009A315A"/>
    <w:rsid w:val="009A55AC"/>
    <w:rsid w:val="009B28FE"/>
    <w:rsid w:val="009B3800"/>
    <w:rsid w:val="009C510D"/>
    <w:rsid w:val="009C778A"/>
    <w:rsid w:val="009D22AC"/>
    <w:rsid w:val="009D4111"/>
    <w:rsid w:val="009D4DE3"/>
    <w:rsid w:val="009D50DB"/>
    <w:rsid w:val="009E0553"/>
    <w:rsid w:val="009E1C4E"/>
    <w:rsid w:val="00A022CA"/>
    <w:rsid w:val="00A037E9"/>
    <w:rsid w:val="00A05E0B"/>
    <w:rsid w:val="00A11C2A"/>
    <w:rsid w:val="00A12060"/>
    <w:rsid w:val="00A1427D"/>
    <w:rsid w:val="00A25589"/>
    <w:rsid w:val="00A2578C"/>
    <w:rsid w:val="00A4634F"/>
    <w:rsid w:val="00A51CF3"/>
    <w:rsid w:val="00A56FD9"/>
    <w:rsid w:val="00A72F22"/>
    <w:rsid w:val="00A748A6"/>
    <w:rsid w:val="00A879A4"/>
    <w:rsid w:val="00A87E95"/>
    <w:rsid w:val="00A91B9A"/>
    <w:rsid w:val="00A92E29"/>
    <w:rsid w:val="00AA3995"/>
    <w:rsid w:val="00AA6A6E"/>
    <w:rsid w:val="00AB20D7"/>
    <w:rsid w:val="00AC4949"/>
    <w:rsid w:val="00AD0009"/>
    <w:rsid w:val="00AD09E9"/>
    <w:rsid w:val="00AE2506"/>
    <w:rsid w:val="00AF0576"/>
    <w:rsid w:val="00AF2298"/>
    <w:rsid w:val="00AF3829"/>
    <w:rsid w:val="00B03536"/>
    <w:rsid w:val="00B037F0"/>
    <w:rsid w:val="00B05E09"/>
    <w:rsid w:val="00B0722E"/>
    <w:rsid w:val="00B139C7"/>
    <w:rsid w:val="00B20F6C"/>
    <w:rsid w:val="00B21831"/>
    <w:rsid w:val="00B2327D"/>
    <w:rsid w:val="00B2718F"/>
    <w:rsid w:val="00B30179"/>
    <w:rsid w:val="00B31FC8"/>
    <w:rsid w:val="00B3317B"/>
    <w:rsid w:val="00B334DC"/>
    <w:rsid w:val="00B3631A"/>
    <w:rsid w:val="00B46978"/>
    <w:rsid w:val="00B46B50"/>
    <w:rsid w:val="00B53013"/>
    <w:rsid w:val="00B63EBF"/>
    <w:rsid w:val="00B6783F"/>
    <w:rsid w:val="00B67E86"/>
    <w:rsid w:val="00B67F5E"/>
    <w:rsid w:val="00B70BFD"/>
    <w:rsid w:val="00B73E65"/>
    <w:rsid w:val="00B81531"/>
    <w:rsid w:val="00B81589"/>
    <w:rsid w:val="00B81812"/>
    <w:rsid w:val="00B81D9B"/>
    <w:rsid w:val="00B81E12"/>
    <w:rsid w:val="00B84F44"/>
    <w:rsid w:val="00B87110"/>
    <w:rsid w:val="00B906E0"/>
    <w:rsid w:val="00B929FE"/>
    <w:rsid w:val="00B94C2C"/>
    <w:rsid w:val="00B97FA8"/>
    <w:rsid w:val="00BA455D"/>
    <w:rsid w:val="00BB0547"/>
    <w:rsid w:val="00BB6145"/>
    <w:rsid w:val="00BC1385"/>
    <w:rsid w:val="00BC74E9"/>
    <w:rsid w:val="00BD06D9"/>
    <w:rsid w:val="00BE618E"/>
    <w:rsid w:val="00BE74A9"/>
    <w:rsid w:val="00BE783B"/>
    <w:rsid w:val="00BF1EE2"/>
    <w:rsid w:val="00BF4496"/>
    <w:rsid w:val="00C019EC"/>
    <w:rsid w:val="00C12152"/>
    <w:rsid w:val="00C17B2F"/>
    <w:rsid w:val="00C228C3"/>
    <w:rsid w:val="00C24693"/>
    <w:rsid w:val="00C34962"/>
    <w:rsid w:val="00C35F0B"/>
    <w:rsid w:val="00C463DD"/>
    <w:rsid w:val="00C510D8"/>
    <w:rsid w:val="00C52C18"/>
    <w:rsid w:val="00C57633"/>
    <w:rsid w:val="00C61031"/>
    <w:rsid w:val="00C64458"/>
    <w:rsid w:val="00C745C3"/>
    <w:rsid w:val="00C82245"/>
    <w:rsid w:val="00C83400"/>
    <w:rsid w:val="00C91A22"/>
    <w:rsid w:val="00CA10E4"/>
    <w:rsid w:val="00CA2A58"/>
    <w:rsid w:val="00CA5B0D"/>
    <w:rsid w:val="00CB72FF"/>
    <w:rsid w:val="00CC0B55"/>
    <w:rsid w:val="00CC3076"/>
    <w:rsid w:val="00CD2518"/>
    <w:rsid w:val="00CD4581"/>
    <w:rsid w:val="00CD6995"/>
    <w:rsid w:val="00CE3BBE"/>
    <w:rsid w:val="00CE4A8F"/>
    <w:rsid w:val="00CF0214"/>
    <w:rsid w:val="00CF586F"/>
    <w:rsid w:val="00CF7D43"/>
    <w:rsid w:val="00D02C3B"/>
    <w:rsid w:val="00D0490F"/>
    <w:rsid w:val="00D11129"/>
    <w:rsid w:val="00D15D7D"/>
    <w:rsid w:val="00D2031B"/>
    <w:rsid w:val="00D22332"/>
    <w:rsid w:val="00D226FD"/>
    <w:rsid w:val="00D25FE2"/>
    <w:rsid w:val="00D321F3"/>
    <w:rsid w:val="00D403CC"/>
    <w:rsid w:val="00D43252"/>
    <w:rsid w:val="00D45E9C"/>
    <w:rsid w:val="00D46EFD"/>
    <w:rsid w:val="00D532B9"/>
    <w:rsid w:val="00D5452C"/>
    <w:rsid w:val="00D550F9"/>
    <w:rsid w:val="00D572B0"/>
    <w:rsid w:val="00D61002"/>
    <w:rsid w:val="00D62E90"/>
    <w:rsid w:val="00D6527E"/>
    <w:rsid w:val="00D756FF"/>
    <w:rsid w:val="00D76BE5"/>
    <w:rsid w:val="00D80E4B"/>
    <w:rsid w:val="00D8696C"/>
    <w:rsid w:val="00D978C6"/>
    <w:rsid w:val="00DA67AD"/>
    <w:rsid w:val="00DB0820"/>
    <w:rsid w:val="00DB18CE"/>
    <w:rsid w:val="00DB235D"/>
    <w:rsid w:val="00DD3B61"/>
    <w:rsid w:val="00DD58FE"/>
    <w:rsid w:val="00DD76B4"/>
    <w:rsid w:val="00DE182C"/>
    <w:rsid w:val="00DE3E2B"/>
    <w:rsid w:val="00DE3EC0"/>
    <w:rsid w:val="00E05427"/>
    <w:rsid w:val="00E07C61"/>
    <w:rsid w:val="00E11593"/>
    <w:rsid w:val="00E12B6B"/>
    <w:rsid w:val="00E12D8A"/>
    <w:rsid w:val="00E130AB"/>
    <w:rsid w:val="00E313E4"/>
    <w:rsid w:val="00E33536"/>
    <w:rsid w:val="00E438D9"/>
    <w:rsid w:val="00E44E68"/>
    <w:rsid w:val="00E5346C"/>
    <w:rsid w:val="00E5644E"/>
    <w:rsid w:val="00E61E79"/>
    <w:rsid w:val="00E6210F"/>
    <w:rsid w:val="00E6775B"/>
    <w:rsid w:val="00E7260F"/>
    <w:rsid w:val="00E72DEC"/>
    <w:rsid w:val="00E74C18"/>
    <w:rsid w:val="00E758A2"/>
    <w:rsid w:val="00E76FC8"/>
    <w:rsid w:val="00E806EE"/>
    <w:rsid w:val="00E82D30"/>
    <w:rsid w:val="00E945B9"/>
    <w:rsid w:val="00E95E37"/>
    <w:rsid w:val="00E96630"/>
    <w:rsid w:val="00EA4DDD"/>
    <w:rsid w:val="00EB00E8"/>
    <w:rsid w:val="00EB0FB9"/>
    <w:rsid w:val="00EC70DB"/>
    <w:rsid w:val="00EC7635"/>
    <w:rsid w:val="00ED0CA9"/>
    <w:rsid w:val="00ED41B1"/>
    <w:rsid w:val="00ED7A2A"/>
    <w:rsid w:val="00ED7D2E"/>
    <w:rsid w:val="00EE756B"/>
    <w:rsid w:val="00EF0F5A"/>
    <w:rsid w:val="00EF1D7F"/>
    <w:rsid w:val="00EF3FD1"/>
    <w:rsid w:val="00EF5BDB"/>
    <w:rsid w:val="00EF60CE"/>
    <w:rsid w:val="00F07FD9"/>
    <w:rsid w:val="00F23933"/>
    <w:rsid w:val="00F23EF1"/>
    <w:rsid w:val="00F24119"/>
    <w:rsid w:val="00F27108"/>
    <w:rsid w:val="00F37986"/>
    <w:rsid w:val="00F40421"/>
    <w:rsid w:val="00F40E75"/>
    <w:rsid w:val="00F42CD9"/>
    <w:rsid w:val="00F438DD"/>
    <w:rsid w:val="00F52936"/>
    <w:rsid w:val="00F57BF4"/>
    <w:rsid w:val="00F6215C"/>
    <w:rsid w:val="00F659EC"/>
    <w:rsid w:val="00F675CC"/>
    <w:rsid w:val="00F677CB"/>
    <w:rsid w:val="00F769B0"/>
    <w:rsid w:val="00F778AE"/>
    <w:rsid w:val="00F81069"/>
    <w:rsid w:val="00F81F33"/>
    <w:rsid w:val="00F863BB"/>
    <w:rsid w:val="00F95962"/>
    <w:rsid w:val="00FA0706"/>
    <w:rsid w:val="00FA75CB"/>
    <w:rsid w:val="00FA7DF3"/>
    <w:rsid w:val="00FB15F9"/>
    <w:rsid w:val="00FB2DF0"/>
    <w:rsid w:val="00FC68B7"/>
    <w:rsid w:val="00FD2429"/>
    <w:rsid w:val="00FD7C12"/>
    <w:rsid w:val="00FF37B6"/>
    <w:rsid w:val="00FF5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B21831"/>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2183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4"/>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1"/>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8A6843"/>
    <w:rPr>
      <w:b/>
      <w:sz w:val="28"/>
      <w:lang w:eastAsia="en-US"/>
    </w:rPr>
  </w:style>
  <w:style w:type="character" w:customStyle="1" w:styleId="FootnoteTextChar">
    <w:name w:val="Footnote Text Char"/>
    <w:aliases w:val="5_G Char"/>
    <w:link w:val="FootnoteText"/>
    <w:locked/>
    <w:rsid w:val="008A6843"/>
    <w:rPr>
      <w:rFonts w:eastAsia="SimSun"/>
      <w:sz w:val="18"/>
    </w:rPr>
  </w:style>
  <w:style w:type="table" w:styleId="MediumGrid1-Accent6">
    <w:name w:val="Medium Grid 1 Accent 6"/>
    <w:basedOn w:val="TableNormal"/>
    <w:uiPriority w:val="60"/>
    <w:rsid w:val="00E33536"/>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rmalWeb">
    <w:name w:val="Normal (Web)"/>
    <w:basedOn w:val="Normal"/>
    <w:uiPriority w:val="99"/>
    <w:unhideWhenUsed/>
    <w:rsid w:val="00E33536"/>
    <w:pPr>
      <w:suppressAutoHyphens w:val="0"/>
      <w:spacing w:after="200" w:line="276" w:lineRule="auto"/>
    </w:pPr>
    <w:rPr>
      <w:rFonts w:eastAsia="Calibri"/>
      <w:sz w:val="24"/>
      <w:szCs w:val="24"/>
    </w:rPr>
  </w:style>
  <w:style w:type="character" w:styleId="CommentReference">
    <w:name w:val="annotation reference"/>
    <w:uiPriority w:val="99"/>
    <w:unhideWhenUsed/>
    <w:rsid w:val="00E33536"/>
    <w:rPr>
      <w:sz w:val="18"/>
      <w:szCs w:val="18"/>
    </w:rPr>
  </w:style>
  <w:style w:type="paragraph" w:styleId="CommentText">
    <w:name w:val="annotation text"/>
    <w:basedOn w:val="Normal"/>
    <w:link w:val="CommentTextChar"/>
    <w:uiPriority w:val="99"/>
    <w:unhideWhenUsed/>
    <w:rsid w:val="00E33536"/>
    <w:pPr>
      <w:suppressAutoHyphens w:val="0"/>
      <w:spacing w:after="200" w:line="276" w:lineRule="auto"/>
    </w:pPr>
    <w:rPr>
      <w:rFonts w:ascii="Calibri" w:eastAsia="Calibri" w:hAnsi="Calibri"/>
      <w:sz w:val="24"/>
      <w:szCs w:val="24"/>
    </w:rPr>
  </w:style>
  <w:style w:type="character" w:customStyle="1" w:styleId="CommentTextChar">
    <w:name w:val="Comment Text Char"/>
    <w:link w:val="CommentText"/>
    <w:uiPriority w:val="99"/>
    <w:rsid w:val="00E33536"/>
    <w:rPr>
      <w:rFonts w:ascii="Calibri" w:eastAsia="Calibri" w:hAnsi="Calibri"/>
      <w:sz w:val="24"/>
      <w:szCs w:val="24"/>
      <w:lang w:eastAsia="en-US"/>
    </w:rPr>
  </w:style>
  <w:style w:type="paragraph" w:styleId="CommentSubject">
    <w:name w:val="annotation subject"/>
    <w:basedOn w:val="CommentText"/>
    <w:next w:val="CommentText"/>
    <w:link w:val="CommentSubjectChar"/>
    <w:uiPriority w:val="99"/>
    <w:unhideWhenUsed/>
    <w:rsid w:val="00E33536"/>
    <w:rPr>
      <w:b/>
      <w:bCs/>
    </w:rPr>
  </w:style>
  <w:style w:type="character" w:customStyle="1" w:styleId="CommentSubjectChar">
    <w:name w:val="Comment Subject Char"/>
    <w:link w:val="CommentSubject"/>
    <w:uiPriority w:val="99"/>
    <w:rsid w:val="00E33536"/>
    <w:rPr>
      <w:rFonts w:ascii="Calibri" w:eastAsia="Calibri" w:hAnsi="Calibri"/>
      <w:b/>
      <w:bCs/>
      <w:sz w:val="24"/>
      <w:szCs w:val="24"/>
      <w:lang w:eastAsia="en-US"/>
    </w:rPr>
  </w:style>
  <w:style w:type="paragraph" w:styleId="BalloonText">
    <w:name w:val="Balloon Text"/>
    <w:basedOn w:val="Normal"/>
    <w:link w:val="BalloonTextChar"/>
    <w:uiPriority w:val="99"/>
    <w:unhideWhenUsed/>
    <w:rsid w:val="00E33536"/>
    <w:pPr>
      <w:suppressAutoHyphens w:val="0"/>
      <w:spacing w:line="240" w:lineRule="auto"/>
    </w:pPr>
    <w:rPr>
      <w:rFonts w:ascii="Lucida Grande" w:eastAsia="Calibri" w:hAnsi="Lucida Grande"/>
      <w:sz w:val="18"/>
      <w:szCs w:val="18"/>
    </w:rPr>
  </w:style>
  <w:style w:type="character" w:customStyle="1" w:styleId="BalloonTextChar">
    <w:name w:val="Balloon Text Char"/>
    <w:link w:val="BalloonText"/>
    <w:uiPriority w:val="99"/>
    <w:rsid w:val="00E33536"/>
    <w:rPr>
      <w:rFonts w:ascii="Lucida Grande" w:eastAsia="Calibri" w:hAnsi="Lucida Grande"/>
      <w:sz w:val="18"/>
      <w:szCs w:val="18"/>
      <w:lang w:eastAsia="en-US"/>
    </w:rPr>
  </w:style>
  <w:style w:type="character" w:customStyle="1" w:styleId="HeaderChar">
    <w:name w:val="Header Char"/>
    <w:aliases w:val="6_G Char"/>
    <w:link w:val="Header"/>
    <w:uiPriority w:val="99"/>
    <w:rsid w:val="00E33536"/>
    <w:rPr>
      <w:b/>
      <w:sz w:val="18"/>
      <w:lang w:eastAsia="en-US"/>
    </w:rPr>
  </w:style>
  <w:style w:type="character" w:customStyle="1" w:styleId="FooterChar">
    <w:name w:val="Footer Char"/>
    <w:aliases w:val="3_G Char"/>
    <w:link w:val="Footer"/>
    <w:uiPriority w:val="99"/>
    <w:rsid w:val="00E33536"/>
    <w:rPr>
      <w:sz w:val="16"/>
      <w:lang w:eastAsia="en-US"/>
    </w:rPr>
  </w:style>
  <w:style w:type="paragraph" w:customStyle="1" w:styleId="ColorfulShading-Accent11">
    <w:name w:val="Colorful Shading - Accent 11"/>
    <w:hidden/>
    <w:uiPriority w:val="71"/>
    <w:rsid w:val="00E33536"/>
    <w:rPr>
      <w:rFonts w:ascii="Calibri" w:eastAsia="Calibri" w:hAnsi="Calibri"/>
      <w:sz w:val="22"/>
      <w:szCs w:val="22"/>
      <w:lang w:eastAsia="en-US"/>
    </w:rPr>
  </w:style>
  <w:style w:type="character" w:customStyle="1" w:styleId="highlight1">
    <w:name w:val="highlight1"/>
    <w:rsid w:val="00E33536"/>
    <w:rPr>
      <w:shd w:val="clear" w:color="auto" w:fill="FFCC33"/>
    </w:rPr>
  </w:style>
  <w:style w:type="character" w:customStyle="1" w:styleId="SingleTxtGChar">
    <w:name w:val="_ Single Txt_G Char"/>
    <w:link w:val="SingleTxtG"/>
    <w:rsid w:val="00E33536"/>
    <w:rPr>
      <w:lang w:eastAsia="en-US"/>
    </w:rPr>
  </w:style>
  <w:style w:type="paragraph" w:styleId="ColorfulShading-Accent1">
    <w:name w:val="Colorful Shading Accent 1"/>
    <w:hidden/>
    <w:uiPriority w:val="99"/>
    <w:semiHidden/>
    <w:rsid w:val="00655360"/>
    <w:rPr>
      <w:lang w:eastAsia="en-US"/>
    </w:rPr>
  </w:style>
  <w:style w:type="paragraph" w:styleId="Revision">
    <w:name w:val="Revision"/>
    <w:hidden/>
    <w:uiPriority w:val="99"/>
    <w:semiHidden/>
    <w:rsid w:val="00AF229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B21831"/>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2183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4"/>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1"/>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8A6843"/>
    <w:rPr>
      <w:b/>
      <w:sz w:val="28"/>
      <w:lang w:eastAsia="en-US"/>
    </w:rPr>
  </w:style>
  <w:style w:type="character" w:customStyle="1" w:styleId="FootnoteTextChar">
    <w:name w:val="Footnote Text Char"/>
    <w:aliases w:val="5_G Char"/>
    <w:link w:val="FootnoteText"/>
    <w:locked/>
    <w:rsid w:val="008A6843"/>
    <w:rPr>
      <w:rFonts w:eastAsia="SimSun"/>
      <w:sz w:val="18"/>
    </w:rPr>
  </w:style>
  <w:style w:type="table" w:styleId="MediumGrid1-Accent6">
    <w:name w:val="Medium Grid 1 Accent 6"/>
    <w:basedOn w:val="TableNormal"/>
    <w:uiPriority w:val="60"/>
    <w:rsid w:val="00E33536"/>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rmalWeb">
    <w:name w:val="Normal (Web)"/>
    <w:basedOn w:val="Normal"/>
    <w:uiPriority w:val="99"/>
    <w:unhideWhenUsed/>
    <w:rsid w:val="00E33536"/>
    <w:pPr>
      <w:suppressAutoHyphens w:val="0"/>
      <w:spacing w:after="200" w:line="276" w:lineRule="auto"/>
    </w:pPr>
    <w:rPr>
      <w:rFonts w:eastAsia="Calibri"/>
      <w:sz w:val="24"/>
      <w:szCs w:val="24"/>
    </w:rPr>
  </w:style>
  <w:style w:type="character" w:styleId="CommentReference">
    <w:name w:val="annotation reference"/>
    <w:uiPriority w:val="99"/>
    <w:unhideWhenUsed/>
    <w:rsid w:val="00E33536"/>
    <w:rPr>
      <w:sz w:val="18"/>
      <w:szCs w:val="18"/>
    </w:rPr>
  </w:style>
  <w:style w:type="paragraph" w:styleId="CommentText">
    <w:name w:val="annotation text"/>
    <w:basedOn w:val="Normal"/>
    <w:link w:val="CommentTextChar"/>
    <w:uiPriority w:val="99"/>
    <w:unhideWhenUsed/>
    <w:rsid w:val="00E33536"/>
    <w:pPr>
      <w:suppressAutoHyphens w:val="0"/>
      <w:spacing w:after="200" w:line="276" w:lineRule="auto"/>
    </w:pPr>
    <w:rPr>
      <w:rFonts w:ascii="Calibri" w:eastAsia="Calibri" w:hAnsi="Calibri"/>
      <w:sz w:val="24"/>
      <w:szCs w:val="24"/>
    </w:rPr>
  </w:style>
  <w:style w:type="character" w:customStyle="1" w:styleId="CommentTextChar">
    <w:name w:val="Comment Text Char"/>
    <w:link w:val="CommentText"/>
    <w:uiPriority w:val="99"/>
    <w:rsid w:val="00E33536"/>
    <w:rPr>
      <w:rFonts w:ascii="Calibri" w:eastAsia="Calibri" w:hAnsi="Calibri"/>
      <w:sz w:val="24"/>
      <w:szCs w:val="24"/>
      <w:lang w:eastAsia="en-US"/>
    </w:rPr>
  </w:style>
  <w:style w:type="paragraph" w:styleId="CommentSubject">
    <w:name w:val="annotation subject"/>
    <w:basedOn w:val="CommentText"/>
    <w:next w:val="CommentText"/>
    <w:link w:val="CommentSubjectChar"/>
    <w:uiPriority w:val="99"/>
    <w:unhideWhenUsed/>
    <w:rsid w:val="00E33536"/>
    <w:rPr>
      <w:b/>
      <w:bCs/>
    </w:rPr>
  </w:style>
  <w:style w:type="character" w:customStyle="1" w:styleId="CommentSubjectChar">
    <w:name w:val="Comment Subject Char"/>
    <w:link w:val="CommentSubject"/>
    <w:uiPriority w:val="99"/>
    <w:rsid w:val="00E33536"/>
    <w:rPr>
      <w:rFonts w:ascii="Calibri" w:eastAsia="Calibri" w:hAnsi="Calibri"/>
      <w:b/>
      <w:bCs/>
      <w:sz w:val="24"/>
      <w:szCs w:val="24"/>
      <w:lang w:eastAsia="en-US"/>
    </w:rPr>
  </w:style>
  <w:style w:type="paragraph" w:styleId="BalloonText">
    <w:name w:val="Balloon Text"/>
    <w:basedOn w:val="Normal"/>
    <w:link w:val="BalloonTextChar"/>
    <w:uiPriority w:val="99"/>
    <w:unhideWhenUsed/>
    <w:rsid w:val="00E33536"/>
    <w:pPr>
      <w:suppressAutoHyphens w:val="0"/>
      <w:spacing w:line="240" w:lineRule="auto"/>
    </w:pPr>
    <w:rPr>
      <w:rFonts w:ascii="Lucida Grande" w:eastAsia="Calibri" w:hAnsi="Lucida Grande"/>
      <w:sz w:val="18"/>
      <w:szCs w:val="18"/>
    </w:rPr>
  </w:style>
  <w:style w:type="character" w:customStyle="1" w:styleId="BalloonTextChar">
    <w:name w:val="Balloon Text Char"/>
    <w:link w:val="BalloonText"/>
    <w:uiPriority w:val="99"/>
    <w:rsid w:val="00E33536"/>
    <w:rPr>
      <w:rFonts w:ascii="Lucida Grande" w:eastAsia="Calibri" w:hAnsi="Lucida Grande"/>
      <w:sz w:val="18"/>
      <w:szCs w:val="18"/>
      <w:lang w:eastAsia="en-US"/>
    </w:rPr>
  </w:style>
  <w:style w:type="character" w:customStyle="1" w:styleId="HeaderChar">
    <w:name w:val="Header Char"/>
    <w:aliases w:val="6_G Char"/>
    <w:link w:val="Header"/>
    <w:uiPriority w:val="99"/>
    <w:rsid w:val="00E33536"/>
    <w:rPr>
      <w:b/>
      <w:sz w:val="18"/>
      <w:lang w:eastAsia="en-US"/>
    </w:rPr>
  </w:style>
  <w:style w:type="character" w:customStyle="1" w:styleId="FooterChar">
    <w:name w:val="Footer Char"/>
    <w:aliases w:val="3_G Char"/>
    <w:link w:val="Footer"/>
    <w:uiPriority w:val="99"/>
    <w:rsid w:val="00E33536"/>
    <w:rPr>
      <w:sz w:val="16"/>
      <w:lang w:eastAsia="en-US"/>
    </w:rPr>
  </w:style>
  <w:style w:type="paragraph" w:customStyle="1" w:styleId="ColorfulShading-Accent11">
    <w:name w:val="Colorful Shading - Accent 11"/>
    <w:hidden/>
    <w:uiPriority w:val="71"/>
    <w:rsid w:val="00E33536"/>
    <w:rPr>
      <w:rFonts w:ascii="Calibri" w:eastAsia="Calibri" w:hAnsi="Calibri"/>
      <w:sz w:val="22"/>
      <w:szCs w:val="22"/>
      <w:lang w:eastAsia="en-US"/>
    </w:rPr>
  </w:style>
  <w:style w:type="character" w:customStyle="1" w:styleId="highlight1">
    <w:name w:val="highlight1"/>
    <w:rsid w:val="00E33536"/>
    <w:rPr>
      <w:shd w:val="clear" w:color="auto" w:fill="FFCC33"/>
    </w:rPr>
  </w:style>
  <w:style w:type="character" w:customStyle="1" w:styleId="SingleTxtGChar">
    <w:name w:val="_ Single Txt_G Char"/>
    <w:link w:val="SingleTxtG"/>
    <w:rsid w:val="00E33536"/>
    <w:rPr>
      <w:lang w:eastAsia="en-US"/>
    </w:rPr>
  </w:style>
  <w:style w:type="paragraph" w:styleId="ColorfulShading-Accent1">
    <w:name w:val="Colorful Shading Accent 1"/>
    <w:hidden/>
    <w:uiPriority w:val="99"/>
    <w:semiHidden/>
    <w:rsid w:val="00655360"/>
    <w:rPr>
      <w:lang w:eastAsia="en-US"/>
    </w:rPr>
  </w:style>
  <w:style w:type="paragraph" w:styleId="Revision">
    <w:name w:val="Revision"/>
    <w:hidden/>
    <w:uiPriority w:val="99"/>
    <w:semiHidden/>
    <w:rsid w:val="00AF22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Templates\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3DEF-191F-49A3-8DA0-DA5E7A3F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21</Pages>
  <Words>9002</Words>
  <Characters>51315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Hassam Tarik Kurdi</dc:creator>
  <cp:keywords/>
  <cp:lastModifiedBy>Pdfeng</cp:lastModifiedBy>
  <cp:revision>3</cp:revision>
  <cp:lastPrinted>2015-05-04T07:55:00Z</cp:lastPrinted>
  <dcterms:created xsi:type="dcterms:W3CDTF">2015-05-04T07:55:00Z</dcterms:created>
  <dcterms:modified xsi:type="dcterms:W3CDTF">2015-05-04T07:55:00Z</dcterms:modified>
</cp:coreProperties>
</file>