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9DE8003" w14:textId="77777777">
        <w:trPr>
          <w:trHeight w:val="851"/>
        </w:trPr>
        <w:tc>
          <w:tcPr>
            <w:tcW w:w="1259" w:type="dxa"/>
            <w:tcBorders>
              <w:top w:val="nil"/>
              <w:left w:val="nil"/>
              <w:bottom w:val="single" w:sz="4" w:space="0" w:color="auto"/>
              <w:right w:val="nil"/>
            </w:tcBorders>
          </w:tcPr>
          <w:p w14:paraId="7B502025" w14:textId="77777777" w:rsidR="00446DE4" w:rsidRPr="00F225CB" w:rsidRDefault="00446DE4" w:rsidP="00F225CB">
            <w:pPr>
              <w:tabs>
                <w:tab w:val="right" w:pos="850"/>
                <w:tab w:val="left" w:pos="1134"/>
                <w:tab w:val="right" w:leader="dot" w:pos="8504"/>
              </w:tabs>
              <w:spacing w:line="20" w:lineRule="exact"/>
              <w:rPr>
                <w:sz w:val="2"/>
              </w:rPr>
            </w:pPr>
          </w:p>
          <w:p w14:paraId="4BEE28CC"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A9FEF9B"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B7CA73" w14:textId="77777777" w:rsidR="00446DE4" w:rsidRPr="00DE3EC0" w:rsidRDefault="00EE2A77" w:rsidP="006C24C4">
            <w:pPr>
              <w:jc w:val="right"/>
            </w:pPr>
            <w:r w:rsidRPr="00EE2A77">
              <w:rPr>
                <w:sz w:val="40"/>
              </w:rPr>
              <w:t>A</w:t>
            </w:r>
            <w:r>
              <w:t>/HRC/</w:t>
            </w:r>
            <w:r w:rsidR="00944104">
              <w:t>3</w:t>
            </w:r>
            <w:r w:rsidR="00C53250">
              <w:t>4</w:t>
            </w:r>
            <w:r>
              <w:t>/L</w:t>
            </w:r>
            <w:r w:rsidR="0036088C">
              <w:t>.</w:t>
            </w:r>
            <w:r w:rsidR="006C24C4">
              <w:t>6</w:t>
            </w:r>
          </w:p>
        </w:tc>
      </w:tr>
      <w:tr w:rsidR="003107FA" w14:paraId="43F566D4" w14:textId="77777777">
        <w:trPr>
          <w:trHeight w:val="2835"/>
        </w:trPr>
        <w:tc>
          <w:tcPr>
            <w:tcW w:w="1259" w:type="dxa"/>
            <w:tcBorders>
              <w:top w:val="single" w:sz="4" w:space="0" w:color="auto"/>
              <w:left w:val="nil"/>
              <w:bottom w:val="single" w:sz="12" w:space="0" w:color="auto"/>
              <w:right w:val="nil"/>
            </w:tcBorders>
          </w:tcPr>
          <w:p w14:paraId="37E1AB96" w14:textId="77777777" w:rsidR="003107FA" w:rsidRDefault="004939B3" w:rsidP="00956D9B">
            <w:pPr>
              <w:spacing w:before="120"/>
              <w:jc w:val="center"/>
            </w:pPr>
            <w:r>
              <w:rPr>
                <w:noProof/>
                <w:lang w:eastAsia="zh-CN"/>
              </w:rPr>
              <w:drawing>
                <wp:inline distT="0" distB="0" distL="0" distR="0" wp14:anchorId="5E15535A" wp14:editId="732B9608">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78071AE"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5961865" w14:textId="77777777" w:rsidR="00EE2A77" w:rsidRDefault="00EE2A77" w:rsidP="00EE2A77">
            <w:pPr>
              <w:spacing w:before="240" w:line="240" w:lineRule="exact"/>
            </w:pPr>
            <w:r>
              <w:t>Distr.: Limited</w:t>
            </w:r>
          </w:p>
          <w:p w14:paraId="2A32C205" w14:textId="60872623" w:rsidR="00EE2A77" w:rsidRDefault="005106EA" w:rsidP="00EE2A77">
            <w:pPr>
              <w:spacing w:line="240" w:lineRule="exact"/>
            </w:pPr>
            <w:r>
              <w:t>1</w:t>
            </w:r>
            <w:r w:rsidR="00441814">
              <w:t>7</w:t>
            </w:r>
            <w:r>
              <w:t xml:space="preserve"> </w:t>
            </w:r>
            <w:r w:rsidR="00C53250">
              <w:t>March 2017</w:t>
            </w:r>
          </w:p>
          <w:p w14:paraId="7849FFCC" w14:textId="77777777" w:rsidR="006D5F84" w:rsidRDefault="006D5F84" w:rsidP="00EE2A77">
            <w:pPr>
              <w:spacing w:line="240" w:lineRule="exact"/>
            </w:pPr>
          </w:p>
          <w:p w14:paraId="49E727F9" w14:textId="77777777" w:rsidR="003107FA" w:rsidRDefault="00EE2A77" w:rsidP="00EE2A77">
            <w:pPr>
              <w:spacing w:line="240" w:lineRule="exact"/>
            </w:pPr>
            <w:r>
              <w:t>Original: English</w:t>
            </w:r>
          </w:p>
        </w:tc>
      </w:tr>
    </w:tbl>
    <w:p w14:paraId="3876B805" w14:textId="77777777" w:rsidR="00EE2A77" w:rsidRDefault="00EE2A77" w:rsidP="00EE2A77">
      <w:pPr>
        <w:spacing w:before="120"/>
        <w:rPr>
          <w:b/>
          <w:sz w:val="24"/>
          <w:szCs w:val="24"/>
        </w:rPr>
      </w:pPr>
      <w:r>
        <w:rPr>
          <w:b/>
          <w:sz w:val="24"/>
          <w:szCs w:val="24"/>
        </w:rPr>
        <w:t>Human Rights Council</w:t>
      </w:r>
    </w:p>
    <w:p w14:paraId="3D7E6BF6" w14:textId="77777777"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14:paraId="36009588" w14:textId="77777777" w:rsidR="001D6952" w:rsidRPr="001D6952" w:rsidRDefault="001D6952" w:rsidP="00EE2A77">
      <w:r>
        <w:t>27 February–24 March 2017</w:t>
      </w:r>
    </w:p>
    <w:p w14:paraId="4F756217" w14:textId="77777777" w:rsidR="00EE2A77" w:rsidRDefault="00EE2A77" w:rsidP="00EE2A77">
      <w:r>
        <w:t>Agenda item 3</w:t>
      </w:r>
    </w:p>
    <w:p w14:paraId="6540E478"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0589C0D0" w14:textId="0293C6D5" w:rsidR="002F006E" w:rsidRPr="00D735B4" w:rsidRDefault="002F006E" w:rsidP="00C01528">
      <w:pPr>
        <w:pStyle w:val="H23G"/>
      </w:pPr>
      <w:r>
        <w:tab/>
      </w:r>
      <w:r>
        <w:tab/>
      </w:r>
      <w:r w:rsidR="00414AF8">
        <w:t>Armenia,</w:t>
      </w:r>
      <w:r w:rsidR="00414AF8" w:rsidRPr="005853CC">
        <w:t>*</w:t>
      </w:r>
      <w:r w:rsidR="00414AF8">
        <w:t xml:space="preserve"> </w:t>
      </w:r>
      <w:r w:rsidR="00064F8A" w:rsidRPr="005853CC">
        <w:t>Australia,</w:t>
      </w:r>
      <w:r w:rsidR="00414AF8">
        <w:t>*</w:t>
      </w:r>
      <w:r w:rsidR="00064F8A" w:rsidRPr="005853CC">
        <w:t xml:space="preserve"> Austria,</w:t>
      </w:r>
      <w:r w:rsidR="00E915AF" w:rsidRPr="005853CC">
        <w:t>*</w:t>
      </w:r>
      <w:r w:rsidR="00064F8A" w:rsidRPr="005853CC">
        <w:t xml:space="preserve"> Bosnia and Herzegovina,</w:t>
      </w:r>
      <w:r w:rsidR="00E915AF" w:rsidRPr="005853CC">
        <w:t>*</w:t>
      </w:r>
      <w:r w:rsidR="00064F8A" w:rsidRPr="005853CC">
        <w:t xml:space="preserve"> Bulgaria,</w:t>
      </w:r>
      <w:r w:rsidR="00E915AF" w:rsidRPr="005853CC">
        <w:t>*</w:t>
      </w:r>
      <w:r w:rsidR="00064F8A" w:rsidRPr="005853CC">
        <w:t xml:space="preserve"> Canada,</w:t>
      </w:r>
      <w:r w:rsidR="00E915AF" w:rsidRPr="005853CC">
        <w:t>*</w:t>
      </w:r>
      <w:r w:rsidR="00064F8A" w:rsidRPr="005853CC">
        <w:t xml:space="preserve"> Cyprus,</w:t>
      </w:r>
      <w:r w:rsidR="00E915AF" w:rsidRPr="005853CC">
        <w:t>*</w:t>
      </w:r>
      <w:r w:rsidR="00064F8A" w:rsidRPr="005853CC">
        <w:t xml:space="preserve"> </w:t>
      </w:r>
      <w:r w:rsidR="00C01528" w:rsidRPr="005853CC">
        <w:t>Czechia,*</w:t>
      </w:r>
      <w:r w:rsidR="00C01528">
        <w:t xml:space="preserve"> </w:t>
      </w:r>
      <w:r w:rsidR="00064F8A" w:rsidRPr="005853CC">
        <w:t xml:space="preserve">Denmark,* </w:t>
      </w:r>
      <w:r w:rsidR="00414AF8">
        <w:t>Estonia,</w:t>
      </w:r>
      <w:r w:rsidR="00414AF8" w:rsidRPr="00414AF8">
        <w:t>*</w:t>
      </w:r>
      <w:r w:rsidR="00414AF8">
        <w:t xml:space="preserve"> </w:t>
      </w:r>
      <w:r w:rsidR="00064F8A" w:rsidRPr="005853CC">
        <w:t>Finland,* Georgia, Germany, Greece,</w:t>
      </w:r>
      <w:r w:rsidR="00064F8A" w:rsidRPr="005853CC">
        <w:rPr>
          <w:rStyle w:val="FootnoteReference"/>
          <w:sz w:val="20"/>
          <w:vertAlign w:val="baseline"/>
        </w:rPr>
        <w:footnoteReference w:customMarkFollows="1" w:id="2"/>
        <w:t>*</w:t>
      </w:r>
      <w:r w:rsidR="00064F8A" w:rsidRPr="005853CC">
        <w:t xml:space="preserve"> Hungary,</w:t>
      </w:r>
      <w:r w:rsidR="00C01528">
        <w:t xml:space="preserve"> Iceland,*</w:t>
      </w:r>
      <w:r w:rsidR="00064F8A" w:rsidRPr="005853CC">
        <w:t xml:space="preserve"> Ireland,* Italy,* Japan, Latvia, Liechtenstein,* Luxembourg,* Malta,* Mexico,* Montenegro,*</w:t>
      </w:r>
      <w:r w:rsidR="00D735B4" w:rsidRPr="005853CC">
        <w:t xml:space="preserve"> </w:t>
      </w:r>
      <w:r w:rsidR="00414AF8">
        <w:t xml:space="preserve">Netherlands, </w:t>
      </w:r>
      <w:r w:rsidR="00064F8A" w:rsidRPr="005853CC">
        <w:t>Norway,* Panama, Paraguay, Peru,</w:t>
      </w:r>
      <w:r w:rsidR="001E15AA" w:rsidRPr="005853CC">
        <w:t>*</w:t>
      </w:r>
      <w:r w:rsidR="00064F8A" w:rsidRPr="005853CC">
        <w:t xml:space="preserve"> Poland,* Romania,* Senegal,</w:t>
      </w:r>
      <w:r w:rsidR="001E15AA" w:rsidRPr="005853CC">
        <w:t>*</w:t>
      </w:r>
      <w:r w:rsidR="00064F8A" w:rsidRPr="005853CC">
        <w:t xml:space="preserve"> Serbia,* Slovakia,* Slovenia, Spain,* </w:t>
      </w:r>
      <w:r w:rsidR="00414AF8">
        <w:t xml:space="preserve">Sweden,* Switzerland, the former Yugoslav Republic of Macedonia,* </w:t>
      </w:r>
      <w:r w:rsidR="00064F8A" w:rsidRPr="005853CC">
        <w:t>Ukraine,* United States of America</w:t>
      </w:r>
      <w:r w:rsidR="00EA5EC1" w:rsidRPr="00D735B4">
        <w:t>:</w:t>
      </w:r>
      <w:r w:rsidR="00D16876" w:rsidRPr="00D735B4">
        <w:t xml:space="preserve"> </w:t>
      </w:r>
      <w:r w:rsidRPr="00D735B4">
        <w:t>draft resolution</w:t>
      </w:r>
    </w:p>
    <w:p w14:paraId="10B6B0A6" w14:textId="77777777" w:rsidR="002F006E" w:rsidRPr="007A45D3" w:rsidRDefault="00944104" w:rsidP="00944104">
      <w:pPr>
        <w:pStyle w:val="H1G"/>
        <w:tabs>
          <w:tab w:val="clear" w:pos="851"/>
        </w:tabs>
        <w:ind w:left="1843" w:hanging="709"/>
      </w:pPr>
      <w:r>
        <w:t>3</w:t>
      </w:r>
      <w:r w:rsidR="00C53250">
        <w:t>4</w:t>
      </w:r>
      <w:r>
        <w:t>/…</w:t>
      </w:r>
      <w:r>
        <w:tab/>
      </w:r>
      <w:r w:rsidR="00782A66" w:rsidRPr="00782A66">
        <w:t>Mandate of the Special Rapporteur on minority issues</w:t>
      </w:r>
    </w:p>
    <w:p w14:paraId="4BA395EA" w14:textId="77777777" w:rsidR="002F006E" w:rsidRDefault="002F006E" w:rsidP="00402A2C">
      <w:pPr>
        <w:pStyle w:val="SingleTxtG"/>
      </w:pPr>
      <w:r>
        <w:tab/>
      </w:r>
      <w:r w:rsidRPr="00402A2C">
        <w:rPr>
          <w:i/>
        </w:rPr>
        <w:t>The Human Rights Council</w:t>
      </w:r>
      <w:r w:rsidRPr="00402A2C">
        <w:t>,</w:t>
      </w:r>
    </w:p>
    <w:p w14:paraId="5DBB0208" w14:textId="79FD4A34" w:rsidR="00613478" w:rsidRPr="00A33937" w:rsidRDefault="00613478" w:rsidP="00BE33DF">
      <w:pPr>
        <w:pStyle w:val="SingleTxtG"/>
      </w:pPr>
      <w:r>
        <w:rPr>
          <w:i/>
        </w:rPr>
        <w:tab/>
      </w:r>
      <w:r w:rsidR="00782A66" w:rsidRPr="00A33937">
        <w:rPr>
          <w:i/>
        </w:rPr>
        <w:t xml:space="preserve">Recalling </w:t>
      </w:r>
      <w:r w:rsidR="00782A66" w:rsidRPr="00A33937">
        <w:t xml:space="preserve">the Universal Declaration </w:t>
      </w:r>
      <w:r w:rsidR="00BE33DF">
        <w:t>of</w:t>
      </w:r>
      <w:r w:rsidR="00782A66" w:rsidRPr="00A33937">
        <w:t xml:space="preserve"> Human Rights, the International Covenant on Civil and Political Rights, the International Covenant on Economic, Social and Cultural Rights, the Convention on the Rights of the Child, the International Convention on the Elimination of All Forms of Racial Discrimination and the Declaration on the Rights of Persons Belonging to National or Ethnic, Religious and Linguistic Minorities, adopted by consensus by the General Assembly by its resolution 47/135 of 18 December 1992,</w:t>
      </w:r>
    </w:p>
    <w:p w14:paraId="6A49C671" w14:textId="0514A681" w:rsidR="00782A66" w:rsidRPr="00A33937" w:rsidRDefault="00613478" w:rsidP="0027168C">
      <w:pPr>
        <w:pStyle w:val="SingleTxtG"/>
      </w:pPr>
      <w:r w:rsidRPr="00A33937">
        <w:tab/>
      </w:r>
      <w:r w:rsidR="00782A66" w:rsidRPr="00A33937">
        <w:rPr>
          <w:i/>
        </w:rPr>
        <w:t xml:space="preserve">Recalling </w:t>
      </w:r>
      <w:r w:rsidR="00AB213F">
        <w:rPr>
          <w:i/>
        </w:rPr>
        <w:t xml:space="preserve">also </w:t>
      </w:r>
      <w:r w:rsidR="00782A66" w:rsidRPr="00A33937">
        <w:t xml:space="preserve">all previous resolutions adopted by the General Assembly, the Commission on Human Rights and the Human Rights Council on the rights of persons belonging to national or ethnic, religious and linguistic minorities, </w:t>
      </w:r>
    </w:p>
    <w:p w14:paraId="2B4EDF94" w14:textId="2267ABD4" w:rsidR="00A710EA" w:rsidRPr="00A33937" w:rsidRDefault="00782A66" w:rsidP="00AB213F">
      <w:pPr>
        <w:pStyle w:val="SingleTxtG"/>
      </w:pPr>
      <w:r w:rsidRPr="00A33937">
        <w:rPr>
          <w:i/>
        </w:rPr>
        <w:tab/>
        <w:t xml:space="preserve">Recalling </w:t>
      </w:r>
      <w:r w:rsidR="00AB213F">
        <w:rPr>
          <w:i/>
        </w:rPr>
        <w:t>further</w:t>
      </w:r>
      <w:r w:rsidRPr="00A33937">
        <w:t xml:space="preserve"> </w:t>
      </w:r>
      <w:r w:rsidR="00AB213F">
        <w:t>its</w:t>
      </w:r>
      <w:r w:rsidRPr="00A33937">
        <w:t xml:space="preserve"> resolutions 5/1, on institution-building of the</w:t>
      </w:r>
      <w:r w:rsidR="00AB213F">
        <w:t xml:space="preserve"> Human Rights</w:t>
      </w:r>
      <w:r w:rsidRPr="00A33937">
        <w:t xml:space="preserve"> Council, and 5/2, on the Code of Conduct for Special Procedures Mandate Holders of the Council, of 18 June 2007, and stressing that all mandate holders shall discharge their duties in accordance with th</w:t>
      </w:r>
      <w:r w:rsidR="00AB213F">
        <w:t>o</w:t>
      </w:r>
      <w:r w:rsidRPr="00A33937">
        <w:t>se resolutions and the annexes thereto,</w:t>
      </w:r>
    </w:p>
    <w:p w14:paraId="0BE3F448" w14:textId="37BE174C" w:rsidR="00782A66" w:rsidRPr="00A33937" w:rsidRDefault="00782A66" w:rsidP="00564A92">
      <w:pPr>
        <w:pStyle w:val="SingleTxtG"/>
      </w:pPr>
      <w:r w:rsidRPr="00A33937">
        <w:rPr>
          <w:i/>
        </w:rPr>
        <w:tab/>
      </w:r>
      <w:r w:rsidRPr="00A33937">
        <w:t>1.</w:t>
      </w:r>
      <w:r w:rsidRPr="00A33937">
        <w:tab/>
      </w:r>
      <w:r w:rsidRPr="00A33937">
        <w:rPr>
          <w:i/>
        </w:rPr>
        <w:t>Decides</w:t>
      </w:r>
      <w:r w:rsidRPr="00A33937">
        <w:t xml:space="preserve"> to extend the mandate of the Special Rapporteur on minority issues for a period of three years under the same terms as provided for by the Human Rights Council in its resolution 25/5;</w:t>
      </w:r>
    </w:p>
    <w:p w14:paraId="431F1485" w14:textId="5CF06691" w:rsidR="00782A66" w:rsidRPr="00A33937" w:rsidRDefault="00782A66" w:rsidP="00782A66">
      <w:pPr>
        <w:pStyle w:val="SingleTxtG"/>
      </w:pPr>
      <w:r w:rsidRPr="00A33937">
        <w:rPr>
          <w:i/>
        </w:rPr>
        <w:lastRenderedPageBreak/>
        <w:tab/>
      </w:r>
      <w:r w:rsidRPr="00A33937">
        <w:t>2.</w:t>
      </w:r>
      <w:r w:rsidRPr="00A33937">
        <w:tab/>
      </w:r>
      <w:r w:rsidRPr="00A33937">
        <w:rPr>
          <w:i/>
        </w:rPr>
        <w:t>Calls upo</w:t>
      </w:r>
      <w:r w:rsidRPr="00E9342C">
        <w:rPr>
          <w:i/>
          <w:iCs/>
        </w:rPr>
        <w:t>n</w:t>
      </w:r>
      <w:r w:rsidRPr="00A33937">
        <w:t xml:space="preserve"> all States to cooperate with and assist the Special Rapporteur in the performance of the tasks and duties mandated to him</w:t>
      </w:r>
      <w:r w:rsidR="00C85D24">
        <w:t xml:space="preserve"> or </w:t>
      </w:r>
      <w:r w:rsidRPr="00A33937">
        <w:t>her, to provide him</w:t>
      </w:r>
      <w:r w:rsidR="00C85D24">
        <w:t xml:space="preserve"> or </w:t>
      </w:r>
      <w:r w:rsidRPr="00A33937">
        <w:t>her with all the necessary information requested and to seriously consider responding promptly and favourably to the request of the Special Rapporteur to visit their countries in order to enable him</w:t>
      </w:r>
      <w:r w:rsidR="00C85D24">
        <w:t xml:space="preserve"> or </w:t>
      </w:r>
      <w:r w:rsidRPr="00A33937">
        <w:t>her to fulfil his</w:t>
      </w:r>
      <w:r w:rsidR="00C85D24">
        <w:t xml:space="preserve"> or </w:t>
      </w:r>
      <w:r w:rsidRPr="00A33937">
        <w:t>her duties effectively;</w:t>
      </w:r>
    </w:p>
    <w:p w14:paraId="1A630C28" w14:textId="27AAC8A2" w:rsidR="00782A66" w:rsidRPr="00A33937" w:rsidRDefault="00782A66" w:rsidP="00782A66">
      <w:pPr>
        <w:pStyle w:val="SingleTxtG"/>
      </w:pPr>
      <w:r w:rsidRPr="00A33937">
        <w:tab/>
        <w:t>3.</w:t>
      </w:r>
      <w:r w:rsidRPr="00A33937">
        <w:tab/>
      </w:r>
      <w:r w:rsidRPr="00A33937">
        <w:rPr>
          <w:i/>
        </w:rPr>
        <w:t>Encourages</w:t>
      </w:r>
      <w:r w:rsidRPr="00A33937">
        <w:t xml:space="preserve"> specialized agencies, regional organizations, national human rights institutions and non-governmental organizations to develop and maintain regular dialogue and cooperation with the mandate holder, </w:t>
      </w:r>
      <w:r w:rsidR="007144EF">
        <w:t>and</w:t>
      </w:r>
      <w:r w:rsidRPr="00A33937">
        <w:t xml:space="preserve"> to continue to contribute to the promotion and protection of the rights of persons belonging to national or ethnic, religious and linguistic minorities;</w:t>
      </w:r>
    </w:p>
    <w:p w14:paraId="64D62C33" w14:textId="6C512969" w:rsidR="00782A66" w:rsidRPr="00A33937" w:rsidRDefault="00B62782" w:rsidP="00B62782">
      <w:pPr>
        <w:pStyle w:val="SingleTxtG"/>
      </w:pPr>
      <w:r w:rsidRPr="00A33937">
        <w:tab/>
      </w:r>
      <w:r w:rsidR="00782A66" w:rsidRPr="00A33937">
        <w:t>4.</w:t>
      </w:r>
      <w:r w:rsidR="00782A66" w:rsidRPr="00A33937">
        <w:tab/>
      </w:r>
      <w:r w:rsidR="00782A66" w:rsidRPr="00A33937">
        <w:rPr>
          <w:i/>
        </w:rPr>
        <w:t>Requests</w:t>
      </w:r>
      <w:r w:rsidR="00782A66" w:rsidRPr="00A33937">
        <w:t xml:space="preserve"> the Secretary-General and the</w:t>
      </w:r>
      <w:r w:rsidR="00935C05">
        <w:t xml:space="preserve"> United Nations</w:t>
      </w:r>
      <w:r w:rsidR="00782A66" w:rsidRPr="00A33937">
        <w:t xml:space="preserve"> High Commissioner </w:t>
      </w:r>
      <w:r w:rsidR="00935C05">
        <w:t xml:space="preserve">for Human Rights </w:t>
      </w:r>
      <w:r w:rsidR="00782A66" w:rsidRPr="00A33937">
        <w:t>to provide all the human, technical and financial assistance necessary for the effective fulfilment of the mandate of the Special Rapporteur;</w:t>
      </w:r>
    </w:p>
    <w:p w14:paraId="076AA049" w14:textId="00AE9AD5" w:rsidR="00A710EA" w:rsidRPr="00A33937" w:rsidRDefault="00B62782" w:rsidP="00B62782">
      <w:pPr>
        <w:pStyle w:val="SingleTxtG"/>
        <w:rPr>
          <w:i/>
        </w:rPr>
      </w:pPr>
      <w:r w:rsidRPr="00A33937">
        <w:tab/>
      </w:r>
      <w:r w:rsidR="00782A66" w:rsidRPr="00A33937">
        <w:t>5.</w:t>
      </w:r>
      <w:r w:rsidR="00782A66" w:rsidRPr="00A33937">
        <w:tab/>
      </w:r>
      <w:r w:rsidR="00782A66" w:rsidRPr="00A33937">
        <w:rPr>
          <w:i/>
        </w:rPr>
        <w:t>Decides</w:t>
      </w:r>
      <w:r w:rsidR="00782A66" w:rsidRPr="00A33937">
        <w:t xml:space="preserve"> to continue its consideration of this issue in accordance with its annual programme of work.</w:t>
      </w:r>
    </w:p>
    <w:p w14:paraId="2093B862"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80E9" w14:textId="77777777" w:rsidR="000974F3" w:rsidRDefault="000974F3"/>
  </w:endnote>
  <w:endnote w:type="continuationSeparator" w:id="0">
    <w:p w14:paraId="6FFCD52C" w14:textId="77777777" w:rsidR="000974F3" w:rsidRDefault="000974F3"/>
  </w:endnote>
  <w:endnote w:type="continuationNotice" w:id="1">
    <w:p w14:paraId="58E5D672" w14:textId="77777777" w:rsidR="000974F3" w:rsidRDefault="00097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24A4" w14:textId="77777777"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E54F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B04E"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82A66">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D7A5" w14:textId="1F1AEFB0" w:rsidR="003E54F7" w:rsidRDefault="003E54F7" w:rsidP="003E54F7">
    <w:pPr>
      <w:pStyle w:val="Footer"/>
    </w:pPr>
    <w:r>
      <w:rPr>
        <w:rFonts w:ascii="C39T30Lfz" w:hAnsi="C39T30Lfz"/>
        <w:noProof/>
        <w:sz w:val="56"/>
        <w:lang w:eastAsia="zh-CN"/>
      </w:rPr>
      <w:drawing>
        <wp:anchor distT="0" distB="0" distL="114300" distR="114300" simplePos="0" relativeHeight="251660288" behindDoc="0" locked="0" layoutInCell="1" allowOverlap="1" wp14:anchorId="5FF6E1FC" wp14:editId="6769EBF5">
          <wp:simplePos x="0" y="0"/>
          <wp:positionH relativeFrom="margin">
            <wp:posOffset>5489575</wp:posOffset>
          </wp:positionH>
          <wp:positionV relativeFrom="margin">
            <wp:posOffset>8122285</wp:posOffset>
          </wp:positionV>
          <wp:extent cx="640080" cy="640080"/>
          <wp:effectExtent l="0" t="0" r="7620" b="7620"/>
          <wp:wrapNone/>
          <wp:docPr id="2" name="Picture 1" descr="http://undocs.org/m2/QRCode.ashx?DS=A/HRC/34/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59264" behindDoc="0" locked="1" layoutInCell="1" allowOverlap="1" wp14:anchorId="7D184D00" wp14:editId="12875403">
          <wp:simplePos x="0" y="0"/>
          <wp:positionH relativeFrom="margin">
            <wp:posOffset>4335145</wp:posOffset>
          </wp:positionH>
          <wp:positionV relativeFrom="margin">
            <wp:posOffset>8465185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69E5B0" w14:textId="3936E5E6" w:rsidR="003E54F7" w:rsidRDefault="003E54F7" w:rsidP="003E54F7">
    <w:pPr>
      <w:pStyle w:val="Footer"/>
      <w:ind w:right="1134"/>
      <w:rPr>
        <w:sz w:val="20"/>
      </w:rPr>
    </w:pPr>
    <w:r>
      <w:rPr>
        <w:sz w:val="20"/>
      </w:rPr>
      <w:t>GE.17-04315(E)</w:t>
    </w:r>
  </w:p>
  <w:p w14:paraId="0A1E6D31" w14:textId="68299A8D" w:rsidR="003E54F7" w:rsidRPr="003E54F7" w:rsidRDefault="003E54F7" w:rsidP="003E54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DA11" w14:textId="77777777" w:rsidR="000974F3" w:rsidRPr="000B175B" w:rsidRDefault="000974F3" w:rsidP="000B175B">
      <w:pPr>
        <w:tabs>
          <w:tab w:val="right" w:pos="2155"/>
        </w:tabs>
        <w:spacing w:after="80"/>
        <w:ind w:left="680"/>
        <w:rPr>
          <w:u w:val="single"/>
        </w:rPr>
      </w:pPr>
      <w:r>
        <w:rPr>
          <w:u w:val="single"/>
        </w:rPr>
        <w:tab/>
      </w:r>
    </w:p>
  </w:footnote>
  <w:footnote w:type="continuationSeparator" w:id="0">
    <w:p w14:paraId="73F3FA41" w14:textId="77777777" w:rsidR="000974F3" w:rsidRPr="00FC68B7" w:rsidRDefault="000974F3" w:rsidP="00FC68B7">
      <w:pPr>
        <w:tabs>
          <w:tab w:val="left" w:pos="2155"/>
        </w:tabs>
        <w:spacing w:after="80"/>
        <w:ind w:left="680"/>
        <w:rPr>
          <w:u w:val="single"/>
        </w:rPr>
      </w:pPr>
      <w:r>
        <w:rPr>
          <w:u w:val="single"/>
        </w:rPr>
        <w:tab/>
      </w:r>
    </w:p>
  </w:footnote>
  <w:footnote w:type="continuationNotice" w:id="1">
    <w:p w14:paraId="02DD53D5" w14:textId="77777777" w:rsidR="000974F3" w:rsidRDefault="000974F3"/>
  </w:footnote>
  <w:footnote w:id="2">
    <w:p w14:paraId="296D9FEA" w14:textId="77777777" w:rsidR="00064F8A" w:rsidRPr="00A63B42" w:rsidRDefault="00064F8A" w:rsidP="00064F8A">
      <w:pPr>
        <w:pStyle w:val="FootnoteText"/>
        <w:rPr>
          <w:szCs w:val="18"/>
        </w:rPr>
      </w:pPr>
      <w:r w:rsidRPr="00A63B42">
        <w:rPr>
          <w:rStyle w:val="FootnoteReference"/>
          <w:szCs w:val="18"/>
        </w:rPr>
        <w:tab/>
      </w:r>
      <w:r w:rsidRPr="00A63B42">
        <w:rPr>
          <w:rStyle w:val="FootnoteReference"/>
          <w:szCs w:val="18"/>
          <w:vertAlign w:val="baseline"/>
        </w:rPr>
        <w:t>*</w:t>
      </w:r>
      <w:r w:rsidRPr="00A63B42">
        <w:rPr>
          <w:rStyle w:val="FootnoteReference"/>
          <w:szCs w:val="18"/>
          <w:vertAlign w:val="baseline"/>
        </w:rPr>
        <w:tab/>
      </w:r>
      <w:r w:rsidRPr="00A63B42">
        <w:rPr>
          <w:szCs w:val="18"/>
        </w:rP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C572" w14:textId="77777777" w:rsidR="00C42278" w:rsidRPr="00EE2A77" w:rsidRDefault="00C42278">
    <w:pPr>
      <w:pStyle w:val="Header"/>
    </w:pPr>
    <w:r>
      <w:t>A/HRC/</w:t>
    </w:r>
    <w:r w:rsidR="00402A2C">
      <w:t>3</w:t>
    </w:r>
    <w:r w:rsidR="00C53250">
      <w:t>4</w:t>
    </w:r>
    <w:r w:rsidR="00E10083">
      <w:t>/L.</w:t>
    </w:r>
    <w:r w:rsidR="00782A66">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0418" w14:textId="77777777" w:rsidR="00C42278" w:rsidRPr="00EE2A77" w:rsidRDefault="005A69B3" w:rsidP="00EE2A77">
    <w:pPr>
      <w:pStyle w:val="Header"/>
      <w:jc w:val="right"/>
    </w:pPr>
    <w:r>
      <w:t>A/HRC/</w:t>
    </w:r>
    <w:r w:rsidR="00402A2C">
      <w:t>3</w:t>
    </w:r>
    <w:r w:rsidR="005F7987">
      <w:t>4</w:t>
    </w:r>
    <w:r w:rsidR="00E10083">
      <w:t>/L.</w:t>
    </w:r>
    <w:r w:rsidR="005F7987">
      <w:t xml:space="preserve"> </w:t>
    </w:r>
    <w:r w:rsidR="00154B0E">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5A98" w14:textId="77777777" w:rsidR="003E54F7" w:rsidRDefault="003E5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4F8A"/>
    <w:rsid w:val="00072C8C"/>
    <w:rsid w:val="00073E70"/>
    <w:rsid w:val="000876EB"/>
    <w:rsid w:val="00091419"/>
    <w:rsid w:val="000931C0"/>
    <w:rsid w:val="000974F3"/>
    <w:rsid w:val="000A2AFE"/>
    <w:rsid w:val="000B175B"/>
    <w:rsid w:val="000B1E07"/>
    <w:rsid w:val="000B3A0F"/>
    <w:rsid w:val="000B4A3B"/>
    <w:rsid w:val="000C3B42"/>
    <w:rsid w:val="000D1851"/>
    <w:rsid w:val="000E0415"/>
    <w:rsid w:val="00111F87"/>
    <w:rsid w:val="0011209E"/>
    <w:rsid w:val="00114904"/>
    <w:rsid w:val="0012458F"/>
    <w:rsid w:val="00146D32"/>
    <w:rsid w:val="001509BA"/>
    <w:rsid w:val="00153FA2"/>
    <w:rsid w:val="00154B0E"/>
    <w:rsid w:val="00190DA0"/>
    <w:rsid w:val="00195879"/>
    <w:rsid w:val="001B4B04"/>
    <w:rsid w:val="001C6663"/>
    <w:rsid w:val="001C7895"/>
    <w:rsid w:val="001D26DF"/>
    <w:rsid w:val="001D6952"/>
    <w:rsid w:val="001E15AA"/>
    <w:rsid w:val="001E2790"/>
    <w:rsid w:val="00203332"/>
    <w:rsid w:val="00211E0B"/>
    <w:rsid w:val="00211E72"/>
    <w:rsid w:val="00214047"/>
    <w:rsid w:val="00216017"/>
    <w:rsid w:val="0022130F"/>
    <w:rsid w:val="00237785"/>
    <w:rsid w:val="002410DD"/>
    <w:rsid w:val="00241466"/>
    <w:rsid w:val="00253D58"/>
    <w:rsid w:val="00266A26"/>
    <w:rsid w:val="0027168C"/>
    <w:rsid w:val="0027725F"/>
    <w:rsid w:val="0028185A"/>
    <w:rsid w:val="002C21F0"/>
    <w:rsid w:val="002D4176"/>
    <w:rsid w:val="002E7C76"/>
    <w:rsid w:val="002F006E"/>
    <w:rsid w:val="003107FA"/>
    <w:rsid w:val="00317071"/>
    <w:rsid w:val="003226DD"/>
    <w:rsid w:val="003229D8"/>
    <w:rsid w:val="003314D1"/>
    <w:rsid w:val="00335A2F"/>
    <w:rsid w:val="00341937"/>
    <w:rsid w:val="0036088C"/>
    <w:rsid w:val="00364A1C"/>
    <w:rsid w:val="00390052"/>
    <w:rsid w:val="0039277A"/>
    <w:rsid w:val="003972E0"/>
    <w:rsid w:val="003975ED"/>
    <w:rsid w:val="003B7062"/>
    <w:rsid w:val="003C2CC4"/>
    <w:rsid w:val="003D206B"/>
    <w:rsid w:val="003D2765"/>
    <w:rsid w:val="003D4470"/>
    <w:rsid w:val="003D4B23"/>
    <w:rsid w:val="003E54F7"/>
    <w:rsid w:val="003E7D53"/>
    <w:rsid w:val="00402A2C"/>
    <w:rsid w:val="00414AF8"/>
    <w:rsid w:val="00424C80"/>
    <w:rsid w:val="00427510"/>
    <w:rsid w:val="004325CB"/>
    <w:rsid w:val="004413C2"/>
    <w:rsid w:val="00441814"/>
    <w:rsid w:val="004429E0"/>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60CE"/>
    <w:rsid w:val="004D0109"/>
    <w:rsid w:val="004D1140"/>
    <w:rsid w:val="004F55ED"/>
    <w:rsid w:val="005106EA"/>
    <w:rsid w:val="0052176C"/>
    <w:rsid w:val="005261E5"/>
    <w:rsid w:val="005420F2"/>
    <w:rsid w:val="00542574"/>
    <w:rsid w:val="005436AB"/>
    <w:rsid w:val="0054626B"/>
    <w:rsid w:val="00546DBF"/>
    <w:rsid w:val="00553D76"/>
    <w:rsid w:val="00554B96"/>
    <w:rsid w:val="005552B5"/>
    <w:rsid w:val="0056117B"/>
    <w:rsid w:val="00564A92"/>
    <w:rsid w:val="00567613"/>
    <w:rsid w:val="00571365"/>
    <w:rsid w:val="00576396"/>
    <w:rsid w:val="005853CC"/>
    <w:rsid w:val="00597B57"/>
    <w:rsid w:val="005A69B3"/>
    <w:rsid w:val="005B3DB3"/>
    <w:rsid w:val="005B4D83"/>
    <w:rsid w:val="005B6E48"/>
    <w:rsid w:val="005C2413"/>
    <w:rsid w:val="005C69BB"/>
    <w:rsid w:val="005E1712"/>
    <w:rsid w:val="005E49B0"/>
    <w:rsid w:val="005F52A9"/>
    <w:rsid w:val="005F7987"/>
    <w:rsid w:val="0061165E"/>
    <w:rsid w:val="00611ABD"/>
    <w:rsid w:val="00611FC4"/>
    <w:rsid w:val="00613478"/>
    <w:rsid w:val="00613DC3"/>
    <w:rsid w:val="006176FB"/>
    <w:rsid w:val="00640B26"/>
    <w:rsid w:val="006601B6"/>
    <w:rsid w:val="00670741"/>
    <w:rsid w:val="00674C17"/>
    <w:rsid w:val="006947AE"/>
    <w:rsid w:val="00696BD6"/>
    <w:rsid w:val="00697307"/>
    <w:rsid w:val="006A6B9D"/>
    <w:rsid w:val="006A7392"/>
    <w:rsid w:val="006B3189"/>
    <w:rsid w:val="006B7D65"/>
    <w:rsid w:val="006C24C4"/>
    <w:rsid w:val="006C28EE"/>
    <w:rsid w:val="006C35AD"/>
    <w:rsid w:val="006D4961"/>
    <w:rsid w:val="006D5F84"/>
    <w:rsid w:val="006D6DA6"/>
    <w:rsid w:val="006E564B"/>
    <w:rsid w:val="006E59E7"/>
    <w:rsid w:val="006F13F0"/>
    <w:rsid w:val="006F5035"/>
    <w:rsid w:val="0070635F"/>
    <w:rsid w:val="007065EB"/>
    <w:rsid w:val="007144EF"/>
    <w:rsid w:val="0071701A"/>
    <w:rsid w:val="00720183"/>
    <w:rsid w:val="0072632A"/>
    <w:rsid w:val="0074200B"/>
    <w:rsid w:val="00782A66"/>
    <w:rsid w:val="007A6296"/>
    <w:rsid w:val="007B208E"/>
    <w:rsid w:val="007B36F5"/>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3577B"/>
    <w:rsid w:val="008402E9"/>
    <w:rsid w:val="00856CD2"/>
    <w:rsid w:val="00861BC6"/>
    <w:rsid w:val="00871FD5"/>
    <w:rsid w:val="008979B1"/>
    <w:rsid w:val="008A6B25"/>
    <w:rsid w:val="008A6C4F"/>
    <w:rsid w:val="008C1E4D"/>
    <w:rsid w:val="008C2D5E"/>
    <w:rsid w:val="008E0E46"/>
    <w:rsid w:val="0090452C"/>
    <w:rsid w:val="00907C3F"/>
    <w:rsid w:val="0092237C"/>
    <w:rsid w:val="00935C05"/>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33937"/>
    <w:rsid w:val="00A44E62"/>
    <w:rsid w:val="00A4634F"/>
    <w:rsid w:val="00A51CF3"/>
    <w:rsid w:val="00A63B42"/>
    <w:rsid w:val="00A710EA"/>
    <w:rsid w:val="00A72F22"/>
    <w:rsid w:val="00A748A6"/>
    <w:rsid w:val="00A879A4"/>
    <w:rsid w:val="00A87E95"/>
    <w:rsid w:val="00A92E29"/>
    <w:rsid w:val="00AB213F"/>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2782"/>
    <w:rsid w:val="00B67F5E"/>
    <w:rsid w:val="00B73E65"/>
    <w:rsid w:val="00B81E12"/>
    <w:rsid w:val="00B87110"/>
    <w:rsid w:val="00B94B00"/>
    <w:rsid w:val="00B97FA8"/>
    <w:rsid w:val="00BB5313"/>
    <w:rsid w:val="00BC1385"/>
    <w:rsid w:val="00BC74E9"/>
    <w:rsid w:val="00BE00DE"/>
    <w:rsid w:val="00BE33DF"/>
    <w:rsid w:val="00BE618E"/>
    <w:rsid w:val="00C01528"/>
    <w:rsid w:val="00C24693"/>
    <w:rsid w:val="00C359A4"/>
    <w:rsid w:val="00C35F0B"/>
    <w:rsid w:val="00C42278"/>
    <w:rsid w:val="00C46307"/>
    <w:rsid w:val="00C463DD"/>
    <w:rsid w:val="00C53250"/>
    <w:rsid w:val="00C62C58"/>
    <w:rsid w:val="00C64458"/>
    <w:rsid w:val="00C745C3"/>
    <w:rsid w:val="00C85D24"/>
    <w:rsid w:val="00C86EEF"/>
    <w:rsid w:val="00CA2A58"/>
    <w:rsid w:val="00CC0B55"/>
    <w:rsid w:val="00CC3115"/>
    <w:rsid w:val="00CD03AC"/>
    <w:rsid w:val="00CD1E06"/>
    <w:rsid w:val="00CD6995"/>
    <w:rsid w:val="00CE4A8F"/>
    <w:rsid w:val="00CE5514"/>
    <w:rsid w:val="00CF0214"/>
    <w:rsid w:val="00CF0545"/>
    <w:rsid w:val="00CF3588"/>
    <w:rsid w:val="00CF586F"/>
    <w:rsid w:val="00CF7D43"/>
    <w:rsid w:val="00D11129"/>
    <w:rsid w:val="00D16876"/>
    <w:rsid w:val="00D2031B"/>
    <w:rsid w:val="00D22332"/>
    <w:rsid w:val="00D25FE2"/>
    <w:rsid w:val="00D42B42"/>
    <w:rsid w:val="00D43252"/>
    <w:rsid w:val="00D439C2"/>
    <w:rsid w:val="00D550F9"/>
    <w:rsid w:val="00D572B0"/>
    <w:rsid w:val="00D62E90"/>
    <w:rsid w:val="00D638C3"/>
    <w:rsid w:val="00D735B4"/>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15AF"/>
    <w:rsid w:val="00E9342C"/>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25A21"/>
    <w:rsid w:val="00F40E75"/>
    <w:rsid w:val="00F42CD9"/>
    <w:rsid w:val="00F4793B"/>
    <w:rsid w:val="00F52936"/>
    <w:rsid w:val="00F540C3"/>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3C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50B2-2CEE-4C47-A765-CBD1B14C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2798</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1704315</dc:title>
  <dc:subject>A/HRC/34/L.6</dc:subject>
  <dc:creator>Kiatsurayanon</dc:creator>
  <cp:keywords/>
  <dc:description/>
  <cp:lastModifiedBy>Tpseng</cp:lastModifiedBy>
  <cp:revision>2</cp:revision>
  <cp:lastPrinted>2017-03-16T17:09:00Z</cp:lastPrinted>
  <dcterms:created xsi:type="dcterms:W3CDTF">2017-03-17T09:14:00Z</dcterms:created>
  <dcterms:modified xsi:type="dcterms:W3CDTF">2017-03-17T09:14:00Z</dcterms:modified>
</cp:coreProperties>
</file>