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4D5A" w14:textId="77777777" w:rsidR="00022DE9" w:rsidRPr="00A271D3" w:rsidRDefault="00022DE9" w:rsidP="00022DE9">
      <w:pPr>
        <w:pStyle w:val="XLarge"/>
        <w:spacing w:before="120" w:after="780"/>
        <w:ind w:left="1267"/>
        <w:rPr>
          <w:lang w:eastAsia="zh-CN"/>
        </w:rPr>
      </w:pPr>
      <w:r w:rsidRPr="00A271D3">
        <w:rPr>
          <w:lang w:eastAsia="zh-CN"/>
        </w:rPr>
        <w:t>United Nations</w:t>
      </w:r>
    </w:p>
    <w:p w14:paraId="45E51B02" w14:textId="51927055" w:rsidR="00022DE9" w:rsidRPr="00A271D3" w:rsidRDefault="00022DE9" w:rsidP="00204297">
      <w:pPr>
        <w:pStyle w:val="SL"/>
        <w:rPr>
          <w:lang w:eastAsia="zh-CN"/>
        </w:rPr>
      </w:pPr>
      <w:r w:rsidRPr="00A271D3">
        <w:rPr>
          <w:lang w:eastAsia="zh-CN"/>
        </w:rPr>
        <w:t>Report of the Committee on the Elimination of Discrimination against Women</w:t>
      </w:r>
    </w:p>
    <w:p w14:paraId="014A071A" w14:textId="77777777" w:rsidR="00022DE9" w:rsidRPr="00A271D3" w:rsidRDefault="00022DE9" w:rsidP="00022DE9">
      <w:pPr>
        <w:spacing w:line="240" w:lineRule="auto"/>
        <w:ind w:left="1267"/>
        <w:rPr>
          <w:sz w:val="12"/>
          <w:lang w:eastAsia="zh-CN"/>
        </w:rPr>
      </w:pPr>
    </w:p>
    <w:p w14:paraId="0FFF2F17" w14:textId="77777777" w:rsidR="00022DE9" w:rsidRPr="00A271D3" w:rsidRDefault="00022DE9" w:rsidP="00022DE9">
      <w:pPr>
        <w:spacing w:line="240" w:lineRule="auto"/>
        <w:ind w:left="1267"/>
        <w:rPr>
          <w:sz w:val="12"/>
          <w:lang w:eastAsia="zh-CN"/>
        </w:rPr>
      </w:pPr>
    </w:p>
    <w:p w14:paraId="4BBE3323" w14:textId="77777777" w:rsidR="00022DE9" w:rsidRPr="00A271D3" w:rsidRDefault="00022DE9" w:rsidP="00022DE9">
      <w:pPr>
        <w:spacing w:line="240" w:lineRule="auto"/>
        <w:ind w:left="1267"/>
        <w:rPr>
          <w:sz w:val="12"/>
          <w:lang w:eastAsia="zh-CN"/>
        </w:rPr>
      </w:pPr>
    </w:p>
    <w:p w14:paraId="54320965" w14:textId="031030D6" w:rsidR="00612221" w:rsidRDefault="00612221" w:rsidP="00612221">
      <w:pPr>
        <w:pStyle w:val="SM"/>
        <w:rPr>
          <w:lang w:eastAsia="zh-CN"/>
        </w:rPr>
      </w:pPr>
      <w:r>
        <w:rPr>
          <w:lang w:eastAsia="zh-CN"/>
        </w:rPr>
        <w:t xml:space="preserve">Sixty-seventh session </w:t>
      </w:r>
    </w:p>
    <w:p w14:paraId="1E9F596F" w14:textId="77777777" w:rsidR="00612221" w:rsidRDefault="00612221" w:rsidP="00612221">
      <w:pPr>
        <w:pStyle w:val="SM"/>
        <w:rPr>
          <w:lang w:eastAsia="zh-CN"/>
        </w:rPr>
      </w:pPr>
      <w:r>
        <w:rPr>
          <w:lang w:eastAsia="zh-CN"/>
        </w:rPr>
        <w:t xml:space="preserve">(3–21 July 2017) </w:t>
      </w:r>
    </w:p>
    <w:p w14:paraId="6236C6D2" w14:textId="5FC9EA1B" w:rsidR="00612221" w:rsidRPr="00612221" w:rsidRDefault="00612221" w:rsidP="00612221">
      <w:pPr>
        <w:spacing w:line="120" w:lineRule="exact"/>
        <w:ind w:left="1267"/>
        <w:rPr>
          <w:sz w:val="10"/>
          <w:lang w:eastAsia="zh-CN"/>
        </w:rPr>
      </w:pPr>
    </w:p>
    <w:p w14:paraId="60270445" w14:textId="53DBAB93" w:rsidR="00612221" w:rsidRPr="00612221" w:rsidRDefault="00612221" w:rsidP="00612221">
      <w:pPr>
        <w:spacing w:line="120" w:lineRule="exact"/>
        <w:ind w:left="1267"/>
        <w:rPr>
          <w:sz w:val="10"/>
          <w:lang w:eastAsia="zh-CN"/>
        </w:rPr>
      </w:pPr>
    </w:p>
    <w:p w14:paraId="2D51FE72" w14:textId="3D9B1F4D" w:rsidR="00612221" w:rsidRPr="00612221" w:rsidRDefault="00612221" w:rsidP="00612221">
      <w:pPr>
        <w:spacing w:line="120" w:lineRule="exact"/>
        <w:ind w:left="1267"/>
        <w:rPr>
          <w:sz w:val="10"/>
          <w:lang w:eastAsia="zh-CN"/>
        </w:rPr>
      </w:pPr>
    </w:p>
    <w:p w14:paraId="2B22E571" w14:textId="77777777" w:rsidR="00612221" w:rsidRDefault="00612221" w:rsidP="00612221">
      <w:pPr>
        <w:pStyle w:val="SM"/>
        <w:rPr>
          <w:lang w:eastAsia="zh-CN"/>
        </w:rPr>
      </w:pPr>
      <w:r>
        <w:rPr>
          <w:lang w:eastAsia="zh-CN"/>
        </w:rPr>
        <w:t xml:space="preserve">Sixty-eighth session </w:t>
      </w:r>
    </w:p>
    <w:p w14:paraId="74C8DF10" w14:textId="77777777" w:rsidR="00612221" w:rsidRDefault="00612221" w:rsidP="00612221">
      <w:pPr>
        <w:pStyle w:val="SM"/>
        <w:rPr>
          <w:lang w:eastAsia="zh-CN"/>
        </w:rPr>
      </w:pPr>
      <w:r>
        <w:rPr>
          <w:lang w:eastAsia="zh-CN"/>
        </w:rPr>
        <w:t>(23 October–17 November 2017)</w:t>
      </w:r>
    </w:p>
    <w:p w14:paraId="59225FCC" w14:textId="39DF6299" w:rsidR="00612221" w:rsidRPr="00612221" w:rsidRDefault="00612221" w:rsidP="00612221">
      <w:pPr>
        <w:spacing w:line="120" w:lineRule="exact"/>
        <w:ind w:left="1267"/>
        <w:rPr>
          <w:sz w:val="10"/>
          <w:lang w:eastAsia="zh-CN"/>
        </w:rPr>
      </w:pPr>
    </w:p>
    <w:p w14:paraId="49D66C70" w14:textId="420AE1E6" w:rsidR="00612221" w:rsidRPr="00612221" w:rsidRDefault="00612221" w:rsidP="00612221">
      <w:pPr>
        <w:spacing w:line="120" w:lineRule="exact"/>
        <w:ind w:left="1267"/>
        <w:rPr>
          <w:sz w:val="10"/>
          <w:lang w:eastAsia="zh-CN"/>
        </w:rPr>
      </w:pPr>
    </w:p>
    <w:p w14:paraId="36890CE5" w14:textId="42C08CF3" w:rsidR="00612221" w:rsidRPr="00612221" w:rsidRDefault="00612221" w:rsidP="00612221">
      <w:pPr>
        <w:spacing w:line="120" w:lineRule="exact"/>
        <w:ind w:left="1267"/>
        <w:rPr>
          <w:sz w:val="10"/>
          <w:lang w:eastAsia="zh-CN"/>
        </w:rPr>
      </w:pPr>
    </w:p>
    <w:p w14:paraId="1E85DFBE" w14:textId="77777777" w:rsidR="00612221" w:rsidRDefault="00612221" w:rsidP="00612221">
      <w:pPr>
        <w:pStyle w:val="SM"/>
        <w:rPr>
          <w:lang w:eastAsia="zh-CN"/>
        </w:rPr>
      </w:pPr>
      <w:r>
        <w:rPr>
          <w:lang w:eastAsia="zh-CN"/>
        </w:rPr>
        <w:t xml:space="preserve">Sixty-ninth session </w:t>
      </w:r>
    </w:p>
    <w:p w14:paraId="5ABCAA61" w14:textId="6A6A23D7" w:rsidR="00022DE9" w:rsidRPr="00A271D3" w:rsidRDefault="00612221" w:rsidP="00612221">
      <w:pPr>
        <w:pStyle w:val="SM"/>
        <w:rPr>
          <w:lang w:eastAsia="zh-CN"/>
        </w:rPr>
      </w:pPr>
      <w:r>
        <w:rPr>
          <w:lang w:eastAsia="zh-CN"/>
        </w:rPr>
        <w:t>(19 February–9 March 2018)</w:t>
      </w:r>
    </w:p>
    <w:p w14:paraId="3E144BC3" w14:textId="77777777" w:rsidR="00022DE9" w:rsidRPr="00A271D3" w:rsidRDefault="00022DE9" w:rsidP="00612221">
      <w:pPr>
        <w:pStyle w:val="XLarge"/>
        <w:spacing w:before="640"/>
        <w:ind w:left="1267"/>
        <w:rPr>
          <w:lang w:eastAsia="zh-CN"/>
        </w:rPr>
      </w:pPr>
      <w:r w:rsidRPr="00A271D3">
        <w:rPr>
          <w:lang w:eastAsia="zh-CN"/>
        </w:rPr>
        <w:t>General Assembly</w:t>
      </w:r>
    </w:p>
    <w:p w14:paraId="2BAB51FB" w14:textId="77777777" w:rsidR="00022DE9" w:rsidRPr="00A271D3" w:rsidRDefault="00022DE9" w:rsidP="00022DE9">
      <w:pPr>
        <w:pStyle w:val="HCh"/>
        <w:spacing w:line="240" w:lineRule="auto"/>
        <w:ind w:left="1267"/>
        <w:rPr>
          <w:lang w:eastAsia="zh-CN"/>
        </w:rPr>
      </w:pPr>
      <w:r w:rsidRPr="00A271D3">
        <w:rPr>
          <w:lang w:eastAsia="zh-CN"/>
        </w:rPr>
        <w:t>Official Records</w:t>
      </w:r>
      <w:r w:rsidRPr="00A271D3">
        <w:rPr>
          <w:lang w:eastAsia="zh-CN"/>
        </w:rPr>
        <w:br/>
        <w:t>Seventy-third Session</w:t>
      </w:r>
      <w:r w:rsidRPr="00A271D3">
        <w:rPr>
          <w:lang w:eastAsia="zh-CN"/>
        </w:rPr>
        <w:br/>
        <w:t>Supplement No. 38</w:t>
      </w:r>
    </w:p>
    <w:p w14:paraId="6674D15D" w14:textId="77777777" w:rsidR="00022DE9" w:rsidRPr="00A271D3" w:rsidRDefault="00022DE9" w:rsidP="00022DE9">
      <w:pPr>
        <w:rPr>
          <w:spacing w:val="-2"/>
          <w:sz w:val="28"/>
          <w:lang w:eastAsia="zh-CN"/>
        </w:rPr>
      </w:pPr>
      <w:r w:rsidRPr="00A271D3">
        <w:rPr>
          <w:lang w:eastAsia="zh-CN"/>
        </w:rPr>
        <w:br w:type="page"/>
      </w:r>
    </w:p>
    <w:p w14:paraId="2A90CC0E" w14:textId="77777777" w:rsidR="00022DE9" w:rsidRPr="00A271D3" w:rsidRDefault="00022DE9" w:rsidP="00022DE9">
      <w:pPr>
        <w:framePr w:w="432" w:h="2880" w:hSpace="180" w:wrap="notBeside" w:vAnchor="page" w:hAnchor="page" w:x="11233" w:y="1729" w:anchorLock="1"/>
        <w:spacing w:line="240" w:lineRule="auto"/>
        <w:textDirection w:val="tbRl"/>
        <w:rPr>
          <w:sz w:val="17"/>
        </w:rPr>
      </w:pPr>
      <w:r w:rsidRPr="00A271D3">
        <w:rPr>
          <w:sz w:val="17"/>
        </w:rPr>
        <w:lastRenderedPageBreak/>
        <w:t>A/73/38</w:t>
      </w:r>
    </w:p>
    <w:p w14:paraId="0FF104D0" w14:textId="77777777" w:rsidR="00022DE9" w:rsidRPr="00A271D3" w:rsidRDefault="00022DE9">
      <w:pPr>
        <w:suppressAutoHyphens w:val="0"/>
        <w:spacing w:after="200" w:line="276" w:lineRule="auto"/>
        <w:rPr>
          <w:sz w:val="2"/>
          <w:lang w:eastAsia="zh-CN"/>
        </w:rPr>
      </w:pPr>
      <w:r w:rsidRPr="00A271D3">
        <w:rPr>
          <w:sz w:val="2"/>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27"/>
        <w:gridCol w:w="4927"/>
      </w:tblGrid>
      <w:tr w:rsidR="00FC2AAD" w:rsidRPr="00A271D3" w14:paraId="2E714673" w14:textId="77777777" w:rsidTr="00022DE9">
        <w:tc>
          <w:tcPr>
            <w:tcW w:w="4927" w:type="dxa"/>
            <w:shd w:val="clear" w:color="auto" w:fill="auto"/>
          </w:tcPr>
          <w:p w14:paraId="2C525D3B" w14:textId="77777777" w:rsidR="00022DE9" w:rsidRPr="00A271D3" w:rsidRDefault="00022DE9" w:rsidP="00022DE9">
            <w:pPr>
              <w:framePr w:hSpace="180" w:wrap="around" w:vAnchor="page" w:hAnchor="page" w:x="1210" w:y="1455" w:anchorLock="1"/>
              <w:spacing w:line="270" w:lineRule="exact"/>
              <w:rPr>
                <w:sz w:val="24"/>
                <w:lang w:val="en-GB"/>
              </w:rPr>
            </w:pPr>
            <w:r w:rsidRPr="00A271D3">
              <w:rPr>
                <w:b/>
                <w:sz w:val="24"/>
                <w:lang w:val="en-GB"/>
              </w:rPr>
              <w:lastRenderedPageBreak/>
              <w:t>General Assembly</w:t>
            </w:r>
            <w:r w:rsidRPr="00A271D3">
              <w:rPr>
                <w:b/>
                <w:sz w:val="24"/>
                <w:lang w:val="en-GB"/>
              </w:rPr>
              <w:br/>
            </w:r>
            <w:r w:rsidRPr="00A271D3">
              <w:rPr>
                <w:sz w:val="24"/>
                <w:lang w:val="en-GB"/>
              </w:rPr>
              <w:t>Official Records</w:t>
            </w:r>
            <w:r w:rsidRPr="00A271D3">
              <w:rPr>
                <w:sz w:val="24"/>
                <w:lang w:val="en-GB"/>
              </w:rPr>
              <w:br/>
              <w:t>Seventy-third Session</w:t>
            </w:r>
            <w:r w:rsidRPr="00A271D3">
              <w:rPr>
                <w:sz w:val="24"/>
                <w:lang w:val="en-GB"/>
              </w:rPr>
              <w:br/>
              <w:t>Supplement No. 38</w:t>
            </w:r>
          </w:p>
          <w:p w14:paraId="6ECF66B7" w14:textId="77777777" w:rsidR="00022DE9" w:rsidRPr="00A271D3" w:rsidRDefault="00022DE9" w:rsidP="00022DE9">
            <w:pPr>
              <w:framePr w:hSpace="180" w:wrap="around" w:vAnchor="page" w:hAnchor="page" w:x="1210" w:y="1455" w:anchorLock="1"/>
              <w:spacing w:line="270" w:lineRule="exact"/>
              <w:rPr>
                <w:sz w:val="24"/>
                <w:lang w:val="en-GB"/>
              </w:rPr>
            </w:pPr>
          </w:p>
        </w:tc>
        <w:tc>
          <w:tcPr>
            <w:tcW w:w="4927" w:type="dxa"/>
            <w:shd w:val="clear" w:color="auto" w:fill="auto"/>
          </w:tcPr>
          <w:p w14:paraId="25A462DC" w14:textId="26F60FA6" w:rsidR="00022DE9" w:rsidRPr="00A271D3" w:rsidRDefault="00CD742B" w:rsidP="00022DE9">
            <w:pPr>
              <w:framePr w:hSpace="180" w:wrap="around" w:vAnchor="page" w:hAnchor="page" w:x="1210" w:y="1455" w:anchorLock="1"/>
              <w:spacing w:line="270" w:lineRule="exact"/>
              <w:jc w:val="right"/>
              <w:rPr>
                <w:lang w:val="en-GB"/>
              </w:rPr>
            </w:pPr>
            <w:hyperlink r:id="rId7" w:history="1">
              <w:r w:rsidR="00022DE9" w:rsidRPr="004D70EB">
                <w:rPr>
                  <w:rStyle w:val="Hyperlink"/>
                  <w:lang w:val="en-GB"/>
                </w:rPr>
                <w:t>A/73/38</w:t>
              </w:r>
            </w:hyperlink>
          </w:p>
        </w:tc>
      </w:tr>
    </w:tbl>
    <w:p w14:paraId="4AA869EA" w14:textId="77777777" w:rsidR="00022DE9" w:rsidRPr="00A271D3" w:rsidRDefault="00022DE9" w:rsidP="00022DE9">
      <w:pPr>
        <w:framePr w:w="9864" w:h="1440" w:hSpace="180" w:wrap="around" w:vAnchor="page" w:hAnchor="page" w:x="1210" w:y="11808" w:anchorLock="1"/>
        <w:spacing w:before="600"/>
        <w:ind w:left="1267"/>
        <w:rPr>
          <w:sz w:val="28"/>
        </w:rPr>
      </w:pPr>
      <w:r w:rsidRPr="00A271D3">
        <w:rPr>
          <w:noProof/>
        </w:rPr>
        <w:drawing>
          <wp:inline distT="0" distB="0" distL="0" distR="0" wp14:anchorId="0A10A14F" wp14:editId="3B08FCC3">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rsidRPr="00A271D3">
        <w:br/>
      </w:r>
      <w:r w:rsidRPr="00A271D3">
        <w:rPr>
          <w:sz w:val="28"/>
        </w:rPr>
        <w:t xml:space="preserve">United Nations </w:t>
      </w:r>
      <w:r w:rsidRPr="00A271D3">
        <w:rPr>
          <w:sz w:val="28"/>
        </w:rPr>
        <w:sym w:font="Symbol" w:char="F0B7"/>
      </w:r>
      <w:r w:rsidRPr="00A271D3">
        <w:rPr>
          <w:sz w:val="28"/>
        </w:rPr>
        <w:t xml:space="preserve"> New York, 2018</w:t>
      </w:r>
    </w:p>
    <w:p w14:paraId="39F4226E" w14:textId="77777777" w:rsidR="00F30184" w:rsidRPr="00A271D3" w:rsidRDefault="00022DE9" w:rsidP="00022DE9">
      <w:pPr>
        <w:spacing w:after="800"/>
        <w:rPr>
          <w:lang w:eastAsia="zh-CN"/>
        </w:rPr>
      </w:pPr>
      <w:r w:rsidRPr="00A271D3">
        <w:rPr>
          <w:rStyle w:val="CommentReference"/>
        </w:rPr>
        <w:commentReference w:id="0"/>
      </w:r>
    </w:p>
    <w:p w14:paraId="42A42B23" w14:textId="020EB2B3" w:rsidR="00823B31" w:rsidRDefault="00823B31" w:rsidP="00823B31">
      <w:pPr>
        <w:pStyle w:val="STitleM"/>
        <w:rPr>
          <w:lang w:eastAsia="zh-CN"/>
        </w:rPr>
      </w:pPr>
      <w:r>
        <w:rPr>
          <w:lang w:eastAsia="zh-CN"/>
        </w:rPr>
        <w:t>Report of the Committee on the Elimination of Discrimination against Women</w:t>
      </w:r>
    </w:p>
    <w:p w14:paraId="2F17C87D" w14:textId="7A3C206F" w:rsidR="00823B31" w:rsidRPr="001221FD" w:rsidRDefault="00823B31" w:rsidP="001221FD">
      <w:pPr>
        <w:spacing w:line="120" w:lineRule="exact"/>
        <w:ind w:left="1260"/>
        <w:rPr>
          <w:sz w:val="10"/>
          <w:lang w:eastAsia="zh-CN"/>
        </w:rPr>
      </w:pPr>
    </w:p>
    <w:p w14:paraId="6FB549CB" w14:textId="18DCDA2C" w:rsidR="001221FD" w:rsidRPr="001221FD" w:rsidRDefault="001221FD" w:rsidP="001221FD">
      <w:pPr>
        <w:spacing w:line="120" w:lineRule="exact"/>
        <w:ind w:left="1260"/>
        <w:rPr>
          <w:sz w:val="10"/>
          <w:lang w:eastAsia="zh-CN"/>
        </w:rPr>
      </w:pPr>
    </w:p>
    <w:p w14:paraId="6BAA9356" w14:textId="09E343C8" w:rsidR="001221FD" w:rsidRPr="001221FD" w:rsidRDefault="001221FD" w:rsidP="001221FD">
      <w:pPr>
        <w:spacing w:line="120" w:lineRule="exact"/>
        <w:ind w:left="1260"/>
        <w:rPr>
          <w:sz w:val="10"/>
          <w:lang w:eastAsia="zh-CN"/>
        </w:rPr>
      </w:pPr>
    </w:p>
    <w:p w14:paraId="24738F33" w14:textId="77777777" w:rsidR="00823B31" w:rsidRDefault="00823B31" w:rsidP="001221FD">
      <w:pPr>
        <w:pStyle w:val="STitleS"/>
        <w:rPr>
          <w:lang w:eastAsia="zh-CN"/>
        </w:rPr>
      </w:pPr>
      <w:r>
        <w:rPr>
          <w:lang w:eastAsia="zh-CN"/>
        </w:rPr>
        <w:t xml:space="preserve">Sixty-seventh session </w:t>
      </w:r>
    </w:p>
    <w:p w14:paraId="00496D06" w14:textId="77777777" w:rsidR="00823B31" w:rsidRDefault="00823B31" w:rsidP="001221FD">
      <w:pPr>
        <w:pStyle w:val="STitleS"/>
        <w:rPr>
          <w:lang w:eastAsia="zh-CN"/>
        </w:rPr>
      </w:pPr>
      <w:r>
        <w:rPr>
          <w:lang w:eastAsia="zh-CN"/>
        </w:rPr>
        <w:t xml:space="preserve">(3–21 July 2017) </w:t>
      </w:r>
    </w:p>
    <w:p w14:paraId="1BE83C53" w14:textId="4FA71773" w:rsidR="00823B31" w:rsidRPr="001221FD" w:rsidRDefault="00823B31" w:rsidP="001221FD">
      <w:pPr>
        <w:spacing w:line="120" w:lineRule="exact"/>
        <w:ind w:left="1260"/>
        <w:rPr>
          <w:sz w:val="10"/>
          <w:lang w:eastAsia="zh-CN"/>
        </w:rPr>
      </w:pPr>
    </w:p>
    <w:p w14:paraId="583B6719" w14:textId="79EF1F7E" w:rsidR="001221FD" w:rsidRPr="001221FD" w:rsidRDefault="001221FD" w:rsidP="001221FD">
      <w:pPr>
        <w:spacing w:line="120" w:lineRule="exact"/>
        <w:ind w:left="1260"/>
        <w:rPr>
          <w:sz w:val="10"/>
          <w:lang w:eastAsia="zh-CN"/>
        </w:rPr>
      </w:pPr>
    </w:p>
    <w:p w14:paraId="659816D0" w14:textId="16B01516" w:rsidR="001221FD" w:rsidRPr="001221FD" w:rsidRDefault="001221FD" w:rsidP="001221FD">
      <w:pPr>
        <w:spacing w:line="120" w:lineRule="exact"/>
        <w:ind w:left="1260"/>
        <w:rPr>
          <w:sz w:val="10"/>
          <w:lang w:eastAsia="zh-CN"/>
        </w:rPr>
      </w:pPr>
    </w:p>
    <w:p w14:paraId="155DCA36" w14:textId="77777777" w:rsidR="00823B31" w:rsidRDefault="00823B31" w:rsidP="001221FD">
      <w:pPr>
        <w:pStyle w:val="STitleS"/>
        <w:rPr>
          <w:lang w:eastAsia="zh-CN"/>
        </w:rPr>
      </w:pPr>
      <w:r>
        <w:rPr>
          <w:lang w:eastAsia="zh-CN"/>
        </w:rPr>
        <w:t xml:space="preserve">Sixty-eighth session </w:t>
      </w:r>
    </w:p>
    <w:p w14:paraId="4A233376" w14:textId="77777777" w:rsidR="00823B31" w:rsidRDefault="00823B31" w:rsidP="001221FD">
      <w:pPr>
        <w:pStyle w:val="STitleS"/>
        <w:rPr>
          <w:lang w:eastAsia="zh-CN"/>
        </w:rPr>
      </w:pPr>
      <w:r>
        <w:rPr>
          <w:lang w:eastAsia="zh-CN"/>
        </w:rPr>
        <w:t>(23 October–17 November 2017)</w:t>
      </w:r>
    </w:p>
    <w:p w14:paraId="437A1866" w14:textId="7C6733C4" w:rsidR="00823B31" w:rsidRPr="001221FD" w:rsidRDefault="00823B31" w:rsidP="001221FD">
      <w:pPr>
        <w:spacing w:line="120" w:lineRule="exact"/>
        <w:ind w:left="1260"/>
        <w:rPr>
          <w:sz w:val="10"/>
          <w:lang w:eastAsia="zh-CN"/>
        </w:rPr>
      </w:pPr>
    </w:p>
    <w:p w14:paraId="1E39D5EC" w14:textId="2BD091FB" w:rsidR="001221FD" w:rsidRPr="001221FD" w:rsidRDefault="001221FD" w:rsidP="001221FD">
      <w:pPr>
        <w:spacing w:line="120" w:lineRule="exact"/>
        <w:ind w:left="1260"/>
        <w:rPr>
          <w:sz w:val="10"/>
          <w:lang w:eastAsia="zh-CN"/>
        </w:rPr>
      </w:pPr>
    </w:p>
    <w:p w14:paraId="7B7D1C74" w14:textId="09B978EB" w:rsidR="001221FD" w:rsidRPr="001221FD" w:rsidRDefault="001221FD" w:rsidP="001221FD">
      <w:pPr>
        <w:spacing w:line="120" w:lineRule="exact"/>
        <w:ind w:left="1260"/>
        <w:rPr>
          <w:sz w:val="10"/>
          <w:lang w:eastAsia="zh-CN"/>
        </w:rPr>
      </w:pPr>
    </w:p>
    <w:p w14:paraId="709849A7" w14:textId="77777777" w:rsidR="00823B31" w:rsidRDefault="00823B31" w:rsidP="001221FD">
      <w:pPr>
        <w:pStyle w:val="STitleS"/>
        <w:rPr>
          <w:lang w:eastAsia="zh-CN"/>
        </w:rPr>
      </w:pPr>
      <w:r>
        <w:rPr>
          <w:lang w:eastAsia="zh-CN"/>
        </w:rPr>
        <w:t xml:space="preserve">Sixty-ninth session </w:t>
      </w:r>
    </w:p>
    <w:p w14:paraId="02B3FF8A" w14:textId="198D8E51" w:rsidR="00022DE9" w:rsidRPr="00A271D3" w:rsidRDefault="00823B31" w:rsidP="001221FD">
      <w:pPr>
        <w:pStyle w:val="STitleS"/>
        <w:rPr>
          <w:lang w:eastAsia="zh-CN"/>
        </w:rPr>
      </w:pPr>
      <w:r>
        <w:rPr>
          <w:lang w:eastAsia="zh-CN"/>
        </w:rPr>
        <w:t>(19 February–9 March 2018)</w:t>
      </w:r>
      <w:r w:rsidRPr="00A271D3">
        <w:rPr>
          <w:lang w:eastAsia="zh-CN"/>
        </w:rPr>
        <w:t xml:space="preserve"> </w:t>
      </w:r>
    </w:p>
    <w:p w14:paraId="4E5EFF5D" w14:textId="77777777" w:rsidR="00022DE9" w:rsidRPr="00A271D3" w:rsidRDefault="00022DE9">
      <w:pPr>
        <w:suppressAutoHyphens w:val="0"/>
        <w:spacing w:after="200" w:line="276" w:lineRule="auto"/>
        <w:rPr>
          <w:lang w:eastAsia="zh-CN"/>
        </w:rPr>
      </w:pPr>
      <w:r w:rsidRPr="00A271D3">
        <w:rPr>
          <w:lang w:eastAsia="zh-CN"/>
        </w:rPr>
        <w:br w:type="page"/>
      </w:r>
    </w:p>
    <w:p w14:paraId="2D776F66" w14:textId="77777777" w:rsidR="00022DE9" w:rsidRPr="00A271D3" w:rsidRDefault="00022DE9" w:rsidP="00022DE9">
      <w:pPr>
        <w:spacing w:line="240" w:lineRule="auto"/>
        <w:ind w:left="1260"/>
        <w:rPr>
          <w:lang w:eastAsia="zh-CN"/>
        </w:rPr>
      </w:pPr>
    </w:p>
    <w:p w14:paraId="59F97A03" w14:textId="77777777" w:rsidR="00022DE9" w:rsidRPr="00A271D3" w:rsidRDefault="00022DE9" w:rsidP="00022DE9">
      <w:pPr>
        <w:framePr w:w="2880" w:h="288" w:hSpace="180" w:wrap="notBeside" w:vAnchor="page" w:hAnchor="margin" w:x="1268" w:y="13393" w:anchorLock="1"/>
      </w:pPr>
      <w:r w:rsidRPr="00A271D3">
        <w:t>ISSN 0255-0970</w:t>
      </w:r>
    </w:p>
    <w:p w14:paraId="52CABCC0" w14:textId="77777777" w:rsidR="00022DE9" w:rsidRPr="00A271D3" w:rsidRDefault="00022DE9" w:rsidP="00022DE9">
      <w:pPr>
        <w:spacing w:before="1400" w:line="240" w:lineRule="auto"/>
        <w:ind w:left="1260"/>
        <w:rPr>
          <w:i/>
          <w:lang w:eastAsia="zh-CN"/>
        </w:rPr>
      </w:pPr>
      <w:r w:rsidRPr="00A271D3">
        <w:rPr>
          <w:i/>
          <w:lang w:eastAsia="zh-CN"/>
        </w:rPr>
        <w:t>Note</w:t>
      </w:r>
    </w:p>
    <w:p w14:paraId="46B7EEA9" w14:textId="77777777" w:rsidR="00022DE9" w:rsidRPr="00A271D3" w:rsidRDefault="00022DE9" w:rsidP="00022DE9">
      <w:pPr>
        <w:spacing w:before="240" w:line="240" w:lineRule="auto"/>
        <w:ind w:left="1260" w:right="1260" w:firstLine="475"/>
        <w:jc w:val="both"/>
        <w:rPr>
          <w:lang w:eastAsia="zh-CN"/>
        </w:rPr>
        <w:sectPr w:rsidR="00022DE9" w:rsidRPr="00A271D3" w:rsidSect="00022DE9">
          <w:headerReference w:type="first" r:id="rId11"/>
          <w:footerReference w:type="first" r:id="rId12"/>
          <w:endnotePr>
            <w:numFmt w:val="decimal"/>
          </w:endnotePr>
          <w:pgSz w:w="12240" w:h="15840"/>
          <w:pgMar w:top="1440" w:right="1200" w:bottom="1152" w:left="1200" w:header="432" w:footer="504" w:gutter="0"/>
          <w:cols w:space="720"/>
          <w:titlePg/>
          <w:docGrid w:linePitch="360"/>
        </w:sectPr>
      </w:pPr>
      <w:r w:rsidRPr="00A271D3">
        <w:rPr>
          <w:lang w:eastAsia="zh-CN"/>
        </w:rPr>
        <w:t>Symbols of United Nations documents are composed of letters combined with figures. Mention of such a symbol indicates a reference to a United Nations document.</w:t>
      </w:r>
    </w:p>
    <w:p w14:paraId="194BAC3A" w14:textId="77777777" w:rsidR="00022DE9" w:rsidRPr="00A271D3" w:rsidRDefault="00022DE9" w:rsidP="00022DE9">
      <w:pPr>
        <w:spacing w:before="240" w:line="240" w:lineRule="auto"/>
        <w:ind w:left="1260" w:right="1260" w:firstLine="475"/>
        <w:jc w:val="both"/>
        <w:rPr>
          <w:lang w:eastAsia="zh-CN"/>
        </w:rPr>
      </w:pPr>
    </w:p>
    <w:p w14:paraId="071AF6F4" w14:textId="236415A3" w:rsidR="00022DE9" w:rsidRPr="00A271D3" w:rsidRDefault="005638D2" w:rsidP="00022DE9">
      <w:pPr>
        <w:jc w:val="right"/>
        <w:rPr>
          <w:lang w:eastAsia="zh-CN"/>
        </w:rPr>
      </w:pPr>
      <w:r>
        <w:rPr>
          <w:lang w:eastAsia="zh-CN"/>
        </w:rPr>
        <w:t>[29 March 2018]</w:t>
      </w:r>
    </w:p>
    <w:p w14:paraId="3080A5DD" w14:textId="77777777" w:rsidR="00022DE9" w:rsidRPr="00A271D3" w:rsidRDefault="00022DE9" w:rsidP="00022DE9">
      <w:pPr>
        <w:pStyle w:val="HCh"/>
        <w:spacing w:before="880" w:after="100"/>
        <w:rPr>
          <w:b w:val="0"/>
          <w:lang w:eastAsia="zh-CN"/>
        </w:rPr>
      </w:pPr>
      <w:r w:rsidRPr="00A271D3">
        <w:rPr>
          <w:b w:val="0"/>
          <w:lang w:eastAsia="zh-CN"/>
        </w:rPr>
        <w:t>Contents</w:t>
      </w:r>
    </w:p>
    <w:tbl>
      <w:tblPr>
        <w:tblW w:w="9846" w:type="dxa"/>
        <w:jc w:val="center"/>
        <w:tblLayout w:type="fixed"/>
        <w:tblCellMar>
          <w:left w:w="0" w:type="dxa"/>
          <w:right w:w="0" w:type="dxa"/>
        </w:tblCellMar>
        <w:tblLook w:val="0000" w:firstRow="0" w:lastRow="0" w:firstColumn="0" w:lastColumn="0" w:noHBand="0" w:noVBand="0"/>
      </w:tblPr>
      <w:tblGrid>
        <w:gridCol w:w="1060"/>
        <w:gridCol w:w="7315"/>
        <w:gridCol w:w="976"/>
        <w:gridCol w:w="495"/>
      </w:tblGrid>
      <w:tr w:rsidR="006A4592" w:rsidRPr="00DD3349" w14:paraId="320BB501" w14:textId="77777777" w:rsidTr="006A4592">
        <w:trPr>
          <w:jc w:val="center"/>
        </w:trPr>
        <w:tc>
          <w:tcPr>
            <w:tcW w:w="1060" w:type="dxa"/>
            <w:shd w:val="clear" w:color="auto" w:fill="auto"/>
          </w:tcPr>
          <w:p w14:paraId="4F4B16F0" w14:textId="77777777" w:rsidR="006A4592" w:rsidRPr="006A4592" w:rsidRDefault="006A4592" w:rsidP="002B116A">
            <w:pPr>
              <w:spacing w:after="120"/>
              <w:jc w:val="right"/>
              <w:rPr>
                <w:i/>
                <w:sz w:val="14"/>
                <w:szCs w:val="14"/>
              </w:rPr>
            </w:pPr>
            <w:r w:rsidRPr="006A4592">
              <w:rPr>
                <w:i/>
                <w:sz w:val="14"/>
                <w:szCs w:val="14"/>
              </w:rPr>
              <w:t>Chapter</w:t>
            </w:r>
          </w:p>
        </w:tc>
        <w:tc>
          <w:tcPr>
            <w:tcW w:w="7315" w:type="dxa"/>
            <w:shd w:val="clear" w:color="auto" w:fill="auto"/>
          </w:tcPr>
          <w:p w14:paraId="0EBBCB6F" w14:textId="77777777" w:rsidR="006A4592" w:rsidRPr="009404DD" w:rsidRDefault="006A4592" w:rsidP="002B116A">
            <w:pPr>
              <w:spacing w:after="120"/>
              <w:rPr>
                <w:i/>
                <w:sz w:val="18"/>
                <w:szCs w:val="18"/>
              </w:rPr>
            </w:pPr>
          </w:p>
        </w:tc>
        <w:tc>
          <w:tcPr>
            <w:tcW w:w="976" w:type="dxa"/>
            <w:shd w:val="clear" w:color="auto" w:fill="auto"/>
          </w:tcPr>
          <w:p w14:paraId="5578176C" w14:textId="77777777" w:rsidR="006A4592" w:rsidRPr="00DD3349" w:rsidRDefault="006A4592" w:rsidP="002B116A">
            <w:pPr>
              <w:spacing w:after="120"/>
              <w:jc w:val="right"/>
              <w:rPr>
                <w:i/>
                <w:sz w:val="14"/>
              </w:rPr>
            </w:pPr>
          </w:p>
        </w:tc>
        <w:tc>
          <w:tcPr>
            <w:tcW w:w="495" w:type="dxa"/>
            <w:shd w:val="clear" w:color="auto" w:fill="auto"/>
          </w:tcPr>
          <w:p w14:paraId="7B27699D" w14:textId="77777777" w:rsidR="006A4592" w:rsidRPr="00DD3349" w:rsidRDefault="006A4592" w:rsidP="002B116A">
            <w:pPr>
              <w:spacing w:after="120"/>
              <w:jc w:val="right"/>
              <w:rPr>
                <w:i/>
                <w:sz w:val="14"/>
              </w:rPr>
            </w:pPr>
            <w:r w:rsidRPr="00DD3349">
              <w:rPr>
                <w:i/>
                <w:sz w:val="14"/>
              </w:rPr>
              <w:t>Page</w:t>
            </w:r>
          </w:p>
        </w:tc>
      </w:tr>
      <w:tr w:rsidR="006A4592" w:rsidRPr="00DD3349" w14:paraId="431EE884" w14:textId="77777777" w:rsidTr="006A4592">
        <w:trPr>
          <w:jc w:val="center"/>
        </w:trPr>
        <w:tc>
          <w:tcPr>
            <w:tcW w:w="9351" w:type="dxa"/>
            <w:gridSpan w:val="3"/>
            <w:shd w:val="clear" w:color="auto" w:fill="auto"/>
          </w:tcPr>
          <w:p w14:paraId="062BC2B4" w14:textId="77777777" w:rsidR="006A4592" w:rsidRPr="00DD3349" w:rsidRDefault="006A4592" w:rsidP="002B116A">
            <w:pPr>
              <w:tabs>
                <w:tab w:val="right" w:pos="1080"/>
                <w:tab w:val="left" w:pos="1296"/>
                <w:tab w:val="left" w:pos="1728"/>
                <w:tab w:val="left" w:pos="2160"/>
                <w:tab w:val="left" w:pos="2592"/>
                <w:tab w:val="right" w:leader="dot" w:pos="9360"/>
              </w:tabs>
              <w:spacing w:after="120"/>
              <w:ind w:left="1080"/>
              <w:rPr>
                <w:spacing w:val="60"/>
                <w:sz w:val="17"/>
              </w:rPr>
            </w:pPr>
            <w:bookmarkStart w:id="1" w:name="_Hlk511207222"/>
            <w:r w:rsidRPr="00DD3349">
              <w:tab/>
              <w:t>Letter of transmittal</w:t>
            </w:r>
            <w:r w:rsidRPr="00DD3349">
              <w:rPr>
                <w:spacing w:val="60"/>
                <w:sz w:val="17"/>
              </w:rPr>
              <w:tab/>
            </w:r>
          </w:p>
        </w:tc>
        <w:tc>
          <w:tcPr>
            <w:tcW w:w="495" w:type="dxa"/>
            <w:shd w:val="clear" w:color="auto" w:fill="auto"/>
            <w:vAlign w:val="bottom"/>
          </w:tcPr>
          <w:p w14:paraId="57D936FA" w14:textId="5B8F83F3" w:rsidR="006A4592" w:rsidRPr="00DD3349" w:rsidRDefault="002877C9" w:rsidP="002B116A">
            <w:pPr>
              <w:spacing w:after="120"/>
              <w:jc w:val="right"/>
            </w:pPr>
            <w:r>
              <w:t>6</w:t>
            </w:r>
          </w:p>
        </w:tc>
      </w:tr>
      <w:tr w:rsidR="006A4592" w:rsidRPr="00DD3349" w14:paraId="63153C46" w14:textId="77777777" w:rsidTr="006A4592">
        <w:trPr>
          <w:jc w:val="center"/>
        </w:trPr>
        <w:tc>
          <w:tcPr>
            <w:tcW w:w="9351" w:type="dxa"/>
            <w:gridSpan w:val="3"/>
            <w:shd w:val="clear" w:color="auto" w:fill="auto"/>
          </w:tcPr>
          <w:p w14:paraId="13CAE5AD" w14:textId="77777777" w:rsidR="006A4592" w:rsidRPr="00DD3349" w:rsidRDefault="006A4592" w:rsidP="002B116A">
            <w:pPr>
              <w:tabs>
                <w:tab w:val="right" w:pos="1080"/>
                <w:tab w:val="left" w:pos="1296"/>
                <w:tab w:val="left" w:pos="1728"/>
                <w:tab w:val="left" w:pos="2160"/>
                <w:tab w:val="left" w:pos="2592"/>
                <w:tab w:val="right" w:leader="dot" w:pos="9360"/>
              </w:tabs>
              <w:spacing w:after="120"/>
              <w:ind w:left="1296" w:hanging="216"/>
              <w:rPr>
                <w:b/>
                <w:spacing w:val="60"/>
                <w:sz w:val="17"/>
              </w:rPr>
            </w:pPr>
            <w:r w:rsidRPr="00DD3349">
              <w:tab/>
            </w:r>
            <w:r w:rsidRPr="00DD3349">
              <w:rPr>
                <w:b/>
              </w:rPr>
              <w:t>Part One</w:t>
            </w:r>
            <w:r w:rsidRPr="00DD3349">
              <w:rPr>
                <w:b/>
              </w:rPr>
              <w:br/>
              <w:t>Report of the Committee on the Elimination of Discrimination against Women on its sixty-</w:t>
            </w:r>
            <w:r>
              <w:rPr>
                <w:b/>
              </w:rPr>
              <w:t>seventh</w:t>
            </w:r>
            <w:r w:rsidRPr="00DD3349">
              <w:rPr>
                <w:b/>
              </w:rPr>
              <w:t xml:space="preserve"> session</w:t>
            </w:r>
            <w:r w:rsidRPr="00DD3349">
              <w:rPr>
                <w:spacing w:val="60"/>
                <w:sz w:val="17"/>
              </w:rPr>
              <w:tab/>
            </w:r>
          </w:p>
        </w:tc>
        <w:tc>
          <w:tcPr>
            <w:tcW w:w="495" w:type="dxa"/>
            <w:shd w:val="clear" w:color="auto" w:fill="auto"/>
            <w:vAlign w:val="bottom"/>
          </w:tcPr>
          <w:p w14:paraId="69D9C987" w14:textId="0F2C1E7B" w:rsidR="006A4592" w:rsidRPr="00DD3349" w:rsidRDefault="002877C9" w:rsidP="002B116A">
            <w:pPr>
              <w:spacing w:after="120"/>
              <w:jc w:val="right"/>
            </w:pPr>
            <w:r>
              <w:t>7</w:t>
            </w:r>
          </w:p>
        </w:tc>
      </w:tr>
      <w:tr w:rsidR="006A4592" w:rsidRPr="00DD3349" w14:paraId="18E91A16" w14:textId="77777777" w:rsidTr="006A4592">
        <w:trPr>
          <w:jc w:val="center"/>
        </w:trPr>
        <w:tc>
          <w:tcPr>
            <w:tcW w:w="9351" w:type="dxa"/>
            <w:gridSpan w:val="3"/>
            <w:shd w:val="clear" w:color="auto" w:fill="auto"/>
          </w:tcPr>
          <w:p w14:paraId="40B6296A"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ab/>
              <w:t>Decisions adopted by the Committee</w:t>
            </w:r>
            <w:r w:rsidRPr="00DD3349">
              <w:rPr>
                <w:spacing w:val="60"/>
                <w:sz w:val="17"/>
              </w:rPr>
              <w:tab/>
            </w:r>
          </w:p>
        </w:tc>
        <w:tc>
          <w:tcPr>
            <w:tcW w:w="495" w:type="dxa"/>
            <w:shd w:val="clear" w:color="auto" w:fill="auto"/>
            <w:vAlign w:val="bottom"/>
          </w:tcPr>
          <w:p w14:paraId="275F9523" w14:textId="42DC6F9A" w:rsidR="006A4592" w:rsidRPr="00DD3349" w:rsidRDefault="002877C9" w:rsidP="002B116A">
            <w:pPr>
              <w:spacing w:after="120"/>
              <w:jc w:val="right"/>
            </w:pPr>
            <w:r>
              <w:t>8</w:t>
            </w:r>
          </w:p>
        </w:tc>
      </w:tr>
      <w:tr w:rsidR="006A4592" w:rsidRPr="00DD3349" w14:paraId="3688B636" w14:textId="77777777" w:rsidTr="006A4592">
        <w:trPr>
          <w:jc w:val="center"/>
        </w:trPr>
        <w:tc>
          <w:tcPr>
            <w:tcW w:w="9351" w:type="dxa"/>
            <w:gridSpan w:val="3"/>
            <w:shd w:val="clear" w:color="auto" w:fill="auto"/>
          </w:tcPr>
          <w:p w14:paraId="419A8493"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ab/>
              <w:t>Organizational and other matters</w:t>
            </w:r>
            <w:r w:rsidRPr="00DD3349">
              <w:rPr>
                <w:spacing w:val="60"/>
                <w:sz w:val="17"/>
              </w:rPr>
              <w:tab/>
            </w:r>
          </w:p>
        </w:tc>
        <w:tc>
          <w:tcPr>
            <w:tcW w:w="495" w:type="dxa"/>
            <w:shd w:val="clear" w:color="auto" w:fill="auto"/>
            <w:vAlign w:val="bottom"/>
          </w:tcPr>
          <w:p w14:paraId="5FDCD949" w14:textId="736E2B01" w:rsidR="006A4592" w:rsidRPr="00DD3349" w:rsidRDefault="002877C9" w:rsidP="002B116A">
            <w:pPr>
              <w:spacing w:after="120"/>
              <w:jc w:val="right"/>
            </w:pPr>
            <w:r>
              <w:t>10</w:t>
            </w:r>
          </w:p>
        </w:tc>
      </w:tr>
      <w:tr w:rsidR="006A4592" w:rsidRPr="00DD3349" w14:paraId="3A17C63E" w14:textId="77777777" w:rsidTr="006A4592">
        <w:trPr>
          <w:jc w:val="center"/>
        </w:trPr>
        <w:tc>
          <w:tcPr>
            <w:tcW w:w="9351" w:type="dxa"/>
            <w:gridSpan w:val="3"/>
            <w:shd w:val="clear" w:color="auto" w:fill="auto"/>
          </w:tcPr>
          <w:p w14:paraId="35C316A6"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t>States parties to the Convention and to the Optional Protocol</w:t>
            </w:r>
            <w:r w:rsidRPr="00DD3349">
              <w:rPr>
                <w:spacing w:val="60"/>
                <w:sz w:val="17"/>
              </w:rPr>
              <w:tab/>
            </w:r>
          </w:p>
        </w:tc>
        <w:tc>
          <w:tcPr>
            <w:tcW w:w="495" w:type="dxa"/>
            <w:shd w:val="clear" w:color="auto" w:fill="auto"/>
            <w:vAlign w:val="bottom"/>
          </w:tcPr>
          <w:p w14:paraId="1848C0C3" w14:textId="7BEA2C3B" w:rsidR="006A4592" w:rsidRPr="00DD3349" w:rsidRDefault="002877C9" w:rsidP="002B116A">
            <w:pPr>
              <w:spacing w:after="120"/>
              <w:jc w:val="right"/>
            </w:pPr>
            <w:r>
              <w:t>10</w:t>
            </w:r>
          </w:p>
        </w:tc>
      </w:tr>
      <w:tr w:rsidR="006A4592" w:rsidRPr="00DD3349" w14:paraId="3F2A4757" w14:textId="77777777" w:rsidTr="006A4592">
        <w:trPr>
          <w:jc w:val="center"/>
        </w:trPr>
        <w:tc>
          <w:tcPr>
            <w:tcW w:w="9351" w:type="dxa"/>
            <w:gridSpan w:val="3"/>
            <w:shd w:val="clear" w:color="auto" w:fill="auto"/>
          </w:tcPr>
          <w:p w14:paraId="3D1D045A"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495" w:type="dxa"/>
            <w:shd w:val="clear" w:color="auto" w:fill="auto"/>
            <w:vAlign w:val="bottom"/>
          </w:tcPr>
          <w:p w14:paraId="1D3CC3A5" w14:textId="1EF63607" w:rsidR="006A4592" w:rsidRPr="00DD3349" w:rsidRDefault="002877C9" w:rsidP="002B116A">
            <w:pPr>
              <w:spacing w:after="120"/>
              <w:jc w:val="right"/>
            </w:pPr>
            <w:r>
              <w:t>10</w:t>
            </w:r>
          </w:p>
        </w:tc>
      </w:tr>
      <w:tr w:rsidR="006A4592" w:rsidRPr="00DD3349" w14:paraId="0045619A" w14:textId="77777777" w:rsidTr="006A4592">
        <w:trPr>
          <w:jc w:val="center"/>
        </w:trPr>
        <w:tc>
          <w:tcPr>
            <w:tcW w:w="9351" w:type="dxa"/>
            <w:gridSpan w:val="3"/>
            <w:shd w:val="clear" w:color="auto" w:fill="auto"/>
          </w:tcPr>
          <w:p w14:paraId="53FFA980"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495" w:type="dxa"/>
            <w:shd w:val="clear" w:color="auto" w:fill="auto"/>
            <w:vAlign w:val="bottom"/>
          </w:tcPr>
          <w:p w14:paraId="121665A0" w14:textId="394790C7" w:rsidR="006A4592" w:rsidRPr="00DD3349" w:rsidRDefault="002877C9" w:rsidP="002B116A">
            <w:pPr>
              <w:spacing w:after="120"/>
              <w:jc w:val="right"/>
            </w:pPr>
            <w:r>
              <w:t>10</w:t>
            </w:r>
          </w:p>
        </w:tc>
      </w:tr>
      <w:tr w:rsidR="006A4592" w:rsidRPr="00DD3349" w14:paraId="3E4AFB18" w14:textId="77777777" w:rsidTr="006A4592">
        <w:trPr>
          <w:jc w:val="center"/>
        </w:trPr>
        <w:tc>
          <w:tcPr>
            <w:tcW w:w="9351" w:type="dxa"/>
            <w:gridSpan w:val="3"/>
            <w:shd w:val="clear" w:color="auto" w:fill="auto"/>
          </w:tcPr>
          <w:p w14:paraId="00BE0673"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495" w:type="dxa"/>
            <w:shd w:val="clear" w:color="auto" w:fill="auto"/>
            <w:vAlign w:val="bottom"/>
          </w:tcPr>
          <w:p w14:paraId="150A116B" w14:textId="4E30603F" w:rsidR="006A4592" w:rsidRPr="00DD3349" w:rsidRDefault="002877C9" w:rsidP="002B116A">
            <w:pPr>
              <w:spacing w:after="120"/>
              <w:jc w:val="right"/>
            </w:pPr>
            <w:r>
              <w:t>10</w:t>
            </w:r>
          </w:p>
        </w:tc>
      </w:tr>
      <w:tr w:rsidR="006A4592" w:rsidRPr="00DD3349" w14:paraId="01A85AF5" w14:textId="77777777" w:rsidTr="006A4592">
        <w:trPr>
          <w:jc w:val="center"/>
        </w:trPr>
        <w:tc>
          <w:tcPr>
            <w:tcW w:w="9351" w:type="dxa"/>
            <w:gridSpan w:val="3"/>
            <w:shd w:val="clear" w:color="auto" w:fill="auto"/>
          </w:tcPr>
          <w:p w14:paraId="5D8F8FE0"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495" w:type="dxa"/>
            <w:shd w:val="clear" w:color="auto" w:fill="auto"/>
            <w:vAlign w:val="bottom"/>
          </w:tcPr>
          <w:p w14:paraId="678F5B24" w14:textId="0251E096" w:rsidR="006A4592" w:rsidRPr="00DD3349" w:rsidRDefault="002877C9" w:rsidP="002B116A">
            <w:pPr>
              <w:spacing w:after="120"/>
              <w:jc w:val="right"/>
            </w:pPr>
            <w:r>
              <w:t>10</w:t>
            </w:r>
          </w:p>
        </w:tc>
      </w:tr>
      <w:tr w:rsidR="006A4592" w:rsidRPr="00DD3349" w14:paraId="55E5E7F9" w14:textId="77777777" w:rsidTr="006A4592">
        <w:trPr>
          <w:jc w:val="center"/>
        </w:trPr>
        <w:tc>
          <w:tcPr>
            <w:tcW w:w="9351" w:type="dxa"/>
            <w:gridSpan w:val="3"/>
            <w:shd w:val="clear" w:color="auto" w:fill="auto"/>
          </w:tcPr>
          <w:p w14:paraId="32B62B8B"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Membership of the Committee</w:t>
            </w:r>
            <w:r w:rsidRPr="00DD3349">
              <w:rPr>
                <w:spacing w:val="60"/>
                <w:sz w:val="17"/>
              </w:rPr>
              <w:tab/>
            </w:r>
          </w:p>
        </w:tc>
        <w:tc>
          <w:tcPr>
            <w:tcW w:w="495" w:type="dxa"/>
            <w:shd w:val="clear" w:color="auto" w:fill="auto"/>
            <w:vAlign w:val="bottom"/>
          </w:tcPr>
          <w:p w14:paraId="11B1325E" w14:textId="5B07B9FD" w:rsidR="006A4592" w:rsidRPr="00DD3349" w:rsidRDefault="002877C9" w:rsidP="002B116A">
            <w:pPr>
              <w:spacing w:after="120"/>
              <w:jc w:val="right"/>
            </w:pPr>
            <w:r>
              <w:t>11</w:t>
            </w:r>
          </w:p>
        </w:tc>
      </w:tr>
      <w:tr w:rsidR="006A4592" w:rsidRPr="00DD3349" w14:paraId="3606B648" w14:textId="77777777" w:rsidTr="006A4592">
        <w:trPr>
          <w:jc w:val="center"/>
        </w:trPr>
        <w:tc>
          <w:tcPr>
            <w:tcW w:w="9351" w:type="dxa"/>
            <w:gridSpan w:val="3"/>
            <w:shd w:val="clear" w:color="auto" w:fill="auto"/>
          </w:tcPr>
          <w:p w14:paraId="700116E8"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Report of the Chair on intersessional activities</w:t>
            </w:r>
            <w:r w:rsidRPr="00DD3349">
              <w:rPr>
                <w:spacing w:val="60"/>
                <w:sz w:val="17"/>
              </w:rPr>
              <w:tab/>
            </w:r>
          </w:p>
        </w:tc>
        <w:tc>
          <w:tcPr>
            <w:tcW w:w="495" w:type="dxa"/>
            <w:shd w:val="clear" w:color="auto" w:fill="auto"/>
            <w:vAlign w:val="bottom"/>
          </w:tcPr>
          <w:p w14:paraId="74D8A389" w14:textId="3E1D69C9" w:rsidR="006A4592" w:rsidRPr="00DD3349" w:rsidRDefault="002877C9" w:rsidP="002B116A">
            <w:pPr>
              <w:spacing w:after="120"/>
              <w:jc w:val="right"/>
            </w:pPr>
            <w:r>
              <w:t>12</w:t>
            </w:r>
          </w:p>
        </w:tc>
      </w:tr>
      <w:tr w:rsidR="006A4592" w:rsidRPr="00DD3349" w14:paraId="2C6E90D6" w14:textId="77777777" w:rsidTr="006A4592">
        <w:trPr>
          <w:jc w:val="center"/>
        </w:trPr>
        <w:tc>
          <w:tcPr>
            <w:tcW w:w="9351" w:type="dxa"/>
            <w:gridSpan w:val="3"/>
            <w:shd w:val="clear" w:color="auto" w:fill="auto"/>
          </w:tcPr>
          <w:p w14:paraId="3A8BB735"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DD3349">
              <w:tab/>
              <w:t>Consideration of reports submitted by States parties under article 18 of the Convention</w:t>
            </w:r>
            <w:r w:rsidRPr="00DD3349">
              <w:rPr>
                <w:spacing w:val="60"/>
                <w:sz w:val="17"/>
              </w:rPr>
              <w:tab/>
            </w:r>
          </w:p>
        </w:tc>
        <w:tc>
          <w:tcPr>
            <w:tcW w:w="495" w:type="dxa"/>
            <w:shd w:val="clear" w:color="auto" w:fill="auto"/>
            <w:vAlign w:val="bottom"/>
          </w:tcPr>
          <w:p w14:paraId="1D0037EF" w14:textId="768F0787" w:rsidR="006A4592" w:rsidRPr="00DD3349" w:rsidRDefault="000A1BF9" w:rsidP="002B116A">
            <w:pPr>
              <w:spacing w:after="120"/>
              <w:jc w:val="right"/>
            </w:pPr>
            <w:r>
              <w:t>13</w:t>
            </w:r>
          </w:p>
        </w:tc>
      </w:tr>
      <w:tr w:rsidR="006A4592" w:rsidRPr="00DD3349" w14:paraId="14022F8E" w14:textId="77777777" w:rsidTr="006A4592">
        <w:trPr>
          <w:jc w:val="center"/>
        </w:trPr>
        <w:tc>
          <w:tcPr>
            <w:tcW w:w="9351" w:type="dxa"/>
            <w:gridSpan w:val="3"/>
            <w:shd w:val="clear" w:color="auto" w:fill="auto"/>
          </w:tcPr>
          <w:p w14:paraId="28B72062"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Activities carried out under the Optional Protocol</w:t>
            </w:r>
            <w:r w:rsidRPr="00DD3349">
              <w:rPr>
                <w:spacing w:val="60"/>
                <w:sz w:val="17"/>
              </w:rPr>
              <w:tab/>
            </w:r>
          </w:p>
        </w:tc>
        <w:tc>
          <w:tcPr>
            <w:tcW w:w="495" w:type="dxa"/>
            <w:shd w:val="clear" w:color="auto" w:fill="auto"/>
            <w:vAlign w:val="bottom"/>
          </w:tcPr>
          <w:p w14:paraId="146223C0" w14:textId="1BFBF000" w:rsidR="006A4592" w:rsidRPr="00DD3349" w:rsidRDefault="000A1BF9" w:rsidP="002B116A">
            <w:pPr>
              <w:spacing w:after="120"/>
              <w:jc w:val="right"/>
            </w:pPr>
            <w:r>
              <w:t>14</w:t>
            </w:r>
          </w:p>
        </w:tc>
      </w:tr>
      <w:tr w:rsidR="006A4592" w:rsidRPr="00DD3349" w14:paraId="4A04AAE8" w14:textId="77777777" w:rsidTr="006A4592">
        <w:trPr>
          <w:jc w:val="center"/>
        </w:trPr>
        <w:tc>
          <w:tcPr>
            <w:tcW w:w="9351" w:type="dxa"/>
            <w:gridSpan w:val="3"/>
            <w:shd w:val="clear" w:color="auto" w:fill="auto"/>
          </w:tcPr>
          <w:p w14:paraId="32E713E8"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495" w:type="dxa"/>
            <w:shd w:val="clear" w:color="auto" w:fill="auto"/>
            <w:vAlign w:val="bottom"/>
          </w:tcPr>
          <w:p w14:paraId="65F38365" w14:textId="67B9F60D" w:rsidR="006A4592" w:rsidRPr="00DD3349" w:rsidRDefault="000A1BF9" w:rsidP="002B116A">
            <w:pPr>
              <w:spacing w:after="120"/>
              <w:jc w:val="right"/>
            </w:pPr>
            <w:r>
              <w:t>14</w:t>
            </w:r>
          </w:p>
        </w:tc>
      </w:tr>
      <w:tr w:rsidR="006A4592" w:rsidRPr="00DD3349" w14:paraId="59A01C85" w14:textId="77777777" w:rsidTr="006A4592">
        <w:trPr>
          <w:jc w:val="center"/>
        </w:trPr>
        <w:tc>
          <w:tcPr>
            <w:tcW w:w="9351" w:type="dxa"/>
            <w:gridSpan w:val="3"/>
            <w:shd w:val="clear" w:color="auto" w:fill="auto"/>
          </w:tcPr>
          <w:p w14:paraId="301D71BB"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495" w:type="dxa"/>
            <w:shd w:val="clear" w:color="auto" w:fill="auto"/>
            <w:vAlign w:val="bottom"/>
          </w:tcPr>
          <w:p w14:paraId="74A0D88A" w14:textId="6B872034" w:rsidR="006A4592" w:rsidRPr="00DD3349" w:rsidRDefault="000A1BF9" w:rsidP="002B116A">
            <w:pPr>
              <w:spacing w:after="120"/>
              <w:jc w:val="right"/>
            </w:pPr>
            <w:r>
              <w:t>14</w:t>
            </w:r>
          </w:p>
        </w:tc>
      </w:tr>
      <w:tr w:rsidR="006A4592" w:rsidRPr="00DD3349" w14:paraId="251620DF" w14:textId="77777777" w:rsidTr="006A4592">
        <w:trPr>
          <w:jc w:val="center"/>
        </w:trPr>
        <w:tc>
          <w:tcPr>
            <w:tcW w:w="9351" w:type="dxa"/>
            <w:gridSpan w:val="3"/>
            <w:shd w:val="clear" w:color="auto" w:fill="auto"/>
          </w:tcPr>
          <w:p w14:paraId="6E72F3DA" w14:textId="77777777" w:rsidR="006A4592" w:rsidRPr="00DD3349" w:rsidRDefault="006A4592" w:rsidP="006A4592">
            <w:pPr>
              <w:pStyle w:val="ListParagraph"/>
              <w:numPr>
                <w:ilvl w:val="1"/>
                <w:numId w:val="39"/>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8 of the Optional Protocol</w:t>
            </w:r>
            <w:r w:rsidRPr="00DD3349">
              <w:rPr>
                <w:spacing w:val="60"/>
                <w:sz w:val="17"/>
              </w:rPr>
              <w:tab/>
            </w:r>
          </w:p>
        </w:tc>
        <w:tc>
          <w:tcPr>
            <w:tcW w:w="495" w:type="dxa"/>
            <w:shd w:val="clear" w:color="auto" w:fill="auto"/>
            <w:vAlign w:val="bottom"/>
          </w:tcPr>
          <w:p w14:paraId="4B01F4B8" w14:textId="3A7A2D29" w:rsidR="006A4592" w:rsidRPr="00DD3349" w:rsidRDefault="000A1BF9" w:rsidP="002B116A">
            <w:pPr>
              <w:spacing w:after="120"/>
              <w:jc w:val="right"/>
            </w:pPr>
            <w:r>
              <w:t>14</w:t>
            </w:r>
          </w:p>
        </w:tc>
      </w:tr>
      <w:tr w:rsidR="006A4592" w:rsidRPr="00DD3349" w14:paraId="0944F2D2" w14:textId="77777777" w:rsidTr="006A4592">
        <w:trPr>
          <w:jc w:val="center"/>
        </w:trPr>
        <w:tc>
          <w:tcPr>
            <w:tcW w:w="9351" w:type="dxa"/>
            <w:gridSpan w:val="3"/>
            <w:shd w:val="clear" w:color="auto" w:fill="auto"/>
          </w:tcPr>
          <w:p w14:paraId="5CF7BF4F"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Ways and means of expediting the work of the Committee</w:t>
            </w:r>
            <w:r w:rsidRPr="00DD3349">
              <w:rPr>
                <w:spacing w:val="60"/>
                <w:sz w:val="17"/>
              </w:rPr>
              <w:tab/>
            </w:r>
          </w:p>
        </w:tc>
        <w:tc>
          <w:tcPr>
            <w:tcW w:w="495" w:type="dxa"/>
            <w:shd w:val="clear" w:color="auto" w:fill="auto"/>
            <w:vAlign w:val="bottom"/>
          </w:tcPr>
          <w:p w14:paraId="277331A9" w14:textId="11EAB767" w:rsidR="006A4592" w:rsidRPr="00DD3349" w:rsidRDefault="000A1BF9" w:rsidP="002B116A">
            <w:pPr>
              <w:spacing w:after="120"/>
              <w:jc w:val="right"/>
            </w:pPr>
            <w:r>
              <w:t>16</w:t>
            </w:r>
          </w:p>
        </w:tc>
      </w:tr>
      <w:tr w:rsidR="006A4592" w:rsidRPr="00DD3349" w14:paraId="30F5FAB3" w14:textId="77777777" w:rsidTr="006A4592">
        <w:trPr>
          <w:jc w:val="center"/>
        </w:trPr>
        <w:tc>
          <w:tcPr>
            <w:tcW w:w="9351" w:type="dxa"/>
            <w:gridSpan w:val="3"/>
            <w:shd w:val="clear" w:color="auto" w:fill="auto"/>
          </w:tcPr>
          <w:p w14:paraId="35240E46"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Implementation of article 21 of the Convention</w:t>
            </w:r>
            <w:r w:rsidRPr="00DD3349">
              <w:rPr>
                <w:spacing w:val="60"/>
                <w:sz w:val="17"/>
              </w:rPr>
              <w:tab/>
            </w:r>
          </w:p>
        </w:tc>
        <w:tc>
          <w:tcPr>
            <w:tcW w:w="495" w:type="dxa"/>
            <w:shd w:val="clear" w:color="auto" w:fill="auto"/>
            <w:vAlign w:val="bottom"/>
          </w:tcPr>
          <w:p w14:paraId="43445ECF" w14:textId="2B0F3D38" w:rsidR="006A4592" w:rsidRPr="00DD3349" w:rsidRDefault="000A1BF9" w:rsidP="002B116A">
            <w:pPr>
              <w:spacing w:after="120"/>
              <w:jc w:val="right"/>
            </w:pPr>
            <w:r>
              <w:t>18</w:t>
            </w:r>
          </w:p>
        </w:tc>
      </w:tr>
      <w:tr w:rsidR="006A4592" w:rsidRPr="00DD3349" w14:paraId="5705E8D0" w14:textId="77777777" w:rsidTr="006A4592">
        <w:trPr>
          <w:jc w:val="center"/>
        </w:trPr>
        <w:tc>
          <w:tcPr>
            <w:tcW w:w="9351" w:type="dxa"/>
            <w:gridSpan w:val="3"/>
            <w:shd w:val="clear" w:color="auto" w:fill="auto"/>
          </w:tcPr>
          <w:p w14:paraId="679F7426"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Provisional agenda for the sixty-</w:t>
            </w:r>
            <w:r>
              <w:t>eighth</w:t>
            </w:r>
            <w:r w:rsidRPr="00DD3349">
              <w:t xml:space="preserve"> session</w:t>
            </w:r>
            <w:r w:rsidRPr="00DD3349">
              <w:rPr>
                <w:spacing w:val="60"/>
                <w:sz w:val="17"/>
              </w:rPr>
              <w:tab/>
            </w:r>
          </w:p>
        </w:tc>
        <w:tc>
          <w:tcPr>
            <w:tcW w:w="495" w:type="dxa"/>
            <w:shd w:val="clear" w:color="auto" w:fill="auto"/>
            <w:vAlign w:val="bottom"/>
          </w:tcPr>
          <w:p w14:paraId="6B37CED0" w14:textId="39DFB79D" w:rsidR="006A4592" w:rsidRPr="00DD3349" w:rsidRDefault="000A1BF9" w:rsidP="002B116A">
            <w:pPr>
              <w:spacing w:after="120"/>
              <w:jc w:val="right"/>
            </w:pPr>
            <w:r>
              <w:t>20</w:t>
            </w:r>
          </w:p>
        </w:tc>
      </w:tr>
      <w:tr w:rsidR="006A4592" w:rsidRPr="00DD3349" w14:paraId="7180E4B0" w14:textId="77777777" w:rsidTr="006A4592">
        <w:trPr>
          <w:jc w:val="center"/>
        </w:trPr>
        <w:tc>
          <w:tcPr>
            <w:tcW w:w="9351" w:type="dxa"/>
            <w:gridSpan w:val="3"/>
            <w:shd w:val="clear" w:color="auto" w:fill="auto"/>
          </w:tcPr>
          <w:p w14:paraId="18C15918" w14:textId="77777777" w:rsidR="006A4592" w:rsidRPr="00DD3349" w:rsidRDefault="006A4592" w:rsidP="006A4592">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rsidRPr="00DD3349">
              <w:tab/>
              <w:t>Adoption of the report</w:t>
            </w:r>
            <w:r w:rsidRPr="00DD3349">
              <w:rPr>
                <w:spacing w:val="60"/>
                <w:sz w:val="17"/>
              </w:rPr>
              <w:tab/>
            </w:r>
          </w:p>
        </w:tc>
        <w:tc>
          <w:tcPr>
            <w:tcW w:w="495" w:type="dxa"/>
            <w:shd w:val="clear" w:color="auto" w:fill="auto"/>
            <w:vAlign w:val="bottom"/>
          </w:tcPr>
          <w:p w14:paraId="4C83A5EA" w14:textId="2C1BDA32" w:rsidR="006A4592" w:rsidRPr="00DD3349" w:rsidRDefault="000A1BF9" w:rsidP="002B116A">
            <w:pPr>
              <w:spacing w:after="120"/>
              <w:jc w:val="right"/>
            </w:pPr>
            <w:r>
              <w:t>21</w:t>
            </w:r>
          </w:p>
        </w:tc>
      </w:tr>
      <w:tr w:rsidR="006A4592" w:rsidRPr="00DD3349" w14:paraId="1E7B06D8" w14:textId="77777777" w:rsidTr="006A4592">
        <w:trPr>
          <w:jc w:val="center"/>
        </w:trPr>
        <w:tc>
          <w:tcPr>
            <w:tcW w:w="9351" w:type="dxa"/>
            <w:gridSpan w:val="3"/>
            <w:shd w:val="clear" w:color="auto" w:fill="auto"/>
          </w:tcPr>
          <w:p w14:paraId="78D2163E" w14:textId="77777777" w:rsidR="006A4592" w:rsidRPr="00DD3349" w:rsidRDefault="006A4592" w:rsidP="002B116A">
            <w:pPr>
              <w:tabs>
                <w:tab w:val="right" w:pos="1080"/>
                <w:tab w:val="left" w:pos="1296"/>
                <w:tab w:val="right" w:pos="1714"/>
                <w:tab w:val="left" w:pos="2160"/>
                <w:tab w:val="left" w:pos="2592"/>
                <w:tab w:val="left" w:pos="3024"/>
                <w:tab w:val="left" w:pos="3456"/>
              </w:tabs>
              <w:spacing w:after="120"/>
              <w:ind w:left="1080" w:hanging="653"/>
            </w:pPr>
            <w:r w:rsidRPr="00DD3349">
              <w:t>Annex</w:t>
            </w:r>
          </w:p>
        </w:tc>
        <w:tc>
          <w:tcPr>
            <w:tcW w:w="495" w:type="dxa"/>
            <w:shd w:val="clear" w:color="auto" w:fill="auto"/>
            <w:vAlign w:val="bottom"/>
          </w:tcPr>
          <w:p w14:paraId="2EAC2E5A" w14:textId="77777777" w:rsidR="006A4592" w:rsidRPr="00DD3349" w:rsidRDefault="006A4592" w:rsidP="002B116A">
            <w:pPr>
              <w:spacing w:after="120"/>
              <w:jc w:val="right"/>
            </w:pPr>
          </w:p>
        </w:tc>
      </w:tr>
      <w:tr w:rsidR="006A4592" w:rsidRPr="00DD3349" w14:paraId="56A2B2F1" w14:textId="77777777" w:rsidTr="006A4592">
        <w:trPr>
          <w:jc w:val="center"/>
        </w:trPr>
        <w:tc>
          <w:tcPr>
            <w:tcW w:w="9351" w:type="dxa"/>
            <w:gridSpan w:val="3"/>
            <w:shd w:val="clear" w:color="auto" w:fill="auto"/>
          </w:tcPr>
          <w:p w14:paraId="70C23F44"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pPr>
            <w:r w:rsidRPr="00DD3349">
              <w:tab/>
              <w:t>Documents before the Committee at its sixty-</w:t>
            </w:r>
            <w:r>
              <w:t>seventh</w:t>
            </w:r>
            <w:r w:rsidRPr="00DD3349">
              <w:t xml:space="preserve"> session</w:t>
            </w:r>
            <w:r w:rsidRPr="00DD3349">
              <w:rPr>
                <w:spacing w:val="60"/>
                <w:sz w:val="17"/>
              </w:rPr>
              <w:tab/>
            </w:r>
          </w:p>
        </w:tc>
        <w:tc>
          <w:tcPr>
            <w:tcW w:w="495" w:type="dxa"/>
            <w:shd w:val="clear" w:color="auto" w:fill="auto"/>
            <w:vAlign w:val="bottom"/>
          </w:tcPr>
          <w:p w14:paraId="670219BF" w14:textId="64BEAA2D" w:rsidR="006A4592" w:rsidRPr="00DD3349" w:rsidRDefault="000A1BF9" w:rsidP="002B116A">
            <w:pPr>
              <w:spacing w:after="120"/>
              <w:jc w:val="right"/>
            </w:pPr>
            <w:r>
              <w:t>22</w:t>
            </w:r>
          </w:p>
        </w:tc>
      </w:tr>
      <w:tr w:rsidR="006A4592" w:rsidRPr="00DD3349" w14:paraId="4856D617" w14:textId="77777777" w:rsidTr="006A4592">
        <w:trPr>
          <w:jc w:val="center"/>
        </w:trPr>
        <w:tc>
          <w:tcPr>
            <w:tcW w:w="9351" w:type="dxa"/>
            <w:gridSpan w:val="3"/>
            <w:shd w:val="clear" w:color="auto" w:fill="auto"/>
          </w:tcPr>
          <w:p w14:paraId="3AB79960" w14:textId="77777777" w:rsidR="006A4592" w:rsidRPr="00DD3349" w:rsidRDefault="006A4592" w:rsidP="002B116A">
            <w:pPr>
              <w:tabs>
                <w:tab w:val="right" w:pos="1080"/>
                <w:tab w:val="left" w:pos="1296"/>
                <w:tab w:val="left" w:pos="1728"/>
                <w:tab w:val="left" w:pos="2160"/>
                <w:tab w:val="left" w:pos="2592"/>
                <w:tab w:val="left" w:pos="3024"/>
                <w:tab w:val="right" w:leader="dot" w:pos="9360"/>
              </w:tabs>
              <w:spacing w:after="120"/>
              <w:ind w:left="1296" w:hanging="216"/>
              <w:rPr>
                <w:b/>
                <w:spacing w:val="60"/>
                <w:sz w:val="17"/>
              </w:rPr>
            </w:pPr>
            <w:r w:rsidRPr="00DD3349">
              <w:tab/>
            </w:r>
            <w:r w:rsidRPr="00DD3349">
              <w:rPr>
                <w:b/>
              </w:rPr>
              <w:t>Part Two</w:t>
            </w:r>
            <w:r w:rsidRPr="00DD3349">
              <w:rPr>
                <w:b/>
              </w:rPr>
              <w:br/>
              <w:t>Report of the Committee on the Elimination of Discrimination against Women on its sixty-</w:t>
            </w:r>
            <w:r>
              <w:rPr>
                <w:b/>
              </w:rPr>
              <w:t>eighth</w:t>
            </w:r>
            <w:r w:rsidRPr="00DD3349">
              <w:rPr>
                <w:b/>
              </w:rPr>
              <w:t xml:space="preserve"> session</w:t>
            </w:r>
            <w:r w:rsidRPr="00DD3349">
              <w:rPr>
                <w:spacing w:val="60"/>
                <w:sz w:val="17"/>
              </w:rPr>
              <w:tab/>
            </w:r>
          </w:p>
        </w:tc>
        <w:tc>
          <w:tcPr>
            <w:tcW w:w="495" w:type="dxa"/>
            <w:shd w:val="clear" w:color="auto" w:fill="auto"/>
            <w:vAlign w:val="bottom"/>
          </w:tcPr>
          <w:p w14:paraId="3083B8D7" w14:textId="049E75D9" w:rsidR="006A4592" w:rsidRPr="00DD3349" w:rsidRDefault="000A1BF9" w:rsidP="002B116A">
            <w:pPr>
              <w:spacing w:after="120"/>
              <w:jc w:val="right"/>
            </w:pPr>
            <w:r>
              <w:t>23</w:t>
            </w:r>
          </w:p>
        </w:tc>
      </w:tr>
      <w:tr w:rsidR="006A4592" w:rsidRPr="00DD3349" w14:paraId="671BD797" w14:textId="77777777" w:rsidTr="006A4592">
        <w:trPr>
          <w:jc w:val="center"/>
        </w:trPr>
        <w:tc>
          <w:tcPr>
            <w:tcW w:w="9351" w:type="dxa"/>
            <w:gridSpan w:val="3"/>
            <w:shd w:val="clear" w:color="auto" w:fill="auto"/>
          </w:tcPr>
          <w:p w14:paraId="465FFCDB"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ab/>
              <w:t>Decisions adopted by the Committee</w:t>
            </w:r>
            <w:r w:rsidRPr="00DD3349">
              <w:rPr>
                <w:spacing w:val="60"/>
                <w:sz w:val="17"/>
              </w:rPr>
              <w:tab/>
            </w:r>
          </w:p>
        </w:tc>
        <w:tc>
          <w:tcPr>
            <w:tcW w:w="495" w:type="dxa"/>
            <w:shd w:val="clear" w:color="auto" w:fill="auto"/>
            <w:vAlign w:val="bottom"/>
          </w:tcPr>
          <w:p w14:paraId="6B7448DB" w14:textId="7BD094CA" w:rsidR="006A4592" w:rsidRPr="00DD3349" w:rsidRDefault="000A1BF9" w:rsidP="002B116A">
            <w:pPr>
              <w:spacing w:after="120"/>
              <w:jc w:val="right"/>
            </w:pPr>
            <w:r>
              <w:t>24</w:t>
            </w:r>
          </w:p>
        </w:tc>
      </w:tr>
      <w:tr w:rsidR="006A4592" w:rsidRPr="00DD3349" w14:paraId="42EA01D7" w14:textId="77777777" w:rsidTr="006A4592">
        <w:trPr>
          <w:jc w:val="center"/>
        </w:trPr>
        <w:tc>
          <w:tcPr>
            <w:tcW w:w="9351" w:type="dxa"/>
            <w:gridSpan w:val="3"/>
            <w:shd w:val="clear" w:color="auto" w:fill="auto"/>
          </w:tcPr>
          <w:p w14:paraId="322ABA8F"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ab/>
              <w:t>Organizational and other matters</w:t>
            </w:r>
            <w:r w:rsidRPr="00DD3349">
              <w:rPr>
                <w:spacing w:val="60"/>
                <w:sz w:val="17"/>
              </w:rPr>
              <w:tab/>
            </w:r>
          </w:p>
        </w:tc>
        <w:tc>
          <w:tcPr>
            <w:tcW w:w="495" w:type="dxa"/>
            <w:shd w:val="clear" w:color="auto" w:fill="auto"/>
            <w:vAlign w:val="bottom"/>
          </w:tcPr>
          <w:p w14:paraId="2C43DFB6" w14:textId="6DD67E8D" w:rsidR="006A4592" w:rsidRPr="00DD3349" w:rsidRDefault="000A1BF9" w:rsidP="002B116A">
            <w:pPr>
              <w:spacing w:after="120"/>
              <w:jc w:val="right"/>
            </w:pPr>
            <w:r>
              <w:t>26</w:t>
            </w:r>
          </w:p>
        </w:tc>
      </w:tr>
      <w:tr w:rsidR="006A4592" w:rsidRPr="00DD3349" w14:paraId="2A3BD8C4" w14:textId="77777777" w:rsidTr="006A4592">
        <w:trPr>
          <w:jc w:val="center"/>
        </w:trPr>
        <w:tc>
          <w:tcPr>
            <w:tcW w:w="9351" w:type="dxa"/>
            <w:gridSpan w:val="3"/>
            <w:shd w:val="clear" w:color="auto" w:fill="auto"/>
          </w:tcPr>
          <w:p w14:paraId="26555BD7"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lastRenderedPageBreak/>
              <w:t>States parties to the Convention and to the Optional Protocol</w:t>
            </w:r>
            <w:r w:rsidRPr="00DD3349">
              <w:rPr>
                <w:spacing w:val="60"/>
                <w:sz w:val="17"/>
              </w:rPr>
              <w:tab/>
            </w:r>
          </w:p>
        </w:tc>
        <w:tc>
          <w:tcPr>
            <w:tcW w:w="495" w:type="dxa"/>
            <w:shd w:val="clear" w:color="auto" w:fill="auto"/>
            <w:vAlign w:val="bottom"/>
          </w:tcPr>
          <w:p w14:paraId="33B10C91" w14:textId="1348B870" w:rsidR="006A4592" w:rsidRPr="00DD3349" w:rsidRDefault="000A1BF9" w:rsidP="002B116A">
            <w:pPr>
              <w:spacing w:after="120"/>
              <w:jc w:val="right"/>
            </w:pPr>
            <w:r>
              <w:t>26</w:t>
            </w:r>
          </w:p>
        </w:tc>
      </w:tr>
      <w:tr w:rsidR="006A4592" w:rsidRPr="00DD3349" w14:paraId="548CBDE6" w14:textId="77777777" w:rsidTr="006A4592">
        <w:trPr>
          <w:jc w:val="center"/>
        </w:trPr>
        <w:tc>
          <w:tcPr>
            <w:tcW w:w="9351" w:type="dxa"/>
            <w:gridSpan w:val="3"/>
            <w:shd w:val="clear" w:color="auto" w:fill="auto"/>
          </w:tcPr>
          <w:p w14:paraId="54F7929F"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495" w:type="dxa"/>
            <w:shd w:val="clear" w:color="auto" w:fill="auto"/>
            <w:vAlign w:val="bottom"/>
          </w:tcPr>
          <w:p w14:paraId="38C0B92D" w14:textId="02C6BD79" w:rsidR="006A4592" w:rsidRPr="00DD3349" w:rsidRDefault="000A1BF9" w:rsidP="002B116A">
            <w:pPr>
              <w:spacing w:after="120"/>
              <w:jc w:val="right"/>
            </w:pPr>
            <w:r>
              <w:t>26</w:t>
            </w:r>
          </w:p>
        </w:tc>
      </w:tr>
      <w:tr w:rsidR="006A4592" w:rsidRPr="00DD3349" w14:paraId="3AFAD42D" w14:textId="77777777" w:rsidTr="006A4592">
        <w:trPr>
          <w:jc w:val="center"/>
        </w:trPr>
        <w:tc>
          <w:tcPr>
            <w:tcW w:w="9351" w:type="dxa"/>
            <w:gridSpan w:val="3"/>
            <w:shd w:val="clear" w:color="auto" w:fill="auto"/>
          </w:tcPr>
          <w:p w14:paraId="365E167E"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495" w:type="dxa"/>
            <w:shd w:val="clear" w:color="auto" w:fill="auto"/>
            <w:vAlign w:val="bottom"/>
          </w:tcPr>
          <w:p w14:paraId="5291B5DE" w14:textId="4D608BDD" w:rsidR="006A4592" w:rsidRPr="00DD3349" w:rsidRDefault="000A1BF9" w:rsidP="002B116A">
            <w:pPr>
              <w:spacing w:after="120"/>
              <w:jc w:val="right"/>
            </w:pPr>
            <w:r>
              <w:t>26</w:t>
            </w:r>
          </w:p>
        </w:tc>
      </w:tr>
      <w:tr w:rsidR="006A4592" w:rsidRPr="00DD3349" w14:paraId="19B0F26D" w14:textId="77777777" w:rsidTr="006A4592">
        <w:trPr>
          <w:jc w:val="center"/>
        </w:trPr>
        <w:tc>
          <w:tcPr>
            <w:tcW w:w="9351" w:type="dxa"/>
            <w:gridSpan w:val="3"/>
            <w:shd w:val="clear" w:color="auto" w:fill="auto"/>
          </w:tcPr>
          <w:p w14:paraId="43AA839C"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495" w:type="dxa"/>
            <w:shd w:val="clear" w:color="auto" w:fill="auto"/>
            <w:vAlign w:val="bottom"/>
          </w:tcPr>
          <w:p w14:paraId="7F87D986" w14:textId="27255096" w:rsidR="006A4592" w:rsidRPr="00DD3349" w:rsidRDefault="000A1BF9" w:rsidP="002B116A">
            <w:pPr>
              <w:spacing w:after="120"/>
              <w:jc w:val="right"/>
            </w:pPr>
            <w:r>
              <w:t>26</w:t>
            </w:r>
          </w:p>
        </w:tc>
      </w:tr>
      <w:tr w:rsidR="006A4592" w:rsidRPr="00DD3349" w14:paraId="50E27E05" w14:textId="77777777" w:rsidTr="006A4592">
        <w:trPr>
          <w:jc w:val="center"/>
        </w:trPr>
        <w:tc>
          <w:tcPr>
            <w:tcW w:w="9351" w:type="dxa"/>
            <w:gridSpan w:val="3"/>
            <w:shd w:val="clear" w:color="auto" w:fill="auto"/>
          </w:tcPr>
          <w:p w14:paraId="3451061B"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495" w:type="dxa"/>
            <w:shd w:val="clear" w:color="auto" w:fill="auto"/>
            <w:vAlign w:val="bottom"/>
          </w:tcPr>
          <w:p w14:paraId="236410BA" w14:textId="715C52BB" w:rsidR="006A4592" w:rsidRPr="00DD3349" w:rsidRDefault="000A1BF9" w:rsidP="002B116A">
            <w:pPr>
              <w:spacing w:after="120"/>
              <w:jc w:val="right"/>
            </w:pPr>
            <w:r>
              <w:t>26</w:t>
            </w:r>
          </w:p>
        </w:tc>
      </w:tr>
      <w:tr w:rsidR="006A4592" w:rsidRPr="00DD3349" w14:paraId="1E2F53D5" w14:textId="77777777" w:rsidTr="006A4592">
        <w:trPr>
          <w:jc w:val="center"/>
        </w:trPr>
        <w:tc>
          <w:tcPr>
            <w:tcW w:w="9351" w:type="dxa"/>
            <w:gridSpan w:val="3"/>
            <w:shd w:val="clear" w:color="auto" w:fill="auto"/>
          </w:tcPr>
          <w:p w14:paraId="1C09667A"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left" w:pos="3888"/>
                <w:tab w:val="right" w:leader="dot" w:pos="9360"/>
              </w:tabs>
              <w:spacing w:after="120"/>
            </w:pPr>
            <w:r w:rsidRPr="00DD3349">
              <w:t>Membership of the Committee</w:t>
            </w:r>
            <w:r w:rsidRPr="00DD3349">
              <w:rPr>
                <w:spacing w:val="60"/>
                <w:sz w:val="17"/>
              </w:rPr>
              <w:tab/>
            </w:r>
          </w:p>
        </w:tc>
        <w:tc>
          <w:tcPr>
            <w:tcW w:w="495" w:type="dxa"/>
            <w:shd w:val="clear" w:color="auto" w:fill="auto"/>
            <w:vAlign w:val="bottom"/>
          </w:tcPr>
          <w:p w14:paraId="2FAD15F0" w14:textId="5F651AC8" w:rsidR="006A4592" w:rsidRPr="00DD3349" w:rsidRDefault="000A1BF9" w:rsidP="002B116A">
            <w:pPr>
              <w:spacing w:after="120"/>
              <w:jc w:val="right"/>
            </w:pPr>
            <w:r>
              <w:t>27</w:t>
            </w:r>
          </w:p>
        </w:tc>
      </w:tr>
      <w:tr w:rsidR="006A4592" w:rsidRPr="00DD3349" w14:paraId="1CD2AC06" w14:textId="77777777" w:rsidTr="006A4592">
        <w:trPr>
          <w:jc w:val="center"/>
        </w:trPr>
        <w:tc>
          <w:tcPr>
            <w:tcW w:w="9351" w:type="dxa"/>
            <w:gridSpan w:val="3"/>
            <w:shd w:val="clear" w:color="auto" w:fill="auto"/>
          </w:tcPr>
          <w:p w14:paraId="18AFDC56"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Report of the Chair on intersessional activities</w:t>
            </w:r>
            <w:r w:rsidRPr="00DD3349">
              <w:rPr>
                <w:spacing w:val="60"/>
                <w:sz w:val="17"/>
              </w:rPr>
              <w:tab/>
            </w:r>
          </w:p>
        </w:tc>
        <w:tc>
          <w:tcPr>
            <w:tcW w:w="495" w:type="dxa"/>
            <w:shd w:val="clear" w:color="auto" w:fill="auto"/>
            <w:vAlign w:val="bottom"/>
          </w:tcPr>
          <w:p w14:paraId="2DA48D6F" w14:textId="43518838" w:rsidR="006A4592" w:rsidRPr="00DD3349" w:rsidRDefault="000A1BF9" w:rsidP="002B116A">
            <w:pPr>
              <w:spacing w:after="120"/>
              <w:jc w:val="right"/>
            </w:pPr>
            <w:r>
              <w:t>28</w:t>
            </w:r>
          </w:p>
        </w:tc>
      </w:tr>
      <w:tr w:rsidR="006A4592" w:rsidRPr="00DD3349" w14:paraId="3B135CAF" w14:textId="77777777" w:rsidTr="006A4592">
        <w:trPr>
          <w:jc w:val="center"/>
        </w:trPr>
        <w:tc>
          <w:tcPr>
            <w:tcW w:w="9351" w:type="dxa"/>
            <w:gridSpan w:val="3"/>
            <w:shd w:val="clear" w:color="auto" w:fill="auto"/>
          </w:tcPr>
          <w:p w14:paraId="591E2DB5"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DD3349">
              <w:tab/>
              <w:t>Consideration of reports submitted by States parties under article 18 of the Convention</w:t>
            </w:r>
            <w:r w:rsidRPr="00DD3349">
              <w:rPr>
                <w:spacing w:val="60"/>
                <w:sz w:val="17"/>
              </w:rPr>
              <w:tab/>
            </w:r>
          </w:p>
        </w:tc>
        <w:tc>
          <w:tcPr>
            <w:tcW w:w="495" w:type="dxa"/>
            <w:shd w:val="clear" w:color="auto" w:fill="auto"/>
            <w:vAlign w:val="bottom"/>
          </w:tcPr>
          <w:p w14:paraId="75CC5630" w14:textId="22566ABC" w:rsidR="006A4592" w:rsidRPr="00DD3349" w:rsidRDefault="000A1BF9" w:rsidP="002B116A">
            <w:pPr>
              <w:spacing w:after="120"/>
              <w:jc w:val="right"/>
            </w:pPr>
            <w:r>
              <w:t>29</w:t>
            </w:r>
          </w:p>
        </w:tc>
      </w:tr>
      <w:tr w:rsidR="006A4592" w:rsidRPr="00DD3349" w14:paraId="7B141A6E" w14:textId="77777777" w:rsidTr="006A4592">
        <w:trPr>
          <w:jc w:val="center"/>
        </w:trPr>
        <w:tc>
          <w:tcPr>
            <w:tcW w:w="9351" w:type="dxa"/>
            <w:gridSpan w:val="3"/>
            <w:shd w:val="clear" w:color="auto" w:fill="auto"/>
          </w:tcPr>
          <w:p w14:paraId="70D7791E"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Activities carried out under the Optional Protocol</w:t>
            </w:r>
            <w:r w:rsidRPr="00DD3349">
              <w:rPr>
                <w:spacing w:val="60"/>
                <w:sz w:val="17"/>
              </w:rPr>
              <w:tab/>
            </w:r>
          </w:p>
        </w:tc>
        <w:tc>
          <w:tcPr>
            <w:tcW w:w="495" w:type="dxa"/>
            <w:shd w:val="clear" w:color="auto" w:fill="auto"/>
            <w:vAlign w:val="bottom"/>
          </w:tcPr>
          <w:p w14:paraId="154E620C" w14:textId="13E38A84" w:rsidR="006A4592" w:rsidRPr="00DD3349" w:rsidRDefault="000A1BF9" w:rsidP="002B116A">
            <w:pPr>
              <w:spacing w:after="120"/>
              <w:jc w:val="right"/>
            </w:pPr>
            <w:r>
              <w:t>30</w:t>
            </w:r>
          </w:p>
        </w:tc>
      </w:tr>
      <w:tr w:rsidR="006A4592" w:rsidRPr="00DD3349" w14:paraId="5F8B2E24" w14:textId="77777777" w:rsidTr="006A4592">
        <w:trPr>
          <w:jc w:val="center"/>
        </w:trPr>
        <w:tc>
          <w:tcPr>
            <w:tcW w:w="9351" w:type="dxa"/>
            <w:gridSpan w:val="3"/>
            <w:shd w:val="clear" w:color="auto" w:fill="auto"/>
          </w:tcPr>
          <w:p w14:paraId="4D46F761"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495" w:type="dxa"/>
            <w:shd w:val="clear" w:color="auto" w:fill="auto"/>
            <w:vAlign w:val="bottom"/>
          </w:tcPr>
          <w:p w14:paraId="368D232C" w14:textId="2C0B6ADE" w:rsidR="006A4592" w:rsidRPr="00DD3349" w:rsidRDefault="000A1BF9" w:rsidP="002B116A">
            <w:pPr>
              <w:spacing w:after="120"/>
              <w:jc w:val="right"/>
            </w:pPr>
            <w:r>
              <w:t>30</w:t>
            </w:r>
          </w:p>
        </w:tc>
      </w:tr>
      <w:tr w:rsidR="006A4592" w:rsidRPr="00DD3349" w14:paraId="5FDD1E1E" w14:textId="77777777" w:rsidTr="006A4592">
        <w:trPr>
          <w:jc w:val="center"/>
        </w:trPr>
        <w:tc>
          <w:tcPr>
            <w:tcW w:w="9351" w:type="dxa"/>
            <w:gridSpan w:val="3"/>
            <w:shd w:val="clear" w:color="auto" w:fill="auto"/>
          </w:tcPr>
          <w:p w14:paraId="79760F24"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495" w:type="dxa"/>
            <w:shd w:val="clear" w:color="auto" w:fill="auto"/>
            <w:vAlign w:val="bottom"/>
          </w:tcPr>
          <w:p w14:paraId="412FBFC7" w14:textId="587A0473" w:rsidR="006A4592" w:rsidRPr="00DD3349" w:rsidRDefault="000A1BF9" w:rsidP="002B116A">
            <w:pPr>
              <w:spacing w:after="120"/>
              <w:jc w:val="right"/>
            </w:pPr>
            <w:r>
              <w:t>30</w:t>
            </w:r>
          </w:p>
        </w:tc>
      </w:tr>
      <w:tr w:rsidR="006A4592" w:rsidRPr="00DD3349" w14:paraId="0DF5BFD2" w14:textId="77777777" w:rsidTr="006A4592">
        <w:trPr>
          <w:jc w:val="center"/>
        </w:trPr>
        <w:tc>
          <w:tcPr>
            <w:tcW w:w="9351" w:type="dxa"/>
            <w:gridSpan w:val="3"/>
            <w:shd w:val="clear" w:color="auto" w:fill="auto"/>
          </w:tcPr>
          <w:p w14:paraId="40D94329" w14:textId="77777777" w:rsidR="006A4592" w:rsidRPr="00DD3349" w:rsidRDefault="006A4592" w:rsidP="006A4592">
            <w:pPr>
              <w:pStyle w:val="ListParagraph"/>
              <w:numPr>
                <w:ilvl w:val="1"/>
                <w:numId w:val="40"/>
              </w:numPr>
              <w:tabs>
                <w:tab w:val="right" w:pos="1080"/>
                <w:tab w:val="left" w:pos="1296"/>
                <w:tab w:val="left" w:pos="1728"/>
                <w:tab w:val="left" w:pos="2160"/>
                <w:tab w:val="left" w:pos="2592"/>
                <w:tab w:val="left" w:pos="3024"/>
                <w:tab w:val="right" w:leader="dot" w:pos="9360"/>
              </w:tabs>
              <w:spacing w:after="120"/>
            </w:pPr>
            <w:r w:rsidRPr="00DD3349">
              <w:t>Action taken by the Committee in respect of issues arising under article 8 of the Optional Protocol</w:t>
            </w:r>
            <w:r w:rsidRPr="00DD3349">
              <w:rPr>
                <w:spacing w:val="60"/>
                <w:sz w:val="17"/>
              </w:rPr>
              <w:tab/>
            </w:r>
          </w:p>
        </w:tc>
        <w:tc>
          <w:tcPr>
            <w:tcW w:w="495" w:type="dxa"/>
            <w:shd w:val="clear" w:color="auto" w:fill="auto"/>
            <w:vAlign w:val="bottom"/>
          </w:tcPr>
          <w:p w14:paraId="69F242B3" w14:textId="560278F7" w:rsidR="006A4592" w:rsidRPr="00DD3349" w:rsidRDefault="000A1BF9" w:rsidP="002B116A">
            <w:pPr>
              <w:spacing w:after="120"/>
              <w:jc w:val="right"/>
            </w:pPr>
            <w:r>
              <w:t>30</w:t>
            </w:r>
          </w:p>
        </w:tc>
      </w:tr>
      <w:tr w:rsidR="006A4592" w:rsidRPr="00DD3349" w14:paraId="41954175" w14:textId="77777777" w:rsidTr="006A4592">
        <w:trPr>
          <w:jc w:val="center"/>
        </w:trPr>
        <w:tc>
          <w:tcPr>
            <w:tcW w:w="9351" w:type="dxa"/>
            <w:gridSpan w:val="3"/>
            <w:shd w:val="clear" w:color="auto" w:fill="auto"/>
          </w:tcPr>
          <w:p w14:paraId="27CC9942"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DD3349">
              <w:tab/>
              <w:t>Ways and means of expediting the work of the Committee</w:t>
            </w:r>
            <w:r w:rsidRPr="00DD3349">
              <w:rPr>
                <w:spacing w:val="60"/>
                <w:sz w:val="17"/>
              </w:rPr>
              <w:tab/>
            </w:r>
          </w:p>
        </w:tc>
        <w:tc>
          <w:tcPr>
            <w:tcW w:w="495" w:type="dxa"/>
            <w:shd w:val="clear" w:color="auto" w:fill="auto"/>
            <w:vAlign w:val="bottom"/>
          </w:tcPr>
          <w:p w14:paraId="6F2034C4" w14:textId="54A60DA8" w:rsidR="006A4592" w:rsidRPr="00DD3349" w:rsidRDefault="000A1BF9" w:rsidP="002B116A">
            <w:pPr>
              <w:spacing w:after="120"/>
              <w:jc w:val="right"/>
            </w:pPr>
            <w:r>
              <w:t>32</w:t>
            </w:r>
          </w:p>
        </w:tc>
      </w:tr>
      <w:tr w:rsidR="006A4592" w:rsidRPr="00DD3349" w14:paraId="41FF1140" w14:textId="77777777" w:rsidTr="006A4592">
        <w:trPr>
          <w:jc w:val="center"/>
        </w:trPr>
        <w:tc>
          <w:tcPr>
            <w:tcW w:w="9351" w:type="dxa"/>
            <w:gridSpan w:val="3"/>
            <w:shd w:val="clear" w:color="auto" w:fill="auto"/>
          </w:tcPr>
          <w:p w14:paraId="15FD01E5"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ab/>
              <w:t>Implementation of article 21 of the Convention</w:t>
            </w:r>
            <w:r w:rsidRPr="00DD3349">
              <w:rPr>
                <w:spacing w:val="60"/>
                <w:sz w:val="17"/>
              </w:rPr>
              <w:tab/>
            </w:r>
          </w:p>
        </w:tc>
        <w:tc>
          <w:tcPr>
            <w:tcW w:w="495" w:type="dxa"/>
            <w:shd w:val="clear" w:color="auto" w:fill="auto"/>
            <w:vAlign w:val="bottom"/>
          </w:tcPr>
          <w:p w14:paraId="263E603F" w14:textId="2B6125F2" w:rsidR="006A4592" w:rsidRPr="00DD3349" w:rsidRDefault="000A1BF9" w:rsidP="002B116A">
            <w:pPr>
              <w:spacing w:after="120"/>
              <w:jc w:val="right"/>
            </w:pPr>
            <w:r>
              <w:t>33</w:t>
            </w:r>
          </w:p>
        </w:tc>
      </w:tr>
      <w:tr w:rsidR="006A4592" w:rsidRPr="00DD3349" w14:paraId="077DDC5F" w14:textId="77777777" w:rsidTr="006A4592">
        <w:trPr>
          <w:jc w:val="center"/>
        </w:trPr>
        <w:tc>
          <w:tcPr>
            <w:tcW w:w="9351" w:type="dxa"/>
            <w:gridSpan w:val="3"/>
            <w:shd w:val="clear" w:color="auto" w:fill="auto"/>
          </w:tcPr>
          <w:p w14:paraId="71459F36"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DD3349">
              <w:tab/>
              <w:t>Provisional agenda for the sixty-</w:t>
            </w:r>
            <w:r>
              <w:t>ninth</w:t>
            </w:r>
            <w:r w:rsidRPr="00DD3349">
              <w:t xml:space="preserve"> session</w:t>
            </w:r>
            <w:r w:rsidRPr="00DD3349">
              <w:rPr>
                <w:spacing w:val="60"/>
                <w:sz w:val="17"/>
              </w:rPr>
              <w:tab/>
            </w:r>
          </w:p>
        </w:tc>
        <w:tc>
          <w:tcPr>
            <w:tcW w:w="495" w:type="dxa"/>
            <w:shd w:val="clear" w:color="auto" w:fill="auto"/>
            <w:vAlign w:val="bottom"/>
          </w:tcPr>
          <w:p w14:paraId="16F9C817" w14:textId="13DB6671" w:rsidR="006A4592" w:rsidRPr="00DD3349" w:rsidRDefault="00421C0E" w:rsidP="002B116A">
            <w:pPr>
              <w:spacing w:after="120"/>
              <w:jc w:val="right"/>
            </w:pPr>
            <w:r>
              <w:t>35</w:t>
            </w:r>
          </w:p>
        </w:tc>
      </w:tr>
      <w:tr w:rsidR="006A4592" w:rsidRPr="00DD3349" w14:paraId="66D47019" w14:textId="77777777" w:rsidTr="006A4592">
        <w:trPr>
          <w:jc w:val="center"/>
        </w:trPr>
        <w:tc>
          <w:tcPr>
            <w:tcW w:w="9351" w:type="dxa"/>
            <w:gridSpan w:val="3"/>
            <w:shd w:val="clear" w:color="auto" w:fill="auto"/>
          </w:tcPr>
          <w:p w14:paraId="027BDCF7" w14:textId="77777777" w:rsidR="006A4592" w:rsidRPr="00DD3349" w:rsidRDefault="006A4592" w:rsidP="006A4592">
            <w:pPr>
              <w:pStyle w:val="ListParagraph"/>
              <w:numPr>
                <w:ilvl w:val="0"/>
                <w:numId w:val="40"/>
              </w:numPr>
              <w:tabs>
                <w:tab w:val="right" w:pos="1080"/>
                <w:tab w:val="left" w:pos="1296"/>
                <w:tab w:val="left" w:pos="1728"/>
                <w:tab w:val="left" w:pos="2160"/>
                <w:tab w:val="left" w:pos="2592"/>
                <w:tab w:val="left" w:pos="3024"/>
                <w:tab w:val="right" w:leader="dot" w:pos="9360"/>
              </w:tabs>
              <w:spacing w:after="120"/>
            </w:pPr>
            <w:r w:rsidRPr="00DD3349">
              <w:tab/>
              <w:t>Adoption of the report</w:t>
            </w:r>
            <w:r w:rsidRPr="00DD3349">
              <w:rPr>
                <w:spacing w:val="60"/>
                <w:sz w:val="17"/>
              </w:rPr>
              <w:tab/>
            </w:r>
          </w:p>
        </w:tc>
        <w:tc>
          <w:tcPr>
            <w:tcW w:w="495" w:type="dxa"/>
            <w:shd w:val="clear" w:color="auto" w:fill="auto"/>
            <w:vAlign w:val="bottom"/>
          </w:tcPr>
          <w:p w14:paraId="64D8A8E6" w14:textId="25DAECF7" w:rsidR="006A4592" w:rsidRPr="00DD3349" w:rsidRDefault="00421C0E" w:rsidP="002B116A">
            <w:pPr>
              <w:spacing w:after="120"/>
              <w:jc w:val="right"/>
            </w:pPr>
            <w:r>
              <w:t>36</w:t>
            </w:r>
          </w:p>
        </w:tc>
      </w:tr>
      <w:tr w:rsidR="006A4592" w:rsidRPr="00DD3349" w14:paraId="4E2CCC85" w14:textId="77777777" w:rsidTr="006A4592">
        <w:trPr>
          <w:jc w:val="center"/>
        </w:trPr>
        <w:tc>
          <w:tcPr>
            <w:tcW w:w="9351" w:type="dxa"/>
            <w:gridSpan w:val="3"/>
            <w:shd w:val="clear" w:color="auto" w:fill="auto"/>
          </w:tcPr>
          <w:p w14:paraId="7EDD592D" w14:textId="77777777" w:rsidR="006A4592" w:rsidRPr="00DD3349" w:rsidRDefault="006A4592" w:rsidP="002B116A">
            <w:pPr>
              <w:tabs>
                <w:tab w:val="right" w:pos="1080"/>
                <w:tab w:val="left" w:pos="1296"/>
                <w:tab w:val="right" w:pos="1714"/>
                <w:tab w:val="left" w:pos="2160"/>
                <w:tab w:val="left" w:pos="2592"/>
                <w:tab w:val="left" w:pos="3024"/>
                <w:tab w:val="left" w:pos="3456"/>
              </w:tabs>
              <w:spacing w:after="120"/>
              <w:ind w:left="1080" w:hanging="648"/>
            </w:pPr>
            <w:r>
              <w:t>Annex</w:t>
            </w:r>
          </w:p>
        </w:tc>
        <w:tc>
          <w:tcPr>
            <w:tcW w:w="495" w:type="dxa"/>
            <w:shd w:val="clear" w:color="auto" w:fill="auto"/>
            <w:vAlign w:val="bottom"/>
          </w:tcPr>
          <w:p w14:paraId="0CB31B59" w14:textId="77777777" w:rsidR="006A4592" w:rsidRPr="00DD3349" w:rsidRDefault="006A4592" w:rsidP="002B116A">
            <w:pPr>
              <w:spacing w:after="120"/>
              <w:jc w:val="right"/>
            </w:pPr>
          </w:p>
        </w:tc>
      </w:tr>
      <w:tr w:rsidR="006A4592" w:rsidRPr="00DD3349" w14:paraId="3028CE64" w14:textId="77777777" w:rsidTr="006A4592">
        <w:trPr>
          <w:jc w:val="center"/>
        </w:trPr>
        <w:tc>
          <w:tcPr>
            <w:tcW w:w="9351" w:type="dxa"/>
            <w:gridSpan w:val="3"/>
            <w:shd w:val="clear" w:color="auto" w:fill="auto"/>
          </w:tcPr>
          <w:p w14:paraId="27AEE415" w14:textId="77777777" w:rsidR="006A4592" w:rsidRPr="00DD3349" w:rsidRDefault="006A4592" w:rsidP="002B116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pPr>
            <w:r w:rsidRPr="00DD3349">
              <w:t>Documents before the Committee at its sixty-</w:t>
            </w:r>
            <w:r>
              <w:t>eighth</w:t>
            </w:r>
            <w:r w:rsidRPr="00DD3349">
              <w:t xml:space="preserve"> session</w:t>
            </w:r>
            <w:r w:rsidRPr="00DD3349">
              <w:rPr>
                <w:spacing w:val="60"/>
                <w:sz w:val="17"/>
              </w:rPr>
              <w:tab/>
            </w:r>
          </w:p>
        </w:tc>
        <w:tc>
          <w:tcPr>
            <w:tcW w:w="495" w:type="dxa"/>
            <w:shd w:val="clear" w:color="auto" w:fill="auto"/>
            <w:vAlign w:val="bottom"/>
          </w:tcPr>
          <w:p w14:paraId="7B70C454" w14:textId="0B7BA519" w:rsidR="006A4592" w:rsidRPr="00DD3349" w:rsidRDefault="00421C0E" w:rsidP="002B116A">
            <w:pPr>
              <w:spacing w:after="120"/>
              <w:jc w:val="right"/>
            </w:pPr>
            <w:r>
              <w:t>37</w:t>
            </w:r>
          </w:p>
        </w:tc>
      </w:tr>
      <w:tr w:rsidR="006A4592" w:rsidRPr="00DD3349" w14:paraId="7C9C4B20" w14:textId="77777777" w:rsidTr="006A4592">
        <w:trPr>
          <w:jc w:val="center"/>
        </w:trPr>
        <w:tc>
          <w:tcPr>
            <w:tcW w:w="9351" w:type="dxa"/>
            <w:gridSpan w:val="3"/>
            <w:shd w:val="clear" w:color="auto" w:fill="auto"/>
          </w:tcPr>
          <w:p w14:paraId="2882A02E" w14:textId="77777777" w:rsidR="006A4592" w:rsidRPr="00DD3349" w:rsidRDefault="006A4592" w:rsidP="002B116A">
            <w:pPr>
              <w:tabs>
                <w:tab w:val="right" w:pos="1080"/>
                <w:tab w:val="left" w:pos="1296"/>
                <w:tab w:val="left" w:pos="1728"/>
                <w:tab w:val="left" w:pos="2160"/>
                <w:tab w:val="right" w:leader="dot" w:pos="9360"/>
              </w:tabs>
              <w:spacing w:after="120"/>
              <w:ind w:left="1296" w:hanging="216"/>
              <w:rPr>
                <w:b/>
                <w:spacing w:val="60"/>
                <w:sz w:val="17"/>
              </w:rPr>
            </w:pPr>
            <w:r w:rsidRPr="00DD3349">
              <w:tab/>
            </w:r>
            <w:r w:rsidRPr="00DD3349">
              <w:rPr>
                <w:b/>
              </w:rPr>
              <w:t>Part Three</w:t>
            </w:r>
            <w:r w:rsidRPr="00DD3349">
              <w:rPr>
                <w:b/>
              </w:rPr>
              <w:br/>
              <w:t>Report of the Committee on the Elimination of Discrimination against Women on its sixty-</w:t>
            </w:r>
            <w:r>
              <w:rPr>
                <w:b/>
              </w:rPr>
              <w:t>ninth</w:t>
            </w:r>
            <w:r w:rsidRPr="00DD3349">
              <w:rPr>
                <w:b/>
              </w:rPr>
              <w:t xml:space="preserve"> session</w:t>
            </w:r>
            <w:r w:rsidRPr="00DD3349">
              <w:rPr>
                <w:spacing w:val="60"/>
                <w:sz w:val="17"/>
              </w:rPr>
              <w:tab/>
            </w:r>
          </w:p>
        </w:tc>
        <w:tc>
          <w:tcPr>
            <w:tcW w:w="495" w:type="dxa"/>
            <w:shd w:val="clear" w:color="auto" w:fill="auto"/>
            <w:vAlign w:val="bottom"/>
          </w:tcPr>
          <w:p w14:paraId="3647D3FC" w14:textId="1FE487A4" w:rsidR="006A4592" w:rsidRPr="00DD3349" w:rsidRDefault="00421C0E" w:rsidP="002B116A">
            <w:pPr>
              <w:spacing w:after="120"/>
              <w:jc w:val="right"/>
            </w:pPr>
            <w:r>
              <w:t>38</w:t>
            </w:r>
          </w:p>
        </w:tc>
      </w:tr>
      <w:tr w:rsidR="006A4592" w:rsidRPr="00DD3349" w14:paraId="05151BC9" w14:textId="77777777" w:rsidTr="006A4592">
        <w:trPr>
          <w:jc w:val="center"/>
        </w:trPr>
        <w:tc>
          <w:tcPr>
            <w:tcW w:w="9351" w:type="dxa"/>
            <w:gridSpan w:val="3"/>
            <w:shd w:val="clear" w:color="auto" w:fill="auto"/>
          </w:tcPr>
          <w:p w14:paraId="12FB1000"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31"/>
              <w:rPr>
                <w:spacing w:val="60"/>
                <w:sz w:val="17"/>
              </w:rPr>
            </w:pPr>
            <w:r w:rsidRPr="00DD3349">
              <w:tab/>
              <w:t>I.</w:t>
            </w:r>
            <w:r w:rsidRPr="00DD3349">
              <w:tab/>
              <w:t>Decisions adopted by the Committee</w:t>
            </w:r>
            <w:r w:rsidRPr="00DD3349">
              <w:rPr>
                <w:spacing w:val="60"/>
                <w:sz w:val="17"/>
              </w:rPr>
              <w:tab/>
            </w:r>
          </w:p>
        </w:tc>
        <w:tc>
          <w:tcPr>
            <w:tcW w:w="495" w:type="dxa"/>
            <w:shd w:val="clear" w:color="auto" w:fill="auto"/>
            <w:vAlign w:val="bottom"/>
          </w:tcPr>
          <w:p w14:paraId="44A18FC4" w14:textId="6785FF69" w:rsidR="006A4592" w:rsidRPr="00DD3349" w:rsidRDefault="00421C0E" w:rsidP="002B116A">
            <w:pPr>
              <w:spacing w:after="120"/>
              <w:jc w:val="right"/>
            </w:pPr>
            <w:r>
              <w:t>39</w:t>
            </w:r>
          </w:p>
        </w:tc>
      </w:tr>
      <w:tr w:rsidR="006A4592" w:rsidRPr="00DD3349" w14:paraId="7F60B3D0" w14:textId="77777777" w:rsidTr="006A4592">
        <w:trPr>
          <w:jc w:val="center"/>
        </w:trPr>
        <w:tc>
          <w:tcPr>
            <w:tcW w:w="9351" w:type="dxa"/>
            <w:gridSpan w:val="3"/>
            <w:shd w:val="clear" w:color="auto" w:fill="auto"/>
          </w:tcPr>
          <w:p w14:paraId="15D7AFBC"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rPr>
                <w:spacing w:val="60"/>
                <w:sz w:val="17"/>
              </w:rPr>
            </w:pPr>
            <w:r w:rsidRPr="00DD3349">
              <w:tab/>
              <w:t>II.</w:t>
            </w:r>
            <w:r w:rsidRPr="00DD3349">
              <w:tab/>
              <w:t>Organizational and other matters</w:t>
            </w:r>
            <w:r w:rsidRPr="00DD3349">
              <w:rPr>
                <w:spacing w:val="60"/>
                <w:sz w:val="17"/>
              </w:rPr>
              <w:tab/>
            </w:r>
          </w:p>
        </w:tc>
        <w:tc>
          <w:tcPr>
            <w:tcW w:w="495" w:type="dxa"/>
            <w:shd w:val="clear" w:color="auto" w:fill="auto"/>
            <w:vAlign w:val="bottom"/>
          </w:tcPr>
          <w:p w14:paraId="0E7D7E3D" w14:textId="6D6798D5" w:rsidR="006A4592" w:rsidRPr="00DD3349" w:rsidRDefault="00421C0E" w:rsidP="002B116A">
            <w:pPr>
              <w:spacing w:after="120"/>
              <w:jc w:val="right"/>
            </w:pPr>
            <w:r>
              <w:t>41</w:t>
            </w:r>
          </w:p>
        </w:tc>
      </w:tr>
      <w:tr w:rsidR="006A4592" w:rsidRPr="00DD3349" w14:paraId="2FD3238C" w14:textId="77777777" w:rsidTr="006A4592">
        <w:trPr>
          <w:jc w:val="center"/>
        </w:trPr>
        <w:tc>
          <w:tcPr>
            <w:tcW w:w="9351" w:type="dxa"/>
            <w:gridSpan w:val="3"/>
            <w:shd w:val="clear" w:color="auto" w:fill="auto"/>
          </w:tcPr>
          <w:p w14:paraId="3BDF219B"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DD3349">
              <w:t>States parties to the Convention and to the Optional Protocol</w:t>
            </w:r>
            <w:r w:rsidRPr="00DD3349">
              <w:rPr>
                <w:spacing w:val="60"/>
                <w:sz w:val="17"/>
              </w:rPr>
              <w:tab/>
            </w:r>
          </w:p>
        </w:tc>
        <w:tc>
          <w:tcPr>
            <w:tcW w:w="495" w:type="dxa"/>
            <w:shd w:val="clear" w:color="auto" w:fill="auto"/>
            <w:vAlign w:val="bottom"/>
          </w:tcPr>
          <w:p w14:paraId="7A1918A3" w14:textId="187A4D65" w:rsidR="006A4592" w:rsidRPr="00DD3349" w:rsidRDefault="00421C0E" w:rsidP="002B116A">
            <w:pPr>
              <w:spacing w:after="120"/>
              <w:jc w:val="right"/>
            </w:pPr>
            <w:r>
              <w:t>41</w:t>
            </w:r>
          </w:p>
        </w:tc>
      </w:tr>
      <w:tr w:rsidR="006A4592" w:rsidRPr="00DD3349" w14:paraId="1FD28D68" w14:textId="77777777" w:rsidTr="006A4592">
        <w:trPr>
          <w:jc w:val="center"/>
        </w:trPr>
        <w:tc>
          <w:tcPr>
            <w:tcW w:w="9351" w:type="dxa"/>
            <w:gridSpan w:val="3"/>
            <w:shd w:val="clear" w:color="auto" w:fill="auto"/>
          </w:tcPr>
          <w:p w14:paraId="52076EED"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right" w:leader="dot" w:pos="9360"/>
              </w:tabs>
              <w:spacing w:after="120"/>
            </w:pPr>
            <w:r w:rsidRPr="00DD3349">
              <w:t>Opening of the session</w:t>
            </w:r>
            <w:r w:rsidRPr="00DD3349">
              <w:rPr>
                <w:spacing w:val="60"/>
                <w:sz w:val="17"/>
              </w:rPr>
              <w:tab/>
            </w:r>
          </w:p>
        </w:tc>
        <w:tc>
          <w:tcPr>
            <w:tcW w:w="495" w:type="dxa"/>
            <w:shd w:val="clear" w:color="auto" w:fill="auto"/>
            <w:vAlign w:val="bottom"/>
          </w:tcPr>
          <w:p w14:paraId="0237555D" w14:textId="0FAD21B0" w:rsidR="006A4592" w:rsidRPr="00DD3349" w:rsidRDefault="00421C0E" w:rsidP="002B116A">
            <w:pPr>
              <w:spacing w:after="120"/>
              <w:jc w:val="right"/>
            </w:pPr>
            <w:r>
              <w:t>41</w:t>
            </w:r>
          </w:p>
        </w:tc>
      </w:tr>
      <w:tr w:rsidR="006A4592" w:rsidRPr="00DD3349" w14:paraId="29A7DA18" w14:textId="77777777" w:rsidTr="006A4592">
        <w:trPr>
          <w:jc w:val="center"/>
        </w:trPr>
        <w:tc>
          <w:tcPr>
            <w:tcW w:w="9351" w:type="dxa"/>
            <w:gridSpan w:val="3"/>
            <w:shd w:val="clear" w:color="auto" w:fill="auto"/>
          </w:tcPr>
          <w:p w14:paraId="6B87803C"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right" w:leader="dot" w:pos="9360"/>
              </w:tabs>
              <w:spacing w:after="120"/>
            </w:pPr>
            <w:r w:rsidRPr="00DD3349">
              <w:t>Adoption of the agenda</w:t>
            </w:r>
            <w:r w:rsidRPr="00DD3349">
              <w:rPr>
                <w:spacing w:val="60"/>
                <w:sz w:val="17"/>
              </w:rPr>
              <w:tab/>
            </w:r>
          </w:p>
        </w:tc>
        <w:tc>
          <w:tcPr>
            <w:tcW w:w="495" w:type="dxa"/>
            <w:shd w:val="clear" w:color="auto" w:fill="auto"/>
            <w:vAlign w:val="bottom"/>
          </w:tcPr>
          <w:p w14:paraId="484F6A25" w14:textId="6348FBC7" w:rsidR="006A4592" w:rsidRPr="00DD3349" w:rsidRDefault="00421C0E" w:rsidP="002B116A">
            <w:pPr>
              <w:spacing w:after="120"/>
              <w:jc w:val="right"/>
            </w:pPr>
            <w:r>
              <w:t>41</w:t>
            </w:r>
          </w:p>
        </w:tc>
      </w:tr>
      <w:tr w:rsidR="006A4592" w:rsidRPr="00DD3349" w14:paraId="0F05DC53" w14:textId="77777777" w:rsidTr="006A4592">
        <w:trPr>
          <w:jc w:val="center"/>
        </w:trPr>
        <w:tc>
          <w:tcPr>
            <w:tcW w:w="9351" w:type="dxa"/>
            <w:gridSpan w:val="3"/>
            <w:shd w:val="clear" w:color="auto" w:fill="auto"/>
          </w:tcPr>
          <w:p w14:paraId="27669D97"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DD3349">
              <w:t>Report of the pre-sessional working group</w:t>
            </w:r>
            <w:r w:rsidRPr="00DD3349">
              <w:rPr>
                <w:spacing w:val="60"/>
                <w:sz w:val="17"/>
              </w:rPr>
              <w:tab/>
            </w:r>
          </w:p>
        </w:tc>
        <w:tc>
          <w:tcPr>
            <w:tcW w:w="495" w:type="dxa"/>
            <w:shd w:val="clear" w:color="auto" w:fill="auto"/>
            <w:vAlign w:val="bottom"/>
          </w:tcPr>
          <w:p w14:paraId="26B87FA6" w14:textId="71E91A43" w:rsidR="006A4592" w:rsidRPr="00DD3349" w:rsidRDefault="00421C0E" w:rsidP="002B116A">
            <w:pPr>
              <w:spacing w:after="120"/>
              <w:jc w:val="right"/>
            </w:pPr>
            <w:r>
              <w:t>41</w:t>
            </w:r>
          </w:p>
        </w:tc>
      </w:tr>
      <w:tr w:rsidR="006A4592" w:rsidRPr="00DD3349" w14:paraId="1347033F" w14:textId="77777777" w:rsidTr="006A4592">
        <w:trPr>
          <w:jc w:val="center"/>
        </w:trPr>
        <w:tc>
          <w:tcPr>
            <w:tcW w:w="9351" w:type="dxa"/>
            <w:gridSpan w:val="3"/>
            <w:shd w:val="clear" w:color="auto" w:fill="auto"/>
          </w:tcPr>
          <w:p w14:paraId="6EE20789"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right" w:leader="dot" w:pos="9360"/>
              </w:tabs>
              <w:spacing w:after="120"/>
            </w:pPr>
            <w:r w:rsidRPr="00DD3349">
              <w:t>Organization of work</w:t>
            </w:r>
            <w:r w:rsidRPr="00DD3349">
              <w:rPr>
                <w:spacing w:val="60"/>
                <w:sz w:val="17"/>
              </w:rPr>
              <w:tab/>
            </w:r>
          </w:p>
        </w:tc>
        <w:tc>
          <w:tcPr>
            <w:tcW w:w="495" w:type="dxa"/>
            <w:shd w:val="clear" w:color="auto" w:fill="auto"/>
            <w:vAlign w:val="bottom"/>
          </w:tcPr>
          <w:p w14:paraId="7047F320" w14:textId="1948896E" w:rsidR="006A4592" w:rsidRPr="00DD3349" w:rsidRDefault="00421C0E" w:rsidP="002B116A">
            <w:pPr>
              <w:spacing w:after="120"/>
              <w:jc w:val="right"/>
            </w:pPr>
            <w:r>
              <w:t>41</w:t>
            </w:r>
          </w:p>
        </w:tc>
      </w:tr>
      <w:tr w:rsidR="006A4592" w:rsidRPr="00DD3349" w14:paraId="72477974" w14:textId="77777777" w:rsidTr="006A4592">
        <w:trPr>
          <w:jc w:val="center"/>
        </w:trPr>
        <w:tc>
          <w:tcPr>
            <w:tcW w:w="9351" w:type="dxa"/>
            <w:gridSpan w:val="3"/>
            <w:shd w:val="clear" w:color="auto" w:fill="auto"/>
          </w:tcPr>
          <w:p w14:paraId="26543BAA" w14:textId="77777777" w:rsidR="006A4592" w:rsidRPr="00DD3349" w:rsidRDefault="006A4592" w:rsidP="006A4592">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3349">
              <w:t>Membership of the Committee</w:t>
            </w:r>
            <w:r w:rsidRPr="00DD3349">
              <w:rPr>
                <w:spacing w:val="60"/>
                <w:sz w:val="17"/>
              </w:rPr>
              <w:tab/>
            </w:r>
          </w:p>
        </w:tc>
        <w:tc>
          <w:tcPr>
            <w:tcW w:w="495" w:type="dxa"/>
            <w:shd w:val="clear" w:color="auto" w:fill="auto"/>
            <w:vAlign w:val="bottom"/>
          </w:tcPr>
          <w:p w14:paraId="0881AFF2" w14:textId="673492CB" w:rsidR="006A4592" w:rsidRPr="00DD3349" w:rsidRDefault="00421C0E" w:rsidP="002B116A">
            <w:pPr>
              <w:spacing w:after="120"/>
              <w:jc w:val="right"/>
            </w:pPr>
            <w:r>
              <w:t>42</w:t>
            </w:r>
          </w:p>
        </w:tc>
      </w:tr>
      <w:tr w:rsidR="006A4592" w:rsidRPr="00DD3349" w14:paraId="4CBE41BA" w14:textId="77777777" w:rsidTr="006A4592">
        <w:trPr>
          <w:jc w:val="center"/>
        </w:trPr>
        <w:tc>
          <w:tcPr>
            <w:tcW w:w="9351" w:type="dxa"/>
            <w:gridSpan w:val="3"/>
            <w:shd w:val="clear" w:color="auto" w:fill="auto"/>
          </w:tcPr>
          <w:p w14:paraId="3B0B4D3A"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tab/>
              <w:t>III.</w:t>
            </w:r>
            <w:r w:rsidRPr="00DD3349">
              <w:tab/>
              <w:t>Report of the Chair on intersessional activities</w:t>
            </w:r>
            <w:r w:rsidRPr="00B80068">
              <w:rPr>
                <w:spacing w:val="60"/>
                <w:sz w:val="17"/>
              </w:rPr>
              <w:tab/>
            </w:r>
          </w:p>
        </w:tc>
        <w:tc>
          <w:tcPr>
            <w:tcW w:w="495" w:type="dxa"/>
            <w:shd w:val="clear" w:color="auto" w:fill="auto"/>
            <w:vAlign w:val="bottom"/>
          </w:tcPr>
          <w:p w14:paraId="3B9E8E1A" w14:textId="1C22DD21" w:rsidR="006A4592" w:rsidRPr="00DD3349" w:rsidRDefault="00421C0E" w:rsidP="002B116A">
            <w:pPr>
              <w:spacing w:after="120"/>
              <w:jc w:val="right"/>
            </w:pPr>
            <w:r>
              <w:t>43</w:t>
            </w:r>
          </w:p>
        </w:tc>
      </w:tr>
      <w:tr w:rsidR="006A4592" w:rsidRPr="00DD3349" w14:paraId="62E3291A" w14:textId="77777777" w:rsidTr="006A4592">
        <w:trPr>
          <w:jc w:val="center"/>
        </w:trPr>
        <w:tc>
          <w:tcPr>
            <w:tcW w:w="9351" w:type="dxa"/>
            <w:gridSpan w:val="3"/>
            <w:shd w:val="clear" w:color="auto" w:fill="auto"/>
          </w:tcPr>
          <w:p w14:paraId="39EC64F2"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tab/>
              <w:t>IV.</w:t>
            </w:r>
            <w:r w:rsidRPr="00DD3349">
              <w:tab/>
              <w:t>Consideration of reports submitted by States parties under article 18 of the Convention</w:t>
            </w:r>
            <w:r w:rsidRPr="00747F29">
              <w:rPr>
                <w:spacing w:val="60"/>
                <w:sz w:val="17"/>
              </w:rPr>
              <w:tab/>
            </w:r>
          </w:p>
        </w:tc>
        <w:tc>
          <w:tcPr>
            <w:tcW w:w="495" w:type="dxa"/>
            <w:shd w:val="clear" w:color="auto" w:fill="auto"/>
            <w:vAlign w:val="bottom"/>
          </w:tcPr>
          <w:p w14:paraId="3CE972BA" w14:textId="6157CBCA" w:rsidR="006A4592" w:rsidRPr="00DD3349" w:rsidRDefault="00421C0E" w:rsidP="002B116A">
            <w:pPr>
              <w:spacing w:after="120"/>
              <w:jc w:val="right"/>
            </w:pPr>
            <w:r>
              <w:t>44</w:t>
            </w:r>
          </w:p>
        </w:tc>
      </w:tr>
      <w:tr w:rsidR="006A4592" w:rsidRPr="00DD3349" w14:paraId="4E79C410" w14:textId="77777777" w:rsidTr="006A4592">
        <w:trPr>
          <w:jc w:val="center"/>
        </w:trPr>
        <w:tc>
          <w:tcPr>
            <w:tcW w:w="9351" w:type="dxa"/>
            <w:gridSpan w:val="3"/>
            <w:shd w:val="clear" w:color="auto" w:fill="auto"/>
          </w:tcPr>
          <w:p w14:paraId="3FACBAFD"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tab/>
              <w:t>V.</w:t>
            </w:r>
            <w:r w:rsidRPr="00DD3349">
              <w:tab/>
              <w:t>Activities carried out under the Optional Protocol</w:t>
            </w:r>
            <w:r w:rsidRPr="0054049B">
              <w:rPr>
                <w:spacing w:val="60"/>
                <w:sz w:val="17"/>
              </w:rPr>
              <w:tab/>
            </w:r>
          </w:p>
        </w:tc>
        <w:tc>
          <w:tcPr>
            <w:tcW w:w="495" w:type="dxa"/>
            <w:shd w:val="clear" w:color="auto" w:fill="auto"/>
            <w:vAlign w:val="bottom"/>
          </w:tcPr>
          <w:p w14:paraId="608E4F01" w14:textId="45D3ED16" w:rsidR="006A4592" w:rsidRPr="00DD3349" w:rsidRDefault="00421C0E" w:rsidP="002B116A">
            <w:pPr>
              <w:spacing w:after="120"/>
              <w:jc w:val="right"/>
            </w:pPr>
            <w:r>
              <w:t>45</w:t>
            </w:r>
          </w:p>
        </w:tc>
      </w:tr>
      <w:tr w:rsidR="006A4592" w:rsidRPr="00DD3349" w14:paraId="7C7CD93C" w14:textId="77777777" w:rsidTr="006A4592">
        <w:trPr>
          <w:jc w:val="center"/>
        </w:trPr>
        <w:tc>
          <w:tcPr>
            <w:tcW w:w="9351" w:type="dxa"/>
            <w:gridSpan w:val="3"/>
            <w:shd w:val="clear" w:color="auto" w:fill="auto"/>
          </w:tcPr>
          <w:p w14:paraId="30636677" w14:textId="77777777" w:rsidR="006A4592" w:rsidRPr="00DD3349" w:rsidRDefault="006A4592" w:rsidP="006A4592">
            <w:pPr>
              <w:pStyle w:val="ListParagraph"/>
              <w:numPr>
                <w:ilvl w:val="1"/>
                <w:numId w:val="42"/>
              </w:numPr>
              <w:tabs>
                <w:tab w:val="right" w:pos="1080"/>
                <w:tab w:val="left" w:pos="1296"/>
                <w:tab w:val="left" w:pos="2160"/>
                <w:tab w:val="left" w:pos="2592"/>
                <w:tab w:val="left" w:pos="3024"/>
                <w:tab w:val="right" w:leader="dot" w:pos="9360"/>
              </w:tabs>
              <w:spacing w:after="120"/>
            </w:pPr>
            <w:r w:rsidRPr="00DD3349">
              <w:t>Action taken by the Committee in respect of issues arising under article 2 of the Optional Protocol</w:t>
            </w:r>
            <w:r w:rsidRPr="00DD3349">
              <w:rPr>
                <w:spacing w:val="60"/>
                <w:sz w:val="17"/>
              </w:rPr>
              <w:tab/>
            </w:r>
          </w:p>
        </w:tc>
        <w:tc>
          <w:tcPr>
            <w:tcW w:w="495" w:type="dxa"/>
            <w:shd w:val="clear" w:color="auto" w:fill="auto"/>
            <w:vAlign w:val="bottom"/>
          </w:tcPr>
          <w:p w14:paraId="705EB619" w14:textId="60601C9B" w:rsidR="006A4592" w:rsidRPr="00DD3349" w:rsidRDefault="00421C0E" w:rsidP="002B116A">
            <w:pPr>
              <w:spacing w:after="120"/>
              <w:jc w:val="right"/>
            </w:pPr>
            <w:r>
              <w:t>45</w:t>
            </w:r>
          </w:p>
        </w:tc>
      </w:tr>
      <w:tr w:rsidR="006A4592" w:rsidRPr="00DD3349" w14:paraId="5CD9F4D6" w14:textId="77777777" w:rsidTr="006A4592">
        <w:trPr>
          <w:jc w:val="center"/>
        </w:trPr>
        <w:tc>
          <w:tcPr>
            <w:tcW w:w="9351" w:type="dxa"/>
            <w:gridSpan w:val="3"/>
            <w:shd w:val="clear" w:color="auto" w:fill="auto"/>
          </w:tcPr>
          <w:p w14:paraId="5CA6D240" w14:textId="77777777" w:rsidR="006A4592" w:rsidRPr="00DD3349" w:rsidRDefault="006A4592" w:rsidP="006A4592">
            <w:pPr>
              <w:pStyle w:val="ListParagraph"/>
              <w:numPr>
                <w:ilvl w:val="1"/>
                <w:numId w:val="42"/>
              </w:num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DD3349">
              <w:t>Follow-up to views of the Committee on individual communications</w:t>
            </w:r>
            <w:r w:rsidRPr="00DD3349">
              <w:rPr>
                <w:spacing w:val="60"/>
                <w:sz w:val="17"/>
              </w:rPr>
              <w:tab/>
            </w:r>
          </w:p>
        </w:tc>
        <w:tc>
          <w:tcPr>
            <w:tcW w:w="495" w:type="dxa"/>
            <w:shd w:val="clear" w:color="auto" w:fill="auto"/>
            <w:vAlign w:val="bottom"/>
          </w:tcPr>
          <w:p w14:paraId="06DCBA0B" w14:textId="16E9303C" w:rsidR="006A4592" w:rsidRPr="00DD3349" w:rsidRDefault="00421C0E" w:rsidP="002B116A">
            <w:pPr>
              <w:spacing w:after="120"/>
              <w:jc w:val="right"/>
            </w:pPr>
            <w:r>
              <w:t>45</w:t>
            </w:r>
          </w:p>
        </w:tc>
      </w:tr>
      <w:tr w:rsidR="006A4592" w:rsidRPr="00DD3349" w14:paraId="4363864F" w14:textId="77777777" w:rsidTr="006A4592">
        <w:trPr>
          <w:jc w:val="center"/>
        </w:trPr>
        <w:tc>
          <w:tcPr>
            <w:tcW w:w="9351" w:type="dxa"/>
            <w:gridSpan w:val="3"/>
            <w:shd w:val="clear" w:color="auto" w:fill="auto"/>
          </w:tcPr>
          <w:p w14:paraId="3092A277" w14:textId="77777777" w:rsidR="006A4592" w:rsidRPr="00DD3349" w:rsidRDefault="006A4592" w:rsidP="006A4592">
            <w:pPr>
              <w:pStyle w:val="ListParagraph"/>
              <w:numPr>
                <w:ilvl w:val="1"/>
                <w:numId w:val="42"/>
              </w:numPr>
              <w:tabs>
                <w:tab w:val="right" w:pos="1080"/>
                <w:tab w:val="left" w:pos="1296"/>
                <w:tab w:val="left" w:pos="2160"/>
                <w:tab w:val="left" w:pos="2592"/>
                <w:tab w:val="left" w:pos="3024"/>
                <w:tab w:val="right" w:leader="dot" w:pos="9360"/>
              </w:tabs>
              <w:spacing w:after="120"/>
            </w:pPr>
            <w:r w:rsidRPr="00DD3349">
              <w:lastRenderedPageBreak/>
              <w:t>Action taken by the Committee in respect of issues arising under article 8 of the Optional Protocol</w:t>
            </w:r>
            <w:r w:rsidRPr="00DD3349">
              <w:rPr>
                <w:spacing w:val="60"/>
                <w:sz w:val="17"/>
              </w:rPr>
              <w:tab/>
            </w:r>
          </w:p>
        </w:tc>
        <w:tc>
          <w:tcPr>
            <w:tcW w:w="495" w:type="dxa"/>
            <w:shd w:val="clear" w:color="auto" w:fill="auto"/>
            <w:vAlign w:val="bottom"/>
          </w:tcPr>
          <w:p w14:paraId="046F7837" w14:textId="66F8C00E" w:rsidR="006A4592" w:rsidRPr="00DD3349" w:rsidRDefault="00421C0E" w:rsidP="002B116A">
            <w:pPr>
              <w:spacing w:after="120"/>
              <w:jc w:val="right"/>
            </w:pPr>
            <w:r>
              <w:t>45</w:t>
            </w:r>
          </w:p>
        </w:tc>
      </w:tr>
      <w:tr w:rsidR="006A4592" w:rsidRPr="00DD3349" w14:paraId="276C2A5F" w14:textId="77777777" w:rsidTr="006A4592">
        <w:trPr>
          <w:jc w:val="center"/>
        </w:trPr>
        <w:tc>
          <w:tcPr>
            <w:tcW w:w="9351" w:type="dxa"/>
            <w:gridSpan w:val="3"/>
            <w:shd w:val="clear" w:color="auto" w:fill="auto"/>
          </w:tcPr>
          <w:p w14:paraId="5C24649B"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tab/>
              <w:t>VI.</w:t>
            </w:r>
            <w:r w:rsidRPr="00DD3349">
              <w:tab/>
              <w:t>Ways and means of expediting the work of the Committee</w:t>
            </w:r>
            <w:r w:rsidRPr="0003500B">
              <w:rPr>
                <w:spacing w:val="60"/>
                <w:sz w:val="17"/>
              </w:rPr>
              <w:tab/>
            </w:r>
          </w:p>
        </w:tc>
        <w:tc>
          <w:tcPr>
            <w:tcW w:w="495" w:type="dxa"/>
            <w:shd w:val="clear" w:color="auto" w:fill="auto"/>
            <w:vAlign w:val="bottom"/>
          </w:tcPr>
          <w:p w14:paraId="7B347B53" w14:textId="5C0DF0C3" w:rsidR="006A4592" w:rsidRPr="00DD3349" w:rsidRDefault="00421C0E" w:rsidP="002B116A">
            <w:pPr>
              <w:spacing w:after="120"/>
              <w:jc w:val="right"/>
            </w:pPr>
            <w:r>
              <w:t>46</w:t>
            </w:r>
          </w:p>
        </w:tc>
      </w:tr>
      <w:tr w:rsidR="006A4592" w:rsidRPr="00DD3349" w14:paraId="7128D21D" w14:textId="77777777" w:rsidTr="006A4592">
        <w:trPr>
          <w:jc w:val="center"/>
        </w:trPr>
        <w:tc>
          <w:tcPr>
            <w:tcW w:w="9351" w:type="dxa"/>
            <w:gridSpan w:val="3"/>
            <w:shd w:val="clear" w:color="auto" w:fill="auto"/>
          </w:tcPr>
          <w:p w14:paraId="7BA244DE"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rsidRPr="00DD3349">
              <w:tab/>
            </w:r>
            <w:r>
              <w:t>VII.</w:t>
            </w:r>
            <w:r>
              <w:tab/>
            </w:r>
            <w:r w:rsidRPr="00DD3349">
              <w:t>Implementation of article 21 of the Convention</w:t>
            </w:r>
            <w:r w:rsidRPr="00DD3349">
              <w:rPr>
                <w:spacing w:val="60"/>
                <w:sz w:val="17"/>
              </w:rPr>
              <w:tab/>
            </w:r>
          </w:p>
        </w:tc>
        <w:tc>
          <w:tcPr>
            <w:tcW w:w="495" w:type="dxa"/>
            <w:shd w:val="clear" w:color="auto" w:fill="auto"/>
            <w:vAlign w:val="bottom"/>
          </w:tcPr>
          <w:p w14:paraId="1B38E7FF" w14:textId="5491C130" w:rsidR="006A4592" w:rsidRPr="00DD3349" w:rsidRDefault="00421C0E" w:rsidP="002B116A">
            <w:pPr>
              <w:spacing w:after="120"/>
              <w:jc w:val="right"/>
            </w:pPr>
            <w:r>
              <w:t>47</w:t>
            </w:r>
          </w:p>
        </w:tc>
      </w:tr>
      <w:tr w:rsidR="006A4592" w:rsidRPr="00DD3349" w14:paraId="717844CB" w14:textId="77777777" w:rsidTr="006A4592">
        <w:trPr>
          <w:jc w:val="center"/>
        </w:trPr>
        <w:tc>
          <w:tcPr>
            <w:tcW w:w="9351" w:type="dxa"/>
            <w:gridSpan w:val="3"/>
            <w:shd w:val="clear" w:color="auto" w:fill="auto"/>
          </w:tcPr>
          <w:p w14:paraId="46119061"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right" w:leader="dot" w:pos="9360"/>
              </w:tabs>
              <w:spacing w:after="120"/>
              <w:ind w:left="31"/>
            </w:pPr>
            <w:r>
              <w:tab/>
              <w:t>VIII.</w:t>
            </w:r>
            <w:r w:rsidRPr="00DD3349">
              <w:tab/>
              <w:t xml:space="preserve">Provisional agenda for the </w:t>
            </w:r>
            <w:r>
              <w:t>seventieth</w:t>
            </w:r>
            <w:r w:rsidRPr="00DD3349">
              <w:t xml:space="preserve"> session</w:t>
            </w:r>
            <w:r w:rsidRPr="00EE11FB">
              <w:rPr>
                <w:spacing w:val="60"/>
                <w:sz w:val="17"/>
              </w:rPr>
              <w:tab/>
            </w:r>
          </w:p>
        </w:tc>
        <w:tc>
          <w:tcPr>
            <w:tcW w:w="495" w:type="dxa"/>
            <w:shd w:val="clear" w:color="auto" w:fill="auto"/>
            <w:vAlign w:val="bottom"/>
          </w:tcPr>
          <w:p w14:paraId="2ADCBE2B" w14:textId="05A90740" w:rsidR="006A4592" w:rsidRPr="00DD3349" w:rsidRDefault="00421C0E" w:rsidP="002B116A">
            <w:pPr>
              <w:spacing w:after="120"/>
              <w:jc w:val="right"/>
            </w:pPr>
            <w:r>
              <w:t>49</w:t>
            </w:r>
          </w:p>
        </w:tc>
      </w:tr>
      <w:tr w:rsidR="006A4592" w:rsidRPr="00DD3349" w14:paraId="0C0EF083" w14:textId="77777777" w:rsidTr="006A4592">
        <w:trPr>
          <w:jc w:val="center"/>
        </w:trPr>
        <w:tc>
          <w:tcPr>
            <w:tcW w:w="9351" w:type="dxa"/>
            <w:gridSpan w:val="3"/>
            <w:shd w:val="clear" w:color="auto" w:fill="auto"/>
          </w:tcPr>
          <w:p w14:paraId="2DF42366" w14:textId="69955E7D" w:rsidR="006A4592" w:rsidRPr="002877C9" w:rsidRDefault="006A4592" w:rsidP="002877C9">
            <w:pPr>
              <w:tabs>
                <w:tab w:val="right" w:pos="1080"/>
                <w:tab w:val="left" w:pos="1296"/>
                <w:tab w:val="left" w:pos="1728"/>
                <w:tab w:val="left" w:pos="2160"/>
                <w:tab w:val="left" w:pos="2592"/>
                <w:tab w:val="left" w:pos="3024"/>
                <w:tab w:val="right" w:leader="dot" w:pos="9360"/>
              </w:tabs>
              <w:spacing w:after="120"/>
              <w:ind w:left="31"/>
              <w:rPr>
                <w:spacing w:val="60"/>
                <w:sz w:val="17"/>
              </w:rPr>
            </w:pPr>
            <w:r>
              <w:tab/>
              <w:t>IX.</w:t>
            </w:r>
            <w:r w:rsidRPr="00DD3349">
              <w:tab/>
              <w:t>Adoption of the report</w:t>
            </w:r>
            <w:r w:rsidR="002877C9">
              <w:rPr>
                <w:spacing w:val="60"/>
                <w:sz w:val="17"/>
              </w:rPr>
              <w:tab/>
            </w:r>
          </w:p>
        </w:tc>
        <w:tc>
          <w:tcPr>
            <w:tcW w:w="495" w:type="dxa"/>
            <w:shd w:val="clear" w:color="auto" w:fill="auto"/>
            <w:vAlign w:val="bottom"/>
          </w:tcPr>
          <w:p w14:paraId="09FEB914" w14:textId="6E984C36" w:rsidR="006A4592" w:rsidRPr="00DD3349" w:rsidRDefault="00421C0E" w:rsidP="002B116A">
            <w:pPr>
              <w:spacing w:after="120"/>
              <w:jc w:val="right"/>
            </w:pPr>
            <w:r>
              <w:t>50</w:t>
            </w:r>
          </w:p>
        </w:tc>
      </w:tr>
      <w:tr w:rsidR="006A4592" w:rsidRPr="00DD3349" w14:paraId="22FEDA09" w14:textId="77777777" w:rsidTr="006A4592">
        <w:trPr>
          <w:jc w:val="center"/>
        </w:trPr>
        <w:tc>
          <w:tcPr>
            <w:tcW w:w="9351" w:type="dxa"/>
            <w:gridSpan w:val="3"/>
            <w:shd w:val="clear" w:color="auto" w:fill="auto"/>
          </w:tcPr>
          <w:p w14:paraId="342D8691" w14:textId="77777777" w:rsidR="006A4592" w:rsidRPr="00DD3349" w:rsidRDefault="006A4592" w:rsidP="002B116A">
            <w:pPr>
              <w:tabs>
                <w:tab w:val="right" w:pos="1080"/>
                <w:tab w:val="left" w:pos="1296"/>
                <w:tab w:val="right" w:pos="1714"/>
                <w:tab w:val="left" w:pos="2160"/>
                <w:tab w:val="left" w:pos="2592"/>
                <w:tab w:val="left" w:pos="3024"/>
                <w:tab w:val="left" w:pos="3456"/>
              </w:tabs>
              <w:spacing w:after="120"/>
            </w:pPr>
            <w:r w:rsidRPr="00DD3349">
              <w:t>Annex</w:t>
            </w:r>
            <w:r>
              <w:t>es</w:t>
            </w:r>
          </w:p>
        </w:tc>
        <w:tc>
          <w:tcPr>
            <w:tcW w:w="495" w:type="dxa"/>
            <w:shd w:val="clear" w:color="auto" w:fill="auto"/>
            <w:vAlign w:val="bottom"/>
          </w:tcPr>
          <w:p w14:paraId="51902C43" w14:textId="77777777" w:rsidR="006A4592" w:rsidRPr="00DD3349" w:rsidRDefault="006A4592" w:rsidP="002B116A">
            <w:pPr>
              <w:spacing w:after="120"/>
              <w:jc w:val="right"/>
            </w:pPr>
          </w:p>
        </w:tc>
      </w:tr>
      <w:tr w:rsidR="006A4592" w:rsidRPr="00DD3349" w14:paraId="03C3DBE0" w14:textId="77777777" w:rsidTr="006A4592">
        <w:trPr>
          <w:jc w:val="center"/>
        </w:trPr>
        <w:tc>
          <w:tcPr>
            <w:tcW w:w="9351" w:type="dxa"/>
            <w:gridSpan w:val="3"/>
            <w:shd w:val="clear" w:color="auto" w:fill="auto"/>
          </w:tcPr>
          <w:p w14:paraId="25FF60FD" w14:textId="77777777" w:rsidR="006A4592" w:rsidRPr="00DD3349" w:rsidRDefault="006A4592" w:rsidP="002B116A">
            <w:pPr>
              <w:tabs>
                <w:tab w:val="right" w:pos="1080"/>
                <w:tab w:val="left" w:pos="1300"/>
                <w:tab w:val="left" w:pos="1728"/>
                <w:tab w:val="left" w:pos="2160"/>
                <w:tab w:val="left" w:pos="2592"/>
                <w:tab w:val="left" w:pos="3024"/>
                <w:tab w:val="left" w:pos="3456"/>
                <w:tab w:val="left" w:pos="3888"/>
                <w:tab w:val="left" w:pos="4320"/>
                <w:tab w:val="right" w:leader="dot" w:pos="9360"/>
              </w:tabs>
              <w:spacing w:after="120"/>
              <w:ind w:left="31"/>
            </w:pPr>
            <w:r>
              <w:tab/>
              <w:t>I.</w:t>
            </w:r>
            <w:r w:rsidRPr="00DD3349">
              <w:tab/>
              <w:t>Documents before the Committee at its sixty-</w:t>
            </w:r>
            <w:r>
              <w:t>ninth</w:t>
            </w:r>
            <w:r w:rsidRPr="00DD3349">
              <w:t xml:space="preserve"> session</w:t>
            </w:r>
            <w:r w:rsidRPr="00DD3349">
              <w:rPr>
                <w:spacing w:val="60"/>
                <w:sz w:val="17"/>
              </w:rPr>
              <w:tab/>
            </w:r>
          </w:p>
        </w:tc>
        <w:tc>
          <w:tcPr>
            <w:tcW w:w="495" w:type="dxa"/>
            <w:shd w:val="clear" w:color="auto" w:fill="auto"/>
            <w:vAlign w:val="bottom"/>
          </w:tcPr>
          <w:p w14:paraId="51389BF5" w14:textId="317659A0" w:rsidR="006A4592" w:rsidRPr="00DD3349" w:rsidRDefault="00421C0E" w:rsidP="002B116A">
            <w:pPr>
              <w:spacing w:after="120"/>
              <w:jc w:val="right"/>
            </w:pPr>
            <w:r>
              <w:t>51</w:t>
            </w:r>
          </w:p>
        </w:tc>
      </w:tr>
      <w:tr w:rsidR="006A4592" w:rsidRPr="00DD3349" w14:paraId="601CC012" w14:textId="77777777" w:rsidTr="006A4592">
        <w:trPr>
          <w:jc w:val="center"/>
        </w:trPr>
        <w:tc>
          <w:tcPr>
            <w:tcW w:w="9351" w:type="dxa"/>
            <w:gridSpan w:val="3"/>
            <w:shd w:val="clear" w:color="auto" w:fill="auto"/>
          </w:tcPr>
          <w:p w14:paraId="0BD6DA00" w14:textId="77777777" w:rsidR="006A4592" w:rsidRPr="00DD3349" w:rsidRDefault="006A4592" w:rsidP="002B116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31"/>
            </w:pPr>
            <w:r>
              <w:tab/>
              <w:t>II.</w:t>
            </w:r>
            <w:r w:rsidRPr="00DD3349">
              <w:tab/>
            </w:r>
            <w:r w:rsidRPr="00C929A0">
              <w:t xml:space="preserve">Membership of the Committee as at </w:t>
            </w:r>
            <w:r>
              <w:t>9</w:t>
            </w:r>
            <w:r w:rsidRPr="00C929A0">
              <w:t xml:space="preserve"> March 201</w:t>
            </w:r>
            <w:r>
              <w:t>8</w:t>
            </w:r>
            <w:r w:rsidRPr="00E00A4D">
              <w:rPr>
                <w:spacing w:val="60"/>
                <w:sz w:val="17"/>
              </w:rPr>
              <w:tab/>
            </w:r>
          </w:p>
        </w:tc>
        <w:tc>
          <w:tcPr>
            <w:tcW w:w="495" w:type="dxa"/>
            <w:shd w:val="clear" w:color="auto" w:fill="auto"/>
            <w:vAlign w:val="bottom"/>
          </w:tcPr>
          <w:p w14:paraId="4C75D943" w14:textId="4B3F1C0F" w:rsidR="006A4592" w:rsidRPr="00DD3349" w:rsidRDefault="00421C0E" w:rsidP="002B116A">
            <w:pPr>
              <w:spacing w:after="120"/>
              <w:jc w:val="right"/>
            </w:pPr>
            <w:r>
              <w:t>52</w:t>
            </w:r>
          </w:p>
        </w:tc>
      </w:tr>
      <w:bookmarkEnd w:id="1"/>
    </w:tbl>
    <w:p w14:paraId="6BFCAABD" w14:textId="580F3D57" w:rsidR="006A4592" w:rsidRPr="00857637" w:rsidRDefault="006A4592" w:rsidP="00857637">
      <w:pPr>
        <w:pStyle w:val="SingleTxt"/>
        <w:spacing w:after="0" w:line="120" w:lineRule="exact"/>
        <w:rPr>
          <w:sz w:val="10"/>
          <w:lang w:eastAsia="zh-CN"/>
        </w:rPr>
      </w:pPr>
    </w:p>
    <w:p w14:paraId="5BB10A58" w14:textId="0085E3EA" w:rsidR="00857637" w:rsidRPr="00857637" w:rsidRDefault="00857637" w:rsidP="00857637">
      <w:pPr>
        <w:pStyle w:val="SingleTxt"/>
        <w:spacing w:after="0" w:line="120" w:lineRule="exact"/>
        <w:rPr>
          <w:sz w:val="10"/>
          <w:lang w:eastAsia="zh-CN"/>
        </w:rPr>
      </w:pPr>
    </w:p>
    <w:p w14:paraId="2B854A19" w14:textId="0E96FF63" w:rsidR="00857637" w:rsidRPr="00857637" w:rsidRDefault="00857637" w:rsidP="00857637">
      <w:pPr>
        <w:pStyle w:val="SingleTxt"/>
        <w:spacing w:after="0" w:line="120" w:lineRule="exact"/>
        <w:rPr>
          <w:sz w:val="10"/>
          <w:lang w:eastAsia="zh-CN"/>
        </w:rPr>
      </w:pPr>
    </w:p>
    <w:p w14:paraId="14FD75E2" w14:textId="77777777" w:rsidR="00022DE9" w:rsidRPr="00A271D3" w:rsidRDefault="00022DE9">
      <w:pPr>
        <w:suppressAutoHyphens w:val="0"/>
        <w:spacing w:after="200" w:line="276" w:lineRule="auto"/>
        <w:rPr>
          <w:lang w:eastAsia="zh-CN"/>
        </w:rPr>
      </w:pPr>
      <w:r w:rsidRPr="00A271D3">
        <w:rPr>
          <w:lang w:eastAsia="zh-CN"/>
        </w:rPr>
        <w:br w:type="page"/>
      </w:r>
    </w:p>
    <w:p w14:paraId="5AA008D6" w14:textId="77777777" w:rsidR="00022DE9" w:rsidRPr="00A271D3" w:rsidRDefault="00022DE9" w:rsidP="00022DE9">
      <w:pPr>
        <w:rPr>
          <w:lang w:eastAsia="zh-CN"/>
        </w:rPr>
      </w:pPr>
    </w:p>
    <w:p w14:paraId="6BE4A14A" w14:textId="77777777" w:rsidR="00022DE9" w:rsidRPr="00A271D3" w:rsidRDefault="00022DE9" w:rsidP="00022DE9">
      <w:pPr>
        <w:spacing w:before="1360" w:after="240"/>
        <w:rPr>
          <w:sz w:val="28"/>
          <w:lang w:eastAsia="zh-CN"/>
        </w:rPr>
      </w:pPr>
      <w:r w:rsidRPr="00A271D3">
        <w:rPr>
          <w:sz w:val="28"/>
          <w:lang w:eastAsia="zh-CN"/>
        </w:rPr>
        <w:t>Letter of transmittal</w:t>
      </w:r>
    </w:p>
    <w:p w14:paraId="3D0C7E22" w14:textId="1135CDCF" w:rsidR="00022DE9" w:rsidRPr="00A271D3" w:rsidRDefault="00022DE9" w:rsidP="0029649D">
      <w:pPr>
        <w:pStyle w:val="SingleTxt"/>
        <w:spacing w:after="240"/>
        <w:jc w:val="right"/>
        <w:rPr>
          <w:lang w:eastAsia="zh-CN"/>
        </w:rPr>
      </w:pPr>
      <w:r w:rsidRPr="00A271D3">
        <w:rPr>
          <w:lang w:eastAsia="zh-CN"/>
        </w:rPr>
        <w:t>[</w:t>
      </w:r>
      <w:r w:rsidR="0029649D">
        <w:rPr>
          <w:lang w:eastAsia="zh-CN"/>
        </w:rPr>
        <w:t>29 March 2018</w:t>
      </w:r>
      <w:r w:rsidRPr="00A271D3">
        <w:rPr>
          <w:lang w:eastAsia="zh-CN"/>
        </w:rPr>
        <w:t>]</w:t>
      </w:r>
    </w:p>
    <w:p w14:paraId="7DC8B6E2" w14:textId="3A344F7B" w:rsidR="0029649D" w:rsidRDefault="0029649D" w:rsidP="0029649D">
      <w:pPr>
        <w:pStyle w:val="SingleTxt"/>
        <w:rPr>
          <w:lang w:eastAsia="zh-CN"/>
        </w:rPr>
      </w:pPr>
      <w:r>
        <w:rPr>
          <w:lang w:eastAsia="zh-CN"/>
        </w:rPr>
        <w:tab/>
        <w:t>I have the honour to refer to article 21 of the Convention on the Elimination of All Forms of Discrimination against Women, according to which the Committee on the Elimination of Discrimination against Women, established pursuant to the Convention, is to, through the Economic and Social Council, report annually to the General Assembly on its activities.</w:t>
      </w:r>
    </w:p>
    <w:p w14:paraId="181CFE2E" w14:textId="18FC7571" w:rsidR="0029649D" w:rsidRDefault="0029649D" w:rsidP="0029649D">
      <w:pPr>
        <w:pStyle w:val="SingleTxt"/>
        <w:rPr>
          <w:lang w:eastAsia="zh-CN"/>
        </w:rPr>
      </w:pPr>
      <w:r>
        <w:rPr>
          <w:lang w:eastAsia="zh-CN"/>
        </w:rPr>
        <w:tab/>
        <w:t>The Committee held its sixty-seventh session from 3 to 21 July 2017, its sixty-eighth session from 23 October to 17 November 2017 and its sixty-ninth session from 19 February to 9 March 2018, at the United Nations Office at Geneva. It adopted its reports on the sessions at its 1529th meeting, on 21 July 2017, its 1569th meeting, on 17 November 2017, and its 1599th meeting, on 9 March 2018. The reports are herewith submitted to you for transmission to the General Assembly at its seventy-third session.</w:t>
      </w:r>
    </w:p>
    <w:p w14:paraId="2832324A" w14:textId="1B11584D" w:rsidR="0029649D" w:rsidRPr="0029649D" w:rsidRDefault="0029649D" w:rsidP="0029649D">
      <w:pPr>
        <w:pStyle w:val="SingleTxt"/>
        <w:spacing w:after="0" w:line="120" w:lineRule="exact"/>
        <w:rPr>
          <w:sz w:val="10"/>
          <w:lang w:eastAsia="zh-CN"/>
        </w:rPr>
      </w:pPr>
    </w:p>
    <w:p w14:paraId="037532D4" w14:textId="366F1ECE" w:rsidR="0029649D" w:rsidRPr="0029649D" w:rsidRDefault="0029649D" w:rsidP="0029649D">
      <w:pPr>
        <w:pStyle w:val="SingleTxt"/>
        <w:spacing w:after="0" w:line="120" w:lineRule="exact"/>
        <w:rPr>
          <w:sz w:val="10"/>
          <w:lang w:eastAsia="zh-CN"/>
        </w:rPr>
      </w:pPr>
    </w:p>
    <w:p w14:paraId="2B4FEAC7" w14:textId="77777777" w:rsidR="0029649D" w:rsidRDefault="0029649D" w:rsidP="0029649D">
      <w:pPr>
        <w:pStyle w:val="SingleTxt"/>
        <w:spacing w:after="0"/>
        <w:jc w:val="right"/>
        <w:rPr>
          <w:lang w:eastAsia="zh-CN"/>
        </w:rPr>
      </w:pPr>
      <w:r>
        <w:rPr>
          <w:lang w:eastAsia="zh-CN"/>
        </w:rPr>
        <w:t>(</w:t>
      </w:r>
      <w:r w:rsidRPr="0029649D">
        <w:rPr>
          <w:i/>
          <w:iCs/>
          <w:lang w:eastAsia="zh-CN"/>
        </w:rPr>
        <w:t>Signed</w:t>
      </w:r>
      <w:r>
        <w:rPr>
          <w:lang w:eastAsia="zh-CN"/>
        </w:rPr>
        <w:t xml:space="preserve">) Dalia </w:t>
      </w:r>
      <w:r w:rsidRPr="0029649D">
        <w:rPr>
          <w:b/>
          <w:bCs/>
          <w:lang w:eastAsia="zh-CN"/>
        </w:rPr>
        <w:t>Leinarte</w:t>
      </w:r>
    </w:p>
    <w:p w14:paraId="41E19DED" w14:textId="33EE9362" w:rsidR="00022DE9" w:rsidRPr="00A271D3" w:rsidRDefault="0029649D" w:rsidP="0029649D">
      <w:pPr>
        <w:pStyle w:val="SingleTxt"/>
        <w:jc w:val="right"/>
        <w:rPr>
          <w:lang w:eastAsia="zh-CN"/>
        </w:rPr>
      </w:pPr>
      <w:r>
        <w:rPr>
          <w:lang w:eastAsia="zh-CN"/>
        </w:rPr>
        <w:t>Chair</w:t>
      </w:r>
    </w:p>
    <w:p w14:paraId="5BE3B30C" w14:textId="1CAC17BA" w:rsidR="00022DE9" w:rsidRPr="00A271D3" w:rsidRDefault="00022DE9" w:rsidP="00E51FC8">
      <w:pPr>
        <w:pStyle w:val="SingleTxt"/>
        <w:rPr>
          <w:lang w:eastAsia="zh-CN"/>
        </w:rPr>
      </w:pPr>
    </w:p>
    <w:p w14:paraId="4958CD58" w14:textId="77777777" w:rsidR="00022DE9" w:rsidRPr="00A271D3" w:rsidRDefault="00022DE9" w:rsidP="00022DE9">
      <w:pPr>
        <w:pStyle w:val="SingleTxt"/>
        <w:rPr>
          <w:lang w:eastAsia="zh-CN"/>
        </w:rPr>
        <w:sectPr w:rsidR="00022DE9" w:rsidRPr="00A271D3" w:rsidSect="00022DE9">
          <w:headerReference w:type="even" r:id="rId13"/>
          <w:headerReference w:type="default" r:id="rId14"/>
          <w:footerReference w:type="even" r:id="rId15"/>
          <w:footerReference w:type="default" r:id="rId16"/>
          <w:headerReference w:type="first" r:id="rId17"/>
          <w:endnotePr>
            <w:numFmt w:val="decimal"/>
          </w:endnotePr>
          <w:pgSz w:w="12240" w:h="15840"/>
          <w:pgMar w:top="1440" w:right="1200" w:bottom="1152" w:left="1200" w:header="432" w:footer="504" w:gutter="0"/>
          <w:pgNumType w:start="3"/>
          <w:cols w:space="720"/>
          <w:docGrid w:linePitch="360"/>
        </w:sectPr>
      </w:pPr>
    </w:p>
    <w:p w14:paraId="6ECA77B7" w14:textId="77777777" w:rsidR="00022DE9" w:rsidRPr="00A271D3" w:rsidRDefault="00022DE9" w:rsidP="00022DE9">
      <w:pPr>
        <w:suppressAutoHyphens w:val="0"/>
        <w:spacing w:line="20" w:lineRule="exact"/>
        <w:ind w:left="1267" w:right="1267"/>
        <w:jc w:val="both"/>
        <w:rPr>
          <w:lang w:eastAsia="zh-CN"/>
        </w:rPr>
        <w:sectPr w:rsidR="00022DE9" w:rsidRPr="00A271D3" w:rsidSect="00204297">
          <w:headerReference w:type="even" r:id="rId18"/>
          <w:headerReference w:type="default" r:id="rId19"/>
          <w:footerReference w:type="even" r:id="rId20"/>
          <w:footerReference w:type="default" r:id="rId21"/>
          <w:endnotePr>
            <w:numFmt w:val="decimal"/>
          </w:endnotePr>
          <w:pgSz w:w="12240" w:h="15840"/>
          <w:pgMar w:top="1440" w:right="1200" w:bottom="1728" w:left="1200" w:header="432" w:footer="504" w:gutter="0"/>
          <w:cols w:space="720"/>
          <w:noEndnote/>
          <w:docGrid w:linePitch="360"/>
        </w:sectPr>
      </w:pPr>
    </w:p>
    <w:p w14:paraId="7D96BFF7" w14:textId="77777777" w:rsidR="0015241A" w:rsidRDefault="0015241A" w:rsidP="0015241A">
      <w:pPr>
        <w:pStyle w:val="HCh"/>
        <w:ind w:left="1267" w:right="1260" w:hanging="1267"/>
        <w:rPr>
          <w:lang w:eastAsia="zh-CN"/>
        </w:rPr>
      </w:pPr>
      <w:r>
        <w:rPr>
          <w:lang w:eastAsia="zh-CN"/>
        </w:rPr>
        <w:t>Part One</w:t>
      </w:r>
    </w:p>
    <w:p w14:paraId="1B4F7206" w14:textId="77777777" w:rsidR="0015241A" w:rsidRDefault="0015241A" w:rsidP="0015241A">
      <w:pPr>
        <w:pStyle w:val="HCh"/>
        <w:ind w:left="1267" w:right="1260" w:hanging="1267"/>
        <w:rPr>
          <w:lang w:eastAsia="zh-CN"/>
        </w:rPr>
      </w:pPr>
      <w:r>
        <w:rPr>
          <w:lang w:eastAsia="zh-CN"/>
        </w:rPr>
        <w:tab/>
      </w:r>
      <w:r>
        <w:rPr>
          <w:lang w:eastAsia="zh-CN"/>
        </w:rPr>
        <w:tab/>
        <w:t>Report of the Committee on the Elimination of Discrimination against Women on its sixty-seventh session</w:t>
      </w:r>
    </w:p>
    <w:p w14:paraId="3D98FE21" w14:textId="77777777" w:rsidR="0015241A" w:rsidRPr="0015241A" w:rsidRDefault="0015241A" w:rsidP="0015241A">
      <w:pPr>
        <w:pStyle w:val="SingleTxt"/>
        <w:spacing w:after="0" w:line="120" w:lineRule="exact"/>
        <w:rPr>
          <w:sz w:val="10"/>
          <w:lang w:eastAsia="zh-CN"/>
        </w:rPr>
      </w:pPr>
    </w:p>
    <w:p w14:paraId="388B26D7" w14:textId="77777777" w:rsidR="0015241A" w:rsidRPr="0015241A" w:rsidRDefault="0015241A" w:rsidP="0015241A">
      <w:pPr>
        <w:pStyle w:val="SingleTxt"/>
        <w:spacing w:after="0" w:line="120" w:lineRule="exact"/>
        <w:rPr>
          <w:sz w:val="10"/>
          <w:lang w:eastAsia="zh-CN"/>
        </w:rPr>
      </w:pPr>
    </w:p>
    <w:p w14:paraId="03CE6BE0" w14:textId="5C9E0349" w:rsidR="00022DE9" w:rsidRDefault="0015241A" w:rsidP="006E0391">
      <w:pPr>
        <w:pStyle w:val="H1"/>
        <w:ind w:right="1260"/>
        <w:rPr>
          <w:lang w:eastAsia="zh-CN"/>
        </w:rPr>
      </w:pPr>
      <w:r>
        <w:rPr>
          <w:lang w:eastAsia="zh-CN"/>
        </w:rPr>
        <w:tab/>
      </w:r>
      <w:r>
        <w:rPr>
          <w:lang w:eastAsia="zh-CN"/>
        </w:rPr>
        <w:tab/>
        <w:t>3–21 July 2017</w:t>
      </w:r>
    </w:p>
    <w:p w14:paraId="34F0EDCC" w14:textId="0FF84DB1" w:rsidR="006E0391" w:rsidRPr="006E0391" w:rsidRDefault="006E0391" w:rsidP="006E0391">
      <w:pPr>
        <w:pStyle w:val="SingleTxt"/>
        <w:spacing w:after="0" w:line="120" w:lineRule="exact"/>
        <w:rPr>
          <w:sz w:val="10"/>
          <w:lang w:eastAsia="zh-CN"/>
        </w:rPr>
      </w:pPr>
    </w:p>
    <w:p w14:paraId="43C93446" w14:textId="095F218F" w:rsidR="006E0391" w:rsidRPr="006E0391" w:rsidRDefault="006E0391" w:rsidP="006E0391">
      <w:pPr>
        <w:pStyle w:val="SingleTxt"/>
        <w:spacing w:after="0" w:line="120" w:lineRule="exact"/>
        <w:rPr>
          <w:sz w:val="10"/>
          <w:lang w:eastAsia="zh-CN"/>
        </w:rPr>
      </w:pPr>
    </w:p>
    <w:p w14:paraId="74F54B3C" w14:textId="4E7F30F5" w:rsidR="005B7140" w:rsidRDefault="005B7140">
      <w:pPr>
        <w:suppressAutoHyphens w:val="0"/>
        <w:spacing w:after="200" w:line="276" w:lineRule="auto"/>
        <w:rPr>
          <w:lang w:eastAsia="zh-CN"/>
        </w:rPr>
      </w:pPr>
      <w:r>
        <w:rPr>
          <w:lang w:eastAsia="zh-CN"/>
        </w:rPr>
        <w:br w:type="page"/>
      </w:r>
    </w:p>
    <w:p w14:paraId="4C2280F3" w14:textId="77777777" w:rsidR="005B7140" w:rsidRDefault="005B7140" w:rsidP="005B7140">
      <w:pPr>
        <w:pStyle w:val="HCh"/>
        <w:ind w:left="1267" w:right="1260" w:hanging="1267"/>
        <w:rPr>
          <w:lang w:eastAsia="zh-CN"/>
        </w:rPr>
      </w:pPr>
      <w:r>
        <w:rPr>
          <w:lang w:eastAsia="zh-CN"/>
        </w:rPr>
        <w:lastRenderedPageBreak/>
        <w:t>Chapter I</w:t>
      </w:r>
    </w:p>
    <w:p w14:paraId="62B9C623" w14:textId="77777777" w:rsidR="005B7140" w:rsidRDefault="005B7140" w:rsidP="005B7140">
      <w:pPr>
        <w:pStyle w:val="HCh"/>
        <w:ind w:left="1267" w:right="1260" w:hanging="1267"/>
        <w:rPr>
          <w:lang w:eastAsia="zh-CN"/>
        </w:rPr>
      </w:pPr>
      <w:r>
        <w:rPr>
          <w:lang w:eastAsia="zh-CN"/>
        </w:rPr>
        <w:tab/>
      </w:r>
      <w:r>
        <w:rPr>
          <w:lang w:eastAsia="zh-CN"/>
        </w:rPr>
        <w:tab/>
        <w:t xml:space="preserve">Decisions adopted by the Committee </w:t>
      </w:r>
    </w:p>
    <w:p w14:paraId="7C9E23C7" w14:textId="77777777" w:rsidR="005B7140" w:rsidRPr="005B7140" w:rsidRDefault="005B7140" w:rsidP="005B7140">
      <w:pPr>
        <w:pStyle w:val="SingleTxt"/>
        <w:spacing w:after="0" w:line="120" w:lineRule="exact"/>
        <w:rPr>
          <w:sz w:val="10"/>
          <w:lang w:eastAsia="zh-CN"/>
        </w:rPr>
      </w:pPr>
    </w:p>
    <w:p w14:paraId="38DCCE7B" w14:textId="77777777" w:rsidR="005B7140" w:rsidRPr="005B7140" w:rsidRDefault="005B7140" w:rsidP="005B7140">
      <w:pPr>
        <w:pStyle w:val="SingleTxt"/>
        <w:spacing w:after="0" w:line="120" w:lineRule="exact"/>
        <w:rPr>
          <w:sz w:val="10"/>
          <w:lang w:eastAsia="zh-CN"/>
        </w:rPr>
      </w:pPr>
    </w:p>
    <w:p w14:paraId="0BF32115" w14:textId="6FCD7A61"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67/I</w:t>
      </w:r>
    </w:p>
    <w:p w14:paraId="4AB242BE" w14:textId="77777777" w:rsidR="005B7140" w:rsidRPr="005B7140" w:rsidRDefault="005B7140" w:rsidP="005B7140">
      <w:pPr>
        <w:pStyle w:val="SingleTxt"/>
        <w:spacing w:after="0" w:line="120" w:lineRule="exact"/>
        <w:rPr>
          <w:sz w:val="10"/>
          <w:lang w:eastAsia="zh-CN"/>
        </w:rPr>
      </w:pPr>
    </w:p>
    <w:p w14:paraId="0948D97B" w14:textId="53EC7B07" w:rsidR="005B7140" w:rsidRDefault="005B7140" w:rsidP="005B7140">
      <w:pPr>
        <w:pStyle w:val="SingleTxt"/>
        <w:rPr>
          <w:lang w:eastAsia="zh-CN"/>
        </w:rPr>
      </w:pPr>
      <w:r>
        <w:rPr>
          <w:lang w:eastAsia="zh-CN"/>
        </w:rPr>
        <w:tab/>
        <w:t>On 18 July 2017, the Committee adopted general recommendation No. 35 (2017) on gender-based violence against women, updating general recommendation No. 19 (</w:t>
      </w:r>
      <w:hyperlink r:id="rId22" w:history="1">
        <w:r w:rsidRPr="004D70EB">
          <w:rPr>
            <w:rStyle w:val="Hyperlink"/>
            <w:lang w:eastAsia="zh-CN"/>
          </w:rPr>
          <w:t>CEDAW/C/GC/35</w:t>
        </w:r>
      </w:hyperlink>
      <w:r>
        <w:rPr>
          <w:lang w:eastAsia="zh-CN"/>
        </w:rPr>
        <w:t>), by consensus. The Committee decided to hold a high-level public event at its sixty-eighth session to raise awareness on its recently adopted general recommendation No. 35, to be organized by the Human Rights Treaties Branch of the Office of the United Nations High Commissioner for Human Rights (OHCHR), with the support of the Women’s Human Rights and Gender Section.</w:t>
      </w:r>
    </w:p>
    <w:p w14:paraId="206ADF25" w14:textId="77777777" w:rsidR="005B7140" w:rsidRPr="005B7140" w:rsidRDefault="005B7140" w:rsidP="005B7140">
      <w:pPr>
        <w:pStyle w:val="SingleTxt"/>
        <w:spacing w:after="0" w:line="120" w:lineRule="exact"/>
        <w:rPr>
          <w:sz w:val="10"/>
          <w:lang w:eastAsia="zh-CN"/>
        </w:rPr>
      </w:pPr>
    </w:p>
    <w:p w14:paraId="4ACBF5A9" w14:textId="362E11BA"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67/II</w:t>
      </w:r>
    </w:p>
    <w:p w14:paraId="160A917E" w14:textId="77777777" w:rsidR="005B7140" w:rsidRPr="005B7140" w:rsidRDefault="005B7140" w:rsidP="005B7140">
      <w:pPr>
        <w:pStyle w:val="SingleTxt"/>
        <w:spacing w:after="0" w:line="120" w:lineRule="exact"/>
        <w:rPr>
          <w:sz w:val="10"/>
          <w:lang w:eastAsia="zh-CN"/>
        </w:rPr>
      </w:pPr>
    </w:p>
    <w:p w14:paraId="0D9C3428" w14:textId="102347AD" w:rsidR="005B7140" w:rsidRDefault="005B7140" w:rsidP="005B7140">
      <w:pPr>
        <w:pStyle w:val="SingleTxt"/>
        <w:rPr>
          <w:lang w:eastAsia="zh-CN"/>
        </w:rPr>
      </w:pPr>
      <w:r>
        <w:rPr>
          <w:lang w:eastAsia="zh-CN"/>
        </w:rPr>
        <w:tab/>
        <w:t>On 13 July 2017, the Committee endorsed the recommendations for addressing women’s human rights in the global compact for safe, orderly and regular migration (goo.gl/tA152h) adopted at an expert meeting hosted by OHCHR and the United Nations Entity for Gender Equality and the Empowerment of Women (UN-Women) on 21 and 22 November 2016 in Geneva.</w:t>
      </w:r>
    </w:p>
    <w:p w14:paraId="7E5CBCFF" w14:textId="77777777" w:rsidR="005B7140" w:rsidRPr="005B7140" w:rsidRDefault="005B7140" w:rsidP="005B7140">
      <w:pPr>
        <w:pStyle w:val="SingleTxt"/>
        <w:spacing w:after="0" w:line="120" w:lineRule="exact"/>
        <w:rPr>
          <w:sz w:val="10"/>
          <w:lang w:eastAsia="zh-CN"/>
        </w:rPr>
      </w:pPr>
    </w:p>
    <w:p w14:paraId="3C899B41" w14:textId="3C17F69D"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67/III</w:t>
      </w:r>
    </w:p>
    <w:p w14:paraId="120323EF" w14:textId="77777777" w:rsidR="005B7140" w:rsidRPr="005B7140" w:rsidRDefault="005B7140" w:rsidP="005B7140">
      <w:pPr>
        <w:pStyle w:val="SingleTxt"/>
        <w:spacing w:after="0" w:line="120" w:lineRule="exact"/>
        <w:rPr>
          <w:sz w:val="10"/>
          <w:lang w:eastAsia="zh-CN"/>
        </w:rPr>
      </w:pPr>
    </w:p>
    <w:p w14:paraId="0615D359" w14:textId="5A6B4876" w:rsidR="005B7140" w:rsidRDefault="005B7140" w:rsidP="005B7140">
      <w:pPr>
        <w:pStyle w:val="SingleTxt"/>
        <w:rPr>
          <w:lang w:eastAsia="zh-CN"/>
        </w:rPr>
      </w:pPr>
      <w:r>
        <w:rPr>
          <w:lang w:eastAsia="zh-CN"/>
        </w:rPr>
        <w:tab/>
        <w:t>The Committee appointed Theodora Oby Nwankwo to replace Pramila Patten as a member of the Working Group on Communications under the Optional Protocol. It also endorsed the election of Patricia Schulz as the Chair of the Working Group and of Gladys Acosta Vargas as Vice-Chair.</w:t>
      </w:r>
    </w:p>
    <w:p w14:paraId="12E84106" w14:textId="77777777" w:rsidR="005B7140" w:rsidRPr="005B7140" w:rsidRDefault="005B7140" w:rsidP="005B7140">
      <w:pPr>
        <w:pStyle w:val="SingleTxt"/>
        <w:spacing w:after="0" w:line="120" w:lineRule="exact"/>
        <w:rPr>
          <w:sz w:val="10"/>
          <w:lang w:eastAsia="zh-CN"/>
        </w:rPr>
      </w:pPr>
    </w:p>
    <w:p w14:paraId="0E59C2CB" w14:textId="3BB7BD5C"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67/IV</w:t>
      </w:r>
    </w:p>
    <w:p w14:paraId="04214A9B" w14:textId="77777777" w:rsidR="005B7140" w:rsidRPr="005B7140" w:rsidRDefault="005B7140" w:rsidP="005B7140">
      <w:pPr>
        <w:pStyle w:val="SingleTxt"/>
        <w:spacing w:after="0" w:line="120" w:lineRule="exact"/>
        <w:rPr>
          <w:sz w:val="10"/>
          <w:lang w:eastAsia="zh-CN"/>
        </w:rPr>
      </w:pPr>
    </w:p>
    <w:p w14:paraId="2492A7D6" w14:textId="1B87F1A3" w:rsidR="005B7140" w:rsidRDefault="005B7140" w:rsidP="005B7140">
      <w:pPr>
        <w:pStyle w:val="SingleTxt"/>
        <w:rPr>
          <w:lang w:eastAsia="zh-CN"/>
        </w:rPr>
      </w:pPr>
      <w:r>
        <w:rPr>
          <w:lang w:eastAsia="zh-CN"/>
        </w:rPr>
        <w:tab/>
        <w:t>The Committee appointed Dalia Leinarte to replace Theodora Oby Nwankwo as a member of the Working Group on Inquiries under the Optional Protocol.</w:t>
      </w:r>
    </w:p>
    <w:p w14:paraId="708B5B2D" w14:textId="77777777" w:rsidR="005B7140" w:rsidRPr="005B7140" w:rsidRDefault="005B7140" w:rsidP="005B7140">
      <w:pPr>
        <w:pStyle w:val="SingleTxt"/>
        <w:spacing w:after="0" w:line="120" w:lineRule="exact"/>
        <w:rPr>
          <w:sz w:val="10"/>
          <w:lang w:eastAsia="zh-CN"/>
        </w:rPr>
      </w:pPr>
    </w:p>
    <w:p w14:paraId="293D7829" w14:textId="36081E9E"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67/V</w:t>
      </w:r>
    </w:p>
    <w:p w14:paraId="6D031A6B" w14:textId="77777777" w:rsidR="005B7140" w:rsidRPr="005B7140" w:rsidRDefault="005B7140" w:rsidP="005B7140">
      <w:pPr>
        <w:pStyle w:val="SingleTxt"/>
        <w:spacing w:after="0" w:line="120" w:lineRule="exact"/>
        <w:rPr>
          <w:sz w:val="10"/>
          <w:lang w:eastAsia="zh-CN"/>
        </w:rPr>
      </w:pPr>
    </w:p>
    <w:p w14:paraId="3637984F" w14:textId="07594A7D" w:rsidR="005B7140" w:rsidRDefault="005B7140" w:rsidP="005B7140">
      <w:pPr>
        <w:pStyle w:val="SingleTxt"/>
        <w:rPr>
          <w:lang w:eastAsia="zh-CN"/>
        </w:rPr>
      </w:pPr>
      <w:r>
        <w:rPr>
          <w:lang w:eastAsia="zh-CN"/>
        </w:rPr>
        <w:tab/>
        <w:t>The Committee decided to amend its current practice of including in its concluding observations only those issues that were raised during the constructive dialogue with the State party concerned (see decision 60/VII), with a view to enabling experts to reduce the number of questions they ask during the dialogue. It also decided that issues included in its list of issues and questions and its list of issues prior to reporting may also be included in the concluding observations. The Committee requested the secretariat to inform States parties of the new practice, in the notes verbales transmitting the lists of issues and questions and the lists of issues prior to reporting.</w:t>
      </w:r>
    </w:p>
    <w:p w14:paraId="4B026392" w14:textId="77777777" w:rsidR="005B7140" w:rsidRPr="005B7140" w:rsidRDefault="005B7140" w:rsidP="005B7140">
      <w:pPr>
        <w:pStyle w:val="SingleTxt"/>
        <w:spacing w:after="0" w:line="120" w:lineRule="exact"/>
        <w:rPr>
          <w:sz w:val="10"/>
          <w:lang w:eastAsia="zh-CN"/>
        </w:rPr>
      </w:pPr>
    </w:p>
    <w:p w14:paraId="0DDAD942" w14:textId="2F7F8AF3"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67/VI</w:t>
      </w:r>
    </w:p>
    <w:p w14:paraId="68F647DE" w14:textId="77777777" w:rsidR="005B7140" w:rsidRPr="005B7140" w:rsidRDefault="005B7140" w:rsidP="005B7140">
      <w:pPr>
        <w:pStyle w:val="SingleTxt"/>
        <w:spacing w:after="0" w:line="120" w:lineRule="exact"/>
        <w:rPr>
          <w:sz w:val="10"/>
          <w:lang w:eastAsia="zh-CN"/>
        </w:rPr>
      </w:pPr>
    </w:p>
    <w:p w14:paraId="1FCD6230" w14:textId="02EE357F" w:rsidR="005B7140" w:rsidRDefault="005B7140" w:rsidP="005B7140">
      <w:pPr>
        <w:pStyle w:val="SingleTxt"/>
        <w:rPr>
          <w:lang w:eastAsia="zh-CN"/>
        </w:rPr>
      </w:pPr>
      <w:r>
        <w:rPr>
          <w:lang w:eastAsia="zh-CN"/>
        </w:rPr>
        <w:tab/>
        <w:t xml:space="preserve">The Committee recalled its decision 55/IX, in which it decided that each expert would sign up for a minimum of four country task forces per session, and it further decided that, in addition, country rapporteurs should sign up for a minimum of two country task forces, for sessions at which the reports of eight States parties are considered. It also decided that, in the event of a four-week session, at which the reports of 12 States parties are considered, each expert should sign up for a minimum of six country task forces, with the exception of country rapporteurs who should sign up for a minimum of three country task forces, to the extent possible. The Committee further decided that the list of country task forces should be finalized at the session </w:t>
      </w:r>
      <w:r>
        <w:rPr>
          <w:lang w:eastAsia="zh-CN"/>
        </w:rPr>
        <w:lastRenderedPageBreak/>
        <w:t>preceding the session at which the report of the State party concerned is scheduled for consideration, to the extent possible.</w:t>
      </w:r>
    </w:p>
    <w:p w14:paraId="3601741B" w14:textId="77777777" w:rsidR="005B7140" w:rsidRPr="005B7140" w:rsidRDefault="005B7140" w:rsidP="005B7140">
      <w:pPr>
        <w:pStyle w:val="SingleTxt"/>
        <w:spacing w:after="0" w:line="120" w:lineRule="exact"/>
        <w:rPr>
          <w:sz w:val="10"/>
          <w:lang w:eastAsia="zh-CN"/>
        </w:rPr>
      </w:pPr>
    </w:p>
    <w:p w14:paraId="253CA188" w14:textId="7835761F"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67/VII</w:t>
      </w:r>
    </w:p>
    <w:p w14:paraId="798788E1" w14:textId="77777777" w:rsidR="005B7140" w:rsidRPr="005B7140" w:rsidRDefault="005B7140" w:rsidP="005B7140">
      <w:pPr>
        <w:pStyle w:val="SingleTxt"/>
        <w:spacing w:after="0" w:line="120" w:lineRule="exact"/>
        <w:rPr>
          <w:sz w:val="10"/>
          <w:lang w:eastAsia="zh-CN"/>
        </w:rPr>
      </w:pPr>
    </w:p>
    <w:p w14:paraId="220DACEF" w14:textId="40A1A736" w:rsidR="005B7140" w:rsidRDefault="005B7140" w:rsidP="005B7140">
      <w:pPr>
        <w:pStyle w:val="SingleTxt"/>
        <w:rPr>
          <w:lang w:eastAsia="zh-CN"/>
        </w:rPr>
      </w:pPr>
      <w:r>
        <w:rPr>
          <w:lang w:eastAsia="zh-CN"/>
        </w:rPr>
        <w:tab/>
        <w:t>The Committee decided that each member should volunteer as country rapporteur for one country per year, to the extent possible, with a view to ensuring equal sharing of work, and that members should indicate their preferences to the Bureau member of the regional group of the State party concerned. It also decided that country rapporteurs should be designated during the year preceding the year when the reports of the States parties concerned are scheduled for consideration.</w:t>
      </w:r>
    </w:p>
    <w:p w14:paraId="6105AE8F" w14:textId="77777777" w:rsidR="005B7140" w:rsidRPr="005B7140" w:rsidRDefault="005B7140" w:rsidP="005B7140">
      <w:pPr>
        <w:pStyle w:val="SingleTxt"/>
        <w:spacing w:after="0" w:line="120" w:lineRule="exact"/>
        <w:rPr>
          <w:sz w:val="10"/>
          <w:lang w:eastAsia="zh-CN"/>
        </w:rPr>
      </w:pPr>
    </w:p>
    <w:p w14:paraId="01B00E17" w14:textId="73961DE4"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67/VIII</w:t>
      </w:r>
    </w:p>
    <w:p w14:paraId="667D888D" w14:textId="77777777" w:rsidR="005B7140" w:rsidRPr="005B7140" w:rsidRDefault="005B7140" w:rsidP="005B7140">
      <w:pPr>
        <w:pStyle w:val="SingleTxt"/>
        <w:spacing w:after="0" w:line="120" w:lineRule="exact"/>
        <w:rPr>
          <w:sz w:val="10"/>
          <w:lang w:eastAsia="zh-CN"/>
        </w:rPr>
      </w:pPr>
    </w:p>
    <w:p w14:paraId="5A1943D9" w14:textId="7115DCAE" w:rsidR="005B7140" w:rsidRDefault="005B7140" w:rsidP="005B7140">
      <w:pPr>
        <w:pStyle w:val="SingleTxt"/>
        <w:rPr>
          <w:lang w:eastAsia="zh-CN"/>
        </w:rPr>
      </w:pPr>
      <w:r>
        <w:rPr>
          <w:lang w:eastAsia="zh-CN"/>
        </w:rPr>
        <w:tab/>
        <w:t>The Committee decided to revise its decision 65/II and to further amend the standard paragraph in its concluding observations on the date for the submission of the next periodic report of the State party concerned, as follows: “The Committee requests the State party to submit its [xxx] periodic report, which is due in [month] [year]. The report should be submitted on time and cover the entire period up to the time of its submission.”</w:t>
      </w:r>
    </w:p>
    <w:p w14:paraId="794443A9" w14:textId="77777777" w:rsidR="005B7140" w:rsidRPr="005B7140" w:rsidRDefault="005B7140" w:rsidP="005B7140">
      <w:pPr>
        <w:pStyle w:val="SingleTxt"/>
        <w:spacing w:after="0" w:line="120" w:lineRule="exact"/>
        <w:rPr>
          <w:sz w:val="10"/>
          <w:lang w:eastAsia="zh-CN"/>
        </w:rPr>
      </w:pPr>
    </w:p>
    <w:p w14:paraId="164CBE38" w14:textId="61CFBAF5"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67/IX</w:t>
      </w:r>
    </w:p>
    <w:p w14:paraId="371A0B9E" w14:textId="77777777" w:rsidR="005B7140" w:rsidRPr="005B7140" w:rsidRDefault="005B7140" w:rsidP="005B7140">
      <w:pPr>
        <w:pStyle w:val="SingleTxt"/>
        <w:spacing w:after="0" w:line="120" w:lineRule="exact"/>
        <w:rPr>
          <w:sz w:val="10"/>
          <w:lang w:eastAsia="zh-CN"/>
        </w:rPr>
      </w:pPr>
    </w:p>
    <w:p w14:paraId="192A216B" w14:textId="32388E31" w:rsidR="005B7140" w:rsidRDefault="005B7140" w:rsidP="005B7140">
      <w:pPr>
        <w:pStyle w:val="SingleTxt"/>
        <w:rPr>
          <w:lang w:eastAsia="zh-CN"/>
        </w:rPr>
      </w:pPr>
      <w:r>
        <w:rPr>
          <w:lang w:eastAsia="zh-CN"/>
        </w:rPr>
        <w:tab/>
        <w:t xml:space="preserve">In accordance with rule 24 of its rules of procedure, as amended by decision 59/V, the Committee decided that, on the basis of its composition, Arabic would remain its fourth official language until 31 December 2018, to be used on an exceptional basis to facilitate communication among the members, in accordance with paragraph 30 of General Assembly resolution </w:t>
      </w:r>
      <w:hyperlink r:id="rId23" w:history="1">
        <w:r w:rsidRPr="004D70EB">
          <w:rPr>
            <w:rStyle w:val="Hyperlink"/>
            <w:lang w:eastAsia="zh-CN"/>
          </w:rPr>
          <w:t>68/268</w:t>
        </w:r>
      </w:hyperlink>
      <w:r>
        <w:rPr>
          <w:lang w:eastAsia="zh-CN"/>
        </w:rPr>
        <w:t>.</w:t>
      </w:r>
    </w:p>
    <w:p w14:paraId="4B8ECCDC" w14:textId="77777777" w:rsidR="005B7140" w:rsidRPr="005B7140" w:rsidRDefault="005B7140" w:rsidP="005B7140">
      <w:pPr>
        <w:pStyle w:val="SingleTxt"/>
        <w:spacing w:after="0" w:line="120" w:lineRule="exact"/>
        <w:rPr>
          <w:sz w:val="10"/>
          <w:lang w:eastAsia="zh-CN"/>
        </w:rPr>
      </w:pPr>
    </w:p>
    <w:p w14:paraId="0050CCC2" w14:textId="122FB711"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67/X</w:t>
      </w:r>
    </w:p>
    <w:p w14:paraId="6439DC79" w14:textId="77777777" w:rsidR="005B7140" w:rsidRPr="005B7140" w:rsidRDefault="005B7140" w:rsidP="005B7140">
      <w:pPr>
        <w:pStyle w:val="SingleTxt"/>
        <w:spacing w:after="0" w:line="120" w:lineRule="exact"/>
        <w:rPr>
          <w:sz w:val="10"/>
          <w:lang w:eastAsia="zh-CN"/>
        </w:rPr>
      </w:pPr>
    </w:p>
    <w:p w14:paraId="008605B8" w14:textId="434CCA4D" w:rsidR="005B7140" w:rsidRDefault="005B7140" w:rsidP="005B7140">
      <w:pPr>
        <w:pStyle w:val="SingleTxt"/>
        <w:rPr>
          <w:lang w:eastAsia="zh-CN"/>
        </w:rPr>
      </w:pPr>
      <w:r>
        <w:rPr>
          <w:lang w:eastAsia="zh-CN"/>
        </w:rPr>
        <w:tab/>
        <w:t>The Committee confirmed the members of the pre-sessional working group for the sixty-ninth session, namely, Marion Bethel, Hilary Gbedemah (replacing Theodora Oby Nwankwo), Nahla Haidar, Lilian Hofmeister and Lia Nadaraia.</w:t>
      </w:r>
    </w:p>
    <w:p w14:paraId="73F9BF71" w14:textId="623EF5BC" w:rsidR="005B7140" w:rsidRDefault="005B7140">
      <w:pPr>
        <w:suppressAutoHyphens w:val="0"/>
        <w:spacing w:after="200" w:line="276" w:lineRule="auto"/>
        <w:rPr>
          <w:lang w:eastAsia="zh-CN"/>
        </w:rPr>
      </w:pPr>
      <w:r>
        <w:rPr>
          <w:lang w:eastAsia="zh-CN"/>
        </w:rPr>
        <w:br w:type="page"/>
      </w:r>
    </w:p>
    <w:p w14:paraId="565B78DB" w14:textId="77777777" w:rsidR="005B7140" w:rsidRDefault="005B7140" w:rsidP="005B7140">
      <w:pPr>
        <w:pStyle w:val="HCh"/>
        <w:ind w:left="1267" w:right="1260" w:hanging="1267"/>
        <w:rPr>
          <w:lang w:eastAsia="zh-CN"/>
        </w:rPr>
      </w:pPr>
      <w:r>
        <w:rPr>
          <w:lang w:eastAsia="zh-CN"/>
        </w:rPr>
        <w:lastRenderedPageBreak/>
        <w:t>Chapter II</w:t>
      </w:r>
    </w:p>
    <w:p w14:paraId="0E383AA2" w14:textId="77777777" w:rsidR="005B7140" w:rsidRDefault="005B7140" w:rsidP="005B7140">
      <w:pPr>
        <w:pStyle w:val="HCh"/>
        <w:ind w:left="1267" w:right="1260" w:hanging="1267"/>
        <w:rPr>
          <w:lang w:eastAsia="zh-CN"/>
        </w:rPr>
      </w:pPr>
      <w:r>
        <w:rPr>
          <w:lang w:eastAsia="zh-CN"/>
        </w:rPr>
        <w:tab/>
      </w:r>
      <w:r>
        <w:rPr>
          <w:lang w:eastAsia="zh-CN"/>
        </w:rPr>
        <w:tab/>
        <w:t>Organizational and other matters</w:t>
      </w:r>
    </w:p>
    <w:p w14:paraId="325EC4D4" w14:textId="77777777" w:rsidR="005B7140" w:rsidRPr="005B7140" w:rsidRDefault="005B7140" w:rsidP="005B7140">
      <w:pPr>
        <w:pStyle w:val="SingleTxt"/>
        <w:spacing w:after="0" w:line="120" w:lineRule="exact"/>
        <w:rPr>
          <w:sz w:val="10"/>
          <w:lang w:eastAsia="zh-CN"/>
        </w:rPr>
      </w:pPr>
    </w:p>
    <w:p w14:paraId="1727E5C0" w14:textId="77777777" w:rsidR="005B7140" w:rsidRPr="005B7140" w:rsidRDefault="005B7140" w:rsidP="005B7140">
      <w:pPr>
        <w:pStyle w:val="SingleTxt"/>
        <w:spacing w:after="0" w:line="120" w:lineRule="exact"/>
        <w:rPr>
          <w:sz w:val="10"/>
          <w:lang w:eastAsia="zh-CN"/>
        </w:rPr>
      </w:pPr>
    </w:p>
    <w:p w14:paraId="1E2E20DC" w14:textId="4DFA51FB" w:rsidR="005B7140" w:rsidRDefault="005B7140" w:rsidP="005B7140">
      <w:pPr>
        <w:pStyle w:val="H1"/>
        <w:ind w:right="1260"/>
        <w:rPr>
          <w:lang w:eastAsia="zh-CN"/>
        </w:rPr>
      </w:pPr>
      <w:r>
        <w:rPr>
          <w:lang w:eastAsia="zh-CN"/>
        </w:rPr>
        <w:tab/>
        <w:t>A.</w:t>
      </w:r>
      <w:r>
        <w:rPr>
          <w:lang w:eastAsia="zh-CN"/>
        </w:rPr>
        <w:tab/>
        <w:t>States parties to the Convention and to the Optional Protocol</w:t>
      </w:r>
    </w:p>
    <w:p w14:paraId="5BC1E567" w14:textId="77777777" w:rsidR="005B7140" w:rsidRPr="005B7140" w:rsidRDefault="005B7140" w:rsidP="005B7140">
      <w:pPr>
        <w:pStyle w:val="SingleTxt"/>
        <w:spacing w:after="0" w:line="120" w:lineRule="exact"/>
        <w:rPr>
          <w:sz w:val="10"/>
          <w:lang w:eastAsia="zh-CN"/>
        </w:rPr>
      </w:pPr>
    </w:p>
    <w:p w14:paraId="27390A28" w14:textId="77777777" w:rsidR="005B7140" w:rsidRPr="005B7140" w:rsidRDefault="005B7140" w:rsidP="005B7140">
      <w:pPr>
        <w:pStyle w:val="SingleTxt"/>
        <w:spacing w:after="0" w:line="120" w:lineRule="exact"/>
        <w:rPr>
          <w:sz w:val="10"/>
          <w:lang w:eastAsia="zh-CN"/>
        </w:rPr>
      </w:pPr>
    </w:p>
    <w:p w14:paraId="6AAF60C0" w14:textId="6E53FDB5" w:rsidR="005B7140" w:rsidRDefault="005B7140" w:rsidP="005B7140">
      <w:pPr>
        <w:pStyle w:val="SingleTxt"/>
        <w:rPr>
          <w:lang w:eastAsia="zh-CN"/>
        </w:rPr>
      </w:pPr>
      <w:r>
        <w:rPr>
          <w:lang w:eastAsia="zh-CN"/>
        </w:rPr>
        <w:t>1.</w:t>
      </w:r>
      <w:r>
        <w:rPr>
          <w:lang w:eastAsia="zh-CN"/>
        </w:rPr>
        <w:tab/>
        <w:t>As at 21 July 2017, the closing date of the sixty-seventh session of the Committee, there were 189 States parties to the Convention. In addition, 71 States parties had accepted the amendment to article 20 (1) of the Convention concerning the meeting time of the Committee. A total of 126 States parties to the Convention are currently required to accept the amendment in order to bring it into force.</w:t>
      </w:r>
    </w:p>
    <w:p w14:paraId="651F94DE" w14:textId="77777777" w:rsidR="005B7140" w:rsidRDefault="005B7140" w:rsidP="005B7140">
      <w:pPr>
        <w:pStyle w:val="SingleTxt"/>
        <w:rPr>
          <w:lang w:eastAsia="zh-CN"/>
        </w:rPr>
      </w:pPr>
      <w:r>
        <w:rPr>
          <w:lang w:eastAsia="zh-CN"/>
        </w:rPr>
        <w:t>2.</w:t>
      </w:r>
      <w:r>
        <w:rPr>
          <w:lang w:eastAsia="zh-CN"/>
        </w:rPr>
        <w:tab/>
        <w:t>As at the same date, there were 109 States parties to the Optional Protocol to the Convention.</w:t>
      </w:r>
    </w:p>
    <w:p w14:paraId="38F96F61" w14:textId="77777777" w:rsidR="005B7140" w:rsidRPr="005B7140" w:rsidRDefault="005B7140" w:rsidP="005B7140">
      <w:pPr>
        <w:pStyle w:val="SingleTxt"/>
        <w:spacing w:after="0" w:line="120" w:lineRule="exact"/>
        <w:rPr>
          <w:sz w:val="10"/>
          <w:lang w:eastAsia="zh-CN"/>
        </w:rPr>
      </w:pPr>
    </w:p>
    <w:p w14:paraId="11E0FA8A" w14:textId="77777777" w:rsidR="005B7140" w:rsidRPr="005B7140" w:rsidRDefault="005B7140" w:rsidP="005B7140">
      <w:pPr>
        <w:pStyle w:val="SingleTxt"/>
        <w:spacing w:after="0" w:line="120" w:lineRule="exact"/>
        <w:rPr>
          <w:sz w:val="10"/>
          <w:lang w:eastAsia="zh-CN"/>
        </w:rPr>
      </w:pPr>
    </w:p>
    <w:p w14:paraId="079EF0CD" w14:textId="759FE354" w:rsidR="005B7140" w:rsidRDefault="005B7140" w:rsidP="005B7140">
      <w:pPr>
        <w:pStyle w:val="H1"/>
        <w:ind w:right="1260"/>
        <w:rPr>
          <w:lang w:eastAsia="zh-CN"/>
        </w:rPr>
      </w:pPr>
      <w:r>
        <w:rPr>
          <w:lang w:eastAsia="zh-CN"/>
        </w:rPr>
        <w:tab/>
        <w:t>B.</w:t>
      </w:r>
      <w:r>
        <w:rPr>
          <w:lang w:eastAsia="zh-CN"/>
        </w:rPr>
        <w:tab/>
        <w:t>Opening of the session</w:t>
      </w:r>
    </w:p>
    <w:p w14:paraId="1EBEAD53" w14:textId="77777777" w:rsidR="005B7140" w:rsidRPr="005B7140" w:rsidRDefault="005B7140" w:rsidP="005B7140">
      <w:pPr>
        <w:pStyle w:val="SingleTxt"/>
        <w:spacing w:after="0" w:line="120" w:lineRule="exact"/>
        <w:rPr>
          <w:sz w:val="10"/>
          <w:lang w:eastAsia="zh-CN"/>
        </w:rPr>
      </w:pPr>
    </w:p>
    <w:p w14:paraId="59AE96E7" w14:textId="77777777" w:rsidR="005B7140" w:rsidRPr="005B7140" w:rsidRDefault="005B7140" w:rsidP="005B7140">
      <w:pPr>
        <w:pStyle w:val="SingleTxt"/>
        <w:spacing w:after="0" w:line="120" w:lineRule="exact"/>
        <w:rPr>
          <w:sz w:val="10"/>
          <w:lang w:eastAsia="zh-CN"/>
        </w:rPr>
      </w:pPr>
    </w:p>
    <w:p w14:paraId="7788AE61" w14:textId="1FAD62A8" w:rsidR="005B7140" w:rsidRDefault="005B7140" w:rsidP="005B7140">
      <w:pPr>
        <w:pStyle w:val="SingleTxt"/>
        <w:rPr>
          <w:lang w:eastAsia="zh-CN"/>
        </w:rPr>
      </w:pPr>
      <w:r>
        <w:rPr>
          <w:lang w:eastAsia="zh-CN"/>
        </w:rPr>
        <w:t>3.</w:t>
      </w:r>
      <w:r>
        <w:rPr>
          <w:lang w:eastAsia="zh-CN"/>
        </w:rPr>
        <w:tab/>
        <w:t>The sixty-seventh session of the Committee was held at the United Nations Office at Geneva from 3 to 21 July 2017. The Committee held 20 plenary meetings and 10 meetings to discuss agenda items 5 to 8. A list of the documents before the Committee is contained in the annex to part one of the present report.</w:t>
      </w:r>
    </w:p>
    <w:p w14:paraId="5196AB22" w14:textId="77777777" w:rsidR="005B7140" w:rsidRDefault="005B7140" w:rsidP="005B7140">
      <w:pPr>
        <w:pStyle w:val="SingleTxt"/>
        <w:rPr>
          <w:lang w:eastAsia="zh-CN"/>
        </w:rPr>
      </w:pPr>
      <w:r>
        <w:rPr>
          <w:lang w:eastAsia="zh-CN"/>
        </w:rPr>
        <w:t>4.</w:t>
      </w:r>
      <w:r>
        <w:rPr>
          <w:lang w:eastAsia="zh-CN"/>
        </w:rPr>
        <w:tab/>
        <w:t>At the 1500th meeting, on 3 July, the session was opened by the Chair.</w:t>
      </w:r>
    </w:p>
    <w:p w14:paraId="07FE6936" w14:textId="77777777" w:rsidR="005B7140" w:rsidRPr="005B7140" w:rsidRDefault="005B7140" w:rsidP="005B7140">
      <w:pPr>
        <w:pStyle w:val="SingleTxt"/>
        <w:spacing w:after="0" w:line="120" w:lineRule="exact"/>
        <w:rPr>
          <w:sz w:val="10"/>
          <w:lang w:eastAsia="zh-CN"/>
        </w:rPr>
      </w:pPr>
    </w:p>
    <w:p w14:paraId="60BBEB0D" w14:textId="77777777" w:rsidR="005B7140" w:rsidRPr="005B7140" w:rsidRDefault="005B7140" w:rsidP="005B7140">
      <w:pPr>
        <w:pStyle w:val="SingleTxt"/>
        <w:spacing w:after="0" w:line="120" w:lineRule="exact"/>
        <w:rPr>
          <w:sz w:val="10"/>
          <w:lang w:eastAsia="zh-CN"/>
        </w:rPr>
      </w:pPr>
    </w:p>
    <w:p w14:paraId="1C3026C6" w14:textId="55956E79" w:rsidR="005B7140" w:rsidRDefault="005B7140" w:rsidP="005B7140">
      <w:pPr>
        <w:pStyle w:val="H1"/>
        <w:ind w:right="1260"/>
        <w:rPr>
          <w:lang w:eastAsia="zh-CN"/>
        </w:rPr>
      </w:pPr>
      <w:r>
        <w:rPr>
          <w:lang w:eastAsia="zh-CN"/>
        </w:rPr>
        <w:tab/>
        <w:t>C.</w:t>
      </w:r>
      <w:r>
        <w:rPr>
          <w:lang w:eastAsia="zh-CN"/>
        </w:rPr>
        <w:tab/>
        <w:t>Adoption of the agenda</w:t>
      </w:r>
    </w:p>
    <w:p w14:paraId="4FADC5B6" w14:textId="77777777" w:rsidR="005B7140" w:rsidRPr="005B7140" w:rsidRDefault="005B7140" w:rsidP="005B7140">
      <w:pPr>
        <w:pStyle w:val="SingleTxt"/>
        <w:spacing w:after="0" w:line="120" w:lineRule="exact"/>
        <w:rPr>
          <w:sz w:val="10"/>
          <w:lang w:eastAsia="zh-CN"/>
        </w:rPr>
      </w:pPr>
    </w:p>
    <w:p w14:paraId="4FF100F6" w14:textId="77777777" w:rsidR="005B7140" w:rsidRPr="005B7140" w:rsidRDefault="005B7140" w:rsidP="005B7140">
      <w:pPr>
        <w:pStyle w:val="SingleTxt"/>
        <w:spacing w:after="0" w:line="120" w:lineRule="exact"/>
        <w:rPr>
          <w:sz w:val="10"/>
          <w:lang w:eastAsia="zh-CN"/>
        </w:rPr>
      </w:pPr>
    </w:p>
    <w:p w14:paraId="7E4C3139" w14:textId="3EB3BA27" w:rsidR="005B7140" w:rsidRDefault="005B7140" w:rsidP="005B7140">
      <w:pPr>
        <w:pStyle w:val="SingleTxt"/>
        <w:rPr>
          <w:lang w:eastAsia="zh-CN"/>
        </w:rPr>
      </w:pPr>
      <w:r>
        <w:rPr>
          <w:lang w:eastAsia="zh-CN"/>
        </w:rPr>
        <w:t>5.</w:t>
      </w:r>
      <w:r>
        <w:rPr>
          <w:lang w:eastAsia="zh-CN"/>
        </w:rPr>
        <w:tab/>
        <w:t>The Committee adopted the provisional agenda (</w:t>
      </w:r>
      <w:hyperlink r:id="rId24" w:history="1">
        <w:r w:rsidRPr="004D70EB">
          <w:rPr>
            <w:rStyle w:val="Hyperlink"/>
            <w:lang w:eastAsia="zh-CN"/>
          </w:rPr>
          <w:t>CEDAW/C/67/1</w:t>
        </w:r>
      </w:hyperlink>
      <w:r>
        <w:rPr>
          <w:lang w:eastAsia="zh-CN"/>
        </w:rPr>
        <w:t>) at its 1500th meeting, on 3 July.</w:t>
      </w:r>
    </w:p>
    <w:p w14:paraId="3D3001E1" w14:textId="77777777" w:rsidR="005B7140" w:rsidRPr="005B7140" w:rsidRDefault="005B7140" w:rsidP="005B7140">
      <w:pPr>
        <w:pStyle w:val="SingleTxt"/>
        <w:spacing w:after="0" w:line="120" w:lineRule="exact"/>
        <w:rPr>
          <w:sz w:val="10"/>
          <w:lang w:eastAsia="zh-CN"/>
        </w:rPr>
      </w:pPr>
    </w:p>
    <w:p w14:paraId="7D2AE694" w14:textId="77777777" w:rsidR="005B7140" w:rsidRPr="005B7140" w:rsidRDefault="005B7140" w:rsidP="005B7140">
      <w:pPr>
        <w:pStyle w:val="SingleTxt"/>
        <w:spacing w:after="0" w:line="120" w:lineRule="exact"/>
        <w:rPr>
          <w:sz w:val="10"/>
          <w:lang w:eastAsia="zh-CN"/>
        </w:rPr>
      </w:pPr>
    </w:p>
    <w:p w14:paraId="4C0959DB" w14:textId="5719359F" w:rsidR="005B7140" w:rsidRDefault="005B7140" w:rsidP="005B7140">
      <w:pPr>
        <w:pStyle w:val="H1"/>
        <w:ind w:right="1260"/>
        <w:rPr>
          <w:lang w:eastAsia="zh-CN"/>
        </w:rPr>
      </w:pPr>
      <w:r>
        <w:rPr>
          <w:lang w:eastAsia="zh-CN"/>
        </w:rPr>
        <w:tab/>
        <w:t>D.</w:t>
      </w:r>
      <w:r>
        <w:rPr>
          <w:lang w:eastAsia="zh-CN"/>
        </w:rPr>
        <w:tab/>
        <w:t>Report of the pre-sessional working group</w:t>
      </w:r>
    </w:p>
    <w:p w14:paraId="28C21F41" w14:textId="77777777" w:rsidR="005B7140" w:rsidRPr="005B7140" w:rsidRDefault="005B7140" w:rsidP="005B7140">
      <w:pPr>
        <w:pStyle w:val="SingleTxt"/>
        <w:spacing w:after="0" w:line="120" w:lineRule="exact"/>
        <w:rPr>
          <w:sz w:val="10"/>
          <w:lang w:eastAsia="zh-CN"/>
        </w:rPr>
      </w:pPr>
    </w:p>
    <w:p w14:paraId="08618587" w14:textId="77777777" w:rsidR="005B7140" w:rsidRPr="005B7140" w:rsidRDefault="005B7140" w:rsidP="005B7140">
      <w:pPr>
        <w:pStyle w:val="SingleTxt"/>
        <w:spacing w:after="0" w:line="120" w:lineRule="exact"/>
        <w:rPr>
          <w:sz w:val="10"/>
          <w:lang w:eastAsia="zh-CN"/>
        </w:rPr>
      </w:pPr>
    </w:p>
    <w:p w14:paraId="1DC91408" w14:textId="0FF94788" w:rsidR="005B7140" w:rsidRDefault="005B7140" w:rsidP="005B7140">
      <w:pPr>
        <w:pStyle w:val="SingleTxt"/>
        <w:rPr>
          <w:lang w:eastAsia="zh-CN"/>
        </w:rPr>
      </w:pPr>
      <w:r>
        <w:rPr>
          <w:lang w:eastAsia="zh-CN"/>
        </w:rPr>
        <w:t>6.</w:t>
      </w:r>
      <w:r>
        <w:rPr>
          <w:lang w:eastAsia="zh-CN"/>
        </w:rPr>
        <w:tab/>
        <w:t>The report of the pre-sessional working group (</w:t>
      </w:r>
      <w:hyperlink r:id="rId25" w:history="1">
        <w:r w:rsidRPr="004D70EB">
          <w:rPr>
            <w:rStyle w:val="Hyperlink"/>
            <w:lang w:eastAsia="zh-CN"/>
          </w:rPr>
          <w:t>CEDAW/C/PSWG/67/1</w:t>
        </w:r>
      </w:hyperlink>
      <w:r>
        <w:rPr>
          <w:lang w:eastAsia="zh-CN"/>
        </w:rPr>
        <w:t>), which had met from 21 to 25 November 2016, was introduced by Patricia Schulz at the 1500th meeting, on 3 July 2017.</w:t>
      </w:r>
    </w:p>
    <w:p w14:paraId="55CB7A18" w14:textId="77777777" w:rsidR="005B7140" w:rsidRPr="005B7140" w:rsidRDefault="005B7140" w:rsidP="005B7140">
      <w:pPr>
        <w:pStyle w:val="SingleTxt"/>
        <w:spacing w:after="0" w:line="120" w:lineRule="exact"/>
        <w:rPr>
          <w:sz w:val="10"/>
          <w:lang w:eastAsia="zh-CN"/>
        </w:rPr>
      </w:pPr>
    </w:p>
    <w:p w14:paraId="410586EE" w14:textId="77777777" w:rsidR="005B7140" w:rsidRPr="005B7140" w:rsidRDefault="005B7140" w:rsidP="005B7140">
      <w:pPr>
        <w:pStyle w:val="SingleTxt"/>
        <w:spacing w:after="0" w:line="120" w:lineRule="exact"/>
        <w:rPr>
          <w:sz w:val="10"/>
          <w:lang w:eastAsia="zh-CN"/>
        </w:rPr>
      </w:pPr>
    </w:p>
    <w:p w14:paraId="461238D8" w14:textId="6ACFCD58" w:rsidR="005B7140" w:rsidRDefault="005B7140" w:rsidP="005B7140">
      <w:pPr>
        <w:pStyle w:val="H1"/>
        <w:ind w:right="1260"/>
        <w:rPr>
          <w:lang w:eastAsia="zh-CN"/>
        </w:rPr>
      </w:pPr>
      <w:r>
        <w:rPr>
          <w:lang w:eastAsia="zh-CN"/>
        </w:rPr>
        <w:tab/>
        <w:t>E.</w:t>
      </w:r>
      <w:r>
        <w:rPr>
          <w:lang w:eastAsia="zh-CN"/>
        </w:rPr>
        <w:tab/>
        <w:t>Organization of work</w:t>
      </w:r>
    </w:p>
    <w:p w14:paraId="7DFC72BC" w14:textId="77777777" w:rsidR="005B7140" w:rsidRPr="005B7140" w:rsidRDefault="005B7140" w:rsidP="005B7140">
      <w:pPr>
        <w:pStyle w:val="SingleTxt"/>
        <w:spacing w:after="0" w:line="120" w:lineRule="exact"/>
        <w:rPr>
          <w:sz w:val="10"/>
          <w:lang w:eastAsia="zh-CN"/>
        </w:rPr>
      </w:pPr>
    </w:p>
    <w:p w14:paraId="72CACE1C" w14:textId="77777777" w:rsidR="005B7140" w:rsidRPr="005B7140" w:rsidRDefault="005B7140" w:rsidP="005B7140">
      <w:pPr>
        <w:pStyle w:val="SingleTxt"/>
        <w:spacing w:after="0" w:line="120" w:lineRule="exact"/>
        <w:rPr>
          <w:sz w:val="10"/>
          <w:lang w:eastAsia="zh-CN"/>
        </w:rPr>
      </w:pPr>
    </w:p>
    <w:p w14:paraId="441B8A50" w14:textId="5267CA5A" w:rsidR="005B7140" w:rsidRDefault="005B7140" w:rsidP="005B7140">
      <w:pPr>
        <w:pStyle w:val="SingleTxt"/>
        <w:rPr>
          <w:lang w:eastAsia="zh-CN"/>
        </w:rPr>
      </w:pPr>
      <w:r>
        <w:rPr>
          <w:lang w:eastAsia="zh-CN"/>
        </w:rPr>
        <w:t>7.</w:t>
      </w:r>
      <w:r>
        <w:rPr>
          <w:lang w:eastAsia="zh-CN"/>
        </w:rPr>
        <w:tab/>
        <w:t>On 3 and 10 July 2017, the Committee held closed meetings, including videoconferences, with representatives of the specialized agencies, funds and programmes of the United Nations system and other intergovernmental organizations, at which those bodies provided country-specific information and information on their efforts to support the implementation of the Convention.</w:t>
      </w:r>
    </w:p>
    <w:p w14:paraId="6F9602B7" w14:textId="77777777" w:rsidR="005B7140" w:rsidRDefault="005B7140" w:rsidP="005B7140">
      <w:pPr>
        <w:pStyle w:val="SingleTxt"/>
        <w:rPr>
          <w:lang w:eastAsia="zh-CN"/>
        </w:rPr>
      </w:pPr>
      <w:r>
        <w:rPr>
          <w:lang w:eastAsia="zh-CN"/>
        </w:rPr>
        <w:t>8.</w:t>
      </w:r>
      <w:r>
        <w:rPr>
          <w:lang w:eastAsia="zh-CN"/>
        </w:rPr>
        <w:tab/>
        <w:t>In addition, the Committee held informal public meetings with representatives of non-governmental organizations and national human rights institutions, who provided information on the implementation of the Convention in the States parties whose reports the Committee considered at its session.</w:t>
      </w:r>
    </w:p>
    <w:p w14:paraId="68F316A5" w14:textId="77777777" w:rsidR="005B7140" w:rsidRDefault="005B7140" w:rsidP="005B7140">
      <w:pPr>
        <w:pStyle w:val="SingleTxt"/>
        <w:rPr>
          <w:lang w:eastAsia="zh-CN"/>
        </w:rPr>
      </w:pPr>
      <w:r>
        <w:rPr>
          <w:lang w:eastAsia="zh-CN"/>
        </w:rPr>
        <w:t>9.</w:t>
      </w:r>
      <w:r>
        <w:rPr>
          <w:lang w:eastAsia="zh-CN"/>
        </w:rPr>
        <w:tab/>
        <w:t>On 7 July, the Committee held an informal meeting, at which Renée Chartres, Land and Gender Legal Specialist, Food and Agriculture Organization of the United Nations (FAO), provided a briefing on Sustainable Development Goal indicator 5.a.2, on ensuring that national legal frameworks (including customary law) guarantee women’s equal rights to land ownership and/or control.</w:t>
      </w:r>
    </w:p>
    <w:p w14:paraId="50B8B4FF" w14:textId="77777777" w:rsidR="005B7140" w:rsidRDefault="005B7140" w:rsidP="005B7140">
      <w:pPr>
        <w:pStyle w:val="SingleTxt"/>
        <w:rPr>
          <w:lang w:eastAsia="zh-CN"/>
        </w:rPr>
      </w:pPr>
      <w:r>
        <w:rPr>
          <w:lang w:eastAsia="zh-CN"/>
        </w:rPr>
        <w:lastRenderedPageBreak/>
        <w:t>10.</w:t>
      </w:r>
      <w:r>
        <w:rPr>
          <w:lang w:eastAsia="zh-CN"/>
        </w:rPr>
        <w:tab/>
        <w:t>On 21 July, the Committee held an informal meeting, at which Ann Blomberg, Human Rights Specialist, UN-Women, provided a briefing on the outcome of the expert meeting to discuss strategies for integrating women’s rights into the global compact for safe, orderly and regular migration, hosted by OHCHR and UN-Women in Geneva on 21 and 22 November 2016.</w:t>
      </w:r>
    </w:p>
    <w:p w14:paraId="59047A8B" w14:textId="77777777" w:rsidR="005B7140" w:rsidRDefault="005B7140" w:rsidP="005B7140">
      <w:pPr>
        <w:pStyle w:val="SingleTxt"/>
        <w:rPr>
          <w:lang w:eastAsia="zh-CN"/>
        </w:rPr>
      </w:pPr>
      <w:r>
        <w:rPr>
          <w:lang w:eastAsia="zh-CN"/>
        </w:rPr>
        <w:t>11.</w:t>
      </w:r>
      <w:r>
        <w:rPr>
          <w:lang w:eastAsia="zh-CN"/>
        </w:rPr>
        <w:tab/>
        <w:t>On 12 July 2017, the Committee met informally with the members of the Expert Mechanism on the Rights of Indigenous Peoples of the Human Rights Council. The meeting was hosted by the Geneva Academy of International Humanitarian Law and Human Rights.</w:t>
      </w:r>
    </w:p>
    <w:p w14:paraId="1BDE1385" w14:textId="77777777" w:rsidR="005B7140" w:rsidRDefault="005B7140" w:rsidP="005B7140">
      <w:pPr>
        <w:pStyle w:val="SingleTxt"/>
        <w:rPr>
          <w:lang w:eastAsia="zh-CN"/>
        </w:rPr>
      </w:pPr>
      <w:r>
        <w:rPr>
          <w:lang w:eastAsia="zh-CN"/>
        </w:rPr>
        <w:t>12.</w:t>
      </w:r>
      <w:r>
        <w:rPr>
          <w:lang w:eastAsia="zh-CN"/>
        </w:rPr>
        <w:tab/>
        <w:t>On 14 July, the Committee held a videoconference with Akiko Sakaue, Programme Analyst for Human Rights and Gender, United Nations Population Fund (UNFPA) and Emilie Filmer-Wilson, Technical Adviser (Human Rights), UNFPA, who provided a briefing on women’s rights issues relating to surrogacy.</w:t>
      </w:r>
    </w:p>
    <w:p w14:paraId="319F93CF" w14:textId="77777777" w:rsidR="005B7140" w:rsidRDefault="005B7140" w:rsidP="005B7140">
      <w:pPr>
        <w:pStyle w:val="SingleTxt"/>
        <w:rPr>
          <w:lang w:eastAsia="zh-CN"/>
        </w:rPr>
      </w:pPr>
      <w:r>
        <w:rPr>
          <w:lang w:eastAsia="zh-CN"/>
        </w:rPr>
        <w:t>13.</w:t>
      </w:r>
      <w:r>
        <w:rPr>
          <w:lang w:eastAsia="zh-CN"/>
        </w:rPr>
        <w:tab/>
        <w:t>On 19 July, the Committee met informally with Sarah Iqbal, Programme Manager, Women, Business and the Law project, World Bank, and Keiko Nowacka, Gender Coordinator, Development Centre, Organization for Economic Cooperation and Development (OECD), who provided a briefing on data collection on Sustainable Development Goal indicator 5.1.1, on legal frameworks to promote, enforce and monitor equality and non-discrimination on the basis of sex. From UN-Women, Begoña Lasagabaster, Chief, Human Rights Section; Ginette Azcona, Policy Specialist; and Caitlin Boyce, Human Rights Legal Policy Specialist; participated in the meeting via videoconference.</w:t>
      </w:r>
    </w:p>
    <w:p w14:paraId="3FFC7D89" w14:textId="77777777" w:rsidR="005B7140" w:rsidRPr="005B7140" w:rsidRDefault="005B7140" w:rsidP="005B7140">
      <w:pPr>
        <w:pStyle w:val="SingleTxt"/>
        <w:spacing w:after="0" w:line="120" w:lineRule="exact"/>
        <w:rPr>
          <w:sz w:val="10"/>
          <w:lang w:eastAsia="zh-CN"/>
        </w:rPr>
      </w:pPr>
    </w:p>
    <w:p w14:paraId="796A6E25" w14:textId="77777777" w:rsidR="005B7140" w:rsidRPr="005B7140" w:rsidRDefault="005B7140" w:rsidP="005B7140">
      <w:pPr>
        <w:pStyle w:val="SingleTxt"/>
        <w:spacing w:after="0" w:line="120" w:lineRule="exact"/>
        <w:rPr>
          <w:sz w:val="10"/>
          <w:lang w:eastAsia="zh-CN"/>
        </w:rPr>
      </w:pPr>
    </w:p>
    <w:p w14:paraId="51F63268" w14:textId="4FBF4FEF" w:rsidR="005B7140" w:rsidRDefault="005B7140" w:rsidP="005B7140">
      <w:pPr>
        <w:pStyle w:val="H1"/>
        <w:ind w:right="1260"/>
        <w:rPr>
          <w:lang w:eastAsia="zh-CN"/>
        </w:rPr>
      </w:pPr>
      <w:r>
        <w:rPr>
          <w:lang w:eastAsia="zh-CN"/>
        </w:rPr>
        <w:tab/>
        <w:t>F.</w:t>
      </w:r>
      <w:r>
        <w:rPr>
          <w:lang w:eastAsia="zh-CN"/>
        </w:rPr>
        <w:tab/>
        <w:t>Membership of the Committee</w:t>
      </w:r>
    </w:p>
    <w:p w14:paraId="29C6385E" w14:textId="77777777" w:rsidR="005B7140" w:rsidRPr="005B7140" w:rsidRDefault="005B7140" w:rsidP="005B7140">
      <w:pPr>
        <w:pStyle w:val="SingleTxt"/>
        <w:spacing w:after="0" w:line="120" w:lineRule="exact"/>
        <w:rPr>
          <w:sz w:val="10"/>
          <w:lang w:eastAsia="zh-CN"/>
        </w:rPr>
      </w:pPr>
    </w:p>
    <w:p w14:paraId="2FA5CFC2" w14:textId="77777777" w:rsidR="005B7140" w:rsidRPr="005B7140" w:rsidRDefault="005B7140" w:rsidP="005B7140">
      <w:pPr>
        <w:pStyle w:val="SingleTxt"/>
        <w:spacing w:after="0" w:line="120" w:lineRule="exact"/>
        <w:rPr>
          <w:sz w:val="10"/>
          <w:lang w:eastAsia="zh-CN"/>
        </w:rPr>
      </w:pPr>
    </w:p>
    <w:p w14:paraId="6CF8A130" w14:textId="039CC107"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Filling of casual vacancies</w:t>
      </w:r>
    </w:p>
    <w:p w14:paraId="4E2BC451" w14:textId="77777777" w:rsidR="005B7140" w:rsidRPr="005B7140" w:rsidRDefault="005B7140" w:rsidP="005B7140">
      <w:pPr>
        <w:pStyle w:val="SingleTxt"/>
        <w:spacing w:after="0" w:line="120" w:lineRule="exact"/>
        <w:rPr>
          <w:sz w:val="10"/>
          <w:lang w:eastAsia="zh-CN"/>
        </w:rPr>
      </w:pPr>
    </w:p>
    <w:p w14:paraId="194C8D60" w14:textId="79D07BD6" w:rsidR="005B7140" w:rsidRDefault="005B7140" w:rsidP="005B7140">
      <w:pPr>
        <w:pStyle w:val="SingleTxt"/>
        <w:rPr>
          <w:lang w:eastAsia="zh-CN"/>
        </w:rPr>
      </w:pPr>
      <w:r>
        <w:rPr>
          <w:lang w:eastAsia="zh-CN"/>
        </w:rPr>
        <w:t>14.</w:t>
      </w:r>
      <w:r>
        <w:rPr>
          <w:lang w:eastAsia="zh-CN"/>
        </w:rPr>
        <w:tab/>
        <w:t>Pramila Patten resigned from the Committee on 16 May. On 17 May, the Secretary-General requested the Government of Mauritius to appoint, within a period of two months, another expert from among its nationals to serve for the remainder of Ms. Patten’s term. On 21 June, the Government of Mauritius informed the Committee of its decision to appoint Aruna Devi Narain to serve as a member of the Committee for the remainder of the term of Ms. Patten, until 31 December 2018. On 21 July 2017, the Committee decided to approve the appointment of Ms. Narain, in accordance with article 17 (7) of the Convention.</w:t>
      </w:r>
    </w:p>
    <w:p w14:paraId="2F0FE290" w14:textId="77777777" w:rsidR="005B7140" w:rsidRPr="005B7140" w:rsidRDefault="005B7140" w:rsidP="005B7140">
      <w:pPr>
        <w:pStyle w:val="SingleTxt"/>
        <w:spacing w:after="0" w:line="120" w:lineRule="exact"/>
        <w:rPr>
          <w:sz w:val="10"/>
          <w:lang w:eastAsia="zh-CN"/>
        </w:rPr>
      </w:pPr>
    </w:p>
    <w:p w14:paraId="28D854BF" w14:textId="19961E2A" w:rsidR="005B7140" w:rsidRDefault="005B7140" w:rsidP="005B7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Attendance at the sixty-seventh session</w:t>
      </w:r>
    </w:p>
    <w:p w14:paraId="3388416E" w14:textId="77777777" w:rsidR="005B7140" w:rsidRPr="005B7140" w:rsidRDefault="005B7140" w:rsidP="005B7140">
      <w:pPr>
        <w:pStyle w:val="SingleTxt"/>
        <w:spacing w:after="0" w:line="120" w:lineRule="exact"/>
        <w:rPr>
          <w:sz w:val="10"/>
          <w:lang w:eastAsia="zh-CN"/>
        </w:rPr>
      </w:pPr>
    </w:p>
    <w:p w14:paraId="24661380" w14:textId="132821D2" w:rsidR="005B7140" w:rsidRDefault="005B7140" w:rsidP="005B7140">
      <w:pPr>
        <w:pStyle w:val="SingleTxt"/>
        <w:rPr>
          <w:lang w:eastAsia="zh-CN"/>
        </w:rPr>
      </w:pPr>
      <w:r>
        <w:rPr>
          <w:lang w:eastAsia="zh-CN"/>
        </w:rPr>
        <w:t>15.</w:t>
      </w:r>
      <w:r>
        <w:rPr>
          <w:lang w:eastAsia="zh-CN"/>
        </w:rPr>
        <w:tab/>
        <w:t>All members attended the sixty-seventh session, with the exception of Theodora Oby Nwankwo. The following members did not attend the session on the indicated dates: Ayse Feride Acar, on 10 and 14 July; Louiza Chalal, on 6 July; Ruth Halperin-Kaddari, on 21 July; and Dalia Leinarte, on 21 July. A list of the members of the Committee, indicating the duration of their terms of office, is contained in annex II to part three of the present report.</w:t>
      </w:r>
    </w:p>
    <w:p w14:paraId="05A639ED" w14:textId="60A963CE" w:rsidR="00D87076" w:rsidRDefault="00D87076">
      <w:pPr>
        <w:suppressAutoHyphens w:val="0"/>
        <w:spacing w:after="200" w:line="276" w:lineRule="auto"/>
        <w:rPr>
          <w:lang w:eastAsia="zh-CN"/>
        </w:rPr>
      </w:pPr>
      <w:r>
        <w:rPr>
          <w:lang w:eastAsia="zh-CN"/>
        </w:rPr>
        <w:br w:type="page"/>
      </w:r>
    </w:p>
    <w:p w14:paraId="0231443A" w14:textId="77777777" w:rsidR="00D87076" w:rsidRDefault="00D87076" w:rsidP="00D87076">
      <w:pPr>
        <w:pStyle w:val="HCh"/>
        <w:ind w:left="1267" w:right="1260" w:hanging="1267"/>
        <w:rPr>
          <w:lang w:eastAsia="zh-CN"/>
        </w:rPr>
      </w:pPr>
      <w:r>
        <w:rPr>
          <w:lang w:eastAsia="zh-CN"/>
        </w:rPr>
        <w:lastRenderedPageBreak/>
        <w:t>Chapter III</w:t>
      </w:r>
    </w:p>
    <w:p w14:paraId="37131A45" w14:textId="77777777" w:rsidR="00D87076" w:rsidRDefault="00D87076" w:rsidP="00D87076">
      <w:pPr>
        <w:pStyle w:val="HCh"/>
        <w:ind w:left="1267" w:right="1260" w:hanging="1267"/>
        <w:rPr>
          <w:lang w:eastAsia="zh-CN"/>
        </w:rPr>
      </w:pPr>
      <w:r>
        <w:rPr>
          <w:lang w:eastAsia="zh-CN"/>
        </w:rPr>
        <w:tab/>
      </w:r>
      <w:r>
        <w:rPr>
          <w:lang w:eastAsia="zh-CN"/>
        </w:rPr>
        <w:tab/>
        <w:t>Report of the Chair on intersessional activities</w:t>
      </w:r>
    </w:p>
    <w:p w14:paraId="28D68EA5" w14:textId="77777777" w:rsidR="00D87076" w:rsidRPr="00D87076" w:rsidRDefault="00D87076" w:rsidP="00D87076">
      <w:pPr>
        <w:pStyle w:val="SingleTxt"/>
        <w:spacing w:after="0" w:line="120" w:lineRule="exact"/>
        <w:rPr>
          <w:sz w:val="10"/>
          <w:lang w:eastAsia="zh-CN"/>
        </w:rPr>
      </w:pPr>
    </w:p>
    <w:p w14:paraId="2BEC88B0" w14:textId="77777777" w:rsidR="00D87076" w:rsidRPr="00D87076" w:rsidRDefault="00D87076" w:rsidP="00D87076">
      <w:pPr>
        <w:pStyle w:val="SingleTxt"/>
        <w:spacing w:after="0" w:line="120" w:lineRule="exact"/>
        <w:rPr>
          <w:sz w:val="10"/>
          <w:lang w:eastAsia="zh-CN"/>
        </w:rPr>
      </w:pPr>
    </w:p>
    <w:p w14:paraId="5D66B67E" w14:textId="5276C19A" w:rsidR="005B7140" w:rsidRDefault="00D87076" w:rsidP="00D87076">
      <w:pPr>
        <w:pStyle w:val="SingleTxt"/>
        <w:rPr>
          <w:lang w:eastAsia="zh-CN"/>
        </w:rPr>
      </w:pPr>
      <w:r>
        <w:rPr>
          <w:lang w:eastAsia="zh-CN"/>
        </w:rPr>
        <w:t>16.</w:t>
      </w:r>
      <w:r>
        <w:rPr>
          <w:lang w:eastAsia="zh-CN"/>
        </w:rPr>
        <w:tab/>
        <w:t>At the 1500th meeting, on 3 July 2017, the Chair presented a report on her activities since the sixty-sixth session.</w:t>
      </w:r>
    </w:p>
    <w:p w14:paraId="30EE1187" w14:textId="7DC45395" w:rsidR="00D87076" w:rsidRDefault="00D87076">
      <w:pPr>
        <w:suppressAutoHyphens w:val="0"/>
        <w:spacing w:after="200" w:line="276" w:lineRule="auto"/>
        <w:rPr>
          <w:lang w:eastAsia="zh-CN"/>
        </w:rPr>
      </w:pPr>
      <w:r>
        <w:rPr>
          <w:lang w:eastAsia="zh-CN"/>
        </w:rPr>
        <w:br w:type="page"/>
      </w:r>
    </w:p>
    <w:p w14:paraId="0FBE3E98" w14:textId="77777777" w:rsidR="00D87076" w:rsidRDefault="00D87076" w:rsidP="00D87076">
      <w:pPr>
        <w:pStyle w:val="HCh"/>
        <w:ind w:left="1267" w:right="1260" w:hanging="1267"/>
        <w:rPr>
          <w:lang w:eastAsia="zh-CN"/>
        </w:rPr>
      </w:pPr>
      <w:r>
        <w:rPr>
          <w:lang w:eastAsia="zh-CN"/>
        </w:rPr>
        <w:lastRenderedPageBreak/>
        <w:t>Chapter IV</w:t>
      </w:r>
    </w:p>
    <w:p w14:paraId="1073F3F6" w14:textId="77777777" w:rsidR="00D87076" w:rsidRDefault="00D87076" w:rsidP="00D87076">
      <w:pPr>
        <w:pStyle w:val="HCh"/>
        <w:ind w:left="1267" w:right="1260" w:hanging="1267"/>
        <w:rPr>
          <w:lang w:eastAsia="zh-CN"/>
        </w:rPr>
      </w:pPr>
      <w:r>
        <w:rPr>
          <w:lang w:eastAsia="zh-CN"/>
        </w:rPr>
        <w:tab/>
      </w:r>
      <w:r>
        <w:rPr>
          <w:lang w:eastAsia="zh-CN"/>
        </w:rPr>
        <w:tab/>
        <w:t xml:space="preserve">Consideration of reports submitted by States parties under article 18 of the Convention </w:t>
      </w:r>
    </w:p>
    <w:p w14:paraId="698FAF6C" w14:textId="77777777" w:rsidR="00D87076" w:rsidRPr="00D87076" w:rsidRDefault="00D87076" w:rsidP="00D87076">
      <w:pPr>
        <w:pStyle w:val="SingleTxt"/>
        <w:spacing w:after="0" w:line="120" w:lineRule="exact"/>
        <w:rPr>
          <w:sz w:val="10"/>
          <w:lang w:eastAsia="zh-CN"/>
        </w:rPr>
      </w:pPr>
    </w:p>
    <w:p w14:paraId="7CA1A3DB" w14:textId="77777777" w:rsidR="00D87076" w:rsidRPr="00D87076" w:rsidRDefault="00D87076" w:rsidP="00D87076">
      <w:pPr>
        <w:pStyle w:val="SingleTxt"/>
        <w:spacing w:after="0" w:line="120" w:lineRule="exact"/>
        <w:rPr>
          <w:sz w:val="10"/>
          <w:lang w:eastAsia="zh-CN"/>
        </w:rPr>
      </w:pPr>
    </w:p>
    <w:p w14:paraId="6FC77BC7" w14:textId="79F150E8" w:rsidR="00D87076" w:rsidRDefault="00D87076" w:rsidP="00D87076">
      <w:pPr>
        <w:pStyle w:val="SingleTxt"/>
        <w:rPr>
          <w:lang w:eastAsia="zh-CN"/>
        </w:rPr>
      </w:pPr>
      <w:r>
        <w:rPr>
          <w:lang w:eastAsia="zh-CN"/>
        </w:rPr>
        <w:t>17.</w:t>
      </w:r>
      <w:r>
        <w:rPr>
          <w:lang w:eastAsia="zh-CN"/>
        </w:rPr>
        <w:tab/>
        <w:t>The Committee considered the reports of eight States parties submitted under article 18 of the Convention and prepared the following concluding observations thereon: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3240"/>
      </w:tblGrid>
      <w:tr w:rsidR="00D87076" w:rsidRPr="00DD3349" w14:paraId="247CFF03" w14:textId="77777777" w:rsidTr="00AA3AEF">
        <w:tc>
          <w:tcPr>
            <w:tcW w:w="3060" w:type="dxa"/>
            <w:shd w:val="clear" w:color="auto" w:fill="auto"/>
          </w:tcPr>
          <w:p w14:paraId="622B3617"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Barbados</w:t>
            </w:r>
          </w:p>
        </w:tc>
        <w:tc>
          <w:tcPr>
            <w:tcW w:w="3240" w:type="dxa"/>
            <w:shd w:val="clear" w:color="auto" w:fill="auto"/>
          </w:tcPr>
          <w:p w14:paraId="2EC707A5" w14:textId="6939EC51"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26" w:history="1">
              <w:r w:rsidRPr="004D70EB">
                <w:rPr>
                  <w:rStyle w:val="Hyperlink"/>
                </w:rPr>
                <w:t>CEDAW/C/BRB/CO/5-8</w:t>
              </w:r>
            </w:hyperlink>
            <w:r w:rsidRPr="00DD3349">
              <w:t>)</w:t>
            </w:r>
          </w:p>
        </w:tc>
      </w:tr>
      <w:tr w:rsidR="00D87076" w:rsidRPr="00DD3349" w14:paraId="151E3F89" w14:textId="77777777" w:rsidTr="00AA3AEF">
        <w:tc>
          <w:tcPr>
            <w:tcW w:w="3060" w:type="dxa"/>
            <w:shd w:val="clear" w:color="auto" w:fill="auto"/>
          </w:tcPr>
          <w:p w14:paraId="6A4FE729"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Costa Rica</w:t>
            </w:r>
          </w:p>
        </w:tc>
        <w:tc>
          <w:tcPr>
            <w:tcW w:w="3240" w:type="dxa"/>
            <w:shd w:val="clear" w:color="auto" w:fill="auto"/>
          </w:tcPr>
          <w:p w14:paraId="1663FE44" w14:textId="6E2BDD4E"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27" w:history="1">
              <w:r w:rsidRPr="004D70EB">
                <w:rPr>
                  <w:rStyle w:val="Hyperlink"/>
                </w:rPr>
                <w:t>CEDAW/C/CRI/CO/7</w:t>
              </w:r>
            </w:hyperlink>
            <w:r w:rsidRPr="00DD3349">
              <w:t>)</w:t>
            </w:r>
          </w:p>
        </w:tc>
      </w:tr>
      <w:tr w:rsidR="00D87076" w:rsidRPr="00DD3349" w14:paraId="68974849" w14:textId="77777777" w:rsidTr="00AA3AEF">
        <w:tc>
          <w:tcPr>
            <w:tcW w:w="3060" w:type="dxa"/>
            <w:shd w:val="clear" w:color="auto" w:fill="auto"/>
          </w:tcPr>
          <w:p w14:paraId="44783386"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Italy</w:t>
            </w:r>
          </w:p>
        </w:tc>
        <w:tc>
          <w:tcPr>
            <w:tcW w:w="3240" w:type="dxa"/>
            <w:shd w:val="clear" w:color="auto" w:fill="auto"/>
          </w:tcPr>
          <w:p w14:paraId="525D83D4" w14:textId="23D5D92C"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28" w:history="1">
              <w:r w:rsidRPr="004D70EB">
                <w:rPr>
                  <w:rStyle w:val="Hyperlink"/>
                </w:rPr>
                <w:t>CEDAW/C/ITA/CO/7</w:t>
              </w:r>
            </w:hyperlink>
            <w:r w:rsidRPr="00DD3349">
              <w:t>)</w:t>
            </w:r>
          </w:p>
        </w:tc>
      </w:tr>
      <w:tr w:rsidR="00D87076" w:rsidRPr="00DD3349" w14:paraId="560A72C2" w14:textId="77777777" w:rsidTr="00AA3AEF">
        <w:tc>
          <w:tcPr>
            <w:tcW w:w="3060" w:type="dxa"/>
            <w:shd w:val="clear" w:color="auto" w:fill="auto"/>
          </w:tcPr>
          <w:p w14:paraId="0EBD046B"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Montenegro</w:t>
            </w:r>
          </w:p>
        </w:tc>
        <w:tc>
          <w:tcPr>
            <w:tcW w:w="3240" w:type="dxa"/>
            <w:shd w:val="clear" w:color="auto" w:fill="auto"/>
          </w:tcPr>
          <w:p w14:paraId="045F45EE" w14:textId="5DF92CBF"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29" w:history="1">
              <w:r w:rsidRPr="004D70EB">
                <w:rPr>
                  <w:rStyle w:val="Hyperlink"/>
                </w:rPr>
                <w:t>CEDAW/C/MNE/CO/2</w:t>
              </w:r>
            </w:hyperlink>
            <w:r w:rsidRPr="00DD3349">
              <w:t>)</w:t>
            </w:r>
          </w:p>
        </w:tc>
      </w:tr>
      <w:tr w:rsidR="00D87076" w:rsidRPr="00DD3349" w14:paraId="0310E0A2" w14:textId="77777777" w:rsidTr="00AA3AEF">
        <w:tc>
          <w:tcPr>
            <w:tcW w:w="3060" w:type="dxa"/>
            <w:shd w:val="clear" w:color="auto" w:fill="auto"/>
          </w:tcPr>
          <w:p w14:paraId="69E15843"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Niger</w:t>
            </w:r>
          </w:p>
        </w:tc>
        <w:tc>
          <w:tcPr>
            <w:tcW w:w="3240" w:type="dxa"/>
            <w:shd w:val="clear" w:color="auto" w:fill="auto"/>
          </w:tcPr>
          <w:p w14:paraId="0503EFBD" w14:textId="3B368B55"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0" w:history="1">
              <w:r w:rsidRPr="004D70EB">
                <w:rPr>
                  <w:rStyle w:val="Hyperlink"/>
                </w:rPr>
                <w:t>CEDAW/C/NER/CO/3-4</w:t>
              </w:r>
            </w:hyperlink>
            <w:r w:rsidRPr="00DD3349">
              <w:t>)</w:t>
            </w:r>
          </w:p>
        </w:tc>
      </w:tr>
      <w:tr w:rsidR="00D87076" w:rsidRPr="00DD3349" w14:paraId="74CD3C8F" w14:textId="77777777" w:rsidTr="00AA3AEF">
        <w:tc>
          <w:tcPr>
            <w:tcW w:w="3060" w:type="dxa"/>
            <w:shd w:val="clear" w:color="auto" w:fill="auto"/>
          </w:tcPr>
          <w:p w14:paraId="39865874"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Nigeria</w:t>
            </w:r>
          </w:p>
        </w:tc>
        <w:tc>
          <w:tcPr>
            <w:tcW w:w="3240" w:type="dxa"/>
            <w:shd w:val="clear" w:color="auto" w:fill="auto"/>
          </w:tcPr>
          <w:p w14:paraId="71FC3D6C" w14:textId="368BFD98"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1" w:history="1">
              <w:r w:rsidRPr="004D70EB">
                <w:rPr>
                  <w:rStyle w:val="Hyperlink"/>
                </w:rPr>
                <w:t>CEDAW/C/NGA/CO/7-8</w:t>
              </w:r>
            </w:hyperlink>
            <w:r w:rsidRPr="00DD3349">
              <w:t>)</w:t>
            </w:r>
          </w:p>
        </w:tc>
      </w:tr>
      <w:tr w:rsidR="00D87076" w:rsidRPr="00DD3349" w14:paraId="52FC341F" w14:textId="77777777" w:rsidTr="00AA3AEF">
        <w:tc>
          <w:tcPr>
            <w:tcW w:w="3060" w:type="dxa"/>
            <w:shd w:val="clear" w:color="auto" w:fill="auto"/>
          </w:tcPr>
          <w:p w14:paraId="0099428C"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Romania</w:t>
            </w:r>
          </w:p>
        </w:tc>
        <w:tc>
          <w:tcPr>
            <w:tcW w:w="3240" w:type="dxa"/>
            <w:shd w:val="clear" w:color="auto" w:fill="auto"/>
          </w:tcPr>
          <w:p w14:paraId="129AAD6F" w14:textId="338C6F29"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2" w:history="1">
              <w:r w:rsidRPr="004D70EB">
                <w:rPr>
                  <w:rStyle w:val="Hyperlink"/>
                </w:rPr>
                <w:t>CEDAW/C/ROU/CO/7-8</w:t>
              </w:r>
            </w:hyperlink>
            <w:r w:rsidRPr="00DD3349">
              <w:t>)</w:t>
            </w:r>
          </w:p>
        </w:tc>
      </w:tr>
      <w:tr w:rsidR="00D87076" w:rsidRPr="00DD3349" w14:paraId="32057A27" w14:textId="77777777" w:rsidTr="00AA3AEF">
        <w:tc>
          <w:tcPr>
            <w:tcW w:w="3060" w:type="dxa"/>
            <w:shd w:val="clear" w:color="auto" w:fill="auto"/>
          </w:tcPr>
          <w:p w14:paraId="30686277"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Thailand</w:t>
            </w:r>
          </w:p>
        </w:tc>
        <w:tc>
          <w:tcPr>
            <w:tcW w:w="3240" w:type="dxa"/>
            <w:shd w:val="clear" w:color="auto" w:fill="auto"/>
          </w:tcPr>
          <w:p w14:paraId="2F963F41" w14:textId="2D91418D"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D3349">
              <w:t>(</w:t>
            </w:r>
            <w:hyperlink r:id="rId33" w:history="1">
              <w:r w:rsidRPr="004D70EB">
                <w:rPr>
                  <w:rStyle w:val="Hyperlink"/>
                </w:rPr>
                <w:t>CEDAW/C/THA/CO/6-7</w:t>
              </w:r>
            </w:hyperlink>
            <w:r w:rsidRPr="00DD3349">
              <w:t>)</w:t>
            </w:r>
          </w:p>
        </w:tc>
      </w:tr>
    </w:tbl>
    <w:p w14:paraId="0654E0FB" w14:textId="77777777" w:rsidR="00D87076" w:rsidRPr="00D87076" w:rsidRDefault="00D87076" w:rsidP="00D87076">
      <w:pPr>
        <w:pStyle w:val="SingleTxt"/>
        <w:spacing w:after="0" w:line="120" w:lineRule="exact"/>
        <w:rPr>
          <w:sz w:val="10"/>
          <w:lang w:eastAsia="zh-CN"/>
        </w:rPr>
      </w:pPr>
    </w:p>
    <w:p w14:paraId="2BAB13FD" w14:textId="4A1E4549" w:rsidR="00D87076" w:rsidRDefault="00D87076" w:rsidP="00D87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 xml:space="preserve">Follow-up procedures relating to concluding observations </w:t>
      </w:r>
    </w:p>
    <w:p w14:paraId="1CBD911B" w14:textId="77777777" w:rsidR="00D87076" w:rsidRPr="00D87076" w:rsidRDefault="00D87076" w:rsidP="00D87076">
      <w:pPr>
        <w:pStyle w:val="SingleTxt"/>
        <w:spacing w:after="0" w:line="120" w:lineRule="exact"/>
        <w:rPr>
          <w:sz w:val="10"/>
          <w:lang w:eastAsia="zh-CN"/>
        </w:rPr>
      </w:pPr>
    </w:p>
    <w:p w14:paraId="39B9DAA1" w14:textId="07C4AC6C" w:rsidR="00D87076" w:rsidRDefault="00D87076" w:rsidP="00D87076">
      <w:pPr>
        <w:pStyle w:val="SingleTxt"/>
        <w:rPr>
          <w:lang w:eastAsia="zh-CN"/>
        </w:rPr>
      </w:pPr>
      <w:r>
        <w:rPr>
          <w:lang w:eastAsia="zh-CN"/>
        </w:rPr>
        <w:t>18.</w:t>
      </w:r>
      <w:r>
        <w:rPr>
          <w:lang w:eastAsia="zh-CN"/>
        </w:rPr>
        <w:tab/>
        <w:t>The Committee considered the follow-up reports received from the following States parties: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3517"/>
      </w:tblGrid>
      <w:tr w:rsidR="00D87076" w:rsidRPr="00DD3349" w14:paraId="4CAB2BD5" w14:textId="77777777" w:rsidTr="00AA3AEF">
        <w:tc>
          <w:tcPr>
            <w:tcW w:w="3060" w:type="dxa"/>
            <w:shd w:val="clear" w:color="auto" w:fill="auto"/>
          </w:tcPr>
          <w:p w14:paraId="4840A6A2"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Belgium</w:t>
            </w:r>
          </w:p>
        </w:tc>
        <w:tc>
          <w:tcPr>
            <w:tcW w:w="3517" w:type="dxa"/>
            <w:shd w:val="clear" w:color="auto" w:fill="auto"/>
          </w:tcPr>
          <w:p w14:paraId="73458278" w14:textId="388C86E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4" w:history="1">
              <w:r w:rsidRPr="004D70EB">
                <w:rPr>
                  <w:rStyle w:val="Hyperlink"/>
                </w:rPr>
                <w:t>CEDAW/C/BEL/CO/7/Add.1</w:t>
              </w:r>
            </w:hyperlink>
            <w:r w:rsidRPr="00DD3349">
              <w:t>)</w:t>
            </w:r>
          </w:p>
        </w:tc>
      </w:tr>
      <w:tr w:rsidR="00D87076" w:rsidRPr="00DD3349" w14:paraId="2497D166" w14:textId="77777777" w:rsidTr="00AA3AEF">
        <w:tc>
          <w:tcPr>
            <w:tcW w:w="3060" w:type="dxa"/>
            <w:shd w:val="clear" w:color="auto" w:fill="auto"/>
          </w:tcPr>
          <w:p w14:paraId="5DBD5621"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China</w:t>
            </w:r>
          </w:p>
        </w:tc>
        <w:tc>
          <w:tcPr>
            <w:tcW w:w="3517" w:type="dxa"/>
            <w:shd w:val="clear" w:color="auto" w:fill="auto"/>
          </w:tcPr>
          <w:p w14:paraId="439E2254" w14:textId="02202D1B"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5" w:history="1">
              <w:r w:rsidRPr="004D70EB">
                <w:rPr>
                  <w:rStyle w:val="Hyperlink"/>
                </w:rPr>
                <w:t>CEDAW/C/CHN/CO/7-8/Add.1</w:t>
              </w:r>
            </w:hyperlink>
            <w:r w:rsidRPr="00DD3349">
              <w:t>)</w:t>
            </w:r>
          </w:p>
        </w:tc>
      </w:tr>
      <w:tr w:rsidR="00D87076" w:rsidRPr="00DD3349" w14:paraId="6641BA83" w14:textId="77777777" w:rsidTr="00AA3AEF">
        <w:tc>
          <w:tcPr>
            <w:tcW w:w="3060" w:type="dxa"/>
            <w:shd w:val="clear" w:color="auto" w:fill="auto"/>
          </w:tcPr>
          <w:p w14:paraId="6F490A92"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rsidRPr="001744D1">
              <w:t>Denmark</w:t>
            </w:r>
          </w:p>
        </w:tc>
        <w:tc>
          <w:tcPr>
            <w:tcW w:w="3517" w:type="dxa"/>
            <w:shd w:val="clear" w:color="auto" w:fill="auto"/>
          </w:tcPr>
          <w:p w14:paraId="60277F0B" w14:textId="276F087A"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6" w:history="1">
              <w:r w:rsidRPr="004D70EB">
                <w:rPr>
                  <w:rStyle w:val="Hyperlink"/>
                </w:rPr>
                <w:t>CEDAW/C/DEN/CO/8/Add.1</w:t>
              </w:r>
            </w:hyperlink>
            <w:r w:rsidRPr="00DD3349">
              <w:t>)</w:t>
            </w:r>
          </w:p>
        </w:tc>
      </w:tr>
      <w:tr w:rsidR="00D87076" w:rsidRPr="00DD3349" w14:paraId="6D4199DB" w14:textId="77777777" w:rsidTr="00AA3AEF">
        <w:tc>
          <w:tcPr>
            <w:tcW w:w="3060" w:type="dxa"/>
            <w:shd w:val="clear" w:color="auto" w:fill="auto"/>
          </w:tcPr>
          <w:p w14:paraId="029D148D"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Ecuador</w:t>
            </w:r>
          </w:p>
        </w:tc>
        <w:tc>
          <w:tcPr>
            <w:tcW w:w="3517" w:type="dxa"/>
            <w:shd w:val="clear" w:color="auto" w:fill="auto"/>
          </w:tcPr>
          <w:p w14:paraId="5F2A1A58" w14:textId="69A4F57B"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7" w:history="1">
              <w:r w:rsidRPr="004D70EB">
                <w:rPr>
                  <w:rStyle w:val="Hyperlink"/>
                </w:rPr>
                <w:t>CEDAW/C/ECU/CO/8-9/Add.1</w:t>
              </w:r>
            </w:hyperlink>
            <w:r w:rsidRPr="00DD3349">
              <w:t>)</w:t>
            </w:r>
          </w:p>
        </w:tc>
      </w:tr>
      <w:tr w:rsidR="00D87076" w:rsidRPr="00DD3349" w14:paraId="49CBBC21" w14:textId="77777777" w:rsidTr="00AA3AEF">
        <w:tc>
          <w:tcPr>
            <w:tcW w:w="3060" w:type="dxa"/>
            <w:shd w:val="clear" w:color="auto" w:fill="auto"/>
          </w:tcPr>
          <w:p w14:paraId="08B84905"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Egypt</w:t>
            </w:r>
          </w:p>
        </w:tc>
        <w:tc>
          <w:tcPr>
            <w:tcW w:w="3517" w:type="dxa"/>
            <w:shd w:val="clear" w:color="auto" w:fill="auto"/>
          </w:tcPr>
          <w:p w14:paraId="20D5EC02" w14:textId="786A5343"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8" w:history="1">
              <w:r w:rsidRPr="004D70EB">
                <w:rPr>
                  <w:rStyle w:val="Hyperlink"/>
                </w:rPr>
                <w:t>CEDAW/C/EGY/CO/7/Add.1</w:t>
              </w:r>
            </w:hyperlink>
            <w:r w:rsidRPr="00DD3349">
              <w:t>)</w:t>
            </w:r>
          </w:p>
        </w:tc>
      </w:tr>
      <w:tr w:rsidR="00D87076" w:rsidRPr="00DD3349" w14:paraId="7DC03869" w14:textId="77777777" w:rsidTr="00AA3AEF">
        <w:tc>
          <w:tcPr>
            <w:tcW w:w="3060" w:type="dxa"/>
            <w:shd w:val="clear" w:color="auto" w:fill="auto"/>
          </w:tcPr>
          <w:p w14:paraId="27FD08B2"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Kazakhstan</w:t>
            </w:r>
          </w:p>
        </w:tc>
        <w:tc>
          <w:tcPr>
            <w:tcW w:w="3517" w:type="dxa"/>
            <w:shd w:val="clear" w:color="auto" w:fill="auto"/>
          </w:tcPr>
          <w:p w14:paraId="31434BD0" w14:textId="22091A8B"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39" w:history="1">
              <w:r w:rsidRPr="004D70EB">
                <w:rPr>
                  <w:rStyle w:val="Hyperlink"/>
                </w:rPr>
                <w:t>CEDAW/C/KAZ/CO/3-4/Add.1</w:t>
              </w:r>
            </w:hyperlink>
            <w:r w:rsidRPr="00DD3349">
              <w:t>)</w:t>
            </w:r>
          </w:p>
        </w:tc>
      </w:tr>
      <w:tr w:rsidR="00D87076" w:rsidRPr="00DD3349" w14:paraId="2597A8EA" w14:textId="77777777" w:rsidTr="00AA3AEF">
        <w:tc>
          <w:tcPr>
            <w:tcW w:w="3060" w:type="dxa"/>
            <w:shd w:val="clear" w:color="auto" w:fill="auto"/>
          </w:tcPr>
          <w:p w14:paraId="524109C8" w14:textId="77777777"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0"/>
              <w:jc w:val="left"/>
            </w:pPr>
            <w:r>
              <w:t>Oman</w:t>
            </w:r>
          </w:p>
        </w:tc>
        <w:tc>
          <w:tcPr>
            <w:tcW w:w="3517" w:type="dxa"/>
            <w:shd w:val="clear" w:color="auto" w:fill="auto"/>
          </w:tcPr>
          <w:p w14:paraId="24211E64" w14:textId="524BFADF"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144" w:right="40"/>
              <w:jc w:val="left"/>
            </w:pPr>
            <w:r w:rsidRPr="00DD3349">
              <w:t>(</w:t>
            </w:r>
            <w:hyperlink r:id="rId40" w:history="1">
              <w:r w:rsidRPr="004D70EB">
                <w:rPr>
                  <w:rStyle w:val="Hyperlink"/>
                </w:rPr>
                <w:t>CEDAW/C/OMN/CO/1/Add.1</w:t>
              </w:r>
            </w:hyperlink>
            <w:r w:rsidRPr="00DD3349">
              <w:t>)</w:t>
            </w:r>
          </w:p>
        </w:tc>
      </w:tr>
      <w:tr w:rsidR="00D87076" w:rsidRPr="00DD3349" w14:paraId="68F9FC54" w14:textId="77777777" w:rsidTr="00AA3AEF">
        <w:tc>
          <w:tcPr>
            <w:tcW w:w="3060" w:type="dxa"/>
            <w:shd w:val="clear" w:color="auto" w:fill="auto"/>
          </w:tcPr>
          <w:p w14:paraId="4637D088" w14:textId="77777777" w:rsidR="00D87076" w:rsidRPr="00DD3349" w:rsidRDefault="00D87076"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0" w:right="43"/>
              <w:jc w:val="left"/>
            </w:pPr>
            <w:r>
              <w:t>Solomon Islands</w:t>
            </w:r>
          </w:p>
        </w:tc>
        <w:tc>
          <w:tcPr>
            <w:tcW w:w="3517" w:type="dxa"/>
            <w:shd w:val="clear" w:color="auto" w:fill="auto"/>
          </w:tcPr>
          <w:p w14:paraId="6647BBBC" w14:textId="47E41594" w:rsidR="00D87076" w:rsidRPr="00DD3349" w:rsidRDefault="00D87076"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144" w:right="43"/>
              <w:jc w:val="left"/>
            </w:pPr>
            <w:r w:rsidRPr="00DD3349">
              <w:t>(</w:t>
            </w:r>
            <w:hyperlink r:id="rId41" w:history="1">
              <w:r w:rsidRPr="004D70EB">
                <w:rPr>
                  <w:rStyle w:val="Hyperlink"/>
                </w:rPr>
                <w:t>CEDAW/C/SLB/CO/1-3/Add.1</w:t>
              </w:r>
            </w:hyperlink>
            <w:r w:rsidRPr="00DD3349">
              <w:t>)</w:t>
            </w:r>
          </w:p>
        </w:tc>
      </w:tr>
      <w:tr w:rsidR="00D87076" w:rsidRPr="00DD3349" w14:paraId="170970C1" w14:textId="77777777" w:rsidTr="00AA3AEF">
        <w:tc>
          <w:tcPr>
            <w:tcW w:w="3060" w:type="dxa"/>
            <w:shd w:val="clear" w:color="auto" w:fill="auto"/>
          </w:tcPr>
          <w:p w14:paraId="595204F8" w14:textId="77777777" w:rsidR="00D87076"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Swaziland</w:t>
            </w:r>
          </w:p>
        </w:tc>
        <w:tc>
          <w:tcPr>
            <w:tcW w:w="3517" w:type="dxa"/>
            <w:shd w:val="clear" w:color="auto" w:fill="auto"/>
          </w:tcPr>
          <w:p w14:paraId="3A9591DC" w14:textId="141C9D12" w:rsidR="00D87076" w:rsidRPr="00DD3349" w:rsidRDefault="00D87076" w:rsidP="002B11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D3349">
              <w:t>(</w:t>
            </w:r>
            <w:hyperlink r:id="rId42" w:history="1">
              <w:r w:rsidRPr="004D70EB">
                <w:rPr>
                  <w:rStyle w:val="Hyperlink"/>
                </w:rPr>
                <w:t>CEDAW/C/SWZ/CO/1-2/Add.1</w:t>
              </w:r>
            </w:hyperlink>
            <w:r w:rsidRPr="00DD3349">
              <w:t>)</w:t>
            </w:r>
          </w:p>
        </w:tc>
      </w:tr>
    </w:tbl>
    <w:p w14:paraId="1F176E39" w14:textId="65D91DEF" w:rsidR="00D87076" w:rsidRPr="00D87076" w:rsidRDefault="00D87076" w:rsidP="00D87076">
      <w:pPr>
        <w:pStyle w:val="SingleTxt"/>
        <w:spacing w:after="0" w:line="120" w:lineRule="exact"/>
        <w:rPr>
          <w:sz w:val="10"/>
          <w:lang w:eastAsia="zh-CN"/>
        </w:rPr>
      </w:pPr>
    </w:p>
    <w:p w14:paraId="73ECAEAF" w14:textId="77777777" w:rsidR="001744D1" w:rsidRDefault="001744D1" w:rsidP="001744D1">
      <w:pPr>
        <w:pStyle w:val="SingleTxt"/>
        <w:rPr>
          <w:lang w:eastAsia="zh-CN"/>
        </w:rPr>
      </w:pPr>
      <w:r>
        <w:rPr>
          <w:lang w:eastAsia="zh-CN"/>
        </w:rPr>
        <w:t>19.</w:t>
      </w:r>
      <w:r>
        <w:rPr>
          <w:lang w:eastAsia="zh-CN"/>
        </w:rPr>
        <w:tab/>
        <w:t>The Committee sent first reminders to Azerbaijan, Eritrea, Gabon, Kyrgyzstan, Maldives and Tuvalu and second reminders to Brunei Darussalam, Ghana, Guinea, India, Mauritania and Sierra Leone, whose follow-up reports were overdue.</w:t>
      </w:r>
    </w:p>
    <w:p w14:paraId="555E35FC" w14:textId="27ED059B" w:rsidR="00D87076" w:rsidRDefault="001744D1" w:rsidP="001744D1">
      <w:pPr>
        <w:pStyle w:val="SingleTxt"/>
        <w:rPr>
          <w:lang w:eastAsia="zh-CN"/>
        </w:rPr>
      </w:pPr>
      <w:r>
        <w:rPr>
          <w:lang w:eastAsia="zh-CN"/>
        </w:rPr>
        <w:t>20.</w:t>
      </w:r>
      <w:r>
        <w:rPr>
          <w:lang w:eastAsia="zh-CN"/>
        </w:rPr>
        <w:tab/>
        <w:t>The Rapporteur on follow-up met with representatives of Benin, Cabo Verde and Sierra Leone, given that their follow-up reports were overdue.</w:t>
      </w:r>
    </w:p>
    <w:p w14:paraId="4AFCDE2E" w14:textId="6A5C61D0" w:rsidR="001744D1" w:rsidRDefault="001744D1">
      <w:pPr>
        <w:suppressAutoHyphens w:val="0"/>
        <w:spacing w:after="200" w:line="276" w:lineRule="auto"/>
        <w:rPr>
          <w:lang w:eastAsia="zh-CN"/>
        </w:rPr>
      </w:pPr>
      <w:r>
        <w:rPr>
          <w:lang w:eastAsia="zh-CN"/>
        </w:rPr>
        <w:br w:type="page"/>
      </w:r>
    </w:p>
    <w:p w14:paraId="6CF37C98" w14:textId="77777777" w:rsidR="001744D1" w:rsidRDefault="001744D1" w:rsidP="001744D1">
      <w:pPr>
        <w:pStyle w:val="HCh"/>
        <w:ind w:left="1267" w:right="1260" w:hanging="1267"/>
        <w:rPr>
          <w:lang w:eastAsia="zh-CN"/>
        </w:rPr>
      </w:pPr>
      <w:r>
        <w:rPr>
          <w:lang w:eastAsia="zh-CN"/>
        </w:rPr>
        <w:lastRenderedPageBreak/>
        <w:t>Chapter V</w:t>
      </w:r>
    </w:p>
    <w:p w14:paraId="53FFBB12" w14:textId="77777777" w:rsidR="001744D1" w:rsidRDefault="001744D1" w:rsidP="001744D1">
      <w:pPr>
        <w:pStyle w:val="HCh"/>
        <w:ind w:left="1267" w:right="1260" w:hanging="1267"/>
        <w:rPr>
          <w:lang w:eastAsia="zh-CN"/>
        </w:rPr>
      </w:pPr>
      <w:r>
        <w:rPr>
          <w:lang w:eastAsia="zh-CN"/>
        </w:rPr>
        <w:tab/>
      </w:r>
      <w:r>
        <w:rPr>
          <w:lang w:eastAsia="zh-CN"/>
        </w:rPr>
        <w:tab/>
        <w:t>Activities carried out under the Optional Protocol</w:t>
      </w:r>
    </w:p>
    <w:p w14:paraId="577DFF32" w14:textId="77777777" w:rsidR="001744D1" w:rsidRPr="001744D1" w:rsidRDefault="001744D1" w:rsidP="001744D1">
      <w:pPr>
        <w:pStyle w:val="SingleTxt"/>
        <w:spacing w:after="0" w:line="120" w:lineRule="exact"/>
        <w:rPr>
          <w:sz w:val="10"/>
          <w:lang w:eastAsia="zh-CN"/>
        </w:rPr>
      </w:pPr>
    </w:p>
    <w:p w14:paraId="2470D93F" w14:textId="77777777" w:rsidR="001744D1" w:rsidRPr="001744D1" w:rsidRDefault="001744D1" w:rsidP="001744D1">
      <w:pPr>
        <w:pStyle w:val="SingleTxt"/>
        <w:spacing w:after="0" w:line="120" w:lineRule="exact"/>
        <w:rPr>
          <w:sz w:val="10"/>
          <w:lang w:eastAsia="zh-CN"/>
        </w:rPr>
      </w:pPr>
    </w:p>
    <w:p w14:paraId="14B87217" w14:textId="5B45EBB8" w:rsidR="001744D1" w:rsidRDefault="001744D1" w:rsidP="001744D1">
      <w:pPr>
        <w:pStyle w:val="SingleTxt"/>
        <w:rPr>
          <w:lang w:eastAsia="zh-CN"/>
        </w:rPr>
      </w:pPr>
      <w:r>
        <w:rPr>
          <w:lang w:eastAsia="zh-CN"/>
        </w:rPr>
        <w:t>21.</w:t>
      </w:r>
      <w:r>
        <w:rPr>
          <w:lang w:eastAsia="zh-CN"/>
        </w:rPr>
        <w:tab/>
        <w:t>Article 12 of the Optional Protocol provides that the Committee is to include in its annual report a summary of its activities under the Optional Protocol.</w:t>
      </w:r>
    </w:p>
    <w:p w14:paraId="211DA52B" w14:textId="77777777" w:rsidR="001744D1" w:rsidRPr="001744D1" w:rsidRDefault="001744D1" w:rsidP="001744D1">
      <w:pPr>
        <w:pStyle w:val="SingleTxt"/>
        <w:spacing w:after="0" w:line="120" w:lineRule="exact"/>
        <w:rPr>
          <w:sz w:val="10"/>
          <w:lang w:eastAsia="zh-CN"/>
        </w:rPr>
      </w:pPr>
    </w:p>
    <w:p w14:paraId="6BC2A857" w14:textId="77777777" w:rsidR="001744D1" w:rsidRPr="001744D1" w:rsidRDefault="001744D1" w:rsidP="001744D1">
      <w:pPr>
        <w:pStyle w:val="SingleTxt"/>
        <w:spacing w:after="0" w:line="120" w:lineRule="exact"/>
        <w:rPr>
          <w:sz w:val="10"/>
          <w:lang w:eastAsia="zh-CN"/>
        </w:rPr>
      </w:pPr>
    </w:p>
    <w:p w14:paraId="02FD99F3" w14:textId="76E5DFAB" w:rsidR="001744D1" w:rsidRDefault="001744D1" w:rsidP="001744D1">
      <w:pPr>
        <w:pStyle w:val="H1"/>
        <w:ind w:right="1260"/>
        <w:rPr>
          <w:lang w:eastAsia="zh-CN"/>
        </w:rPr>
      </w:pPr>
      <w:r>
        <w:rPr>
          <w:lang w:eastAsia="zh-CN"/>
        </w:rPr>
        <w:tab/>
        <w:t>A.</w:t>
      </w:r>
      <w:r>
        <w:rPr>
          <w:lang w:eastAsia="zh-CN"/>
        </w:rPr>
        <w:tab/>
        <w:t>Action taken by the Committee in respect of issues arising under article 2 of the Optional Protocol</w:t>
      </w:r>
    </w:p>
    <w:p w14:paraId="14B58078" w14:textId="77777777" w:rsidR="001744D1" w:rsidRPr="001744D1" w:rsidRDefault="001744D1" w:rsidP="001744D1">
      <w:pPr>
        <w:pStyle w:val="SingleTxt"/>
        <w:spacing w:after="0" w:line="120" w:lineRule="exact"/>
        <w:rPr>
          <w:sz w:val="10"/>
          <w:lang w:eastAsia="zh-CN"/>
        </w:rPr>
      </w:pPr>
    </w:p>
    <w:p w14:paraId="222717D2" w14:textId="77777777" w:rsidR="001744D1" w:rsidRPr="001744D1" w:rsidRDefault="001744D1" w:rsidP="001744D1">
      <w:pPr>
        <w:pStyle w:val="SingleTxt"/>
        <w:spacing w:after="0" w:line="120" w:lineRule="exact"/>
        <w:rPr>
          <w:sz w:val="10"/>
          <w:lang w:eastAsia="zh-CN"/>
        </w:rPr>
      </w:pPr>
    </w:p>
    <w:p w14:paraId="5607BE97" w14:textId="7037A7A3" w:rsidR="001744D1" w:rsidRDefault="001744D1" w:rsidP="001744D1">
      <w:pPr>
        <w:pStyle w:val="SingleTxt"/>
        <w:rPr>
          <w:lang w:eastAsia="zh-CN"/>
        </w:rPr>
      </w:pPr>
      <w:r>
        <w:rPr>
          <w:lang w:eastAsia="zh-CN"/>
        </w:rPr>
        <w:t>22.</w:t>
      </w:r>
      <w:r>
        <w:rPr>
          <w:lang w:eastAsia="zh-CN"/>
        </w:rPr>
        <w:tab/>
        <w:t>The Committee discussed activities under article 2 of the Optional Protocol on 10 July 2017.</w:t>
      </w:r>
    </w:p>
    <w:p w14:paraId="0227935C" w14:textId="77777777" w:rsidR="001744D1" w:rsidRDefault="001744D1" w:rsidP="001744D1">
      <w:pPr>
        <w:pStyle w:val="SingleTxt"/>
        <w:rPr>
          <w:lang w:eastAsia="zh-CN"/>
        </w:rPr>
      </w:pPr>
      <w:r>
        <w:rPr>
          <w:lang w:eastAsia="zh-CN"/>
        </w:rPr>
        <w:t>23.</w:t>
      </w:r>
      <w:r>
        <w:rPr>
          <w:lang w:eastAsia="zh-CN"/>
        </w:rPr>
        <w:tab/>
        <w:t>The Committee endorsed the report of the Working Group on Communications under the Optional Protocol on its thirty-eighth session (see https://bit.ly/2IAeZvl).</w:t>
      </w:r>
    </w:p>
    <w:p w14:paraId="434CD523" w14:textId="7FAEC369" w:rsidR="001744D1" w:rsidRDefault="001744D1" w:rsidP="001744D1">
      <w:pPr>
        <w:pStyle w:val="SingleTxt"/>
        <w:rPr>
          <w:lang w:eastAsia="zh-CN"/>
        </w:rPr>
      </w:pPr>
      <w:r>
        <w:rPr>
          <w:lang w:eastAsia="zh-CN"/>
        </w:rPr>
        <w:t>24.</w:t>
      </w:r>
      <w:r>
        <w:rPr>
          <w:lang w:eastAsia="zh-CN"/>
        </w:rPr>
        <w:tab/>
        <w:t xml:space="preserve">The Committee adopted final decisions with regard to four individual communications submitted under article 2 of the Optional Protocol. It adopted views finding a violation in </w:t>
      </w:r>
      <w:r w:rsidRPr="00553EB7">
        <w:rPr>
          <w:i/>
          <w:iCs/>
          <w:lang w:eastAsia="zh-CN"/>
        </w:rPr>
        <w:t>Trujillo Reyes and Arguello Morales v. Mexico</w:t>
      </w:r>
      <w:r>
        <w:rPr>
          <w:lang w:eastAsia="zh-CN"/>
        </w:rPr>
        <w:t xml:space="preserve"> (</w:t>
      </w:r>
      <w:hyperlink r:id="rId43" w:history="1">
        <w:r w:rsidRPr="004D70EB">
          <w:rPr>
            <w:rStyle w:val="Hyperlink"/>
            <w:lang w:eastAsia="zh-CN"/>
          </w:rPr>
          <w:t>CEDAW/C/67/D/75/2014</w:t>
        </w:r>
      </w:hyperlink>
      <w:r>
        <w:rPr>
          <w:lang w:eastAsia="zh-CN"/>
        </w:rPr>
        <w:t xml:space="preserve">) and views finding no violation in </w:t>
      </w:r>
      <w:r w:rsidRPr="00553EB7">
        <w:rPr>
          <w:i/>
          <w:iCs/>
          <w:lang w:eastAsia="zh-CN"/>
        </w:rPr>
        <w:t>F.F.M. v. Denmark</w:t>
      </w:r>
      <w:r>
        <w:rPr>
          <w:lang w:eastAsia="zh-CN"/>
        </w:rPr>
        <w:t xml:space="preserve"> (</w:t>
      </w:r>
      <w:hyperlink r:id="rId44" w:history="1">
        <w:r w:rsidRPr="004D70EB">
          <w:rPr>
            <w:rStyle w:val="Hyperlink"/>
            <w:lang w:eastAsia="zh-CN"/>
          </w:rPr>
          <w:t>CEDAW/C/67/D/70/2014</w:t>
        </w:r>
      </w:hyperlink>
      <w:r>
        <w:rPr>
          <w:lang w:eastAsia="zh-CN"/>
        </w:rPr>
        <w:t xml:space="preserve">), </w:t>
      </w:r>
      <w:r w:rsidRPr="00553EB7">
        <w:rPr>
          <w:i/>
          <w:iCs/>
          <w:lang w:eastAsia="zh-CN"/>
        </w:rPr>
        <w:t>A.M. v. Denmark</w:t>
      </w:r>
      <w:r>
        <w:rPr>
          <w:lang w:eastAsia="zh-CN"/>
        </w:rPr>
        <w:t xml:space="preserve"> (</w:t>
      </w:r>
      <w:hyperlink r:id="rId45" w:history="1">
        <w:r w:rsidRPr="004D70EB">
          <w:rPr>
            <w:rStyle w:val="Hyperlink"/>
            <w:lang w:eastAsia="zh-CN"/>
          </w:rPr>
          <w:t>CEDAW/C/67/D/77/2014</w:t>
        </w:r>
      </w:hyperlink>
      <w:r>
        <w:rPr>
          <w:lang w:eastAsia="zh-CN"/>
        </w:rPr>
        <w:t xml:space="preserve">) and </w:t>
      </w:r>
      <w:r w:rsidRPr="00553EB7">
        <w:rPr>
          <w:i/>
          <w:iCs/>
          <w:lang w:eastAsia="zh-CN"/>
        </w:rPr>
        <w:t>N.M. v. Denmark</w:t>
      </w:r>
      <w:r>
        <w:rPr>
          <w:lang w:eastAsia="zh-CN"/>
        </w:rPr>
        <w:t xml:space="preserve"> (</w:t>
      </w:r>
      <w:hyperlink r:id="rId46" w:history="1">
        <w:r w:rsidRPr="004D70EB">
          <w:rPr>
            <w:rStyle w:val="Hyperlink"/>
            <w:lang w:eastAsia="zh-CN"/>
          </w:rPr>
          <w:t>CEDAW/C/67/D/78/2014</w:t>
        </w:r>
      </w:hyperlink>
      <w:r>
        <w:rPr>
          <w:lang w:eastAsia="zh-CN"/>
        </w:rPr>
        <w:t>). All decisions were adopted by consensus.</w:t>
      </w:r>
    </w:p>
    <w:p w14:paraId="035FBA8F" w14:textId="77777777" w:rsidR="00553EB7" w:rsidRPr="00553EB7" w:rsidRDefault="00553EB7" w:rsidP="00553EB7">
      <w:pPr>
        <w:pStyle w:val="SingleTxt"/>
        <w:spacing w:after="0" w:line="120" w:lineRule="exact"/>
        <w:rPr>
          <w:sz w:val="10"/>
          <w:lang w:eastAsia="zh-CN"/>
        </w:rPr>
      </w:pPr>
    </w:p>
    <w:p w14:paraId="09DE8159" w14:textId="77777777" w:rsidR="00553EB7" w:rsidRPr="00553EB7" w:rsidRDefault="00553EB7" w:rsidP="00553EB7">
      <w:pPr>
        <w:pStyle w:val="SingleTxt"/>
        <w:spacing w:after="0" w:line="120" w:lineRule="exact"/>
        <w:rPr>
          <w:sz w:val="10"/>
          <w:lang w:eastAsia="zh-CN"/>
        </w:rPr>
      </w:pPr>
    </w:p>
    <w:p w14:paraId="759979B4" w14:textId="7430A95E" w:rsidR="001744D1" w:rsidRPr="00553EB7" w:rsidRDefault="001744D1" w:rsidP="00553EB7">
      <w:pPr>
        <w:pStyle w:val="H1"/>
        <w:ind w:right="1260"/>
        <w:rPr>
          <w:rFonts w:ascii="Times New Roman Bold" w:hAnsi="Times New Roman Bold" w:cs="Times New Roman Bold"/>
          <w:spacing w:val="0"/>
          <w:lang w:eastAsia="zh-CN"/>
        </w:rPr>
      </w:pPr>
      <w:r w:rsidRPr="00553EB7">
        <w:rPr>
          <w:rFonts w:ascii="Times New Roman Bold" w:hAnsi="Times New Roman Bold" w:cs="Times New Roman Bold"/>
          <w:spacing w:val="0"/>
          <w:lang w:eastAsia="zh-CN"/>
        </w:rPr>
        <w:tab/>
        <w:t>B.</w:t>
      </w:r>
      <w:r w:rsidRPr="00553EB7">
        <w:rPr>
          <w:rFonts w:ascii="Times New Roman Bold" w:hAnsi="Times New Roman Bold" w:cs="Times New Roman Bold"/>
          <w:spacing w:val="0"/>
          <w:lang w:eastAsia="zh-CN"/>
        </w:rPr>
        <w:tab/>
        <w:t>Follow-up to views of the Committee on individual communications</w:t>
      </w:r>
    </w:p>
    <w:p w14:paraId="024AFD5A" w14:textId="77777777" w:rsidR="00553EB7" w:rsidRPr="00553EB7" w:rsidRDefault="00553EB7" w:rsidP="00553EB7">
      <w:pPr>
        <w:pStyle w:val="SingleTxt"/>
        <w:spacing w:after="0" w:line="120" w:lineRule="exact"/>
        <w:rPr>
          <w:sz w:val="10"/>
          <w:lang w:eastAsia="zh-CN"/>
        </w:rPr>
      </w:pPr>
    </w:p>
    <w:p w14:paraId="487D1097" w14:textId="77777777" w:rsidR="00553EB7" w:rsidRPr="00553EB7" w:rsidRDefault="00553EB7" w:rsidP="00553EB7">
      <w:pPr>
        <w:pStyle w:val="SingleTxt"/>
        <w:spacing w:after="0" w:line="120" w:lineRule="exact"/>
        <w:rPr>
          <w:sz w:val="10"/>
          <w:lang w:eastAsia="zh-CN"/>
        </w:rPr>
      </w:pPr>
    </w:p>
    <w:p w14:paraId="1BDEE501" w14:textId="2355ED15" w:rsidR="001744D1" w:rsidRDefault="001744D1" w:rsidP="001744D1">
      <w:pPr>
        <w:pStyle w:val="SingleTxt"/>
        <w:rPr>
          <w:lang w:eastAsia="zh-CN"/>
        </w:rPr>
      </w:pPr>
      <w:r>
        <w:rPr>
          <w:lang w:eastAsia="zh-CN"/>
        </w:rPr>
        <w:t>25.</w:t>
      </w:r>
      <w:r>
        <w:rPr>
          <w:lang w:eastAsia="zh-CN"/>
        </w:rPr>
        <w:tab/>
        <w:t xml:space="preserve">The Committee was informed that, due to the reduced capacity of the secretariat, the Working Group had not been provided with </w:t>
      </w:r>
      <w:r w:rsidR="00657311">
        <w:rPr>
          <w:lang w:eastAsia="zh-CN"/>
        </w:rPr>
        <w:t>a written report</w:t>
      </w:r>
      <w:r>
        <w:rPr>
          <w:lang w:eastAsia="zh-CN"/>
        </w:rPr>
        <w:t xml:space="preserve"> on the follow-up situation in cases where the follow-up dialogue was </w:t>
      </w:r>
      <w:r w:rsidR="00657311">
        <w:rPr>
          <w:lang w:eastAsia="zh-CN"/>
        </w:rPr>
        <w:t>ongoing</w:t>
      </w:r>
      <w:r>
        <w:rPr>
          <w:lang w:eastAsia="zh-CN"/>
        </w:rPr>
        <w:t xml:space="preserve"> and that it intended to meet with representatives of Brazil and Peru, with a view to closing the follow-up dialogue with regard to communications No. </w:t>
      </w:r>
      <w:r w:rsidRPr="00E40B4F">
        <w:rPr>
          <w:lang w:eastAsia="zh-CN"/>
        </w:rPr>
        <w:t>17/200</w:t>
      </w:r>
      <w:r>
        <w:rPr>
          <w:lang w:eastAsia="zh-CN"/>
        </w:rPr>
        <w:t>8 (</w:t>
      </w:r>
      <w:r w:rsidRPr="00553EB7">
        <w:rPr>
          <w:i/>
          <w:iCs/>
          <w:lang w:eastAsia="zh-CN"/>
        </w:rPr>
        <w:t>da Silva Pimentel v. Brazil</w:t>
      </w:r>
      <w:r>
        <w:rPr>
          <w:lang w:eastAsia="zh-CN"/>
        </w:rPr>
        <w:t xml:space="preserve">) and No. </w:t>
      </w:r>
      <w:r w:rsidRPr="00E40B4F">
        <w:rPr>
          <w:lang w:eastAsia="zh-CN"/>
        </w:rPr>
        <w:t>22/200</w:t>
      </w:r>
      <w:r>
        <w:rPr>
          <w:lang w:eastAsia="zh-CN"/>
        </w:rPr>
        <w:t>9 (</w:t>
      </w:r>
      <w:r w:rsidRPr="00553EB7">
        <w:rPr>
          <w:i/>
          <w:iCs/>
          <w:lang w:eastAsia="zh-CN"/>
        </w:rPr>
        <w:t>T.P.F. v. Peru</w:t>
      </w:r>
      <w:r>
        <w:rPr>
          <w:lang w:eastAsia="zh-CN"/>
        </w:rPr>
        <w:t>), in the near future.</w:t>
      </w:r>
    </w:p>
    <w:p w14:paraId="691482B2" w14:textId="77777777" w:rsidR="00553EB7" w:rsidRPr="00553EB7" w:rsidRDefault="00553EB7" w:rsidP="00553EB7">
      <w:pPr>
        <w:pStyle w:val="SingleTxt"/>
        <w:spacing w:after="0" w:line="120" w:lineRule="exact"/>
        <w:rPr>
          <w:sz w:val="10"/>
          <w:lang w:eastAsia="zh-CN"/>
        </w:rPr>
      </w:pPr>
    </w:p>
    <w:p w14:paraId="662FD7C1" w14:textId="77777777" w:rsidR="00553EB7" w:rsidRPr="00553EB7" w:rsidRDefault="00553EB7" w:rsidP="00553EB7">
      <w:pPr>
        <w:pStyle w:val="SingleTxt"/>
        <w:spacing w:after="0" w:line="120" w:lineRule="exact"/>
        <w:rPr>
          <w:sz w:val="10"/>
          <w:lang w:eastAsia="zh-CN"/>
        </w:rPr>
      </w:pPr>
    </w:p>
    <w:p w14:paraId="51041F85" w14:textId="5004E0C5" w:rsidR="001744D1" w:rsidRDefault="001744D1" w:rsidP="00553EB7">
      <w:pPr>
        <w:pStyle w:val="H1"/>
        <w:ind w:right="1260"/>
        <w:rPr>
          <w:lang w:eastAsia="zh-CN"/>
        </w:rPr>
      </w:pPr>
      <w:r>
        <w:rPr>
          <w:lang w:eastAsia="zh-CN"/>
        </w:rPr>
        <w:tab/>
        <w:t>C.</w:t>
      </w:r>
      <w:r>
        <w:rPr>
          <w:lang w:eastAsia="zh-CN"/>
        </w:rPr>
        <w:tab/>
        <w:t>Action taken by the Committee in respect of issues arising under article 8 of the Optional Protocol</w:t>
      </w:r>
    </w:p>
    <w:p w14:paraId="58C901E7" w14:textId="77777777" w:rsidR="00553EB7" w:rsidRPr="00553EB7" w:rsidRDefault="00553EB7" w:rsidP="00553EB7">
      <w:pPr>
        <w:pStyle w:val="SingleTxt"/>
        <w:spacing w:after="0" w:line="120" w:lineRule="exact"/>
        <w:rPr>
          <w:sz w:val="10"/>
          <w:lang w:eastAsia="zh-CN"/>
        </w:rPr>
      </w:pPr>
    </w:p>
    <w:p w14:paraId="1BFC9628" w14:textId="77777777" w:rsidR="00553EB7" w:rsidRPr="00553EB7" w:rsidRDefault="00553EB7" w:rsidP="00553EB7">
      <w:pPr>
        <w:pStyle w:val="SingleTxt"/>
        <w:spacing w:after="0" w:line="120" w:lineRule="exact"/>
        <w:rPr>
          <w:sz w:val="10"/>
          <w:lang w:eastAsia="zh-CN"/>
        </w:rPr>
      </w:pPr>
    </w:p>
    <w:p w14:paraId="263A0816" w14:textId="64E76438" w:rsidR="001744D1" w:rsidRDefault="001744D1" w:rsidP="001744D1">
      <w:pPr>
        <w:pStyle w:val="SingleTxt"/>
        <w:rPr>
          <w:lang w:eastAsia="zh-CN"/>
        </w:rPr>
      </w:pPr>
      <w:r>
        <w:rPr>
          <w:lang w:eastAsia="zh-CN"/>
        </w:rPr>
        <w:t>26.</w:t>
      </w:r>
      <w:r>
        <w:rPr>
          <w:lang w:eastAsia="zh-CN"/>
        </w:rPr>
        <w:tab/>
        <w:t>The Committee discussed its activities under article 8 of the Optional Protocol on 19 July 2017. It endorsed the report of the Working Group on Inquiries under the Optional Protocol on its seventh session (see https://bit.ly/2qcL6KP).</w:t>
      </w:r>
    </w:p>
    <w:p w14:paraId="1B54F482" w14:textId="77777777" w:rsidR="001744D1" w:rsidRDefault="001744D1" w:rsidP="001744D1">
      <w:pPr>
        <w:pStyle w:val="SingleTxt"/>
        <w:rPr>
          <w:lang w:eastAsia="zh-CN"/>
        </w:rPr>
      </w:pPr>
      <w:r>
        <w:rPr>
          <w:lang w:eastAsia="zh-CN"/>
        </w:rPr>
        <w:t>27.</w:t>
      </w:r>
      <w:r>
        <w:rPr>
          <w:lang w:eastAsia="zh-CN"/>
        </w:rPr>
        <w:tab/>
        <w:t>The Committee adopted the following recommendations of the Working Group:</w:t>
      </w:r>
    </w:p>
    <w:p w14:paraId="2534E1C4" w14:textId="267C11DE" w:rsidR="001744D1" w:rsidRDefault="001744D1" w:rsidP="001744D1">
      <w:pPr>
        <w:pStyle w:val="SingleTxt"/>
        <w:rPr>
          <w:lang w:eastAsia="zh-CN"/>
        </w:rPr>
      </w:pPr>
      <w:r>
        <w:rPr>
          <w:lang w:eastAsia="zh-CN"/>
        </w:rPr>
        <w:tab/>
        <w:t>(a)</w:t>
      </w:r>
      <w:r>
        <w:rPr>
          <w:lang w:eastAsia="zh-CN"/>
        </w:rPr>
        <w:tab/>
        <w:t xml:space="preserve">In relation to submission No. </w:t>
      </w:r>
      <w:r w:rsidRPr="00E40B4F">
        <w:rPr>
          <w:lang w:eastAsia="zh-CN"/>
        </w:rPr>
        <w:t>2017/1</w:t>
      </w:r>
      <w:r>
        <w:rPr>
          <w:lang w:eastAsia="zh-CN"/>
        </w:rPr>
        <w:t>, to discontinue its examination of the information received under article 8 of the Optional Protocol;</w:t>
      </w:r>
    </w:p>
    <w:p w14:paraId="78C5DB11" w14:textId="61EC7C2C" w:rsidR="001744D1" w:rsidRDefault="001744D1" w:rsidP="001744D1">
      <w:pPr>
        <w:pStyle w:val="SingleTxt"/>
        <w:rPr>
          <w:lang w:eastAsia="zh-CN"/>
        </w:rPr>
      </w:pPr>
      <w:r>
        <w:rPr>
          <w:lang w:eastAsia="zh-CN"/>
        </w:rPr>
        <w:tab/>
        <w:t>(b)</w:t>
      </w:r>
      <w:r>
        <w:rPr>
          <w:lang w:eastAsia="zh-CN"/>
        </w:rPr>
        <w:tab/>
        <w:t xml:space="preserve">In relation to submission No. </w:t>
      </w:r>
      <w:r w:rsidRPr="00E40B4F">
        <w:rPr>
          <w:lang w:eastAsia="zh-CN"/>
        </w:rPr>
        <w:t>2016/1</w:t>
      </w:r>
      <w:r>
        <w:rPr>
          <w:lang w:eastAsia="zh-CN"/>
        </w:rPr>
        <w:t>, to invite the State party concerned to submit its observations with regard to the information received by the Committee under article 8 of the Optional Protocol;</w:t>
      </w:r>
    </w:p>
    <w:p w14:paraId="59720439" w14:textId="19808EA7" w:rsidR="001744D1" w:rsidRDefault="001744D1" w:rsidP="001744D1">
      <w:pPr>
        <w:pStyle w:val="SingleTxt"/>
        <w:rPr>
          <w:lang w:eastAsia="zh-CN"/>
        </w:rPr>
      </w:pPr>
      <w:r>
        <w:rPr>
          <w:lang w:eastAsia="zh-CN"/>
        </w:rPr>
        <w:tab/>
        <w:t>(c)</w:t>
      </w:r>
      <w:r>
        <w:rPr>
          <w:lang w:eastAsia="zh-CN"/>
        </w:rPr>
        <w:tab/>
        <w:t xml:space="preserve">In relation to inquiry No. </w:t>
      </w:r>
      <w:r w:rsidRPr="00E40B4F">
        <w:rPr>
          <w:lang w:eastAsia="zh-CN"/>
        </w:rPr>
        <w:t>2014/3</w:t>
      </w:r>
      <w:r>
        <w:rPr>
          <w:lang w:eastAsia="zh-CN"/>
        </w:rPr>
        <w:t>, to designate Gunnar Bergby, Nahla Haidar and Bandana Rana to conduct an inquiry and to request the consent of the State party concerned to a visit to its territory;</w:t>
      </w:r>
    </w:p>
    <w:p w14:paraId="0618F207" w14:textId="3B3ABA46" w:rsidR="001744D1" w:rsidRDefault="001744D1" w:rsidP="001744D1">
      <w:pPr>
        <w:pStyle w:val="SingleTxt"/>
        <w:rPr>
          <w:lang w:eastAsia="zh-CN"/>
        </w:rPr>
      </w:pPr>
      <w:r>
        <w:rPr>
          <w:lang w:eastAsia="zh-CN"/>
        </w:rPr>
        <w:tab/>
        <w:t>(d)</w:t>
      </w:r>
      <w:r>
        <w:rPr>
          <w:lang w:eastAsia="zh-CN"/>
        </w:rPr>
        <w:tab/>
        <w:t xml:space="preserve">In relation to submission No. </w:t>
      </w:r>
      <w:r w:rsidRPr="00E40B4F">
        <w:rPr>
          <w:lang w:eastAsia="zh-CN"/>
        </w:rPr>
        <w:t>2012/1</w:t>
      </w:r>
      <w:r>
        <w:rPr>
          <w:lang w:eastAsia="zh-CN"/>
        </w:rPr>
        <w:t>, to designate Gladys Acosta Vargas and Marion Bethel to conduct an inquiry and to request the consent of the State party concerned to a visit to its territory;</w:t>
      </w:r>
    </w:p>
    <w:p w14:paraId="06099890" w14:textId="755B978C" w:rsidR="001744D1" w:rsidRDefault="001744D1" w:rsidP="001744D1">
      <w:pPr>
        <w:pStyle w:val="SingleTxt"/>
        <w:rPr>
          <w:lang w:eastAsia="zh-CN"/>
        </w:rPr>
      </w:pPr>
      <w:r>
        <w:rPr>
          <w:lang w:eastAsia="zh-CN"/>
        </w:rPr>
        <w:lastRenderedPageBreak/>
        <w:tab/>
        <w:t>(e)</w:t>
      </w:r>
      <w:r>
        <w:rPr>
          <w:lang w:eastAsia="zh-CN"/>
        </w:rPr>
        <w:tab/>
        <w:t xml:space="preserve">In relation to submission No. </w:t>
      </w:r>
      <w:r w:rsidRPr="00E40B4F">
        <w:rPr>
          <w:lang w:eastAsia="zh-CN"/>
        </w:rPr>
        <w:t>2011/4</w:t>
      </w:r>
      <w:r>
        <w:rPr>
          <w:lang w:eastAsia="zh-CN"/>
        </w:rPr>
        <w:t>, to designate Nicole Ameline, Marion Bethel, Náela Mohamed Gabr and Patricia Schulz to conduct an inquiry and to request the consent of the State party concerned to a visit to its territory.</w:t>
      </w:r>
    </w:p>
    <w:p w14:paraId="392E919F" w14:textId="77777777" w:rsidR="001744D1" w:rsidRDefault="001744D1" w:rsidP="001744D1">
      <w:pPr>
        <w:pStyle w:val="SingleTxt"/>
        <w:rPr>
          <w:lang w:eastAsia="zh-CN"/>
        </w:rPr>
      </w:pPr>
      <w:r>
        <w:rPr>
          <w:lang w:eastAsia="zh-CN"/>
        </w:rPr>
        <w:t>28.</w:t>
      </w:r>
      <w:r>
        <w:rPr>
          <w:lang w:eastAsia="zh-CN"/>
        </w:rPr>
        <w:tab/>
        <w:t>The Committee ratified the following decisions made by the Working Group:</w:t>
      </w:r>
    </w:p>
    <w:p w14:paraId="4A955B46" w14:textId="0B76E4B7" w:rsidR="001744D1" w:rsidRDefault="001744D1" w:rsidP="001744D1">
      <w:pPr>
        <w:pStyle w:val="SingleTxt"/>
        <w:rPr>
          <w:lang w:eastAsia="zh-CN"/>
        </w:rPr>
      </w:pPr>
      <w:r>
        <w:rPr>
          <w:lang w:eastAsia="zh-CN"/>
        </w:rPr>
        <w:tab/>
        <w:t>(a)</w:t>
      </w:r>
      <w:r>
        <w:rPr>
          <w:lang w:eastAsia="zh-CN"/>
        </w:rPr>
        <w:tab/>
        <w:t xml:space="preserve">In relation to inquiry No. </w:t>
      </w:r>
      <w:r w:rsidRPr="00E40B4F">
        <w:rPr>
          <w:lang w:eastAsia="zh-CN"/>
        </w:rPr>
        <w:t>2013/1</w:t>
      </w:r>
      <w:r>
        <w:rPr>
          <w:lang w:eastAsia="zh-CN"/>
        </w:rPr>
        <w:t>, to designate Lilian Hofmeister to replace Pramila Patten as one of the members designated to conduct the inquiry;</w:t>
      </w:r>
    </w:p>
    <w:p w14:paraId="5EDB7674" w14:textId="4632EB0C" w:rsidR="001744D1" w:rsidRDefault="001744D1" w:rsidP="001744D1">
      <w:pPr>
        <w:pStyle w:val="SingleTxt"/>
        <w:rPr>
          <w:lang w:eastAsia="zh-CN"/>
        </w:rPr>
      </w:pPr>
      <w:r>
        <w:rPr>
          <w:lang w:eastAsia="zh-CN"/>
        </w:rPr>
        <w:tab/>
        <w:t>(b)</w:t>
      </w:r>
      <w:r>
        <w:rPr>
          <w:lang w:eastAsia="zh-CN"/>
        </w:rPr>
        <w:tab/>
        <w:t xml:space="preserve">In relation to inquiry No. </w:t>
      </w:r>
      <w:r w:rsidRPr="00E40B4F">
        <w:rPr>
          <w:lang w:eastAsia="zh-CN"/>
        </w:rPr>
        <w:t>2014/2</w:t>
      </w:r>
      <w:r>
        <w:rPr>
          <w:lang w:eastAsia="zh-CN"/>
        </w:rPr>
        <w:t>, to designate Marion Bethel to replace Nahla Haidar, and Aicha Vall Verges to replace Pramila Patten as members designated to conduct the inquiry;</w:t>
      </w:r>
    </w:p>
    <w:p w14:paraId="245C1ACE" w14:textId="741B1433" w:rsidR="001744D1" w:rsidRDefault="001744D1" w:rsidP="001744D1">
      <w:pPr>
        <w:pStyle w:val="SingleTxt"/>
        <w:rPr>
          <w:lang w:eastAsia="zh-CN"/>
        </w:rPr>
      </w:pPr>
      <w:r>
        <w:rPr>
          <w:lang w:eastAsia="zh-CN"/>
        </w:rPr>
        <w:tab/>
        <w:t>(c)</w:t>
      </w:r>
      <w:r>
        <w:rPr>
          <w:lang w:eastAsia="zh-CN"/>
        </w:rPr>
        <w:tab/>
        <w:t xml:space="preserve">In relation to inquiry No. </w:t>
      </w:r>
      <w:r w:rsidRPr="00E40B4F">
        <w:rPr>
          <w:lang w:eastAsia="zh-CN"/>
        </w:rPr>
        <w:t>2012/1</w:t>
      </w:r>
      <w:r>
        <w:rPr>
          <w:lang w:eastAsia="zh-CN"/>
        </w:rPr>
        <w:t>, to postpone the visit to the territory of the State party concerned until after the consideration of the periodic report of the State party.</w:t>
      </w:r>
    </w:p>
    <w:p w14:paraId="75214B9D" w14:textId="4F5AC196" w:rsidR="001744D1" w:rsidRDefault="001744D1" w:rsidP="001744D1">
      <w:pPr>
        <w:pStyle w:val="SingleTxt"/>
        <w:rPr>
          <w:lang w:eastAsia="zh-CN"/>
        </w:rPr>
      </w:pPr>
      <w:r>
        <w:rPr>
          <w:lang w:eastAsia="zh-CN"/>
        </w:rPr>
        <w:t>29.</w:t>
      </w:r>
      <w:r>
        <w:rPr>
          <w:lang w:eastAsia="zh-CN"/>
        </w:rPr>
        <w:tab/>
        <w:t xml:space="preserve">In relation to inquiry No. </w:t>
      </w:r>
      <w:r w:rsidRPr="00E40B4F">
        <w:rPr>
          <w:lang w:eastAsia="zh-CN"/>
        </w:rPr>
        <w:t>2014/1</w:t>
      </w:r>
      <w:r>
        <w:rPr>
          <w:lang w:eastAsia="zh-CN"/>
        </w:rPr>
        <w:t>, Lia Nadaraia introduced the report on the inquiry.</w:t>
      </w:r>
    </w:p>
    <w:p w14:paraId="4C160A3F" w14:textId="3BE21922" w:rsidR="00553EB7" w:rsidRDefault="00553EB7">
      <w:pPr>
        <w:suppressAutoHyphens w:val="0"/>
        <w:spacing w:after="200" w:line="276" w:lineRule="auto"/>
        <w:rPr>
          <w:lang w:eastAsia="zh-CN"/>
        </w:rPr>
      </w:pPr>
      <w:r>
        <w:rPr>
          <w:lang w:eastAsia="zh-CN"/>
        </w:rPr>
        <w:br w:type="page"/>
      </w:r>
    </w:p>
    <w:p w14:paraId="19A1EE1A" w14:textId="77777777" w:rsidR="00553EB7" w:rsidRDefault="00553EB7" w:rsidP="00553EB7">
      <w:pPr>
        <w:pStyle w:val="HCh"/>
        <w:ind w:left="1267" w:right="1260" w:hanging="1267"/>
        <w:rPr>
          <w:lang w:eastAsia="zh-CN"/>
        </w:rPr>
      </w:pPr>
      <w:r>
        <w:rPr>
          <w:lang w:eastAsia="zh-CN"/>
        </w:rPr>
        <w:lastRenderedPageBreak/>
        <w:t>Chapter VI</w:t>
      </w:r>
    </w:p>
    <w:p w14:paraId="74382B77" w14:textId="77777777" w:rsidR="00553EB7" w:rsidRDefault="00553EB7" w:rsidP="00553EB7">
      <w:pPr>
        <w:pStyle w:val="HCh"/>
        <w:ind w:left="1267" w:right="1260" w:hanging="1267"/>
        <w:rPr>
          <w:lang w:eastAsia="zh-CN"/>
        </w:rPr>
      </w:pPr>
      <w:r>
        <w:rPr>
          <w:lang w:eastAsia="zh-CN"/>
        </w:rPr>
        <w:tab/>
      </w:r>
      <w:r>
        <w:rPr>
          <w:lang w:eastAsia="zh-CN"/>
        </w:rPr>
        <w:tab/>
        <w:t>Ways and means of expediting the work of the Committee</w:t>
      </w:r>
    </w:p>
    <w:p w14:paraId="01FD5BE6" w14:textId="77777777" w:rsidR="00553EB7" w:rsidRPr="00553EB7" w:rsidRDefault="00553EB7" w:rsidP="00553EB7">
      <w:pPr>
        <w:pStyle w:val="SingleTxt"/>
        <w:spacing w:after="0" w:line="120" w:lineRule="exact"/>
        <w:rPr>
          <w:sz w:val="10"/>
          <w:lang w:eastAsia="zh-CN"/>
        </w:rPr>
      </w:pPr>
    </w:p>
    <w:p w14:paraId="4EF827E0" w14:textId="77777777" w:rsidR="00553EB7" w:rsidRPr="00553EB7" w:rsidRDefault="00553EB7" w:rsidP="00553EB7">
      <w:pPr>
        <w:pStyle w:val="SingleTxt"/>
        <w:spacing w:after="0" w:line="120" w:lineRule="exact"/>
        <w:rPr>
          <w:sz w:val="10"/>
          <w:lang w:eastAsia="zh-CN"/>
        </w:rPr>
      </w:pPr>
    </w:p>
    <w:p w14:paraId="29E87422" w14:textId="13BCD9B1" w:rsidR="00553EB7" w:rsidRDefault="00553EB7" w:rsidP="00553EB7">
      <w:pPr>
        <w:pStyle w:val="SingleTxt"/>
        <w:rPr>
          <w:lang w:eastAsia="zh-CN"/>
        </w:rPr>
      </w:pPr>
      <w:r>
        <w:rPr>
          <w:lang w:eastAsia="zh-CN"/>
        </w:rPr>
        <w:t>30.</w:t>
      </w:r>
      <w:r>
        <w:rPr>
          <w:lang w:eastAsia="zh-CN"/>
        </w:rPr>
        <w:tab/>
        <w:t>The secretariat informed the Committee about the status of submission of overdue reports by States parties under article 18 of the Convention.</w:t>
      </w:r>
    </w:p>
    <w:p w14:paraId="404ACB81" w14:textId="77777777" w:rsidR="00553EB7" w:rsidRPr="00553EB7" w:rsidRDefault="00553EB7" w:rsidP="00553EB7">
      <w:pPr>
        <w:pStyle w:val="SingleTxt"/>
        <w:spacing w:after="0" w:line="120" w:lineRule="exact"/>
        <w:rPr>
          <w:sz w:val="10"/>
          <w:lang w:eastAsia="zh-CN"/>
        </w:rPr>
      </w:pPr>
    </w:p>
    <w:p w14:paraId="28A261F5" w14:textId="77777777" w:rsidR="00553EB7" w:rsidRPr="00553EB7" w:rsidRDefault="00553EB7" w:rsidP="00553EB7">
      <w:pPr>
        <w:pStyle w:val="SingleTxt"/>
        <w:spacing w:after="0" w:line="120" w:lineRule="exact"/>
        <w:rPr>
          <w:sz w:val="10"/>
          <w:lang w:eastAsia="zh-CN"/>
        </w:rPr>
      </w:pPr>
    </w:p>
    <w:p w14:paraId="55BC1896" w14:textId="7E5F49E2" w:rsidR="00553EB7" w:rsidRDefault="00553EB7" w:rsidP="00553EB7">
      <w:pPr>
        <w:pStyle w:val="H1"/>
        <w:ind w:right="1260"/>
        <w:rPr>
          <w:lang w:eastAsia="zh-CN"/>
        </w:rPr>
      </w:pPr>
      <w:r>
        <w:rPr>
          <w:lang w:eastAsia="zh-CN"/>
        </w:rPr>
        <w:tab/>
      </w:r>
      <w:r>
        <w:rPr>
          <w:lang w:eastAsia="zh-CN"/>
        </w:rPr>
        <w:tab/>
        <w:t>Action taken by the Committee under agenda item 7</w:t>
      </w:r>
    </w:p>
    <w:p w14:paraId="6B7D3BB8" w14:textId="77777777" w:rsidR="00553EB7" w:rsidRPr="00553EB7" w:rsidRDefault="00553EB7" w:rsidP="00553EB7">
      <w:pPr>
        <w:pStyle w:val="SingleTxt"/>
        <w:spacing w:after="0" w:line="120" w:lineRule="exact"/>
        <w:rPr>
          <w:sz w:val="10"/>
          <w:lang w:eastAsia="zh-CN"/>
        </w:rPr>
      </w:pPr>
    </w:p>
    <w:p w14:paraId="5BB4BE2C" w14:textId="77777777" w:rsidR="00553EB7" w:rsidRPr="00553EB7" w:rsidRDefault="00553EB7" w:rsidP="00553EB7">
      <w:pPr>
        <w:pStyle w:val="SingleTxt"/>
        <w:spacing w:after="0" w:line="120" w:lineRule="exact"/>
        <w:rPr>
          <w:sz w:val="10"/>
          <w:lang w:eastAsia="zh-CN"/>
        </w:rPr>
      </w:pPr>
    </w:p>
    <w:p w14:paraId="2C082356" w14:textId="0D0D8BB1" w:rsidR="00553EB7" w:rsidRDefault="00553EB7" w:rsidP="00553E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 xml:space="preserve">Dates of future sessions </w:t>
      </w:r>
    </w:p>
    <w:p w14:paraId="4CE4FC1C" w14:textId="77777777" w:rsidR="00553EB7" w:rsidRPr="00553EB7" w:rsidRDefault="00553EB7" w:rsidP="00553EB7">
      <w:pPr>
        <w:pStyle w:val="SingleTxt"/>
        <w:spacing w:after="0" w:line="120" w:lineRule="exact"/>
        <w:rPr>
          <w:sz w:val="10"/>
          <w:lang w:eastAsia="zh-CN"/>
        </w:rPr>
      </w:pPr>
    </w:p>
    <w:p w14:paraId="4F4062D9" w14:textId="53BB20C5" w:rsidR="00553EB7" w:rsidRDefault="00553EB7" w:rsidP="00553EB7">
      <w:pPr>
        <w:pStyle w:val="SingleTxt"/>
        <w:rPr>
          <w:lang w:eastAsia="zh-CN"/>
        </w:rPr>
      </w:pPr>
      <w:r>
        <w:rPr>
          <w:lang w:eastAsia="zh-CN"/>
        </w:rPr>
        <w:t>31.</w:t>
      </w:r>
      <w:r>
        <w:rPr>
          <w:lang w:eastAsia="zh-CN"/>
        </w:rPr>
        <w:tab/>
        <w:t>In accordance with the calendar of conferences, the following dates were confirmed for the Committee’s sixty-eighth and sixty-ninth sessions and related meetings:</w:t>
      </w:r>
    </w:p>
    <w:p w14:paraId="741CF90B" w14:textId="77777777" w:rsidR="00553EB7" w:rsidRDefault="00553EB7" w:rsidP="00553EB7">
      <w:pPr>
        <w:pStyle w:val="SingleTxt"/>
        <w:rPr>
          <w:lang w:eastAsia="zh-CN"/>
        </w:rPr>
      </w:pPr>
      <w:r>
        <w:rPr>
          <w:lang w:eastAsia="zh-CN"/>
        </w:rPr>
        <w:tab/>
        <w:t>Sixty-eighth session (Geneva)</w:t>
      </w:r>
    </w:p>
    <w:p w14:paraId="168B0F83" w14:textId="60E6F074" w:rsidR="00553EB7" w:rsidRDefault="002B116A" w:rsidP="002B116A">
      <w:pPr>
        <w:pStyle w:val="SingleTxt"/>
        <w:ind w:left="2218" w:hanging="951"/>
        <w:rPr>
          <w:lang w:eastAsia="zh-CN"/>
        </w:rPr>
      </w:pPr>
      <w:r>
        <w:rPr>
          <w:lang w:eastAsia="zh-CN"/>
        </w:rPr>
        <w:tab/>
      </w:r>
      <w:r>
        <w:rPr>
          <w:lang w:eastAsia="zh-CN"/>
        </w:rPr>
        <w:tab/>
      </w:r>
      <w:r w:rsidR="00553EB7">
        <w:rPr>
          <w:lang w:eastAsia="zh-CN"/>
        </w:rPr>
        <w:t>(a)</w:t>
      </w:r>
      <w:r w:rsidR="00553EB7">
        <w:rPr>
          <w:lang w:eastAsia="zh-CN"/>
        </w:rPr>
        <w:tab/>
        <w:t>Thirty-ninth session of the Working Group on Communications under the Optional Protocol: 18–20 October 2017;</w:t>
      </w:r>
    </w:p>
    <w:p w14:paraId="6FDED972" w14:textId="37D08BD3" w:rsidR="00553EB7" w:rsidRDefault="002B116A" w:rsidP="002B116A">
      <w:pPr>
        <w:pStyle w:val="SingleTxt"/>
        <w:ind w:left="2218" w:hanging="951"/>
        <w:rPr>
          <w:lang w:eastAsia="zh-CN"/>
        </w:rPr>
      </w:pPr>
      <w:r>
        <w:rPr>
          <w:lang w:eastAsia="zh-CN"/>
        </w:rPr>
        <w:tab/>
      </w:r>
      <w:r>
        <w:rPr>
          <w:lang w:eastAsia="zh-CN"/>
        </w:rPr>
        <w:tab/>
      </w:r>
      <w:r w:rsidR="00553EB7">
        <w:rPr>
          <w:lang w:eastAsia="zh-CN"/>
        </w:rPr>
        <w:t>(b)</w:t>
      </w:r>
      <w:r w:rsidR="00553EB7">
        <w:rPr>
          <w:lang w:eastAsia="zh-CN"/>
        </w:rPr>
        <w:tab/>
        <w:t>Eighth session of the Working Group on Inquiries under the Optional Protocol: 19 and 20 October 2017;</w:t>
      </w:r>
    </w:p>
    <w:p w14:paraId="5348E7D8" w14:textId="04128734" w:rsidR="00553EB7" w:rsidRDefault="002B116A" w:rsidP="00553EB7">
      <w:pPr>
        <w:pStyle w:val="SingleTxt"/>
        <w:rPr>
          <w:lang w:eastAsia="zh-CN"/>
        </w:rPr>
      </w:pPr>
      <w:r>
        <w:rPr>
          <w:lang w:eastAsia="zh-CN"/>
        </w:rPr>
        <w:tab/>
      </w:r>
      <w:r w:rsidR="00553EB7">
        <w:rPr>
          <w:lang w:eastAsia="zh-CN"/>
        </w:rPr>
        <w:t>(c)</w:t>
      </w:r>
      <w:r w:rsidR="00553EB7">
        <w:rPr>
          <w:lang w:eastAsia="zh-CN"/>
        </w:rPr>
        <w:tab/>
        <w:t>Sixty-eighth session: 23 October–17 November 2017;</w:t>
      </w:r>
    </w:p>
    <w:p w14:paraId="2EF32602" w14:textId="725A45FF" w:rsidR="00553EB7" w:rsidRDefault="002B116A" w:rsidP="002B116A">
      <w:pPr>
        <w:pStyle w:val="SingleTxt"/>
        <w:ind w:left="2218" w:hanging="951"/>
        <w:rPr>
          <w:lang w:eastAsia="zh-CN"/>
        </w:rPr>
      </w:pPr>
      <w:r>
        <w:rPr>
          <w:lang w:eastAsia="zh-CN"/>
        </w:rPr>
        <w:tab/>
      </w:r>
      <w:r>
        <w:rPr>
          <w:lang w:eastAsia="zh-CN"/>
        </w:rPr>
        <w:tab/>
      </w:r>
      <w:r w:rsidR="00553EB7">
        <w:rPr>
          <w:lang w:eastAsia="zh-CN"/>
        </w:rPr>
        <w:t>(d)</w:t>
      </w:r>
      <w:r w:rsidR="00553EB7">
        <w:rPr>
          <w:lang w:eastAsia="zh-CN"/>
        </w:rPr>
        <w:tab/>
        <w:t>Pre-sessional working group for the seventieth session: 20–24 November 2017;</w:t>
      </w:r>
    </w:p>
    <w:p w14:paraId="4105DAB7" w14:textId="4E42F6ED" w:rsidR="00553EB7" w:rsidRDefault="00B21D63" w:rsidP="00553EB7">
      <w:pPr>
        <w:pStyle w:val="SingleTxt"/>
        <w:rPr>
          <w:lang w:eastAsia="zh-CN"/>
        </w:rPr>
      </w:pPr>
      <w:r>
        <w:rPr>
          <w:lang w:eastAsia="zh-CN"/>
        </w:rPr>
        <w:tab/>
      </w:r>
      <w:r w:rsidR="00553EB7">
        <w:rPr>
          <w:lang w:eastAsia="zh-CN"/>
        </w:rPr>
        <w:t>Sixty-ninth session (Geneva)</w:t>
      </w:r>
    </w:p>
    <w:p w14:paraId="18A47CF8" w14:textId="74A20099" w:rsidR="00553EB7" w:rsidRDefault="002B116A" w:rsidP="002B116A">
      <w:pPr>
        <w:pStyle w:val="SingleTxt"/>
        <w:ind w:left="2218" w:hanging="951"/>
        <w:rPr>
          <w:lang w:eastAsia="zh-CN"/>
        </w:rPr>
      </w:pPr>
      <w:r>
        <w:rPr>
          <w:lang w:eastAsia="zh-CN"/>
        </w:rPr>
        <w:tab/>
      </w:r>
      <w:r>
        <w:rPr>
          <w:lang w:eastAsia="zh-CN"/>
        </w:rPr>
        <w:tab/>
      </w:r>
      <w:r w:rsidR="00553EB7">
        <w:rPr>
          <w:lang w:eastAsia="zh-CN"/>
        </w:rPr>
        <w:t>(e)</w:t>
      </w:r>
      <w:r w:rsidR="00553EB7">
        <w:rPr>
          <w:lang w:eastAsia="zh-CN"/>
        </w:rPr>
        <w:tab/>
        <w:t>Fortieth session of the Working Group on Communications under the Optional Protocol: 13–16 February 2018;</w:t>
      </w:r>
    </w:p>
    <w:p w14:paraId="795AEB71" w14:textId="79D874C3" w:rsidR="00553EB7" w:rsidRDefault="002B116A" w:rsidP="002B116A">
      <w:pPr>
        <w:pStyle w:val="SingleTxt"/>
        <w:ind w:left="2218" w:hanging="951"/>
        <w:rPr>
          <w:lang w:eastAsia="zh-CN"/>
        </w:rPr>
      </w:pPr>
      <w:r>
        <w:rPr>
          <w:lang w:eastAsia="zh-CN"/>
        </w:rPr>
        <w:tab/>
      </w:r>
      <w:r>
        <w:rPr>
          <w:lang w:eastAsia="zh-CN"/>
        </w:rPr>
        <w:tab/>
      </w:r>
      <w:r w:rsidR="00553EB7">
        <w:rPr>
          <w:lang w:eastAsia="zh-CN"/>
        </w:rPr>
        <w:t>(f)</w:t>
      </w:r>
      <w:r w:rsidR="00553EB7">
        <w:rPr>
          <w:lang w:eastAsia="zh-CN"/>
        </w:rPr>
        <w:tab/>
        <w:t>Ninth session of the Working Group on Inquiries under the Optional Protocol: 15 and 16 February 2018;</w:t>
      </w:r>
    </w:p>
    <w:p w14:paraId="3007347B" w14:textId="46F5CA10" w:rsidR="00553EB7" w:rsidRDefault="002B116A" w:rsidP="00553EB7">
      <w:pPr>
        <w:pStyle w:val="SingleTxt"/>
        <w:rPr>
          <w:lang w:eastAsia="zh-CN"/>
        </w:rPr>
      </w:pPr>
      <w:r>
        <w:rPr>
          <w:lang w:eastAsia="zh-CN"/>
        </w:rPr>
        <w:tab/>
      </w:r>
      <w:r w:rsidR="00553EB7">
        <w:rPr>
          <w:lang w:eastAsia="zh-CN"/>
        </w:rPr>
        <w:t>(g)</w:t>
      </w:r>
      <w:r w:rsidR="00553EB7">
        <w:rPr>
          <w:lang w:eastAsia="zh-CN"/>
        </w:rPr>
        <w:tab/>
        <w:t>Sixty-ninth session: 19 February–9 March 2018;</w:t>
      </w:r>
    </w:p>
    <w:p w14:paraId="1F7511DA" w14:textId="63711B11" w:rsidR="00553EB7" w:rsidRDefault="002B116A" w:rsidP="002B116A">
      <w:pPr>
        <w:pStyle w:val="SingleTxt"/>
        <w:ind w:left="2218" w:hanging="951"/>
        <w:rPr>
          <w:lang w:eastAsia="zh-CN"/>
        </w:rPr>
      </w:pPr>
      <w:r>
        <w:rPr>
          <w:lang w:eastAsia="zh-CN"/>
        </w:rPr>
        <w:tab/>
      </w:r>
      <w:r>
        <w:rPr>
          <w:lang w:eastAsia="zh-CN"/>
        </w:rPr>
        <w:tab/>
      </w:r>
      <w:r w:rsidR="00553EB7">
        <w:rPr>
          <w:lang w:eastAsia="zh-CN"/>
        </w:rPr>
        <w:t>(h)</w:t>
      </w:r>
      <w:r w:rsidR="00553EB7">
        <w:rPr>
          <w:lang w:eastAsia="zh-CN"/>
        </w:rPr>
        <w:tab/>
        <w:t>Pre-sessional working group for the seventy-first session: 12–16 March 2018.</w:t>
      </w:r>
    </w:p>
    <w:p w14:paraId="0A75B140" w14:textId="77777777" w:rsidR="002B116A" w:rsidRPr="002B116A" w:rsidRDefault="002B116A" w:rsidP="002B116A">
      <w:pPr>
        <w:pStyle w:val="SingleTxt"/>
        <w:spacing w:after="0" w:line="120" w:lineRule="exact"/>
        <w:rPr>
          <w:sz w:val="10"/>
          <w:lang w:eastAsia="zh-CN"/>
        </w:rPr>
      </w:pPr>
    </w:p>
    <w:p w14:paraId="693A9064" w14:textId="4EC5846A" w:rsidR="00553EB7" w:rsidRDefault="00553EB7" w:rsidP="002B1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 xml:space="preserve">Reports to be considered at future sessions </w:t>
      </w:r>
    </w:p>
    <w:p w14:paraId="5B648D95" w14:textId="77777777" w:rsidR="002B116A" w:rsidRPr="002B116A" w:rsidRDefault="002B116A" w:rsidP="002B116A">
      <w:pPr>
        <w:pStyle w:val="SingleTxt"/>
        <w:spacing w:after="0" w:line="120" w:lineRule="exact"/>
        <w:rPr>
          <w:sz w:val="10"/>
          <w:lang w:eastAsia="zh-CN"/>
        </w:rPr>
      </w:pPr>
    </w:p>
    <w:p w14:paraId="06C22F03" w14:textId="1D01714E" w:rsidR="00553EB7" w:rsidRDefault="00553EB7" w:rsidP="00553EB7">
      <w:pPr>
        <w:pStyle w:val="SingleTxt"/>
        <w:rPr>
          <w:lang w:eastAsia="zh-CN"/>
        </w:rPr>
      </w:pPr>
      <w:r>
        <w:rPr>
          <w:lang w:eastAsia="zh-CN"/>
        </w:rPr>
        <w:t>32.</w:t>
      </w:r>
      <w:r>
        <w:rPr>
          <w:lang w:eastAsia="zh-CN"/>
        </w:rPr>
        <w:tab/>
        <w:t>The Committee confirmed that it would consider the reports of the following States parties at its sixty-eighth and sixty-ninth sessions:</w:t>
      </w:r>
    </w:p>
    <w:p w14:paraId="62924208" w14:textId="77777777" w:rsidR="00553EB7" w:rsidRDefault="00553EB7" w:rsidP="00553EB7">
      <w:pPr>
        <w:pStyle w:val="SingleTxt"/>
        <w:rPr>
          <w:lang w:eastAsia="zh-CN"/>
        </w:rPr>
      </w:pPr>
      <w:r>
        <w:rPr>
          <w:lang w:eastAsia="zh-CN"/>
        </w:rPr>
        <w:tab/>
        <w:t>Sixty-eighth session:</w:t>
      </w:r>
    </w:p>
    <w:p w14:paraId="1FFC12BC" w14:textId="43040264" w:rsidR="00553EB7" w:rsidRDefault="002B116A" w:rsidP="002B116A">
      <w:pPr>
        <w:pStyle w:val="SingleTxt"/>
        <w:spacing w:after="0"/>
        <w:rPr>
          <w:lang w:eastAsia="zh-CN"/>
        </w:rPr>
      </w:pPr>
      <w:r>
        <w:rPr>
          <w:lang w:eastAsia="zh-CN"/>
        </w:rPr>
        <w:tab/>
      </w:r>
      <w:r w:rsidR="00553EB7">
        <w:rPr>
          <w:lang w:eastAsia="zh-CN"/>
        </w:rPr>
        <w:t>Burkina Faso</w:t>
      </w:r>
    </w:p>
    <w:p w14:paraId="24678A5E" w14:textId="1D8998F9" w:rsidR="00553EB7" w:rsidRDefault="002B116A" w:rsidP="002B116A">
      <w:pPr>
        <w:pStyle w:val="SingleTxt"/>
        <w:spacing w:after="0"/>
        <w:rPr>
          <w:lang w:eastAsia="zh-CN"/>
        </w:rPr>
      </w:pPr>
      <w:r>
        <w:rPr>
          <w:lang w:eastAsia="zh-CN"/>
        </w:rPr>
        <w:tab/>
      </w:r>
      <w:r w:rsidR="00553EB7">
        <w:rPr>
          <w:lang w:eastAsia="zh-CN"/>
        </w:rPr>
        <w:t>Democratic People’s Republic of Korea</w:t>
      </w:r>
    </w:p>
    <w:p w14:paraId="33340A59" w14:textId="167F213C" w:rsidR="00553EB7" w:rsidRDefault="002B116A" w:rsidP="002B116A">
      <w:pPr>
        <w:pStyle w:val="SingleTxt"/>
        <w:spacing w:after="0"/>
        <w:rPr>
          <w:lang w:eastAsia="zh-CN"/>
        </w:rPr>
      </w:pPr>
      <w:r>
        <w:rPr>
          <w:lang w:eastAsia="zh-CN"/>
        </w:rPr>
        <w:tab/>
      </w:r>
      <w:r w:rsidR="00553EB7">
        <w:rPr>
          <w:lang w:eastAsia="zh-CN"/>
        </w:rPr>
        <w:t>Guatemala</w:t>
      </w:r>
    </w:p>
    <w:p w14:paraId="6E7DB5C5" w14:textId="5FB2749F" w:rsidR="00553EB7" w:rsidRDefault="002B116A" w:rsidP="002B116A">
      <w:pPr>
        <w:pStyle w:val="SingleTxt"/>
        <w:spacing w:after="0"/>
        <w:rPr>
          <w:lang w:eastAsia="zh-CN"/>
        </w:rPr>
      </w:pPr>
      <w:r>
        <w:rPr>
          <w:lang w:eastAsia="zh-CN"/>
        </w:rPr>
        <w:tab/>
      </w:r>
      <w:r w:rsidR="00553EB7">
        <w:rPr>
          <w:lang w:eastAsia="zh-CN"/>
        </w:rPr>
        <w:t>Israel (under the simplified reporting procedure)</w:t>
      </w:r>
    </w:p>
    <w:p w14:paraId="67B344AB" w14:textId="16BCB32D" w:rsidR="00553EB7" w:rsidRDefault="002B116A" w:rsidP="002B116A">
      <w:pPr>
        <w:pStyle w:val="SingleTxt"/>
        <w:spacing w:after="0"/>
        <w:rPr>
          <w:lang w:eastAsia="zh-CN"/>
        </w:rPr>
      </w:pPr>
      <w:r>
        <w:rPr>
          <w:lang w:eastAsia="zh-CN"/>
        </w:rPr>
        <w:tab/>
      </w:r>
      <w:r w:rsidR="00553EB7">
        <w:rPr>
          <w:lang w:eastAsia="zh-CN"/>
        </w:rPr>
        <w:t>Kenya</w:t>
      </w:r>
    </w:p>
    <w:p w14:paraId="635E48EF" w14:textId="2BFC7A49" w:rsidR="00553EB7" w:rsidRDefault="002B116A" w:rsidP="002B116A">
      <w:pPr>
        <w:pStyle w:val="SingleTxt"/>
        <w:spacing w:after="0"/>
        <w:rPr>
          <w:lang w:eastAsia="zh-CN"/>
        </w:rPr>
      </w:pPr>
      <w:r>
        <w:rPr>
          <w:lang w:eastAsia="zh-CN"/>
        </w:rPr>
        <w:tab/>
      </w:r>
      <w:r w:rsidR="00553EB7">
        <w:rPr>
          <w:lang w:eastAsia="zh-CN"/>
        </w:rPr>
        <w:t>Kuwait</w:t>
      </w:r>
    </w:p>
    <w:p w14:paraId="3320D97C" w14:textId="083514F0" w:rsidR="00553EB7" w:rsidRDefault="002B116A" w:rsidP="002B116A">
      <w:pPr>
        <w:pStyle w:val="SingleTxt"/>
        <w:spacing w:after="0"/>
        <w:rPr>
          <w:lang w:eastAsia="zh-CN"/>
        </w:rPr>
      </w:pPr>
      <w:r>
        <w:rPr>
          <w:lang w:eastAsia="zh-CN"/>
        </w:rPr>
        <w:tab/>
      </w:r>
      <w:r w:rsidR="00553EB7">
        <w:rPr>
          <w:lang w:eastAsia="zh-CN"/>
        </w:rPr>
        <w:t>Monaco</w:t>
      </w:r>
    </w:p>
    <w:p w14:paraId="0E4429AA" w14:textId="1C355F2C" w:rsidR="00553EB7" w:rsidRDefault="002B116A" w:rsidP="002B116A">
      <w:pPr>
        <w:pStyle w:val="SingleTxt"/>
        <w:spacing w:after="0"/>
        <w:rPr>
          <w:lang w:eastAsia="zh-CN"/>
        </w:rPr>
      </w:pPr>
      <w:r>
        <w:rPr>
          <w:lang w:eastAsia="zh-CN"/>
        </w:rPr>
        <w:tab/>
      </w:r>
      <w:r w:rsidR="00553EB7">
        <w:rPr>
          <w:lang w:eastAsia="zh-CN"/>
        </w:rPr>
        <w:t>Nauru</w:t>
      </w:r>
    </w:p>
    <w:p w14:paraId="67FF1A66" w14:textId="7DF4C82B" w:rsidR="00553EB7" w:rsidRDefault="002B116A" w:rsidP="002B116A">
      <w:pPr>
        <w:pStyle w:val="SingleTxt"/>
        <w:spacing w:after="0"/>
        <w:rPr>
          <w:lang w:eastAsia="zh-CN"/>
        </w:rPr>
      </w:pPr>
      <w:r>
        <w:rPr>
          <w:lang w:eastAsia="zh-CN"/>
        </w:rPr>
        <w:tab/>
      </w:r>
      <w:r w:rsidR="00553EB7">
        <w:rPr>
          <w:lang w:eastAsia="zh-CN"/>
        </w:rPr>
        <w:t>Norway</w:t>
      </w:r>
    </w:p>
    <w:p w14:paraId="40A4AB5F" w14:textId="720ECA90" w:rsidR="00553EB7" w:rsidRDefault="002B116A" w:rsidP="002B116A">
      <w:pPr>
        <w:pStyle w:val="SingleTxt"/>
        <w:spacing w:after="0"/>
        <w:rPr>
          <w:lang w:eastAsia="zh-CN"/>
        </w:rPr>
      </w:pPr>
      <w:r>
        <w:rPr>
          <w:lang w:eastAsia="zh-CN"/>
        </w:rPr>
        <w:tab/>
      </w:r>
      <w:r w:rsidR="00553EB7">
        <w:rPr>
          <w:lang w:eastAsia="zh-CN"/>
        </w:rPr>
        <w:t>Oman</w:t>
      </w:r>
    </w:p>
    <w:p w14:paraId="084F4012" w14:textId="1D1AC5C6" w:rsidR="00553EB7" w:rsidRDefault="002B116A" w:rsidP="002B116A">
      <w:pPr>
        <w:pStyle w:val="SingleTxt"/>
        <w:spacing w:after="0"/>
        <w:rPr>
          <w:lang w:eastAsia="zh-CN"/>
        </w:rPr>
      </w:pPr>
      <w:r>
        <w:rPr>
          <w:lang w:eastAsia="zh-CN"/>
        </w:rPr>
        <w:tab/>
      </w:r>
      <w:r w:rsidR="00553EB7">
        <w:rPr>
          <w:lang w:eastAsia="zh-CN"/>
        </w:rPr>
        <w:t>Paraguay</w:t>
      </w:r>
    </w:p>
    <w:p w14:paraId="63599CDF" w14:textId="39C0A563" w:rsidR="00553EB7" w:rsidRDefault="002B116A" w:rsidP="00553EB7">
      <w:pPr>
        <w:pStyle w:val="SingleTxt"/>
        <w:rPr>
          <w:lang w:eastAsia="zh-CN"/>
        </w:rPr>
      </w:pPr>
      <w:r>
        <w:rPr>
          <w:lang w:eastAsia="zh-CN"/>
        </w:rPr>
        <w:tab/>
      </w:r>
      <w:r w:rsidR="00553EB7">
        <w:rPr>
          <w:lang w:eastAsia="zh-CN"/>
        </w:rPr>
        <w:t>Singapore</w:t>
      </w:r>
    </w:p>
    <w:p w14:paraId="6A36635A" w14:textId="64AEADFE" w:rsidR="00553EB7" w:rsidRDefault="00B21D63" w:rsidP="002B116A">
      <w:pPr>
        <w:pStyle w:val="SingleTxt"/>
        <w:keepNext/>
        <w:rPr>
          <w:lang w:eastAsia="zh-CN"/>
        </w:rPr>
      </w:pPr>
      <w:r>
        <w:rPr>
          <w:lang w:eastAsia="zh-CN"/>
        </w:rPr>
        <w:lastRenderedPageBreak/>
        <w:tab/>
      </w:r>
      <w:r w:rsidR="00553EB7">
        <w:rPr>
          <w:lang w:eastAsia="zh-CN"/>
        </w:rPr>
        <w:t>Sixty-ninth session:</w:t>
      </w:r>
    </w:p>
    <w:p w14:paraId="438E6104" w14:textId="128D629F" w:rsidR="00553EB7" w:rsidRDefault="00B21D63" w:rsidP="002B116A">
      <w:pPr>
        <w:pStyle w:val="SingleTxt"/>
        <w:keepNext/>
        <w:spacing w:after="0"/>
        <w:rPr>
          <w:lang w:eastAsia="zh-CN"/>
        </w:rPr>
      </w:pPr>
      <w:r>
        <w:rPr>
          <w:lang w:eastAsia="zh-CN"/>
        </w:rPr>
        <w:tab/>
      </w:r>
      <w:r w:rsidR="00553EB7">
        <w:rPr>
          <w:lang w:eastAsia="zh-CN"/>
        </w:rPr>
        <w:t>Chile</w:t>
      </w:r>
    </w:p>
    <w:p w14:paraId="482CB0D1" w14:textId="43BA9895" w:rsidR="00553EB7" w:rsidRDefault="00B21D63" w:rsidP="002B116A">
      <w:pPr>
        <w:pStyle w:val="SingleTxt"/>
        <w:spacing w:after="0"/>
        <w:rPr>
          <w:lang w:eastAsia="zh-CN"/>
        </w:rPr>
      </w:pPr>
      <w:r>
        <w:rPr>
          <w:lang w:eastAsia="zh-CN"/>
        </w:rPr>
        <w:tab/>
      </w:r>
      <w:r w:rsidR="00553EB7">
        <w:rPr>
          <w:lang w:eastAsia="zh-CN"/>
        </w:rPr>
        <w:t>Fiji</w:t>
      </w:r>
    </w:p>
    <w:p w14:paraId="75881E02" w14:textId="6CE0573C" w:rsidR="00553EB7" w:rsidRDefault="00B21D63" w:rsidP="002B116A">
      <w:pPr>
        <w:pStyle w:val="SingleTxt"/>
        <w:spacing w:after="0"/>
        <w:rPr>
          <w:lang w:eastAsia="zh-CN"/>
        </w:rPr>
      </w:pPr>
      <w:r>
        <w:rPr>
          <w:lang w:eastAsia="zh-CN"/>
        </w:rPr>
        <w:tab/>
      </w:r>
      <w:r w:rsidR="00553EB7">
        <w:rPr>
          <w:lang w:eastAsia="zh-CN"/>
        </w:rPr>
        <w:t>Luxembourg (under the simplified reporting procedure)</w:t>
      </w:r>
    </w:p>
    <w:p w14:paraId="01F43C00" w14:textId="6DFC3144" w:rsidR="00553EB7" w:rsidRDefault="00B21D63" w:rsidP="002B116A">
      <w:pPr>
        <w:pStyle w:val="SingleTxt"/>
        <w:spacing w:after="0"/>
        <w:rPr>
          <w:lang w:eastAsia="zh-CN"/>
        </w:rPr>
      </w:pPr>
      <w:r>
        <w:rPr>
          <w:lang w:eastAsia="zh-CN"/>
        </w:rPr>
        <w:tab/>
      </w:r>
      <w:r w:rsidR="00553EB7">
        <w:rPr>
          <w:lang w:eastAsia="zh-CN"/>
        </w:rPr>
        <w:t>Malaysia</w:t>
      </w:r>
    </w:p>
    <w:p w14:paraId="11AE767D" w14:textId="006A42C7" w:rsidR="00553EB7" w:rsidRDefault="00B21D63" w:rsidP="002B116A">
      <w:pPr>
        <w:pStyle w:val="SingleTxt"/>
        <w:spacing w:after="0"/>
        <w:rPr>
          <w:lang w:eastAsia="zh-CN"/>
        </w:rPr>
      </w:pPr>
      <w:r>
        <w:rPr>
          <w:lang w:eastAsia="zh-CN"/>
        </w:rPr>
        <w:tab/>
      </w:r>
      <w:r w:rsidR="00553EB7">
        <w:rPr>
          <w:lang w:eastAsia="zh-CN"/>
        </w:rPr>
        <w:t>Marshall Islands</w:t>
      </w:r>
    </w:p>
    <w:p w14:paraId="6D044C83" w14:textId="4E2CEA89" w:rsidR="00553EB7" w:rsidRDefault="00B21D63" w:rsidP="002B116A">
      <w:pPr>
        <w:pStyle w:val="SingleTxt"/>
        <w:spacing w:after="0"/>
        <w:rPr>
          <w:lang w:eastAsia="zh-CN"/>
        </w:rPr>
      </w:pPr>
      <w:r>
        <w:rPr>
          <w:lang w:eastAsia="zh-CN"/>
        </w:rPr>
        <w:tab/>
      </w:r>
      <w:r w:rsidR="00553EB7">
        <w:rPr>
          <w:lang w:eastAsia="zh-CN"/>
        </w:rPr>
        <w:t>Republic of Korea</w:t>
      </w:r>
    </w:p>
    <w:p w14:paraId="58F829C9" w14:textId="1AA552F3" w:rsidR="00553EB7" w:rsidRDefault="00B21D63" w:rsidP="002B116A">
      <w:pPr>
        <w:pStyle w:val="SingleTxt"/>
        <w:spacing w:after="0"/>
        <w:rPr>
          <w:lang w:eastAsia="zh-CN"/>
        </w:rPr>
      </w:pPr>
      <w:r>
        <w:rPr>
          <w:lang w:eastAsia="zh-CN"/>
        </w:rPr>
        <w:tab/>
      </w:r>
      <w:r w:rsidR="00553EB7">
        <w:rPr>
          <w:lang w:eastAsia="zh-CN"/>
        </w:rPr>
        <w:t>Suriname</w:t>
      </w:r>
    </w:p>
    <w:p w14:paraId="6BEB00F8" w14:textId="678E3799" w:rsidR="00553EB7" w:rsidRDefault="00B21D63" w:rsidP="00553EB7">
      <w:pPr>
        <w:pStyle w:val="SingleTxt"/>
        <w:rPr>
          <w:lang w:eastAsia="zh-CN"/>
        </w:rPr>
      </w:pPr>
      <w:r>
        <w:rPr>
          <w:lang w:eastAsia="zh-CN"/>
        </w:rPr>
        <w:tab/>
      </w:r>
      <w:r w:rsidR="00553EB7">
        <w:rPr>
          <w:lang w:eastAsia="zh-CN"/>
        </w:rPr>
        <w:t>Saudi Arabia</w:t>
      </w:r>
    </w:p>
    <w:p w14:paraId="7F0CA07F" w14:textId="0010A5A6" w:rsidR="002B116A" w:rsidRDefault="002B116A">
      <w:pPr>
        <w:suppressAutoHyphens w:val="0"/>
        <w:spacing w:after="200" w:line="276" w:lineRule="auto"/>
        <w:rPr>
          <w:lang w:eastAsia="zh-CN"/>
        </w:rPr>
      </w:pPr>
      <w:r>
        <w:rPr>
          <w:lang w:eastAsia="zh-CN"/>
        </w:rPr>
        <w:br w:type="page"/>
      </w:r>
    </w:p>
    <w:p w14:paraId="101E84DF" w14:textId="77777777" w:rsidR="002B116A" w:rsidRDefault="002B116A" w:rsidP="002B116A">
      <w:pPr>
        <w:pStyle w:val="HCh"/>
        <w:ind w:left="1267" w:right="1260" w:hanging="1267"/>
        <w:rPr>
          <w:lang w:eastAsia="zh-CN"/>
        </w:rPr>
      </w:pPr>
      <w:r>
        <w:rPr>
          <w:lang w:eastAsia="zh-CN"/>
        </w:rPr>
        <w:lastRenderedPageBreak/>
        <w:t>Chapter VII</w:t>
      </w:r>
    </w:p>
    <w:p w14:paraId="7DDC1BDA" w14:textId="77777777" w:rsidR="002B116A" w:rsidRDefault="002B116A" w:rsidP="002B116A">
      <w:pPr>
        <w:pStyle w:val="HCh"/>
        <w:ind w:left="1267" w:right="1260" w:hanging="1267"/>
        <w:rPr>
          <w:lang w:eastAsia="zh-CN"/>
        </w:rPr>
      </w:pPr>
      <w:r>
        <w:rPr>
          <w:lang w:eastAsia="zh-CN"/>
        </w:rPr>
        <w:tab/>
      </w:r>
      <w:r>
        <w:rPr>
          <w:lang w:eastAsia="zh-CN"/>
        </w:rPr>
        <w:tab/>
        <w:t>Implementation of article 21 of the Convention</w:t>
      </w:r>
    </w:p>
    <w:p w14:paraId="0AFEEFB5" w14:textId="77777777" w:rsidR="002B116A" w:rsidRPr="002B116A" w:rsidRDefault="002B116A" w:rsidP="002B116A">
      <w:pPr>
        <w:pStyle w:val="SingleTxt"/>
        <w:spacing w:after="0" w:line="120" w:lineRule="exact"/>
        <w:rPr>
          <w:sz w:val="10"/>
          <w:lang w:eastAsia="zh-CN"/>
        </w:rPr>
      </w:pPr>
    </w:p>
    <w:p w14:paraId="0DA8C2B9" w14:textId="77777777" w:rsidR="002B116A" w:rsidRPr="002B116A" w:rsidRDefault="002B116A" w:rsidP="002B116A">
      <w:pPr>
        <w:pStyle w:val="SingleTxt"/>
        <w:spacing w:after="0" w:line="120" w:lineRule="exact"/>
        <w:rPr>
          <w:sz w:val="10"/>
          <w:lang w:eastAsia="zh-CN"/>
        </w:rPr>
      </w:pPr>
    </w:p>
    <w:p w14:paraId="002566EC" w14:textId="03C091DF" w:rsidR="002B116A" w:rsidRDefault="002B116A" w:rsidP="002B1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gender-related dimensions of disaster risk reduction in the context of climate change</w:t>
      </w:r>
    </w:p>
    <w:p w14:paraId="5D94987B" w14:textId="77777777" w:rsidR="002B116A" w:rsidRPr="002B116A" w:rsidRDefault="002B116A" w:rsidP="002B116A">
      <w:pPr>
        <w:pStyle w:val="SingleTxt"/>
        <w:spacing w:after="0" w:line="120" w:lineRule="exact"/>
        <w:rPr>
          <w:sz w:val="10"/>
          <w:lang w:eastAsia="zh-CN"/>
        </w:rPr>
      </w:pPr>
    </w:p>
    <w:p w14:paraId="35EA0E6D" w14:textId="725FBAF7" w:rsidR="002B116A" w:rsidRDefault="002B116A" w:rsidP="002B116A">
      <w:pPr>
        <w:pStyle w:val="SingleTxt"/>
        <w:rPr>
          <w:lang w:eastAsia="zh-CN"/>
        </w:rPr>
      </w:pPr>
      <w:r>
        <w:rPr>
          <w:lang w:eastAsia="zh-CN"/>
        </w:rPr>
        <w:t>33.</w:t>
      </w:r>
      <w:r>
        <w:rPr>
          <w:lang w:eastAsia="zh-CN"/>
        </w:rPr>
        <w:tab/>
        <w:t>The working group met during the session and reviewed the revised text of the draft general recommendation, which had been modified to integrate the comments made by stakeholders intersessionally.</w:t>
      </w:r>
    </w:p>
    <w:p w14:paraId="6767DDBD" w14:textId="77777777" w:rsidR="002B116A" w:rsidRPr="002B116A" w:rsidRDefault="002B116A" w:rsidP="002B116A">
      <w:pPr>
        <w:pStyle w:val="SingleTxt"/>
        <w:spacing w:after="0" w:line="120" w:lineRule="exact"/>
        <w:rPr>
          <w:sz w:val="10"/>
          <w:lang w:eastAsia="zh-CN"/>
        </w:rPr>
      </w:pPr>
    </w:p>
    <w:p w14:paraId="6F384942" w14:textId="353FB0A1" w:rsidR="002B116A" w:rsidRDefault="002B116A" w:rsidP="002B1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the right to education</w:t>
      </w:r>
    </w:p>
    <w:p w14:paraId="6FBEF3E4" w14:textId="77777777" w:rsidR="002B116A" w:rsidRPr="002B116A" w:rsidRDefault="002B116A" w:rsidP="002B116A">
      <w:pPr>
        <w:pStyle w:val="SingleTxt"/>
        <w:spacing w:after="0" w:line="120" w:lineRule="exact"/>
        <w:rPr>
          <w:sz w:val="10"/>
          <w:lang w:eastAsia="zh-CN"/>
        </w:rPr>
      </w:pPr>
    </w:p>
    <w:p w14:paraId="5D5F5326" w14:textId="29455A3B" w:rsidR="002B116A" w:rsidRDefault="002B116A" w:rsidP="002B116A">
      <w:pPr>
        <w:pStyle w:val="SingleTxt"/>
        <w:rPr>
          <w:lang w:eastAsia="zh-CN"/>
        </w:rPr>
      </w:pPr>
      <w:r>
        <w:rPr>
          <w:lang w:eastAsia="zh-CN"/>
        </w:rPr>
        <w:t>34.</w:t>
      </w:r>
      <w:r>
        <w:rPr>
          <w:lang w:eastAsia="zh-CN"/>
        </w:rPr>
        <w:tab/>
        <w:t>The working group met during the session and discussed</w:t>
      </w:r>
      <w:r w:rsidR="00FA0AD4">
        <w:rPr>
          <w:lang w:eastAsia="zh-CN"/>
        </w:rPr>
        <w:t xml:space="preserve"> </w:t>
      </w:r>
      <w:r>
        <w:rPr>
          <w:lang w:eastAsia="zh-CN"/>
        </w:rPr>
        <w:t>the draft general recommendation. It held an informal consultation with former Committee member Barbara Bailey, an international expert on education.</w:t>
      </w:r>
    </w:p>
    <w:p w14:paraId="2D05C17B" w14:textId="77777777" w:rsidR="002B116A" w:rsidRDefault="002B116A" w:rsidP="002B116A">
      <w:pPr>
        <w:pStyle w:val="SingleTxt"/>
        <w:rPr>
          <w:lang w:eastAsia="zh-CN"/>
        </w:rPr>
      </w:pPr>
      <w:r>
        <w:rPr>
          <w:lang w:eastAsia="zh-CN"/>
        </w:rPr>
        <w:t>35.</w:t>
      </w:r>
      <w:r>
        <w:rPr>
          <w:lang w:eastAsia="zh-CN"/>
        </w:rPr>
        <w:tab/>
        <w:t>On 21 July 2017, the Committee completed its first reading of the draft general recommendation.</w:t>
      </w:r>
    </w:p>
    <w:p w14:paraId="6B3ABA51" w14:textId="77777777" w:rsidR="002B116A" w:rsidRPr="002B116A" w:rsidRDefault="002B116A" w:rsidP="002B116A">
      <w:pPr>
        <w:pStyle w:val="SingleTxt"/>
        <w:spacing w:after="0" w:line="120" w:lineRule="exact"/>
        <w:rPr>
          <w:sz w:val="10"/>
          <w:lang w:eastAsia="zh-CN"/>
        </w:rPr>
      </w:pPr>
    </w:p>
    <w:p w14:paraId="50DC5C02" w14:textId="0C1DB879" w:rsidR="002B116A" w:rsidRDefault="002B116A" w:rsidP="002B1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working methods</w:t>
      </w:r>
    </w:p>
    <w:p w14:paraId="20A9FBF1" w14:textId="77777777" w:rsidR="002B116A" w:rsidRPr="002B116A" w:rsidRDefault="002B116A" w:rsidP="002B116A">
      <w:pPr>
        <w:pStyle w:val="SingleTxt"/>
        <w:spacing w:after="0" w:line="120" w:lineRule="exact"/>
        <w:rPr>
          <w:sz w:val="10"/>
          <w:lang w:eastAsia="zh-CN"/>
        </w:rPr>
      </w:pPr>
    </w:p>
    <w:p w14:paraId="30C287C7" w14:textId="40A4615F" w:rsidR="002B116A" w:rsidRDefault="002B116A" w:rsidP="002B116A">
      <w:pPr>
        <w:pStyle w:val="SingleTxt"/>
        <w:rPr>
          <w:lang w:eastAsia="zh-CN"/>
        </w:rPr>
      </w:pPr>
      <w:r>
        <w:rPr>
          <w:lang w:eastAsia="zh-CN"/>
        </w:rPr>
        <w:t>36.</w:t>
      </w:r>
      <w:r>
        <w:rPr>
          <w:lang w:eastAsia="zh-CN"/>
        </w:rPr>
        <w:tab/>
        <w:t>The working group met during the session and considered and submitted to the Committee draft decisions concerning the coverage of issues in concluding observations, the membership of country task forces, the designation of country rapporteurs and the period to be covered in overdue periodic reports (see decisions 67/V to 67/VIII).</w:t>
      </w:r>
    </w:p>
    <w:p w14:paraId="7D385C7D" w14:textId="2AD59518" w:rsidR="002B116A" w:rsidRPr="002B116A" w:rsidRDefault="002B116A" w:rsidP="002B116A">
      <w:pPr>
        <w:pStyle w:val="SingleTxt"/>
        <w:spacing w:after="0" w:line="120" w:lineRule="exact"/>
        <w:rPr>
          <w:sz w:val="10"/>
          <w:lang w:eastAsia="zh-CN"/>
        </w:rPr>
      </w:pPr>
    </w:p>
    <w:p w14:paraId="31DFA8F9" w14:textId="27C5BB86" w:rsidR="002B116A" w:rsidRDefault="002B116A" w:rsidP="002B1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the Inter-Parliamentary Union</w:t>
      </w:r>
    </w:p>
    <w:p w14:paraId="67B7BBA6" w14:textId="6FE0F7B2" w:rsidR="002B116A" w:rsidRPr="002B116A" w:rsidRDefault="002B116A" w:rsidP="002B116A">
      <w:pPr>
        <w:pStyle w:val="SingleTxt"/>
        <w:spacing w:after="0" w:line="120" w:lineRule="exact"/>
        <w:rPr>
          <w:sz w:val="10"/>
          <w:lang w:val="en-US" w:eastAsia="zh-CN"/>
        </w:rPr>
      </w:pPr>
    </w:p>
    <w:p w14:paraId="6C621D77" w14:textId="77777777" w:rsidR="002B116A" w:rsidRDefault="002B116A" w:rsidP="002B116A">
      <w:pPr>
        <w:pStyle w:val="SingleTxt"/>
        <w:rPr>
          <w:lang w:eastAsia="zh-CN"/>
        </w:rPr>
      </w:pPr>
      <w:r>
        <w:rPr>
          <w:lang w:eastAsia="zh-CN"/>
        </w:rPr>
        <w:t>37.</w:t>
      </w:r>
      <w:r>
        <w:rPr>
          <w:lang w:eastAsia="zh-CN"/>
        </w:rPr>
        <w:tab/>
        <w:t>The working group met with a representative of the Inter-Parliamentary Union (IPU), who provided a briefing to the working group on the global activities of IPU, its work on combating violence against women, and its activities to promote the Convention and the recommendations of the Committee at the national and regional levels. The working group continued its discussion on the priorities for its cooperation with IPU, in particular with regard to holding a joint meeting at the next session of the IPU Assembly in Geneva in March 2018 and further improving the standard paragraph on parliaments in the concluding observations of the Committee.</w:t>
      </w:r>
    </w:p>
    <w:p w14:paraId="196DB0A5" w14:textId="77777777" w:rsidR="008636F5" w:rsidRPr="008636F5" w:rsidRDefault="008636F5" w:rsidP="008636F5">
      <w:pPr>
        <w:pStyle w:val="SingleTxt"/>
        <w:spacing w:after="0" w:line="120" w:lineRule="exact"/>
        <w:rPr>
          <w:sz w:val="10"/>
          <w:lang w:eastAsia="zh-CN"/>
        </w:rPr>
      </w:pPr>
    </w:p>
    <w:p w14:paraId="0B11433D" w14:textId="79D91E56" w:rsidR="002B116A" w:rsidRDefault="002B116A" w:rsidP="00863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the Convention, UN-Women and the Sustainable Development Goals</w:t>
      </w:r>
    </w:p>
    <w:p w14:paraId="0AA8A28B" w14:textId="77777777" w:rsidR="008636F5" w:rsidRPr="008636F5" w:rsidRDefault="008636F5" w:rsidP="008636F5">
      <w:pPr>
        <w:pStyle w:val="SingleTxt"/>
        <w:spacing w:after="0" w:line="120" w:lineRule="exact"/>
        <w:rPr>
          <w:sz w:val="10"/>
          <w:lang w:eastAsia="zh-CN"/>
        </w:rPr>
      </w:pPr>
    </w:p>
    <w:p w14:paraId="304D28F1" w14:textId="01F450A0" w:rsidR="002B116A" w:rsidRDefault="002B116A" w:rsidP="002B116A">
      <w:pPr>
        <w:pStyle w:val="SingleTxt"/>
        <w:rPr>
          <w:lang w:eastAsia="zh-CN"/>
        </w:rPr>
      </w:pPr>
      <w:r>
        <w:rPr>
          <w:lang w:eastAsia="zh-CN"/>
        </w:rPr>
        <w:t>38.</w:t>
      </w:r>
      <w:r>
        <w:rPr>
          <w:lang w:eastAsia="zh-CN"/>
        </w:rPr>
        <w:tab/>
        <w:t>The working group met with representatives of the World Bank, OECD, UN</w:t>
      </w:r>
      <w:r w:rsidR="008636F5">
        <w:rPr>
          <w:lang w:eastAsia="zh-CN"/>
        </w:rPr>
        <w:noBreakHyphen/>
      </w:r>
      <w:r>
        <w:rPr>
          <w:lang w:eastAsia="zh-CN"/>
        </w:rPr>
        <w:t>Women and FAO during the session to discuss the Committee</w:t>
      </w:r>
      <w:r w:rsidR="00FA0AD4">
        <w:rPr>
          <w:lang w:eastAsia="zh-CN"/>
        </w:rPr>
        <w:t>’</w:t>
      </w:r>
      <w:r>
        <w:rPr>
          <w:lang w:eastAsia="zh-CN"/>
        </w:rPr>
        <w:t>s participation in the refinement of the methodology of implementation of and collection of data on Sustainable Development Goal indicators 5.1.1 and 5.a.2.</w:t>
      </w:r>
    </w:p>
    <w:p w14:paraId="1B287EB8" w14:textId="77777777" w:rsidR="002B116A" w:rsidRDefault="002B116A" w:rsidP="002B116A">
      <w:pPr>
        <w:pStyle w:val="SingleTxt"/>
        <w:rPr>
          <w:lang w:eastAsia="zh-CN"/>
        </w:rPr>
      </w:pPr>
      <w:r>
        <w:rPr>
          <w:lang w:eastAsia="zh-CN"/>
        </w:rPr>
        <w:t>39.</w:t>
      </w:r>
      <w:r>
        <w:rPr>
          <w:lang w:eastAsia="zh-CN"/>
        </w:rPr>
        <w:tab/>
        <w:t>The Committee agreed to establish a steering committee with the World Bank, OECD and UN-Women to reinforce the exchange of information on progress made in refining the methodology of implementation of and the collection of data on Sustainable Development Goal indicator 5.1.1. It requested the representatives from both the World Bank and OECD to submit country-specific information in the context of the consideration by the Committee of the reports of States parties, in particular prior to the adoption of the list of issues and questions by the pre-sessional working group.</w:t>
      </w:r>
    </w:p>
    <w:p w14:paraId="7B921229" w14:textId="77777777" w:rsidR="002B116A" w:rsidRDefault="002B116A" w:rsidP="002B116A">
      <w:pPr>
        <w:pStyle w:val="SingleTxt"/>
        <w:rPr>
          <w:lang w:eastAsia="zh-CN"/>
        </w:rPr>
      </w:pPr>
      <w:r>
        <w:rPr>
          <w:lang w:eastAsia="zh-CN"/>
        </w:rPr>
        <w:t>40.</w:t>
      </w:r>
      <w:r>
        <w:rPr>
          <w:lang w:eastAsia="zh-CN"/>
        </w:rPr>
        <w:tab/>
        <w:t xml:space="preserve">The working group, in coordination with the working group on working methods, also provided input for the terms of reference of a consultant to be recruited to revise the reporting guidelines of the Committee, with a view to increasing their relevance </w:t>
      </w:r>
      <w:r>
        <w:rPr>
          <w:lang w:eastAsia="zh-CN"/>
        </w:rPr>
        <w:lastRenderedPageBreak/>
        <w:t>in the light of data collection efforts to measure the achievement of the targets of the Sustainable Development Goals.</w:t>
      </w:r>
    </w:p>
    <w:p w14:paraId="3EBA6B37" w14:textId="77777777" w:rsidR="008636F5" w:rsidRPr="008636F5" w:rsidRDefault="008636F5" w:rsidP="008636F5">
      <w:pPr>
        <w:pStyle w:val="SingleTxt"/>
        <w:spacing w:after="0" w:line="120" w:lineRule="exact"/>
        <w:rPr>
          <w:sz w:val="10"/>
          <w:lang w:eastAsia="zh-CN"/>
        </w:rPr>
      </w:pPr>
    </w:p>
    <w:p w14:paraId="2DCFAD60" w14:textId="12576B42" w:rsidR="002B116A" w:rsidRDefault="002B116A" w:rsidP="00863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Working group on gender-based violence against women</w:t>
      </w:r>
    </w:p>
    <w:p w14:paraId="03BFD0EA" w14:textId="77777777" w:rsidR="008636F5" w:rsidRPr="008636F5" w:rsidRDefault="008636F5" w:rsidP="008636F5">
      <w:pPr>
        <w:pStyle w:val="SingleTxt"/>
        <w:spacing w:after="0" w:line="120" w:lineRule="exact"/>
        <w:rPr>
          <w:sz w:val="10"/>
          <w:lang w:eastAsia="zh-CN"/>
        </w:rPr>
      </w:pPr>
    </w:p>
    <w:p w14:paraId="133B06BB" w14:textId="53D093B8" w:rsidR="002B116A" w:rsidRDefault="002B116A" w:rsidP="002B116A">
      <w:pPr>
        <w:pStyle w:val="SingleTxt"/>
        <w:rPr>
          <w:lang w:eastAsia="zh-CN"/>
        </w:rPr>
      </w:pPr>
      <w:r>
        <w:rPr>
          <w:lang w:eastAsia="zh-CN"/>
        </w:rPr>
        <w:t>41.</w:t>
      </w:r>
      <w:r>
        <w:rPr>
          <w:lang w:eastAsia="zh-CN"/>
        </w:rPr>
        <w:tab/>
        <w:t>The working group met during the session.</w:t>
      </w:r>
    </w:p>
    <w:p w14:paraId="5A7DF904" w14:textId="6E8BA0E8" w:rsidR="002B116A" w:rsidRDefault="002B116A" w:rsidP="002B116A">
      <w:pPr>
        <w:pStyle w:val="SingleTxt"/>
        <w:rPr>
          <w:lang w:eastAsia="zh-CN"/>
        </w:rPr>
      </w:pPr>
      <w:r>
        <w:rPr>
          <w:lang w:eastAsia="zh-CN"/>
        </w:rPr>
        <w:t>42.</w:t>
      </w:r>
      <w:r>
        <w:rPr>
          <w:lang w:eastAsia="zh-CN"/>
        </w:rPr>
        <w:tab/>
        <w:t>On 18 July 2017, the Committee adopted general recommendation No. 35 (2017) on gender-based violence against women, updating general recommendation No. 19 (</w:t>
      </w:r>
      <w:hyperlink r:id="rId47" w:history="1">
        <w:r w:rsidRPr="004D70EB">
          <w:rPr>
            <w:rStyle w:val="Hyperlink"/>
            <w:lang w:eastAsia="zh-CN"/>
          </w:rPr>
          <w:t>CEDAW/C/GC/35</w:t>
        </w:r>
      </w:hyperlink>
      <w:r>
        <w:rPr>
          <w:lang w:eastAsia="zh-CN"/>
        </w:rPr>
        <w:t>), by consensus,</w:t>
      </w:r>
      <w:r w:rsidR="008636F5">
        <w:rPr>
          <w:rStyle w:val="FootnoteReference"/>
          <w:lang w:eastAsia="zh-CN"/>
        </w:rPr>
        <w:footnoteReference w:id="1"/>
      </w:r>
      <w:r>
        <w:rPr>
          <w:lang w:eastAsia="zh-CN"/>
        </w:rPr>
        <w:t xml:space="preserve"> in accordance with rule 31 of its rules of procedure. The Special Rapporteur on violence against women, its causes and consequences was present at the meeting.</w:t>
      </w:r>
    </w:p>
    <w:p w14:paraId="24C9806A" w14:textId="77777777" w:rsidR="008636F5" w:rsidRPr="008636F5" w:rsidRDefault="008636F5" w:rsidP="008636F5">
      <w:pPr>
        <w:pStyle w:val="SingleTxt"/>
        <w:spacing w:after="0" w:line="120" w:lineRule="exact"/>
        <w:rPr>
          <w:sz w:val="10"/>
          <w:lang w:eastAsia="zh-CN"/>
        </w:rPr>
      </w:pPr>
    </w:p>
    <w:p w14:paraId="2DC6FA6D" w14:textId="59EE4492" w:rsidR="002B116A" w:rsidRDefault="002B116A" w:rsidP="008636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Task force on women in conflict prevention, conflict and post-conflict situations</w:t>
      </w:r>
    </w:p>
    <w:p w14:paraId="3DB26E01" w14:textId="77777777" w:rsidR="008636F5" w:rsidRPr="008636F5" w:rsidRDefault="008636F5" w:rsidP="008636F5">
      <w:pPr>
        <w:pStyle w:val="SingleTxt"/>
        <w:spacing w:after="0" w:line="120" w:lineRule="exact"/>
        <w:rPr>
          <w:sz w:val="10"/>
          <w:lang w:eastAsia="zh-CN"/>
        </w:rPr>
      </w:pPr>
    </w:p>
    <w:p w14:paraId="19AF7F3D" w14:textId="2D3D3A99" w:rsidR="002B116A" w:rsidRDefault="002B116A" w:rsidP="002B116A">
      <w:pPr>
        <w:pStyle w:val="SingleTxt"/>
        <w:rPr>
          <w:lang w:eastAsia="zh-CN"/>
        </w:rPr>
      </w:pPr>
      <w:r>
        <w:rPr>
          <w:lang w:eastAsia="zh-CN"/>
        </w:rPr>
        <w:t>43.</w:t>
      </w:r>
      <w:r>
        <w:rPr>
          <w:lang w:eastAsia="zh-CN"/>
        </w:rPr>
        <w:tab/>
        <w:t>The task force met during the session.</w:t>
      </w:r>
    </w:p>
    <w:p w14:paraId="20FDD59A" w14:textId="2679B1F4" w:rsidR="008636F5" w:rsidRDefault="008636F5">
      <w:pPr>
        <w:suppressAutoHyphens w:val="0"/>
        <w:spacing w:after="200" w:line="276" w:lineRule="auto"/>
        <w:rPr>
          <w:lang w:eastAsia="zh-CN"/>
        </w:rPr>
      </w:pPr>
      <w:r>
        <w:rPr>
          <w:lang w:eastAsia="zh-CN"/>
        </w:rPr>
        <w:br w:type="page"/>
      </w:r>
    </w:p>
    <w:p w14:paraId="41A002F7" w14:textId="77777777" w:rsidR="008636F5" w:rsidRDefault="008636F5" w:rsidP="008636F5">
      <w:pPr>
        <w:pStyle w:val="HCh"/>
        <w:ind w:left="1267" w:right="1260" w:hanging="1267"/>
        <w:rPr>
          <w:lang w:eastAsia="zh-CN"/>
        </w:rPr>
      </w:pPr>
      <w:r>
        <w:rPr>
          <w:lang w:eastAsia="zh-CN"/>
        </w:rPr>
        <w:lastRenderedPageBreak/>
        <w:t>Chapter VIII</w:t>
      </w:r>
    </w:p>
    <w:p w14:paraId="329E8BCF" w14:textId="77777777" w:rsidR="008636F5" w:rsidRDefault="008636F5" w:rsidP="008636F5">
      <w:pPr>
        <w:pStyle w:val="HCh"/>
        <w:ind w:left="1267" w:right="1260" w:hanging="1267"/>
        <w:rPr>
          <w:lang w:eastAsia="zh-CN"/>
        </w:rPr>
      </w:pPr>
      <w:r>
        <w:rPr>
          <w:lang w:eastAsia="zh-CN"/>
        </w:rPr>
        <w:tab/>
      </w:r>
      <w:r>
        <w:rPr>
          <w:lang w:eastAsia="zh-CN"/>
        </w:rPr>
        <w:tab/>
        <w:t>Provisional agenda for the sixty-eighth session</w:t>
      </w:r>
    </w:p>
    <w:p w14:paraId="595E0A30" w14:textId="77777777" w:rsidR="008636F5" w:rsidRPr="008636F5" w:rsidRDefault="008636F5" w:rsidP="008636F5">
      <w:pPr>
        <w:pStyle w:val="SingleTxt"/>
        <w:spacing w:after="0" w:line="120" w:lineRule="exact"/>
        <w:rPr>
          <w:sz w:val="10"/>
          <w:lang w:eastAsia="zh-CN"/>
        </w:rPr>
      </w:pPr>
    </w:p>
    <w:p w14:paraId="1B1A8C25" w14:textId="77777777" w:rsidR="008636F5" w:rsidRPr="008636F5" w:rsidRDefault="008636F5" w:rsidP="008636F5">
      <w:pPr>
        <w:pStyle w:val="SingleTxt"/>
        <w:spacing w:after="0" w:line="120" w:lineRule="exact"/>
        <w:rPr>
          <w:sz w:val="10"/>
          <w:lang w:eastAsia="zh-CN"/>
        </w:rPr>
      </w:pPr>
    </w:p>
    <w:p w14:paraId="25ACB41C" w14:textId="00DA8B40" w:rsidR="008636F5" w:rsidRDefault="008636F5" w:rsidP="008636F5">
      <w:pPr>
        <w:pStyle w:val="SingleTxt"/>
        <w:rPr>
          <w:lang w:eastAsia="zh-CN"/>
        </w:rPr>
      </w:pPr>
      <w:r>
        <w:rPr>
          <w:lang w:eastAsia="zh-CN"/>
        </w:rPr>
        <w:t>44.</w:t>
      </w:r>
      <w:r>
        <w:rPr>
          <w:lang w:eastAsia="zh-CN"/>
        </w:rPr>
        <w:tab/>
        <w:t>At its 1529th meeting, on 21 July 2017, the Committee considered and approved the draft provisional agenda for its sixty-eighth session.</w:t>
      </w:r>
    </w:p>
    <w:p w14:paraId="5B1CD09E" w14:textId="176F0E6F" w:rsidR="008636F5" w:rsidRDefault="008636F5">
      <w:pPr>
        <w:suppressAutoHyphens w:val="0"/>
        <w:spacing w:after="200" w:line="276" w:lineRule="auto"/>
        <w:rPr>
          <w:lang w:eastAsia="zh-CN"/>
        </w:rPr>
      </w:pPr>
      <w:r>
        <w:rPr>
          <w:lang w:eastAsia="zh-CN"/>
        </w:rPr>
        <w:br w:type="page"/>
      </w:r>
    </w:p>
    <w:p w14:paraId="55E174AD" w14:textId="77777777" w:rsidR="008636F5" w:rsidRDefault="008636F5" w:rsidP="008636F5">
      <w:pPr>
        <w:pStyle w:val="HCh"/>
        <w:ind w:left="1267" w:right="1260" w:hanging="1267"/>
        <w:rPr>
          <w:lang w:eastAsia="zh-CN"/>
        </w:rPr>
      </w:pPr>
      <w:r>
        <w:rPr>
          <w:lang w:eastAsia="zh-CN"/>
        </w:rPr>
        <w:lastRenderedPageBreak/>
        <w:t>Chapter IX</w:t>
      </w:r>
    </w:p>
    <w:p w14:paraId="4545EDD5" w14:textId="77777777" w:rsidR="008636F5" w:rsidRDefault="008636F5" w:rsidP="008636F5">
      <w:pPr>
        <w:pStyle w:val="HCh"/>
        <w:ind w:left="1267" w:right="1260" w:hanging="1267"/>
        <w:rPr>
          <w:lang w:eastAsia="zh-CN"/>
        </w:rPr>
      </w:pPr>
      <w:r>
        <w:rPr>
          <w:lang w:eastAsia="zh-CN"/>
        </w:rPr>
        <w:tab/>
      </w:r>
      <w:r>
        <w:rPr>
          <w:lang w:eastAsia="zh-CN"/>
        </w:rPr>
        <w:tab/>
        <w:t>Adoption of the report</w:t>
      </w:r>
    </w:p>
    <w:p w14:paraId="186BF98E" w14:textId="77777777" w:rsidR="008636F5" w:rsidRPr="008636F5" w:rsidRDefault="008636F5" w:rsidP="008636F5">
      <w:pPr>
        <w:pStyle w:val="SingleTxt"/>
        <w:spacing w:after="0" w:line="120" w:lineRule="exact"/>
        <w:rPr>
          <w:sz w:val="10"/>
          <w:lang w:eastAsia="zh-CN"/>
        </w:rPr>
      </w:pPr>
    </w:p>
    <w:p w14:paraId="45EBFF2B" w14:textId="77777777" w:rsidR="008636F5" w:rsidRPr="008636F5" w:rsidRDefault="008636F5" w:rsidP="008636F5">
      <w:pPr>
        <w:pStyle w:val="SingleTxt"/>
        <w:spacing w:after="0" w:line="120" w:lineRule="exact"/>
        <w:rPr>
          <w:sz w:val="10"/>
          <w:lang w:eastAsia="zh-CN"/>
        </w:rPr>
      </w:pPr>
    </w:p>
    <w:p w14:paraId="1A8975D8" w14:textId="391FF799" w:rsidR="008636F5" w:rsidRDefault="008636F5" w:rsidP="008636F5">
      <w:pPr>
        <w:pStyle w:val="SingleTxt"/>
        <w:rPr>
          <w:lang w:eastAsia="zh-CN"/>
        </w:rPr>
      </w:pPr>
      <w:r>
        <w:rPr>
          <w:lang w:eastAsia="zh-CN"/>
        </w:rPr>
        <w:t>45.</w:t>
      </w:r>
      <w:r>
        <w:rPr>
          <w:lang w:eastAsia="zh-CN"/>
        </w:rPr>
        <w:tab/>
        <w:t>At its 1529th meeting, on 21 July 2017, the Committee considered and adopted, as orally amended, the draft report on its sixty-seventh session.</w:t>
      </w:r>
    </w:p>
    <w:p w14:paraId="1A6A8A97" w14:textId="77777777" w:rsidR="008636F5" w:rsidRDefault="008636F5">
      <w:pPr>
        <w:suppressAutoHyphens w:val="0"/>
        <w:spacing w:after="200" w:line="276" w:lineRule="auto"/>
        <w:rPr>
          <w:lang w:eastAsia="zh-CN"/>
        </w:rPr>
      </w:pPr>
      <w:r>
        <w:rPr>
          <w:lang w:eastAsia="zh-CN"/>
        </w:rPr>
        <w:br w:type="page"/>
      </w:r>
    </w:p>
    <w:p w14:paraId="2347CE8F" w14:textId="77777777" w:rsidR="008636F5" w:rsidRDefault="008636F5" w:rsidP="008636F5">
      <w:pPr>
        <w:pStyle w:val="HCh"/>
        <w:ind w:left="1267" w:right="1260" w:hanging="1267"/>
        <w:rPr>
          <w:lang w:eastAsia="zh-CN"/>
        </w:rPr>
      </w:pPr>
      <w:r>
        <w:rPr>
          <w:lang w:eastAsia="zh-CN"/>
        </w:rPr>
        <w:lastRenderedPageBreak/>
        <w:t>Annex</w:t>
      </w:r>
    </w:p>
    <w:p w14:paraId="1CE93196" w14:textId="0BA7D096" w:rsidR="008636F5" w:rsidRDefault="008636F5" w:rsidP="008636F5">
      <w:pPr>
        <w:pStyle w:val="HCh"/>
        <w:ind w:left="1267" w:right="1260" w:hanging="1267"/>
        <w:rPr>
          <w:lang w:eastAsia="zh-CN"/>
        </w:rPr>
      </w:pPr>
      <w:r>
        <w:rPr>
          <w:lang w:eastAsia="zh-CN"/>
        </w:rPr>
        <w:tab/>
      </w:r>
      <w:r>
        <w:rPr>
          <w:lang w:eastAsia="zh-CN"/>
        </w:rPr>
        <w:tab/>
        <w:t>Documents before the Committee at its sixty-seventh session</w:t>
      </w:r>
    </w:p>
    <w:p w14:paraId="3FF9CBD4" w14:textId="6368F7FC" w:rsidR="008636F5" w:rsidRPr="008636F5" w:rsidRDefault="008636F5" w:rsidP="008636F5">
      <w:pPr>
        <w:pStyle w:val="SingleTxt"/>
        <w:spacing w:after="0" w:line="120" w:lineRule="exact"/>
        <w:rPr>
          <w:sz w:val="10"/>
          <w:lang w:eastAsia="zh-CN"/>
        </w:rPr>
      </w:pPr>
    </w:p>
    <w:p w14:paraId="4CFE6DBD" w14:textId="604C75CD" w:rsidR="008636F5" w:rsidRPr="008636F5" w:rsidRDefault="008636F5" w:rsidP="008636F5">
      <w:pPr>
        <w:pStyle w:val="SingleTxt"/>
        <w:spacing w:after="0" w:line="120" w:lineRule="exact"/>
        <w:rPr>
          <w:sz w:val="10"/>
          <w:lang w:eastAsia="zh-CN"/>
        </w:rPr>
      </w:pPr>
    </w:p>
    <w:tbl>
      <w:tblPr>
        <w:tblStyle w:val="TableGrid"/>
        <w:tblW w:w="747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0"/>
        <w:gridCol w:w="5040"/>
      </w:tblGrid>
      <w:tr w:rsidR="008636F5" w:rsidRPr="00E27844" w14:paraId="38D28191" w14:textId="77777777" w:rsidTr="00AA3AEF">
        <w:trPr>
          <w:tblHeader/>
        </w:trPr>
        <w:tc>
          <w:tcPr>
            <w:tcW w:w="2430" w:type="dxa"/>
            <w:tcBorders>
              <w:top w:val="single" w:sz="4" w:space="0" w:color="auto"/>
              <w:bottom w:val="single" w:sz="12" w:space="0" w:color="auto"/>
            </w:tcBorders>
            <w:shd w:val="clear" w:color="auto" w:fill="auto"/>
            <w:vAlign w:val="bottom"/>
          </w:tcPr>
          <w:p w14:paraId="2D07EFEF" w14:textId="77777777" w:rsidR="008636F5" w:rsidRPr="00E27844" w:rsidRDefault="008636F5" w:rsidP="00DE0E2E">
            <w:pPr>
              <w:spacing w:before="80" w:after="80" w:line="200" w:lineRule="exact"/>
              <w:ind w:right="113"/>
              <w:rPr>
                <w:i/>
                <w:spacing w:val="0"/>
                <w:w w:val="100"/>
                <w:kern w:val="0"/>
                <w:sz w:val="16"/>
              </w:rPr>
            </w:pPr>
            <w:r w:rsidRPr="00E27844">
              <w:rPr>
                <w:i/>
                <w:spacing w:val="0"/>
                <w:w w:val="100"/>
                <w:kern w:val="0"/>
                <w:sz w:val="16"/>
              </w:rPr>
              <w:t>Document number</w:t>
            </w:r>
          </w:p>
        </w:tc>
        <w:tc>
          <w:tcPr>
            <w:tcW w:w="5040" w:type="dxa"/>
            <w:tcBorders>
              <w:top w:val="single" w:sz="4" w:space="0" w:color="auto"/>
              <w:bottom w:val="single" w:sz="12" w:space="0" w:color="auto"/>
            </w:tcBorders>
            <w:shd w:val="clear" w:color="auto" w:fill="auto"/>
            <w:vAlign w:val="bottom"/>
          </w:tcPr>
          <w:p w14:paraId="248C6384" w14:textId="77777777" w:rsidR="008636F5" w:rsidRPr="00E27844" w:rsidRDefault="008636F5" w:rsidP="00DE0E2E">
            <w:pPr>
              <w:spacing w:before="80" w:after="80" w:line="200" w:lineRule="exact"/>
              <w:ind w:right="113"/>
              <w:rPr>
                <w:i/>
                <w:spacing w:val="0"/>
                <w:w w:val="100"/>
                <w:kern w:val="0"/>
                <w:sz w:val="16"/>
              </w:rPr>
            </w:pPr>
            <w:r w:rsidRPr="00E27844">
              <w:rPr>
                <w:i/>
                <w:spacing w:val="0"/>
                <w:w w:val="100"/>
                <w:kern w:val="0"/>
                <w:sz w:val="16"/>
              </w:rPr>
              <w:t>Title or description</w:t>
            </w:r>
          </w:p>
        </w:tc>
      </w:tr>
      <w:tr w:rsidR="008636F5" w:rsidRPr="00E27844" w14:paraId="6E90B0C8" w14:textId="77777777" w:rsidTr="00AA3AEF">
        <w:trPr>
          <w:trHeight w:hRule="exact" w:val="113"/>
          <w:tblHeader/>
        </w:trPr>
        <w:tc>
          <w:tcPr>
            <w:tcW w:w="2430" w:type="dxa"/>
            <w:tcBorders>
              <w:top w:val="single" w:sz="12" w:space="0" w:color="auto"/>
            </w:tcBorders>
            <w:shd w:val="clear" w:color="auto" w:fill="auto"/>
          </w:tcPr>
          <w:p w14:paraId="7EC15D81" w14:textId="77777777" w:rsidR="008636F5" w:rsidRPr="00E27844" w:rsidRDefault="008636F5" w:rsidP="00DE0E2E">
            <w:pPr>
              <w:spacing w:before="40" w:after="120" w:line="240" w:lineRule="atLeast"/>
              <w:ind w:right="113"/>
              <w:rPr>
                <w:spacing w:val="0"/>
                <w:w w:val="100"/>
                <w:kern w:val="0"/>
              </w:rPr>
            </w:pPr>
          </w:p>
        </w:tc>
        <w:tc>
          <w:tcPr>
            <w:tcW w:w="5040" w:type="dxa"/>
            <w:tcBorders>
              <w:top w:val="single" w:sz="12" w:space="0" w:color="auto"/>
            </w:tcBorders>
            <w:shd w:val="clear" w:color="auto" w:fill="auto"/>
          </w:tcPr>
          <w:p w14:paraId="5B2D2927" w14:textId="77777777" w:rsidR="008636F5" w:rsidRPr="00E27844" w:rsidRDefault="008636F5" w:rsidP="00DE0E2E">
            <w:pPr>
              <w:spacing w:before="40" w:after="120" w:line="240" w:lineRule="atLeast"/>
              <w:ind w:right="113"/>
              <w:rPr>
                <w:spacing w:val="0"/>
                <w:w w:val="100"/>
                <w:kern w:val="0"/>
              </w:rPr>
            </w:pPr>
          </w:p>
        </w:tc>
      </w:tr>
      <w:tr w:rsidR="008636F5" w:rsidRPr="00E27844" w14:paraId="72314421" w14:textId="77777777" w:rsidTr="00AA3AEF">
        <w:tc>
          <w:tcPr>
            <w:tcW w:w="2430" w:type="dxa"/>
            <w:shd w:val="clear" w:color="auto" w:fill="auto"/>
          </w:tcPr>
          <w:p w14:paraId="3FDACCE9" w14:textId="21F634F2" w:rsidR="008636F5" w:rsidRPr="00E27844" w:rsidRDefault="00CD742B" w:rsidP="00DE0E2E">
            <w:pPr>
              <w:spacing w:before="40" w:after="120" w:line="240" w:lineRule="atLeast"/>
              <w:ind w:right="113"/>
              <w:rPr>
                <w:spacing w:val="0"/>
                <w:w w:val="100"/>
                <w:kern w:val="0"/>
              </w:rPr>
            </w:pPr>
            <w:hyperlink r:id="rId48" w:history="1">
              <w:r w:rsidR="008636F5" w:rsidRPr="004D70EB">
                <w:rPr>
                  <w:rStyle w:val="Hyperlink"/>
                  <w:spacing w:val="0"/>
                  <w:w w:val="100"/>
                  <w:kern w:val="0"/>
                </w:rPr>
                <w:t>CEDAW/C/67/1</w:t>
              </w:r>
            </w:hyperlink>
          </w:p>
        </w:tc>
        <w:tc>
          <w:tcPr>
            <w:tcW w:w="5040" w:type="dxa"/>
            <w:shd w:val="clear" w:color="auto" w:fill="auto"/>
          </w:tcPr>
          <w:p w14:paraId="47F3E1FB"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Annotated provisional agenda</w:t>
            </w:r>
          </w:p>
        </w:tc>
      </w:tr>
      <w:tr w:rsidR="008636F5" w:rsidRPr="00E27844" w14:paraId="6FD42B2E" w14:textId="77777777" w:rsidTr="00AA3AEF">
        <w:tc>
          <w:tcPr>
            <w:tcW w:w="2430" w:type="dxa"/>
            <w:shd w:val="clear" w:color="auto" w:fill="auto"/>
          </w:tcPr>
          <w:p w14:paraId="670FA00B" w14:textId="7D59FC21" w:rsidR="008636F5" w:rsidRPr="00E27844" w:rsidRDefault="00CD742B" w:rsidP="00DE0E2E">
            <w:pPr>
              <w:spacing w:before="40" w:after="120" w:line="240" w:lineRule="atLeast"/>
              <w:ind w:right="113"/>
              <w:rPr>
                <w:spacing w:val="0"/>
                <w:w w:val="100"/>
                <w:kern w:val="0"/>
              </w:rPr>
            </w:pPr>
            <w:hyperlink r:id="rId49" w:history="1">
              <w:r w:rsidR="008636F5" w:rsidRPr="004D70EB">
                <w:rPr>
                  <w:rStyle w:val="Hyperlink"/>
                  <w:spacing w:val="0"/>
                  <w:w w:val="100"/>
                  <w:kern w:val="0"/>
                </w:rPr>
                <w:t>CEDAW/C/67/2</w:t>
              </w:r>
            </w:hyperlink>
          </w:p>
        </w:tc>
        <w:tc>
          <w:tcPr>
            <w:tcW w:w="5040" w:type="dxa"/>
            <w:shd w:val="clear" w:color="auto" w:fill="auto"/>
          </w:tcPr>
          <w:p w14:paraId="5D7BC227"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Report of the United Nations Educational, Scientific and Cultural Organization</w:t>
            </w:r>
          </w:p>
        </w:tc>
      </w:tr>
      <w:tr w:rsidR="008636F5" w:rsidRPr="00E27844" w14:paraId="01151549" w14:textId="77777777" w:rsidTr="00AA3AEF">
        <w:tc>
          <w:tcPr>
            <w:tcW w:w="2430" w:type="dxa"/>
            <w:shd w:val="clear" w:color="auto" w:fill="auto"/>
          </w:tcPr>
          <w:p w14:paraId="39897BD2" w14:textId="002A847D" w:rsidR="008636F5" w:rsidRPr="00E27844" w:rsidRDefault="00CD742B" w:rsidP="00DE0E2E">
            <w:pPr>
              <w:spacing w:before="40" w:after="120" w:line="240" w:lineRule="atLeast"/>
              <w:ind w:right="113"/>
              <w:rPr>
                <w:spacing w:val="0"/>
                <w:w w:val="100"/>
                <w:kern w:val="0"/>
              </w:rPr>
            </w:pPr>
            <w:hyperlink r:id="rId50" w:history="1">
              <w:r w:rsidR="008636F5" w:rsidRPr="004D70EB">
                <w:rPr>
                  <w:rStyle w:val="Hyperlink"/>
                  <w:spacing w:val="0"/>
                  <w:w w:val="100"/>
                  <w:kern w:val="0"/>
                </w:rPr>
                <w:t>CEDAW/C/67/3</w:t>
              </w:r>
            </w:hyperlink>
          </w:p>
        </w:tc>
        <w:tc>
          <w:tcPr>
            <w:tcW w:w="5040" w:type="dxa"/>
            <w:shd w:val="clear" w:color="auto" w:fill="auto"/>
          </w:tcPr>
          <w:p w14:paraId="6A6007B8"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Report of the International</w:t>
            </w:r>
            <w:r w:rsidRPr="00546C7A">
              <w:rPr>
                <w:spacing w:val="0"/>
                <w:w w:val="100"/>
                <w:kern w:val="0"/>
                <w:lang w:val="en-GB"/>
              </w:rPr>
              <w:t xml:space="preserve"> Labour</w:t>
            </w:r>
            <w:r w:rsidRPr="00E27844">
              <w:rPr>
                <w:spacing w:val="0"/>
                <w:w w:val="100"/>
                <w:kern w:val="0"/>
              </w:rPr>
              <w:t xml:space="preserve"> </w:t>
            </w:r>
            <w:r>
              <w:rPr>
                <w:spacing w:val="0"/>
                <w:w w:val="100"/>
                <w:kern w:val="0"/>
              </w:rPr>
              <w:t>Organization</w:t>
            </w:r>
          </w:p>
        </w:tc>
      </w:tr>
      <w:tr w:rsidR="008636F5" w:rsidRPr="00E27844" w14:paraId="2D13959D" w14:textId="77777777" w:rsidTr="00AA3AEF">
        <w:tc>
          <w:tcPr>
            <w:tcW w:w="2430" w:type="dxa"/>
            <w:shd w:val="clear" w:color="auto" w:fill="auto"/>
          </w:tcPr>
          <w:p w14:paraId="20DE332A" w14:textId="77777777" w:rsidR="008636F5" w:rsidRPr="00E27844" w:rsidRDefault="008636F5" w:rsidP="00DE0E2E">
            <w:pPr>
              <w:spacing w:before="40" w:after="120" w:line="240" w:lineRule="atLeast"/>
              <w:ind w:right="113"/>
              <w:rPr>
                <w:b/>
                <w:spacing w:val="0"/>
                <w:w w:val="100"/>
                <w:kern w:val="0"/>
              </w:rPr>
            </w:pPr>
            <w:r w:rsidRPr="00E27844">
              <w:rPr>
                <w:b/>
                <w:spacing w:val="0"/>
                <w:w w:val="100"/>
                <w:kern w:val="0"/>
              </w:rPr>
              <w:t>Reports of States parties</w:t>
            </w:r>
          </w:p>
        </w:tc>
        <w:tc>
          <w:tcPr>
            <w:tcW w:w="5040" w:type="dxa"/>
            <w:shd w:val="clear" w:color="auto" w:fill="auto"/>
          </w:tcPr>
          <w:p w14:paraId="075D9B18" w14:textId="77777777" w:rsidR="008636F5" w:rsidRPr="00E27844" w:rsidRDefault="008636F5" w:rsidP="00DE0E2E">
            <w:pPr>
              <w:spacing w:before="40" w:after="120" w:line="240" w:lineRule="atLeast"/>
              <w:ind w:right="113"/>
              <w:rPr>
                <w:spacing w:val="0"/>
                <w:w w:val="100"/>
                <w:kern w:val="0"/>
              </w:rPr>
            </w:pPr>
          </w:p>
        </w:tc>
      </w:tr>
      <w:tr w:rsidR="008636F5" w:rsidRPr="00E27844" w14:paraId="154EFC83" w14:textId="77777777" w:rsidTr="00AA3AEF">
        <w:tc>
          <w:tcPr>
            <w:tcW w:w="2430" w:type="dxa"/>
            <w:shd w:val="clear" w:color="auto" w:fill="auto"/>
          </w:tcPr>
          <w:p w14:paraId="635F7878" w14:textId="7A2964AE" w:rsidR="008636F5" w:rsidRPr="00E27844" w:rsidRDefault="00CD742B" w:rsidP="00DE0E2E">
            <w:pPr>
              <w:spacing w:before="40" w:after="120" w:line="240" w:lineRule="atLeast"/>
              <w:ind w:right="113"/>
              <w:rPr>
                <w:spacing w:val="0"/>
                <w:w w:val="100"/>
                <w:kern w:val="0"/>
              </w:rPr>
            </w:pPr>
            <w:hyperlink r:id="rId51" w:history="1">
              <w:r w:rsidR="008636F5" w:rsidRPr="004D70EB">
                <w:rPr>
                  <w:rStyle w:val="Hyperlink"/>
                  <w:spacing w:val="0"/>
                  <w:w w:val="100"/>
                  <w:kern w:val="0"/>
                </w:rPr>
                <w:t>CEDAW/C/BRB/5-8</w:t>
              </w:r>
            </w:hyperlink>
          </w:p>
        </w:tc>
        <w:tc>
          <w:tcPr>
            <w:tcW w:w="5040" w:type="dxa"/>
            <w:shd w:val="clear" w:color="auto" w:fill="auto"/>
          </w:tcPr>
          <w:p w14:paraId="609D8047"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Combined fifth to eighth periodic reports of Barbados</w:t>
            </w:r>
          </w:p>
        </w:tc>
      </w:tr>
      <w:tr w:rsidR="008636F5" w:rsidRPr="00E27844" w14:paraId="69EC0CB8" w14:textId="77777777" w:rsidTr="00AA3AEF">
        <w:tc>
          <w:tcPr>
            <w:tcW w:w="2430" w:type="dxa"/>
            <w:shd w:val="clear" w:color="auto" w:fill="auto"/>
          </w:tcPr>
          <w:p w14:paraId="1239E377" w14:textId="21086D09" w:rsidR="008636F5" w:rsidRPr="00E27844" w:rsidRDefault="00CD742B" w:rsidP="00DE0E2E">
            <w:pPr>
              <w:spacing w:before="40" w:after="120" w:line="240" w:lineRule="atLeast"/>
              <w:ind w:right="113"/>
              <w:rPr>
                <w:spacing w:val="0"/>
                <w:w w:val="100"/>
                <w:kern w:val="0"/>
              </w:rPr>
            </w:pPr>
            <w:hyperlink r:id="rId52" w:history="1">
              <w:r w:rsidR="008636F5" w:rsidRPr="004D70EB">
                <w:rPr>
                  <w:rStyle w:val="Hyperlink"/>
                  <w:spacing w:val="0"/>
                  <w:w w:val="100"/>
                  <w:kern w:val="0"/>
                </w:rPr>
                <w:t>CEDAW/C/CRI/7</w:t>
              </w:r>
            </w:hyperlink>
          </w:p>
        </w:tc>
        <w:tc>
          <w:tcPr>
            <w:tcW w:w="5040" w:type="dxa"/>
            <w:shd w:val="clear" w:color="auto" w:fill="auto"/>
          </w:tcPr>
          <w:p w14:paraId="51D816B5"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Seventh periodic report of Costa Rica</w:t>
            </w:r>
          </w:p>
        </w:tc>
      </w:tr>
      <w:tr w:rsidR="008636F5" w:rsidRPr="00E27844" w14:paraId="15902AC0" w14:textId="77777777" w:rsidTr="00AA3AEF">
        <w:tc>
          <w:tcPr>
            <w:tcW w:w="2430" w:type="dxa"/>
            <w:shd w:val="clear" w:color="auto" w:fill="auto"/>
          </w:tcPr>
          <w:p w14:paraId="1FB0EF6C" w14:textId="5B4BC3DD" w:rsidR="008636F5" w:rsidRPr="00E27844" w:rsidRDefault="00CD742B" w:rsidP="00DE0E2E">
            <w:pPr>
              <w:spacing w:before="40" w:after="120" w:line="240" w:lineRule="atLeast"/>
              <w:ind w:right="113"/>
              <w:rPr>
                <w:spacing w:val="0"/>
                <w:w w:val="100"/>
                <w:kern w:val="0"/>
              </w:rPr>
            </w:pPr>
            <w:hyperlink r:id="rId53" w:history="1">
              <w:r w:rsidR="008636F5" w:rsidRPr="004D70EB">
                <w:rPr>
                  <w:rStyle w:val="Hyperlink"/>
                  <w:spacing w:val="0"/>
                  <w:w w:val="100"/>
                  <w:kern w:val="0"/>
                </w:rPr>
                <w:t>CEDAW/C/ITA/7</w:t>
              </w:r>
            </w:hyperlink>
          </w:p>
        </w:tc>
        <w:tc>
          <w:tcPr>
            <w:tcW w:w="5040" w:type="dxa"/>
            <w:shd w:val="clear" w:color="auto" w:fill="auto"/>
          </w:tcPr>
          <w:p w14:paraId="61DDD062"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Seventh periodic report of Italy</w:t>
            </w:r>
          </w:p>
        </w:tc>
      </w:tr>
      <w:tr w:rsidR="008636F5" w:rsidRPr="00E27844" w14:paraId="13DD61A6" w14:textId="77777777" w:rsidTr="00AA3AEF">
        <w:tc>
          <w:tcPr>
            <w:tcW w:w="2430" w:type="dxa"/>
            <w:shd w:val="clear" w:color="auto" w:fill="auto"/>
          </w:tcPr>
          <w:p w14:paraId="56C4D7D9" w14:textId="04A5EE13" w:rsidR="008636F5" w:rsidRPr="00E27844" w:rsidRDefault="00CD742B" w:rsidP="00DE0E2E">
            <w:pPr>
              <w:spacing w:before="40" w:after="120" w:line="240" w:lineRule="atLeast"/>
              <w:ind w:right="113"/>
              <w:rPr>
                <w:spacing w:val="0"/>
                <w:w w:val="100"/>
                <w:kern w:val="0"/>
              </w:rPr>
            </w:pPr>
            <w:hyperlink r:id="rId54" w:history="1">
              <w:r w:rsidR="008636F5" w:rsidRPr="004D70EB">
                <w:rPr>
                  <w:rStyle w:val="Hyperlink"/>
                  <w:spacing w:val="0"/>
                  <w:w w:val="100"/>
                  <w:kern w:val="0"/>
                </w:rPr>
                <w:t>CEDAW/C/MNE/2</w:t>
              </w:r>
            </w:hyperlink>
          </w:p>
        </w:tc>
        <w:tc>
          <w:tcPr>
            <w:tcW w:w="5040" w:type="dxa"/>
            <w:shd w:val="clear" w:color="auto" w:fill="auto"/>
          </w:tcPr>
          <w:p w14:paraId="58998057"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Second periodic report of Montenegro</w:t>
            </w:r>
          </w:p>
        </w:tc>
      </w:tr>
      <w:tr w:rsidR="008636F5" w:rsidRPr="00E27844" w14:paraId="2EFFB7F6" w14:textId="77777777" w:rsidTr="00AA3AEF">
        <w:tc>
          <w:tcPr>
            <w:tcW w:w="2430" w:type="dxa"/>
            <w:shd w:val="clear" w:color="auto" w:fill="auto"/>
          </w:tcPr>
          <w:p w14:paraId="2EF7E131" w14:textId="6CAAFAE2" w:rsidR="008636F5" w:rsidRPr="00E27844" w:rsidRDefault="00CD742B" w:rsidP="00DE0E2E">
            <w:pPr>
              <w:spacing w:before="40" w:after="120" w:line="240" w:lineRule="atLeast"/>
              <w:ind w:right="113"/>
              <w:rPr>
                <w:spacing w:val="0"/>
                <w:w w:val="100"/>
                <w:kern w:val="0"/>
              </w:rPr>
            </w:pPr>
            <w:hyperlink r:id="rId55" w:history="1">
              <w:r w:rsidR="008636F5" w:rsidRPr="004D70EB">
                <w:rPr>
                  <w:rStyle w:val="Hyperlink"/>
                  <w:spacing w:val="0"/>
                  <w:w w:val="100"/>
                  <w:kern w:val="0"/>
                </w:rPr>
                <w:t>CEDAW/C/NER/3-4</w:t>
              </w:r>
            </w:hyperlink>
          </w:p>
        </w:tc>
        <w:tc>
          <w:tcPr>
            <w:tcW w:w="5040" w:type="dxa"/>
            <w:shd w:val="clear" w:color="auto" w:fill="auto"/>
          </w:tcPr>
          <w:p w14:paraId="7686DE01"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 xml:space="preserve">Combined third and fourth periodic reports of </w:t>
            </w:r>
            <w:r>
              <w:rPr>
                <w:spacing w:val="0"/>
                <w:w w:val="100"/>
                <w:kern w:val="0"/>
              </w:rPr>
              <w:t xml:space="preserve">the </w:t>
            </w:r>
            <w:r w:rsidRPr="00637254">
              <w:rPr>
                <w:spacing w:val="0"/>
                <w:w w:val="100"/>
                <w:kern w:val="0"/>
              </w:rPr>
              <w:t>Niger</w:t>
            </w:r>
          </w:p>
        </w:tc>
      </w:tr>
      <w:tr w:rsidR="008636F5" w:rsidRPr="00E27844" w14:paraId="75865AAB" w14:textId="77777777" w:rsidTr="00AA3AEF">
        <w:tc>
          <w:tcPr>
            <w:tcW w:w="2430" w:type="dxa"/>
            <w:shd w:val="clear" w:color="auto" w:fill="auto"/>
          </w:tcPr>
          <w:p w14:paraId="23412BEA" w14:textId="7667A1D7" w:rsidR="008636F5" w:rsidRPr="00E27844" w:rsidRDefault="00CD742B" w:rsidP="00DE0E2E">
            <w:pPr>
              <w:spacing w:before="40" w:after="120" w:line="240" w:lineRule="atLeast"/>
              <w:ind w:right="113"/>
              <w:rPr>
                <w:spacing w:val="0"/>
                <w:w w:val="100"/>
                <w:kern w:val="0"/>
              </w:rPr>
            </w:pPr>
            <w:hyperlink r:id="rId56" w:history="1">
              <w:r w:rsidR="008636F5" w:rsidRPr="004D70EB">
                <w:rPr>
                  <w:rStyle w:val="Hyperlink"/>
                  <w:spacing w:val="0"/>
                  <w:w w:val="100"/>
                  <w:kern w:val="0"/>
                </w:rPr>
                <w:t>CEDAW/C/NGA/7-8</w:t>
              </w:r>
            </w:hyperlink>
          </w:p>
        </w:tc>
        <w:tc>
          <w:tcPr>
            <w:tcW w:w="5040" w:type="dxa"/>
            <w:shd w:val="clear" w:color="auto" w:fill="auto"/>
          </w:tcPr>
          <w:p w14:paraId="163E77CB"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Combined seventh and eighth periodic reports of Nigeria</w:t>
            </w:r>
          </w:p>
        </w:tc>
      </w:tr>
      <w:tr w:rsidR="008636F5" w:rsidRPr="00E27844" w14:paraId="350E67EE" w14:textId="77777777" w:rsidTr="00AA3AEF">
        <w:tc>
          <w:tcPr>
            <w:tcW w:w="2430" w:type="dxa"/>
            <w:shd w:val="clear" w:color="auto" w:fill="auto"/>
          </w:tcPr>
          <w:p w14:paraId="3E514D9A" w14:textId="00B8AB1F" w:rsidR="008636F5" w:rsidRPr="00E27844" w:rsidRDefault="00CD742B" w:rsidP="00DE0E2E">
            <w:pPr>
              <w:spacing w:before="40" w:after="120" w:line="240" w:lineRule="atLeast"/>
              <w:ind w:right="113"/>
              <w:rPr>
                <w:spacing w:val="0"/>
                <w:w w:val="100"/>
                <w:kern w:val="0"/>
              </w:rPr>
            </w:pPr>
            <w:hyperlink r:id="rId57" w:history="1">
              <w:r w:rsidR="008636F5" w:rsidRPr="004D70EB">
                <w:rPr>
                  <w:rStyle w:val="Hyperlink"/>
                  <w:spacing w:val="0"/>
                  <w:w w:val="100"/>
                  <w:kern w:val="0"/>
                </w:rPr>
                <w:t>CEDAW/C/ROU/7-8</w:t>
              </w:r>
            </w:hyperlink>
          </w:p>
        </w:tc>
        <w:tc>
          <w:tcPr>
            <w:tcW w:w="5040" w:type="dxa"/>
            <w:shd w:val="clear" w:color="auto" w:fill="auto"/>
          </w:tcPr>
          <w:p w14:paraId="501AF3F9"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Combined seventh and eighth periodic reports of Romania</w:t>
            </w:r>
          </w:p>
        </w:tc>
      </w:tr>
      <w:tr w:rsidR="008636F5" w:rsidRPr="00E27844" w14:paraId="7D59A8BC" w14:textId="77777777" w:rsidTr="00AA3AEF">
        <w:tc>
          <w:tcPr>
            <w:tcW w:w="2430" w:type="dxa"/>
            <w:tcBorders>
              <w:bottom w:val="single" w:sz="12" w:space="0" w:color="auto"/>
            </w:tcBorders>
            <w:shd w:val="clear" w:color="auto" w:fill="auto"/>
          </w:tcPr>
          <w:p w14:paraId="04B5F273" w14:textId="47897B09" w:rsidR="008636F5" w:rsidRPr="00E27844" w:rsidRDefault="00CD742B" w:rsidP="00DE0E2E">
            <w:pPr>
              <w:spacing w:before="40" w:after="120" w:line="240" w:lineRule="atLeast"/>
              <w:ind w:right="113"/>
              <w:rPr>
                <w:spacing w:val="0"/>
                <w:w w:val="100"/>
                <w:kern w:val="0"/>
              </w:rPr>
            </w:pPr>
            <w:hyperlink r:id="rId58" w:history="1">
              <w:r w:rsidR="008636F5" w:rsidRPr="004D70EB">
                <w:rPr>
                  <w:rStyle w:val="Hyperlink"/>
                  <w:spacing w:val="0"/>
                  <w:w w:val="100"/>
                  <w:kern w:val="0"/>
                </w:rPr>
                <w:t>CEDAW/C/THA/6-7</w:t>
              </w:r>
            </w:hyperlink>
          </w:p>
        </w:tc>
        <w:tc>
          <w:tcPr>
            <w:tcW w:w="5040" w:type="dxa"/>
            <w:tcBorders>
              <w:bottom w:val="single" w:sz="12" w:space="0" w:color="auto"/>
            </w:tcBorders>
            <w:shd w:val="clear" w:color="auto" w:fill="auto"/>
          </w:tcPr>
          <w:p w14:paraId="5322E936" w14:textId="77777777" w:rsidR="008636F5" w:rsidRPr="00E27844" w:rsidRDefault="008636F5" w:rsidP="00DE0E2E">
            <w:pPr>
              <w:spacing w:before="40" w:after="120" w:line="240" w:lineRule="atLeast"/>
              <w:ind w:right="113"/>
              <w:rPr>
                <w:spacing w:val="0"/>
                <w:w w:val="100"/>
                <w:kern w:val="0"/>
              </w:rPr>
            </w:pPr>
            <w:r w:rsidRPr="00E27844">
              <w:rPr>
                <w:spacing w:val="0"/>
                <w:w w:val="100"/>
                <w:kern w:val="0"/>
              </w:rPr>
              <w:t>Combined sixth and seventh periodic reports of Thailand</w:t>
            </w:r>
          </w:p>
        </w:tc>
      </w:tr>
    </w:tbl>
    <w:p w14:paraId="705033AE" w14:textId="4D40BC47" w:rsidR="008636F5" w:rsidRPr="00A341CF" w:rsidRDefault="008636F5" w:rsidP="00A341CF">
      <w:pPr>
        <w:pStyle w:val="SingleTxt"/>
        <w:spacing w:after="0" w:line="120" w:lineRule="exact"/>
        <w:rPr>
          <w:sz w:val="10"/>
          <w:lang w:eastAsia="zh-CN"/>
        </w:rPr>
      </w:pPr>
    </w:p>
    <w:p w14:paraId="4783BB52" w14:textId="60D32FAC" w:rsidR="00A341CF" w:rsidRPr="00A341CF" w:rsidRDefault="00A341CF" w:rsidP="00A341CF">
      <w:pPr>
        <w:pStyle w:val="SingleTxt"/>
        <w:spacing w:after="0" w:line="120" w:lineRule="exact"/>
        <w:rPr>
          <w:sz w:val="10"/>
          <w:lang w:eastAsia="zh-CN"/>
        </w:rPr>
      </w:pPr>
    </w:p>
    <w:p w14:paraId="20D8B92C" w14:textId="526F91FB" w:rsidR="00A341CF" w:rsidRDefault="00A341CF">
      <w:pPr>
        <w:suppressAutoHyphens w:val="0"/>
        <w:spacing w:after="200" w:line="276" w:lineRule="auto"/>
        <w:rPr>
          <w:lang w:eastAsia="zh-CN"/>
        </w:rPr>
      </w:pPr>
      <w:r>
        <w:rPr>
          <w:lang w:eastAsia="zh-CN"/>
        </w:rPr>
        <w:br w:type="page"/>
      </w:r>
    </w:p>
    <w:p w14:paraId="24E62A1E" w14:textId="77777777" w:rsidR="00A341CF" w:rsidRDefault="00A341CF" w:rsidP="00A341CF">
      <w:pPr>
        <w:pStyle w:val="HCh"/>
        <w:ind w:left="1267" w:right="1260" w:hanging="1267"/>
        <w:rPr>
          <w:lang w:eastAsia="zh-CN"/>
        </w:rPr>
      </w:pPr>
      <w:r>
        <w:rPr>
          <w:lang w:eastAsia="zh-CN"/>
        </w:rPr>
        <w:lastRenderedPageBreak/>
        <w:tab/>
      </w:r>
      <w:r>
        <w:rPr>
          <w:lang w:eastAsia="zh-CN"/>
        </w:rPr>
        <w:tab/>
        <w:t>Part Two</w:t>
      </w:r>
    </w:p>
    <w:p w14:paraId="2CEA8157" w14:textId="2BE79904" w:rsidR="00A341CF" w:rsidRDefault="00A341CF" w:rsidP="006E0391">
      <w:pPr>
        <w:pStyle w:val="HCh"/>
        <w:ind w:left="1267" w:right="1260" w:hanging="1267"/>
        <w:rPr>
          <w:lang w:eastAsia="zh-CN"/>
        </w:rPr>
      </w:pPr>
      <w:r>
        <w:rPr>
          <w:lang w:eastAsia="zh-CN"/>
        </w:rPr>
        <w:tab/>
      </w:r>
      <w:r>
        <w:rPr>
          <w:lang w:eastAsia="zh-CN"/>
        </w:rPr>
        <w:tab/>
        <w:t xml:space="preserve">Report of the Committee on the Elimination of Discrimination against Women on its sixty-eighth session </w:t>
      </w:r>
    </w:p>
    <w:p w14:paraId="6EE5FE79" w14:textId="40B97BD9" w:rsidR="006E0391" w:rsidRPr="006E0391" w:rsidRDefault="006E0391" w:rsidP="006E0391">
      <w:pPr>
        <w:pStyle w:val="SingleTxt"/>
        <w:spacing w:after="0" w:line="120" w:lineRule="exact"/>
        <w:rPr>
          <w:sz w:val="10"/>
          <w:lang w:eastAsia="zh-CN"/>
        </w:rPr>
      </w:pPr>
    </w:p>
    <w:p w14:paraId="26D0FD90" w14:textId="452D0528" w:rsidR="006E0391" w:rsidRPr="006E0391" w:rsidRDefault="006E0391" w:rsidP="006E0391">
      <w:pPr>
        <w:pStyle w:val="SingleTxt"/>
        <w:spacing w:after="0" w:line="120" w:lineRule="exact"/>
        <w:rPr>
          <w:sz w:val="10"/>
          <w:lang w:eastAsia="zh-CN"/>
        </w:rPr>
      </w:pPr>
    </w:p>
    <w:p w14:paraId="1D4025A3" w14:textId="62713369" w:rsidR="00A341CF" w:rsidRDefault="00A341CF" w:rsidP="006E0391">
      <w:pPr>
        <w:pStyle w:val="H1"/>
        <w:ind w:right="1260"/>
        <w:rPr>
          <w:lang w:eastAsia="zh-CN"/>
        </w:rPr>
      </w:pPr>
      <w:r>
        <w:rPr>
          <w:lang w:eastAsia="zh-CN"/>
        </w:rPr>
        <w:tab/>
      </w:r>
      <w:r>
        <w:rPr>
          <w:lang w:eastAsia="zh-CN"/>
        </w:rPr>
        <w:tab/>
        <w:t>23 October–17 November 2017</w:t>
      </w:r>
    </w:p>
    <w:p w14:paraId="2BCE1B43" w14:textId="30F1DFD3" w:rsidR="006E0391" w:rsidRPr="006E0391" w:rsidRDefault="006E0391" w:rsidP="006E0391">
      <w:pPr>
        <w:pStyle w:val="SingleTxt"/>
        <w:spacing w:after="0" w:line="120" w:lineRule="exact"/>
        <w:rPr>
          <w:sz w:val="10"/>
          <w:lang w:eastAsia="zh-CN"/>
        </w:rPr>
      </w:pPr>
    </w:p>
    <w:p w14:paraId="4A2479FE" w14:textId="29E75DED" w:rsidR="006E0391" w:rsidRPr="006E0391" w:rsidRDefault="006E0391" w:rsidP="006E0391">
      <w:pPr>
        <w:pStyle w:val="SingleTxt"/>
        <w:spacing w:after="0" w:line="120" w:lineRule="exact"/>
        <w:rPr>
          <w:sz w:val="10"/>
          <w:lang w:eastAsia="zh-CN"/>
        </w:rPr>
      </w:pPr>
    </w:p>
    <w:p w14:paraId="2C0B1FE5" w14:textId="5F00E9E2" w:rsidR="006E0391" w:rsidRDefault="006E0391">
      <w:pPr>
        <w:suppressAutoHyphens w:val="0"/>
        <w:spacing w:after="200" w:line="276" w:lineRule="auto"/>
        <w:rPr>
          <w:lang w:eastAsia="zh-CN"/>
        </w:rPr>
      </w:pPr>
      <w:r>
        <w:rPr>
          <w:lang w:eastAsia="zh-CN"/>
        </w:rPr>
        <w:br w:type="page"/>
      </w:r>
    </w:p>
    <w:p w14:paraId="3263C434" w14:textId="77777777" w:rsidR="006E0391" w:rsidRDefault="006E0391" w:rsidP="006E0391">
      <w:pPr>
        <w:pStyle w:val="HCh"/>
        <w:ind w:left="1267" w:right="1260" w:hanging="1267"/>
        <w:rPr>
          <w:lang w:eastAsia="zh-CN"/>
        </w:rPr>
      </w:pPr>
      <w:r>
        <w:rPr>
          <w:lang w:eastAsia="zh-CN"/>
        </w:rPr>
        <w:lastRenderedPageBreak/>
        <w:t>Chapter I</w:t>
      </w:r>
    </w:p>
    <w:p w14:paraId="386ACCF7" w14:textId="77777777" w:rsidR="006E0391" w:rsidRDefault="006E0391" w:rsidP="006E0391">
      <w:pPr>
        <w:pStyle w:val="HCh"/>
        <w:ind w:left="1267" w:right="1260" w:hanging="1267"/>
        <w:rPr>
          <w:lang w:eastAsia="zh-CN"/>
        </w:rPr>
      </w:pPr>
      <w:r>
        <w:rPr>
          <w:lang w:eastAsia="zh-CN"/>
        </w:rPr>
        <w:tab/>
      </w:r>
      <w:r>
        <w:rPr>
          <w:lang w:eastAsia="zh-CN"/>
        </w:rPr>
        <w:tab/>
        <w:t xml:space="preserve">Decisions adopted by the Committee </w:t>
      </w:r>
    </w:p>
    <w:p w14:paraId="38A7C61C" w14:textId="77777777" w:rsidR="006E0391" w:rsidRPr="006E0391" w:rsidRDefault="006E0391" w:rsidP="006E0391">
      <w:pPr>
        <w:pStyle w:val="SingleTxt"/>
        <w:spacing w:after="0" w:line="120" w:lineRule="exact"/>
        <w:rPr>
          <w:sz w:val="10"/>
          <w:lang w:eastAsia="zh-CN"/>
        </w:rPr>
      </w:pPr>
    </w:p>
    <w:p w14:paraId="444127FA" w14:textId="77777777" w:rsidR="006E0391" w:rsidRPr="006E0391" w:rsidRDefault="006E0391" w:rsidP="006E0391">
      <w:pPr>
        <w:pStyle w:val="SingleTxt"/>
        <w:spacing w:after="0" w:line="120" w:lineRule="exact"/>
        <w:rPr>
          <w:sz w:val="10"/>
          <w:lang w:eastAsia="zh-CN"/>
        </w:rPr>
      </w:pPr>
    </w:p>
    <w:p w14:paraId="744603E8" w14:textId="3C8B3A1C"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68/I</w:t>
      </w:r>
    </w:p>
    <w:p w14:paraId="4D7D3177" w14:textId="77777777" w:rsidR="006E0391" w:rsidRPr="006E0391" w:rsidRDefault="006E0391" w:rsidP="006E0391">
      <w:pPr>
        <w:pStyle w:val="SingleTxt"/>
        <w:spacing w:after="0" w:line="120" w:lineRule="exact"/>
        <w:rPr>
          <w:sz w:val="10"/>
          <w:lang w:eastAsia="zh-CN"/>
        </w:rPr>
      </w:pPr>
    </w:p>
    <w:p w14:paraId="3D10D5DD" w14:textId="0041D9A6" w:rsidR="006E0391" w:rsidRDefault="006E0391" w:rsidP="006E0391">
      <w:pPr>
        <w:pStyle w:val="SingleTxt"/>
        <w:rPr>
          <w:lang w:eastAsia="zh-CN"/>
        </w:rPr>
      </w:pPr>
      <w:r>
        <w:rPr>
          <w:lang w:eastAsia="zh-CN"/>
        </w:rPr>
        <w:tab/>
        <w:t>On 16 November 2017, the Committee adopted general recommendation No. 36 (2017) on the right of girls and women to education (</w:t>
      </w:r>
      <w:hyperlink r:id="rId59" w:history="1">
        <w:r w:rsidRPr="004D70EB">
          <w:rPr>
            <w:rStyle w:val="Hyperlink"/>
            <w:lang w:eastAsia="zh-CN"/>
          </w:rPr>
          <w:t>CEDAW/C/GC/36</w:t>
        </w:r>
      </w:hyperlink>
      <w:r>
        <w:rPr>
          <w:lang w:eastAsia="zh-CN"/>
        </w:rPr>
        <w:t>), by consensus.</w:t>
      </w:r>
    </w:p>
    <w:p w14:paraId="610177F4" w14:textId="77777777" w:rsidR="006E0391" w:rsidRPr="006E0391" w:rsidRDefault="006E0391" w:rsidP="006E0391">
      <w:pPr>
        <w:pStyle w:val="SingleTxt"/>
        <w:spacing w:after="0" w:line="120" w:lineRule="exact"/>
        <w:rPr>
          <w:sz w:val="10"/>
          <w:lang w:eastAsia="zh-CN"/>
        </w:rPr>
      </w:pPr>
    </w:p>
    <w:p w14:paraId="49E95F6B" w14:textId="784DF01D"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68/II</w:t>
      </w:r>
    </w:p>
    <w:p w14:paraId="55C669E2" w14:textId="77777777" w:rsidR="006E0391" w:rsidRPr="006E0391" w:rsidRDefault="006E0391" w:rsidP="006E0391">
      <w:pPr>
        <w:pStyle w:val="SingleTxt"/>
        <w:spacing w:after="0" w:line="120" w:lineRule="exact"/>
        <w:rPr>
          <w:sz w:val="10"/>
          <w:lang w:eastAsia="zh-CN"/>
        </w:rPr>
      </w:pPr>
    </w:p>
    <w:p w14:paraId="18FE6770" w14:textId="40E524B0" w:rsidR="006E0391" w:rsidRDefault="006E0391" w:rsidP="006E0391">
      <w:pPr>
        <w:pStyle w:val="SingleTxt"/>
        <w:rPr>
          <w:lang w:eastAsia="zh-CN"/>
        </w:rPr>
      </w:pPr>
      <w:r>
        <w:rPr>
          <w:lang w:eastAsia="zh-CN"/>
        </w:rPr>
        <w:tab/>
        <w:t>In accordance with article 18 (1) (b) of the Convention and its decision 21/I, the Committee decided to request the Government of Myanmar to submit an exceptional report, within six months, on the ongoing situation of Rohingya women and girls in northern Rakhine state.</w:t>
      </w:r>
    </w:p>
    <w:p w14:paraId="3623C5DC" w14:textId="77777777" w:rsidR="006E0391" w:rsidRPr="006E0391" w:rsidRDefault="006E0391" w:rsidP="006E0391">
      <w:pPr>
        <w:pStyle w:val="SingleTxt"/>
        <w:spacing w:after="0" w:line="120" w:lineRule="exact"/>
        <w:rPr>
          <w:sz w:val="10"/>
          <w:lang w:eastAsia="zh-CN"/>
        </w:rPr>
      </w:pPr>
    </w:p>
    <w:p w14:paraId="72D2E5D0" w14:textId="70638CF7"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68/III</w:t>
      </w:r>
    </w:p>
    <w:p w14:paraId="676417ED" w14:textId="77777777" w:rsidR="006E0391" w:rsidRPr="006E0391" w:rsidRDefault="006E0391" w:rsidP="006E0391">
      <w:pPr>
        <w:pStyle w:val="SingleTxt"/>
        <w:spacing w:after="0" w:line="120" w:lineRule="exact"/>
        <w:rPr>
          <w:sz w:val="10"/>
          <w:lang w:eastAsia="zh-CN"/>
        </w:rPr>
      </w:pPr>
    </w:p>
    <w:p w14:paraId="1FC74A43" w14:textId="794757EB" w:rsidR="006E0391" w:rsidRDefault="006E0391" w:rsidP="006E0391">
      <w:pPr>
        <w:pStyle w:val="SingleTxt"/>
        <w:rPr>
          <w:lang w:eastAsia="zh-CN"/>
        </w:rPr>
      </w:pPr>
      <w:r>
        <w:rPr>
          <w:lang w:eastAsia="zh-CN"/>
        </w:rPr>
        <w:tab/>
        <w:t>The Committee recalled its decision to postpone, at the request of the State party, its consideration of the combined seventh and eighth periodic reports of Yemen (</w:t>
      </w:r>
      <w:hyperlink r:id="rId60" w:history="1">
        <w:r w:rsidRPr="004D70EB">
          <w:rPr>
            <w:rStyle w:val="Hyperlink"/>
            <w:lang w:eastAsia="zh-CN"/>
          </w:rPr>
          <w:t>CEDAW/C/YEM/7-8</w:t>
        </w:r>
      </w:hyperlink>
      <w:r>
        <w:rPr>
          <w:lang w:eastAsia="zh-CN"/>
        </w:rPr>
        <w:t>), received in June 2013, and decided to determine the modalities for the urgent consideration of the situation of women and girls in Yemen at its sixty-ninth session.</w:t>
      </w:r>
    </w:p>
    <w:p w14:paraId="67863A4E" w14:textId="77777777" w:rsidR="006E0391" w:rsidRPr="006E0391" w:rsidRDefault="006E0391" w:rsidP="006E0391">
      <w:pPr>
        <w:pStyle w:val="SingleTxt"/>
        <w:spacing w:after="0" w:line="120" w:lineRule="exact"/>
        <w:rPr>
          <w:sz w:val="10"/>
          <w:lang w:eastAsia="zh-CN"/>
        </w:rPr>
      </w:pPr>
    </w:p>
    <w:p w14:paraId="3B789CD2" w14:textId="4605CC95"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68/IV</w:t>
      </w:r>
    </w:p>
    <w:p w14:paraId="2BA6656D" w14:textId="77777777" w:rsidR="006E0391" w:rsidRPr="006E0391" w:rsidRDefault="006E0391" w:rsidP="006E0391">
      <w:pPr>
        <w:pStyle w:val="SingleTxt"/>
        <w:spacing w:after="0" w:line="120" w:lineRule="exact"/>
        <w:rPr>
          <w:sz w:val="10"/>
          <w:lang w:eastAsia="zh-CN"/>
        </w:rPr>
      </w:pPr>
    </w:p>
    <w:p w14:paraId="1D24EBC6" w14:textId="086541A9" w:rsidR="006E0391" w:rsidRDefault="006E0391" w:rsidP="006E0391">
      <w:pPr>
        <w:pStyle w:val="SingleTxt"/>
        <w:rPr>
          <w:lang w:eastAsia="zh-CN"/>
        </w:rPr>
      </w:pPr>
      <w:r>
        <w:rPr>
          <w:lang w:eastAsia="zh-CN"/>
        </w:rPr>
        <w:tab/>
        <w:t>The Committee decided to amend the second introductory paragraph of its concluding observations by inserting a reference to the submission, if any, by the State party of written information on the steps taken to implement the recommendations identified for immediate action in the previous concluding observations of the Committee. Should the State party fail to submit such a follow-up report, the Committee decided that it would express regret about that failure in the standard paragraph on follow up in its concluding observations.</w:t>
      </w:r>
    </w:p>
    <w:p w14:paraId="1678C124" w14:textId="77777777" w:rsidR="006E0391" w:rsidRPr="006E0391" w:rsidRDefault="006E0391" w:rsidP="006E0391">
      <w:pPr>
        <w:pStyle w:val="SingleTxt"/>
        <w:spacing w:after="0" w:line="120" w:lineRule="exact"/>
        <w:rPr>
          <w:sz w:val="10"/>
          <w:lang w:eastAsia="zh-CN"/>
        </w:rPr>
      </w:pPr>
    </w:p>
    <w:p w14:paraId="2C75C959" w14:textId="003543DA"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68/V</w:t>
      </w:r>
    </w:p>
    <w:p w14:paraId="3CFEA01B" w14:textId="77777777" w:rsidR="006E0391" w:rsidRPr="006E0391" w:rsidRDefault="006E0391" w:rsidP="006E0391">
      <w:pPr>
        <w:pStyle w:val="SingleTxt"/>
        <w:spacing w:after="0" w:line="120" w:lineRule="exact"/>
        <w:rPr>
          <w:sz w:val="10"/>
          <w:lang w:eastAsia="zh-CN"/>
        </w:rPr>
      </w:pPr>
    </w:p>
    <w:p w14:paraId="3DBA1A92" w14:textId="4104CF6E" w:rsidR="006E0391" w:rsidRDefault="006E0391" w:rsidP="006E0391">
      <w:pPr>
        <w:pStyle w:val="SingleTxt"/>
        <w:rPr>
          <w:lang w:eastAsia="zh-CN"/>
        </w:rPr>
      </w:pPr>
      <w:r>
        <w:rPr>
          <w:lang w:eastAsia="zh-CN"/>
        </w:rPr>
        <w:tab/>
        <w:t xml:space="preserve">The Committee amended the briefing note template for country rapporteurs annexed to its decision 52/II (see </w:t>
      </w:r>
      <w:hyperlink r:id="rId61" w:history="1">
        <w:r w:rsidRPr="004D70EB">
          <w:rPr>
            <w:rStyle w:val="Hyperlink"/>
            <w:lang w:eastAsia="zh-CN"/>
          </w:rPr>
          <w:t>A/68/38</w:t>
        </w:r>
      </w:hyperlink>
      <w:r>
        <w:rPr>
          <w:lang w:eastAsia="zh-CN"/>
        </w:rPr>
        <w:t>, part one, annex II, appendix) to include, in section I,</w:t>
      </w:r>
      <w:r w:rsidR="00FA0AD4">
        <w:rPr>
          <w:lang w:eastAsia="zh-CN"/>
        </w:rPr>
        <w:t xml:space="preserve"> </w:t>
      </w:r>
      <w:r>
        <w:rPr>
          <w:lang w:eastAsia="zh-CN"/>
        </w:rPr>
        <w:t>reference to the submission or non-submission by the State party concerned of written information on the steps it had taken to implement the recommendations identified for immediate action in the previous concluding observations of the Committee. The Committee also decided that, in case such a follow-up report has been submitted, a reference to the assessment of the follow-up report by the Rapporteur on follow-up to concluding observations should be included in the briefing note prepared by the country rapporteur.</w:t>
      </w:r>
    </w:p>
    <w:p w14:paraId="182A6AB8" w14:textId="77777777" w:rsidR="006E0391" w:rsidRPr="006E0391" w:rsidRDefault="006E0391" w:rsidP="006E0391">
      <w:pPr>
        <w:pStyle w:val="SingleTxt"/>
        <w:spacing w:after="0" w:line="120" w:lineRule="exact"/>
        <w:rPr>
          <w:sz w:val="10"/>
          <w:lang w:eastAsia="zh-CN"/>
        </w:rPr>
      </w:pPr>
    </w:p>
    <w:p w14:paraId="279A3892" w14:textId="5E059B79"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68/VI</w:t>
      </w:r>
    </w:p>
    <w:p w14:paraId="6D2AEAAA" w14:textId="77777777" w:rsidR="006E0391" w:rsidRPr="006E0391" w:rsidRDefault="006E0391" w:rsidP="006E0391">
      <w:pPr>
        <w:pStyle w:val="SingleTxt"/>
        <w:spacing w:after="0" w:line="120" w:lineRule="exact"/>
        <w:rPr>
          <w:sz w:val="10"/>
          <w:lang w:eastAsia="zh-CN"/>
        </w:rPr>
      </w:pPr>
    </w:p>
    <w:p w14:paraId="6278F13C" w14:textId="709676F7" w:rsidR="006E0391" w:rsidRDefault="006E0391" w:rsidP="006E0391">
      <w:pPr>
        <w:pStyle w:val="SingleTxt"/>
        <w:rPr>
          <w:lang w:eastAsia="zh-CN"/>
        </w:rPr>
      </w:pPr>
      <w:r>
        <w:rPr>
          <w:lang w:eastAsia="zh-CN"/>
        </w:rPr>
        <w:tab/>
        <w:t xml:space="preserve">The Committee amended its methodology of the follow-up procedure to concluding observations (see </w:t>
      </w:r>
      <w:hyperlink r:id="rId62" w:history="1">
        <w:r w:rsidRPr="004D70EB">
          <w:rPr>
            <w:rStyle w:val="Hyperlink"/>
            <w:lang w:eastAsia="zh-CN"/>
          </w:rPr>
          <w:t>A/68/38</w:t>
        </w:r>
      </w:hyperlink>
      <w:r>
        <w:rPr>
          <w:lang w:eastAsia="zh-CN"/>
        </w:rPr>
        <w:t>, part three, annex III), as previously amended in its decision 54/IX, by introducing the following two additional categories into those contained in paragraph 3 of the methodology and into section III of the information note on the procedure for States parties and other stakeholders on the submission of reports under the follow-up procedure (ibid., appendix):</w:t>
      </w:r>
    </w:p>
    <w:p w14:paraId="54CB6D7A" w14:textId="409A0E69" w:rsidR="006E0391" w:rsidRDefault="006E0391" w:rsidP="006E0391">
      <w:pPr>
        <w:pStyle w:val="SingleTxt"/>
        <w:tabs>
          <w:tab w:val="right" w:pos="1685"/>
        </w:tabs>
        <w:ind w:left="1742" w:hanging="475"/>
        <w:rPr>
          <w:lang w:eastAsia="zh-CN"/>
        </w:rPr>
      </w:pPr>
      <w:r>
        <w:rPr>
          <w:lang w:eastAsia="zh-CN"/>
        </w:rPr>
        <w:tab/>
        <w:t>•</w:t>
      </w:r>
      <w:r>
        <w:rPr>
          <w:lang w:eastAsia="zh-CN"/>
        </w:rPr>
        <w:tab/>
        <w:t xml:space="preserve">“Substantially implemented” indicates that the State party has provided evidence of substantial action taken towards the implementation of the recommendation made by the Committee, but that it fails to respond fully to the </w:t>
      </w:r>
      <w:r>
        <w:rPr>
          <w:lang w:eastAsia="zh-CN"/>
        </w:rPr>
        <w:lastRenderedPageBreak/>
        <w:t>recommendation; in this case, the Rapporteur on follow-up requests no additional information from the State party.</w:t>
      </w:r>
    </w:p>
    <w:p w14:paraId="1B33C3A1" w14:textId="1A9C7DCA" w:rsidR="006E0391" w:rsidRDefault="006E0391" w:rsidP="006E0391">
      <w:pPr>
        <w:pStyle w:val="SingleTxt"/>
        <w:tabs>
          <w:tab w:val="right" w:pos="1685"/>
        </w:tabs>
        <w:ind w:left="1742" w:hanging="475"/>
        <w:rPr>
          <w:lang w:eastAsia="zh-CN"/>
        </w:rPr>
      </w:pPr>
      <w:r>
        <w:rPr>
          <w:lang w:eastAsia="zh-CN"/>
        </w:rPr>
        <w:tab/>
        <w:t>•</w:t>
      </w:r>
      <w:r>
        <w:rPr>
          <w:lang w:eastAsia="zh-CN"/>
        </w:rPr>
        <w:tab/>
        <w:t>“Information or measures taken are contrary to or reflect rejection of the recommendation” indicates that the State party has taken no steps, reinforcing the Committee’s concerns, or shows that the State party rejects the recommendations made by the Committee; in this case, the Rapporteur on follow-up requests information on the measures taken to implement the recommendation within a specific time frame or in the next periodic report.</w:t>
      </w:r>
    </w:p>
    <w:p w14:paraId="0CD14FAD" w14:textId="77777777" w:rsidR="006E0391" w:rsidRPr="006E0391" w:rsidRDefault="006E0391" w:rsidP="006E0391">
      <w:pPr>
        <w:pStyle w:val="SingleTxt"/>
        <w:spacing w:after="0" w:line="120" w:lineRule="exact"/>
        <w:rPr>
          <w:sz w:val="10"/>
          <w:lang w:eastAsia="zh-CN"/>
        </w:rPr>
      </w:pPr>
    </w:p>
    <w:p w14:paraId="2BE4B6F4" w14:textId="35B21B62" w:rsidR="006E0391" w:rsidRDefault="006E0391" w:rsidP="006E03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Decision 68/VII</w:t>
      </w:r>
    </w:p>
    <w:p w14:paraId="5CBCF4A0" w14:textId="77777777" w:rsidR="006E0391" w:rsidRPr="006E0391" w:rsidRDefault="006E0391" w:rsidP="006E0391">
      <w:pPr>
        <w:pStyle w:val="SingleTxt"/>
        <w:spacing w:after="0" w:line="120" w:lineRule="exact"/>
        <w:rPr>
          <w:sz w:val="10"/>
          <w:lang w:eastAsia="zh-CN"/>
        </w:rPr>
      </w:pPr>
    </w:p>
    <w:p w14:paraId="411975BE" w14:textId="2A63A72A" w:rsidR="006E0391" w:rsidRDefault="006E0391" w:rsidP="006E0391">
      <w:pPr>
        <w:pStyle w:val="SingleTxt"/>
        <w:rPr>
          <w:lang w:eastAsia="zh-CN"/>
        </w:rPr>
      </w:pPr>
      <w:r>
        <w:rPr>
          <w:lang w:eastAsia="zh-CN"/>
        </w:rPr>
        <w:tab/>
        <w:t>The Committee confirmed the members of the pre-sessional working group for the seventieth session, namely, Gladys Acosta Vargas, Nicole Ameline, Lia Nadaraia, Bandana Rana and Aicha Vall Verges (replacing Theodora Oby Nwankwo).</w:t>
      </w:r>
    </w:p>
    <w:p w14:paraId="4C10BE30" w14:textId="21859306" w:rsidR="001E6D75" w:rsidRDefault="001E6D75">
      <w:pPr>
        <w:suppressAutoHyphens w:val="0"/>
        <w:spacing w:after="200" w:line="276" w:lineRule="auto"/>
        <w:rPr>
          <w:lang w:eastAsia="zh-CN"/>
        </w:rPr>
      </w:pPr>
      <w:r>
        <w:rPr>
          <w:lang w:eastAsia="zh-CN"/>
        </w:rPr>
        <w:br w:type="page"/>
      </w:r>
    </w:p>
    <w:p w14:paraId="3D4BFA83" w14:textId="77777777" w:rsidR="001E6D75" w:rsidRDefault="001E6D75" w:rsidP="001E6D75">
      <w:pPr>
        <w:pStyle w:val="HCh"/>
        <w:ind w:left="1267" w:right="1260" w:hanging="1267"/>
        <w:rPr>
          <w:lang w:eastAsia="zh-CN"/>
        </w:rPr>
      </w:pPr>
      <w:r>
        <w:rPr>
          <w:lang w:eastAsia="zh-CN"/>
        </w:rPr>
        <w:lastRenderedPageBreak/>
        <w:t>Chapter II</w:t>
      </w:r>
    </w:p>
    <w:p w14:paraId="26D64E41" w14:textId="77777777" w:rsidR="001E6D75" w:rsidRDefault="001E6D75" w:rsidP="001E6D75">
      <w:pPr>
        <w:pStyle w:val="HCh"/>
        <w:ind w:left="1267" w:right="1260" w:hanging="1267"/>
        <w:rPr>
          <w:lang w:eastAsia="zh-CN"/>
        </w:rPr>
      </w:pPr>
      <w:r>
        <w:rPr>
          <w:lang w:eastAsia="zh-CN"/>
        </w:rPr>
        <w:tab/>
      </w:r>
      <w:r>
        <w:rPr>
          <w:lang w:eastAsia="zh-CN"/>
        </w:rPr>
        <w:tab/>
        <w:t xml:space="preserve">Organizational and other matters </w:t>
      </w:r>
    </w:p>
    <w:p w14:paraId="086F6206" w14:textId="77777777" w:rsidR="001E6D75" w:rsidRPr="001E6D75" w:rsidRDefault="001E6D75" w:rsidP="001E6D75">
      <w:pPr>
        <w:pStyle w:val="SingleTxt"/>
        <w:spacing w:after="0" w:line="120" w:lineRule="exact"/>
        <w:rPr>
          <w:sz w:val="10"/>
          <w:lang w:eastAsia="zh-CN"/>
        </w:rPr>
      </w:pPr>
    </w:p>
    <w:p w14:paraId="1448E620" w14:textId="77777777" w:rsidR="001E6D75" w:rsidRPr="001E6D75" w:rsidRDefault="001E6D75" w:rsidP="001E6D75">
      <w:pPr>
        <w:pStyle w:val="SingleTxt"/>
        <w:spacing w:after="0" w:line="120" w:lineRule="exact"/>
        <w:rPr>
          <w:sz w:val="10"/>
          <w:lang w:eastAsia="zh-CN"/>
        </w:rPr>
      </w:pPr>
    </w:p>
    <w:p w14:paraId="0684E537" w14:textId="4EFE7E87" w:rsidR="001E6D75" w:rsidRDefault="001E6D75" w:rsidP="001E6D75">
      <w:pPr>
        <w:pStyle w:val="H1"/>
        <w:ind w:right="1260"/>
        <w:rPr>
          <w:lang w:eastAsia="zh-CN"/>
        </w:rPr>
      </w:pPr>
      <w:r>
        <w:rPr>
          <w:lang w:eastAsia="zh-CN"/>
        </w:rPr>
        <w:tab/>
        <w:t>A.</w:t>
      </w:r>
      <w:r>
        <w:rPr>
          <w:lang w:eastAsia="zh-CN"/>
        </w:rPr>
        <w:tab/>
        <w:t>States parties to the Convention and to the Optional Protocol</w:t>
      </w:r>
    </w:p>
    <w:p w14:paraId="6E757F62" w14:textId="77777777" w:rsidR="001E6D75" w:rsidRPr="001E6D75" w:rsidRDefault="001E6D75" w:rsidP="001E6D75">
      <w:pPr>
        <w:pStyle w:val="SingleTxt"/>
        <w:spacing w:after="0" w:line="120" w:lineRule="exact"/>
        <w:rPr>
          <w:sz w:val="10"/>
          <w:lang w:eastAsia="zh-CN"/>
        </w:rPr>
      </w:pPr>
    </w:p>
    <w:p w14:paraId="6EF453D7" w14:textId="77777777" w:rsidR="001E6D75" w:rsidRPr="001E6D75" w:rsidRDefault="001E6D75" w:rsidP="001E6D75">
      <w:pPr>
        <w:pStyle w:val="SingleTxt"/>
        <w:spacing w:after="0" w:line="120" w:lineRule="exact"/>
        <w:rPr>
          <w:sz w:val="10"/>
          <w:lang w:eastAsia="zh-CN"/>
        </w:rPr>
      </w:pPr>
    </w:p>
    <w:p w14:paraId="335A1B0A" w14:textId="1BED94BE" w:rsidR="001E6D75" w:rsidRDefault="001E6D75" w:rsidP="001E6D75">
      <w:pPr>
        <w:pStyle w:val="SingleTxt"/>
        <w:rPr>
          <w:lang w:eastAsia="zh-CN"/>
        </w:rPr>
      </w:pPr>
      <w:r>
        <w:rPr>
          <w:lang w:eastAsia="zh-CN"/>
        </w:rPr>
        <w:t>1.</w:t>
      </w:r>
      <w:r>
        <w:rPr>
          <w:lang w:eastAsia="zh-CN"/>
        </w:rPr>
        <w:tab/>
      </w:r>
      <w:r w:rsidR="007378AF">
        <w:rPr>
          <w:lang w:eastAsia="zh-CN"/>
        </w:rPr>
        <w:t>As at</w:t>
      </w:r>
      <w:r>
        <w:rPr>
          <w:lang w:eastAsia="zh-CN"/>
        </w:rPr>
        <w:t xml:space="preserve"> 17 November 2017, the closing date of the sixty-eighth session of the Committee, the ratification status of the Convention (189 States parties) was as it was on 21 July, the closing date of the sixty-seventh session. One additional State party had accepted the amendment to article 20 (1) of the Convention concerning the meeting time of the Committee, bringing the total number of States parties having accepted the amendment to 72.</w:t>
      </w:r>
    </w:p>
    <w:p w14:paraId="22CC20FB" w14:textId="77777777" w:rsidR="001E6D75" w:rsidRDefault="001E6D75" w:rsidP="001E6D75">
      <w:pPr>
        <w:pStyle w:val="SingleTxt"/>
        <w:rPr>
          <w:lang w:eastAsia="zh-CN"/>
        </w:rPr>
      </w:pPr>
      <w:r>
        <w:rPr>
          <w:lang w:eastAsia="zh-CN"/>
        </w:rPr>
        <w:t>2.</w:t>
      </w:r>
      <w:r>
        <w:rPr>
          <w:lang w:eastAsia="zh-CN"/>
        </w:rPr>
        <w:tab/>
        <w:t xml:space="preserve">The ratification status of the Optional Protocol to the Convention (109 States parties) was as it was on 21 July, the closing date of the sixty-seventh session. </w:t>
      </w:r>
    </w:p>
    <w:p w14:paraId="2C9BA639" w14:textId="77777777" w:rsidR="001E6D75" w:rsidRPr="001E6D75" w:rsidRDefault="001E6D75" w:rsidP="001E6D75">
      <w:pPr>
        <w:pStyle w:val="SingleTxt"/>
        <w:spacing w:after="0" w:line="120" w:lineRule="exact"/>
        <w:rPr>
          <w:sz w:val="10"/>
          <w:lang w:eastAsia="zh-CN"/>
        </w:rPr>
      </w:pPr>
    </w:p>
    <w:p w14:paraId="2EEDDA1E" w14:textId="77777777" w:rsidR="001E6D75" w:rsidRPr="001E6D75" w:rsidRDefault="001E6D75" w:rsidP="001E6D75">
      <w:pPr>
        <w:pStyle w:val="SingleTxt"/>
        <w:spacing w:after="0" w:line="120" w:lineRule="exact"/>
        <w:rPr>
          <w:sz w:val="10"/>
          <w:lang w:eastAsia="zh-CN"/>
        </w:rPr>
      </w:pPr>
    </w:p>
    <w:p w14:paraId="0C1A0891" w14:textId="76297156" w:rsidR="001E6D75" w:rsidRDefault="001E6D75" w:rsidP="001E6D75">
      <w:pPr>
        <w:pStyle w:val="H1"/>
        <w:ind w:right="1260"/>
        <w:rPr>
          <w:lang w:eastAsia="zh-CN"/>
        </w:rPr>
      </w:pPr>
      <w:r>
        <w:rPr>
          <w:lang w:eastAsia="zh-CN"/>
        </w:rPr>
        <w:tab/>
        <w:t>B.</w:t>
      </w:r>
      <w:r>
        <w:rPr>
          <w:lang w:eastAsia="zh-CN"/>
        </w:rPr>
        <w:tab/>
        <w:t xml:space="preserve">Opening of the session </w:t>
      </w:r>
    </w:p>
    <w:p w14:paraId="3600A33E" w14:textId="77777777" w:rsidR="001E6D75" w:rsidRPr="001E6D75" w:rsidRDefault="001E6D75" w:rsidP="001E6D75">
      <w:pPr>
        <w:pStyle w:val="SingleTxt"/>
        <w:spacing w:after="0" w:line="120" w:lineRule="exact"/>
        <w:rPr>
          <w:sz w:val="10"/>
          <w:lang w:eastAsia="zh-CN"/>
        </w:rPr>
      </w:pPr>
    </w:p>
    <w:p w14:paraId="100BA727" w14:textId="77777777" w:rsidR="001E6D75" w:rsidRPr="001E6D75" w:rsidRDefault="001E6D75" w:rsidP="001E6D75">
      <w:pPr>
        <w:pStyle w:val="SingleTxt"/>
        <w:spacing w:after="0" w:line="120" w:lineRule="exact"/>
        <w:rPr>
          <w:sz w:val="10"/>
          <w:lang w:eastAsia="zh-CN"/>
        </w:rPr>
      </w:pPr>
    </w:p>
    <w:p w14:paraId="5DC74BCF" w14:textId="0593BECE" w:rsidR="001E6D75" w:rsidRDefault="001E6D75" w:rsidP="001E6D75">
      <w:pPr>
        <w:pStyle w:val="SingleTxt"/>
        <w:rPr>
          <w:lang w:eastAsia="zh-CN"/>
        </w:rPr>
      </w:pPr>
      <w:r>
        <w:rPr>
          <w:lang w:eastAsia="zh-CN"/>
        </w:rPr>
        <w:t>3.</w:t>
      </w:r>
      <w:r>
        <w:rPr>
          <w:lang w:eastAsia="zh-CN"/>
        </w:rPr>
        <w:tab/>
        <w:t xml:space="preserve">The sixty-eighth session of the Committee was held at the United Nations Office at Geneva from 23 October to 17 November 2017. The Committee held 29 plenary meetings and 11 meetings to discuss agenda items 5 to 8. A list of the documents before the Committee is contained in the annex to part two of the present report. </w:t>
      </w:r>
    </w:p>
    <w:p w14:paraId="41B439B0" w14:textId="77777777" w:rsidR="001E6D75" w:rsidRDefault="001E6D75" w:rsidP="001E6D75">
      <w:pPr>
        <w:pStyle w:val="SingleTxt"/>
        <w:rPr>
          <w:lang w:eastAsia="zh-CN"/>
        </w:rPr>
      </w:pPr>
      <w:r>
        <w:rPr>
          <w:lang w:eastAsia="zh-CN"/>
        </w:rPr>
        <w:t>4.</w:t>
      </w:r>
      <w:r>
        <w:rPr>
          <w:lang w:eastAsia="zh-CN"/>
        </w:rPr>
        <w:tab/>
        <w:t>At the 1530th meeting, on 23 October, the session was opened by the Chair.</w:t>
      </w:r>
    </w:p>
    <w:p w14:paraId="2A032EC2" w14:textId="77777777" w:rsidR="001E6D75" w:rsidRPr="001E6D75" w:rsidRDefault="001E6D75" w:rsidP="001E6D75">
      <w:pPr>
        <w:pStyle w:val="SingleTxt"/>
        <w:spacing w:after="0" w:line="120" w:lineRule="exact"/>
        <w:rPr>
          <w:sz w:val="10"/>
          <w:lang w:eastAsia="zh-CN"/>
        </w:rPr>
      </w:pPr>
    </w:p>
    <w:p w14:paraId="42FAD582" w14:textId="77777777" w:rsidR="001E6D75" w:rsidRPr="001E6D75" w:rsidRDefault="001E6D75" w:rsidP="001E6D75">
      <w:pPr>
        <w:pStyle w:val="SingleTxt"/>
        <w:spacing w:after="0" w:line="120" w:lineRule="exact"/>
        <w:rPr>
          <w:sz w:val="10"/>
          <w:lang w:eastAsia="zh-CN"/>
        </w:rPr>
      </w:pPr>
    </w:p>
    <w:p w14:paraId="3A15E796" w14:textId="728A6969" w:rsidR="001E6D75" w:rsidRDefault="001E6D75" w:rsidP="001E6D75">
      <w:pPr>
        <w:pStyle w:val="H1"/>
        <w:ind w:right="1260"/>
        <w:rPr>
          <w:lang w:eastAsia="zh-CN"/>
        </w:rPr>
      </w:pPr>
      <w:r>
        <w:rPr>
          <w:lang w:eastAsia="zh-CN"/>
        </w:rPr>
        <w:tab/>
        <w:t>C.</w:t>
      </w:r>
      <w:r>
        <w:rPr>
          <w:lang w:eastAsia="zh-CN"/>
        </w:rPr>
        <w:tab/>
        <w:t>Adoption of the agenda</w:t>
      </w:r>
    </w:p>
    <w:p w14:paraId="4E448D00" w14:textId="77777777" w:rsidR="001E6D75" w:rsidRPr="001E6D75" w:rsidRDefault="001E6D75" w:rsidP="001E6D75">
      <w:pPr>
        <w:pStyle w:val="SingleTxt"/>
        <w:spacing w:after="0" w:line="120" w:lineRule="exact"/>
        <w:rPr>
          <w:sz w:val="10"/>
          <w:lang w:eastAsia="zh-CN"/>
        </w:rPr>
      </w:pPr>
    </w:p>
    <w:p w14:paraId="4882D6A2" w14:textId="77777777" w:rsidR="001E6D75" w:rsidRPr="001E6D75" w:rsidRDefault="001E6D75" w:rsidP="001E6D75">
      <w:pPr>
        <w:pStyle w:val="SingleTxt"/>
        <w:spacing w:after="0" w:line="120" w:lineRule="exact"/>
        <w:rPr>
          <w:sz w:val="10"/>
          <w:lang w:eastAsia="zh-CN"/>
        </w:rPr>
      </w:pPr>
    </w:p>
    <w:p w14:paraId="75622661" w14:textId="575ED0EC" w:rsidR="001E6D75" w:rsidRDefault="001E6D75" w:rsidP="001E6D75">
      <w:pPr>
        <w:pStyle w:val="SingleTxt"/>
        <w:rPr>
          <w:lang w:eastAsia="zh-CN"/>
        </w:rPr>
      </w:pPr>
      <w:r>
        <w:rPr>
          <w:lang w:eastAsia="zh-CN"/>
        </w:rPr>
        <w:t>5.</w:t>
      </w:r>
      <w:r>
        <w:rPr>
          <w:lang w:eastAsia="zh-CN"/>
        </w:rPr>
        <w:tab/>
        <w:t>The Committee adopted the provisional agenda (</w:t>
      </w:r>
      <w:hyperlink r:id="rId63" w:history="1">
        <w:r w:rsidRPr="004D70EB">
          <w:rPr>
            <w:rStyle w:val="Hyperlink"/>
            <w:lang w:eastAsia="zh-CN"/>
          </w:rPr>
          <w:t>CEDAW/C/68/1</w:t>
        </w:r>
      </w:hyperlink>
      <w:r>
        <w:rPr>
          <w:lang w:eastAsia="zh-CN"/>
        </w:rPr>
        <w:t xml:space="preserve">) at its 1530th meeting, on 23 October. </w:t>
      </w:r>
    </w:p>
    <w:p w14:paraId="7F3D6669" w14:textId="77777777" w:rsidR="001E6D75" w:rsidRPr="001E6D75" w:rsidRDefault="001E6D75" w:rsidP="001E6D75">
      <w:pPr>
        <w:pStyle w:val="SingleTxt"/>
        <w:spacing w:after="0" w:line="120" w:lineRule="exact"/>
        <w:rPr>
          <w:sz w:val="10"/>
          <w:lang w:eastAsia="zh-CN"/>
        </w:rPr>
      </w:pPr>
    </w:p>
    <w:p w14:paraId="3BAAD09D" w14:textId="77777777" w:rsidR="001E6D75" w:rsidRPr="001E6D75" w:rsidRDefault="001E6D75" w:rsidP="001E6D75">
      <w:pPr>
        <w:pStyle w:val="SingleTxt"/>
        <w:spacing w:after="0" w:line="120" w:lineRule="exact"/>
        <w:rPr>
          <w:sz w:val="10"/>
          <w:lang w:eastAsia="zh-CN"/>
        </w:rPr>
      </w:pPr>
    </w:p>
    <w:p w14:paraId="51673C9E" w14:textId="55446385" w:rsidR="001E6D75" w:rsidRDefault="001E6D75" w:rsidP="001E6D75">
      <w:pPr>
        <w:pStyle w:val="H1"/>
        <w:ind w:right="1260"/>
        <w:rPr>
          <w:lang w:eastAsia="zh-CN"/>
        </w:rPr>
      </w:pPr>
      <w:r>
        <w:rPr>
          <w:lang w:eastAsia="zh-CN"/>
        </w:rPr>
        <w:tab/>
        <w:t>D.</w:t>
      </w:r>
      <w:r>
        <w:rPr>
          <w:lang w:eastAsia="zh-CN"/>
        </w:rPr>
        <w:tab/>
        <w:t xml:space="preserve">Report of the pre-sessional working group </w:t>
      </w:r>
    </w:p>
    <w:p w14:paraId="74D8C6FD" w14:textId="77777777" w:rsidR="001E6D75" w:rsidRPr="001E6D75" w:rsidRDefault="001E6D75" w:rsidP="001E6D75">
      <w:pPr>
        <w:pStyle w:val="SingleTxt"/>
        <w:spacing w:after="0" w:line="120" w:lineRule="exact"/>
        <w:rPr>
          <w:sz w:val="10"/>
          <w:lang w:eastAsia="zh-CN"/>
        </w:rPr>
      </w:pPr>
    </w:p>
    <w:p w14:paraId="6088886E" w14:textId="77777777" w:rsidR="001E6D75" w:rsidRPr="001E6D75" w:rsidRDefault="001E6D75" w:rsidP="001E6D75">
      <w:pPr>
        <w:pStyle w:val="SingleTxt"/>
        <w:spacing w:after="0" w:line="120" w:lineRule="exact"/>
        <w:rPr>
          <w:sz w:val="10"/>
          <w:lang w:eastAsia="zh-CN"/>
        </w:rPr>
      </w:pPr>
    </w:p>
    <w:p w14:paraId="008D4A1A" w14:textId="6B81DCDA" w:rsidR="001E6D75" w:rsidRDefault="001E6D75" w:rsidP="001E6D75">
      <w:pPr>
        <w:pStyle w:val="SingleTxt"/>
        <w:rPr>
          <w:lang w:eastAsia="zh-CN"/>
        </w:rPr>
      </w:pPr>
      <w:r>
        <w:rPr>
          <w:lang w:eastAsia="zh-CN"/>
        </w:rPr>
        <w:t>6.</w:t>
      </w:r>
      <w:r>
        <w:rPr>
          <w:lang w:eastAsia="zh-CN"/>
        </w:rPr>
        <w:tab/>
        <w:t>The report of the pre-sessional working group (</w:t>
      </w:r>
      <w:hyperlink r:id="rId64" w:history="1">
        <w:r w:rsidRPr="004D70EB">
          <w:rPr>
            <w:rStyle w:val="Hyperlink"/>
            <w:lang w:eastAsia="zh-CN"/>
          </w:rPr>
          <w:t>CEDAW/C/PSWG/68/1</w:t>
        </w:r>
      </w:hyperlink>
      <w:r>
        <w:rPr>
          <w:lang w:eastAsia="zh-CN"/>
        </w:rPr>
        <w:t xml:space="preserve">), which had met from 6 to 10 March, was introduced by Náela Mohamed Gabr at the 1530th meeting, on 23 October. </w:t>
      </w:r>
    </w:p>
    <w:p w14:paraId="0871CEDD" w14:textId="77777777" w:rsidR="001E6D75" w:rsidRPr="001E6D75" w:rsidRDefault="001E6D75" w:rsidP="001E6D75">
      <w:pPr>
        <w:pStyle w:val="SingleTxt"/>
        <w:spacing w:after="0" w:line="120" w:lineRule="exact"/>
        <w:rPr>
          <w:sz w:val="10"/>
          <w:lang w:eastAsia="zh-CN"/>
        </w:rPr>
      </w:pPr>
    </w:p>
    <w:p w14:paraId="045B6421" w14:textId="77777777" w:rsidR="001E6D75" w:rsidRPr="001E6D75" w:rsidRDefault="001E6D75" w:rsidP="001E6D75">
      <w:pPr>
        <w:pStyle w:val="SingleTxt"/>
        <w:spacing w:after="0" w:line="120" w:lineRule="exact"/>
        <w:rPr>
          <w:sz w:val="10"/>
          <w:lang w:eastAsia="zh-CN"/>
        </w:rPr>
      </w:pPr>
    </w:p>
    <w:p w14:paraId="47606C9C" w14:textId="5CF6D522" w:rsidR="001E6D75" w:rsidRDefault="001E6D75" w:rsidP="001E6D75">
      <w:pPr>
        <w:pStyle w:val="H1"/>
        <w:ind w:right="1260"/>
        <w:rPr>
          <w:lang w:eastAsia="zh-CN"/>
        </w:rPr>
      </w:pPr>
      <w:r>
        <w:rPr>
          <w:lang w:eastAsia="zh-CN"/>
        </w:rPr>
        <w:tab/>
        <w:t>E.</w:t>
      </w:r>
      <w:r>
        <w:rPr>
          <w:lang w:eastAsia="zh-CN"/>
        </w:rPr>
        <w:tab/>
        <w:t xml:space="preserve">Organization of work </w:t>
      </w:r>
    </w:p>
    <w:p w14:paraId="6A1018E0" w14:textId="77777777" w:rsidR="001E6D75" w:rsidRPr="001E6D75" w:rsidRDefault="001E6D75" w:rsidP="001E6D75">
      <w:pPr>
        <w:pStyle w:val="SingleTxt"/>
        <w:spacing w:after="0" w:line="120" w:lineRule="exact"/>
        <w:rPr>
          <w:sz w:val="10"/>
          <w:lang w:eastAsia="zh-CN"/>
        </w:rPr>
      </w:pPr>
    </w:p>
    <w:p w14:paraId="44C1AF5A" w14:textId="77777777" w:rsidR="001E6D75" w:rsidRPr="001E6D75" w:rsidRDefault="001E6D75" w:rsidP="001E6D75">
      <w:pPr>
        <w:pStyle w:val="SingleTxt"/>
        <w:spacing w:after="0" w:line="120" w:lineRule="exact"/>
        <w:rPr>
          <w:sz w:val="10"/>
          <w:lang w:eastAsia="zh-CN"/>
        </w:rPr>
      </w:pPr>
    </w:p>
    <w:p w14:paraId="59337A1B" w14:textId="576E7D17" w:rsidR="001E6D75" w:rsidRDefault="001E6D75" w:rsidP="001E6D75">
      <w:pPr>
        <w:pStyle w:val="SingleTxt"/>
        <w:rPr>
          <w:lang w:eastAsia="zh-CN"/>
        </w:rPr>
      </w:pPr>
      <w:r>
        <w:rPr>
          <w:lang w:eastAsia="zh-CN"/>
        </w:rPr>
        <w:t>7.</w:t>
      </w:r>
      <w:r>
        <w:rPr>
          <w:lang w:eastAsia="zh-CN"/>
        </w:rPr>
        <w:tab/>
        <w:t xml:space="preserve">On 23 and 30 October and 6 November, the Committee held closed meetings, including videoconferences, with representatives of the specialized agencies, funds and programmes of the United Nations system and other intergovernmental organizations, at which those bodies provided country-specific information and information on their efforts to support the implementation of the Convention. </w:t>
      </w:r>
    </w:p>
    <w:p w14:paraId="26E05685" w14:textId="77777777" w:rsidR="001E6D75" w:rsidRDefault="001E6D75" w:rsidP="001E6D75">
      <w:pPr>
        <w:pStyle w:val="SingleTxt"/>
        <w:rPr>
          <w:lang w:eastAsia="zh-CN"/>
        </w:rPr>
      </w:pPr>
      <w:r>
        <w:rPr>
          <w:lang w:eastAsia="zh-CN"/>
        </w:rPr>
        <w:t>8.</w:t>
      </w:r>
      <w:r>
        <w:rPr>
          <w:lang w:eastAsia="zh-CN"/>
        </w:rPr>
        <w:tab/>
        <w:t>In addition, the Committee held informal public meetings with representatives of non-governmental organizations and national human rights institutions, who provided information on the implementation of the Convention in the States parties whose reports the Committee considered at its session.</w:t>
      </w:r>
    </w:p>
    <w:p w14:paraId="0763F7B3" w14:textId="5D8DAC5E" w:rsidR="001E6D75" w:rsidRDefault="001E6D75" w:rsidP="001E6D75">
      <w:pPr>
        <w:pStyle w:val="SingleTxt"/>
        <w:rPr>
          <w:lang w:eastAsia="zh-CN"/>
        </w:rPr>
      </w:pPr>
      <w:r>
        <w:rPr>
          <w:lang w:eastAsia="zh-CN"/>
        </w:rPr>
        <w:t>9.</w:t>
      </w:r>
      <w:r>
        <w:rPr>
          <w:lang w:eastAsia="zh-CN"/>
        </w:rPr>
        <w:tab/>
        <w:t>On 3 November, the Committee met with Alda Facio, Chair of the Working Group on the issue of discrimination against women in law and in practice, to discuss strengthened cooperation between the Committee and the Working Group.</w:t>
      </w:r>
    </w:p>
    <w:p w14:paraId="2122372A" w14:textId="77777777" w:rsidR="001E6D75" w:rsidRDefault="001E6D75" w:rsidP="001E6D75">
      <w:pPr>
        <w:pStyle w:val="SingleTxt"/>
        <w:rPr>
          <w:lang w:eastAsia="zh-CN"/>
        </w:rPr>
      </w:pPr>
      <w:r>
        <w:rPr>
          <w:lang w:eastAsia="zh-CN"/>
        </w:rPr>
        <w:lastRenderedPageBreak/>
        <w:t>10.</w:t>
      </w:r>
      <w:r>
        <w:rPr>
          <w:lang w:eastAsia="zh-CN"/>
        </w:rPr>
        <w:tab/>
        <w:t>On 8 November, the Committee held an informal meeting with representatives of the Joint United Nations Programme on HIV/AIDS (UNAIDS) and WHO, at which a briefing was provided on women, HIV and AIDS in the context of the Convention.</w:t>
      </w:r>
    </w:p>
    <w:p w14:paraId="38AB1562" w14:textId="77777777" w:rsidR="001E6D75" w:rsidRDefault="001E6D75" w:rsidP="001E6D75">
      <w:pPr>
        <w:pStyle w:val="SingleTxt"/>
        <w:rPr>
          <w:lang w:eastAsia="zh-CN"/>
        </w:rPr>
      </w:pPr>
      <w:r>
        <w:rPr>
          <w:lang w:eastAsia="zh-CN"/>
        </w:rPr>
        <w:t>11.</w:t>
      </w:r>
      <w:r>
        <w:rPr>
          <w:lang w:eastAsia="zh-CN"/>
        </w:rPr>
        <w:tab/>
        <w:t>On 14 November, the Committee convened an expert panel discussion, organized by OHCHR, to raise awareness on its recently adopted general recommendation No. 35.</w:t>
      </w:r>
    </w:p>
    <w:p w14:paraId="75DBF53F" w14:textId="77777777" w:rsidR="001E6D75" w:rsidRPr="001E6D75" w:rsidRDefault="001E6D75" w:rsidP="001E6D75">
      <w:pPr>
        <w:pStyle w:val="SingleTxt"/>
        <w:spacing w:after="0" w:line="120" w:lineRule="exact"/>
        <w:rPr>
          <w:sz w:val="10"/>
          <w:lang w:eastAsia="zh-CN"/>
        </w:rPr>
      </w:pPr>
    </w:p>
    <w:p w14:paraId="69F66403" w14:textId="77777777" w:rsidR="001E6D75" w:rsidRPr="001E6D75" w:rsidRDefault="001E6D75" w:rsidP="001E6D75">
      <w:pPr>
        <w:pStyle w:val="SingleTxt"/>
        <w:spacing w:after="0" w:line="120" w:lineRule="exact"/>
        <w:rPr>
          <w:sz w:val="10"/>
          <w:lang w:eastAsia="zh-CN"/>
        </w:rPr>
      </w:pPr>
    </w:p>
    <w:p w14:paraId="16602340" w14:textId="0CB07E9F" w:rsidR="001E6D75" w:rsidRDefault="001E6D75" w:rsidP="001E6D75">
      <w:pPr>
        <w:pStyle w:val="H1"/>
        <w:ind w:right="1260"/>
        <w:rPr>
          <w:lang w:eastAsia="zh-CN"/>
        </w:rPr>
      </w:pPr>
      <w:r>
        <w:rPr>
          <w:lang w:eastAsia="zh-CN"/>
        </w:rPr>
        <w:tab/>
        <w:t>F.</w:t>
      </w:r>
      <w:r>
        <w:rPr>
          <w:lang w:eastAsia="zh-CN"/>
        </w:rPr>
        <w:tab/>
        <w:t xml:space="preserve">Membership of the Committee </w:t>
      </w:r>
    </w:p>
    <w:p w14:paraId="0E023A04" w14:textId="77777777" w:rsidR="001E6D75" w:rsidRPr="001E6D75" w:rsidRDefault="001E6D75" w:rsidP="001E6D75">
      <w:pPr>
        <w:pStyle w:val="SingleTxt"/>
        <w:spacing w:after="0" w:line="120" w:lineRule="exact"/>
        <w:rPr>
          <w:sz w:val="10"/>
          <w:lang w:eastAsia="zh-CN"/>
        </w:rPr>
      </w:pPr>
    </w:p>
    <w:p w14:paraId="1B6EE829" w14:textId="77777777" w:rsidR="001E6D75" w:rsidRPr="001E6D75" w:rsidRDefault="001E6D75" w:rsidP="001E6D75">
      <w:pPr>
        <w:pStyle w:val="SingleTxt"/>
        <w:spacing w:after="0" w:line="120" w:lineRule="exact"/>
        <w:rPr>
          <w:sz w:val="10"/>
          <w:lang w:eastAsia="zh-CN"/>
        </w:rPr>
      </w:pPr>
    </w:p>
    <w:p w14:paraId="01350F24" w14:textId="30A3EAAE" w:rsidR="001E6D75" w:rsidRDefault="001E6D75" w:rsidP="001E6D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Filling of casual vacancies</w:t>
      </w:r>
    </w:p>
    <w:p w14:paraId="0CC0E59F" w14:textId="77777777" w:rsidR="001E6D75" w:rsidRPr="001E6D75" w:rsidRDefault="001E6D75" w:rsidP="001E6D75">
      <w:pPr>
        <w:pStyle w:val="SingleTxt"/>
        <w:spacing w:after="0" w:line="120" w:lineRule="exact"/>
        <w:rPr>
          <w:sz w:val="10"/>
          <w:lang w:eastAsia="zh-CN"/>
        </w:rPr>
      </w:pPr>
    </w:p>
    <w:p w14:paraId="6B929717" w14:textId="7D22E617" w:rsidR="001E6D75" w:rsidRDefault="001E6D75" w:rsidP="001E6D75">
      <w:pPr>
        <w:pStyle w:val="SingleTxt"/>
        <w:rPr>
          <w:lang w:eastAsia="zh-CN"/>
        </w:rPr>
      </w:pPr>
      <w:r>
        <w:rPr>
          <w:lang w:eastAsia="zh-CN"/>
        </w:rPr>
        <w:t>12.</w:t>
      </w:r>
      <w:r>
        <w:rPr>
          <w:lang w:eastAsia="zh-CN"/>
        </w:rPr>
        <w:tab/>
        <w:t>On 23 October, Aruna Devi Narain, who had been appointed to serve as a member of the Committee for the remainder of the term of Pramila Patten (until 31</w:t>
      </w:r>
      <w:r w:rsidR="00FC2AAD">
        <w:rPr>
          <w:lang w:eastAsia="zh-CN"/>
        </w:rPr>
        <w:t> </w:t>
      </w:r>
      <w:r>
        <w:rPr>
          <w:lang w:eastAsia="zh-CN"/>
        </w:rPr>
        <w:t>December 2018), assumed her duties and took the solemn declaration, as provided for in rule 15 of the rules of procedure of the Committee.</w:t>
      </w:r>
    </w:p>
    <w:p w14:paraId="25FED347" w14:textId="77777777" w:rsidR="001E6D75" w:rsidRPr="001E6D75" w:rsidRDefault="001E6D75" w:rsidP="001E6D75">
      <w:pPr>
        <w:pStyle w:val="SingleTxt"/>
        <w:spacing w:after="0" w:line="120" w:lineRule="exact"/>
        <w:rPr>
          <w:sz w:val="10"/>
          <w:lang w:eastAsia="zh-CN"/>
        </w:rPr>
      </w:pPr>
    </w:p>
    <w:p w14:paraId="71BB4457" w14:textId="78E5E13D" w:rsidR="001E6D75" w:rsidRDefault="001E6D75" w:rsidP="001E6D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Attendance at the sixty-eighth session</w:t>
      </w:r>
    </w:p>
    <w:p w14:paraId="37FA319E" w14:textId="77777777" w:rsidR="001E6D75" w:rsidRPr="001E6D75" w:rsidRDefault="001E6D75" w:rsidP="001E6D75">
      <w:pPr>
        <w:pStyle w:val="SingleTxt"/>
        <w:spacing w:after="0" w:line="120" w:lineRule="exact"/>
        <w:rPr>
          <w:sz w:val="10"/>
          <w:lang w:eastAsia="zh-CN"/>
        </w:rPr>
      </w:pPr>
    </w:p>
    <w:p w14:paraId="1C660813" w14:textId="1C59B30C" w:rsidR="00B920F9" w:rsidRDefault="001E6D75" w:rsidP="001E6D75">
      <w:pPr>
        <w:pStyle w:val="SingleTxt"/>
        <w:rPr>
          <w:lang w:eastAsia="zh-CN"/>
        </w:rPr>
      </w:pPr>
      <w:r>
        <w:rPr>
          <w:lang w:eastAsia="zh-CN"/>
        </w:rPr>
        <w:t>13.</w:t>
      </w:r>
      <w:r>
        <w:rPr>
          <w:lang w:eastAsia="zh-CN"/>
        </w:rPr>
        <w:tab/>
        <w:t>All members attended the sixty-eighth session, with the exception of Theodora Oby Nwankwo. The following members did not attend on the indicated dates: Ayse Feride Acar, from 30 October to 3 November and from 6 to 8 and on 17 November; Ruth Halperin-Kaddari, from 23 to 27 and on 3 and 17 November; Yoko Hayashi, from 15 to 17 November; Ismat Jahan, from 23 to 27 November; and Aicha Vall Verges, on 2 November. A list of the members of the Committee, indicating the duration of their terms of office, is contained in annex II to part three of the present report.</w:t>
      </w:r>
    </w:p>
    <w:p w14:paraId="383698BE" w14:textId="260E093F" w:rsidR="001E6D75" w:rsidRPr="001E6D75" w:rsidRDefault="001E6D75" w:rsidP="001E6D75">
      <w:pPr>
        <w:pStyle w:val="SingleTxt"/>
        <w:spacing w:after="0" w:line="120" w:lineRule="exact"/>
        <w:rPr>
          <w:sz w:val="10"/>
          <w:lang w:eastAsia="zh-CN"/>
        </w:rPr>
      </w:pPr>
    </w:p>
    <w:p w14:paraId="038572CF" w14:textId="57841EE7" w:rsidR="001E6D75" w:rsidRDefault="001E6D75">
      <w:pPr>
        <w:suppressAutoHyphens w:val="0"/>
        <w:spacing w:after="200" w:line="276" w:lineRule="auto"/>
        <w:rPr>
          <w:lang w:eastAsia="zh-CN"/>
        </w:rPr>
      </w:pPr>
      <w:r>
        <w:rPr>
          <w:lang w:eastAsia="zh-CN"/>
        </w:rPr>
        <w:br w:type="page"/>
      </w:r>
    </w:p>
    <w:p w14:paraId="3D014C6F" w14:textId="77777777" w:rsidR="001E6D75" w:rsidRDefault="001E6D75" w:rsidP="001E6D75">
      <w:pPr>
        <w:pStyle w:val="HCh"/>
        <w:ind w:left="1267" w:right="1260" w:hanging="1267"/>
        <w:rPr>
          <w:lang w:eastAsia="zh-CN"/>
        </w:rPr>
      </w:pPr>
      <w:r>
        <w:rPr>
          <w:lang w:eastAsia="zh-CN"/>
        </w:rPr>
        <w:lastRenderedPageBreak/>
        <w:t>Chapter III</w:t>
      </w:r>
    </w:p>
    <w:p w14:paraId="75DE0B93" w14:textId="77777777" w:rsidR="001E6D75" w:rsidRDefault="001E6D75" w:rsidP="001E6D75">
      <w:pPr>
        <w:pStyle w:val="HCh"/>
        <w:ind w:left="1267" w:right="1260" w:hanging="1267"/>
        <w:rPr>
          <w:lang w:eastAsia="zh-CN"/>
        </w:rPr>
      </w:pPr>
      <w:r>
        <w:rPr>
          <w:lang w:eastAsia="zh-CN"/>
        </w:rPr>
        <w:tab/>
      </w:r>
      <w:r>
        <w:rPr>
          <w:lang w:eastAsia="zh-CN"/>
        </w:rPr>
        <w:tab/>
        <w:t>Report of the Chair on intersessional activities</w:t>
      </w:r>
    </w:p>
    <w:p w14:paraId="3AA718C9" w14:textId="77777777" w:rsidR="001E6D75" w:rsidRPr="001E6D75" w:rsidRDefault="001E6D75" w:rsidP="001E6D75">
      <w:pPr>
        <w:pStyle w:val="SingleTxt"/>
        <w:spacing w:after="0" w:line="120" w:lineRule="exact"/>
        <w:rPr>
          <w:sz w:val="10"/>
          <w:lang w:eastAsia="zh-CN"/>
        </w:rPr>
      </w:pPr>
    </w:p>
    <w:p w14:paraId="1366C39F" w14:textId="77777777" w:rsidR="001E6D75" w:rsidRPr="001E6D75" w:rsidRDefault="001E6D75" w:rsidP="001E6D75">
      <w:pPr>
        <w:pStyle w:val="SingleTxt"/>
        <w:spacing w:after="0" w:line="120" w:lineRule="exact"/>
        <w:rPr>
          <w:sz w:val="10"/>
          <w:lang w:eastAsia="zh-CN"/>
        </w:rPr>
      </w:pPr>
    </w:p>
    <w:p w14:paraId="02A25B5D" w14:textId="70873514" w:rsidR="001E6D75" w:rsidRDefault="001E6D75" w:rsidP="001E6D75">
      <w:pPr>
        <w:pStyle w:val="SingleTxt"/>
        <w:rPr>
          <w:lang w:eastAsia="zh-CN"/>
        </w:rPr>
      </w:pPr>
      <w:r>
        <w:rPr>
          <w:lang w:eastAsia="zh-CN"/>
        </w:rPr>
        <w:t>14.</w:t>
      </w:r>
      <w:r>
        <w:rPr>
          <w:lang w:eastAsia="zh-CN"/>
        </w:rPr>
        <w:tab/>
        <w:t>At the 1569th meeting, on 23 October 2017, the Chair presented a report on her activities since the sixty-seventh session.</w:t>
      </w:r>
    </w:p>
    <w:p w14:paraId="0E0C244C" w14:textId="21EB65CF" w:rsidR="001E6D75" w:rsidRDefault="001E6D75" w:rsidP="001E6D75">
      <w:pPr>
        <w:pStyle w:val="SingleTxt"/>
        <w:rPr>
          <w:lang w:eastAsia="zh-CN"/>
        </w:rPr>
      </w:pPr>
    </w:p>
    <w:p w14:paraId="5EAD6793" w14:textId="03460974" w:rsidR="00AA3AEF" w:rsidRDefault="00AA3AEF" w:rsidP="001E6D75">
      <w:pPr>
        <w:pStyle w:val="SingleTxt"/>
        <w:rPr>
          <w:lang w:eastAsia="zh-CN"/>
        </w:rPr>
      </w:pPr>
    </w:p>
    <w:p w14:paraId="30E5536D" w14:textId="1002F97D" w:rsidR="00AA3AEF" w:rsidRDefault="00AA3AEF" w:rsidP="001E6D75">
      <w:pPr>
        <w:pStyle w:val="SingleTxt"/>
        <w:rPr>
          <w:lang w:eastAsia="zh-CN"/>
        </w:rPr>
      </w:pPr>
    </w:p>
    <w:p w14:paraId="5D29DC04" w14:textId="1D7944FD" w:rsidR="00AA3AEF" w:rsidRDefault="00AA3AEF" w:rsidP="001E6D75">
      <w:pPr>
        <w:pStyle w:val="SingleTxt"/>
        <w:rPr>
          <w:lang w:eastAsia="zh-CN"/>
        </w:rPr>
      </w:pPr>
    </w:p>
    <w:p w14:paraId="50585AC0" w14:textId="06A9DE4D" w:rsidR="00AA3AEF" w:rsidRDefault="00AA3AEF">
      <w:pPr>
        <w:suppressAutoHyphens w:val="0"/>
        <w:spacing w:after="200" w:line="276" w:lineRule="auto"/>
        <w:rPr>
          <w:lang w:eastAsia="zh-CN"/>
        </w:rPr>
      </w:pPr>
      <w:r>
        <w:rPr>
          <w:lang w:eastAsia="zh-CN"/>
        </w:rPr>
        <w:br w:type="page"/>
      </w:r>
    </w:p>
    <w:p w14:paraId="3E130E7E" w14:textId="77777777" w:rsidR="00AA3AEF" w:rsidRPr="00BA29AE" w:rsidRDefault="00AA3AEF" w:rsidP="00AA3AEF">
      <w:pPr>
        <w:pStyle w:val="HCh"/>
        <w:ind w:left="1267" w:right="1260" w:hanging="1267"/>
      </w:pPr>
      <w:r w:rsidRPr="00BA29AE">
        <w:lastRenderedPageBreak/>
        <w:t>Chapter IV</w:t>
      </w:r>
    </w:p>
    <w:p w14:paraId="7C1FD069" w14:textId="77777777" w:rsidR="00AA3AEF" w:rsidRPr="00BA29AE" w:rsidRDefault="00AA3AEF" w:rsidP="00AA3AEF">
      <w:pPr>
        <w:pStyle w:val="HCh"/>
        <w:ind w:left="1267" w:right="1260" w:hanging="1267"/>
      </w:pPr>
      <w:r w:rsidRPr="00BA29AE">
        <w:tab/>
      </w:r>
      <w:r w:rsidRPr="00BA29AE">
        <w:tab/>
        <w:t xml:space="preserve">Consideration of reports submitted by States parties under article 18 of the Convention </w:t>
      </w:r>
    </w:p>
    <w:p w14:paraId="6B8B47C6" w14:textId="77777777" w:rsidR="00AA3AEF" w:rsidRPr="00BA29AE" w:rsidRDefault="00AA3AEF" w:rsidP="00AA3AEF">
      <w:pPr>
        <w:pStyle w:val="SingleTxt"/>
        <w:spacing w:after="0" w:line="120" w:lineRule="exact"/>
        <w:rPr>
          <w:sz w:val="10"/>
        </w:rPr>
      </w:pPr>
    </w:p>
    <w:p w14:paraId="594D6C0B" w14:textId="77777777" w:rsidR="00AA3AEF" w:rsidRPr="00BA29AE" w:rsidRDefault="00AA3AEF" w:rsidP="00AA3AEF">
      <w:pPr>
        <w:pStyle w:val="SingleTxt"/>
        <w:spacing w:after="0" w:line="120" w:lineRule="exact"/>
        <w:rPr>
          <w:sz w:val="10"/>
        </w:rPr>
      </w:pPr>
    </w:p>
    <w:p w14:paraId="0A36B83E" w14:textId="77777777" w:rsidR="00AA3AEF" w:rsidRPr="00BA29AE" w:rsidRDefault="00AA3AEF" w:rsidP="00AA3AEF">
      <w:pPr>
        <w:pStyle w:val="SingleTxt"/>
      </w:pPr>
      <w:r w:rsidRPr="00BA29AE">
        <w:t>15.</w:t>
      </w:r>
      <w:r w:rsidRPr="00BA29AE">
        <w:tab/>
        <w:t xml:space="preserve">The Committee considered the reports of 12 States parties submitted under article 18 of the Convention and adopted the following concluding observations thereon: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3270"/>
      </w:tblGrid>
      <w:tr w:rsidR="00AA3AEF" w:rsidRPr="00BA29AE" w14:paraId="07110D20" w14:textId="77777777" w:rsidTr="00AA3AEF">
        <w:tc>
          <w:tcPr>
            <w:tcW w:w="4050" w:type="dxa"/>
            <w:shd w:val="clear" w:color="auto" w:fill="auto"/>
          </w:tcPr>
          <w:p w14:paraId="7046D89E"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Burkina Faso</w:t>
            </w:r>
          </w:p>
        </w:tc>
        <w:tc>
          <w:tcPr>
            <w:tcW w:w="3270" w:type="dxa"/>
            <w:shd w:val="clear" w:color="auto" w:fill="auto"/>
          </w:tcPr>
          <w:p w14:paraId="68F12B25" w14:textId="70027F58"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65" w:history="1">
              <w:r w:rsidRPr="00BA29AE">
                <w:rPr>
                  <w:rStyle w:val="Hyperlink"/>
                  <w:iCs/>
                  <w:lang w:val="en-GB"/>
                </w:rPr>
                <w:t>CEDAW/C/BFA/CO/7</w:t>
              </w:r>
            </w:hyperlink>
            <w:r w:rsidRPr="00BA29AE">
              <w:rPr>
                <w:iCs/>
                <w:lang w:val="en-GB"/>
              </w:rPr>
              <w:t>)</w:t>
            </w:r>
          </w:p>
        </w:tc>
      </w:tr>
      <w:tr w:rsidR="00AA3AEF" w:rsidRPr="00BA29AE" w14:paraId="315F88EF" w14:textId="77777777" w:rsidTr="00AA3AEF">
        <w:tc>
          <w:tcPr>
            <w:tcW w:w="4050" w:type="dxa"/>
            <w:shd w:val="clear" w:color="auto" w:fill="auto"/>
          </w:tcPr>
          <w:p w14:paraId="34314092"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Democratic People’s Republic of Korea</w:t>
            </w:r>
          </w:p>
        </w:tc>
        <w:tc>
          <w:tcPr>
            <w:tcW w:w="3270" w:type="dxa"/>
            <w:shd w:val="clear" w:color="auto" w:fill="auto"/>
          </w:tcPr>
          <w:p w14:paraId="6086E080" w14:textId="2ADC3F64"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66" w:history="1">
              <w:r w:rsidRPr="00BA29AE">
                <w:rPr>
                  <w:rStyle w:val="Hyperlink"/>
                  <w:iCs/>
                  <w:lang w:val="en-GB"/>
                </w:rPr>
                <w:t>CEDAW/C/ARM/PRK/2-4</w:t>
              </w:r>
            </w:hyperlink>
            <w:r w:rsidRPr="00BA29AE">
              <w:rPr>
                <w:iCs/>
                <w:lang w:val="en-GB"/>
              </w:rPr>
              <w:t>)</w:t>
            </w:r>
          </w:p>
        </w:tc>
      </w:tr>
      <w:tr w:rsidR="00AA3AEF" w:rsidRPr="00BA29AE" w14:paraId="04EF8582" w14:textId="77777777" w:rsidTr="00AA3AEF">
        <w:tc>
          <w:tcPr>
            <w:tcW w:w="4050" w:type="dxa"/>
            <w:shd w:val="clear" w:color="auto" w:fill="auto"/>
          </w:tcPr>
          <w:p w14:paraId="39150B05"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Guatemala</w:t>
            </w:r>
          </w:p>
        </w:tc>
        <w:tc>
          <w:tcPr>
            <w:tcW w:w="3270" w:type="dxa"/>
            <w:shd w:val="clear" w:color="auto" w:fill="auto"/>
          </w:tcPr>
          <w:p w14:paraId="7754A29E" w14:textId="5E78B2DF"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67" w:history="1">
              <w:r w:rsidRPr="00BA29AE">
                <w:rPr>
                  <w:rStyle w:val="Hyperlink"/>
                  <w:iCs/>
                  <w:lang w:val="en-GB"/>
                </w:rPr>
                <w:t>CEDAW/C/GTM/CO/8-9</w:t>
              </w:r>
            </w:hyperlink>
            <w:r w:rsidRPr="00BA29AE">
              <w:rPr>
                <w:iCs/>
                <w:lang w:val="en-GB"/>
              </w:rPr>
              <w:t>)</w:t>
            </w:r>
          </w:p>
        </w:tc>
      </w:tr>
      <w:tr w:rsidR="00AA3AEF" w:rsidRPr="00BA29AE" w14:paraId="1EA6D5F9" w14:textId="77777777" w:rsidTr="00AA3AEF">
        <w:tc>
          <w:tcPr>
            <w:tcW w:w="4050" w:type="dxa"/>
            <w:shd w:val="clear" w:color="auto" w:fill="auto"/>
          </w:tcPr>
          <w:p w14:paraId="73E1744F"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Israel</w:t>
            </w:r>
          </w:p>
        </w:tc>
        <w:tc>
          <w:tcPr>
            <w:tcW w:w="3270" w:type="dxa"/>
            <w:shd w:val="clear" w:color="auto" w:fill="auto"/>
          </w:tcPr>
          <w:p w14:paraId="2B3801B9" w14:textId="57730328"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68" w:history="1">
              <w:r w:rsidRPr="00BA29AE">
                <w:rPr>
                  <w:rStyle w:val="Hyperlink"/>
                  <w:iCs/>
                  <w:lang w:val="en-GB"/>
                </w:rPr>
                <w:t>CEDAW/C/ISR/CO/6</w:t>
              </w:r>
            </w:hyperlink>
            <w:r w:rsidRPr="00BA29AE">
              <w:rPr>
                <w:iCs/>
                <w:lang w:val="en-GB"/>
              </w:rPr>
              <w:t>)</w:t>
            </w:r>
          </w:p>
        </w:tc>
      </w:tr>
      <w:tr w:rsidR="00AA3AEF" w:rsidRPr="00BA29AE" w14:paraId="49204546" w14:textId="77777777" w:rsidTr="00AA3AEF">
        <w:tc>
          <w:tcPr>
            <w:tcW w:w="4050" w:type="dxa"/>
            <w:shd w:val="clear" w:color="auto" w:fill="auto"/>
          </w:tcPr>
          <w:p w14:paraId="016B7B0A"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Kenya</w:t>
            </w:r>
          </w:p>
        </w:tc>
        <w:tc>
          <w:tcPr>
            <w:tcW w:w="3270" w:type="dxa"/>
            <w:shd w:val="clear" w:color="auto" w:fill="auto"/>
          </w:tcPr>
          <w:p w14:paraId="135BF059" w14:textId="724CEFD1"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69" w:history="1">
              <w:r w:rsidRPr="00BA29AE">
                <w:rPr>
                  <w:rStyle w:val="Hyperlink"/>
                  <w:iCs/>
                  <w:lang w:val="en-GB"/>
                </w:rPr>
                <w:t>CEDAW/C/KEN/CO/8</w:t>
              </w:r>
            </w:hyperlink>
            <w:r w:rsidRPr="00BA29AE">
              <w:rPr>
                <w:iCs/>
                <w:lang w:val="en-GB"/>
              </w:rPr>
              <w:t>)</w:t>
            </w:r>
          </w:p>
        </w:tc>
      </w:tr>
      <w:tr w:rsidR="00AA3AEF" w:rsidRPr="00BA29AE" w14:paraId="626AF1F7" w14:textId="77777777" w:rsidTr="00AA3AEF">
        <w:tc>
          <w:tcPr>
            <w:tcW w:w="4050" w:type="dxa"/>
            <w:shd w:val="clear" w:color="auto" w:fill="auto"/>
          </w:tcPr>
          <w:p w14:paraId="760E6395"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Kuwait</w:t>
            </w:r>
          </w:p>
        </w:tc>
        <w:tc>
          <w:tcPr>
            <w:tcW w:w="3270" w:type="dxa"/>
            <w:shd w:val="clear" w:color="auto" w:fill="auto"/>
          </w:tcPr>
          <w:p w14:paraId="210F48DC" w14:textId="0C992069"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0" w:history="1">
              <w:r w:rsidRPr="00BA29AE">
                <w:rPr>
                  <w:rStyle w:val="Hyperlink"/>
                  <w:iCs/>
                  <w:lang w:val="en-GB"/>
                </w:rPr>
                <w:t>CEDAW/C/KWT/CO/5</w:t>
              </w:r>
            </w:hyperlink>
            <w:r w:rsidRPr="00BA29AE">
              <w:rPr>
                <w:iCs/>
                <w:lang w:val="en-GB"/>
              </w:rPr>
              <w:t>)</w:t>
            </w:r>
          </w:p>
        </w:tc>
      </w:tr>
      <w:tr w:rsidR="00AA3AEF" w:rsidRPr="00BA29AE" w14:paraId="7E1CDF51" w14:textId="77777777" w:rsidTr="00AA3AEF">
        <w:tc>
          <w:tcPr>
            <w:tcW w:w="4050" w:type="dxa"/>
            <w:shd w:val="clear" w:color="auto" w:fill="auto"/>
          </w:tcPr>
          <w:p w14:paraId="3BD18CF6"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Monaco</w:t>
            </w:r>
          </w:p>
        </w:tc>
        <w:tc>
          <w:tcPr>
            <w:tcW w:w="3270" w:type="dxa"/>
            <w:shd w:val="clear" w:color="auto" w:fill="auto"/>
          </w:tcPr>
          <w:p w14:paraId="71199959" w14:textId="697D1CCE"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1" w:history="1">
              <w:r w:rsidRPr="00BA29AE">
                <w:rPr>
                  <w:rStyle w:val="Hyperlink"/>
                  <w:iCs/>
                  <w:lang w:val="en-GB"/>
                </w:rPr>
                <w:t>CEDAW/C/MCO/CO/1-3</w:t>
              </w:r>
            </w:hyperlink>
            <w:r w:rsidRPr="00BA29AE">
              <w:rPr>
                <w:iCs/>
                <w:lang w:val="en-GB"/>
              </w:rPr>
              <w:t>)</w:t>
            </w:r>
          </w:p>
        </w:tc>
      </w:tr>
      <w:tr w:rsidR="00AA3AEF" w:rsidRPr="00BA29AE" w14:paraId="5917AC18" w14:textId="77777777" w:rsidTr="00AA3AEF">
        <w:tc>
          <w:tcPr>
            <w:tcW w:w="4050" w:type="dxa"/>
            <w:shd w:val="clear" w:color="auto" w:fill="auto"/>
          </w:tcPr>
          <w:p w14:paraId="34B02D86"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Nauru</w:t>
            </w:r>
          </w:p>
        </w:tc>
        <w:tc>
          <w:tcPr>
            <w:tcW w:w="3270" w:type="dxa"/>
            <w:shd w:val="clear" w:color="auto" w:fill="auto"/>
          </w:tcPr>
          <w:p w14:paraId="65CF3456" w14:textId="7FC701AB"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2" w:history="1">
              <w:r w:rsidRPr="00BA29AE">
                <w:rPr>
                  <w:rStyle w:val="Hyperlink"/>
                  <w:iCs/>
                  <w:lang w:val="en-GB"/>
                </w:rPr>
                <w:t>CEDAW/C/NRU/CO/1-2</w:t>
              </w:r>
            </w:hyperlink>
            <w:r w:rsidRPr="00BA29AE">
              <w:rPr>
                <w:iCs/>
                <w:lang w:val="en-GB"/>
              </w:rPr>
              <w:t>)</w:t>
            </w:r>
          </w:p>
        </w:tc>
      </w:tr>
      <w:tr w:rsidR="00AA3AEF" w:rsidRPr="00BA29AE" w14:paraId="2E9CD6D1" w14:textId="77777777" w:rsidTr="00AA3AEF">
        <w:tc>
          <w:tcPr>
            <w:tcW w:w="4050" w:type="dxa"/>
            <w:shd w:val="clear" w:color="auto" w:fill="auto"/>
          </w:tcPr>
          <w:p w14:paraId="7C320149"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Norway</w:t>
            </w:r>
          </w:p>
        </w:tc>
        <w:tc>
          <w:tcPr>
            <w:tcW w:w="3270" w:type="dxa"/>
            <w:shd w:val="clear" w:color="auto" w:fill="auto"/>
          </w:tcPr>
          <w:p w14:paraId="2568554B" w14:textId="10980079"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3" w:history="1">
              <w:r w:rsidRPr="00BA29AE">
                <w:rPr>
                  <w:rStyle w:val="Hyperlink"/>
                  <w:iCs/>
                  <w:lang w:val="en-GB"/>
                </w:rPr>
                <w:t>CEDAW/C/NOR/CO/9</w:t>
              </w:r>
            </w:hyperlink>
            <w:r w:rsidRPr="00BA29AE">
              <w:rPr>
                <w:iCs/>
                <w:lang w:val="en-GB"/>
              </w:rPr>
              <w:t>)</w:t>
            </w:r>
          </w:p>
        </w:tc>
      </w:tr>
      <w:tr w:rsidR="00AA3AEF" w:rsidRPr="00BA29AE" w14:paraId="2AD62A01" w14:textId="77777777" w:rsidTr="00AA3AEF">
        <w:tc>
          <w:tcPr>
            <w:tcW w:w="4050" w:type="dxa"/>
            <w:shd w:val="clear" w:color="auto" w:fill="auto"/>
          </w:tcPr>
          <w:p w14:paraId="51E9EF15"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Oman</w:t>
            </w:r>
          </w:p>
        </w:tc>
        <w:tc>
          <w:tcPr>
            <w:tcW w:w="3270" w:type="dxa"/>
            <w:shd w:val="clear" w:color="auto" w:fill="auto"/>
          </w:tcPr>
          <w:p w14:paraId="1685ECB2" w14:textId="3256E578"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4" w:history="1">
              <w:r w:rsidRPr="00BA29AE">
                <w:rPr>
                  <w:rStyle w:val="Hyperlink"/>
                  <w:iCs/>
                  <w:lang w:val="en-GB"/>
                </w:rPr>
                <w:t>CEDAW/C/OMN/CO/2-3</w:t>
              </w:r>
            </w:hyperlink>
            <w:r w:rsidRPr="00BA29AE">
              <w:rPr>
                <w:iCs/>
                <w:lang w:val="en-GB"/>
              </w:rPr>
              <w:t>)</w:t>
            </w:r>
          </w:p>
        </w:tc>
      </w:tr>
      <w:tr w:rsidR="00AA3AEF" w:rsidRPr="00BA29AE" w14:paraId="3629DDF7" w14:textId="77777777" w:rsidTr="00AA3AEF">
        <w:tc>
          <w:tcPr>
            <w:tcW w:w="4050" w:type="dxa"/>
            <w:shd w:val="clear" w:color="auto" w:fill="auto"/>
          </w:tcPr>
          <w:p w14:paraId="75162AD2"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Paraguay</w:t>
            </w:r>
          </w:p>
        </w:tc>
        <w:tc>
          <w:tcPr>
            <w:tcW w:w="3270" w:type="dxa"/>
            <w:shd w:val="clear" w:color="auto" w:fill="auto"/>
          </w:tcPr>
          <w:p w14:paraId="6E75BEE9" w14:textId="4AADF952"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5" w:history="1">
              <w:r w:rsidRPr="00BA29AE">
                <w:rPr>
                  <w:rStyle w:val="Hyperlink"/>
                  <w:iCs/>
                  <w:lang w:val="en-GB"/>
                </w:rPr>
                <w:t>CEDAW/C/PRY/CO/7</w:t>
              </w:r>
            </w:hyperlink>
            <w:r w:rsidRPr="00BA29AE">
              <w:rPr>
                <w:iCs/>
                <w:lang w:val="en-GB"/>
              </w:rPr>
              <w:t>)</w:t>
            </w:r>
          </w:p>
        </w:tc>
      </w:tr>
      <w:tr w:rsidR="00AA3AEF" w:rsidRPr="00BA29AE" w14:paraId="072AEEC9" w14:textId="77777777" w:rsidTr="00AA3AEF">
        <w:tc>
          <w:tcPr>
            <w:tcW w:w="4050" w:type="dxa"/>
            <w:shd w:val="clear" w:color="auto" w:fill="auto"/>
          </w:tcPr>
          <w:p w14:paraId="7F35272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rPr>
                <w:iCs/>
                <w:lang w:val="en-GB"/>
              </w:rPr>
            </w:pPr>
            <w:r w:rsidRPr="00BA29AE">
              <w:rPr>
                <w:iCs/>
                <w:lang w:val="en-GB"/>
              </w:rPr>
              <w:tab/>
              <w:t>Singapore</w:t>
            </w:r>
          </w:p>
        </w:tc>
        <w:tc>
          <w:tcPr>
            <w:tcW w:w="3270" w:type="dxa"/>
            <w:shd w:val="clear" w:color="auto" w:fill="auto"/>
          </w:tcPr>
          <w:p w14:paraId="352C7FAD" w14:textId="0F4298A2"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iCs/>
                <w:lang w:val="en-GB"/>
              </w:rPr>
            </w:pPr>
            <w:r w:rsidRPr="00BA29AE">
              <w:rPr>
                <w:iCs/>
                <w:lang w:val="en-GB"/>
              </w:rPr>
              <w:t>(</w:t>
            </w:r>
            <w:hyperlink r:id="rId76" w:history="1">
              <w:r w:rsidRPr="00BA29AE">
                <w:rPr>
                  <w:rStyle w:val="Hyperlink"/>
                  <w:iCs/>
                  <w:lang w:val="en-GB"/>
                </w:rPr>
                <w:t>CEDAW/C/SGP/CO/5</w:t>
              </w:r>
            </w:hyperlink>
            <w:r w:rsidRPr="00BA29AE">
              <w:rPr>
                <w:iCs/>
                <w:lang w:val="en-GB"/>
              </w:rPr>
              <w:t>)</w:t>
            </w:r>
          </w:p>
        </w:tc>
      </w:tr>
    </w:tbl>
    <w:p w14:paraId="15174DD1" w14:textId="77777777" w:rsidR="00AA3AEF" w:rsidRPr="00BA29AE" w:rsidRDefault="00AA3AEF" w:rsidP="00AA3AEF">
      <w:pPr>
        <w:pStyle w:val="SingleTxt"/>
        <w:spacing w:after="0" w:line="120" w:lineRule="exact"/>
        <w:rPr>
          <w:sz w:val="10"/>
        </w:rPr>
      </w:pPr>
    </w:p>
    <w:p w14:paraId="3A1118A1"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Follow-up procedures relating to concluding observations </w:t>
      </w:r>
    </w:p>
    <w:p w14:paraId="3CEA99D4" w14:textId="77777777" w:rsidR="00AA3AEF" w:rsidRPr="00BA29AE" w:rsidRDefault="00AA3AEF" w:rsidP="00AA3AEF">
      <w:pPr>
        <w:pStyle w:val="SingleTxt"/>
        <w:spacing w:after="0" w:line="120" w:lineRule="exact"/>
        <w:rPr>
          <w:sz w:val="10"/>
        </w:rPr>
      </w:pPr>
    </w:p>
    <w:p w14:paraId="0F1C1C7B" w14:textId="77777777" w:rsidR="00AA3AEF" w:rsidRPr="00BA29AE" w:rsidRDefault="00AA3AEF" w:rsidP="00AA3AEF">
      <w:pPr>
        <w:pStyle w:val="SingleTxt"/>
      </w:pPr>
      <w:r w:rsidRPr="00BA29AE">
        <w:t>16.</w:t>
      </w:r>
      <w:r w:rsidRPr="00BA29AE">
        <w:tab/>
        <w:t xml:space="preserve">The Committee considered the follow-up reports received from the following States parties: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3270"/>
      </w:tblGrid>
      <w:tr w:rsidR="00AA3AEF" w:rsidRPr="00BA29AE" w14:paraId="26BC979E" w14:textId="77777777" w:rsidTr="00AA3AEF">
        <w:tc>
          <w:tcPr>
            <w:tcW w:w="4050" w:type="dxa"/>
            <w:shd w:val="clear" w:color="auto" w:fill="auto"/>
          </w:tcPr>
          <w:p w14:paraId="447D5295"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Benin</w:t>
            </w:r>
          </w:p>
        </w:tc>
        <w:tc>
          <w:tcPr>
            <w:tcW w:w="3270" w:type="dxa"/>
            <w:shd w:val="clear" w:color="auto" w:fill="auto"/>
          </w:tcPr>
          <w:p w14:paraId="16D5E4F0" w14:textId="08E62A2A"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7" w:history="1">
              <w:r w:rsidRPr="00BA29AE">
                <w:rPr>
                  <w:rStyle w:val="Hyperlink"/>
                  <w:iCs/>
                  <w:lang w:val="en-GB"/>
                </w:rPr>
                <w:t>CEDAW/C/BEN/CO/4/Add.1</w:t>
              </w:r>
            </w:hyperlink>
            <w:r w:rsidRPr="00BA29AE">
              <w:rPr>
                <w:iCs/>
                <w:lang w:val="en-GB"/>
              </w:rPr>
              <w:t>)</w:t>
            </w:r>
          </w:p>
        </w:tc>
      </w:tr>
      <w:tr w:rsidR="00AA3AEF" w:rsidRPr="00BA29AE" w14:paraId="0332D872" w14:textId="77777777" w:rsidTr="00AA3AEF">
        <w:tc>
          <w:tcPr>
            <w:tcW w:w="4050" w:type="dxa"/>
            <w:shd w:val="clear" w:color="auto" w:fill="auto"/>
          </w:tcPr>
          <w:p w14:paraId="2C11465E"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Brunei Darussalam</w:t>
            </w:r>
          </w:p>
        </w:tc>
        <w:tc>
          <w:tcPr>
            <w:tcW w:w="3270" w:type="dxa"/>
            <w:shd w:val="clear" w:color="auto" w:fill="auto"/>
          </w:tcPr>
          <w:p w14:paraId="2DC53FF1" w14:textId="00EC404A"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8" w:history="1">
              <w:r w:rsidRPr="00BA29AE">
                <w:rPr>
                  <w:rStyle w:val="Hyperlink"/>
                  <w:iCs/>
                  <w:lang w:val="en-GB"/>
                </w:rPr>
                <w:t>CEDAW/C/BRN/CO/1-2/Add.1</w:t>
              </w:r>
            </w:hyperlink>
            <w:r w:rsidRPr="00BA29AE">
              <w:rPr>
                <w:iCs/>
                <w:lang w:val="en-GB"/>
              </w:rPr>
              <w:t>)</w:t>
            </w:r>
          </w:p>
        </w:tc>
      </w:tr>
      <w:tr w:rsidR="00AA3AEF" w:rsidRPr="00BA29AE" w14:paraId="7B759148" w14:textId="77777777" w:rsidTr="00AA3AEF">
        <w:tc>
          <w:tcPr>
            <w:tcW w:w="4050" w:type="dxa"/>
            <w:shd w:val="clear" w:color="auto" w:fill="auto"/>
          </w:tcPr>
          <w:p w14:paraId="50A6435D"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Slovenia</w:t>
            </w:r>
          </w:p>
        </w:tc>
        <w:tc>
          <w:tcPr>
            <w:tcW w:w="3270" w:type="dxa"/>
            <w:shd w:val="clear" w:color="auto" w:fill="auto"/>
          </w:tcPr>
          <w:p w14:paraId="1573183D" w14:textId="026AFEC0"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79" w:history="1">
              <w:r w:rsidRPr="00BA29AE">
                <w:rPr>
                  <w:rStyle w:val="Hyperlink"/>
                  <w:iCs/>
                  <w:lang w:val="en-GB"/>
                </w:rPr>
                <w:t>CEDAW/C/SVN/CO/5-6/Add.1</w:t>
              </w:r>
            </w:hyperlink>
            <w:r w:rsidRPr="00BA29AE">
              <w:rPr>
                <w:iCs/>
                <w:lang w:val="en-GB"/>
              </w:rPr>
              <w:t>)</w:t>
            </w:r>
          </w:p>
        </w:tc>
      </w:tr>
      <w:tr w:rsidR="00AA3AEF" w:rsidRPr="00BA29AE" w14:paraId="6798463E" w14:textId="77777777" w:rsidTr="00AA3AEF">
        <w:tc>
          <w:tcPr>
            <w:tcW w:w="4050" w:type="dxa"/>
            <w:shd w:val="clear" w:color="auto" w:fill="auto"/>
          </w:tcPr>
          <w:p w14:paraId="68536F0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rPr>
                <w:iCs/>
                <w:lang w:val="en-GB"/>
              </w:rPr>
            </w:pPr>
            <w:r w:rsidRPr="00BA29AE">
              <w:rPr>
                <w:iCs/>
                <w:lang w:val="en-GB"/>
              </w:rPr>
              <w:tab/>
              <w:t>Spain</w:t>
            </w:r>
          </w:p>
        </w:tc>
        <w:tc>
          <w:tcPr>
            <w:tcW w:w="3270" w:type="dxa"/>
            <w:shd w:val="clear" w:color="auto" w:fill="auto"/>
          </w:tcPr>
          <w:p w14:paraId="63D7C472" w14:textId="5DBBB124"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iCs/>
                <w:lang w:val="en-GB"/>
              </w:rPr>
            </w:pPr>
            <w:r w:rsidRPr="00BA29AE">
              <w:rPr>
                <w:iCs/>
                <w:lang w:val="en-GB"/>
              </w:rPr>
              <w:t>(</w:t>
            </w:r>
            <w:hyperlink r:id="rId80" w:history="1">
              <w:r w:rsidRPr="00BA29AE">
                <w:rPr>
                  <w:rStyle w:val="Hyperlink"/>
                  <w:iCs/>
                  <w:lang w:val="en-GB"/>
                </w:rPr>
                <w:t>CEDAW/C/ESP/CO/7-8/Add.1</w:t>
              </w:r>
            </w:hyperlink>
            <w:r w:rsidRPr="00BA29AE">
              <w:rPr>
                <w:iCs/>
                <w:lang w:val="en-GB"/>
              </w:rPr>
              <w:t>)</w:t>
            </w:r>
          </w:p>
        </w:tc>
      </w:tr>
    </w:tbl>
    <w:p w14:paraId="57CBA9E4" w14:textId="77777777" w:rsidR="00AA3AEF" w:rsidRPr="00BA29AE" w:rsidRDefault="00AA3AEF" w:rsidP="00AA3AEF">
      <w:pPr>
        <w:pStyle w:val="SingleTxt"/>
        <w:spacing w:after="0" w:line="120" w:lineRule="exact"/>
        <w:rPr>
          <w:sz w:val="10"/>
        </w:rPr>
      </w:pPr>
    </w:p>
    <w:p w14:paraId="3B4162D9" w14:textId="455EB33D" w:rsidR="00AA3AEF" w:rsidRPr="00BA29AE" w:rsidRDefault="00AA3AEF" w:rsidP="00AA3AEF">
      <w:pPr>
        <w:pStyle w:val="SingleTxt"/>
      </w:pPr>
      <w:r w:rsidRPr="00BA29AE">
        <w:t>17.</w:t>
      </w:r>
      <w:r w:rsidRPr="00BA29AE">
        <w:tab/>
        <w:t>The Committee sent first reminders to Bolivia</w:t>
      </w:r>
      <w:r w:rsidR="007C1388">
        <w:t xml:space="preserve"> (Plurinational State of)</w:t>
      </w:r>
      <w:r w:rsidRPr="00BA29AE">
        <w:t xml:space="preserve">, Croatia, the Gambia, Namibia, Saint Vincent and the Grenadines, Senegal and Viet Nam and second reminders to Azerbaijan, Eritrea, Gabon, Kyrgyzstan and Tuvalu, whose follow-up reports were overdue. </w:t>
      </w:r>
    </w:p>
    <w:p w14:paraId="567A028F" w14:textId="77777777" w:rsidR="00AA3AEF" w:rsidRPr="00BA29AE" w:rsidRDefault="00AA3AEF" w:rsidP="00AA3AEF">
      <w:pPr>
        <w:pStyle w:val="SingleTxt"/>
      </w:pPr>
      <w:r w:rsidRPr="00BA29AE">
        <w:t>18.</w:t>
      </w:r>
      <w:r w:rsidRPr="00BA29AE">
        <w:tab/>
        <w:t>The Rapporteur on follow-up met with representatives of Uganda and the Central African Republic, whose follow-up reports were overdue.</w:t>
      </w:r>
    </w:p>
    <w:p w14:paraId="21C11F16" w14:textId="77777777" w:rsidR="00AA3AEF" w:rsidRPr="00BA29AE" w:rsidRDefault="00AA3AEF" w:rsidP="00AA3AEF">
      <w:pPr>
        <w:suppressAutoHyphens w:val="0"/>
        <w:spacing w:after="200" w:line="276" w:lineRule="auto"/>
        <w:rPr>
          <w:sz w:val="10"/>
        </w:rPr>
      </w:pPr>
      <w:r w:rsidRPr="00BA29AE">
        <w:rPr>
          <w:sz w:val="10"/>
        </w:rPr>
        <w:br w:type="page"/>
      </w:r>
    </w:p>
    <w:p w14:paraId="08D2617E" w14:textId="77777777" w:rsidR="00AA3AEF" w:rsidRPr="00BA29AE" w:rsidRDefault="00AA3AEF" w:rsidP="00AA3AEF">
      <w:pPr>
        <w:pStyle w:val="HCh"/>
        <w:ind w:left="1267" w:right="1260" w:hanging="1267"/>
      </w:pPr>
      <w:r w:rsidRPr="00BA29AE">
        <w:lastRenderedPageBreak/>
        <w:tab/>
        <w:t>Chapter V</w:t>
      </w:r>
    </w:p>
    <w:p w14:paraId="09F2D1BA" w14:textId="77777777" w:rsidR="00AA3AEF" w:rsidRPr="00BA29AE" w:rsidRDefault="00AA3AEF" w:rsidP="00AA3AEF">
      <w:pPr>
        <w:pStyle w:val="HCh"/>
        <w:ind w:left="1267" w:right="1260" w:hanging="1267"/>
      </w:pPr>
      <w:r w:rsidRPr="00BA29AE">
        <w:tab/>
      </w:r>
      <w:r w:rsidRPr="00BA29AE">
        <w:tab/>
        <w:t>Activities carried out under the Optional Protocol</w:t>
      </w:r>
    </w:p>
    <w:p w14:paraId="436493D4" w14:textId="77777777" w:rsidR="00AA3AEF" w:rsidRPr="00BA29AE" w:rsidRDefault="00AA3AEF" w:rsidP="00AA3AEF">
      <w:pPr>
        <w:pStyle w:val="SingleTxt"/>
        <w:spacing w:after="0" w:line="120" w:lineRule="exact"/>
        <w:rPr>
          <w:sz w:val="10"/>
        </w:rPr>
      </w:pPr>
    </w:p>
    <w:p w14:paraId="0487FBE5" w14:textId="77777777" w:rsidR="00AA3AEF" w:rsidRPr="00BA29AE" w:rsidRDefault="00AA3AEF" w:rsidP="00AA3AEF">
      <w:pPr>
        <w:pStyle w:val="SingleTxt"/>
        <w:spacing w:after="0" w:line="120" w:lineRule="exact"/>
        <w:rPr>
          <w:sz w:val="10"/>
        </w:rPr>
      </w:pPr>
    </w:p>
    <w:p w14:paraId="6FD7256E" w14:textId="77777777" w:rsidR="00AA3AEF" w:rsidRPr="00BA29AE" w:rsidRDefault="00AA3AEF" w:rsidP="00AA3AEF">
      <w:pPr>
        <w:pStyle w:val="SingleTxt"/>
      </w:pPr>
      <w:r w:rsidRPr="00BA29AE">
        <w:t>19.</w:t>
      </w:r>
      <w:r w:rsidRPr="00BA29AE">
        <w:tab/>
        <w:t>Article 12 of the Optional Protocol provides that the Committee is to include in its annual report a summary of its activities under the Optional Protocol.</w:t>
      </w:r>
    </w:p>
    <w:p w14:paraId="2BC3D15E" w14:textId="77777777" w:rsidR="00AA3AEF" w:rsidRPr="00BA29AE" w:rsidRDefault="00AA3AEF" w:rsidP="00AA3AEF">
      <w:pPr>
        <w:pStyle w:val="SingleTxt"/>
        <w:spacing w:after="0" w:line="120" w:lineRule="exact"/>
        <w:rPr>
          <w:sz w:val="10"/>
        </w:rPr>
      </w:pPr>
    </w:p>
    <w:p w14:paraId="1243C5EA" w14:textId="77777777" w:rsidR="00AA3AEF" w:rsidRPr="00BA29AE" w:rsidRDefault="00AA3AEF" w:rsidP="00AA3AEF">
      <w:pPr>
        <w:pStyle w:val="SingleTxt"/>
        <w:spacing w:after="0" w:line="120" w:lineRule="exact"/>
        <w:rPr>
          <w:sz w:val="10"/>
        </w:rPr>
      </w:pPr>
    </w:p>
    <w:p w14:paraId="4D0C4F6A" w14:textId="77777777" w:rsidR="00AA3AEF" w:rsidRPr="00BA29AE" w:rsidRDefault="00AA3AEF" w:rsidP="00AA3AEF">
      <w:pPr>
        <w:pStyle w:val="H1"/>
        <w:ind w:right="1260"/>
      </w:pPr>
      <w:r w:rsidRPr="00BA29AE">
        <w:tab/>
        <w:t>A.</w:t>
      </w:r>
      <w:r w:rsidRPr="00BA29AE">
        <w:tab/>
        <w:t>Action taken by the Committee in respect of issues arising under article 2 of the Optional Protocol</w:t>
      </w:r>
    </w:p>
    <w:p w14:paraId="6C4F7231" w14:textId="77777777" w:rsidR="00AA3AEF" w:rsidRPr="00BA29AE" w:rsidRDefault="00AA3AEF" w:rsidP="00AA3AEF">
      <w:pPr>
        <w:pStyle w:val="SingleTxt"/>
        <w:keepNext/>
        <w:keepLines/>
        <w:spacing w:after="0" w:line="120" w:lineRule="exact"/>
        <w:rPr>
          <w:sz w:val="10"/>
        </w:rPr>
      </w:pPr>
    </w:p>
    <w:p w14:paraId="3EDCB617" w14:textId="77777777" w:rsidR="00AA3AEF" w:rsidRPr="00BA29AE" w:rsidRDefault="00AA3AEF" w:rsidP="00AA3AEF">
      <w:pPr>
        <w:pStyle w:val="SingleTxt"/>
        <w:keepNext/>
        <w:keepLines/>
        <w:spacing w:after="0" w:line="120" w:lineRule="exact"/>
        <w:rPr>
          <w:sz w:val="10"/>
        </w:rPr>
      </w:pPr>
    </w:p>
    <w:p w14:paraId="34426699" w14:textId="77777777" w:rsidR="00AA3AEF" w:rsidRPr="00BA29AE" w:rsidRDefault="00AA3AEF" w:rsidP="00AA3AEF">
      <w:pPr>
        <w:pStyle w:val="SingleTxt"/>
        <w:keepNext/>
        <w:keepLines/>
      </w:pPr>
      <w:r w:rsidRPr="00BA29AE">
        <w:t>20.</w:t>
      </w:r>
      <w:r w:rsidRPr="00BA29AE">
        <w:tab/>
        <w:t xml:space="preserve">The Committee discussed activities under article 2 of the Optional Protocol on 6 November 2017. </w:t>
      </w:r>
    </w:p>
    <w:p w14:paraId="7266D80A" w14:textId="77777777" w:rsidR="00AA3AEF" w:rsidRPr="00BA29AE" w:rsidRDefault="00AA3AEF" w:rsidP="00AA3AEF">
      <w:pPr>
        <w:pStyle w:val="SingleTxt"/>
      </w:pPr>
      <w:r w:rsidRPr="00BA29AE">
        <w:t>21.</w:t>
      </w:r>
      <w:r w:rsidRPr="00BA29AE">
        <w:tab/>
        <w:t>The Committee endorsed the report of the Working Group on Communications under the Optional Protocol on its thirty-ninth session (see https://bit.ly/2HbdIhn).</w:t>
      </w:r>
    </w:p>
    <w:p w14:paraId="6E7AFD61" w14:textId="5CC7D777" w:rsidR="00AA3AEF" w:rsidRPr="00BA29AE" w:rsidRDefault="00AA3AEF" w:rsidP="00AA3AEF">
      <w:pPr>
        <w:pStyle w:val="SingleTxt"/>
      </w:pPr>
      <w:r w:rsidRPr="00BA29AE">
        <w:t>22.</w:t>
      </w:r>
      <w:r w:rsidRPr="00BA29AE">
        <w:tab/>
        <w:t xml:space="preserve">The Committee adopted final decisions with regard to three individual communications submitted under article 2 of the Optional Protocol. It adopted views finding a violation in </w:t>
      </w:r>
      <w:r w:rsidRPr="00BA29AE">
        <w:rPr>
          <w:i/>
          <w:iCs/>
        </w:rPr>
        <w:t>O.G. v. Russian Federation</w:t>
      </w:r>
      <w:r w:rsidRPr="00BA29AE">
        <w:t xml:space="preserve"> (</w:t>
      </w:r>
      <w:hyperlink r:id="rId81" w:history="1">
        <w:r w:rsidRPr="00BA29AE">
          <w:rPr>
            <w:rStyle w:val="Hyperlink"/>
          </w:rPr>
          <w:t>CEDAW/C/68/D/91/2015</w:t>
        </w:r>
      </w:hyperlink>
      <w:r w:rsidRPr="00BA29AE">
        <w:t xml:space="preserve">). It also adopted decisions of inadmissibility in </w:t>
      </w:r>
      <w:r w:rsidRPr="00BA29AE">
        <w:rPr>
          <w:i/>
          <w:iCs/>
        </w:rPr>
        <w:t>S.J.A. v. Denmark</w:t>
      </w:r>
      <w:r w:rsidRPr="00BA29AE">
        <w:t xml:space="preserve"> (</w:t>
      </w:r>
      <w:hyperlink r:id="rId82" w:history="1">
        <w:r w:rsidRPr="00BA29AE">
          <w:rPr>
            <w:rStyle w:val="Hyperlink"/>
          </w:rPr>
          <w:t>CEDAW/C/68/D/79/2014</w:t>
        </w:r>
      </w:hyperlink>
      <w:r w:rsidRPr="00BA29AE">
        <w:t xml:space="preserve">) and </w:t>
      </w:r>
      <w:r w:rsidRPr="00BA29AE">
        <w:rPr>
          <w:i/>
          <w:iCs/>
        </w:rPr>
        <w:t>N.P. v. Ukraine</w:t>
      </w:r>
      <w:r w:rsidRPr="00BA29AE">
        <w:t xml:space="preserve"> (</w:t>
      </w:r>
      <w:hyperlink r:id="rId83" w:history="1">
        <w:r w:rsidRPr="00BA29AE">
          <w:rPr>
            <w:rStyle w:val="Hyperlink"/>
          </w:rPr>
          <w:t>CEDAW/C/68/D/95/2015</w:t>
        </w:r>
      </w:hyperlink>
      <w:r w:rsidRPr="00BA29AE">
        <w:t>). The Committee further discontinued the consideration of communication No. 93/2015 (</w:t>
      </w:r>
      <w:r w:rsidRPr="00BA29AE">
        <w:rPr>
          <w:i/>
          <w:iCs/>
        </w:rPr>
        <w:t>K.I.A. v. Denmark</w:t>
      </w:r>
      <w:r w:rsidRPr="00BA29AE">
        <w:t xml:space="preserve">). All decisions were adopted by consensus. </w:t>
      </w:r>
    </w:p>
    <w:p w14:paraId="7F5754EA" w14:textId="77777777" w:rsidR="00AA3AEF" w:rsidRPr="00BA29AE" w:rsidRDefault="00AA3AEF" w:rsidP="00AA3AEF">
      <w:pPr>
        <w:pStyle w:val="SingleTxt"/>
        <w:spacing w:after="0" w:line="120" w:lineRule="exact"/>
        <w:rPr>
          <w:sz w:val="10"/>
        </w:rPr>
      </w:pPr>
    </w:p>
    <w:p w14:paraId="54619DC0" w14:textId="77777777" w:rsidR="00AA3AEF" w:rsidRPr="00BA29AE" w:rsidRDefault="00AA3AEF" w:rsidP="00AA3AEF">
      <w:pPr>
        <w:pStyle w:val="SingleTxt"/>
        <w:spacing w:after="0" w:line="120" w:lineRule="exact"/>
        <w:rPr>
          <w:sz w:val="10"/>
        </w:rPr>
      </w:pPr>
    </w:p>
    <w:p w14:paraId="3FEDBB9F" w14:textId="77777777" w:rsidR="00AA3AEF" w:rsidRPr="001E7B00" w:rsidRDefault="00AA3AEF" w:rsidP="00AA3AEF">
      <w:pPr>
        <w:pStyle w:val="H1"/>
        <w:ind w:right="1260"/>
        <w:rPr>
          <w:w w:val="101"/>
        </w:rPr>
      </w:pPr>
      <w:r w:rsidRPr="001E7B00">
        <w:rPr>
          <w:w w:val="101"/>
        </w:rPr>
        <w:tab/>
        <w:t>B.</w:t>
      </w:r>
      <w:r w:rsidRPr="001E7B00">
        <w:rPr>
          <w:w w:val="101"/>
        </w:rPr>
        <w:tab/>
        <w:t>Follow-up to views of the Committee on individual communications</w:t>
      </w:r>
    </w:p>
    <w:p w14:paraId="1E4399AE" w14:textId="77777777" w:rsidR="00AA3AEF" w:rsidRPr="00BA29AE" w:rsidRDefault="00AA3AEF" w:rsidP="00AA3AEF">
      <w:pPr>
        <w:pStyle w:val="SingleTxt"/>
        <w:spacing w:after="0" w:line="120" w:lineRule="exact"/>
        <w:rPr>
          <w:sz w:val="10"/>
        </w:rPr>
      </w:pPr>
    </w:p>
    <w:p w14:paraId="226B76AA" w14:textId="77777777" w:rsidR="00AA3AEF" w:rsidRPr="00BA29AE" w:rsidRDefault="00AA3AEF" w:rsidP="00AA3AEF">
      <w:pPr>
        <w:pStyle w:val="SingleTxt"/>
        <w:spacing w:after="0" w:line="120" w:lineRule="exact"/>
        <w:rPr>
          <w:sz w:val="10"/>
        </w:rPr>
      </w:pPr>
    </w:p>
    <w:p w14:paraId="0FB4120E" w14:textId="05179AF5" w:rsidR="00AA3AEF" w:rsidRPr="00BA29AE" w:rsidRDefault="00AA3AEF" w:rsidP="00AA3AEF">
      <w:pPr>
        <w:pStyle w:val="SingleTxt"/>
      </w:pPr>
      <w:r w:rsidRPr="00BA29AE">
        <w:t>23.</w:t>
      </w:r>
      <w:r w:rsidRPr="00BA29AE">
        <w:tab/>
        <w:t xml:space="preserve">The Committee was informed that the Working Group, at its thirty-ninth session, had discussed the follow-up situation in each case where the follow-up dialogue was continuing and agreed on the action to be taken. Of the 15 cases currently under follow-up examination, two relate to the Russian Federation and one relates to </w:t>
      </w:r>
      <w:r w:rsidR="00484B48" w:rsidRPr="00BA29AE">
        <w:t xml:space="preserve">each </w:t>
      </w:r>
      <w:r w:rsidR="00484B48">
        <w:t xml:space="preserve">of </w:t>
      </w:r>
      <w:r w:rsidRPr="00BA29AE">
        <w:t xml:space="preserve">Brazil, Canada, Denmark, Georgia, Kazakhstan, Mexico, the Netherlands, Peru, the Philippines, </w:t>
      </w:r>
      <w:r w:rsidR="00207E10">
        <w:t xml:space="preserve">Republic of </w:t>
      </w:r>
      <w:r w:rsidR="00207E10" w:rsidRPr="00BA29AE">
        <w:t xml:space="preserve">Moldova, </w:t>
      </w:r>
      <w:r w:rsidRPr="00BA29AE">
        <w:t>Slovakia, Spain and the United Republic of Tanzania. The Committee appointed rapporteurs for each of the cases.</w:t>
      </w:r>
    </w:p>
    <w:p w14:paraId="0A2562B4" w14:textId="77777777" w:rsidR="00AA3AEF" w:rsidRPr="00BA29AE" w:rsidRDefault="00AA3AEF" w:rsidP="00AA3AEF">
      <w:pPr>
        <w:pStyle w:val="SingleTxt"/>
        <w:spacing w:after="0" w:line="120" w:lineRule="exact"/>
        <w:rPr>
          <w:sz w:val="10"/>
        </w:rPr>
      </w:pPr>
    </w:p>
    <w:p w14:paraId="57484F08" w14:textId="77777777" w:rsidR="00AA3AEF" w:rsidRPr="00BA29AE" w:rsidRDefault="00AA3AEF" w:rsidP="00AA3AEF">
      <w:pPr>
        <w:pStyle w:val="SingleTxt"/>
        <w:spacing w:after="0" w:line="120" w:lineRule="exact"/>
        <w:rPr>
          <w:sz w:val="10"/>
        </w:rPr>
      </w:pPr>
    </w:p>
    <w:p w14:paraId="0C0CD63A" w14:textId="77777777" w:rsidR="00AA3AEF" w:rsidRPr="00BA29AE" w:rsidRDefault="00AA3AEF" w:rsidP="00AA3AEF">
      <w:pPr>
        <w:pStyle w:val="H1"/>
        <w:ind w:right="1260"/>
      </w:pPr>
      <w:r w:rsidRPr="00BA29AE">
        <w:tab/>
        <w:t>C.</w:t>
      </w:r>
      <w:r w:rsidRPr="00BA29AE">
        <w:tab/>
        <w:t>Action taken by the Committee in respect of issues arising under article 8 of the Optional Protocol</w:t>
      </w:r>
    </w:p>
    <w:p w14:paraId="63832D42" w14:textId="77777777" w:rsidR="00AA3AEF" w:rsidRPr="00BA29AE" w:rsidRDefault="00AA3AEF" w:rsidP="00AA3AEF">
      <w:pPr>
        <w:pStyle w:val="SingleTxt"/>
        <w:spacing w:after="0" w:line="120" w:lineRule="exact"/>
        <w:rPr>
          <w:sz w:val="10"/>
        </w:rPr>
      </w:pPr>
    </w:p>
    <w:p w14:paraId="3A6C340A" w14:textId="77777777" w:rsidR="00AA3AEF" w:rsidRPr="00BA29AE" w:rsidRDefault="00AA3AEF" w:rsidP="00AA3AEF">
      <w:pPr>
        <w:pStyle w:val="SingleTxt"/>
        <w:spacing w:after="0" w:line="120" w:lineRule="exact"/>
        <w:rPr>
          <w:sz w:val="10"/>
        </w:rPr>
      </w:pPr>
    </w:p>
    <w:p w14:paraId="64152F29" w14:textId="77777777" w:rsidR="00AA3AEF" w:rsidRPr="00BA29AE" w:rsidRDefault="00AA3AEF" w:rsidP="00AA3AEF">
      <w:pPr>
        <w:pStyle w:val="SingleTxt"/>
      </w:pPr>
      <w:r w:rsidRPr="00BA29AE">
        <w:t>24.</w:t>
      </w:r>
      <w:r w:rsidRPr="00BA29AE">
        <w:tab/>
        <w:t>The Committee discussed its activities under article 8 of the Optional Protocol on 15 November. It endorsed the report of the Working Group on Inquiries under the Optional Protocol on its eighth session (see https://bit.ly/2qiv1TK).</w:t>
      </w:r>
    </w:p>
    <w:p w14:paraId="1BBF1555" w14:textId="77777777" w:rsidR="00AA3AEF" w:rsidRPr="00BA29AE" w:rsidRDefault="00AA3AEF" w:rsidP="00AA3AEF">
      <w:pPr>
        <w:pStyle w:val="SingleTxt"/>
      </w:pPr>
      <w:r w:rsidRPr="00BA29AE">
        <w:t>25.</w:t>
      </w:r>
      <w:r w:rsidRPr="00BA29AE">
        <w:tab/>
        <w:t xml:space="preserve">The Committee adopted the recommendation of the Working Group, in relation to submission No. </w:t>
      </w:r>
      <w:r w:rsidRPr="001E7B00">
        <w:t>2017/2</w:t>
      </w:r>
      <w:r w:rsidRPr="00BA29AE">
        <w:t>, to discontinue its examination of the information received under article 8 of the Optional Protocol.</w:t>
      </w:r>
    </w:p>
    <w:p w14:paraId="0CA224C4" w14:textId="77777777" w:rsidR="00AA3AEF" w:rsidRPr="00BA29AE" w:rsidRDefault="00AA3AEF" w:rsidP="00AA3AEF">
      <w:pPr>
        <w:pStyle w:val="SingleTxt"/>
      </w:pPr>
      <w:r w:rsidRPr="00BA29AE">
        <w:t>26.</w:t>
      </w:r>
      <w:r w:rsidRPr="00BA29AE">
        <w:tab/>
        <w:t xml:space="preserve">The Committee completed the first reading of its draft findings, comments and recommendations in relation to inquiry No. </w:t>
      </w:r>
      <w:r w:rsidRPr="001E7B00">
        <w:t>2014/1</w:t>
      </w:r>
      <w:r w:rsidRPr="00BA29AE">
        <w:t>.</w:t>
      </w:r>
    </w:p>
    <w:p w14:paraId="4369203C" w14:textId="77777777" w:rsidR="00AA3AEF" w:rsidRPr="00BA29AE" w:rsidRDefault="00AA3AEF" w:rsidP="00AA3AEF">
      <w:pPr>
        <w:pStyle w:val="SingleTxt"/>
      </w:pPr>
      <w:r w:rsidRPr="00BA29AE">
        <w:t>27.</w:t>
      </w:r>
      <w:r w:rsidRPr="00BA29AE">
        <w:tab/>
        <w:t>The Committee ratified the following decisions made by the Working Group:</w:t>
      </w:r>
    </w:p>
    <w:p w14:paraId="33067E02" w14:textId="77777777" w:rsidR="00AA3AEF" w:rsidRPr="00BA29AE" w:rsidRDefault="00AA3AEF" w:rsidP="00AA3AEF">
      <w:pPr>
        <w:pStyle w:val="SingleTxt"/>
      </w:pPr>
      <w:r w:rsidRPr="00BA29AE">
        <w:tab/>
        <w:t>(a)</w:t>
      </w:r>
      <w:r w:rsidRPr="00BA29AE">
        <w:tab/>
        <w:t xml:space="preserve">In relation to inquiry No. </w:t>
      </w:r>
      <w:r w:rsidRPr="001E7B00">
        <w:t>2011/4</w:t>
      </w:r>
      <w:r w:rsidRPr="00BA29AE">
        <w:t>, to accept the withdrawal of Náela Mohamed Gabr as one of the members designated to conduct the inquiry;</w:t>
      </w:r>
    </w:p>
    <w:p w14:paraId="1B1CCEE6" w14:textId="77777777" w:rsidR="00AA3AEF" w:rsidRPr="00BA29AE" w:rsidRDefault="00AA3AEF" w:rsidP="00AA3AEF">
      <w:pPr>
        <w:pStyle w:val="SingleTxt"/>
      </w:pPr>
      <w:r w:rsidRPr="00BA29AE">
        <w:tab/>
        <w:t>(b)</w:t>
      </w:r>
      <w:r w:rsidRPr="00BA29AE">
        <w:tab/>
        <w:t>In the light of the lack of cooperation by certain States parties, to mandate the Working Group on Inquiries to consider the elaboration of guidelines for conducting inquiries without a visit to the territory of the State party concerned;</w:t>
      </w:r>
    </w:p>
    <w:p w14:paraId="3B39FB90" w14:textId="77777777" w:rsidR="00AA3AEF" w:rsidRPr="00BA29AE" w:rsidRDefault="00AA3AEF" w:rsidP="00AA3AEF">
      <w:pPr>
        <w:pStyle w:val="SingleTxt"/>
      </w:pPr>
      <w:r w:rsidRPr="00BA29AE">
        <w:lastRenderedPageBreak/>
        <w:tab/>
        <w:t>(c)</w:t>
      </w:r>
      <w:r w:rsidRPr="00BA29AE">
        <w:tab/>
        <w:t>To defer consideration of the amendments to the standard operating procedures proposed by the Working Group on Inquiries to the sixty-ninth session of the Committee.</w:t>
      </w:r>
    </w:p>
    <w:p w14:paraId="3A748B05" w14:textId="77777777" w:rsidR="00AA3AEF" w:rsidRPr="00BA29AE" w:rsidRDefault="00AA3AEF" w:rsidP="00AA3AEF">
      <w:pPr>
        <w:suppressAutoHyphens w:val="0"/>
        <w:spacing w:after="200" w:line="276" w:lineRule="auto"/>
      </w:pPr>
      <w:r w:rsidRPr="00BA29AE">
        <w:br w:type="page"/>
      </w:r>
    </w:p>
    <w:p w14:paraId="24061224" w14:textId="77777777" w:rsidR="00AA3AEF" w:rsidRPr="00BA29AE" w:rsidRDefault="00AA3AEF" w:rsidP="00AA3AEF">
      <w:pPr>
        <w:pStyle w:val="HCh"/>
        <w:ind w:left="1267" w:right="1260" w:hanging="1267"/>
      </w:pPr>
      <w:r w:rsidRPr="00BA29AE">
        <w:lastRenderedPageBreak/>
        <w:t>Chapter VI</w:t>
      </w:r>
    </w:p>
    <w:p w14:paraId="17F2A1F5" w14:textId="77777777" w:rsidR="00AA3AEF" w:rsidRPr="00BA29AE" w:rsidRDefault="00AA3AEF" w:rsidP="00AA3AEF">
      <w:pPr>
        <w:pStyle w:val="HCh"/>
        <w:ind w:left="1267" w:right="1260" w:hanging="1267"/>
      </w:pPr>
      <w:r w:rsidRPr="00BA29AE">
        <w:tab/>
      </w:r>
      <w:r w:rsidRPr="00BA29AE">
        <w:tab/>
        <w:t>Ways and means of expediting the work of the Committee</w:t>
      </w:r>
    </w:p>
    <w:p w14:paraId="523BF44B" w14:textId="77777777" w:rsidR="00AA3AEF" w:rsidRPr="00BA29AE" w:rsidRDefault="00AA3AEF" w:rsidP="00AA3AEF">
      <w:pPr>
        <w:pStyle w:val="SingleTxt"/>
        <w:spacing w:after="0" w:line="120" w:lineRule="exact"/>
        <w:rPr>
          <w:sz w:val="10"/>
        </w:rPr>
      </w:pPr>
    </w:p>
    <w:p w14:paraId="6117B53D" w14:textId="77777777" w:rsidR="00AA3AEF" w:rsidRPr="00BA29AE" w:rsidRDefault="00AA3AEF" w:rsidP="00AA3AEF">
      <w:pPr>
        <w:pStyle w:val="SingleTxt"/>
        <w:spacing w:after="0" w:line="120" w:lineRule="exact"/>
        <w:rPr>
          <w:sz w:val="10"/>
        </w:rPr>
      </w:pPr>
    </w:p>
    <w:p w14:paraId="6590D6C0" w14:textId="77777777" w:rsidR="00AA3AEF" w:rsidRPr="00BA29AE" w:rsidRDefault="00AA3AEF" w:rsidP="00AA3AEF">
      <w:pPr>
        <w:pStyle w:val="SingleTxt"/>
      </w:pPr>
      <w:r w:rsidRPr="00BA29AE">
        <w:t>28.</w:t>
      </w:r>
      <w:r w:rsidRPr="00BA29AE">
        <w:tab/>
        <w:t xml:space="preserve">The secretariat informed the Committee about the status of submission of overdue reports by States parties under article 18 of the Convention. </w:t>
      </w:r>
    </w:p>
    <w:p w14:paraId="008B6BAE" w14:textId="77777777" w:rsidR="00AA3AEF" w:rsidRPr="00BA29AE" w:rsidRDefault="00AA3AEF" w:rsidP="00AA3AEF">
      <w:pPr>
        <w:pStyle w:val="SingleTxt"/>
        <w:spacing w:after="0" w:line="120" w:lineRule="exact"/>
        <w:rPr>
          <w:sz w:val="10"/>
        </w:rPr>
      </w:pPr>
    </w:p>
    <w:p w14:paraId="7FAEA336" w14:textId="77777777" w:rsidR="00AA3AEF" w:rsidRPr="00BA29AE" w:rsidRDefault="00AA3AEF" w:rsidP="00AA3AEF">
      <w:pPr>
        <w:pStyle w:val="SingleTxt"/>
        <w:spacing w:after="0" w:line="120" w:lineRule="exact"/>
        <w:rPr>
          <w:sz w:val="10"/>
        </w:rPr>
      </w:pPr>
    </w:p>
    <w:p w14:paraId="69B846E0" w14:textId="77777777" w:rsidR="00AA3AEF" w:rsidRPr="00BA29AE" w:rsidRDefault="00AA3AEF" w:rsidP="00AA3AEF">
      <w:pPr>
        <w:pStyle w:val="H1"/>
        <w:ind w:right="1260"/>
      </w:pPr>
      <w:r w:rsidRPr="00BA29AE">
        <w:tab/>
      </w:r>
      <w:r w:rsidRPr="00BA29AE">
        <w:tab/>
        <w:t>Action taken by the Committee under agenda item 7</w:t>
      </w:r>
    </w:p>
    <w:p w14:paraId="5D83F948" w14:textId="77777777" w:rsidR="00AA3AEF" w:rsidRPr="00BA29AE" w:rsidRDefault="00AA3AEF" w:rsidP="000A1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sz w:val="10"/>
          <w:lang w:val="en-GB"/>
        </w:rPr>
      </w:pPr>
    </w:p>
    <w:p w14:paraId="2AFF2D4D" w14:textId="77777777" w:rsidR="00AA3AEF" w:rsidRPr="00BA29AE" w:rsidRDefault="00AA3AEF" w:rsidP="000A1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sz w:val="10"/>
          <w:lang w:val="en-GB"/>
        </w:rPr>
      </w:pPr>
    </w:p>
    <w:p w14:paraId="1A79BD44"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Dates of future sessions </w:t>
      </w:r>
    </w:p>
    <w:p w14:paraId="4B5E8875" w14:textId="77777777" w:rsidR="00AA3AEF" w:rsidRPr="00BA29AE" w:rsidRDefault="00AA3AEF" w:rsidP="00AA3AEF">
      <w:pPr>
        <w:pStyle w:val="SingleTxt"/>
        <w:spacing w:after="0" w:line="120" w:lineRule="exact"/>
        <w:rPr>
          <w:sz w:val="10"/>
        </w:rPr>
      </w:pPr>
    </w:p>
    <w:p w14:paraId="04A5D789" w14:textId="77777777" w:rsidR="00AA3AEF" w:rsidRPr="00BA29AE" w:rsidRDefault="00AA3AEF" w:rsidP="00AA3AEF">
      <w:pPr>
        <w:pStyle w:val="SingleTxt"/>
      </w:pPr>
      <w:r w:rsidRPr="00BA29AE">
        <w:t>29.</w:t>
      </w:r>
      <w:r w:rsidRPr="00BA29AE">
        <w:tab/>
        <w:t xml:space="preserve">In accordance with the calendar of conferences, the following dates were confirmed for the Committee’s sixty-ninth and seventieth sessions and related meetings: </w:t>
      </w:r>
    </w:p>
    <w:p w14:paraId="694A4CE1" w14:textId="77777777" w:rsidR="00AA3AEF" w:rsidRPr="00BA29AE" w:rsidRDefault="00AA3AEF" w:rsidP="00AA3AEF">
      <w:pPr>
        <w:pStyle w:val="SingleTxt"/>
      </w:pPr>
      <w:r w:rsidRPr="00BA29AE">
        <w:tab/>
        <w:t>Sixty-ninth session (Geneva)</w:t>
      </w:r>
    </w:p>
    <w:p w14:paraId="627430B9" w14:textId="77777777" w:rsidR="00AA3AEF" w:rsidRPr="00BA29AE" w:rsidRDefault="00AA3AEF" w:rsidP="00AA3AEF">
      <w:pPr>
        <w:pStyle w:val="SingleTxt"/>
      </w:pPr>
      <w:r w:rsidRPr="00BA29AE">
        <w:tab/>
        <w:t>(a)</w:t>
      </w:r>
      <w:r w:rsidRPr="00BA29AE">
        <w:tab/>
        <w:t>As indicated in paragraph 31 of part one of the present report;</w:t>
      </w:r>
    </w:p>
    <w:p w14:paraId="1E7E1302" w14:textId="77777777" w:rsidR="00AA3AEF" w:rsidRPr="00BA29AE" w:rsidRDefault="00AA3AEF" w:rsidP="00AA3AEF">
      <w:pPr>
        <w:pStyle w:val="SingleTxt"/>
      </w:pPr>
      <w:r w:rsidRPr="00BA29AE">
        <w:tab/>
        <w:t>Seventieth session (Geneva)</w:t>
      </w:r>
    </w:p>
    <w:p w14:paraId="65ABF97C" w14:textId="77777777" w:rsidR="00AA3AEF" w:rsidRPr="00BA29AE" w:rsidRDefault="00AA3AEF" w:rsidP="00AA3AEF">
      <w:pPr>
        <w:pStyle w:val="SingleTxt"/>
        <w:ind w:left="2218" w:hanging="951"/>
      </w:pPr>
      <w:r w:rsidRPr="00BA29AE">
        <w:tab/>
      </w:r>
      <w:r w:rsidRPr="00BA29AE">
        <w:tab/>
        <w:t>(b)</w:t>
      </w:r>
      <w:r w:rsidRPr="00BA29AE">
        <w:tab/>
        <w:t>Forty-first session of the Working Group on Communications under the Optional Protocol: 27–29 June 2018;</w:t>
      </w:r>
    </w:p>
    <w:p w14:paraId="118EE803" w14:textId="77777777" w:rsidR="00AA3AEF" w:rsidRPr="00BA29AE" w:rsidRDefault="00AA3AEF" w:rsidP="00AA3AEF">
      <w:pPr>
        <w:pStyle w:val="SingleTxt"/>
        <w:ind w:left="2218" w:hanging="951"/>
      </w:pPr>
      <w:r w:rsidRPr="00BA29AE">
        <w:tab/>
      </w:r>
      <w:r w:rsidRPr="00BA29AE">
        <w:tab/>
        <w:t>(c)</w:t>
      </w:r>
      <w:r w:rsidRPr="00BA29AE">
        <w:tab/>
        <w:t>Tenth session of the Working Group on Inquiries under the Optional Protocol: 28 and 29 June 2018;</w:t>
      </w:r>
    </w:p>
    <w:p w14:paraId="32676606" w14:textId="77777777" w:rsidR="00AA3AEF" w:rsidRPr="00BA29AE" w:rsidRDefault="00AA3AEF" w:rsidP="00AA3AEF">
      <w:pPr>
        <w:pStyle w:val="SingleTxt"/>
      </w:pPr>
      <w:r w:rsidRPr="00BA29AE">
        <w:tab/>
        <w:t>(d)</w:t>
      </w:r>
      <w:r w:rsidRPr="00BA29AE">
        <w:tab/>
        <w:t>Seventieth session: 2–20 July 2018;</w:t>
      </w:r>
    </w:p>
    <w:p w14:paraId="43C1D117" w14:textId="77777777" w:rsidR="00AA3AEF" w:rsidRPr="00BA29AE" w:rsidRDefault="00AA3AEF" w:rsidP="00AA3AEF">
      <w:pPr>
        <w:pStyle w:val="SingleTxt"/>
        <w:ind w:left="2218" w:hanging="951"/>
      </w:pPr>
      <w:r w:rsidRPr="00BA29AE">
        <w:tab/>
      </w:r>
      <w:r w:rsidRPr="00BA29AE">
        <w:tab/>
        <w:t>(e)</w:t>
      </w:r>
      <w:r w:rsidRPr="00BA29AE">
        <w:tab/>
        <w:t>Pre-sessional working group for the seventy-second session: 23–27 July 2018.</w:t>
      </w:r>
    </w:p>
    <w:p w14:paraId="7D7F422F" w14:textId="77777777" w:rsidR="00AA3AEF" w:rsidRPr="00BA29AE" w:rsidRDefault="00AA3AEF" w:rsidP="00AA3AEF">
      <w:pPr>
        <w:pStyle w:val="SingleTxt"/>
        <w:spacing w:after="0" w:line="120" w:lineRule="exact"/>
        <w:rPr>
          <w:sz w:val="10"/>
        </w:rPr>
      </w:pPr>
    </w:p>
    <w:p w14:paraId="161AF552"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Reports to be considered at future sessions </w:t>
      </w:r>
    </w:p>
    <w:p w14:paraId="2342022A" w14:textId="77777777" w:rsidR="00AA3AEF" w:rsidRPr="00BA29AE" w:rsidRDefault="00AA3AEF" w:rsidP="00AA3AEF">
      <w:pPr>
        <w:pStyle w:val="SingleTxt"/>
        <w:spacing w:after="0" w:line="120" w:lineRule="exact"/>
        <w:rPr>
          <w:sz w:val="10"/>
        </w:rPr>
      </w:pPr>
    </w:p>
    <w:p w14:paraId="3659C1A7" w14:textId="7CA6F2D5" w:rsidR="00AA3AEF" w:rsidRPr="00BA29AE" w:rsidRDefault="00AA3AEF" w:rsidP="00AA3AEF">
      <w:pPr>
        <w:pStyle w:val="SingleTxt"/>
      </w:pPr>
      <w:r w:rsidRPr="00BA29AE">
        <w:t>30.</w:t>
      </w:r>
      <w:r w:rsidRPr="00BA29AE">
        <w:tab/>
        <w:t>The Committee confirmed that, at its sixty-ninth session, it would consider the reports of the States parties listed in paragraph 32 of part one of the present report and that, at its seventieth session, it would consider those of Australia,</w:t>
      </w:r>
      <w:r w:rsidR="00484B48">
        <w:t xml:space="preserve"> the</w:t>
      </w:r>
      <w:r w:rsidRPr="00BA29AE">
        <w:t xml:space="preserve"> Cook Islands, Cyprus, Liechtenstein (under the simplified reporting procedure), Mexico, New Zealand</w:t>
      </w:r>
      <w:r w:rsidR="00484B48">
        <w:t>,</w:t>
      </w:r>
      <w:r w:rsidRPr="00BA29AE">
        <w:t xml:space="preserve"> </w:t>
      </w:r>
      <w:r w:rsidR="00484B48" w:rsidRPr="00BA29AE">
        <w:t xml:space="preserve">the State of Palestine </w:t>
      </w:r>
      <w:r w:rsidRPr="00BA29AE">
        <w:t>and Turkmenistan.</w:t>
      </w:r>
    </w:p>
    <w:p w14:paraId="2C66E695" w14:textId="77777777" w:rsidR="00AA3AEF" w:rsidRPr="00BA29AE" w:rsidRDefault="00AA3AEF" w:rsidP="00AA3AEF">
      <w:pPr>
        <w:suppressAutoHyphens w:val="0"/>
        <w:spacing w:after="200" w:line="276" w:lineRule="auto"/>
      </w:pPr>
      <w:r w:rsidRPr="00BA29AE">
        <w:br w:type="page"/>
      </w:r>
    </w:p>
    <w:p w14:paraId="02A89D7A" w14:textId="77777777" w:rsidR="00AA3AEF" w:rsidRPr="00BA29AE" w:rsidRDefault="00AA3AEF" w:rsidP="00AA3AEF">
      <w:pPr>
        <w:pStyle w:val="HCh"/>
        <w:ind w:left="1267" w:right="1260" w:hanging="1267"/>
      </w:pPr>
      <w:r w:rsidRPr="00BA29AE">
        <w:lastRenderedPageBreak/>
        <w:t>Chapter VII</w:t>
      </w:r>
    </w:p>
    <w:p w14:paraId="19ADFF67" w14:textId="77777777" w:rsidR="00AA3AEF" w:rsidRPr="00BA29AE" w:rsidRDefault="00AA3AEF" w:rsidP="00AA3AEF">
      <w:pPr>
        <w:pStyle w:val="HCh"/>
        <w:ind w:left="1267" w:right="1260" w:hanging="1267"/>
      </w:pPr>
      <w:r w:rsidRPr="00BA29AE">
        <w:tab/>
      </w:r>
      <w:r w:rsidRPr="00BA29AE">
        <w:tab/>
        <w:t>Implementation of article 21 of the Convention</w:t>
      </w:r>
    </w:p>
    <w:p w14:paraId="432BE118" w14:textId="77777777" w:rsidR="00AA3AEF" w:rsidRPr="00BA29AE" w:rsidRDefault="00AA3AEF" w:rsidP="00AA3AEF">
      <w:pPr>
        <w:pStyle w:val="SingleTxt"/>
        <w:spacing w:after="0" w:line="120" w:lineRule="exact"/>
        <w:rPr>
          <w:sz w:val="10"/>
        </w:rPr>
      </w:pPr>
    </w:p>
    <w:p w14:paraId="05673BED" w14:textId="77777777" w:rsidR="00AA3AEF" w:rsidRPr="00BA29AE" w:rsidRDefault="00AA3AEF" w:rsidP="00AA3AEF">
      <w:pPr>
        <w:pStyle w:val="SingleTxt"/>
        <w:spacing w:after="0" w:line="120" w:lineRule="exact"/>
        <w:rPr>
          <w:sz w:val="10"/>
        </w:rPr>
      </w:pPr>
    </w:p>
    <w:p w14:paraId="64729D48"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gender-related dimensions of disaster risk reduction in the context of climate change</w:t>
      </w:r>
    </w:p>
    <w:p w14:paraId="1C08B71D" w14:textId="77777777" w:rsidR="00AA3AEF" w:rsidRPr="00BA29AE" w:rsidRDefault="00AA3AEF" w:rsidP="00AA3AEF">
      <w:pPr>
        <w:pStyle w:val="SingleTxt"/>
        <w:spacing w:after="0" w:line="120" w:lineRule="exact"/>
        <w:rPr>
          <w:sz w:val="10"/>
        </w:rPr>
      </w:pPr>
    </w:p>
    <w:p w14:paraId="74BF7B53" w14:textId="77777777" w:rsidR="00AA3AEF" w:rsidRPr="00BA29AE" w:rsidRDefault="00AA3AEF" w:rsidP="00AA3AEF">
      <w:pPr>
        <w:pStyle w:val="SingleTxt"/>
      </w:pPr>
      <w:r w:rsidRPr="00BA29AE">
        <w:t>31.</w:t>
      </w:r>
      <w:r w:rsidRPr="00BA29AE">
        <w:tab/>
        <w:t>The working group met during the session and discussed the draft general recommendation.</w:t>
      </w:r>
    </w:p>
    <w:p w14:paraId="70EB1FF4" w14:textId="77777777" w:rsidR="00AA3AEF" w:rsidRPr="00BA29AE" w:rsidRDefault="00AA3AEF" w:rsidP="00AA3AEF">
      <w:pPr>
        <w:pStyle w:val="SingleTxt"/>
      </w:pPr>
      <w:r w:rsidRPr="00BA29AE">
        <w:t>32.</w:t>
      </w:r>
      <w:r w:rsidRPr="00BA29AE">
        <w:tab/>
        <w:t>On 17 November 2017, the Committee completed its first reading of the draft general recommendation.</w:t>
      </w:r>
    </w:p>
    <w:p w14:paraId="0735B6C6" w14:textId="77777777" w:rsidR="00AA3AEF" w:rsidRPr="00BA29AE" w:rsidRDefault="00AA3AEF" w:rsidP="00AA3AEF">
      <w:pPr>
        <w:pStyle w:val="SingleTxt"/>
        <w:spacing w:after="0" w:line="120" w:lineRule="exact"/>
        <w:rPr>
          <w:sz w:val="10"/>
        </w:rPr>
      </w:pPr>
    </w:p>
    <w:p w14:paraId="32B18965"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the right to education</w:t>
      </w:r>
    </w:p>
    <w:p w14:paraId="5FF0BBC2" w14:textId="77777777" w:rsidR="00AA3AEF" w:rsidRPr="00BA29AE" w:rsidRDefault="00AA3AEF" w:rsidP="00AA3AEF">
      <w:pPr>
        <w:pStyle w:val="SingleTxt"/>
        <w:spacing w:after="0" w:line="120" w:lineRule="exact"/>
        <w:rPr>
          <w:sz w:val="10"/>
        </w:rPr>
      </w:pPr>
    </w:p>
    <w:p w14:paraId="315FFA0A" w14:textId="77777777" w:rsidR="00AA3AEF" w:rsidRPr="00BA29AE" w:rsidRDefault="00AA3AEF" w:rsidP="00AA3AEF">
      <w:pPr>
        <w:pStyle w:val="SingleTxt"/>
      </w:pPr>
      <w:r w:rsidRPr="00BA29AE">
        <w:t>33.</w:t>
      </w:r>
      <w:r w:rsidRPr="00BA29AE">
        <w:tab/>
        <w:t>The working group met during the session to discuss the draft general recommendation. It held two informal consultations with former Committee member Barbara Bailey, an international expert on education.</w:t>
      </w:r>
    </w:p>
    <w:p w14:paraId="4A080F13" w14:textId="79A1E950" w:rsidR="00AA3AEF" w:rsidRPr="00BA29AE" w:rsidRDefault="00AA3AEF" w:rsidP="00AA3AEF">
      <w:pPr>
        <w:pStyle w:val="SingleTxt"/>
      </w:pPr>
      <w:r w:rsidRPr="00BA29AE">
        <w:t>34.</w:t>
      </w:r>
      <w:r w:rsidRPr="00BA29AE">
        <w:tab/>
        <w:t>On 16 November, the Committee adopted general recommendation No. 36 (2017) on the right of girls and women to education (</w:t>
      </w:r>
      <w:hyperlink r:id="rId84" w:history="1">
        <w:r w:rsidRPr="00BA29AE">
          <w:rPr>
            <w:rStyle w:val="Hyperlink"/>
          </w:rPr>
          <w:t>CEDAW/C/GC/36</w:t>
        </w:r>
      </w:hyperlink>
      <w:r w:rsidRPr="00BA29AE">
        <w:t>), by consensus,</w:t>
      </w:r>
      <w:r w:rsidRPr="00BA29AE">
        <w:rPr>
          <w:rStyle w:val="FootnoteReference"/>
        </w:rPr>
        <w:footnoteReference w:id="2"/>
      </w:r>
      <w:r w:rsidRPr="00BA29AE">
        <w:t xml:space="preserve"> in accordance with rule 31 of its rules of procedure. Barbara Bailey, former chair of the working group on the right to education, was present at the meeting.</w:t>
      </w:r>
    </w:p>
    <w:p w14:paraId="323723A5" w14:textId="77777777" w:rsidR="00AA3AEF" w:rsidRPr="00BA29AE" w:rsidRDefault="00AA3AEF" w:rsidP="00AA3AEF">
      <w:pPr>
        <w:pStyle w:val="SingleTxt"/>
        <w:spacing w:after="0" w:line="120" w:lineRule="exact"/>
        <w:rPr>
          <w:sz w:val="10"/>
        </w:rPr>
      </w:pPr>
    </w:p>
    <w:p w14:paraId="085F3F52"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working methods</w:t>
      </w:r>
    </w:p>
    <w:p w14:paraId="490CE01D" w14:textId="77777777" w:rsidR="00AA3AEF" w:rsidRPr="00BA29AE" w:rsidRDefault="00AA3AEF" w:rsidP="00AA3AEF">
      <w:pPr>
        <w:pStyle w:val="SingleTxt"/>
        <w:spacing w:after="0" w:line="120" w:lineRule="exact"/>
        <w:rPr>
          <w:sz w:val="10"/>
        </w:rPr>
      </w:pPr>
    </w:p>
    <w:p w14:paraId="0DFEA2A3" w14:textId="77777777" w:rsidR="00AA3AEF" w:rsidRPr="00BA29AE" w:rsidRDefault="00AA3AEF" w:rsidP="00AA3AEF">
      <w:pPr>
        <w:pStyle w:val="SingleTxt"/>
      </w:pPr>
      <w:r w:rsidRPr="00BA29AE">
        <w:t>35.</w:t>
      </w:r>
      <w:r w:rsidRPr="00BA29AE">
        <w:tab/>
        <w:t>The working group met during the session and discussed a draft decision concerning time management during the constructive dialogue. It also discussed and submitted to the Committee a draft decision on the adoption of joint statements intersessionally. The Committee deferred the adoption of a decision to its sixty-ninth session and requested the working group to develop criteria for determining the urgent situations in relation to which the Committee should adopt statements, both during its sessions and intersessionally.</w:t>
      </w:r>
    </w:p>
    <w:p w14:paraId="7CB2027B" w14:textId="77777777" w:rsidR="00AA3AEF" w:rsidRPr="00BA29AE" w:rsidRDefault="00AA3AEF" w:rsidP="00AA3AEF">
      <w:pPr>
        <w:pStyle w:val="SingleTxt"/>
        <w:spacing w:after="0" w:line="120" w:lineRule="exact"/>
        <w:rPr>
          <w:sz w:val="10"/>
        </w:rPr>
      </w:pPr>
    </w:p>
    <w:p w14:paraId="54161C86"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the Inter-Parliamentary Union</w:t>
      </w:r>
    </w:p>
    <w:p w14:paraId="6F51139F" w14:textId="77777777" w:rsidR="00AA3AEF" w:rsidRPr="00BA29AE" w:rsidRDefault="00AA3AEF" w:rsidP="00AA3AEF">
      <w:pPr>
        <w:pStyle w:val="SingleTxt"/>
        <w:spacing w:after="0" w:line="120" w:lineRule="exact"/>
        <w:rPr>
          <w:sz w:val="10"/>
        </w:rPr>
      </w:pPr>
    </w:p>
    <w:p w14:paraId="146ABDE4" w14:textId="031F0CD3" w:rsidR="00AA3AEF" w:rsidRPr="00BA29AE" w:rsidRDefault="00AA3AEF" w:rsidP="00AA3AEF">
      <w:pPr>
        <w:pStyle w:val="SingleTxt"/>
      </w:pPr>
      <w:r w:rsidRPr="00BA29AE">
        <w:t>36.</w:t>
      </w:r>
      <w:r w:rsidRPr="00BA29AE">
        <w:tab/>
        <w:t>The working group met with a representative of IPU, who provided a briefing on the activities of IPU, at the national and regional levels, focusing on the Convention and gender equality, including at the session of the IPU Assembly held in St. Petersburg in October 2017, and at the Summit of Women Speakers of Parliament in</w:t>
      </w:r>
      <w:r w:rsidR="00484B48">
        <w:t xml:space="preserve"> the Plurinational State of</w:t>
      </w:r>
      <w:r w:rsidRPr="00BA29AE">
        <w:t xml:space="preserve"> Bolivia in December 2017. The working group discussed the possibility of holding a meeting with parliamentarians during the next session of the IPU Assembly, to be held in Geneva from 13 to 17 October 2018, including a high-level meeting with the President of IPU, Gabriela Cuevas Barrón (Mexico). The working group invited the IPU representative to suggest questions for inclusion in the briefing notes prepared by country rapporteurs concerning measures taken by the State party concerned to increase the representation of women in political processes. The working group also invited IPU to consider ways of integrating the gender-related targets of the Sustainable Development Goals into its work.</w:t>
      </w:r>
    </w:p>
    <w:p w14:paraId="5E038282" w14:textId="77777777" w:rsidR="00AA3AEF" w:rsidRPr="00BA29AE" w:rsidRDefault="00AA3AEF" w:rsidP="00E73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sz w:val="10"/>
          <w:lang w:val="en-GB"/>
        </w:rPr>
      </w:pPr>
    </w:p>
    <w:p w14:paraId="47B29549" w14:textId="77777777" w:rsidR="00AA3AEF" w:rsidRPr="00BA29AE" w:rsidRDefault="00AA3AEF" w:rsidP="000A1BF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lastRenderedPageBreak/>
        <w:tab/>
      </w:r>
      <w:r w:rsidRPr="00BA29AE">
        <w:rPr>
          <w:lang w:val="en-GB"/>
        </w:rPr>
        <w:tab/>
        <w:t>Working group on the Convention, UN-Women and the Sustainable Development Goals</w:t>
      </w:r>
    </w:p>
    <w:p w14:paraId="2915E61E" w14:textId="77777777" w:rsidR="00AA3AEF" w:rsidRPr="00BA29AE" w:rsidRDefault="00AA3AEF" w:rsidP="000A1BF9">
      <w:pPr>
        <w:pStyle w:val="SingleTxt"/>
        <w:keepNext/>
        <w:spacing w:after="0" w:line="120" w:lineRule="exact"/>
        <w:rPr>
          <w:sz w:val="10"/>
        </w:rPr>
      </w:pPr>
    </w:p>
    <w:p w14:paraId="4829C325" w14:textId="77777777" w:rsidR="00AA3AEF" w:rsidRPr="00BA29AE" w:rsidRDefault="00AA3AEF" w:rsidP="00421C0E">
      <w:pPr>
        <w:pStyle w:val="SingleTxt"/>
        <w:keepNext/>
        <w:spacing w:line="238" w:lineRule="atLeast"/>
      </w:pPr>
      <w:r w:rsidRPr="00BA29AE">
        <w:t>37.</w:t>
      </w:r>
      <w:r w:rsidRPr="00BA29AE">
        <w:tab/>
        <w:t>The working group held a teleconference with representatives of UN-Women, OECD and the World Bank, who provided a briefing on developments relating to Sustainable Development Goal indicator 5.1.1. The working group identified the following priority issues: (a) determining ways to increase the public visibility of the Committee as a full partner in the implementation and monitoring of indicator 5.1.1; and (b) the need to develop a strategy to raise awareness about the interconnectedness between the commitment of States parties to achieving the targets relating to women’s empowerment, and their obligations under the Convention.</w:t>
      </w:r>
    </w:p>
    <w:p w14:paraId="05304FC4" w14:textId="354FDF3F" w:rsidR="00AA3AEF" w:rsidRPr="00BA29AE" w:rsidRDefault="00AA3AEF" w:rsidP="00421C0E">
      <w:pPr>
        <w:pStyle w:val="SingleTxt"/>
        <w:spacing w:line="238" w:lineRule="atLeast"/>
      </w:pPr>
      <w:r w:rsidRPr="00BA29AE">
        <w:t>38.</w:t>
      </w:r>
      <w:r w:rsidRPr="00BA29AE">
        <w:tab/>
        <w:t>The working group invited Luis Mora, Chief, G</w:t>
      </w:r>
      <w:r w:rsidR="00B91729">
        <w:t>ender, Human Rights and Culture</w:t>
      </w:r>
      <w:r w:rsidRPr="00BA29AE">
        <w:t xml:space="preserve"> Branch, Technical Division, UNFPA, to provide a briefing to the Committee on the development of Sustainable Development Goal indicator 5.6.1, on ensuring access for women 15–49 years of age to make their own informed decisions regarding sexual relations, contraceptive use and reproductive health care, and indicator 5.6.2, on ensuring national laws and regulations that guarantee women and men 15 years of age or older access to sexual and reproductive health care, information and education, for which UNFPA </w:t>
      </w:r>
      <w:r w:rsidR="00484B48">
        <w:t>wa</w:t>
      </w:r>
      <w:r w:rsidRPr="00BA29AE">
        <w:t>s the lead custodial agency. The working group underlined the value of including relevant recommendations of the Committee in the work of UNFPA on indicator development and data collection. UNFPA and the Committee agreed on a future course of strengthened institutional collaboration.</w:t>
      </w:r>
    </w:p>
    <w:p w14:paraId="2970C634" w14:textId="77777777" w:rsidR="00AA3AEF" w:rsidRPr="00BA29AE" w:rsidRDefault="00AA3AEF" w:rsidP="00421C0E">
      <w:pPr>
        <w:pStyle w:val="SingleTxt"/>
        <w:spacing w:line="238" w:lineRule="atLeast"/>
      </w:pPr>
      <w:r w:rsidRPr="00BA29AE">
        <w:t>39.</w:t>
      </w:r>
      <w:r w:rsidRPr="00BA29AE">
        <w:tab/>
        <w:t>The chair of the working group, Nicole Ameline, proposed the organization of a side event at the sixty-second session of the Commission on the Status of Women in March 2018, with a view to raising awareness of the work of the Committee in reinforcing the implementation and promotion of the 2030 Agenda for Sustainable Development and its inextricable linkage to the Convention.</w:t>
      </w:r>
    </w:p>
    <w:p w14:paraId="667094FA" w14:textId="77777777" w:rsidR="00AA3AEF" w:rsidRPr="00BA29AE" w:rsidRDefault="00AA3AEF" w:rsidP="00421C0E">
      <w:pPr>
        <w:pStyle w:val="SingleTxt"/>
        <w:spacing w:line="238" w:lineRule="atLeast"/>
      </w:pPr>
      <w:r w:rsidRPr="00BA29AE">
        <w:t>40.</w:t>
      </w:r>
      <w:r w:rsidRPr="00BA29AE">
        <w:tab/>
        <w:t>The working group noted that the recruitment process of a consultant to review the reporting guidelines of the Committee was in its final stages.</w:t>
      </w:r>
    </w:p>
    <w:p w14:paraId="08101DBB" w14:textId="77777777" w:rsidR="00AA3AEF" w:rsidRPr="00BA29AE" w:rsidRDefault="00AA3AEF" w:rsidP="00AA3AEF">
      <w:pPr>
        <w:pStyle w:val="SingleTxt"/>
        <w:spacing w:after="0" w:line="120" w:lineRule="exact"/>
        <w:rPr>
          <w:sz w:val="10"/>
        </w:rPr>
      </w:pPr>
    </w:p>
    <w:p w14:paraId="6D51396A"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gender-based violence against women</w:t>
      </w:r>
    </w:p>
    <w:p w14:paraId="60149755" w14:textId="77777777" w:rsidR="00AA3AEF" w:rsidRPr="00BA29AE" w:rsidRDefault="00AA3AEF" w:rsidP="00AA3AEF">
      <w:pPr>
        <w:pStyle w:val="SingleTxt"/>
        <w:spacing w:after="0" w:line="120" w:lineRule="exact"/>
        <w:rPr>
          <w:sz w:val="10"/>
        </w:rPr>
      </w:pPr>
    </w:p>
    <w:p w14:paraId="10FE9397" w14:textId="77777777" w:rsidR="00AA3AEF" w:rsidRPr="00BA29AE" w:rsidRDefault="00AA3AEF" w:rsidP="00421C0E">
      <w:pPr>
        <w:pStyle w:val="SingleTxt"/>
        <w:spacing w:line="238" w:lineRule="atLeast"/>
      </w:pPr>
      <w:r w:rsidRPr="00BA29AE">
        <w:t>41.</w:t>
      </w:r>
      <w:r w:rsidRPr="00BA29AE">
        <w:tab/>
        <w:t>The working group met during the session.</w:t>
      </w:r>
    </w:p>
    <w:p w14:paraId="1170B710" w14:textId="77777777" w:rsidR="00AA3AEF" w:rsidRPr="00BA29AE" w:rsidRDefault="00AA3AEF" w:rsidP="00421C0E">
      <w:pPr>
        <w:pStyle w:val="SingleTxt"/>
        <w:spacing w:line="238" w:lineRule="atLeast"/>
      </w:pPr>
      <w:r w:rsidRPr="00BA29AE">
        <w:t>42.</w:t>
      </w:r>
      <w:r w:rsidRPr="00BA29AE">
        <w:tab/>
        <w:t>On 14 November 2017, the Committee convened an expert panel discussion to raise awareness on its recently adopted general recommendation No. 35. The panellists included Hina Jilani, human rights lawyer, the Elders; Shilan Shah-Davis, Senior Lecturer, University of the West of England; Anthony Keedi, Technical Adviser (Masculinities), Abaad Resource Centre for Gender Equality; Carmen Barroso, Co-chair, Independent Accountability Panel, Every Woman Every Child; Dubravka Šimonović, Special Rapporteur on violence against women, its causes and consequences; and Jane Connors, Assistant Secretary-General, Victims’ Rights Advocate. Kate Gilmore, Deputy High Commissioner for Human Rights, moderated the discussion.</w:t>
      </w:r>
    </w:p>
    <w:p w14:paraId="2C2BA4ED" w14:textId="77777777" w:rsidR="00AA3AEF" w:rsidRPr="00BA29AE" w:rsidRDefault="00AA3AEF" w:rsidP="00421C0E">
      <w:pPr>
        <w:pStyle w:val="SingleTxt"/>
        <w:spacing w:line="238" w:lineRule="atLeast"/>
      </w:pPr>
      <w:r w:rsidRPr="00BA29AE">
        <w:t>43.</w:t>
      </w:r>
      <w:r w:rsidRPr="00BA29AE">
        <w:tab/>
        <w:t>A number of States parties to the Convention attended the event, as well as representatives of the specialized agencies and non-governmental organizations. Representatives welcomed the adoption of general recommendation No. 35 and expressed their continued commitment to combating gender-based violence against women.</w:t>
      </w:r>
    </w:p>
    <w:p w14:paraId="2162CFD9" w14:textId="77777777" w:rsidR="00AA3AEF" w:rsidRPr="00BA29AE" w:rsidRDefault="00AA3AEF" w:rsidP="00AA3AEF">
      <w:pPr>
        <w:pStyle w:val="SingleTxt"/>
        <w:spacing w:after="0" w:line="120" w:lineRule="exact"/>
        <w:rPr>
          <w:sz w:val="10"/>
        </w:rPr>
      </w:pPr>
    </w:p>
    <w:p w14:paraId="66CC70B3" w14:textId="77777777" w:rsidR="00AA3AEF" w:rsidRPr="00BA29AE" w:rsidRDefault="00AA3AEF" w:rsidP="000A1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Task force on women in conflict prevention, conflict and post-conflict situations</w:t>
      </w:r>
    </w:p>
    <w:p w14:paraId="4C0C7E0F" w14:textId="77777777" w:rsidR="00AA3AEF" w:rsidRPr="00BA29AE" w:rsidRDefault="00AA3AEF" w:rsidP="000A1BF9">
      <w:pPr>
        <w:pStyle w:val="SingleTxt"/>
        <w:spacing w:after="0" w:line="120" w:lineRule="exact"/>
        <w:rPr>
          <w:sz w:val="10"/>
        </w:rPr>
      </w:pPr>
    </w:p>
    <w:p w14:paraId="1F949ABF" w14:textId="488B20EE" w:rsidR="00AA3AEF" w:rsidRPr="00BA29AE" w:rsidRDefault="00AA3AEF" w:rsidP="00421C0E">
      <w:pPr>
        <w:pStyle w:val="SingleTxt"/>
        <w:spacing w:line="238" w:lineRule="atLeast"/>
      </w:pPr>
      <w:r w:rsidRPr="00BA29AE">
        <w:t>44.</w:t>
      </w:r>
      <w:r w:rsidRPr="00BA29AE">
        <w:tab/>
        <w:t>The task force met during the session to discuss a framework for cooperation with the Special Representative of the Secretary-General on sexual violence in conflict, Pramila Patten.</w:t>
      </w:r>
      <w:r w:rsidR="000A1BF9">
        <w:t xml:space="preserve"> </w:t>
      </w:r>
      <w:r w:rsidRPr="00BA29AE">
        <w:br w:type="page"/>
      </w:r>
    </w:p>
    <w:p w14:paraId="230145C4" w14:textId="77777777" w:rsidR="00AA3AEF" w:rsidRPr="00BA29AE" w:rsidRDefault="00AA3AEF" w:rsidP="00AA3AEF">
      <w:pPr>
        <w:pStyle w:val="HCh"/>
        <w:ind w:left="1267" w:right="1260" w:hanging="1267"/>
      </w:pPr>
      <w:r w:rsidRPr="00BA29AE">
        <w:lastRenderedPageBreak/>
        <w:t>Chapter VIII</w:t>
      </w:r>
    </w:p>
    <w:p w14:paraId="02DE2269" w14:textId="77777777" w:rsidR="00AA3AEF" w:rsidRPr="00BA29AE" w:rsidRDefault="00AA3AEF" w:rsidP="00AA3AEF">
      <w:pPr>
        <w:pStyle w:val="HCh"/>
        <w:ind w:left="1267" w:right="1260" w:hanging="1267"/>
      </w:pPr>
      <w:r w:rsidRPr="00BA29AE">
        <w:tab/>
      </w:r>
      <w:r w:rsidRPr="00BA29AE">
        <w:tab/>
        <w:t>Provisional agenda for the sixty-ninth session</w:t>
      </w:r>
    </w:p>
    <w:p w14:paraId="1EDABE15" w14:textId="77777777" w:rsidR="00AA3AEF" w:rsidRPr="00BA29AE" w:rsidRDefault="00AA3AEF" w:rsidP="00AA3AEF">
      <w:pPr>
        <w:pStyle w:val="SingleTxt"/>
        <w:spacing w:after="0" w:line="120" w:lineRule="exact"/>
        <w:rPr>
          <w:sz w:val="10"/>
        </w:rPr>
      </w:pPr>
    </w:p>
    <w:p w14:paraId="48BAFE5A" w14:textId="77777777" w:rsidR="00AA3AEF" w:rsidRPr="00BA29AE" w:rsidRDefault="00AA3AEF" w:rsidP="00AA3AEF">
      <w:pPr>
        <w:pStyle w:val="SingleTxt"/>
        <w:spacing w:after="0" w:line="120" w:lineRule="exact"/>
        <w:rPr>
          <w:sz w:val="10"/>
        </w:rPr>
      </w:pPr>
    </w:p>
    <w:p w14:paraId="48BCA18E" w14:textId="77777777" w:rsidR="00AA3AEF" w:rsidRPr="00BA29AE" w:rsidRDefault="00AA3AEF" w:rsidP="00AA3AEF">
      <w:pPr>
        <w:pStyle w:val="SingleTxt"/>
      </w:pPr>
      <w:r w:rsidRPr="00BA29AE">
        <w:t>45.</w:t>
      </w:r>
      <w:r w:rsidRPr="00BA29AE">
        <w:tab/>
        <w:t xml:space="preserve">At its 1569th meeting, on 17 November 2017, the Committee considered and approved the draft provisional agenda for its sixty-ninth session. </w:t>
      </w:r>
    </w:p>
    <w:p w14:paraId="078E9CC8" w14:textId="77777777" w:rsidR="00AA3AEF" w:rsidRPr="00BA29AE" w:rsidRDefault="00AA3AEF" w:rsidP="00AA3AEF">
      <w:pPr>
        <w:suppressAutoHyphens w:val="0"/>
        <w:spacing w:after="200" w:line="276" w:lineRule="auto"/>
      </w:pPr>
      <w:r w:rsidRPr="00BA29AE">
        <w:br w:type="page"/>
      </w:r>
    </w:p>
    <w:p w14:paraId="0521501E" w14:textId="77777777" w:rsidR="00AA3AEF" w:rsidRPr="00BA29AE" w:rsidRDefault="00AA3AEF" w:rsidP="00AA3AEF">
      <w:pPr>
        <w:pStyle w:val="HCh"/>
        <w:ind w:left="1267" w:right="1260" w:hanging="1267"/>
      </w:pPr>
      <w:r w:rsidRPr="00BA29AE">
        <w:lastRenderedPageBreak/>
        <w:t>Chapter IX</w:t>
      </w:r>
    </w:p>
    <w:p w14:paraId="6A0B4FDC" w14:textId="77777777" w:rsidR="00AA3AEF" w:rsidRPr="00BA29AE" w:rsidRDefault="00AA3AEF" w:rsidP="00AA3AEF">
      <w:pPr>
        <w:pStyle w:val="HCh"/>
        <w:ind w:left="1267" w:right="1260" w:hanging="1267"/>
      </w:pPr>
      <w:r w:rsidRPr="00BA29AE">
        <w:tab/>
      </w:r>
      <w:r w:rsidRPr="00BA29AE">
        <w:tab/>
        <w:t>Adoption of the report</w:t>
      </w:r>
    </w:p>
    <w:p w14:paraId="4F039745" w14:textId="77777777" w:rsidR="00AA3AEF" w:rsidRPr="00BA29AE" w:rsidRDefault="00AA3AEF" w:rsidP="00AA3AEF">
      <w:pPr>
        <w:pStyle w:val="SingleTxt"/>
        <w:spacing w:after="0" w:line="120" w:lineRule="exact"/>
        <w:rPr>
          <w:sz w:val="10"/>
        </w:rPr>
      </w:pPr>
    </w:p>
    <w:p w14:paraId="57CEFE91" w14:textId="77777777" w:rsidR="00AA3AEF" w:rsidRPr="00BA29AE" w:rsidRDefault="00AA3AEF" w:rsidP="00AA3AEF">
      <w:pPr>
        <w:pStyle w:val="SingleTxt"/>
        <w:spacing w:after="0" w:line="120" w:lineRule="exact"/>
        <w:rPr>
          <w:sz w:val="10"/>
        </w:rPr>
      </w:pPr>
    </w:p>
    <w:p w14:paraId="3B08EBF9" w14:textId="77777777" w:rsidR="00AA3AEF" w:rsidRPr="00BA29AE" w:rsidRDefault="00AA3AEF" w:rsidP="00AA3AEF">
      <w:pPr>
        <w:pStyle w:val="SingleTxt"/>
      </w:pPr>
      <w:r w:rsidRPr="00BA29AE">
        <w:t>46.</w:t>
      </w:r>
      <w:r w:rsidRPr="00BA29AE">
        <w:tab/>
        <w:t>At its 1569th meeting, on 17 November 2017, the Committee considered and adopted, as orally amended, the draft report on its sixty-eighth session.</w:t>
      </w:r>
    </w:p>
    <w:p w14:paraId="60518D7E" w14:textId="77777777" w:rsidR="00AA3AEF" w:rsidRPr="00BA29AE" w:rsidRDefault="00AA3AEF" w:rsidP="00AA3AEF">
      <w:pPr>
        <w:suppressAutoHyphens w:val="0"/>
        <w:spacing w:after="200" w:line="276" w:lineRule="auto"/>
      </w:pPr>
      <w:r w:rsidRPr="00BA29AE">
        <w:br w:type="page"/>
      </w:r>
    </w:p>
    <w:p w14:paraId="33ADF30A" w14:textId="77777777" w:rsidR="00AA3AEF" w:rsidRPr="00BA29AE" w:rsidRDefault="00AA3AEF" w:rsidP="00AA3AEF">
      <w:pPr>
        <w:pStyle w:val="HCh"/>
        <w:ind w:left="1267" w:right="1260" w:hanging="1267"/>
      </w:pPr>
      <w:r w:rsidRPr="00BA29AE">
        <w:lastRenderedPageBreak/>
        <w:t>Annex</w:t>
      </w:r>
    </w:p>
    <w:p w14:paraId="33519F6D" w14:textId="77777777" w:rsidR="00AA3AEF" w:rsidRPr="001E7B00" w:rsidRDefault="00AA3AEF" w:rsidP="00AA3AEF">
      <w:pPr>
        <w:pStyle w:val="SingleTxt"/>
        <w:spacing w:after="0" w:line="120" w:lineRule="exact"/>
        <w:rPr>
          <w:sz w:val="10"/>
        </w:rPr>
      </w:pPr>
    </w:p>
    <w:p w14:paraId="5D5DD570" w14:textId="77777777" w:rsidR="00AA3AEF" w:rsidRPr="00BA29AE" w:rsidRDefault="00AA3AEF" w:rsidP="00AA3AEF">
      <w:pPr>
        <w:pStyle w:val="HCh"/>
        <w:ind w:left="1267" w:right="1260" w:hanging="1267"/>
      </w:pPr>
      <w:r w:rsidRPr="00BA29AE">
        <w:tab/>
      </w:r>
      <w:r w:rsidRPr="00BA29AE">
        <w:tab/>
        <w:t>Documents before the Committee at its sixty-eighth session</w:t>
      </w:r>
    </w:p>
    <w:p w14:paraId="73D21668" w14:textId="77777777" w:rsidR="00AA3AEF" w:rsidRPr="00BA29AE" w:rsidRDefault="00AA3AEF" w:rsidP="00AA3AEF">
      <w:pPr>
        <w:pStyle w:val="SingleTxt"/>
        <w:spacing w:after="0" w:line="120" w:lineRule="exact"/>
        <w:rPr>
          <w:sz w:val="10"/>
        </w:rPr>
      </w:pPr>
    </w:p>
    <w:p w14:paraId="5DB28320" w14:textId="77777777" w:rsidR="00AA3AEF" w:rsidRPr="00BA29AE" w:rsidRDefault="00AA3AEF" w:rsidP="00AA3AE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4980"/>
      </w:tblGrid>
      <w:tr w:rsidR="00AA3AEF" w:rsidRPr="00BA29AE" w14:paraId="6D7555AE" w14:textId="77777777" w:rsidTr="00AA3AEF">
        <w:trPr>
          <w:tblHeader/>
        </w:trPr>
        <w:tc>
          <w:tcPr>
            <w:tcW w:w="2340" w:type="dxa"/>
            <w:tcBorders>
              <w:top w:val="single" w:sz="4" w:space="0" w:color="auto"/>
              <w:bottom w:val="single" w:sz="12" w:space="0" w:color="auto"/>
            </w:tcBorders>
            <w:shd w:val="clear" w:color="auto" w:fill="auto"/>
            <w:vAlign w:val="bottom"/>
          </w:tcPr>
          <w:p w14:paraId="245D3978"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A29AE">
              <w:rPr>
                <w:i/>
                <w:sz w:val="14"/>
                <w:lang w:val="en-GB"/>
              </w:rPr>
              <w:t>Document number</w:t>
            </w:r>
          </w:p>
        </w:tc>
        <w:tc>
          <w:tcPr>
            <w:tcW w:w="4980" w:type="dxa"/>
            <w:tcBorders>
              <w:top w:val="single" w:sz="4" w:space="0" w:color="auto"/>
              <w:bottom w:val="single" w:sz="12" w:space="0" w:color="auto"/>
            </w:tcBorders>
            <w:shd w:val="clear" w:color="auto" w:fill="auto"/>
            <w:vAlign w:val="bottom"/>
          </w:tcPr>
          <w:p w14:paraId="2772781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A29AE">
              <w:rPr>
                <w:i/>
                <w:sz w:val="14"/>
                <w:lang w:val="en-GB"/>
              </w:rPr>
              <w:t>Title or description</w:t>
            </w:r>
          </w:p>
        </w:tc>
      </w:tr>
      <w:tr w:rsidR="00AA3AEF" w:rsidRPr="00BA29AE" w14:paraId="7FFBDEE9" w14:textId="77777777" w:rsidTr="00AA3AEF">
        <w:trPr>
          <w:trHeight w:hRule="exact" w:val="115"/>
          <w:tblHeader/>
        </w:trPr>
        <w:tc>
          <w:tcPr>
            <w:tcW w:w="2340" w:type="dxa"/>
            <w:tcBorders>
              <w:top w:val="single" w:sz="12" w:space="0" w:color="auto"/>
            </w:tcBorders>
            <w:shd w:val="clear" w:color="auto" w:fill="auto"/>
            <w:vAlign w:val="bottom"/>
          </w:tcPr>
          <w:p w14:paraId="4964D9D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4980" w:type="dxa"/>
            <w:tcBorders>
              <w:top w:val="single" w:sz="12" w:space="0" w:color="auto"/>
            </w:tcBorders>
            <w:shd w:val="clear" w:color="auto" w:fill="auto"/>
            <w:vAlign w:val="bottom"/>
          </w:tcPr>
          <w:p w14:paraId="3D04E61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A3AEF" w:rsidRPr="00BA29AE" w14:paraId="17902B4D" w14:textId="77777777" w:rsidTr="00AA3AEF">
        <w:tc>
          <w:tcPr>
            <w:tcW w:w="2340" w:type="dxa"/>
            <w:shd w:val="clear" w:color="auto" w:fill="auto"/>
          </w:tcPr>
          <w:p w14:paraId="7CA399AF" w14:textId="53809048"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85" w:history="1">
              <w:r w:rsidR="00AA3AEF" w:rsidRPr="00BA29AE">
                <w:rPr>
                  <w:rStyle w:val="Hyperlink"/>
                  <w:lang w:val="en-GB"/>
                </w:rPr>
                <w:t>CEDAW/C/68/1</w:t>
              </w:r>
            </w:hyperlink>
          </w:p>
        </w:tc>
        <w:tc>
          <w:tcPr>
            <w:tcW w:w="4980" w:type="dxa"/>
            <w:shd w:val="clear" w:color="auto" w:fill="auto"/>
          </w:tcPr>
          <w:p w14:paraId="2B4BD75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 xml:space="preserve">Annotated provisional agenda </w:t>
            </w:r>
          </w:p>
        </w:tc>
      </w:tr>
      <w:tr w:rsidR="00AA3AEF" w:rsidRPr="00BA29AE" w14:paraId="54B6686E" w14:textId="77777777" w:rsidTr="00AA3AEF">
        <w:tc>
          <w:tcPr>
            <w:tcW w:w="2340" w:type="dxa"/>
            <w:shd w:val="clear" w:color="auto" w:fill="auto"/>
          </w:tcPr>
          <w:p w14:paraId="10D9D988" w14:textId="062BFB7E"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86" w:history="1">
              <w:r w:rsidR="00AA3AEF" w:rsidRPr="00BA29AE">
                <w:rPr>
                  <w:rStyle w:val="Hyperlink"/>
                  <w:lang w:val="en-GB"/>
                </w:rPr>
                <w:t>CEDAW/C/68/2</w:t>
              </w:r>
            </w:hyperlink>
          </w:p>
        </w:tc>
        <w:tc>
          <w:tcPr>
            <w:tcW w:w="4980" w:type="dxa"/>
            <w:shd w:val="clear" w:color="auto" w:fill="auto"/>
          </w:tcPr>
          <w:p w14:paraId="107ADE7F"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Report of the United Nations Educational, Scientific and Cultural Organization</w:t>
            </w:r>
          </w:p>
        </w:tc>
      </w:tr>
      <w:tr w:rsidR="00AA3AEF" w:rsidRPr="00BA29AE" w14:paraId="76874E1E" w14:textId="77777777" w:rsidTr="00AA3AEF">
        <w:tc>
          <w:tcPr>
            <w:tcW w:w="2340" w:type="dxa"/>
            <w:shd w:val="clear" w:color="auto" w:fill="auto"/>
          </w:tcPr>
          <w:p w14:paraId="74D129EF" w14:textId="605BC260"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87" w:history="1">
              <w:r w:rsidR="00AA3AEF" w:rsidRPr="00BA29AE">
                <w:rPr>
                  <w:rStyle w:val="Hyperlink"/>
                  <w:lang w:val="en-GB"/>
                </w:rPr>
                <w:t>CEDAW/C/68/3</w:t>
              </w:r>
            </w:hyperlink>
          </w:p>
        </w:tc>
        <w:tc>
          <w:tcPr>
            <w:tcW w:w="4980" w:type="dxa"/>
            <w:shd w:val="clear" w:color="auto" w:fill="auto"/>
          </w:tcPr>
          <w:p w14:paraId="1742BE3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Report of the International Labour Organization</w:t>
            </w:r>
          </w:p>
        </w:tc>
      </w:tr>
      <w:tr w:rsidR="00AA3AEF" w:rsidRPr="00BA29AE" w14:paraId="33E92E60" w14:textId="77777777" w:rsidTr="00AA3AEF">
        <w:tc>
          <w:tcPr>
            <w:tcW w:w="2340" w:type="dxa"/>
            <w:shd w:val="clear" w:color="auto" w:fill="auto"/>
          </w:tcPr>
          <w:p w14:paraId="3FCCB97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bCs/>
                <w:lang w:val="en-GB"/>
              </w:rPr>
            </w:pPr>
            <w:r w:rsidRPr="00BA29AE">
              <w:rPr>
                <w:b/>
                <w:bCs/>
                <w:lang w:val="en-GB"/>
              </w:rPr>
              <w:t>Reports of States parties</w:t>
            </w:r>
          </w:p>
        </w:tc>
        <w:tc>
          <w:tcPr>
            <w:tcW w:w="4980" w:type="dxa"/>
            <w:shd w:val="clear" w:color="auto" w:fill="auto"/>
          </w:tcPr>
          <w:p w14:paraId="2BF367FD"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A3AEF" w:rsidRPr="00BA29AE" w14:paraId="7E039455" w14:textId="77777777" w:rsidTr="00AA3AEF">
        <w:tc>
          <w:tcPr>
            <w:tcW w:w="2340" w:type="dxa"/>
            <w:shd w:val="clear" w:color="auto" w:fill="auto"/>
          </w:tcPr>
          <w:p w14:paraId="13A4EE12" w14:textId="3B3CC028"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88" w:history="1">
              <w:r w:rsidR="00AA3AEF" w:rsidRPr="00BA29AE">
                <w:rPr>
                  <w:rStyle w:val="Hyperlink"/>
                  <w:lang w:val="en-GB"/>
                </w:rPr>
                <w:t>CEDAW/C/BFA/7</w:t>
              </w:r>
            </w:hyperlink>
          </w:p>
        </w:tc>
        <w:tc>
          <w:tcPr>
            <w:tcW w:w="4980" w:type="dxa"/>
            <w:shd w:val="clear" w:color="auto" w:fill="auto"/>
          </w:tcPr>
          <w:p w14:paraId="394DF02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Seventh periodic report of Burkina Faso</w:t>
            </w:r>
          </w:p>
        </w:tc>
      </w:tr>
      <w:tr w:rsidR="00AA3AEF" w:rsidRPr="00BA29AE" w14:paraId="15F297F8" w14:textId="77777777" w:rsidTr="00AA3AEF">
        <w:tc>
          <w:tcPr>
            <w:tcW w:w="2340" w:type="dxa"/>
            <w:shd w:val="clear" w:color="auto" w:fill="auto"/>
          </w:tcPr>
          <w:p w14:paraId="6A5E849A" w14:textId="24A48BDC"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89" w:history="1">
              <w:r w:rsidR="00AA3AEF" w:rsidRPr="00BA29AE">
                <w:rPr>
                  <w:rStyle w:val="Hyperlink"/>
                  <w:lang w:val="en-GB"/>
                </w:rPr>
                <w:t>CEDAW/C/PRK/2-4</w:t>
              </w:r>
            </w:hyperlink>
          </w:p>
        </w:tc>
        <w:tc>
          <w:tcPr>
            <w:tcW w:w="4980" w:type="dxa"/>
            <w:shd w:val="clear" w:color="auto" w:fill="auto"/>
          </w:tcPr>
          <w:p w14:paraId="4711EE5F"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second to fourth periodic reports of the Democratic People’s Republic of Korea</w:t>
            </w:r>
          </w:p>
        </w:tc>
      </w:tr>
      <w:tr w:rsidR="00AA3AEF" w:rsidRPr="00BA29AE" w14:paraId="26F2D8CA" w14:textId="77777777" w:rsidTr="00AA3AEF">
        <w:tc>
          <w:tcPr>
            <w:tcW w:w="2340" w:type="dxa"/>
            <w:shd w:val="clear" w:color="auto" w:fill="auto"/>
          </w:tcPr>
          <w:p w14:paraId="16BCB653" w14:textId="57963BC8"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0" w:history="1">
              <w:r w:rsidR="00AA3AEF" w:rsidRPr="00BA29AE">
                <w:rPr>
                  <w:rStyle w:val="Hyperlink"/>
                  <w:lang w:val="en-GB"/>
                </w:rPr>
                <w:t>CEDAW/C/GTM/8-9</w:t>
              </w:r>
            </w:hyperlink>
          </w:p>
        </w:tc>
        <w:tc>
          <w:tcPr>
            <w:tcW w:w="4980" w:type="dxa"/>
            <w:shd w:val="clear" w:color="auto" w:fill="auto"/>
          </w:tcPr>
          <w:p w14:paraId="60AB4E9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eighth and ninth periodic reports of Guatemala</w:t>
            </w:r>
          </w:p>
        </w:tc>
      </w:tr>
      <w:tr w:rsidR="00AA3AEF" w:rsidRPr="00BA29AE" w14:paraId="0ADE34FB" w14:textId="77777777" w:rsidTr="00AA3AEF">
        <w:tc>
          <w:tcPr>
            <w:tcW w:w="2340" w:type="dxa"/>
            <w:shd w:val="clear" w:color="auto" w:fill="auto"/>
          </w:tcPr>
          <w:p w14:paraId="4D73805E" w14:textId="39803EB9"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1" w:history="1">
              <w:r w:rsidR="00AA3AEF" w:rsidRPr="00BA29AE">
                <w:rPr>
                  <w:rStyle w:val="Hyperlink"/>
                  <w:lang w:val="en-GB"/>
                </w:rPr>
                <w:t>CEDAW/C/ISR/6</w:t>
              </w:r>
            </w:hyperlink>
          </w:p>
        </w:tc>
        <w:tc>
          <w:tcPr>
            <w:tcW w:w="4980" w:type="dxa"/>
            <w:shd w:val="clear" w:color="auto" w:fill="auto"/>
          </w:tcPr>
          <w:p w14:paraId="63107ED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Sixth periodic report of Israel</w:t>
            </w:r>
          </w:p>
        </w:tc>
      </w:tr>
      <w:tr w:rsidR="00AA3AEF" w:rsidRPr="00BA29AE" w14:paraId="74551A4F" w14:textId="77777777" w:rsidTr="00AA3AEF">
        <w:tc>
          <w:tcPr>
            <w:tcW w:w="2340" w:type="dxa"/>
            <w:shd w:val="clear" w:color="auto" w:fill="auto"/>
          </w:tcPr>
          <w:p w14:paraId="09A329E0" w14:textId="07F31B99"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2" w:history="1">
              <w:r w:rsidR="00AA3AEF" w:rsidRPr="00BA29AE">
                <w:rPr>
                  <w:rStyle w:val="Hyperlink"/>
                  <w:lang w:val="en-GB"/>
                </w:rPr>
                <w:t>CEDAW/C/KEN/8</w:t>
              </w:r>
            </w:hyperlink>
          </w:p>
        </w:tc>
        <w:tc>
          <w:tcPr>
            <w:tcW w:w="4980" w:type="dxa"/>
            <w:shd w:val="clear" w:color="auto" w:fill="auto"/>
          </w:tcPr>
          <w:p w14:paraId="538A1BB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Eighth periodic report of Kenya</w:t>
            </w:r>
          </w:p>
        </w:tc>
      </w:tr>
      <w:tr w:rsidR="00AA3AEF" w:rsidRPr="00BA29AE" w14:paraId="1E782F03" w14:textId="77777777" w:rsidTr="00AA3AEF">
        <w:tc>
          <w:tcPr>
            <w:tcW w:w="2340" w:type="dxa"/>
            <w:shd w:val="clear" w:color="auto" w:fill="auto"/>
          </w:tcPr>
          <w:p w14:paraId="7FDF2DB3" w14:textId="14766EA3"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3" w:history="1">
              <w:r w:rsidR="00AA3AEF" w:rsidRPr="00BA29AE">
                <w:rPr>
                  <w:rStyle w:val="Hyperlink"/>
                  <w:lang w:val="en-GB"/>
                </w:rPr>
                <w:t>CEDAW/C/KWT/5</w:t>
              </w:r>
            </w:hyperlink>
          </w:p>
        </w:tc>
        <w:tc>
          <w:tcPr>
            <w:tcW w:w="4980" w:type="dxa"/>
            <w:shd w:val="clear" w:color="auto" w:fill="auto"/>
          </w:tcPr>
          <w:p w14:paraId="2FE9268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Fifth periodic report of Kuwait</w:t>
            </w:r>
          </w:p>
        </w:tc>
      </w:tr>
      <w:tr w:rsidR="00AA3AEF" w:rsidRPr="00BA29AE" w14:paraId="46E98806" w14:textId="77777777" w:rsidTr="00AA3AEF">
        <w:tc>
          <w:tcPr>
            <w:tcW w:w="2340" w:type="dxa"/>
            <w:shd w:val="clear" w:color="auto" w:fill="auto"/>
          </w:tcPr>
          <w:p w14:paraId="03B04662" w14:textId="1E7F2395"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4" w:history="1">
              <w:r w:rsidR="00AA3AEF" w:rsidRPr="00BA29AE">
                <w:rPr>
                  <w:rStyle w:val="Hyperlink"/>
                  <w:lang w:val="en-GB"/>
                </w:rPr>
                <w:t>CEDAW/C/MCO/1-3</w:t>
              </w:r>
            </w:hyperlink>
          </w:p>
        </w:tc>
        <w:tc>
          <w:tcPr>
            <w:tcW w:w="4980" w:type="dxa"/>
            <w:shd w:val="clear" w:color="auto" w:fill="auto"/>
          </w:tcPr>
          <w:p w14:paraId="1C88CB3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initial to third periodic reports of Monaco</w:t>
            </w:r>
          </w:p>
        </w:tc>
      </w:tr>
      <w:tr w:rsidR="00AA3AEF" w:rsidRPr="00BA29AE" w14:paraId="7FA46D3E" w14:textId="77777777" w:rsidTr="00AA3AEF">
        <w:tc>
          <w:tcPr>
            <w:tcW w:w="2340" w:type="dxa"/>
            <w:shd w:val="clear" w:color="auto" w:fill="auto"/>
          </w:tcPr>
          <w:p w14:paraId="0814361C" w14:textId="0E84BFBB"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5" w:history="1">
              <w:r w:rsidR="00AA3AEF" w:rsidRPr="00BA29AE">
                <w:rPr>
                  <w:rStyle w:val="Hyperlink"/>
                  <w:lang w:val="en-GB"/>
                </w:rPr>
                <w:t>CEDAW/C/NRU/1-2</w:t>
              </w:r>
            </w:hyperlink>
          </w:p>
        </w:tc>
        <w:tc>
          <w:tcPr>
            <w:tcW w:w="4980" w:type="dxa"/>
            <w:shd w:val="clear" w:color="auto" w:fill="auto"/>
          </w:tcPr>
          <w:p w14:paraId="0A6C812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initial and second periodic reports of Nauru</w:t>
            </w:r>
          </w:p>
        </w:tc>
      </w:tr>
      <w:tr w:rsidR="00AA3AEF" w:rsidRPr="00BA29AE" w14:paraId="48E7D00B" w14:textId="77777777" w:rsidTr="00AA3AEF">
        <w:tc>
          <w:tcPr>
            <w:tcW w:w="2340" w:type="dxa"/>
            <w:shd w:val="clear" w:color="auto" w:fill="auto"/>
          </w:tcPr>
          <w:p w14:paraId="61FFD1D1" w14:textId="15BC300B"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6" w:history="1">
              <w:r w:rsidR="00AA3AEF" w:rsidRPr="00BA29AE">
                <w:rPr>
                  <w:rStyle w:val="Hyperlink"/>
                  <w:lang w:val="en-GB"/>
                </w:rPr>
                <w:t>CEDAW/C/NOR/9</w:t>
              </w:r>
            </w:hyperlink>
          </w:p>
        </w:tc>
        <w:tc>
          <w:tcPr>
            <w:tcW w:w="4980" w:type="dxa"/>
            <w:shd w:val="clear" w:color="auto" w:fill="auto"/>
          </w:tcPr>
          <w:p w14:paraId="2E21272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Ninth periodic report of Norway</w:t>
            </w:r>
          </w:p>
        </w:tc>
      </w:tr>
      <w:tr w:rsidR="00AA3AEF" w:rsidRPr="00BA29AE" w14:paraId="6D71E98F" w14:textId="77777777" w:rsidTr="00AA3AEF">
        <w:tc>
          <w:tcPr>
            <w:tcW w:w="2340" w:type="dxa"/>
            <w:shd w:val="clear" w:color="auto" w:fill="auto"/>
          </w:tcPr>
          <w:p w14:paraId="00251DC7" w14:textId="6F8BD7EE"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7" w:history="1">
              <w:r w:rsidR="00AA3AEF" w:rsidRPr="00BA29AE">
                <w:rPr>
                  <w:rStyle w:val="Hyperlink"/>
                  <w:lang w:val="en-GB"/>
                </w:rPr>
                <w:t>CEDAW/C/OMN/2-3</w:t>
              </w:r>
            </w:hyperlink>
          </w:p>
        </w:tc>
        <w:tc>
          <w:tcPr>
            <w:tcW w:w="4980" w:type="dxa"/>
            <w:shd w:val="clear" w:color="auto" w:fill="auto"/>
          </w:tcPr>
          <w:p w14:paraId="2AF3FE5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second and third periodic reports of Oman</w:t>
            </w:r>
          </w:p>
        </w:tc>
      </w:tr>
      <w:tr w:rsidR="00AA3AEF" w:rsidRPr="00BA29AE" w14:paraId="1FE28D79" w14:textId="77777777" w:rsidTr="00AA3AEF">
        <w:tc>
          <w:tcPr>
            <w:tcW w:w="2340" w:type="dxa"/>
            <w:shd w:val="clear" w:color="auto" w:fill="auto"/>
          </w:tcPr>
          <w:p w14:paraId="461A0EE1" w14:textId="62E7BFAB"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8" w:history="1">
              <w:r w:rsidR="00AA3AEF" w:rsidRPr="00BA29AE">
                <w:rPr>
                  <w:rStyle w:val="Hyperlink"/>
                  <w:lang w:val="en-GB"/>
                </w:rPr>
                <w:t>CEDAW/C/PRY/7</w:t>
              </w:r>
            </w:hyperlink>
          </w:p>
        </w:tc>
        <w:tc>
          <w:tcPr>
            <w:tcW w:w="4980" w:type="dxa"/>
            <w:shd w:val="clear" w:color="auto" w:fill="auto"/>
          </w:tcPr>
          <w:p w14:paraId="70B9B85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Seventh periodic report of Paraguay</w:t>
            </w:r>
          </w:p>
        </w:tc>
      </w:tr>
      <w:tr w:rsidR="00AA3AEF" w:rsidRPr="00BA29AE" w14:paraId="201BF0F7" w14:textId="77777777" w:rsidTr="00AA3AEF">
        <w:tc>
          <w:tcPr>
            <w:tcW w:w="2340" w:type="dxa"/>
            <w:tcBorders>
              <w:bottom w:val="single" w:sz="12" w:space="0" w:color="auto"/>
            </w:tcBorders>
            <w:shd w:val="clear" w:color="auto" w:fill="auto"/>
          </w:tcPr>
          <w:p w14:paraId="515A0BBC" w14:textId="6FB0E6D9"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99" w:history="1">
              <w:r w:rsidR="00AA3AEF" w:rsidRPr="00BA29AE">
                <w:rPr>
                  <w:rStyle w:val="Hyperlink"/>
                  <w:lang w:val="en-GB"/>
                </w:rPr>
                <w:t>CEDAW/C/SGP/5</w:t>
              </w:r>
            </w:hyperlink>
          </w:p>
        </w:tc>
        <w:tc>
          <w:tcPr>
            <w:tcW w:w="4980" w:type="dxa"/>
            <w:tcBorders>
              <w:bottom w:val="single" w:sz="12" w:space="0" w:color="auto"/>
            </w:tcBorders>
            <w:shd w:val="clear" w:color="auto" w:fill="auto"/>
          </w:tcPr>
          <w:p w14:paraId="06810EA8"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Fifth periodic report of Singapore</w:t>
            </w:r>
          </w:p>
        </w:tc>
      </w:tr>
    </w:tbl>
    <w:p w14:paraId="6AF7F477" w14:textId="77777777" w:rsidR="00AA3AEF" w:rsidRPr="00BA29AE" w:rsidRDefault="00AA3AEF" w:rsidP="00AA3AEF">
      <w:pPr>
        <w:pStyle w:val="SingleTxt"/>
        <w:spacing w:after="0" w:line="120" w:lineRule="exact"/>
        <w:rPr>
          <w:sz w:val="10"/>
        </w:rPr>
      </w:pPr>
    </w:p>
    <w:p w14:paraId="456A7709" w14:textId="77777777" w:rsidR="00AA3AEF" w:rsidRPr="00BA29AE" w:rsidRDefault="00AA3AEF" w:rsidP="00AA3AEF">
      <w:pPr>
        <w:pStyle w:val="SingleTxt"/>
        <w:spacing w:after="0" w:line="120" w:lineRule="exact"/>
        <w:rPr>
          <w:sz w:val="10"/>
        </w:rPr>
      </w:pPr>
    </w:p>
    <w:p w14:paraId="20656D36" w14:textId="77777777" w:rsidR="00AA3AEF" w:rsidRPr="00BA29AE" w:rsidRDefault="00AA3AEF" w:rsidP="00AA3AEF">
      <w:pPr>
        <w:suppressAutoHyphens w:val="0"/>
        <w:spacing w:after="200" w:line="276" w:lineRule="auto"/>
      </w:pPr>
      <w:r w:rsidRPr="00BA29AE">
        <w:br w:type="page"/>
      </w:r>
    </w:p>
    <w:p w14:paraId="6E1B7B65" w14:textId="77777777" w:rsidR="00AA3AEF" w:rsidRPr="00BA29AE" w:rsidRDefault="00AA3AEF" w:rsidP="00AA3AEF">
      <w:pPr>
        <w:pStyle w:val="HCh"/>
        <w:ind w:left="1267" w:right="1260" w:hanging="1267"/>
      </w:pPr>
      <w:r w:rsidRPr="00BA29AE">
        <w:lastRenderedPageBreak/>
        <w:tab/>
      </w:r>
      <w:r w:rsidRPr="00BA29AE">
        <w:tab/>
        <w:t>Part Three</w:t>
      </w:r>
    </w:p>
    <w:p w14:paraId="2F59B62C" w14:textId="77777777" w:rsidR="00AA3AEF" w:rsidRPr="00BA29AE" w:rsidRDefault="00AA3AEF" w:rsidP="00AA3AEF">
      <w:pPr>
        <w:pStyle w:val="HCh"/>
        <w:ind w:left="1267" w:right="1260" w:hanging="1267"/>
      </w:pPr>
      <w:r w:rsidRPr="00BA29AE">
        <w:tab/>
      </w:r>
      <w:r w:rsidRPr="00BA29AE">
        <w:tab/>
        <w:t>Report of the Committee on the Elimination of Discrimination against Women on its sixty-ninth session</w:t>
      </w:r>
    </w:p>
    <w:p w14:paraId="1FAE7FCB" w14:textId="77777777" w:rsidR="00AA3AEF" w:rsidRPr="00BA29AE" w:rsidRDefault="00AA3AEF" w:rsidP="00AA3AEF">
      <w:pPr>
        <w:pStyle w:val="SingleTxt"/>
        <w:spacing w:after="0" w:line="120" w:lineRule="exact"/>
        <w:rPr>
          <w:sz w:val="10"/>
        </w:rPr>
      </w:pPr>
    </w:p>
    <w:p w14:paraId="04693F01" w14:textId="77777777" w:rsidR="00AA3AEF" w:rsidRPr="00BA29AE" w:rsidRDefault="00AA3AEF" w:rsidP="00AA3AEF">
      <w:pPr>
        <w:pStyle w:val="SingleTxt"/>
        <w:spacing w:after="0" w:line="120" w:lineRule="exact"/>
        <w:rPr>
          <w:sz w:val="10"/>
        </w:rPr>
      </w:pPr>
    </w:p>
    <w:p w14:paraId="54A2BBF0" w14:textId="77777777" w:rsidR="00AA3AEF" w:rsidRPr="00BA29AE" w:rsidRDefault="00AA3AEF" w:rsidP="00AA3AEF">
      <w:pPr>
        <w:pStyle w:val="H1"/>
        <w:ind w:right="1260"/>
      </w:pPr>
      <w:r w:rsidRPr="00BA29AE">
        <w:tab/>
      </w:r>
      <w:r w:rsidRPr="00BA29AE">
        <w:tab/>
        <w:t>19 February–9 March 2018</w:t>
      </w:r>
    </w:p>
    <w:p w14:paraId="0210D755" w14:textId="77777777" w:rsidR="00AA3AEF" w:rsidRPr="00BA29AE" w:rsidRDefault="00AA3AEF" w:rsidP="00AA3AEF">
      <w:pPr>
        <w:pStyle w:val="SingleTxt"/>
        <w:spacing w:after="0" w:line="120" w:lineRule="exact"/>
        <w:rPr>
          <w:sz w:val="10"/>
        </w:rPr>
      </w:pPr>
    </w:p>
    <w:p w14:paraId="5B2195FE" w14:textId="77777777" w:rsidR="00AA3AEF" w:rsidRPr="00BA29AE" w:rsidRDefault="00AA3AEF" w:rsidP="00AA3AEF">
      <w:pPr>
        <w:pStyle w:val="SingleTxt"/>
        <w:spacing w:after="0" w:line="120" w:lineRule="exact"/>
        <w:rPr>
          <w:sz w:val="10"/>
        </w:rPr>
      </w:pPr>
    </w:p>
    <w:p w14:paraId="3284215F" w14:textId="77777777" w:rsidR="00AA3AEF" w:rsidRPr="00BA29AE" w:rsidRDefault="00AA3AEF" w:rsidP="00AA3AEF">
      <w:pPr>
        <w:suppressAutoHyphens w:val="0"/>
        <w:spacing w:after="200" w:line="276" w:lineRule="auto"/>
      </w:pPr>
      <w:r w:rsidRPr="00BA29AE">
        <w:br w:type="page"/>
      </w:r>
    </w:p>
    <w:p w14:paraId="1200F9CE" w14:textId="77777777" w:rsidR="00AA3AEF" w:rsidRPr="00BA29AE" w:rsidRDefault="00AA3AEF" w:rsidP="00AA3AEF">
      <w:pPr>
        <w:pStyle w:val="HCh"/>
        <w:ind w:left="1267" w:right="1260" w:hanging="1267"/>
      </w:pPr>
      <w:r w:rsidRPr="00BA29AE">
        <w:lastRenderedPageBreak/>
        <w:t>Chapter I</w:t>
      </w:r>
    </w:p>
    <w:p w14:paraId="4A7C0178" w14:textId="77777777" w:rsidR="00AA3AEF" w:rsidRPr="00BA29AE" w:rsidRDefault="00AA3AEF" w:rsidP="00AA3AEF">
      <w:pPr>
        <w:pStyle w:val="HCh"/>
        <w:ind w:left="1267" w:right="1260" w:hanging="1267"/>
      </w:pPr>
      <w:r w:rsidRPr="00BA29AE">
        <w:tab/>
      </w:r>
      <w:r w:rsidRPr="00BA29AE">
        <w:tab/>
        <w:t>Decisions adopted by the Committee</w:t>
      </w:r>
    </w:p>
    <w:p w14:paraId="125123D3" w14:textId="77777777" w:rsidR="00AA3AEF" w:rsidRPr="00BA29AE" w:rsidRDefault="00AA3AEF" w:rsidP="00AA3AEF">
      <w:pPr>
        <w:pStyle w:val="SingleTxt"/>
        <w:spacing w:after="0" w:line="120" w:lineRule="exact"/>
        <w:rPr>
          <w:sz w:val="10"/>
        </w:rPr>
      </w:pPr>
    </w:p>
    <w:p w14:paraId="4DD81737" w14:textId="77777777" w:rsidR="00AA3AEF" w:rsidRPr="00BA29AE" w:rsidRDefault="00AA3AEF" w:rsidP="00AA3AEF">
      <w:pPr>
        <w:pStyle w:val="SingleTxt"/>
        <w:spacing w:after="0" w:line="120" w:lineRule="exact"/>
        <w:rPr>
          <w:sz w:val="10"/>
        </w:rPr>
      </w:pPr>
    </w:p>
    <w:p w14:paraId="75FF7058"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69/I</w:t>
      </w:r>
    </w:p>
    <w:p w14:paraId="6385D83A" w14:textId="77777777" w:rsidR="00AA3AEF" w:rsidRPr="00BA29AE" w:rsidRDefault="00AA3AEF" w:rsidP="00AA3AEF">
      <w:pPr>
        <w:pStyle w:val="SingleTxt"/>
        <w:spacing w:after="0" w:line="120" w:lineRule="exact"/>
        <w:rPr>
          <w:sz w:val="10"/>
        </w:rPr>
      </w:pPr>
    </w:p>
    <w:p w14:paraId="20C51771" w14:textId="709509F7" w:rsidR="00AA3AEF" w:rsidRPr="00BA29AE" w:rsidRDefault="00AA3AEF" w:rsidP="00AA3AEF">
      <w:pPr>
        <w:pStyle w:val="SingleTxt"/>
      </w:pPr>
      <w:r w:rsidRPr="00BA29AE">
        <w:tab/>
        <w:t>On 7 March 2018, the Committee adopted general recommendation No. 37 (2018) on the gender-related dimensions of disaster risk reduction in the context of climate change (</w:t>
      </w:r>
      <w:hyperlink r:id="rId100" w:history="1">
        <w:r w:rsidRPr="00BA29AE">
          <w:rPr>
            <w:rStyle w:val="Hyperlink"/>
          </w:rPr>
          <w:t>CEDAW/C/GC/37</w:t>
        </w:r>
      </w:hyperlink>
      <w:r w:rsidRPr="00BA29AE">
        <w:t>), by consensus.</w:t>
      </w:r>
    </w:p>
    <w:p w14:paraId="442112E2" w14:textId="77777777" w:rsidR="00AA3AEF" w:rsidRPr="00BA29AE" w:rsidRDefault="00AA3AEF" w:rsidP="00AA3AEF">
      <w:pPr>
        <w:pStyle w:val="SingleTxt"/>
        <w:spacing w:after="0" w:line="120" w:lineRule="exact"/>
        <w:rPr>
          <w:sz w:val="10"/>
        </w:rPr>
      </w:pPr>
    </w:p>
    <w:p w14:paraId="43DE30DB"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69/II</w:t>
      </w:r>
    </w:p>
    <w:p w14:paraId="3E0529B6" w14:textId="77777777" w:rsidR="00AA3AEF" w:rsidRPr="00BA29AE" w:rsidRDefault="00AA3AEF" w:rsidP="00AA3AEF">
      <w:pPr>
        <w:pStyle w:val="SingleTxt"/>
        <w:spacing w:after="0" w:line="120" w:lineRule="exact"/>
        <w:rPr>
          <w:sz w:val="10"/>
        </w:rPr>
      </w:pPr>
    </w:p>
    <w:p w14:paraId="671DF106" w14:textId="20AC41BE" w:rsidR="00AA3AEF" w:rsidRPr="00BA29AE" w:rsidRDefault="00AA3AEF" w:rsidP="00AA3AEF">
      <w:pPr>
        <w:pStyle w:val="SingleTxt"/>
      </w:pPr>
      <w:r w:rsidRPr="00BA29AE">
        <w:tab/>
        <w:t>The Committee adopted a statement on the gender-related dimensions of disaster risk reduction in the context of climate change, on the occasion of the International Women’s Day (</w:t>
      </w:r>
      <w:hyperlink r:id="rId101" w:history="1">
        <w:r w:rsidRPr="00BA29AE">
          <w:rPr>
            <w:rStyle w:val="Hyperlink"/>
          </w:rPr>
          <w:t>https://goo.gl/5AEcJT</w:t>
        </w:r>
      </w:hyperlink>
      <w:r w:rsidRPr="00BA29AE">
        <w:t>).</w:t>
      </w:r>
    </w:p>
    <w:p w14:paraId="02B45F15" w14:textId="77777777" w:rsidR="00AA3AEF" w:rsidRPr="00BA29AE" w:rsidRDefault="00AA3AEF" w:rsidP="00AA3AEF">
      <w:pPr>
        <w:pStyle w:val="SingleTxt"/>
        <w:spacing w:after="0" w:line="120" w:lineRule="exact"/>
        <w:rPr>
          <w:sz w:val="10"/>
        </w:rPr>
      </w:pPr>
    </w:p>
    <w:p w14:paraId="5CB04B52"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69/III</w:t>
      </w:r>
    </w:p>
    <w:p w14:paraId="72466673" w14:textId="77777777" w:rsidR="00AA3AEF" w:rsidRPr="00BA29AE" w:rsidRDefault="00AA3AEF" w:rsidP="00AA3AEF">
      <w:pPr>
        <w:pStyle w:val="SingleTxt"/>
        <w:spacing w:after="0" w:line="120" w:lineRule="exact"/>
        <w:rPr>
          <w:sz w:val="10"/>
        </w:rPr>
      </w:pPr>
    </w:p>
    <w:p w14:paraId="11D53C92" w14:textId="0B62D6FD" w:rsidR="00AA3AEF" w:rsidRPr="00BA29AE" w:rsidRDefault="00AA3AEF" w:rsidP="00AA3AEF">
      <w:pPr>
        <w:pStyle w:val="SingleTxt"/>
      </w:pPr>
      <w:r w:rsidRPr="00BA29AE">
        <w:tab/>
        <w:t xml:space="preserve">On the occasion of International Women’s Day, the Committee adopted a statement, entitled “Confronting sexual violence, demanding equality”, jointly with the Special Rapporteur on violence against women, its causes and consequences and the </w:t>
      </w:r>
      <w:r w:rsidR="00484B48" w:rsidRPr="00BA29AE">
        <w:t xml:space="preserve">Human Rights Council </w:t>
      </w:r>
      <w:r w:rsidRPr="00BA29AE">
        <w:t>Working Group on the issue of discrimination against women in law and in practice (</w:t>
      </w:r>
      <w:hyperlink r:id="rId102" w:history="1">
        <w:r w:rsidRPr="00BA29AE">
          <w:rPr>
            <w:rStyle w:val="Hyperlink"/>
          </w:rPr>
          <w:t>https://goo.gl/5AEcJT</w:t>
        </w:r>
      </w:hyperlink>
      <w:r w:rsidRPr="00BA29AE">
        <w:t>).</w:t>
      </w:r>
    </w:p>
    <w:p w14:paraId="3C816B01" w14:textId="77777777" w:rsidR="00AA3AEF" w:rsidRPr="00BA29AE" w:rsidRDefault="00AA3AEF" w:rsidP="00AA3AEF">
      <w:pPr>
        <w:pStyle w:val="SingleTxt"/>
        <w:spacing w:after="0" w:line="120" w:lineRule="exact"/>
        <w:rPr>
          <w:sz w:val="10"/>
        </w:rPr>
      </w:pPr>
    </w:p>
    <w:p w14:paraId="4BF2E785"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69/IV</w:t>
      </w:r>
    </w:p>
    <w:p w14:paraId="40A8B135" w14:textId="77777777" w:rsidR="00AA3AEF" w:rsidRPr="00BA29AE" w:rsidRDefault="00AA3AEF" w:rsidP="00AA3AEF">
      <w:pPr>
        <w:pStyle w:val="SingleTxt"/>
        <w:spacing w:after="0" w:line="120" w:lineRule="exact"/>
        <w:rPr>
          <w:sz w:val="10"/>
        </w:rPr>
      </w:pPr>
    </w:p>
    <w:p w14:paraId="22A31A91" w14:textId="582FA3EA" w:rsidR="00AA3AEF" w:rsidRPr="00BA29AE" w:rsidRDefault="00AA3AEF" w:rsidP="00AA3AEF">
      <w:pPr>
        <w:pStyle w:val="SingleTxt"/>
      </w:pPr>
      <w:r w:rsidRPr="00BA29AE">
        <w:tab/>
        <w:t xml:space="preserve">The Committee decided to embark on the elaboration of a draft general recommendation on trafficking in women and girls in the context of global migration and entrusted Dalia Leinarte with the </w:t>
      </w:r>
      <w:r w:rsidR="00484B48">
        <w:t xml:space="preserve">task of </w:t>
      </w:r>
      <w:r w:rsidRPr="00BA29AE">
        <w:t>preparin</w:t>
      </w:r>
      <w:r w:rsidR="00484B48">
        <w:t>g</w:t>
      </w:r>
      <w:r w:rsidRPr="00BA29AE">
        <w:t xml:space="preserve"> a concept note. It also decided to elaborate draft general recommendations on gender stereotypes and on indigenous women at such time when the secretariat w</w:t>
      </w:r>
      <w:r w:rsidR="00484B48">
        <w:t>ou</w:t>
      </w:r>
      <w:r w:rsidRPr="00BA29AE">
        <w:t>l</w:t>
      </w:r>
      <w:r w:rsidR="00484B48">
        <w:t>d</w:t>
      </w:r>
      <w:r w:rsidRPr="00BA29AE">
        <w:t xml:space="preserve"> have the capacity to support those processes.</w:t>
      </w:r>
    </w:p>
    <w:p w14:paraId="663EFE1F" w14:textId="77777777" w:rsidR="00AA3AEF" w:rsidRPr="00BA29AE" w:rsidRDefault="00AA3AEF" w:rsidP="00AA3AEF">
      <w:pPr>
        <w:pStyle w:val="SingleTxt"/>
        <w:spacing w:after="0" w:line="120" w:lineRule="exact"/>
        <w:rPr>
          <w:sz w:val="10"/>
        </w:rPr>
      </w:pPr>
    </w:p>
    <w:p w14:paraId="19A7D61D"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69/V</w:t>
      </w:r>
    </w:p>
    <w:p w14:paraId="56CDCAC2" w14:textId="77777777" w:rsidR="00AA3AEF" w:rsidRPr="00BA29AE" w:rsidRDefault="00AA3AEF" w:rsidP="00AA3AEF">
      <w:pPr>
        <w:pStyle w:val="SingleTxt"/>
        <w:spacing w:after="0" w:line="120" w:lineRule="exact"/>
        <w:rPr>
          <w:sz w:val="10"/>
        </w:rPr>
      </w:pPr>
    </w:p>
    <w:p w14:paraId="2FE86578" w14:textId="69DE6DE4" w:rsidR="00AA3AEF" w:rsidRPr="00BA29AE" w:rsidRDefault="00AA3AEF" w:rsidP="00AA3AEF">
      <w:pPr>
        <w:pStyle w:val="SingleTxt"/>
      </w:pPr>
      <w:r w:rsidRPr="00BA29AE">
        <w:tab/>
        <w:t>Having reviewed its decision 65/V, in which it suspended the simplified reporting procedure, the Committee decided to reinstate that procedure. It also decided to amend its decisions 58/II and 59/IV by making the simplified reporting procedure available to all States parties, upon their request, irrespective of whether or not their respective periodic report was overdue, provided that the State party concerned: (1) had previously submitted an initial report that was considered under the regular procedure; and (2) has submitted an updated common core document, in accordance with the harmonized guidelines on reporting under the international human rights treaties, including guidelines on a common core document and treaty-specific documents (</w:t>
      </w:r>
      <w:hyperlink r:id="rId103" w:history="1">
        <w:r w:rsidRPr="00BA29AE">
          <w:rPr>
            <w:rStyle w:val="Hyperlink"/>
          </w:rPr>
          <w:t>HRI/GEN/2/Rev.6</w:t>
        </w:r>
      </w:hyperlink>
      <w:r w:rsidRPr="00BA29AE">
        <w:t xml:space="preserve">, chap. I) within the preceding five years, a time frame subject to further review by the Committee. It decided to keep under review the practical modalities of the implementation of the simplified reporting procedure to ensure its effectiveness for all stakeholders. The Committee also decided that the present decision would be communicated to all States parties. </w:t>
      </w:r>
    </w:p>
    <w:p w14:paraId="01898324" w14:textId="77777777" w:rsidR="00AA3AEF" w:rsidRPr="00BA29AE" w:rsidRDefault="00AA3AEF" w:rsidP="00AA3AEF">
      <w:pPr>
        <w:pStyle w:val="SingleTxt"/>
        <w:spacing w:after="0" w:line="120" w:lineRule="exact"/>
        <w:rPr>
          <w:sz w:val="10"/>
        </w:rPr>
      </w:pPr>
    </w:p>
    <w:p w14:paraId="1378A7B0"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69/VI</w:t>
      </w:r>
    </w:p>
    <w:p w14:paraId="16C5D9D7" w14:textId="77777777" w:rsidR="00AA3AEF" w:rsidRPr="00BA29AE" w:rsidRDefault="00AA3AEF" w:rsidP="00AA3AEF">
      <w:pPr>
        <w:pStyle w:val="SingleTxt"/>
        <w:spacing w:after="0" w:line="120" w:lineRule="exact"/>
        <w:rPr>
          <w:sz w:val="10"/>
        </w:rPr>
      </w:pPr>
    </w:p>
    <w:p w14:paraId="3F42D659" w14:textId="7C72881C" w:rsidR="00AA3AEF" w:rsidRPr="00BA29AE" w:rsidRDefault="00E732F6" w:rsidP="00AA3AEF">
      <w:pPr>
        <w:pStyle w:val="SingleTxt"/>
      </w:pPr>
      <w:r>
        <w:tab/>
      </w:r>
      <w:r w:rsidR="00AA3AEF" w:rsidRPr="00BA29AE">
        <w:t>The Committee decided to limit to a maximum of two the number of invitations to follow-up meetings for a State party whose follow-up report is overdue despite two reminders. It also decided that failure of the State party concerned to submit a follow</w:t>
      </w:r>
      <w:r w:rsidR="00AA3AEF" w:rsidRPr="00BA29AE">
        <w:noBreakHyphen/>
        <w:t>up report after two invitations, irrespective of whether or not any meeting takes place, would constitute non-collaboration under the follow-up procedure.</w:t>
      </w:r>
    </w:p>
    <w:p w14:paraId="0225F03C" w14:textId="77777777" w:rsidR="00AA3AEF" w:rsidRPr="00BA29AE" w:rsidRDefault="00AA3AEF" w:rsidP="00AA3AEF">
      <w:pPr>
        <w:pStyle w:val="SingleTxt"/>
        <w:spacing w:after="0" w:line="120" w:lineRule="exact"/>
        <w:rPr>
          <w:sz w:val="10"/>
        </w:rPr>
      </w:pPr>
    </w:p>
    <w:p w14:paraId="047DEC24"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lastRenderedPageBreak/>
        <w:tab/>
      </w:r>
      <w:r w:rsidRPr="00BA29AE">
        <w:rPr>
          <w:lang w:val="en-GB"/>
        </w:rPr>
        <w:tab/>
        <w:t>Decision 69/VII</w:t>
      </w:r>
    </w:p>
    <w:p w14:paraId="6DD8D959" w14:textId="77777777" w:rsidR="00AA3AEF" w:rsidRPr="00BA29AE" w:rsidRDefault="00AA3AEF" w:rsidP="00AA3AEF">
      <w:pPr>
        <w:pStyle w:val="SingleTxt"/>
        <w:spacing w:after="0" w:line="120" w:lineRule="exact"/>
        <w:rPr>
          <w:sz w:val="10"/>
        </w:rPr>
      </w:pPr>
    </w:p>
    <w:p w14:paraId="33172BFA" w14:textId="152AB6B2" w:rsidR="00AA3AEF" w:rsidRPr="00BA29AE" w:rsidRDefault="00AA3AEF" w:rsidP="00AA3AEF">
      <w:pPr>
        <w:pStyle w:val="SingleTxt"/>
      </w:pPr>
      <w:r w:rsidRPr="00BA29AE">
        <w:tab/>
        <w:t xml:space="preserve">The Committee decided to amend its decision 54/IX by introducing the following categories, for use in assessing the quality of the follow-up information received from States parties, into the methodology of the follow-up procedure to concluding observations (see </w:t>
      </w:r>
      <w:hyperlink r:id="rId104" w:history="1">
        <w:r w:rsidRPr="00BA29AE">
          <w:rPr>
            <w:rStyle w:val="Hyperlink"/>
          </w:rPr>
          <w:t>A/68/38</w:t>
        </w:r>
      </w:hyperlink>
      <w:r w:rsidRPr="00BA29AE">
        <w:t>, part three, annex III) and into a new section, entitled “Terminology for determining the quality of the information received from States parties”, of the information note for States parties and other stakeholders on the submission of reports under the follow-up procedure (ibid., appendix):</w:t>
      </w:r>
    </w:p>
    <w:p w14:paraId="1AFEDBBB" w14:textId="77777777" w:rsidR="00AA3AEF" w:rsidRPr="00BA29AE" w:rsidRDefault="00AA3AEF" w:rsidP="00AA3AEF">
      <w:pPr>
        <w:pStyle w:val="SingleTxt"/>
        <w:tabs>
          <w:tab w:val="right" w:pos="1685"/>
        </w:tabs>
        <w:ind w:left="1742" w:hanging="475"/>
      </w:pPr>
      <w:r w:rsidRPr="00BA29AE">
        <w:tab/>
        <w:t>•</w:t>
      </w:r>
      <w:r w:rsidRPr="00BA29AE">
        <w:tab/>
        <w:t>“Satisfactory” indicates that the information received from the State party is thorough and extensive and relates directly to the recommendations;</w:t>
      </w:r>
    </w:p>
    <w:p w14:paraId="3E405A78" w14:textId="77777777" w:rsidR="00AA3AEF" w:rsidRPr="00BA29AE" w:rsidRDefault="00AA3AEF" w:rsidP="00AA3AEF">
      <w:pPr>
        <w:pStyle w:val="SingleTxt"/>
        <w:tabs>
          <w:tab w:val="right" w:pos="1685"/>
        </w:tabs>
        <w:ind w:left="1742" w:hanging="475"/>
      </w:pPr>
      <w:r w:rsidRPr="00BA29AE">
        <w:tab/>
        <w:t>•</w:t>
      </w:r>
      <w:r w:rsidRPr="00BA29AE">
        <w:tab/>
        <w:t>“Partially satisfactory” indicates that the information received from the State party is thorough and extensive but fails to respond fully to the recommendations;</w:t>
      </w:r>
    </w:p>
    <w:p w14:paraId="45DB76A6" w14:textId="77777777" w:rsidR="00AA3AEF" w:rsidRPr="00BA29AE" w:rsidRDefault="00AA3AEF" w:rsidP="00AA3AEF">
      <w:pPr>
        <w:pStyle w:val="SingleTxt"/>
        <w:tabs>
          <w:tab w:val="right" w:pos="1685"/>
        </w:tabs>
        <w:ind w:left="1742" w:hanging="475"/>
      </w:pPr>
      <w:r w:rsidRPr="00BA29AE">
        <w:tab/>
        <w:t>•</w:t>
      </w:r>
      <w:r w:rsidRPr="00BA29AE">
        <w:tab/>
        <w:t>“Unsatisfactory” indicates that the information received from the State party is vague and incomplete and/or fails to address the recommendations;</w:t>
      </w:r>
    </w:p>
    <w:p w14:paraId="0F639BF8" w14:textId="77777777" w:rsidR="00AA3AEF" w:rsidRPr="00BA29AE" w:rsidRDefault="00AA3AEF" w:rsidP="00AA3AEF">
      <w:pPr>
        <w:pStyle w:val="SingleTxt"/>
        <w:tabs>
          <w:tab w:val="right" w:pos="1685"/>
        </w:tabs>
        <w:ind w:left="1742" w:hanging="475"/>
      </w:pPr>
      <w:r w:rsidRPr="00BA29AE">
        <w:tab/>
        <w:t>•</w:t>
      </w:r>
      <w:r w:rsidRPr="00BA29AE">
        <w:tab/>
        <w:t>“No response” indicates that the State party has not addressed the concern or recommendations in the response.</w:t>
      </w:r>
    </w:p>
    <w:p w14:paraId="7B632E84" w14:textId="77777777" w:rsidR="00AA3AEF" w:rsidRPr="00BA29AE" w:rsidRDefault="00AA3AEF" w:rsidP="00AA3AEF">
      <w:pPr>
        <w:pStyle w:val="SingleTxt"/>
      </w:pPr>
      <w:r w:rsidRPr="00BA29AE">
        <w:t>In addition, the title of section III of the information note was modified to read “Terminology for determining the degree of implementation of the recommendations”, the above-mentioned new section was inserted as section IV and the subsequent sections were renumbered.</w:t>
      </w:r>
    </w:p>
    <w:p w14:paraId="26FC6B5A" w14:textId="77777777" w:rsidR="00AA3AEF" w:rsidRPr="00BA29AE" w:rsidRDefault="00AA3AEF" w:rsidP="00AA3AEF">
      <w:pPr>
        <w:pStyle w:val="SingleTxt"/>
        <w:spacing w:after="0" w:line="120" w:lineRule="exact"/>
        <w:rPr>
          <w:sz w:val="10"/>
        </w:rPr>
      </w:pPr>
    </w:p>
    <w:p w14:paraId="3CAF16AA"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69/VIII</w:t>
      </w:r>
    </w:p>
    <w:p w14:paraId="24054FBA" w14:textId="77777777" w:rsidR="00AA3AEF" w:rsidRPr="00BA29AE" w:rsidRDefault="00AA3AEF" w:rsidP="00AA3AEF">
      <w:pPr>
        <w:pStyle w:val="SingleTxt"/>
        <w:spacing w:after="0" w:line="120" w:lineRule="exact"/>
        <w:rPr>
          <w:sz w:val="10"/>
        </w:rPr>
      </w:pPr>
    </w:p>
    <w:p w14:paraId="7AD04F7C" w14:textId="77777777" w:rsidR="00AA3AEF" w:rsidRPr="00BA29AE" w:rsidRDefault="00AA3AEF" w:rsidP="00AA3AEF">
      <w:pPr>
        <w:pStyle w:val="SingleTxt"/>
      </w:pPr>
      <w:r w:rsidRPr="00BA29AE">
        <w:tab/>
        <w:t>The Committee elected Louiza Chalal to replace the late Theodora Oby Nwankwo as Vice-Chair of the Committee, in accordance with rule 20 of its rules of procedure.</w:t>
      </w:r>
    </w:p>
    <w:p w14:paraId="24863BBD" w14:textId="77777777" w:rsidR="00AA3AEF" w:rsidRPr="00BA29AE" w:rsidRDefault="00AA3AEF" w:rsidP="00AA3AEF">
      <w:pPr>
        <w:pStyle w:val="SingleTxt"/>
        <w:spacing w:after="0" w:line="120" w:lineRule="exact"/>
        <w:rPr>
          <w:sz w:val="10"/>
        </w:rPr>
      </w:pPr>
    </w:p>
    <w:p w14:paraId="4CAE8685"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69/IX</w:t>
      </w:r>
    </w:p>
    <w:p w14:paraId="5E6B7362" w14:textId="77777777" w:rsidR="00AA3AEF" w:rsidRPr="00BA29AE" w:rsidRDefault="00AA3AEF" w:rsidP="00AA3AEF">
      <w:pPr>
        <w:pStyle w:val="SingleTxt"/>
        <w:spacing w:after="0" w:line="120" w:lineRule="exact"/>
        <w:rPr>
          <w:sz w:val="10"/>
        </w:rPr>
      </w:pPr>
    </w:p>
    <w:p w14:paraId="5B3652FD" w14:textId="77777777" w:rsidR="00AA3AEF" w:rsidRPr="00BA29AE" w:rsidRDefault="00AA3AEF" w:rsidP="00AA3AEF">
      <w:pPr>
        <w:pStyle w:val="SingleTxt"/>
      </w:pPr>
      <w:r w:rsidRPr="00BA29AE">
        <w:tab/>
        <w:t>The Committee elected Aruna Devi Narain to replace the late Theodora Oby Nwankwo as a member of the Working Group on Communications under the Optional Protocol.</w:t>
      </w:r>
    </w:p>
    <w:p w14:paraId="4E1A8C53" w14:textId="77777777" w:rsidR="00AA3AEF" w:rsidRPr="00BA29AE" w:rsidRDefault="00AA3AEF" w:rsidP="00AA3AEF">
      <w:pPr>
        <w:pStyle w:val="SingleTxt"/>
        <w:spacing w:after="0" w:line="120" w:lineRule="exact"/>
        <w:rPr>
          <w:sz w:val="10"/>
        </w:rPr>
      </w:pPr>
    </w:p>
    <w:p w14:paraId="6B8632E0"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69/X</w:t>
      </w:r>
    </w:p>
    <w:p w14:paraId="165ABCB4" w14:textId="77777777" w:rsidR="00AA3AEF" w:rsidRPr="00BA29AE" w:rsidRDefault="00AA3AEF" w:rsidP="00AA3AEF">
      <w:pPr>
        <w:pStyle w:val="SingleTxt"/>
        <w:spacing w:after="0" w:line="120" w:lineRule="exact"/>
        <w:rPr>
          <w:sz w:val="10"/>
        </w:rPr>
      </w:pPr>
    </w:p>
    <w:p w14:paraId="32060CA6" w14:textId="77777777" w:rsidR="00AA3AEF" w:rsidRPr="00BA29AE" w:rsidRDefault="00AA3AEF" w:rsidP="00AA3AEF">
      <w:pPr>
        <w:pStyle w:val="SingleTxt"/>
      </w:pPr>
      <w:r w:rsidRPr="00BA29AE">
        <w:tab/>
        <w:t>The Committee decided to transform the focal points on gender, HIV/AIDS and sexual and reproductive rights into an open-ended working group on sexual and reproductive health and rights, to be chaired by Louiza Chalal.</w:t>
      </w:r>
    </w:p>
    <w:p w14:paraId="2D200C2E" w14:textId="77777777" w:rsidR="00AA3AEF" w:rsidRPr="00BA29AE" w:rsidRDefault="00AA3AEF" w:rsidP="00AA3AEF">
      <w:pPr>
        <w:pStyle w:val="SingleTxt"/>
        <w:spacing w:after="0" w:line="120" w:lineRule="exact"/>
        <w:rPr>
          <w:sz w:val="10"/>
        </w:rPr>
      </w:pPr>
    </w:p>
    <w:p w14:paraId="41800C50"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69/XI</w:t>
      </w:r>
    </w:p>
    <w:p w14:paraId="68653D77" w14:textId="77777777" w:rsidR="00AA3AEF" w:rsidRPr="00BA29AE" w:rsidRDefault="00AA3AEF" w:rsidP="00AA3AEF">
      <w:pPr>
        <w:pStyle w:val="SingleTxt"/>
        <w:spacing w:after="0" w:line="120" w:lineRule="exact"/>
        <w:rPr>
          <w:sz w:val="10"/>
        </w:rPr>
      </w:pPr>
    </w:p>
    <w:p w14:paraId="0EF3E75C" w14:textId="77777777" w:rsidR="00AA3AEF" w:rsidRPr="00BA29AE" w:rsidRDefault="00AA3AEF" w:rsidP="00AA3AEF">
      <w:pPr>
        <w:pStyle w:val="SingleTxt"/>
      </w:pPr>
      <w:r w:rsidRPr="00BA29AE">
        <w:tab/>
        <w:t>The Committee decided to establish a working group on cooperation with national human rights institutions, with a view to enhancing its interaction with national human rights institutions in a more structured manner, to be chaired by Nahla Haidar.</w:t>
      </w:r>
    </w:p>
    <w:p w14:paraId="3DFF61D4" w14:textId="77777777" w:rsidR="00AA3AEF" w:rsidRPr="00BA29AE" w:rsidRDefault="00AA3AEF" w:rsidP="00AA3AEF">
      <w:pPr>
        <w:pStyle w:val="SingleTxt"/>
        <w:spacing w:after="0" w:line="120" w:lineRule="exact"/>
        <w:rPr>
          <w:sz w:val="10"/>
        </w:rPr>
      </w:pPr>
    </w:p>
    <w:p w14:paraId="0958DEB5"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Decision 69/XII</w:t>
      </w:r>
    </w:p>
    <w:p w14:paraId="31646D51" w14:textId="77777777" w:rsidR="00AA3AEF" w:rsidRPr="00BA29AE" w:rsidRDefault="00AA3AEF" w:rsidP="00AA3AEF">
      <w:pPr>
        <w:pStyle w:val="SingleTxt"/>
        <w:spacing w:after="0" w:line="120" w:lineRule="exact"/>
        <w:rPr>
          <w:sz w:val="10"/>
        </w:rPr>
      </w:pPr>
    </w:p>
    <w:p w14:paraId="74C292AA" w14:textId="77777777" w:rsidR="00AA3AEF" w:rsidRPr="00BA29AE" w:rsidRDefault="00AA3AEF" w:rsidP="00AA3AEF">
      <w:pPr>
        <w:pStyle w:val="SingleTxt"/>
      </w:pPr>
      <w:r w:rsidRPr="00BA29AE">
        <w:tab/>
        <w:t>The Committee confirmed the members of the pre-sessional working group for the seventy-first session, namely, Marion Bethel, Hilary Gbedemah, Rosario G. Manalo, Lia Nadaraia and Patricia Schulz.</w:t>
      </w:r>
    </w:p>
    <w:p w14:paraId="67818695" w14:textId="77777777" w:rsidR="00AA3AEF" w:rsidRPr="00BA29AE" w:rsidRDefault="00AA3AEF" w:rsidP="00AA3AEF">
      <w:pPr>
        <w:suppressAutoHyphens w:val="0"/>
        <w:spacing w:after="200" w:line="276" w:lineRule="auto"/>
      </w:pPr>
      <w:r w:rsidRPr="00BA29AE">
        <w:br w:type="page"/>
      </w:r>
    </w:p>
    <w:p w14:paraId="6F14E1A9" w14:textId="77777777" w:rsidR="00AA3AEF" w:rsidRPr="00BA29AE" w:rsidRDefault="00AA3AEF" w:rsidP="00AA3AEF">
      <w:pPr>
        <w:pStyle w:val="HCh"/>
        <w:ind w:left="1267" w:right="1260" w:hanging="1267"/>
      </w:pPr>
      <w:r w:rsidRPr="00BA29AE">
        <w:lastRenderedPageBreak/>
        <w:t>Chapter II</w:t>
      </w:r>
    </w:p>
    <w:p w14:paraId="0F2200F1" w14:textId="77777777" w:rsidR="00AA3AEF" w:rsidRPr="00BA29AE" w:rsidRDefault="00AA3AEF" w:rsidP="00AA3AEF">
      <w:pPr>
        <w:pStyle w:val="HCh"/>
        <w:ind w:left="1267" w:right="1260" w:hanging="1267"/>
      </w:pPr>
      <w:r w:rsidRPr="00BA29AE">
        <w:tab/>
      </w:r>
      <w:r w:rsidRPr="00BA29AE">
        <w:tab/>
        <w:t>Organizational and other matters</w:t>
      </w:r>
    </w:p>
    <w:p w14:paraId="268ACA6F" w14:textId="77777777" w:rsidR="00AA3AEF" w:rsidRPr="00BA29AE" w:rsidRDefault="00AA3AEF" w:rsidP="00AA3AEF">
      <w:pPr>
        <w:pStyle w:val="SingleTxt"/>
        <w:spacing w:after="0" w:line="120" w:lineRule="exact"/>
        <w:rPr>
          <w:sz w:val="10"/>
        </w:rPr>
      </w:pPr>
    </w:p>
    <w:p w14:paraId="3584D699" w14:textId="77777777" w:rsidR="00AA3AEF" w:rsidRPr="00BA29AE" w:rsidRDefault="00AA3AEF" w:rsidP="00AA3AEF">
      <w:pPr>
        <w:pStyle w:val="SingleTxt"/>
        <w:spacing w:after="0" w:line="120" w:lineRule="exact"/>
        <w:rPr>
          <w:sz w:val="10"/>
        </w:rPr>
      </w:pPr>
    </w:p>
    <w:p w14:paraId="44296FFE" w14:textId="77777777" w:rsidR="00AA3AEF" w:rsidRPr="00BA29AE" w:rsidRDefault="00AA3AEF" w:rsidP="00AA3AEF">
      <w:pPr>
        <w:pStyle w:val="H1"/>
        <w:ind w:right="1260"/>
      </w:pPr>
      <w:r w:rsidRPr="00BA29AE">
        <w:tab/>
        <w:t>A.</w:t>
      </w:r>
      <w:r w:rsidRPr="00BA29AE">
        <w:tab/>
        <w:t>States parties to the Convention and to the Optional Protocol</w:t>
      </w:r>
    </w:p>
    <w:p w14:paraId="04BA36E6" w14:textId="77777777" w:rsidR="00AA3AEF" w:rsidRPr="00BA29AE" w:rsidRDefault="00AA3AEF" w:rsidP="00AA3AEF">
      <w:pPr>
        <w:pStyle w:val="SingleTxt"/>
        <w:spacing w:after="0" w:line="120" w:lineRule="exact"/>
        <w:rPr>
          <w:sz w:val="10"/>
        </w:rPr>
      </w:pPr>
    </w:p>
    <w:p w14:paraId="76D8BDF0" w14:textId="77777777" w:rsidR="00AA3AEF" w:rsidRPr="00BA29AE" w:rsidRDefault="00AA3AEF" w:rsidP="00AA3AEF">
      <w:pPr>
        <w:pStyle w:val="SingleTxt"/>
        <w:spacing w:after="0" w:line="120" w:lineRule="exact"/>
        <w:rPr>
          <w:sz w:val="10"/>
        </w:rPr>
      </w:pPr>
    </w:p>
    <w:p w14:paraId="73FB9CB7" w14:textId="5308D690" w:rsidR="00AA3AEF" w:rsidRPr="00BA29AE" w:rsidRDefault="00AA3AEF" w:rsidP="00AA3AEF">
      <w:pPr>
        <w:pStyle w:val="SingleTxt"/>
      </w:pPr>
      <w:r w:rsidRPr="00BA29AE">
        <w:t>1.</w:t>
      </w:r>
      <w:r w:rsidRPr="00BA29AE">
        <w:tab/>
      </w:r>
      <w:r w:rsidR="00484B48">
        <w:t>As at</w:t>
      </w:r>
      <w:r w:rsidRPr="00BA29AE">
        <w:t xml:space="preserve"> 9 March 2018, the closing date of the sixty-ninth session of the Committee, the ratification status of the Convention (189 States parties) and the number of States parties (72) having accepted the amendment to article 20 (1) of the Convention concerning the meeting time of the Committee were as they were on 17 November 2017, the closing date of the sixty-eighth session. </w:t>
      </w:r>
    </w:p>
    <w:p w14:paraId="16B8147D" w14:textId="77777777" w:rsidR="00AA3AEF" w:rsidRPr="00BA29AE" w:rsidRDefault="00AA3AEF" w:rsidP="00AA3AEF">
      <w:pPr>
        <w:pStyle w:val="SingleTxt"/>
      </w:pPr>
      <w:r w:rsidRPr="00BA29AE">
        <w:t>2.</w:t>
      </w:r>
      <w:r w:rsidRPr="00BA29AE">
        <w:tab/>
        <w:t xml:space="preserve">The ratification status of the Optional Protocol to the Convention (109 States parties) also remained unchanged. </w:t>
      </w:r>
    </w:p>
    <w:p w14:paraId="2EF6CA91" w14:textId="77777777" w:rsidR="00AA3AEF" w:rsidRPr="00BA29AE" w:rsidRDefault="00AA3AEF" w:rsidP="00AA3AEF">
      <w:pPr>
        <w:pStyle w:val="SingleTxt"/>
        <w:spacing w:after="0" w:line="120" w:lineRule="exact"/>
        <w:rPr>
          <w:sz w:val="10"/>
        </w:rPr>
      </w:pPr>
    </w:p>
    <w:p w14:paraId="4CC5D745" w14:textId="77777777" w:rsidR="00AA3AEF" w:rsidRPr="00BA29AE" w:rsidRDefault="00AA3AEF" w:rsidP="00AA3AEF">
      <w:pPr>
        <w:pStyle w:val="SingleTxt"/>
        <w:spacing w:after="0" w:line="120" w:lineRule="exact"/>
        <w:rPr>
          <w:sz w:val="10"/>
        </w:rPr>
      </w:pPr>
    </w:p>
    <w:p w14:paraId="5CE04D8D" w14:textId="77777777" w:rsidR="00AA3AEF" w:rsidRPr="00BA29AE" w:rsidRDefault="00AA3AEF" w:rsidP="00AA3AEF">
      <w:pPr>
        <w:pStyle w:val="H1"/>
        <w:ind w:right="1260"/>
      </w:pPr>
      <w:r w:rsidRPr="00BA29AE">
        <w:tab/>
        <w:t>B.</w:t>
      </w:r>
      <w:r w:rsidRPr="00BA29AE">
        <w:tab/>
        <w:t>Opening of the session</w:t>
      </w:r>
    </w:p>
    <w:p w14:paraId="240C121C" w14:textId="77777777" w:rsidR="00AA3AEF" w:rsidRPr="00BA29AE" w:rsidRDefault="00AA3AEF" w:rsidP="00AA3AEF">
      <w:pPr>
        <w:pStyle w:val="SingleTxt"/>
        <w:spacing w:after="0" w:line="120" w:lineRule="exact"/>
        <w:rPr>
          <w:sz w:val="10"/>
        </w:rPr>
      </w:pPr>
    </w:p>
    <w:p w14:paraId="7E1F879F" w14:textId="77777777" w:rsidR="00AA3AEF" w:rsidRPr="00BA29AE" w:rsidRDefault="00AA3AEF" w:rsidP="00AA3AEF">
      <w:pPr>
        <w:pStyle w:val="SingleTxt"/>
        <w:spacing w:after="0" w:line="120" w:lineRule="exact"/>
        <w:rPr>
          <w:sz w:val="10"/>
        </w:rPr>
      </w:pPr>
    </w:p>
    <w:p w14:paraId="1AA2DB98" w14:textId="77777777" w:rsidR="00AA3AEF" w:rsidRPr="00BA29AE" w:rsidRDefault="00AA3AEF" w:rsidP="00AA3AEF">
      <w:pPr>
        <w:pStyle w:val="SingleTxt"/>
      </w:pPr>
      <w:r w:rsidRPr="00BA29AE">
        <w:t>3.</w:t>
      </w:r>
      <w:r w:rsidRPr="00BA29AE">
        <w:tab/>
        <w:t>The sixty-ninth session of the Committee was held at the United Nations Office at Geneva from 19 February to 9 March 2018. The Committee held 20 plenary meetings and 10 meetings to discuss agenda items 5 to 8. A list of the documents before the Committee is contained in annex I to part three of the present report.</w:t>
      </w:r>
    </w:p>
    <w:p w14:paraId="74CF215E" w14:textId="77777777" w:rsidR="00AA3AEF" w:rsidRPr="00BA29AE" w:rsidRDefault="00AA3AEF" w:rsidP="00AA3AEF">
      <w:pPr>
        <w:pStyle w:val="SingleTxt"/>
      </w:pPr>
      <w:r w:rsidRPr="00BA29AE">
        <w:t>4.</w:t>
      </w:r>
      <w:r w:rsidRPr="00BA29AE">
        <w:tab/>
        <w:t>At the 1570th meeting, on 19 February, the session was opened by the Chair.</w:t>
      </w:r>
    </w:p>
    <w:p w14:paraId="49401A78" w14:textId="77777777" w:rsidR="00AA3AEF" w:rsidRPr="00BA29AE" w:rsidRDefault="00AA3AEF" w:rsidP="00AA3AEF">
      <w:pPr>
        <w:pStyle w:val="SingleTxt"/>
        <w:spacing w:after="0" w:line="120" w:lineRule="exact"/>
        <w:rPr>
          <w:sz w:val="10"/>
        </w:rPr>
      </w:pPr>
    </w:p>
    <w:p w14:paraId="3B44493B" w14:textId="77777777" w:rsidR="00AA3AEF" w:rsidRPr="00BA29AE" w:rsidRDefault="00AA3AEF" w:rsidP="00AA3AEF">
      <w:pPr>
        <w:pStyle w:val="SingleTxt"/>
        <w:spacing w:after="0" w:line="120" w:lineRule="exact"/>
        <w:rPr>
          <w:sz w:val="10"/>
        </w:rPr>
      </w:pPr>
    </w:p>
    <w:p w14:paraId="45BA3BE4" w14:textId="77777777" w:rsidR="00AA3AEF" w:rsidRPr="00BA29AE" w:rsidRDefault="00AA3AEF" w:rsidP="00AA3AEF">
      <w:pPr>
        <w:pStyle w:val="H1"/>
        <w:ind w:right="1260"/>
      </w:pPr>
      <w:r w:rsidRPr="00BA29AE">
        <w:tab/>
        <w:t>C.</w:t>
      </w:r>
      <w:r w:rsidRPr="00BA29AE">
        <w:tab/>
        <w:t>Adoption of the agenda</w:t>
      </w:r>
    </w:p>
    <w:p w14:paraId="14988368" w14:textId="77777777" w:rsidR="00AA3AEF" w:rsidRPr="00BA29AE" w:rsidRDefault="00AA3AEF" w:rsidP="00AA3AEF">
      <w:pPr>
        <w:pStyle w:val="SingleTxt"/>
        <w:spacing w:after="0" w:line="120" w:lineRule="exact"/>
        <w:rPr>
          <w:sz w:val="10"/>
        </w:rPr>
      </w:pPr>
    </w:p>
    <w:p w14:paraId="39F5DDA3" w14:textId="77777777" w:rsidR="00AA3AEF" w:rsidRPr="00BA29AE" w:rsidRDefault="00AA3AEF" w:rsidP="00AA3AEF">
      <w:pPr>
        <w:pStyle w:val="SingleTxt"/>
        <w:spacing w:after="0" w:line="120" w:lineRule="exact"/>
        <w:rPr>
          <w:sz w:val="10"/>
        </w:rPr>
      </w:pPr>
    </w:p>
    <w:p w14:paraId="28447A2D" w14:textId="22AF8F9A" w:rsidR="00AA3AEF" w:rsidRPr="00BA29AE" w:rsidRDefault="00AA3AEF" w:rsidP="00AA3AEF">
      <w:pPr>
        <w:pStyle w:val="SingleTxt"/>
      </w:pPr>
      <w:r w:rsidRPr="00BA29AE">
        <w:t>5.</w:t>
      </w:r>
      <w:r w:rsidRPr="00BA29AE">
        <w:tab/>
        <w:t>The Committee adopted the provisional agenda (</w:t>
      </w:r>
      <w:hyperlink r:id="rId105" w:history="1">
        <w:r w:rsidRPr="00BA29AE">
          <w:rPr>
            <w:rStyle w:val="Hyperlink"/>
          </w:rPr>
          <w:t>CEDAW/C/69/1</w:t>
        </w:r>
      </w:hyperlink>
      <w:r w:rsidRPr="00BA29AE">
        <w:t>) at its 1570th meeting, on 19 February.</w:t>
      </w:r>
    </w:p>
    <w:p w14:paraId="660FE085" w14:textId="77777777" w:rsidR="00AA3AEF" w:rsidRPr="00BA29AE" w:rsidRDefault="00AA3AEF" w:rsidP="00AA3AEF">
      <w:pPr>
        <w:pStyle w:val="SingleTxt"/>
        <w:spacing w:after="0" w:line="120" w:lineRule="exact"/>
        <w:rPr>
          <w:sz w:val="10"/>
        </w:rPr>
      </w:pPr>
    </w:p>
    <w:p w14:paraId="0A2535CC" w14:textId="77777777" w:rsidR="00AA3AEF" w:rsidRPr="00BA29AE" w:rsidRDefault="00AA3AEF" w:rsidP="00AA3AEF">
      <w:pPr>
        <w:pStyle w:val="SingleTxt"/>
        <w:spacing w:after="0" w:line="120" w:lineRule="exact"/>
        <w:rPr>
          <w:sz w:val="10"/>
        </w:rPr>
      </w:pPr>
    </w:p>
    <w:p w14:paraId="508D80AA" w14:textId="77777777" w:rsidR="00AA3AEF" w:rsidRPr="00BA29AE" w:rsidRDefault="00AA3AEF" w:rsidP="00AA3AEF">
      <w:pPr>
        <w:pStyle w:val="H1"/>
        <w:ind w:right="1260"/>
      </w:pPr>
      <w:r w:rsidRPr="00BA29AE">
        <w:tab/>
        <w:t>D.</w:t>
      </w:r>
      <w:r w:rsidRPr="00BA29AE">
        <w:tab/>
        <w:t>Report of the pre-sessional working group</w:t>
      </w:r>
    </w:p>
    <w:p w14:paraId="5F8DE461" w14:textId="77777777" w:rsidR="00AA3AEF" w:rsidRPr="00BA29AE" w:rsidRDefault="00AA3AEF" w:rsidP="00AA3AEF">
      <w:pPr>
        <w:pStyle w:val="SingleTxt"/>
        <w:spacing w:after="0" w:line="120" w:lineRule="exact"/>
        <w:rPr>
          <w:sz w:val="10"/>
        </w:rPr>
      </w:pPr>
    </w:p>
    <w:p w14:paraId="617F4948" w14:textId="77777777" w:rsidR="00AA3AEF" w:rsidRPr="00BA29AE" w:rsidRDefault="00AA3AEF" w:rsidP="00AA3AEF">
      <w:pPr>
        <w:pStyle w:val="SingleTxt"/>
        <w:spacing w:after="0" w:line="120" w:lineRule="exact"/>
        <w:rPr>
          <w:sz w:val="10"/>
        </w:rPr>
      </w:pPr>
    </w:p>
    <w:p w14:paraId="6B2B4C82" w14:textId="4424BE9E" w:rsidR="00AA3AEF" w:rsidRPr="00BA29AE" w:rsidRDefault="00AA3AEF" w:rsidP="00AA3AEF">
      <w:pPr>
        <w:pStyle w:val="SingleTxt"/>
      </w:pPr>
      <w:r w:rsidRPr="00BA29AE">
        <w:t>6.</w:t>
      </w:r>
      <w:r w:rsidRPr="00BA29AE">
        <w:tab/>
        <w:t>The report of the pre-sessional working group (</w:t>
      </w:r>
      <w:hyperlink r:id="rId106" w:history="1">
        <w:r w:rsidRPr="00BA29AE">
          <w:rPr>
            <w:rStyle w:val="Hyperlink"/>
          </w:rPr>
          <w:t>CEDAW/C/PSWG/69/1</w:t>
        </w:r>
      </w:hyperlink>
      <w:r w:rsidRPr="00BA29AE">
        <w:t>), which had met from 24 to 28 July 2017, was introduced by Nahla Haidar at the 1570th meeting, on 19 February.</w:t>
      </w:r>
    </w:p>
    <w:p w14:paraId="77231301" w14:textId="77777777" w:rsidR="00AA3AEF" w:rsidRPr="00BA29AE" w:rsidRDefault="00AA3AEF" w:rsidP="00AA3AEF">
      <w:pPr>
        <w:pStyle w:val="SingleTxt"/>
        <w:spacing w:after="0" w:line="120" w:lineRule="exact"/>
        <w:rPr>
          <w:sz w:val="10"/>
        </w:rPr>
      </w:pPr>
    </w:p>
    <w:p w14:paraId="179D1044" w14:textId="77777777" w:rsidR="00AA3AEF" w:rsidRPr="00BA29AE" w:rsidRDefault="00AA3AEF" w:rsidP="00AA3AEF">
      <w:pPr>
        <w:pStyle w:val="SingleTxt"/>
        <w:spacing w:after="0" w:line="120" w:lineRule="exact"/>
        <w:rPr>
          <w:sz w:val="10"/>
        </w:rPr>
      </w:pPr>
    </w:p>
    <w:p w14:paraId="7F85C0C3" w14:textId="77777777" w:rsidR="00AA3AEF" w:rsidRPr="00BA29AE" w:rsidRDefault="00AA3AEF" w:rsidP="00AA3AEF">
      <w:pPr>
        <w:pStyle w:val="H1"/>
        <w:ind w:right="1260"/>
      </w:pPr>
      <w:r w:rsidRPr="00BA29AE">
        <w:tab/>
        <w:t>E.</w:t>
      </w:r>
      <w:r w:rsidRPr="00BA29AE">
        <w:tab/>
        <w:t>Organization of work</w:t>
      </w:r>
    </w:p>
    <w:p w14:paraId="494104A8" w14:textId="77777777" w:rsidR="00AA3AEF" w:rsidRPr="00BA29AE" w:rsidRDefault="00AA3AEF" w:rsidP="00AA3AEF">
      <w:pPr>
        <w:pStyle w:val="SingleTxt"/>
        <w:spacing w:after="0" w:line="120" w:lineRule="exact"/>
        <w:rPr>
          <w:sz w:val="10"/>
        </w:rPr>
      </w:pPr>
    </w:p>
    <w:p w14:paraId="5E5C78C5" w14:textId="77777777" w:rsidR="00AA3AEF" w:rsidRPr="00BA29AE" w:rsidRDefault="00AA3AEF" w:rsidP="00AA3AEF">
      <w:pPr>
        <w:pStyle w:val="SingleTxt"/>
        <w:spacing w:after="0" w:line="120" w:lineRule="exact"/>
        <w:rPr>
          <w:sz w:val="10"/>
        </w:rPr>
      </w:pPr>
    </w:p>
    <w:p w14:paraId="1C92124F" w14:textId="77777777" w:rsidR="00AA3AEF" w:rsidRPr="00BA29AE" w:rsidRDefault="00AA3AEF" w:rsidP="00AA3AEF">
      <w:pPr>
        <w:pStyle w:val="SingleTxt"/>
      </w:pPr>
      <w:r w:rsidRPr="00BA29AE">
        <w:t>7.</w:t>
      </w:r>
      <w:r w:rsidRPr="00BA29AE">
        <w:tab/>
        <w:t>On 19 and 26 February, the Committee held closed meetings, including videoconferences, with representatives of the specialized agencies, funds and programmes of the United Nations system and other intergovernmental organizations, at which those bodies provided country-specific information and information on their efforts to support the implementation of the Convention.</w:t>
      </w:r>
    </w:p>
    <w:p w14:paraId="2AD51407" w14:textId="77777777" w:rsidR="00AA3AEF" w:rsidRPr="00BA29AE" w:rsidRDefault="00AA3AEF" w:rsidP="00AA3AEF">
      <w:pPr>
        <w:pStyle w:val="SingleTxt"/>
      </w:pPr>
      <w:r w:rsidRPr="00BA29AE">
        <w:t>8.</w:t>
      </w:r>
      <w:r w:rsidRPr="00BA29AE">
        <w:tab/>
        <w:t>In addition, the Committee held informal public meetings with representatives of non-governmental organizations and national human rights institutions, who provided information about the implementation of the Convention in the States parties considered by the Committee at its sixty-ninth session.</w:t>
      </w:r>
    </w:p>
    <w:p w14:paraId="4B6E1447" w14:textId="77777777" w:rsidR="00AA3AEF" w:rsidRPr="00BA29AE" w:rsidRDefault="00AA3AEF" w:rsidP="00AA3AEF">
      <w:pPr>
        <w:pStyle w:val="SingleTxt"/>
      </w:pPr>
      <w:r w:rsidRPr="00BA29AE">
        <w:t>9.</w:t>
      </w:r>
      <w:r w:rsidRPr="00BA29AE">
        <w:tab/>
        <w:t xml:space="preserve">On 21 February, Christine Löw, Head of the UN-Women Liaison Office in Geneva, provided a briefing to the Committee on the work of UN-Women in promoting the implementation of the Convention and of the concluding observations of the Committee. </w:t>
      </w:r>
    </w:p>
    <w:p w14:paraId="590CC96C" w14:textId="7FB317D4" w:rsidR="00AA3AEF" w:rsidRPr="00BA29AE" w:rsidRDefault="00AA3AEF" w:rsidP="00AA3AEF">
      <w:pPr>
        <w:pStyle w:val="SingleTxt"/>
      </w:pPr>
      <w:r w:rsidRPr="00BA29AE">
        <w:t>10.</w:t>
      </w:r>
      <w:r w:rsidRPr="00BA29AE">
        <w:tab/>
        <w:t xml:space="preserve">On 5 March, the Committee held an informal meeting with Maria Soledad Cisternas Reyes, Special Envoy of the Secretary-General on Disabilities and </w:t>
      </w:r>
      <w:r w:rsidRPr="00BA29AE">
        <w:lastRenderedPageBreak/>
        <w:t xml:space="preserve">Accessibility, who provided a briefing on the evolving practice of the human rights treaty bodies in addressing the rights of persons with disabilities, including women with disabilities, and the role of the Sustainable Development Goals in </w:t>
      </w:r>
      <w:r w:rsidR="001C2EF6">
        <w:t xml:space="preserve">the </w:t>
      </w:r>
      <w:r w:rsidRPr="00BA29AE">
        <w:t>promoti</w:t>
      </w:r>
      <w:r w:rsidR="001C2EF6">
        <w:t>o</w:t>
      </w:r>
      <w:r w:rsidRPr="00BA29AE">
        <w:t xml:space="preserve">n </w:t>
      </w:r>
      <w:r w:rsidR="001C2EF6">
        <w:t xml:space="preserve">of </w:t>
      </w:r>
      <w:r w:rsidRPr="00BA29AE">
        <w:t>accessibility and inclusiveness.</w:t>
      </w:r>
    </w:p>
    <w:p w14:paraId="5A982812" w14:textId="77777777" w:rsidR="00AA3AEF" w:rsidRPr="00BA29AE" w:rsidRDefault="00AA3AEF" w:rsidP="00AA3AEF">
      <w:pPr>
        <w:pStyle w:val="SingleTxt"/>
        <w:spacing w:after="0" w:line="120" w:lineRule="exact"/>
        <w:rPr>
          <w:sz w:val="10"/>
        </w:rPr>
      </w:pPr>
    </w:p>
    <w:p w14:paraId="1A4633B3" w14:textId="77777777" w:rsidR="00AA3AEF" w:rsidRPr="00BA29AE" w:rsidRDefault="00AA3AEF" w:rsidP="00AA3AEF">
      <w:pPr>
        <w:pStyle w:val="SingleTxt"/>
        <w:spacing w:after="0" w:line="120" w:lineRule="exact"/>
        <w:rPr>
          <w:sz w:val="10"/>
        </w:rPr>
      </w:pPr>
    </w:p>
    <w:p w14:paraId="123A28DB" w14:textId="77777777" w:rsidR="00AA3AEF" w:rsidRPr="00BA29AE" w:rsidRDefault="00AA3AEF" w:rsidP="00AA3AEF">
      <w:pPr>
        <w:pStyle w:val="H1"/>
        <w:ind w:right="1260"/>
      </w:pPr>
      <w:r w:rsidRPr="00BA29AE">
        <w:tab/>
        <w:t>F.</w:t>
      </w:r>
      <w:r w:rsidRPr="00BA29AE">
        <w:tab/>
        <w:t>Membership of the Committee</w:t>
      </w:r>
    </w:p>
    <w:p w14:paraId="5C3E1054" w14:textId="77777777" w:rsidR="00AA3AEF" w:rsidRPr="00BA29AE" w:rsidRDefault="00AA3AEF" w:rsidP="00AA3AEF">
      <w:pPr>
        <w:pStyle w:val="SingleTxt"/>
        <w:spacing w:after="0" w:line="120" w:lineRule="exact"/>
        <w:rPr>
          <w:sz w:val="10"/>
        </w:rPr>
      </w:pPr>
    </w:p>
    <w:p w14:paraId="54055E40" w14:textId="77777777" w:rsidR="00AA3AEF" w:rsidRPr="00BA29AE" w:rsidRDefault="00AA3AEF" w:rsidP="00AA3AEF">
      <w:pPr>
        <w:pStyle w:val="SingleTxt"/>
        <w:spacing w:after="0" w:line="120" w:lineRule="exact"/>
        <w:rPr>
          <w:sz w:val="10"/>
        </w:rPr>
      </w:pPr>
    </w:p>
    <w:p w14:paraId="6CFDA121"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Filling of casual vacancies</w:t>
      </w:r>
    </w:p>
    <w:p w14:paraId="591B4DB2" w14:textId="77777777" w:rsidR="00AA3AEF" w:rsidRPr="00BA29AE" w:rsidRDefault="00AA3AEF" w:rsidP="00AA3AEF">
      <w:pPr>
        <w:pStyle w:val="SingleTxt"/>
        <w:spacing w:after="0" w:line="120" w:lineRule="exact"/>
        <w:rPr>
          <w:sz w:val="10"/>
        </w:rPr>
      </w:pPr>
    </w:p>
    <w:p w14:paraId="07809649" w14:textId="3140A014" w:rsidR="00AA3AEF" w:rsidRPr="00BA29AE" w:rsidRDefault="00AA3AEF" w:rsidP="00AA3AEF">
      <w:pPr>
        <w:pStyle w:val="SingleTxt"/>
      </w:pPr>
      <w:r w:rsidRPr="00BA29AE">
        <w:t>11.</w:t>
      </w:r>
      <w:r w:rsidRPr="00BA29AE">
        <w:tab/>
        <w:t>On 11 December 2017, the Committee learned of the passing, on 9 December, of Theodora Oby Nwankwo, who had been re-elected as a member of the Committee on 21 June 2016, for a term that was to expire on 31 December 2020. On 11 December 2017, the Chair extended the Committee’s condolences to the Permanent Mission of Nigeria to the United Nations Office and other international organization</w:t>
      </w:r>
      <w:r w:rsidR="001C2EF6">
        <w:t>s</w:t>
      </w:r>
      <w:r w:rsidRPr="00BA29AE">
        <w:t xml:space="preserve"> in Geneva. On 13 December, the Secretary-General requested the Government of Nigeria to appoint, within a period of two months, another expert from among its nationals to fill the vacancy </w:t>
      </w:r>
      <w:r w:rsidR="001C2EF6">
        <w:t>resulting from</w:t>
      </w:r>
      <w:r w:rsidRPr="00BA29AE">
        <w:t xml:space="preserve"> the death of Ms. Nwankwo. On 26 January 2018, the Government of Nigeria informed the Committee of its decision to appoint Esther Eghobamien-Mshelia to serve as a member of the Committee for the remainder of the term of the late Ms. Nwankwo. On 1 March, the Committee decided to approve the appointment of Ms. Eghobamien-Mshelia, in accordance with article 17 (7) of the Convention.</w:t>
      </w:r>
    </w:p>
    <w:p w14:paraId="6B122238" w14:textId="77777777" w:rsidR="00AA3AEF" w:rsidRPr="00BA29AE" w:rsidRDefault="00AA3AEF" w:rsidP="00AA3AEF">
      <w:pPr>
        <w:pStyle w:val="SingleTxt"/>
        <w:spacing w:after="0" w:line="120" w:lineRule="exact"/>
        <w:rPr>
          <w:sz w:val="10"/>
        </w:rPr>
      </w:pPr>
    </w:p>
    <w:p w14:paraId="31B7A4EC"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Attendance at the sixty-ninth session</w:t>
      </w:r>
    </w:p>
    <w:p w14:paraId="6D3EBED5" w14:textId="77777777" w:rsidR="00AA3AEF" w:rsidRPr="00BA29AE" w:rsidRDefault="00AA3AEF" w:rsidP="00AA3AEF">
      <w:pPr>
        <w:pStyle w:val="SingleTxt"/>
        <w:spacing w:after="0" w:line="120" w:lineRule="exact"/>
        <w:rPr>
          <w:sz w:val="10"/>
        </w:rPr>
      </w:pPr>
    </w:p>
    <w:p w14:paraId="1B2BEE10" w14:textId="77777777" w:rsidR="00AA3AEF" w:rsidRPr="00BA29AE" w:rsidRDefault="00AA3AEF" w:rsidP="00AA3AEF">
      <w:pPr>
        <w:pStyle w:val="SingleTxt"/>
      </w:pPr>
      <w:r w:rsidRPr="00BA29AE">
        <w:t>12.</w:t>
      </w:r>
      <w:r w:rsidRPr="00BA29AE">
        <w:tab/>
        <w:t>All members attended the sixty-ninth session. The following members did not attend on the indicated dates: Ayse Feride Acar, from 19 to 23 February and on 8 and 9 March; Ruth Halperin-Kaddari, from 28 February to 2 March and from 7 to 9 March; Yoko Hayashi, from 5 to 9 March; and Aruna Devi Narain, on 8 and 9 March. A list of the members of the Committee, indicating the duration of their terms of office, is contained in annex II to part three of the present report.</w:t>
      </w:r>
    </w:p>
    <w:p w14:paraId="7F5898E0" w14:textId="77777777" w:rsidR="00AA3AEF" w:rsidRPr="00BA29AE" w:rsidRDefault="00AA3AEF" w:rsidP="00AA3AEF">
      <w:pPr>
        <w:suppressAutoHyphens w:val="0"/>
        <w:spacing w:after="200" w:line="276" w:lineRule="auto"/>
      </w:pPr>
      <w:r w:rsidRPr="00BA29AE">
        <w:br w:type="page"/>
      </w:r>
    </w:p>
    <w:p w14:paraId="04EDCB01" w14:textId="77777777" w:rsidR="00AA3AEF" w:rsidRPr="00BA29AE" w:rsidRDefault="00AA3AEF" w:rsidP="00AA3AEF">
      <w:pPr>
        <w:pStyle w:val="HCh"/>
        <w:ind w:left="1267" w:right="1260" w:hanging="1267"/>
      </w:pPr>
      <w:r w:rsidRPr="00BA29AE">
        <w:lastRenderedPageBreak/>
        <w:t>Chapter III</w:t>
      </w:r>
    </w:p>
    <w:p w14:paraId="3191A222" w14:textId="77777777" w:rsidR="00AA3AEF" w:rsidRPr="00BA29AE" w:rsidRDefault="00AA3AEF" w:rsidP="00AA3AEF">
      <w:pPr>
        <w:pStyle w:val="HCh"/>
        <w:ind w:left="1267" w:right="1260" w:hanging="1267"/>
      </w:pPr>
      <w:r w:rsidRPr="00BA29AE">
        <w:tab/>
      </w:r>
      <w:r w:rsidRPr="00BA29AE">
        <w:tab/>
        <w:t>Report of the Chair on intersessional activities</w:t>
      </w:r>
    </w:p>
    <w:p w14:paraId="3B05B1BE" w14:textId="77777777" w:rsidR="00AA3AEF" w:rsidRPr="00BA29AE" w:rsidRDefault="00AA3AEF" w:rsidP="00AA3AEF">
      <w:pPr>
        <w:pStyle w:val="SingleTxt"/>
        <w:spacing w:after="0" w:line="120" w:lineRule="exact"/>
        <w:rPr>
          <w:sz w:val="10"/>
        </w:rPr>
      </w:pPr>
    </w:p>
    <w:p w14:paraId="6480931F" w14:textId="77777777" w:rsidR="00AA3AEF" w:rsidRPr="00BA29AE" w:rsidRDefault="00AA3AEF" w:rsidP="00AA3AEF">
      <w:pPr>
        <w:pStyle w:val="SingleTxt"/>
        <w:spacing w:after="0" w:line="120" w:lineRule="exact"/>
        <w:rPr>
          <w:sz w:val="10"/>
        </w:rPr>
      </w:pPr>
    </w:p>
    <w:p w14:paraId="339908F2" w14:textId="77777777" w:rsidR="00AA3AEF" w:rsidRPr="00BA29AE" w:rsidRDefault="00AA3AEF" w:rsidP="00AA3AEF">
      <w:pPr>
        <w:pStyle w:val="SingleTxt"/>
      </w:pPr>
      <w:r w:rsidRPr="00BA29AE">
        <w:t>13.</w:t>
      </w:r>
      <w:r w:rsidRPr="00BA29AE">
        <w:tab/>
        <w:t>At the 1570th meeting, on 19 February 2018, the Chair presented a report on her activities since the sixty-eighth session.</w:t>
      </w:r>
    </w:p>
    <w:p w14:paraId="10F8E8FC" w14:textId="77777777" w:rsidR="00AA3AEF" w:rsidRPr="00BA29AE" w:rsidRDefault="00AA3AEF" w:rsidP="00AA3AEF">
      <w:pPr>
        <w:suppressAutoHyphens w:val="0"/>
        <w:spacing w:after="200" w:line="276" w:lineRule="auto"/>
      </w:pPr>
      <w:r w:rsidRPr="00BA29AE">
        <w:br w:type="page"/>
      </w:r>
    </w:p>
    <w:p w14:paraId="380EC072" w14:textId="77777777" w:rsidR="00AA3AEF" w:rsidRPr="00BA29AE" w:rsidRDefault="00AA3AEF" w:rsidP="00AA3AEF">
      <w:pPr>
        <w:pStyle w:val="HCh"/>
        <w:ind w:left="1267" w:right="1260" w:hanging="1267"/>
      </w:pPr>
      <w:r w:rsidRPr="00BA29AE">
        <w:lastRenderedPageBreak/>
        <w:t xml:space="preserve">Chapter IV </w:t>
      </w:r>
    </w:p>
    <w:p w14:paraId="28F9B865" w14:textId="77777777" w:rsidR="00AA3AEF" w:rsidRPr="00BA29AE" w:rsidRDefault="00AA3AEF" w:rsidP="00AA3AEF">
      <w:pPr>
        <w:pStyle w:val="HCh"/>
        <w:ind w:left="1267" w:right="1260" w:hanging="1267"/>
      </w:pPr>
      <w:r w:rsidRPr="00BA29AE">
        <w:tab/>
      </w:r>
      <w:r w:rsidRPr="00BA29AE">
        <w:tab/>
        <w:t>Consideration of reports submitted by States parties under article 18 of the Convention</w:t>
      </w:r>
    </w:p>
    <w:p w14:paraId="0F23D283" w14:textId="77777777" w:rsidR="00AA3AEF" w:rsidRPr="00BA29AE" w:rsidRDefault="00AA3AEF" w:rsidP="00AA3AEF">
      <w:pPr>
        <w:pStyle w:val="SingleTxt"/>
        <w:spacing w:after="0" w:line="120" w:lineRule="exact"/>
        <w:rPr>
          <w:sz w:val="10"/>
        </w:rPr>
      </w:pPr>
    </w:p>
    <w:p w14:paraId="6C4F9A91" w14:textId="77777777" w:rsidR="00AA3AEF" w:rsidRPr="00BA29AE" w:rsidRDefault="00AA3AEF" w:rsidP="00AA3AEF">
      <w:pPr>
        <w:pStyle w:val="SingleTxt"/>
        <w:spacing w:after="0" w:line="120" w:lineRule="exact"/>
        <w:rPr>
          <w:sz w:val="10"/>
        </w:rPr>
      </w:pPr>
    </w:p>
    <w:p w14:paraId="44E9A89B" w14:textId="77777777" w:rsidR="00AA3AEF" w:rsidRPr="00BA29AE" w:rsidRDefault="00AA3AEF" w:rsidP="00AA3AEF">
      <w:pPr>
        <w:pStyle w:val="SingleTxt"/>
      </w:pPr>
      <w:r w:rsidRPr="00BA29AE">
        <w:t>14.</w:t>
      </w:r>
      <w:r w:rsidRPr="00BA29AE">
        <w:tab/>
        <w:t>The Committee considered the reports of eight States parties submitted under article 18 of the Convention and adopted the following concluding observations thereon:</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AA3AEF" w:rsidRPr="00BA29AE" w14:paraId="67CF5C37" w14:textId="77777777" w:rsidTr="00AA3AEF">
        <w:tc>
          <w:tcPr>
            <w:tcW w:w="3660" w:type="dxa"/>
            <w:shd w:val="clear" w:color="auto" w:fill="auto"/>
          </w:tcPr>
          <w:p w14:paraId="52F62CEE"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Chile</w:t>
            </w:r>
          </w:p>
        </w:tc>
        <w:tc>
          <w:tcPr>
            <w:tcW w:w="3660" w:type="dxa"/>
            <w:shd w:val="clear" w:color="auto" w:fill="auto"/>
          </w:tcPr>
          <w:p w14:paraId="49269282" w14:textId="50B18BAA"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07" w:history="1">
              <w:r w:rsidRPr="00BA29AE">
                <w:rPr>
                  <w:rStyle w:val="Hyperlink"/>
                  <w:lang w:val="en-GB"/>
                </w:rPr>
                <w:t>CEDAW/C/CHL/CO/7</w:t>
              </w:r>
            </w:hyperlink>
            <w:r w:rsidRPr="00BA29AE">
              <w:rPr>
                <w:lang w:val="en-GB"/>
              </w:rPr>
              <w:t>)</w:t>
            </w:r>
          </w:p>
        </w:tc>
      </w:tr>
      <w:tr w:rsidR="00AA3AEF" w:rsidRPr="00BA29AE" w14:paraId="092E773B" w14:textId="77777777" w:rsidTr="00AA3AEF">
        <w:tc>
          <w:tcPr>
            <w:tcW w:w="3660" w:type="dxa"/>
            <w:shd w:val="clear" w:color="auto" w:fill="auto"/>
          </w:tcPr>
          <w:p w14:paraId="1911A5C4"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Fiji</w:t>
            </w:r>
          </w:p>
        </w:tc>
        <w:tc>
          <w:tcPr>
            <w:tcW w:w="3660" w:type="dxa"/>
            <w:shd w:val="clear" w:color="auto" w:fill="auto"/>
          </w:tcPr>
          <w:p w14:paraId="55110660" w14:textId="4647D18C"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08" w:history="1">
              <w:r w:rsidRPr="00BA29AE">
                <w:rPr>
                  <w:rStyle w:val="Hyperlink"/>
                  <w:lang w:val="en-GB"/>
                </w:rPr>
                <w:t>CEDAW/C/FJI/CO/5</w:t>
              </w:r>
            </w:hyperlink>
            <w:r w:rsidRPr="00BA29AE">
              <w:rPr>
                <w:lang w:val="en-GB"/>
              </w:rPr>
              <w:t>)</w:t>
            </w:r>
          </w:p>
        </w:tc>
      </w:tr>
      <w:tr w:rsidR="00AA3AEF" w:rsidRPr="00BA29AE" w14:paraId="77119B09" w14:textId="77777777" w:rsidTr="00AA3AEF">
        <w:tc>
          <w:tcPr>
            <w:tcW w:w="3660" w:type="dxa"/>
            <w:shd w:val="clear" w:color="auto" w:fill="auto"/>
          </w:tcPr>
          <w:p w14:paraId="56A0CA8E"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Luxembourg</w:t>
            </w:r>
          </w:p>
        </w:tc>
        <w:tc>
          <w:tcPr>
            <w:tcW w:w="3660" w:type="dxa"/>
            <w:shd w:val="clear" w:color="auto" w:fill="auto"/>
          </w:tcPr>
          <w:p w14:paraId="7187854C" w14:textId="4C3ECB10"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09" w:history="1">
              <w:r w:rsidRPr="00BA29AE">
                <w:rPr>
                  <w:rStyle w:val="Hyperlink"/>
                  <w:lang w:val="en-GB"/>
                </w:rPr>
                <w:t>CEDAW/C/LUX/CO/6-7</w:t>
              </w:r>
            </w:hyperlink>
            <w:r w:rsidRPr="00BA29AE">
              <w:rPr>
                <w:lang w:val="en-GB"/>
              </w:rPr>
              <w:t>)</w:t>
            </w:r>
          </w:p>
        </w:tc>
      </w:tr>
      <w:tr w:rsidR="00AA3AEF" w:rsidRPr="00BA29AE" w14:paraId="45F5C7BF" w14:textId="77777777" w:rsidTr="00AA3AEF">
        <w:tc>
          <w:tcPr>
            <w:tcW w:w="3660" w:type="dxa"/>
            <w:shd w:val="clear" w:color="auto" w:fill="auto"/>
          </w:tcPr>
          <w:p w14:paraId="79758DCB"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Malaysia</w:t>
            </w:r>
          </w:p>
        </w:tc>
        <w:tc>
          <w:tcPr>
            <w:tcW w:w="3660" w:type="dxa"/>
            <w:shd w:val="clear" w:color="auto" w:fill="auto"/>
          </w:tcPr>
          <w:p w14:paraId="2DCDA9BF" w14:textId="20011189"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10" w:history="1">
              <w:r w:rsidRPr="00BA29AE">
                <w:rPr>
                  <w:rStyle w:val="Hyperlink"/>
                  <w:lang w:val="en-GB"/>
                </w:rPr>
                <w:t>CEDAW/C/MAL/CO/3-5</w:t>
              </w:r>
            </w:hyperlink>
            <w:r w:rsidRPr="00BA29AE">
              <w:rPr>
                <w:lang w:val="en-GB"/>
              </w:rPr>
              <w:t>)</w:t>
            </w:r>
          </w:p>
        </w:tc>
      </w:tr>
      <w:tr w:rsidR="00AA3AEF" w:rsidRPr="00BA29AE" w14:paraId="4DF7E5E7" w14:textId="77777777" w:rsidTr="00AA3AEF">
        <w:tc>
          <w:tcPr>
            <w:tcW w:w="3660" w:type="dxa"/>
            <w:shd w:val="clear" w:color="auto" w:fill="auto"/>
          </w:tcPr>
          <w:p w14:paraId="00FCCF8B"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Marshall Islands</w:t>
            </w:r>
          </w:p>
        </w:tc>
        <w:tc>
          <w:tcPr>
            <w:tcW w:w="3660" w:type="dxa"/>
            <w:shd w:val="clear" w:color="auto" w:fill="auto"/>
          </w:tcPr>
          <w:p w14:paraId="7DB2C336" w14:textId="640A7DBF"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11" w:history="1">
              <w:r w:rsidRPr="00BA29AE">
                <w:rPr>
                  <w:rStyle w:val="Hyperlink"/>
                  <w:lang w:val="en-GB"/>
                </w:rPr>
                <w:t>CEDAW/C/MHL/CO/1-3</w:t>
              </w:r>
            </w:hyperlink>
            <w:r w:rsidRPr="00BA29AE">
              <w:rPr>
                <w:lang w:val="en-GB"/>
              </w:rPr>
              <w:t>)</w:t>
            </w:r>
          </w:p>
        </w:tc>
      </w:tr>
      <w:tr w:rsidR="00AA3AEF" w:rsidRPr="00BA29AE" w14:paraId="0B9160BD" w14:textId="77777777" w:rsidTr="00AA3AEF">
        <w:tc>
          <w:tcPr>
            <w:tcW w:w="3660" w:type="dxa"/>
            <w:shd w:val="clear" w:color="auto" w:fill="auto"/>
          </w:tcPr>
          <w:p w14:paraId="3A3BBAE4"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Republic of Korea</w:t>
            </w:r>
          </w:p>
        </w:tc>
        <w:tc>
          <w:tcPr>
            <w:tcW w:w="3660" w:type="dxa"/>
            <w:shd w:val="clear" w:color="auto" w:fill="auto"/>
          </w:tcPr>
          <w:p w14:paraId="207D8CDB" w14:textId="01870572"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12" w:history="1">
              <w:r w:rsidRPr="00BA29AE">
                <w:rPr>
                  <w:rStyle w:val="Hyperlink"/>
                  <w:lang w:val="en-GB"/>
                </w:rPr>
                <w:t>CEDAW/C/KOR/CO/8</w:t>
              </w:r>
            </w:hyperlink>
            <w:r w:rsidRPr="00BA29AE">
              <w:rPr>
                <w:lang w:val="en-GB"/>
              </w:rPr>
              <w:t>)</w:t>
            </w:r>
          </w:p>
        </w:tc>
      </w:tr>
      <w:tr w:rsidR="00AA3AEF" w:rsidRPr="00BA29AE" w14:paraId="7D0CE7F6" w14:textId="77777777" w:rsidTr="00AA3AEF">
        <w:tc>
          <w:tcPr>
            <w:tcW w:w="3660" w:type="dxa"/>
            <w:shd w:val="clear" w:color="auto" w:fill="auto"/>
          </w:tcPr>
          <w:p w14:paraId="6338E875"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lang w:val="en-GB"/>
              </w:rPr>
            </w:pPr>
            <w:r w:rsidRPr="00BA29AE">
              <w:rPr>
                <w:lang w:val="en-GB"/>
              </w:rPr>
              <w:tab/>
              <w:t>Saudi Arabia</w:t>
            </w:r>
          </w:p>
        </w:tc>
        <w:tc>
          <w:tcPr>
            <w:tcW w:w="3660" w:type="dxa"/>
            <w:shd w:val="clear" w:color="auto" w:fill="auto"/>
          </w:tcPr>
          <w:p w14:paraId="193ABA61" w14:textId="33E89FF6"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lang w:val="en-GB"/>
              </w:rPr>
            </w:pPr>
            <w:r w:rsidRPr="00BA29AE">
              <w:rPr>
                <w:lang w:val="en-GB"/>
              </w:rPr>
              <w:t>(</w:t>
            </w:r>
            <w:hyperlink r:id="rId113" w:history="1">
              <w:r w:rsidRPr="00BA29AE">
                <w:rPr>
                  <w:rStyle w:val="Hyperlink"/>
                  <w:lang w:val="en-GB"/>
                </w:rPr>
                <w:t>CEDAW/C/SAU/CO/3-4</w:t>
              </w:r>
            </w:hyperlink>
            <w:r w:rsidRPr="00BA29AE">
              <w:rPr>
                <w:lang w:val="en-GB"/>
              </w:rPr>
              <w:t>)</w:t>
            </w:r>
          </w:p>
        </w:tc>
      </w:tr>
      <w:tr w:rsidR="00AA3AEF" w:rsidRPr="00BA29AE" w14:paraId="1539B175" w14:textId="77777777" w:rsidTr="00AA3AEF">
        <w:tc>
          <w:tcPr>
            <w:tcW w:w="3660" w:type="dxa"/>
            <w:shd w:val="clear" w:color="auto" w:fill="auto"/>
          </w:tcPr>
          <w:p w14:paraId="732BC891"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rPr>
                <w:lang w:val="en-GB"/>
              </w:rPr>
            </w:pPr>
            <w:r w:rsidRPr="00BA29AE">
              <w:rPr>
                <w:lang w:val="en-GB"/>
              </w:rPr>
              <w:tab/>
              <w:t>Suriname</w:t>
            </w:r>
          </w:p>
        </w:tc>
        <w:tc>
          <w:tcPr>
            <w:tcW w:w="3660" w:type="dxa"/>
            <w:shd w:val="clear" w:color="auto" w:fill="auto"/>
          </w:tcPr>
          <w:p w14:paraId="71BA5AC8" w14:textId="7E4D6706"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lang w:val="en-GB"/>
              </w:rPr>
            </w:pPr>
            <w:r w:rsidRPr="00BA29AE">
              <w:rPr>
                <w:lang w:val="en-GB"/>
              </w:rPr>
              <w:t>(</w:t>
            </w:r>
            <w:hyperlink r:id="rId114" w:history="1">
              <w:r w:rsidRPr="00BA29AE">
                <w:rPr>
                  <w:rStyle w:val="Hyperlink"/>
                  <w:lang w:val="en-GB"/>
                </w:rPr>
                <w:t>CEDAW/C/SUR/CO/4-6</w:t>
              </w:r>
            </w:hyperlink>
            <w:r w:rsidRPr="00BA29AE">
              <w:rPr>
                <w:lang w:val="en-GB"/>
              </w:rPr>
              <w:t>)</w:t>
            </w:r>
          </w:p>
        </w:tc>
      </w:tr>
    </w:tbl>
    <w:p w14:paraId="61598049" w14:textId="77777777" w:rsidR="00AA3AEF" w:rsidRPr="00BA29AE" w:rsidRDefault="00AA3AEF" w:rsidP="00AA3AEF">
      <w:pPr>
        <w:pStyle w:val="SingleTxt"/>
        <w:spacing w:after="0" w:line="120" w:lineRule="exact"/>
        <w:rPr>
          <w:sz w:val="10"/>
        </w:rPr>
      </w:pPr>
    </w:p>
    <w:p w14:paraId="419B65DC"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Follow-up procedures relating to concluding observations</w:t>
      </w:r>
    </w:p>
    <w:p w14:paraId="019F6DA3" w14:textId="77777777" w:rsidR="00AA3AEF" w:rsidRPr="00BA29AE" w:rsidRDefault="00AA3AEF" w:rsidP="00AA3AEF">
      <w:pPr>
        <w:pStyle w:val="SingleTxt"/>
        <w:spacing w:after="0" w:line="120" w:lineRule="exact"/>
        <w:rPr>
          <w:sz w:val="10"/>
        </w:rPr>
      </w:pPr>
    </w:p>
    <w:p w14:paraId="5C3DA8FB" w14:textId="77777777" w:rsidR="00AA3AEF" w:rsidRPr="00BA29AE" w:rsidRDefault="00AA3AEF" w:rsidP="00AA3AEF">
      <w:pPr>
        <w:pStyle w:val="SingleTxt"/>
      </w:pPr>
      <w:r w:rsidRPr="00BA29AE">
        <w:t>15.</w:t>
      </w:r>
      <w:r w:rsidRPr="00BA29AE">
        <w:tab/>
        <w:t xml:space="preserve">The Committee considered the follow-up reports received from the following States parties: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AA3AEF" w:rsidRPr="00BA29AE" w14:paraId="5795130D" w14:textId="77777777" w:rsidTr="00AA3AEF">
        <w:tc>
          <w:tcPr>
            <w:tcW w:w="3660" w:type="dxa"/>
            <w:shd w:val="clear" w:color="auto" w:fill="auto"/>
          </w:tcPr>
          <w:p w14:paraId="448889D0" w14:textId="6149E9B5"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r>
            <w:r w:rsidR="001C2EF6">
              <w:rPr>
                <w:iCs/>
                <w:lang w:val="en-GB"/>
              </w:rPr>
              <w:t xml:space="preserve">Plurinational State of </w:t>
            </w:r>
            <w:r w:rsidRPr="00BA29AE">
              <w:rPr>
                <w:iCs/>
                <w:lang w:val="en-GB"/>
              </w:rPr>
              <w:t>Bolivia</w:t>
            </w:r>
          </w:p>
        </w:tc>
        <w:tc>
          <w:tcPr>
            <w:tcW w:w="3660" w:type="dxa"/>
            <w:shd w:val="clear" w:color="auto" w:fill="auto"/>
          </w:tcPr>
          <w:p w14:paraId="451BD3B1" w14:textId="7A764188"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15" w:history="1">
              <w:r w:rsidRPr="00BA29AE">
                <w:rPr>
                  <w:rStyle w:val="Hyperlink"/>
                  <w:iCs/>
                  <w:lang w:val="en-GB"/>
                </w:rPr>
                <w:t>CEDAW/C/BOL/CO/5-6/Add.1</w:t>
              </w:r>
            </w:hyperlink>
            <w:r w:rsidRPr="00BA29AE">
              <w:rPr>
                <w:iCs/>
                <w:lang w:val="en-GB"/>
              </w:rPr>
              <w:t>)</w:t>
            </w:r>
          </w:p>
        </w:tc>
      </w:tr>
      <w:tr w:rsidR="00AA3AEF" w:rsidRPr="00BA29AE" w14:paraId="18BC4F8C" w14:textId="77777777" w:rsidTr="00AA3AEF">
        <w:tc>
          <w:tcPr>
            <w:tcW w:w="3660" w:type="dxa"/>
            <w:shd w:val="clear" w:color="auto" w:fill="auto"/>
          </w:tcPr>
          <w:p w14:paraId="0D08CD31"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Croatia</w:t>
            </w:r>
          </w:p>
        </w:tc>
        <w:tc>
          <w:tcPr>
            <w:tcW w:w="3660" w:type="dxa"/>
            <w:shd w:val="clear" w:color="auto" w:fill="auto"/>
          </w:tcPr>
          <w:p w14:paraId="25B480C2" w14:textId="25BCF9AA"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16" w:history="1">
              <w:r w:rsidRPr="00BA29AE">
                <w:rPr>
                  <w:rStyle w:val="Hyperlink"/>
                  <w:iCs/>
                  <w:lang w:val="en-GB"/>
                </w:rPr>
                <w:t>CEDAW/C/HRV/CO/4-5/Add.1</w:t>
              </w:r>
            </w:hyperlink>
            <w:r w:rsidRPr="00BA29AE">
              <w:rPr>
                <w:iCs/>
                <w:lang w:val="en-GB"/>
              </w:rPr>
              <w:t>)</w:t>
            </w:r>
          </w:p>
        </w:tc>
      </w:tr>
      <w:tr w:rsidR="00AA3AEF" w:rsidRPr="00BA29AE" w14:paraId="26C55352" w14:textId="77777777" w:rsidTr="00AA3AEF">
        <w:tc>
          <w:tcPr>
            <w:tcW w:w="3660" w:type="dxa"/>
            <w:shd w:val="clear" w:color="auto" w:fill="auto"/>
          </w:tcPr>
          <w:p w14:paraId="0B4462C3"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Mauritania</w:t>
            </w:r>
          </w:p>
        </w:tc>
        <w:tc>
          <w:tcPr>
            <w:tcW w:w="3660" w:type="dxa"/>
            <w:shd w:val="clear" w:color="auto" w:fill="auto"/>
          </w:tcPr>
          <w:p w14:paraId="598D8F75" w14:textId="5DC2C0F4"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17" w:history="1">
              <w:r w:rsidRPr="00BA29AE">
                <w:rPr>
                  <w:rStyle w:val="Hyperlink"/>
                  <w:iCs/>
                  <w:lang w:val="en-GB"/>
                </w:rPr>
                <w:t>CEDAW/C/MRT/CO/2-3/Add.1</w:t>
              </w:r>
            </w:hyperlink>
            <w:r w:rsidRPr="00BA29AE">
              <w:rPr>
                <w:iCs/>
                <w:lang w:val="en-GB"/>
              </w:rPr>
              <w:t>)</w:t>
            </w:r>
          </w:p>
        </w:tc>
      </w:tr>
      <w:tr w:rsidR="00AA3AEF" w:rsidRPr="00BA29AE" w14:paraId="613030FE" w14:textId="77777777" w:rsidTr="00AA3AEF">
        <w:tc>
          <w:tcPr>
            <w:tcW w:w="3660" w:type="dxa"/>
            <w:shd w:val="clear" w:color="auto" w:fill="auto"/>
          </w:tcPr>
          <w:p w14:paraId="7B1A4621"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Maldives</w:t>
            </w:r>
          </w:p>
        </w:tc>
        <w:tc>
          <w:tcPr>
            <w:tcW w:w="3660" w:type="dxa"/>
            <w:shd w:val="clear" w:color="auto" w:fill="auto"/>
          </w:tcPr>
          <w:p w14:paraId="3A015BEC" w14:textId="13713473"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18" w:history="1">
              <w:r w:rsidRPr="00BA29AE">
                <w:rPr>
                  <w:rStyle w:val="Hyperlink"/>
                  <w:iCs/>
                  <w:lang w:val="en-GB"/>
                </w:rPr>
                <w:t>CEDAW/C/MDV/CO/4-5/Add.1</w:t>
              </w:r>
            </w:hyperlink>
            <w:r w:rsidRPr="00BA29AE">
              <w:rPr>
                <w:iCs/>
                <w:lang w:val="en-GB"/>
              </w:rPr>
              <w:t>)</w:t>
            </w:r>
          </w:p>
        </w:tc>
      </w:tr>
      <w:tr w:rsidR="00AA3AEF" w:rsidRPr="00BA29AE" w14:paraId="4C903A13" w14:textId="77777777" w:rsidTr="00AA3AEF">
        <w:tc>
          <w:tcPr>
            <w:tcW w:w="3660" w:type="dxa"/>
            <w:shd w:val="clear" w:color="auto" w:fill="auto"/>
          </w:tcPr>
          <w:p w14:paraId="10D46C53"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Namibia</w:t>
            </w:r>
          </w:p>
        </w:tc>
        <w:tc>
          <w:tcPr>
            <w:tcW w:w="3660" w:type="dxa"/>
            <w:shd w:val="clear" w:color="auto" w:fill="auto"/>
          </w:tcPr>
          <w:p w14:paraId="404C5CC8" w14:textId="78F5D12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bookmarkStart w:id="2" w:name="_Hlk511233670"/>
            <w:r w:rsidRPr="00BA29AE">
              <w:rPr>
                <w:iCs/>
                <w:lang w:val="en-GB"/>
              </w:rPr>
              <w:t>(</w:t>
            </w:r>
            <w:hyperlink r:id="rId119" w:history="1">
              <w:r w:rsidR="001C2EF6" w:rsidRPr="00D67DD4">
                <w:rPr>
                  <w:rStyle w:val="Hyperlink"/>
                </w:rPr>
                <w:t>CEDAW/C/NAM/CO/4-5/Add.1</w:t>
              </w:r>
            </w:hyperlink>
            <w:r w:rsidRPr="00BA29AE">
              <w:rPr>
                <w:iCs/>
                <w:lang w:val="en-GB"/>
              </w:rPr>
              <w:t>)</w:t>
            </w:r>
            <w:bookmarkEnd w:id="2"/>
          </w:p>
        </w:tc>
      </w:tr>
      <w:tr w:rsidR="00AA3AEF" w:rsidRPr="00BA29AE" w14:paraId="39E8301E" w14:textId="77777777" w:rsidTr="00AA3AEF">
        <w:tc>
          <w:tcPr>
            <w:tcW w:w="3660" w:type="dxa"/>
            <w:shd w:val="clear" w:color="auto" w:fill="auto"/>
          </w:tcPr>
          <w:p w14:paraId="5410C770"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Poland</w:t>
            </w:r>
          </w:p>
        </w:tc>
        <w:tc>
          <w:tcPr>
            <w:tcW w:w="3660" w:type="dxa"/>
            <w:shd w:val="clear" w:color="auto" w:fill="auto"/>
          </w:tcPr>
          <w:p w14:paraId="22BFFA0B" w14:textId="6C9715CA"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20" w:history="1">
              <w:r w:rsidRPr="00BA29AE">
                <w:rPr>
                  <w:rStyle w:val="Hyperlink"/>
                  <w:iCs/>
                  <w:lang w:val="en-GB"/>
                </w:rPr>
                <w:t>CEDAW/C/POL/CO/7-8/Add.1</w:t>
              </w:r>
            </w:hyperlink>
            <w:r w:rsidRPr="00BA29AE">
              <w:rPr>
                <w:iCs/>
                <w:lang w:val="en-GB"/>
              </w:rPr>
              <w:t>)</w:t>
            </w:r>
          </w:p>
        </w:tc>
      </w:tr>
      <w:tr w:rsidR="00AA3AEF" w:rsidRPr="00BA29AE" w14:paraId="26E30989" w14:textId="77777777" w:rsidTr="00AA3AEF">
        <w:tc>
          <w:tcPr>
            <w:tcW w:w="3660" w:type="dxa"/>
            <w:shd w:val="clear" w:color="auto" w:fill="auto"/>
          </w:tcPr>
          <w:p w14:paraId="1B8ACA9D" w14:textId="77777777"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0" w:right="43"/>
              <w:rPr>
                <w:iCs/>
                <w:lang w:val="en-GB"/>
              </w:rPr>
            </w:pPr>
            <w:r w:rsidRPr="00BA29AE">
              <w:rPr>
                <w:iCs/>
                <w:lang w:val="en-GB"/>
              </w:rPr>
              <w:tab/>
              <w:t>Portugal</w:t>
            </w:r>
          </w:p>
        </w:tc>
        <w:tc>
          <w:tcPr>
            <w:tcW w:w="3660" w:type="dxa"/>
            <w:shd w:val="clear" w:color="auto" w:fill="auto"/>
          </w:tcPr>
          <w:p w14:paraId="368BA91A" w14:textId="7B2BDEA4" w:rsidR="00AA3AEF" w:rsidRPr="00BA29AE" w:rsidRDefault="00AA3AEF" w:rsidP="00442A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exact"/>
              <w:ind w:left="144" w:right="43"/>
              <w:jc w:val="left"/>
              <w:rPr>
                <w:iCs/>
                <w:lang w:val="en-GB"/>
              </w:rPr>
            </w:pPr>
            <w:r w:rsidRPr="00BA29AE">
              <w:rPr>
                <w:iCs/>
                <w:lang w:val="en-GB"/>
              </w:rPr>
              <w:t>(</w:t>
            </w:r>
            <w:hyperlink r:id="rId121" w:history="1">
              <w:r w:rsidRPr="00BA29AE">
                <w:rPr>
                  <w:rStyle w:val="Hyperlink"/>
                  <w:iCs/>
                  <w:lang w:val="en-GB"/>
                </w:rPr>
                <w:t>CEDAW/C/PRT/CO/8-9/Add.1</w:t>
              </w:r>
            </w:hyperlink>
            <w:r w:rsidRPr="00BA29AE">
              <w:rPr>
                <w:iCs/>
                <w:lang w:val="en-GB"/>
              </w:rPr>
              <w:t>)</w:t>
            </w:r>
          </w:p>
        </w:tc>
      </w:tr>
      <w:tr w:rsidR="00AA3AEF" w:rsidRPr="00BA29AE" w14:paraId="47B520A3" w14:textId="77777777" w:rsidTr="00AA3AEF">
        <w:tc>
          <w:tcPr>
            <w:tcW w:w="3660" w:type="dxa"/>
            <w:shd w:val="clear" w:color="auto" w:fill="auto"/>
          </w:tcPr>
          <w:p w14:paraId="6EF1A45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rPr>
                <w:iCs/>
                <w:lang w:val="en-GB"/>
              </w:rPr>
            </w:pPr>
            <w:r w:rsidRPr="00BA29AE">
              <w:rPr>
                <w:iCs/>
                <w:lang w:val="en-GB"/>
              </w:rPr>
              <w:tab/>
              <w:t>Uzbekistan</w:t>
            </w:r>
          </w:p>
        </w:tc>
        <w:tc>
          <w:tcPr>
            <w:tcW w:w="3660" w:type="dxa"/>
            <w:shd w:val="clear" w:color="auto" w:fill="auto"/>
          </w:tcPr>
          <w:p w14:paraId="473B4439" w14:textId="5D0927F2"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iCs/>
                <w:lang w:val="en-GB"/>
              </w:rPr>
            </w:pPr>
            <w:r w:rsidRPr="00BA29AE">
              <w:rPr>
                <w:iCs/>
                <w:lang w:val="en-GB"/>
              </w:rPr>
              <w:t>(</w:t>
            </w:r>
            <w:hyperlink r:id="rId122" w:history="1">
              <w:r w:rsidRPr="00BA29AE">
                <w:rPr>
                  <w:rStyle w:val="Hyperlink"/>
                  <w:iCs/>
                  <w:lang w:val="en-GB"/>
                </w:rPr>
                <w:t>CEDAW/C/UZB/CO/5/Add.1</w:t>
              </w:r>
            </w:hyperlink>
            <w:r w:rsidRPr="00BA29AE">
              <w:rPr>
                <w:iCs/>
                <w:lang w:val="en-GB"/>
              </w:rPr>
              <w:t>)</w:t>
            </w:r>
          </w:p>
        </w:tc>
      </w:tr>
    </w:tbl>
    <w:p w14:paraId="0AB1F691" w14:textId="77777777" w:rsidR="00AA3AEF" w:rsidRPr="00BA29AE" w:rsidRDefault="00AA3AEF" w:rsidP="00AA3AEF">
      <w:pPr>
        <w:pStyle w:val="SingleTxt"/>
        <w:spacing w:after="0" w:line="120" w:lineRule="exact"/>
        <w:rPr>
          <w:sz w:val="10"/>
        </w:rPr>
      </w:pPr>
    </w:p>
    <w:p w14:paraId="684CDAFC" w14:textId="6431EA44" w:rsidR="00AA3AEF" w:rsidRPr="00BA29AE" w:rsidRDefault="00AA3AEF" w:rsidP="00AA3AEF">
      <w:pPr>
        <w:pStyle w:val="SingleTxt"/>
      </w:pPr>
      <w:r w:rsidRPr="00BA29AE">
        <w:t>16.</w:t>
      </w:r>
      <w:r w:rsidRPr="00BA29AE">
        <w:tab/>
        <w:t xml:space="preserve">The Committee sent first reminders to Lebanon, Liberia, Madagascar, Malawi, </w:t>
      </w:r>
      <w:r w:rsidR="005638D2">
        <w:t xml:space="preserve">the Russian Federation, </w:t>
      </w:r>
      <w:r w:rsidRPr="00BA29AE">
        <w:t>Timor-Leste and the United Arab Emirates and second reminders to the Gambia, Saint Vincent and the Grenadines and Senegal, whose follow-up reports were overdue.</w:t>
      </w:r>
    </w:p>
    <w:p w14:paraId="6779EC3B" w14:textId="77777777" w:rsidR="00AA3AEF" w:rsidRPr="00BA29AE" w:rsidRDefault="00AA3AEF" w:rsidP="00AA3AEF">
      <w:pPr>
        <w:pStyle w:val="SingleTxt"/>
      </w:pPr>
      <w:r w:rsidRPr="00BA29AE">
        <w:t>17.</w:t>
      </w:r>
      <w:r w:rsidRPr="00BA29AE">
        <w:tab/>
        <w:t>The Rapporteur on follow-up met with representatives of Azerbaijan, Equatorial Guinea, Gabon, Ghana and Uganda, whose follow-up reports were overdue.</w:t>
      </w:r>
    </w:p>
    <w:p w14:paraId="4B6888D9" w14:textId="77777777" w:rsidR="00AA3AEF" w:rsidRPr="00BA29AE" w:rsidRDefault="00AA3AEF" w:rsidP="00AA3AEF">
      <w:pPr>
        <w:suppressAutoHyphens w:val="0"/>
        <w:spacing w:after="200" w:line="276" w:lineRule="auto"/>
      </w:pPr>
      <w:r w:rsidRPr="00BA29AE">
        <w:br w:type="page"/>
      </w:r>
    </w:p>
    <w:p w14:paraId="0456B883" w14:textId="77777777" w:rsidR="00AA3AEF" w:rsidRPr="00BA29AE" w:rsidRDefault="00AA3AEF" w:rsidP="00AA3AEF">
      <w:pPr>
        <w:pStyle w:val="HCh"/>
        <w:ind w:left="1267" w:right="1260" w:hanging="1267"/>
      </w:pPr>
      <w:r w:rsidRPr="00BA29AE">
        <w:lastRenderedPageBreak/>
        <w:t>Chapter V</w:t>
      </w:r>
    </w:p>
    <w:p w14:paraId="0DF13E9A" w14:textId="77777777" w:rsidR="00AA3AEF" w:rsidRPr="00BA29AE" w:rsidRDefault="00AA3AEF" w:rsidP="00AA3AEF">
      <w:pPr>
        <w:pStyle w:val="HCh"/>
        <w:ind w:left="1267" w:right="1260" w:hanging="1267"/>
      </w:pPr>
      <w:r w:rsidRPr="00BA29AE">
        <w:tab/>
      </w:r>
      <w:r w:rsidRPr="00BA29AE">
        <w:tab/>
        <w:t>Activities carried out under the Optional Protocol</w:t>
      </w:r>
    </w:p>
    <w:p w14:paraId="7AFB5895" w14:textId="77777777" w:rsidR="00AA3AEF" w:rsidRPr="00BA29AE" w:rsidRDefault="00AA3AEF" w:rsidP="00AA3AEF">
      <w:pPr>
        <w:pStyle w:val="SingleTxt"/>
        <w:spacing w:after="0" w:line="120" w:lineRule="exact"/>
        <w:rPr>
          <w:sz w:val="10"/>
        </w:rPr>
      </w:pPr>
    </w:p>
    <w:p w14:paraId="178246A4" w14:textId="77777777" w:rsidR="00AA3AEF" w:rsidRPr="00BA29AE" w:rsidRDefault="00AA3AEF" w:rsidP="00AA3AEF">
      <w:pPr>
        <w:pStyle w:val="SingleTxt"/>
        <w:spacing w:after="0" w:line="120" w:lineRule="exact"/>
        <w:rPr>
          <w:sz w:val="10"/>
        </w:rPr>
      </w:pPr>
    </w:p>
    <w:p w14:paraId="7BDCB473" w14:textId="77777777" w:rsidR="00AA3AEF" w:rsidRPr="00BA29AE" w:rsidRDefault="00AA3AEF" w:rsidP="00AA3AEF">
      <w:pPr>
        <w:pStyle w:val="SingleTxt"/>
      </w:pPr>
      <w:r w:rsidRPr="00BA29AE">
        <w:t>18.</w:t>
      </w:r>
      <w:r w:rsidRPr="00BA29AE">
        <w:tab/>
        <w:t>Article 12 of the Optional Protocol provides that the Committee is to include in its annual report a summary of its activities under the Optional Protocol.</w:t>
      </w:r>
    </w:p>
    <w:p w14:paraId="5D03ACCA" w14:textId="77777777" w:rsidR="00AA3AEF" w:rsidRPr="00BA29AE" w:rsidRDefault="00AA3AEF" w:rsidP="00AA3AEF">
      <w:pPr>
        <w:pStyle w:val="SingleTxt"/>
        <w:spacing w:after="0" w:line="120" w:lineRule="exact"/>
        <w:rPr>
          <w:sz w:val="10"/>
        </w:rPr>
      </w:pPr>
    </w:p>
    <w:p w14:paraId="7108BBE3" w14:textId="77777777" w:rsidR="00AA3AEF" w:rsidRPr="00BA29AE" w:rsidRDefault="00AA3AEF" w:rsidP="00AA3AEF">
      <w:pPr>
        <w:pStyle w:val="SingleTxt"/>
        <w:spacing w:after="0" w:line="120" w:lineRule="exact"/>
        <w:rPr>
          <w:sz w:val="10"/>
        </w:rPr>
      </w:pPr>
    </w:p>
    <w:p w14:paraId="771CF2FD" w14:textId="77777777" w:rsidR="00AA3AEF" w:rsidRPr="00BA29AE" w:rsidRDefault="00AA3AEF" w:rsidP="00AA3AEF">
      <w:pPr>
        <w:pStyle w:val="H1"/>
        <w:ind w:right="1260"/>
      </w:pPr>
      <w:r w:rsidRPr="00BA29AE">
        <w:tab/>
        <w:t>A.</w:t>
      </w:r>
      <w:r w:rsidRPr="00BA29AE">
        <w:tab/>
        <w:t>Action taken by the Committee in respect of issues arising under article 2 of the Optional Protocol</w:t>
      </w:r>
    </w:p>
    <w:p w14:paraId="2CA2DA1C" w14:textId="77777777" w:rsidR="00AA3AEF" w:rsidRPr="00BA29AE" w:rsidRDefault="00AA3AEF" w:rsidP="00AA3AEF">
      <w:pPr>
        <w:pStyle w:val="SingleTxt"/>
        <w:spacing w:after="0" w:line="120" w:lineRule="exact"/>
        <w:rPr>
          <w:sz w:val="10"/>
        </w:rPr>
      </w:pPr>
    </w:p>
    <w:p w14:paraId="7E9623EF" w14:textId="77777777" w:rsidR="00AA3AEF" w:rsidRPr="00BA29AE" w:rsidRDefault="00AA3AEF" w:rsidP="00AA3AEF">
      <w:pPr>
        <w:pStyle w:val="SingleTxt"/>
        <w:spacing w:after="0" w:line="120" w:lineRule="exact"/>
        <w:rPr>
          <w:sz w:val="10"/>
        </w:rPr>
      </w:pPr>
    </w:p>
    <w:p w14:paraId="60ED77C4" w14:textId="77777777" w:rsidR="00AA3AEF" w:rsidRPr="00BA29AE" w:rsidRDefault="00AA3AEF" w:rsidP="00AA3AEF">
      <w:pPr>
        <w:pStyle w:val="SingleTxt"/>
      </w:pPr>
      <w:r w:rsidRPr="00BA29AE">
        <w:t>19.</w:t>
      </w:r>
      <w:r w:rsidRPr="00BA29AE">
        <w:tab/>
        <w:t xml:space="preserve">The Committee discussed activities under article 2 of the Optional Protocol on 26 February and 5 March 2018. </w:t>
      </w:r>
    </w:p>
    <w:p w14:paraId="1118826E" w14:textId="77777777" w:rsidR="00AA3AEF" w:rsidRPr="00BA29AE" w:rsidRDefault="00AA3AEF" w:rsidP="00AA3AEF">
      <w:pPr>
        <w:pStyle w:val="SingleTxt"/>
      </w:pPr>
      <w:r w:rsidRPr="00BA29AE">
        <w:t>20.</w:t>
      </w:r>
      <w:r w:rsidRPr="00BA29AE">
        <w:tab/>
        <w:t xml:space="preserve">The Committee endorsed the report of the Working Group on Communications under the Optional Protocol on its fortieth session (see https://bit.ly/2IAy00M). </w:t>
      </w:r>
    </w:p>
    <w:p w14:paraId="745082D6" w14:textId="01E0095D" w:rsidR="00AA3AEF" w:rsidRPr="00BA29AE" w:rsidRDefault="00AA3AEF" w:rsidP="00AA3AEF">
      <w:pPr>
        <w:pStyle w:val="SingleTxt"/>
      </w:pPr>
      <w:r w:rsidRPr="00BA29AE">
        <w:t>21.</w:t>
      </w:r>
      <w:r w:rsidRPr="00BA29AE">
        <w:tab/>
        <w:t xml:space="preserve">The Committee adopted final decisions with regard to four individual communications submitted under article 2 of the Optional Protocol. It adopted views finding a violation in </w:t>
      </w:r>
      <w:r w:rsidRPr="00BA29AE">
        <w:rPr>
          <w:i/>
          <w:iCs/>
        </w:rPr>
        <w:t>X. v. Timor-Leste</w:t>
      </w:r>
      <w:r w:rsidRPr="00BA29AE">
        <w:t xml:space="preserve"> (</w:t>
      </w:r>
      <w:hyperlink r:id="rId123" w:history="1">
        <w:r w:rsidRPr="00BA29AE">
          <w:rPr>
            <w:rStyle w:val="Hyperlink"/>
          </w:rPr>
          <w:t>CEDAW/C/69/D/88/2015</w:t>
        </w:r>
      </w:hyperlink>
      <w:r w:rsidRPr="00BA29AE">
        <w:t xml:space="preserve">) and </w:t>
      </w:r>
      <w:r w:rsidRPr="00BA29AE">
        <w:rPr>
          <w:i/>
          <w:iCs/>
        </w:rPr>
        <w:t>J.</w:t>
      </w:r>
      <w:r w:rsidR="001C2EF6">
        <w:rPr>
          <w:i/>
          <w:iCs/>
        </w:rPr>
        <w:t>S.</w:t>
      </w:r>
      <w:r w:rsidRPr="00BA29AE">
        <w:rPr>
          <w:i/>
          <w:iCs/>
        </w:rPr>
        <w:t>I. v. Finland</w:t>
      </w:r>
      <w:r w:rsidRPr="00BA29AE">
        <w:t xml:space="preserve"> (</w:t>
      </w:r>
      <w:hyperlink r:id="rId124" w:history="1">
        <w:r w:rsidRPr="00BA29AE">
          <w:rPr>
            <w:rStyle w:val="Hyperlink"/>
          </w:rPr>
          <w:t>CEDAW/C/69/D/103/2016</w:t>
        </w:r>
      </w:hyperlink>
      <w:r w:rsidRPr="00BA29AE">
        <w:t xml:space="preserve">). It also adopted decisions of inadmissibility in </w:t>
      </w:r>
      <w:r w:rsidRPr="00BA29AE">
        <w:rPr>
          <w:i/>
          <w:iCs/>
        </w:rPr>
        <w:t>A.S. v. Denmark</w:t>
      </w:r>
      <w:r w:rsidRPr="00BA29AE">
        <w:t xml:space="preserve"> (</w:t>
      </w:r>
      <w:hyperlink r:id="rId125" w:history="1">
        <w:r w:rsidRPr="00BA29AE">
          <w:rPr>
            <w:rStyle w:val="Hyperlink"/>
          </w:rPr>
          <w:t>CEDAW/C/69/D/80/2015</w:t>
        </w:r>
      </w:hyperlink>
      <w:r w:rsidRPr="00BA29AE">
        <w:t xml:space="preserve">) and </w:t>
      </w:r>
      <w:r w:rsidRPr="00BA29AE">
        <w:rPr>
          <w:i/>
          <w:iCs/>
        </w:rPr>
        <w:t>S.F.A. v. Denmark</w:t>
      </w:r>
      <w:r w:rsidRPr="00BA29AE">
        <w:t xml:space="preserve"> (</w:t>
      </w:r>
      <w:hyperlink r:id="rId126" w:history="1">
        <w:r w:rsidRPr="00BA29AE">
          <w:rPr>
            <w:rStyle w:val="Hyperlink"/>
          </w:rPr>
          <w:t>CEDAW/C/69/D/85/2015</w:t>
        </w:r>
      </w:hyperlink>
      <w:r w:rsidRPr="00BA29AE">
        <w:t>). All decisions were adopted by consensus.</w:t>
      </w:r>
    </w:p>
    <w:p w14:paraId="4FB83384" w14:textId="77777777" w:rsidR="00AA3AEF" w:rsidRPr="00BA29AE" w:rsidRDefault="00AA3AEF" w:rsidP="00AA3AEF">
      <w:pPr>
        <w:pStyle w:val="SingleTxt"/>
        <w:spacing w:after="0" w:line="120" w:lineRule="exact"/>
        <w:rPr>
          <w:sz w:val="10"/>
        </w:rPr>
      </w:pPr>
    </w:p>
    <w:p w14:paraId="689D3ED2" w14:textId="77777777" w:rsidR="00AA3AEF" w:rsidRPr="00BA29AE" w:rsidRDefault="00AA3AEF" w:rsidP="00AA3AEF">
      <w:pPr>
        <w:pStyle w:val="SingleTxt"/>
        <w:spacing w:after="0" w:line="120" w:lineRule="exact"/>
        <w:rPr>
          <w:sz w:val="10"/>
        </w:rPr>
      </w:pPr>
    </w:p>
    <w:p w14:paraId="737FDF65" w14:textId="77777777" w:rsidR="00AA3AEF" w:rsidRPr="001E7B00" w:rsidRDefault="00AA3AEF" w:rsidP="00AA3AEF">
      <w:pPr>
        <w:pStyle w:val="H1"/>
        <w:ind w:right="1260"/>
        <w:rPr>
          <w:w w:val="101"/>
        </w:rPr>
      </w:pPr>
      <w:r w:rsidRPr="001E7B00">
        <w:rPr>
          <w:w w:val="101"/>
        </w:rPr>
        <w:tab/>
        <w:t>B.</w:t>
      </w:r>
      <w:r w:rsidRPr="001E7B00">
        <w:rPr>
          <w:w w:val="101"/>
        </w:rPr>
        <w:tab/>
        <w:t>Follow-up to views of the Committee on individual communications</w:t>
      </w:r>
    </w:p>
    <w:p w14:paraId="0BAA0F1E" w14:textId="77777777" w:rsidR="00AA3AEF" w:rsidRPr="00BA29AE" w:rsidRDefault="00AA3AEF" w:rsidP="00AA3AEF">
      <w:pPr>
        <w:pStyle w:val="SingleTxt"/>
        <w:spacing w:after="0" w:line="120" w:lineRule="exact"/>
        <w:rPr>
          <w:sz w:val="10"/>
        </w:rPr>
      </w:pPr>
    </w:p>
    <w:p w14:paraId="1612BB42" w14:textId="77777777" w:rsidR="00AA3AEF" w:rsidRPr="00BA29AE" w:rsidRDefault="00AA3AEF" w:rsidP="00AA3AEF">
      <w:pPr>
        <w:pStyle w:val="SingleTxt"/>
        <w:spacing w:after="0" w:line="120" w:lineRule="exact"/>
        <w:rPr>
          <w:sz w:val="10"/>
        </w:rPr>
      </w:pPr>
    </w:p>
    <w:p w14:paraId="67A67FC8" w14:textId="33247AFB" w:rsidR="00AA3AEF" w:rsidRPr="00BA29AE" w:rsidRDefault="00AA3AEF" w:rsidP="00AA3AEF">
      <w:pPr>
        <w:pStyle w:val="SingleTxt"/>
      </w:pPr>
      <w:r w:rsidRPr="00BA29AE">
        <w:t>22.</w:t>
      </w:r>
      <w:r w:rsidRPr="00BA29AE">
        <w:tab/>
        <w:t xml:space="preserve">The Committee was informed that the Working Group, at its fortieth session, had discussed the follow-up situation in each case where the follow-up dialogue was continuing and agreed on the action to be taken. Of the 15 cases currently under follow-up examination, two relate to the Russian Federation and one relates to each of Brazil, Canada, Denmark, Georgia, Kazakhstan, Mexico, the Netherlands, Peru, the Philippines, </w:t>
      </w:r>
      <w:r w:rsidR="00B12396">
        <w:t xml:space="preserve">Republic of </w:t>
      </w:r>
      <w:r w:rsidR="00B12396" w:rsidRPr="00BA29AE">
        <w:t xml:space="preserve">Moldova, </w:t>
      </w:r>
      <w:r w:rsidRPr="00BA29AE">
        <w:t>Slovakia, Spain and the United Republic of Tanzania.</w:t>
      </w:r>
    </w:p>
    <w:p w14:paraId="79810D52" w14:textId="77777777" w:rsidR="00AA3AEF" w:rsidRPr="00BA29AE" w:rsidRDefault="00AA3AEF" w:rsidP="00AA3AEF">
      <w:pPr>
        <w:pStyle w:val="SingleTxt"/>
        <w:spacing w:after="0" w:line="120" w:lineRule="exact"/>
        <w:rPr>
          <w:sz w:val="10"/>
        </w:rPr>
      </w:pPr>
    </w:p>
    <w:p w14:paraId="66E8F1AE" w14:textId="77777777" w:rsidR="00AA3AEF" w:rsidRPr="00BA29AE" w:rsidRDefault="00AA3AEF" w:rsidP="00AA3AEF">
      <w:pPr>
        <w:pStyle w:val="SingleTxt"/>
        <w:spacing w:after="0" w:line="120" w:lineRule="exact"/>
        <w:rPr>
          <w:sz w:val="10"/>
        </w:rPr>
      </w:pPr>
    </w:p>
    <w:p w14:paraId="118C99D3" w14:textId="77777777" w:rsidR="00AA3AEF" w:rsidRPr="00BA29AE" w:rsidRDefault="00AA3AEF" w:rsidP="00AA3AEF">
      <w:pPr>
        <w:pStyle w:val="H1"/>
        <w:ind w:right="1260"/>
      </w:pPr>
      <w:r w:rsidRPr="00BA29AE">
        <w:tab/>
        <w:t>C.</w:t>
      </w:r>
      <w:r w:rsidRPr="00BA29AE">
        <w:tab/>
        <w:t>Action taken by the Committee in respect of issues arising under article 8 of the Optional Protocol</w:t>
      </w:r>
    </w:p>
    <w:p w14:paraId="59F5DF8F" w14:textId="77777777" w:rsidR="00AA3AEF" w:rsidRPr="00BA29AE" w:rsidRDefault="00AA3AEF" w:rsidP="00AA3AEF">
      <w:pPr>
        <w:pStyle w:val="SingleTxt"/>
        <w:spacing w:after="0" w:line="120" w:lineRule="exact"/>
        <w:rPr>
          <w:sz w:val="10"/>
        </w:rPr>
      </w:pPr>
    </w:p>
    <w:p w14:paraId="488E5BB9" w14:textId="77777777" w:rsidR="00AA3AEF" w:rsidRPr="00BA29AE" w:rsidRDefault="00AA3AEF" w:rsidP="00AA3AEF">
      <w:pPr>
        <w:pStyle w:val="SingleTxt"/>
        <w:spacing w:after="0" w:line="120" w:lineRule="exact"/>
        <w:rPr>
          <w:sz w:val="10"/>
        </w:rPr>
      </w:pPr>
    </w:p>
    <w:p w14:paraId="18619BD4" w14:textId="049A4405" w:rsidR="00AA3AEF" w:rsidRPr="00BA29AE" w:rsidRDefault="00AA3AEF" w:rsidP="00AA3AEF">
      <w:pPr>
        <w:pStyle w:val="SingleTxt"/>
      </w:pPr>
      <w:r w:rsidRPr="00BA29AE">
        <w:t>23.</w:t>
      </w:r>
      <w:r w:rsidRPr="00BA29AE">
        <w:tab/>
        <w:t>The Committee discussed its activities under article 8 of the O</w:t>
      </w:r>
      <w:r w:rsidR="003116CD">
        <w:t>ptional Protocol on 1 March 2018</w:t>
      </w:r>
      <w:r w:rsidRPr="00BA29AE">
        <w:t>. It endorsed the report of the Working Group on Inquiries under the Optional Protocol on its ninth session (see https://bit.ly/2HlrwDp).</w:t>
      </w:r>
    </w:p>
    <w:p w14:paraId="73A3E2C3" w14:textId="77777777" w:rsidR="00AA3AEF" w:rsidRPr="00BA29AE" w:rsidRDefault="00AA3AEF" w:rsidP="00AA3AEF">
      <w:pPr>
        <w:pStyle w:val="SingleTxt"/>
      </w:pPr>
      <w:r w:rsidRPr="00BA29AE">
        <w:t>24.</w:t>
      </w:r>
      <w:r w:rsidRPr="00BA29AE">
        <w:tab/>
        <w:t xml:space="preserve">The Committee adopted the recommendation of the Working Group, in relation to submission No. </w:t>
      </w:r>
      <w:r w:rsidRPr="001E7B00">
        <w:t>2017/3</w:t>
      </w:r>
      <w:r w:rsidRPr="00BA29AE">
        <w:t>, to request the State party concerned to submit observations with regard to the information received by the Committee under article 8 of the Optional Protocol.</w:t>
      </w:r>
    </w:p>
    <w:p w14:paraId="713F4F5E" w14:textId="77777777" w:rsidR="00AA3AEF" w:rsidRPr="00BA29AE" w:rsidRDefault="00AA3AEF" w:rsidP="00AA3AEF">
      <w:pPr>
        <w:pStyle w:val="SingleTxt"/>
      </w:pPr>
      <w:r w:rsidRPr="00BA29AE">
        <w:t>25.</w:t>
      </w:r>
      <w:r w:rsidRPr="00BA29AE">
        <w:tab/>
        <w:t xml:space="preserve">The Committee adopted its findings, comments and recommendations in relation to inquiry No. </w:t>
      </w:r>
      <w:r w:rsidRPr="001E7B00">
        <w:t>2014/1</w:t>
      </w:r>
      <w:r w:rsidRPr="00BA29AE">
        <w:t xml:space="preserve"> and decided to transmit them to the State party concerned.</w:t>
      </w:r>
    </w:p>
    <w:p w14:paraId="24D4C528" w14:textId="77777777" w:rsidR="00AA3AEF" w:rsidRPr="00BA29AE" w:rsidRDefault="00AA3AEF" w:rsidP="00AA3AEF">
      <w:pPr>
        <w:pStyle w:val="SingleTxt"/>
      </w:pPr>
      <w:r w:rsidRPr="00BA29AE">
        <w:t>26.</w:t>
      </w:r>
      <w:r w:rsidRPr="00BA29AE">
        <w:tab/>
        <w:t>The Committee also adopted the following decisions:</w:t>
      </w:r>
    </w:p>
    <w:p w14:paraId="119C5AB0" w14:textId="77777777" w:rsidR="00AA3AEF" w:rsidRPr="00BA29AE" w:rsidRDefault="00AA3AEF" w:rsidP="00AA3AEF">
      <w:pPr>
        <w:pStyle w:val="SingleTxt"/>
      </w:pPr>
      <w:r w:rsidRPr="00BA29AE">
        <w:tab/>
        <w:t>(a)</w:t>
      </w:r>
      <w:r w:rsidRPr="00BA29AE">
        <w:tab/>
        <w:t xml:space="preserve">In relation to inquiry No. </w:t>
      </w:r>
      <w:r w:rsidRPr="001E7B00">
        <w:t>2013/1</w:t>
      </w:r>
      <w:r w:rsidRPr="00BA29AE">
        <w:t>, to send a final reminder to the State party concerned regarding the request of the Committee to undertake a visit to its territory;</w:t>
      </w:r>
    </w:p>
    <w:p w14:paraId="364FCC88" w14:textId="77777777" w:rsidR="00AA3AEF" w:rsidRPr="00BA29AE" w:rsidRDefault="00AA3AEF" w:rsidP="00AA3AEF">
      <w:pPr>
        <w:pStyle w:val="SingleTxt"/>
      </w:pPr>
      <w:r w:rsidRPr="00BA29AE">
        <w:tab/>
        <w:t>(b)</w:t>
      </w:r>
      <w:r w:rsidRPr="00BA29AE">
        <w:tab/>
        <w:t>To approve the amendments to the standard operating procedures proposed by the Working Group on Inquiries.</w:t>
      </w:r>
      <w:r w:rsidRPr="00BA29AE">
        <w:br w:type="page"/>
      </w:r>
    </w:p>
    <w:p w14:paraId="2E6658E5" w14:textId="77777777" w:rsidR="00AA3AEF" w:rsidRPr="00BA29AE" w:rsidRDefault="00AA3AEF" w:rsidP="00AA3AEF">
      <w:pPr>
        <w:pStyle w:val="HCh"/>
        <w:ind w:left="1267" w:right="1260" w:hanging="1267"/>
      </w:pPr>
      <w:r w:rsidRPr="00BA29AE">
        <w:lastRenderedPageBreak/>
        <w:t>Chapter VI</w:t>
      </w:r>
    </w:p>
    <w:p w14:paraId="276D1AB7" w14:textId="77777777" w:rsidR="00AA3AEF" w:rsidRPr="00BA29AE" w:rsidRDefault="00AA3AEF" w:rsidP="00AA3AEF">
      <w:pPr>
        <w:pStyle w:val="HCh"/>
        <w:ind w:left="1267" w:right="1260" w:hanging="1267"/>
      </w:pPr>
      <w:r w:rsidRPr="00BA29AE">
        <w:tab/>
      </w:r>
      <w:r w:rsidRPr="00BA29AE">
        <w:tab/>
        <w:t>Ways and means of expediting the work of the Committee</w:t>
      </w:r>
    </w:p>
    <w:p w14:paraId="1FA6A9F0" w14:textId="77777777" w:rsidR="00AA3AEF" w:rsidRPr="00BA29AE" w:rsidRDefault="00AA3AEF" w:rsidP="00AA3AEF">
      <w:pPr>
        <w:pStyle w:val="SingleTxt"/>
        <w:spacing w:after="0" w:line="120" w:lineRule="exact"/>
        <w:rPr>
          <w:sz w:val="10"/>
        </w:rPr>
      </w:pPr>
    </w:p>
    <w:p w14:paraId="57D20C4A" w14:textId="77777777" w:rsidR="00AA3AEF" w:rsidRPr="00BA29AE" w:rsidRDefault="00AA3AEF" w:rsidP="00AA3AEF">
      <w:pPr>
        <w:pStyle w:val="SingleTxt"/>
        <w:spacing w:after="0" w:line="120" w:lineRule="exact"/>
        <w:rPr>
          <w:sz w:val="10"/>
        </w:rPr>
      </w:pPr>
    </w:p>
    <w:p w14:paraId="302E6440" w14:textId="77777777" w:rsidR="00AA3AEF" w:rsidRPr="00BA29AE" w:rsidRDefault="00AA3AEF" w:rsidP="00AA3AEF">
      <w:pPr>
        <w:pStyle w:val="SingleTxt"/>
      </w:pPr>
      <w:r w:rsidRPr="00BA29AE">
        <w:t>27.</w:t>
      </w:r>
      <w:r w:rsidRPr="00BA29AE">
        <w:tab/>
        <w:t>The secretariat informed the Committee about the status of submission of overdue reports by States parties under article 18 of the Convention.</w:t>
      </w:r>
    </w:p>
    <w:p w14:paraId="7EC8BE44" w14:textId="77777777" w:rsidR="00AA3AEF" w:rsidRPr="00BA29AE" w:rsidRDefault="00AA3AEF" w:rsidP="00AA3AEF">
      <w:pPr>
        <w:pStyle w:val="SingleTxt"/>
        <w:spacing w:after="0" w:line="120" w:lineRule="exact"/>
        <w:rPr>
          <w:sz w:val="10"/>
        </w:rPr>
      </w:pPr>
    </w:p>
    <w:p w14:paraId="763840CB" w14:textId="77777777" w:rsidR="00AA3AEF" w:rsidRPr="00BA29AE" w:rsidRDefault="00AA3AEF" w:rsidP="00AA3AEF">
      <w:pPr>
        <w:pStyle w:val="SingleTxt"/>
        <w:spacing w:after="0" w:line="120" w:lineRule="exact"/>
        <w:rPr>
          <w:sz w:val="10"/>
        </w:rPr>
      </w:pPr>
    </w:p>
    <w:p w14:paraId="671AA2F4" w14:textId="77777777" w:rsidR="00AA3AEF" w:rsidRPr="00BA29AE" w:rsidRDefault="00AA3AEF" w:rsidP="00AA3AEF">
      <w:pPr>
        <w:pStyle w:val="H1"/>
        <w:ind w:right="1260"/>
      </w:pPr>
      <w:r w:rsidRPr="00BA29AE">
        <w:tab/>
      </w:r>
      <w:r w:rsidRPr="00BA29AE">
        <w:tab/>
        <w:t>Action taken by the Committee under agenda item 7</w:t>
      </w:r>
    </w:p>
    <w:p w14:paraId="03EA6A8C" w14:textId="77777777" w:rsidR="00AA3AEF" w:rsidRPr="00BA29AE" w:rsidRDefault="00AA3AEF" w:rsidP="00AA3AEF">
      <w:pPr>
        <w:pStyle w:val="SingleTxt"/>
        <w:spacing w:after="0" w:line="120" w:lineRule="exact"/>
        <w:rPr>
          <w:sz w:val="10"/>
        </w:rPr>
      </w:pPr>
    </w:p>
    <w:p w14:paraId="530632A8" w14:textId="77777777" w:rsidR="00AA3AEF" w:rsidRPr="00BA29AE" w:rsidRDefault="00AA3AEF" w:rsidP="00AA3AEF">
      <w:pPr>
        <w:pStyle w:val="SingleTxt"/>
        <w:spacing w:after="0" w:line="120" w:lineRule="exact"/>
        <w:rPr>
          <w:sz w:val="10"/>
        </w:rPr>
      </w:pPr>
    </w:p>
    <w:p w14:paraId="2FD240E8"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Dates of future sessions </w:t>
      </w:r>
    </w:p>
    <w:p w14:paraId="3010D102" w14:textId="77777777" w:rsidR="00AA3AEF" w:rsidRPr="00BA29AE" w:rsidRDefault="00AA3AEF" w:rsidP="00AA3AEF">
      <w:pPr>
        <w:pStyle w:val="SingleTxt"/>
        <w:spacing w:after="0" w:line="120" w:lineRule="exact"/>
        <w:rPr>
          <w:sz w:val="10"/>
        </w:rPr>
      </w:pPr>
    </w:p>
    <w:p w14:paraId="102F1392" w14:textId="77777777" w:rsidR="00AA3AEF" w:rsidRPr="00BA29AE" w:rsidRDefault="00AA3AEF" w:rsidP="00AA3AEF">
      <w:pPr>
        <w:pStyle w:val="SingleTxt"/>
      </w:pPr>
      <w:r w:rsidRPr="00BA29AE">
        <w:t>28.</w:t>
      </w:r>
      <w:r w:rsidRPr="00BA29AE">
        <w:tab/>
        <w:t>In accordance with the calendar of conferences, the following dates were confirmed for the Committee’s seventieth and seventy-first sessions and related meetings:</w:t>
      </w:r>
    </w:p>
    <w:p w14:paraId="790E7358" w14:textId="77777777" w:rsidR="00AA3AEF" w:rsidRPr="00BA29AE" w:rsidRDefault="00AA3AEF" w:rsidP="00AA3AEF">
      <w:pPr>
        <w:pStyle w:val="SingleTxt"/>
      </w:pPr>
      <w:r w:rsidRPr="00BA29AE">
        <w:tab/>
        <w:t>Seventieth session (Geneva)</w:t>
      </w:r>
    </w:p>
    <w:p w14:paraId="3A6BF6B9" w14:textId="77777777" w:rsidR="00AA3AEF" w:rsidRPr="00BA29AE" w:rsidRDefault="00AA3AEF" w:rsidP="00AA3AEF">
      <w:pPr>
        <w:pStyle w:val="SingleTxt"/>
      </w:pPr>
      <w:r w:rsidRPr="00BA29AE">
        <w:tab/>
        <w:t>(a)</w:t>
      </w:r>
      <w:r w:rsidRPr="00BA29AE">
        <w:tab/>
        <w:t>As indicated in paragraph 29 of part two of the present report;</w:t>
      </w:r>
    </w:p>
    <w:p w14:paraId="5AE4E581" w14:textId="77777777" w:rsidR="00AA3AEF" w:rsidRPr="00BA29AE" w:rsidRDefault="00AA3AEF" w:rsidP="00AA3AEF">
      <w:pPr>
        <w:pStyle w:val="SingleTxt"/>
      </w:pPr>
      <w:r w:rsidRPr="00BA29AE">
        <w:tab/>
        <w:t>Seventy-first session (Geneva)</w:t>
      </w:r>
    </w:p>
    <w:p w14:paraId="1A457EF3" w14:textId="77777777" w:rsidR="00AA3AEF" w:rsidRPr="00BA29AE" w:rsidRDefault="00AA3AEF" w:rsidP="00AA3AEF">
      <w:pPr>
        <w:pStyle w:val="SingleTxt"/>
        <w:ind w:left="2218" w:hanging="951"/>
      </w:pPr>
      <w:r w:rsidRPr="00BA29AE">
        <w:tab/>
      </w:r>
      <w:r w:rsidRPr="00BA29AE">
        <w:tab/>
        <w:t>(b)</w:t>
      </w:r>
      <w:r w:rsidRPr="00BA29AE">
        <w:tab/>
        <w:t>Forty-second session of the Working Group on Communications under the Optional Protocol: 17–19 October 2018;</w:t>
      </w:r>
    </w:p>
    <w:p w14:paraId="7723F821" w14:textId="77777777" w:rsidR="00AA3AEF" w:rsidRPr="00BA29AE" w:rsidRDefault="00AA3AEF" w:rsidP="00AA3AEF">
      <w:pPr>
        <w:pStyle w:val="SingleTxt"/>
        <w:ind w:left="2218" w:hanging="951"/>
      </w:pPr>
      <w:r w:rsidRPr="00BA29AE">
        <w:tab/>
      </w:r>
      <w:r w:rsidRPr="00BA29AE">
        <w:tab/>
        <w:t>(c)</w:t>
      </w:r>
      <w:r w:rsidRPr="00BA29AE">
        <w:tab/>
        <w:t>Eleventh session of the Working Group on Inquiries under the Optional Protocol: 18 and 19 October 2018;</w:t>
      </w:r>
    </w:p>
    <w:p w14:paraId="39F3119C" w14:textId="77777777" w:rsidR="00AA3AEF" w:rsidRPr="00BA29AE" w:rsidRDefault="00AA3AEF" w:rsidP="00AA3AEF">
      <w:pPr>
        <w:pStyle w:val="SingleTxt"/>
      </w:pPr>
      <w:r w:rsidRPr="00BA29AE">
        <w:tab/>
        <w:t>(d)</w:t>
      </w:r>
      <w:r w:rsidRPr="00BA29AE">
        <w:tab/>
        <w:t xml:space="preserve">Seventy-first session: 22 October–9 November 2018; </w:t>
      </w:r>
    </w:p>
    <w:p w14:paraId="3CF75ED2" w14:textId="4DBBA422" w:rsidR="00AA3AEF" w:rsidRPr="00BA29AE" w:rsidRDefault="001C2EF6" w:rsidP="001C2EF6">
      <w:pPr>
        <w:pStyle w:val="SingleTxt"/>
        <w:ind w:left="2218" w:hanging="951"/>
      </w:pPr>
      <w:r>
        <w:tab/>
      </w:r>
      <w:r w:rsidR="00AA3AEF" w:rsidRPr="00BA29AE">
        <w:tab/>
        <w:t>(e)</w:t>
      </w:r>
      <w:r w:rsidR="00AA3AEF" w:rsidRPr="00BA29AE">
        <w:tab/>
      </w:r>
      <w:r w:rsidR="00AA3AEF" w:rsidRPr="001C2EF6">
        <w:rPr>
          <w:w w:val="101"/>
        </w:rPr>
        <w:t>Pre-sessional working group for the seventy-third</w:t>
      </w:r>
      <w:r w:rsidRPr="001C2EF6">
        <w:rPr>
          <w:w w:val="101"/>
        </w:rPr>
        <w:t xml:space="preserve"> session</w:t>
      </w:r>
      <w:r w:rsidR="00AA3AEF" w:rsidRPr="001C2EF6">
        <w:rPr>
          <w:w w:val="101"/>
        </w:rPr>
        <w:t>: 12–16 November</w:t>
      </w:r>
      <w:r w:rsidR="00AA3AEF" w:rsidRPr="00BA29AE">
        <w:t xml:space="preserve"> 2018.</w:t>
      </w:r>
    </w:p>
    <w:p w14:paraId="78FD6D43" w14:textId="77777777" w:rsidR="00AA3AEF" w:rsidRPr="00BA29AE" w:rsidRDefault="00AA3AEF" w:rsidP="00AA3AEF">
      <w:pPr>
        <w:pStyle w:val="SingleTxt"/>
        <w:spacing w:after="0" w:line="120" w:lineRule="exact"/>
        <w:rPr>
          <w:sz w:val="10"/>
        </w:rPr>
      </w:pPr>
    </w:p>
    <w:p w14:paraId="2D558E6A"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Reports to be considered at future sessions </w:t>
      </w:r>
    </w:p>
    <w:p w14:paraId="464541B6" w14:textId="77777777" w:rsidR="00AA3AEF" w:rsidRPr="00BA29AE" w:rsidRDefault="00AA3AEF" w:rsidP="00AA3AEF">
      <w:pPr>
        <w:pStyle w:val="SingleTxt"/>
        <w:spacing w:after="0" w:line="120" w:lineRule="exact"/>
        <w:rPr>
          <w:sz w:val="10"/>
        </w:rPr>
      </w:pPr>
    </w:p>
    <w:p w14:paraId="69F6CEB6" w14:textId="718E8296" w:rsidR="00AA3AEF" w:rsidRPr="00BA29AE" w:rsidRDefault="00AA3AEF" w:rsidP="00AA3AEF">
      <w:pPr>
        <w:pStyle w:val="SingleTxt"/>
      </w:pPr>
      <w:r w:rsidRPr="00BA29AE">
        <w:t>29.</w:t>
      </w:r>
      <w:r w:rsidRPr="00BA29AE">
        <w:tab/>
        <w:t>The Committee confirmed that, at its seventieth session, it would consider the reports of the States parties listed in paragraph 30 of part two of the present report and that, at its seventy-first session, it would consider those of the Bahamas, the former Yugoslav Republic of Macedonia, the Lao People’s Democratic Republic, Mauritius (under the simplified reporting procedure), Nepal, the Congo, Samoa and Tajikistan.</w:t>
      </w:r>
    </w:p>
    <w:p w14:paraId="3C651607" w14:textId="77777777" w:rsidR="00AA3AEF" w:rsidRPr="00BA29AE" w:rsidRDefault="00AA3AEF" w:rsidP="00AA3AEF">
      <w:pPr>
        <w:suppressAutoHyphens w:val="0"/>
        <w:spacing w:after="200" w:line="276" w:lineRule="auto"/>
      </w:pPr>
      <w:r w:rsidRPr="00BA29AE">
        <w:br w:type="page"/>
      </w:r>
    </w:p>
    <w:p w14:paraId="0D0AD254" w14:textId="77777777" w:rsidR="00AA3AEF" w:rsidRPr="00BA29AE" w:rsidRDefault="00AA3AEF" w:rsidP="00AA3AEF">
      <w:pPr>
        <w:pStyle w:val="HCh"/>
        <w:ind w:left="1267" w:right="1260" w:hanging="1267"/>
      </w:pPr>
      <w:r w:rsidRPr="00BA29AE">
        <w:lastRenderedPageBreak/>
        <w:t>Chapter VII</w:t>
      </w:r>
    </w:p>
    <w:p w14:paraId="73339470" w14:textId="77777777" w:rsidR="00AA3AEF" w:rsidRPr="00BA29AE" w:rsidRDefault="00AA3AEF" w:rsidP="00AA3AEF">
      <w:pPr>
        <w:pStyle w:val="HCh"/>
        <w:ind w:left="1267" w:right="1260" w:hanging="1267"/>
      </w:pPr>
      <w:r w:rsidRPr="00BA29AE">
        <w:tab/>
      </w:r>
      <w:r w:rsidRPr="00BA29AE">
        <w:tab/>
        <w:t>Implementation of article 21 of the Convention</w:t>
      </w:r>
    </w:p>
    <w:p w14:paraId="1CD2882C" w14:textId="77777777" w:rsidR="00AA3AEF" w:rsidRPr="00BA29AE" w:rsidRDefault="00AA3AEF" w:rsidP="00AA3AEF">
      <w:pPr>
        <w:pStyle w:val="SingleTxt"/>
        <w:spacing w:after="0" w:line="120" w:lineRule="exact"/>
        <w:rPr>
          <w:sz w:val="10"/>
        </w:rPr>
      </w:pPr>
    </w:p>
    <w:p w14:paraId="53BEC0A6" w14:textId="77777777" w:rsidR="00AA3AEF" w:rsidRPr="00BA29AE" w:rsidRDefault="00AA3AEF" w:rsidP="00AA3AEF">
      <w:pPr>
        <w:pStyle w:val="SingleTxt"/>
        <w:spacing w:after="0" w:line="120" w:lineRule="exact"/>
        <w:rPr>
          <w:sz w:val="10"/>
        </w:rPr>
      </w:pPr>
    </w:p>
    <w:p w14:paraId="57F170C7" w14:textId="19CEB960"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 xml:space="preserve">Working group on gender-related dimensions of disaster risk reduction in </w:t>
      </w:r>
      <w:r w:rsidR="00AA1A87">
        <w:rPr>
          <w:lang w:val="en-GB"/>
        </w:rPr>
        <w:t>the</w:t>
      </w:r>
      <w:r w:rsidRPr="00BA29AE">
        <w:rPr>
          <w:lang w:val="en-GB"/>
        </w:rPr>
        <w:t xml:space="preserve"> </w:t>
      </w:r>
      <w:r w:rsidR="00AA1A87">
        <w:rPr>
          <w:lang w:val="en-GB"/>
        </w:rPr>
        <w:t xml:space="preserve">context of </w:t>
      </w:r>
      <w:r w:rsidRPr="00BA29AE">
        <w:rPr>
          <w:lang w:val="en-GB"/>
        </w:rPr>
        <w:t>climate</w:t>
      </w:r>
      <w:r w:rsidR="00AA1A87">
        <w:rPr>
          <w:lang w:val="en-GB"/>
        </w:rPr>
        <w:t xml:space="preserve"> </w:t>
      </w:r>
      <w:r w:rsidR="00AA1A87" w:rsidRPr="00BA29AE">
        <w:rPr>
          <w:lang w:val="en-GB"/>
        </w:rPr>
        <w:t>chang</w:t>
      </w:r>
      <w:r w:rsidR="00AA1A87">
        <w:rPr>
          <w:lang w:val="en-GB"/>
        </w:rPr>
        <w:t>e</w:t>
      </w:r>
    </w:p>
    <w:p w14:paraId="64805F47" w14:textId="77777777" w:rsidR="00AA3AEF" w:rsidRPr="00BA29AE" w:rsidRDefault="00AA3AEF" w:rsidP="00AA3AEF">
      <w:pPr>
        <w:pStyle w:val="SingleTxt"/>
        <w:spacing w:after="0" w:line="120" w:lineRule="exact"/>
        <w:rPr>
          <w:sz w:val="10"/>
        </w:rPr>
      </w:pPr>
    </w:p>
    <w:p w14:paraId="2BD41098" w14:textId="77777777" w:rsidR="00AA3AEF" w:rsidRPr="00BA29AE" w:rsidRDefault="00AA3AEF" w:rsidP="00AA3AEF">
      <w:pPr>
        <w:pStyle w:val="SingleTxt"/>
      </w:pPr>
      <w:r w:rsidRPr="00BA29AE">
        <w:t>30.</w:t>
      </w:r>
      <w:r w:rsidRPr="00BA29AE">
        <w:tab/>
        <w:t>The working group met during the session to discuss the draft of the general recommendation.</w:t>
      </w:r>
    </w:p>
    <w:p w14:paraId="018D5CFB" w14:textId="0AD3F6CD" w:rsidR="00AA3AEF" w:rsidRPr="00BA29AE" w:rsidRDefault="00AA3AEF" w:rsidP="00AA3AEF">
      <w:pPr>
        <w:pStyle w:val="SingleTxt"/>
      </w:pPr>
      <w:r w:rsidRPr="00BA29AE">
        <w:t>31.</w:t>
      </w:r>
      <w:r w:rsidRPr="00BA29AE">
        <w:tab/>
        <w:t>On 7 March 2018, the Committee adopted general recommendation No. 37 (201</w:t>
      </w:r>
      <w:r w:rsidR="00657311">
        <w:t>8</w:t>
      </w:r>
      <w:r w:rsidRPr="00BA29AE">
        <w:t>) on the gender-related dimensions of disaster risk reduction in the context of climate change (</w:t>
      </w:r>
      <w:hyperlink r:id="rId127" w:history="1">
        <w:r w:rsidRPr="00BA29AE">
          <w:rPr>
            <w:rStyle w:val="Hyperlink"/>
          </w:rPr>
          <w:t>CEDAW/C/GC/37</w:t>
        </w:r>
      </w:hyperlink>
      <w:r w:rsidRPr="00BA29AE">
        <w:t>), by consensus,</w:t>
      </w:r>
      <w:r w:rsidRPr="00BA29AE">
        <w:rPr>
          <w:rStyle w:val="FootnoteReference"/>
        </w:rPr>
        <w:footnoteReference w:id="3"/>
      </w:r>
      <w:r w:rsidRPr="00BA29AE">
        <w:t xml:space="preserve"> in accordance with rule 31 of its rules of procedure.</w:t>
      </w:r>
    </w:p>
    <w:p w14:paraId="2734C0C8" w14:textId="77777777" w:rsidR="00AA3AEF" w:rsidRPr="00BA29AE" w:rsidRDefault="00AA3AEF" w:rsidP="00AA3AEF">
      <w:pPr>
        <w:pStyle w:val="SingleTxt"/>
        <w:spacing w:after="0" w:line="120" w:lineRule="exact"/>
        <w:rPr>
          <w:sz w:val="10"/>
        </w:rPr>
      </w:pPr>
    </w:p>
    <w:p w14:paraId="2DD489F5"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working methods</w:t>
      </w:r>
    </w:p>
    <w:p w14:paraId="4DBD3E0D" w14:textId="77777777" w:rsidR="00AA3AEF" w:rsidRPr="00BA29AE" w:rsidRDefault="00AA3AEF" w:rsidP="00AA3AEF">
      <w:pPr>
        <w:pStyle w:val="SingleTxt"/>
        <w:spacing w:after="0" w:line="120" w:lineRule="exact"/>
        <w:rPr>
          <w:sz w:val="10"/>
        </w:rPr>
      </w:pPr>
    </w:p>
    <w:p w14:paraId="70026A33" w14:textId="77777777" w:rsidR="00AA3AEF" w:rsidRPr="00BA29AE" w:rsidRDefault="00AA3AEF" w:rsidP="00AA3AEF">
      <w:pPr>
        <w:pStyle w:val="SingleTxt"/>
      </w:pPr>
      <w:r w:rsidRPr="00BA29AE">
        <w:t>32.</w:t>
      </w:r>
      <w:r w:rsidRPr="00BA29AE">
        <w:tab/>
        <w:t>The working group met during the session and discussed and submitted to the Committee a draft decision concerning the reinstitution of the simplified reporting procedure (see decision 69/V).</w:t>
      </w:r>
    </w:p>
    <w:p w14:paraId="27B11739" w14:textId="77777777" w:rsidR="00AA3AEF" w:rsidRPr="00BA29AE" w:rsidRDefault="00AA3AEF" w:rsidP="00AA3AEF">
      <w:pPr>
        <w:pStyle w:val="SingleTxt"/>
        <w:spacing w:after="0" w:line="120" w:lineRule="exact"/>
        <w:rPr>
          <w:sz w:val="10"/>
        </w:rPr>
      </w:pPr>
    </w:p>
    <w:p w14:paraId="4FD4A060"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the Inter-Parliamentary Union</w:t>
      </w:r>
    </w:p>
    <w:p w14:paraId="2B196555" w14:textId="77777777" w:rsidR="00AA3AEF" w:rsidRPr="00BA29AE" w:rsidRDefault="00AA3AEF" w:rsidP="00AA3AEF">
      <w:pPr>
        <w:pStyle w:val="SingleTxt"/>
        <w:spacing w:after="0" w:line="120" w:lineRule="exact"/>
        <w:rPr>
          <w:sz w:val="10"/>
        </w:rPr>
      </w:pPr>
    </w:p>
    <w:p w14:paraId="08513B49" w14:textId="7CA49AE8" w:rsidR="00AA3AEF" w:rsidRPr="00BA29AE" w:rsidRDefault="00AA3AEF" w:rsidP="00AA3AEF">
      <w:pPr>
        <w:pStyle w:val="SingleTxt"/>
      </w:pPr>
      <w:r w:rsidRPr="00BA29AE">
        <w:t>33.</w:t>
      </w:r>
      <w:r w:rsidRPr="00BA29AE">
        <w:tab/>
        <w:t>The working group met with a representative of IPU, who provided a briefing to the working group on activities of IPU, at the national and regional levels, focusing on the Convention and gender equality. The working group highlighted the strategic importance of increasing the representation of women in political processes to the attainment of the Sustainable Development Goals. It invited IPU to share statistical data on the participation of women in elections. The working group underlined the Committee’s commitment to promoting the implementation of specific quotas for women in parliament</w:t>
      </w:r>
      <w:r w:rsidR="001C2EF6">
        <w:t>s</w:t>
      </w:r>
      <w:r w:rsidRPr="00BA29AE">
        <w:t xml:space="preserve"> and stressed the importance of establishing mechanisms for that purpose.</w:t>
      </w:r>
    </w:p>
    <w:p w14:paraId="2F5C04FC" w14:textId="77777777" w:rsidR="00AA3AEF" w:rsidRPr="00BA29AE" w:rsidRDefault="00AA3AEF" w:rsidP="00AA3AEF">
      <w:pPr>
        <w:pStyle w:val="SingleTxt"/>
        <w:spacing w:after="0" w:line="120" w:lineRule="exact"/>
        <w:rPr>
          <w:sz w:val="10"/>
        </w:rPr>
      </w:pPr>
    </w:p>
    <w:p w14:paraId="78380A7D" w14:textId="77777777"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Working group on the Convention, UN-Women and the Sustainable Development Goals</w:t>
      </w:r>
    </w:p>
    <w:p w14:paraId="18F7608A" w14:textId="77777777" w:rsidR="00AA3AEF" w:rsidRPr="00BA29AE" w:rsidRDefault="00AA3AEF" w:rsidP="00AA3AEF">
      <w:pPr>
        <w:pStyle w:val="SingleTxt"/>
        <w:spacing w:after="0" w:line="120" w:lineRule="exact"/>
        <w:rPr>
          <w:sz w:val="10"/>
        </w:rPr>
      </w:pPr>
    </w:p>
    <w:p w14:paraId="653F3CD0" w14:textId="7B551C06" w:rsidR="00AA3AEF" w:rsidRPr="00BA29AE" w:rsidRDefault="00AA3AEF" w:rsidP="00AA3AEF">
      <w:pPr>
        <w:pStyle w:val="SingleTxt"/>
      </w:pPr>
      <w:r w:rsidRPr="00BA29AE">
        <w:t>34.</w:t>
      </w:r>
      <w:r w:rsidRPr="00BA29AE">
        <w:tab/>
        <w:t xml:space="preserve">The working group invited Hoda Jaberian, Project Officer, Education for Sustainable Development and Global Citizenship </w:t>
      </w:r>
      <w:r w:rsidR="00AA1A87">
        <w:t xml:space="preserve">Section, </w:t>
      </w:r>
      <w:r w:rsidRPr="00BA29AE">
        <w:t>Division for Inclusion, Peace and Sustainable Development Education, UNESCO, to provide a briefing to the Committee on the development of Sustainable Development Goal indicator 4.7.1</w:t>
      </w:r>
      <w:r w:rsidR="001C2EF6">
        <w:t>, on mainstreaming</w:t>
      </w:r>
      <w:r w:rsidRPr="00BA29AE">
        <w:t xml:space="preserve"> global citizenship education and education for sustainable development, including gender equality and human rights, in</w:t>
      </w:r>
      <w:r w:rsidR="001C2EF6">
        <w:t>to</w:t>
      </w:r>
      <w:r w:rsidRPr="00BA29AE">
        <w:t xml:space="preserve"> national education policies, curricula, teacher education and student assessment</w:t>
      </w:r>
      <w:r w:rsidR="001C2EF6">
        <w:t>s</w:t>
      </w:r>
      <w:r w:rsidRPr="00BA29AE">
        <w:t xml:space="preserve">, for which UNESCO </w:t>
      </w:r>
      <w:r w:rsidR="001C2EF6">
        <w:t>wa</w:t>
      </w:r>
      <w:r w:rsidRPr="00BA29AE">
        <w:t>s the custodial agency. The working group underlined the value of including relevant recommendations of the Committee in the work of UNESCO on indicator development and data collection. The Committee and UNESCO agreed to strengthen their institutional collaboration.</w:t>
      </w:r>
    </w:p>
    <w:p w14:paraId="460CD79F" w14:textId="00AFCAEE" w:rsidR="00AA3AEF" w:rsidRPr="00BA29AE" w:rsidRDefault="00AA3AEF" w:rsidP="00AA3AEF">
      <w:pPr>
        <w:pStyle w:val="SingleTxt"/>
      </w:pPr>
      <w:r w:rsidRPr="00BA29AE">
        <w:t>35.</w:t>
      </w:r>
      <w:r w:rsidRPr="00BA29AE">
        <w:tab/>
        <w:t xml:space="preserve">The working group invited former Committee member Biancamaria Pomeranzi, in her capacity as </w:t>
      </w:r>
      <w:r w:rsidR="001C2EF6">
        <w:t xml:space="preserve">a </w:t>
      </w:r>
      <w:r w:rsidRPr="00BA29AE">
        <w:t xml:space="preserve">consultant, </w:t>
      </w:r>
      <w:r w:rsidR="001C2EF6">
        <w:t>to provide</w:t>
      </w:r>
      <w:r w:rsidRPr="00BA29AE">
        <w:t xml:space="preserve"> a briefing on the progress she had made in reviewing the treaty-specific reporting guidelines of the Committee (</w:t>
      </w:r>
      <w:hyperlink r:id="rId128" w:history="1">
        <w:r w:rsidRPr="00BA29AE">
          <w:rPr>
            <w:rStyle w:val="Hyperlink"/>
          </w:rPr>
          <w:t>HRI/GEN/2/Rev.6</w:t>
        </w:r>
      </w:hyperlink>
      <w:r w:rsidRPr="00BA29AE">
        <w:t xml:space="preserve">) in the light of the Sustainable Development Goals. The working group endorsed a draft proposal prepared by Ms. Pomeranzi and decided to work on </w:t>
      </w:r>
      <w:r w:rsidRPr="00BA29AE">
        <w:lastRenderedPageBreak/>
        <w:t xml:space="preserve">further refining the guidelines in collaboration with </w:t>
      </w:r>
      <w:r w:rsidR="00870CDC">
        <w:t>her</w:t>
      </w:r>
      <w:r w:rsidRPr="00BA29AE">
        <w:t xml:space="preserve"> and to review the final draft </w:t>
      </w:r>
      <w:r w:rsidR="00870CDC">
        <w:t xml:space="preserve">at </w:t>
      </w:r>
      <w:r w:rsidR="00AA1A87">
        <w:t xml:space="preserve">the </w:t>
      </w:r>
      <w:r w:rsidRPr="00BA29AE">
        <w:t>seventieth session.</w:t>
      </w:r>
    </w:p>
    <w:p w14:paraId="75B8C35A" w14:textId="13BAAFD6" w:rsidR="00AA3AEF" w:rsidRPr="00BA29AE" w:rsidRDefault="00AA3AEF" w:rsidP="00AA3AEF">
      <w:pPr>
        <w:pStyle w:val="SingleTxt"/>
      </w:pPr>
      <w:r w:rsidRPr="00BA29AE">
        <w:t>36.</w:t>
      </w:r>
      <w:r w:rsidRPr="00BA29AE">
        <w:tab/>
        <w:t xml:space="preserve">The chair of the working group, Nicole Ameline, proposed </w:t>
      </w:r>
      <w:r w:rsidR="00870CDC">
        <w:t xml:space="preserve">that the Committee hold </w:t>
      </w:r>
      <w:r w:rsidRPr="00BA29AE">
        <w:t xml:space="preserve">a meeting </w:t>
      </w:r>
      <w:r w:rsidR="00870CDC">
        <w:t>with the custodial</w:t>
      </w:r>
      <w:r w:rsidRPr="00BA29AE">
        <w:t xml:space="preserve"> agencies of the Sustainable Development Goals at </w:t>
      </w:r>
      <w:r w:rsidR="00870CDC">
        <w:t>its</w:t>
      </w:r>
      <w:r w:rsidRPr="00BA29AE">
        <w:t xml:space="preserve"> seventieth session, with a view to reinforcing the integration of the Convention into the implementation of the 2030 Agenda, in particular with regard to the targets relating to women’s empowerment.</w:t>
      </w:r>
    </w:p>
    <w:p w14:paraId="4C2B56AB" w14:textId="77777777" w:rsidR="00AA3AEF" w:rsidRPr="00BA29AE" w:rsidRDefault="00AA3AEF" w:rsidP="00AA3AEF">
      <w:pPr>
        <w:pStyle w:val="SingleTxt"/>
        <w:spacing w:after="0" w:line="120" w:lineRule="exact"/>
        <w:rPr>
          <w:sz w:val="10"/>
        </w:rPr>
      </w:pPr>
    </w:p>
    <w:p w14:paraId="35A8CB71" w14:textId="2881D312" w:rsidR="00AA3AEF" w:rsidRPr="00BA29AE" w:rsidRDefault="00AA3AEF" w:rsidP="00AA3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A29AE">
        <w:rPr>
          <w:lang w:val="en-GB"/>
        </w:rPr>
        <w:tab/>
      </w:r>
      <w:r w:rsidRPr="00BA29AE">
        <w:rPr>
          <w:lang w:val="en-GB"/>
        </w:rPr>
        <w:tab/>
        <w:t>Task</w:t>
      </w:r>
      <w:r w:rsidR="00870CDC">
        <w:rPr>
          <w:lang w:val="en-GB"/>
        </w:rPr>
        <w:t xml:space="preserve"> </w:t>
      </w:r>
      <w:r w:rsidRPr="00BA29AE">
        <w:rPr>
          <w:lang w:val="en-GB"/>
        </w:rPr>
        <w:t>force on women in conflict prevention, conflict and post-conflict situations</w:t>
      </w:r>
    </w:p>
    <w:p w14:paraId="2791886B" w14:textId="77777777" w:rsidR="00AA3AEF" w:rsidRPr="00BA29AE" w:rsidRDefault="00AA3AEF" w:rsidP="00AA3AEF">
      <w:pPr>
        <w:pStyle w:val="SingleTxt"/>
        <w:spacing w:after="0" w:line="120" w:lineRule="exact"/>
        <w:rPr>
          <w:sz w:val="10"/>
        </w:rPr>
      </w:pPr>
    </w:p>
    <w:p w14:paraId="152B2699" w14:textId="77777777" w:rsidR="00AA3AEF" w:rsidRPr="00BA29AE" w:rsidRDefault="00AA3AEF" w:rsidP="00AA3AEF">
      <w:pPr>
        <w:pStyle w:val="SingleTxt"/>
      </w:pPr>
      <w:r w:rsidRPr="00BA29AE">
        <w:t>37.</w:t>
      </w:r>
      <w:r w:rsidRPr="00BA29AE">
        <w:tab/>
        <w:t>The task force met during the session and discussed the possibility of holding a panel discussion on women and peace and security during the seventy-first session of the Committee.</w:t>
      </w:r>
    </w:p>
    <w:p w14:paraId="33747820" w14:textId="77777777" w:rsidR="00AA3AEF" w:rsidRPr="00BA29AE" w:rsidRDefault="00AA3AEF" w:rsidP="00AA3AEF">
      <w:pPr>
        <w:suppressAutoHyphens w:val="0"/>
        <w:spacing w:after="200" w:line="276" w:lineRule="auto"/>
      </w:pPr>
      <w:r w:rsidRPr="00BA29AE">
        <w:br w:type="page"/>
      </w:r>
    </w:p>
    <w:p w14:paraId="1631347A" w14:textId="77777777" w:rsidR="00AA3AEF" w:rsidRPr="00BA29AE" w:rsidRDefault="00AA3AEF" w:rsidP="00AA3AEF">
      <w:pPr>
        <w:pStyle w:val="HCh"/>
        <w:ind w:left="1267" w:right="1260" w:hanging="1267"/>
      </w:pPr>
      <w:r w:rsidRPr="00BA29AE">
        <w:lastRenderedPageBreak/>
        <w:t>Chapter VIII</w:t>
      </w:r>
    </w:p>
    <w:p w14:paraId="78B6DF6B" w14:textId="77777777" w:rsidR="00AA3AEF" w:rsidRPr="00BA29AE" w:rsidRDefault="00AA3AEF" w:rsidP="00AA3AEF">
      <w:pPr>
        <w:pStyle w:val="HCh"/>
        <w:ind w:left="1267" w:right="1260" w:hanging="1267"/>
      </w:pPr>
      <w:r w:rsidRPr="00BA29AE">
        <w:tab/>
      </w:r>
      <w:r w:rsidRPr="00BA29AE">
        <w:tab/>
        <w:t>Provisional agenda for the seventieth session</w:t>
      </w:r>
    </w:p>
    <w:p w14:paraId="1AA6076E" w14:textId="77777777" w:rsidR="00AA3AEF" w:rsidRPr="00BA29AE" w:rsidRDefault="00AA3AEF" w:rsidP="00AA3AEF">
      <w:pPr>
        <w:pStyle w:val="SingleTxt"/>
        <w:spacing w:after="0" w:line="120" w:lineRule="exact"/>
        <w:rPr>
          <w:sz w:val="10"/>
        </w:rPr>
      </w:pPr>
    </w:p>
    <w:p w14:paraId="6E77CEAA" w14:textId="77777777" w:rsidR="00AA3AEF" w:rsidRPr="00BA29AE" w:rsidRDefault="00AA3AEF" w:rsidP="00AA3AEF">
      <w:pPr>
        <w:pStyle w:val="SingleTxt"/>
        <w:spacing w:after="0" w:line="120" w:lineRule="exact"/>
        <w:rPr>
          <w:sz w:val="10"/>
        </w:rPr>
      </w:pPr>
    </w:p>
    <w:p w14:paraId="05404972" w14:textId="77777777" w:rsidR="00AA3AEF" w:rsidRPr="00BA29AE" w:rsidRDefault="00AA3AEF" w:rsidP="00AA3AEF">
      <w:pPr>
        <w:pStyle w:val="SingleTxt"/>
      </w:pPr>
      <w:r w:rsidRPr="00BA29AE">
        <w:t>38.</w:t>
      </w:r>
      <w:r w:rsidRPr="00BA29AE">
        <w:tab/>
        <w:t>At its 1599th meeting, on 9 March 2018, the Committee considered and approved the draft provisional agenda for its seventieth session.</w:t>
      </w:r>
    </w:p>
    <w:p w14:paraId="0E4E4D4B" w14:textId="77777777" w:rsidR="00AA3AEF" w:rsidRPr="00BA29AE" w:rsidRDefault="00AA3AEF" w:rsidP="00AA3AEF">
      <w:pPr>
        <w:suppressAutoHyphens w:val="0"/>
        <w:spacing w:after="200" w:line="276" w:lineRule="auto"/>
      </w:pPr>
      <w:r w:rsidRPr="00BA29AE">
        <w:br w:type="page"/>
      </w:r>
    </w:p>
    <w:p w14:paraId="6CF7F688" w14:textId="77777777" w:rsidR="00AA3AEF" w:rsidRPr="00BA29AE" w:rsidRDefault="00AA3AEF" w:rsidP="00AA3AEF">
      <w:pPr>
        <w:pStyle w:val="HCh"/>
        <w:ind w:left="1267" w:right="1260" w:hanging="1267"/>
      </w:pPr>
      <w:r w:rsidRPr="00BA29AE">
        <w:lastRenderedPageBreak/>
        <w:t>Chapter IX</w:t>
      </w:r>
    </w:p>
    <w:p w14:paraId="7FB9B9C3" w14:textId="77777777" w:rsidR="00AA3AEF" w:rsidRPr="00BA29AE" w:rsidRDefault="00AA3AEF" w:rsidP="00AA3AEF">
      <w:pPr>
        <w:pStyle w:val="HCh"/>
        <w:ind w:left="1267" w:right="1260" w:hanging="1267"/>
      </w:pPr>
      <w:r w:rsidRPr="00BA29AE">
        <w:tab/>
      </w:r>
      <w:r w:rsidRPr="00BA29AE">
        <w:tab/>
        <w:t>Adoption of the report</w:t>
      </w:r>
    </w:p>
    <w:p w14:paraId="13185F82" w14:textId="77777777" w:rsidR="00AA3AEF" w:rsidRPr="00BA29AE" w:rsidRDefault="00AA3AEF" w:rsidP="00AA3AEF">
      <w:pPr>
        <w:pStyle w:val="SingleTxt"/>
        <w:spacing w:after="0" w:line="120" w:lineRule="exact"/>
        <w:rPr>
          <w:sz w:val="10"/>
        </w:rPr>
      </w:pPr>
    </w:p>
    <w:p w14:paraId="2914C6D5" w14:textId="77777777" w:rsidR="00AA3AEF" w:rsidRPr="00BA29AE" w:rsidRDefault="00AA3AEF" w:rsidP="00AA3AEF">
      <w:pPr>
        <w:pStyle w:val="SingleTxt"/>
        <w:spacing w:after="0" w:line="120" w:lineRule="exact"/>
        <w:rPr>
          <w:sz w:val="10"/>
        </w:rPr>
      </w:pPr>
    </w:p>
    <w:p w14:paraId="1D1CB398" w14:textId="77777777" w:rsidR="00AA3AEF" w:rsidRPr="00BA29AE" w:rsidRDefault="00AA3AEF" w:rsidP="00AA3AEF">
      <w:pPr>
        <w:pStyle w:val="SingleTxt"/>
      </w:pPr>
      <w:r w:rsidRPr="00BA29AE">
        <w:t>39.</w:t>
      </w:r>
      <w:r w:rsidRPr="00BA29AE">
        <w:tab/>
        <w:t>At its 1599th meeting, on 9 March 2018, the Committee considered and adopted, as orally amended, the draft report on its sixty-ninth session.</w:t>
      </w:r>
    </w:p>
    <w:p w14:paraId="71229C5E" w14:textId="77777777" w:rsidR="00AA3AEF" w:rsidRPr="00BA29AE" w:rsidRDefault="00AA3AEF" w:rsidP="00AA3AEF">
      <w:pPr>
        <w:suppressAutoHyphens w:val="0"/>
        <w:spacing w:after="200" w:line="276" w:lineRule="auto"/>
      </w:pPr>
      <w:r w:rsidRPr="00BA29AE">
        <w:br w:type="page"/>
      </w:r>
    </w:p>
    <w:p w14:paraId="57D5AD4B" w14:textId="77777777" w:rsidR="00AA3AEF" w:rsidRPr="00BA29AE" w:rsidRDefault="00AA3AEF" w:rsidP="00AA3AEF">
      <w:pPr>
        <w:pStyle w:val="HCh"/>
        <w:ind w:left="1267" w:right="1260" w:hanging="1267"/>
      </w:pPr>
      <w:r w:rsidRPr="00BA29AE">
        <w:lastRenderedPageBreak/>
        <w:t>Annex I</w:t>
      </w:r>
    </w:p>
    <w:p w14:paraId="3B660CDC" w14:textId="77777777" w:rsidR="00AA3AEF" w:rsidRPr="001E7B00" w:rsidRDefault="00AA3AEF" w:rsidP="00AA3AEF">
      <w:pPr>
        <w:pStyle w:val="SingleTxt"/>
        <w:spacing w:after="0" w:line="120" w:lineRule="exact"/>
        <w:rPr>
          <w:sz w:val="10"/>
        </w:rPr>
      </w:pPr>
    </w:p>
    <w:p w14:paraId="55081C00" w14:textId="77777777" w:rsidR="00AA3AEF" w:rsidRPr="00BA29AE" w:rsidRDefault="00AA3AEF" w:rsidP="00AA3AEF">
      <w:pPr>
        <w:pStyle w:val="HCh"/>
        <w:ind w:left="1267" w:right="1260" w:hanging="1267"/>
      </w:pPr>
      <w:r w:rsidRPr="00BA29AE">
        <w:tab/>
      </w:r>
      <w:r w:rsidRPr="00BA29AE">
        <w:tab/>
        <w:t>Documents before the Committee at its sixty-ninth session</w:t>
      </w:r>
    </w:p>
    <w:p w14:paraId="3327222A" w14:textId="77777777" w:rsidR="00AA3AEF" w:rsidRPr="00BA29AE" w:rsidRDefault="00AA3AEF" w:rsidP="00AA3AEF">
      <w:pPr>
        <w:pStyle w:val="SingleTxt"/>
        <w:spacing w:after="0" w:line="120" w:lineRule="exact"/>
        <w:rPr>
          <w:sz w:val="10"/>
        </w:rPr>
      </w:pPr>
    </w:p>
    <w:p w14:paraId="7F5669E3" w14:textId="77777777" w:rsidR="00AA3AEF" w:rsidRPr="00BA29AE" w:rsidRDefault="00AA3AEF" w:rsidP="00AA3AE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4980"/>
      </w:tblGrid>
      <w:tr w:rsidR="00AA3AEF" w:rsidRPr="00BA29AE" w14:paraId="2E6A7594" w14:textId="77777777" w:rsidTr="00AA3AEF">
        <w:trPr>
          <w:tblHeader/>
        </w:trPr>
        <w:tc>
          <w:tcPr>
            <w:tcW w:w="2340" w:type="dxa"/>
            <w:tcBorders>
              <w:top w:val="single" w:sz="4" w:space="0" w:color="auto"/>
              <w:bottom w:val="single" w:sz="12" w:space="0" w:color="auto"/>
            </w:tcBorders>
            <w:shd w:val="clear" w:color="auto" w:fill="auto"/>
            <w:vAlign w:val="bottom"/>
          </w:tcPr>
          <w:p w14:paraId="3129385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A29AE">
              <w:rPr>
                <w:i/>
                <w:sz w:val="14"/>
                <w:lang w:val="en-GB"/>
              </w:rPr>
              <w:t>Document number</w:t>
            </w:r>
          </w:p>
        </w:tc>
        <w:tc>
          <w:tcPr>
            <w:tcW w:w="4980" w:type="dxa"/>
            <w:tcBorders>
              <w:top w:val="single" w:sz="4" w:space="0" w:color="auto"/>
              <w:bottom w:val="single" w:sz="12" w:space="0" w:color="auto"/>
            </w:tcBorders>
            <w:shd w:val="clear" w:color="auto" w:fill="auto"/>
            <w:vAlign w:val="bottom"/>
          </w:tcPr>
          <w:p w14:paraId="1563BD8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A29AE">
              <w:rPr>
                <w:i/>
                <w:sz w:val="14"/>
                <w:lang w:val="en-GB"/>
              </w:rPr>
              <w:t>Title or description</w:t>
            </w:r>
          </w:p>
        </w:tc>
      </w:tr>
      <w:tr w:rsidR="00AA3AEF" w:rsidRPr="00BA29AE" w14:paraId="4D372D58" w14:textId="77777777" w:rsidTr="00AA3AEF">
        <w:trPr>
          <w:trHeight w:hRule="exact" w:val="115"/>
          <w:tblHeader/>
        </w:trPr>
        <w:tc>
          <w:tcPr>
            <w:tcW w:w="2340" w:type="dxa"/>
            <w:tcBorders>
              <w:top w:val="single" w:sz="12" w:space="0" w:color="auto"/>
            </w:tcBorders>
            <w:shd w:val="clear" w:color="auto" w:fill="auto"/>
            <w:vAlign w:val="bottom"/>
          </w:tcPr>
          <w:p w14:paraId="452D7593"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4980" w:type="dxa"/>
            <w:tcBorders>
              <w:top w:val="single" w:sz="12" w:space="0" w:color="auto"/>
            </w:tcBorders>
            <w:shd w:val="clear" w:color="auto" w:fill="auto"/>
            <w:vAlign w:val="bottom"/>
          </w:tcPr>
          <w:p w14:paraId="7C0454D3"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A3AEF" w:rsidRPr="00BA29AE" w14:paraId="25FF4828" w14:textId="77777777" w:rsidTr="00AA3AEF">
        <w:tc>
          <w:tcPr>
            <w:tcW w:w="2340" w:type="dxa"/>
            <w:shd w:val="clear" w:color="auto" w:fill="auto"/>
          </w:tcPr>
          <w:p w14:paraId="58D36B33" w14:textId="7308B642"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29" w:history="1">
              <w:r w:rsidR="00AA3AEF" w:rsidRPr="00BA29AE">
                <w:rPr>
                  <w:rStyle w:val="Hyperlink"/>
                  <w:lang w:val="en-GB"/>
                </w:rPr>
                <w:t>CEDAW/C/69/1</w:t>
              </w:r>
            </w:hyperlink>
          </w:p>
        </w:tc>
        <w:tc>
          <w:tcPr>
            <w:tcW w:w="4980" w:type="dxa"/>
            <w:shd w:val="clear" w:color="auto" w:fill="auto"/>
          </w:tcPr>
          <w:p w14:paraId="41C46263"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 xml:space="preserve">Annotated provisional agenda </w:t>
            </w:r>
          </w:p>
        </w:tc>
      </w:tr>
      <w:tr w:rsidR="00AA3AEF" w:rsidRPr="00BA29AE" w14:paraId="3A0DB82A" w14:textId="77777777" w:rsidTr="00AA3AEF">
        <w:tc>
          <w:tcPr>
            <w:tcW w:w="2340" w:type="dxa"/>
            <w:shd w:val="clear" w:color="auto" w:fill="auto"/>
          </w:tcPr>
          <w:p w14:paraId="4D7FF85A" w14:textId="30450090"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0" w:history="1">
              <w:r w:rsidR="00AA3AEF" w:rsidRPr="00BA29AE">
                <w:rPr>
                  <w:rStyle w:val="Hyperlink"/>
                  <w:lang w:val="en-GB"/>
                </w:rPr>
                <w:t>CEDAW/C/69/2</w:t>
              </w:r>
            </w:hyperlink>
          </w:p>
        </w:tc>
        <w:tc>
          <w:tcPr>
            <w:tcW w:w="4980" w:type="dxa"/>
            <w:shd w:val="clear" w:color="auto" w:fill="auto"/>
          </w:tcPr>
          <w:p w14:paraId="41677C0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Report of the United Nations Educational, Scientific and Cultural Organization</w:t>
            </w:r>
          </w:p>
        </w:tc>
      </w:tr>
      <w:tr w:rsidR="00AA3AEF" w:rsidRPr="00BA29AE" w14:paraId="39F619F7" w14:textId="77777777" w:rsidTr="00AA3AEF">
        <w:tc>
          <w:tcPr>
            <w:tcW w:w="2340" w:type="dxa"/>
            <w:shd w:val="clear" w:color="auto" w:fill="auto"/>
          </w:tcPr>
          <w:p w14:paraId="3B5EEFC3" w14:textId="623352BA"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1" w:history="1">
              <w:r w:rsidR="00AA3AEF" w:rsidRPr="00BA29AE">
                <w:rPr>
                  <w:rStyle w:val="Hyperlink"/>
                  <w:lang w:val="en-GB"/>
                </w:rPr>
                <w:t>CEDAW/C/69/3</w:t>
              </w:r>
            </w:hyperlink>
          </w:p>
        </w:tc>
        <w:tc>
          <w:tcPr>
            <w:tcW w:w="4980" w:type="dxa"/>
            <w:shd w:val="clear" w:color="auto" w:fill="auto"/>
          </w:tcPr>
          <w:p w14:paraId="4420D0C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Report of the International Labour Organization</w:t>
            </w:r>
          </w:p>
        </w:tc>
      </w:tr>
      <w:tr w:rsidR="00AA3AEF" w:rsidRPr="00BA29AE" w14:paraId="1F0E1BCE" w14:textId="77777777" w:rsidTr="00AA3AEF">
        <w:tc>
          <w:tcPr>
            <w:tcW w:w="2340" w:type="dxa"/>
            <w:shd w:val="clear" w:color="auto" w:fill="auto"/>
          </w:tcPr>
          <w:p w14:paraId="314EF0FF"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b/>
                <w:bCs/>
                <w:lang w:val="en-GB"/>
              </w:rPr>
            </w:pPr>
            <w:r w:rsidRPr="00BA29AE">
              <w:rPr>
                <w:b/>
                <w:bCs/>
                <w:lang w:val="en-GB"/>
              </w:rPr>
              <w:t>Reports of States parties</w:t>
            </w:r>
          </w:p>
        </w:tc>
        <w:tc>
          <w:tcPr>
            <w:tcW w:w="4980" w:type="dxa"/>
            <w:shd w:val="clear" w:color="auto" w:fill="auto"/>
          </w:tcPr>
          <w:p w14:paraId="3C803F6D"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A3AEF" w:rsidRPr="00BA29AE" w14:paraId="7E6E4148" w14:textId="77777777" w:rsidTr="00AA3AEF">
        <w:tc>
          <w:tcPr>
            <w:tcW w:w="2340" w:type="dxa"/>
            <w:shd w:val="clear" w:color="auto" w:fill="auto"/>
          </w:tcPr>
          <w:p w14:paraId="7B4D7431" w14:textId="65F98F2C"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2" w:history="1">
              <w:r w:rsidR="00AA3AEF" w:rsidRPr="00BA29AE">
                <w:rPr>
                  <w:rStyle w:val="Hyperlink"/>
                  <w:lang w:val="en-GB"/>
                </w:rPr>
                <w:t>CEDAW/C/CHL/7</w:t>
              </w:r>
            </w:hyperlink>
          </w:p>
        </w:tc>
        <w:tc>
          <w:tcPr>
            <w:tcW w:w="4980" w:type="dxa"/>
            <w:shd w:val="clear" w:color="auto" w:fill="auto"/>
          </w:tcPr>
          <w:p w14:paraId="656F6B2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Seventh periodic report of Chile</w:t>
            </w:r>
          </w:p>
        </w:tc>
      </w:tr>
      <w:tr w:rsidR="00AA3AEF" w:rsidRPr="00BA29AE" w14:paraId="171E08A4" w14:textId="77777777" w:rsidTr="00AA3AEF">
        <w:tc>
          <w:tcPr>
            <w:tcW w:w="2340" w:type="dxa"/>
            <w:shd w:val="clear" w:color="auto" w:fill="auto"/>
          </w:tcPr>
          <w:p w14:paraId="66CB5500" w14:textId="31F67083"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3" w:history="1">
              <w:r w:rsidR="00AA3AEF" w:rsidRPr="00BA29AE">
                <w:rPr>
                  <w:rStyle w:val="Hyperlink"/>
                  <w:lang w:val="en-GB"/>
                </w:rPr>
                <w:t>CEDAW/C/FJI/5</w:t>
              </w:r>
            </w:hyperlink>
          </w:p>
        </w:tc>
        <w:tc>
          <w:tcPr>
            <w:tcW w:w="4980" w:type="dxa"/>
            <w:shd w:val="clear" w:color="auto" w:fill="auto"/>
          </w:tcPr>
          <w:p w14:paraId="2188C5E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Fifth periodic report of Fiji</w:t>
            </w:r>
          </w:p>
        </w:tc>
      </w:tr>
      <w:tr w:rsidR="00AA3AEF" w:rsidRPr="00BA29AE" w14:paraId="477DDBD6" w14:textId="77777777" w:rsidTr="00AA3AEF">
        <w:tc>
          <w:tcPr>
            <w:tcW w:w="2340" w:type="dxa"/>
            <w:shd w:val="clear" w:color="auto" w:fill="auto"/>
          </w:tcPr>
          <w:p w14:paraId="763E327F" w14:textId="56473026"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4" w:history="1">
              <w:r w:rsidR="00AA3AEF" w:rsidRPr="00BA29AE">
                <w:rPr>
                  <w:rStyle w:val="Hyperlink"/>
                  <w:lang w:val="en-GB"/>
                </w:rPr>
                <w:t>CEDAW/C/LUX/6-7</w:t>
              </w:r>
            </w:hyperlink>
          </w:p>
        </w:tc>
        <w:tc>
          <w:tcPr>
            <w:tcW w:w="4980" w:type="dxa"/>
            <w:shd w:val="clear" w:color="auto" w:fill="auto"/>
          </w:tcPr>
          <w:p w14:paraId="4B2437CF"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sixth and seventh periodic reports of Luxembourg</w:t>
            </w:r>
          </w:p>
        </w:tc>
      </w:tr>
      <w:tr w:rsidR="00AA3AEF" w:rsidRPr="00BA29AE" w14:paraId="0B5FD2AA" w14:textId="77777777" w:rsidTr="00AA3AEF">
        <w:tc>
          <w:tcPr>
            <w:tcW w:w="2340" w:type="dxa"/>
            <w:shd w:val="clear" w:color="auto" w:fill="auto"/>
          </w:tcPr>
          <w:p w14:paraId="42678033" w14:textId="040F047D"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5" w:history="1">
              <w:r w:rsidR="00AA3AEF" w:rsidRPr="00BA29AE">
                <w:rPr>
                  <w:rStyle w:val="Hyperlink"/>
                  <w:lang w:val="en-GB"/>
                </w:rPr>
                <w:t>CEDAW/C/MAL/3/5</w:t>
              </w:r>
            </w:hyperlink>
          </w:p>
        </w:tc>
        <w:tc>
          <w:tcPr>
            <w:tcW w:w="4980" w:type="dxa"/>
            <w:shd w:val="clear" w:color="auto" w:fill="auto"/>
          </w:tcPr>
          <w:p w14:paraId="17AE0E1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third to fifth periodic reports of Malaysia</w:t>
            </w:r>
          </w:p>
        </w:tc>
      </w:tr>
      <w:tr w:rsidR="00AA3AEF" w:rsidRPr="00BA29AE" w14:paraId="31697715" w14:textId="77777777" w:rsidTr="00AA3AEF">
        <w:tc>
          <w:tcPr>
            <w:tcW w:w="2340" w:type="dxa"/>
            <w:shd w:val="clear" w:color="auto" w:fill="auto"/>
          </w:tcPr>
          <w:p w14:paraId="762187B7" w14:textId="4F2BEB5A"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6" w:history="1">
              <w:r w:rsidR="00AA3AEF" w:rsidRPr="00BA29AE">
                <w:rPr>
                  <w:rStyle w:val="Hyperlink"/>
                  <w:lang w:val="en-GB"/>
                </w:rPr>
                <w:t>CEDAW/C/MHL/1-3</w:t>
              </w:r>
            </w:hyperlink>
          </w:p>
        </w:tc>
        <w:tc>
          <w:tcPr>
            <w:tcW w:w="4980" w:type="dxa"/>
            <w:shd w:val="clear" w:color="auto" w:fill="auto"/>
          </w:tcPr>
          <w:p w14:paraId="7F606E03" w14:textId="0DF01A75"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 xml:space="preserve">Combined initial to third periodic reports of </w:t>
            </w:r>
            <w:r w:rsidR="00870CDC">
              <w:rPr>
                <w:lang w:val="en-GB"/>
              </w:rPr>
              <w:t xml:space="preserve">the </w:t>
            </w:r>
            <w:r w:rsidRPr="00BA29AE">
              <w:rPr>
                <w:lang w:val="en-GB"/>
              </w:rPr>
              <w:t>Marshall Islands</w:t>
            </w:r>
          </w:p>
        </w:tc>
      </w:tr>
      <w:tr w:rsidR="00AA3AEF" w:rsidRPr="00BA29AE" w14:paraId="416FF144" w14:textId="77777777" w:rsidTr="00AA3AEF">
        <w:tc>
          <w:tcPr>
            <w:tcW w:w="2340" w:type="dxa"/>
            <w:shd w:val="clear" w:color="auto" w:fill="auto"/>
          </w:tcPr>
          <w:p w14:paraId="360A1C33" w14:textId="62F0C185"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7" w:history="1">
              <w:r w:rsidR="00AA3AEF" w:rsidRPr="00BA29AE">
                <w:rPr>
                  <w:rStyle w:val="Hyperlink"/>
                  <w:lang w:val="en-GB"/>
                </w:rPr>
                <w:t>CEDAW/C/KOR/8</w:t>
              </w:r>
            </w:hyperlink>
          </w:p>
        </w:tc>
        <w:tc>
          <w:tcPr>
            <w:tcW w:w="4980" w:type="dxa"/>
            <w:shd w:val="clear" w:color="auto" w:fill="auto"/>
          </w:tcPr>
          <w:p w14:paraId="3CE8938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Eighth periodic report of the Republic of Korea</w:t>
            </w:r>
          </w:p>
        </w:tc>
      </w:tr>
      <w:tr w:rsidR="00AA3AEF" w:rsidRPr="00BA29AE" w14:paraId="5BF29FF8" w14:textId="77777777" w:rsidTr="00AA3AEF">
        <w:tc>
          <w:tcPr>
            <w:tcW w:w="2340" w:type="dxa"/>
            <w:shd w:val="clear" w:color="auto" w:fill="auto"/>
          </w:tcPr>
          <w:p w14:paraId="7E878E06" w14:textId="493D05C0"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8" w:history="1">
              <w:r w:rsidR="00AA3AEF" w:rsidRPr="00BA29AE">
                <w:rPr>
                  <w:rStyle w:val="Hyperlink"/>
                  <w:lang w:val="en-GB"/>
                </w:rPr>
                <w:t>CEDAW/C/SAU/3-4</w:t>
              </w:r>
            </w:hyperlink>
          </w:p>
        </w:tc>
        <w:tc>
          <w:tcPr>
            <w:tcW w:w="4980" w:type="dxa"/>
            <w:shd w:val="clear" w:color="auto" w:fill="auto"/>
          </w:tcPr>
          <w:p w14:paraId="31607198"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third and fourth periodic reports of Saudi Arabia</w:t>
            </w:r>
          </w:p>
        </w:tc>
      </w:tr>
      <w:tr w:rsidR="00AA3AEF" w:rsidRPr="00BA29AE" w14:paraId="783873C5" w14:textId="77777777" w:rsidTr="00AA3AEF">
        <w:tc>
          <w:tcPr>
            <w:tcW w:w="2340" w:type="dxa"/>
            <w:tcBorders>
              <w:bottom w:val="single" w:sz="12" w:space="0" w:color="auto"/>
            </w:tcBorders>
            <w:shd w:val="clear" w:color="auto" w:fill="auto"/>
          </w:tcPr>
          <w:p w14:paraId="05EFDF70" w14:textId="451268F2" w:rsidR="00AA3AEF" w:rsidRPr="00BA29AE" w:rsidRDefault="00CD742B"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139" w:history="1">
              <w:r w:rsidR="00AA3AEF" w:rsidRPr="00BA29AE">
                <w:rPr>
                  <w:rStyle w:val="Hyperlink"/>
                  <w:lang w:val="en-GB"/>
                </w:rPr>
                <w:t>CEDAW/C/SUR/4-6</w:t>
              </w:r>
            </w:hyperlink>
          </w:p>
        </w:tc>
        <w:tc>
          <w:tcPr>
            <w:tcW w:w="4980" w:type="dxa"/>
            <w:tcBorders>
              <w:bottom w:val="single" w:sz="12" w:space="0" w:color="auto"/>
            </w:tcBorders>
            <w:shd w:val="clear" w:color="auto" w:fill="auto"/>
          </w:tcPr>
          <w:p w14:paraId="5E5B863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Combined fourth to sixth periodic reports of Suriname</w:t>
            </w:r>
          </w:p>
        </w:tc>
      </w:tr>
    </w:tbl>
    <w:p w14:paraId="28BE4893" w14:textId="77777777" w:rsidR="00AA3AEF" w:rsidRPr="00BA29AE" w:rsidRDefault="00AA3AEF" w:rsidP="00AA3AEF">
      <w:pPr>
        <w:pStyle w:val="SingleTxt"/>
      </w:pPr>
    </w:p>
    <w:p w14:paraId="26F2FA8F" w14:textId="77777777" w:rsidR="00AA3AEF" w:rsidRPr="00BA29AE" w:rsidRDefault="00AA3AEF" w:rsidP="00AA3AEF">
      <w:pPr>
        <w:pStyle w:val="SingleTxt"/>
      </w:pPr>
      <w:r w:rsidRPr="00BA29AE">
        <w:br w:type="page"/>
      </w:r>
    </w:p>
    <w:p w14:paraId="5282FA8B" w14:textId="77777777" w:rsidR="00AA3AEF" w:rsidRPr="00BA29AE" w:rsidRDefault="00AA3AEF" w:rsidP="00AA3AEF">
      <w:pPr>
        <w:pStyle w:val="HCh"/>
        <w:ind w:left="1267" w:right="1260" w:hanging="1267"/>
      </w:pPr>
      <w:r w:rsidRPr="00BA29AE">
        <w:lastRenderedPageBreak/>
        <w:t>Annex II</w:t>
      </w:r>
    </w:p>
    <w:p w14:paraId="05D281FD" w14:textId="77777777" w:rsidR="00AA3AEF" w:rsidRPr="001E7B00" w:rsidRDefault="00AA3AEF" w:rsidP="00AA3AEF">
      <w:pPr>
        <w:pStyle w:val="SingleTxt"/>
        <w:spacing w:after="0" w:line="120" w:lineRule="exact"/>
        <w:rPr>
          <w:sz w:val="10"/>
        </w:rPr>
      </w:pPr>
    </w:p>
    <w:p w14:paraId="77D17211" w14:textId="77777777" w:rsidR="00AA3AEF" w:rsidRPr="00BA29AE" w:rsidRDefault="00AA3AEF" w:rsidP="00AA3AEF">
      <w:pPr>
        <w:pStyle w:val="HCh"/>
        <w:ind w:left="1267" w:right="1260" w:hanging="1267"/>
      </w:pPr>
      <w:r w:rsidRPr="00BA29AE">
        <w:tab/>
      </w:r>
      <w:r w:rsidRPr="00BA29AE">
        <w:tab/>
        <w:t>Membership of the Committee as at 9 March 2018</w:t>
      </w:r>
    </w:p>
    <w:p w14:paraId="3911E7FE" w14:textId="77777777" w:rsidR="00AA3AEF" w:rsidRPr="00BA29AE" w:rsidRDefault="00AA3AEF" w:rsidP="00AA3AEF">
      <w:pPr>
        <w:pStyle w:val="SingleTxt"/>
        <w:spacing w:after="0" w:line="120" w:lineRule="exact"/>
        <w:rPr>
          <w:sz w:val="10"/>
        </w:rPr>
      </w:pPr>
    </w:p>
    <w:p w14:paraId="7EFDD1D0" w14:textId="77777777" w:rsidR="00AA3AEF" w:rsidRPr="00BA29AE" w:rsidRDefault="00AA3AEF" w:rsidP="00AA3AE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48"/>
        <w:gridCol w:w="1836"/>
        <w:gridCol w:w="1836"/>
      </w:tblGrid>
      <w:tr w:rsidR="00AA3AEF" w:rsidRPr="00BA29AE" w14:paraId="1155C5EC" w14:textId="77777777" w:rsidTr="00AA3AEF">
        <w:trPr>
          <w:tblHeader/>
        </w:trPr>
        <w:tc>
          <w:tcPr>
            <w:tcW w:w="3648" w:type="dxa"/>
            <w:tcBorders>
              <w:top w:val="single" w:sz="4" w:space="0" w:color="auto"/>
              <w:bottom w:val="single" w:sz="12" w:space="0" w:color="auto"/>
            </w:tcBorders>
            <w:shd w:val="clear" w:color="auto" w:fill="auto"/>
            <w:vAlign w:val="bottom"/>
          </w:tcPr>
          <w:p w14:paraId="6A6710E5"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A29AE">
              <w:rPr>
                <w:i/>
                <w:sz w:val="14"/>
                <w:lang w:val="en-GB"/>
              </w:rPr>
              <w:t>Name of member</w:t>
            </w:r>
          </w:p>
        </w:tc>
        <w:tc>
          <w:tcPr>
            <w:tcW w:w="1836" w:type="dxa"/>
            <w:tcBorders>
              <w:top w:val="single" w:sz="4" w:space="0" w:color="auto"/>
              <w:bottom w:val="single" w:sz="12" w:space="0" w:color="auto"/>
            </w:tcBorders>
            <w:shd w:val="clear" w:color="auto" w:fill="auto"/>
            <w:vAlign w:val="bottom"/>
          </w:tcPr>
          <w:p w14:paraId="0F00169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lang w:val="en-GB"/>
              </w:rPr>
            </w:pPr>
            <w:r w:rsidRPr="00BA29AE">
              <w:rPr>
                <w:i/>
                <w:sz w:val="14"/>
                <w:lang w:val="en-GB"/>
              </w:rPr>
              <w:t>Country of nationality</w:t>
            </w:r>
          </w:p>
        </w:tc>
        <w:tc>
          <w:tcPr>
            <w:tcW w:w="1836" w:type="dxa"/>
            <w:tcBorders>
              <w:top w:val="single" w:sz="4" w:space="0" w:color="auto"/>
              <w:bottom w:val="single" w:sz="12" w:space="0" w:color="auto"/>
            </w:tcBorders>
            <w:shd w:val="clear" w:color="auto" w:fill="auto"/>
            <w:vAlign w:val="bottom"/>
          </w:tcPr>
          <w:p w14:paraId="117003FD" w14:textId="323CB281"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lang w:val="en-GB"/>
              </w:rPr>
            </w:pPr>
            <w:r w:rsidRPr="00BA29AE">
              <w:rPr>
                <w:i/>
                <w:sz w:val="14"/>
                <w:lang w:val="en-GB"/>
              </w:rPr>
              <w:t>Term of office expires on</w:t>
            </w:r>
            <w:r>
              <w:rPr>
                <w:i/>
                <w:sz w:val="14"/>
                <w:lang w:val="en-GB"/>
              </w:rPr>
              <w:t> </w:t>
            </w:r>
            <w:r w:rsidRPr="00BA29AE">
              <w:rPr>
                <w:i/>
                <w:sz w:val="14"/>
                <w:lang w:val="en-GB"/>
              </w:rPr>
              <w:t>31 December</w:t>
            </w:r>
          </w:p>
        </w:tc>
      </w:tr>
      <w:tr w:rsidR="00AA3AEF" w:rsidRPr="00BA29AE" w14:paraId="57C544DE" w14:textId="77777777" w:rsidTr="00AA3AEF">
        <w:trPr>
          <w:trHeight w:hRule="exact" w:val="115"/>
          <w:tblHeader/>
        </w:trPr>
        <w:tc>
          <w:tcPr>
            <w:tcW w:w="3648" w:type="dxa"/>
            <w:tcBorders>
              <w:top w:val="single" w:sz="12" w:space="0" w:color="auto"/>
            </w:tcBorders>
            <w:shd w:val="clear" w:color="auto" w:fill="auto"/>
            <w:vAlign w:val="bottom"/>
          </w:tcPr>
          <w:p w14:paraId="2296AD6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836" w:type="dxa"/>
            <w:tcBorders>
              <w:top w:val="single" w:sz="12" w:space="0" w:color="auto"/>
            </w:tcBorders>
            <w:shd w:val="clear" w:color="auto" w:fill="auto"/>
            <w:vAlign w:val="bottom"/>
          </w:tcPr>
          <w:p w14:paraId="0986100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836" w:type="dxa"/>
            <w:tcBorders>
              <w:top w:val="single" w:sz="12" w:space="0" w:color="auto"/>
            </w:tcBorders>
            <w:shd w:val="clear" w:color="auto" w:fill="auto"/>
            <w:vAlign w:val="bottom"/>
          </w:tcPr>
          <w:p w14:paraId="772168F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A3AEF" w:rsidRPr="00BA29AE" w14:paraId="20C61B95" w14:textId="77777777" w:rsidTr="00AA3AEF">
        <w:tc>
          <w:tcPr>
            <w:tcW w:w="3648" w:type="dxa"/>
            <w:shd w:val="clear" w:color="auto" w:fill="auto"/>
          </w:tcPr>
          <w:p w14:paraId="45EFD0D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Ayse Feride Acar</w:t>
            </w:r>
          </w:p>
        </w:tc>
        <w:tc>
          <w:tcPr>
            <w:tcW w:w="1836" w:type="dxa"/>
            <w:shd w:val="clear" w:color="auto" w:fill="auto"/>
          </w:tcPr>
          <w:p w14:paraId="1C2B99E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Turkey</w:t>
            </w:r>
          </w:p>
        </w:tc>
        <w:tc>
          <w:tcPr>
            <w:tcW w:w="1836" w:type="dxa"/>
            <w:shd w:val="clear" w:color="auto" w:fill="auto"/>
          </w:tcPr>
          <w:p w14:paraId="4FBD006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68B82859" w14:textId="77777777" w:rsidTr="00AA3AEF">
        <w:tc>
          <w:tcPr>
            <w:tcW w:w="3648" w:type="dxa"/>
            <w:shd w:val="clear" w:color="auto" w:fill="auto"/>
          </w:tcPr>
          <w:p w14:paraId="6B1CEFA1"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Gladys Acosta Vargas</w:t>
            </w:r>
          </w:p>
        </w:tc>
        <w:tc>
          <w:tcPr>
            <w:tcW w:w="1836" w:type="dxa"/>
            <w:shd w:val="clear" w:color="auto" w:fill="auto"/>
          </w:tcPr>
          <w:p w14:paraId="5021DEC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Peru</w:t>
            </w:r>
          </w:p>
        </w:tc>
        <w:tc>
          <w:tcPr>
            <w:tcW w:w="1836" w:type="dxa"/>
            <w:shd w:val="clear" w:color="auto" w:fill="auto"/>
          </w:tcPr>
          <w:p w14:paraId="3E6CA30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187B3971" w14:textId="77777777" w:rsidTr="00AA3AEF">
        <w:tc>
          <w:tcPr>
            <w:tcW w:w="3648" w:type="dxa"/>
            <w:shd w:val="clear" w:color="auto" w:fill="auto"/>
          </w:tcPr>
          <w:p w14:paraId="7BF0DD7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Nicole Ameline</w:t>
            </w:r>
          </w:p>
        </w:tc>
        <w:tc>
          <w:tcPr>
            <w:tcW w:w="1836" w:type="dxa"/>
            <w:shd w:val="clear" w:color="auto" w:fill="auto"/>
          </w:tcPr>
          <w:p w14:paraId="626DC14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France</w:t>
            </w:r>
          </w:p>
        </w:tc>
        <w:tc>
          <w:tcPr>
            <w:tcW w:w="1836" w:type="dxa"/>
            <w:shd w:val="clear" w:color="auto" w:fill="auto"/>
          </w:tcPr>
          <w:p w14:paraId="279BA0F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740340B8" w14:textId="77777777" w:rsidTr="00AA3AEF">
        <w:tc>
          <w:tcPr>
            <w:tcW w:w="3648" w:type="dxa"/>
            <w:shd w:val="clear" w:color="auto" w:fill="auto"/>
          </w:tcPr>
          <w:p w14:paraId="4A575461" w14:textId="77777777" w:rsidR="00AA3AEF" w:rsidRPr="001E7B00"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75"/>
              <w:jc w:val="left"/>
              <w:rPr>
                <w:lang w:val="fr-FR"/>
              </w:rPr>
            </w:pPr>
            <w:r w:rsidRPr="001E7B00">
              <w:rPr>
                <w:lang w:val="fr-FR"/>
              </w:rPr>
              <w:t>Magalys Arocha Dominguez (Vice-Chair)</w:t>
            </w:r>
          </w:p>
        </w:tc>
        <w:tc>
          <w:tcPr>
            <w:tcW w:w="1836" w:type="dxa"/>
            <w:shd w:val="clear" w:color="auto" w:fill="auto"/>
          </w:tcPr>
          <w:p w14:paraId="134CED2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Cuba</w:t>
            </w:r>
          </w:p>
        </w:tc>
        <w:tc>
          <w:tcPr>
            <w:tcW w:w="1836" w:type="dxa"/>
            <w:shd w:val="clear" w:color="auto" w:fill="auto"/>
          </w:tcPr>
          <w:p w14:paraId="0932917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67510F99" w14:textId="77777777" w:rsidTr="00AA3AEF">
        <w:tc>
          <w:tcPr>
            <w:tcW w:w="3648" w:type="dxa"/>
            <w:shd w:val="clear" w:color="auto" w:fill="auto"/>
          </w:tcPr>
          <w:p w14:paraId="3BD6BF6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Gunnar Bergby</w:t>
            </w:r>
          </w:p>
        </w:tc>
        <w:tc>
          <w:tcPr>
            <w:tcW w:w="1836" w:type="dxa"/>
            <w:shd w:val="clear" w:color="auto" w:fill="auto"/>
          </w:tcPr>
          <w:p w14:paraId="387A26F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Norway</w:t>
            </w:r>
          </w:p>
        </w:tc>
        <w:tc>
          <w:tcPr>
            <w:tcW w:w="1836" w:type="dxa"/>
            <w:shd w:val="clear" w:color="auto" w:fill="auto"/>
          </w:tcPr>
          <w:p w14:paraId="41369DD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28B9F7B1" w14:textId="77777777" w:rsidTr="00AA3AEF">
        <w:tc>
          <w:tcPr>
            <w:tcW w:w="3648" w:type="dxa"/>
            <w:shd w:val="clear" w:color="auto" w:fill="auto"/>
          </w:tcPr>
          <w:p w14:paraId="2BD0550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Marion Bethel</w:t>
            </w:r>
          </w:p>
        </w:tc>
        <w:tc>
          <w:tcPr>
            <w:tcW w:w="1836" w:type="dxa"/>
            <w:shd w:val="clear" w:color="auto" w:fill="auto"/>
          </w:tcPr>
          <w:p w14:paraId="725A84F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Bahamas</w:t>
            </w:r>
          </w:p>
        </w:tc>
        <w:tc>
          <w:tcPr>
            <w:tcW w:w="1836" w:type="dxa"/>
            <w:shd w:val="clear" w:color="auto" w:fill="auto"/>
          </w:tcPr>
          <w:p w14:paraId="15ACFED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4CC9236E" w14:textId="77777777" w:rsidTr="00AA3AEF">
        <w:tc>
          <w:tcPr>
            <w:tcW w:w="3648" w:type="dxa"/>
            <w:shd w:val="clear" w:color="auto" w:fill="auto"/>
          </w:tcPr>
          <w:p w14:paraId="01601CD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Louiza Chalal</w:t>
            </w:r>
            <w:r w:rsidRPr="00546C7A">
              <w:rPr>
                <w:i/>
                <w:iCs/>
                <w:vertAlign w:val="superscript"/>
                <w:lang w:val="en-GB"/>
              </w:rPr>
              <w:t>a</w:t>
            </w:r>
            <w:r w:rsidRPr="00BA29AE">
              <w:rPr>
                <w:lang w:val="en-GB"/>
              </w:rPr>
              <w:t xml:space="preserve"> (Vice-Chair)</w:t>
            </w:r>
          </w:p>
        </w:tc>
        <w:tc>
          <w:tcPr>
            <w:tcW w:w="1836" w:type="dxa"/>
            <w:shd w:val="clear" w:color="auto" w:fill="auto"/>
          </w:tcPr>
          <w:p w14:paraId="5F4022C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Algeria</w:t>
            </w:r>
          </w:p>
        </w:tc>
        <w:tc>
          <w:tcPr>
            <w:tcW w:w="1836" w:type="dxa"/>
            <w:shd w:val="clear" w:color="auto" w:fill="auto"/>
          </w:tcPr>
          <w:p w14:paraId="3A82F3A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29BBC40C" w14:textId="77777777" w:rsidTr="00AA3AEF">
        <w:tc>
          <w:tcPr>
            <w:tcW w:w="3648" w:type="dxa"/>
            <w:shd w:val="clear" w:color="auto" w:fill="auto"/>
          </w:tcPr>
          <w:p w14:paraId="5B6118C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Esther Eghobamien-Mshelia</w:t>
            </w:r>
            <w:r w:rsidRPr="00546C7A">
              <w:rPr>
                <w:i/>
                <w:iCs/>
                <w:vertAlign w:val="superscript"/>
                <w:lang w:val="en-GB"/>
              </w:rPr>
              <w:t>b</w:t>
            </w:r>
          </w:p>
        </w:tc>
        <w:tc>
          <w:tcPr>
            <w:tcW w:w="1836" w:type="dxa"/>
            <w:shd w:val="clear" w:color="auto" w:fill="auto"/>
          </w:tcPr>
          <w:p w14:paraId="3700D17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Nigeria</w:t>
            </w:r>
          </w:p>
        </w:tc>
        <w:tc>
          <w:tcPr>
            <w:tcW w:w="1836" w:type="dxa"/>
            <w:shd w:val="clear" w:color="auto" w:fill="auto"/>
          </w:tcPr>
          <w:p w14:paraId="3570215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712590EB" w14:textId="77777777" w:rsidTr="00AA3AEF">
        <w:tc>
          <w:tcPr>
            <w:tcW w:w="3648" w:type="dxa"/>
            <w:shd w:val="clear" w:color="auto" w:fill="auto"/>
          </w:tcPr>
          <w:p w14:paraId="235CD81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Naéla Mohamed Gabr</w:t>
            </w:r>
          </w:p>
        </w:tc>
        <w:tc>
          <w:tcPr>
            <w:tcW w:w="1836" w:type="dxa"/>
            <w:shd w:val="clear" w:color="auto" w:fill="auto"/>
          </w:tcPr>
          <w:p w14:paraId="3BDB2BD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Egypt</w:t>
            </w:r>
          </w:p>
        </w:tc>
        <w:tc>
          <w:tcPr>
            <w:tcW w:w="1836" w:type="dxa"/>
            <w:shd w:val="clear" w:color="auto" w:fill="auto"/>
          </w:tcPr>
          <w:p w14:paraId="622CF0F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64F350A2" w14:textId="77777777" w:rsidTr="00AA3AEF">
        <w:tc>
          <w:tcPr>
            <w:tcW w:w="3648" w:type="dxa"/>
            <w:shd w:val="clear" w:color="auto" w:fill="auto"/>
          </w:tcPr>
          <w:p w14:paraId="49356901"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Hilary Gbedemah</w:t>
            </w:r>
          </w:p>
        </w:tc>
        <w:tc>
          <w:tcPr>
            <w:tcW w:w="1836" w:type="dxa"/>
            <w:shd w:val="clear" w:color="auto" w:fill="auto"/>
          </w:tcPr>
          <w:p w14:paraId="210A18E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Ghana</w:t>
            </w:r>
          </w:p>
        </w:tc>
        <w:tc>
          <w:tcPr>
            <w:tcW w:w="1836" w:type="dxa"/>
            <w:shd w:val="clear" w:color="auto" w:fill="auto"/>
          </w:tcPr>
          <w:p w14:paraId="1B6AA2C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0EC3D0FF" w14:textId="77777777" w:rsidTr="00AA3AEF">
        <w:tc>
          <w:tcPr>
            <w:tcW w:w="3648" w:type="dxa"/>
            <w:shd w:val="clear" w:color="auto" w:fill="auto"/>
          </w:tcPr>
          <w:p w14:paraId="6569345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Nahla Haidar</w:t>
            </w:r>
          </w:p>
        </w:tc>
        <w:tc>
          <w:tcPr>
            <w:tcW w:w="1836" w:type="dxa"/>
            <w:shd w:val="clear" w:color="auto" w:fill="auto"/>
          </w:tcPr>
          <w:p w14:paraId="100AA1A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Lebanon</w:t>
            </w:r>
          </w:p>
        </w:tc>
        <w:tc>
          <w:tcPr>
            <w:tcW w:w="1836" w:type="dxa"/>
            <w:shd w:val="clear" w:color="auto" w:fill="auto"/>
          </w:tcPr>
          <w:p w14:paraId="02E7B97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6F88E097" w14:textId="77777777" w:rsidTr="00AA3AEF">
        <w:tc>
          <w:tcPr>
            <w:tcW w:w="3648" w:type="dxa"/>
            <w:shd w:val="clear" w:color="auto" w:fill="auto"/>
          </w:tcPr>
          <w:p w14:paraId="09357F4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Ruth Halperin-Kaddari (Vice-Chair)</w:t>
            </w:r>
          </w:p>
        </w:tc>
        <w:tc>
          <w:tcPr>
            <w:tcW w:w="1836" w:type="dxa"/>
            <w:shd w:val="clear" w:color="auto" w:fill="auto"/>
          </w:tcPr>
          <w:p w14:paraId="6460EA4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Israel</w:t>
            </w:r>
          </w:p>
        </w:tc>
        <w:tc>
          <w:tcPr>
            <w:tcW w:w="1836" w:type="dxa"/>
            <w:shd w:val="clear" w:color="auto" w:fill="auto"/>
          </w:tcPr>
          <w:p w14:paraId="7508D965"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12E779BD" w14:textId="77777777" w:rsidTr="00AA3AEF">
        <w:tc>
          <w:tcPr>
            <w:tcW w:w="3648" w:type="dxa"/>
            <w:shd w:val="clear" w:color="auto" w:fill="auto"/>
          </w:tcPr>
          <w:p w14:paraId="711CE615"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Yoko Hayashi</w:t>
            </w:r>
          </w:p>
        </w:tc>
        <w:tc>
          <w:tcPr>
            <w:tcW w:w="1836" w:type="dxa"/>
            <w:shd w:val="clear" w:color="auto" w:fill="auto"/>
          </w:tcPr>
          <w:p w14:paraId="7CB39CC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Japan</w:t>
            </w:r>
          </w:p>
        </w:tc>
        <w:tc>
          <w:tcPr>
            <w:tcW w:w="1836" w:type="dxa"/>
            <w:shd w:val="clear" w:color="auto" w:fill="auto"/>
          </w:tcPr>
          <w:p w14:paraId="11916BF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3F3592C0" w14:textId="77777777" w:rsidTr="00AA3AEF">
        <w:tc>
          <w:tcPr>
            <w:tcW w:w="3648" w:type="dxa"/>
            <w:shd w:val="clear" w:color="auto" w:fill="auto"/>
          </w:tcPr>
          <w:p w14:paraId="5535F21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Lilian Hofmeister</w:t>
            </w:r>
          </w:p>
        </w:tc>
        <w:tc>
          <w:tcPr>
            <w:tcW w:w="1836" w:type="dxa"/>
            <w:shd w:val="clear" w:color="auto" w:fill="auto"/>
          </w:tcPr>
          <w:p w14:paraId="11946F0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Austria</w:t>
            </w:r>
          </w:p>
        </w:tc>
        <w:tc>
          <w:tcPr>
            <w:tcW w:w="1836" w:type="dxa"/>
            <w:shd w:val="clear" w:color="auto" w:fill="auto"/>
          </w:tcPr>
          <w:p w14:paraId="0674859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31F4D895" w14:textId="77777777" w:rsidTr="00AA3AEF">
        <w:tc>
          <w:tcPr>
            <w:tcW w:w="3648" w:type="dxa"/>
            <w:shd w:val="clear" w:color="auto" w:fill="auto"/>
          </w:tcPr>
          <w:p w14:paraId="054B9FA1"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Ismat Ja</w:t>
            </w:r>
            <w:bookmarkStart w:id="3" w:name="_GoBack"/>
            <w:bookmarkEnd w:id="3"/>
            <w:r w:rsidRPr="00BA29AE">
              <w:rPr>
                <w:lang w:val="en-GB"/>
              </w:rPr>
              <w:t>han</w:t>
            </w:r>
          </w:p>
        </w:tc>
        <w:tc>
          <w:tcPr>
            <w:tcW w:w="1836" w:type="dxa"/>
            <w:shd w:val="clear" w:color="auto" w:fill="auto"/>
          </w:tcPr>
          <w:p w14:paraId="413788B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Bangladesh</w:t>
            </w:r>
          </w:p>
        </w:tc>
        <w:tc>
          <w:tcPr>
            <w:tcW w:w="1836" w:type="dxa"/>
            <w:shd w:val="clear" w:color="auto" w:fill="auto"/>
          </w:tcPr>
          <w:p w14:paraId="0A852BFA"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1DD5D906" w14:textId="77777777" w:rsidTr="00AA3AEF">
        <w:tc>
          <w:tcPr>
            <w:tcW w:w="3648" w:type="dxa"/>
            <w:shd w:val="clear" w:color="auto" w:fill="auto"/>
          </w:tcPr>
          <w:p w14:paraId="19259FE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Dalia Leinarte (Chair)</w:t>
            </w:r>
          </w:p>
        </w:tc>
        <w:tc>
          <w:tcPr>
            <w:tcW w:w="1836" w:type="dxa"/>
            <w:shd w:val="clear" w:color="auto" w:fill="auto"/>
          </w:tcPr>
          <w:p w14:paraId="5374173D"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Lithuania</w:t>
            </w:r>
          </w:p>
        </w:tc>
        <w:tc>
          <w:tcPr>
            <w:tcW w:w="1836" w:type="dxa"/>
            <w:shd w:val="clear" w:color="auto" w:fill="auto"/>
          </w:tcPr>
          <w:p w14:paraId="27AC7373"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7C489BFA" w14:textId="77777777" w:rsidTr="00AA3AEF">
        <w:tc>
          <w:tcPr>
            <w:tcW w:w="3648" w:type="dxa"/>
            <w:shd w:val="clear" w:color="auto" w:fill="auto"/>
          </w:tcPr>
          <w:p w14:paraId="2FF3714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Rosario G. Manalo (Rapporteur)</w:t>
            </w:r>
          </w:p>
        </w:tc>
        <w:tc>
          <w:tcPr>
            <w:tcW w:w="1836" w:type="dxa"/>
            <w:shd w:val="clear" w:color="auto" w:fill="auto"/>
          </w:tcPr>
          <w:p w14:paraId="294D902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Philippines</w:t>
            </w:r>
          </w:p>
        </w:tc>
        <w:tc>
          <w:tcPr>
            <w:tcW w:w="1836" w:type="dxa"/>
            <w:shd w:val="clear" w:color="auto" w:fill="auto"/>
          </w:tcPr>
          <w:p w14:paraId="1FA0F0F5"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43BF9147" w14:textId="77777777" w:rsidTr="00AA3AEF">
        <w:tc>
          <w:tcPr>
            <w:tcW w:w="3648" w:type="dxa"/>
            <w:shd w:val="clear" w:color="auto" w:fill="auto"/>
          </w:tcPr>
          <w:p w14:paraId="0894AFC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Lia Nadaraia</w:t>
            </w:r>
          </w:p>
        </w:tc>
        <w:tc>
          <w:tcPr>
            <w:tcW w:w="1836" w:type="dxa"/>
            <w:shd w:val="clear" w:color="auto" w:fill="auto"/>
          </w:tcPr>
          <w:p w14:paraId="4B27EC6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Georgia</w:t>
            </w:r>
          </w:p>
        </w:tc>
        <w:tc>
          <w:tcPr>
            <w:tcW w:w="1836" w:type="dxa"/>
            <w:shd w:val="clear" w:color="auto" w:fill="auto"/>
          </w:tcPr>
          <w:p w14:paraId="55A55BC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513A280B" w14:textId="77777777" w:rsidTr="00AA3AEF">
        <w:tc>
          <w:tcPr>
            <w:tcW w:w="3648" w:type="dxa"/>
            <w:shd w:val="clear" w:color="auto" w:fill="auto"/>
          </w:tcPr>
          <w:p w14:paraId="27352769"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Aruna Devi Narain</w:t>
            </w:r>
            <w:r w:rsidRPr="00546C7A">
              <w:rPr>
                <w:i/>
                <w:iCs/>
                <w:vertAlign w:val="superscript"/>
                <w:lang w:val="en-GB"/>
              </w:rPr>
              <w:t>c</w:t>
            </w:r>
          </w:p>
        </w:tc>
        <w:tc>
          <w:tcPr>
            <w:tcW w:w="1836" w:type="dxa"/>
            <w:shd w:val="clear" w:color="auto" w:fill="auto"/>
          </w:tcPr>
          <w:p w14:paraId="3D35C01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Mauritius</w:t>
            </w:r>
          </w:p>
        </w:tc>
        <w:tc>
          <w:tcPr>
            <w:tcW w:w="1836" w:type="dxa"/>
            <w:shd w:val="clear" w:color="auto" w:fill="auto"/>
          </w:tcPr>
          <w:p w14:paraId="5216D6C5"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20D29F01" w14:textId="77777777" w:rsidTr="00AA3AEF">
        <w:tc>
          <w:tcPr>
            <w:tcW w:w="3648" w:type="dxa"/>
            <w:shd w:val="clear" w:color="auto" w:fill="auto"/>
          </w:tcPr>
          <w:p w14:paraId="3F1F1E17"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Bandana Rana</w:t>
            </w:r>
          </w:p>
        </w:tc>
        <w:tc>
          <w:tcPr>
            <w:tcW w:w="1836" w:type="dxa"/>
            <w:shd w:val="clear" w:color="auto" w:fill="auto"/>
          </w:tcPr>
          <w:p w14:paraId="27D22802"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Nepal</w:t>
            </w:r>
          </w:p>
        </w:tc>
        <w:tc>
          <w:tcPr>
            <w:tcW w:w="1836" w:type="dxa"/>
            <w:shd w:val="clear" w:color="auto" w:fill="auto"/>
          </w:tcPr>
          <w:p w14:paraId="44558B6D"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61167A1F" w14:textId="77777777" w:rsidTr="00AA3AEF">
        <w:tc>
          <w:tcPr>
            <w:tcW w:w="3648" w:type="dxa"/>
            <w:shd w:val="clear" w:color="auto" w:fill="auto"/>
          </w:tcPr>
          <w:p w14:paraId="4B2AAB00"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Patricia Schulz</w:t>
            </w:r>
          </w:p>
        </w:tc>
        <w:tc>
          <w:tcPr>
            <w:tcW w:w="1836" w:type="dxa"/>
            <w:shd w:val="clear" w:color="auto" w:fill="auto"/>
          </w:tcPr>
          <w:p w14:paraId="3EEEFD56"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 xml:space="preserve">Switzerland </w:t>
            </w:r>
          </w:p>
        </w:tc>
        <w:tc>
          <w:tcPr>
            <w:tcW w:w="1836" w:type="dxa"/>
            <w:shd w:val="clear" w:color="auto" w:fill="auto"/>
          </w:tcPr>
          <w:p w14:paraId="71799A0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2018</w:t>
            </w:r>
          </w:p>
        </w:tc>
      </w:tr>
      <w:tr w:rsidR="00AA3AEF" w:rsidRPr="00BA29AE" w14:paraId="73345EB6" w14:textId="77777777" w:rsidTr="00AA3AEF">
        <w:tc>
          <w:tcPr>
            <w:tcW w:w="3648" w:type="dxa"/>
            <w:shd w:val="clear" w:color="auto" w:fill="auto"/>
          </w:tcPr>
          <w:p w14:paraId="3657DC0B"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Wenyan Song</w:t>
            </w:r>
          </w:p>
        </w:tc>
        <w:tc>
          <w:tcPr>
            <w:tcW w:w="1836" w:type="dxa"/>
            <w:shd w:val="clear" w:color="auto" w:fill="auto"/>
          </w:tcPr>
          <w:p w14:paraId="63A1513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China</w:t>
            </w:r>
          </w:p>
        </w:tc>
        <w:tc>
          <w:tcPr>
            <w:tcW w:w="1836" w:type="dxa"/>
            <w:shd w:val="clear" w:color="auto" w:fill="auto"/>
          </w:tcPr>
          <w:p w14:paraId="3EB65053"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r w:rsidR="00AA3AEF" w:rsidRPr="00BA29AE" w14:paraId="5CE26333" w14:textId="77777777" w:rsidTr="00AA3AEF">
        <w:tc>
          <w:tcPr>
            <w:tcW w:w="3648" w:type="dxa"/>
            <w:tcBorders>
              <w:bottom w:val="single" w:sz="12" w:space="0" w:color="auto"/>
            </w:tcBorders>
            <w:shd w:val="clear" w:color="auto" w:fill="auto"/>
          </w:tcPr>
          <w:p w14:paraId="3B224ECC"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BA29AE">
              <w:rPr>
                <w:lang w:val="en-GB"/>
              </w:rPr>
              <w:t>Aicha Vall Verges</w:t>
            </w:r>
          </w:p>
        </w:tc>
        <w:tc>
          <w:tcPr>
            <w:tcW w:w="1836" w:type="dxa"/>
            <w:tcBorders>
              <w:bottom w:val="single" w:sz="12" w:space="0" w:color="auto"/>
            </w:tcBorders>
            <w:shd w:val="clear" w:color="auto" w:fill="auto"/>
          </w:tcPr>
          <w:p w14:paraId="2E35CA7E"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Mauritania</w:t>
            </w:r>
          </w:p>
        </w:tc>
        <w:tc>
          <w:tcPr>
            <w:tcW w:w="1836" w:type="dxa"/>
            <w:tcBorders>
              <w:bottom w:val="single" w:sz="12" w:space="0" w:color="auto"/>
            </w:tcBorders>
            <w:shd w:val="clear" w:color="auto" w:fill="auto"/>
          </w:tcPr>
          <w:p w14:paraId="60A60A34" w14:textId="77777777" w:rsidR="00AA3AEF" w:rsidRPr="00BA29AE" w:rsidRDefault="00AA3AEF" w:rsidP="00AA3A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A29AE">
              <w:rPr>
                <w:lang w:val="en-GB"/>
              </w:rPr>
              <w:t>2020</w:t>
            </w:r>
          </w:p>
        </w:tc>
      </w:tr>
    </w:tbl>
    <w:p w14:paraId="74049475" w14:textId="77777777" w:rsidR="00AA3AEF" w:rsidRPr="00BA29AE" w:rsidRDefault="00AA3AEF" w:rsidP="00AA3AEF">
      <w:pPr>
        <w:pStyle w:val="SingleTxt"/>
        <w:spacing w:after="0" w:line="120" w:lineRule="exact"/>
        <w:rPr>
          <w:sz w:val="10"/>
        </w:rPr>
      </w:pPr>
    </w:p>
    <w:p w14:paraId="6EC05326" w14:textId="6E50EFB7" w:rsidR="00AA3AEF" w:rsidRPr="00BA29AE" w:rsidRDefault="00AA3AEF" w:rsidP="00AA3AEF">
      <w:pPr>
        <w:pStyle w:val="FootnoteText"/>
        <w:tabs>
          <w:tab w:val="clear" w:pos="418"/>
          <w:tab w:val="right" w:pos="1476"/>
          <w:tab w:val="left" w:pos="1548"/>
          <w:tab w:val="right" w:pos="1836"/>
          <w:tab w:val="left" w:pos="1908"/>
        </w:tabs>
        <w:ind w:left="1548" w:right="1267" w:hanging="288"/>
      </w:pPr>
      <w:r w:rsidRPr="00BA29AE">
        <w:tab/>
      </w:r>
      <w:r w:rsidRPr="00442ABF">
        <w:rPr>
          <w:i/>
          <w:iCs/>
          <w:vertAlign w:val="superscript"/>
        </w:rPr>
        <w:t>a</w:t>
      </w:r>
      <w:r w:rsidRPr="00BA29AE">
        <w:tab/>
        <w:t xml:space="preserve">See </w:t>
      </w:r>
      <w:hyperlink r:id="rId140" w:history="1">
        <w:r w:rsidRPr="00BA29AE">
          <w:rPr>
            <w:rStyle w:val="Hyperlink"/>
          </w:rPr>
          <w:t>A/70/38</w:t>
        </w:r>
      </w:hyperlink>
      <w:r w:rsidRPr="00BA29AE">
        <w:t>, part two, para. 13.</w:t>
      </w:r>
    </w:p>
    <w:p w14:paraId="6342C260" w14:textId="77777777" w:rsidR="00AA3AEF" w:rsidRPr="00BA29AE" w:rsidRDefault="00AA3AEF" w:rsidP="00AA3AEF">
      <w:pPr>
        <w:pStyle w:val="FootnoteText"/>
        <w:tabs>
          <w:tab w:val="clear" w:pos="418"/>
          <w:tab w:val="right" w:pos="1476"/>
          <w:tab w:val="left" w:pos="1548"/>
          <w:tab w:val="right" w:pos="1836"/>
          <w:tab w:val="left" w:pos="1908"/>
        </w:tabs>
        <w:ind w:left="1548" w:right="1267" w:hanging="288"/>
      </w:pPr>
      <w:r w:rsidRPr="00BA29AE">
        <w:tab/>
      </w:r>
      <w:r w:rsidRPr="00442ABF">
        <w:rPr>
          <w:i/>
          <w:iCs/>
          <w:vertAlign w:val="superscript"/>
        </w:rPr>
        <w:t>b</w:t>
      </w:r>
      <w:r w:rsidRPr="00BA29AE">
        <w:tab/>
        <w:t>See para. 11 of part three of the present report.</w:t>
      </w:r>
    </w:p>
    <w:p w14:paraId="1327DA88" w14:textId="77777777" w:rsidR="00AA3AEF" w:rsidRPr="00BA29AE" w:rsidRDefault="00AA3AEF" w:rsidP="00AA3AEF">
      <w:pPr>
        <w:pStyle w:val="FootnoteText"/>
        <w:tabs>
          <w:tab w:val="clear" w:pos="418"/>
          <w:tab w:val="right" w:pos="1476"/>
          <w:tab w:val="left" w:pos="1548"/>
          <w:tab w:val="right" w:pos="1836"/>
          <w:tab w:val="left" w:pos="1908"/>
        </w:tabs>
        <w:ind w:left="1548" w:right="1267" w:hanging="288"/>
      </w:pPr>
      <w:r w:rsidRPr="00BA29AE">
        <w:tab/>
      </w:r>
      <w:r w:rsidRPr="00442ABF">
        <w:rPr>
          <w:i/>
          <w:iCs/>
          <w:vertAlign w:val="superscript"/>
        </w:rPr>
        <w:t>c</w:t>
      </w:r>
      <w:r w:rsidRPr="00BA29AE">
        <w:tab/>
        <w:t>See para. 14 of part one of the present report.</w:t>
      </w:r>
    </w:p>
    <w:p w14:paraId="5270AFBD" w14:textId="4D46D63B" w:rsidR="00357D59" w:rsidRPr="00357D59" w:rsidRDefault="00CD742B" w:rsidP="00357D59">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t>18-04972 (E)</w:t>
      </w:r>
      <w:r>
        <w:fldChar w:fldCharType="end"/>
      </w:r>
      <w:r w:rsidR="00105840">
        <w:t xml:space="preserve">    2</w:t>
      </w:r>
      <w:r w:rsidR="005638D2">
        <w:t>6</w:t>
      </w:r>
      <w:r w:rsidR="00357D59">
        <w:t>0418</w:t>
      </w:r>
      <w:r w:rsidR="00357D59">
        <w:br/>
      </w:r>
      <w:r w:rsidR="00357D59">
        <w:rPr>
          <w:rFonts w:ascii="Barcode 3 of 9 by request" w:hAnsi="Barcode 3 of 9 by request"/>
          <w:w w:val="100"/>
          <w:sz w:val="24"/>
        </w:rPr>
        <w:fldChar w:fldCharType="begin"/>
      </w:r>
      <w:r w:rsidR="00357D59">
        <w:rPr>
          <w:rFonts w:ascii="Barcode 3 of 9 by request" w:hAnsi="Barcode 3 of 9 by request"/>
          <w:w w:val="100"/>
          <w:sz w:val="24"/>
        </w:rPr>
        <w:instrText xml:space="preserve"> DOCVARIABLE "barcode" \* MERGEFORMAT </w:instrText>
      </w:r>
      <w:r w:rsidR="00357D59">
        <w:rPr>
          <w:rFonts w:ascii="Barcode 3 of 9 by request" w:hAnsi="Barcode 3 of 9 by request"/>
          <w:w w:val="100"/>
          <w:sz w:val="24"/>
        </w:rPr>
        <w:fldChar w:fldCharType="separate"/>
      </w:r>
      <w:r>
        <w:rPr>
          <w:rFonts w:ascii="Barcode 3 of 9 by request" w:hAnsi="Barcode 3 of 9 by request"/>
          <w:w w:val="100"/>
          <w:sz w:val="24"/>
        </w:rPr>
        <w:t>*1804972*</w:t>
      </w:r>
      <w:r w:rsidR="00357D59">
        <w:rPr>
          <w:rFonts w:ascii="Barcode 3 of 9 by request" w:hAnsi="Barcode 3 of 9 by request"/>
          <w:w w:val="100"/>
          <w:sz w:val="24"/>
        </w:rPr>
        <w:fldChar w:fldCharType="end"/>
      </w:r>
    </w:p>
    <w:p w14:paraId="3DC1EF96" w14:textId="49952513" w:rsidR="00AA3AEF" w:rsidRPr="006E0391" w:rsidRDefault="00AA3AEF" w:rsidP="001E6D75">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79BC2743" wp14:editId="17D49FA7">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3738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bookmarkStart w:id="4" w:name="EndPage"/>
      <w:bookmarkEnd w:id="4"/>
    </w:p>
    <w:sectPr w:rsidR="00AA3AEF" w:rsidRPr="006E0391" w:rsidSect="0020429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11T10:31:00Z" w:initials="Start">
    <w:p w14:paraId="62D58CFE" w14:textId="77777777" w:rsidR="003116CD" w:rsidRDefault="003116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NO&gt;&gt;N1808920E&lt;&lt;ODS JOB NO&gt;&gt;</w:t>
      </w:r>
    </w:p>
    <w:p w14:paraId="358EE968" w14:textId="77777777" w:rsidR="003116CD" w:rsidRDefault="003116CD">
      <w:pPr>
        <w:pStyle w:val="CommentText"/>
      </w:pPr>
      <w:r>
        <w:t>&lt;&lt;ODS DOC SYMBOL1&gt;&gt;A/73/38&lt;&lt;ODS DOC SYMBOL1&gt;&gt;</w:t>
      </w:r>
    </w:p>
    <w:p w14:paraId="469CFB4B" w14:textId="77777777" w:rsidR="003116CD" w:rsidRDefault="003116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9CFB4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0FB3" w14:textId="77777777" w:rsidR="003116CD" w:rsidRDefault="003116CD" w:rsidP="00556720">
      <w:r>
        <w:separator/>
      </w:r>
    </w:p>
  </w:endnote>
  <w:endnote w:type="continuationSeparator" w:id="0">
    <w:p w14:paraId="2451AA22" w14:textId="77777777" w:rsidR="003116CD" w:rsidRDefault="003116C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3116CD" w14:paraId="4DAA90A4" w14:textId="77777777" w:rsidTr="00022DE9">
      <w:tc>
        <w:tcPr>
          <w:tcW w:w="3772" w:type="dxa"/>
          <w:shd w:val="clear" w:color="auto" w:fill="auto"/>
        </w:tcPr>
        <w:p w14:paraId="0BB21BFC" w14:textId="77777777" w:rsidR="003116CD" w:rsidRDefault="003116CD">
          <w:pPr>
            <w:pStyle w:val="Footer"/>
          </w:pPr>
          <w:r>
            <w:drawing>
              <wp:anchor distT="0" distB="0" distL="114300" distR="114300" simplePos="0" relativeHeight="251658240" behindDoc="0" locked="0" layoutInCell="1" allowOverlap="1" wp14:anchorId="155B1630" wp14:editId="626EFF02">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A/73/38&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8&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4AE8524F" w14:textId="77777777" w:rsidR="003116CD" w:rsidRDefault="003116CD" w:rsidP="00022DE9">
          <w:pPr>
            <w:pStyle w:val="Footer"/>
            <w:jc w:val="right"/>
          </w:pPr>
          <w:r>
            <w:drawing>
              <wp:inline distT="0" distB="0" distL="0" distR="0" wp14:anchorId="5739EC2E" wp14:editId="642695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37BCBA8" w14:textId="77777777" w:rsidR="003116CD" w:rsidRDefault="003116CD" w:rsidP="00022DE9">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116CD" w:rsidRPr="00022DE9" w14:paraId="59B8BEEF" w14:textId="77777777" w:rsidTr="00022DE9">
      <w:tc>
        <w:tcPr>
          <w:tcW w:w="4920" w:type="dxa"/>
          <w:shd w:val="clear" w:color="auto" w:fill="auto"/>
        </w:tcPr>
        <w:p w14:paraId="6BD4A764" w14:textId="7463871E" w:rsidR="003116CD" w:rsidRPr="00022DE9" w:rsidRDefault="003116CD" w:rsidP="00022DE9">
          <w:pPr>
            <w:pStyle w:val="Footer"/>
            <w:rPr>
              <w:w w:val="103"/>
            </w:rPr>
          </w:pPr>
          <w:r>
            <w:rPr>
              <w:w w:val="103"/>
            </w:rPr>
            <w:fldChar w:fldCharType="begin"/>
          </w:r>
          <w:r>
            <w:rPr>
              <w:w w:val="103"/>
            </w:rPr>
            <w:instrText xml:space="preserve"> PAGE  \* Arabic  \* MERGEFORMAT </w:instrText>
          </w:r>
          <w:r>
            <w:rPr>
              <w:w w:val="103"/>
            </w:rPr>
            <w:fldChar w:fldCharType="separate"/>
          </w:r>
          <w:r w:rsidR="00CD742B">
            <w:rPr>
              <w:w w:val="103"/>
            </w:rPr>
            <w:t>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D742B">
            <w:rPr>
              <w:w w:val="103"/>
            </w:rPr>
            <w:t>52</w:t>
          </w:r>
          <w:r>
            <w:rPr>
              <w:w w:val="103"/>
            </w:rPr>
            <w:fldChar w:fldCharType="end"/>
          </w:r>
        </w:p>
      </w:tc>
      <w:tc>
        <w:tcPr>
          <w:tcW w:w="4920" w:type="dxa"/>
          <w:shd w:val="clear" w:color="auto" w:fill="auto"/>
        </w:tcPr>
        <w:p w14:paraId="58268B3E" w14:textId="4168358F" w:rsidR="003116CD" w:rsidRPr="00022DE9" w:rsidRDefault="003116CD" w:rsidP="00022D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742B">
            <w:rPr>
              <w:b w:val="0"/>
              <w:w w:val="103"/>
              <w:sz w:val="14"/>
            </w:rPr>
            <w:t>18-04972</w:t>
          </w:r>
          <w:r>
            <w:rPr>
              <w:b w:val="0"/>
              <w:w w:val="103"/>
              <w:sz w:val="14"/>
            </w:rPr>
            <w:fldChar w:fldCharType="end"/>
          </w:r>
        </w:p>
      </w:tc>
    </w:tr>
  </w:tbl>
  <w:p w14:paraId="1F81C8DE" w14:textId="77777777" w:rsidR="003116CD" w:rsidRDefault="00311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116CD" w:rsidRPr="00022DE9" w14:paraId="3E79ABAC" w14:textId="77777777" w:rsidTr="00022DE9">
      <w:tc>
        <w:tcPr>
          <w:tcW w:w="4920" w:type="dxa"/>
          <w:shd w:val="clear" w:color="auto" w:fill="auto"/>
        </w:tcPr>
        <w:p w14:paraId="15C35F0A" w14:textId="5F84ECE6" w:rsidR="003116CD" w:rsidRPr="00022DE9" w:rsidRDefault="003116CD" w:rsidP="00022D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742B">
            <w:rPr>
              <w:b w:val="0"/>
              <w:w w:val="103"/>
              <w:sz w:val="14"/>
            </w:rPr>
            <w:t>18-04972</w:t>
          </w:r>
          <w:r>
            <w:rPr>
              <w:b w:val="0"/>
              <w:w w:val="103"/>
              <w:sz w:val="14"/>
            </w:rPr>
            <w:fldChar w:fldCharType="end"/>
          </w:r>
        </w:p>
      </w:tc>
      <w:tc>
        <w:tcPr>
          <w:tcW w:w="4920" w:type="dxa"/>
          <w:shd w:val="clear" w:color="auto" w:fill="auto"/>
        </w:tcPr>
        <w:p w14:paraId="0321B06B" w14:textId="0F7BEC76" w:rsidR="003116CD" w:rsidRPr="00022DE9" w:rsidRDefault="003116CD" w:rsidP="00022D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742B">
            <w:rPr>
              <w:w w:val="103"/>
            </w:rPr>
            <w:t>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D742B">
            <w:rPr>
              <w:w w:val="103"/>
            </w:rPr>
            <w:t>52</w:t>
          </w:r>
          <w:r>
            <w:rPr>
              <w:w w:val="103"/>
            </w:rPr>
            <w:fldChar w:fldCharType="end"/>
          </w:r>
        </w:p>
      </w:tc>
    </w:tr>
  </w:tbl>
  <w:p w14:paraId="5CBBC52B" w14:textId="77777777" w:rsidR="003116CD" w:rsidRDefault="00311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116CD" w:rsidRPr="00022DE9" w14:paraId="7B2A46EB" w14:textId="77777777" w:rsidTr="00022DE9">
      <w:tc>
        <w:tcPr>
          <w:tcW w:w="4920" w:type="dxa"/>
          <w:shd w:val="clear" w:color="auto" w:fill="auto"/>
        </w:tcPr>
        <w:p w14:paraId="0586CF53" w14:textId="60539A3B" w:rsidR="003116CD" w:rsidRPr="00022DE9" w:rsidRDefault="003116CD" w:rsidP="00022DE9">
          <w:pPr>
            <w:pStyle w:val="Footer"/>
            <w:rPr>
              <w:w w:val="103"/>
            </w:rPr>
          </w:pPr>
          <w:r>
            <w:rPr>
              <w:w w:val="103"/>
            </w:rPr>
            <w:fldChar w:fldCharType="begin"/>
          </w:r>
          <w:r>
            <w:rPr>
              <w:w w:val="103"/>
            </w:rPr>
            <w:instrText xml:space="preserve"> PAGE  \* Arabic  \* MERGEFORMAT </w:instrText>
          </w:r>
          <w:r>
            <w:rPr>
              <w:w w:val="103"/>
            </w:rPr>
            <w:fldChar w:fldCharType="separate"/>
          </w:r>
          <w:r w:rsidR="00CD742B">
            <w:rPr>
              <w:w w:val="103"/>
            </w:rPr>
            <w:t>52</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D742B">
            <w:rPr>
              <w:w w:val="103"/>
            </w:rPr>
            <w:t>52</w:t>
          </w:r>
          <w:r>
            <w:rPr>
              <w:w w:val="103"/>
            </w:rPr>
            <w:fldChar w:fldCharType="end"/>
          </w:r>
        </w:p>
      </w:tc>
      <w:tc>
        <w:tcPr>
          <w:tcW w:w="4920" w:type="dxa"/>
          <w:shd w:val="clear" w:color="auto" w:fill="auto"/>
        </w:tcPr>
        <w:p w14:paraId="1FCC4971" w14:textId="74A81B86" w:rsidR="003116CD" w:rsidRPr="00022DE9" w:rsidRDefault="003116CD" w:rsidP="00022D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742B">
            <w:rPr>
              <w:b w:val="0"/>
              <w:w w:val="103"/>
              <w:sz w:val="14"/>
            </w:rPr>
            <w:t>18-04972</w:t>
          </w:r>
          <w:r>
            <w:rPr>
              <w:b w:val="0"/>
              <w:w w:val="103"/>
              <w:sz w:val="14"/>
            </w:rPr>
            <w:fldChar w:fldCharType="end"/>
          </w:r>
        </w:p>
      </w:tc>
    </w:tr>
  </w:tbl>
  <w:p w14:paraId="1FEFA188" w14:textId="77777777" w:rsidR="003116CD" w:rsidRDefault="003116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116CD" w:rsidRPr="00022DE9" w14:paraId="7FD7830F" w14:textId="77777777" w:rsidTr="00022DE9">
      <w:tc>
        <w:tcPr>
          <w:tcW w:w="4920" w:type="dxa"/>
          <w:shd w:val="clear" w:color="auto" w:fill="auto"/>
        </w:tcPr>
        <w:p w14:paraId="7B109E10" w14:textId="34EC8B52" w:rsidR="003116CD" w:rsidRPr="00022DE9" w:rsidRDefault="003116CD" w:rsidP="00022D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D742B">
            <w:rPr>
              <w:b w:val="0"/>
              <w:w w:val="103"/>
              <w:sz w:val="14"/>
            </w:rPr>
            <w:t>18-04972</w:t>
          </w:r>
          <w:r>
            <w:rPr>
              <w:b w:val="0"/>
              <w:w w:val="103"/>
              <w:sz w:val="14"/>
            </w:rPr>
            <w:fldChar w:fldCharType="end"/>
          </w:r>
        </w:p>
      </w:tc>
      <w:tc>
        <w:tcPr>
          <w:tcW w:w="4920" w:type="dxa"/>
          <w:shd w:val="clear" w:color="auto" w:fill="auto"/>
        </w:tcPr>
        <w:p w14:paraId="478CCE6A" w14:textId="64F39C00" w:rsidR="003116CD" w:rsidRPr="00022DE9" w:rsidRDefault="003116CD" w:rsidP="00022D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742B">
            <w:rPr>
              <w:w w:val="103"/>
            </w:rPr>
            <w:t>51</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CD742B">
            <w:rPr>
              <w:w w:val="103"/>
            </w:rPr>
            <w:t>52</w:t>
          </w:r>
          <w:r>
            <w:rPr>
              <w:w w:val="103"/>
            </w:rPr>
            <w:fldChar w:fldCharType="end"/>
          </w:r>
        </w:p>
      </w:tc>
    </w:tr>
  </w:tbl>
  <w:p w14:paraId="09CBCC64" w14:textId="77777777" w:rsidR="003116CD" w:rsidRDefault="0031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4A8F" w14:textId="77777777" w:rsidR="003116CD" w:rsidRPr="008636F5" w:rsidRDefault="003116CD" w:rsidP="008636F5">
      <w:pPr>
        <w:pStyle w:val="Footer"/>
        <w:spacing w:after="80"/>
        <w:ind w:left="792"/>
        <w:rPr>
          <w:sz w:val="16"/>
        </w:rPr>
      </w:pPr>
      <w:r w:rsidRPr="008636F5">
        <w:rPr>
          <w:sz w:val="16"/>
        </w:rPr>
        <w:t>__________________</w:t>
      </w:r>
    </w:p>
  </w:footnote>
  <w:footnote w:type="continuationSeparator" w:id="0">
    <w:p w14:paraId="13279CD1" w14:textId="77777777" w:rsidR="003116CD" w:rsidRPr="008636F5" w:rsidRDefault="003116CD" w:rsidP="008636F5">
      <w:pPr>
        <w:pStyle w:val="Footer"/>
        <w:spacing w:after="80"/>
        <w:ind w:left="792"/>
        <w:rPr>
          <w:sz w:val="16"/>
        </w:rPr>
      </w:pPr>
      <w:r w:rsidRPr="008636F5">
        <w:rPr>
          <w:sz w:val="16"/>
        </w:rPr>
        <w:t>__________________</w:t>
      </w:r>
    </w:p>
  </w:footnote>
  <w:footnote w:id="1">
    <w:p w14:paraId="0512CB36" w14:textId="66F71A95" w:rsidR="003116CD" w:rsidRPr="008636F5" w:rsidRDefault="003116CD" w:rsidP="008636F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636F5">
        <w:t>The following members were present during the adoption: Ayse Feride Acar, Gladys Acosta Vargas, Nicole Ameline, Magalys Arocha Dominguez, Gunnar Bergby, Marion Bethel, Louiza Chalal, Náela Mohamed Gabr, Hilary Gbedemah, Nahla Haidar, Ruth Halperin-Kaddari, Yoko Hayashi, Lilian Hofmeister, Ismat Jahan, Dalia Leinarte, Rosario G. Manalo, Lia Nadaraia, Bandana Rana, Patricia Schulz, Wenyan Song and Aicha Vall Verges.</w:t>
      </w:r>
    </w:p>
  </w:footnote>
  <w:footnote w:id="2">
    <w:p w14:paraId="7AF75E55" w14:textId="77777777" w:rsidR="003116CD" w:rsidRPr="0036215E" w:rsidRDefault="003116CD" w:rsidP="00AA3A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6215E">
        <w:t>The following members were present during the adoption: Ayse Feride Acar, Gladys Acosta Vargas, Nicole Ameline, Magalys Arocha Dominguez, Gunnar Bergby, Marion Bethel, Louiza Chalal, Náela Mohamed Gabr, Hilary Gbedemah, Nahla Haidar, Ruth Halperin-Kaddari, Lilian Hofmeister, Ismat Jahan, Dalia Leinarte, Rosario G. Manalo, Lia Nadaraia, Aruna Devi Narain, Bandana Rana, Patricia Schulz, Wenyan Song and Aicha Vall Verges.</w:t>
      </w:r>
    </w:p>
  </w:footnote>
  <w:footnote w:id="3">
    <w:p w14:paraId="7EEAD54A" w14:textId="77777777" w:rsidR="003116CD" w:rsidRPr="000F1AEA" w:rsidRDefault="003116CD" w:rsidP="00AA3A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1AEA">
        <w:t>The following members were present during the adoption: Ayse Feride Acar, Gladys Acosta Vargas, Nicole Ameline, Magalys Arocha Dominguez, Gunnar Bergby, Marion Bethel, Louiza Chalal, Náela Mohamed Gabr, Hilary Gbedemah, Nahla Haidar, Lilian Hofmeister, Ismat Jahan, Dalia Leinarte, Rosario G. Manalo, Lia Nadaraia, Aruna Devi Narain, Bandana Rana, Patricia Schulz, Wenyan Song and Aicha Vall Verges.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28FB" w14:textId="77777777" w:rsidR="003116CD" w:rsidRDefault="003116CD" w:rsidP="00022DE9">
    <w:pPr>
      <w:pStyle w:val="Header"/>
      <w:spacing w:before="340"/>
      <w:jc w:val="right"/>
      <w:rPr>
        <w:sz w:val="20"/>
      </w:rPr>
    </w:pPr>
    <w:r>
      <w:rPr>
        <w:sz w:val="20"/>
      </w:rPr>
      <w:t>A/73/38</w:t>
    </w:r>
  </w:p>
  <w:p w14:paraId="1F70CE19" w14:textId="77777777" w:rsidR="003116CD" w:rsidRPr="00022DE9" w:rsidRDefault="003116CD" w:rsidP="00022DE9">
    <w:pPr>
      <w:spacing w:before="1480"/>
      <w:ind w:left="1260"/>
    </w:pPr>
    <w:r>
      <w:rPr>
        <w:noProof/>
      </w:rPr>
      <w:drawing>
        <wp:inline distT="0" distB="0" distL="0" distR="0" wp14:anchorId="664C9920" wp14:editId="239B3C0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116CD" w:rsidRPr="00022DE9" w14:paraId="49680D37" w14:textId="77777777" w:rsidTr="00022DE9">
      <w:trPr>
        <w:trHeight w:hRule="exact" w:val="1008"/>
      </w:trPr>
      <w:tc>
        <w:tcPr>
          <w:tcW w:w="9850" w:type="dxa"/>
          <w:shd w:val="clear" w:color="auto" w:fill="auto"/>
          <w:vAlign w:val="bottom"/>
        </w:tcPr>
        <w:p w14:paraId="4EEBDC1C" w14:textId="77777777" w:rsidR="003116CD" w:rsidRPr="00022DE9" w:rsidRDefault="003116CD" w:rsidP="00022DE9">
          <w:pPr>
            <w:pStyle w:val="Header"/>
            <w:spacing w:after="80"/>
            <w:rPr>
              <w:b/>
            </w:rPr>
          </w:pPr>
        </w:p>
      </w:tc>
    </w:tr>
  </w:tbl>
  <w:p w14:paraId="37CFD82A" w14:textId="77777777" w:rsidR="003116CD" w:rsidRDefault="00311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116CD" w:rsidRPr="00022DE9" w14:paraId="00AD1394" w14:textId="77777777" w:rsidTr="00022DE9">
      <w:trPr>
        <w:trHeight w:hRule="exact" w:val="1008"/>
      </w:trPr>
      <w:tc>
        <w:tcPr>
          <w:tcW w:w="9850" w:type="dxa"/>
          <w:shd w:val="clear" w:color="auto" w:fill="auto"/>
          <w:vAlign w:val="bottom"/>
        </w:tcPr>
        <w:p w14:paraId="32CD150B" w14:textId="77777777" w:rsidR="003116CD" w:rsidRPr="00022DE9" w:rsidRDefault="003116CD" w:rsidP="00022DE9">
          <w:pPr>
            <w:pStyle w:val="Header"/>
            <w:spacing w:after="80"/>
            <w:jc w:val="right"/>
            <w:rPr>
              <w:b/>
            </w:rPr>
          </w:pPr>
        </w:p>
      </w:tc>
    </w:tr>
  </w:tbl>
  <w:p w14:paraId="0AD4BA4F" w14:textId="77777777" w:rsidR="003116CD" w:rsidRDefault="003116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C7D0" w14:textId="77777777" w:rsidR="003116CD" w:rsidRDefault="003116CD" w:rsidP="00022DE9">
    <w:pPr>
      <w:pStyle w:val="Header"/>
      <w:spacing w:before="340"/>
      <w:jc w:val="right"/>
      <w:rPr>
        <w:sz w:val="20"/>
      </w:rPr>
    </w:pPr>
    <w:r>
      <w:rPr>
        <w:sz w:val="20"/>
      </w:rPr>
      <w:t>A/73/38</w:t>
    </w:r>
  </w:p>
  <w:p w14:paraId="286B3C79" w14:textId="77777777" w:rsidR="003116CD" w:rsidRPr="00022DE9" w:rsidRDefault="003116CD" w:rsidP="00022DE9">
    <w:pPr>
      <w:spacing w:before="1480"/>
      <w:ind w:left="1260"/>
    </w:pPr>
    <w:r>
      <w:rPr>
        <w:noProof/>
      </w:rPr>
      <w:drawing>
        <wp:inline distT="0" distB="0" distL="0" distR="0" wp14:anchorId="3745F635" wp14:editId="1203311D">
          <wp:extent cx="1193800" cy="1015898"/>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16CD" w14:paraId="528A9BA2" w14:textId="77777777" w:rsidTr="00022DE9">
      <w:trPr>
        <w:trHeight w:hRule="exact" w:val="864"/>
      </w:trPr>
      <w:tc>
        <w:tcPr>
          <w:tcW w:w="4920" w:type="dxa"/>
          <w:shd w:val="clear" w:color="auto" w:fill="auto"/>
          <w:vAlign w:val="bottom"/>
        </w:tcPr>
        <w:p w14:paraId="3721B1D4" w14:textId="687CE6A0" w:rsidR="003116CD" w:rsidRPr="00022DE9" w:rsidRDefault="003116CD" w:rsidP="00022DE9">
          <w:pPr>
            <w:pStyle w:val="Header"/>
            <w:spacing w:after="80"/>
            <w:rPr>
              <w:b/>
            </w:rPr>
          </w:pPr>
          <w:r>
            <w:rPr>
              <w:b/>
            </w:rPr>
            <w:fldChar w:fldCharType="begin"/>
          </w:r>
          <w:r>
            <w:rPr>
              <w:b/>
            </w:rPr>
            <w:instrText xml:space="preserve"> DOCVARIABLE "sss1" \* MERGEFORMAT </w:instrText>
          </w:r>
          <w:r>
            <w:rPr>
              <w:b/>
            </w:rPr>
            <w:fldChar w:fldCharType="separate"/>
          </w:r>
          <w:r w:rsidR="00CD742B">
            <w:rPr>
              <w:b/>
            </w:rPr>
            <w:t>A/73/38</w:t>
          </w:r>
          <w:r>
            <w:rPr>
              <w:b/>
            </w:rPr>
            <w:fldChar w:fldCharType="end"/>
          </w:r>
        </w:p>
      </w:tc>
      <w:tc>
        <w:tcPr>
          <w:tcW w:w="4920" w:type="dxa"/>
          <w:shd w:val="clear" w:color="auto" w:fill="auto"/>
          <w:vAlign w:val="bottom"/>
        </w:tcPr>
        <w:p w14:paraId="22AFEFAE" w14:textId="77777777" w:rsidR="003116CD" w:rsidRDefault="003116CD" w:rsidP="00022DE9">
          <w:pPr>
            <w:pStyle w:val="Header"/>
          </w:pPr>
        </w:p>
      </w:tc>
    </w:tr>
  </w:tbl>
  <w:p w14:paraId="2A818340" w14:textId="77777777" w:rsidR="003116CD" w:rsidRPr="00022DE9" w:rsidRDefault="003116CD" w:rsidP="00022D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16CD" w14:paraId="108C4896" w14:textId="77777777" w:rsidTr="00022DE9">
      <w:trPr>
        <w:trHeight w:hRule="exact" w:val="864"/>
      </w:trPr>
      <w:tc>
        <w:tcPr>
          <w:tcW w:w="4920" w:type="dxa"/>
          <w:shd w:val="clear" w:color="auto" w:fill="auto"/>
          <w:vAlign w:val="bottom"/>
        </w:tcPr>
        <w:p w14:paraId="7CC3E14E" w14:textId="77777777" w:rsidR="003116CD" w:rsidRDefault="003116CD" w:rsidP="00022DE9">
          <w:pPr>
            <w:pStyle w:val="Header"/>
          </w:pPr>
        </w:p>
      </w:tc>
      <w:tc>
        <w:tcPr>
          <w:tcW w:w="4920" w:type="dxa"/>
          <w:shd w:val="clear" w:color="auto" w:fill="auto"/>
          <w:vAlign w:val="bottom"/>
        </w:tcPr>
        <w:p w14:paraId="01A776FC" w14:textId="495E4B6B" w:rsidR="003116CD" w:rsidRPr="00022DE9" w:rsidRDefault="003116CD" w:rsidP="00022DE9">
          <w:pPr>
            <w:pStyle w:val="Header"/>
            <w:spacing w:after="80"/>
            <w:jc w:val="right"/>
            <w:rPr>
              <w:b/>
            </w:rPr>
          </w:pPr>
          <w:r>
            <w:rPr>
              <w:b/>
            </w:rPr>
            <w:fldChar w:fldCharType="begin"/>
          </w:r>
          <w:r>
            <w:rPr>
              <w:b/>
            </w:rPr>
            <w:instrText xml:space="preserve"> DOCVARIABLE "sss1" \* MERGEFORMAT </w:instrText>
          </w:r>
          <w:r>
            <w:rPr>
              <w:b/>
            </w:rPr>
            <w:fldChar w:fldCharType="separate"/>
          </w:r>
          <w:r w:rsidR="00CD742B">
            <w:rPr>
              <w:b/>
            </w:rPr>
            <w:t>A/73/38</w:t>
          </w:r>
          <w:r>
            <w:rPr>
              <w:b/>
            </w:rPr>
            <w:fldChar w:fldCharType="end"/>
          </w:r>
        </w:p>
      </w:tc>
    </w:tr>
  </w:tbl>
  <w:p w14:paraId="70C96E51" w14:textId="77777777" w:rsidR="003116CD" w:rsidRPr="00022DE9" w:rsidRDefault="003116CD" w:rsidP="0002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8B7"/>
    <w:multiLevelType w:val="multilevel"/>
    <w:tmpl w:val="26366D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68E79E2"/>
    <w:multiLevelType w:val="hybridMultilevel"/>
    <w:tmpl w:val="29249B04"/>
    <w:name w:val="TO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D2416"/>
    <w:multiLevelType w:val="multilevel"/>
    <w:tmpl w:val="3274109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8860937"/>
    <w:multiLevelType w:val="multilevel"/>
    <w:tmpl w:val="1394943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8AA6A82"/>
    <w:multiLevelType w:val="multilevel"/>
    <w:tmpl w:val="7C2639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50F3B16"/>
    <w:multiLevelType w:val="multilevel"/>
    <w:tmpl w:val="1394943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
  </w:num>
  <w:num w:numId="3">
    <w:abstractNumId w:val="8"/>
  </w:num>
  <w:num w:numId="4">
    <w:abstractNumId w:val="7"/>
  </w:num>
  <w:num w:numId="5">
    <w:abstractNumId w:val="9"/>
  </w:num>
  <w:num w:numId="6">
    <w:abstractNumId w:val="1"/>
  </w:num>
  <w:num w:numId="7">
    <w:abstractNumId w:val="8"/>
  </w:num>
  <w:num w:numId="8">
    <w:abstractNumId w:val="7"/>
  </w:num>
  <w:num w:numId="9">
    <w:abstractNumId w:val="9"/>
  </w:num>
  <w:num w:numId="10">
    <w:abstractNumId w:val="1"/>
  </w:num>
  <w:num w:numId="11">
    <w:abstractNumId w:val="8"/>
  </w:num>
  <w:num w:numId="12">
    <w:abstractNumId w:val="7"/>
  </w:num>
  <w:num w:numId="13">
    <w:abstractNumId w:val="9"/>
  </w:num>
  <w:num w:numId="14">
    <w:abstractNumId w:val="1"/>
  </w:num>
  <w:num w:numId="15">
    <w:abstractNumId w:val="8"/>
  </w:num>
  <w:num w:numId="16">
    <w:abstractNumId w:val="7"/>
  </w:num>
  <w:num w:numId="17">
    <w:abstractNumId w:val="9"/>
  </w:num>
  <w:num w:numId="18">
    <w:abstractNumId w:val="1"/>
  </w:num>
  <w:num w:numId="19">
    <w:abstractNumId w:val="8"/>
  </w:num>
  <w:num w:numId="20">
    <w:abstractNumId w:val="7"/>
  </w:num>
  <w:num w:numId="21">
    <w:abstractNumId w:val="9"/>
  </w:num>
  <w:num w:numId="22">
    <w:abstractNumId w:val="1"/>
  </w:num>
  <w:num w:numId="23">
    <w:abstractNumId w:val="8"/>
  </w:num>
  <w:num w:numId="24">
    <w:abstractNumId w:val="7"/>
  </w:num>
  <w:num w:numId="25">
    <w:abstractNumId w:val="10"/>
  </w:num>
  <w:num w:numId="26">
    <w:abstractNumId w:val="2"/>
  </w:num>
  <w:num w:numId="27">
    <w:abstractNumId w:val="10"/>
  </w:num>
  <w:num w:numId="28">
    <w:abstractNumId w:val="2"/>
  </w:num>
  <w:num w:numId="29">
    <w:abstractNumId w:val="10"/>
  </w:num>
  <w:num w:numId="30">
    <w:abstractNumId w:val="2"/>
  </w:num>
  <w:num w:numId="31">
    <w:abstractNumId w:val="10"/>
  </w:num>
  <w:num w:numId="32">
    <w:abstractNumId w:val="2"/>
  </w:num>
  <w:num w:numId="33">
    <w:abstractNumId w:val="10"/>
  </w:num>
  <w:num w:numId="34">
    <w:abstractNumId w:val="2"/>
  </w:num>
  <w:num w:numId="35">
    <w:abstractNumId w:val="10"/>
  </w:num>
  <w:num w:numId="36">
    <w:abstractNumId w:val="2"/>
  </w:num>
  <w:num w:numId="37">
    <w:abstractNumId w:val="6"/>
  </w:num>
  <w:num w:numId="38">
    <w:abstractNumId w:val="3"/>
  </w:num>
  <w:num w:numId="39">
    <w:abstractNumId w:val="4"/>
  </w:num>
  <w:num w:numId="40">
    <w:abstractNumId w:val="0"/>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972*"/>
    <w:docVar w:name="CreationDt" w:val="11/04/2018 10:30 AM"/>
    <w:docVar w:name="DocCategory" w:val="Supplements"/>
    <w:docVar w:name="DocType" w:val="SemiFinal"/>
    <w:docVar w:name="DutyStation" w:val="New York"/>
    <w:docVar w:name="FooterJN" w:val="18-04972"/>
    <w:docVar w:name="jobn" w:val="18-04972 (E)"/>
    <w:docVar w:name="jobnDT" w:val="18-04972 (E)   110418"/>
    <w:docVar w:name="jobnDTDT" w:val="18-04972 (E)   110418   110418"/>
    <w:docVar w:name="JobNo" w:val="1804972E"/>
    <w:docVar w:name="JobNo2" w:val="1808920E"/>
    <w:docVar w:name="LocalDrive" w:val="0"/>
    <w:docVar w:name="OandT" w:val=" "/>
    <w:docVar w:name="sss1" w:val="A/73/38"/>
    <w:docVar w:name="sss2" w:val="-"/>
    <w:docVar w:name="Symbol1" w:val="A/73/38"/>
    <w:docVar w:name="Symbol2" w:val="-"/>
  </w:docVars>
  <w:rsids>
    <w:rsidRoot w:val="001B6C42"/>
    <w:rsid w:val="00010003"/>
    <w:rsid w:val="0001325F"/>
    <w:rsid w:val="00017FCF"/>
    <w:rsid w:val="00022DE9"/>
    <w:rsid w:val="00024D1E"/>
    <w:rsid w:val="000329F4"/>
    <w:rsid w:val="0005763E"/>
    <w:rsid w:val="000638B6"/>
    <w:rsid w:val="000A1BF9"/>
    <w:rsid w:val="000B3288"/>
    <w:rsid w:val="000C492B"/>
    <w:rsid w:val="000C4C9C"/>
    <w:rsid w:val="000D25D1"/>
    <w:rsid w:val="000E27A6"/>
    <w:rsid w:val="000E53CF"/>
    <w:rsid w:val="00100873"/>
    <w:rsid w:val="00105840"/>
    <w:rsid w:val="00105B86"/>
    <w:rsid w:val="00111B41"/>
    <w:rsid w:val="001221FD"/>
    <w:rsid w:val="00137082"/>
    <w:rsid w:val="0015241A"/>
    <w:rsid w:val="00164C43"/>
    <w:rsid w:val="001744D1"/>
    <w:rsid w:val="0017795E"/>
    <w:rsid w:val="001A1B04"/>
    <w:rsid w:val="001B1FC7"/>
    <w:rsid w:val="001B6C42"/>
    <w:rsid w:val="001C2EF6"/>
    <w:rsid w:val="001D1642"/>
    <w:rsid w:val="001E6D75"/>
    <w:rsid w:val="002007C7"/>
    <w:rsid w:val="00200F9C"/>
    <w:rsid w:val="00204297"/>
    <w:rsid w:val="00207E10"/>
    <w:rsid w:val="00214645"/>
    <w:rsid w:val="00255086"/>
    <w:rsid w:val="002706A2"/>
    <w:rsid w:val="002877C9"/>
    <w:rsid w:val="002920F8"/>
    <w:rsid w:val="0029649D"/>
    <w:rsid w:val="002B0328"/>
    <w:rsid w:val="002B116A"/>
    <w:rsid w:val="002E09A8"/>
    <w:rsid w:val="002E4CE1"/>
    <w:rsid w:val="002F00AB"/>
    <w:rsid w:val="002F4F8B"/>
    <w:rsid w:val="003016C8"/>
    <w:rsid w:val="003116CD"/>
    <w:rsid w:val="003141EA"/>
    <w:rsid w:val="00332D26"/>
    <w:rsid w:val="00333B30"/>
    <w:rsid w:val="0033565F"/>
    <w:rsid w:val="00357D59"/>
    <w:rsid w:val="003B3BBF"/>
    <w:rsid w:val="003B691A"/>
    <w:rsid w:val="003C605A"/>
    <w:rsid w:val="003D5FB7"/>
    <w:rsid w:val="003E0B05"/>
    <w:rsid w:val="003E3B08"/>
    <w:rsid w:val="003E6B79"/>
    <w:rsid w:val="003E723B"/>
    <w:rsid w:val="003F2758"/>
    <w:rsid w:val="003F4457"/>
    <w:rsid w:val="00414FDE"/>
    <w:rsid w:val="0042042C"/>
    <w:rsid w:val="00421C0E"/>
    <w:rsid w:val="0044179B"/>
    <w:rsid w:val="00442ABF"/>
    <w:rsid w:val="004458D9"/>
    <w:rsid w:val="0046072D"/>
    <w:rsid w:val="00484B48"/>
    <w:rsid w:val="004856CD"/>
    <w:rsid w:val="004B0B18"/>
    <w:rsid w:val="004B4C46"/>
    <w:rsid w:val="004B60F2"/>
    <w:rsid w:val="004D17DB"/>
    <w:rsid w:val="004D70EB"/>
    <w:rsid w:val="004E52C0"/>
    <w:rsid w:val="004F0D1C"/>
    <w:rsid w:val="004F764D"/>
    <w:rsid w:val="00525FE7"/>
    <w:rsid w:val="00530DDF"/>
    <w:rsid w:val="0054321B"/>
    <w:rsid w:val="00546C7A"/>
    <w:rsid w:val="00553EB7"/>
    <w:rsid w:val="00556720"/>
    <w:rsid w:val="005638D2"/>
    <w:rsid w:val="005A1A94"/>
    <w:rsid w:val="005A248C"/>
    <w:rsid w:val="005B7140"/>
    <w:rsid w:val="005B7EC1"/>
    <w:rsid w:val="005C49C8"/>
    <w:rsid w:val="005C5D67"/>
    <w:rsid w:val="005D67AF"/>
    <w:rsid w:val="005F1A7D"/>
    <w:rsid w:val="005F2F1C"/>
    <w:rsid w:val="005F4B87"/>
    <w:rsid w:val="00612221"/>
    <w:rsid w:val="00615413"/>
    <w:rsid w:val="00637254"/>
    <w:rsid w:val="006426DD"/>
    <w:rsid w:val="00657311"/>
    <w:rsid w:val="00664370"/>
    <w:rsid w:val="00674235"/>
    <w:rsid w:val="006A4592"/>
    <w:rsid w:val="006A45B8"/>
    <w:rsid w:val="006B27C8"/>
    <w:rsid w:val="006E0391"/>
    <w:rsid w:val="00700497"/>
    <w:rsid w:val="007144A0"/>
    <w:rsid w:val="00734EAF"/>
    <w:rsid w:val="007378AF"/>
    <w:rsid w:val="00747219"/>
    <w:rsid w:val="00760F19"/>
    <w:rsid w:val="00764DD9"/>
    <w:rsid w:val="00777887"/>
    <w:rsid w:val="00797F0F"/>
    <w:rsid w:val="007A620C"/>
    <w:rsid w:val="007C12A1"/>
    <w:rsid w:val="007C1388"/>
    <w:rsid w:val="007D56C1"/>
    <w:rsid w:val="007D62F8"/>
    <w:rsid w:val="007E6A1A"/>
    <w:rsid w:val="0081599E"/>
    <w:rsid w:val="00823B31"/>
    <w:rsid w:val="0083482E"/>
    <w:rsid w:val="00846418"/>
    <w:rsid w:val="0084678C"/>
    <w:rsid w:val="00846D29"/>
    <w:rsid w:val="0085014B"/>
    <w:rsid w:val="00855FFA"/>
    <w:rsid w:val="00857637"/>
    <w:rsid w:val="0086175C"/>
    <w:rsid w:val="008636F5"/>
    <w:rsid w:val="00870926"/>
    <w:rsid w:val="00870CDC"/>
    <w:rsid w:val="008723C3"/>
    <w:rsid w:val="00896C94"/>
    <w:rsid w:val="008A1196"/>
    <w:rsid w:val="008A156F"/>
    <w:rsid w:val="008B2537"/>
    <w:rsid w:val="008D017B"/>
    <w:rsid w:val="008D3669"/>
    <w:rsid w:val="008F1C5D"/>
    <w:rsid w:val="00904F70"/>
    <w:rsid w:val="00956AE5"/>
    <w:rsid w:val="00964140"/>
    <w:rsid w:val="00986C83"/>
    <w:rsid w:val="009A5449"/>
    <w:rsid w:val="009B1610"/>
    <w:rsid w:val="009E0769"/>
    <w:rsid w:val="009E1969"/>
    <w:rsid w:val="009E6318"/>
    <w:rsid w:val="009F53EA"/>
    <w:rsid w:val="00A12999"/>
    <w:rsid w:val="00A16818"/>
    <w:rsid w:val="00A20AC0"/>
    <w:rsid w:val="00A24D18"/>
    <w:rsid w:val="00A271D3"/>
    <w:rsid w:val="00A3405E"/>
    <w:rsid w:val="00A341CF"/>
    <w:rsid w:val="00A41373"/>
    <w:rsid w:val="00A44712"/>
    <w:rsid w:val="00A52DBF"/>
    <w:rsid w:val="00A5363A"/>
    <w:rsid w:val="00A66679"/>
    <w:rsid w:val="00A87D3A"/>
    <w:rsid w:val="00A9331B"/>
    <w:rsid w:val="00A93A73"/>
    <w:rsid w:val="00AA1A87"/>
    <w:rsid w:val="00AA2E74"/>
    <w:rsid w:val="00AA3722"/>
    <w:rsid w:val="00AA3AEF"/>
    <w:rsid w:val="00AA5A18"/>
    <w:rsid w:val="00AA7216"/>
    <w:rsid w:val="00AB5D41"/>
    <w:rsid w:val="00AC7AEE"/>
    <w:rsid w:val="00B01E65"/>
    <w:rsid w:val="00B037A2"/>
    <w:rsid w:val="00B12396"/>
    <w:rsid w:val="00B21D63"/>
    <w:rsid w:val="00B24673"/>
    <w:rsid w:val="00B27E2C"/>
    <w:rsid w:val="00B40A48"/>
    <w:rsid w:val="00B60D72"/>
    <w:rsid w:val="00B73727"/>
    <w:rsid w:val="00B82C29"/>
    <w:rsid w:val="00B91729"/>
    <w:rsid w:val="00B920F9"/>
    <w:rsid w:val="00BA2853"/>
    <w:rsid w:val="00BB5C7D"/>
    <w:rsid w:val="00BD4F36"/>
    <w:rsid w:val="00BE7DF9"/>
    <w:rsid w:val="00BF4E21"/>
    <w:rsid w:val="00BF5B27"/>
    <w:rsid w:val="00BF6BE0"/>
    <w:rsid w:val="00C31E2D"/>
    <w:rsid w:val="00C357D1"/>
    <w:rsid w:val="00C42FE5"/>
    <w:rsid w:val="00C65B28"/>
    <w:rsid w:val="00C66D7E"/>
    <w:rsid w:val="00C7438A"/>
    <w:rsid w:val="00C779E4"/>
    <w:rsid w:val="00C94CE4"/>
    <w:rsid w:val="00CA0820"/>
    <w:rsid w:val="00CA29DB"/>
    <w:rsid w:val="00CD05F5"/>
    <w:rsid w:val="00CD742B"/>
    <w:rsid w:val="00CE31D2"/>
    <w:rsid w:val="00D06222"/>
    <w:rsid w:val="00D166B1"/>
    <w:rsid w:val="00D32C66"/>
    <w:rsid w:val="00D3458C"/>
    <w:rsid w:val="00D5245E"/>
    <w:rsid w:val="00D526E8"/>
    <w:rsid w:val="00D77805"/>
    <w:rsid w:val="00D87076"/>
    <w:rsid w:val="00DB6A44"/>
    <w:rsid w:val="00DB7413"/>
    <w:rsid w:val="00DC7376"/>
    <w:rsid w:val="00DC7B16"/>
    <w:rsid w:val="00DE0E2E"/>
    <w:rsid w:val="00DF1E40"/>
    <w:rsid w:val="00E04ECD"/>
    <w:rsid w:val="00E35F8D"/>
    <w:rsid w:val="00E37814"/>
    <w:rsid w:val="00E40B4F"/>
    <w:rsid w:val="00E51FC8"/>
    <w:rsid w:val="00E732F6"/>
    <w:rsid w:val="00E85E25"/>
    <w:rsid w:val="00E870C2"/>
    <w:rsid w:val="00E94156"/>
    <w:rsid w:val="00E953F7"/>
    <w:rsid w:val="00EB04BD"/>
    <w:rsid w:val="00EB3E86"/>
    <w:rsid w:val="00ED6C80"/>
    <w:rsid w:val="00F0242D"/>
    <w:rsid w:val="00F12979"/>
    <w:rsid w:val="00F25DA4"/>
    <w:rsid w:val="00F27BF6"/>
    <w:rsid w:val="00F30184"/>
    <w:rsid w:val="00F50BBA"/>
    <w:rsid w:val="00F55424"/>
    <w:rsid w:val="00F5593E"/>
    <w:rsid w:val="00F5752E"/>
    <w:rsid w:val="00F81CA4"/>
    <w:rsid w:val="00F94BC6"/>
    <w:rsid w:val="00FA0AD4"/>
    <w:rsid w:val="00FC0222"/>
    <w:rsid w:val="00FC2AAD"/>
    <w:rsid w:val="00FC49F5"/>
    <w:rsid w:val="00FC5ECD"/>
    <w:rsid w:val="00FD34D3"/>
    <w:rsid w:val="00FE2B44"/>
    <w:rsid w:val="00FE4195"/>
    <w:rsid w:val="00FE59A3"/>
    <w:rsid w:val="00FF1E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FE18E"/>
  <w15:chartTrackingRefBased/>
  <w15:docId w15:val="{7C36AA27-6895-4A4A-8804-9C288741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0F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B60F2"/>
    <w:pPr>
      <w:spacing w:line="300" w:lineRule="exact"/>
      <w:ind w:left="0" w:right="0" w:firstLine="0"/>
    </w:pPr>
    <w:rPr>
      <w:spacing w:val="-2"/>
      <w:sz w:val="28"/>
    </w:rPr>
  </w:style>
  <w:style w:type="paragraph" w:customStyle="1" w:styleId="HM">
    <w:name w:val="_ H __M"/>
    <w:basedOn w:val="HCh"/>
    <w:next w:val="Normal"/>
    <w:rsid w:val="004B60F2"/>
    <w:pPr>
      <w:spacing w:line="360" w:lineRule="exact"/>
    </w:pPr>
    <w:rPr>
      <w:spacing w:val="-3"/>
      <w:w w:val="99"/>
      <w:sz w:val="34"/>
    </w:rPr>
  </w:style>
  <w:style w:type="paragraph" w:customStyle="1" w:styleId="H23">
    <w:name w:val="_ H_2/3"/>
    <w:basedOn w:val="Normal"/>
    <w:next w:val="SingleTxt"/>
    <w:rsid w:val="004B60F2"/>
    <w:pPr>
      <w:outlineLvl w:val="1"/>
    </w:pPr>
    <w:rPr>
      <w:b/>
      <w:lang w:val="en-US"/>
    </w:rPr>
  </w:style>
  <w:style w:type="paragraph" w:customStyle="1" w:styleId="H4">
    <w:name w:val="_ H_4"/>
    <w:basedOn w:val="Normal"/>
    <w:next w:val="Normal"/>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B60F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B60F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B60F2"/>
    <w:pPr>
      <w:spacing w:line="540" w:lineRule="exact"/>
    </w:pPr>
    <w:rPr>
      <w:spacing w:val="-8"/>
      <w:w w:val="96"/>
      <w:sz w:val="57"/>
    </w:rPr>
  </w:style>
  <w:style w:type="paragraph" w:customStyle="1" w:styleId="SS">
    <w:name w:val="__S_S"/>
    <w:basedOn w:val="HCh"/>
    <w:next w:val="Normal"/>
    <w:rsid w:val="004B60F2"/>
    <w:pPr>
      <w:ind w:left="1267" w:right="1267"/>
    </w:pPr>
  </w:style>
  <w:style w:type="paragraph" w:customStyle="1" w:styleId="SingleTxt">
    <w:name w:val="__Single Txt"/>
    <w:basedOn w:val="Normal"/>
    <w:link w:val="SingleTxtChar"/>
    <w:rsid w:val="004B60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B60F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B60F2"/>
    <w:pPr>
      <w:spacing w:line="240" w:lineRule="exact"/>
      <w:ind w:left="0" w:right="5040" w:firstLine="0"/>
      <w:outlineLvl w:val="1"/>
    </w:pPr>
    <w:rPr>
      <w:sz w:val="20"/>
    </w:rPr>
  </w:style>
  <w:style w:type="paragraph" w:styleId="BalloonText">
    <w:name w:val="Balloon Text"/>
    <w:basedOn w:val="Normal"/>
    <w:link w:val="BalloonTextChar"/>
    <w:semiHidden/>
    <w:rsid w:val="004B60F2"/>
    <w:rPr>
      <w:rFonts w:ascii="Tahoma" w:hAnsi="Tahoma" w:cs="Tahoma"/>
      <w:sz w:val="16"/>
      <w:szCs w:val="16"/>
    </w:rPr>
  </w:style>
  <w:style w:type="character" w:customStyle="1" w:styleId="BalloonTextChar">
    <w:name w:val="Balloon Text Char"/>
    <w:basedOn w:val="DefaultParagraphFont"/>
    <w:link w:val="BalloonText"/>
    <w:semiHidden/>
    <w:rsid w:val="004B60F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B60F2"/>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B60F2"/>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B60F2"/>
    <w:rPr>
      <w:sz w:val="6"/>
    </w:rPr>
  </w:style>
  <w:style w:type="paragraph" w:customStyle="1" w:styleId="Distribution">
    <w:name w:val="Distribution"/>
    <w:next w:val="Normal"/>
    <w:rsid w:val="004B60F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B60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60F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B60F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B60F2"/>
  </w:style>
  <w:style w:type="character" w:customStyle="1" w:styleId="EndnoteTextChar">
    <w:name w:val="Endnote Text Char"/>
    <w:basedOn w:val="DefaultParagraphFont"/>
    <w:link w:val="EndnoteText"/>
    <w:semiHidden/>
    <w:rsid w:val="004B60F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B60F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B60F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B60F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B60F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B60F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B60F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B60F2"/>
    <w:pPr>
      <w:tabs>
        <w:tab w:val="right" w:pos="9965"/>
      </w:tabs>
      <w:spacing w:line="210" w:lineRule="exact"/>
    </w:pPr>
    <w:rPr>
      <w:spacing w:val="5"/>
      <w:w w:val="104"/>
      <w:sz w:val="17"/>
    </w:rPr>
  </w:style>
  <w:style w:type="paragraph" w:customStyle="1" w:styleId="SmallX">
    <w:name w:val="SmallX"/>
    <w:basedOn w:val="Small"/>
    <w:next w:val="Normal"/>
    <w:rsid w:val="004B60F2"/>
    <w:pPr>
      <w:spacing w:line="180" w:lineRule="exact"/>
      <w:jc w:val="right"/>
    </w:pPr>
    <w:rPr>
      <w:spacing w:val="6"/>
      <w:w w:val="106"/>
      <w:sz w:val="14"/>
    </w:rPr>
  </w:style>
  <w:style w:type="paragraph" w:customStyle="1" w:styleId="TitleHCH">
    <w:name w:val="Title_H_CH"/>
    <w:basedOn w:val="H1"/>
    <w:next w:val="Normal"/>
    <w:qFormat/>
    <w:rsid w:val="004B60F2"/>
    <w:pPr>
      <w:spacing w:line="300" w:lineRule="exact"/>
      <w:ind w:left="0" w:right="0" w:firstLine="0"/>
    </w:pPr>
    <w:rPr>
      <w:spacing w:val="-2"/>
      <w:sz w:val="28"/>
    </w:rPr>
  </w:style>
  <w:style w:type="paragraph" w:customStyle="1" w:styleId="TitleH2">
    <w:name w:val="Title_H2"/>
    <w:basedOn w:val="Normal"/>
    <w:next w:val="Normal"/>
    <w:qFormat/>
    <w:rsid w:val="004B60F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B60F2"/>
    <w:pPr>
      <w:spacing w:line="390" w:lineRule="exact"/>
    </w:pPr>
    <w:rPr>
      <w:spacing w:val="-4"/>
      <w:w w:val="98"/>
      <w:sz w:val="40"/>
    </w:rPr>
  </w:style>
  <w:style w:type="character" w:styleId="Hyperlink">
    <w:name w:val="Hyperlink"/>
    <w:basedOn w:val="DefaultParagraphFont"/>
    <w:rsid w:val="004B60F2"/>
    <w:rPr>
      <w:color w:val="0000FF" w:themeColor="hyperlink"/>
      <w:u w:val="none"/>
    </w:rPr>
  </w:style>
  <w:style w:type="paragraph" w:styleId="PlainText">
    <w:name w:val="Plain Text"/>
    <w:basedOn w:val="Normal"/>
    <w:link w:val="PlainTextChar"/>
    <w:rsid w:val="004B60F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B60F2"/>
    <w:rPr>
      <w:rFonts w:ascii="Courier New" w:eastAsia="Times New Roman" w:hAnsi="Courier New" w:cs="Times New Roman"/>
      <w:sz w:val="20"/>
      <w:szCs w:val="20"/>
      <w:lang w:val="en-US" w:eastAsia="en-GB"/>
    </w:rPr>
  </w:style>
  <w:style w:type="paragraph" w:customStyle="1" w:styleId="ReleaseDate0">
    <w:name w:val="Release Date"/>
    <w:next w:val="Footer"/>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B60F2"/>
  </w:style>
  <w:style w:type="table" w:styleId="TableGrid">
    <w:name w:val="Table Grid"/>
    <w:basedOn w:val="TableNormal"/>
    <w:rsid w:val="004B60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022DE9"/>
    <w:pPr>
      <w:spacing w:line="240" w:lineRule="auto"/>
    </w:pPr>
  </w:style>
  <w:style w:type="character" w:customStyle="1" w:styleId="CommentTextChar">
    <w:name w:val="Comment Text Char"/>
    <w:basedOn w:val="DefaultParagraphFont"/>
    <w:link w:val="CommentText"/>
    <w:uiPriority w:val="99"/>
    <w:semiHidden/>
    <w:rsid w:val="00022DE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2DE9"/>
    <w:rPr>
      <w:b/>
      <w:bCs/>
    </w:rPr>
  </w:style>
  <w:style w:type="character" w:customStyle="1" w:styleId="CommentSubjectChar">
    <w:name w:val="Comment Subject Char"/>
    <w:basedOn w:val="CommentTextChar"/>
    <w:link w:val="CommentSubject"/>
    <w:uiPriority w:val="99"/>
    <w:semiHidden/>
    <w:rsid w:val="00022DE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C5ECD"/>
    <w:pPr>
      <w:ind w:left="720"/>
      <w:contextualSpacing/>
    </w:pPr>
  </w:style>
  <w:style w:type="character" w:customStyle="1" w:styleId="SingleTxtChar">
    <w:name w:val="__Single Txt Char"/>
    <w:link w:val="SingleTxt"/>
    <w:rsid w:val="00D87076"/>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1744D1"/>
    <w:rPr>
      <w:color w:val="0000FF"/>
      <w:u w:val="none"/>
    </w:rPr>
  </w:style>
  <w:style w:type="character" w:styleId="UnresolvedMention">
    <w:name w:val="Unresolved Mention"/>
    <w:basedOn w:val="DefaultParagraphFont"/>
    <w:uiPriority w:val="99"/>
    <w:semiHidden/>
    <w:unhideWhenUsed/>
    <w:rsid w:val="004D70EB"/>
    <w:rPr>
      <w:color w:val="808080"/>
      <w:shd w:val="clear" w:color="auto" w:fill="E6E6E6"/>
    </w:rPr>
  </w:style>
  <w:style w:type="paragraph" w:styleId="Revision">
    <w:name w:val="Revision"/>
    <w:hidden/>
    <w:uiPriority w:val="99"/>
    <w:semiHidden/>
    <w:rsid w:val="00F25DA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CEDAW/C/BRB/CO/5" TargetMode="External"/><Relationship Id="rId117" Type="http://schemas.openxmlformats.org/officeDocument/2006/relationships/hyperlink" Target="https://undocs.org/CEDAW/C/MRT/CO/2" TargetMode="External"/><Relationship Id="rId21" Type="http://schemas.openxmlformats.org/officeDocument/2006/relationships/footer" Target="footer5.xml"/><Relationship Id="rId42" Type="http://schemas.openxmlformats.org/officeDocument/2006/relationships/hyperlink" Target="https://undocs.org/CEDAW/C/SWZ/CO/1" TargetMode="External"/><Relationship Id="rId47" Type="http://schemas.openxmlformats.org/officeDocument/2006/relationships/hyperlink" Target="https://undocs.org/CEDAW/C/GC/35" TargetMode="External"/><Relationship Id="rId63" Type="http://schemas.openxmlformats.org/officeDocument/2006/relationships/hyperlink" Target="https://undocs.org/CEDAW/C/68/1" TargetMode="External"/><Relationship Id="rId68" Type="http://schemas.openxmlformats.org/officeDocument/2006/relationships/hyperlink" Target="https://undocs.org/CEDAW/C/ISR/CO/6" TargetMode="External"/><Relationship Id="rId84" Type="http://schemas.openxmlformats.org/officeDocument/2006/relationships/hyperlink" Target="https://undocs.org/CEDAW/C/GC/36" TargetMode="External"/><Relationship Id="rId89" Type="http://schemas.openxmlformats.org/officeDocument/2006/relationships/hyperlink" Target="https://undocs.org/CEDAW/C/PRK/2-4" TargetMode="External"/><Relationship Id="rId112" Type="http://schemas.openxmlformats.org/officeDocument/2006/relationships/hyperlink" Target="https://undocs.org/CEDAW/C/KOR/CO/8" TargetMode="External"/><Relationship Id="rId133" Type="http://schemas.openxmlformats.org/officeDocument/2006/relationships/hyperlink" Target="https://undocs.org/CEDAW/C/FJI/5" TargetMode="External"/><Relationship Id="rId138" Type="http://schemas.openxmlformats.org/officeDocument/2006/relationships/hyperlink" Target="https://undocs.org/CEDAW/C/SAU/3-4" TargetMode="External"/><Relationship Id="rId16" Type="http://schemas.openxmlformats.org/officeDocument/2006/relationships/footer" Target="footer3.xml"/><Relationship Id="rId107" Type="http://schemas.openxmlformats.org/officeDocument/2006/relationships/hyperlink" Target="https://undocs.org/CEDAW/C/CHL/CO/7" TargetMode="External"/><Relationship Id="rId11" Type="http://schemas.openxmlformats.org/officeDocument/2006/relationships/header" Target="header1.xml"/><Relationship Id="rId32" Type="http://schemas.openxmlformats.org/officeDocument/2006/relationships/hyperlink" Target="https://undocs.org/CEDAW/C/ROU/CO/7" TargetMode="External"/><Relationship Id="rId37" Type="http://schemas.openxmlformats.org/officeDocument/2006/relationships/hyperlink" Target="https://undocs.org/CEDAW/C/ECU/CO/8" TargetMode="External"/><Relationship Id="rId53" Type="http://schemas.openxmlformats.org/officeDocument/2006/relationships/hyperlink" Target="https://undocs.org/CEDAW/C/ITA/7" TargetMode="External"/><Relationship Id="rId58" Type="http://schemas.openxmlformats.org/officeDocument/2006/relationships/hyperlink" Target="https://undocs.org/CEDAW/C/THA/6-7" TargetMode="External"/><Relationship Id="rId74" Type="http://schemas.openxmlformats.org/officeDocument/2006/relationships/hyperlink" Target="https://undocs.org/CEDAW/C/OMN/CO/2" TargetMode="External"/><Relationship Id="rId79" Type="http://schemas.openxmlformats.org/officeDocument/2006/relationships/hyperlink" Target="https://undocs.org/CEDAW/C/SVN/CO/5" TargetMode="External"/><Relationship Id="rId102" Type="http://schemas.openxmlformats.org/officeDocument/2006/relationships/hyperlink" Target="https://goo.gl/5AEcJT" TargetMode="External"/><Relationship Id="rId123" Type="http://schemas.openxmlformats.org/officeDocument/2006/relationships/hyperlink" Target="https://undocs.org/CEDAW/C/69/D/88/2015" TargetMode="External"/><Relationship Id="rId128" Type="http://schemas.openxmlformats.org/officeDocument/2006/relationships/hyperlink" Target="https://undocs.org/HRI/GEN/2/Rev.6" TargetMode="External"/><Relationship Id="rId5" Type="http://schemas.openxmlformats.org/officeDocument/2006/relationships/footnotes" Target="footnotes.xml"/><Relationship Id="rId90" Type="http://schemas.openxmlformats.org/officeDocument/2006/relationships/hyperlink" Target="https://undocs.org/CEDAW/C/GTM/8-9" TargetMode="External"/><Relationship Id="rId95" Type="http://schemas.openxmlformats.org/officeDocument/2006/relationships/hyperlink" Target="https://undocs.org/CEDAW/C/NRU/1-2" TargetMode="External"/><Relationship Id="rId22" Type="http://schemas.openxmlformats.org/officeDocument/2006/relationships/hyperlink" Target="https://undocs.org/CEDAW/C/GC/35" TargetMode="External"/><Relationship Id="rId27" Type="http://schemas.openxmlformats.org/officeDocument/2006/relationships/hyperlink" Target="https://undocs.org/CEDAW/C/CRI/CO/7" TargetMode="External"/><Relationship Id="rId43" Type="http://schemas.openxmlformats.org/officeDocument/2006/relationships/hyperlink" Target="https://undocs.org/CEDAW/C/67/D/75/2014" TargetMode="External"/><Relationship Id="rId48" Type="http://schemas.openxmlformats.org/officeDocument/2006/relationships/hyperlink" Target="https://undocs.org/CEDAW/C/67/1" TargetMode="External"/><Relationship Id="rId64" Type="http://schemas.openxmlformats.org/officeDocument/2006/relationships/hyperlink" Target="https://undocs.org/CEDAW/C/PSWG/68/1" TargetMode="External"/><Relationship Id="rId69" Type="http://schemas.openxmlformats.org/officeDocument/2006/relationships/hyperlink" Target="https://undocs.org/CEDAW/C/KEN/CO/8" TargetMode="External"/><Relationship Id="rId113" Type="http://schemas.openxmlformats.org/officeDocument/2006/relationships/hyperlink" Target="https://undocs.org/CEDAW/C/SAU/CO/3" TargetMode="External"/><Relationship Id="rId118" Type="http://schemas.openxmlformats.org/officeDocument/2006/relationships/hyperlink" Target="https://undocs.org/CEDAW/C/MDV/CO/4" TargetMode="External"/><Relationship Id="rId134" Type="http://schemas.openxmlformats.org/officeDocument/2006/relationships/hyperlink" Target="https://undocs.org/CEDAW/C/LUX/6-7" TargetMode="External"/><Relationship Id="rId139" Type="http://schemas.openxmlformats.org/officeDocument/2006/relationships/hyperlink" Target="https://undocs.org/CEDAW/C/SUR/4-6" TargetMode="External"/><Relationship Id="rId8" Type="http://schemas.openxmlformats.org/officeDocument/2006/relationships/image" Target="media/image1.jpeg"/><Relationship Id="rId51" Type="http://schemas.openxmlformats.org/officeDocument/2006/relationships/hyperlink" Target="https://undocs.org/CEDAW/C/BRB/5-8" TargetMode="External"/><Relationship Id="rId72" Type="http://schemas.openxmlformats.org/officeDocument/2006/relationships/hyperlink" Target="https://undocs.org/CEDAW/C/NRU/CO/1" TargetMode="External"/><Relationship Id="rId80" Type="http://schemas.openxmlformats.org/officeDocument/2006/relationships/hyperlink" Target="https://undocs.org/CEDAW/C/ESP/CO/7" TargetMode="External"/><Relationship Id="rId85" Type="http://schemas.openxmlformats.org/officeDocument/2006/relationships/hyperlink" Target="https://undocs.org/CEDAW/C/68/1" TargetMode="External"/><Relationship Id="rId93" Type="http://schemas.openxmlformats.org/officeDocument/2006/relationships/hyperlink" Target="https://undocs.org/CEDAW/C/KWT/5" TargetMode="External"/><Relationship Id="rId98" Type="http://schemas.openxmlformats.org/officeDocument/2006/relationships/hyperlink" Target="https://undocs.org/CEDAW/C/PRY/7" TargetMode="External"/><Relationship Id="rId121" Type="http://schemas.openxmlformats.org/officeDocument/2006/relationships/hyperlink" Target="https://undocs.org/CEDAW/C/PRT/CO/8"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undocs.org/CEDAW/C/PSWG/67/1" TargetMode="External"/><Relationship Id="rId33" Type="http://schemas.openxmlformats.org/officeDocument/2006/relationships/hyperlink" Target="https://undocs.org/CEDAW/C/THA/CO/6" TargetMode="External"/><Relationship Id="rId38" Type="http://schemas.openxmlformats.org/officeDocument/2006/relationships/hyperlink" Target="https://undocs.org/CEDAW/C/EGY/CO/7/Add.1" TargetMode="External"/><Relationship Id="rId46" Type="http://schemas.openxmlformats.org/officeDocument/2006/relationships/hyperlink" Target="https://undocs.org/CEDAW/C/67/D/78/2014" TargetMode="External"/><Relationship Id="rId59" Type="http://schemas.openxmlformats.org/officeDocument/2006/relationships/hyperlink" Target="https://undocs.org/CEDAW/C/GC/36" TargetMode="External"/><Relationship Id="rId67" Type="http://schemas.openxmlformats.org/officeDocument/2006/relationships/hyperlink" Target="https://undocs.org/CEDAW/C/GTM/CO/8" TargetMode="External"/><Relationship Id="rId103" Type="http://schemas.openxmlformats.org/officeDocument/2006/relationships/hyperlink" Target="https://undocs.org/HRI/GEN/2/Rev.6" TargetMode="External"/><Relationship Id="rId108" Type="http://schemas.openxmlformats.org/officeDocument/2006/relationships/hyperlink" Target="https://undocs.org/CEDAW/C/FJI/CO/5" TargetMode="External"/><Relationship Id="rId116" Type="http://schemas.openxmlformats.org/officeDocument/2006/relationships/hyperlink" Target="https://undocs.org/CEDAW/C/HRV/CO/4" TargetMode="External"/><Relationship Id="rId124" Type="http://schemas.openxmlformats.org/officeDocument/2006/relationships/hyperlink" Target="https://undocs.org/CEDAW/C/69/D/103/2016" TargetMode="External"/><Relationship Id="rId129" Type="http://schemas.openxmlformats.org/officeDocument/2006/relationships/hyperlink" Target="https://undocs.org/CEDAW/C/69/1" TargetMode="External"/><Relationship Id="rId137" Type="http://schemas.openxmlformats.org/officeDocument/2006/relationships/hyperlink" Target="https://undocs.org/CEDAW/C/KOR/8" TargetMode="External"/><Relationship Id="rId20" Type="http://schemas.openxmlformats.org/officeDocument/2006/relationships/footer" Target="footer4.xml"/><Relationship Id="rId41" Type="http://schemas.openxmlformats.org/officeDocument/2006/relationships/hyperlink" Target="https://undocs.org/CEDAW/C/SLB/CO/1" TargetMode="External"/><Relationship Id="rId54" Type="http://schemas.openxmlformats.org/officeDocument/2006/relationships/hyperlink" Target="https://undocs.org/CEDAW/C/MNE/2" TargetMode="External"/><Relationship Id="rId62" Type="http://schemas.openxmlformats.org/officeDocument/2006/relationships/hyperlink" Target="https://undocs.org/A/68/38" TargetMode="External"/><Relationship Id="rId70" Type="http://schemas.openxmlformats.org/officeDocument/2006/relationships/hyperlink" Target="https://undocs.org/CEDAW/C/KWT/CO/5" TargetMode="External"/><Relationship Id="rId75" Type="http://schemas.openxmlformats.org/officeDocument/2006/relationships/hyperlink" Target="https://undocs.org/CEDAW/C/PRY/CO/7" TargetMode="External"/><Relationship Id="rId83" Type="http://schemas.openxmlformats.org/officeDocument/2006/relationships/hyperlink" Target="https://undocs.org/CEDAW/C/68/D/95/2015" TargetMode="External"/><Relationship Id="rId88" Type="http://schemas.openxmlformats.org/officeDocument/2006/relationships/hyperlink" Target="https://undocs.org/CEDAW/C/BFA/7" TargetMode="External"/><Relationship Id="rId91" Type="http://schemas.openxmlformats.org/officeDocument/2006/relationships/hyperlink" Target="https://undocs.org/CEDAW/C/ISR/6" TargetMode="External"/><Relationship Id="rId96" Type="http://schemas.openxmlformats.org/officeDocument/2006/relationships/hyperlink" Target="https://undocs.org/CEDAW/C/NOR/9" TargetMode="External"/><Relationship Id="rId111" Type="http://schemas.openxmlformats.org/officeDocument/2006/relationships/hyperlink" Target="https://undocs.org/CEDAW/C/MHL/CO/1" TargetMode="External"/><Relationship Id="rId132" Type="http://schemas.openxmlformats.org/officeDocument/2006/relationships/hyperlink" Target="https://undocs.org/CEDAW/C/CHL/7" TargetMode="External"/><Relationship Id="rId140" Type="http://schemas.openxmlformats.org/officeDocument/2006/relationships/hyperlink" Target="https://undocs.org/A/70/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undocs.org/A/RES/68/268" TargetMode="External"/><Relationship Id="rId28" Type="http://schemas.openxmlformats.org/officeDocument/2006/relationships/hyperlink" Target="https://undocs.org/CEDAW/C/ITA/CO/7" TargetMode="External"/><Relationship Id="rId36" Type="http://schemas.openxmlformats.org/officeDocument/2006/relationships/hyperlink" Target="https://undocs.org/CEDAW/C/DEN/CO/8/Add.1" TargetMode="External"/><Relationship Id="rId49" Type="http://schemas.openxmlformats.org/officeDocument/2006/relationships/hyperlink" Target="https://undocs.org/CEDAW/C/67/2" TargetMode="External"/><Relationship Id="rId57" Type="http://schemas.openxmlformats.org/officeDocument/2006/relationships/hyperlink" Target="https://undocs.org/CEDAW/C/ROU/7-8" TargetMode="External"/><Relationship Id="rId106" Type="http://schemas.openxmlformats.org/officeDocument/2006/relationships/hyperlink" Target="https://undocs.org/CEDAW/C/PSWG/69/1" TargetMode="External"/><Relationship Id="rId114" Type="http://schemas.openxmlformats.org/officeDocument/2006/relationships/hyperlink" Target="https://undocs.org/CEDAW/C/SUR/CO/4" TargetMode="External"/><Relationship Id="rId119" Type="http://schemas.openxmlformats.org/officeDocument/2006/relationships/hyperlink" Target="https://undocs.org/CEDAW/C/NAM/CO/4" TargetMode="External"/><Relationship Id="rId127" Type="http://schemas.openxmlformats.org/officeDocument/2006/relationships/hyperlink" Target="https://undocs.org/CEDAW/C/GC/37" TargetMode="External"/><Relationship Id="rId10" Type="http://schemas.microsoft.com/office/2011/relationships/commentsExtended" Target="commentsExtended.xml"/><Relationship Id="rId31" Type="http://schemas.openxmlformats.org/officeDocument/2006/relationships/hyperlink" Target="https://undocs.org/CEDAW/C/NGA/CO/7" TargetMode="External"/><Relationship Id="rId44" Type="http://schemas.openxmlformats.org/officeDocument/2006/relationships/hyperlink" Target="https://undocs.org/CEDAW/C/67/D/70/2014" TargetMode="External"/><Relationship Id="rId52" Type="http://schemas.openxmlformats.org/officeDocument/2006/relationships/hyperlink" Target="https://undocs.org/CEDAW/C/CRI/7" TargetMode="External"/><Relationship Id="rId60" Type="http://schemas.openxmlformats.org/officeDocument/2006/relationships/hyperlink" Target="https://undocs.org/CEDAW/C/YEM/7" TargetMode="External"/><Relationship Id="rId65" Type="http://schemas.openxmlformats.org/officeDocument/2006/relationships/hyperlink" Target="https://undocs.org/CEDAW/C/BFA/CO/7" TargetMode="External"/><Relationship Id="rId73" Type="http://schemas.openxmlformats.org/officeDocument/2006/relationships/hyperlink" Target="https://undocs.org/CEDAW/C/NOR/CO/9" TargetMode="External"/><Relationship Id="rId78" Type="http://schemas.openxmlformats.org/officeDocument/2006/relationships/hyperlink" Target="https://undocs.org/CEDAW/C/BRN/CO/1" TargetMode="External"/><Relationship Id="rId81" Type="http://schemas.openxmlformats.org/officeDocument/2006/relationships/hyperlink" Target="https://undocs.org/CEDAW/C/68/D/91/2015" TargetMode="External"/><Relationship Id="rId86" Type="http://schemas.openxmlformats.org/officeDocument/2006/relationships/hyperlink" Target="https://undocs.org/CEDAW/C/68/2" TargetMode="External"/><Relationship Id="rId94" Type="http://schemas.openxmlformats.org/officeDocument/2006/relationships/hyperlink" Target="https://undocs.org/CEDAW/C/MCO/1-3" TargetMode="External"/><Relationship Id="rId99" Type="http://schemas.openxmlformats.org/officeDocument/2006/relationships/hyperlink" Target="https://undocs.org/CEDAW/C/SGP/5" TargetMode="External"/><Relationship Id="rId101" Type="http://schemas.openxmlformats.org/officeDocument/2006/relationships/hyperlink" Target="https://goo.gl/5AEcJT" TargetMode="External"/><Relationship Id="rId122" Type="http://schemas.openxmlformats.org/officeDocument/2006/relationships/hyperlink" Target="https://undocs.org/CEDAW/C/UZB/CO/5/Add.1" TargetMode="External"/><Relationship Id="rId130" Type="http://schemas.openxmlformats.org/officeDocument/2006/relationships/hyperlink" Target="https://undocs.org/CEDAW/C/69/2" TargetMode="External"/><Relationship Id="rId135" Type="http://schemas.openxmlformats.org/officeDocument/2006/relationships/hyperlink" Target="https://undocs.org/CEDAW/C/MAL/3/5" TargetMode="External"/><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undocs.org/CEDAW/C/KAZ/CO/3" TargetMode="External"/><Relationship Id="rId109" Type="http://schemas.openxmlformats.org/officeDocument/2006/relationships/hyperlink" Target="https://undocs.org/CEDAW/C/LUX/CO/6" TargetMode="External"/><Relationship Id="rId34" Type="http://schemas.openxmlformats.org/officeDocument/2006/relationships/hyperlink" Target="https://undocs.org/CEDAW/C/BEL/CO/7/Add.1" TargetMode="External"/><Relationship Id="rId50" Type="http://schemas.openxmlformats.org/officeDocument/2006/relationships/hyperlink" Target="https://undocs.org/CEDAW/C/67/3" TargetMode="External"/><Relationship Id="rId55" Type="http://schemas.openxmlformats.org/officeDocument/2006/relationships/hyperlink" Target="https://undocs.org/CEDAW/C/NER/3-4" TargetMode="External"/><Relationship Id="rId76" Type="http://schemas.openxmlformats.org/officeDocument/2006/relationships/hyperlink" Target="https://undocs.org/CEDAW/C/SGP/CO/5" TargetMode="External"/><Relationship Id="rId97" Type="http://schemas.openxmlformats.org/officeDocument/2006/relationships/hyperlink" Target="https://undocs.org/CEDAW/C/OMN/2-3" TargetMode="External"/><Relationship Id="rId104" Type="http://schemas.openxmlformats.org/officeDocument/2006/relationships/hyperlink" Target="https://undocs.org/A/68/38" TargetMode="External"/><Relationship Id="rId120" Type="http://schemas.openxmlformats.org/officeDocument/2006/relationships/hyperlink" Target="https://undocs.org/CEDAW/C/POL/CO/7" TargetMode="External"/><Relationship Id="rId125" Type="http://schemas.openxmlformats.org/officeDocument/2006/relationships/hyperlink" Target="https://undocs.org/CEDAW/C/69/D/80/2015" TargetMode="External"/><Relationship Id="rId141" Type="http://schemas.openxmlformats.org/officeDocument/2006/relationships/fontTable" Target="fontTable.xml"/><Relationship Id="rId7" Type="http://schemas.openxmlformats.org/officeDocument/2006/relationships/hyperlink" Target="https://undocs.org/A/73/38" TargetMode="External"/><Relationship Id="rId71" Type="http://schemas.openxmlformats.org/officeDocument/2006/relationships/hyperlink" Target="https://undocs.org/CEDAW/C/MCO/CO/1" TargetMode="External"/><Relationship Id="rId92" Type="http://schemas.openxmlformats.org/officeDocument/2006/relationships/hyperlink" Target="https://undocs.org/CEDAW/C/KEN/8" TargetMode="External"/><Relationship Id="rId2" Type="http://schemas.openxmlformats.org/officeDocument/2006/relationships/styles" Target="styles.xml"/><Relationship Id="rId29" Type="http://schemas.openxmlformats.org/officeDocument/2006/relationships/hyperlink" Target="https://undocs.org/CEDAW/C/MNE/CO/2" TargetMode="External"/><Relationship Id="rId24" Type="http://schemas.openxmlformats.org/officeDocument/2006/relationships/hyperlink" Target="https://undocs.org/CEDAW/C/67/1" TargetMode="External"/><Relationship Id="rId40" Type="http://schemas.openxmlformats.org/officeDocument/2006/relationships/hyperlink" Target="https://undocs.org/CEDAW/C/OMN/CO/1/Add.1" TargetMode="External"/><Relationship Id="rId45" Type="http://schemas.openxmlformats.org/officeDocument/2006/relationships/hyperlink" Target="https://undocs.org/CEDAW/C/67/D/77/2014" TargetMode="External"/><Relationship Id="rId66" Type="http://schemas.openxmlformats.org/officeDocument/2006/relationships/hyperlink" Target="https://undocs.org/CEDAW/C/ARM/PRK/2" TargetMode="External"/><Relationship Id="rId87" Type="http://schemas.openxmlformats.org/officeDocument/2006/relationships/hyperlink" Target="https://undocs.org/CEDAW/C/68/3" TargetMode="External"/><Relationship Id="rId110" Type="http://schemas.openxmlformats.org/officeDocument/2006/relationships/hyperlink" Target="https://undocs.org/CEDAW/C/MAL/CO/3" TargetMode="External"/><Relationship Id="rId115" Type="http://schemas.openxmlformats.org/officeDocument/2006/relationships/hyperlink" Target="https://undocs.org/CEDAW/C/BOL/CO/5" TargetMode="External"/><Relationship Id="rId131" Type="http://schemas.openxmlformats.org/officeDocument/2006/relationships/hyperlink" Target="https://undocs.org/CEDAW/C/69/3" TargetMode="External"/><Relationship Id="rId136" Type="http://schemas.openxmlformats.org/officeDocument/2006/relationships/hyperlink" Target="https://undocs.org/CEDAW/C/MHL/1-3" TargetMode="External"/><Relationship Id="rId61" Type="http://schemas.openxmlformats.org/officeDocument/2006/relationships/hyperlink" Target="https://undocs.org/A/68/38" TargetMode="External"/><Relationship Id="rId82" Type="http://schemas.openxmlformats.org/officeDocument/2006/relationships/hyperlink" Target="https://undocs.org/CEDAW/C/68/D/79/2014" TargetMode="Externa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yperlink" Target="https://undocs.org/CEDAW/C/NER/CO/3" TargetMode="External"/><Relationship Id="rId35" Type="http://schemas.openxmlformats.org/officeDocument/2006/relationships/hyperlink" Target="https://undocs.org/CEDAW/C/CHN/CO/7" TargetMode="External"/><Relationship Id="rId56" Type="http://schemas.openxmlformats.org/officeDocument/2006/relationships/hyperlink" Target="https://undocs.org/CEDAW/C/NGA/7-8" TargetMode="External"/><Relationship Id="rId77" Type="http://schemas.openxmlformats.org/officeDocument/2006/relationships/hyperlink" Target="https://undocs.org/CEDAW/C/BEN/CO/4/Add.1" TargetMode="External"/><Relationship Id="rId100" Type="http://schemas.openxmlformats.org/officeDocument/2006/relationships/hyperlink" Target="https://undocs.org/CEDAW/C/GC/37" TargetMode="External"/><Relationship Id="rId105" Type="http://schemas.openxmlformats.org/officeDocument/2006/relationships/hyperlink" Target="https://undocs.org/CEDAW/C/69/1" TargetMode="External"/><Relationship Id="rId126" Type="http://schemas.openxmlformats.org/officeDocument/2006/relationships/hyperlink" Target="https://undocs.org/CEDAW/C/69/D/85/201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11691</Words>
  <Characters>65120</Characters>
  <Application>Microsoft Office Word</Application>
  <DocSecurity>0</DocSecurity>
  <Lines>2035</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Deep</dc:creator>
  <cp:keywords/>
  <dc:description/>
  <cp:lastModifiedBy>Joyce Raphail</cp:lastModifiedBy>
  <cp:revision>3</cp:revision>
  <cp:lastPrinted>2018-04-26T20:33:00Z</cp:lastPrinted>
  <dcterms:created xsi:type="dcterms:W3CDTF">2018-04-26T20:33:00Z</dcterms:created>
  <dcterms:modified xsi:type="dcterms:W3CDTF">2018-04-26T20:33:00Z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1804972</vt:lpwstr>
  </property>
  <property fmtid="{D5CDD505-2E9C-101B-9397-08002B2CF9AE}" pid="3" name="ODSRefJobNo">
    <vt:lpwstr>1808920E</vt:lpwstr>
  </property>
  <property fmtid="{D5CDD505-2E9C-101B-9397-08002B2CF9AE}" pid="4" name="Symbol1">
    <vt:lpwstr>A/73/38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Report of the Committee on the Elimination of Discrimination against Women_x000d_</vt:lpwstr>
  </property>
  <property fmtid="{D5CDD505-2E9C-101B-9397-08002B2CF9AE}" pid="10" name="Supplement Title 2">
    <vt:lpwstr>Sixty-seventh session _x000d_</vt:lpwstr>
  </property>
  <property fmtid="{D5CDD505-2E9C-101B-9397-08002B2CF9AE}" pid="11" name="Supplement Title 3">
    <vt:lpwstr>(3–21 July 2017) _x000d_</vt:lpwstr>
  </property>
  <property fmtid="{D5CDD505-2E9C-101B-9397-08002B2CF9AE}" pid="12" name="Supplement Title 4">
    <vt:lpwstr>Sixty-eighth session _x000d_</vt:lpwstr>
  </property>
  <property fmtid="{D5CDD505-2E9C-101B-9397-08002B2CF9AE}" pid="13" name="Supplement Title 5">
    <vt:lpwstr>(23 October–17 November 2017)_x000d_</vt:lpwstr>
  </property>
  <property fmtid="{D5CDD505-2E9C-101B-9397-08002B2CF9AE}" pid="14" name="Supplement Title 6">
    <vt:lpwstr>Sixty-ninth session _x000d_</vt:lpwstr>
  </property>
  <property fmtid="{D5CDD505-2E9C-101B-9397-08002B2CF9AE}" pid="15" name="Supplement Title 7">
    <vt:lpwstr>(19 February–9 March 2018) _x000d_</vt:lpwstr>
  </property>
  <property fmtid="{D5CDD505-2E9C-101B-9397-08002B2CF9AE}" pid="16" name="Comment">
    <vt:lpwstr/>
  </property>
  <property fmtid="{D5CDD505-2E9C-101B-9397-08002B2CF9AE}" pid="17" name="DraftPages">
    <vt:lpwstr>54</vt:lpwstr>
  </property>
  <property fmtid="{D5CDD505-2E9C-101B-9397-08002B2CF9AE}" pid="18" name="Operator">
    <vt:lpwstr>sy (f)/mr (bfs)/ts (bfs)/ts (bfs)/JR (BFS)</vt:lpwstr>
  </property>
</Properties>
</file>