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915C" w14:textId="77777777" w:rsidR="00025FC4" w:rsidRPr="00186777" w:rsidRDefault="00025FC4" w:rsidP="00025FC4">
      <w:pPr>
        <w:pStyle w:val="XLarge"/>
        <w:spacing w:before="120" w:after="780"/>
        <w:ind w:left="1267"/>
        <w:rPr>
          <w:lang w:val="es-ES_tradnl"/>
        </w:rPr>
      </w:pPr>
      <w:r w:rsidRPr="00186777">
        <w:rPr>
          <w:lang w:val="es-ES_tradnl"/>
        </w:rPr>
        <w:t>Naciones Unidas</w:t>
      </w:r>
    </w:p>
    <w:p w14:paraId="586A3403" w14:textId="77777777" w:rsidR="00025FC4" w:rsidRPr="00186777" w:rsidRDefault="00025FC4" w:rsidP="00270D71">
      <w:pPr>
        <w:pStyle w:val="SL"/>
        <w:rPr>
          <w:lang w:val="es-ES_tradnl"/>
        </w:rPr>
      </w:pPr>
      <w:r w:rsidRPr="00186777">
        <w:rPr>
          <w:lang w:val="es-ES_tradnl"/>
        </w:rPr>
        <w:t>Informe del Comité para la Eliminación de la Discriminación contra la Mujer</w:t>
      </w:r>
    </w:p>
    <w:p w14:paraId="7D5A3CC4" w14:textId="77777777" w:rsidR="00025FC4" w:rsidRPr="00186777" w:rsidRDefault="00025FC4" w:rsidP="00025FC4">
      <w:pPr>
        <w:spacing w:line="240" w:lineRule="auto"/>
        <w:ind w:left="1267"/>
        <w:rPr>
          <w:sz w:val="12"/>
          <w:lang w:val="es-ES_tradnl"/>
        </w:rPr>
      </w:pPr>
    </w:p>
    <w:p w14:paraId="09DA2EB5" w14:textId="77777777" w:rsidR="00025FC4" w:rsidRPr="00186777" w:rsidRDefault="00025FC4" w:rsidP="00025FC4">
      <w:pPr>
        <w:spacing w:line="240" w:lineRule="auto"/>
        <w:ind w:left="1267"/>
        <w:rPr>
          <w:sz w:val="12"/>
          <w:lang w:val="es-ES_tradnl"/>
        </w:rPr>
      </w:pPr>
    </w:p>
    <w:p w14:paraId="123E80D7" w14:textId="77777777" w:rsidR="00025FC4" w:rsidRPr="00186777" w:rsidRDefault="00025FC4" w:rsidP="00025FC4">
      <w:pPr>
        <w:spacing w:line="240" w:lineRule="auto"/>
        <w:ind w:left="1267"/>
        <w:rPr>
          <w:sz w:val="12"/>
          <w:lang w:val="es-ES_tradnl"/>
        </w:rPr>
      </w:pPr>
    </w:p>
    <w:p w14:paraId="7FB11D43" w14:textId="77777777" w:rsidR="00C9219C" w:rsidRPr="00186777" w:rsidRDefault="00C9219C" w:rsidP="00270D71">
      <w:pPr>
        <w:pStyle w:val="SM"/>
        <w:rPr>
          <w:lang w:val="es-ES_tradnl"/>
        </w:rPr>
      </w:pPr>
      <w:r w:rsidRPr="00186777">
        <w:rPr>
          <w:lang w:val="es-ES_tradnl"/>
        </w:rPr>
        <w:t xml:space="preserve">67º período de sesiones </w:t>
      </w:r>
    </w:p>
    <w:p w14:paraId="02E17C98" w14:textId="48BC84EE" w:rsidR="00025FC4" w:rsidRPr="00186777" w:rsidRDefault="00C9219C" w:rsidP="00270D71">
      <w:pPr>
        <w:pStyle w:val="SM"/>
        <w:rPr>
          <w:lang w:val="es-ES_tradnl"/>
        </w:rPr>
      </w:pPr>
      <w:r w:rsidRPr="00186777">
        <w:rPr>
          <w:lang w:val="es-ES_tradnl"/>
        </w:rPr>
        <w:t>(3 a 21 de julio de 2017)</w:t>
      </w:r>
    </w:p>
    <w:p w14:paraId="1F758772" w14:textId="77777777" w:rsidR="00025FC4" w:rsidRPr="00186777" w:rsidRDefault="00025FC4" w:rsidP="00270D71">
      <w:pPr>
        <w:pStyle w:val="SM"/>
        <w:rPr>
          <w:sz w:val="12"/>
          <w:lang w:val="es-ES_tradnl"/>
        </w:rPr>
      </w:pPr>
    </w:p>
    <w:p w14:paraId="7AD9EB0B" w14:textId="77777777" w:rsidR="00025FC4" w:rsidRPr="00186777" w:rsidRDefault="00025FC4" w:rsidP="00025FC4">
      <w:pPr>
        <w:spacing w:line="240" w:lineRule="auto"/>
        <w:ind w:left="1267"/>
        <w:rPr>
          <w:sz w:val="12"/>
          <w:lang w:val="es-ES_tradnl"/>
        </w:rPr>
      </w:pPr>
    </w:p>
    <w:p w14:paraId="151AF28B" w14:textId="77777777" w:rsidR="00025FC4" w:rsidRPr="00186777" w:rsidRDefault="00025FC4" w:rsidP="00025FC4">
      <w:pPr>
        <w:spacing w:line="240" w:lineRule="auto"/>
        <w:ind w:left="1267"/>
        <w:rPr>
          <w:sz w:val="12"/>
          <w:lang w:val="es-ES_tradnl"/>
        </w:rPr>
      </w:pPr>
    </w:p>
    <w:p w14:paraId="162E123A" w14:textId="77777777" w:rsidR="00C9219C" w:rsidRPr="00186777" w:rsidRDefault="00C9219C" w:rsidP="00270D71">
      <w:pPr>
        <w:pStyle w:val="SM"/>
        <w:rPr>
          <w:lang w:val="es-ES_tradnl"/>
        </w:rPr>
      </w:pPr>
      <w:r w:rsidRPr="00186777">
        <w:rPr>
          <w:lang w:val="es-ES_tradnl"/>
        </w:rPr>
        <w:t xml:space="preserve">68º período de sesiones </w:t>
      </w:r>
    </w:p>
    <w:p w14:paraId="45D7878D" w14:textId="6BD3AC9E" w:rsidR="00025FC4" w:rsidRPr="00186777" w:rsidRDefault="00C9219C" w:rsidP="00270D71">
      <w:pPr>
        <w:pStyle w:val="SM"/>
        <w:rPr>
          <w:lang w:val="es-ES_tradnl"/>
        </w:rPr>
      </w:pPr>
      <w:r w:rsidRPr="00186777">
        <w:rPr>
          <w:lang w:val="es-ES_tradnl"/>
        </w:rPr>
        <w:t>(23 de octubre a 17 de noviembre de 2017)</w:t>
      </w:r>
    </w:p>
    <w:p w14:paraId="32922C73" w14:textId="5E5B3072" w:rsidR="00C9219C" w:rsidRPr="00186777" w:rsidRDefault="00C9219C" w:rsidP="00C9219C">
      <w:pPr>
        <w:spacing w:line="120" w:lineRule="exact"/>
        <w:ind w:left="1267"/>
        <w:rPr>
          <w:sz w:val="10"/>
          <w:lang w:val="es-ES_tradnl"/>
        </w:rPr>
      </w:pPr>
    </w:p>
    <w:p w14:paraId="6B5E7428" w14:textId="219B0E35" w:rsidR="00C9219C" w:rsidRPr="00186777" w:rsidRDefault="00C9219C" w:rsidP="00C9219C">
      <w:pPr>
        <w:spacing w:line="120" w:lineRule="exact"/>
        <w:ind w:left="1267"/>
        <w:rPr>
          <w:sz w:val="10"/>
          <w:lang w:val="es-ES_tradnl"/>
        </w:rPr>
      </w:pPr>
    </w:p>
    <w:p w14:paraId="547CBB7A" w14:textId="3B775FD1" w:rsidR="00C9219C" w:rsidRPr="00186777" w:rsidRDefault="00C9219C" w:rsidP="00C9219C">
      <w:pPr>
        <w:spacing w:line="120" w:lineRule="exact"/>
        <w:ind w:left="1267"/>
        <w:rPr>
          <w:sz w:val="10"/>
          <w:lang w:val="es-ES_tradnl"/>
        </w:rPr>
      </w:pPr>
    </w:p>
    <w:p w14:paraId="06C74F5F" w14:textId="77777777" w:rsidR="00C9219C" w:rsidRPr="00186777" w:rsidRDefault="00C9219C" w:rsidP="00270D71">
      <w:pPr>
        <w:pStyle w:val="SM"/>
        <w:rPr>
          <w:lang w:val="es-ES_tradnl"/>
        </w:rPr>
      </w:pPr>
      <w:r w:rsidRPr="00186777">
        <w:rPr>
          <w:lang w:val="es-ES_tradnl"/>
        </w:rPr>
        <w:t xml:space="preserve">69º período de sesiones </w:t>
      </w:r>
    </w:p>
    <w:p w14:paraId="6DA3A519" w14:textId="2EE267CB" w:rsidR="00C9219C" w:rsidRPr="00186777" w:rsidRDefault="00C9219C" w:rsidP="00270D71">
      <w:pPr>
        <w:pStyle w:val="SM"/>
        <w:rPr>
          <w:lang w:val="es-ES_tradnl"/>
        </w:rPr>
      </w:pPr>
      <w:r w:rsidRPr="00186777">
        <w:rPr>
          <w:lang w:val="es-ES_tradnl"/>
        </w:rPr>
        <w:t>(19 de febrero a 9 de marzo de 2018)</w:t>
      </w:r>
    </w:p>
    <w:p w14:paraId="787809E1" w14:textId="77777777" w:rsidR="00025FC4" w:rsidRPr="00186777" w:rsidRDefault="00025FC4" w:rsidP="00025FC4">
      <w:pPr>
        <w:pStyle w:val="XLarge"/>
        <w:spacing w:before="640"/>
        <w:ind w:left="1267"/>
        <w:rPr>
          <w:lang w:val="es-ES_tradnl"/>
        </w:rPr>
      </w:pPr>
      <w:r w:rsidRPr="00186777">
        <w:rPr>
          <w:lang w:val="es-ES_tradnl"/>
        </w:rPr>
        <w:t>Asamblea General</w:t>
      </w:r>
    </w:p>
    <w:p w14:paraId="301FFEE4" w14:textId="77777777" w:rsidR="00025FC4" w:rsidRPr="00186777" w:rsidRDefault="00025FC4" w:rsidP="00025FC4">
      <w:pPr>
        <w:pStyle w:val="HCh"/>
        <w:spacing w:line="240" w:lineRule="auto"/>
        <w:ind w:left="1267"/>
        <w:rPr>
          <w:lang w:val="es-ES_tradnl"/>
        </w:rPr>
      </w:pPr>
      <w:r w:rsidRPr="00186777">
        <w:rPr>
          <w:lang w:val="es-ES_tradnl"/>
        </w:rPr>
        <w:t>Documentos Oficiales</w:t>
      </w:r>
      <w:r w:rsidRPr="00186777">
        <w:rPr>
          <w:lang w:val="es-ES_tradnl"/>
        </w:rPr>
        <w:br/>
        <w:t>Septuagésimo tercer período de sesiones</w:t>
      </w:r>
      <w:r w:rsidRPr="00186777">
        <w:rPr>
          <w:lang w:val="es-ES_tradnl"/>
        </w:rPr>
        <w:br/>
        <w:t>Suplemento núm. 38</w:t>
      </w:r>
    </w:p>
    <w:p w14:paraId="568237EF" w14:textId="77777777" w:rsidR="00025FC4" w:rsidRPr="00186777" w:rsidRDefault="00025FC4" w:rsidP="00025FC4">
      <w:pPr>
        <w:rPr>
          <w:spacing w:val="-2"/>
          <w:kern w:val="14"/>
          <w:sz w:val="28"/>
          <w:lang w:val="es-ES_tradnl"/>
        </w:rPr>
      </w:pPr>
      <w:r w:rsidRPr="00186777">
        <w:rPr>
          <w:lang w:val="es-ES_tradnl"/>
        </w:rPr>
        <w:br w:type="page"/>
      </w:r>
    </w:p>
    <w:p w14:paraId="5CA8B41F" w14:textId="732E40B7" w:rsidR="00025FC4" w:rsidRPr="00186777" w:rsidRDefault="00C1661F" w:rsidP="00025FC4">
      <w:pPr>
        <w:framePr w:w="547" w:h="2880" w:hSpace="180" w:wrap="notBeside" w:vAnchor="page" w:hAnchor="page" w:x="11233" w:y="721" w:anchorLock="1"/>
        <w:spacing w:line="240" w:lineRule="auto"/>
        <w:textDirection w:val="tbRl"/>
        <w:rPr>
          <w:sz w:val="17"/>
          <w:lang w:val="es-ES_tradnl"/>
        </w:rPr>
      </w:pPr>
      <w:hyperlink r:id="rId7" w:history="1">
        <w:r w:rsidR="006C4347" w:rsidRPr="00794DB5">
          <w:rPr>
            <w:rStyle w:val="Hyperlink"/>
            <w:lang w:val="es-ES_tradnl"/>
          </w:rPr>
          <w:t>A/73/38</w:t>
        </w:r>
      </w:hyperlink>
    </w:p>
    <w:p w14:paraId="4F130378" w14:textId="77777777" w:rsidR="00025FC4" w:rsidRPr="00186777" w:rsidRDefault="00025FC4">
      <w:pPr>
        <w:suppressAutoHyphens w:val="0"/>
        <w:spacing w:after="200" w:line="276" w:lineRule="auto"/>
        <w:rPr>
          <w:lang w:val="es-ES_tradnl"/>
        </w:rPr>
      </w:pPr>
      <w:r w:rsidRPr="00186777">
        <w:rPr>
          <w:lang w:val="es-ES_trad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21"/>
        <w:gridCol w:w="4919"/>
      </w:tblGrid>
      <w:tr w:rsidR="006C7FE2" w:rsidRPr="00186777" w14:paraId="57CA9C54" w14:textId="77777777" w:rsidTr="00025FC4">
        <w:tc>
          <w:tcPr>
            <w:tcW w:w="4927" w:type="dxa"/>
            <w:shd w:val="clear" w:color="auto" w:fill="auto"/>
          </w:tcPr>
          <w:p w14:paraId="2778F640" w14:textId="77777777" w:rsidR="00025FC4" w:rsidRPr="00186777" w:rsidRDefault="00025FC4" w:rsidP="00025FC4">
            <w:pPr>
              <w:framePr w:hSpace="180" w:wrap="around" w:vAnchor="page" w:hAnchor="page" w:x="1210" w:y="1455" w:anchorLock="1"/>
              <w:spacing w:line="270" w:lineRule="exact"/>
              <w:rPr>
                <w:sz w:val="24"/>
                <w:lang w:val="es-ES_tradnl"/>
              </w:rPr>
            </w:pPr>
            <w:bookmarkStart w:id="0" w:name="_GoBack"/>
            <w:bookmarkEnd w:id="0"/>
            <w:r w:rsidRPr="00186777">
              <w:rPr>
                <w:b/>
                <w:sz w:val="24"/>
                <w:lang w:val="es-ES_tradnl"/>
              </w:rPr>
              <w:lastRenderedPageBreak/>
              <w:t>Asamblea General</w:t>
            </w:r>
            <w:r w:rsidRPr="00186777">
              <w:rPr>
                <w:b/>
                <w:sz w:val="24"/>
                <w:lang w:val="es-ES_tradnl"/>
              </w:rPr>
              <w:br/>
            </w:r>
            <w:r w:rsidRPr="00186777">
              <w:rPr>
                <w:sz w:val="24"/>
                <w:lang w:val="es-ES_tradnl"/>
              </w:rPr>
              <w:t>Documentos Oficiales</w:t>
            </w:r>
            <w:r w:rsidRPr="00186777">
              <w:rPr>
                <w:sz w:val="24"/>
                <w:lang w:val="es-ES_tradnl"/>
              </w:rPr>
              <w:br/>
              <w:t>Septuagésimo tercer período de sesiones</w:t>
            </w:r>
            <w:r w:rsidRPr="00186777">
              <w:rPr>
                <w:sz w:val="24"/>
                <w:lang w:val="es-ES_tradnl"/>
              </w:rPr>
              <w:br/>
              <w:t>Suplemento núm. 38</w:t>
            </w:r>
          </w:p>
          <w:p w14:paraId="668BBF0D" w14:textId="77777777" w:rsidR="00025FC4" w:rsidRPr="00186777" w:rsidRDefault="00025FC4" w:rsidP="00025FC4">
            <w:pPr>
              <w:framePr w:hSpace="180" w:wrap="around" w:vAnchor="page" w:hAnchor="page" w:x="1210" w:y="1455" w:anchorLock="1"/>
              <w:spacing w:line="270" w:lineRule="exact"/>
              <w:rPr>
                <w:sz w:val="24"/>
                <w:lang w:val="es-ES_tradnl"/>
              </w:rPr>
            </w:pPr>
          </w:p>
        </w:tc>
        <w:tc>
          <w:tcPr>
            <w:tcW w:w="4927" w:type="dxa"/>
            <w:shd w:val="clear" w:color="auto" w:fill="auto"/>
          </w:tcPr>
          <w:p w14:paraId="1A2D52B5" w14:textId="507594C8" w:rsidR="00025FC4" w:rsidRPr="00186777" w:rsidRDefault="00C1661F" w:rsidP="00025FC4">
            <w:pPr>
              <w:framePr w:hSpace="180" w:wrap="around" w:vAnchor="page" w:hAnchor="page" w:x="1210" w:y="1455" w:anchorLock="1"/>
              <w:spacing w:line="270" w:lineRule="exact"/>
              <w:jc w:val="right"/>
              <w:rPr>
                <w:lang w:val="es-ES_tradnl"/>
              </w:rPr>
            </w:pPr>
            <w:hyperlink r:id="rId8" w:history="1">
              <w:r w:rsidR="00025FC4" w:rsidRPr="00794DB5">
                <w:rPr>
                  <w:rStyle w:val="Hyperlink"/>
                  <w:lang w:val="es-ES_tradnl"/>
                </w:rPr>
                <w:t>A/73/38</w:t>
              </w:r>
            </w:hyperlink>
          </w:p>
        </w:tc>
      </w:tr>
    </w:tbl>
    <w:p w14:paraId="12DC33A9" w14:textId="77777777" w:rsidR="00025FC4" w:rsidRPr="00186777" w:rsidRDefault="00025FC4" w:rsidP="00025FC4">
      <w:pPr>
        <w:framePr w:w="9864" w:h="1440" w:hSpace="180" w:wrap="around" w:vAnchor="page" w:hAnchor="page" w:x="1210" w:y="11808" w:anchorLock="1"/>
        <w:spacing w:before="600"/>
        <w:ind w:left="1267"/>
        <w:rPr>
          <w:sz w:val="28"/>
          <w:lang w:val="es-ES_tradnl"/>
        </w:rPr>
      </w:pPr>
      <w:r w:rsidRPr="00186777">
        <w:rPr>
          <w:noProof/>
          <w:lang w:val="es-ES_tradnl"/>
        </w:rPr>
        <w:drawing>
          <wp:inline distT="0" distB="0" distL="0" distR="0" wp14:anchorId="0945B442" wp14:editId="5220F263">
            <wp:extent cx="533400" cy="4318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431800"/>
                    </a:xfrm>
                    <a:prstGeom prst="rect">
                      <a:avLst/>
                    </a:prstGeom>
                  </pic:spPr>
                </pic:pic>
              </a:graphicData>
            </a:graphic>
          </wp:inline>
        </w:drawing>
      </w:r>
      <w:r w:rsidRPr="00186777">
        <w:rPr>
          <w:lang w:val="es-ES_tradnl"/>
        </w:rPr>
        <w:br/>
      </w:r>
      <w:r w:rsidRPr="00186777">
        <w:rPr>
          <w:sz w:val="28"/>
          <w:lang w:val="es-ES_tradnl"/>
        </w:rPr>
        <w:t xml:space="preserve">Naciones Unidas </w:t>
      </w:r>
      <w:r w:rsidRPr="00186777">
        <w:rPr>
          <w:sz w:val="28"/>
          <w:lang w:val="es-ES_tradnl"/>
        </w:rPr>
        <w:sym w:font="Symbol" w:char="F0B7"/>
      </w:r>
      <w:r w:rsidRPr="00186777">
        <w:rPr>
          <w:sz w:val="28"/>
          <w:lang w:val="es-ES_tradnl"/>
        </w:rPr>
        <w:t xml:space="preserve"> Nueva York, 2018</w:t>
      </w:r>
    </w:p>
    <w:p w14:paraId="24B69883" w14:textId="77777777" w:rsidR="00F30184" w:rsidRPr="00186777" w:rsidRDefault="00025FC4" w:rsidP="00025FC4">
      <w:pPr>
        <w:spacing w:after="800"/>
        <w:rPr>
          <w:lang w:val="es-ES_tradnl"/>
        </w:rPr>
      </w:pPr>
      <w:r w:rsidRPr="00186777">
        <w:rPr>
          <w:rStyle w:val="CommentReference"/>
          <w:szCs w:val="20"/>
          <w:lang w:val="es-ES_tradnl"/>
        </w:rPr>
        <w:commentReference w:id="1"/>
      </w:r>
    </w:p>
    <w:p w14:paraId="0C05A353" w14:textId="4DD41433" w:rsidR="00025FC4" w:rsidRPr="00054806" w:rsidRDefault="00270D71" w:rsidP="00CD0C24">
      <w:pPr>
        <w:pStyle w:val="STitleM"/>
        <w:rPr>
          <w:lang w:val="es-ES"/>
        </w:rPr>
      </w:pPr>
      <w:r w:rsidRPr="00054806">
        <w:rPr>
          <w:lang w:val="es-ES"/>
        </w:rPr>
        <w:t>Informe del Comité para la Eliminación de la Discriminación contra la Mujer</w:t>
      </w:r>
    </w:p>
    <w:p w14:paraId="4F575070" w14:textId="77777777" w:rsidR="00025FC4" w:rsidRPr="00186777" w:rsidRDefault="00025FC4" w:rsidP="00025FC4">
      <w:pPr>
        <w:spacing w:line="240" w:lineRule="auto"/>
        <w:ind w:left="1260"/>
        <w:rPr>
          <w:sz w:val="12"/>
          <w:lang w:val="es-ES_tradnl"/>
        </w:rPr>
      </w:pPr>
    </w:p>
    <w:p w14:paraId="63B5B5BF" w14:textId="77777777" w:rsidR="00025FC4" w:rsidRPr="00186777" w:rsidRDefault="00025FC4" w:rsidP="00025FC4">
      <w:pPr>
        <w:spacing w:line="240" w:lineRule="auto"/>
        <w:ind w:left="1260"/>
        <w:rPr>
          <w:sz w:val="12"/>
          <w:lang w:val="es-ES_tradnl"/>
        </w:rPr>
      </w:pPr>
    </w:p>
    <w:p w14:paraId="4D0A5127" w14:textId="77777777" w:rsidR="00025FC4" w:rsidRPr="00186777" w:rsidRDefault="00025FC4" w:rsidP="00025FC4">
      <w:pPr>
        <w:spacing w:line="240" w:lineRule="auto"/>
        <w:ind w:left="1260"/>
        <w:rPr>
          <w:sz w:val="12"/>
          <w:lang w:val="es-ES_tradnl"/>
        </w:rPr>
      </w:pPr>
    </w:p>
    <w:p w14:paraId="035A12C0" w14:textId="77777777" w:rsidR="00270D71" w:rsidRPr="00186777" w:rsidRDefault="00270D71" w:rsidP="00CD0C24">
      <w:pPr>
        <w:pStyle w:val="STitleS"/>
        <w:rPr>
          <w:lang w:val="es-ES_tradnl"/>
        </w:rPr>
      </w:pPr>
      <w:bookmarkStart w:id="2" w:name="_Hlk512520980"/>
      <w:r w:rsidRPr="00186777">
        <w:rPr>
          <w:lang w:val="es-ES_tradnl"/>
        </w:rPr>
        <w:t xml:space="preserve">67º período de sesiones </w:t>
      </w:r>
    </w:p>
    <w:p w14:paraId="1FD82D2C" w14:textId="318DFB0F" w:rsidR="00025FC4" w:rsidRPr="00186777" w:rsidRDefault="00270D71" w:rsidP="00270D71">
      <w:pPr>
        <w:pStyle w:val="SS"/>
        <w:rPr>
          <w:lang w:val="es-ES_tradnl"/>
        </w:rPr>
      </w:pPr>
      <w:r w:rsidRPr="00186777">
        <w:rPr>
          <w:lang w:val="es-ES_tradnl"/>
        </w:rPr>
        <w:t>(3 a 21 de julio de 2017)</w:t>
      </w:r>
      <w:bookmarkEnd w:id="2"/>
    </w:p>
    <w:p w14:paraId="4349A8F5" w14:textId="77777777" w:rsidR="00025FC4" w:rsidRPr="00186777" w:rsidRDefault="00025FC4" w:rsidP="00025FC4">
      <w:pPr>
        <w:spacing w:line="240" w:lineRule="auto"/>
        <w:ind w:left="1260"/>
        <w:rPr>
          <w:sz w:val="12"/>
          <w:lang w:val="es-ES_tradnl"/>
        </w:rPr>
      </w:pPr>
    </w:p>
    <w:p w14:paraId="7BE38CC7" w14:textId="77777777" w:rsidR="00025FC4" w:rsidRPr="00186777" w:rsidRDefault="00025FC4" w:rsidP="00025FC4">
      <w:pPr>
        <w:spacing w:line="240" w:lineRule="auto"/>
        <w:ind w:left="1260"/>
        <w:rPr>
          <w:sz w:val="12"/>
          <w:lang w:val="es-ES_tradnl"/>
        </w:rPr>
      </w:pPr>
    </w:p>
    <w:p w14:paraId="639C9CF6" w14:textId="77777777" w:rsidR="00025FC4" w:rsidRPr="00186777" w:rsidRDefault="00025FC4" w:rsidP="00025FC4">
      <w:pPr>
        <w:spacing w:line="240" w:lineRule="auto"/>
        <w:ind w:left="1260"/>
        <w:rPr>
          <w:sz w:val="12"/>
          <w:lang w:val="es-ES_tradnl"/>
        </w:rPr>
      </w:pPr>
    </w:p>
    <w:p w14:paraId="4CE8E601" w14:textId="77777777" w:rsidR="00270D71" w:rsidRPr="00186777" w:rsidRDefault="00270D71" w:rsidP="00CD0C24">
      <w:pPr>
        <w:pStyle w:val="STitleS"/>
        <w:rPr>
          <w:lang w:val="es-ES_tradnl"/>
        </w:rPr>
      </w:pPr>
      <w:bookmarkStart w:id="3" w:name="_Hlk512520997"/>
      <w:r w:rsidRPr="00186777">
        <w:rPr>
          <w:lang w:val="es-ES_tradnl"/>
        </w:rPr>
        <w:t xml:space="preserve">68º período de sesiones </w:t>
      </w:r>
    </w:p>
    <w:p w14:paraId="0A3E6E26" w14:textId="10D9FEEF" w:rsidR="00025FC4" w:rsidRPr="00186777" w:rsidRDefault="00270D71" w:rsidP="00270D71">
      <w:pPr>
        <w:pStyle w:val="SS"/>
        <w:rPr>
          <w:lang w:val="es-ES_tradnl"/>
        </w:rPr>
      </w:pPr>
      <w:r w:rsidRPr="00186777">
        <w:rPr>
          <w:lang w:val="es-ES_tradnl"/>
        </w:rPr>
        <w:t>(23 de octubre a 17 de noviembre de 2017)</w:t>
      </w:r>
      <w:bookmarkEnd w:id="3"/>
    </w:p>
    <w:p w14:paraId="1615D624" w14:textId="1BCDAB43" w:rsidR="00270D71" w:rsidRPr="00186777" w:rsidRDefault="00270D71" w:rsidP="00270D71">
      <w:pPr>
        <w:spacing w:line="120" w:lineRule="exact"/>
        <w:ind w:left="1260"/>
        <w:rPr>
          <w:sz w:val="10"/>
          <w:lang w:val="es-ES_tradnl"/>
        </w:rPr>
      </w:pPr>
    </w:p>
    <w:p w14:paraId="3C2FF7F1" w14:textId="1747A0C9" w:rsidR="00270D71" w:rsidRPr="00186777" w:rsidRDefault="00270D71" w:rsidP="00270D71">
      <w:pPr>
        <w:spacing w:line="120" w:lineRule="exact"/>
        <w:ind w:left="1260"/>
        <w:rPr>
          <w:sz w:val="10"/>
          <w:lang w:val="es-ES_tradnl"/>
        </w:rPr>
      </w:pPr>
    </w:p>
    <w:p w14:paraId="31EFF665" w14:textId="5DCC3D15" w:rsidR="00270D71" w:rsidRPr="00186777" w:rsidRDefault="00270D71" w:rsidP="00270D71">
      <w:pPr>
        <w:spacing w:line="120" w:lineRule="exact"/>
        <w:ind w:left="1260"/>
        <w:rPr>
          <w:sz w:val="10"/>
          <w:lang w:val="es-ES_tradnl"/>
        </w:rPr>
      </w:pPr>
    </w:p>
    <w:p w14:paraId="13212F2D" w14:textId="77777777" w:rsidR="00270D71" w:rsidRPr="00186777" w:rsidRDefault="00270D71" w:rsidP="00CD0C24">
      <w:pPr>
        <w:pStyle w:val="STitleS"/>
        <w:rPr>
          <w:lang w:val="es-ES_tradnl"/>
        </w:rPr>
      </w:pPr>
      <w:bookmarkStart w:id="4" w:name="_Hlk512521033"/>
      <w:r w:rsidRPr="00186777">
        <w:rPr>
          <w:lang w:val="es-ES_tradnl"/>
        </w:rPr>
        <w:t xml:space="preserve">69º período de sesiones </w:t>
      </w:r>
    </w:p>
    <w:p w14:paraId="7F5037E6" w14:textId="2AA6D920" w:rsidR="00270D71" w:rsidRPr="00186777" w:rsidRDefault="00270D71" w:rsidP="00270D71">
      <w:pPr>
        <w:pStyle w:val="SS"/>
        <w:rPr>
          <w:lang w:val="es-ES_tradnl"/>
        </w:rPr>
      </w:pPr>
      <w:r w:rsidRPr="00186777">
        <w:rPr>
          <w:lang w:val="es-ES_tradnl"/>
        </w:rPr>
        <w:t>(19 de febrero a 9 de marzo de 2018)</w:t>
      </w:r>
      <w:bookmarkEnd w:id="4"/>
    </w:p>
    <w:p w14:paraId="5DE4681B" w14:textId="77777777" w:rsidR="00270D71" w:rsidRPr="00186777" w:rsidRDefault="00270D71" w:rsidP="00270D71">
      <w:pPr>
        <w:spacing w:line="240" w:lineRule="auto"/>
        <w:ind w:left="1260"/>
        <w:rPr>
          <w:lang w:val="es-ES_tradnl"/>
        </w:rPr>
      </w:pPr>
    </w:p>
    <w:p w14:paraId="1814670C" w14:textId="77777777" w:rsidR="00025FC4" w:rsidRPr="00186777" w:rsidRDefault="00025FC4">
      <w:pPr>
        <w:suppressAutoHyphens w:val="0"/>
        <w:spacing w:after="200" w:line="276" w:lineRule="auto"/>
        <w:rPr>
          <w:lang w:val="es-ES_tradnl"/>
        </w:rPr>
      </w:pPr>
      <w:r w:rsidRPr="00186777">
        <w:rPr>
          <w:lang w:val="es-ES_tradnl"/>
        </w:rPr>
        <w:br w:type="page"/>
      </w:r>
    </w:p>
    <w:p w14:paraId="61C1F686" w14:textId="77777777" w:rsidR="00025FC4" w:rsidRPr="00186777" w:rsidRDefault="00025FC4" w:rsidP="00025FC4">
      <w:pPr>
        <w:spacing w:line="240" w:lineRule="auto"/>
        <w:ind w:left="1260"/>
        <w:rPr>
          <w:lang w:val="es-ES_tradnl"/>
        </w:rPr>
      </w:pPr>
    </w:p>
    <w:p w14:paraId="691B513D" w14:textId="77777777" w:rsidR="00025FC4" w:rsidRPr="00186777" w:rsidRDefault="00025FC4" w:rsidP="00025FC4">
      <w:pPr>
        <w:framePr w:w="2880" w:h="288" w:hSpace="180" w:wrap="notBeside" w:vAnchor="page" w:hAnchor="margin" w:x="1268" w:y="13393" w:anchorLock="1"/>
        <w:rPr>
          <w:lang w:val="es-ES_tradnl"/>
        </w:rPr>
      </w:pPr>
      <w:r w:rsidRPr="00186777">
        <w:rPr>
          <w:lang w:val="es-ES_tradnl"/>
        </w:rPr>
        <w:t>ISSN 0255-0997</w:t>
      </w:r>
    </w:p>
    <w:p w14:paraId="580873D7" w14:textId="77777777" w:rsidR="00025FC4" w:rsidRPr="00186777" w:rsidRDefault="00025FC4" w:rsidP="00025FC4">
      <w:pPr>
        <w:spacing w:before="1400" w:line="240" w:lineRule="auto"/>
        <w:ind w:left="1260"/>
        <w:rPr>
          <w:i/>
          <w:lang w:val="es-ES_tradnl"/>
        </w:rPr>
      </w:pPr>
      <w:r w:rsidRPr="00186777">
        <w:rPr>
          <w:i/>
          <w:lang w:val="es-ES_tradnl"/>
        </w:rPr>
        <w:t>Nota</w:t>
      </w:r>
    </w:p>
    <w:p w14:paraId="5750E169" w14:textId="77777777" w:rsidR="00025FC4" w:rsidRPr="00186777" w:rsidRDefault="00025FC4" w:rsidP="00025FC4">
      <w:pPr>
        <w:spacing w:before="240" w:line="240" w:lineRule="auto"/>
        <w:ind w:left="1260" w:right="1260" w:firstLine="475"/>
        <w:jc w:val="both"/>
        <w:rPr>
          <w:lang w:val="es-ES_tradnl"/>
        </w:rPr>
      </w:pPr>
      <w:r w:rsidRPr="00186777">
        <w:rPr>
          <w:lang w:val="es-ES_tradnl"/>
        </w:rPr>
        <w:t>Las signaturas de los documentos de las Naciones Unidas se componen de letras y cifras. La mención de una de tales signaturas indica que se hace referencia a un documento de las Naciones Unidas.</w:t>
      </w:r>
    </w:p>
    <w:p w14:paraId="54E45EF9" w14:textId="77777777" w:rsidR="00025FC4" w:rsidRPr="00186777" w:rsidRDefault="00025FC4" w:rsidP="00025FC4">
      <w:pPr>
        <w:spacing w:before="240" w:line="240" w:lineRule="auto"/>
        <w:ind w:left="1260" w:right="1260" w:firstLine="475"/>
        <w:jc w:val="both"/>
        <w:rPr>
          <w:lang w:val="es-ES_tradnl"/>
        </w:rPr>
        <w:sectPr w:rsidR="00025FC4" w:rsidRPr="00186777" w:rsidSect="00025FC4">
          <w:headerReference w:type="default" r:id="rId12"/>
          <w:headerReference w:type="first" r:id="rId13"/>
          <w:footerReference w:type="first" r:id="rId14"/>
          <w:endnotePr>
            <w:numFmt w:val="decimal"/>
          </w:endnotePr>
          <w:pgSz w:w="12240" w:h="15840"/>
          <w:pgMar w:top="1440" w:right="1200" w:bottom="1152" w:left="1200" w:header="432" w:footer="504" w:gutter="0"/>
          <w:cols w:space="720"/>
          <w:titlePg/>
          <w:docGrid w:linePitch="360"/>
        </w:sectPr>
      </w:pPr>
    </w:p>
    <w:p w14:paraId="35072C20" w14:textId="5512CA2C" w:rsidR="00CC625E" w:rsidRPr="002A1FA8" w:rsidRDefault="002A1FA8" w:rsidP="002A1FA8">
      <w:pPr>
        <w:pStyle w:val="HCh"/>
        <w:spacing w:before="360"/>
        <w:jc w:val="right"/>
        <w:rPr>
          <w:b w:val="0"/>
          <w:sz w:val="20"/>
          <w:szCs w:val="20"/>
          <w:lang w:val="es-ES_tradnl"/>
        </w:rPr>
      </w:pPr>
      <w:r w:rsidRPr="002A1FA8">
        <w:rPr>
          <w:b w:val="0"/>
          <w:sz w:val="20"/>
          <w:szCs w:val="20"/>
          <w:lang w:val="es-ES_tradnl"/>
        </w:rPr>
        <w:lastRenderedPageBreak/>
        <w:t>[29 de marzo de 2018]</w:t>
      </w:r>
    </w:p>
    <w:p w14:paraId="6E260D78" w14:textId="022087D2" w:rsidR="00025FC4" w:rsidRPr="00186777" w:rsidRDefault="00025FC4" w:rsidP="002A1FA8">
      <w:pPr>
        <w:pStyle w:val="HCh"/>
        <w:spacing w:before="600" w:after="100"/>
        <w:rPr>
          <w:b w:val="0"/>
          <w:lang w:val="es-ES_tradnl"/>
        </w:rPr>
      </w:pPr>
      <w:r w:rsidRPr="00186777">
        <w:rPr>
          <w:b w:val="0"/>
          <w:lang w:val="es-ES_tradnl"/>
        </w:rPr>
        <w:t>Índice</w:t>
      </w:r>
    </w:p>
    <w:tbl>
      <w:tblPr>
        <w:tblW w:w="9846" w:type="dxa"/>
        <w:jc w:val="center"/>
        <w:tblLayout w:type="fixed"/>
        <w:tblCellMar>
          <w:left w:w="0" w:type="dxa"/>
          <w:right w:w="0" w:type="dxa"/>
        </w:tblCellMar>
        <w:tblLook w:val="0000" w:firstRow="0" w:lastRow="0" w:firstColumn="0" w:lastColumn="0" w:noHBand="0" w:noVBand="0"/>
      </w:tblPr>
      <w:tblGrid>
        <w:gridCol w:w="1060"/>
        <w:gridCol w:w="7315"/>
        <w:gridCol w:w="733"/>
        <w:gridCol w:w="738"/>
      </w:tblGrid>
      <w:tr w:rsidR="002A1FA8" w:rsidRPr="00DD3349" w14:paraId="57A97193" w14:textId="77777777" w:rsidTr="002A1FA8">
        <w:trPr>
          <w:jc w:val="center"/>
        </w:trPr>
        <w:tc>
          <w:tcPr>
            <w:tcW w:w="1060" w:type="dxa"/>
            <w:shd w:val="clear" w:color="auto" w:fill="auto"/>
          </w:tcPr>
          <w:p w14:paraId="335E097B" w14:textId="73C32971" w:rsidR="002A1FA8" w:rsidRPr="006A4592" w:rsidRDefault="002A1FA8" w:rsidP="007924D2">
            <w:pPr>
              <w:spacing w:after="120"/>
              <w:jc w:val="right"/>
              <w:rPr>
                <w:i/>
                <w:sz w:val="14"/>
                <w:szCs w:val="14"/>
              </w:rPr>
            </w:pPr>
            <w:r>
              <w:rPr>
                <w:i/>
                <w:sz w:val="14"/>
                <w:szCs w:val="14"/>
              </w:rPr>
              <w:t>Capítulo</w:t>
            </w:r>
          </w:p>
        </w:tc>
        <w:tc>
          <w:tcPr>
            <w:tcW w:w="7315" w:type="dxa"/>
            <w:shd w:val="clear" w:color="auto" w:fill="auto"/>
          </w:tcPr>
          <w:p w14:paraId="399E76BF" w14:textId="77777777" w:rsidR="002A1FA8" w:rsidRPr="009404DD" w:rsidRDefault="002A1FA8" w:rsidP="007924D2">
            <w:pPr>
              <w:spacing w:after="120"/>
              <w:rPr>
                <w:i/>
                <w:sz w:val="18"/>
                <w:szCs w:val="18"/>
              </w:rPr>
            </w:pPr>
          </w:p>
        </w:tc>
        <w:tc>
          <w:tcPr>
            <w:tcW w:w="733" w:type="dxa"/>
            <w:shd w:val="clear" w:color="auto" w:fill="auto"/>
          </w:tcPr>
          <w:p w14:paraId="0F3E46AB" w14:textId="77777777" w:rsidR="002A1FA8" w:rsidRPr="00DD3349" w:rsidRDefault="002A1FA8" w:rsidP="007924D2">
            <w:pPr>
              <w:spacing w:after="120"/>
              <w:jc w:val="right"/>
              <w:rPr>
                <w:i/>
                <w:sz w:val="14"/>
              </w:rPr>
            </w:pPr>
          </w:p>
        </w:tc>
        <w:tc>
          <w:tcPr>
            <w:tcW w:w="738" w:type="dxa"/>
            <w:shd w:val="clear" w:color="auto" w:fill="auto"/>
          </w:tcPr>
          <w:p w14:paraId="6329DA52" w14:textId="6DFF155F" w:rsidR="002A1FA8" w:rsidRPr="00DD3349" w:rsidRDefault="002A1FA8" w:rsidP="007924D2">
            <w:pPr>
              <w:spacing w:after="120"/>
              <w:jc w:val="right"/>
              <w:rPr>
                <w:i/>
                <w:sz w:val="14"/>
              </w:rPr>
            </w:pPr>
            <w:r>
              <w:rPr>
                <w:i/>
                <w:sz w:val="14"/>
              </w:rPr>
              <w:t>Página</w:t>
            </w:r>
          </w:p>
        </w:tc>
      </w:tr>
      <w:tr w:rsidR="002A1FA8" w:rsidRPr="00DD3349" w14:paraId="45458B60" w14:textId="77777777" w:rsidTr="002A1FA8">
        <w:trPr>
          <w:jc w:val="center"/>
        </w:trPr>
        <w:tc>
          <w:tcPr>
            <w:tcW w:w="9108" w:type="dxa"/>
            <w:gridSpan w:val="3"/>
            <w:shd w:val="clear" w:color="auto" w:fill="auto"/>
          </w:tcPr>
          <w:p w14:paraId="1A7702ED" w14:textId="5AEA31BF" w:rsidR="002A1FA8" w:rsidRPr="00DD3349" w:rsidRDefault="002A1FA8" w:rsidP="007924D2">
            <w:pPr>
              <w:tabs>
                <w:tab w:val="right" w:pos="1080"/>
                <w:tab w:val="left" w:pos="1296"/>
                <w:tab w:val="left" w:pos="1728"/>
                <w:tab w:val="left" w:pos="2160"/>
                <w:tab w:val="left" w:pos="2592"/>
                <w:tab w:val="right" w:leader="dot" w:pos="9360"/>
              </w:tabs>
              <w:spacing w:after="120"/>
              <w:ind w:left="1080"/>
              <w:rPr>
                <w:spacing w:val="60"/>
                <w:sz w:val="17"/>
              </w:rPr>
            </w:pPr>
            <w:bookmarkStart w:id="5" w:name="_Hlk511207222"/>
            <w:r w:rsidRPr="00DD3349">
              <w:tab/>
            </w:r>
            <w:r w:rsidR="00901B9F">
              <w:t xml:space="preserve">Carta de envío </w:t>
            </w:r>
            <w:r w:rsidRPr="00DD3349">
              <w:rPr>
                <w:spacing w:val="60"/>
                <w:sz w:val="17"/>
              </w:rPr>
              <w:tab/>
            </w:r>
          </w:p>
        </w:tc>
        <w:tc>
          <w:tcPr>
            <w:tcW w:w="738" w:type="dxa"/>
            <w:shd w:val="clear" w:color="auto" w:fill="auto"/>
            <w:vAlign w:val="bottom"/>
          </w:tcPr>
          <w:p w14:paraId="62B7EE80" w14:textId="77777777" w:rsidR="002A1FA8" w:rsidRPr="00DD3349" w:rsidRDefault="002A1FA8" w:rsidP="007924D2">
            <w:pPr>
              <w:spacing w:after="120"/>
              <w:jc w:val="right"/>
            </w:pPr>
            <w:r>
              <w:t>6</w:t>
            </w:r>
          </w:p>
        </w:tc>
      </w:tr>
      <w:tr w:rsidR="002A1FA8" w:rsidRPr="00901B9F" w14:paraId="6ED02E94" w14:textId="77777777" w:rsidTr="002A1FA8">
        <w:trPr>
          <w:jc w:val="center"/>
        </w:trPr>
        <w:tc>
          <w:tcPr>
            <w:tcW w:w="9108" w:type="dxa"/>
            <w:gridSpan w:val="3"/>
            <w:shd w:val="clear" w:color="auto" w:fill="auto"/>
          </w:tcPr>
          <w:p w14:paraId="1800CAC7" w14:textId="34461D77" w:rsidR="002A1FA8" w:rsidRPr="00AF3614" w:rsidRDefault="002A1FA8" w:rsidP="007924D2">
            <w:pPr>
              <w:tabs>
                <w:tab w:val="right" w:pos="1080"/>
                <w:tab w:val="left" w:pos="1296"/>
                <w:tab w:val="left" w:pos="1728"/>
                <w:tab w:val="left" w:pos="2160"/>
                <w:tab w:val="left" w:pos="2592"/>
                <w:tab w:val="right" w:leader="dot" w:pos="9360"/>
              </w:tabs>
              <w:spacing w:after="120"/>
              <w:ind w:left="1296" w:hanging="216"/>
              <w:rPr>
                <w:b/>
                <w:spacing w:val="60"/>
                <w:sz w:val="17"/>
              </w:rPr>
            </w:pPr>
            <w:r w:rsidRPr="00054806">
              <w:tab/>
            </w:r>
            <w:r w:rsidR="00AF3614" w:rsidRPr="00AF3614">
              <w:rPr>
                <w:b/>
              </w:rPr>
              <w:t>Primera Parte</w:t>
            </w:r>
            <w:r w:rsidRPr="00AF3614">
              <w:rPr>
                <w:b/>
              </w:rPr>
              <w:br/>
            </w:r>
            <w:r w:rsidR="00AF3614" w:rsidRPr="00AF3614">
              <w:rPr>
                <w:b/>
                <w:bCs/>
                <w:lang w:val="es-ES_tradnl"/>
              </w:rPr>
              <w:t>Informe del Comité para la Eliminación de la Discriminación contra la Mujer sobre su 67º período de sesiones</w:t>
            </w:r>
            <w:r w:rsidRPr="00AF3614">
              <w:rPr>
                <w:spacing w:val="60"/>
                <w:sz w:val="17"/>
              </w:rPr>
              <w:tab/>
            </w:r>
          </w:p>
        </w:tc>
        <w:tc>
          <w:tcPr>
            <w:tcW w:w="738" w:type="dxa"/>
            <w:shd w:val="clear" w:color="auto" w:fill="auto"/>
            <w:vAlign w:val="bottom"/>
          </w:tcPr>
          <w:p w14:paraId="716FF328" w14:textId="77777777" w:rsidR="002A1FA8" w:rsidRPr="00DD3349" w:rsidRDefault="002A1FA8" w:rsidP="007924D2">
            <w:pPr>
              <w:spacing w:after="120"/>
              <w:jc w:val="right"/>
            </w:pPr>
            <w:r>
              <w:t>7</w:t>
            </w:r>
          </w:p>
        </w:tc>
      </w:tr>
      <w:tr w:rsidR="002A1FA8" w:rsidRPr="00DD3349" w14:paraId="62205D44" w14:textId="77777777" w:rsidTr="002A1FA8">
        <w:trPr>
          <w:jc w:val="center"/>
        </w:trPr>
        <w:tc>
          <w:tcPr>
            <w:tcW w:w="9108" w:type="dxa"/>
            <w:gridSpan w:val="3"/>
            <w:shd w:val="clear" w:color="auto" w:fill="auto"/>
          </w:tcPr>
          <w:p w14:paraId="4397D715" w14:textId="662A1E54" w:rsidR="002A1FA8" w:rsidRPr="00AF3614" w:rsidRDefault="002A1FA8" w:rsidP="002A1FA8">
            <w:pPr>
              <w:pStyle w:val="ListParagraph"/>
              <w:numPr>
                <w:ilvl w:val="0"/>
                <w:numId w:val="1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val="es-ES"/>
              </w:rPr>
            </w:pPr>
            <w:r w:rsidRPr="00054806">
              <w:rPr>
                <w:lang w:val="es-ES"/>
              </w:rPr>
              <w:tab/>
            </w:r>
            <w:r w:rsidR="00AF3614" w:rsidRPr="00186777">
              <w:rPr>
                <w:lang w:val="es-ES_tradnl"/>
              </w:rPr>
              <w:t>Decisiones adoptadas por el Comité</w:t>
            </w:r>
            <w:r w:rsidRPr="00AF3614">
              <w:rPr>
                <w:spacing w:val="60"/>
                <w:sz w:val="17"/>
                <w:lang w:val="es-ES"/>
              </w:rPr>
              <w:tab/>
            </w:r>
          </w:p>
        </w:tc>
        <w:tc>
          <w:tcPr>
            <w:tcW w:w="738" w:type="dxa"/>
            <w:shd w:val="clear" w:color="auto" w:fill="auto"/>
            <w:vAlign w:val="bottom"/>
          </w:tcPr>
          <w:p w14:paraId="33230916" w14:textId="77777777" w:rsidR="002A1FA8" w:rsidRPr="00DD3349" w:rsidRDefault="002A1FA8" w:rsidP="007924D2">
            <w:pPr>
              <w:spacing w:after="120"/>
              <w:jc w:val="right"/>
            </w:pPr>
            <w:r>
              <w:t>8</w:t>
            </w:r>
          </w:p>
        </w:tc>
      </w:tr>
      <w:tr w:rsidR="002A1FA8" w:rsidRPr="00DD3349" w14:paraId="48E0050F" w14:textId="77777777" w:rsidTr="002A1FA8">
        <w:trPr>
          <w:jc w:val="center"/>
        </w:trPr>
        <w:tc>
          <w:tcPr>
            <w:tcW w:w="9108" w:type="dxa"/>
            <w:gridSpan w:val="3"/>
            <w:shd w:val="clear" w:color="auto" w:fill="auto"/>
          </w:tcPr>
          <w:p w14:paraId="0EA6F676" w14:textId="2BD7ECAB" w:rsidR="002A1FA8" w:rsidRPr="00AF3614" w:rsidRDefault="002A1FA8" w:rsidP="002A1FA8">
            <w:pPr>
              <w:pStyle w:val="ListParagraph"/>
              <w:numPr>
                <w:ilvl w:val="0"/>
                <w:numId w:val="11"/>
              </w:numPr>
              <w:tabs>
                <w:tab w:val="right" w:pos="1080"/>
                <w:tab w:val="left" w:pos="1296"/>
                <w:tab w:val="left" w:pos="1728"/>
                <w:tab w:val="left" w:pos="2160"/>
                <w:tab w:val="left" w:pos="2592"/>
                <w:tab w:val="left" w:pos="3024"/>
                <w:tab w:val="left" w:pos="3456"/>
                <w:tab w:val="left" w:pos="3888"/>
                <w:tab w:val="right" w:leader="dot" w:pos="9360"/>
              </w:tabs>
              <w:spacing w:after="120"/>
              <w:rPr>
                <w:lang w:val="es-ES"/>
              </w:rPr>
            </w:pPr>
            <w:r w:rsidRPr="00AF3614">
              <w:rPr>
                <w:lang w:val="es-ES"/>
              </w:rPr>
              <w:tab/>
            </w:r>
            <w:r w:rsidR="00AF3614" w:rsidRPr="00186777">
              <w:rPr>
                <w:lang w:val="es-ES_tradnl"/>
              </w:rPr>
              <w:t>Cuestiones de organización y otros asuntos</w:t>
            </w:r>
            <w:r w:rsidRPr="00AF3614">
              <w:rPr>
                <w:spacing w:val="60"/>
                <w:sz w:val="17"/>
                <w:lang w:val="es-ES"/>
              </w:rPr>
              <w:tab/>
            </w:r>
          </w:p>
        </w:tc>
        <w:tc>
          <w:tcPr>
            <w:tcW w:w="738" w:type="dxa"/>
            <w:shd w:val="clear" w:color="auto" w:fill="auto"/>
            <w:vAlign w:val="bottom"/>
          </w:tcPr>
          <w:p w14:paraId="3649D0E7" w14:textId="77777777" w:rsidR="002A1FA8" w:rsidRPr="00DD3349" w:rsidRDefault="002A1FA8" w:rsidP="007924D2">
            <w:pPr>
              <w:spacing w:after="120"/>
              <w:jc w:val="right"/>
            </w:pPr>
            <w:r>
              <w:t>10</w:t>
            </w:r>
          </w:p>
        </w:tc>
      </w:tr>
      <w:tr w:rsidR="002A1FA8" w:rsidRPr="00DD3349" w14:paraId="4EC7AB17" w14:textId="77777777" w:rsidTr="002A1FA8">
        <w:trPr>
          <w:jc w:val="center"/>
        </w:trPr>
        <w:tc>
          <w:tcPr>
            <w:tcW w:w="9108" w:type="dxa"/>
            <w:gridSpan w:val="3"/>
            <w:shd w:val="clear" w:color="auto" w:fill="auto"/>
          </w:tcPr>
          <w:p w14:paraId="552EF3CE" w14:textId="087F82C9" w:rsidR="002A1FA8" w:rsidRPr="00AF3614" w:rsidRDefault="00AF3614" w:rsidP="002A1FA8">
            <w:pPr>
              <w:pStyle w:val="ListParagraph"/>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lang w:val="es-ES"/>
              </w:rPr>
            </w:pPr>
            <w:r w:rsidRPr="00186777">
              <w:rPr>
                <w:lang w:val="es-ES_tradnl"/>
              </w:rPr>
              <w:t>Estados partes en la Convención y en el Protocolo Facultativo</w:t>
            </w:r>
            <w:r w:rsidR="002A1FA8" w:rsidRPr="00AF3614">
              <w:rPr>
                <w:spacing w:val="60"/>
                <w:sz w:val="17"/>
                <w:lang w:val="es-ES"/>
              </w:rPr>
              <w:tab/>
            </w:r>
          </w:p>
        </w:tc>
        <w:tc>
          <w:tcPr>
            <w:tcW w:w="738" w:type="dxa"/>
            <w:shd w:val="clear" w:color="auto" w:fill="auto"/>
            <w:vAlign w:val="bottom"/>
          </w:tcPr>
          <w:p w14:paraId="054BFA22" w14:textId="77777777" w:rsidR="002A1FA8" w:rsidRPr="00DD3349" w:rsidRDefault="002A1FA8" w:rsidP="007924D2">
            <w:pPr>
              <w:spacing w:after="120"/>
              <w:jc w:val="right"/>
            </w:pPr>
            <w:r>
              <w:t>10</w:t>
            </w:r>
          </w:p>
        </w:tc>
      </w:tr>
      <w:tr w:rsidR="002A1FA8" w:rsidRPr="00DD3349" w14:paraId="20E064A2" w14:textId="77777777" w:rsidTr="002A1FA8">
        <w:trPr>
          <w:jc w:val="center"/>
        </w:trPr>
        <w:tc>
          <w:tcPr>
            <w:tcW w:w="9108" w:type="dxa"/>
            <w:gridSpan w:val="3"/>
            <w:shd w:val="clear" w:color="auto" w:fill="auto"/>
          </w:tcPr>
          <w:p w14:paraId="5CFB68CC" w14:textId="410CDA4C" w:rsidR="002A1FA8" w:rsidRPr="00AC4A26" w:rsidRDefault="00AC4A26" w:rsidP="002A1FA8">
            <w:pPr>
              <w:pStyle w:val="ListParagraph"/>
              <w:numPr>
                <w:ilvl w:val="1"/>
                <w:numId w:val="11"/>
              </w:numPr>
              <w:tabs>
                <w:tab w:val="right" w:pos="1080"/>
                <w:tab w:val="left" w:pos="1296"/>
                <w:tab w:val="left" w:pos="1728"/>
                <w:tab w:val="left" w:pos="2160"/>
                <w:tab w:val="left" w:pos="2592"/>
                <w:tab w:val="left" w:pos="3024"/>
                <w:tab w:val="left" w:pos="3456"/>
                <w:tab w:val="right" w:leader="dot" w:pos="9360"/>
              </w:tabs>
              <w:spacing w:after="120"/>
              <w:rPr>
                <w:lang w:val="es-ES"/>
              </w:rPr>
            </w:pPr>
            <w:r w:rsidRPr="00186777">
              <w:rPr>
                <w:lang w:val="es-ES_tradnl"/>
              </w:rPr>
              <w:t>Apertura del período de sesiones</w:t>
            </w:r>
            <w:r w:rsidR="002A1FA8" w:rsidRPr="00AC4A26">
              <w:rPr>
                <w:spacing w:val="60"/>
                <w:sz w:val="17"/>
                <w:lang w:val="es-ES"/>
              </w:rPr>
              <w:tab/>
            </w:r>
          </w:p>
        </w:tc>
        <w:tc>
          <w:tcPr>
            <w:tcW w:w="738" w:type="dxa"/>
            <w:shd w:val="clear" w:color="auto" w:fill="auto"/>
            <w:vAlign w:val="bottom"/>
          </w:tcPr>
          <w:p w14:paraId="33F032FA" w14:textId="77777777" w:rsidR="002A1FA8" w:rsidRPr="00DD3349" w:rsidRDefault="002A1FA8" w:rsidP="007924D2">
            <w:pPr>
              <w:spacing w:after="120"/>
              <w:jc w:val="right"/>
            </w:pPr>
            <w:r>
              <w:t>10</w:t>
            </w:r>
          </w:p>
        </w:tc>
      </w:tr>
      <w:tr w:rsidR="002A1FA8" w:rsidRPr="00DD3349" w14:paraId="160A8D4A" w14:textId="77777777" w:rsidTr="002A1FA8">
        <w:trPr>
          <w:jc w:val="center"/>
        </w:trPr>
        <w:tc>
          <w:tcPr>
            <w:tcW w:w="9108" w:type="dxa"/>
            <w:gridSpan w:val="3"/>
            <w:shd w:val="clear" w:color="auto" w:fill="auto"/>
          </w:tcPr>
          <w:p w14:paraId="5B815D16" w14:textId="519B5B70" w:rsidR="002A1FA8" w:rsidRPr="00DD3349" w:rsidRDefault="00AC4A26" w:rsidP="002A1FA8">
            <w:pPr>
              <w:pStyle w:val="ListParagraph"/>
              <w:numPr>
                <w:ilvl w:val="1"/>
                <w:numId w:val="11"/>
              </w:numPr>
              <w:tabs>
                <w:tab w:val="right" w:pos="1080"/>
                <w:tab w:val="left" w:pos="1296"/>
                <w:tab w:val="left" w:pos="1728"/>
                <w:tab w:val="left" w:pos="2160"/>
                <w:tab w:val="left" w:pos="2592"/>
                <w:tab w:val="left" w:pos="3024"/>
                <w:tab w:val="left" w:pos="3456"/>
                <w:tab w:val="right" w:leader="dot" w:pos="9360"/>
              </w:tabs>
              <w:spacing w:after="120"/>
            </w:pPr>
            <w:r w:rsidRPr="00186777">
              <w:rPr>
                <w:lang w:val="es-ES_tradnl"/>
              </w:rPr>
              <w:t>Aprobación del</w:t>
            </w:r>
            <w:r>
              <w:rPr>
                <w:lang w:val="es-ES_tradnl"/>
              </w:rPr>
              <w:t xml:space="preserve"> program</w:t>
            </w:r>
            <w:r w:rsidRPr="00186777">
              <w:rPr>
                <w:lang w:val="es-ES_tradnl"/>
              </w:rPr>
              <w:t>a</w:t>
            </w:r>
            <w:r w:rsidR="002A1FA8" w:rsidRPr="00DD3349">
              <w:rPr>
                <w:spacing w:val="60"/>
                <w:sz w:val="17"/>
              </w:rPr>
              <w:tab/>
            </w:r>
          </w:p>
        </w:tc>
        <w:tc>
          <w:tcPr>
            <w:tcW w:w="738" w:type="dxa"/>
            <w:shd w:val="clear" w:color="auto" w:fill="auto"/>
            <w:vAlign w:val="bottom"/>
          </w:tcPr>
          <w:p w14:paraId="0CDD04B7" w14:textId="77777777" w:rsidR="002A1FA8" w:rsidRPr="00DD3349" w:rsidRDefault="002A1FA8" w:rsidP="007924D2">
            <w:pPr>
              <w:spacing w:after="120"/>
              <w:jc w:val="right"/>
            </w:pPr>
            <w:r>
              <w:t>10</w:t>
            </w:r>
          </w:p>
        </w:tc>
      </w:tr>
      <w:tr w:rsidR="002A1FA8" w:rsidRPr="00DD3349" w14:paraId="5160A557" w14:textId="77777777" w:rsidTr="002A1FA8">
        <w:trPr>
          <w:jc w:val="center"/>
        </w:trPr>
        <w:tc>
          <w:tcPr>
            <w:tcW w:w="9108" w:type="dxa"/>
            <w:gridSpan w:val="3"/>
            <w:shd w:val="clear" w:color="auto" w:fill="auto"/>
          </w:tcPr>
          <w:p w14:paraId="2DDB1B30" w14:textId="3DC848F9" w:rsidR="002A1FA8" w:rsidRPr="00AC4A26" w:rsidRDefault="00AC4A26" w:rsidP="002A1FA8">
            <w:pPr>
              <w:pStyle w:val="ListParagraph"/>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
              </w:rPr>
            </w:pPr>
            <w:r w:rsidRPr="00186777">
              <w:rPr>
                <w:lang w:val="es-ES_tradnl"/>
              </w:rPr>
              <w:t>Informe del grupo de trabajo anterior al período de sesiones</w:t>
            </w:r>
            <w:r w:rsidR="002A1FA8" w:rsidRPr="00AC4A26">
              <w:rPr>
                <w:spacing w:val="60"/>
                <w:sz w:val="17"/>
                <w:lang w:val="es-ES"/>
              </w:rPr>
              <w:tab/>
            </w:r>
          </w:p>
        </w:tc>
        <w:tc>
          <w:tcPr>
            <w:tcW w:w="738" w:type="dxa"/>
            <w:shd w:val="clear" w:color="auto" w:fill="auto"/>
            <w:vAlign w:val="bottom"/>
          </w:tcPr>
          <w:p w14:paraId="49AEC8F8" w14:textId="77777777" w:rsidR="002A1FA8" w:rsidRPr="00DD3349" w:rsidRDefault="002A1FA8" w:rsidP="007924D2">
            <w:pPr>
              <w:spacing w:after="120"/>
              <w:jc w:val="right"/>
            </w:pPr>
            <w:r>
              <w:t>10</w:t>
            </w:r>
          </w:p>
        </w:tc>
      </w:tr>
      <w:tr w:rsidR="002A1FA8" w:rsidRPr="00DD3349" w14:paraId="3B24BD6D" w14:textId="77777777" w:rsidTr="002A1FA8">
        <w:trPr>
          <w:jc w:val="center"/>
        </w:trPr>
        <w:tc>
          <w:tcPr>
            <w:tcW w:w="9108" w:type="dxa"/>
            <w:gridSpan w:val="3"/>
            <w:shd w:val="clear" w:color="auto" w:fill="auto"/>
          </w:tcPr>
          <w:p w14:paraId="03B3CCE1" w14:textId="52573C2E" w:rsidR="002A1FA8" w:rsidRPr="00DD3349" w:rsidRDefault="00AC4A26" w:rsidP="002A1FA8">
            <w:pPr>
              <w:pStyle w:val="ListParagraph"/>
              <w:numPr>
                <w:ilvl w:val="1"/>
                <w:numId w:val="11"/>
              </w:numPr>
              <w:tabs>
                <w:tab w:val="right" w:pos="1080"/>
                <w:tab w:val="left" w:pos="1296"/>
                <w:tab w:val="left" w:pos="1728"/>
                <w:tab w:val="left" w:pos="2160"/>
                <w:tab w:val="left" w:pos="2592"/>
                <w:tab w:val="left" w:pos="3024"/>
                <w:tab w:val="left" w:pos="3456"/>
                <w:tab w:val="right" w:leader="dot" w:pos="9360"/>
              </w:tabs>
              <w:spacing w:after="120"/>
            </w:pPr>
            <w:r w:rsidRPr="00186777">
              <w:rPr>
                <w:lang w:val="es-ES_tradnl"/>
              </w:rPr>
              <w:t>Organización de los trabajos</w:t>
            </w:r>
            <w:r w:rsidR="002A1FA8" w:rsidRPr="00DD3349">
              <w:rPr>
                <w:spacing w:val="60"/>
                <w:sz w:val="17"/>
              </w:rPr>
              <w:tab/>
            </w:r>
          </w:p>
        </w:tc>
        <w:tc>
          <w:tcPr>
            <w:tcW w:w="738" w:type="dxa"/>
            <w:shd w:val="clear" w:color="auto" w:fill="auto"/>
            <w:vAlign w:val="bottom"/>
          </w:tcPr>
          <w:p w14:paraId="23C79826" w14:textId="77777777" w:rsidR="002A1FA8" w:rsidRPr="00DD3349" w:rsidRDefault="002A1FA8" w:rsidP="007924D2">
            <w:pPr>
              <w:spacing w:after="120"/>
              <w:jc w:val="right"/>
            </w:pPr>
            <w:r>
              <w:t>10</w:t>
            </w:r>
          </w:p>
        </w:tc>
      </w:tr>
      <w:tr w:rsidR="002A1FA8" w:rsidRPr="00DD3349" w14:paraId="21FEF4FF" w14:textId="77777777" w:rsidTr="002A1FA8">
        <w:trPr>
          <w:jc w:val="center"/>
        </w:trPr>
        <w:tc>
          <w:tcPr>
            <w:tcW w:w="9108" w:type="dxa"/>
            <w:gridSpan w:val="3"/>
            <w:shd w:val="clear" w:color="auto" w:fill="auto"/>
          </w:tcPr>
          <w:p w14:paraId="0B83CD5A" w14:textId="7EEA0925" w:rsidR="002A1FA8" w:rsidRPr="00DD3349" w:rsidRDefault="00AC4A26" w:rsidP="002A1FA8">
            <w:pPr>
              <w:pStyle w:val="ListParagraph"/>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186777">
              <w:rPr>
                <w:lang w:val="es-ES_tradnl"/>
              </w:rPr>
              <w:t>Composición del Comité</w:t>
            </w:r>
            <w:r>
              <w:rPr>
                <w:lang w:val="es-ES_tradnl"/>
              </w:rPr>
              <w:t xml:space="preserve"> </w:t>
            </w:r>
            <w:r w:rsidRPr="00DD3349">
              <w:rPr>
                <w:spacing w:val="60"/>
                <w:sz w:val="17"/>
              </w:rPr>
              <w:tab/>
            </w:r>
            <w:r w:rsidRPr="00DD3349">
              <w:rPr>
                <w:spacing w:val="60"/>
                <w:sz w:val="17"/>
              </w:rPr>
              <w:tab/>
            </w:r>
          </w:p>
        </w:tc>
        <w:tc>
          <w:tcPr>
            <w:tcW w:w="738" w:type="dxa"/>
            <w:shd w:val="clear" w:color="auto" w:fill="auto"/>
            <w:vAlign w:val="bottom"/>
          </w:tcPr>
          <w:p w14:paraId="5A69A580" w14:textId="77777777" w:rsidR="002A1FA8" w:rsidRPr="00DD3349" w:rsidRDefault="002A1FA8" w:rsidP="007924D2">
            <w:pPr>
              <w:spacing w:after="120"/>
              <w:jc w:val="right"/>
            </w:pPr>
            <w:r>
              <w:t>11</w:t>
            </w:r>
          </w:p>
        </w:tc>
      </w:tr>
      <w:tr w:rsidR="002A1FA8" w:rsidRPr="00DD3349" w14:paraId="0A5EE68B" w14:textId="77777777" w:rsidTr="002A1FA8">
        <w:trPr>
          <w:jc w:val="center"/>
        </w:trPr>
        <w:tc>
          <w:tcPr>
            <w:tcW w:w="9108" w:type="dxa"/>
            <w:gridSpan w:val="3"/>
            <w:shd w:val="clear" w:color="auto" w:fill="auto"/>
          </w:tcPr>
          <w:p w14:paraId="4D0997C7" w14:textId="62E114D5" w:rsidR="002A1FA8" w:rsidRPr="00AC4A26" w:rsidRDefault="002A1FA8" w:rsidP="002A1FA8">
            <w:pPr>
              <w:pStyle w:val="ListParagraph"/>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
              </w:rPr>
            </w:pPr>
            <w:r w:rsidRPr="00AC4A26">
              <w:rPr>
                <w:lang w:val="es-ES"/>
              </w:rPr>
              <w:tab/>
            </w:r>
            <w:r w:rsidR="00AC4A26" w:rsidRPr="00186777">
              <w:rPr>
                <w:lang w:val="es-ES_tradnl"/>
              </w:rPr>
              <w:t>Informe de la Presidenta sobre las actividades realizadas entre períodos de sesiones</w:t>
            </w:r>
            <w:r w:rsidRPr="00AC4A26">
              <w:rPr>
                <w:spacing w:val="60"/>
                <w:sz w:val="17"/>
                <w:lang w:val="es-ES"/>
              </w:rPr>
              <w:tab/>
            </w:r>
          </w:p>
        </w:tc>
        <w:tc>
          <w:tcPr>
            <w:tcW w:w="738" w:type="dxa"/>
            <w:shd w:val="clear" w:color="auto" w:fill="auto"/>
            <w:vAlign w:val="bottom"/>
          </w:tcPr>
          <w:p w14:paraId="04108F87" w14:textId="77777777" w:rsidR="002A1FA8" w:rsidRPr="00DD3349" w:rsidRDefault="002A1FA8" w:rsidP="007924D2">
            <w:pPr>
              <w:spacing w:after="120"/>
              <w:jc w:val="right"/>
            </w:pPr>
            <w:r>
              <w:t>12</w:t>
            </w:r>
          </w:p>
        </w:tc>
      </w:tr>
      <w:tr w:rsidR="002A1FA8" w:rsidRPr="00DD3349" w14:paraId="23CF88C9" w14:textId="77777777" w:rsidTr="002A1FA8">
        <w:trPr>
          <w:jc w:val="center"/>
        </w:trPr>
        <w:tc>
          <w:tcPr>
            <w:tcW w:w="9108" w:type="dxa"/>
            <w:gridSpan w:val="3"/>
            <w:shd w:val="clear" w:color="auto" w:fill="auto"/>
          </w:tcPr>
          <w:p w14:paraId="75BF1452" w14:textId="43ACB5FD" w:rsidR="002A1FA8" w:rsidRPr="00AC4A26" w:rsidRDefault="002A1FA8" w:rsidP="00AC4A26">
            <w:pPr>
              <w:pStyle w:val="ListParagraph"/>
              <w:numPr>
                <w:ilvl w:val="0"/>
                <w:numId w:val="11"/>
              </w:numPr>
              <w:tabs>
                <w:tab w:val="clear" w:pos="1296"/>
                <w:tab w:val="right" w:pos="1080"/>
                <w:tab w:val="left" w:pos="1300"/>
                <w:tab w:val="left" w:pos="1740"/>
                <w:tab w:val="left" w:pos="2180"/>
                <w:tab w:val="right" w:leader="dot" w:pos="9245"/>
              </w:tabs>
              <w:spacing w:after="120"/>
              <w:rPr>
                <w:lang w:val="es-ES"/>
              </w:rPr>
            </w:pPr>
            <w:r w:rsidRPr="00054806">
              <w:rPr>
                <w:lang w:val="es-ES"/>
              </w:rPr>
              <w:tab/>
            </w:r>
            <w:r w:rsidR="00AC4A26" w:rsidRPr="00186777">
              <w:rPr>
                <w:lang w:val="es-ES_tradnl"/>
              </w:rPr>
              <w:t>Examen de los informes presentados por los Estados partes en virtud del artículo 18 de la Convención</w:t>
            </w:r>
            <w:r w:rsidR="00AC4A26">
              <w:rPr>
                <w:spacing w:val="60"/>
                <w:sz w:val="17"/>
                <w:lang w:val="es-ES"/>
              </w:rPr>
              <w:tab/>
            </w:r>
          </w:p>
        </w:tc>
        <w:tc>
          <w:tcPr>
            <w:tcW w:w="738" w:type="dxa"/>
            <w:shd w:val="clear" w:color="auto" w:fill="auto"/>
            <w:vAlign w:val="bottom"/>
          </w:tcPr>
          <w:p w14:paraId="3E7B85F9" w14:textId="77777777" w:rsidR="002A1FA8" w:rsidRPr="00DD3349" w:rsidRDefault="002A1FA8" w:rsidP="007924D2">
            <w:pPr>
              <w:spacing w:after="120"/>
              <w:jc w:val="right"/>
            </w:pPr>
            <w:r>
              <w:t>13</w:t>
            </w:r>
          </w:p>
        </w:tc>
      </w:tr>
      <w:tr w:rsidR="002A1FA8" w:rsidRPr="00DD3349" w14:paraId="22DA68A9" w14:textId="77777777" w:rsidTr="002A1FA8">
        <w:trPr>
          <w:jc w:val="center"/>
        </w:trPr>
        <w:tc>
          <w:tcPr>
            <w:tcW w:w="9108" w:type="dxa"/>
            <w:gridSpan w:val="3"/>
            <w:shd w:val="clear" w:color="auto" w:fill="auto"/>
          </w:tcPr>
          <w:p w14:paraId="6BBF4D00" w14:textId="73DCBBA2" w:rsidR="002A1FA8" w:rsidRPr="00AC4A26" w:rsidRDefault="002A1FA8" w:rsidP="002A1FA8">
            <w:pPr>
              <w:pStyle w:val="ListParagraph"/>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
              </w:rPr>
            </w:pPr>
            <w:r w:rsidRPr="00054806">
              <w:rPr>
                <w:lang w:val="es-ES"/>
              </w:rPr>
              <w:tab/>
            </w:r>
            <w:r w:rsidR="00AC4A26" w:rsidRPr="00186777">
              <w:rPr>
                <w:lang w:val="es-ES_tradnl"/>
              </w:rPr>
              <w:t>Actividades llevadas a cabo en virtud del Protocolo Facultativo</w:t>
            </w:r>
            <w:r w:rsidRPr="00AC4A26">
              <w:rPr>
                <w:spacing w:val="60"/>
                <w:sz w:val="17"/>
                <w:lang w:val="es-ES"/>
              </w:rPr>
              <w:tab/>
            </w:r>
          </w:p>
        </w:tc>
        <w:tc>
          <w:tcPr>
            <w:tcW w:w="738" w:type="dxa"/>
            <w:shd w:val="clear" w:color="auto" w:fill="auto"/>
            <w:vAlign w:val="bottom"/>
          </w:tcPr>
          <w:p w14:paraId="24F9EBDE" w14:textId="77777777" w:rsidR="002A1FA8" w:rsidRPr="00DD3349" w:rsidRDefault="002A1FA8" w:rsidP="007924D2">
            <w:pPr>
              <w:spacing w:after="120"/>
              <w:jc w:val="right"/>
            </w:pPr>
            <w:r>
              <w:t>14</w:t>
            </w:r>
          </w:p>
        </w:tc>
      </w:tr>
      <w:tr w:rsidR="002A1FA8" w:rsidRPr="00DD3349" w14:paraId="6BA33EAC" w14:textId="77777777" w:rsidTr="002A1FA8">
        <w:trPr>
          <w:jc w:val="center"/>
        </w:trPr>
        <w:tc>
          <w:tcPr>
            <w:tcW w:w="9108" w:type="dxa"/>
            <w:gridSpan w:val="3"/>
            <w:shd w:val="clear" w:color="auto" w:fill="auto"/>
          </w:tcPr>
          <w:p w14:paraId="2FEDDA09" w14:textId="423079C5" w:rsidR="002A1FA8" w:rsidRPr="00AD5416" w:rsidRDefault="00AD5416" w:rsidP="002A1FA8">
            <w:pPr>
              <w:pStyle w:val="ListParagraph"/>
              <w:numPr>
                <w:ilvl w:val="1"/>
                <w:numId w:val="11"/>
              </w:numPr>
              <w:tabs>
                <w:tab w:val="right" w:pos="1080"/>
                <w:tab w:val="left" w:pos="1296"/>
                <w:tab w:val="left" w:pos="1728"/>
                <w:tab w:val="left" w:pos="2160"/>
                <w:tab w:val="left" w:pos="2592"/>
                <w:tab w:val="left" w:pos="3024"/>
                <w:tab w:val="right" w:leader="dot" w:pos="9360"/>
              </w:tabs>
              <w:spacing w:after="120"/>
              <w:rPr>
                <w:lang w:val="es-ES"/>
              </w:rPr>
            </w:pPr>
            <w:r w:rsidRPr="00186777">
              <w:rPr>
                <w:lang w:val="es-ES_tradnl"/>
              </w:rPr>
              <w:t>Medidas adoptadas por el Comité con respecto a las cuestiones previstas en el artículo 2 del Protocolo Facultativo</w:t>
            </w:r>
            <w:r w:rsidR="002A1FA8" w:rsidRPr="00AD5416">
              <w:rPr>
                <w:spacing w:val="60"/>
                <w:sz w:val="17"/>
                <w:lang w:val="es-ES"/>
              </w:rPr>
              <w:tab/>
            </w:r>
          </w:p>
        </w:tc>
        <w:tc>
          <w:tcPr>
            <w:tcW w:w="738" w:type="dxa"/>
            <w:shd w:val="clear" w:color="auto" w:fill="auto"/>
            <w:vAlign w:val="bottom"/>
          </w:tcPr>
          <w:p w14:paraId="52D25F6A" w14:textId="77777777" w:rsidR="002A1FA8" w:rsidRPr="00DD3349" w:rsidRDefault="002A1FA8" w:rsidP="007924D2">
            <w:pPr>
              <w:spacing w:after="120"/>
              <w:jc w:val="right"/>
            </w:pPr>
            <w:r>
              <w:t>14</w:t>
            </w:r>
          </w:p>
        </w:tc>
      </w:tr>
      <w:tr w:rsidR="002A1FA8" w:rsidRPr="00DD3349" w14:paraId="3E8A0E76" w14:textId="77777777" w:rsidTr="002A1FA8">
        <w:trPr>
          <w:jc w:val="center"/>
        </w:trPr>
        <w:tc>
          <w:tcPr>
            <w:tcW w:w="9108" w:type="dxa"/>
            <w:gridSpan w:val="3"/>
            <w:shd w:val="clear" w:color="auto" w:fill="auto"/>
          </w:tcPr>
          <w:p w14:paraId="70A82C2A" w14:textId="2A59CD7C" w:rsidR="002A1FA8" w:rsidRPr="00AD5416" w:rsidRDefault="00AD5416" w:rsidP="002A1FA8">
            <w:pPr>
              <w:pStyle w:val="ListParagraph"/>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rPr>
                <w:lang w:val="es-ES"/>
              </w:rPr>
            </w:pPr>
            <w:r w:rsidRPr="00186777">
              <w:rPr>
                <w:lang w:val="es-ES_tradnl"/>
              </w:rPr>
              <w:t>Seguimiento de los dictámenes del Comité sobre comunicaciones individuales</w:t>
            </w:r>
            <w:r w:rsidR="002A1FA8" w:rsidRPr="00AD5416">
              <w:rPr>
                <w:spacing w:val="60"/>
                <w:sz w:val="17"/>
                <w:lang w:val="es-ES"/>
              </w:rPr>
              <w:tab/>
            </w:r>
          </w:p>
        </w:tc>
        <w:tc>
          <w:tcPr>
            <w:tcW w:w="738" w:type="dxa"/>
            <w:shd w:val="clear" w:color="auto" w:fill="auto"/>
            <w:vAlign w:val="bottom"/>
          </w:tcPr>
          <w:p w14:paraId="7EB345CF" w14:textId="77777777" w:rsidR="002A1FA8" w:rsidRPr="00DD3349" w:rsidRDefault="002A1FA8" w:rsidP="007924D2">
            <w:pPr>
              <w:spacing w:after="120"/>
              <w:jc w:val="right"/>
            </w:pPr>
            <w:r>
              <w:t>14</w:t>
            </w:r>
          </w:p>
        </w:tc>
      </w:tr>
      <w:tr w:rsidR="002A1FA8" w:rsidRPr="00DD3349" w14:paraId="4BF25802" w14:textId="77777777" w:rsidTr="002A1FA8">
        <w:trPr>
          <w:jc w:val="center"/>
        </w:trPr>
        <w:tc>
          <w:tcPr>
            <w:tcW w:w="9108" w:type="dxa"/>
            <w:gridSpan w:val="3"/>
            <w:shd w:val="clear" w:color="auto" w:fill="auto"/>
          </w:tcPr>
          <w:p w14:paraId="51598CDF" w14:textId="06FED638" w:rsidR="002A1FA8" w:rsidRPr="00AD5416" w:rsidRDefault="00AD5416" w:rsidP="002A1FA8">
            <w:pPr>
              <w:pStyle w:val="ListParagraph"/>
              <w:numPr>
                <w:ilvl w:val="1"/>
                <w:numId w:val="11"/>
              </w:numPr>
              <w:tabs>
                <w:tab w:val="right" w:pos="1080"/>
                <w:tab w:val="left" w:pos="1296"/>
                <w:tab w:val="left" w:pos="1728"/>
                <w:tab w:val="left" w:pos="2160"/>
                <w:tab w:val="left" w:pos="2592"/>
                <w:tab w:val="left" w:pos="3024"/>
                <w:tab w:val="right" w:leader="dot" w:pos="9360"/>
              </w:tabs>
              <w:spacing w:after="120"/>
              <w:rPr>
                <w:lang w:val="es-ES"/>
              </w:rPr>
            </w:pPr>
            <w:r w:rsidRPr="00186777">
              <w:rPr>
                <w:lang w:val="es-ES_tradnl"/>
              </w:rPr>
              <w:t>Medidas adoptadas por el Comité con respecto a las cuestiones previstas en el artículo 8 del Protocolo Facultativo</w:t>
            </w:r>
            <w:r w:rsidR="002A1FA8" w:rsidRPr="00AD5416">
              <w:rPr>
                <w:spacing w:val="60"/>
                <w:sz w:val="17"/>
                <w:lang w:val="es-ES"/>
              </w:rPr>
              <w:tab/>
            </w:r>
          </w:p>
        </w:tc>
        <w:tc>
          <w:tcPr>
            <w:tcW w:w="738" w:type="dxa"/>
            <w:shd w:val="clear" w:color="auto" w:fill="auto"/>
            <w:vAlign w:val="bottom"/>
          </w:tcPr>
          <w:p w14:paraId="737E3634" w14:textId="77777777" w:rsidR="002A1FA8" w:rsidRPr="00DD3349" w:rsidRDefault="002A1FA8" w:rsidP="007924D2">
            <w:pPr>
              <w:spacing w:after="120"/>
              <w:jc w:val="right"/>
            </w:pPr>
            <w:r>
              <w:t>14</w:t>
            </w:r>
          </w:p>
        </w:tc>
      </w:tr>
      <w:tr w:rsidR="002A1FA8" w:rsidRPr="00DD3349" w14:paraId="711B04BA" w14:textId="77777777" w:rsidTr="002A1FA8">
        <w:trPr>
          <w:jc w:val="center"/>
        </w:trPr>
        <w:tc>
          <w:tcPr>
            <w:tcW w:w="9108" w:type="dxa"/>
            <w:gridSpan w:val="3"/>
            <w:shd w:val="clear" w:color="auto" w:fill="auto"/>
          </w:tcPr>
          <w:p w14:paraId="2B272CF4" w14:textId="67B87230" w:rsidR="002A1FA8" w:rsidRPr="00AD5416" w:rsidRDefault="002A1FA8" w:rsidP="00AD5416">
            <w:pPr>
              <w:pStyle w:val="ListParagraph"/>
              <w:numPr>
                <w:ilvl w:val="0"/>
                <w:numId w:val="11"/>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
              </w:rPr>
            </w:pPr>
            <w:r w:rsidRPr="00054806">
              <w:rPr>
                <w:lang w:val="es-ES"/>
              </w:rPr>
              <w:tab/>
            </w:r>
            <w:r w:rsidR="00AD5416" w:rsidRPr="00186777">
              <w:rPr>
                <w:lang w:val="es-ES_tradnl"/>
              </w:rPr>
              <w:t>Medios de agilizar los trabajos del Comité</w:t>
            </w:r>
            <w:r w:rsidR="00AD5416">
              <w:rPr>
                <w:lang w:val="es-ES_tradnl"/>
              </w:rPr>
              <w:t xml:space="preserve"> </w:t>
            </w:r>
            <w:r w:rsidRPr="00AD5416">
              <w:rPr>
                <w:spacing w:val="60"/>
                <w:sz w:val="17"/>
                <w:lang w:val="es-ES"/>
              </w:rPr>
              <w:tab/>
            </w:r>
          </w:p>
        </w:tc>
        <w:tc>
          <w:tcPr>
            <w:tcW w:w="738" w:type="dxa"/>
            <w:shd w:val="clear" w:color="auto" w:fill="auto"/>
            <w:vAlign w:val="bottom"/>
          </w:tcPr>
          <w:p w14:paraId="18F45985" w14:textId="77777777" w:rsidR="002A1FA8" w:rsidRPr="00DD3349" w:rsidRDefault="002A1FA8" w:rsidP="007924D2">
            <w:pPr>
              <w:spacing w:after="120"/>
              <w:jc w:val="right"/>
            </w:pPr>
            <w:r>
              <w:t>16</w:t>
            </w:r>
          </w:p>
        </w:tc>
      </w:tr>
      <w:tr w:rsidR="002A1FA8" w:rsidRPr="00DD3349" w14:paraId="6F45EB47" w14:textId="77777777" w:rsidTr="002A1FA8">
        <w:trPr>
          <w:jc w:val="center"/>
        </w:trPr>
        <w:tc>
          <w:tcPr>
            <w:tcW w:w="9108" w:type="dxa"/>
            <w:gridSpan w:val="3"/>
            <w:shd w:val="clear" w:color="auto" w:fill="auto"/>
          </w:tcPr>
          <w:p w14:paraId="3491435D" w14:textId="672AE06C" w:rsidR="002A1FA8" w:rsidRPr="00AD5416" w:rsidRDefault="002A1FA8" w:rsidP="002A1FA8">
            <w:pPr>
              <w:pStyle w:val="ListParagraph"/>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
              </w:rPr>
            </w:pPr>
            <w:r w:rsidRPr="00054806">
              <w:rPr>
                <w:lang w:val="es-ES"/>
              </w:rPr>
              <w:tab/>
            </w:r>
            <w:r w:rsidR="00AD5416" w:rsidRPr="00186777">
              <w:rPr>
                <w:lang w:val="es-ES_tradnl"/>
              </w:rPr>
              <w:t>Información sobre la aplicación del artículo 21 de la Convención</w:t>
            </w:r>
            <w:r w:rsidRPr="00AD5416">
              <w:rPr>
                <w:spacing w:val="60"/>
                <w:sz w:val="17"/>
                <w:lang w:val="es-ES"/>
              </w:rPr>
              <w:tab/>
            </w:r>
          </w:p>
        </w:tc>
        <w:tc>
          <w:tcPr>
            <w:tcW w:w="738" w:type="dxa"/>
            <w:shd w:val="clear" w:color="auto" w:fill="auto"/>
            <w:vAlign w:val="bottom"/>
          </w:tcPr>
          <w:p w14:paraId="43D220ED" w14:textId="77777777" w:rsidR="002A1FA8" w:rsidRPr="00DD3349" w:rsidRDefault="002A1FA8" w:rsidP="007924D2">
            <w:pPr>
              <w:spacing w:after="120"/>
              <w:jc w:val="right"/>
            </w:pPr>
            <w:r>
              <w:t>18</w:t>
            </w:r>
          </w:p>
        </w:tc>
      </w:tr>
      <w:tr w:rsidR="002A1FA8" w:rsidRPr="00DD3349" w14:paraId="08878EAC" w14:textId="77777777" w:rsidTr="002A1FA8">
        <w:trPr>
          <w:jc w:val="center"/>
        </w:trPr>
        <w:tc>
          <w:tcPr>
            <w:tcW w:w="9108" w:type="dxa"/>
            <w:gridSpan w:val="3"/>
            <w:shd w:val="clear" w:color="auto" w:fill="auto"/>
          </w:tcPr>
          <w:p w14:paraId="685FF20F" w14:textId="46AC9EDD" w:rsidR="002A1FA8" w:rsidRPr="00AD5416" w:rsidRDefault="002A1FA8" w:rsidP="002A1FA8">
            <w:pPr>
              <w:pStyle w:val="ListParagraph"/>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
              </w:rPr>
            </w:pPr>
            <w:r w:rsidRPr="00054806">
              <w:rPr>
                <w:lang w:val="es-ES"/>
              </w:rPr>
              <w:tab/>
            </w:r>
            <w:r w:rsidR="00AD5416" w:rsidRPr="00186777">
              <w:rPr>
                <w:lang w:val="es-ES_tradnl"/>
              </w:rPr>
              <w:t>Programa provisional del 68º período de sesiones</w:t>
            </w:r>
            <w:r w:rsidRPr="00AD5416">
              <w:rPr>
                <w:spacing w:val="60"/>
                <w:sz w:val="17"/>
                <w:lang w:val="es-ES"/>
              </w:rPr>
              <w:tab/>
            </w:r>
          </w:p>
        </w:tc>
        <w:tc>
          <w:tcPr>
            <w:tcW w:w="738" w:type="dxa"/>
            <w:shd w:val="clear" w:color="auto" w:fill="auto"/>
            <w:vAlign w:val="bottom"/>
          </w:tcPr>
          <w:p w14:paraId="43D61F9C" w14:textId="77777777" w:rsidR="002A1FA8" w:rsidRPr="00DD3349" w:rsidRDefault="002A1FA8" w:rsidP="007924D2">
            <w:pPr>
              <w:spacing w:after="120"/>
              <w:jc w:val="right"/>
            </w:pPr>
            <w:r>
              <w:t>20</w:t>
            </w:r>
          </w:p>
        </w:tc>
      </w:tr>
      <w:tr w:rsidR="002A1FA8" w:rsidRPr="00DD3349" w14:paraId="651DC597" w14:textId="77777777" w:rsidTr="002A1FA8">
        <w:trPr>
          <w:jc w:val="center"/>
        </w:trPr>
        <w:tc>
          <w:tcPr>
            <w:tcW w:w="9108" w:type="dxa"/>
            <w:gridSpan w:val="3"/>
            <w:shd w:val="clear" w:color="auto" w:fill="auto"/>
          </w:tcPr>
          <w:p w14:paraId="53791EA5" w14:textId="1EF47C6A" w:rsidR="002A1FA8" w:rsidRPr="00DD3349" w:rsidRDefault="002A1FA8" w:rsidP="002A1FA8">
            <w:pPr>
              <w:pStyle w:val="ListParagraph"/>
              <w:numPr>
                <w:ilvl w:val="0"/>
                <w:numId w:val="11"/>
              </w:numPr>
              <w:tabs>
                <w:tab w:val="right" w:pos="1080"/>
                <w:tab w:val="left" w:pos="1296"/>
                <w:tab w:val="left" w:pos="1728"/>
                <w:tab w:val="left" w:pos="2160"/>
                <w:tab w:val="left" w:pos="2592"/>
                <w:tab w:val="left" w:pos="3024"/>
                <w:tab w:val="right" w:leader="dot" w:pos="9360"/>
              </w:tabs>
              <w:spacing w:after="120"/>
            </w:pPr>
            <w:r w:rsidRPr="00DD3349">
              <w:tab/>
            </w:r>
            <w:r w:rsidR="00AD5416" w:rsidRPr="00186777">
              <w:rPr>
                <w:lang w:val="es-ES_tradnl"/>
              </w:rPr>
              <w:t>Aprobación del informe</w:t>
            </w:r>
            <w:r w:rsidRPr="00DD3349">
              <w:rPr>
                <w:spacing w:val="60"/>
                <w:sz w:val="17"/>
              </w:rPr>
              <w:tab/>
            </w:r>
          </w:p>
        </w:tc>
        <w:tc>
          <w:tcPr>
            <w:tcW w:w="738" w:type="dxa"/>
            <w:shd w:val="clear" w:color="auto" w:fill="auto"/>
            <w:vAlign w:val="bottom"/>
          </w:tcPr>
          <w:p w14:paraId="689988B0" w14:textId="77777777" w:rsidR="002A1FA8" w:rsidRPr="00DD3349" w:rsidRDefault="002A1FA8" w:rsidP="007924D2">
            <w:pPr>
              <w:spacing w:after="120"/>
              <w:jc w:val="right"/>
            </w:pPr>
            <w:r>
              <w:t>21</w:t>
            </w:r>
          </w:p>
        </w:tc>
      </w:tr>
      <w:tr w:rsidR="002A1FA8" w:rsidRPr="00DD3349" w14:paraId="49A79D69" w14:textId="77777777" w:rsidTr="002A1FA8">
        <w:trPr>
          <w:jc w:val="center"/>
        </w:trPr>
        <w:tc>
          <w:tcPr>
            <w:tcW w:w="9108" w:type="dxa"/>
            <w:gridSpan w:val="3"/>
            <w:shd w:val="clear" w:color="auto" w:fill="auto"/>
          </w:tcPr>
          <w:p w14:paraId="42322326" w14:textId="321A5D92" w:rsidR="002A1FA8" w:rsidRPr="00DD3349" w:rsidRDefault="00AD5416" w:rsidP="007924D2">
            <w:pPr>
              <w:tabs>
                <w:tab w:val="right" w:pos="1080"/>
                <w:tab w:val="left" w:pos="1296"/>
                <w:tab w:val="right" w:pos="1714"/>
                <w:tab w:val="left" w:pos="2160"/>
                <w:tab w:val="left" w:pos="2592"/>
                <w:tab w:val="left" w:pos="3024"/>
                <w:tab w:val="left" w:pos="3456"/>
              </w:tabs>
              <w:spacing w:after="120"/>
              <w:ind w:left="1080" w:hanging="653"/>
            </w:pPr>
            <w:r>
              <w:t>An</w:t>
            </w:r>
            <w:r w:rsidR="002A1FA8" w:rsidRPr="00DD3349">
              <w:t>ex</w:t>
            </w:r>
            <w:r>
              <w:t>o</w:t>
            </w:r>
          </w:p>
        </w:tc>
        <w:tc>
          <w:tcPr>
            <w:tcW w:w="738" w:type="dxa"/>
            <w:shd w:val="clear" w:color="auto" w:fill="auto"/>
            <w:vAlign w:val="bottom"/>
          </w:tcPr>
          <w:p w14:paraId="187B34DC" w14:textId="77777777" w:rsidR="002A1FA8" w:rsidRPr="00DD3349" w:rsidRDefault="002A1FA8" w:rsidP="007924D2">
            <w:pPr>
              <w:spacing w:after="120"/>
              <w:jc w:val="right"/>
            </w:pPr>
          </w:p>
        </w:tc>
      </w:tr>
      <w:tr w:rsidR="002A1FA8" w:rsidRPr="00DD3349" w14:paraId="104B4E83" w14:textId="77777777" w:rsidTr="002A1FA8">
        <w:trPr>
          <w:jc w:val="center"/>
        </w:trPr>
        <w:tc>
          <w:tcPr>
            <w:tcW w:w="9108" w:type="dxa"/>
            <w:gridSpan w:val="3"/>
            <w:shd w:val="clear" w:color="auto" w:fill="auto"/>
          </w:tcPr>
          <w:p w14:paraId="3E4E958B" w14:textId="6C44BCA7" w:rsidR="002A1FA8" w:rsidRPr="00AD5416" w:rsidRDefault="002A1FA8" w:rsidP="007924D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pPr>
            <w:r w:rsidRPr="00AD5416">
              <w:tab/>
            </w:r>
            <w:r w:rsidR="00AD5416" w:rsidRPr="00186777">
              <w:rPr>
                <w:lang w:val="es-ES_tradnl"/>
              </w:rPr>
              <w:t>Documentos que el Comité tuvo ante sí en su 67º período de sesiones</w:t>
            </w:r>
            <w:r w:rsidRPr="00AD5416">
              <w:rPr>
                <w:spacing w:val="60"/>
                <w:sz w:val="17"/>
              </w:rPr>
              <w:tab/>
            </w:r>
          </w:p>
        </w:tc>
        <w:tc>
          <w:tcPr>
            <w:tcW w:w="738" w:type="dxa"/>
            <w:shd w:val="clear" w:color="auto" w:fill="auto"/>
            <w:vAlign w:val="bottom"/>
          </w:tcPr>
          <w:p w14:paraId="67CBCB83" w14:textId="77777777" w:rsidR="002A1FA8" w:rsidRPr="00DD3349" w:rsidRDefault="002A1FA8" w:rsidP="007924D2">
            <w:pPr>
              <w:spacing w:after="120"/>
              <w:jc w:val="right"/>
            </w:pPr>
            <w:r>
              <w:t>22</w:t>
            </w:r>
          </w:p>
        </w:tc>
      </w:tr>
      <w:tr w:rsidR="002A1FA8" w:rsidRPr="00DD3349" w14:paraId="31D94617" w14:textId="77777777" w:rsidTr="002A1FA8">
        <w:trPr>
          <w:jc w:val="center"/>
        </w:trPr>
        <w:tc>
          <w:tcPr>
            <w:tcW w:w="9108" w:type="dxa"/>
            <w:gridSpan w:val="3"/>
            <w:shd w:val="clear" w:color="auto" w:fill="auto"/>
          </w:tcPr>
          <w:p w14:paraId="340FBCF9" w14:textId="37FC6403" w:rsidR="002A1FA8" w:rsidRPr="00AD5416" w:rsidRDefault="002A1FA8" w:rsidP="007924D2">
            <w:pPr>
              <w:tabs>
                <w:tab w:val="right" w:pos="1080"/>
                <w:tab w:val="left" w:pos="1296"/>
                <w:tab w:val="left" w:pos="1728"/>
                <w:tab w:val="left" w:pos="2160"/>
                <w:tab w:val="left" w:pos="2592"/>
                <w:tab w:val="left" w:pos="3024"/>
                <w:tab w:val="right" w:leader="dot" w:pos="9360"/>
              </w:tabs>
              <w:spacing w:after="120"/>
              <w:ind w:left="1296" w:hanging="216"/>
              <w:rPr>
                <w:b/>
                <w:spacing w:val="60"/>
                <w:sz w:val="17"/>
              </w:rPr>
            </w:pPr>
            <w:r w:rsidRPr="00054806">
              <w:tab/>
            </w:r>
            <w:r w:rsidR="00AD5416" w:rsidRPr="00AD5416">
              <w:rPr>
                <w:b/>
              </w:rPr>
              <w:t>Segunda parte</w:t>
            </w:r>
            <w:r w:rsidRPr="00AD5416">
              <w:rPr>
                <w:b/>
              </w:rPr>
              <w:br/>
            </w:r>
            <w:r w:rsidR="00AD5416" w:rsidRPr="00AD5416">
              <w:rPr>
                <w:b/>
                <w:lang w:val="es-ES_tradnl"/>
              </w:rPr>
              <w:t>Informe del Comité para la Eliminación de la Discriminación contra la Mujer sobre su 68º período de sesiones</w:t>
            </w:r>
            <w:r w:rsidRPr="00AD5416">
              <w:rPr>
                <w:spacing w:val="60"/>
                <w:sz w:val="17"/>
              </w:rPr>
              <w:tab/>
            </w:r>
          </w:p>
        </w:tc>
        <w:tc>
          <w:tcPr>
            <w:tcW w:w="738" w:type="dxa"/>
            <w:shd w:val="clear" w:color="auto" w:fill="auto"/>
            <w:vAlign w:val="bottom"/>
          </w:tcPr>
          <w:p w14:paraId="5AD17DF0" w14:textId="77777777" w:rsidR="002A1FA8" w:rsidRPr="00DD3349" w:rsidRDefault="002A1FA8" w:rsidP="007924D2">
            <w:pPr>
              <w:spacing w:after="120"/>
              <w:jc w:val="right"/>
            </w:pPr>
            <w:r>
              <w:t>23</w:t>
            </w:r>
          </w:p>
        </w:tc>
      </w:tr>
      <w:tr w:rsidR="002A1FA8" w:rsidRPr="00DD3349" w14:paraId="3F844688" w14:textId="77777777" w:rsidTr="002A1FA8">
        <w:trPr>
          <w:jc w:val="center"/>
        </w:trPr>
        <w:tc>
          <w:tcPr>
            <w:tcW w:w="9108" w:type="dxa"/>
            <w:gridSpan w:val="3"/>
            <w:shd w:val="clear" w:color="auto" w:fill="auto"/>
          </w:tcPr>
          <w:p w14:paraId="7762BB64" w14:textId="6A14FEF6" w:rsidR="002A1FA8" w:rsidRPr="00AA339A" w:rsidRDefault="002A1FA8" w:rsidP="002A1FA8">
            <w:pPr>
              <w:pStyle w:val="ListParagraph"/>
              <w:numPr>
                <w:ilvl w:val="0"/>
                <w:numId w:val="12"/>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val="es-ES"/>
              </w:rPr>
            </w:pPr>
            <w:r w:rsidRPr="00054806">
              <w:rPr>
                <w:lang w:val="es-ES"/>
              </w:rPr>
              <w:tab/>
            </w:r>
            <w:r w:rsidR="00AA339A" w:rsidRPr="00186777">
              <w:rPr>
                <w:lang w:val="es-ES_tradnl"/>
              </w:rPr>
              <w:t>Decisiones adoptadas por el Comité</w:t>
            </w:r>
            <w:r w:rsidRPr="00AA339A">
              <w:rPr>
                <w:spacing w:val="60"/>
                <w:sz w:val="17"/>
                <w:lang w:val="es-ES"/>
              </w:rPr>
              <w:tab/>
            </w:r>
          </w:p>
        </w:tc>
        <w:tc>
          <w:tcPr>
            <w:tcW w:w="738" w:type="dxa"/>
            <w:shd w:val="clear" w:color="auto" w:fill="auto"/>
            <w:vAlign w:val="bottom"/>
          </w:tcPr>
          <w:p w14:paraId="21BBDFC5" w14:textId="77777777" w:rsidR="002A1FA8" w:rsidRPr="00DD3349" w:rsidRDefault="002A1FA8" w:rsidP="007924D2">
            <w:pPr>
              <w:spacing w:after="120"/>
              <w:jc w:val="right"/>
            </w:pPr>
            <w:r>
              <w:t>24</w:t>
            </w:r>
          </w:p>
        </w:tc>
      </w:tr>
      <w:tr w:rsidR="002A1FA8" w:rsidRPr="00DD3349" w14:paraId="3177DC34" w14:textId="77777777" w:rsidTr="002A1FA8">
        <w:trPr>
          <w:jc w:val="center"/>
        </w:trPr>
        <w:tc>
          <w:tcPr>
            <w:tcW w:w="9108" w:type="dxa"/>
            <w:gridSpan w:val="3"/>
            <w:shd w:val="clear" w:color="auto" w:fill="auto"/>
          </w:tcPr>
          <w:p w14:paraId="5092B190" w14:textId="0537060A" w:rsidR="002A1FA8" w:rsidRPr="00AA339A" w:rsidRDefault="002A1FA8" w:rsidP="002A1FA8">
            <w:pPr>
              <w:pStyle w:val="ListParagraph"/>
              <w:numPr>
                <w:ilvl w:val="0"/>
                <w:numId w:val="12"/>
              </w:numPr>
              <w:tabs>
                <w:tab w:val="right" w:pos="1080"/>
                <w:tab w:val="left" w:pos="1296"/>
                <w:tab w:val="left" w:pos="1728"/>
                <w:tab w:val="left" w:pos="2160"/>
                <w:tab w:val="left" w:pos="2592"/>
                <w:tab w:val="left" w:pos="3024"/>
                <w:tab w:val="left" w:pos="3456"/>
                <w:tab w:val="left" w:pos="3888"/>
                <w:tab w:val="right" w:leader="dot" w:pos="9360"/>
              </w:tabs>
              <w:spacing w:after="120"/>
              <w:rPr>
                <w:lang w:val="es-ES"/>
              </w:rPr>
            </w:pPr>
            <w:r w:rsidRPr="00AA339A">
              <w:rPr>
                <w:lang w:val="es-ES"/>
              </w:rPr>
              <w:tab/>
            </w:r>
            <w:r w:rsidR="00AA339A" w:rsidRPr="00186777">
              <w:rPr>
                <w:lang w:val="es-ES_tradnl"/>
              </w:rPr>
              <w:t>Cuestiones de organización y otros asuntos</w:t>
            </w:r>
            <w:r w:rsidRPr="00AA339A">
              <w:rPr>
                <w:spacing w:val="60"/>
                <w:sz w:val="17"/>
                <w:lang w:val="es-ES"/>
              </w:rPr>
              <w:tab/>
            </w:r>
          </w:p>
        </w:tc>
        <w:tc>
          <w:tcPr>
            <w:tcW w:w="738" w:type="dxa"/>
            <w:shd w:val="clear" w:color="auto" w:fill="auto"/>
            <w:vAlign w:val="bottom"/>
          </w:tcPr>
          <w:p w14:paraId="26B2B935" w14:textId="77777777" w:rsidR="002A1FA8" w:rsidRPr="00DD3349" w:rsidRDefault="002A1FA8" w:rsidP="007924D2">
            <w:pPr>
              <w:spacing w:after="120"/>
              <w:jc w:val="right"/>
            </w:pPr>
            <w:r>
              <w:t>26</w:t>
            </w:r>
          </w:p>
        </w:tc>
      </w:tr>
      <w:tr w:rsidR="002A1FA8" w:rsidRPr="00DD3349" w14:paraId="1595EAF2" w14:textId="77777777" w:rsidTr="002A1FA8">
        <w:trPr>
          <w:jc w:val="center"/>
        </w:trPr>
        <w:tc>
          <w:tcPr>
            <w:tcW w:w="9108" w:type="dxa"/>
            <w:gridSpan w:val="3"/>
            <w:shd w:val="clear" w:color="auto" w:fill="auto"/>
          </w:tcPr>
          <w:p w14:paraId="5E478856" w14:textId="2C8EC4EC" w:rsidR="002A1FA8" w:rsidRPr="00AA339A" w:rsidRDefault="00AA339A" w:rsidP="002A1FA8">
            <w:pPr>
              <w:pStyle w:val="ListParagraph"/>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lang w:val="es-ES"/>
              </w:rPr>
            </w:pPr>
            <w:r w:rsidRPr="00186777">
              <w:rPr>
                <w:lang w:val="es-ES_tradnl"/>
              </w:rPr>
              <w:t>Estados partes en la Convención y en el Protocolo Facultativo</w:t>
            </w:r>
            <w:r w:rsidR="002A1FA8" w:rsidRPr="00AA339A">
              <w:rPr>
                <w:spacing w:val="60"/>
                <w:sz w:val="17"/>
                <w:lang w:val="es-ES"/>
              </w:rPr>
              <w:tab/>
            </w:r>
          </w:p>
        </w:tc>
        <w:tc>
          <w:tcPr>
            <w:tcW w:w="738" w:type="dxa"/>
            <w:shd w:val="clear" w:color="auto" w:fill="auto"/>
            <w:vAlign w:val="bottom"/>
          </w:tcPr>
          <w:p w14:paraId="79463616" w14:textId="77777777" w:rsidR="002A1FA8" w:rsidRPr="00DD3349" w:rsidRDefault="002A1FA8" w:rsidP="007924D2">
            <w:pPr>
              <w:spacing w:after="120"/>
              <w:jc w:val="right"/>
            </w:pPr>
            <w:r>
              <w:t>26</w:t>
            </w:r>
          </w:p>
        </w:tc>
      </w:tr>
      <w:tr w:rsidR="002A1FA8" w:rsidRPr="00DD3349" w14:paraId="4F896A7F" w14:textId="77777777" w:rsidTr="002A1FA8">
        <w:trPr>
          <w:jc w:val="center"/>
        </w:trPr>
        <w:tc>
          <w:tcPr>
            <w:tcW w:w="9108" w:type="dxa"/>
            <w:gridSpan w:val="3"/>
            <w:shd w:val="clear" w:color="auto" w:fill="auto"/>
          </w:tcPr>
          <w:p w14:paraId="3363109E" w14:textId="4AE8993C" w:rsidR="002A1FA8" w:rsidRPr="00A90000" w:rsidRDefault="00A90000" w:rsidP="002A1FA8">
            <w:pPr>
              <w:pStyle w:val="ListParagraph"/>
              <w:numPr>
                <w:ilvl w:val="1"/>
                <w:numId w:val="12"/>
              </w:numPr>
              <w:tabs>
                <w:tab w:val="right" w:pos="1080"/>
                <w:tab w:val="left" w:pos="1296"/>
                <w:tab w:val="left" w:pos="1728"/>
                <w:tab w:val="left" w:pos="2160"/>
                <w:tab w:val="left" w:pos="2592"/>
                <w:tab w:val="left" w:pos="3024"/>
                <w:tab w:val="left" w:pos="3456"/>
                <w:tab w:val="right" w:leader="dot" w:pos="9360"/>
              </w:tabs>
              <w:spacing w:after="120"/>
              <w:rPr>
                <w:lang w:val="es-ES"/>
              </w:rPr>
            </w:pPr>
            <w:r w:rsidRPr="00186777">
              <w:rPr>
                <w:lang w:val="es-ES_tradnl"/>
              </w:rPr>
              <w:lastRenderedPageBreak/>
              <w:t>Apertura del período de sesiones</w:t>
            </w:r>
            <w:r w:rsidR="002A1FA8" w:rsidRPr="00A90000">
              <w:rPr>
                <w:spacing w:val="60"/>
                <w:sz w:val="17"/>
                <w:lang w:val="es-ES"/>
              </w:rPr>
              <w:tab/>
            </w:r>
          </w:p>
        </w:tc>
        <w:tc>
          <w:tcPr>
            <w:tcW w:w="738" w:type="dxa"/>
            <w:shd w:val="clear" w:color="auto" w:fill="auto"/>
            <w:vAlign w:val="bottom"/>
          </w:tcPr>
          <w:p w14:paraId="7A815AE8" w14:textId="77777777" w:rsidR="002A1FA8" w:rsidRPr="00DD3349" w:rsidRDefault="002A1FA8" w:rsidP="007924D2">
            <w:pPr>
              <w:spacing w:after="120"/>
              <w:jc w:val="right"/>
            </w:pPr>
            <w:r>
              <w:t>26</w:t>
            </w:r>
          </w:p>
        </w:tc>
      </w:tr>
      <w:tr w:rsidR="002A1FA8" w:rsidRPr="00DD3349" w14:paraId="1F35B579" w14:textId="77777777" w:rsidTr="002A1FA8">
        <w:trPr>
          <w:jc w:val="center"/>
        </w:trPr>
        <w:tc>
          <w:tcPr>
            <w:tcW w:w="9108" w:type="dxa"/>
            <w:gridSpan w:val="3"/>
            <w:shd w:val="clear" w:color="auto" w:fill="auto"/>
          </w:tcPr>
          <w:p w14:paraId="65C7597C" w14:textId="4BACA1F5" w:rsidR="002A1FA8" w:rsidRPr="00DD3349" w:rsidRDefault="00A90000" w:rsidP="002A1FA8">
            <w:pPr>
              <w:pStyle w:val="ListParagraph"/>
              <w:numPr>
                <w:ilvl w:val="1"/>
                <w:numId w:val="12"/>
              </w:numPr>
              <w:tabs>
                <w:tab w:val="right" w:pos="1080"/>
                <w:tab w:val="left" w:pos="1296"/>
                <w:tab w:val="left" w:pos="1728"/>
                <w:tab w:val="left" w:pos="2160"/>
                <w:tab w:val="left" w:pos="2592"/>
                <w:tab w:val="left" w:pos="3024"/>
                <w:tab w:val="left" w:pos="3456"/>
                <w:tab w:val="right" w:leader="dot" w:pos="9360"/>
              </w:tabs>
              <w:spacing w:after="120"/>
            </w:pPr>
            <w:r w:rsidRPr="00186777">
              <w:rPr>
                <w:lang w:val="es-ES_tradnl"/>
              </w:rPr>
              <w:t>Aprobación del</w:t>
            </w:r>
            <w:r>
              <w:rPr>
                <w:lang w:val="es-ES_tradnl"/>
              </w:rPr>
              <w:t xml:space="preserve"> program</w:t>
            </w:r>
            <w:r w:rsidRPr="00186777">
              <w:rPr>
                <w:lang w:val="es-ES_tradnl"/>
              </w:rPr>
              <w:t>a</w:t>
            </w:r>
            <w:r w:rsidR="002A1FA8" w:rsidRPr="00DD3349">
              <w:rPr>
                <w:spacing w:val="60"/>
                <w:sz w:val="17"/>
              </w:rPr>
              <w:tab/>
            </w:r>
          </w:p>
        </w:tc>
        <w:tc>
          <w:tcPr>
            <w:tcW w:w="738" w:type="dxa"/>
            <w:shd w:val="clear" w:color="auto" w:fill="auto"/>
            <w:vAlign w:val="bottom"/>
          </w:tcPr>
          <w:p w14:paraId="2BC0D199" w14:textId="77777777" w:rsidR="002A1FA8" w:rsidRPr="00DD3349" w:rsidRDefault="002A1FA8" w:rsidP="007924D2">
            <w:pPr>
              <w:spacing w:after="120"/>
              <w:jc w:val="right"/>
            </w:pPr>
            <w:r>
              <w:t>26</w:t>
            </w:r>
          </w:p>
        </w:tc>
      </w:tr>
      <w:tr w:rsidR="002A1FA8" w:rsidRPr="00DD3349" w14:paraId="5A5E848C" w14:textId="77777777" w:rsidTr="002A1FA8">
        <w:trPr>
          <w:jc w:val="center"/>
        </w:trPr>
        <w:tc>
          <w:tcPr>
            <w:tcW w:w="9108" w:type="dxa"/>
            <w:gridSpan w:val="3"/>
            <w:shd w:val="clear" w:color="auto" w:fill="auto"/>
          </w:tcPr>
          <w:p w14:paraId="6A7FA318" w14:textId="79EE494B" w:rsidR="002A1FA8" w:rsidRPr="00A90000" w:rsidRDefault="00A90000" w:rsidP="002A1FA8">
            <w:pPr>
              <w:pStyle w:val="ListParagraph"/>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
              </w:rPr>
            </w:pPr>
            <w:r w:rsidRPr="00186777">
              <w:rPr>
                <w:lang w:val="es-ES_tradnl"/>
              </w:rPr>
              <w:t>Informe del grupo de trabajo anterior al período de sesiones</w:t>
            </w:r>
            <w:r w:rsidR="002A1FA8" w:rsidRPr="00A90000">
              <w:rPr>
                <w:spacing w:val="60"/>
                <w:sz w:val="17"/>
                <w:lang w:val="es-ES"/>
              </w:rPr>
              <w:tab/>
            </w:r>
          </w:p>
        </w:tc>
        <w:tc>
          <w:tcPr>
            <w:tcW w:w="738" w:type="dxa"/>
            <w:shd w:val="clear" w:color="auto" w:fill="auto"/>
            <w:vAlign w:val="bottom"/>
          </w:tcPr>
          <w:p w14:paraId="3DA0BC24" w14:textId="77777777" w:rsidR="002A1FA8" w:rsidRPr="00DD3349" w:rsidRDefault="002A1FA8" w:rsidP="007924D2">
            <w:pPr>
              <w:spacing w:after="120"/>
              <w:jc w:val="right"/>
            </w:pPr>
            <w:r>
              <w:t>26</w:t>
            </w:r>
          </w:p>
        </w:tc>
      </w:tr>
      <w:tr w:rsidR="002A1FA8" w:rsidRPr="00DD3349" w14:paraId="61E7E8F4" w14:textId="77777777" w:rsidTr="002A1FA8">
        <w:trPr>
          <w:jc w:val="center"/>
        </w:trPr>
        <w:tc>
          <w:tcPr>
            <w:tcW w:w="9108" w:type="dxa"/>
            <w:gridSpan w:val="3"/>
            <w:shd w:val="clear" w:color="auto" w:fill="auto"/>
          </w:tcPr>
          <w:p w14:paraId="770FD608" w14:textId="35CBFAEA" w:rsidR="002A1FA8" w:rsidRPr="00DD3349" w:rsidRDefault="00A90000" w:rsidP="002A1FA8">
            <w:pPr>
              <w:pStyle w:val="ListParagraph"/>
              <w:numPr>
                <w:ilvl w:val="1"/>
                <w:numId w:val="12"/>
              </w:numPr>
              <w:tabs>
                <w:tab w:val="right" w:pos="1080"/>
                <w:tab w:val="left" w:pos="1296"/>
                <w:tab w:val="left" w:pos="1728"/>
                <w:tab w:val="left" w:pos="2160"/>
                <w:tab w:val="left" w:pos="2592"/>
                <w:tab w:val="left" w:pos="3024"/>
                <w:tab w:val="left" w:pos="3456"/>
                <w:tab w:val="right" w:leader="dot" w:pos="9360"/>
              </w:tabs>
              <w:spacing w:after="120"/>
            </w:pPr>
            <w:r w:rsidRPr="00186777">
              <w:rPr>
                <w:lang w:val="es-ES_tradnl"/>
              </w:rPr>
              <w:t>Organización de los trabajos</w:t>
            </w:r>
            <w:r w:rsidR="002A1FA8" w:rsidRPr="00DD3349">
              <w:rPr>
                <w:spacing w:val="60"/>
                <w:sz w:val="17"/>
              </w:rPr>
              <w:tab/>
            </w:r>
          </w:p>
        </w:tc>
        <w:tc>
          <w:tcPr>
            <w:tcW w:w="738" w:type="dxa"/>
            <w:shd w:val="clear" w:color="auto" w:fill="auto"/>
            <w:vAlign w:val="bottom"/>
          </w:tcPr>
          <w:p w14:paraId="3592F5AE" w14:textId="77777777" w:rsidR="002A1FA8" w:rsidRPr="00DD3349" w:rsidRDefault="002A1FA8" w:rsidP="007924D2">
            <w:pPr>
              <w:spacing w:after="120"/>
              <w:jc w:val="right"/>
            </w:pPr>
            <w:r>
              <w:t>26</w:t>
            </w:r>
          </w:p>
        </w:tc>
      </w:tr>
      <w:tr w:rsidR="002A1FA8" w:rsidRPr="00DD3349" w14:paraId="6220BC10" w14:textId="77777777" w:rsidTr="002A1FA8">
        <w:trPr>
          <w:jc w:val="center"/>
        </w:trPr>
        <w:tc>
          <w:tcPr>
            <w:tcW w:w="9108" w:type="dxa"/>
            <w:gridSpan w:val="3"/>
            <w:shd w:val="clear" w:color="auto" w:fill="auto"/>
          </w:tcPr>
          <w:p w14:paraId="18E0C331" w14:textId="3FD2679D" w:rsidR="002A1FA8" w:rsidRPr="00DD3349" w:rsidRDefault="00A90000" w:rsidP="002A1FA8">
            <w:pPr>
              <w:pStyle w:val="ListParagraph"/>
              <w:numPr>
                <w:ilvl w:val="1"/>
                <w:numId w:val="12"/>
              </w:numPr>
              <w:tabs>
                <w:tab w:val="right" w:pos="1080"/>
                <w:tab w:val="left" w:pos="1296"/>
                <w:tab w:val="left" w:pos="1728"/>
                <w:tab w:val="left" w:pos="2160"/>
                <w:tab w:val="left" w:pos="2592"/>
                <w:tab w:val="left" w:pos="3024"/>
                <w:tab w:val="left" w:pos="3456"/>
                <w:tab w:val="left" w:pos="3888"/>
                <w:tab w:val="right" w:leader="dot" w:pos="9360"/>
              </w:tabs>
              <w:spacing w:after="120"/>
            </w:pPr>
            <w:r w:rsidRPr="00186777">
              <w:rPr>
                <w:lang w:val="es-ES_tradnl"/>
              </w:rPr>
              <w:t>Composición del Comité</w:t>
            </w:r>
            <w:r>
              <w:rPr>
                <w:lang w:val="es-ES_tradnl"/>
              </w:rPr>
              <w:t xml:space="preserve"> </w:t>
            </w:r>
            <w:r w:rsidR="002A1FA8" w:rsidRPr="00DD3349">
              <w:rPr>
                <w:spacing w:val="60"/>
                <w:sz w:val="17"/>
              </w:rPr>
              <w:tab/>
            </w:r>
          </w:p>
        </w:tc>
        <w:tc>
          <w:tcPr>
            <w:tcW w:w="738" w:type="dxa"/>
            <w:shd w:val="clear" w:color="auto" w:fill="auto"/>
            <w:vAlign w:val="bottom"/>
          </w:tcPr>
          <w:p w14:paraId="01ACED85" w14:textId="77777777" w:rsidR="002A1FA8" w:rsidRPr="00DD3349" w:rsidRDefault="002A1FA8" w:rsidP="007924D2">
            <w:pPr>
              <w:spacing w:after="120"/>
              <w:jc w:val="right"/>
            </w:pPr>
            <w:r>
              <w:t>27</w:t>
            </w:r>
          </w:p>
        </w:tc>
      </w:tr>
      <w:tr w:rsidR="002A1FA8" w:rsidRPr="00DD3349" w14:paraId="07944550" w14:textId="77777777" w:rsidTr="002A1FA8">
        <w:trPr>
          <w:jc w:val="center"/>
        </w:trPr>
        <w:tc>
          <w:tcPr>
            <w:tcW w:w="9108" w:type="dxa"/>
            <w:gridSpan w:val="3"/>
            <w:shd w:val="clear" w:color="auto" w:fill="auto"/>
          </w:tcPr>
          <w:p w14:paraId="1CDBAD39" w14:textId="36C77B3C" w:rsidR="002A1FA8" w:rsidRPr="00A90000" w:rsidRDefault="002A1FA8" w:rsidP="002A1FA8">
            <w:pPr>
              <w:pStyle w:val="ListParagraph"/>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
              </w:rPr>
            </w:pPr>
            <w:r w:rsidRPr="00C1661F">
              <w:rPr>
                <w:lang w:val="es-ES"/>
              </w:rPr>
              <w:tab/>
            </w:r>
            <w:r w:rsidR="00A90000" w:rsidRPr="00186777">
              <w:rPr>
                <w:lang w:val="es-ES_tradnl"/>
              </w:rPr>
              <w:t>Informe de la Presidenta sobre las actividades realizadas entre períodos de sesiones</w:t>
            </w:r>
            <w:r w:rsidRPr="00A90000">
              <w:rPr>
                <w:spacing w:val="60"/>
                <w:sz w:val="17"/>
                <w:lang w:val="es-ES"/>
              </w:rPr>
              <w:tab/>
            </w:r>
          </w:p>
        </w:tc>
        <w:tc>
          <w:tcPr>
            <w:tcW w:w="738" w:type="dxa"/>
            <w:shd w:val="clear" w:color="auto" w:fill="auto"/>
            <w:vAlign w:val="bottom"/>
          </w:tcPr>
          <w:p w14:paraId="32913468" w14:textId="77777777" w:rsidR="002A1FA8" w:rsidRPr="00DD3349" w:rsidRDefault="002A1FA8" w:rsidP="007924D2">
            <w:pPr>
              <w:spacing w:after="120"/>
              <w:jc w:val="right"/>
            </w:pPr>
            <w:r>
              <w:t>28</w:t>
            </w:r>
          </w:p>
        </w:tc>
      </w:tr>
      <w:tr w:rsidR="002A1FA8" w:rsidRPr="00DD3349" w14:paraId="47843EFA" w14:textId="77777777" w:rsidTr="002A1FA8">
        <w:trPr>
          <w:jc w:val="center"/>
        </w:trPr>
        <w:tc>
          <w:tcPr>
            <w:tcW w:w="9108" w:type="dxa"/>
            <w:gridSpan w:val="3"/>
            <w:shd w:val="clear" w:color="auto" w:fill="auto"/>
          </w:tcPr>
          <w:p w14:paraId="5E33C522" w14:textId="721D3875" w:rsidR="002A1FA8" w:rsidRPr="00DA3E59" w:rsidRDefault="002A1FA8" w:rsidP="00DA3E59">
            <w:pPr>
              <w:pStyle w:val="ListParagraph"/>
              <w:numPr>
                <w:ilvl w:val="0"/>
                <w:numId w:val="12"/>
              </w:numPr>
              <w:tabs>
                <w:tab w:val="clear" w:pos="1296"/>
                <w:tab w:val="right" w:pos="1080"/>
                <w:tab w:val="left" w:pos="1300"/>
                <w:tab w:val="left" w:pos="1740"/>
                <w:tab w:val="left" w:pos="2180"/>
                <w:tab w:val="right" w:leader="dot" w:pos="9245"/>
              </w:tabs>
              <w:spacing w:after="120"/>
              <w:rPr>
                <w:lang w:val="es-ES"/>
              </w:rPr>
            </w:pPr>
            <w:r w:rsidRPr="00054806">
              <w:rPr>
                <w:lang w:val="es-ES"/>
              </w:rPr>
              <w:tab/>
            </w:r>
            <w:r w:rsidR="00DA3E59" w:rsidRPr="00186777">
              <w:rPr>
                <w:lang w:val="es-ES_tradnl"/>
              </w:rPr>
              <w:t>Examen de los informes presentados por los Estados partes en virtud del artículo 18 de la Convención</w:t>
            </w:r>
            <w:r w:rsidR="00DA3E59">
              <w:rPr>
                <w:spacing w:val="60"/>
                <w:sz w:val="17"/>
                <w:lang w:val="es-ES"/>
              </w:rPr>
              <w:t xml:space="preserve"> </w:t>
            </w:r>
            <w:r w:rsidR="00DA3E59">
              <w:rPr>
                <w:spacing w:val="60"/>
                <w:sz w:val="17"/>
                <w:lang w:val="es-ES"/>
              </w:rPr>
              <w:tab/>
            </w:r>
          </w:p>
        </w:tc>
        <w:tc>
          <w:tcPr>
            <w:tcW w:w="738" w:type="dxa"/>
            <w:shd w:val="clear" w:color="auto" w:fill="auto"/>
            <w:vAlign w:val="bottom"/>
          </w:tcPr>
          <w:p w14:paraId="031E969A" w14:textId="77777777" w:rsidR="002A1FA8" w:rsidRPr="00DD3349" w:rsidRDefault="002A1FA8" w:rsidP="007924D2">
            <w:pPr>
              <w:spacing w:after="120"/>
              <w:jc w:val="right"/>
            </w:pPr>
            <w:r>
              <w:t>29</w:t>
            </w:r>
          </w:p>
        </w:tc>
      </w:tr>
      <w:tr w:rsidR="002A1FA8" w:rsidRPr="00DD3349" w14:paraId="41D27D92" w14:textId="77777777" w:rsidTr="002A1FA8">
        <w:trPr>
          <w:jc w:val="center"/>
        </w:trPr>
        <w:tc>
          <w:tcPr>
            <w:tcW w:w="9108" w:type="dxa"/>
            <w:gridSpan w:val="3"/>
            <w:shd w:val="clear" w:color="auto" w:fill="auto"/>
          </w:tcPr>
          <w:p w14:paraId="3770DD08" w14:textId="66F22C12" w:rsidR="002A1FA8" w:rsidRPr="00DA3E59" w:rsidRDefault="002A1FA8" w:rsidP="002A1FA8">
            <w:pPr>
              <w:pStyle w:val="ListParagraph"/>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
              </w:rPr>
            </w:pPr>
            <w:r w:rsidRPr="00DA3E59">
              <w:rPr>
                <w:lang w:val="es-ES"/>
              </w:rPr>
              <w:tab/>
            </w:r>
            <w:r w:rsidR="00DA3E59" w:rsidRPr="00186777">
              <w:rPr>
                <w:lang w:val="es-ES_tradnl"/>
              </w:rPr>
              <w:t>Actividades llevadas a cabo en virtud del Protocolo Facultativo</w:t>
            </w:r>
            <w:r w:rsidRPr="00DA3E59">
              <w:rPr>
                <w:spacing w:val="60"/>
                <w:sz w:val="17"/>
                <w:lang w:val="es-ES"/>
              </w:rPr>
              <w:tab/>
            </w:r>
          </w:p>
        </w:tc>
        <w:tc>
          <w:tcPr>
            <w:tcW w:w="738" w:type="dxa"/>
            <w:shd w:val="clear" w:color="auto" w:fill="auto"/>
            <w:vAlign w:val="bottom"/>
          </w:tcPr>
          <w:p w14:paraId="7FDC4F13" w14:textId="77777777" w:rsidR="002A1FA8" w:rsidRPr="00DD3349" w:rsidRDefault="002A1FA8" w:rsidP="007924D2">
            <w:pPr>
              <w:spacing w:after="120"/>
              <w:jc w:val="right"/>
            </w:pPr>
            <w:r>
              <w:t>30</w:t>
            </w:r>
          </w:p>
        </w:tc>
      </w:tr>
      <w:tr w:rsidR="002A1FA8" w:rsidRPr="00DD3349" w14:paraId="4971B2AE" w14:textId="77777777" w:rsidTr="002A1FA8">
        <w:trPr>
          <w:jc w:val="center"/>
        </w:trPr>
        <w:tc>
          <w:tcPr>
            <w:tcW w:w="9108" w:type="dxa"/>
            <w:gridSpan w:val="3"/>
            <w:shd w:val="clear" w:color="auto" w:fill="auto"/>
          </w:tcPr>
          <w:p w14:paraId="432812A5" w14:textId="3DEBAB2C" w:rsidR="002A1FA8" w:rsidRPr="00887ECB" w:rsidRDefault="00887ECB" w:rsidP="002A1FA8">
            <w:pPr>
              <w:pStyle w:val="ListParagraph"/>
              <w:numPr>
                <w:ilvl w:val="1"/>
                <w:numId w:val="12"/>
              </w:numPr>
              <w:tabs>
                <w:tab w:val="right" w:pos="1080"/>
                <w:tab w:val="left" w:pos="1296"/>
                <w:tab w:val="left" w:pos="1728"/>
                <w:tab w:val="left" w:pos="2160"/>
                <w:tab w:val="left" w:pos="2592"/>
                <w:tab w:val="left" w:pos="3024"/>
                <w:tab w:val="right" w:leader="dot" w:pos="9360"/>
              </w:tabs>
              <w:spacing w:after="120"/>
              <w:rPr>
                <w:lang w:val="es-ES"/>
              </w:rPr>
            </w:pPr>
            <w:r w:rsidRPr="00186777">
              <w:rPr>
                <w:lang w:val="es-ES_tradnl"/>
              </w:rPr>
              <w:t>Medidas adoptadas por el Comité con respecto a las cuestiones previstas en el artículo 2 del Protocolo Facultativo</w:t>
            </w:r>
            <w:r w:rsidR="002A1FA8" w:rsidRPr="00887ECB">
              <w:rPr>
                <w:spacing w:val="60"/>
                <w:sz w:val="17"/>
                <w:lang w:val="es-ES"/>
              </w:rPr>
              <w:tab/>
            </w:r>
          </w:p>
        </w:tc>
        <w:tc>
          <w:tcPr>
            <w:tcW w:w="738" w:type="dxa"/>
            <w:shd w:val="clear" w:color="auto" w:fill="auto"/>
            <w:vAlign w:val="bottom"/>
          </w:tcPr>
          <w:p w14:paraId="73601E27" w14:textId="77777777" w:rsidR="002A1FA8" w:rsidRPr="00DD3349" w:rsidRDefault="002A1FA8" w:rsidP="007924D2">
            <w:pPr>
              <w:spacing w:after="120"/>
              <w:jc w:val="right"/>
            </w:pPr>
            <w:r>
              <w:t>30</w:t>
            </w:r>
          </w:p>
        </w:tc>
      </w:tr>
      <w:tr w:rsidR="002A1FA8" w:rsidRPr="00DD3349" w14:paraId="6A32B5B6" w14:textId="77777777" w:rsidTr="002A1FA8">
        <w:trPr>
          <w:jc w:val="center"/>
        </w:trPr>
        <w:tc>
          <w:tcPr>
            <w:tcW w:w="9108" w:type="dxa"/>
            <w:gridSpan w:val="3"/>
            <w:shd w:val="clear" w:color="auto" w:fill="auto"/>
          </w:tcPr>
          <w:p w14:paraId="29E0A86F" w14:textId="4834F573" w:rsidR="002A1FA8" w:rsidRPr="00887ECB" w:rsidRDefault="00887ECB" w:rsidP="002A1FA8">
            <w:pPr>
              <w:pStyle w:val="ListParagraph"/>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rPr>
                <w:lang w:val="es-ES"/>
              </w:rPr>
            </w:pPr>
            <w:r w:rsidRPr="00186777">
              <w:rPr>
                <w:lang w:val="es-ES_tradnl"/>
              </w:rPr>
              <w:t>Seguimiento de los dictámenes del Comité sobre comunicaciones individuales</w:t>
            </w:r>
            <w:r w:rsidR="002A1FA8" w:rsidRPr="00887ECB">
              <w:rPr>
                <w:spacing w:val="60"/>
                <w:sz w:val="17"/>
                <w:lang w:val="es-ES"/>
              </w:rPr>
              <w:tab/>
            </w:r>
          </w:p>
        </w:tc>
        <w:tc>
          <w:tcPr>
            <w:tcW w:w="738" w:type="dxa"/>
            <w:shd w:val="clear" w:color="auto" w:fill="auto"/>
            <w:vAlign w:val="bottom"/>
          </w:tcPr>
          <w:p w14:paraId="2AAA8164" w14:textId="77777777" w:rsidR="002A1FA8" w:rsidRPr="00DD3349" w:rsidRDefault="002A1FA8" w:rsidP="007924D2">
            <w:pPr>
              <w:spacing w:after="120"/>
              <w:jc w:val="right"/>
            </w:pPr>
            <w:r>
              <w:t>30</w:t>
            </w:r>
          </w:p>
        </w:tc>
      </w:tr>
      <w:tr w:rsidR="002A1FA8" w:rsidRPr="00DD3349" w14:paraId="25B7FA56" w14:textId="77777777" w:rsidTr="002A1FA8">
        <w:trPr>
          <w:jc w:val="center"/>
        </w:trPr>
        <w:tc>
          <w:tcPr>
            <w:tcW w:w="9108" w:type="dxa"/>
            <w:gridSpan w:val="3"/>
            <w:shd w:val="clear" w:color="auto" w:fill="auto"/>
          </w:tcPr>
          <w:p w14:paraId="367205E6" w14:textId="6FE80E92" w:rsidR="002A1FA8" w:rsidRPr="00887ECB" w:rsidRDefault="00887ECB" w:rsidP="002A1FA8">
            <w:pPr>
              <w:pStyle w:val="ListParagraph"/>
              <w:numPr>
                <w:ilvl w:val="1"/>
                <w:numId w:val="12"/>
              </w:numPr>
              <w:tabs>
                <w:tab w:val="right" w:pos="1080"/>
                <w:tab w:val="left" w:pos="1296"/>
                <w:tab w:val="left" w:pos="1728"/>
                <w:tab w:val="left" w:pos="2160"/>
                <w:tab w:val="left" w:pos="2592"/>
                <w:tab w:val="left" w:pos="3024"/>
                <w:tab w:val="right" w:leader="dot" w:pos="9360"/>
              </w:tabs>
              <w:spacing w:after="120"/>
              <w:rPr>
                <w:lang w:val="es-ES"/>
              </w:rPr>
            </w:pPr>
            <w:r w:rsidRPr="00186777">
              <w:rPr>
                <w:lang w:val="es-ES_tradnl"/>
              </w:rPr>
              <w:t>Medidas adoptadas por el Comité con respecto a las cuestiones previstas en el artículo 8 del Protocolo Facultativo</w:t>
            </w:r>
            <w:r w:rsidR="002A1FA8" w:rsidRPr="00887ECB">
              <w:rPr>
                <w:spacing w:val="60"/>
                <w:sz w:val="17"/>
                <w:lang w:val="es-ES"/>
              </w:rPr>
              <w:tab/>
            </w:r>
          </w:p>
        </w:tc>
        <w:tc>
          <w:tcPr>
            <w:tcW w:w="738" w:type="dxa"/>
            <w:shd w:val="clear" w:color="auto" w:fill="auto"/>
            <w:vAlign w:val="bottom"/>
          </w:tcPr>
          <w:p w14:paraId="4F5908EB" w14:textId="77777777" w:rsidR="002A1FA8" w:rsidRPr="00DD3349" w:rsidRDefault="002A1FA8" w:rsidP="007924D2">
            <w:pPr>
              <w:spacing w:after="120"/>
              <w:jc w:val="right"/>
            </w:pPr>
            <w:r>
              <w:t>30</w:t>
            </w:r>
          </w:p>
        </w:tc>
      </w:tr>
      <w:tr w:rsidR="002A1FA8" w:rsidRPr="00DD3349" w14:paraId="6E71FCB2" w14:textId="77777777" w:rsidTr="002A1FA8">
        <w:trPr>
          <w:jc w:val="center"/>
        </w:trPr>
        <w:tc>
          <w:tcPr>
            <w:tcW w:w="9108" w:type="dxa"/>
            <w:gridSpan w:val="3"/>
            <w:shd w:val="clear" w:color="auto" w:fill="auto"/>
          </w:tcPr>
          <w:p w14:paraId="1E0B7C5A" w14:textId="6ABC8163" w:rsidR="002A1FA8" w:rsidRPr="0084511B" w:rsidRDefault="002A1FA8" w:rsidP="0084511B">
            <w:pPr>
              <w:pStyle w:val="ListParagraph"/>
              <w:numPr>
                <w:ilvl w:val="0"/>
                <w:numId w:val="12"/>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
              </w:rPr>
            </w:pPr>
            <w:r w:rsidRPr="00054806">
              <w:rPr>
                <w:lang w:val="es-ES"/>
              </w:rPr>
              <w:tab/>
            </w:r>
            <w:r w:rsidR="0084511B" w:rsidRPr="00186777">
              <w:rPr>
                <w:lang w:val="es-ES_tradnl"/>
              </w:rPr>
              <w:t>Medios de agilizar los trabajos del Comité</w:t>
            </w:r>
            <w:r w:rsidR="0084511B">
              <w:rPr>
                <w:lang w:val="es-ES_tradnl"/>
              </w:rPr>
              <w:t xml:space="preserve"> </w:t>
            </w:r>
            <w:r w:rsidRPr="0084511B">
              <w:rPr>
                <w:spacing w:val="60"/>
                <w:sz w:val="17"/>
                <w:lang w:val="es-ES"/>
              </w:rPr>
              <w:tab/>
            </w:r>
          </w:p>
        </w:tc>
        <w:tc>
          <w:tcPr>
            <w:tcW w:w="738" w:type="dxa"/>
            <w:shd w:val="clear" w:color="auto" w:fill="auto"/>
            <w:vAlign w:val="bottom"/>
          </w:tcPr>
          <w:p w14:paraId="39AE4AA2" w14:textId="77777777" w:rsidR="002A1FA8" w:rsidRPr="00DD3349" w:rsidRDefault="002A1FA8" w:rsidP="007924D2">
            <w:pPr>
              <w:spacing w:after="120"/>
              <w:jc w:val="right"/>
            </w:pPr>
            <w:r>
              <w:t>32</w:t>
            </w:r>
          </w:p>
        </w:tc>
      </w:tr>
      <w:tr w:rsidR="002A1FA8" w:rsidRPr="00DD3349" w14:paraId="0C914095" w14:textId="77777777" w:rsidTr="002A1FA8">
        <w:trPr>
          <w:jc w:val="center"/>
        </w:trPr>
        <w:tc>
          <w:tcPr>
            <w:tcW w:w="9108" w:type="dxa"/>
            <w:gridSpan w:val="3"/>
            <w:shd w:val="clear" w:color="auto" w:fill="auto"/>
          </w:tcPr>
          <w:p w14:paraId="25F81C52" w14:textId="3E257E02" w:rsidR="002A1FA8" w:rsidRPr="0084511B" w:rsidRDefault="002A1FA8" w:rsidP="002A1FA8">
            <w:pPr>
              <w:pStyle w:val="ListParagraph"/>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
              </w:rPr>
            </w:pPr>
            <w:r w:rsidRPr="00054806">
              <w:rPr>
                <w:lang w:val="es-ES"/>
              </w:rPr>
              <w:tab/>
            </w:r>
            <w:r w:rsidR="0084511B" w:rsidRPr="00186777">
              <w:rPr>
                <w:lang w:val="es-ES_tradnl"/>
              </w:rPr>
              <w:t>Información sobre la aplicación del artículo 21 de la Convención</w:t>
            </w:r>
            <w:r w:rsidRPr="0084511B">
              <w:rPr>
                <w:spacing w:val="60"/>
                <w:sz w:val="17"/>
                <w:lang w:val="es-ES"/>
              </w:rPr>
              <w:tab/>
            </w:r>
          </w:p>
        </w:tc>
        <w:tc>
          <w:tcPr>
            <w:tcW w:w="738" w:type="dxa"/>
            <w:shd w:val="clear" w:color="auto" w:fill="auto"/>
            <w:vAlign w:val="bottom"/>
          </w:tcPr>
          <w:p w14:paraId="3A633FBE" w14:textId="77777777" w:rsidR="002A1FA8" w:rsidRPr="00DD3349" w:rsidRDefault="002A1FA8" w:rsidP="007924D2">
            <w:pPr>
              <w:spacing w:after="120"/>
              <w:jc w:val="right"/>
            </w:pPr>
            <w:r>
              <w:t>33</w:t>
            </w:r>
          </w:p>
        </w:tc>
      </w:tr>
      <w:tr w:rsidR="002A1FA8" w:rsidRPr="00DD3349" w14:paraId="1FDFBDEA" w14:textId="77777777" w:rsidTr="002A1FA8">
        <w:trPr>
          <w:jc w:val="center"/>
        </w:trPr>
        <w:tc>
          <w:tcPr>
            <w:tcW w:w="9108" w:type="dxa"/>
            <w:gridSpan w:val="3"/>
            <w:shd w:val="clear" w:color="auto" w:fill="auto"/>
          </w:tcPr>
          <w:p w14:paraId="3B673E77" w14:textId="7078087A" w:rsidR="002A1FA8" w:rsidRPr="0084511B" w:rsidRDefault="002A1FA8" w:rsidP="002A1FA8">
            <w:pPr>
              <w:pStyle w:val="ListParagraph"/>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val="es-ES"/>
              </w:rPr>
            </w:pPr>
            <w:r w:rsidRPr="00054806">
              <w:rPr>
                <w:lang w:val="es-ES"/>
              </w:rPr>
              <w:tab/>
            </w:r>
            <w:r w:rsidR="0084511B" w:rsidRPr="00186777">
              <w:rPr>
                <w:lang w:val="es-ES_tradnl"/>
              </w:rPr>
              <w:t>Programa provisional del 69º período de sesiones</w:t>
            </w:r>
            <w:r w:rsidRPr="0084511B">
              <w:rPr>
                <w:spacing w:val="60"/>
                <w:sz w:val="17"/>
                <w:lang w:val="es-ES"/>
              </w:rPr>
              <w:tab/>
            </w:r>
          </w:p>
        </w:tc>
        <w:tc>
          <w:tcPr>
            <w:tcW w:w="738" w:type="dxa"/>
            <w:shd w:val="clear" w:color="auto" w:fill="auto"/>
            <w:vAlign w:val="bottom"/>
          </w:tcPr>
          <w:p w14:paraId="02D426C3" w14:textId="25237E63" w:rsidR="002A1FA8" w:rsidRPr="00DD3349" w:rsidRDefault="002A1FA8" w:rsidP="007924D2">
            <w:pPr>
              <w:spacing w:after="120"/>
              <w:jc w:val="right"/>
            </w:pPr>
            <w:r>
              <w:t>3</w:t>
            </w:r>
            <w:r w:rsidR="0084511B">
              <w:t>6</w:t>
            </w:r>
          </w:p>
        </w:tc>
      </w:tr>
      <w:tr w:rsidR="002A1FA8" w:rsidRPr="00DD3349" w14:paraId="3D9FA936" w14:textId="77777777" w:rsidTr="002A1FA8">
        <w:trPr>
          <w:jc w:val="center"/>
        </w:trPr>
        <w:tc>
          <w:tcPr>
            <w:tcW w:w="9108" w:type="dxa"/>
            <w:gridSpan w:val="3"/>
            <w:shd w:val="clear" w:color="auto" w:fill="auto"/>
          </w:tcPr>
          <w:p w14:paraId="658580E4" w14:textId="029FF610" w:rsidR="002A1FA8" w:rsidRPr="0084511B" w:rsidRDefault="002A1FA8" w:rsidP="002A1FA8">
            <w:pPr>
              <w:pStyle w:val="ListParagraph"/>
              <w:numPr>
                <w:ilvl w:val="0"/>
                <w:numId w:val="12"/>
              </w:numPr>
              <w:tabs>
                <w:tab w:val="right" w:pos="1080"/>
                <w:tab w:val="left" w:pos="1296"/>
                <w:tab w:val="left" w:pos="1728"/>
                <w:tab w:val="left" w:pos="2160"/>
                <w:tab w:val="left" w:pos="2592"/>
                <w:tab w:val="left" w:pos="3024"/>
                <w:tab w:val="right" w:leader="dot" w:pos="9360"/>
              </w:tabs>
              <w:spacing w:after="120"/>
              <w:rPr>
                <w:lang w:val="es-ES"/>
              </w:rPr>
            </w:pPr>
            <w:r w:rsidRPr="0084511B">
              <w:rPr>
                <w:lang w:val="es-ES"/>
              </w:rPr>
              <w:tab/>
            </w:r>
            <w:r w:rsidR="0084511B" w:rsidRPr="00186777">
              <w:rPr>
                <w:lang w:val="es-ES_tradnl"/>
              </w:rPr>
              <w:t>Aprobación del informe</w:t>
            </w:r>
            <w:r w:rsidRPr="0084511B">
              <w:rPr>
                <w:spacing w:val="60"/>
                <w:sz w:val="17"/>
                <w:lang w:val="es-ES"/>
              </w:rPr>
              <w:tab/>
            </w:r>
          </w:p>
        </w:tc>
        <w:tc>
          <w:tcPr>
            <w:tcW w:w="738" w:type="dxa"/>
            <w:shd w:val="clear" w:color="auto" w:fill="auto"/>
            <w:vAlign w:val="bottom"/>
          </w:tcPr>
          <w:p w14:paraId="4DAE953A" w14:textId="05B2073F" w:rsidR="002A1FA8" w:rsidRPr="00DD3349" w:rsidRDefault="002A1FA8" w:rsidP="007924D2">
            <w:pPr>
              <w:spacing w:after="120"/>
              <w:jc w:val="right"/>
            </w:pPr>
            <w:r>
              <w:t>3</w:t>
            </w:r>
            <w:r w:rsidR="0084511B">
              <w:t>7</w:t>
            </w:r>
          </w:p>
        </w:tc>
      </w:tr>
      <w:tr w:rsidR="002A1FA8" w:rsidRPr="00DD3349" w14:paraId="6EE957D9" w14:textId="77777777" w:rsidTr="002A1FA8">
        <w:trPr>
          <w:jc w:val="center"/>
        </w:trPr>
        <w:tc>
          <w:tcPr>
            <w:tcW w:w="9108" w:type="dxa"/>
            <w:gridSpan w:val="3"/>
            <w:shd w:val="clear" w:color="auto" w:fill="auto"/>
          </w:tcPr>
          <w:p w14:paraId="312B5FF9" w14:textId="1C8ADC12" w:rsidR="002A1FA8" w:rsidRPr="00DD3349" w:rsidRDefault="0084511B" w:rsidP="007924D2">
            <w:pPr>
              <w:tabs>
                <w:tab w:val="right" w:pos="1080"/>
                <w:tab w:val="left" w:pos="1296"/>
                <w:tab w:val="right" w:pos="1714"/>
                <w:tab w:val="left" w:pos="2160"/>
                <w:tab w:val="left" w:pos="2592"/>
                <w:tab w:val="left" w:pos="3024"/>
                <w:tab w:val="left" w:pos="3456"/>
              </w:tabs>
              <w:spacing w:after="120"/>
              <w:ind w:left="1080" w:hanging="648"/>
            </w:pPr>
            <w:r>
              <w:t>A</w:t>
            </w:r>
            <w:r w:rsidR="002A1FA8">
              <w:t>nex</w:t>
            </w:r>
            <w:r>
              <w:t>o</w:t>
            </w:r>
          </w:p>
        </w:tc>
        <w:tc>
          <w:tcPr>
            <w:tcW w:w="738" w:type="dxa"/>
            <w:shd w:val="clear" w:color="auto" w:fill="auto"/>
            <w:vAlign w:val="bottom"/>
          </w:tcPr>
          <w:p w14:paraId="680DA7C0" w14:textId="77777777" w:rsidR="002A1FA8" w:rsidRPr="00DD3349" w:rsidRDefault="002A1FA8" w:rsidP="007924D2">
            <w:pPr>
              <w:spacing w:after="120"/>
              <w:jc w:val="right"/>
            </w:pPr>
          </w:p>
        </w:tc>
      </w:tr>
      <w:tr w:rsidR="002A1FA8" w:rsidRPr="00DD3349" w14:paraId="193CFC50" w14:textId="77777777" w:rsidTr="002A1FA8">
        <w:trPr>
          <w:jc w:val="center"/>
        </w:trPr>
        <w:tc>
          <w:tcPr>
            <w:tcW w:w="9108" w:type="dxa"/>
            <w:gridSpan w:val="3"/>
            <w:shd w:val="clear" w:color="auto" w:fill="auto"/>
          </w:tcPr>
          <w:p w14:paraId="08DC1DA4" w14:textId="73C0461F" w:rsidR="002A1FA8" w:rsidRPr="0084511B" w:rsidRDefault="0084511B" w:rsidP="007924D2">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lang w:val="es-ES"/>
              </w:rPr>
            </w:pPr>
            <w:r w:rsidRPr="00186777">
              <w:rPr>
                <w:lang w:val="es-ES_tradnl"/>
              </w:rPr>
              <w:t>Documentos que el Comité tuvo ante sí en su 68º período de sesiones</w:t>
            </w:r>
            <w:r w:rsidR="002A1FA8" w:rsidRPr="0084511B">
              <w:rPr>
                <w:spacing w:val="60"/>
                <w:sz w:val="17"/>
                <w:lang w:val="es-ES"/>
              </w:rPr>
              <w:tab/>
            </w:r>
          </w:p>
        </w:tc>
        <w:tc>
          <w:tcPr>
            <w:tcW w:w="738" w:type="dxa"/>
            <w:shd w:val="clear" w:color="auto" w:fill="auto"/>
            <w:vAlign w:val="bottom"/>
          </w:tcPr>
          <w:p w14:paraId="7F69CF27" w14:textId="4702E62B" w:rsidR="002A1FA8" w:rsidRPr="00DD3349" w:rsidRDefault="002A1FA8" w:rsidP="007924D2">
            <w:pPr>
              <w:spacing w:after="120"/>
              <w:jc w:val="right"/>
            </w:pPr>
            <w:r>
              <w:t>3</w:t>
            </w:r>
            <w:r w:rsidR="0084511B">
              <w:t>8</w:t>
            </w:r>
          </w:p>
        </w:tc>
      </w:tr>
      <w:tr w:rsidR="002A1FA8" w:rsidRPr="00DD3349" w14:paraId="1E2F877C" w14:textId="77777777" w:rsidTr="002A1FA8">
        <w:trPr>
          <w:jc w:val="center"/>
        </w:trPr>
        <w:tc>
          <w:tcPr>
            <w:tcW w:w="9108" w:type="dxa"/>
            <w:gridSpan w:val="3"/>
            <w:shd w:val="clear" w:color="auto" w:fill="auto"/>
          </w:tcPr>
          <w:p w14:paraId="53A84754" w14:textId="41E52A86" w:rsidR="002A1FA8" w:rsidRPr="00A4615F" w:rsidRDefault="002A1FA8" w:rsidP="007924D2">
            <w:pPr>
              <w:tabs>
                <w:tab w:val="right" w:pos="1080"/>
                <w:tab w:val="left" w:pos="1296"/>
                <w:tab w:val="left" w:pos="1728"/>
                <w:tab w:val="left" w:pos="2160"/>
                <w:tab w:val="right" w:leader="dot" w:pos="9360"/>
              </w:tabs>
              <w:spacing w:after="120"/>
              <w:ind w:left="1296" w:hanging="216"/>
              <w:rPr>
                <w:b/>
                <w:spacing w:val="60"/>
                <w:sz w:val="17"/>
              </w:rPr>
            </w:pPr>
            <w:r w:rsidRPr="00054806">
              <w:tab/>
            </w:r>
            <w:r w:rsidR="00A4615F" w:rsidRPr="00A4615F">
              <w:rPr>
                <w:b/>
              </w:rPr>
              <w:t>Tercera parte</w:t>
            </w:r>
            <w:r w:rsidRPr="00A4615F">
              <w:rPr>
                <w:b/>
              </w:rPr>
              <w:br/>
            </w:r>
            <w:r w:rsidR="00A4615F" w:rsidRPr="00A4615F">
              <w:rPr>
                <w:b/>
                <w:bCs/>
                <w:lang w:val="es-ES_tradnl"/>
              </w:rPr>
              <w:t>Informe del Comité para la Eliminación de la Discriminación contra la Mujer sobre su 69º período de sesiones</w:t>
            </w:r>
            <w:r w:rsidRPr="00A4615F">
              <w:rPr>
                <w:spacing w:val="60"/>
                <w:sz w:val="17"/>
              </w:rPr>
              <w:tab/>
            </w:r>
          </w:p>
        </w:tc>
        <w:tc>
          <w:tcPr>
            <w:tcW w:w="738" w:type="dxa"/>
            <w:shd w:val="clear" w:color="auto" w:fill="auto"/>
            <w:vAlign w:val="bottom"/>
          </w:tcPr>
          <w:p w14:paraId="79C5392E" w14:textId="00552ECB" w:rsidR="002A1FA8" w:rsidRPr="00DD3349" w:rsidRDefault="002A1FA8" w:rsidP="007924D2">
            <w:pPr>
              <w:spacing w:after="120"/>
              <w:jc w:val="right"/>
            </w:pPr>
            <w:r>
              <w:t>3</w:t>
            </w:r>
            <w:r w:rsidR="00A4615F">
              <w:t>9</w:t>
            </w:r>
          </w:p>
        </w:tc>
      </w:tr>
      <w:tr w:rsidR="002A1FA8" w:rsidRPr="00DD3349" w14:paraId="3429652E" w14:textId="77777777" w:rsidTr="002A1FA8">
        <w:trPr>
          <w:jc w:val="center"/>
        </w:trPr>
        <w:tc>
          <w:tcPr>
            <w:tcW w:w="9108" w:type="dxa"/>
            <w:gridSpan w:val="3"/>
            <w:shd w:val="clear" w:color="auto" w:fill="auto"/>
          </w:tcPr>
          <w:p w14:paraId="206D5792" w14:textId="4D1BDAF6" w:rsidR="002A1FA8" w:rsidRPr="00A4615F" w:rsidRDefault="002A1FA8" w:rsidP="007924D2">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31"/>
              <w:rPr>
                <w:spacing w:val="60"/>
                <w:sz w:val="17"/>
              </w:rPr>
            </w:pPr>
            <w:r w:rsidRPr="00A4615F">
              <w:tab/>
              <w:t>I.</w:t>
            </w:r>
            <w:r w:rsidRPr="00A4615F">
              <w:tab/>
            </w:r>
            <w:r w:rsidR="00A4615F" w:rsidRPr="00186777">
              <w:rPr>
                <w:lang w:val="es-ES_tradnl"/>
              </w:rPr>
              <w:t>Decisiones adoptadas por el Comité</w:t>
            </w:r>
            <w:r w:rsidRPr="00A4615F">
              <w:rPr>
                <w:spacing w:val="60"/>
                <w:sz w:val="17"/>
              </w:rPr>
              <w:tab/>
            </w:r>
          </w:p>
        </w:tc>
        <w:tc>
          <w:tcPr>
            <w:tcW w:w="738" w:type="dxa"/>
            <w:shd w:val="clear" w:color="auto" w:fill="auto"/>
            <w:vAlign w:val="bottom"/>
          </w:tcPr>
          <w:p w14:paraId="1DC5465F" w14:textId="35FB0DAA" w:rsidR="002A1FA8" w:rsidRPr="00DD3349" w:rsidRDefault="00A4615F" w:rsidP="007924D2">
            <w:pPr>
              <w:spacing w:after="120"/>
              <w:jc w:val="right"/>
            </w:pPr>
            <w:r>
              <w:t>40</w:t>
            </w:r>
          </w:p>
        </w:tc>
      </w:tr>
      <w:tr w:rsidR="002A1FA8" w:rsidRPr="00DD3349" w14:paraId="3C8ECD02" w14:textId="77777777" w:rsidTr="002A1FA8">
        <w:trPr>
          <w:jc w:val="center"/>
        </w:trPr>
        <w:tc>
          <w:tcPr>
            <w:tcW w:w="9108" w:type="dxa"/>
            <w:gridSpan w:val="3"/>
            <w:shd w:val="clear" w:color="auto" w:fill="auto"/>
          </w:tcPr>
          <w:p w14:paraId="331B782B" w14:textId="4396A701" w:rsidR="002A1FA8" w:rsidRPr="00A4615F" w:rsidRDefault="002A1FA8" w:rsidP="007924D2">
            <w:pPr>
              <w:tabs>
                <w:tab w:val="right" w:pos="1080"/>
                <w:tab w:val="left" w:pos="1296"/>
                <w:tab w:val="left" w:pos="1728"/>
                <w:tab w:val="left" w:pos="2160"/>
                <w:tab w:val="left" w:pos="2592"/>
                <w:tab w:val="left" w:pos="3024"/>
                <w:tab w:val="left" w:pos="3456"/>
                <w:tab w:val="left" w:pos="3888"/>
                <w:tab w:val="right" w:leader="dot" w:pos="9360"/>
              </w:tabs>
              <w:spacing w:after="120"/>
              <w:ind w:left="31"/>
              <w:rPr>
                <w:spacing w:val="60"/>
                <w:sz w:val="17"/>
              </w:rPr>
            </w:pPr>
            <w:r w:rsidRPr="00A4615F">
              <w:tab/>
              <w:t>II.</w:t>
            </w:r>
            <w:r w:rsidRPr="00A4615F">
              <w:tab/>
            </w:r>
            <w:r w:rsidR="00A4615F" w:rsidRPr="00186777">
              <w:rPr>
                <w:lang w:val="es-ES_tradnl"/>
              </w:rPr>
              <w:t>Cuestiones de organización y otros asuntos</w:t>
            </w:r>
            <w:r w:rsidRPr="00A4615F">
              <w:rPr>
                <w:spacing w:val="60"/>
                <w:sz w:val="17"/>
              </w:rPr>
              <w:tab/>
            </w:r>
          </w:p>
        </w:tc>
        <w:tc>
          <w:tcPr>
            <w:tcW w:w="738" w:type="dxa"/>
            <w:shd w:val="clear" w:color="auto" w:fill="auto"/>
            <w:vAlign w:val="bottom"/>
          </w:tcPr>
          <w:p w14:paraId="3FDDD706" w14:textId="79BB514F" w:rsidR="002A1FA8" w:rsidRPr="00DD3349" w:rsidRDefault="002A1FA8" w:rsidP="007924D2">
            <w:pPr>
              <w:spacing w:after="120"/>
              <w:jc w:val="right"/>
            </w:pPr>
            <w:r>
              <w:t>4</w:t>
            </w:r>
            <w:r w:rsidR="00A4615F">
              <w:t>3</w:t>
            </w:r>
          </w:p>
        </w:tc>
      </w:tr>
      <w:tr w:rsidR="002A1FA8" w:rsidRPr="00DD3349" w14:paraId="7873D4C7" w14:textId="77777777" w:rsidTr="002A1FA8">
        <w:trPr>
          <w:jc w:val="center"/>
        </w:trPr>
        <w:tc>
          <w:tcPr>
            <w:tcW w:w="9108" w:type="dxa"/>
            <w:gridSpan w:val="3"/>
            <w:shd w:val="clear" w:color="auto" w:fill="auto"/>
          </w:tcPr>
          <w:p w14:paraId="4D5B98AC" w14:textId="78C7A27A" w:rsidR="002A1FA8" w:rsidRPr="00A4615F" w:rsidRDefault="00A4615F" w:rsidP="002A1FA8">
            <w:pPr>
              <w:pStyle w:val="ListParagraph"/>
              <w:numPr>
                <w:ilvl w:val="1"/>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lang w:val="es-ES"/>
              </w:rPr>
            </w:pPr>
            <w:r w:rsidRPr="00186777">
              <w:rPr>
                <w:lang w:val="es-ES_tradnl"/>
              </w:rPr>
              <w:t>Estados partes en la Convención y en el Protocolo Facultativo</w:t>
            </w:r>
            <w:r w:rsidR="002A1FA8" w:rsidRPr="00A4615F">
              <w:rPr>
                <w:spacing w:val="60"/>
                <w:sz w:val="17"/>
                <w:lang w:val="es-ES"/>
              </w:rPr>
              <w:tab/>
            </w:r>
          </w:p>
        </w:tc>
        <w:tc>
          <w:tcPr>
            <w:tcW w:w="738" w:type="dxa"/>
            <w:shd w:val="clear" w:color="auto" w:fill="auto"/>
            <w:vAlign w:val="bottom"/>
          </w:tcPr>
          <w:p w14:paraId="4DFCDB3F" w14:textId="65D3CFDD" w:rsidR="002A1FA8" w:rsidRPr="00DD3349" w:rsidRDefault="002A1FA8" w:rsidP="007924D2">
            <w:pPr>
              <w:spacing w:after="120"/>
              <w:jc w:val="right"/>
            </w:pPr>
            <w:r>
              <w:t>4</w:t>
            </w:r>
            <w:r w:rsidR="00A4615F">
              <w:t>3</w:t>
            </w:r>
          </w:p>
        </w:tc>
      </w:tr>
      <w:tr w:rsidR="002A1FA8" w:rsidRPr="00DD3349" w14:paraId="052B1EDB" w14:textId="77777777" w:rsidTr="002A1FA8">
        <w:trPr>
          <w:jc w:val="center"/>
        </w:trPr>
        <w:tc>
          <w:tcPr>
            <w:tcW w:w="9108" w:type="dxa"/>
            <w:gridSpan w:val="3"/>
            <w:shd w:val="clear" w:color="auto" w:fill="auto"/>
          </w:tcPr>
          <w:p w14:paraId="0EB6CEC8" w14:textId="532B9D8F" w:rsidR="002A1FA8" w:rsidRPr="00A4615F" w:rsidRDefault="00A4615F" w:rsidP="002A1FA8">
            <w:pPr>
              <w:pStyle w:val="ListParagraph"/>
              <w:numPr>
                <w:ilvl w:val="1"/>
                <w:numId w:val="13"/>
              </w:numPr>
              <w:tabs>
                <w:tab w:val="right" w:pos="1080"/>
                <w:tab w:val="left" w:pos="1296"/>
                <w:tab w:val="left" w:pos="1728"/>
                <w:tab w:val="left" w:pos="2160"/>
                <w:tab w:val="left" w:pos="2592"/>
                <w:tab w:val="left" w:pos="3024"/>
                <w:tab w:val="left" w:pos="3456"/>
                <w:tab w:val="right" w:leader="dot" w:pos="9360"/>
              </w:tabs>
              <w:spacing w:after="120"/>
              <w:rPr>
                <w:lang w:val="es-ES"/>
              </w:rPr>
            </w:pPr>
            <w:r w:rsidRPr="00186777">
              <w:rPr>
                <w:lang w:val="es-ES_tradnl"/>
              </w:rPr>
              <w:t>Apertura del período de sesiones</w:t>
            </w:r>
            <w:r w:rsidR="002A1FA8" w:rsidRPr="00A4615F">
              <w:rPr>
                <w:spacing w:val="60"/>
                <w:sz w:val="17"/>
                <w:lang w:val="es-ES"/>
              </w:rPr>
              <w:tab/>
            </w:r>
          </w:p>
        </w:tc>
        <w:tc>
          <w:tcPr>
            <w:tcW w:w="738" w:type="dxa"/>
            <w:shd w:val="clear" w:color="auto" w:fill="auto"/>
            <w:vAlign w:val="bottom"/>
          </w:tcPr>
          <w:p w14:paraId="16278522" w14:textId="139949F3" w:rsidR="002A1FA8" w:rsidRPr="00DD3349" w:rsidRDefault="002A1FA8" w:rsidP="007924D2">
            <w:pPr>
              <w:spacing w:after="120"/>
              <w:jc w:val="right"/>
            </w:pPr>
            <w:r>
              <w:t>4</w:t>
            </w:r>
            <w:r w:rsidR="00A4615F">
              <w:t>3</w:t>
            </w:r>
          </w:p>
        </w:tc>
      </w:tr>
      <w:tr w:rsidR="002A1FA8" w:rsidRPr="00DD3349" w14:paraId="2A52E138" w14:textId="77777777" w:rsidTr="002A1FA8">
        <w:trPr>
          <w:jc w:val="center"/>
        </w:trPr>
        <w:tc>
          <w:tcPr>
            <w:tcW w:w="9108" w:type="dxa"/>
            <w:gridSpan w:val="3"/>
            <w:shd w:val="clear" w:color="auto" w:fill="auto"/>
          </w:tcPr>
          <w:p w14:paraId="624B5F32" w14:textId="64FB8E6C" w:rsidR="002A1FA8" w:rsidRPr="00DD3349" w:rsidRDefault="00A4615F" w:rsidP="002A1FA8">
            <w:pPr>
              <w:pStyle w:val="ListParagraph"/>
              <w:numPr>
                <w:ilvl w:val="1"/>
                <w:numId w:val="13"/>
              </w:numPr>
              <w:tabs>
                <w:tab w:val="right" w:pos="1080"/>
                <w:tab w:val="left" w:pos="1296"/>
                <w:tab w:val="left" w:pos="1728"/>
                <w:tab w:val="left" w:pos="2160"/>
                <w:tab w:val="left" w:pos="2592"/>
                <w:tab w:val="left" w:pos="3024"/>
                <w:tab w:val="left" w:pos="3456"/>
                <w:tab w:val="right" w:leader="dot" w:pos="9360"/>
              </w:tabs>
              <w:spacing w:after="120"/>
            </w:pPr>
            <w:r w:rsidRPr="00186777">
              <w:rPr>
                <w:lang w:val="es-ES_tradnl"/>
              </w:rPr>
              <w:t>Aprobación del</w:t>
            </w:r>
            <w:r>
              <w:rPr>
                <w:lang w:val="es-ES_tradnl"/>
              </w:rPr>
              <w:t xml:space="preserve"> program</w:t>
            </w:r>
            <w:r w:rsidRPr="00186777">
              <w:rPr>
                <w:lang w:val="es-ES_tradnl"/>
              </w:rPr>
              <w:t>a</w:t>
            </w:r>
            <w:r w:rsidR="002A1FA8" w:rsidRPr="00DD3349">
              <w:rPr>
                <w:spacing w:val="60"/>
                <w:sz w:val="17"/>
              </w:rPr>
              <w:tab/>
            </w:r>
          </w:p>
        </w:tc>
        <w:tc>
          <w:tcPr>
            <w:tcW w:w="738" w:type="dxa"/>
            <w:shd w:val="clear" w:color="auto" w:fill="auto"/>
            <w:vAlign w:val="bottom"/>
          </w:tcPr>
          <w:p w14:paraId="008FDE61" w14:textId="1A54463F" w:rsidR="002A1FA8" w:rsidRPr="00DD3349" w:rsidRDefault="002A1FA8" w:rsidP="007924D2">
            <w:pPr>
              <w:spacing w:after="120"/>
              <w:jc w:val="right"/>
            </w:pPr>
            <w:r>
              <w:t>4</w:t>
            </w:r>
            <w:r w:rsidR="00A4615F">
              <w:t>3</w:t>
            </w:r>
          </w:p>
        </w:tc>
      </w:tr>
      <w:tr w:rsidR="002A1FA8" w:rsidRPr="00DD3349" w14:paraId="1B82994F" w14:textId="77777777" w:rsidTr="002A1FA8">
        <w:trPr>
          <w:jc w:val="center"/>
        </w:trPr>
        <w:tc>
          <w:tcPr>
            <w:tcW w:w="9108" w:type="dxa"/>
            <w:gridSpan w:val="3"/>
            <w:shd w:val="clear" w:color="auto" w:fill="auto"/>
          </w:tcPr>
          <w:p w14:paraId="4896DABD" w14:textId="10D6972C" w:rsidR="002A1FA8" w:rsidRPr="00A4615F" w:rsidRDefault="00A4615F" w:rsidP="002A1FA8">
            <w:pPr>
              <w:pStyle w:val="ListParagraph"/>
              <w:numPr>
                <w:ilvl w:val="1"/>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
              </w:rPr>
            </w:pPr>
            <w:r w:rsidRPr="00186777">
              <w:rPr>
                <w:lang w:val="es-ES_tradnl"/>
              </w:rPr>
              <w:t>Informe del grupo de trabajo anterior al período de sesiones</w:t>
            </w:r>
            <w:r w:rsidR="002A1FA8" w:rsidRPr="00A4615F">
              <w:rPr>
                <w:spacing w:val="60"/>
                <w:sz w:val="17"/>
                <w:lang w:val="es-ES"/>
              </w:rPr>
              <w:tab/>
            </w:r>
          </w:p>
        </w:tc>
        <w:tc>
          <w:tcPr>
            <w:tcW w:w="738" w:type="dxa"/>
            <w:shd w:val="clear" w:color="auto" w:fill="auto"/>
            <w:vAlign w:val="bottom"/>
          </w:tcPr>
          <w:p w14:paraId="5E526F3E" w14:textId="7E93CAC2" w:rsidR="002A1FA8" w:rsidRPr="00DD3349" w:rsidRDefault="002A1FA8" w:rsidP="007924D2">
            <w:pPr>
              <w:spacing w:after="120"/>
              <w:jc w:val="right"/>
            </w:pPr>
            <w:r>
              <w:t>4</w:t>
            </w:r>
            <w:r w:rsidR="00A4615F">
              <w:t>3</w:t>
            </w:r>
          </w:p>
        </w:tc>
      </w:tr>
      <w:tr w:rsidR="002A1FA8" w:rsidRPr="00DD3349" w14:paraId="60AB246B" w14:textId="77777777" w:rsidTr="002A1FA8">
        <w:trPr>
          <w:jc w:val="center"/>
        </w:trPr>
        <w:tc>
          <w:tcPr>
            <w:tcW w:w="9108" w:type="dxa"/>
            <w:gridSpan w:val="3"/>
            <w:shd w:val="clear" w:color="auto" w:fill="auto"/>
          </w:tcPr>
          <w:p w14:paraId="7C4021DE" w14:textId="5AD65A33" w:rsidR="002A1FA8" w:rsidRPr="00DD3349" w:rsidRDefault="00A4615F" w:rsidP="002A1FA8">
            <w:pPr>
              <w:pStyle w:val="ListParagraph"/>
              <w:numPr>
                <w:ilvl w:val="1"/>
                <w:numId w:val="13"/>
              </w:numPr>
              <w:tabs>
                <w:tab w:val="right" w:pos="1080"/>
                <w:tab w:val="left" w:pos="1296"/>
                <w:tab w:val="left" w:pos="1728"/>
                <w:tab w:val="left" w:pos="2160"/>
                <w:tab w:val="left" w:pos="2592"/>
                <w:tab w:val="left" w:pos="3024"/>
                <w:tab w:val="left" w:pos="3456"/>
                <w:tab w:val="right" w:leader="dot" w:pos="9360"/>
              </w:tabs>
              <w:spacing w:after="120"/>
            </w:pPr>
            <w:r w:rsidRPr="00186777">
              <w:rPr>
                <w:lang w:val="es-ES_tradnl"/>
              </w:rPr>
              <w:t>Organización de los trabajos</w:t>
            </w:r>
            <w:r w:rsidR="002A1FA8" w:rsidRPr="00DD3349">
              <w:rPr>
                <w:spacing w:val="60"/>
                <w:sz w:val="17"/>
              </w:rPr>
              <w:tab/>
            </w:r>
          </w:p>
        </w:tc>
        <w:tc>
          <w:tcPr>
            <w:tcW w:w="738" w:type="dxa"/>
            <w:shd w:val="clear" w:color="auto" w:fill="auto"/>
            <w:vAlign w:val="bottom"/>
          </w:tcPr>
          <w:p w14:paraId="43604E5D" w14:textId="76CCD6A9" w:rsidR="002A1FA8" w:rsidRPr="00DD3349" w:rsidRDefault="00A4615F" w:rsidP="007924D2">
            <w:pPr>
              <w:spacing w:after="120"/>
              <w:jc w:val="right"/>
            </w:pPr>
            <w:r>
              <w:t>43</w:t>
            </w:r>
          </w:p>
        </w:tc>
      </w:tr>
      <w:tr w:rsidR="002A1FA8" w:rsidRPr="00DD3349" w14:paraId="4E2DE6B4" w14:textId="77777777" w:rsidTr="002A1FA8">
        <w:trPr>
          <w:jc w:val="center"/>
        </w:trPr>
        <w:tc>
          <w:tcPr>
            <w:tcW w:w="9108" w:type="dxa"/>
            <w:gridSpan w:val="3"/>
            <w:shd w:val="clear" w:color="auto" w:fill="auto"/>
          </w:tcPr>
          <w:p w14:paraId="20A10686" w14:textId="4F0375CD" w:rsidR="002A1FA8" w:rsidRPr="00DD3349" w:rsidRDefault="00A4615F" w:rsidP="00A4615F">
            <w:pPr>
              <w:pStyle w:val="ListParagraph"/>
              <w:numPr>
                <w:ilvl w:val="1"/>
                <w:numId w:val="13"/>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186777">
              <w:rPr>
                <w:lang w:val="es-ES_tradnl"/>
              </w:rPr>
              <w:t>Composición del Comité</w:t>
            </w:r>
            <w:r w:rsidR="002A1FA8" w:rsidRPr="00DD3349">
              <w:rPr>
                <w:spacing w:val="60"/>
                <w:sz w:val="17"/>
              </w:rPr>
              <w:tab/>
            </w:r>
            <w:r>
              <w:rPr>
                <w:spacing w:val="60"/>
                <w:sz w:val="17"/>
              </w:rPr>
              <w:t xml:space="preserve"> </w:t>
            </w:r>
            <w:r>
              <w:rPr>
                <w:spacing w:val="60"/>
                <w:sz w:val="17"/>
              </w:rPr>
              <w:tab/>
            </w:r>
          </w:p>
        </w:tc>
        <w:tc>
          <w:tcPr>
            <w:tcW w:w="738" w:type="dxa"/>
            <w:shd w:val="clear" w:color="auto" w:fill="auto"/>
            <w:vAlign w:val="bottom"/>
          </w:tcPr>
          <w:p w14:paraId="5C83FA80" w14:textId="42AA2E27" w:rsidR="002A1FA8" w:rsidRPr="00DD3349" w:rsidRDefault="002A1FA8" w:rsidP="007924D2">
            <w:pPr>
              <w:spacing w:after="120"/>
              <w:jc w:val="right"/>
            </w:pPr>
            <w:r>
              <w:t>4</w:t>
            </w:r>
            <w:r w:rsidR="00A4615F">
              <w:t>4</w:t>
            </w:r>
          </w:p>
        </w:tc>
      </w:tr>
      <w:tr w:rsidR="002A1FA8" w:rsidRPr="00DD3349" w14:paraId="598B28C1" w14:textId="77777777" w:rsidTr="002A1FA8">
        <w:trPr>
          <w:jc w:val="center"/>
        </w:trPr>
        <w:tc>
          <w:tcPr>
            <w:tcW w:w="9108" w:type="dxa"/>
            <w:gridSpan w:val="3"/>
            <w:shd w:val="clear" w:color="auto" w:fill="auto"/>
          </w:tcPr>
          <w:p w14:paraId="51F857F0" w14:textId="113080DB" w:rsidR="002A1FA8" w:rsidRPr="00A4615F" w:rsidRDefault="002A1FA8" w:rsidP="007924D2">
            <w:pPr>
              <w:tabs>
                <w:tab w:val="right" w:pos="1080"/>
                <w:tab w:val="left" w:pos="1296"/>
                <w:tab w:val="left" w:pos="1728"/>
                <w:tab w:val="left" w:pos="2160"/>
                <w:tab w:val="left" w:pos="2592"/>
                <w:tab w:val="left" w:pos="3024"/>
                <w:tab w:val="left" w:pos="3456"/>
                <w:tab w:val="left" w:pos="3888"/>
                <w:tab w:val="right" w:leader="dot" w:pos="9360"/>
              </w:tabs>
              <w:spacing w:after="120"/>
              <w:ind w:left="31"/>
            </w:pPr>
            <w:r w:rsidRPr="00A4615F">
              <w:tab/>
              <w:t>III.</w:t>
            </w:r>
            <w:r w:rsidRPr="00A4615F">
              <w:tab/>
            </w:r>
            <w:r w:rsidR="00A4615F" w:rsidRPr="00186777">
              <w:rPr>
                <w:lang w:val="es-ES_tradnl"/>
              </w:rPr>
              <w:t>Informe de la Presidenta sobre las actividades realizadas entre períodos de sesiones</w:t>
            </w:r>
            <w:r w:rsidRPr="00A4615F">
              <w:rPr>
                <w:spacing w:val="60"/>
                <w:sz w:val="17"/>
              </w:rPr>
              <w:tab/>
            </w:r>
          </w:p>
        </w:tc>
        <w:tc>
          <w:tcPr>
            <w:tcW w:w="738" w:type="dxa"/>
            <w:shd w:val="clear" w:color="auto" w:fill="auto"/>
            <w:vAlign w:val="bottom"/>
          </w:tcPr>
          <w:p w14:paraId="3F527624" w14:textId="4638DC8E" w:rsidR="002A1FA8" w:rsidRPr="00DD3349" w:rsidRDefault="002A1FA8" w:rsidP="007924D2">
            <w:pPr>
              <w:spacing w:after="120"/>
              <w:jc w:val="right"/>
            </w:pPr>
            <w:r>
              <w:t>4</w:t>
            </w:r>
            <w:r w:rsidR="00A4615F">
              <w:t>5</w:t>
            </w:r>
          </w:p>
        </w:tc>
      </w:tr>
      <w:tr w:rsidR="002A1FA8" w:rsidRPr="00DD3349" w14:paraId="2746E43B" w14:textId="77777777" w:rsidTr="002A1FA8">
        <w:trPr>
          <w:jc w:val="center"/>
        </w:trPr>
        <w:tc>
          <w:tcPr>
            <w:tcW w:w="9108" w:type="dxa"/>
            <w:gridSpan w:val="3"/>
            <w:shd w:val="clear" w:color="auto" w:fill="auto"/>
          </w:tcPr>
          <w:p w14:paraId="4AA7609C" w14:textId="605EB6EF" w:rsidR="002A1FA8" w:rsidRPr="003D45B3" w:rsidRDefault="002A1FA8" w:rsidP="003D45B3">
            <w:pPr>
              <w:tabs>
                <w:tab w:val="right" w:pos="1080"/>
                <w:tab w:val="left" w:pos="1300"/>
                <w:tab w:val="left" w:pos="1740"/>
                <w:tab w:val="left" w:pos="2180"/>
                <w:tab w:val="right" w:leader="dot" w:pos="9245"/>
              </w:tabs>
              <w:spacing w:after="120"/>
              <w:ind w:left="1296" w:hanging="1265"/>
              <w:rPr>
                <w:spacing w:val="60"/>
                <w:sz w:val="17"/>
              </w:rPr>
            </w:pPr>
            <w:r w:rsidRPr="003D45B3">
              <w:tab/>
              <w:t>IV.</w:t>
            </w:r>
            <w:r w:rsidRPr="003D45B3">
              <w:tab/>
            </w:r>
            <w:r w:rsidR="003D45B3" w:rsidRPr="00186777">
              <w:rPr>
                <w:lang w:val="es-ES_tradnl"/>
              </w:rPr>
              <w:t>Examen de los informes presentados por los Estados partes en virtud del artículo 18 de la Convención</w:t>
            </w:r>
            <w:r w:rsidR="003D45B3">
              <w:rPr>
                <w:spacing w:val="60"/>
                <w:sz w:val="17"/>
              </w:rPr>
              <w:tab/>
            </w:r>
          </w:p>
        </w:tc>
        <w:tc>
          <w:tcPr>
            <w:tcW w:w="738" w:type="dxa"/>
            <w:shd w:val="clear" w:color="auto" w:fill="auto"/>
            <w:vAlign w:val="bottom"/>
          </w:tcPr>
          <w:p w14:paraId="12321B1D" w14:textId="637E6943" w:rsidR="002A1FA8" w:rsidRPr="00DD3349" w:rsidRDefault="002A1FA8" w:rsidP="007924D2">
            <w:pPr>
              <w:spacing w:after="120"/>
              <w:jc w:val="right"/>
            </w:pPr>
            <w:r>
              <w:t>4</w:t>
            </w:r>
            <w:r w:rsidR="00A4615F">
              <w:t>6</w:t>
            </w:r>
          </w:p>
        </w:tc>
      </w:tr>
      <w:tr w:rsidR="002A1FA8" w:rsidRPr="00DD3349" w14:paraId="32CD639A" w14:textId="77777777" w:rsidTr="002A1FA8">
        <w:trPr>
          <w:jc w:val="center"/>
        </w:trPr>
        <w:tc>
          <w:tcPr>
            <w:tcW w:w="9108" w:type="dxa"/>
            <w:gridSpan w:val="3"/>
            <w:shd w:val="clear" w:color="auto" w:fill="auto"/>
          </w:tcPr>
          <w:p w14:paraId="65AE63DA" w14:textId="5395A7D2" w:rsidR="002A1FA8" w:rsidRPr="003D45B3" w:rsidRDefault="002A1FA8" w:rsidP="007924D2">
            <w:pPr>
              <w:tabs>
                <w:tab w:val="right" w:pos="1080"/>
                <w:tab w:val="left" w:pos="1296"/>
                <w:tab w:val="left" w:pos="1728"/>
                <w:tab w:val="left" w:pos="2160"/>
                <w:tab w:val="left" w:pos="2592"/>
                <w:tab w:val="left" w:pos="3024"/>
                <w:tab w:val="left" w:pos="3456"/>
                <w:tab w:val="left" w:pos="3888"/>
                <w:tab w:val="right" w:leader="dot" w:pos="9360"/>
              </w:tabs>
              <w:spacing w:after="120"/>
              <w:ind w:left="31"/>
            </w:pPr>
            <w:r w:rsidRPr="003D45B3">
              <w:tab/>
              <w:t>V.</w:t>
            </w:r>
            <w:r w:rsidRPr="003D45B3">
              <w:tab/>
            </w:r>
            <w:r w:rsidR="003D45B3" w:rsidRPr="00186777">
              <w:rPr>
                <w:lang w:val="es-ES_tradnl"/>
              </w:rPr>
              <w:t>Actividades llevadas a cabo en virtud del Protocolo Facultativo</w:t>
            </w:r>
            <w:r w:rsidRPr="003D45B3">
              <w:rPr>
                <w:spacing w:val="60"/>
                <w:sz w:val="17"/>
              </w:rPr>
              <w:tab/>
            </w:r>
          </w:p>
        </w:tc>
        <w:tc>
          <w:tcPr>
            <w:tcW w:w="738" w:type="dxa"/>
            <w:shd w:val="clear" w:color="auto" w:fill="auto"/>
            <w:vAlign w:val="bottom"/>
          </w:tcPr>
          <w:p w14:paraId="6E3999C7" w14:textId="20F97162" w:rsidR="002A1FA8" w:rsidRPr="00DD3349" w:rsidRDefault="002A1FA8" w:rsidP="007924D2">
            <w:pPr>
              <w:spacing w:after="120"/>
              <w:jc w:val="right"/>
            </w:pPr>
            <w:r>
              <w:t>4</w:t>
            </w:r>
            <w:r w:rsidR="00A4615F">
              <w:t>7</w:t>
            </w:r>
          </w:p>
        </w:tc>
      </w:tr>
      <w:tr w:rsidR="002A1FA8" w:rsidRPr="00DD3349" w14:paraId="517E986D" w14:textId="77777777" w:rsidTr="002A1FA8">
        <w:trPr>
          <w:jc w:val="center"/>
        </w:trPr>
        <w:tc>
          <w:tcPr>
            <w:tcW w:w="9108" w:type="dxa"/>
            <w:gridSpan w:val="3"/>
            <w:shd w:val="clear" w:color="auto" w:fill="auto"/>
          </w:tcPr>
          <w:p w14:paraId="0C72CB9D" w14:textId="613B3E9D" w:rsidR="002A1FA8" w:rsidRPr="003D45B3" w:rsidRDefault="003D45B3" w:rsidP="002A1FA8">
            <w:pPr>
              <w:pStyle w:val="ListParagraph"/>
              <w:numPr>
                <w:ilvl w:val="1"/>
                <w:numId w:val="14"/>
              </w:numPr>
              <w:tabs>
                <w:tab w:val="right" w:pos="1080"/>
                <w:tab w:val="left" w:pos="1296"/>
                <w:tab w:val="left" w:pos="2160"/>
                <w:tab w:val="left" w:pos="2592"/>
                <w:tab w:val="left" w:pos="3024"/>
                <w:tab w:val="right" w:leader="dot" w:pos="9360"/>
              </w:tabs>
              <w:spacing w:after="120"/>
              <w:rPr>
                <w:lang w:val="es-ES"/>
              </w:rPr>
            </w:pPr>
            <w:r w:rsidRPr="00186777">
              <w:rPr>
                <w:lang w:val="es-ES_tradnl"/>
              </w:rPr>
              <w:t>Medidas adoptadas por el Comité con respecto a las cuestiones previstas en el artículo 2 del Protocolo Facultativo</w:t>
            </w:r>
            <w:r w:rsidR="002A1FA8" w:rsidRPr="003D45B3">
              <w:rPr>
                <w:spacing w:val="60"/>
                <w:sz w:val="17"/>
                <w:lang w:val="es-ES"/>
              </w:rPr>
              <w:tab/>
            </w:r>
          </w:p>
        </w:tc>
        <w:tc>
          <w:tcPr>
            <w:tcW w:w="738" w:type="dxa"/>
            <w:shd w:val="clear" w:color="auto" w:fill="auto"/>
            <w:vAlign w:val="bottom"/>
          </w:tcPr>
          <w:p w14:paraId="2AF9F025" w14:textId="2EC3082C" w:rsidR="002A1FA8" w:rsidRPr="00DD3349" w:rsidRDefault="002A1FA8" w:rsidP="007924D2">
            <w:pPr>
              <w:spacing w:after="120"/>
              <w:jc w:val="right"/>
            </w:pPr>
            <w:r>
              <w:t>4</w:t>
            </w:r>
            <w:r w:rsidR="00A4615F">
              <w:t>7</w:t>
            </w:r>
          </w:p>
        </w:tc>
      </w:tr>
      <w:tr w:rsidR="002A1FA8" w:rsidRPr="00DD3349" w14:paraId="47238E86" w14:textId="77777777" w:rsidTr="002A1FA8">
        <w:trPr>
          <w:jc w:val="center"/>
        </w:trPr>
        <w:tc>
          <w:tcPr>
            <w:tcW w:w="9108" w:type="dxa"/>
            <w:gridSpan w:val="3"/>
            <w:shd w:val="clear" w:color="auto" w:fill="auto"/>
          </w:tcPr>
          <w:p w14:paraId="00AA7767" w14:textId="6D91CEB4" w:rsidR="002A1FA8" w:rsidRPr="003D45B3" w:rsidRDefault="003D45B3" w:rsidP="002A1FA8">
            <w:pPr>
              <w:pStyle w:val="ListParagraph"/>
              <w:numPr>
                <w:ilvl w:val="1"/>
                <w:numId w:val="14"/>
              </w:numPr>
              <w:tabs>
                <w:tab w:val="righ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rPr>
                <w:lang w:val="es-ES"/>
              </w:rPr>
            </w:pPr>
            <w:r w:rsidRPr="00186777">
              <w:rPr>
                <w:lang w:val="es-ES_tradnl"/>
              </w:rPr>
              <w:t>Seguimiento de los dictámenes del Comité sobre comunicaciones individuales</w:t>
            </w:r>
            <w:r w:rsidR="002A1FA8" w:rsidRPr="003D45B3">
              <w:rPr>
                <w:spacing w:val="60"/>
                <w:sz w:val="17"/>
                <w:lang w:val="es-ES"/>
              </w:rPr>
              <w:tab/>
            </w:r>
          </w:p>
        </w:tc>
        <w:tc>
          <w:tcPr>
            <w:tcW w:w="738" w:type="dxa"/>
            <w:shd w:val="clear" w:color="auto" w:fill="auto"/>
            <w:vAlign w:val="bottom"/>
          </w:tcPr>
          <w:p w14:paraId="26B349D1" w14:textId="2FD4B3CF" w:rsidR="002A1FA8" w:rsidRPr="00DD3349" w:rsidRDefault="002A1FA8" w:rsidP="007924D2">
            <w:pPr>
              <w:spacing w:after="120"/>
              <w:jc w:val="right"/>
            </w:pPr>
            <w:r>
              <w:t>4</w:t>
            </w:r>
            <w:r w:rsidR="00A4615F">
              <w:t>7</w:t>
            </w:r>
          </w:p>
        </w:tc>
      </w:tr>
      <w:tr w:rsidR="002A1FA8" w:rsidRPr="00DD3349" w14:paraId="398390EB" w14:textId="77777777" w:rsidTr="002A1FA8">
        <w:trPr>
          <w:jc w:val="center"/>
        </w:trPr>
        <w:tc>
          <w:tcPr>
            <w:tcW w:w="9108" w:type="dxa"/>
            <w:gridSpan w:val="3"/>
            <w:shd w:val="clear" w:color="auto" w:fill="auto"/>
          </w:tcPr>
          <w:p w14:paraId="3A1F877B" w14:textId="7EDDFF01" w:rsidR="002A1FA8" w:rsidRPr="003D45B3" w:rsidRDefault="003D45B3" w:rsidP="002A1FA8">
            <w:pPr>
              <w:pStyle w:val="ListParagraph"/>
              <w:numPr>
                <w:ilvl w:val="1"/>
                <w:numId w:val="14"/>
              </w:numPr>
              <w:tabs>
                <w:tab w:val="right" w:pos="1080"/>
                <w:tab w:val="left" w:pos="1296"/>
                <w:tab w:val="left" w:pos="2160"/>
                <w:tab w:val="left" w:pos="2592"/>
                <w:tab w:val="left" w:pos="3024"/>
                <w:tab w:val="right" w:leader="dot" w:pos="9360"/>
              </w:tabs>
              <w:spacing w:after="120"/>
              <w:rPr>
                <w:lang w:val="es-ES"/>
              </w:rPr>
            </w:pPr>
            <w:r w:rsidRPr="00186777">
              <w:rPr>
                <w:lang w:val="es-ES_tradnl"/>
              </w:rPr>
              <w:lastRenderedPageBreak/>
              <w:t>Medidas adoptadas por el Comité con respecto a las cuestiones previstas en el artículo 8 del Protocolo Facultativo</w:t>
            </w:r>
            <w:r w:rsidR="002A1FA8" w:rsidRPr="003D45B3">
              <w:rPr>
                <w:spacing w:val="60"/>
                <w:sz w:val="17"/>
                <w:lang w:val="es-ES"/>
              </w:rPr>
              <w:tab/>
            </w:r>
          </w:p>
        </w:tc>
        <w:tc>
          <w:tcPr>
            <w:tcW w:w="738" w:type="dxa"/>
            <w:shd w:val="clear" w:color="auto" w:fill="auto"/>
            <w:vAlign w:val="bottom"/>
          </w:tcPr>
          <w:p w14:paraId="669D3EEA" w14:textId="1E9CD8C5" w:rsidR="002A1FA8" w:rsidRPr="00DD3349" w:rsidRDefault="002A1FA8" w:rsidP="007924D2">
            <w:pPr>
              <w:spacing w:after="120"/>
              <w:jc w:val="right"/>
            </w:pPr>
            <w:r>
              <w:t>4</w:t>
            </w:r>
            <w:r w:rsidR="003D45B3">
              <w:t>7</w:t>
            </w:r>
          </w:p>
        </w:tc>
      </w:tr>
      <w:tr w:rsidR="002A1FA8" w:rsidRPr="00DD3349" w14:paraId="58590E9F" w14:textId="77777777" w:rsidTr="002A1FA8">
        <w:trPr>
          <w:jc w:val="center"/>
        </w:trPr>
        <w:tc>
          <w:tcPr>
            <w:tcW w:w="9108" w:type="dxa"/>
            <w:gridSpan w:val="3"/>
            <w:shd w:val="clear" w:color="auto" w:fill="auto"/>
          </w:tcPr>
          <w:p w14:paraId="075B4F28" w14:textId="21458695" w:rsidR="002A1FA8" w:rsidRPr="003D45B3" w:rsidRDefault="002A1FA8" w:rsidP="007924D2">
            <w:pPr>
              <w:tabs>
                <w:tab w:val="right" w:pos="1080"/>
                <w:tab w:val="left" w:pos="1296"/>
                <w:tab w:val="left" w:pos="1728"/>
                <w:tab w:val="left" w:pos="2160"/>
                <w:tab w:val="left" w:pos="2592"/>
                <w:tab w:val="left" w:pos="3024"/>
                <w:tab w:val="left" w:pos="3456"/>
                <w:tab w:val="left" w:pos="3888"/>
                <w:tab w:val="right" w:leader="dot" w:pos="9360"/>
              </w:tabs>
              <w:spacing w:after="120"/>
              <w:ind w:left="31"/>
            </w:pPr>
            <w:r w:rsidRPr="003D45B3">
              <w:tab/>
              <w:t>VI.</w:t>
            </w:r>
            <w:r w:rsidRPr="003D45B3">
              <w:tab/>
            </w:r>
            <w:r w:rsidR="003D45B3" w:rsidRPr="00186777">
              <w:rPr>
                <w:lang w:val="es-ES_tradnl"/>
              </w:rPr>
              <w:t>Medios de agilizar los trabajos del Comité</w:t>
            </w:r>
            <w:r w:rsidRPr="003D45B3">
              <w:rPr>
                <w:spacing w:val="60"/>
                <w:sz w:val="17"/>
              </w:rPr>
              <w:tab/>
            </w:r>
          </w:p>
        </w:tc>
        <w:tc>
          <w:tcPr>
            <w:tcW w:w="738" w:type="dxa"/>
            <w:shd w:val="clear" w:color="auto" w:fill="auto"/>
            <w:vAlign w:val="bottom"/>
          </w:tcPr>
          <w:p w14:paraId="54F86575" w14:textId="7C5495A1" w:rsidR="002A1FA8" w:rsidRPr="00DD3349" w:rsidRDefault="002A1FA8" w:rsidP="007924D2">
            <w:pPr>
              <w:spacing w:after="120"/>
              <w:jc w:val="right"/>
            </w:pPr>
            <w:r>
              <w:t>4</w:t>
            </w:r>
            <w:r w:rsidR="003D45B3">
              <w:t>9</w:t>
            </w:r>
          </w:p>
        </w:tc>
      </w:tr>
      <w:tr w:rsidR="002A1FA8" w:rsidRPr="00DD3349" w14:paraId="68C79FB1" w14:textId="77777777" w:rsidTr="002A1FA8">
        <w:trPr>
          <w:jc w:val="center"/>
        </w:trPr>
        <w:tc>
          <w:tcPr>
            <w:tcW w:w="9108" w:type="dxa"/>
            <w:gridSpan w:val="3"/>
            <w:shd w:val="clear" w:color="auto" w:fill="auto"/>
          </w:tcPr>
          <w:p w14:paraId="6B92D0C9" w14:textId="466ACC89" w:rsidR="002A1FA8" w:rsidRPr="003D45B3" w:rsidRDefault="002A1FA8" w:rsidP="007924D2">
            <w:pPr>
              <w:tabs>
                <w:tab w:val="right" w:pos="1080"/>
                <w:tab w:val="left" w:pos="1296"/>
                <w:tab w:val="left" w:pos="1728"/>
                <w:tab w:val="left" w:pos="2160"/>
                <w:tab w:val="left" w:pos="2592"/>
                <w:tab w:val="left" w:pos="3024"/>
                <w:tab w:val="left" w:pos="3456"/>
                <w:tab w:val="left" w:pos="3888"/>
                <w:tab w:val="right" w:leader="dot" w:pos="9360"/>
              </w:tabs>
              <w:spacing w:after="120"/>
              <w:ind w:left="31"/>
            </w:pPr>
            <w:r w:rsidRPr="003D45B3">
              <w:tab/>
              <w:t>VII.</w:t>
            </w:r>
            <w:r w:rsidRPr="003D45B3">
              <w:tab/>
            </w:r>
            <w:r w:rsidR="003D45B3" w:rsidRPr="00186777">
              <w:rPr>
                <w:lang w:val="es-ES_tradnl"/>
              </w:rPr>
              <w:t>Información sobre la aplicación del artículo 21 de la Convención</w:t>
            </w:r>
            <w:r w:rsidRPr="003D45B3">
              <w:rPr>
                <w:spacing w:val="60"/>
                <w:sz w:val="17"/>
              </w:rPr>
              <w:tab/>
            </w:r>
          </w:p>
        </w:tc>
        <w:tc>
          <w:tcPr>
            <w:tcW w:w="738" w:type="dxa"/>
            <w:shd w:val="clear" w:color="auto" w:fill="auto"/>
            <w:vAlign w:val="bottom"/>
          </w:tcPr>
          <w:p w14:paraId="7A60A5DA" w14:textId="25CB3A82" w:rsidR="002A1FA8" w:rsidRPr="00DD3349" w:rsidRDefault="003D45B3" w:rsidP="007924D2">
            <w:pPr>
              <w:spacing w:after="120"/>
              <w:jc w:val="right"/>
            </w:pPr>
            <w:r>
              <w:t>50</w:t>
            </w:r>
          </w:p>
        </w:tc>
      </w:tr>
      <w:tr w:rsidR="002A1FA8" w:rsidRPr="00DD3349" w14:paraId="03B92C69" w14:textId="77777777" w:rsidTr="002A1FA8">
        <w:trPr>
          <w:jc w:val="center"/>
        </w:trPr>
        <w:tc>
          <w:tcPr>
            <w:tcW w:w="9108" w:type="dxa"/>
            <w:gridSpan w:val="3"/>
            <w:shd w:val="clear" w:color="auto" w:fill="auto"/>
          </w:tcPr>
          <w:p w14:paraId="4D46411C" w14:textId="19B4B2D1" w:rsidR="002A1FA8" w:rsidRPr="003D45B3" w:rsidRDefault="002A1FA8" w:rsidP="007924D2">
            <w:pPr>
              <w:tabs>
                <w:tab w:val="right" w:pos="1080"/>
                <w:tab w:val="left" w:pos="1296"/>
                <w:tab w:val="left" w:pos="1728"/>
                <w:tab w:val="left" w:pos="2160"/>
                <w:tab w:val="left" w:pos="2592"/>
                <w:tab w:val="left" w:pos="3024"/>
                <w:tab w:val="left" w:pos="3456"/>
                <w:tab w:val="left" w:pos="3888"/>
                <w:tab w:val="right" w:leader="dot" w:pos="9360"/>
              </w:tabs>
              <w:spacing w:after="120"/>
              <w:ind w:left="31"/>
            </w:pPr>
            <w:r w:rsidRPr="00054806">
              <w:tab/>
              <w:t>VIII.</w:t>
            </w:r>
            <w:r w:rsidRPr="00054806">
              <w:tab/>
            </w:r>
            <w:r w:rsidR="003D45B3" w:rsidRPr="00186777">
              <w:rPr>
                <w:lang w:val="es-ES_tradnl"/>
              </w:rPr>
              <w:t>Programa provisional del 70º período de sesiones</w:t>
            </w:r>
            <w:r w:rsidRPr="003D45B3">
              <w:rPr>
                <w:spacing w:val="60"/>
                <w:sz w:val="17"/>
              </w:rPr>
              <w:tab/>
            </w:r>
          </w:p>
        </w:tc>
        <w:tc>
          <w:tcPr>
            <w:tcW w:w="738" w:type="dxa"/>
            <w:shd w:val="clear" w:color="auto" w:fill="auto"/>
            <w:vAlign w:val="bottom"/>
          </w:tcPr>
          <w:p w14:paraId="1B3CBA06" w14:textId="3305416D" w:rsidR="002A1FA8" w:rsidRPr="00DD3349" w:rsidRDefault="003D45B3" w:rsidP="007924D2">
            <w:pPr>
              <w:spacing w:after="120"/>
              <w:jc w:val="right"/>
            </w:pPr>
            <w:r>
              <w:t>52</w:t>
            </w:r>
          </w:p>
        </w:tc>
      </w:tr>
      <w:tr w:rsidR="002A1FA8" w:rsidRPr="00DD3349" w14:paraId="0F5977FD" w14:textId="77777777" w:rsidTr="002A1FA8">
        <w:trPr>
          <w:jc w:val="center"/>
        </w:trPr>
        <w:tc>
          <w:tcPr>
            <w:tcW w:w="9108" w:type="dxa"/>
            <w:gridSpan w:val="3"/>
            <w:shd w:val="clear" w:color="auto" w:fill="auto"/>
          </w:tcPr>
          <w:p w14:paraId="71E95C68" w14:textId="52F11E61" w:rsidR="002A1FA8" w:rsidRPr="002A1FA8" w:rsidRDefault="002A1FA8" w:rsidP="007924D2">
            <w:pPr>
              <w:tabs>
                <w:tab w:val="right" w:pos="1080"/>
                <w:tab w:val="left" w:pos="1296"/>
                <w:tab w:val="left" w:pos="1728"/>
                <w:tab w:val="left" w:pos="2160"/>
                <w:tab w:val="left" w:pos="2592"/>
                <w:tab w:val="left" w:pos="3024"/>
                <w:tab w:val="right" w:leader="dot" w:pos="9360"/>
              </w:tabs>
              <w:spacing w:after="120"/>
              <w:ind w:left="31"/>
              <w:rPr>
                <w:spacing w:val="60"/>
                <w:sz w:val="17"/>
                <w:lang w:val="en-US"/>
              </w:rPr>
            </w:pPr>
            <w:r w:rsidRPr="002A1FA8">
              <w:rPr>
                <w:lang w:val="en-US"/>
              </w:rPr>
              <w:tab/>
              <w:t>IX.</w:t>
            </w:r>
            <w:r w:rsidRPr="002A1FA8">
              <w:rPr>
                <w:lang w:val="en-US"/>
              </w:rPr>
              <w:tab/>
            </w:r>
            <w:r w:rsidR="003D45B3" w:rsidRPr="00186777">
              <w:rPr>
                <w:lang w:val="es-ES_tradnl"/>
              </w:rPr>
              <w:t>Aprobación del informe</w:t>
            </w:r>
            <w:r w:rsidRPr="002A1FA8">
              <w:rPr>
                <w:spacing w:val="60"/>
                <w:sz w:val="17"/>
                <w:lang w:val="en-US"/>
              </w:rPr>
              <w:tab/>
            </w:r>
          </w:p>
        </w:tc>
        <w:tc>
          <w:tcPr>
            <w:tcW w:w="738" w:type="dxa"/>
            <w:shd w:val="clear" w:color="auto" w:fill="auto"/>
            <w:vAlign w:val="bottom"/>
          </w:tcPr>
          <w:p w14:paraId="208AFEB0" w14:textId="68D99AE5" w:rsidR="002A1FA8" w:rsidRPr="00DD3349" w:rsidRDefault="003D45B3" w:rsidP="007924D2">
            <w:pPr>
              <w:spacing w:after="120"/>
              <w:jc w:val="right"/>
            </w:pPr>
            <w:r>
              <w:t>53</w:t>
            </w:r>
          </w:p>
        </w:tc>
      </w:tr>
      <w:tr w:rsidR="002A1FA8" w:rsidRPr="00DD3349" w14:paraId="5CC49D79" w14:textId="77777777" w:rsidTr="002A1FA8">
        <w:trPr>
          <w:jc w:val="center"/>
        </w:trPr>
        <w:tc>
          <w:tcPr>
            <w:tcW w:w="9108" w:type="dxa"/>
            <w:gridSpan w:val="3"/>
            <w:shd w:val="clear" w:color="auto" w:fill="auto"/>
          </w:tcPr>
          <w:p w14:paraId="765CD469" w14:textId="2B645D5E" w:rsidR="002A1FA8" w:rsidRPr="00DD3349" w:rsidRDefault="003D45B3" w:rsidP="007924D2">
            <w:pPr>
              <w:tabs>
                <w:tab w:val="right" w:pos="1080"/>
                <w:tab w:val="left" w:pos="1296"/>
                <w:tab w:val="right" w:pos="1714"/>
                <w:tab w:val="left" w:pos="2160"/>
                <w:tab w:val="left" w:pos="2592"/>
                <w:tab w:val="left" w:pos="3024"/>
                <w:tab w:val="left" w:pos="3456"/>
              </w:tabs>
              <w:spacing w:after="120"/>
            </w:pPr>
            <w:r>
              <w:t>An</w:t>
            </w:r>
            <w:r w:rsidR="002A1FA8" w:rsidRPr="00DD3349">
              <w:t>ex</w:t>
            </w:r>
            <w:r>
              <w:t>o</w:t>
            </w:r>
            <w:r w:rsidR="002A1FA8">
              <w:t>s</w:t>
            </w:r>
          </w:p>
        </w:tc>
        <w:tc>
          <w:tcPr>
            <w:tcW w:w="738" w:type="dxa"/>
            <w:shd w:val="clear" w:color="auto" w:fill="auto"/>
            <w:vAlign w:val="bottom"/>
          </w:tcPr>
          <w:p w14:paraId="624DC67D" w14:textId="77777777" w:rsidR="002A1FA8" w:rsidRPr="00DD3349" w:rsidRDefault="002A1FA8" w:rsidP="007924D2">
            <w:pPr>
              <w:spacing w:after="120"/>
              <w:jc w:val="right"/>
            </w:pPr>
          </w:p>
        </w:tc>
      </w:tr>
      <w:tr w:rsidR="002A1FA8" w:rsidRPr="00DD3349" w14:paraId="5CA372E4" w14:textId="77777777" w:rsidTr="002A1FA8">
        <w:trPr>
          <w:jc w:val="center"/>
        </w:trPr>
        <w:tc>
          <w:tcPr>
            <w:tcW w:w="9108" w:type="dxa"/>
            <w:gridSpan w:val="3"/>
            <w:shd w:val="clear" w:color="auto" w:fill="auto"/>
          </w:tcPr>
          <w:p w14:paraId="7DDA12A8" w14:textId="090FE1C3" w:rsidR="002A1FA8" w:rsidRPr="003D45B3" w:rsidRDefault="002A1FA8" w:rsidP="007924D2">
            <w:pPr>
              <w:tabs>
                <w:tab w:val="right" w:pos="1080"/>
                <w:tab w:val="left" w:pos="1300"/>
                <w:tab w:val="left" w:pos="1728"/>
                <w:tab w:val="left" w:pos="2160"/>
                <w:tab w:val="left" w:pos="2592"/>
                <w:tab w:val="left" w:pos="3024"/>
                <w:tab w:val="left" w:pos="3456"/>
                <w:tab w:val="left" w:pos="3888"/>
                <w:tab w:val="left" w:pos="4320"/>
                <w:tab w:val="right" w:leader="dot" w:pos="9360"/>
              </w:tabs>
              <w:spacing w:after="120"/>
              <w:ind w:left="31"/>
            </w:pPr>
            <w:r w:rsidRPr="003D45B3">
              <w:tab/>
              <w:t>I.</w:t>
            </w:r>
            <w:r w:rsidRPr="003D45B3">
              <w:tab/>
            </w:r>
            <w:r w:rsidR="003D45B3" w:rsidRPr="00186777">
              <w:rPr>
                <w:lang w:val="es-ES_tradnl"/>
              </w:rPr>
              <w:t>Documentos que el Comité tuvo ante sí en su 69º período de sesiones</w:t>
            </w:r>
            <w:r w:rsidRPr="003D45B3">
              <w:rPr>
                <w:spacing w:val="60"/>
                <w:sz w:val="17"/>
              </w:rPr>
              <w:tab/>
            </w:r>
          </w:p>
        </w:tc>
        <w:tc>
          <w:tcPr>
            <w:tcW w:w="738" w:type="dxa"/>
            <w:shd w:val="clear" w:color="auto" w:fill="auto"/>
            <w:vAlign w:val="bottom"/>
          </w:tcPr>
          <w:p w14:paraId="320A9FDB" w14:textId="2283F266" w:rsidR="002A1FA8" w:rsidRPr="00DD3349" w:rsidRDefault="002A1FA8" w:rsidP="007924D2">
            <w:pPr>
              <w:spacing w:after="120"/>
              <w:jc w:val="right"/>
            </w:pPr>
            <w:r>
              <w:t>5</w:t>
            </w:r>
            <w:r w:rsidR="003D45B3">
              <w:t>4</w:t>
            </w:r>
          </w:p>
        </w:tc>
      </w:tr>
      <w:tr w:rsidR="002A1FA8" w:rsidRPr="00DD3349" w14:paraId="5F92DFC2" w14:textId="77777777" w:rsidTr="002A1FA8">
        <w:trPr>
          <w:jc w:val="center"/>
        </w:trPr>
        <w:tc>
          <w:tcPr>
            <w:tcW w:w="9108" w:type="dxa"/>
            <w:gridSpan w:val="3"/>
            <w:shd w:val="clear" w:color="auto" w:fill="auto"/>
          </w:tcPr>
          <w:p w14:paraId="057B88F9" w14:textId="28FEE954" w:rsidR="002A1FA8" w:rsidRPr="003D45B3" w:rsidRDefault="002A1FA8" w:rsidP="007924D2">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31"/>
            </w:pPr>
            <w:r w:rsidRPr="003D45B3">
              <w:tab/>
              <w:t>II.</w:t>
            </w:r>
            <w:r w:rsidRPr="003D45B3">
              <w:tab/>
            </w:r>
            <w:r w:rsidR="003D45B3" w:rsidRPr="00186777">
              <w:rPr>
                <w:lang w:val="es-ES_tradnl"/>
              </w:rPr>
              <w:t>Composición del Comité al 9 de marzo de 2018</w:t>
            </w:r>
            <w:r w:rsidRPr="003D45B3">
              <w:rPr>
                <w:spacing w:val="60"/>
                <w:sz w:val="17"/>
              </w:rPr>
              <w:tab/>
            </w:r>
          </w:p>
        </w:tc>
        <w:tc>
          <w:tcPr>
            <w:tcW w:w="738" w:type="dxa"/>
            <w:shd w:val="clear" w:color="auto" w:fill="auto"/>
            <w:vAlign w:val="bottom"/>
          </w:tcPr>
          <w:p w14:paraId="6F425A66" w14:textId="04798F09" w:rsidR="002A1FA8" w:rsidRPr="00DD3349" w:rsidRDefault="002A1FA8" w:rsidP="007924D2">
            <w:pPr>
              <w:spacing w:after="120"/>
              <w:jc w:val="right"/>
            </w:pPr>
            <w:r>
              <w:t>5</w:t>
            </w:r>
            <w:r w:rsidR="003D45B3">
              <w:t>5</w:t>
            </w:r>
          </w:p>
        </w:tc>
      </w:tr>
      <w:bookmarkEnd w:id="5"/>
    </w:tbl>
    <w:p w14:paraId="38B16561" w14:textId="4EDF0AE2" w:rsidR="002A1FA8" w:rsidRDefault="002A1FA8" w:rsidP="00025FC4">
      <w:pPr>
        <w:rPr>
          <w:lang w:val="es-ES_tradnl"/>
        </w:rPr>
      </w:pPr>
    </w:p>
    <w:p w14:paraId="5DB15C1D" w14:textId="77777777" w:rsidR="002A1FA8" w:rsidRPr="00186777" w:rsidRDefault="002A1FA8" w:rsidP="00025FC4">
      <w:pPr>
        <w:rPr>
          <w:lang w:val="es-ES_tradnl"/>
        </w:rPr>
      </w:pPr>
    </w:p>
    <w:p w14:paraId="5EC1314E" w14:textId="77777777" w:rsidR="00025FC4" w:rsidRPr="00186777" w:rsidRDefault="00025FC4">
      <w:pPr>
        <w:suppressAutoHyphens w:val="0"/>
        <w:spacing w:after="200" w:line="276" w:lineRule="auto"/>
        <w:rPr>
          <w:lang w:val="es-ES_tradnl"/>
        </w:rPr>
      </w:pPr>
      <w:r w:rsidRPr="00186777">
        <w:rPr>
          <w:lang w:val="es-ES_tradnl"/>
        </w:rPr>
        <w:br w:type="page"/>
      </w:r>
    </w:p>
    <w:p w14:paraId="348D5D05" w14:textId="77777777" w:rsidR="00025FC4" w:rsidRPr="00186777" w:rsidRDefault="00025FC4" w:rsidP="00025FC4">
      <w:pPr>
        <w:rPr>
          <w:lang w:val="es-ES_tradnl"/>
        </w:rPr>
      </w:pPr>
    </w:p>
    <w:p w14:paraId="77317BAD" w14:textId="77777777" w:rsidR="00025FC4" w:rsidRPr="00186777" w:rsidRDefault="00025FC4" w:rsidP="00025FC4">
      <w:pPr>
        <w:spacing w:before="1360" w:after="240"/>
        <w:rPr>
          <w:sz w:val="28"/>
          <w:lang w:val="es-ES_tradnl"/>
        </w:rPr>
      </w:pPr>
      <w:r w:rsidRPr="00186777">
        <w:rPr>
          <w:sz w:val="28"/>
          <w:lang w:val="es-ES_tradnl"/>
        </w:rPr>
        <w:t>Carta de envío</w:t>
      </w:r>
    </w:p>
    <w:p w14:paraId="4062874C" w14:textId="56214D45" w:rsidR="00025FC4" w:rsidRPr="00186777" w:rsidRDefault="00025FC4" w:rsidP="0056649E">
      <w:pPr>
        <w:pStyle w:val="SingleTxt"/>
        <w:jc w:val="right"/>
        <w:rPr>
          <w:lang w:val="es-ES_tradnl"/>
        </w:rPr>
      </w:pPr>
      <w:r w:rsidRPr="00186777">
        <w:rPr>
          <w:lang w:val="es-ES_tradnl"/>
        </w:rPr>
        <w:t>[</w:t>
      </w:r>
      <w:r w:rsidR="0056649E" w:rsidRPr="00186777">
        <w:rPr>
          <w:lang w:val="es-ES_tradnl"/>
        </w:rPr>
        <w:t>29 de marzo de 2018</w:t>
      </w:r>
      <w:r w:rsidRPr="00186777">
        <w:rPr>
          <w:lang w:val="es-ES_tradnl"/>
        </w:rPr>
        <w:t>]</w:t>
      </w:r>
    </w:p>
    <w:p w14:paraId="569E3020" w14:textId="4ED500B5" w:rsidR="004F5BC6" w:rsidRPr="00186777" w:rsidRDefault="004F5BC6" w:rsidP="004F5BC6">
      <w:pPr>
        <w:pStyle w:val="SingleTxt"/>
        <w:spacing w:after="0" w:line="120" w:lineRule="exact"/>
        <w:jc w:val="right"/>
        <w:rPr>
          <w:sz w:val="10"/>
          <w:lang w:val="es-ES_tradnl"/>
        </w:rPr>
      </w:pPr>
    </w:p>
    <w:p w14:paraId="0BEA9405" w14:textId="4C2805A1" w:rsidR="0056649E" w:rsidRPr="00186777" w:rsidRDefault="0056649E" w:rsidP="0056649E">
      <w:pPr>
        <w:pStyle w:val="SingleTxt"/>
        <w:rPr>
          <w:lang w:val="es-ES_tradnl"/>
        </w:rPr>
      </w:pPr>
      <w:r w:rsidRPr="00186777">
        <w:rPr>
          <w:lang w:val="es-ES_tradnl"/>
        </w:rPr>
        <w:tab/>
        <w:t>Tengo el honor de referirme al artículo 21 de la Convención sobre la Eliminación de Todas las Formas de Discriminación contra la Mujer, según el cual el Comité para la Eliminación de la Discriminación contra la Mujer, establecido de conformidad con lo dispuesto en la Convención, informará anualmente a la Asamblea General sobre sus actividades por conducto del Consejo Económico y Social.</w:t>
      </w:r>
    </w:p>
    <w:p w14:paraId="413D3618" w14:textId="0E5B0E80" w:rsidR="0056649E" w:rsidRPr="00186777" w:rsidRDefault="0056649E" w:rsidP="0056649E">
      <w:pPr>
        <w:pStyle w:val="SingleTxt"/>
        <w:rPr>
          <w:lang w:val="es-ES_tradnl"/>
        </w:rPr>
      </w:pPr>
      <w:r w:rsidRPr="00186777">
        <w:rPr>
          <w:lang w:val="es-ES_tradnl"/>
        </w:rPr>
        <w:tab/>
        <w:t>El Comité celebró su 67º período de sesiones del 3 al 21 de julio de 2017, su 68º período de sesiones del 23 de octubre al 17 de noviembre de 2017, y su 69º período de sesiones del 19 de febrero al 9 de marzo de 2018, en la Oficina de las Naciones Unidas en Ginebra. El Comité aprobó sus informes sobre dichos períodos de sesiones en la 1529ª sesión, el 21 de julio de 2017, la 1569ª sesión, el 17 de noviembre de 2017, y la 1599ª sesión, el 9 de marzo de 2018. Tengo el honor de adjuntar a la presente los informes para que los transmita a la Asamblea General en su septuagésimo tercer período de sesiones.</w:t>
      </w:r>
    </w:p>
    <w:p w14:paraId="7B8D27FE" w14:textId="77777777" w:rsidR="0056649E" w:rsidRPr="00186777" w:rsidRDefault="0056649E" w:rsidP="0056649E">
      <w:pPr>
        <w:pStyle w:val="SingleTxt"/>
        <w:spacing w:after="0" w:line="120" w:lineRule="exact"/>
        <w:rPr>
          <w:i/>
          <w:iCs/>
          <w:sz w:val="10"/>
          <w:lang w:val="es-ES_tradnl"/>
        </w:rPr>
      </w:pPr>
    </w:p>
    <w:p w14:paraId="64510BFC" w14:textId="29DC17E3" w:rsidR="0056649E" w:rsidRPr="00186777" w:rsidRDefault="0056649E" w:rsidP="0056649E">
      <w:pPr>
        <w:pStyle w:val="SingleTxt"/>
        <w:spacing w:after="0"/>
        <w:jc w:val="right"/>
        <w:rPr>
          <w:lang w:val="es-ES_tradnl"/>
        </w:rPr>
      </w:pPr>
      <w:r w:rsidRPr="00186777">
        <w:rPr>
          <w:i/>
          <w:iCs/>
          <w:lang w:val="es-ES_tradnl"/>
        </w:rPr>
        <w:t>(Firmado)</w:t>
      </w:r>
      <w:r w:rsidRPr="00186777">
        <w:rPr>
          <w:lang w:val="es-ES_tradnl"/>
        </w:rPr>
        <w:t xml:space="preserve"> Dalia </w:t>
      </w:r>
      <w:r w:rsidRPr="00186777">
        <w:rPr>
          <w:b/>
          <w:bCs/>
          <w:lang w:val="es-ES_tradnl"/>
        </w:rPr>
        <w:t>Leinarte</w:t>
      </w:r>
    </w:p>
    <w:p w14:paraId="0CFED81D" w14:textId="1445B783" w:rsidR="00025FC4" w:rsidRPr="00186777" w:rsidRDefault="0056649E" w:rsidP="0056649E">
      <w:pPr>
        <w:pStyle w:val="SingleTxt"/>
        <w:spacing w:after="0"/>
        <w:jc w:val="right"/>
        <w:rPr>
          <w:lang w:val="es-ES_tradnl"/>
        </w:rPr>
      </w:pPr>
      <w:r w:rsidRPr="00186777">
        <w:rPr>
          <w:lang w:val="es-ES_tradnl"/>
        </w:rPr>
        <w:t>Presidenta</w:t>
      </w:r>
    </w:p>
    <w:p w14:paraId="4FEB2BB4" w14:textId="413A6FF5" w:rsidR="0056649E" w:rsidRPr="00186777" w:rsidRDefault="0056649E" w:rsidP="00025FC4">
      <w:pPr>
        <w:pStyle w:val="SingleTxt"/>
        <w:rPr>
          <w:lang w:val="es-ES_tradnl"/>
        </w:rPr>
      </w:pPr>
    </w:p>
    <w:p w14:paraId="4C06EFD6" w14:textId="77777777" w:rsidR="0056649E" w:rsidRPr="00186777" w:rsidRDefault="0056649E" w:rsidP="00025FC4">
      <w:pPr>
        <w:pStyle w:val="SingleTxt"/>
        <w:rPr>
          <w:lang w:val="es-ES_tradnl"/>
        </w:rPr>
      </w:pPr>
    </w:p>
    <w:p w14:paraId="23B38507" w14:textId="35FA8945" w:rsidR="00025FC4" w:rsidRPr="00186777" w:rsidRDefault="00025FC4" w:rsidP="00025FC4">
      <w:pPr>
        <w:pStyle w:val="SingleTxt"/>
        <w:rPr>
          <w:lang w:val="es-ES_tradnl"/>
        </w:rPr>
        <w:sectPr w:rsidR="00025FC4" w:rsidRPr="00186777" w:rsidSect="00025FC4">
          <w:headerReference w:type="even" r:id="rId15"/>
          <w:headerReference w:type="default" r:id="rId16"/>
          <w:footerReference w:type="even" r:id="rId17"/>
          <w:footerReference w:type="default" r:id="rId18"/>
          <w:endnotePr>
            <w:numFmt w:val="decimal"/>
          </w:endnotePr>
          <w:pgSz w:w="12240" w:h="15840"/>
          <w:pgMar w:top="1440" w:right="1200" w:bottom="1152" w:left="1200" w:header="432" w:footer="504" w:gutter="0"/>
          <w:pgNumType w:start="3"/>
          <w:cols w:space="720"/>
          <w:docGrid w:linePitch="360"/>
        </w:sectPr>
      </w:pPr>
    </w:p>
    <w:p w14:paraId="390314FE" w14:textId="77777777" w:rsidR="00025FC4" w:rsidRPr="00186777" w:rsidRDefault="00025FC4" w:rsidP="00025FC4">
      <w:pPr>
        <w:suppressAutoHyphens w:val="0"/>
        <w:spacing w:line="20" w:lineRule="exact"/>
        <w:ind w:left="1267" w:right="1267"/>
        <w:jc w:val="both"/>
        <w:rPr>
          <w:lang w:val="es-ES_tradnl"/>
        </w:rPr>
        <w:sectPr w:rsidR="00025FC4" w:rsidRPr="00186777" w:rsidSect="00C9219C">
          <w:headerReference w:type="even" r:id="rId19"/>
          <w:headerReference w:type="default" r:id="rId20"/>
          <w:footerReference w:type="even" r:id="rId21"/>
          <w:footerReference w:type="default" r:id="rId22"/>
          <w:endnotePr>
            <w:numFmt w:val="decimal"/>
          </w:endnotePr>
          <w:pgSz w:w="12240" w:h="15840"/>
          <w:pgMar w:top="1440" w:right="1200" w:bottom="1728" w:left="1200" w:header="432" w:footer="504" w:gutter="0"/>
          <w:cols w:space="720"/>
          <w:noEndnote/>
          <w:docGrid w:linePitch="360"/>
        </w:sectPr>
      </w:pPr>
    </w:p>
    <w:p w14:paraId="26997ACC" w14:textId="7712097F" w:rsidR="004F5BC6" w:rsidRDefault="004F5BC6" w:rsidP="004F5B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Primera parte</w:t>
      </w:r>
    </w:p>
    <w:p w14:paraId="6908B913" w14:textId="5F3ADA1A" w:rsidR="004F5BC6" w:rsidRPr="00186777" w:rsidRDefault="004F5BC6" w:rsidP="002A1FA8">
      <w:pPr>
        <w:pStyle w:val="TitleHCH"/>
        <w:ind w:right="1902"/>
        <w:rPr>
          <w:lang w:val="es-ES_tradnl"/>
        </w:rPr>
      </w:pPr>
      <w:r w:rsidRPr="00186777">
        <w:rPr>
          <w:lang w:val="es-ES_tradnl"/>
        </w:rPr>
        <w:tab/>
      </w:r>
      <w:r w:rsidRPr="00186777">
        <w:rPr>
          <w:lang w:val="es-ES_tradnl"/>
        </w:rPr>
        <w:tab/>
        <w:t>Informe del Comité para la Eliminación de la Discriminación contra la Mujer sobre su 67º período de sesiones</w:t>
      </w:r>
    </w:p>
    <w:p w14:paraId="6FCE0B22" w14:textId="1920D0B8" w:rsidR="004F5BC6" w:rsidRPr="00186777" w:rsidRDefault="004F5BC6" w:rsidP="004F5BC6">
      <w:pPr>
        <w:pStyle w:val="SingleTxt"/>
        <w:spacing w:after="0" w:line="120" w:lineRule="exact"/>
        <w:rPr>
          <w:sz w:val="10"/>
          <w:lang w:val="es-ES_tradnl"/>
        </w:rPr>
      </w:pPr>
    </w:p>
    <w:p w14:paraId="1AF3E6A8" w14:textId="6095D8D2" w:rsidR="004F5BC6" w:rsidRPr="00186777" w:rsidRDefault="004F5BC6" w:rsidP="004F5BC6">
      <w:pPr>
        <w:pStyle w:val="SingleTxt"/>
        <w:spacing w:after="0" w:line="120" w:lineRule="exact"/>
        <w:rPr>
          <w:sz w:val="10"/>
          <w:lang w:val="es-ES_tradnl"/>
        </w:rPr>
      </w:pPr>
    </w:p>
    <w:p w14:paraId="0EB10D5C" w14:textId="036497BB" w:rsidR="004F5BC6" w:rsidRPr="00186777" w:rsidRDefault="004F5BC6" w:rsidP="004F5B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186777">
        <w:rPr>
          <w:lang w:val="es-ES_tradnl"/>
        </w:rPr>
        <w:tab/>
      </w:r>
      <w:r w:rsidRPr="00186777">
        <w:rPr>
          <w:lang w:val="es-ES_tradnl"/>
        </w:rPr>
        <w:tab/>
        <w:t>3 a 21 de julio de 2017</w:t>
      </w:r>
    </w:p>
    <w:p w14:paraId="22B6A0B3" w14:textId="659099DC" w:rsidR="004F5BC6" w:rsidRPr="00186777" w:rsidRDefault="004F5BC6" w:rsidP="00025FC4">
      <w:pPr>
        <w:suppressAutoHyphens w:val="0"/>
        <w:spacing w:after="200" w:line="276" w:lineRule="auto"/>
        <w:rPr>
          <w:kern w:val="14"/>
          <w:lang w:val="es-ES_tradnl"/>
        </w:rPr>
      </w:pPr>
    </w:p>
    <w:p w14:paraId="776B8075" w14:textId="6A8D67B7" w:rsidR="004F5BC6" w:rsidRPr="00186777" w:rsidRDefault="004F5BC6">
      <w:pPr>
        <w:suppressAutoHyphens w:val="0"/>
        <w:spacing w:after="200" w:line="276" w:lineRule="auto"/>
        <w:rPr>
          <w:kern w:val="14"/>
          <w:lang w:val="es-ES_tradnl"/>
        </w:rPr>
      </w:pPr>
      <w:r w:rsidRPr="00186777">
        <w:rPr>
          <w:kern w:val="14"/>
          <w:lang w:val="es-ES_tradnl"/>
        </w:rPr>
        <w:br w:type="page"/>
      </w:r>
    </w:p>
    <w:p w14:paraId="56453F3F" w14:textId="77777777" w:rsidR="004F5BC6" w:rsidRPr="00186777" w:rsidRDefault="004F5BC6" w:rsidP="004F5B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186777">
        <w:rPr>
          <w:lang w:val="es-ES_tradnl"/>
        </w:rPr>
        <w:lastRenderedPageBreak/>
        <w:t>Capítulo I</w:t>
      </w:r>
    </w:p>
    <w:p w14:paraId="39983598" w14:textId="3B0CFBC9" w:rsidR="004F5BC6" w:rsidRPr="00186777" w:rsidRDefault="004F5BC6" w:rsidP="004F5B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186777">
        <w:rPr>
          <w:lang w:val="es-ES_tradnl"/>
        </w:rPr>
        <w:tab/>
      </w:r>
      <w:r w:rsidRPr="00186777">
        <w:rPr>
          <w:lang w:val="es-ES_tradnl"/>
        </w:rPr>
        <w:tab/>
        <w:t>Decisiones adoptadas por el Comité</w:t>
      </w:r>
    </w:p>
    <w:p w14:paraId="7C240FA7" w14:textId="286533CC" w:rsidR="004F5BC6" w:rsidRPr="00186777" w:rsidRDefault="004F5BC6" w:rsidP="004F5BC6">
      <w:pPr>
        <w:pStyle w:val="SingleTxt"/>
        <w:spacing w:after="0" w:line="120" w:lineRule="exact"/>
        <w:rPr>
          <w:sz w:val="10"/>
          <w:lang w:val="es-ES_tradnl"/>
        </w:rPr>
      </w:pPr>
    </w:p>
    <w:p w14:paraId="4D80E3AA" w14:textId="7F509D11" w:rsidR="004F5BC6" w:rsidRPr="00186777" w:rsidRDefault="004F5BC6" w:rsidP="004F5BC6">
      <w:pPr>
        <w:pStyle w:val="SingleTxt"/>
        <w:spacing w:after="0" w:line="120" w:lineRule="exact"/>
        <w:rPr>
          <w:sz w:val="10"/>
          <w:lang w:val="es-ES_tradnl"/>
        </w:rPr>
      </w:pPr>
    </w:p>
    <w:p w14:paraId="1F4CDCAA" w14:textId="05729146" w:rsidR="004F5BC6" w:rsidRPr="00186777" w:rsidRDefault="004F5BC6" w:rsidP="004F5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186777">
        <w:rPr>
          <w:lang w:val="es-ES_tradnl"/>
        </w:rPr>
        <w:tab/>
      </w:r>
      <w:r w:rsidRPr="00186777">
        <w:rPr>
          <w:lang w:val="es-ES_tradnl"/>
        </w:rPr>
        <w:tab/>
        <w:t>Decisión 67/I</w:t>
      </w:r>
    </w:p>
    <w:p w14:paraId="173BEA32" w14:textId="373B82BB" w:rsidR="004F5BC6" w:rsidRPr="00186777" w:rsidRDefault="004F5BC6" w:rsidP="004F5BC6">
      <w:pPr>
        <w:pStyle w:val="SingleTxt"/>
        <w:spacing w:after="0" w:line="120" w:lineRule="exact"/>
        <w:rPr>
          <w:sz w:val="10"/>
          <w:lang w:val="es-ES_tradnl"/>
        </w:rPr>
      </w:pPr>
    </w:p>
    <w:p w14:paraId="62BA346E" w14:textId="3A896228" w:rsidR="004F5BC6" w:rsidRPr="00186777" w:rsidRDefault="004F5BC6" w:rsidP="004F5BC6">
      <w:pPr>
        <w:pStyle w:val="SingleTxt"/>
        <w:rPr>
          <w:lang w:val="es-ES_tradnl"/>
        </w:rPr>
      </w:pPr>
      <w:r w:rsidRPr="00186777">
        <w:rPr>
          <w:lang w:val="es-ES_tradnl"/>
        </w:rPr>
        <w:tab/>
        <w:t>El 18 de julio de 2017, el Comité aprobó la recomendación general núm. 35 (2017) sobre la violencia por razón de género contra la mujer, por la que se actualiza la recomendación general núm. 19 (</w:t>
      </w:r>
      <w:hyperlink r:id="rId23" w:history="1">
        <w:r w:rsidRPr="00794DB5">
          <w:rPr>
            <w:rStyle w:val="Hyperlink"/>
            <w:lang w:val="es-ES_tradnl"/>
          </w:rPr>
          <w:t>CEDAW/C/GC/35</w:t>
        </w:r>
      </w:hyperlink>
      <w:r w:rsidRPr="00186777">
        <w:rPr>
          <w:lang w:val="es-ES_tradnl"/>
        </w:rPr>
        <w:t>), por consenso. El Comité decidió celebrar un evento público de alto nivel en su 68º período de sesiones para aumentar la concienciación sobre su recomendación general núm.</w:t>
      </w:r>
      <w:r w:rsidR="00186777" w:rsidRPr="00186777">
        <w:rPr>
          <w:lang w:val="es-ES_tradnl"/>
        </w:rPr>
        <w:t xml:space="preserve"> </w:t>
      </w:r>
      <w:r w:rsidRPr="00186777">
        <w:rPr>
          <w:lang w:val="es-ES_tradnl"/>
        </w:rPr>
        <w:t>35, aprobada recientemente, que organizará la Subdivisión de Tratados de Derechos Humanos de la Oficina del Alto Comisionado de las Naciones Unidas para los Derechos Humanos (ACNUDH), con el apoyo de la Sección de Derechos Humanos de la Mujer y Cuestiones de Género.</w:t>
      </w:r>
    </w:p>
    <w:p w14:paraId="2FAAAB9A" w14:textId="77777777" w:rsidR="004F5BC6" w:rsidRPr="00186777" w:rsidRDefault="004F5BC6" w:rsidP="004F5BC6">
      <w:pPr>
        <w:pStyle w:val="SingleTxt"/>
        <w:spacing w:after="0" w:line="120" w:lineRule="exact"/>
        <w:rPr>
          <w:sz w:val="10"/>
          <w:lang w:val="es-ES_tradnl"/>
        </w:rPr>
      </w:pPr>
    </w:p>
    <w:p w14:paraId="1C7A5587" w14:textId="3D1026BB" w:rsidR="004F5BC6" w:rsidRPr="00186777" w:rsidRDefault="004F5BC6" w:rsidP="004F5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67/II</w:t>
      </w:r>
    </w:p>
    <w:p w14:paraId="18667437" w14:textId="77777777" w:rsidR="004F5BC6" w:rsidRPr="00186777" w:rsidRDefault="004F5BC6" w:rsidP="004F5BC6">
      <w:pPr>
        <w:pStyle w:val="SingleTxt"/>
        <w:spacing w:after="0" w:line="120" w:lineRule="exact"/>
        <w:rPr>
          <w:sz w:val="10"/>
          <w:lang w:val="es-ES_tradnl"/>
        </w:rPr>
      </w:pPr>
    </w:p>
    <w:p w14:paraId="1C2FCF4C" w14:textId="2AAC18D6" w:rsidR="004F5BC6" w:rsidRPr="00186777" w:rsidRDefault="004F5BC6" w:rsidP="004F5BC6">
      <w:pPr>
        <w:pStyle w:val="SingleTxt"/>
        <w:rPr>
          <w:lang w:val="es-ES_tradnl"/>
        </w:rPr>
      </w:pPr>
      <w:r w:rsidRPr="00186777">
        <w:rPr>
          <w:lang w:val="es-ES_tradnl"/>
        </w:rPr>
        <w:tab/>
        <w:t>El 13 de julio de 2017, el Comité también hizo suyas las recomendaciones para abordar los derechos humanos de las mujeres en el pacto mundial para una migración segura, ordenada y regular, que habían sido aprobadas en una reunión de expertos organizada por el ACNUDH y la Entidad de las Naciones Unidas para la Igualdad de Género y el Empoderamiento de las Mujeres (ONU-Mujeres) los días 21 y 22 de noviembre de 2016 en Ginebra.</w:t>
      </w:r>
    </w:p>
    <w:p w14:paraId="7F125C87" w14:textId="77777777" w:rsidR="004F5BC6" w:rsidRPr="00186777" w:rsidRDefault="004F5BC6" w:rsidP="004F5BC6">
      <w:pPr>
        <w:pStyle w:val="SingleTxt"/>
        <w:spacing w:after="0" w:line="120" w:lineRule="exact"/>
        <w:rPr>
          <w:sz w:val="10"/>
          <w:lang w:val="es-ES_tradnl"/>
        </w:rPr>
      </w:pPr>
    </w:p>
    <w:p w14:paraId="71305360" w14:textId="0D04753D" w:rsidR="004F5BC6" w:rsidRPr="00186777" w:rsidRDefault="004F5BC6" w:rsidP="004F5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67/III</w:t>
      </w:r>
    </w:p>
    <w:p w14:paraId="5E508F20" w14:textId="77777777" w:rsidR="004F5BC6" w:rsidRPr="00186777" w:rsidRDefault="004F5BC6" w:rsidP="004F5BC6">
      <w:pPr>
        <w:pStyle w:val="SingleTxt"/>
        <w:spacing w:after="0" w:line="120" w:lineRule="exact"/>
        <w:rPr>
          <w:sz w:val="10"/>
          <w:lang w:val="es-ES_tradnl"/>
        </w:rPr>
      </w:pPr>
    </w:p>
    <w:p w14:paraId="65FB6FA0" w14:textId="6E9A9B49" w:rsidR="004F5BC6" w:rsidRPr="00186777" w:rsidRDefault="004F5BC6" w:rsidP="004F5BC6">
      <w:pPr>
        <w:pStyle w:val="SingleTxt"/>
        <w:rPr>
          <w:lang w:val="es-ES_tradnl"/>
        </w:rPr>
      </w:pPr>
      <w:r w:rsidRPr="00186777">
        <w:rPr>
          <w:lang w:val="es-ES_tradnl"/>
        </w:rPr>
        <w:tab/>
        <w:t>El Comité nombró a Theodora Oby Nwankwo para que sustituyera a Pramila Patten como miembro del Grupo de Trabajo sobre las Comunicaciones Presentadas en virtud del Protocolo Facultativo. También respaldó la elección de Patricia Schulz como Presidenta del Grupo de Trabajo, y de Gladys Acosta Vargas, como Vicepresidenta.</w:t>
      </w:r>
    </w:p>
    <w:p w14:paraId="1663F10D" w14:textId="77777777" w:rsidR="004F5BC6" w:rsidRPr="00186777" w:rsidRDefault="004F5BC6" w:rsidP="004F5BC6">
      <w:pPr>
        <w:pStyle w:val="SingleTxt"/>
        <w:spacing w:after="0" w:line="120" w:lineRule="exact"/>
        <w:rPr>
          <w:sz w:val="10"/>
          <w:lang w:val="es-ES_tradnl"/>
        </w:rPr>
      </w:pPr>
    </w:p>
    <w:p w14:paraId="79F640BC" w14:textId="358DA79D" w:rsidR="004F5BC6" w:rsidRPr="00186777" w:rsidRDefault="004F5BC6" w:rsidP="004F5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67/IV</w:t>
      </w:r>
    </w:p>
    <w:p w14:paraId="32624FBC" w14:textId="77777777" w:rsidR="004F5BC6" w:rsidRPr="00186777" w:rsidRDefault="004F5BC6" w:rsidP="004F5BC6">
      <w:pPr>
        <w:pStyle w:val="SingleTxt"/>
        <w:spacing w:after="0" w:line="120" w:lineRule="exact"/>
        <w:rPr>
          <w:sz w:val="10"/>
          <w:lang w:val="es-ES_tradnl"/>
        </w:rPr>
      </w:pPr>
    </w:p>
    <w:p w14:paraId="771E76E9" w14:textId="3821BCB1" w:rsidR="004F5BC6" w:rsidRPr="00186777" w:rsidRDefault="004F5BC6" w:rsidP="004F5BC6">
      <w:pPr>
        <w:pStyle w:val="SingleTxt"/>
        <w:rPr>
          <w:lang w:val="es-ES_tradnl"/>
        </w:rPr>
      </w:pPr>
      <w:r w:rsidRPr="00186777">
        <w:rPr>
          <w:lang w:val="es-ES_tradnl"/>
        </w:rPr>
        <w:tab/>
        <w:t>El Comité nombró a Dalia Leinarte para que sustituyera a Theodora Oby Nwankwo como miembro del Grupo de Trabajo sobre Investigaciones con arreglo al Protocolo Facultativo.</w:t>
      </w:r>
    </w:p>
    <w:p w14:paraId="69714677" w14:textId="77777777" w:rsidR="004F5BC6" w:rsidRPr="00186777" w:rsidRDefault="004F5BC6" w:rsidP="004F5BC6">
      <w:pPr>
        <w:pStyle w:val="SingleTxt"/>
        <w:spacing w:after="0" w:line="120" w:lineRule="exact"/>
        <w:rPr>
          <w:sz w:val="10"/>
          <w:lang w:val="es-ES_tradnl"/>
        </w:rPr>
      </w:pPr>
    </w:p>
    <w:p w14:paraId="66C4CA58" w14:textId="7C87310A" w:rsidR="004F5BC6" w:rsidRPr="00186777" w:rsidRDefault="004F5BC6" w:rsidP="004F5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67/V</w:t>
      </w:r>
    </w:p>
    <w:p w14:paraId="5B938F67" w14:textId="77777777" w:rsidR="004F5BC6" w:rsidRPr="00186777" w:rsidRDefault="004F5BC6" w:rsidP="004F5BC6">
      <w:pPr>
        <w:pStyle w:val="SingleTxt"/>
        <w:spacing w:after="0" w:line="120" w:lineRule="exact"/>
        <w:rPr>
          <w:sz w:val="10"/>
          <w:lang w:val="es-ES_tradnl"/>
        </w:rPr>
      </w:pPr>
    </w:p>
    <w:p w14:paraId="26937BFF" w14:textId="40CCC3D3" w:rsidR="004F5BC6" w:rsidRPr="00186777" w:rsidRDefault="004F5BC6" w:rsidP="004F5BC6">
      <w:pPr>
        <w:pStyle w:val="SingleTxt"/>
        <w:rPr>
          <w:lang w:val="es-ES_tradnl"/>
        </w:rPr>
      </w:pPr>
      <w:r w:rsidRPr="00186777">
        <w:rPr>
          <w:lang w:val="es-ES_tradnl"/>
        </w:rPr>
        <w:tab/>
        <w:t>El Comité decidió modificar su práctica actual de incluir en sus observaciones finales únicamente las cuestiones que se hubieran planteado durante el diálogo constructivo con el Estado parte correspondiente (véase la decisión 60/VII), con miras a permitir que los expertos redujeran el número de preguntas que formulaban durante el diálogo. También decidió que las cuestiones que figuraran en la lista de cuestiones y preguntas o en la lista de cuestiones y preguntas previa a la presentación de informes se podrían incluir, además, en las observaciones finales. El Comité solicitó a la secretaría que informara a los Estados partes de la nueva práctica en las notas verbales por las que se transmite la lista de cuestiones y preguntas y las listas de cuestiones previa a la presentación de informes.</w:t>
      </w:r>
    </w:p>
    <w:p w14:paraId="77AF5C62" w14:textId="77777777" w:rsidR="004F5BC6" w:rsidRPr="00186777" w:rsidRDefault="004F5BC6" w:rsidP="004F5BC6">
      <w:pPr>
        <w:pStyle w:val="SingleTxt"/>
        <w:spacing w:after="0" w:line="120" w:lineRule="exact"/>
        <w:rPr>
          <w:sz w:val="10"/>
          <w:lang w:val="es-ES_tradnl"/>
        </w:rPr>
      </w:pPr>
    </w:p>
    <w:p w14:paraId="030899F1" w14:textId="693D81F4" w:rsidR="004F5BC6" w:rsidRPr="00186777" w:rsidRDefault="004F5BC6" w:rsidP="004F5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67/VI</w:t>
      </w:r>
    </w:p>
    <w:p w14:paraId="2C14022E" w14:textId="77777777" w:rsidR="004F5BC6" w:rsidRPr="00186777" w:rsidRDefault="004F5BC6" w:rsidP="004F5BC6">
      <w:pPr>
        <w:pStyle w:val="SingleTxt"/>
        <w:spacing w:after="0" w:line="120" w:lineRule="exact"/>
        <w:rPr>
          <w:sz w:val="10"/>
          <w:lang w:val="es-ES_tradnl"/>
        </w:rPr>
      </w:pPr>
      <w:bookmarkStart w:id="6" w:name="_Hlk510713483"/>
    </w:p>
    <w:p w14:paraId="7C065DC8" w14:textId="45473EB2" w:rsidR="004F5BC6" w:rsidRPr="00186777" w:rsidRDefault="004F5BC6" w:rsidP="004F5BC6">
      <w:pPr>
        <w:pStyle w:val="SingleTxt"/>
        <w:rPr>
          <w:lang w:val="es-ES_tradnl"/>
        </w:rPr>
      </w:pPr>
      <w:r w:rsidRPr="00186777">
        <w:rPr>
          <w:lang w:val="es-ES_tradnl"/>
        </w:rPr>
        <w:tab/>
        <w:t xml:space="preserve">El Comité recordó su decisión 55/IX, por la que decidió que cada experto se inscribiera en un mínimo de cuatro equipos de tareas sobre los países por período de sesiones, y decidió también que, además, los relatores para los países deberían inscribirse en un mínimo de dos equipos de tareas sobre los países para los períodos </w:t>
      </w:r>
      <w:r w:rsidRPr="00186777">
        <w:rPr>
          <w:lang w:val="es-ES_tradnl"/>
        </w:rPr>
        <w:lastRenderedPageBreak/>
        <w:t>de sesiones en los que se examinan los informes de ocho Estados partes. Asimismo, decidió que, en el caso de los períodos de sesiones de cuatro semanas, durante los que se examinan los informes de 12 Estados partes, cada experto debería inscribirse en un mínimo de seis equipos de tareas sobre los países, con la excepción de los relatores para los países, quienes en la medida de lo posible deben inscribirse en un mínimo de tres equipos de tareas sobre los países. Además, el Comité decidió que, en la medida de lo posible, la lista de equipos de tareas sobre los países debería finalizarse en el período de sesiones anterior al período de sesiones en que esté previsto examinar el informe del Estado parte.</w:t>
      </w:r>
      <w:bookmarkEnd w:id="6"/>
    </w:p>
    <w:p w14:paraId="7A54CE04" w14:textId="77777777" w:rsidR="004F5BC6" w:rsidRPr="00186777" w:rsidRDefault="004F5BC6" w:rsidP="004F5BC6">
      <w:pPr>
        <w:pStyle w:val="SingleTxt"/>
        <w:spacing w:after="0" w:line="120" w:lineRule="exact"/>
        <w:rPr>
          <w:sz w:val="10"/>
          <w:lang w:val="es-ES_tradnl"/>
        </w:rPr>
      </w:pPr>
    </w:p>
    <w:p w14:paraId="1B48BA72" w14:textId="67E29401" w:rsidR="004F5BC6" w:rsidRPr="00186777" w:rsidRDefault="004F5BC6" w:rsidP="004F5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67/VII</w:t>
      </w:r>
    </w:p>
    <w:p w14:paraId="2850E6BB" w14:textId="77777777" w:rsidR="004F5BC6" w:rsidRPr="00186777" w:rsidRDefault="004F5BC6" w:rsidP="004F5BC6">
      <w:pPr>
        <w:pStyle w:val="SingleTxt"/>
        <w:spacing w:after="0" w:line="120" w:lineRule="exact"/>
        <w:rPr>
          <w:sz w:val="10"/>
          <w:lang w:val="es-ES_tradnl"/>
        </w:rPr>
      </w:pPr>
    </w:p>
    <w:p w14:paraId="50256A79" w14:textId="5B44CFF0" w:rsidR="004F5BC6" w:rsidRPr="00186777" w:rsidRDefault="004F5BC6" w:rsidP="004F5BC6">
      <w:pPr>
        <w:pStyle w:val="SingleTxt"/>
        <w:rPr>
          <w:lang w:val="es-ES_tradnl"/>
        </w:rPr>
      </w:pPr>
      <w:r w:rsidRPr="00186777">
        <w:rPr>
          <w:lang w:val="es-ES_tradnl"/>
        </w:rPr>
        <w:tab/>
        <w:t>El Comité decidió que cada miembro debía ofrecerse voluntariamente como relator para un país por año, en la medida de lo posible, con miras a asegurar el reparto equitativo del trabajo, y que los miembros deberían indicar sus preferencias al miembro de la Mesa procedente del grupo regional del Estado parte correspondiente. También decidió que los relatores para los países deberían ser designados durante el año anterior al año en que los informes de los Estados partes correspondientes serán examinados por el Comité.</w:t>
      </w:r>
    </w:p>
    <w:p w14:paraId="655DAE19" w14:textId="77777777" w:rsidR="004F5BC6" w:rsidRPr="00186777" w:rsidRDefault="004F5BC6" w:rsidP="004F5BC6">
      <w:pPr>
        <w:pStyle w:val="SingleTxt"/>
        <w:spacing w:after="0" w:line="120" w:lineRule="exact"/>
        <w:rPr>
          <w:sz w:val="10"/>
          <w:lang w:val="es-ES_tradnl"/>
        </w:rPr>
      </w:pPr>
    </w:p>
    <w:p w14:paraId="4672939A" w14:textId="372A1B14" w:rsidR="004F5BC6" w:rsidRPr="00186777" w:rsidRDefault="004F5BC6" w:rsidP="004F5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67/VIII</w:t>
      </w:r>
    </w:p>
    <w:p w14:paraId="7D89A936" w14:textId="77777777" w:rsidR="004F5BC6" w:rsidRPr="00186777" w:rsidRDefault="004F5BC6" w:rsidP="004F5BC6">
      <w:pPr>
        <w:pStyle w:val="SingleTxt"/>
        <w:spacing w:after="0" w:line="120" w:lineRule="exact"/>
        <w:rPr>
          <w:sz w:val="10"/>
          <w:lang w:val="es-ES_tradnl"/>
        </w:rPr>
      </w:pPr>
    </w:p>
    <w:p w14:paraId="34954726" w14:textId="1FD01C29" w:rsidR="004F5BC6" w:rsidRPr="00186777" w:rsidRDefault="004F5BC6" w:rsidP="004F5BC6">
      <w:pPr>
        <w:pStyle w:val="SingleTxt"/>
        <w:rPr>
          <w:lang w:val="es-ES_tradnl"/>
        </w:rPr>
      </w:pPr>
      <w:r w:rsidRPr="00186777">
        <w:rPr>
          <w:lang w:val="es-ES_tradnl"/>
        </w:rPr>
        <w:tab/>
        <w:t xml:space="preserve">El Comité decidió revisar su decisión 65/II y volver a modificar el párrafo estándar en sus observaciones finales sobre la fecha de presentación del próximo informe periódico del Estado parte correspondiente, de la manera siguiente: </w:t>
      </w:r>
      <w:r w:rsidR="00186777">
        <w:rPr>
          <w:lang w:val="es-ES_tradnl"/>
        </w:rPr>
        <w:t>“</w:t>
      </w:r>
      <w:r w:rsidRPr="00186777">
        <w:rPr>
          <w:lang w:val="es-ES_tradnl"/>
        </w:rPr>
        <w:t>El Comité pide al Estado parte que presente su [xxx] informe periódico, cuyo plazo de presentación expira en [mes] de [año]. El informe deberá presentarse dentro del plazo fijado y abarcar todo el período hasta el momento de su presentación</w:t>
      </w:r>
      <w:r w:rsidR="00186777">
        <w:rPr>
          <w:lang w:val="es-ES_tradnl"/>
        </w:rPr>
        <w:t>”</w:t>
      </w:r>
      <w:r w:rsidR="00DB6BFF">
        <w:rPr>
          <w:lang w:val="es-ES_tradnl"/>
        </w:rPr>
        <w:t>.</w:t>
      </w:r>
    </w:p>
    <w:p w14:paraId="52DA0D02" w14:textId="77777777" w:rsidR="004F5BC6" w:rsidRPr="00186777" w:rsidRDefault="004F5BC6" w:rsidP="004F5BC6">
      <w:pPr>
        <w:pStyle w:val="SingleTxt"/>
        <w:spacing w:after="0" w:line="120" w:lineRule="exact"/>
        <w:rPr>
          <w:sz w:val="10"/>
          <w:lang w:val="es-ES_tradnl"/>
        </w:rPr>
      </w:pPr>
    </w:p>
    <w:p w14:paraId="5DD74C3A" w14:textId="77B416C2" w:rsidR="004F5BC6" w:rsidRPr="00186777" w:rsidRDefault="004F5BC6" w:rsidP="004F5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67/IX</w:t>
      </w:r>
    </w:p>
    <w:p w14:paraId="0C32AC72" w14:textId="77777777" w:rsidR="004F5BC6" w:rsidRPr="00186777" w:rsidRDefault="004F5BC6" w:rsidP="004F5BC6">
      <w:pPr>
        <w:pStyle w:val="SingleTxt"/>
        <w:spacing w:after="0" w:line="120" w:lineRule="exact"/>
        <w:rPr>
          <w:sz w:val="10"/>
          <w:lang w:val="es-ES_tradnl"/>
        </w:rPr>
      </w:pPr>
    </w:p>
    <w:p w14:paraId="27943B97" w14:textId="43876256" w:rsidR="004F5BC6" w:rsidRPr="00186777" w:rsidRDefault="004F5BC6" w:rsidP="004F5BC6">
      <w:pPr>
        <w:pStyle w:val="SingleTxt"/>
        <w:rPr>
          <w:lang w:val="es-ES_tradnl"/>
        </w:rPr>
      </w:pPr>
      <w:r w:rsidRPr="00186777">
        <w:rPr>
          <w:lang w:val="es-ES_tradnl"/>
        </w:rPr>
        <w:tab/>
        <w:t xml:space="preserve">De conformidad con el artículo 24 de su reglamento, enmendado por la decisión 59/V, el Comité decidió que, sobre la base de su composición, el árabe seguiría siendo su cuarto idioma oficial hasta el 31 de diciembre de 2018 y se utilizaría con carácter excepcional para facilitar la comunicación entre los miembros, de conformidad con lo dispuesto en el párrafo 30 de la resolución </w:t>
      </w:r>
      <w:hyperlink r:id="rId24" w:history="1">
        <w:r w:rsidRPr="00794DB5">
          <w:rPr>
            <w:rStyle w:val="Hyperlink"/>
            <w:lang w:val="es-ES_tradnl"/>
          </w:rPr>
          <w:t>68/268</w:t>
        </w:r>
      </w:hyperlink>
      <w:r w:rsidRPr="00186777">
        <w:rPr>
          <w:lang w:val="es-ES_tradnl"/>
        </w:rPr>
        <w:t xml:space="preserve"> de la Asamblea General.</w:t>
      </w:r>
    </w:p>
    <w:p w14:paraId="224203A3" w14:textId="77777777" w:rsidR="004F5BC6" w:rsidRPr="00186777" w:rsidRDefault="004F5BC6" w:rsidP="004F5BC6">
      <w:pPr>
        <w:pStyle w:val="SingleTxt"/>
        <w:spacing w:after="0" w:line="120" w:lineRule="exact"/>
        <w:rPr>
          <w:bCs/>
          <w:sz w:val="10"/>
          <w:lang w:val="es-ES_tradnl"/>
        </w:rPr>
      </w:pPr>
    </w:p>
    <w:p w14:paraId="7CBEE69E" w14:textId="39A24BC8" w:rsidR="004F5BC6" w:rsidRPr="00186777" w:rsidRDefault="004F5BC6" w:rsidP="004F5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67/X</w:t>
      </w:r>
    </w:p>
    <w:p w14:paraId="1A13C916" w14:textId="77777777" w:rsidR="004F5BC6" w:rsidRPr="00186777" w:rsidRDefault="004F5BC6" w:rsidP="004F5BC6">
      <w:pPr>
        <w:pStyle w:val="SingleTxt"/>
        <w:spacing w:after="0" w:line="120" w:lineRule="exact"/>
        <w:rPr>
          <w:sz w:val="10"/>
          <w:lang w:val="es-ES_tradnl"/>
        </w:rPr>
      </w:pPr>
    </w:p>
    <w:p w14:paraId="4DD0C7A6" w14:textId="486259E0" w:rsidR="004F5BC6" w:rsidRPr="00186777" w:rsidRDefault="004F5BC6" w:rsidP="004F5BC6">
      <w:pPr>
        <w:pStyle w:val="SingleTxt"/>
        <w:rPr>
          <w:lang w:val="es-ES_tradnl"/>
        </w:rPr>
      </w:pPr>
      <w:r w:rsidRPr="00186777">
        <w:rPr>
          <w:lang w:val="es-ES_tradnl"/>
        </w:rPr>
        <w:tab/>
        <w:t>El Comité confirmó a los miembros del grupo de trabajo anterior al sexagésimo noveno período de sesiones; a saber, Marion Bethel, Hilary Gbedemah (en sustitución de Theodora Oby Nwankwo), Nahla Haidar, Lilian Hofmeister y Lia Nadaraia.</w:t>
      </w:r>
    </w:p>
    <w:p w14:paraId="001EBE0C" w14:textId="770A95A5" w:rsidR="004D1DDB" w:rsidRPr="00186777" w:rsidRDefault="004D1DDB">
      <w:pPr>
        <w:suppressAutoHyphens w:val="0"/>
        <w:spacing w:after="200" w:line="276" w:lineRule="auto"/>
        <w:rPr>
          <w:kern w:val="14"/>
          <w:lang w:val="es-ES_tradnl"/>
        </w:rPr>
      </w:pPr>
      <w:r w:rsidRPr="00186777">
        <w:rPr>
          <w:lang w:val="es-ES_tradnl"/>
        </w:rPr>
        <w:br w:type="page"/>
      </w:r>
    </w:p>
    <w:p w14:paraId="2A7FF448" w14:textId="77777777" w:rsidR="004D1DDB" w:rsidRPr="00186777" w:rsidRDefault="004D1DDB" w:rsidP="004D1D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II</w:t>
      </w:r>
    </w:p>
    <w:p w14:paraId="09CB4407" w14:textId="55237F78" w:rsidR="004D1DDB" w:rsidRPr="00186777" w:rsidRDefault="004D1DDB" w:rsidP="004D1D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Cuestiones de organización y otros asuntos</w:t>
      </w:r>
    </w:p>
    <w:p w14:paraId="4DDE0552" w14:textId="67DC69B2" w:rsidR="004D1DDB" w:rsidRPr="00186777" w:rsidRDefault="004D1DDB" w:rsidP="004D1DDB">
      <w:pPr>
        <w:pStyle w:val="SingleTxt"/>
        <w:spacing w:after="0" w:line="120" w:lineRule="exact"/>
        <w:rPr>
          <w:sz w:val="10"/>
          <w:lang w:val="es-ES_tradnl"/>
        </w:rPr>
      </w:pPr>
    </w:p>
    <w:p w14:paraId="0DCFC9C7" w14:textId="43ED31D5" w:rsidR="004D1DDB" w:rsidRPr="00186777" w:rsidRDefault="004D1DDB" w:rsidP="004D1DDB">
      <w:pPr>
        <w:pStyle w:val="SingleTxt"/>
        <w:spacing w:after="0" w:line="120" w:lineRule="exact"/>
        <w:rPr>
          <w:sz w:val="10"/>
          <w:lang w:val="es-ES_tradnl"/>
        </w:rPr>
      </w:pPr>
    </w:p>
    <w:p w14:paraId="55FD7A29" w14:textId="1F30F4FA" w:rsidR="004D1DDB" w:rsidRPr="00186777" w:rsidRDefault="004D1DDB" w:rsidP="004D1D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A.</w:t>
      </w:r>
      <w:r w:rsidRPr="00186777">
        <w:rPr>
          <w:lang w:val="es-ES_tradnl"/>
        </w:rPr>
        <w:tab/>
        <w:t>Estados partes en la Convención y en el Protocolo Facultativo</w:t>
      </w:r>
    </w:p>
    <w:p w14:paraId="3432CF45" w14:textId="7A7B4753" w:rsidR="004D1DDB" w:rsidRPr="00186777" w:rsidRDefault="004D1DDB" w:rsidP="004D1DDB">
      <w:pPr>
        <w:pStyle w:val="SingleTxt"/>
        <w:spacing w:after="0" w:line="120" w:lineRule="exact"/>
        <w:rPr>
          <w:sz w:val="10"/>
          <w:lang w:val="es-ES_tradnl"/>
        </w:rPr>
      </w:pPr>
    </w:p>
    <w:p w14:paraId="666C428C" w14:textId="6614EEF1" w:rsidR="004D1DDB" w:rsidRPr="00186777" w:rsidRDefault="004D1DDB" w:rsidP="004D1DDB">
      <w:pPr>
        <w:pStyle w:val="SingleTxt"/>
        <w:spacing w:after="0" w:line="120" w:lineRule="exact"/>
        <w:rPr>
          <w:sz w:val="10"/>
          <w:lang w:val="es-ES_tradnl"/>
        </w:rPr>
      </w:pPr>
    </w:p>
    <w:p w14:paraId="78446AE1" w14:textId="4BA4A3A8" w:rsidR="004D1DDB" w:rsidRPr="00186777" w:rsidRDefault="004D1DDB" w:rsidP="00113F7A">
      <w:pPr>
        <w:pStyle w:val="SingleTxt"/>
        <w:numPr>
          <w:ilvl w:val="0"/>
          <w:numId w:val="5"/>
        </w:numPr>
        <w:ind w:left="1267"/>
        <w:rPr>
          <w:lang w:val="es-ES_tradnl"/>
        </w:rPr>
      </w:pPr>
      <w:r w:rsidRPr="00186777">
        <w:rPr>
          <w:lang w:val="es-ES_tradnl"/>
        </w:rPr>
        <w:t>Al 21 de julio de 2017, fecha de clausura del 67º período de sesiones del Comité, había 189 Estados partes en la Convención. Además, 71 Estados partes habían aceptado la enmienda del párrafo 1 del artículo 20 de la Convención, relativo al tiempo asignado a las reuniones del Comité. En la actualidad, es necesario que 126 Estados partes en la Convención acepten la enmienda para que entre en vigor.</w:t>
      </w:r>
    </w:p>
    <w:p w14:paraId="73C540D5" w14:textId="0A6ACE72" w:rsidR="004D1DDB" w:rsidRPr="00186777" w:rsidRDefault="004D1DDB" w:rsidP="00113F7A">
      <w:pPr>
        <w:pStyle w:val="SingleTxt"/>
        <w:numPr>
          <w:ilvl w:val="0"/>
          <w:numId w:val="5"/>
        </w:numPr>
        <w:ind w:left="1267"/>
        <w:rPr>
          <w:lang w:val="es-ES_tradnl"/>
        </w:rPr>
      </w:pPr>
      <w:r w:rsidRPr="00186777">
        <w:rPr>
          <w:lang w:val="es-ES_tradnl"/>
        </w:rPr>
        <w:t>En la misma fecha había 109 Estados partes en el Protocolo Facultativo de la Convención.</w:t>
      </w:r>
    </w:p>
    <w:p w14:paraId="3E7EA08A" w14:textId="77D145D0" w:rsidR="004D1DDB" w:rsidRPr="00186777" w:rsidRDefault="004D1DDB" w:rsidP="004D1DDB">
      <w:pPr>
        <w:pStyle w:val="SingleTxt"/>
        <w:spacing w:after="0" w:line="120" w:lineRule="exact"/>
        <w:rPr>
          <w:sz w:val="10"/>
          <w:lang w:val="es-ES_tradnl"/>
        </w:rPr>
      </w:pPr>
    </w:p>
    <w:p w14:paraId="327023D1" w14:textId="41A4FDAB" w:rsidR="004D1DDB" w:rsidRPr="00186777" w:rsidRDefault="004D1DDB" w:rsidP="004D1DDB">
      <w:pPr>
        <w:pStyle w:val="SingleTxt"/>
        <w:spacing w:after="0" w:line="120" w:lineRule="exact"/>
        <w:rPr>
          <w:sz w:val="10"/>
          <w:lang w:val="es-ES_tradnl"/>
        </w:rPr>
      </w:pPr>
    </w:p>
    <w:p w14:paraId="71551866" w14:textId="0CD60A0E" w:rsidR="004D1DDB" w:rsidRPr="00186777" w:rsidRDefault="004D1DDB" w:rsidP="004D1D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B.</w:t>
      </w:r>
      <w:r w:rsidRPr="00186777">
        <w:rPr>
          <w:lang w:val="es-ES_tradnl"/>
        </w:rPr>
        <w:tab/>
        <w:t>Apertura del período de sesiones</w:t>
      </w:r>
    </w:p>
    <w:p w14:paraId="0A4C7E4D" w14:textId="28A514B1" w:rsidR="004D1DDB" w:rsidRPr="00186777" w:rsidRDefault="004D1DDB" w:rsidP="004D1DDB">
      <w:pPr>
        <w:pStyle w:val="SingleTxt"/>
        <w:spacing w:after="0" w:line="120" w:lineRule="exact"/>
        <w:rPr>
          <w:sz w:val="10"/>
          <w:lang w:val="es-ES_tradnl"/>
        </w:rPr>
      </w:pPr>
    </w:p>
    <w:p w14:paraId="6017911B" w14:textId="2F93BCF3" w:rsidR="004D1DDB" w:rsidRPr="00186777" w:rsidRDefault="004D1DDB" w:rsidP="004D1DDB">
      <w:pPr>
        <w:pStyle w:val="SingleTxt"/>
        <w:spacing w:after="0" w:line="120" w:lineRule="exact"/>
        <w:rPr>
          <w:sz w:val="10"/>
          <w:lang w:val="es-ES_tradnl"/>
        </w:rPr>
      </w:pPr>
    </w:p>
    <w:p w14:paraId="6895E5FB" w14:textId="669159B1" w:rsidR="004D1DDB" w:rsidRPr="00186777" w:rsidRDefault="004D1DDB" w:rsidP="00113F7A">
      <w:pPr>
        <w:pStyle w:val="SingleTxt"/>
        <w:numPr>
          <w:ilvl w:val="0"/>
          <w:numId w:val="5"/>
        </w:numPr>
        <w:ind w:left="1267"/>
        <w:rPr>
          <w:lang w:val="es-ES_tradnl"/>
        </w:rPr>
      </w:pPr>
      <w:r w:rsidRPr="00186777">
        <w:rPr>
          <w:lang w:val="es-ES_tradnl"/>
        </w:rPr>
        <w:t>El 67º período de sesiones del Comité se celebró en la Oficina de las Naciones Unidas en Ginebra del 3 al 21 de julio de 2017. El Comité celebró 20 sesiones plenarias y 10 sesiones para examinar los temas 5 a 8 del programa. En el anexo de la primera parte del presente informe figura una lista de los documentos que el Comité tuvo ante sí.</w:t>
      </w:r>
    </w:p>
    <w:p w14:paraId="59A4C1CC" w14:textId="4881AA9A" w:rsidR="004D1DDB" w:rsidRPr="00186777" w:rsidRDefault="004D1DDB" w:rsidP="00113F7A">
      <w:pPr>
        <w:pStyle w:val="SingleTxt"/>
        <w:numPr>
          <w:ilvl w:val="0"/>
          <w:numId w:val="5"/>
        </w:numPr>
        <w:ind w:left="1267"/>
        <w:rPr>
          <w:lang w:val="es-ES_tradnl"/>
        </w:rPr>
      </w:pPr>
      <w:r w:rsidRPr="00186777">
        <w:rPr>
          <w:lang w:val="es-ES_tradnl"/>
        </w:rPr>
        <w:t>En la 1500</w:t>
      </w:r>
      <w:r w:rsidRPr="00186777">
        <w:rPr>
          <w:vertAlign w:val="superscript"/>
          <w:lang w:val="es-ES_tradnl"/>
        </w:rPr>
        <w:t>a</w:t>
      </w:r>
      <w:r w:rsidRPr="00186777">
        <w:rPr>
          <w:lang w:val="es-ES_tradnl"/>
        </w:rPr>
        <w:t xml:space="preserve"> sesión, celebrada el 3 de julio, la Presidenta inauguró el período de sesiones.</w:t>
      </w:r>
    </w:p>
    <w:p w14:paraId="317AAB84" w14:textId="28961CE0" w:rsidR="004D1DDB" w:rsidRPr="00186777" w:rsidRDefault="004D1DDB" w:rsidP="004D1DDB">
      <w:pPr>
        <w:pStyle w:val="SingleTxt"/>
        <w:spacing w:after="0" w:line="120" w:lineRule="exact"/>
        <w:rPr>
          <w:sz w:val="10"/>
          <w:lang w:val="es-ES_tradnl"/>
        </w:rPr>
      </w:pPr>
    </w:p>
    <w:p w14:paraId="21DE8E00" w14:textId="1B00B46D" w:rsidR="004D1DDB" w:rsidRPr="00186777" w:rsidRDefault="004D1DDB" w:rsidP="004D1DDB">
      <w:pPr>
        <w:pStyle w:val="SingleTxt"/>
        <w:spacing w:after="0" w:line="120" w:lineRule="exact"/>
        <w:rPr>
          <w:sz w:val="10"/>
          <w:lang w:val="es-ES_tradnl"/>
        </w:rPr>
      </w:pPr>
    </w:p>
    <w:p w14:paraId="20AB935E" w14:textId="5F003CF6" w:rsidR="004D1DDB" w:rsidRPr="00186777" w:rsidRDefault="004D1DDB" w:rsidP="004D1D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C.</w:t>
      </w:r>
      <w:r w:rsidRPr="00186777">
        <w:rPr>
          <w:lang w:val="es-ES_tradnl"/>
        </w:rPr>
        <w:tab/>
        <w:t>Aprobación del</w:t>
      </w:r>
      <w:r w:rsidR="00AC4A26">
        <w:rPr>
          <w:lang w:val="es-ES_tradnl"/>
        </w:rPr>
        <w:t xml:space="preserve"> program</w:t>
      </w:r>
      <w:r w:rsidRPr="00186777">
        <w:rPr>
          <w:lang w:val="es-ES_tradnl"/>
        </w:rPr>
        <w:t>a</w:t>
      </w:r>
    </w:p>
    <w:p w14:paraId="29541096" w14:textId="77777777" w:rsidR="004D1DDB" w:rsidRPr="00186777" w:rsidRDefault="004D1DDB" w:rsidP="004D1DDB">
      <w:pPr>
        <w:pStyle w:val="SingleTxt"/>
        <w:spacing w:after="0" w:line="120" w:lineRule="exact"/>
        <w:rPr>
          <w:sz w:val="10"/>
          <w:lang w:val="es-ES_tradnl"/>
        </w:rPr>
      </w:pPr>
    </w:p>
    <w:p w14:paraId="0748429E" w14:textId="77777777" w:rsidR="004D1DDB" w:rsidRPr="00186777" w:rsidRDefault="004D1DDB" w:rsidP="004D1DDB">
      <w:pPr>
        <w:pStyle w:val="SingleTxt"/>
        <w:spacing w:after="0" w:line="120" w:lineRule="exact"/>
        <w:rPr>
          <w:sz w:val="10"/>
          <w:lang w:val="es-ES_tradnl"/>
        </w:rPr>
      </w:pPr>
    </w:p>
    <w:p w14:paraId="714131F8" w14:textId="3BD453DC" w:rsidR="004D1DDB" w:rsidRPr="00186777" w:rsidRDefault="004D1DDB" w:rsidP="00113F7A">
      <w:pPr>
        <w:pStyle w:val="SingleTxt"/>
        <w:numPr>
          <w:ilvl w:val="0"/>
          <w:numId w:val="5"/>
        </w:numPr>
        <w:ind w:left="1267"/>
        <w:rPr>
          <w:lang w:val="es-ES_tradnl"/>
        </w:rPr>
      </w:pPr>
      <w:r w:rsidRPr="00186777">
        <w:rPr>
          <w:lang w:val="es-ES_tradnl"/>
        </w:rPr>
        <w:t>El Comité aprobó el programa provisional (</w:t>
      </w:r>
      <w:hyperlink r:id="rId25" w:history="1">
        <w:r w:rsidRPr="00794DB5">
          <w:rPr>
            <w:rStyle w:val="Hyperlink"/>
            <w:lang w:val="es-ES_tradnl"/>
          </w:rPr>
          <w:t>CEDAW/C/67/1</w:t>
        </w:r>
      </w:hyperlink>
      <w:r w:rsidRPr="00186777">
        <w:rPr>
          <w:lang w:val="es-ES_tradnl"/>
        </w:rPr>
        <w:t>) en su 1500</w:t>
      </w:r>
      <w:r w:rsidRPr="00186777">
        <w:rPr>
          <w:vertAlign w:val="superscript"/>
          <w:lang w:val="es-ES_tradnl"/>
        </w:rPr>
        <w:t>a</w:t>
      </w:r>
      <w:r w:rsidRPr="00186777">
        <w:rPr>
          <w:lang w:val="es-ES_tradnl"/>
        </w:rPr>
        <w:t xml:space="preserve"> sesión, celebrada el 3 de julio.</w:t>
      </w:r>
    </w:p>
    <w:p w14:paraId="3E9E4BFE" w14:textId="77777777" w:rsidR="004D1DDB" w:rsidRPr="00186777" w:rsidRDefault="004D1DDB" w:rsidP="004D1DDB">
      <w:pPr>
        <w:pStyle w:val="SingleTxt"/>
        <w:spacing w:after="0" w:line="120" w:lineRule="exact"/>
        <w:rPr>
          <w:b/>
          <w:bCs/>
          <w:sz w:val="10"/>
          <w:lang w:val="es-ES_tradnl"/>
        </w:rPr>
      </w:pPr>
    </w:p>
    <w:p w14:paraId="49599F47" w14:textId="77777777" w:rsidR="004D1DDB" w:rsidRPr="00186777" w:rsidRDefault="004D1DDB" w:rsidP="004D1DDB">
      <w:pPr>
        <w:pStyle w:val="SingleTxt"/>
        <w:spacing w:after="0" w:line="120" w:lineRule="exact"/>
        <w:rPr>
          <w:b/>
          <w:bCs/>
          <w:sz w:val="10"/>
          <w:lang w:val="es-ES_tradnl"/>
        </w:rPr>
      </w:pPr>
    </w:p>
    <w:p w14:paraId="6D26F977" w14:textId="3C8092FC" w:rsidR="004D1DDB" w:rsidRPr="00186777" w:rsidRDefault="004D1DDB" w:rsidP="004D1D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D.</w:t>
      </w:r>
      <w:r w:rsidRPr="00186777">
        <w:rPr>
          <w:lang w:val="es-ES_tradnl"/>
        </w:rPr>
        <w:tab/>
        <w:t>Informe del grupo de trabajo anterior al período de sesiones</w:t>
      </w:r>
    </w:p>
    <w:p w14:paraId="5AFCDDDC" w14:textId="77777777" w:rsidR="004D1DDB" w:rsidRPr="00186777" w:rsidRDefault="004D1DDB" w:rsidP="004D1DDB">
      <w:pPr>
        <w:pStyle w:val="SingleTxt"/>
        <w:spacing w:after="0" w:line="120" w:lineRule="exact"/>
        <w:rPr>
          <w:sz w:val="10"/>
          <w:lang w:val="es-ES_tradnl"/>
        </w:rPr>
      </w:pPr>
    </w:p>
    <w:p w14:paraId="7411D7D4" w14:textId="77777777" w:rsidR="004D1DDB" w:rsidRPr="00186777" w:rsidRDefault="004D1DDB" w:rsidP="004D1DDB">
      <w:pPr>
        <w:pStyle w:val="SingleTxt"/>
        <w:spacing w:after="0" w:line="120" w:lineRule="exact"/>
        <w:rPr>
          <w:sz w:val="10"/>
          <w:lang w:val="es-ES_tradnl"/>
        </w:rPr>
      </w:pPr>
    </w:p>
    <w:p w14:paraId="0B3D4C89" w14:textId="1C567029" w:rsidR="004D1DDB" w:rsidRPr="00186777" w:rsidRDefault="004D1DDB" w:rsidP="00113F7A">
      <w:pPr>
        <w:pStyle w:val="SingleTxt"/>
        <w:numPr>
          <w:ilvl w:val="0"/>
          <w:numId w:val="5"/>
        </w:numPr>
        <w:ind w:left="1267"/>
        <w:rPr>
          <w:lang w:val="es-ES_tradnl"/>
        </w:rPr>
      </w:pPr>
      <w:r w:rsidRPr="00186777">
        <w:rPr>
          <w:lang w:val="es-ES_tradnl"/>
        </w:rPr>
        <w:t>El informe del grupo de trabajo anterior al período de sesiones (</w:t>
      </w:r>
      <w:hyperlink r:id="rId26" w:history="1">
        <w:r w:rsidR="00DB6BFF">
          <w:rPr>
            <w:rStyle w:val="Hyperlink"/>
            <w:lang w:val="es-ES_tradnl"/>
          </w:rPr>
          <w:t>CEDAW/C/PSWG/67</w:t>
        </w:r>
        <w:r w:rsidRPr="00794DB5">
          <w:rPr>
            <w:rStyle w:val="Hyperlink"/>
            <w:lang w:val="es-ES_tradnl"/>
          </w:rPr>
          <w:t>/1</w:t>
        </w:r>
      </w:hyperlink>
      <w:r w:rsidRPr="00186777">
        <w:rPr>
          <w:lang w:val="es-ES_tradnl"/>
        </w:rPr>
        <w:t>), que se reunió del 21 al 25 de noviembre de 2016, fue presentado por Patricia Schulz en la 1500ª sesión, celebrada el 3 de julio de 2017.</w:t>
      </w:r>
    </w:p>
    <w:p w14:paraId="5AE9B889" w14:textId="77777777" w:rsidR="004D1DDB" w:rsidRPr="00186777" w:rsidRDefault="004D1DDB" w:rsidP="004D1DDB">
      <w:pPr>
        <w:pStyle w:val="SingleTxt"/>
        <w:spacing w:after="0" w:line="120" w:lineRule="exact"/>
        <w:rPr>
          <w:b/>
          <w:bCs/>
          <w:sz w:val="10"/>
          <w:lang w:val="es-ES_tradnl"/>
        </w:rPr>
      </w:pPr>
    </w:p>
    <w:p w14:paraId="4CD5E3A2" w14:textId="77777777" w:rsidR="004D1DDB" w:rsidRPr="00186777" w:rsidRDefault="004D1DDB" w:rsidP="004D1DDB">
      <w:pPr>
        <w:pStyle w:val="SingleTxt"/>
        <w:spacing w:after="0" w:line="120" w:lineRule="exact"/>
        <w:rPr>
          <w:b/>
          <w:bCs/>
          <w:sz w:val="10"/>
          <w:lang w:val="es-ES_tradnl"/>
        </w:rPr>
      </w:pPr>
    </w:p>
    <w:p w14:paraId="49ADD273" w14:textId="19F6322E" w:rsidR="004D1DDB" w:rsidRPr="00186777" w:rsidRDefault="004D1DDB" w:rsidP="004D1D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E.</w:t>
      </w:r>
      <w:r w:rsidRPr="00186777">
        <w:rPr>
          <w:lang w:val="es-ES_tradnl"/>
        </w:rPr>
        <w:tab/>
        <w:t>Organización de los trabajos</w:t>
      </w:r>
    </w:p>
    <w:p w14:paraId="417F23E1" w14:textId="77777777" w:rsidR="004D1DDB" w:rsidRPr="00186777" w:rsidRDefault="004D1DDB" w:rsidP="004D1DDB">
      <w:pPr>
        <w:pStyle w:val="SingleTxt"/>
        <w:spacing w:after="0" w:line="120" w:lineRule="exact"/>
        <w:rPr>
          <w:sz w:val="10"/>
          <w:lang w:val="es-ES_tradnl"/>
        </w:rPr>
      </w:pPr>
    </w:p>
    <w:p w14:paraId="4669A674" w14:textId="77777777" w:rsidR="004D1DDB" w:rsidRPr="00186777" w:rsidRDefault="004D1DDB" w:rsidP="004D1DDB">
      <w:pPr>
        <w:pStyle w:val="SingleTxt"/>
        <w:spacing w:after="0" w:line="120" w:lineRule="exact"/>
        <w:rPr>
          <w:sz w:val="10"/>
          <w:lang w:val="es-ES_tradnl"/>
        </w:rPr>
      </w:pPr>
    </w:p>
    <w:p w14:paraId="2C6F65D6" w14:textId="03FED3E8" w:rsidR="004D1DDB" w:rsidRPr="00186777" w:rsidRDefault="004D1DDB" w:rsidP="00113F7A">
      <w:pPr>
        <w:pStyle w:val="SingleTxt"/>
        <w:numPr>
          <w:ilvl w:val="0"/>
          <w:numId w:val="5"/>
        </w:numPr>
        <w:ind w:left="1267"/>
        <w:rPr>
          <w:lang w:val="es-ES_tradnl"/>
        </w:rPr>
      </w:pPr>
      <w:r w:rsidRPr="00186777">
        <w:rPr>
          <w:lang w:val="es-ES_tradnl"/>
        </w:rPr>
        <w:t>Los días 3 y 10 de julio de 2017, el Comité celebró sesiones privadas, en algunos casos mediante videoconferencia, con representantes de los organismos especializados, fondos y programas del sistema de las Naciones Unidas, así como de otras organizaciones intergubernamentales, en las cuales facilitaron información sobre determinados países y sobre las actividades que habían realizado para apoyar la aplicación de la Convención.</w:t>
      </w:r>
    </w:p>
    <w:p w14:paraId="48A29756" w14:textId="62142E31" w:rsidR="004D1DDB" w:rsidRPr="00186777" w:rsidRDefault="004D1DDB" w:rsidP="00113F7A">
      <w:pPr>
        <w:pStyle w:val="SingleTxt"/>
        <w:numPr>
          <w:ilvl w:val="0"/>
          <w:numId w:val="5"/>
        </w:numPr>
        <w:ind w:left="1267"/>
        <w:rPr>
          <w:lang w:val="es-ES_tradnl"/>
        </w:rPr>
      </w:pPr>
      <w:r w:rsidRPr="00186777">
        <w:rPr>
          <w:lang w:val="es-ES_tradnl"/>
        </w:rPr>
        <w:t>Además, el Comité celebró sesiones públicas oficiosas con representantes de organizaciones no gubernamentales e instituciones nacionales de derechos humanos, que informaron sobre la aplicación de la Convención en los Estados partes cuyos informes examinó el Comité en su período de sesiones.</w:t>
      </w:r>
    </w:p>
    <w:p w14:paraId="20949ADB" w14:textId="3B3CEF82" w:rsidR="004D1DDB" w:rsidRPr="00186777" w:rsidRDefault="004D1DDB" w:rsidP="00113F7A">
      <w:pPr>
        <w:pStyle w:val="SingleTxt"/>
        <w:numPr>
          <w:ilvl w:val="0"/>
          <w:numId w:val="5"/>
        </w:numPr>
        <w:ind w:left="1267"/>
        <w:rPr>
          <w:lang w:val="es-ES_tradnl"/>
        </w:rPr>
      </w:pPr>
      <w:r w:rsidRPr="00186777">
        <w:rPr>
          <w:lang w:val="es-ES_tradnl"/>
        </w:rPr>
        <w:t xml:space="preserve">El 7 de julio, el Comité celebró una reunión oficiosa, en la cual Renée Chartres, especialista jurídica en cuestiones relacionadas con la tierra y el género de la Organización de las Naciones Unidas para la Alimentación y la Agricultura (FAO), hizo una exposición informativa sobre el indicador 5.a.2 de los Objetivos de </w:t>
      </w:r>
      <w:r w:rsidRPr="00186777">
        <w:rPr>
          <w:lang w:val="es-ES_tradnl"/>
        </w:rPr>
        <w:lastRenderedPageBreak/>
        <w:t>Desarrollo Sostenible, relativo al establecimiento de marcos jurídicos nacionales (incluido el derecho consuetudinario) que garanticen la igualdad de derechos de las mujeres a la propiedad y el control de la tierra.</w:t>
      </w:r>
    </w:p>
    <w:p w14:paraId="00058A85" w14:textId="2BBD22AC" w:rsidR="004D1DDB" w:rsidRPr="00186777" w:rsidRDefault="004D1DDB" w:rsidP="00113F7A">
      <w:pPr>
        <w:pStyle w:val="SingleTxt"/>
        <w:numPr>
          <w:ilvl w:val="0"/>
          <w:numId w:val="5"/>
        </w:numPr>
        <w:ind w:left="1267"/>
        <w:rPr>
          <w:lang w:val="es-ES_tradnl"/>
        </w:rPr>
      </w:pPr>
      <w:r w:rsidRPr="00186777">
        <w:rPr>
          <w:lang w:val="es-ES_tradnl"/>
        </w:rPr>
        <w:t>El 21 de julio, el Comité celebró una reunión oficiosa, en la que Ann Blomberg, especialista en derechos humanos de ONU-Mujeres, hizo una exposición informativa sobre los resultados de la reunión de expertos a fin de examinar estrategias para la integración de los derechos de la mujer en el pacto mundial para una migración segura, ordenada y regular, organizada por el ACNUDH y ONU-Mujeres en Ginebra los días 21 y 22 de noviembre de 2016.</w:t>
      </w:r>
    </w:p>
    <w:p w14:paraId="6F9FC450" w14:textId="11E7EF2A" w:rsidR="004D1DDB" w:rsidRPr="00186777" w:rsidRDefault="004D1DDB" w:rsidP="00113F7A">
      <w:pPr>
        <w:pStyle w:val="SingleTxt"/>
        <w:numPr>
          <w:ilvl w:val="0"/>
          <w:numId w:val="5"/>
        </w:numPr>
        <w:ind w:left="1267"/>
        <w:rPr>
          <w:lang w:val="es-ES_tradnl"/>
        </w:rPr>
      </w:pPr>
      <w:r w:rsidRPr="00186777">
        <w:rPr>
          <w:lang w:val="es-ES_tradnl"/>
        </w:rPr>
        <w:t>El 12 de julio de 2017, el Comité se reunió en forma oficiosa con los miembros del Mecanismo de Expertos sobre los Derechos de los Pueblos Indígenas del Consejo de Derechos Humanos. La Academia de Derecho Internacional Humanitario y Derechos Humanos de Ginebra fue la anfitriona de la reunión.</w:t>
      </w:r>
    </w:p>
    <w:p w14:paraId="5F3B3383" w14:textId="09CEC719" w:rsidR="004D1DDB" w:rsidRPr="00186777" w:rsidRDefault="004D1DDB" w:rsidP="00113F7A">
      <w:pPr>
        <w:pStyle w:val="SingleTxt"/>
        <w:numPr>
          <w:ilvl w:val="0"/>
          <w:numId w:val="5"/>
        </w:numPr>
        <w:ind w:left="1267"/>
        <w:rPr>
          <w:lang w:val="es-ES_tradnl"/>
        </w:rPr>
      </w:pPr>
      <w:r w:rsidRPr="00186777">
        <w:rPr>
          <w:lang w:val="es-ES_tradnl"/>
        </w:rPr>
        <w:t>El 14 de julio, el Comité celebró una videoconferencia con Akiko Sakaue, analista de programas de derechos humanos y género del Fondo de Población de las Naciones Unidas (UNFPA), y Emilie Filmer-Wilson, asesora técnica (Derechos Humanos) del UNFPA, quienes hicieron una exposición informativa sobre los problemas que enfrentaba la mujer para ejercer sus derechos en relación con la maternidad subrogada.</w:t>
      </w:r>
    </w:p>
    <w:p w14:paraId="7D34195A" w14:textId="7DCE1E46" w:rsidR="004D1DDB" w:rsidRPr="00186777" w:rsidRDefault="004D1DDB" w:rsidP="00113F7A">
      <w:pPr>
        <w:pStyle w:val="SingleTxt"/>
        <w:numPr>
          <w:ilvl w:val="0"/>
          <w:numId w:val="5"/>
        </w:numPr>
        <w:ind w:left="1267"/>
        <w:rPr>
          <w:lang w:val="es-ES_tradnl"/>
        </w:rPr>
      </w:pPr>
      <w:r w:rsidRPr="00186777">
        <w:rPr>
          <w:lang w:val="es-ES_tradnl"/>
        </w:rPr>
        <w:t>El 19 de julio, el Comité se reunió oficiosamente con Sarah Iqbal, Directora de Programas de Women, Business and the Law Project del Banco Mundial, y Keiko Nowacka, Coordinadora en materia de género del Centro de Desarrollo de la Organización de Cooperación y Desarrollo Económicos (OCDE), quienes hicieron una exposición informativa acerca de la recopilación de datos sobre el indicador 5.1.1 de los Objetivos de Desarrollo Sostenible, relarivo a los marcos jurídicos para promover, hacer cumplir y supervisar la igualdad y la no discriminación por razón de género. Begoña Lasagabaster, Jefa de la Sección de Derechos Humanos; Ginette Azcona, especialista en políticas; y Caitlin Boyce, especialista en políticas de derechos humanos, todas de ONU-Mujeres, participaron en la reunión por videoconferencia.</w:t>
      </w:r>
      <w:bookmarkStart w:id="7" w:name="_Hlk510715803"/>
      <w:bookmarkEnd w:id="7"/>
    </w:p>
    <w:p w14:paraId="03047F7D" w14:textId="77777777" w:rsidR="004D1DDB" w:rsidRPr="00186777" w:rsidRDefault="004D1DDB" w:rsidP="004D1DDB">
      <w:pPr>
        <w:pStyle w:val="SingleTxt"/>
        <w:spacing w:after="0" w:line="120" w:lineRule="exact"/>
        <w:rPr>
          <w:sz w:val="10"/>
          <w:lang w:val="es-ES_tradnl"/>
        </w:rPr>
      </w:pPr>
    </w:p>
    <w:p w14:paraId="78B42988" w14:textId="77777777" w:rsidR="004D1DDB" w:rsidRPr="00186777" w:rsidRDefault="004D1DDB" w:rsidP="004D1DDB">
      <w:pPr>
        <w:pStyle w:val="SingleTxt"/>
        <w:spacing w:after="0" w:line="120" w:lineRule="exact"/>
        <w:rPr>
          <w:sz w:val="10"/>
          <w:lang w:val="es-ES_tradnl"/>
        </w:rPr>
      </w:pPr>
    </w:p>
    <w:p w14:paraId="52BDA00F" w14:textId="73FE2A92" w:rsidR="004D1DDB" w:rsidRPr="00186777" w:rsidRDefault="004D1DDB" w:rsidP="004D1D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F.</w:t>
      </w:r>
      <w:r w:rsidRPr="00186777">
        <w:rPr>
          <w:lang w:val="es-ES_tradnl"/>
        </w:rPr>
        <w:tab/>
        <w:t>Composición del Comité</w:t>
      </w:r>
    </w:p>
    <w:p w14:paraId="280F13EF" w14:textId="77777777" w:rsidR="004D1DDB" w:rsidRPr="00186777" w:rsidRDefault="004D1DDB" w:rsidP="004D1DDB">
      <w:pPr>
        <w:pStyle w:val="SingleTxt"/>
        <w:spacing w:after="0" w:line="120" w:lineRule="exact"/>
        <w:rPr>
          <w:b/>
          <w:sz w:val="10"/>
          <w:lang w:val="es-ES_tradnl"/>
        </w:rPr>
      </w:pPr>
    </w:p>
    <w:p w14:paraId="06063667" w14:textId="77777777" w:rsidR="004D1DDB" w:rsidRPr="00186777" w:rsidRDefault="004D1DDB" w:rsidP="004D1DDB">
      <w:pPr>
        <w:pStyle w:val="SingleTxt"/>
        <w:spacing w:after="0" w:line="120" w:lineRule="exact"/>
        <w:rPr>
          <w:b/>
          <w:sz w:val="10"/>
          <w:lang w:val="es-ES_tradnl"/>
        </w:rPr>
      </w:pPr>
    </w:p>
    <w:p w14:paraId="4FB23DC9" w14:textId="2667C74A" w:rsidR="004D1DDB" w:rsidRDefault="004D1DDB" w:rsidP="004D1D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Cubrimie</w:t>
      </w:r>
      <w:r w:rsidR="00DB6BFF">
        <w:rPr>
          <w:lang w:val="es-ES_tradnl"/>
        </w:rPr>
        <w:t>nto de las vacantes imprevistas</w:t>
      </w:r>
    </w:p>
    <w:p w14:paraId="765532E1" w14:textId="2D4AA469" w:rsidR="00DB6BFF" w:rsidRPr="00DB6BFF" w:rsidRDefault="00DB6BFF" w:rsidP="00DB6BFF">
      <w:pPr>
        <w:pStyle w:val="SingleTxt"/>
        <w:spacing w:after="0" w:line="120" w:lineRule="exact"/>
        <w:rPr>
          <w:sz w:val="10"/>
          <w:lang w:val="es-ES_tradnl"/>
        </w:rPr>
      </w:pPr>
    </w:p>
    <w:p w14:paraId="03F915CD" w14:textId="44386071" w:rsidR="004D1DDB" w:rsidRPr="00186777" w:rsidRDefault="004D1DDB" w:rsidP="00113F7A">
      <w:pPr>
        <w:pStyle w:val="SingleTxt"/>
        <w:numPr>
          <w:ilvl w:val="0"/>
          <w:numId w:val="5"/>
        </w:numPr>
        <w:ind w:left="1267"/>
        <w:rPr>
          <w:lang w:val="es-ES_tradnl"/>
        </w:rPr>
      </w:pPr>
      <w:r w:rsidRPr="00186777">
        <w:rPr>
          <w:lang w:val="es-ES_tradnl"/>
        </w:rPr>
        <w:t>Pramila Patten dimitió del Comité el 16 de mayo. El 17 de mayo, el Secretario General pidió al Gobierno de Mauricio que designara, en un plazo de dos meses, a otro experto de entre sus nacionales para que prestara servicios durante el resto del mandato de la Sra. Patten. El 21 de junio, el Gobierno de Mauricio informó al Comité de su decisión de nombrar a Aruna Devi Narain para que actuara como miembro del Comité durante el resto del mandato de la Sra. Patten, hasta el 31 de diciembre de 2018. El 21 de julio de 2017, el Comité decidió aprobar el nombramiento de la Sra. Narain, de conformidad con el párrafo 7 del artículo 17 de la Convención.</w:t>
      </w:r>
    </w:p>
    <w:p w14:paraId="114F97C8" w14:textId="77777777" w:rsidR="004D1DDB" w:rsidRPr="00186777" w:rsidRDefault="004D1DDB" w:rsidP="004D1DDB">
      <w:pPr>
        <w:pStyle w:val="SingleTxt"/>
        <w:spacing w:after="0" w:line="120" w:lineRule="exact"/>
        <w:rPr>
          <w:b/>
          <w:bCs/>
          <w:sz w:val="10"/>
          <w:lang w:val="es-ES_tradnl"/>
        </w:rPr>
      </w:pPr>
    </w:p>
    <w:p w14:paraId="05C5FB6B" w14:textId="77B58953" w:rsidR="004D1DDB" w:rsidRPr="00186777" w:rsidRDefault="004D1DDB" w:rsidP="004D1D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Participación en el 67º período de sesiones</w:t>
      </w:r>
    </w:p>
    <w:p w14:paraId="1C9FB7D2" w14:textId="77777777" w:rsidR="004D1DDB" w:rsidRPr="00186777" w:rsidRDefault="004D1DDB" w:rsidP="004D1DDB">
      <w:pPr>
        <w:pStyle w:val="SingleTxt"/>
        <w:spacing w:after="0" w:line="120" w:lineRule="exact"/>
        <w:rPr>
          <w:sz w:val="10"/>
          <w:lang w:val="es-ES_tradnl"/>
        </w:rPr>
      </w:pPr>
    </w:p>
    <w:p w14:paraId="6C1BCC9B" w14:textId="01E212A0" w:rsidR="004D1DDB" w:rsidRPr="00186777" w:rsidRDefault="004D1DDB" w:rsidP="00113F7A">
      <w:pPr>
        <w:pStyle w:val="SingleTxt"/>
        <w:numPr>
          <w:ilvl w:val="0"/>
          <w:numId w:val="5"/>
        </w:numPr>
        <w:ind w:left="1267"/>
        <w:rPr>
          <w:lang w:val="es-ES_tradnl"/>
        </w:rPr>
      </w:pPr>
      <w:r w:rsidRPr="00186777">
        <w:rPr>
          <w:lang w:val="es-ES_tradnl"/>
        </w:rPr>
        <w:t>Todos los miembros del Comité asistieron al 67º período de sesiones, con excepción de Theodora Oby Nwankwo. Los siguientes miembros no asistieron al período de sesiones en las fechas indicadas: Ayse Feride Acar, del 10 al 14 de julio; Louiza Chalal, el 6 de julio; Ruth Halperin-Kaddari, el 21 de julio; y Dalia Leinarte, el 21 de julio. En el anexo II de la tercera parte del presente informe figura una lista de los miembros del Comité, en la que se indica la duración del mandato de cada uno.</w:t>
      </w:r>
    </w:p>
    <w:p w14:paraId="58F12C23" w14:textId="2D3D56B2" w:rsidR="004D1DDB" w:rsidRPr="00186777" w:rsidRDefault="004D1DDB">
      <w:pPr>
        <w:suppressAutoHyphens w:val="0"/>
        <w:spacing w:after="200" w:line="276" w:lineRule="auto"/>
        <w:rPr>
          <w:kern w:val="14"/>
          <w:lang w:val="es-ES_tradnl"/>
        </w:rPr>
      </w:pPr>
      <w:r w:rsidRPr="00186777">
        <w:rPr>
          <w:lang w:val="es-ES_tradnl"/>
        </w:rPr>
        <w:br w:type="page"/>
      </w:r>
    </w:p>
    <w:p w14:paraId="11BD0D33" w14:textId="77777777" w:rsidR="004D1DDB" w:rsidRPr="00186777" w:rsidRDefault="004D1DDB" w:rsidP="004D1D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III</w:t>
      </w:r>
    </w:p>
    <w:p w14:paraId="1CB0277C" w14:textId="6BB8AB40" w:rsidR="004D1DDB" w:rsidRPr="00186777" w:rsidRDefault="004D1DDB" w:rsidP="004D1D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Informe de la Presidenta sobre las actividades realizadas entre períodos de sesiones</w:t>
      </w:r>
    </w:p>
    <w:p w14:paraId="268EB807" w14:textId="6E6F9BA8" w:rsidR="004D1DDB" w:rsidRPr="00186777" w:rsidRDefault="004D1DDB" w:rsidP="004D1DDB">
      <w:pPr>
        <w:pStyle w:val="SingleTxt"/>
        <w:spacing w:after="0" w:line="120" w:lineRule="exact"/>
        <w:rPr>
          <w:sz w:val="10"/>
          <w:lang w:val="es-ES_tradnl"/>
        </w:rPr>
      </w:pPr>
    </w:p>
    <w:p w14:paraId="4AB363A8" w14:textId="05C0913B" w:rsidR="004D1DDB" w:rsidRPr="00186777" w:rsidRDefault="004D1DDB" w:rsidP="004D1DDB">
      <w:pPr>
        <w:pStyle w:val="SingleTxt"/>
        <w:spacing w:after="0" w:line="120" w:lineRule="exact"/>
        <w:rPr>
          <w:sz w:val="10"/>
          <w:lang w:val="es-ES_tradnl"/>
        </w:rPr>
      </w:pPr>
    </w:p>
    <w:p w14:paraId="2533A9FB" w14:textId="613B465B" w:rsidR="004D1DDB" w:rsidRPr="00186777" w:rsidRDefault="004D1DDB" w:rsidP="00113F7A">
      <w:pPr>
        <w:pStyle w:val="SingleTxt"/>
        <w:numPr>
          <w:ilvl w:val="0"/>
          <w:numId w:val="5"/>
        </w:numPr>
        <w:ind w:left="1267"/>
        <w:rPr>
          <w:lang w:val="es-ES_tradnl"/>
        </w:rPr>
      </w:pPr>
      <w:r w:rsidRPr="00186777">
        <w:rPr>
          <w:lang w:val="es-ES_tradnl"/>
        </w:rPr>
        <w:t>En la 1500ª sesión, celebrada el 3 de julio de 2017, la Presidencta presentó un informe sobre las actividades que había realizado desde el 66° período de sesiones.</w:t>
      </w:r>
    </w:p>
    <w:p w14:paraId="3A070905" w14:textId="7AB8107C" w:rsidR="004D1DDB" w:rsidRPr="00186777" w:rsidRDefault="004D1DDB" w:rsidP="004D1DDB">
      <w:pPr>
        <w:pStyle w:val="SingleTxt"/>
        <w:rPr>
          <w:lang w:val="es-ES_tradnl"/>
        </w:rPr>
      </w:pPr>
    </w:p>
    <w:p w14:paraId="025D5A64" w14:textId="23EEDE78" w:rsidR="004D1DDB" w:rsidRPr="00186777" w:rsidRDefault="004D1DDB">
      <w:pPr>
        <w:suppressAutoHyphens w:val="0"/>
        <w:spacing w:after="200" w:line="276" w:lineRule="auto"/>
        <w:rPr>
          <w:kern w:val="14"/>
          <w:lang w:val="es-ES_tradnl"/>
        </w:rPr>
      </w:pPr>
      <w:r w:rsidRPr="00186777">
        <w:rPr>
          <w:lang w:val="es-ES_tradnl"/>
        </w:rPr>
        <w:br w:type="page"/>
      </w:r>
    </w:p>
    <w:p w14:paraId="36845089" w14:textId="77777777" w:rsidR="00910F7E" w:rsidRPr="00186777" w:rsidRDefault="00910F7E" w:rsidP="00910F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IV</w:t>
      </w:r>
    </w:p>
    <w:p w14:paraId="5BD3ED20" w14:textId="189471E8" w:rsidR="00910F7E" w:rsidRPr="00186777" w:rsidRDefault="00910F7E" w:rsidP="00910F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Examen de los informes presentados por los Estados partes en virtud del artículo 18 de la Convención</w:t>
      </w:r>
    </w:p>
    <w:p w14:paraId="11E28DE7" w14:textId="2A3CD56B" w:rsidR="00910F7E" w:rsidRPr="00186777" w:rsidRDefault="00910F7E" w:rsidP="00910F7E">
      <w:pPr>
        <w:pStyle w:val="SingleTxt"/>
        <w:spacing w:after="0" w:line="120" w:lineRule="exact"/>
        <w:rPr>
          <w:sz w:val="10"/>
          <w:lang w:val="es-ES_tradnl"/>
        </w:rPr>
      </w:pPr>
    </w:p>
    <w:p w14:paraId="7AD42FED" w14:textId="63B9A98B" w:rsidR="00910F7E" w:rsidRPr="00186777" w:rsidRDefault="00910F7E" w:rsidP="00910F7E">
      <w:pPr>
        <w:pStyle w:val="SingleTxt"/>
        <w:spacing w:after="0" w:line="120" w:lineRule="exact"/>
        <w:rPr>
          <w:sz w:val="10"/>
          <w:lang w:val="es-ES_tradnl"/>
        </w:rPr>
      </w:pPr>
    </w:p>
    <w:p w14:paraId="16CB68CA" w14:textId="442D222D" w:rsidR="00910F7E" w:rsidRPr="00186777" w:rsidRDefault="00910F7E" w:rsidP="00113F7A">
      <w:pPr>
        <w:pStyle w:val="SingleTxt"/>
        <w:numPr>
          <w:ilvl w:val="0"/>
          <w:numId w:val="5"/>
        </w:numPr>
        <w:ind w:left="1267"/>
        <w:rPr>
          <w:lang w:val="es-ES_tradnl"/>
        </w:rPr>
      </w:pPr>
      <w:r w:rsidRPr="00186777">
        <w:rPr>
          <w:lang w:val="es-ES_tradnl"/>
        </w:rPr>
        <w:t>El Comité examinó los informes de ocho Estados partes presentados con arreglo al artículo 18 de la Convención y preparó las siguientes observaciones finales al respecto:</w:t>
      </w:r>
    </w:p>
    <w:p w14:paraId="1284FE2E" w14:textId="2EFDA20A" w:rsidR="00910F7E" w:rsidRPr="00186777" w:rsidRDefault="00910F7E" w:rsidP="00910F7E">
      <w:pPr>
        <w:pStyle w:val="SingleTxt"/>
        <w:spacing w:after="0" w:line="120" w:lineRule="exact"/>
        <w:rPr>
          <w:sz w:val="10"/>
          <w:lang w:val="es-ES_tradnl"/>
        </w:rPr>
      </w:pPr>
    </w:p>
    <w:p w14:paraId="533E2F80" w14:textId="6F2C89F8" w:rsidR="00910F7E" w:rsidRPr="00186777" w:rsidRDefault="00910F7E" w:rsidP="00910F7E">
      <w:pPr>
        <w:pStyle w:val="SingleTxt"/>
        <w:spacing w:after="0" w:line="120" w:lineRule="exact"/>
        <w:rPr>
          <w:sz w:val="10"/>
          <w:lang w:val="es-ES_tradnl"/>
        </w:rPr>
      </w:pPr>
    </w:p>
    <w:tbl>
      <w:tblPr>
        <w:tblStyle w:val="TableGrid"/>
        <w:tblW w:w="6300"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60"/>
        <w:gridCol w:w="3240"/>
      </w:tblGrid>
      <w:tr w:rsidR="00910F7E" w:rsidRPr="00186777" w14:paraId="18B2D167" w14:textId="77777777" w:rsidTr="00910F7E">
        <w:tc>
          <w:tcPr>
            <w:tcW w:w="3060" w:type="dxa"/>
          </w:tcPr>
          <w:p w14:paraId="3342B5F5" w14:textId="3409A667"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Barbados</w:t>
            </w:r>
          </w:p>
        </w:tc>
        <w:tc>
          <w:tcPr>
            <w:tcW w:w="3240" w:type="dxa"/>
            <w:shd w:val="clear" w:color="auto" w:fill="auto"/>
          </w:tcPr>
          <w:p w14:paraId="59226CBF" w14:textId="5BA1F7DC"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s-ES_tradnl"/>
              </w:rPr>
            </w:pPr>
            <w:r w:rsidRPr="00186777">
              <w:rPr>
                <w:lang w:val="es-ES_tradnl"/>
              </w:rPr>
              <w:t>(</w:t>
            </w:r>
            <w:hyperlink r:id="rId27" w:history="1">
              <w:r w:rsidRPr="00186777">
                <w:rPr>
                  <w:rStyle w:val="Hyperlink"/>
                  <w:lang w:val="es-ES_tradnl"/>
                </w:rPr>
                <w:t>CEDAW/C/BRB/CO/5-8</w:t>
              </w:r>
            </w:hyperlink>
            <w:r w:rsidRPr="00186777">
              <w:rPr>
                <w:lang w:val="es-ES_tradnl"/>
              </w:rPr>
              <w:t>)</w:t>
            </w:r>
          </w:p>
        </w:tc>
      </w:tr>
      <w:tr w:rsidR="00910F7E" w:rsidRPr="00186777" w14:paraId="5E23E1F9" w14:textId="77777777" w:rsidTr="00910F7E">
        <w:tc>
          <w:tcPr>
            <w:tcW w:w="3060" w:type="dxa"/>
          </w:tcPr>
          <w:p w14:paraId="5FA41341" w14:textId="714199E0"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Costa Rica</w:t>
            </w:r>
          </w:p>
        </w:tc>
        <w:tc>
          <w:tcPr>
            <w:tcW w:w="3240" w:type="dxa"/>
            <w:shd w:val="clear" w:color="auto" w:fill="auto"/>
          </w:tcPr>
          <w:p w14:paraId="79A2304D" w14:textId="6FAEA410"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s-ES_tradnl"/>
              </w:rPr>
            </w:pPr>
            <w:r w:rsidRPr="00186777">
              <w:rPr>
                <w:lang w:val="es-ES_tradnl"/>
              </w:rPr>
              <w:t>(</w:t>
            </w:r>
            <w:hyperlink r:id="rId28" w:history="1">
              <w:r w:rsidRPr="00186777">
                <w:rPr>
                  <w:rStyle w:val="Hyperlink"/>
                  <w:lang w:val="es-ES_tradnl"/>
                </w:rPr>
                <w:t>CEDAW/C/CRI/CO/7</w:t>
              </w:r>
            </w:hyperlink>
            <w:r w:rsidRPr="00186777">
              <w:rPr>
                <w:lang w:val="es-ES_tradnl"/>
              </w:rPr>
              <w:t>)</w:t>
            </w:r>
          </w:p>
        </w:tc>
      </w:tr>
      <w:tr w:rsidR="00910F7E" w:rsidRPr="00186777" w14:paraId="6E2214FC" w14:textId="77777777" w:rsidTr="00910F7E">
        <w:tc>
          <w:tcPr>
            <w:tcW w:w="3060" w:type="dxa"/>
          </w:tcPr>
          <w:p w14:paraId="35A50226" w14:textId="7CB92C1E"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Italia</w:t>
            </w:r>
          </w:p>
        </w:tc>
        <w:tc>
          <w:tcPr>
            <w:tcW w:w="3240" w:type="dxa"/>
            <w:shd w:val="clear" w:color="auto" w:fill="auto"/>
          </w:tcPr>
          <w:p w14:paraId="35829886" w14:textId="19D8DE4B"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s-ES_tradnl"/>
              </w:rPr>
            </w:pPr>
            <w:r w:rsidRPr="00186777">
              <w:rPr>
                <w:lang w:val="es-ES_tradnl"/>
              </w:rPr>
              <w:t>(</w:t>
            </w:r>
            <w:hyperlink r:id="rId29" w:history="1">
              <w:r w:rsidRPr="00186777">
                <w:rPr>
                  <w:rStyle w:val="Hyperlink"/>
                  <w:lang w:val="es-ES_tradnl"/>
                </w:rPr>
                <w:t>CEDAW/C/ITA/CO/7</w:t>
              </w:r>
            </w:hyperlink>
            <w:r w:rsidRPr="00186777">
              <w:rPr>
                <w:lang w:val="es-ES_tradnl"/>
              </w:rPr>
              <w:t>)</w:t>
            </w:r>
          </w:p>
        </w:tc>
      </w:tr>
      <w:tr w:rsidR="00910F7E" w:rsidRPr="00186777" w14:paraId="22CD94C1" w14:textId="77777777" w:rsidTr="00910F7E">
        <w:tc>
          <w:tcPr>
            <w:tcW w:w="3060" w:type="dxa"/>
          </w:tcPr>
          <w:p w14:paraId="1CB2A8F9" w14:textId="66DE83F1"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Montenegro</w:t>
            </w:r>
          </w:p>
        </w:tc>
        <w:tc>
          <w:tcPr>
            <w:tcW w:w="3240" w:type="dxa"/>
            <w:shd w:val="clear" w:color="auto" w:fill="auto"/>
          </w:tcPr>
          <w:p w14:paraId="0EF331E3" w14:textId="2FD4AD0D"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s-ES_tradnl"/>
              </w:rPr>
            </w:pPr>
            <w:r w:rsidRPr="00186777">
              <w:rPr>
                <w:lang w:val="es-ES_tradnl"/>
              </w:rPr>
              <w:t>(</w:t>
            </w:r>
            <w:hyperlink r:id="rId30" w:history="1">
              <w:r w:rsidRPr="00186777">
                <w:rPr>
                  <w:rStyle w:val="Hyperlink"/>
                  <w:lang w:val="es-ES_tradnl"/>
                </w:rPr>
                <w:t>CEDAW/C/MNE/CO/2</w:t>
              </w:r>
            </w:hyperlink>
            <w:r w:rsidRPr="00186777">
              <w:rPr>
                <w:lang w:val="es-ES_tradnl"/>
              </w:rPr>
              <w:t>)</w:t>
            </w:r>
          </w:p>
        </w:tc>
      </w:tr>
      <w:tr w:rsidR="00910F7E" w:rsidRPr="00186777" w14:paraId="2A963718" w14:textId="77777777" w:rsidTr="00910F7E">
        <w:tc>
          <w:tcPr>
            <w:tcW w:w="3060" w:type="dxa"/>
          </w:tcPr>
          <w:p w14:paraId="33E70A46" w14:textId="017896F0"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Níger</w:t>
            </w:r>
          </w:p>
        </w:tc>
        <w:tc>
          <w:tcPr>
            <w:tcW w:w="3240" w:type="dxa"/>
            <w:shd w:val="clear" w:color="auto" w:fill="auto"/>
          </w:tcPr>
          <w:p w14:paraId="2D302207" w14:textId="0CFFA258"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s-ES_tradnl"/>
              </w:rPr>
            </w:pPr>
            <w:r w:rsidRPr="00186777">
              <w:rPr>
                <w:lang w:val="es-ES_tradnl"/>
              </w:rPr>
              <w:t>(</w:t>
            </w:r>
            <w:hyperlink r:id="rId31" w:history="1">
              <w:r w:rsidRPr="00186777">
                <w:rPr>
                  <w:rStyle w:val="Hyperlink"/>
                  <w:lang w:val="es-ES_tradnl"/>
                </w:rPr>
                <w:t>CEDAW/C/NER/CO/3-4</w:t>
              </w:r>
            </w:hyperlink>
            <w:r w:rsidRPr="00186777">
              <w:rPr>
                <w:lang w:val="es-ES_tradnl"/>
              </w:rPr>
              <w:t>)</w:t>
            </w:r>
          </w:p>
        </w:tc>
      </w:tr>
      <w:tr w:rsidR="00910F7E" w:rsidRPr="00186777" w14:paraId="1D383460" w14:textId="77777777" w:rsidTr="00910F7E">
        <w:tc>
          <w:tcPr>
            <w:tcW w:w="3060" w:type="dxa"/>
          </w:tcPr>
          <w:p w14:paraId="32F3F5DA" w14:textId="0A431543"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Nigeria</w:t>
            </w:r>
          </w:p>
        </w:tc>
        <w:tc>
          <w:tcPr>
            <w:tcW w:w="3240" w:type="dxa"/>
            <w:shd w:val="clear" w:color="auto" w:fill="auto"/>
          </w:tcPr>
          <w:p w14:paraId="3C582961" w14:textId="4603BC8C"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s-ES_tradnl"/>
              </w:rPr>
            </w:pPr>
            <w:r w:rsidRPr="00186777">
              <w:rPr>
                <w:lang w:val="es-ES_tradnl"/>
              </w:rPr>
              <w:t>(</w:t>
            </w:r>
            <w:hyperlink r:id="rId32" w:history="1">
              <w:r w:rsidRPr="00186777">
                <w:rPr>
                  <w:rStyle w:val="Hyperlink"/>
                  <w:lang w:val="es-ES_tradnl"/>
                </w:rPr>
                <w:t>CEDAW/C/NGA/CO/7-8</w:t>
              </w:r>
            </w:hyperlink>
            <w:r w:rsidRPr="00186777">
              <w:rPr>
                <w:lang w:val="es-ES_tradnl"/>
              </w:rPr>
              <w:t>)</w:t>
            </w:r>
          </w:p>
        </w:tc>
      </w:tr>
      <w:tr w:rsidR="00910F7E" w:rsidRPr="00186777" w14:paraId="55ABDEAA" w14:textId="77777777" w:rsidTr="00910F7E">
        <w:tc>
          <w:tcPr>
            <w:tcW w:w="3060" w:type="dxa"/>
          </w:tcPr>
          <w:p w14:paraId="21831E52" w14:textId="4A9354ED"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Rumania</w:t>
            </w:r>
          </w:p>
        </w:tc>
        <w:tc>
          <w:tcPr>
            <w:tcW w:w="3240" w:type="dxa"/>
            <w:shd w:val="clear" w:color="auto" w:fill="auto"/>
          </w:tcPr>
          <w:p w14:paraId="34D11F55" w14:textId="186511A4"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s-ES_tradnl"/>
              </w:rPr>
            </w:pPr>
            <w:r w:rsidRPr="00186777">
              <w:rPr>
                <w:lang w:val="es-ES_tradnl"/>
              </w:rPr>
              <w:t>(</w:t>
            </w:r>
            <w:hyperlink r:id="rId33" w:history="1">
              <w:r w:rsidRPr="00186777">
                <w:rPr>
                  <w:rStyle w:val="Hyperlink"/>
                  <w:lang w:val="es-ES_tradnl"/>
                </w:rPr>
                <w:t>CEDAW/C/ROU/CO/7-8</w:t>
              </w:r>
            </w:hyperlink>
            <w:r w:rsidRPr="00186777">
              <w:rPr>
                <w:lang w:val="es-ES_tradnl"/>
              </w:rPr>
              <w:t>)</w:t>
            </w:r>
          </w:p>
        </w:tc>
      </w:tr>
      <w:tr w:rsidR="00910F7E" w:rsidRPr="00186777" w14:paraId="30F4E994" w14:textId="77777777" w:rsidTr="00910F7E">
        <w:tc>
          <w:tcPr>
            <w:tcW w:w="3060" w:type="dxa"/>
          </w:tcPr>
          <w:p w14:paraId="2802572E" w14:textId="112DE62C"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Tailandia</w:t>
            </w:r>
          </w:p>
        </w:tc>
        <w:tc>
          <w:tcPr>
            <w:tcW w:w="3240" w:type="dxa"/>
            <w:shd w:val="clear" w:color="auto" w:fill="auto"/>
          </w:tcPr>
          <w:p w14:paraId="6FEEA320" w14:textId="78627EB1"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w:t>
            </w:r>
            <w:hyperlink r:id="rId34" w:history="1">
              <w:r w:rsidRPr="00186777">
                <w:rPr>
                  <w:rStyle w:val="Hyperlink"/>
                  <w:lang w:val="es-ES_tradnl"/>
                </w:rPr>
                <w:t>CEDAW/C/THA/CO/6-7</w:t>
              </w:r>
            </w:hyperlink>
            <w:r w:rsidRPr="00186777">
              <w:rPr>
                <w:lang w:val="es-ES_tradnl"/>
              </w:rPr>
              <w:t>)</w:t>
            </w:r>
          </w:p>
        </w:tc>
      </w:tr>
    </w:tbl>
    <w:p w14:paraId="7C619279" w14:textId="4BF4E62F" w:rsidR="00910F7E" w:rsidRPr="00186777" w:rsidRDefault="00910F7E" w:rsidP="00910F7E">
      <w:pPr>
        <w:pStyle w:val="SingleTxt"/>
        <w:spacing w:after="0" w:line="120" w:lineRule="exact"/>
        <w:rPr>
          <w:sz w:val="10"/>
          <w:lang w:val="es-ES_tradnl"/>
        </w:rPr>
      </w:pPr>
    </w:p>
    <w:p w14:paraId="0D2F84C0" w14:textId="412CB460" w:rsidR="00910F7E" w:rsidRPr="00186777" w:rsidRDefault="00910F7E" w:rsidP="00910F7E">
      <w:pPr>
        <w:pStyle w:val="SingleTxt"/>
        <w:spacing w:after="0" w:line="120" w:lineRule="exact"/>
        <w:rPr>
          <w:sz w:val="10"/>
          <w:lang w:val="es-ES_tradnl"/>
        </w:rPr>
      </w:pPr>
    </w:p>
    <w:p w14:paraId="3E9F3611" w14:textId="28B8E353" w:rsidR="00910F7E" w:rsidRPr="00186777" w:rsidRDefault="00910F7E" w:rsidP="00910F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Seguimiento de las observaciones finales</w:t>
      </w:r>
    </w:p>
    <w:p w14:paraId="57F5AAA9" w14:textId="1A4CABCD" w:rsidR="00910F7E" w:rsidRPr="00186777" w:rsidRDefault="00910F7E" w:rsidP="00910F7E">
      <w:pPr>
        <w:pStyle w:val="SingleTxt"/>
        <w:spacing w:after="0" w:line="120" w:lineRule="exact"/>
        <w:rPr>
          <w:sz w:val="10"/>
          <w:lang w:val="es-ES_tradnl"/>
        </w:rPr>
      </w:pPr>
    </w:p>
    <w:p w14:paraId="7CEA097B" w14:textId="5D0CCF52" w:rsidR="00910F7E" w:rsidRPr="00186777" w:rsidRDefault="00910F7E" w:rsidP="00113F7A">
      <w:pPr>
        <w:pStyle w:val="SingleTxt"/>
        <w:numPr>
          <w:ilvl w:val="0"/>
          <w:numId w:val="5"/>
        </w:numPr>
        <w:ind w:left="1267"/>
        <w:rPr>
          <w:lang w:val="es-ES_tradnl"/>
        </w:rPr>
      </w:pPr>
      <w:r w:rsidRPr="00186777">
        <w:rPr>
          <w:lang w:val="es-ES_tradnl"/>
        </w:rPr>
        <w:t>El Comité examinó los informes de seguimiento recibidos de los siguientes Estados partes:</w:t>
      </w:r>
    </w:p>
    <w:p w14:paraId="4F7A7652" w14:textId="34A62761" w:rsidR="00910F7E" w:rsidRPr="00186777" w:rsidRDefault="00910F7E" w:rsidP="00910F7E">
      <w:pPr>
        <w:pStyle w:val="SingleTxt"/>
        <w:spacing w:after="0" w:line="120" w:lineRule="exact"/>
        <w:rPr>
          <w:sz w:val="10"/>
          <w:lang w:val="es-ES_tradnl"/>
        </w:rPr>
      </w:pPr>
    </w:p>
    <w:p w14:paraId="65417C05" w14:textId="686C0665" w:rsidR="00910F7E" w:rsidRPr="00186777" w:rsidRDefault="00910F7E" w:rsidP="00910F7E">
      <w:pPr>
        <w:pStyle w:val="SingleTxt"/>
        <w:spacing w:after="0" w:line="120" w:lineRule="exact"/>
        <w:rPr>
          <w:sz w:val="10"/>
          <w:lang w:val="es-ES_tradnl"/>
        </w:rPr>
      </w:pPr>
    </w:p>
    <w:tbl>
      <w:tblPr>
        <w:tblStyle w:val="TableGrid"/>
        <w:tblW w:w="6300"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90"/>
        <w:gridCol w:w="3510"/>
      </w:tblGrid>
      <w:tr w:rsidR="00910F7E" w:rsidRPr="00C1661F" w14:paraId="731D1157" w14:textId="77777777" w:rsidTr="00910F7E">
        <w:tc>
          <w:tcPr>
            <w:tcW w:w="2790" w:type="dxa"/>
          </w:tcPr>
          <w:p w14:paraId="57540ADD" w14:textId="04FBB568"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Bélgica</w:t>
            </w:r>
          </w:p>
        </w:tc>
        <w:tc>
          <w:tcPr>
            <w:tcW w:w="3510" w:type="dxa"/>
            <w:shd w:val="clear" w:color="auto" w:fill="auto"/>
          </w:tcPr>
          <w:p w14:paraId="46F9AADF" w14:textId="75A33C64" w:rsidR="00910F7E" w:rsidRPr="00794DB5"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n-US"/>
              </w:rPr>
            </w:pPr>
            <w:r w:rsidRPr="00794DB5">
              <w:rPr>
                <w:lang w:val="en-US"/>
              </w:rPr>
              <w:t>(</w:t>
            </w:r>
            <w:hyperlink r:id="rId35" w:history="1">
              <w:r w:rsidRPr="00794DB5">
                <w:rPr>
                  <w:rStyle w:val="Hyperlink"/>
                  <w:lang w:val="en-US"/>
                </w:rPr>
                <w:t>CEDAW/C/BEL/CO/7/Add.1</w:t>
              </w:r>
            </w:hyperlink>
            <w:r w:rsidRPr="00794DB5">
              <w:rPr>
                <w:lang w:val="en-US"/>
              </w:rPr>
              <w:t>)</w:t>
            </w:r>
          </w:p>
        </w:tc>
      </w:tr>
      <w:tr w:rsidR="00910F7E" w:rsidRPr="00C1661F" w14:paraId="6E8849FC" w14:textId="77777777" w:rsidTr="00910F7E">
        <w:tc>
          <w:tcPr>
            <w:tcW w:w="2790" w:type="dxa"/>
          </w:tcPr>
          <w:p w14:paraId="640BC017" w14:textId="476B01B7"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China</w:t>
            </w:r>
          </w:p>
        </w:tc>
        <w:tc>
          <w:tcPr>
            <w:tcW w:w="3510" w:type="dxa"/>
            <w:shd w:val="clear" w:color="auto" w:fill="auto"/>
          </w:tcPr>
          <w:p w14:paraId="52D5C8E1" w14:textId="1250BE58" w:rsidR="00910F7E" w:rsidRPr="00794DB5"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n-US"/>
              </w:rPr>
            </w:pPr>
            <w:r w:rsidRPr="00794DB5">
              <w:rPr>
                <w:lang w:val="en-US"/>
              </w:rPr>
              <w:t>(</w:t>
            </w:r>
            <w:hyperlink r:id="rId36" w:history="1">
              <w:r w:rsidRPr="00794DB5">
                <w:rPr>
                  <w:rStyle w:val="Hyperlink"/>
                  <w:lang w:val="en-US"/>
                </w:rPr>
                <w:t>CEDAW/C/CHN/CO/7-8/Add.1</w:t>
              </w:r>
            </w:hyperlink>
            <w:r w:rsidRPr="00794DB5">
              <w:rPr>
                <w:lang w:val="en-US"/>
              </w:rPr>
              <w:t>)</w:t>
            </w:r>
          </w:p>
        </w:tc>
      </w:tr>
      <w:tr w:rsidR="00910F7E" w:rsidRPr="00C1661F" w14:paraId="231977D8" w14:textId="77777777" w:rsidTr="00910F7E">
        <w:tc>
          <w:tcPr>
            <w:tcW w:w="2790" w:type="dxa"/>
          </w:tcPr>
          <w:p w14:paraId="59BC983C" w14:textId="6F2DA664"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Dinamarca</w:t>
            </w:r>
          </w:p>
        </w:tc>
        <w:tc>
          <w:tcPr>
            <w:tcW w:w="3510" w:type="dxa"/>
            <w:shd w:val="clear" w:color="auto" w:fill="auto"/>
          </w:tcPr>
          <w:p w14:paraId="60F49C35" w14:textId="3EA2ECBE" w:rsidR="00910F7E" w:rsidRPr="00794DB5"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n-US"/>
              </w:rPr>
            </w:pPr>
            <w:r w:rsidRPr="00794DB5">
              <w:rPr>
                <w:lang w:val="en-US"/>
              </w:rPr>
              <w:t>(</w:t>
            </w:r>
            <w:hyperlink r:id="rId37" w:history="1">
              <w:r w:rsidRPr="00794DB5">
                <w:rPr>
                  <w:rStyle w:val="Hyperlink"/>
                  <w:lang w:val="en-US"/>
                </w:rPr>
                <w:t>CEDAW/C/DEN/CO/8/Add.1</w:t>
              </w:r>
            </w:hyperlink>
            <w:r w:rsidRPr="00794DB5">
              <w:rPr>
                <w:lang w:val="en-US"/>
              </w:rPr>
              <w:t>)</w:t>
            </w:r>
          </w:p>
        </w:tc>
      </w:tr>
      <w:tr w:rsidR="00910F7E" w:rsidRPr="00C1661F" w14:paraId="547A7118" w14:textId="77777777" w:rsidTr="00910F7E">
        <w:tc>
          <w:tcPr>
            <w:tcW w:w="2790" w:type="dxa"/>
          </w:tcPr>
          <w:p w14:paraId="4A04897B" w14:textId="45552D29"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Ecuador</w:t>
            </w:r>
          </w:p>
        </w:tc>
        <w:tc>
          <w:tcPr>
            <w:tcW w:w="3510" w:type="dxa"/>
            <w:shd w:val="clear" w:color="auto" w:fill="auto"/>
          </w:tcPr>
          <w:p w14:paraId="5367E9A0" w14:textId="0B610666" w:rsidR="00910F7E" w:rsidRPr="00794DB5"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n-US"/>
              </w:rPr>
            </w:pPr>
            <w:r w:rsidRPr="00794DB5">
              <w:rPr>
                <w:lang w:val="en-US"/>
              </w:rPr>
              <w:t>(</w:t>
            </w:r>
            <w:hyperlink r:id="rId38" w:history="1">
              <w:r w:rsidRPr="00794DB5">
                <w:rPr>
                  <w:rStyle w:val="Hyperlink"/>
                  <w:lang w:val="en-US"/>
                </w:rPr>
                <w:t>CEDAW/C/ECU/CO/8-9/Add.1</w:t>
              </w:r>
            </w:hyperlink>
            <w:r w:rsidRPr="00794DB5">
              <w:rPr>
                <w:lang w:val="en-US"/>
              </w:rPr>
              <w:t>)</w:t>
            </w:r>
          </w:p>
        </w:tc>
      </w:tr>
      <w:tr w:rsidR="00910F7E" w:rsidRPr="00C1661F" w14:paraId="185AAB23" w14:textId="77777777" w:rsidTr="00910F7E">
        <w:tc>
          <w:tcPr>
            <w:tcW w:w="2790" w:type="dxa"/>
          </w:tcPr>
          <w:p w14:paraId="47EB3EF7" w14:textId="6FB247D9"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Egipto</w:t>
            </w:r>
          </w:p>
        </w:tc>
        <w:tc>
          <w:tcPr>
            <w:tcW w:w="3510" w:type="dxa"/>
            <w:shd w:val="clear" w:color="auto" w:fill="auto"/>
          </w:tcPr>
          <w:p w14:paraId="6DB37349" w14:textId="243F3493" w:rsidR="00910F7E" w:rsidRPr="00794DB5"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n-US"/>
              </w:rPr>
            </w:pPr>
            <w:r w:rsidRPr="00794DB5">
              <w:rPr>
                <w:lang w:val="en-US"/>
              </w:rPr>
              <w:t>(</w:t>
            </w:r>
            <w:hyperlink r:id="rId39" w:history="1">
              <w:r w:rsidRPr="00794DB5">
                <w:rPr>
                  <w:rStyle w:val="Hyperlink"/>
                  <w:lang w:val="en-US"/>
                </w:rPr>
                <w:t>CEDAW/C/EGY/CO/7/Add.1</w:t>
              </w:r>
            </w:hyperlink>
            <w:r w:rsidRPr="00794DB5">
              <w:rPr>
                <w:lang w:val="en-US"/>
              </w:rPr>
              <w:t>)</w:t>
            </w:r>
          </w:p>
        </w:tc>
      </w:tr>
      <w:tr w:rsidR="00F37FB5" w:rsidRPr="00C1661F" w14:paraId="6C6408BE" w14:textId="77777777" w:rsidTr="006C7FE2">
        <w:tc>
          <w:tcPr>
            <w:tcW w:w="2790" w:type="dxa"/>
          </w:tcPr>
          <w:p w14:paraId="7762C3C5" w14:textId="77777777" w:rsidR="00F37FB5" w:rsidRPr="00186777" w:rsidRDefault="00F37FB5" w:rsidP="006C7F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3"/>
              <w:jc w:val="left"/>
              <w:rPr>
                <w:lang w:val="es-ES_tradnl"/>
              </w:rPr>
            </w:pPr>
            <w:r w:rsidRPr="00186777">
              <w:rPr>
                <w:lang w:val="es-ES_tradnl"/>
              </w:rPr>
              <w:t>Islas Salomón</w:t>
            </w:r>
          </w:p>
        </w:tc>
        <w:tc>
          <w:tcPr>
            <w:tcW w:w="3510" w:type="dxa"/>
            <w:shd w:val="clear" w:color="auto" w:fill="auto"/>
          </w:tcPr>
          <w:p w14:paraId="22FD59A0" w14:textId="27D0A3C0" w:rsidR="00F37FB5" w:rsidRPr="00794DB5" w:rsidRDefault="00F37FB5" w:rsidP="006C7F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lang w:val="en-US"/>
              </w:rPr>
            </w:pPr>
            <w:r w:rsidRPr="00794DB5">
              <w:rPr>
                <w:lang w:val="en-US"/>
              </w:rPr>
              <w:t>(</w:t>
            </w:r>
            <w:hyperlink r:id="rId40" w:history="1">
              <w:r w:rsidRPr="00794DB5">
                <w:rPr>
                  <w:rStyle w:val="Hyperlink"/>
                  <w:lang w:val="en-US"/>
                </w:rPr>
                <w:t>CEDAW/C/SLB/CO/1-3/Add.1</w:t>
              </w:r>
            </w:hyperlink>
            <w:r w:rsidRPr="00794DB5">
              <w:rPr>
                <w:lang w:val="en-US"/>
              </w:rPr>
              <w:t>)</w:t>
            </w:r>
          </w:p>
        </w:tc>
      </w:tr>
      <w:tr w:rsidR="00910F7E" w:rsidRPr="00C1661F" w14:paraId="0D28220B" w14:textId="77777777" w:rsidTr="00910F7E">
        <w:tc>
          <w:tcPr>
            <w:tcW w:w="2790" w:type="dxa"/>
          </w:tcPr>
          <w:p w14:paraId="479C1FD3" w14:textId="257B3463"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Kazajstán</w:t>
            </w:r>
          </w:p>
        </w:tc>
        <w:tc>
          <w:tcPr>
            <w:tcW w:w="3510" w:type="dxa"/>
            <w:shd w:val="clear" w:color="auto" w:fill="auto"/>
          </w:tcPr>
          <w:p w14:paraId="4086C45E" w14:textId="6E114439" w:rsidR="00910F7E" w:rsidRPr="00794DB5"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n-US"/>
              </w:rPr>
            </w:pPr>
            <w:r w:rsidRPr="00794DB5">
              <w:rPr>
                <w:lang w:val="en-US"/>
              </w:rPr>
              <w:t>(</w:t>
            </w:r>
            <w:hyperlink r:id="rId41" w:history="1">
              <w:r w:rsidRPr="00794DB5">
                <w:rPr>
                  <w:rStyle w:val="Hyperlink"/>
                  <w:lang w:val="en-US"/>
                </w:rPr>
                <w:t>CEDAW/C/KAZ/CO/3-4/Add.1</w:t>
              </w:r>
            </w:hyperlink>
            <w:r w:rsidRPr="00794DB5">
              <w:rPr>
                <w:lang w:val="en-US"/>
              </w:rPr>
              <w:t>)</w:t>
            </w:r>
          </w:p>
        </w:tc>
      </w:tr>
      <w:tr w:rsidR="00910F7E" w:rsidRPr="00C1661F" w14:paraId="23DA7246" w14:textId="77777777" w:rsidTr="00910F7E">
        <w:tc>
          <w:tcPr>
            <w:tcW w:w="2790" w:type="dxa"/>
          </w:tcPr>
          <w:p w14:paraId="339CAAC8" w14:textId="02958AD1"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lang w:val="es-ES_tradnl"/>
              </w:rPr>
            </w:pPr>
            <w:r w:rsidRPr="00186777">
              <w:rPr>
                <w:lang w:val="es-ES_tradnl"/>
              </w:rPr>
              <w:t>Omán</w:t>
            </w:r>
          </w:p>
        </w:tc>
        <w:tc>
          <w:tcPr>
            <w:tcW w:w="3510" w:type="dxa"/>
            <w:shd w:val="clear" w:color="auto" w:fill="auto"/>
          </w:tcPr>
          <w:p w14:paraId="6486D65C" w14:textId="27732643" w:rsidR="00910F7E" w:rsidRPr="00794DB5"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rPr>
                <w:lang w:val="en-US"/>
              </w:rPr>
            </w:pPr>
            <w:r w:rsidRPr="00794DB5">
              <w:rPr>
                <w:lang w:val="en-US"/>
              </w:rPr>
              <w:t>(</w:t>
            </w:r>
            <w:hyperlink r:id="rId42" w:history="1">
              <w:r w:rsidRPr="00794DB5">
                <w:rPr>
                  <w:rStyle w:val="Hyperlink"/>
                  <w:lang w:val="en-US"/>
                </w:rPr>
                <w:t>CEDAW/C/OMN/CO/1/Add.1</w:t>
              </w:r>
            </w:hyperlink>
            <w:r w:rsidRPr="00794DB5">
              <w:rPr>
                <w:lang w:val="en-US"/>
              </w:rPr>
              <w:t>)</w:t>
            </w:r>
          </w:p>
        </w:tc>
      </w:tr>
      <w:tr w:rsidR="00910F7E" w:rsidRPr="00C1661F" w14:paraId="2A625ADA" w14:textId="77777777" w:rsidTr="00910F7E">
        <w:tc>
          <w:tcPr>
            <w:tcW w:w="2790" w:type="dxa"/>
          </w:tcPr>
          <w:p w14:paraId="4530E488" w14:textId="67150CBD" w:rsidR="00910F7E" w:rsidRPr="00186777"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Swazilandia</w:t>
            </w:r>
          </w:p>
        </w:tc>
        <w:tc>
          <w:tcPr>
            <w:tcW w:w="3510" w:type="dxa"/>
            <w:shd w:val="clear" w:color="auto" w:fill="auto"/>
          </w:tcPr>
          <w:p w14:paraId="3F2C87CB" w14:textId="078F8D05" w:rsidR="00910F7E" w:rsidRPr="00794DB5" w:rsidRDefault="00910F7E" w:rsidP="00910F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US"/>
              </w:rPr>
            </w:pPr>
            <w:r w:rsidRPr="00794DB5">
              <w:rPr>
                <w:lang w:val="en-US"/>
              </w:rPr>
              <w:t>(</w:t>
            </w:r>
            <w:hyperlink r:id="rId43" w:history="1">
              <w:r w:rsidRPr="00794DB5">
                <w:rPr>
                  <w:rStyle w:val="Hyperlink"/>
                  <w:lang w:val="en-US"/>
                </w:rPr>
                <w:t>CEDAW/C/SWZ/CO/1-2/Add.1</w:t>
              </w:r>
            </w:hyperlink>
            <w:r w:rsidRPr="00794DB5">
              <w:rPr>
                <w:lang w:val="en-US"/>
              </w:rPr>
              <w:t>)</w:t>
            </w:r>
          </w:p>
        </w:tc>
      </w:tr>
    </w:tbl>
    <w:p w14:paraId="133E4FFF" w14:textId="25E34103" w:rsidR="00910F7E" w:rsidRPr="00794DB5" w:rsidRDefault="00910F7E" w:rsidP="00910F7E">
      <w:pPr>
        <w:pStyle w:val="SingleTxt"/>
        <w:spacing w:after="0" w:line="120" w:lineRule="exact"/>
        <w:rPr>
          <w:sz w:val="10"/>
          <w:lang w:val="en-US"/>
        </w:rPr>
      </w:pPr>
    </w:p>
    <w:p w14:paraId="1A41D853" w14:textId="186F0425" w:rsidR="00910F7E" w:rsidRPr="00794DB5" w:rsidRDefault="00910F7E" w:rsidP="00910F7E">
      <w:pPr>
        <w:pStyle w:val="SingleTxt"/>
        <w:spacing w:after="0" w:line="120" w:lineRule="exact"/>
        <w:rPr>
          <w:sz w:val="10"/>
          <w:lang w:val="en-US"/>
        </w:rPr>
      </w:pPr>
    </w:p>
    <w:p w14:paraId="29DCB202" w14:textId="3A445B70" w:rsidR="00910F7E" w:rsidRPr="00186777" w:rsidRDefault="00910F7E" w:rsidP="00113F7A">
      <w:pPr>
        <w:pStyle w:val="SingleTxt"/>
        <w:numPr>
          <w:ilvl w:val="0"/>
          <w:numId w:val="5"/>
        </w:numPr>
        <w:ind w:left="1267"/>
        <w:rPr>
          <w:lang w:val="es-ES_tradnl"/>
        </w:rPr>
      </w:pPr>
      <w:r w:rsidRPr="00186777">
        <w:rPr>
          <w:lang w:val="es-ES_tradnl"/>
        </w:rPr>
        <w:t>El Comité envió primeros recordatorios a Azerbaiyán, Eritrea, el Gabón, Kirguistán, Maldivas y Tuvalu, y segundos recordatorios a Brunei Darussalam, Ghana, Guinea, la India, Mauritania y Sierra Leona, cuyos informes de seguimiento estaban atrasados.</w:t>
      </w:r>
    </w:p>
    <w:p w14:paraId="687A37A7" w14:textId="4F846BBD" w:rsidR="00910F7E" w:rsidRPr="00186777" w:rsidRDefault="00910F7E" w:rsidP="00113F7A">
      <w:pPr>
        <w:pStyle w:val="SingleTxt"/>
        <w:numPr>
          <w:ilvl w:val="0"/>
          <w:numId w:val="5"/>
        </w:numPr>
        <w:ind w:left="1267"/>
        <w:rPr>
          <w:lang w:val="es-ES_tradnl"/>
        </w:rPr>
      </w:pPr>
      <w:r w:rsidRPr="00186777">
        <w:rPr>
          <w:lang w:val="es-ES_tradnl"/>
        </w:rPr>
        <w:t>La Relatora para el seguimiento de las observaciones finales se reunió con representantes de Benin, Cabo Verde y Sierra Leona, que no habían presentado su informe de seguimiento en el plazo fijado.</w:t>
      </w:r>
    </w:p>
    <w:p w14:paraId="26262188" w14:textId="1BCA01BA" w:rsidR="00910F7E" w:rsidRPr="00186777" w:rsidRDefault="00910F7E" w:rsidP="00910F7E">
      <w:pPr>
        <w:pStyle w:val="SingleTxt"/>
        <w:rPr>
          <w:lang w:val="es-ES_tradnl"/>
        </w:rPr>
      </w:pPr>
    </w:p>
    <w:p w14:paraId="2FB0FEBC" w14:textId="488C9417" w:rsidR="00910F7E" w:rsidRPr="00186777" w:rsidRDefault="00910F7E">
      <w:pPr>
        <w:suppressAutoHyphens w:val="0"/>
        <w:spacing w:after="200" w:line="276" w:lineRule="auto"/>
        <w:rPr>
          <w:kern w:val="14"/>
          <w:lang w:val="es-ES_tradnl"/>
        </w:rPr>
      </w:pPr>
      <w:r w:rsidRPr="00186777">
        <w:rPr>
          <w:lang w:val="es-ES_tradnl"/>
        </w:rPr>
        <w:br w:type="page"/>
      </w:r>
    </w:p>
    <w:p w14:paraId="12A5BE96" w14:textId="3F9F45D7" w:rsidR="00910F7E" w:rsidRPr="00186777" w:rsidRDefault="00910F7E" w:rsidP="00910F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w:t>
      </w:r>
    </w:p>
    <w:p w14:paraId="7B8D3B62" w14:textId="7FC835D3" w:rsidR="00910F7E" w:rsidRPr="00186777" w:rsidRDefault="00910F7E" w:rsidP="00910F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Actividades llevadas a cabo en virtud del Protocolo Facultativo</w:t>
      </w:r>
    </w:p>
    <w:p w14:paraId="3EC5D870" w14:textId="298F6E90" w:rsidR="00910F7E" w:rsidRPr="00186777" w:rsidRDefault="00910F7E" w:rsidP="00910F7E">
      <w:pPr>
        <w:pStyle w:val="SingleTxt"/>
        <w:spacing w:after="0" w:line="120" w:lineRule="exact"/>
        <w:rPr>
          <w:sz w:val="10"/>
          <w:lang w:val="es-ES_tradnl"/>
        </w:rPr>
      </w:pPr>
    </w:p>
    <w:p w14:paraId="7E9143C7" w14:textId="4415A3A9" w:rsidR="00910F7E" w:rsidRPr="00186777" w:rsidRDefault="00910F7E" w:rsidP="00910F7E">
      <w:pPr>
        <w:pStyle w:val="SingleTxt"/>
        <w:spacing w:after="0" w:line="120" w:lineRule="exact"/>
        <w:rPr>
          <w:sz w:val="10"/>
          <w:lang w:val="es-ES_tradnl"/>
        </w:rPr>
      </w:pPr>
    </w:p>
    <w:p w14:paraId="742C15F6" w14:textId="6D0A7BA3" w:rsidR="00910F7E" w:rsidRPr="00186777" w:rsidRDefault="00910F7E" w:rsidP="00113F7A">
      <w:pPr>
        <w:pStyle w:val="SingleTxt"/>
        <w:numPr>
          <w:ilvl w:val="0"/>
          <w:numId w:val="5"/>
        </w:numPr>
        <w:ind w:left="1267"/>
        <w:rPr>
          <w:lang w:val="es-ES_tradnl"/>
        </w:rPr>
      </w:pPr>
      <w:bookmarkStart w:id="8" w:name="_Hlk510776778"/>
      <w:bookmarkEnd w:id="8"/>
      <w:r w:rsidRPr="00186777">
        <w:rPr>
          <w:lang w:val="es-ES_tradnl"/>
        </w:rPr>
        <w:t>El artículo 12 del Protocolo Facultativo establece que el Comité incluirá en su informe anual un resumen de las actividades llevadas a cabo en virtud del Protocolo Facultativo.</w:t>
      </w:r>
    </w:p>
    <w:p w14:paraId="46361FB7" w14:textId="39452361" w:rsidR="00002F6A" w:rsidRPr="00186777" w:rsidRDefault="00002F6A" w:rsidP="00002F6A">
      <w:pPr>
        <w:pStyle w:val="SingleTxt"/>
        <w:spacing w:after="0" w:line="120" w:lineRule="exact"/>
        <w:rPr>
          <w:sz w:val="10"/>
          <w:lang w:val="es-ES_tradnl"/>
        </w:rPr>
      </w:pPr>
    </w:p>
    <w:p w14:paraId="2C6B09D2" w14:textId="0EEA33D3" w:rsidR="00002F6A" w:rsidRPr="00186777" w:rsidRDefault="00002F6A" w:rsidP="00002F6A">
      <w:pPr>
        <w:pStyle w:val="SingleTxt"/>
        <w:spacing w:after="0" w:line="120" w:lineRule="exact"/>
        <w:rPr>
          <w:sz w:val="10"/>
          <w:lang w:val="es-ES_tradnl"/>
        </w:rPr>
      </w:pPr>
    </w:p>
    <w:p w14:paraId="5A5365D8" w14:textId="6309F162" w:rsidR="00910F7E" w:rsidRPr="00186777" w:rsidRDefault="00910F7E" w:rsidP="00910F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A.</w:t>
      </w:r>
      <w:r w:rsidRPr="00186777">
        <w:rPr>
          <w:lang w:val="es-ES_tradnl"/>
        </w:rPr>
        <w:tab/>
        <w:t>Medidas adoptadas por el Comité con respecto a las cuestiones previstas en el artículo 2 del Protocolo Facultativo</w:t>
      </w:r>
    </w:p>
    <w:p w14:paraId="25A8EE4D" w14:textId="7F94A7FE" w:rsidR="00910F7E" w:rsidRPr="00186777" w:rsidRDefault="00910F7E" w:rsidP="00910F7E">
      <w:pPr>
        <w:pStyle w:val="SingleTxt"/>
        <w:spacing w:after="0" w:line="120" w:lineRule="exact"/>
        <w:rPr>
          <w:sz w:val="10"/>
          <w:lang w:val="es-ES_tradnl"/>
        </w:rPr>
      </w:pPr>
    </w:p>
    <w:p w14:paraId="04FDBBC8" w14:textId="5917F78C" w:rsidR="00910F7E" w:rsidRPr="00186777" w:rsidRDefault="00910F7E" w:rsidP="00910F7E">
      <w:pPr>
        <w:pStyle w:val="SingleTxt"/>
        <w:spacing w:after="0" w:line="120" w:lineRule="exact"/>
        <w:rPr>
          <w:sz w:val="10"/>
          <w:lang w:val="es-ES_tradnl"/>
        </w:rPr>
      </w:pPr>
    </w:p>
    <w:p w14:paraId="4C76E377" w14:textId="4E399538" w:rsidR="00910F7E" w:rsidRPr="00186777" w:rsidRDefault="00910F7E" w:rsidP="00113F7A">
      <w:pPr>
        <w:pStyle w:val="SingleTxt"/>
        <w:numPr>
          <w:ilvl w:val="0"/>
          <w:numId w:val="5"/>
        </w:numPr>
        <w:ind w:left="1267"/>
        <w:rPr>
          <w:lang w:val="es-ES_tradnl"/>
        </w:rPr>
      </w:pPr>
      <w:r w:rsidRPr="00186777">
        <w:rPr>
          <w:lang w:val="es-ES_tradnl"/>
        </w:rPr>
        <w:t>El 10 de julio de 2017, el Comité examinó las actividades llevadas a cabo en virtud del artículo 2 del Protocolo Facultativo.</w:t>
      </w:r>
    </w:p>
    <w:p w14:paraId="08011776" w14:textId="121E7178" w:rsidR="00910F7E" w:rsidRPr="00186777" w:rsidRDefault="00910F7E" w:rsidP="00113F7A">
      <w:pPr>
        <w:pStyle w:val="SingleTxt"/>
        <w:numPr>
          <w:ilvl w:val="0"/>
          <w:numId w:val="5"/>
        </w:numPr>
        <w:ind w:left="1267"/>
        <w:rPr>
          <w:lang w:val="es-ES_tradnl"/>
        </w:rPr>
      </w:pPr>
      <w:bookmarkStart w:id="9" w:name="_Hlk510778001"/>
      <w:bookmarkStart w:id="10" w:name="_Hlk510777984"/>
      <w:bookmarkEnd w:id="9"/>
      <w:bookmarkEnd w:id="10"/>
      <w:r w:rsidRPr="00186777">
        <w:rPr>
          <w:lang w:val="es-ES_tradnl"/>
        </w:rPr>
        <w:t>El Comité hizo suyo el informe del Grupo de Trabajo sobre las Comunicaciones Presentadas en virtud del Protocolo Facultativo acerca de su 38º período de sesiones (véase https://bit.ly/21AeZvl).</w:t>
      </w:r>
    </w:p>
    <w:p w14:paraId="2CEDCB6E" w14:textId="7274013A" w:rsidR="00910F7E" w:rsidRPr="00186777" w:rsidRDefault="00910F7E" w:rsidP="00113F7A">
      <w:pPr>
        <w:pStyle w:val="SingleTxt"/>
        <w:numPr>
          <w:ilvl w:val="0"/>
          <w:numId w:val="5"/>
        </w:numPr>
        <w:ind w:left="1267"/>
        <w:rPr>
          <w:spacing w:val="0"/>
          <w:lang w:val="es-ES_tradnl"/>
        </w:rPr>
      </w:pPr>
      <w:r w:rsidRPr="00186777">
        <w:rPr>
          <w:spacing w:val="0"/>
          <w:lang w:val="es-ES_tradnl"/>
        </w:rPr>
        <w:t xml:space="preserve">El Comité adoptó decisiones finales sobre cuatro comunicaciones individuales presentadas con arreglo al artículo 2 del Protocolo Facultativo. </w:t>
      </w:r>
      <w:r w:rsidRPr="00186777">
        <w:rPr>
          <w:spacing w:val="-2"/>
          <w:lang w:val="es-ES_tradnl"/>
        </w:rPr>
        <w:t xml:space="preserve">El Comité aprobó dictámenes en los que se consideraba que había habido una violación en </w:t>
      </w:r>
      <w:r w:rsidRPr="00186777">
        <w:rPr>
          <w:i/>
          <w:iCs/>
          <w:spacing w:val="-2"/>
          <w:lang w:val="es-ES_tradnl"/>
        </w:rPr>
        <w:t>Trujillo Reyes y Arguello Morales c. México</w:t>
      </w:r>
      <w:r w:rsidRPr="00186777">
        <w:rPr>
          <w:spacing w:val="-2"/>
          <w:lang w:val="es-ES_tradnl"/>
        </w:rPr>
        <w:t xml:space="preserve"> (</w:t>
      </w:r>
      <w:hyperlink r:id="rId44" w:history="1">
        <w:r w:rsidRPr="00794DB5">
          <w:rPr>
            <w:rStyle w:val="Hyperlink"/>
            <w:spacing w:val="-2"/>
            <w:lang w:val="es-ES_tradnl"/>
          </w:rPr>
          <w:t>CEDAW/C/67/D/75/2014</w:t>
        </w:r>
      </w:hyperlink>
      <w:r w:rsidRPr="00186777">
        <w:rPr>
          <w:spacing w:val="-2"/>
          <w:lang w:val="es-ES_tradnl"/>
        </w:rPr>
        <w:t xml:space="preserve">), así como dictámenes en los que se consideraba que no había habido violación en </w:t>
      </w:r>
      <w:r w:rsidRPr="00186777">
        <w:rPr>
          <w:i/>
          <w:iCs/>
          <w:spacing w:val="-2"/>
          <w:lang w:val="es-ES_tradnl"/>
        </w:rPr>
        <w:t>F.F.M</w:t>
      </w:r>
      <w:r w:rsidR="00F37FB5">
        <w:rPr>
          <w:i/>
          <w:iCs/>
          <w:spacing w:val="-2"/>
          <w:lang w:val="es-ES_tradnl"/>
        </w:rPr>
        <w:t>.</w:t>
      </w:r>
      <w:r w:rsidRPr="00186777">
        <w:rPr>
          <w:i/>
          <w:iCs/>
          <w:spacing w:val="-2"/>
          <w:lang w:val="es-ES_tradnl"/>
        </w:rPr>
        <w:t xml:space="preserve"> c. Dinamarca</w:t>
      </w:r>
      <w:r w:rsidRPr="00186777">
        <w:rPr>
          <w:spacing w:val="-2"/>
          <w:lang w:val="es-ES_tradnl"/>
        </w:rPr>
        <w:t xml:space="preserve"> (</w:t>
      </w:r>
      <w:hyperlink r:id="rId45" w:history="1">
        <w:r w:rsidRPr="00794DB5">
          <w:rPr>
            <w:rStyle w:val="Hyperlink"/>
            <w:spacing w:val="-2"/>
            <w:lang w:val="es-ES_tradnl"/>
          </w:rPr>
          <w:t>CEDAW/C/67/D/70/2014</w:t>
        </w:r>
      </w:hyperlink>
      <w:r w:rsidRPr="00186777">
        <w:rPr>
          <w:spacing w:val="-2"/>
          <w:lang w:val="es-ES_tradnl"/>
        </w:rPr>
        <w:t xml:space="preserve">), </w:t>
      </w:r>
      <w:r w:rsidRPr="00186777">
        <w:rPr>
          <w:i/>
          <w:iCs/>
          <w:spacing w:val="-2"/>
          <w:lang w:val="es-ES_tradnl"/>
        </w:rPr>
        <w:t>A. M. c. Dinamarca</w:t>
      </w:r>
      <w:r w:rsidRPr="00186777">
        <w:rPr>
          <w:spacing w:val="-2"/>
          <w:lang w:val="es-ES_tradnl"/>
        </w:rPr>
        <w:t xml:space="preserve"> (</w:t>
      </w:r>
      <w:hyperlink r:id="rId46" w:history="1">
        <w:r w:rsidRPr="00794DB5">
          <w:rPr>
            <w:rStyle w:val="Hyperlink"/>
            <w:spacing w:val="-2"/>
            <w:lang w:val="es-ES_tradnl"/>
          </w:rPr>
          <w:t>CEDAW/C/67/D/77/2014</w:t>
        </w:r>
      </w:hyperlink>
      <w:r w:rsidRPr="00186777">
        <w:rPr>
          <w:spacing w:val="-2"/>
          <w:lang w:val="es-ES_tradnl"/>
        </w:rPr>
        <w:t xml:space="preserve">) y </w:t>
      </w:r>
      <w:r w:rsidRPr="00186777">
        <w:rPr>
          <w:i/>
          <w:iCs/>
          <w:spacing w:val="-2"/>
          <w:lang w:val="es-ES_tradnl"/>
        </w:rPr>
        <w:t>N. M. c. Dinamarca</w:t>
      </w:r>
      <w:r w:rsidRPr="00186777">
        <w:rPr>
          <w:spacing w:val="0"/>
          <w:lang w:val="es-ES_tradnl"/>
        </w:rPr>
        <w:t xml:space="preserve"> (</w:t>
      </w:r>
      <w:hyperlink r:id="rId47" w:history="1">
        <w:r w:rsidRPr="00794DB5">
          <w:rPr>
            <w:rStyle w:val="Hyperlink"/>
            <w:spacing w:val="0"/>
            <w:lang w:val="es-ES_tradnl"/>
          </w:rPr>
          <w:t>CEDAW/C/67/D/78/2014</w:t>
        </w:r>
      </w:hyperlink>
      <w:r w:rsidRPr="00186777">
        <w:rPr>
          <w:spacing w:val="0"/>
          <w:lang w:val="es-ES_tradnl"/>
        </w:rPr>
        <w:t>). Todas las decisiones se adoptaron por consenso.</w:t>
      </w:r>
    </w:p>
    <w:p w14:paraId="0459FA0A" w14:textId="7B2FCB87" w:rsidR="00002F6A" w:rsidRPr="00186777" w:rsidRDefault="00002F6A" w:rsidP="00002F6A">
      <w:pPr>
        <w:pStyle w:val="SingleTxt"/>
        <w:spacing w:after="0" w:line="120" w:lineRule="exact"/>
        <w:rPr>
          <w:sz w:val="10"/>
          <w:lang w:val="es-ES_tradnl"/>
        </w:rPr>
      </w:pPr>
    </w:p>
    <w:p w14:paraId="73A005DB" w14:textId="2764C976" w:rsidR="00002F6A" w:rsidRPr="00186777" w:rsidRDefault="00002F6A" w:rsidP="00002F6A">
      <w:pPr>
        <w:pStyle w:val="SingleTxt"/>
        <w:spacing w:after="0" w:line="120" w:lineRule="exact"/>
        <w:rPr>
          <w:sz w:val="10"/>
          <w:lang w:val="es-ES_tradnl"/>
        </w:rPr>
      </w:pPr>
    </w:p>
    <w:p w14:paraId="39A21254" w14:textId="00CDC1F2" w:rsidR="00910F7E" w:rsidRPr="00186777" w:rsidRDefault="00910F7E" w:rsidP="00002F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B.</w:t>
      </w:r>
      <w:r w:rsidRPr="00186777">
        <w:rPr>
          <w:lang w:val="es-ES_tradnl"/>
        </w:rPr>
        <w:tab/>
        <w:t>Seguimiento de los dictámenes del Comité sobre comunicaciones individuales</w:t>
      </w:r>
    </w:p>
    <w:p w14:paraId="0218ACA3" w14:textId="0E4DAE7A" w:rsidR="00002F6A" w:rsidRPr="00186777" w:rsidRDefault="00002F6A" w:rsidP="00002F6A">
      <w:pPr>
        <w:pStyle w:val="SingleTxt"/>
        <w:spacing w:after="0" w:line="120" w:lineRule="exact"/>
        <w:rPr>
          <w:sz w:val="10"/>
          <w:lang w:val="es-ES_tradnl"/>
        </w:rPr>
      </w:pPr>
    </w:p>
    <w:p w14:paraId="552B29A1" w14:textId="5A6E0A95" w:rsidR="00002F6A" w:rsidRPr="00186777" w:rsidRDefault="00002F6A" w:rsidP="00002F6A">
      <w:pPr>
        <w:pStyle w:val="SingleTxt"/>
        <w:spacing w:after="0" w:line="120" w:lineRule="exact"/>
        <w:rPr>
          <w:sz w:val="10"/>
          <w:lang w:val="es-ES_tradnl"/>
        </w:rPr>
      </w:pPr>
    </w:p>
    <w:p w14:paraId="19A5F26A" w14:textId="66964A2F" w:rsidR="00910F7E" w:rsidRPr="00186777" w:rsidRDefault="00910F7E" w:rsidP="00113F7A">
      <w:pPr>
        <w:pStyle w:val="SingleTxt"/>
        <w:numPr>
          <w:ilvl w:val="0"/>
          <w:numId w:val="5"/>
        </w:numPr>
        <w:ind w:left="1267"/>
        <w:rPr>
          <w:lang w:val="es-ES_tradnl"/>
        </w:rPr>
      </w:pPr>
      <w:r w:rsidRPr="00186777">
        <w:rPr>
          <w:lang w:val="es-ES_tradnl"/>
        </w:rPr>
        <w:t xml:space="preserve">Se informó al Comité de que, debido a la reducción de la capacidad de la secretaría, el Grupo de Trabajo no había recibido un informe escrito sobre el seguimiento de la situación en los casos en que el diálogo de seguimiento seguía en curso y que tenía la intención de reunirse con los representantes del Brasil y el Perú, con miras a concluir el diálogo de seguimiento con respecto a las comunicaciones núm. </w:t>
      </w:r>
      <w:r w:rsidR="00F37FB5" w:rsidRPr="00054806">
        <w:t>17/200</w:t>
      </w:r>
      <w:r w:rsidRPr="00186777">
        <w:rPr>
          <w:lang w:val="es-ES_tradnl"/>
        </w:rPr>
        <w:t>8 (</w:t>
      </w:r>
      <w:r w:rsidRPr="00186777">
        <w:rPr>
          <w:i/>
          <w:iCs/>
          <w:lang w:val="es-ES_tradnl"/>
        </w:rPr>
        <w:t>da Silva Pimentel c. el Brasil</w:t>
      </w:r>
      <w:r w:rsidRPr="00186777">
        <w:rPr>
          <w:lang w:val="es-ES_tradnl"/>
        </w:rPr>
        <w:t xml:space="preserve">) y núm. </w:t>
      </w:r>
      <w:r w:rsidR="00F37FB5" w:rsidRPr="00054806">
        <w:t>22/200</w:t>
      </w:r>
      <w:r w:rsidRPr="00186777">
        <w:rPr>
          <w:lang w:val="es-ES_tradnl"/>
        </w:rPr>
        <w:t>9 (</w:t>
      </w:r>
      <w:r w:rsidRPr="00186777">
        <w:rPr>
          <w:i/>
          <w:iCs/>
          <w:lang w:val="es-ES_tradnl"/>
        </w:rPr>
        <w:t>T. P. F. c. el Perú</w:t>
      </w:r>
      <w:r w:rsidRPr="00186777">
        <w:rPr>
          <w:lang w:val="es-ES_tradnl"/>
        </w:rPr>
        <w:t>), en un futuro próximo.</w:t>
      </w:r>
    </w:p>
    <w:p w14:paraId="05AD9401" w14:textId="77777777" w:rsidR="00002F6A" w:rsidRPr="00186777" w:rsidRDefault="00002F6A" w:rsidP="00002F6A">
      <w:pPr>
        <w:pStyle w:val="SingleTxt"/>
        <w:spacing w:after="0" w:line="120" w:lineRule="exact"/>
        <w:rPr>
          <w:b/>
          <w:bCs/>
          <w:sz w:val="10"/>
          <w:lang w:val="es-ES_tradnl"/>
        </w:rPr>
      </w:pPr>
    </w:p>
    <w:p w14:paraId="296AD38C" w14:textId="77777777" w:rsidR="00002F6A" w:rsidRPr="00186777" w:rsidRDefault="00002F6A" w:rsidP="00002F6A">
      <w:pPr>
        <w:pStyle w:val="SingleTxt"/>
        <w:spacing w:after="0" w:line="120" w:lineRule="exact"/>
        <w:rPr>
          <w:b/>
          <w:bCs/>
          <w:sz w:val="10"/>
          <w:lang w:val="es-ES_tradnl"/>
        </w:rPr>
      </w:pPr>
    </w:p>
    <w:p w14:paraId="0E519471" w14:textId="5A99F52A" w:rsidR="00910F7E" w:rsidRPr="00186777" w:rsidRDefault="00002F6A" w:rsidP="00002F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910F7E" w:rsidRPr="00186777">
        <w:rPr>
          <w:lang w:val="es-ES_tradnl"/>
        </w:rPr>
        <w:t>C.</w:t>
      </w:r>
      <w:r w:rsidR="00910F7E" w:rsidRPr="00186777">
        <w:rPr>
          <w:lang w:val="es-ES_tradnl"/>
        </w:rPr>
        <w:tab/>
        <w:t>Medidas adoptadas por el Comité con respecto a las cuestiones previstas en el artículo 8 del Protocolo Facultativo</w:t>
      </w:r>
    </w:p>
    <w:p w14:paraId="391F4ACA" w14:textId="77777777" w:rsidR="00002F6A" w:rsidRPr="00186777" w:rsidRDefault="00002F6A" w:rsidP="00002F6A">
      <w:pPr>
        <w:pStyle w:val="SingleTxt"/>
        <w:spacing w:after="0" w:line="120" w:lineRule="exact"/>
        <w:rPr>
          <w:sz w:val="10"/>
          <w:lang w:val="es-ES_tradnl"/>
        </w:rPr>
      </w:pPr>
    </w:p>
    <w:p w14:paraId="2A03F08F" w14:textId="77777777" w:rsidR="00002F6A" w:rsidRPr="00186777" w:rsidRDefault="00002F6A" w:rsidP="00002F6A">
      <w:pPr>
        <w:pStyle w:val="SingleTxt"/>
        <w:spacing w:after="0" w:line="120" w:lineRule="exact"/>
        <w:rPr>
          <w:sz w:val="10"/>
          <w:lang w:val="es-ES_tradnl"/>
        </w:rPr>
      </w:pPr>
    </w:p>
    <w:p w14:paraId="6AB874E9" w14:textId="2EA8E975" w:rsidR="00910F7E" w:rsidRPr="00186777" w:rsidRDefault="00910F7E" w:rsidP="00113F7A">
      <w:pPr>
        <w:pStyle w:val="SingleTxt"/>
        <w:numPr>
          <w:ilvl w:val="0"/>
          <w:numId w:val="5"/>
        </w:numPr>
        <w:ind w:left="1267"/>
        <w:rPr>
          <w:lang w:val="es-ES_tradnl"/>
        </w:rPr>
      </w:pPr>
      <w:r w:rsidRPr="00186777">
        <w:rPr>
          <w:lang w:val="es-ES_tradnl"/>
        </w:rPr>
        <w:t xml:space="preserve">El 19 de julio de 2017, el Comité examinó las actividades llevadas a cabo en virtud del artículo 8 del Protocolo Facultativo. Hizo suyo el informe del Grupo de Trabajo sobre Investigaciones con arreglo al Protocolo Facultativo en su séptimo período de sesiones (véase </w:t>
      </w:r>
      <w:r w:rsidR="00F37FB5" w:rsidRPr="00054806">
        <w:t>https://bit.ly/2qcL6K</w:t>
      </w:r>
      <w:r w:rsidRPr="00186777">
        <w:rPr>
          <w:lang w:val="es-ES_tradnl"/>
        </w:rPr>
        <w:t>).</w:t>
      </w:r>
    </w:p>
    <w:p w14:paraId="416A01E2" w14:textId="2AA29938" w:rsidR="00910F7E" w:rsidRPr="00186777" w:rsidRDefault="00910F7E" w:rsidP="00113F7A">
      <w:pPr>
        <w:pStyle w:val="SingleTxt"/>
        <w:numPr>
          <w:ilvl w:val="0"/>
          <w:numId w:val="5"/>
        </w:numPr>
        <w:ind w:left="1267"/>
        <w:rPr>
          <w:lang w:val="es-ES_tradnl"/>
        </w:rPr>
      </w:pPr>
      <w:r w:rsidRPr="00186777">
        <w:rPr>
          <w:lang w:val="es-ES_tradnl"/>
        </w:rPr>
        <w:t>El Comité aprobó las siguientes recomendaciones del Grupo de Trabajo:</w:t>
      </w:r>
    </w:p>
    <w:p w14:paraId="1AD722E1" w14:textId="21110087" w:rsidR="00910F7E" w:rsidRPr="00186777" w:rsidRDefault="00910F7E" w:rsidP="00910F7E">
      <w:pPr>
        <w:pStyle w:val="SingleTxt"/>
        <w:rPr>
          <w:lang w:val="es-ES_tradnl"/>
        </w:rPr>
      </w:pPr>
      <w:r w:rsidRPr="00186777">
        <w:rPr>
          <w:lang w:val="es-ES_tradnl"/>
        </w:rPr>
        <w:tab/>
        <w:t>a)</w:t>
      </w:r>
      <w:r w:rsidRPr="00186777">
        <w:rPr>
          <w:lang w:val="es-ES_tradnl"/>
        </w:rPr>
        <w:tab/>
        <w:t xml:space="preserve">En relación con la presentación núm. </w:t>
      </w:r>
      <w:r w:rsidR="00E450C3" w:rsidRPr="00054806">
        <w:t>2017/1</w:t>
      </w:r>
      <w:r w:rsidRPr="00186777">
        <w:rPr>
          <w:lang w:val="es-ES_tradnl"/>
        </w:rPr>
        <w:t>, suspender el examen de la información recibida en virtud del artículo 8 del Protocolo Facultativo;</w:t>
      </w:r>
    </w:p>
    <w:p w14:paraId="4A61DB2B" w14:textId="244DF869" w:rsidR="00910F7E" w:rsidRPr="00186777" w:rsidRDefault="00002F6A" w:rsidP="00910F7E">
      <w:pPr>
        <w:pStyle w:val="SingleTxt"/>
        <w:rPr>
          <w:lang w:val="es-ES_tradnl"/>
        </w:rPr>
      </w:pPr>
      <w:r w:rsidRPr="00186777">
        <w:rPr>
          <w:lang w:val="es-ES_tradnl"/>
        </w:rPr>
        <w:tab/>
      </w:r>
      <w:r w:rsidR="00910F7E" w:rsidRPr="00186777">
        <w:rPr>
          <w:lang w:val="es-ES_tradnl"/>
        </w:rPr>
        <w:t>b)</w:t>
      </w:r>
      <w:r w:rsidR="00910F7E" w:rsidRPr="00186777">
        <w:rPr>
          <w:lang w:val="es-ES_tradnl"/>
        </w:rPr>
        <w:tab/>
        <w:t xml:space="preserve">En relación con la comunicación núm. </w:t>
      </w:r>
      <w:r w:rsidR="00E450C3" w:rsidRPr="00054806">
        <w:t>2016/1</w:t>
      </w:r>
      <w:r w:rsidR="00910F7E" w:rsidRPr="00186777">
        <w:rPr>
          <w:lang w:val="es-ES_tradnl"/>
        </w:rPr>
        <w:t>, invitar al Estado parte correspondiente a presentar sus observaciones sobre la información recibida por el Comité en virtud del artículo 8 del Protocolo Facultativo;</w:t>
      </w:r>
    </w:p>
    <w:p w14:paraId="2721DAC3" w14:textId="5E3FA4EA" w:rsidR="00910F7E" w:rsidRPr="00186777" w:rsidRDefault="00910F7E" w:rsidP="00910F7E">
      <w:pPr>
        <w:pStyle w:val="SingleTxt"/>
        <w:rPr>
          <w:lang w:val="es-ES_tradnl"/>
        </w:rPr>
      </w:pPr>
      <w:r w:rsidRPr="00186777">
        <w:rPr>
          <w:lang w:val="es-ES_tradnl"/>
        </w:rPr>
        <w:lastRenderedPageBreak/>
        <w:tab/>
        <w:t>c)</w:t>
      </w:r>
      <w:r w:rsidRPr="00186777">
        <w:rPr>
          <w:lang w:val="es-ES_tradnl"/>
        </w:rPr>
        <w:tab/>
        <w:t xml:space="preserve">En relación con la investigación núm. </w:t>
      </w:r>
      <w:r w:rsidR="00E450C3" w:rsidRPr="00054806">
        <w:t>2014/3</w:t>
      </w:r>
      <w:r w:rsidRPr="00186777">
        <w:rPr>
          <w:lang w:val="es-ES_tradnl"/>
        </w:rPr>
        <w:t>, designar a Gunnar Bergby, Nahla Haidar y Bandana Rana para que realizaran una investigación y solicitaran el consentimiento del Estado parte correspondiente a los fines de efectuar una visita a su territorio;</w:t>
      </w:r>
    </w:p>
    <w:p w14:paraId="58D23205" w14:textId="750326F6" w:rsidR="00910F7E" w:rsidRPr="00186777" w:rsidRDefault="00002F6A" w:rsidP="00910F7E">
      <w:pPr>
        <w:pStyle w:val="SingleTxt"/>
        <w:rPr>
          <w:lang w:val="es-ES_tradnl"/>
        </w:rPr>
      </w:pPr>
      <w:r w:rsidRPr="00186777">
        <w:rPr>
          <w:lang w:val="es-ES_tradnl"/>
        </w:rPr>
        <w:tab/>
      </w:r>
      <w:r w:rsidR="00910F7E" w:rsidRPr="00186777">
        <w:rPr>
          <w:lang w:val="es-ES_tradnl"/>
        </w:rPr>
        <w:t>d)</w:t>
      </w:r>
      <w:r w:rsidR="00910F7E" w:rsidRPr="00186777">
        <w:rPr>
          <w:lang w:val="es-ES_tradnl"/>
        </w:rPr>
        <w:tab/>
        <w:t xml:space="preserve">En relación con la investigación núm. </w:t>
      </w:r>
      <w:r w:rsidR="00E450C3" w:rsidRPr="00054806">
        <w:t>2012/1</w:t>
      </w:r>
      <w:r w:rsidR="00910F7E" w:rsidRPr="00186777">
        <w:rPr>
          <w:lang w:val="es-ES_tradnl"/>
        </w:rPr>
        <w:t>, designar a Gladys Acosta Vargas y Marion Bethel para que realizaran una investigación y solicitaran el consentimiento del Estado parte correspondiente a lo</w:t>
      </w:r>
      <w:r w:rsidR="00E450C3">
        <w:rPr>
          <w:lang w:val="es-ES_tradnl"/>
        </w:rPr>
        <w:t>s</w:t>
      </w:r>
      <w:r w:rsidR="00910F7E" w:rsidRPr="00186777">
        <w:rPr>
          <w:lang w:val="es-ES_tradnl"/>
        </w:rPr>
        <w:t xml:space="preserve"> fines de efectuar una visita a su territorio;</w:t>
      </w:r>
    </w:p>
    <w:p w14:paraId="12D5D917" w14:textId="14FA98FE" w:rsidR="00910F7E" w:rsidRPr="00186777" w:rsidRDefault="00910F7E" w:rsidP="00910F7E">
      <w:pPr>
        <w:pStyle w:val="SingleTxt"/>
        <w:rPr>
          <w:lang w:val="es-ES_tradnl"/>
        </w:rPr>
      </w:pPr>
      <w:r w:rsidRPr="00186777">
        <w:rPr>
          <w:lang w:val="es-ES_tradnl"/>
        </w:rPr>
        <w:tab/>
        <w:t>e)</w:t>
      </w:r>
      <w:r w:rsidRPr="00186777">
        <w:rPr>
          <w:lang w:val="es-ES_tradnl"/>
        </w:rPr>
        <w:tab/>
        <w:t xml:space="preserve">En relación con la investigación núm. </w:t>
      </w:r>
      <w:r w:rsidR="00E450C3" w:rsidRPr="00054806">
        <w:t>2011/4</w:t>
      </w:r>
      <w:r w:rsidRPr="00186777">
        <w:rPr>
          <w:lang w:val="es-ES_tradnl"/>
        </w:rPr>
        <w:t>, designar a Nicole Ameline, Marion Bethel, Náela Mohamed Gabr y Patricia Schulz para que realizaran una investigación y solicitaran el consentimiento del Estado parte correspondiente a los fines de efectuar una visita a su territorio.</w:t>
      </w:r>
    </w:p>
    <w:p w14:paraId="30F5F0B8" w14:textId="7D503BDD" w:rsidR="00910F7E" w:rsidRPr="00186777" w:rsidRDefault="00910F7E" w:rsidP="00113F7A">
      <w:pPr>
        <w:pStyle w:val="SingleTxt"/>
        <w:numPr>
          <w:ilvl w:val="0"/>
          <w:numId w:val="5"/>
        </w:numPr>
        <w:ind w:left="1267"/>
        <w:rPr>
          <w:lang w:val="es-ES_tradnl"/>
        </w:rPr>
      </w:pPr>
      <w:r w:rsidRPr="00186777">
        <w:rPr>
          <w:lang w:val="es-ES_tradnl"/>
        </w:rPr>
        <w:t>El Comité ratificó las siguientes decisiones adoptadas por el Grupo de Trabajo:</w:t>
      </w:r>
    </w:p>
    <w:p w14:paraId="66208082" w14:textId="6CCBF1DB" w:rsidR="00910F7E" w:rsidRPr="00186777" w:rsidRDefault="00002F6A" w:rsidP="00910F7E">
      <w:pPr>
        <w:pStyle w:val="SingleTxt"/>
        <w:rPr>
          <w:bCs/>
          <w:lang w:val="es-ES_tradnl"/>
        </w:rPr>
      </w:pPr>
      <w:r w:rsidRPr="00186777">
        <w:rPr>
          <w:bCs/>
          <w:lang w:val="es-ES_tradnl"/>
        </w:rPr>
        <w:tab/>
      </w:r>
      <w:r w:rsidR="00910F7E" w:rsidRPr="00186777">
        <w:rPr>
          <w:bCs/>
          <w:lang w:val="es-ES_tradnl"/>
        </w:rPr>
        <w:t>a)</w:t>
      </w:r>
      <w:r w:rsidRPr="00186777">
        <w:rPr>
          <w:bCs/>
          <w:lang w:val="es-ES_tradnl"/>
        </w:rPr>
        <w:tab/>
      </w:r>
      <w:r w:rsidR="00910F7E" w:rsidRPr="00186777">
        <w:rPr>
          <w:bCs/>
          <w:lang w:val="es-ES_tradnl"/>
        </w:rPr>
        <w:t xml:space="preserve">En relación con la investigación núm. </w:t>
      </w:r>
      <w:r w:rsidR="00E450C3" w:rsidRPr="00054806">
        <w:t>2013/1</w:t>
      </w:r>
      <w:r w:rsidR="00910F7E" w:rsidRPr="00186777">
        <w:rPr>
          <w:bCs/>
          <w:lang w:val="es-ES_tradnl"/>
        </w:rPr>
        <w:t>, designar a Lilian Hofmeister para que sustituya a Pramila Patten como uno de los miembros designados para llevar a cabo la investigación;</w:t>
      </w:r>
    </w:p>
    <w:p w14:paraId="07EEE7E0" w14:textId="670A577E" w:rsidR="00910F7E" w:rsidRPr="00186777" w:rsidRDefault="00002F6A" w:rsidP="00910F7E">
      <w:pPr>
        <w:pStyle w:val="SingleTxt"/>
        <w:rPr>
          <w:bCs/>
          <w:lang w:val="es-ES_tradnl"/>
        </w:rPr>
      </w:pPr>
      <w:r w:rsidRPr="00186777">
        <w:rPr>
          <w:bCs/>
          <w:lang w:val="es-ES_tradnl"/>
        </w:rPr>
        <w:tab/>
      </w:r>
      <w:r w:rsidR="00910F7E" w:rsidRPr="00186777">
        <w:rPr>
          <w:bCs/>
          <w:lang w:val="es-ES_tradnl"/>
        </w:rPr>
        <w:t>b)</w:t>
      </w:r>
      <w:r w:rsidRPr="00186777">
        <w:rPr>
          <w:bCs/>
          <w:lang w:val="es-ES_tradnl"/>
        </w:rPr>
        <w:tab/>
      </w:r>
      <w:r w:rsidR="00910F7E" w:rsidRPr="00186777">
        <w:rPr>
          <w:bCs/>
          <w:lang w:val="es-ES_tradnl"/>
        </w:rPr>
        <w:t xml:space="preserve">En relación con la investigación núm. </w:t>
      </w:r>
      <w:r w:rsidR="00E450C3" w:rsidRPr="00054806">
        <w:t>2014/2</w:t>
      </w:r>
      <w:r w:rsidR="00910F7E" w:rsidRPr="00186777">
        <w:rPr>
          <w:bCs/>
          <w:lang w:val="es-ES_tradnl"/>
        </w:rPr>
        <w:t>, designar a Marion Bethel para que sustituya a Nahla Haidar, y a Aicha Vall Verges para que sustituya a Pramila Patten, como miembros designados para llevar a cabo la investigación;</w:t>
      </w:r>
    </w:p>
    <w:p w14:paraId="73423E62" w14:textId="12CB5D36" w:rsidR="00910F7E" w:rsidRPr="00186777" w:rsidRDefault="00910F7E" w:rsidP="00910F7E">
      <w:pPr>
        <w:pStyle w:val="SingleTxt"/>
        <w:rPr>
          <w:lang w:val="es-ES_tradnl"/>
        </w:rPr>
      </w:pPr>
      <w:r w:rsidRPr="00186777">
        <w:rPr>
          <w:lang w:val="es-ES_tradnl"/>
        </w:rPr>
        <w:tab/>
        <w:t>c)</w:t>
      </w:r>
      <w:r w:rsidR="00002F6A" w:rsidRPr="00186777">
        <w:rPr>
          <w:lang w:val="es-ES_tradnl"/>
        </w:rPr>
        <w:tab/>
      </w:r>
      <w:r w:rsidRPr="00186777">
        <w:rPr>
          <w:lang w:val="es-ES_tradnl"/>
        </w:rPr>
        <w:t xml:space="preserve">En relación con la investigación núm. </w:t>
      </w:r>
      <w:r w:rsidR="00E450C3" w:rsidRPr="00054806">
        <w:t>2012/1</w:t>
      </w:r>
      <w:r w:rsidRPr="00186777">
        <w:rPr>
          <w:lang w:val="es-ES_tradnl"/>
        </w:rPr>
        <w:t>, aplazar la visita al territorio del Estado parte correspondiente hasta después del examen del informe periódico del Estado parte.</w:t>
      </w:r>
    </w:p>
    <w:p w14:paraId="4F6036C7" w14:textId="1EC38B54" w:rsidR="00910F7E" w:rsidRPr="00186777" w:rsidRDefault="00910F7E" w:rsidP="00113F7A">
      <w:pPr>
        <w:pStyle w:val="SingleTxt"/>
        <w:numPr>
          <w:ilvl w:val="0"/>
          <w:numId w:val="5"/>
        </w:numPr>
        <w:ind w:left="1267"/>
        <w:rPr>
          <w:lang w:val="es-ES_tradnl"/>
        </w:rPr>
      </w:pPr>
      <w:r w:rsidRPr="00186777">
        <w:rPr>
          <w:lang w:val="es-ES_tradnl"/>
        </w:rPr>
        <w:t xml:space="preserve">En relación con la investigación núm. </w:t>
      </w:r>
      <w:r w:rsidR="00E450C3" w:rsidRPr="00054806">
        <w:t>2014/1</w:t>
      </w:r>
      <w:r w:rsidRPr="00186777">
        <w:rPr>
          <w:lang w:val="es-ES_tradnl"/>
        </w:rPr>
        <w:t>, Lia Nadaraia presentó el informe sobre la investigación.</w:t>
      </w:r>
    </w:p>
    <w:p w14:paraId="39224FD4" w14:textId="77777777" w:rsidR="00910F7E" w:rsidRPr="00186777" w:rsidRDefault="00910F7E" w:rsidP="00910F7E">
      <w:pPr>
        <w:pStyle w:val="SingleTxt"/>
        <w:rPr>
          <w:lang w:val="es-ES_tradnl"/>
        </w:rPr>
      </w:pPr>
    </w:p>
    <w:p w14:paraId="2099AFDE" w14:textId="78297140" w:rsidR="00002F6A" w:rsidRPr="00186777" w:rsidRDefault="00002F6A">
      <w:pPr>
        <w:suppressAutoHyphens w:val="0"/>
        <w:spacing w:after="200" w:line="276" w:lineRule="auto"/>
        <w:rPr>
          <w:b/>
          <w:kern w:val="14"/>
          <w:lang w:val="es-ES_tradnl"/>
        </w:rPr>
      </w:pPr>
      <w:r w:rsidRPr="00186777">
        <w:rPr>
          <w:b/>
          <w:lang w:val="es-ES_tradnl"/>
        </w:rPr>
        <w:br w:type="page"/>
      </w:r>
    </w:p>
    <w:p w14:paraId="745D4231" w14:textId="03CE68DE" w:rsidR="00910F7E" w:rsidRPr="00186777" w:rsidRDefault="00910F7E" w:rsidP="00002F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VI</w:t>
      </w:r>
    </w:p>
    <w:p w14:paraId="38C14B43" w14:textId="72C4A038" w:rsidR="00910F7E" w:rsidRPr="00186777" w:rsidRDefault="00002F6A" w:rsidP="00002F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r>
      <w:r w:rsidR="00910F7E" w:rsidRPr="00186777">
        <w:rPr>
          <w:lang w:val="es-ES_tradnl"/>
        </w:rPr>
        <w:t>Medios de agilizar los trabajos del Comité</w:t>
      </w:r>
    </w:p>
    <w:p w14:paraId="7C437628" w14:textId="532E8E71" w:rsidR="00002F6A" w:rsidRPr="00186777" w:rsidRDefault="00002F6A" w:rsidP="00002F6A">
      <w:pPr>
        <w:pStyle w:val="SingleTxt"/>
        <w:spacing w:after="0" w:line="120" w:lineRule="exact"/>
        <w:rPr>
          <w:sz w:val="10"/>
          <w:lang w:val="es-ES_tradnl"/>
        </w:rPr>
      </w:pPr>
    </w:p>
    <w:p w14:paraId="3C1B6A21" w14:textId="3EE5BF2B" w:rsidR="00002F6A" w:rsidRPr="00186777" w:rsidRDefault="00002F6A" w:rsidP="00002F6A">
      <w:pPr>
        <w:pStyle w:val="SingleTxt"/>
        <w:spacing w:after="0" w:line="120" w:lineRule="exact"/>
        <w:rPr>
          <w:sz w:val="10"/>
          <w:lang w:val="es-ES_tradnl"/>
        </w:rPr>
      </w:pPr>
    </w:p>
    <w:p w14:paraId="6A710DBF" w14:textId="1734B8EE" w:rsidR="00910F7E" w:rsidRPr="00186777" w:rsidRDefault="00910F7E" w:rsidP="00113F7A">
      <w:pPr>
        <w:pStyle w:val="SingleTxt"/>
        <w:numPr>
          <w:ilvl w:val="0"/>
          <w:numId w:val="5"/>
        </w:numPr>
        <w:ind w:left="1267"/>
        <w:rPr>
          <w:lang w:val="es-ES_tradnl"/>
        </w:rPr>
      </w:pPr>
      <w:r w:rsidRPr="00186777">
        <w:rPr>
          <w:lang w:val="es-ES_tradnl"/>
        </w:rPr>
        <w:t>La secretaría informó al Comité de la situación relativa a la presentación de los informes atrasados de los Estados partes en virtud del artículo 18 de la Convención.</w:t>
      </w:r>
    </w:p>
    <w:p w14:paraId="5AE4FF13" w14:textId="77777777" w:rsidR="00002F6A" w:rsidRPr="00186777" w:rsidRDefault="00002F6A" w:rsidP="00002F6A">
      <w:pPr>
        <w:pStyle w:val="SingleTxt"/>
        <w:spacing w:after="0" w:line="120" w:lineRule="exact"/>
        <w:rPr>
          <w:b/>
          <w:bCs/>
          <w:sz w:val="10"/>
          <w:lang w:val="es-ES_tradnl"/>
        </w:rPr>
      </w:pPr>
    </w:p>
    <w:p w14:paraId="46CF3E88" w14:textId="77777777" w:rsidR="00002F6A" w:rsidRPr="00186777" w:rsidRDefault="00002F6A" w:rsidP="00002F6A">
      <w:pPr>
        <w:pStyle w:val="SingleTxt"/>
        <w:spacing w:after="0" w:line="120" w:lineRule="exact"/>
        <w:rPr>
          <w:b/>
          <w:bCs/>
          <w:sz w:val="10"/>
          <w:lang w:val="es-ES_tradnl"/>
        </w:rPr>
      </w:pPr>
    </w:p>
    <w:p w14:paraId="0E295260" w14:textId="3B322D05" w:rsidR="00910F7E" w:rsidRPr="00186777" w:rsidRDefault="00910F7E" w:rsidP="00002F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002F6A" w:rsidRPr="00186777">
        <w:rPr>
          <w:lang w:val="es-ES_tradnl"/>
        </w:rPr>
        <w:tab/>
      </w:r>
      <w:r w:rsidRPr="00186777">
        <w:rPr>
          <w:lang w:val="es-ES_tradnl"/>
        </w:rPr>
        <w:t>Medidas adoptadas por el Comité en relación con el tema 7 del programa</w:t>
      </w:r>
    </w:p>
    <w:p w14:paraId="32737CE1" w14:textId="7463F2F1" w:rsidR="00002F6A" w:rsidRPr="00186777" w:rsidRDefault="00002F6A" w:rsidP="00002F6A">
      <w:pPr>
        <w:pStyle w:val="SingleTxt"/>
        <w:spacing w:after="0" w:line="120" w:lineRule="exact"/>
        <w:rPr>
          <w:b/>
          <w:sz w:val="10"/>
          <w:lang w:val="es-ES_tradnl"/>
        </w:rPr>
      </w:pPr>
    </w:p>
    <w:p w14:paraId="396C0368" w14:textId="77777777" w:rsidR="00002F6A" w:rsidRPr="00186777" w:rsidRDefault="00002F6A" w:rsidP="00002F6A">
      <w:pPr>
        <w:pStyle w:val="SingleTxt"/>
        <w:spacing w:after="0" w:line="120" w:lineRule="exact"/>
        <w:rPr>
          <w:b/>
          <w:sz w:val="10"/>
          <w:lang w:val="es-ES_tradnl"/>
        </w:rPr>
      </w:pPr>
    </w:p>
    <w:p w14:paraId="6249D542" w14:textId="27E99590" w:rsidR="00910F7E" w:rsidRPr="00186777" w:rsidRDefault="00910F7E" w:rsidP="00002F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Fechas de los próximos períodos de sesiones</w:t>
      </w:r>
    </w:p>
    <w:p w14:paraId="4C717CE4" w14:textId="77777777" w:rsidR="00002F6A" w:rsidRPr="00186777" w:rsidRDefault="00002F6A" w:rsidP="00002F6A">
      <w:pPr>
        <w:pStyle w:val="SingleTxt"/>
        <w:spacing w:after="0" w:line="120" w:lineRule="exact"/>
        <w:rPr>
          <w:sz w:val="10"/>
          <w:lang w:val="es-ES_tradnl"/>
        </w:rPr>
      </w:pPr>
    </w:p>
    <w:p w14:paraId="5DD19E35" w14:textId="77777777" w:rsidR="00002F6A" w:rsidRPr="00186777" w:rsidRDefault="00002F6A" w:rsidP="00002F6A">
      <w:pPr>
        <w:pStyle w:val="SingleTxt"/>
        <w:spacing w:after="0" w:line="120" w:lineRule="exact"/>
        <w:rPr>
          <w:sz w:val="10"/>
          <w:lang w:val="es-ES_tradnl"/>
        </w:rPr>
      </w:pPr>
    </w:p>
    <w:p w14:paraId="45874182" w14:textId="3BE4B2F6" w:rsidR="00910F7E" w:rsidRPr="00186777" w:rsidRDefault="00910F7E" w:rsidP="00113F7A">
      <w:pPr>
        <w:pStyle w:val="SingleTxt"/>
        <w:numPr>
          <w:ilvl w:val="0"/>
          <w:numId w:val="5"/>
        </w:numPr>
        <w:ind w:left="1267"/>
        <w:rPr>
          <w:lang w:val="es-ES_tradnl"/>
        </w:rPr>
      </w:pPr>
      <w:r w:rsidRPr="00186777">
        <w:rPr>
          <w:lang w:val="es-ES_tradnl"/>
        </w:rPr>
        <w:t>De conformidad con el calendario de conferencias, se confirmaron las siguientes fechas para los períodos de sesiones 68º y 69º del Comité y reuniones conexas:</w:t>
      </w:r>
    </w:p>
    <w:p w14:paraId="70E8EDB8" w14:textId="0D44277A" w:rsidR="00910F7E" w:rsidRPr="00186777" w:rsidRDefault="00002F6A" w:rsidP="003A02C7">
      <w:pPr>
        <w:pStyle w:val="SingleTxt"/>
        <w:spacing w:line="220" w:lineRule="exact"/>
        <w:rPr>
          <w:lang w:val="es-ES_tradnl"/>
        </w:rPr>
      </w:pPr>
      <w:r w:rsidRPr="00186777">
        <w:rPr>
          <w:lang w:val="es-ES_tradnl"/>
        </w:rPr>
        <w:tab/>
      </w:r>
      <w:r w:rsidR="00910F7E" w:rsidRPr="00186777">
        <w:rPr>
          <w:lang w:val="es-ES_tradnl"/>
        </w:rPr>
        <w:t>68º</w:t>
      </w:r>
      <w:r w:rsidRPr="00186777">
        <w:rPr>
          <w:lang w:val="es-ES_tradnl"/>
        </w:rPr>
        <w:t xml:space="preserve"> </w:t>
      </w:r>
      <w:r w:rsidR="00910F7E" w:rsidRPr="00186777">
        <w:rPr>
          <w:lang w:val="es-ES_tradnl"/>
        </w:rPr>
        <w:t xml:space="preserve">período de sesiones (Ginebra) </w:t>
      </w:r>
    </w:p>
    <w:p w14:paraId="32F48F5A" w14:textId="700297CB" w:rsidR="00910F7E" w:rsidRPr="00186777" w:rsidRDefault="00002F6A" w:rsidP="003A02C7">
      <w:pPr>
        <w:pStyle w:val="SingleTxt"/>
        <w:spacing w:line="220" w:lineRule="exact"/>
        <w:ind w:left="2218" w:hanging="868"/>
        <w:rPr>
          <w:lang w:val="es-ES_tradnl"/>
        </w:rPr>
      </w:pPr>
      <w:r w:rsidRPr="00186777">
        <w:rPr>
          <w:lang w:val="es-ES_tradnl"/>
        </w:rPr>
        <w:tab/>
      </w:r>
      <w:r w:rsidR="00910F7E" w:rsidRPr="00186777">
        <w:rPr>
          <w:lang w:val="es-ES_tradnl"/>
        </w:rPr>
        <w:t>a)</w:t>
      </w:r>
      <w:r w:rsidR="00910F7E" w:rsidRPr="00186777">
        <w:rPr>
          <w:lang w:val="es-ES_tradnl"/>
        </w:rPr>
        <w:tab/>
        <w:t>39º período de sesiones del Grupo de Trabajo sobre las Comunicaciones Presentadas en virtud del Protocolo Facultativo: 18 a 20 de octubre de 2017;</w:t>
      </w:r>
    </w:p>
    <w:p w14:paraId="6B2C2B90" w14:textId="57E0649B" w:rsidR="00910F7E" w:rsidRPr="00186777" w:rsidRDefault="00002F6A" w:rsidP="003A02C7">
      <w:pPr>
        <w:pStyle w:val="SingleTxt"/>
        <w:spacing w:line="220" w:lineRule="exact"/>
        <w:ind w:left="2218" w:hanging="868"/>
        <w:rPr>
          <w:lang w:val="es-ES_tradnl"/>
        </w:rPr>
      </w:pPr>
      <w:r w:rsidRPr="00186777">
        <w:rPr>
          <w:lang w:val="es-ES_tradnl"/>
        </w:rPr>
        <w:tab/>
      </w:r>
      <w:r w:rsidR="00910F7E" w:rsidRPr="00186777">
        <w:rPr>
          <w:lang w:val="es-ES_tradnl"/>
        </w:rPr>
        <w:t>b)</w:t>
      </w:r>
      <w:r w:rsidR="00910F7E" w:rsidRPr="00186777">
        <w:rPr>
          <w:lang w:val="es-ES_tradnl"/>
        </w:rPr>
        <w:tab/>
        <w:t>Octavo período de sesiones del Grupo de Trabajo sobre Investigaciones con arreglo al Protocolo Facultativo: 19 y 20 de octubre de 2017;</w:t>
      </w:r>
    </w:p>
    <w:p w14:paraId="1890122D" w14:textId="666CFE36" w:rsidR="00910F7E" w:rsidRPr="00186777" w:rsidRDefault="00002F6A" w:rsidP="003A02C7">
      <w:pPr>
        <w:pStyle w:val="SingleTxt"/>
        <w:spacing w:line="220" w:lineRule="exact"/>
        <w:ind w:left="2218" w:hanging="868"/>
        <w:rPr>
          <w:bCs/>
          <w:lang w:val="es-ES_tradnl"/>
        </w:rPr>
      </w:pPr>
      <w:r w:rsidRPr="00186777">
        <w:rPr>
          <w:bCs/>
          <w:lang w:val="es-ES_tradnl"/>
        </w:rPr>
        <w:tab/>
      </w:r>
      <w:r w:rsidR="00910F7E" w:rsidRPr="00186777">
        <w:rPr>
          <w:bCs/>
          <w:lang w:val="es-ES_tradnl"/>
        </w:rPr>
        <w:t>c)</w:t>
      </w:r>
      <w:r w:rsidR="00910F7E" w:rsidRPr="00186777">
        <w:rPr>
          <w:b/>
          <w:lang w:val="es-ES_tradnl"/>
        </w:rPr>
        <w:tab/>
      </w:r>
      <w:r w:rsidR="00910F7E" w:rsidRPr="00186777">
        <w:rPr>
          <w:bCs/>
          <w:lang w:val="es-ES_tradnl"/>
        </w:rPr>
        <w:t>68º período de sesiones: 23 de octubre a 17 de noviembre de 2017;</w:t>
      </w:r>
    </w:p>
    <w:p w14:paraId="6A15FA53" w14:textId="293F693C" w:rsidR="00910F7E" w:rsidRPr="00186777" w:rsidRDefault="00002F6A" w:rsidP="003A02C7">
      <w:pPr>
        <w:pStyle w:val="SingleTxt"/>
        <w:spacing w:line="220" w:lineRule="exact"/>
        <w:ind w:left="2218" w:hanging="868"/>
        <w:rPr>
          <w:bCs/>
          <w:lang w:val="es-ES_tradnl"/>
        </w:rPr>
      </w:pPr>
      <w:r w:rsidRPr="00186777">
        <w:rPr>
          <w:bCs/>
          <w:lang w:val="es-ES_tradnl"/>
        </w:rPr>
        <w:tab/>
      </w:r>
      <w:r w:rsidR="00910F7E" w:rsidRPr="00186777">
        <w:rPr>
          <w:bCs/>
          <w:lang w:val="es-ES_tradnl"/>
        </w:rPr>
        <w:t>d)</w:t>
      </w:r>
      <w:r w:rsidR="00910F7E" w:rsidRPr="00186777">
        <w:rPr>
          <w:bCs/>
          <w:lang w:val="es-ES_tradnl"/>
        </w:rPr>
        <w:tab/>
        <w:t>Grupo de trabajo anterior al 70º período de sesiones: 20 a 24 de noviembre de 2017;</w:t>
      </w:r>
    </w:p>
    <w:p w14:paraId="683121E9" w14:textId="77777777" w:rsidR="00910F7E" w:rsidRPr="00186777" w:rsidRDefault="00910F7E" w:rsidP="003A02C7">
      <w:pPr>
        <w:pStyle w:val="SingleTxt"/>
        <w:spacing w:line="220" w:lineRule="exact"/>
        <w:rPr>
          <w:lang w:val="es-ES_tradnl"/>
        </w:rPr>
      </w:pPr>
      <w:r w:rsidRPr="00186777">
        <w:rPr>
          <w:lang w:val="es-ES_tradnl"/>
        </w:rPr>
        <w:tab/>
        <w:t>69º período de sesiones (Ginebra)</w:t>
      </w:r>
    </w:p>
    <w:p w14:paraId="3FEEC6BB" w14:textId="4146B1E9" w:rsidR="00910F7E" w:rsidRPr="00186777" w:rsidRDefault="00002F6A" w:rsidP="003A02C7">
      <w:pPr>
        <w:pStyle w:val="SingleTxt"/>
        <w:spacing w:line="220" w:lineRule="exact"/>
        <w:ind w:left="2218" w:hanging="868"/>
        <w:rPr>
          <w:lang w:val="es-ES_tradnl"/>
        </w:rPr>
      </w:pPr>
      <w:r w:rsidRPr="00186777">
        <w:rPr>
          <w:lang w:val="es-ES_tradnl"/>
        </w:rPr>
        <w:tab/>
      </w:r>
      <w:r w:rsidR="00910F7E" w:rsidRPr="00186777">
        <w:rPr>
          <w:lang w:val="es-ES_tradnl"/>
        </w:rPr>
        <w:t>e)</w:t>
      </w:r>
      <w:r w:rsidR="00910F7E" w:rsidRPr="00186777">
        <w:rPr>
          <w:lang w:val="es-ES_tradnl"/>
        </w:rPr>
        <w:tab/>
        <w:t>40º período de sesiones del Grupo de Trabajo sobre las Comunicaciones Presentadas en virtud del Protocolo Facultativo: 13 a 16 de febrero de 2018;</w:t>
      </w:r>
    </w:p>
    <w:p w14:paraId="464ABAAA" w14:textId="3A4D5C22" w:rsidR="00910F7E" w:rsidRPr="00186777" w:rsidRDefault="00002F6A" w:rsidP="003A02C7">
      <w:pPr>
        <w:pStyle w:val="SingleTxt"/>
        <w:spacing w:line="220" w:lineRule="exact"/>
        <w:ind w:left="2218" w:hanging="868"/>
        <w:rPr>
          <w:lang w:val="es-ES_tradnl"/>
        </w:rPr>
      </w:pPr>
      <w:r w:rsidRPr="00186777">
        <w:rPr>
          <w:lang w:val="es-ES_tradnl"/>
        </w:rPr>
        <w:tab/>
      </w:r>
      <w:r w:rsidR="00910F7E" w:rsidRPr="00186777">
        <w:rPr>
          <w:lang w:val="es-ES_tradnl"/>
        </w:rPr>
        <w:t>f)</w:t>
      </w:r>
      <w:r w:rsidR="00910F7E" w:rsidRPr="00186777">
        <w:rPr>
          <w:lang w:val="es-ES_tradnl"/>
        </w:rPr>
        <w:tab/>
        <w:t>Noveno período de sesiones del Grupo de Trabajo sobre las Investigaciones con arreglo al Protocolo Facultativo: 15 y 16 de febrero de 2018;</w:t>
      </w:r>
    </w:p>
    <w:p w14:paraId="3BE7F795" w14:textId="36BEAC7C" w:rsidR="00910F7E" w:rsidRPr="00186777" w:rsidRDefault="00002F6A" w:rsidP="003A02C7">
      <w:pPr>
        <w:pStyle w:val="SingleTxt"/>
        <w:spacing w:line="220" w:lineRule="exact"/>
        <w:ind w:left="2218" w:hanging="868"/>
        <w:rPr>
          <w:lang w:val="es-ES_tradnl"/>
        </w:rPr>
      </w:pPr>
      <w:r w:rsidRPr="00186777">
        <w:rPr>
          <w:lang w:val="es-ES_tradnl"/>
        </w:rPr>
        <w:tab/>
      </w:r>
      <w:r w:rsidR="00910F7E" w:rsidRPr="00186777">
        <w:rPr>
          <w:lang w:val="es-ES_tradnl"/>
        </w:rPr>
        <w:t>g)</w:t>
      </w:r>
      <w:r w:rsidR="00910F7E" w:rsidRPr="00186777">
        <w:rPr>
          <w:lang w:val="es-ES_tradnl"/>
        </w:rPr>
        <w:tab/>
        <w:t>69º período de sesiones: 19 de febrero a 9 de marzo de 2018;</w:t>
      </w:r>
    </w:p>
    <w:p w14:paraId="4D11D137" w14:textId="4EC4DD85" w:rsidR="00910F7E" w:rsidRPr="00186777" w:rsidRDefault="00002F6A" w:rsidP="003A02C7">
      <w:pPr>
        <w:pStyle w:val="SingleTxt"/>
        <w:spacing w:line="220" w:lineRule="exact"/>
        <w:ind w:left="2218" w:hanging="868"/>
        <w:rPr>
          <w:lang w:val="es-ES_tradnl"/>
        </w:rPr>
      </w:pPr>
      <w:r w:rsidRPr="00186777">
        <w:rPr>
          <w:lang w:val="es-ES_tradnl"/>
        </w:rPr>
        <w:tab/>
      </w:r>
      <w:r w:rsidR="00910F7E" w:rsidRPr="00186777">
        <w:rPr>
          <w:lang w:val="es-ES_tradnl"/>
        </w:rPr>
        <w:t>h)</w:t>
      </w:r>
      <w:r w:rsidR="00910F7E" w:rsidRPr="00186777">
        <w:rPr>
          <w:lang w:val="es-ES_tradnl"/>
        </w:rPr>
        <w:tab/>
        <w:t>Grupo de trabajo anterior al 71</w:t>
      </w:r>
      <w:r w:rsidR="00E450C3" w:rsidRPr="00054806">
        <w:rPr>
          <w:vertAlign w:val="superscript"/>
          <w:lang w:val="es-ES_tradnl"/>
        </w:rPr>
        <w:t>er</w:t>
      </w:r>
      <w:r w:rsidR="00910F7E" w:rsidRPr="00186777">
        <w:rPr>
          <w:lang w:val="es-ES_tradnl"/>
        </w:rPr>
        <w:t xml:space="preserve"> período de sesiones: 12 a 16 de marzo de 2018.</w:t>
      </w:r>
    </w:p>
    <w:p w14:paraId="142FCE57" w14:textId="0F867F42" w:rsidR="008B3FE9" w:rsidRPr="00186777" w:rsidRDefault="008B3FE9" w:rsidP="008B3FE9">
      <w:pPr>
        <w:pStyle w:val="SingleTxt"/>
        <w:spacing w:after="0" w:line="120" w:lineRule="exact"/>
        <w:rPr>
          <w:sz w:val="10"/>
          <w:lang w:val="es-ES_tradnl"/>
        </w:rPr>
      </w:pPr>
    </w:p>
    <w:p w14:paraId="1DD971C5" w14:textId="43CB436D" w:rsidR="004D1DDB" w:rsidRPr="00186777" w:rsidRDefault="008B3FE9" w:rsidP="008B3F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r>
      <w:r w:rsidR="00910F7E" w:rsidRPr="00186777">
        <w:rPr>
          <w:lang w:val="es-ES_tradnl"/>
        </w:rPr>
        <w:t>Informes que se examinarán en futuros períodos de sesiones</w:t>
      </w:r>
    </w:p>
    <w:p w14:paraId="67E68250" w14:textId="6E5066C0" w:rsidR="008B3FE9" w:rsidRPr="00186777" w:rsidRDefault="008B3FE9" w:rsidP="008B3FE9">
      <w:pPr>
        <w:pStyle w:val="SingleTxt"/>
        <w:spacing w:after="0" w:line="120" w:lineRule="exact"/>
        <w:rPr>
          <w:sz w:val="10"/>
          <w:lang w:val="es-ES_tradnl"/>
        </w:rPr>
      </w:pPr>
    </w:p>
    <w:p w14:paraId="3187C2FA" w14:textId="77777777" w:rsidR="008B3FE9" w:rsidRPr="00186777" w:rsidRDefault="008B3FE9" w:rsidP="00113F7A">
      <w:pPr>
        <w:pStyle w:val="SingleTxt"/>
        <w:numPr>
          <w:ilvl w:val="0"/>
          <w:numId w:val="5"/>
        </w:numPr>
        <w:tabs>
          <w:tab w:val="num" w:pos="2804"/>
        </w:tabs>
        <w:ind w:left="1267"/>
        <w:rPr>
          <w:lang w:val="es-ES_tradnl"/>
        </w:rPr>
      </w:pPr>
      <w:r w:rsidRPr="00186777">
        <w:rPr>
          <w:lang w:val="es-ES_tradnl"/>
        </w:rPr>
        <w:t>El Comité confirmó que en sus períodos de sesiones 68º y 69º examinaría los informes de los siguientes Estados partes:</w:t>
      </w:r>
    </w:p>
    <w:p w14:paraId="404FC81D" w14:textId="65DB4CD0" w:rsidR="008B3FE9" w:rsidRPr="00186777" w:rsidRDefault="003A02C7" w:rsidP="008B3FE9">
      <w:pPr>
        <w:pStyle w:val="SingleTxt"/>
        <w:rPr>
          <w:lang w:val="es-ES_tradnl"/>
        </w:rPr>
      </w:pPr>
      <w:r w:rsidRPr="00186777">
        <w:rPr>
          <w:lang w:val="es-ES_tradnl"/>
        </w:rPr>
        <w:tab/>
      </w:r>
      <w:r w:rsidR="008B3FE9" w:rsidRPr="00186777">
        <w:rPr>
          <w:lang w:val="es-ES_tradnl"/>
        </w:rPr>
        <w:t>68º período de sesiones</w:t>
      </w:r>
    </w:p>
    <w:p w14:paraId="3BB6A743" w14:textId="77777777" w:rsidR="00574BF4" w:rsidRPr="00186777" w:rsidRDefault="00574BF4" w:rsidP="003A02C7">
      <w:pPr>
        <w:pStyle w:val="SingleTxt"/>
        <w:spacing w:after="0"/>
        <w:rPr>
          <w:lang w:val="es-ES_tradnl"/>
        </w:rPr>
      </w:pPr>
      <w:r w:rsidRPr="00186777">
        <w:rPr>
          <w:lang w:val="es-ES_tradnl"/>
        </w:rPr>
        <w:tab/>
        <w:t>Burkina Faso</w:t>
      </w:r>
    </w:p>
    <w:p w14:paraId="693B8EBA" w14:textId="77777777" w:rsidR="00574BF4" w:rsidRPr="00186777" w:rsidRDefault="00574BF4" w:rsidP="003A02C7">
      <w:pPr>
        <w:pStyle w:val="SingleTxt"/>
        <w:spacing w:after="0"/>
        <w:rPr>
          <w:lang w:val="es-ES_tradnl"/>
        </w:rPr>
      </w:pPr>
      <w:r w:rsidRPr="00186777">
        <w:rPr>
          <w:lang w:val="es-ES_tradnl"/>
        </w:rPr>
        <w:tab/>
        <w:t>Guatemala</w:t>
      </w:r>
    </w:p>
    <w:p w14:paraId="2CDF6A29" w14:textId="77777777" w:rsidR="00574BF4" w:rsidRPr="00186777" w:rsidRDefault="00574BF4" w:rsidP="003A02C7">
      <w:pPr>
        <w:pStyle w:val="SingleTxt"/>
        <w:spacing w:after="0"/>
        <w:rPr>
          <w:lang w:val="es-ES_tradnl"/>
        </w:rPr>
      </w:pPr>
      <w:r w:rsidRPr="00186777">
        <w:rPr>
          <w:lang w:val="es-ES_tradnl"/>
        </w:rPr>
        <w:tab/>
        <w:t>Israel (conforme al procedimiento simplificado de presentación de informes)</w:t>
      </w:r>
    </w:p>
    <w:p w14:paraId="11F872A6" w14:textId="77777777" w:rsidR="00574BF4" w:rsidRPr="00186777" w:rsidRDefault="00574BF4" w:rsidP="003A02C7">
      <w:pPr>
        <w:pStyle w:val="SingleTxt"/>
        <w:spacing w:after="0"/>
        <w:rPr>
          <w:lang w:val="es-ES_tradnl"/>
        </w:rPr>
      </w:pPr>
      <w:r w:rsidRPr="00186777">
        <w:rPr>
          <w:lang w:val="es-ES_tradnl"/>
        </w:rPr>
        <w:tab/>
        <w:t>Kenya</w:t>
      </w:r>
    </w:p>
    <w:p w14:paraId="03531649" w14:textId="77777777" w:rsidR="00574BF4" w:rsidRPr="00186777" w:rsidRDefault="00574BF4" w:rsidP="003A02C7">
      <w:pPr>
        <w:pStyle w:val="SingleTxt"/>
        <w:spacing w:after="0"/>
        <w:rPr>
          <w:lang w:val="es-ES_tradnl"/>
        </w:rPr>
      </w:pPr>
      <w:r w:rsidRPr="00186777">
        <w:rPr>
          <w:lang w:val="es-ES_tradnl"/>
        </w:rPr>
        <w:tab/>
        <w:t>Kuwait</w:t>
      </w:r>
    </w:p>
    <w:p w14:paraId="258AA90A" w14:textId="77777777" w:rsidR="00574BF4" w:rsidRPr="00186777" w:rsidRDefault="00574BF4" w:rsidP="003A02C7">
      <w:pPr>
        <w:pStyle w:val="SingleTxt"/>
        <w:spacing w:after="0"/>
        <w:rPr>
          <w:lang w:val="es-ES_tradnl"/>
        </w:rPr>
      </w:pPr>
      <w:r w:rsidRPr="00186777">
        <w:rPr>
          <w:lang w:val="es-ES_tradnl"/>
        </w:rPr>
        <w:tab/>
        <w:t>Mónaco</w:t>
      </w:r>
    </w:p>
    <w:p w14:paraId="5383B927" w14:textId="77777777" w:rsidR="00574BF4" w:rsidRPr="00186777" w:rsidRDefault="00574BF4" w:rsidP="003A02C7">
      <w:pPr>
        <w:pStyle w:val="SingleTxt"/>
        <w:spacing w:after="0"/>
        <w:rPr>
          <w:lang w:val="es-ES_tradnl"/>
        </w:rPr>
      </w:pPr>
      <w:r w:rsidRPr="00186777">
        <w:rPr>
          <w:lang w:val="es-ES_tradnl"/>
        </w:rPr>
        <w:tab/>
        <w:t>Nauru</w:t>
      </w:r>
    </w:p>
    <w:p w14:paraId="7F62F9CF" w14:textId="77777777" w:rsidR="00574BF4" w:rsidRPr="00186777" w:rsidRDefault="00574BF4" w:rsidP="003A02C7">
      <w:pPr>
        <w:pStyle w:val="SingleTxt"/>
        <w:spacing w:after="0"/>
        <w:rPr>
          <w:lang w:val="es-ES_tradnl"/>
        </w:rPr>
      </w:pPr>
      <w:r w:rsidRPr="00186777">
        <w:rPr>
          <w:lang w:val="es-ES_tradnl"/>
        </w:rPr>
        <w:tab/>
        <w:t>Noruega</w:t>
      </w:r>
    </w:p>
    <w:p w14:paraId="131688F1" w14:textId="77777777" w:rsidR="00574BF4" w:rsidRPr="00186777" w:rsidRDefault="00574BF4" w:rsidP="003A02C7">
      <w:pPr>
        <w:pStyle w:val="SingleTxt"/>
        <w:spacing w:after="0"/>
        <w:rPr>
          <w:lang w:val="es-ES_tradnl"/>
        </w:rPr>
      </w:pPr>
      <w:r w:rsidRPr="00186777">
        <w:rPr>
          <w:lang w:val="es-ES_tradnl"/>
        </w:rPr>
        <w:tab/>
        <w:t>Omán</w:t>
      </w:r>
    </w:p>
    <w:p w14:paraId="62903A13" w14:textId="77777777" w:rsidR="00574BF4" w:rsidRPr="00186777" w:rsidRDefault="00574BF4" w:rsidP="003A02C7">
      <w:pPr>
        <w:pStyle w:val="SingleTxt"/>
        <w:spacing w:after="0"/>
        <w:rPr>
          <w:lang w:val="es-ES_tradnl"/>
        </w:rPr>
      </w:pPr>
      <w:r w:rsidRPr="00186777">
        <w:rPr>
          <w:lang w:val="es-ES_tradnl"/>
        </w:rPr>
        <w:tab/>
        <w:t>Paraguay</w:t>
      </w:r>
    </w:p>
    <w:p w14:paraId="5210D167" w14:textId="77777777" w:rsidR="00574BF4" w:rsidRPr="00186777" w:rsidRDefault="00574BF4" w:rsidP="003A02C7">
      <w:pPr>
        <w:pStyle w:val="SingleTxt"/>
        <w:spacing w:after="0"/>
        <w:rPr>
          <w:lang w:val="es-ES_tradnl"/>
        </w:rPr>
      </w:pPr>
      <w:r w:rsidRPr="00186777">
        <w:rPr>
          <w:lang w:val="es-ES_tradnl"/>
        </w:rPr>
        <w:tab/>
        <w:t>República Popular Democrática de Corea</w:t>
      </w:r>
    </w:p>
    <w:p w14:paraId="6A3E48D6" w14:textId="77777777" w:rsidR="00574BF4" w:rsidRPr="00186777" w:rsidRDefault="00574BF4" w:rsidP="003A02C7">
      <w:pPr>
        <w:pStyle w:val="SingleTxt"/>
        <w:rPr>
          <w:lang w:val="es-ES_tradnl"/>
        </w:rPr>
      </w:pPr>
      <w:r w:rsidRPr="00186777">
        <w:rPr>
          <w:lang w:val="es-ES_tradnl"/>
        </w:rPr>
        <w:tab/>
        <w:t>Singapur</w:t>
      </w:r>
    </w:p>
    <w:p w14:paraId="2B34D716" w14:textId="02B19C7F" w:rsidR="008B3FE9" w:rsidRPr="00186777" w:rsidRDefault="003A02C7" w:rsidP="003A02C7">
      <w:pPr>
        <w:pStyle w:val="SingleTxt"/>
        <w:rPr>
          <w:lang w:val="es-ES_tradnl"/>
        </w:rPr>
      </w:pPr>
      <w:r w:rsidRPr="00186777">
        <w:rPr>
          <w:lang w:val="es-ES_tradnl"/>
        </w:rPr>
        <w:lastRenderedPageBreak/>
        <w:tab/>
      </w:r>
      <w:r w:rsidR="008B3FE9" w:rsidRPr="00186777">
        <w:rPr>
          <w:lang w:val="es-ES_tradnl"/>
        </w:rPr>
        <w:t>69º período de sesiones</w:t>
      </w:r>
    </w:p>
    <w:p w14:paraId="7B2FCFFF" w14:textId="77777777" w:rsidR="00574BF4" w:rsidRPr="00186777" w:rsidRDefault="00574BF4" w:rsidP="003A02C7">
      <w:pPr>
        <w:pStyle w:val="SingleTxt"/>
        <w:spacing w:after="0"/>
        <w:rPr>
          <w:lang w:val="es-ES_tradnl"/>
        </w:rPr>
      </w:pPr>
      <w:r w:rsidRPr="00186777">
        <w:rPr>
          <w:lang w:val="es-ES_tradnl"/>
        </w:rPr>
        <w:tab/>
        <w:t>Arabia Saudita</w:t>
      </w:r>
    </w:p>
    <w:p w14:paraId="744B662A" w14:textId="77777777" w:rsidR="00574BF4" w:rsidRPr="00186777" w:rsidRDefault="00574BF4" w:rsidP="003A02C7">
      <w:pPr>
        <w:pStyle w:val="SingleTxt"/>
        <w:spacing w:after="0"/>
        <w:rPr>
          <w:lang w:val="es-ES_tradnl"/>
        </w:rPr>
      </w:pPr>
      <w:r w:rsidRPr="00186777">
        <w:rPr>
          <w:lang w:val="es-ES_tradnl"/>
        </w:rPr>
        <w:tab/>
        <w:t>Chile</w:t>
      </w:r>
    </w:p>
    <w:p w14:paraId="0B9B5545" w14:textId="77777777" w:rsidR="00574BF4" w:rsidRPr="00186777" w:rsidRDefault="00574BF4" w:rsidP="003A02C7">
      <w:pPr>
        <w:pStyle w:val="SingleTxt"/>
        <w:spacing w:after="0"/>
        <w:rPr>
          <w:lang w:val="es-ES_tradnl"/>
        </w:rPr>
      </w:pPr>
      <w:r w:rsidRPr="00186777">
        <w:rPr>
          <w:lang w:val="es-ES_tradnl"/>
        </w:rPr>
        <w:tab/>
        <w:t>Fiji</w:t>
      </w:r>
    </w:p>
    <w:p w14:paraId="6122DCDB" w14:textId="77777777" w:rsidR="00574BF4" w:rsidRPr="00186777" w:rsidRDefault="00574BF4" w:rsidP="003A02C7">
      <w:pPr>
        <w:pStyle w:val="SingleTxt"/>
        <w:spacing w:after="0"/>
        <w:rPr>
          <w:lang w:val="es-ES_tradnl"/>
        </w:rPr>
      </w:pPr>
      <w:r w:rsidRPr="00186777">
        <w:rPr>
          <w:lang w:val="es-ES_tradnl"/>
        </w:rPr>
        <w:tab/>
        <w:t>Islas Marshall</w:t>
      </w:r>
    </w:p>
    <w:p w14:paraId="117F9E85" w14:textId="77777777" w:rsidR="00574BF4" w:rsidRPr="00186777" w:rsidRDefault="00574BF4" w:rsidP="003A02C7">
      <w:pPr>
        <w:pStyle w:val="SingleTxt"/>
        <w:spacing w:after="0"/>
        <w:ind w:left="1742" w:hanging="475"/>
        <w:rPr>
          <w:lang w:val="es-ES_tradnl"/>
        </w:rPr>
      </w:pPr>
      <w:r w:rsidRPr="00186777">
        <w:rPr>
          <w:lang w:val="es-ES_tradnl"/>
        </w:rPr>
        <w:tab/>
        <w:t>Luxemburgo (conforme al procedimiento simplificado de presentación de informes)</w:t>
      </w:r>
    </w:p>
    <w:p w14:paraId="67F10970" w14:textId="77777777" w:rsidR="00574BF4" w:rsidRPr="00186777" w:rsidRDefault="00574BF4" w:rsidP="003A02C7">
      <w:pPr>
        <w:pStyle w:val="SingleTxt"/>
        <w:spacing w:after="0"/>
        <w:rPr>
          <w:lang w:val="es-ES_tradnl"/>
        </w:rPr>
      </w:pPr>
      <w:r w:rsidRPr="00186777">
        <w:rPr>
          <w:lang w:val="es-ES_tradnl"/>
        </w:rPr>
        <w:tab/>
        <w:t>Malasia</w:t>
      </w:r>
    </w:p>
    <w:p w14:paraId="25040593" w14:textId="77777777" w:rsidR="00574BF4" w:rsidRPr="00186777" w:rsidRDefault="00574BF4" w:rsidP="003A02C7">
      <w:pPr>
        <w:pStyle w:val="SingleTxt"/>
        <w:spacing w:after="0"/>
        <w:rPr>
          <w:lang w:val="es-ES_tradnl"/>
        </w:rPr>
      </w:pPr>
      <w:r w:rsidRPr="00186777">
        <w:rPr>
          <w:lang w:val="es-ES_tradnl"/>
        </w:rPr>
        <w:tab/>
        <w:t>República de Corea</w:t>
      </w:r>
    </w:p>
    <w:p w14:paraId="2656A3DB" w14:textId="77777777" w:rsidR="00574BF4" w:rsidRPr="00186777" w:rsidRDefault="00574BF4" w:rsidP="003A02C7">
      <w:pPr>
        <w:pStyle w:val="SingleTxt"/>
        <w:spacing w:after="0"/>
        <w:rPr>
          <w:lang w:val="es-ES_tradnl"/>
        </w:rPr>
      </w:pPr>
      <w:r w:rsidRPr="00186777">
        <w:rPr>
          <w:lang w:val="es-ES_tradnl"/>
        </w:rPr>
        <w:tab/>
        <w:t>Suriname</w:t>
      </w:r>
    </w:p>
    <w:p w14:paraId="3F1DBA82" w14:textId="75AD3F4F" w:rsidR="003A02C7" w:rsidRPr="00186777" w:rsidRDefault="003A02C7">
      <w:pPr>
        <w:suppressAutoHyphens w:val="0"/>
        <w:spacing w:after="200" w:line="276" w:lineRule="auto"/>
        <w:rPr>
          <w:kern w:val="14"/>
          <w:lang w:val="es-ES_tradnl"/>
        </w:rPr>
      </w:pPr>
      <w:r w:rsidRPr="00186777">
        <w:rPr>
          <w:lang w:val="es-ES_tradnl"/>
        </w:rPr>
        <w:br w:type="page"/>
      </w:r>
    </w:p>
    <w:p w14:paraId="40FE53D1" w14:textId="77777777" w:rsidR="003A02C7" w:rsidRPr="00186777" w:rsidRDefault="003A02C7" w:rsidP="003A02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VII</w:t>
      </w:r>
    </w:p>
    <w:p w14:paraId="56DC4E01" w14:textId="7A44CF5D" w:rsidR="003A02C7" w:rsidRPr="00186777" w:rsidRDefault="003A02C7" w:rsidP="003A02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Información sobre la aplicación del artículo 21 de la Convención</w:t>
      </w:r>
    </w:p>
    <w:p w14:paraId="3CD42EAD" w14:textId="50C37E39" w:rsidR="003A02C7" w:rsidRPr="00186777" w:rsidRDefault="003A02C7" w:rsidP="003A02C7">
      <w:pPr>
        <w:pStyle w:val="SingleTxt"/>
        <w:spacing w:after="0" w:line="120" w:lineRule="exact"/>
        <w:rPr>
          <w:sz w:val="10"/>
          <w:lang w:val="es-ES_tradnl"/>
        </w:rPr>
      </w:pPr>
    </w:p>
    <w:p w14:paraId="76CE40CC" w14:textId="4E3B6DF7" w:rsidR="003A02C7" w:rsidRPr="00186777" w:rsidRDefault="003A02C7" w:rsidP="003A02C7">
      <w:pPr>
        <w:pStyle w:val="SingleTxt"/>
        <w:spacing w:after="0" w:line="120" w:lineRule="exact"/>
        <w:rPr>
          <w:sz w:val="10"/>
          <w:lang w:val="es-ES_tradnl"/>
        </w:rPr>
      </w:pPr>
    </w:p>
    <w:p w14:paraId="77E240EE" w14:textId="37262767" w:rsidR="003A02C7" w:rsidRPr="00186777" w:rsidRDefault="003A02C7" w:rsidP="003A0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las dimensiones de género de la reducción del riesgo de desastres en el contexto del cambio climático</w:t>
      </w:r>
    </w:p>
    <w:p w14:paraId="4DC260C6" w14:textId="6579AA38" w:rsidR="003A02C7" w:rsidRPr="00186777" w:rsidRDefault="003A02C7" w:rsidP="003A02C7">
      <w:pPr>
        <w:pStyle w:val="SingleTxt"/>
        <w:spacing w:after="0" w:line="120" w:lineRule="exact"/>
        <w:rPr>
          <w:sz w:val="10"/>
          <w:lang w:val="es-ES_tradnl"/>
        </w:rPr>
      </w:pPr>
    </w:p>
    <w:p w14:paraId="3DE1D9A8" w14:textId="79E33CA5" w:rsidR="003A02C7" w:rsidRPr="00186777" w:rsidRDefault="003A02C7" w:rsidP="00113F7A">
      <w:pPr>
        <w:pStyle w:val="SingleTxt"/>
        <w:numPr>
          <w:ilvl w:val="0"/>
          <w:numId w:val="5"/>
        </w:numPr>
        <w:ind w:left="1267"/>
        <w:rPr>
          <w:lang w:val="es-ES_tradnl"/>
        </w:rPr>
      </w:pPr>
      <w:r w:rsidRPr="00186777">
        <w:rPr>
          <w:lang w:val="es-ES_tradnl"/>
        </w:rPr>
        <w:t>El grupo de trabajo se reunió durante el período de sesiones y examinó el texto revisado del proyecto de recomendación general, que se ha modificado para incorporar las observaciones formuladas por las partes interesadas entre los períodos de sesiones.</w:t>
      </w:r>
    </w:p>
    <w:p w14:paraId="68865FA5" w14:textId="77777777" w:rsidR="003A02C7" w:rsidRPr="00186777" w:rsidRDefault="003A02C7" w:rsidP="003A02C7">
      <w:pPr>
        <w:pStyle w:val="SingleTxt"/>
        <w:spacing w:after="0" w:line="120" w:lineRule="exact"/>
        <w:rPr>
          <w:sz w:val="10"/>
          <w:lang w:val="es-ES_tradnl"/>
        </w:rPr>
      </w:pPr>
    </w:p>
    <w:p w14:paraId="1C67CACA" w14:textId="1B88C1FA" w:rsidR="003A02C7" w:rsidRPr="00186777" w:rsidRDefault="003A02C7" w:rsidP="003A0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el derecho a la educación</w:t>
      </w:r>
    </w:p>
    <w:p w14:paraId="6FC1A5D9" w14:textId="77777777" w:rsidR="003A02C7" w:rsidRPr="00186777" w:rsidRDefault="003A02C7" w:rsidP="003A02C7">
      <w:pPr>
        <w:pStyle w:val="SingleTxt"/>
        <w:spacing w:after="0" w:line="120" w:lineRule="exact"/>
        <w:rPr>
          <w:sz w:val="10"/>
          <w:lang w:val="es-ES_tradnl"/>
        </w:rPr>
      </w:pPr>
    </w:p>
    <w:p w14:paraId="54DB692B" w14:textId="1A1BE8E2" w:rsidR="003A02C7" w:rsidRPr="00186777" w:rsidRDefault="003A02C7" w:rsidP="00113F7A">
      <w:pPr>
        <w:pStyle w:val="SingleTxt"/>
        <w:numPr>
          <w:ilvl w:val="0"/>
          <w:numId w:val="5"/>
        </w:numPr>
        <w:ind w:left="1267"/>
        <w:rPr>
          <w:lang w:val="es-ES_tradnl"/>
        </w:rPr>
      </w:pPr>
      <w:r w:rsidRPr="00186777">
        <w:rPr>
          <w:lang w:val="es-ES_tradnl"/>
        </w:rPr>
        <w:t xml:space="preserve">El grupo de trabajo se reunió durante el período de sesiones y debatió el proyecto de recomendación general. Se celebró una consulta oficiosa con Barbara Bailey, experta internacional en educación y exmiembro del Comité. </w:t>
      </w:r>
    </w:p>
    <w:p w14:paraId="005E82E6" w14:textId="315E1401" w:rsidR="003A02C7" w:rsidRPr="00186777" w:rsidRDefault="003A02C7" w:rsidP="00113F7A">
      <w:pPr>
        <w:pStyle w:val="SingleTxt"/>
        <w:numPr>
          <w:ilvl w:val="0"/>
          <w:numId w:val="5"/>
        </w:numPr>
        <w:ind w:left="1267"/>
        <w:rPr>
          <w:lang w:val="es-ES_tradnl"/>
        </w:rPr>
      </w:pPr>
      <w:r w:rsidRPr="00186777">
        <w:rPr>
          <w:lang w:val="es-ES_tradnl"/>
        </w:rPr>
        <w:t>El 21 de julio de 2017, el Comité concluyó su primera lectura del proyecto de recomendación general.</w:t>
      </w:r>
    </w:p>
    <w:p w14:paraId="6A814062" w14:textId="77777777" w:rsidR="003A02C7" w:rsidRPr="00186777" w:rsidRDefault="003A02C7" w:rsidP="003A02C7">
      <w:pPr>
        <w:pStyle w:val="SingleTxt"/>
        <w:spacing w:after="0" w:line="120" w:lineRule="exact"/>
        <w:rPr>
          <w:sz w:val="10"/>
          <w:lang w:val="es-ES_tradnl"/>
        </w:rPr>
      </w:pPr>
    </w:p>
    <w:p w14:paraId="44D050BA" w14:textId="675CB464" w:rsidR="003A02C7" w:rsidRPr="00186777" w:rsidRDefault="003A02C7" w:rsidP="003A0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Métodos de Trabajo</w:t>
      </w:r>
    </w:p>
    <w:p w14:paraId="04996F31" w14:textId="77777777" w:rsidR="003A02C7" w:rsidRPr="00186777" w:rsidRDefault="003A02C7" w:rsidP="003A02C7">
      <w:pPr>
        <w:pStyle w:val="SingleTxt"/>
        <w:spacing w:after="0" w:line="120" w:lineRule="exact"/>
        <w:rPr>
          <w:sz w:val="10"/>
          <w:lang w:val="es-ES_tradnl"/>
        </w:rPr>
      </w:pPr>
    </w:p>
    <w:p w14:paraId="06B5B8A1" w14:textId="418A2137" w:rsidR="003A02C7" w:rsidRPr="00186777" w:rsidRDefault="003A02C7" w:rsidP="00113F7A">
      <w:pPr>
        <w:pStyle w:val="SingleTxt"/>
        <w:numPr>
          <w:ilvl w:val="0"/>
          <w:numId w:val="5"/>
        </w:numPr>
        <w:ind w:left="1267"/>
        <w:rPr>
          <w:lang w:val="es-ES_tradnl"/>
        </w:rPr>
      </w:pPr>
      <w:r w:rsidRPr="00186777">
        <w:rPr>
          <w:lang w:val="es-ES_tradnl"/>
        </w:rPr>
        <w:t>El grupo de trabajo se reunió durante el período de sesiones y examinó y presentó al Comité proyectos de decisión sobre la cobertura de las cuestiones en sus observaciones finales, la composición de los equipos de tareas sobre los países, la designación de los relatores para los países y el período que deben abarcar los informes periódicos atrasados (véanse las decisiones 67/V a 67/VIII).</w:t>
      </w:r>
    </w:p>
    <w:p w14:paraId="5E07F0D5" w14:textId="77777777" w:rsidR="003A02C7" w:rsidRPr="00186777" w:rsidRDefault="003A02C7" w:rsidP="003A02C7">
      <w:pPr>
        <w:pStyle w:val="SingleTxt"/>
        <w:spacing w:after="0" w:line="120" w:lineRule="exact"/>
        <w:rPr>
          <w:b/>
          <w:sz w:val="10"/>
          <w:lang w:val="es-ES_tradnl"/>
        </w:rPr>
      </w:pPr>
    </w:p>
    <w:p w14:paraId="0478BE2D" w14:textId="50300A4C" w:rsidR="003A02C7" w:rsidRPr="00186777" w:rsidRDefault="003A02C7" w:rsidP="003A0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la Unión Interparlamentaria</w:t>
      </w:r>
    </w:p>
    <w:p w14:paraId="7FDC7306" w14:textId="77777777" w:rsidR="003A02C7" w:rsidRPr="00186777" w:rsidRDefault="003A02C7" w:rsidP="003A02C7">
      <w:pPr>
        <w:pStyle w:val="SingleTxt"/>
        <w:spacing w:after="0" w:line="120" w:lineRule="exact"/>
        <w:rPr>
          <w:sz w:val="10"/>
          <w:lang w:val="es-ES_tradnl"/>
        </w:rPr>
      </w:pPr>
    </w:p>
    <w:p w14:paraId="272474FA" w14:textId="5880D761" w:rsidR="003A02C7" w:rsidRPr="00186777" w:rsidRDefault="003A02C7" w:rsidP="00113F7A">
      <w:pPr>
        <w:pStyle w:val="SingleTxt"/>
        <w:numPr>
          <w:ilvl w:val="0"/>
          <w:numId w:val="5"/>
        </w:numPr>
        <w:ind w:left="1267"/>
        <w:rPr>
          <w:lang w:val="es-ES_tradnl"/>
        </w:rPr>
      </w:pPr>
      <w:r w:rsidRPr="00186777">
        <w:rPr>
          <w:lang w:val="es-ES_tradnl"/>
        </w:rPr>
        <w:t>El grupo de trabajo se reunió con un representante de la Unión Interparlamentaria (UIP), quien hizo una exposición informativa ante el grupo sobre las actividades de la UIP, su labor para combatir la violencia contra la mujer y sus actividades de promoción de la Convención y de las recomendaciones del Comité a nivel nacional y regional. El grupo de trabajo prosiguió su debate sobre las prioridades de cooperación con la UIP, en particular en lo que respecta a la celebración de una reunión conjunta en el próximo período de sesiones de la Asamblea de la Unión Interparlamentaria en Ginebra en marzo de 2018 y al precisamiento ulterior del párrafo estándar sobre los parlamentos en las observaciones finales del Comité.</w:t>
      </w:r>
    </w:p>
    <w:p w14:paraId="392C95E0" w14:textId="77777777" w:rsidR="003A02C7" w:rsidRPr="00186777" w:rsidRDefault="003A02C7" w:rsidP="003A02C7">
      <w:pPr>
        <w:pStyle w:val="SingleTxt"/>
        <w:spacing w:after="0" w:line="120" w:lineRule="exact"/>
        <w:rPr>
          <w:sz w:val="10"/>
          <w:lang w:val="es-ES_tradnl"/>
        </w:rPr>
      </w:pPr>
    </w:p>
    <w:p w14:paraId="3CA8703D" w14:textId="6758150E" w:rsidR="003A02C7" w:rsidRPr="00186777" w:rsidRDefault="003A02C7" w:rsidP="003A0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la Convención, ONU-Mujeres y los Objetivos de Desarrollo Sostenible</w:t>
      </w:r>
    </w:p>
    <w:p w14:paraId="281C7FDA" w14:textId="77777777" w:rsidR="003A02C7" w:rsidRPr="00186777" w:rsidRDefault="003A02C7" w:rsidP="003A02C7">
      <w:pPr>
        <w:pStyle w:val="SingleTxt"/>
        <w:spacing w:after="0" w:line="120" w:lineRule="exact"/>
        <w:rPr>
          <w:sz w:val="10"/>
          <w:lang w:val="es-ES_tradnl"/>
        </w:rPr>
      </w:pPr>
    </w:p>
    <w:p w14:paraId="24E6B0B3" w14:textId="18826065" w:rsidR="003A02C7" w:rsidRPr="00186777" w:rsidRDefault="003A02C7" w:rsidP="00113F7A">
      <w:pPr>
        <w:pStyle w:val="SingleTxt"/>
        <w:numPr>
          <w:ilvl w:val="0"/>
          <w:numId w:val="5"/>
        </w:numPr>
        <w:ind w:left="1267"/>
        <w:rPr>
          <w:lang w:val="es-ES_tradnl"/>
        </w:rPr>
      </w:pPr>
      <w:r w:rsidRPr="00186777">
        <w:rPr>
          <w:lang w:val="es-ES_tradnl"/>
        </w:rPr>
        <w:t>El grupo de trabajo se reunió con representantes del Banco Mundial, la OCDE, ONU-Mujeres y la FAO durante el período de sesiones para examinar la participación del Comité en el perfeccionamiento de los métodos de aplicación de los indicadores 5.1.1 y 5.a.2. de los Objetivos de Desarrollo Sostenible y de reunión de datos sobre esos indicadores.</w:t>
      </w:r>
    </w:p>
    <w:p w14:paraId="41158304" w14:textId="60962EF5" w:rsidR="003A02C7" w:rsidRPr="00186777" w:rsidRDefault="003A02C7" w:rsidP="00113F7A">
      <w:pPr>
        <w:pStyle w:val="SingleTxt"/>
        <w:numPr>
          <w:ilvl w:val="0"/>
          <w:numId w:val="5"/>
        </w:numPr>
        <w:ind w:left="1267"/>
        <w:rPr>
          <w:lang w:val="es-ES_tradnl"/>
        </w:rPr>
      </w:pPr>
      <w:r w:rsidRPr="00186777">
        <w:rPr>
          <w:lang w:val="es-ES_tradnl"/>
        </w:rPr>
        <w:t xml:space="preserve">El Comité convino en establecer un comité directivo con el Banco Mundial, la OCDE y ONU-Mujeres a fin de reforzar el intercambio de información sobre los progresos realizados en el perfeccionamiento de la metodología de aplicación del indicador 5.1.1 de los Objetivos de Desarrollo Sostenible y de reunión de datos sobre el mismo. Solicitó a los representantes del Banco Mundial y la OCDE que presentaran información específica sobre los países en el contexto del examen por el Comité de los informes de los Estados partes, en particular antes de la aprobación de la lista de </w:t>
      </w:r>
      <w:r w:rsidRPr="00186777">
        <w:rPr>
          <w:lang w:val="es-ES_tradnl"/>
        </w:rPr>
        <w:lastRenderedPageBreak/>
        <w:t>cuestiones y preguntas formuladas por el grupo de trabajo anterior al período de sesiones.</w:t>
      </w:r>
    </w:p>
    <w:p w14:paraId="71500EEF" w14:textId="7C944604" w:rsidR="003A02C7" w:rsidRPr="00186777" w:rsidRDefault="003A02C7" w:rsidP="00113F7A">
      <w:pPr>
        <w:pStyle w:val="SingleTxt"/>
        <w:numPr>
          <w:ilvl w:val="0"/>
          <w:numId w:val="5"/>
        </w:numPr>
        <w:ind w:left="1267"/>
        <w:rPr>
          <w:lang w:val="es-ES_tradnl"/>
        </w:rPr>
      </w:pPr>
      <w:r w:rsidRPr="00186777">
        <w:rPr>
          <w:lang w:val="es-ES_tradnl"/>
        </w:rPr>
        <w:t>El grupo de trabajo, en coordinación con el Grupo de Trabajo sobre los Métodos de Trabajo, también hizo aportaciones al mandato de un consultor contratado para revisar las directrices para la presentación de informes del Comité, con miras a aumentar su pertinencia a la luz de las actividades de reunión de datos para medir la consecución de las metas de los Objetivos de Desarrollo Sostenible.</w:t>
      </w:r>
    </w:p>
    <w:p w14:paraId="6944D74F" w14:textId="77777777" w:rsidR="003A02C7" w:rsidRPr="00186777" w:rsidRDefault="003A02C7" w:rsidP="003A02C7">
      <w:pPr>
        <w:pStyle w:val="SingleTxt"/>
        <w:spacing w:after="0" w:line="120" w:lineRule="exact"/>
        <w:rPr>
          <w:sz w:val="10"/>
          <w:lang w:val="es-ES_tradnl"/>
        </w:rPr>
      </w:pPr>
    </w:p>
    <w:p w14:paraId="2759E8E7" w14:textId="6BF9CD46" w:rsidR="003A02C7" w:rsidRPr="00186777" w:rsidRDefault="003A02C7" w:rsidP="003A0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la violencia por razón de género contra la mujer</w:t>
      </w:r>
    </w:p>
    <w:p w14:paraId="55D390A3" w14:textId="77777777" w:rsidR="003A02C7" w:rsidRPr="00186777" w:rsidRDefault="003A02C7" w:rsidP="003A02C7">
      <w:pPr>
        <w:pStyle w:val="SingleTxt"/>
        <w:spacing w:after="0" w:line="120" w:lineRule="exact"/>
        <w:rPr>
          <w:sz w:val="10"/>
          <w:lang w:val="es-ES_tradnl"/>
        </w:rPr>
      </w:pPr>
    </w:p>
    <w:p w14:paraId="3F48A5FB" w14:textId="204C8A0A" w:rsidR="003A02C7" w:rsidRPr="00186777" w:rsidRDefault="003A02C7" w:rsidP="00113F7A">
      <w:pPr>
        <w:pStyle w:val="SingleTxt"/>
        <w:numPr>
          <w:ilvl w:val="0"/>
          <w:numId w:val="5"/>
        </w:numPr>
        <w:ind w:left="1267"/>
        <w:rPr>
          <w:lang w:val="es-ES_tradnl"/>
        </w:rPr>
      </w:pPr>
      <w:r w:rsidRPr="00186777">
        <w:rPr>
          <w:lang w:val="es-ES_tradnl"/>
        </w:rPr>
        <w:t xml:space="preserve">El grupo de trabajo se reunió durante el período de sesiones. </w:t>
      </w:r>
    </w:p>
    <w:p w14:paraId="611473A3" w14:textId="67600FFE" w:rsidR="003A02C7" w:rsidRPr="00186777" w:rsidRDefault="003A02C7" w:rsidP="00113F7A">
      <w:pPr>
        <w:pStyle w:val="SingleTxt"/>
        <w:numPr>
          <w:ilvl w:val="0"/>
          <w:numId w:val="5"/>
        </w:numPr>
        <w:ind w:left="1267"/>
        <w:rPr>
          <w:lang w:val="es-ES_tradnl"/>
        </w:rPr>
      </w:pPr>
      <w:r w:rsidRPr="00186777">
        <w:rPr>
          <w:lang w:val="es-ES_tradnl"/>
        </w:rPr>
        <w:t>El 18 de julio de 2017, el Comité aprobó la recomendación general núm. 35 (2017) sobre la violencia por razón de género contra la mujer, por la que se actualiza la recomendación general núm. 19 (</w:t>
      </w:r>
      <w:hyperlink r:id="rId48" w:history="1">
        <w:r w:rsidRPr="00794DB5">
          <w:rPr>
            <w:rStyle w:val="Hyperlink"/>
            <w:lang w:val="es-ES_tradnl"/>
          </w:rPr>
          <w:t>CEDAW/C/GC/35</w:t>
        </w:r>
      </w:hyperlink>
      <w:r w:rsidRPr="00186777">
        <w:rPr>
          <w:lang w:val="es-ES_tradnl"/>
        </w:rPr>
        <w:t xml:space="preserve">), por consenso </w:t>
      </w:r>
      <w:r w:rsidRPr="00186777">
        <w:rPr>
          <w:vertAlign w:val="superscript"/>
          <w:lang w:val="es-ES_tradnl"/>
        </w:rPr>
        <w:footnoteReference w:id="1"/>
      </w:r>
      <w:r w:rsidRPr="00186777">
        <w:rPr>
          <w:lang w:val="es-ES_tradnl"/>
        </w:rPr>
        <w:t>, de conformidad con el artículo 31 de su reglamento. La Relatora Especial sobre la violencia contra la mujer, sus causas y consecuencias, estuvo presente en la reunión.</w:t>
      </w:r>
    </w:p>
    <w:p w14:paraId="5E12FCF8" w14:textId="77777777" w:rsidR="003A02C7" w:rsidRPr="00186777" w:rsidRDefault="003A02C7" w:rsidP="003A02C7">
      <w:pPr>
        <w:pStyle w:val="SingleTxt"/>
        <w:spacing w:after="0" w:line="120" w:lineRule="exact"/>
        <w:rPr>
          <w:b/>
          <w:bCs/>
          <w:sz w:val="10"/>
          <w:lang w:val="es-ES_tradnl"/>
        </w:rPr>
      </w:pPr>
    </w:p>
    <w:p w14:paraId="68A50BCE" w14:textId="002A3D3D" w:rsidR="003A02C7" w:rsidRPr="00186777" w:rsidRDefault="003A02C7" w:rsidP="003A0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rPr>
          <w:lang w:val="es-ES_tradnl"/>
        </w:rPr>
      </w:pPr>
      <w:r w:rsidRPr="00186777">
        <w:rPr>
          <w:lang w:val="es-ES_tradnl"/>
        </w:rPr>
        <w:tab/>
      </w:r>
      <w:r w:rsidRPr="00186777">
        <w:rPr>
          <w:lang w:val="es-ES_tradnl"/>
        </w:rPr>
        <w:tab/>
        <w:t>Equipo de tareas sobre la mujer en la prevención de conflictos y en situaciones de conflicto y posteriores a conflictos</w:t>
      </w:r>
    </w:p>
    <w:p w14:paraId="339159AB" w14:textId="77777777" w:rsidR="003A02C7" w:rsidRPr="00186777" w:rsidRDefault="003A02C7" w:rsidP="003A02C7">
      <w:pPr>
        <w:pStyle w:val="SingleTxt"/>
        <w:spacing w:after="0" w:line="120" w:lineRule="exact"/>
        <w:rPr>
          <w:sz w:val="10"/>
          <w:lang w:val="es-ES_tradnl"/>
        </w:rPr>
      </w:pPr>
    </w:p>
    <w:p w14:paraId="1EC2C4A4" w14:textId="3BCDCFCD" w:rsidR="003A02C7" w:rsidRPr="00186777" w:rsidRDefault="003A02C7" w:rsidP="00113F7A">
      <w:pPr>
        <w:pStyle w:val="SingleTxt"/>
        <w:numPr>
          <w:ilvl w:val="0"/>
          <w:numId w:val="5"/>
        </w:numPr>
        <w:ind w:left="1267"/>
        <w:rPr>
          <w:lang w:val="es-ES_tradnl"/>
        </w:rPr>
      </w:pPr>
      <w:r w:rsidRPr="00186777">
        <w:rPr>
          <w:lang w:val="es-ES_tradnl"/>
        </w:rPr>
        <w:t>El equipo de tareas se reunió durante el período de sesiones.</w:t>
      </w:r>
    </w:p>
    <w:p w14:paraId="61A9C5AF" w14:textId="77777777" w:rsidR="003A02C7" w:rsidRPr="00186777" w:rsidRDefault="003A02C7" w:rsidP="003A02C7">
      <w:pPr>
        <w:pStyle w:val="SingleTxt"/>
        <w:rPr>
          <w:lang w:val="es-ES_tradnl"/>
        </w:rPr>
      </w:pPr>
    </w:p>
    <w:p w14:paraId="53B1F73F" w14:textId="77777777" w:rsidR="003A02C7" w:rsidRPr="00186777" w:rsidRDefault="003A02C7">
      <w:pPr>
        <w:suppressAutoHyphens w:val="0"/>
        <w:spacing w:after="200" w:line="276" w:lineRule="auto"/>
        <w:rPr>
          <w:b/>
          <w:spacing w:val="-2"/>
          <w:kern w:val="14"/>
          <w:sz w:val="28"/>
          <w:lang w:val="es-ES_tradnl"/>
        </w:rPr>
      </w:pPr>
      <w:r w:rsidRPr="00186777">
        <w:rPr>
          <w:lang w:val="es-ES_tradnl"/>
        </w:rPr>
        <w:br w:type="page"/>
      </w:r>
    </w:p>
    <w:p w14:paraId="30FE8326" w14:textId="7BB266C5" w:rsidR="003A02C7" w:rsidRPr="00186777" w:rsidRDefault="003A02C7" w:rsidP="003A02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VIII</w:t>
      </w:r>
    </w:p>
    <w:p w14:paraId="2EFA0BCB" w14:textId="02830366" w:rsidR="003A02C7" w:rsidRPr="00186777" w:rsidRDefault="003A02C7" w:rsidP="003A02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Programa provisional del 68º período de sesiones</w:t>
      </w:r>
    </w:p>
    <w:p w14:paraId="77262210" w14:textId="1D8E0FA5" w:rsidR="003A02C7" w:rsidRPr="00186777" w:rsidRDefault="003A02C7" w:rsidP="003A02C7">
      <w:pPr>
        <w:pStyle w:val="SingleTxt"/>
        <w:spacing w:after="0" w:line="120" w:lineRule="exact"/>
        <w:rPr>
          <w:sz w:val="10"/>
          <w:lang w:val="es-ES_tradnl"/>
        </w:rPr>
      </w:pPr>
    </w:p>
    <w:p w14:paraId="6DFB00DC" w14:textId="745D9780" w:rsidR="003A02C7" w:rsidRPr="00186777" w:rsidRDefault="003A02C7" w:rsidP="003A02C7">
      <w:pPr>
        <w:pStyle w:val="SingleTxt"/>
        <w:spacing w:after="0" w:line="120" w:lineRule="exact"/>
        <w:rPr>
          <w:sz w:val="10"/>
          <w:lang w:val="es-ES_tradnl"/>
        </w:rPr>
      </w:pPr>
    </w:p>
    <w:p w14:paraId="49A32D0F" w14:textId="40C12060" w:rsidR="003A02C7" w:rsidRPr="00186777" w:rsidRDefault="003A02C7" w:rsidP="00113F7A">
      <w:pPr>
        <w:pStyle w:val="SingleTxt"/>
        <w:numPr>
          <w:ilvl w:val="0"/>
          <w:numId w:val="5"/>
        </w:numPr>
        <w:ind w:left="1267"/>
        <w:rPr>
          <w:lang w:val="es-ES_tradnl"/>
        </w:rPr>
      </w:pPr>
      <w:r w:rsidRPr="00186777">
        <w:rPr>
          <w:lang w:val="es-ES_tradnl"/>
        </w:rPr>
        <w:t>En su 1529ª sesión, celebrada el 21 de julio de 2017, el Comité examinó y aprobó el proyecto de programa provisional de su 68º período de sesiones.</w:t>
      </w:r>
    </w:p>
    <w:p w14:paraId="4C03D3CC" w14:textId="16302AE9" w:rsidR="003A02C7" w:rsidRPr="00186777" w:rsidRDefault="003A02C7" w:rsidP="003A02C7">
      <w:pPr>
        <w:pStyle w:val="SingleTxt"/>
        <w:rPr>
          <w:lang w:val="es-ES_tradnl"/>
        </w:rPr>
      </w:pPr>
    </w:p>
    <w:p w14:paraId="50EAED15" w14:textId="12C472BA" w:rsidR="003A02C7" w:rsidRPr="00186777" w:rsidRDefault="003A02C7">
      <w:pPr>
        <w:suppressAutoHyphens w:val="0"/>
        <w:spacing w:after="200" w:line="276" w:lineRule="auto"/>
        <w:rPr>
          <w:kern w:val="14"/>
          <w:lang w:val="es-ES_tradnl"/>
        </w:rPr>
      </w:pPr>
      <w:r w:rsidRPr="00186777">
        <w:rPr>
          <w:lang w:val="es-ES_tradnl"/>
        </w:rPr>
        <w:br w:type="page"/>
      </w:r>
    </w:p>
    <w:p w14:paraId="140468C6" w14:textId="2A398804" w:rsidR="003A02C7" w:rsidRPr="00186777" w:rsidRDefault="003A02C7" w:rsidP="003A02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IX</w:t>
      </w:r>
    </w:p>
    <w:p w14:paraId="083442FC" w14:textId="03B060CA" w:rsidR="003A02C7" w:rsidRPr="00186777" w:rsidRDefault="003A02C7" w:rsidP="003A02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Aprobación del informe</w:t>
      </w:r>
    </w:p>
    <w:p w14:paraId="207DCF45" w14:textId="142CE8F9" w:rsidR="003A02C7" w:rsidRPr="00186777" w:rsidRDefault="003A02C7" w:rsidP="003A02C7">
      <w:pPr>
        <w:pStyle w:val="SingleTxt"/>
        <w:spacing w:after="0" w:line="120" w:lineRule="exact"/>
        <w:rPr>
          <w:sz w:val="10"/>
          <w:lang w:val="es-ES_tradnl"/>
        </w:rPr>
      </w:pPr>
    </w:p>
    <w:p w14:paraId="19F255E7" w14:textId="6357A489" w:rsidR="003A02C7" w:rsidRPr="00186777" w:rsidRDefault="003A02C7" w:rsidP="003A02C7">
      <w:pPr>
        <w:pStyle w:val="SingleTxt"/>
        <w:spacing w:after="0" w:line="120" w:lineRule="exact"/>
        <w:rPr>
          <w:sz w:val="10"/>
          <w:lang w:val="es-ES_tradnl"/>
        </w:rPr>
      </w:pPr>
    </w:p>
    <w:p w14:paraId="1262B350" w14:textId="4DF68684" w:rsidR="003A02C7" w:rsidRPr="00186777" w:rsidRDefault="003A02C7" w:rsidP="00113F7A">
      <w:pPr>
        <w:pStyle w:val="SingleTxt"/>
        <w:numPr>
          <w:ilvl w:val="0"/>
          <w:numId w:val="5"/>
        </w:numPr>
        <w:ind w:left="1267"/>
        <w:rPr>
          <w:lang w:val="es-ES_tradnl"/>
        </w:rPr>
      </w:pPr>
      <w:r w:rsidRPr="00186777">
        <w:rPr>
          <w:lang w:val="es-ES_tradnl"/>
        </w:rPr>
        <w:t>En su 1529ª sesión, celebrada el 21 de julio de 2017, el Comité examinó y aprobó, en su forma revisada oralmente, el proyecto de informe sobre su 67º período de sesiones.</w:t>
      </w:r>
    </w:p>
    <w:p w14:paraId="31BEE404" w14:textId="77777777" w:rsidR="003A02C7" w:rsidRPr="00186777" w:rsidRDefault="003A02C7" w:rsidP="003A02C7">
      <w:pPr>
        <w:pStyle w:val="SingleTxt"/>
        <w:rPr>
          <w:lang w:val="es-ES_tradnl"/>
        </w:rPr>
      </w:pPr>
    </w:p>
    <w:p w14:paraId="3F680FD0" w14:textId="71520EA8" w:rsidR="003A02C7" w:rsidRPr="00186777" w:rsidRDefault="003A02C7">
      <w:pPr>
        <w:suppressAutoHyphens w:val="0"/>
        <w:spacing w:after="200" w:line="276" w:lineRule="auto"/>
        <w:rPr>
          <w:kern w:val="14"/>
          <w:lang w:val="es-ES_tradnl"/>
        </w:rPr>
      </w:pPr>
      <w:r w:rsidRPr="00186777">
        <w:rPr>
          <w:lang w:val="es-ES_tradnl"/>
        </w:rPr>
        <w:br w:type="page"/>
      </w:r>
    </w:p>
    <w:p w14:paraId="514786B4" w14:textId="77777777" w:rsidR="003A02C7" w:rsidRPr="00186777" w:rsidRDefault="003A02C7" w:rsidP="003A02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186777">
        <w:rPr>
          <w:lang w:val="es-ES_tradnl"/>
        </w:rPr>
        <w:lastRenderedPageBreak/>
        <w:t>Anexo</w:t>
      </w:r>
    </w:p>
    <w:p w14:paraId="74092C61" w14:textId="48CECB7C" w:rsidR="003A02C7" w:rsidRPr="00186777" w:rsidRDefault="003A02C7" w:rsidP="003A02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Documentos que el Comité tuvo ante sí en su 67º período de sesiones</w:t>
      </w:r>
    </w:p>
    <w:p w14:paraId="406120A0" w14:textId="70243287" w:rsidR="003A02C7" w:rsidRPr="00186777" w:rsidRDefault="003A02C7" w:rsidP="003A02C7">
      <w:pPr>
        <w:pStyle w:val="SingleTxt"/>
        <w:spacing w:after="0" w:line="120" w:lineRule="exact"/>
        <w:rPr>
          <w:sz w:val="10"/>
          <w:lang w:val="es-ES_tradnl"/>
        </w:rPr>
      </w:pPr>
    </w:p>
    <w:p w14:paraId="37B36B8A" w14:textId="736EE1A2" w:rsidR="003A02C7" w:rsidRPr="00186777" w:rsidRDefault="003A02C7" w:rsidP="003A02C7">
      <w:pPr>
        <w:pStyle w:val="SingleTxt"/>
        <w:spacing w:after="0" w:line="120" w:lineRule="exact"/>
        <w:rPr>
          <w:sz w:val="10"/>
          <w:lang w:val="es-ES_tradnl"/>
        </w:rPr>
      </w:pPr>
    </w:p>
    <w:tbl>
      <w:tblPr>
        <w:tblStyle w:val="TableGrid"/>
        <w:tblW w:w="747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0"/>
        <w:gridCol w:w="5040"/>
      </w:tblGrid>
      <w:tr w:rsidR="003A02C7" w:rsidRPr="00186777" w14:paraId="5A621D3F" w14:textId="77777777" w:rsidTr="006E72B9">
        <w:trPr>
          <w:tblHeader/>
        </w:trPr>
        <w:tc>
          <w:tcPr>
            <w:tcW w:w="2430" w:type="dxa"/>
            <w:tcBorders>
              <w:top w:val="single" w:sz="4" w:space="0" w:color="auto"/>
              <w:bottom w:val="single" w:sz="12" w:space="0" w:color="auto"/>
            </w:tcBorders>
            <w:shd w:val="clear" w:color="auto" w:fill="auto"/>
            <w:vAlign w:val="bottom"/>
          </w:tcPr>
          <w:p w14:paraId="256D99B5" w14:textId="387DC34E" w:rsidR="003A02C7" w:rsidRPr="00186777" w:rsidRDefault="00DA0CCE" w:rsidP="006E72B9">
            <w:pPr>
              <w:spacing w:before="80" w:after="80" w:line="200" w:lineRule="exact"/>
              <w:ind w:right="113"/>
              <w:rPr>
                <w:i/>
                <w:spacing w:val="0"/>
                <w:w w:val="100"/>
                <w:sz w:val="14"/>
                <w:szCs w:val="14"/>
                <w:lang w:val="es-ES_tradnl"/>
              </w:rPr>
            </w:pPr>
            <w:r w:rsidRPr="00186777">
              <w:rPr>
                <w:i/>
                <w:spacing w:val="0"/>
                <w:w w:val="100"/>
                <w:sz w:val="14"/>
                <w:szCs w:val="14"/>
                <w:lang w:val="es-ES_tradnl"/>
              </w:rPr>
              <w:t>Número de documento</w:t>
            </w:r>
          </w:p>
        </w:tc>
        <w:tc>
          <w:tcPr>
            <w:tcW w:w="5040" w:type="dxa"/>
            <w:tcBorders>
              <w:top w:val="single" w:sz="4" w:space="0" w:color="auto"/>
              <w:bottom w:val="single" w:sz="12" w:space="0" w:color="auto"/>
            </w:tcBorders>
            <w:shd w:val="clear" w:color="auto" w:fill="auto"/>
            <w:vAlign w:val="bottom"/>
          </w:tcPr>
          <w:p w14:paraId="78AE8646" w14:textId="1750D0C0" w:rsidR="003A02C7" w:rsidRPr="00186777" w:rsidRDefault="00DA0CCE" w:rsidP="006E72B9">
            <w:pPr>
              <w:spacing w:before="80" w:after="80" w:line="200" w:lineRule="exact"/>
              <w:ind w:right="113"/>
              <w:rPr>
                <w:i/>
                <w:spacing w:val="0"/>
                <w:w w:val="100"/>
                <w:sz w:val="14"/>
                <w:szCs w:val="14"/>
                <w:lang w:val="es-ES_tradnl"/>
              </w:rPr>
            </w:pPr>
            <w:r w:rsidRPr="00186777">
              <w:rPr>
                <w:i/>
                <w:spacing w:val="0"/>
                <w:w w:val="100"/>
                <w:sz w:val="14"/>
                <w:szCs w:val="14"/>
                <w:lang w:val="es-ES_tradnl"/>
              </w:rPr>
              <w:t>Título o descripción</w:t>
            </w:r>
          </w:p>
        </w:tc>
      </w:tr>
      <w:tr w:rsidR="003A02C7" w:rsidRPr="00186777" w14:paraId="4FBEE8B9" w14:textId="77777777" w:rsidTr="006E72B9">
        <w:trPr>
          <w:trHeight w:hRule="exact" w:val="113"/>
          <w:tblHeader/>
        </w:trPr>
        <w:tc>
          <w:tcPr>
            <w:tcW w:w="2430" w:type="dxa"/>
            <w:tcBorders>
              <w:top w:val="single" w:sz="12" w:space="0" w:color="auto"/>
            </w:tcBorders>
            <w:shd w:val="clear" w:color="auto" w:fill="auto"/>
          </w:tcPr>
          <w:p w14:paraId="0108D06F" w14:textId="77777777" w:rsidR="003A02C7" w:rsidRPr="00186777" w:rsidRDefault="003A02C7" w:rsidP="006E72B9">
            <w:pPr>
              <w:spacing w:before="40" w:after="120" w:line="240" w:lineRule="atLeast"/>
              <w:ind w:right="113"/>
              <w:rPr>
                <w:spacing w:val="0"/>
                <w:w w:val="100"/>
                <w:lang w:val="es-ES_tradnl"/>
              </w:rPr>
            </w:pPr>
          </w:p>
        </w:tc>
        <w:tc>
          <w:tcPr>
            <w:tcW w:w="5040" w:type="dxa"/>
            <w:tcBorders>
              <w:top w:val="single" w:sz="12" w:space="0" w:color="auto"/>
            </w:tcBorders>
            <w:shd w:val="clear" w:color="auto" w:fill="auto"/>
          </w:tcPr>
          <w:p w14:paraId="4A30DDEF" w14:textId="77777777" w:rsidR="003A02C7" w:rsidRPr="00186777" w:rsidRDefault="003A02C7" w:rsidP="006E72B9">
            <w:pPr>
              <w:spacing w:before="40" w:after="120" w:line="240" w:lineRule="atLeast"/>
              <w:ind w:right="113"/>
              <w:rPr>
                <w:spacing w:val="0"/>
                <w:w w:val="100"/>
                <w:lang w:val="es-ES_tradnl"/>
              </w:rPr>
            </w:pPr>
          </w:p>
        </w:tc>
      </w:tr>
      <w:tr w:rsidR="003A02C7" w:rsidRPr="00186777" w14:paraId="66F25996" w14:textId="77777777" w:rsidTr="006E72B9">
        <w:tc>
          <w:tcPr>
            <w:tcW w:w="2430" w:type="dxa"/>
            <w:shd w:val="clear" w:color="auto" w:fill="auto"/>
          </w:tcPr>
          <w:p w14:paraId="69F2F0C6" w14:textId="6B528246" w:rsidR="003A02C7" w:rsidRPr="00186777" w:rsidRDefault="00C1661F" w:rsidP="003A02C7">
            <w:pPr>
              <w:spacing w:before="40" w:after="80" w:line="240" w:lineRule="atLeast"/>
              <w:ind w:right="113"/>
              <w:rPr>
                <w:spacing w:val="0"/>
                <w:w w:val="100"/>
                <w:lang w:val="es-ES_tradnl"/>
              </w:rPr>
            </w:pPr>
            <w:hyperlink r:id="rId49" w:history="1">
              <w:r w:rsidR="003A02C7" w:rsidRPr="00186777">
                <w:rPr>
                  <w:rStyle w:val="Hyperlink"/>
                  <w:spacing w:val="0"/>
                  <w:w w:val="100"/>
                  <w:lang w:val="es-ES_tradnl"/>
                </w:rPr>
                <w:t>CEDAW/C/67/1</w:t>
              </w:r>
            </w:hyperlink>
          </w:p>
        </w:tc>
        <w:tc>
          <w:tcPr>
            <w:tcW w:w="5040" w:type="dxa"/>
            <w:shd w:val="clear" w:color="auto" w:fill="auto"/>
          </w:tcPr>
          <w:p w14:paraId="280BC787" w14:textId="5A0635DD" w:rsidR="003A02C7" w:rsidRPr="00186777" w:rsidRDefault="003A02C7" w:rsidP="006E72B9">
            <w:pPr>
              <w:spacing w:before="40" w:after="80" w:line="240" w:lineRule="atLeast"/>
              <w:rPr>
                <w:spacing w:val="-2"/>
                <w:w w:val="100"/>
                <w:lang w:val="es-ES_tradnl"/>
              </w:rPr>
            </w:pPr>
            <w:r w:rsidRPr="00186777">
              <w:rPr>
                <w:spacing w:val="-2"/>
                <w:w w:val="100"/>
                <w:lang w:val="es-ES_tradnl"/>
              </w:rPr>
              <w:t>Programa provisional anotado</w:t>
            </w:r>
          </w:p>
        </w:tc>
      </w:tr>
      <w:tr w:rsidR="003A02C7" w:rsidRPr="00186777" w14:paraId="3E0D5A0F" w14:textId="77777777" w:rsidTr="006E72B9">
        <w:tc>
          <w:tcPr>
            <w:tcW w:w="2430" w:type="dxa"/>
            <w:shd w:val="clear" w:color="auto" w:fill="auto"/>
          </w:tcPr>
          <w:p w14:paraId="7A63BDA2" w14:textId="575CB30F" w:rsidR="003A02C7" w:rsidRPr="00186777" w:rsidRDefault="00C1661F" w:rsidP="003A02C7">
            <w:pPr>
              <w:spacing w:before="40" w:after="80" w:line="240" w:lineRule="atLeast"/>
              <w:ind w:right="113"/>
              <w:rPr>
                <w:spacing w:val="0"/>
                <w:w w:val="100"/>
                <w:lang w:val="es-ES_tradnl"/>
              </w:rPr>
            </w:pPr>
            <w:hyperlink r:id="rId50" w:history="1">
              <w:r w:rsidR="003A02C7" w:rsidRPr="00186777">
                <w:rPr>
                  <w:rStyle w:val="Hyperlink"/>
                  <w:spacing w:val="0"/>
                  <w:w w:val="100"/>
                  <w:lang w:val="es-ES_tradnl"/>
                </w:rPr>
                <w:t>CEDAW/C/67/2</w:t>
              </w:r>
            </w:hyperlink>
          </w:p>
        </w:tc>
        <w:tc>
          <w:tcPr>
            <w:tcW w:w="5040" w:type="dxa"/>
            <w:shd w:val="clear" w:color="auto" w:fill="auto"/>
          </w:tcPr>
          <w:p w14:paraId="5F6EF080" w14:textId="207225D0" w:rsidR="003A02C7" w:rsidRPr="00186777" w:rsidRDefault="003A02C7" w:rsidP="006E72B9">
            <w:pPr>
              <w:spacing w:before="40" w:after="80" w:line="240" w:lineRule="atLeast"/>
              <w:rPr>
                <w:spacing w:val="-2"/>
                <w:w w:val="100"/>
                <w:lang w:val="es-ES_tradnl"/>
              </w:rPr>
            </w:pPr>
            <w:r w:rsidRPr="00186777">
              <w:rPr>
                <w:spacing w:val="-2"/>
                <w:w w:val="100"/>
                <w:lang w:val="es-ES_tradnl"/>
              </w:rPr>
              <w:t>Informe de la Organización de las Naciones Unidas para la Educación, la Ciencia y la Cultura</w:t>
            </w:r>
          </w:p>
        </w:tc>
      </w:tr>
      <w:tr w:rsidR="003A02C7" w:rsidRPr="00186777" w14:paraId="304D488C" w14:textId="77777777" w:rsidTr="006E72B9">
        <w:tc>
          <w:tcPr>
            <w:tcW w:w="2430" w:type="dxa"/>
            <w:shd w:val="clear" w:color="auto" w:fill="auto"/>
          </w:tcPr>
          <w:p w14:paraId="2144B915" w14:textId="1A4E3B91" w:rsidR="003A02C7" w:rsidRPr="00186777" w:rsidRDefault="00C1661F" w:rsidP="003A02C7">
            <w:pPr>
              <w:spacing w:before="40" w:after="80" w:line="240" w:lineRule="atLeast"/>
              <w:ind w:right="113"/>
              <w:rPr>
                <w:spacing w:val="0"/>
                <w:w w:val="100"/>
                <w:lang w:val="es-ES_tradnl"/>
              </w:rPr>
            </w:pPr>
            <w:hyperlink r:id="rId51" w:history="1">
              <w:r w:rsidR="003A02C7" w:rsidRPr="00186777">
                <w:rPr>
                  <w:rStyle w:val="Hyperlink"/>
                  <w:spacing w:val="0"/>
                  <w:w w:val="100"/>
                  <w:lang w:val="es-ES_tradnl"/>
                </w:rPr>
                <w:t>CEDAW/C/67/3</w:t>
              </w:r>
            </w:hyperlink>
          </w:p>
        </w:tc>
        <w:tc>
          <w:tcPr>
            <w:tcW w:w="5040" w:type="dxa"/>
            <w:shd w:val="clear" w:color="auto" w:fill="auto"/>
          </w:tcPr>
          <w:p w14:paraId="647D26FB" w14:textId="573C1EFA" w:rsidR="003A02C7" w:rsidRPr="00186777" w:rsidRDefault="003A02C7" w:rsidP="006E72B9">
            <w:pPr>
              <w:spacing w:before="40" w:after="80" w:line="240" w:lineRule="atLeast"/>
              <w:rPr>
                <w:spacing w:val="-2"/>
                <w:w w:val="100"/>
                <w:lang w:val="es-ES_tradnl"/>
              </w:rPr>
            </w:pPr>
            <w:r w:rsidRPr="00186777">
              <w:rPr>
                <w:spacing w:val="-2"/>
                <w:w w:val="100"/>
                <w:lang w:val="es-ES_tradnl"/>
              </w:rPr>
              <w:t>Informe de la Organización Internacional del Trabajo</w:t>
            </w:r>
          </w:p>
        </w:tc>
      </w:tr>
      <w:tr w:rsidR="003A02C7" w:rsidRPr="00186777" w14:paraId="6C90FE3F" w14:textId="77777777" w:rsidTr="006E72B9">
        <w:tc>
          <w:tcPr>
            <w:tcW w:w="2430" w:type="dxa"/>
            <w:shd w:val="clear" w:color="auto" w:fill="auto"/>
          </w:tcPr>
          <w:p w14:paraId="1FE4E2C7" w14:textId="6B08B263" w:rsidR="003A02C7" w:rsidRPr="00186777" w:rsidRDefault="003A02C7" w:rsidP="003A02C7">
            <w:pPr>
              <w:spacing w:before="40" w:after="80" w:line="240" w:lineRule="atLeast"/>
              <w:ind w:right="113"/>
              <w:rPr>
                <w:rFonts w:ascii="Times New Roman Bold" w:hAnsi="Times New Roman Bold" w:cs="Times New Roman Bold"/>
                <w:b/>
                <w:spacing w:val="-4"/>
                <w:w w:val="100"/>
                <w:sz w:val="18"/>
                <w:szCs w:val="18"/>
                <w:lang w:val="es-ES_tradnl"/>
              </w:rPr>
            </w:pPr>
            <w:r w:rsidRPr="00186777">
              <w:rPr>
                <w:rFonts w:ascii="Times New Roman Bold" w:hAnsi="Times New Roman Bold" w:cs="Times New Roman Bold"/>
                <w:b/>
                <w:spacing w:val="-4"/>
                <w:w w:val="100"/>
                <w:sz w:val="18"/>
                <w:szCs w:val="18"/>
                <w:lang w:val="es-ES_tradnl"/>
              </w:rPr>
              <w:t xml:space="preserve">Informes de los </w:t>
            </w:r>
            <w:r w:rsidRPr="00186777">
              <w:rPr>
                <w:rFonts w:ascii="Times New Roman Bold" w:hAnsi="Times New Roman Bold" w:cs="Times New Roman Bold"/>
                <w:b/>
                <w:spacing w:val="-2"/>
                <w:w w:val="100"/>
                <w:sz w:val="18"/>
                <w:szCs w:val="18"/>
                <w:lang w:val="es-ES_tradnl"/>
              </w:rPr>
              <w:t>Estados</w:t>
            </w:r>
            <w:r w:rsidRPr="00186777">
              <w:rPr>
                <w:rFonts w:ascii="Times New Roman Bold" w:hAnsi="Times New Roman Bold" w:cs="Times New Roman Bold"/>
                <w:b/>
                <w:spacing w:val="-4"/>
                <w:w w:val="100"/>
                <w:sz w:val="18"/>
                <w:szCs w:val="18"/>
                <w:lang w:val="es-ES_tradnl"/>
              </w:rPr>
              <w:t xml:space="preserve"> partes</w:t>
            </w:r>
          </w:p>
        </w:tc>
        <w:tc>
          <w:tcPr>
            <w:tcW w:w="5040" w:type="dxa"/>
            <w:shd w:val="clear" w:color="auto" w:fill="auto"/>
          </w:tcPr>
          <w:p w14:paraId="2ADC9D73" w14:textId="77777777" w:rsidR="003A02C7" w:rsidRPr="00186777" w:rsidRDefault="003A02C7" w:rsidP="006E72B9">
            <w:pPr>
              <w:spacing w:before="40" w:after="80" w:line="240" w:lineRule="atLeast"/>
              <w:rPr>
                <w:spacing w:val="-2"/>
                <w:w w:val="100"/>
                <w:lang w:val="es-ES_tradnl"/>
              </w:rPr>
            </w:pPr>
          </w:p>
        </w:tc>
      </w:tr>
      <w:tr w:rsidR="003A02C7" w:rsidRPr="00186777" w14:paraId="6866ACD5" w14:textId="77777777" w:rsidTr="006E72B9">
        <w:tc>
          <w:tcPr>
            <w:tcW w:w="2430" w:type="dxa"/>
            <w:shd w:val="clear" w:color="auto" w:fill="auto"/>
          </w:tcPr>
          <w:p w14:paraId="11769CF1" w14:textId="464FD97B" w:rsidR="003A02C7" w:rsidRPr="00186777" w:rsidRDefault="00C1661F" w:rsidP="003A02C7">
            <w:pPr>
              <w:spacing w:before="40" w:after="80" w:line="240" w:lineRule="atLeast"/>
              <w:ind w:right="113"/>
              <w:rPr>
                <w:spacing w:val="0"/>
                <w:w w:val="100"/>
                <w:lang w:val="es-ES_tradnl"/>
              </w:rPr>
            </w:pPr>
            <w:hyperlink r:id="rId52" w:history="1">
              <w:r w:rsidR="003A02C7" w:rsidRPr="00186777">
                <w:rPr>
                  <w:rStyle w:val="Hyperlink"/>
                  <w:spacing w:val="0"/>
                  <w:w w:val="100"/>
                  <w:lang w:val="es-ES_tradnl"/>
                </w:rPr>
                <w:t>CEDAW/C/BRB/5-8</w:t>
              </w:r>
            </w:hyperlink>
          </w:p>
        </w:tc>
        <w:tc>
          <w:tcPr>
            <w:tcW w:w="5040" w:type="dxa"/>
            <w:shd w:val="clear" w:color="auto" w:fill="auto"/>
          </w:tcPr>
          <w:p w14:paraId="0E6F8C51" w14:textId="36F73F72" w:rsidR="003A02C7" w:rsidRPr="00186777" w:rsidRDefault="003A02C7" w:rsidP="006E72B9">
            <w:pPr>
              <w:spacing w:before="40" w:after="80" w:line="240" w:lineRule="atLeast"/>
              <w:rPr>
                <w:spacing w:val="-2"/>
                <w:w w:val="100"/>
                <w:lang w:val="es-ES_tradnl"/>
              </w:rPr>
            </w:pPr>
            <w:r w:rsidRPr="00186777">
              <w:rPr>
                <w:spacing w:val="-2"/>
                <w:w w:val="100"/>
                <w:lang w:val="es-ES_tradnl"/>
              </w:rPr>
              <w:t>Informes periódicos quinto a octavo combinados de Barbados</w:t>
            </w:r>
          </w:p>
        </w:tc>
      </w:tr>
      <w:tr w:rsidR="003A02C7" w:rsidRPr="00186777" w14:paraId="5932D1B0" w14:textId="77777777" w:rsidTr="006E72B9">
        <w:tc>
          <w:tcPr>
            <w:tcW w:w="2430" w:type="dxa"/>
            <w:shd w:val="clear" w:color="auto" w:fill="auto"/>
          </w:tcPr>
          <w:p w14:paraId="46014411" w14:textId="0057192E" w:rsidR="003A02C7" w:rsidRPr="00186777" w:rsidRDefault="00C1661F" w:rsidP="003A02C7">
            <w:pPr>
              <w:spacing w:before="40" w:after="80" w:line="240" w:lineRule="atLeast"/>
              <w:ind w:right="113"/>
              <w:rPr>
                <w:spacing w:val="0"/>
                <w:w w:val="100"/>
                <w:lang w:val="es-ES_tradnl"/>
              </w:rPr>
            </w:pPr>
            <w:hyperlink r:id="rId53" w:history="1">
              <w:r w:rsidR="003A02C7" w:rsidRPr="00186777">
                <w:rPr>
                  <w:rStyle w:val="Hyperlink"/>
                  <w:spacing w:val="0"/>
                  <w:w w:val="100"/>
                  <w:lang w:val="es-ES_tradnl"/>
                </w:rPr>
                <w:t>CEDAW/C/CRI/7</w:t>
              </w:r>
            </w:hyperlink>
          </w:p>
        </w:tc>
        <w:tc>
          <w:tcPr>
            <w:tcW w:w="5040" w:type="dxa"/>
            <w:shd w:val="clear" w:color="auto" w:fill="auto"/>
          </w:tcPr>
          <w:p w14:paraId="399D0E1A" w14:textId="18F71A95" w:rsidR="003A02C7" w:rsidRPr="00186777" w:rsidRDefault="003A02C7" w:rsidP="006E72B9">
            <w:pPr>
              <w:spacing w:before="40" w:after="80" w:line="240" w:lineRule="atLeast"/>
              <w:rPr>
                <w:spacing w:val="-2"/>
                <w:w w:val="100"/>
                <w:lang w:val="es-ES_tradnl"/>
              </w:rPr>
            </w:pPr>
            <w:r w:rsidRPr="00186777">
              <w:rPr>
                <w:spacing w:val="-2"/>
                <w:w w:val="100"/>
                <w:lang w:val="es-ES_tradnl"/>
              </w:rPr>
              <w:t>Séptimo informe periódico de Costa Rica</w:t>
            </w:r>
          </w:p>
        </w:tc>
      </w:tr>
      <w:tr w:rsidR="003A02C7" w:rsidRPr="00186777" w14:paraId="63A8644B" w14:textId="77777777" w:rsidTr="006E72B9">
        <w:tc>
          <w:tcPr>
            <w:tcW w:w="2430" w:type="dxa"/>
            <w:shd w:val="clear" w:color="auto" w:fill="auto"/>
          </w:tcPr>
          <w:p w14:paraId="0DA32967" w14:textId="286DB6DB" w:rsidR="003A02C7" w:rsidRPr="00186777" w:rsidRDefault="00C1661F" w:rsidP="003A02C7">
            <w:pPr>
              <w:spacing w:before="40" w:after="80" w:line="240" w:lineRule="atLeast"/>
              <w:ind w:right="113"/>
              <w:rPr>
                <w:spacing w:val="0"/>
                <w:w w:val="100"/>
                <w:lang w:val="es-ES_tradnl"/>
              </w:rPr>
            </w:pPr>
            <w:hyperlink r:id="rId54" w:history="1">
              <w:r w:rsidR="003A02C7" w:rsidRPr="00186777">
                <w:rPr>
                  <w:rStyle w:val="Hyperlink"/>
                  <w:spacing w:val="0"/>
                  <w:w w:val="100"/>
                  <w:lang w:val="es-ES_tradnl"/>
                </w:rPr>
                <w:t>CEDAW/C/ITA/7</w:t>
              </w:r>
            </w:hyperlink>
          </w:p>
        </w:tc>
        <w:tc>
          <w:tcPr>
            <w:tcW w:w="5040" w:type="dxa"/>
            <w:shd w:val="clear" w:color="auto" w:fill="auto"/>
          </w:tcPr>
          <w:p w14:paraId="47780D70" w14:textId="1878FCD8" w:rsidR="003A02C7" w:rsidRPr="00186777" w:rsidRDefault="003A02C7" w:rsidP="006E72B9">
            <w:pPr>
              <w:spacing w:before="40" w:after="80" w:line="240" w:lineRule="atLeast"/>
              <w:rPr>
                <w:spacing w:val="-2"/>
                <w:w w:val="100"/>
                <w:lang w:val="es-ES_tradnl"/>
              </w:rPr>
            </w:pPr>
            <w:r w:rsidRPr="00186777">
              <w:rPr>
                <w:spacing w:val="-2"/>
                <w:w w:val="100"/>
                <w:lang w:val="es-ES_tradnl"/>
              </w:rPr>
              <w:t>Séptimo informe periódico de Italia</w:t>
            </w:r>
          </w:p>
        </w:tc>
      </w:tr>
      <w:tr w:rsidR="003A02C7" w:rsidRPr="00186777" w14:paraId="161E24F7" w14:textId="77777777" w:rsidTr="006E72B9">
        <w:tc>
          <w:tcPr>
            <w:tcW w:w="2430" w:type="dxa"/>
            <w:shd w:val="clear" w:color="auto" w:fill="auto"/>
          </w:tcPr>
          <w:p w14:paraId="4E1C6C95" w14:textId="140CAB6E" w:rsidR="003A02C7" w:rsidRPr="00186777" w:rsidRDefault="00C1661F" w:rsidP="003A02C7">
            <w:pPr>
              <w:spacing w:before="40" w:after="80" w:line="240" w:lineRule="atLeast"/>
              <w:ind w:right="113"/>
              <w:rPr>
                <w:spacing w:val="0"/>
                <w:w w:val="100"/>
                <w:lang w:val="es-ES_tradnl"/>
              </w:rPr>
            </w:pPr>
            <w:hyperlink r:id="rId55" w:history="1">
              <w:r w:rsidR="003A02C7" w:rsidRPr="00186777">
                <w:rPr>
                  <w:rStyle w:val="Hyperlink"/>
                  <w:spacing w:val="0"/>
                  <w:w w:val="100"/>
                  <w:lang w:val="es-ES_tradnl"/>
                </w:rPr>
                <w:t>CEDAW/C/MNE/2</w:t>
              </w:r>
            </w:hyperlink>
          </w:p>
        </w:tc>
        <w:tc>
          <w:tcPr>
            <w:tcW w:w="5040" w:type="dxa"/>
            <w:shd w:val="clear" w:color="auto" w:fill="auto"/>
          </w:tcPr>
          <w:p w14:paraId="337E7A14" w14:textId="3B4ABA1E" w:rsidR="003A02C7" w:rsidRPr="00186777" w:rsidRDefault="003A02C7" w:rsidP="006E72B9">
            <w:pPr>
              <w:spacing w:before="40" w:after="80" w:line="240" w:lineRule="atLeast"/>
              <w:rPr>
                <w:spacing w:val="-2"/>
                <w:w w:val="100"/>
                <w:lang w:val="es-ES_tradnl"/>
              </w:rPr>
            </w:pPr>
            <w:r w:rsidRPr="00186777">
              <w:rPr>
                <w:spacing w:val="-2"/>
                <w:w w:val="100"/>
                <w:lang w:val="es-ES_tradnl"/>
              </w:rPr>
              <w:t>Segundo informe periódico de Montenegro</w:t>
            </w:r>
          </w:p>
        </w:tc>
      </w:tr>
      <w:tr w:rsidR="003A02C7" w:rsidRPr="00186777" w14:paraId="13407A81" w14:textId="77777777" w:rsidTr="006E72B9">
        <w:tc>
          <w:tcPr>
            <w:tcW w:w="2430" w:type="dxa"/>
            <w:shd w:val="clear" w:color="auto" w:fill="auto"/>
          </w:tcPr>
          <w:p w14:paraId="1D7CC716" w14:textId="451961D8" w:rsidR="003A02C7" w:rsidRPr="00186777" w:rsidRDefault="00C1661F" w:rsidP="003A02C7">
            <w:pPr>
              <w:spacing w:before="40" w:after="80" w:line="240" w:lineRule="atLeast"/>
              <w:ind w:right="113"/>
              <w:rPr>
                <w:spacing w:val="0"/>
                <w:w w:val="100"/>
                <w:lang w:val="es-ES_tradnl"/>
              </w:rPr>
            </w:pPr>
            <w:hyperlink r:id="rId56" w:history="1">
              <w:r w:rsidR="003A02C7" w:rsidRPr="00186777">
                <w:rPr>
                  <w:rStyle w:val="Hyperlink"/>
                  <w:spacing w:val="0"/>
                  <w:w w:val="100"/>
                  <w:lang w:val="es-ES_tradnl"/>
                </w:rPr>
                <w:t>CEDAW/C/NER/3-4</w:t>
              </w:r>
            </w:hyperlink>
          </w:p>
        </w:tc>
        <w:tc>
          <w:tcPr>
            <w:tcW w:w="5040" w:type="dxa"/>
            <w:shd w:val="clear" w:color="auto" w:fill="auto"/>
          </w:tcPr>
          <w:p w14:paraId="56EE690A" w14:textId="00C3BA83" w:rsidR="003A02C7" w:rsidRPr="00186777" w:rsidRDefault="003A02C7" w:rsidP="006E72B9">
            <w:pPr>
              <w:spacing w:before="40" w:after="80" w:line="240" w:lineRule="atLeast"/>
              <w:rPr>
                <w:spacing w:val="-2"/>
                <w:w w:val="100"/>
                <w:lang w:val="es-ES_tradnl"/>
              </w:rPr>
            </w:pPr>
            <w:r w:rsidRPr="00186777">
              <w:rPr>
                <w:spacing w:val="-2"/>
                <w:w w:val="100"/>
                <w:lang w:val="es-ES_tradnl"/>
              </w:rPr>
              <w:t>Informes periódicos tercero y cuarto combinados del Níger</w:t>
            </w:r>
          </w:p>
        </w:tc>
      </w:tr>
      <w:tr w:rsidR="003A02C7" w:rsidRPr="00186777" w14:paraId="542CA137" w14:textId="77777777" w:rsidTr="006E72B9">
        <w:tc>
          <w:tcPr>
            <w:tcW w:w="2430" w:type="dxa"/>
            <w:shd w:val="clear" w:color="auto" w:fill="auto"/>
          </w:tcPr>
          <w:p w14:paraId="2BA8607C" w14:textId="79CB6EDC" w:rsidR="003A02C7" w:rsidRPr="00186777" w:rsidRDefault="00C1661F" w:rsidP="003A02C7">
            <w:pPr>
              <w:spacing w:before="40" w:after="80" w:line="240" w:lineRule="atLeast"/>
              <w:ind w:right="113"/>
              <w:rPr>
                <w:spacing w:val="0"/>
                <w:w w:val="100"/>
                <w:lang w:val="es-ES_tradnl"/>
              </w:rPr>
            </w:pPr>
            <w:hyperlink r:id="rId57" w:history="1">
              <w:r w:rsidR="003A02C7" w:rsidRPr="00186777">
                <w:rPr>
                  <w:rStyle w:val="Hyperlink"/>
                  <w:spacing w:val="0"/>
                  <w:w w:val="100"/>
                  <w:lang w:val="es-ES_tradnl"/>
                </w:rPr>
                <w:t>CEDAW/C/NGA/7-8</w:t>
              </w:r>
            </w:hyperlink>
          </w:p>
        </w:tc>
        <w:tc>
          <w:tcPr>
            <w:tcW w:w="5040" w:type="dxa"/>
            <w:shd w:val="clear" w:color="auto" w:fill="auto"/>
          </w:tcPr>
          <w:p w14:paraId="758A42AB" w14:textId="20F599AA" w:rsidR="003A02C7" w:rsidRPr="00186777" w:rsidRDefault="003A02C7" w:rsidP="006E72B9">
            <w:pPr>
              <w:spacing w:before="40" w:after="80" w:line="240" w:lineRule="atLeast"/>
              <w:rPr>
                <w:spacing w:val="-2"/>
                <w:w w:val="100"/>
                <w:lang w:val="es-ES_tradnl"/>
              </w:rPr>
            </w:pPr>
            <w:r w:rsidRPr="00186777">
              <w:rPr>
                <w:spacing w:val="-2"/>
                <w:w w:val="100"/>
                <w:lang w:val="es-ES_tradnl"/>
              </w:rPr>
              <w:t>Informes periódicos séptimo y octavo combinados de Nigeria</w:t>
            </w:r>
          </w:p>
        </w:tc>
      </w:tr>
      <w:tr w:rsidR="003A02C7" w:rsidRPr="00186777" w14:paraId="07B953C5" w14:textId="77777777" w:rsidTr="006E72B9">
        <w:tc>
          <w:tcPr>
            <w:tcW w:w="2430" w:type="dxa"/>
            <w:shd w:val="clear" w:color="auto" w:fill="auto"/>
          </w:tcPr>
          <w:p w14:paraId="4F31A800" w14:textId="0C68F47F" w:rsidR="003A02C7" w:rsidRPr="00186777" w:rsidRDefault="00C1661F" w:rsidP="003A02C7">
            <w:pPr>
              <w:spacing w:before="40" w:after="80" w:line="240" w:lineRule="atLeast"/>
              <w:ind w:right="113"/>
              <w:rPr>
                <w:spacing w:val="0"/>
                <w:w w:val="100"/>
                <w:lang w:val="es-ES_tradnl"/>
              </w:rPr>
            </w:pPr>
            <w:hyperlink r:id="rId58" w:history="1">
              <w:r w:rsidR="003A02C7" w:rsidRPr="00186777">
                <w:rPr>
                  <w:rStyle w:val="Hyperlink"/>
                  <w:spacing w:val="0"/>
                  <w:w w:val="100"/>
                  <w:lang w:val="es-ES_tradnl"/>
                </w:rPr>
                <w:t>CEDAW/C/ROU/7-8</w:t>
              </w:r>
            </w:hyperlink>
          </w:p>
        </w:tc>
        <w:tc>
          <w:tcPr>
            <w:tcW w:w="5040" w:type="dxa"/>
            <w:shd w:val="clear" w:color="auto" w:fill="auto"/>
          </w:tcPr>
          <w:p w14:paraId="3F06ECDB" w14:textId="7DE1F8A7" w:rsidR="003A02C7" w:rsidRPr="00186777" w:rsidRDefault="003A02C7" w:rsidP="006E72B9">
            <w:pPr>
              <w:spacing w:before="40" w:after="80" w:line="240" w:lineRule="atLeast"/>
              <w:rPr>
                <w:spacing w:val="-2"/>
                <w:w w:val="100"/>
                <w:lang w:val="es-ES_tradnl"/>
              </w:rPr>
            </w:pPr>
            <w:r w:rsidRPr="00186777">
              <w:rPr>
                <w:spacing w:val="-2"/>
                <w:w w:val="100"/>
                <w:lang w:val="es-ES_tradnl"/>
              </w:rPr>
              <w:t>Informes periódicos séptimo y octavo combinados de Rumania</w:t>
            </w:r>
          </w:p>
        </w:tc>
      </w:tr>
      <w:tr w:rsidR="003A02C7" w:rsidRPr="00186777" w14:paraId="768BDB8A" w14:textId="77777777" w:rsidTr="006E72B9">
        <w:tc>
          <w:tcPr>
            <w:tcW w:w="2430" w:type="dxa"/>
            <w:tcBorders>
              <w:bottom w:val="single" w:sz="12" w:space="0" w:color="auto"/>
            </w:tcBorders>
            <w:shd w:val="clear" w:color="auto" w:fill="auto"/>
          </w:tcPr>
          <w:p w14:paraId="6BCF679C" w14:textId="3178684E" w:rsidR="003A02C7" w:rsidRPr="00186777" w:rsidRDefault="00C1661F" w:rsidP="003A02C7">
            <w:pPr>
              <w:spacing w:before="40" w:after="80" w:line="240" w:lineRule="atLeast"/>
              <w:ind w:right="113"/>
              <w:rPr>
                <w:spacing w:val="0"/>
                <w:w w:val="100"/>
                <w:lang w:val="es-ES_tradnl"/>
              </w:rPr>
            </w:pPr>
            <w:hyperlink r:id="rId59" w:history="1">
              <w:r w:rsidR="003A02C7" w:rsidRPr="00186777">
                <w:rPr>
                  <w:rStyle w:val="Hyperlink"/>
                  <w:spacing w:val="0"/>
                  <w:w w:val="100"/>
                  <w:lang w:val="es-ES_tradnl"/>
                </w:rPr>
                <w:t>CEDAW/C/THA/6-7</w:t>
              </w:r>
            </w:hyperlink>
          </w:p>
        </w:tc>
        <w:tc>
          <w:tcPr>
            <w:tcW w:w="5040" w:type="dxa"/>
            <w:tcBorders>
              <w:bottom w:val="single" w:sz="12" w:space="0" w:color="auto"/>
            </w:tcBorders>
            <w:shd w:val="clear" w:color="auto" w:fill="auto"/>
          </w:tcPr>
          <w:p w14:paraId="0EC6AA9C" w14:textId="4F88A135" w:rsidR="003A02C7" w:rsidRPr="00186777" w:rsidRDefault="003A02C7" w:rsidP="006E72B9">
            <w:pPr>
              <w:spacing w:before="40" w:after="80" w:line="240" w:lineRule="atLeast"/>
              <w:rPr>
                <w:spacing w:val="-2"/>
                <w:w w:val="100"/>
                <w:lang w:val="es-ES_tradnl"/>
              </w:rPr>
            </w:pPr>
            <w:r w:rsidRPr="00186777">
              <w:rPr>
                <w:spacing w:val="-2"/>
                <w:w w:val="100"/>
                <w:lang w:val="es-ES_tradnl"/>
              </w:rPr>
              <w:t>Informes periódicos sexto y séptimo combinados de Tailandia</w:t>
            </w:r>
          </w:p>
        </w:tc>
      </w:tr>
    </w:tbl>
    <w:p w14:paraId="7FD301F4" w14:textId="0AA9809A" w:rsidR="003A02C7" w:rsidRPr="00186777" w:rsidRDefault="003A02C7" w:rsidP="006E72B9">
      <w:pPr>
        <w:pStyle w:val="SingleTxt"/>
        <w:spacing w:after="0" w:line="120" w:lineRule="exact"/>
        <w:rPr>
          <w:sz w:val="10"/>
          <w:lang w:val="es-ES_tradnl"/>
        </w:rPr>
      </w:pPr>
    </w:p>
    <w:p w14:paraId="23B75B34" w14:textId="26630E26" w:rsidR="006E72B9" w:rsidRPr="00186777" w:rsidRDefault="006E72B9" w:rsidP="006E72B9">
      <w:pPr>
        <w:pStyle w:val="SingleTxt"/>
        <w:spacing w:after="0" w:line="120" w:lineRule="exact"/>
        <w:rPr>
          <w:sz w:val="10"/>
          <w:lang w:val="es-ES_tradnl"/>
        </w:rPr>
      </w:pPr>
    </w:p>
    <w:p w14:paraId="4122816D" w14:textId="2E06483F" w:rsidR="006E72B9" w:rsidRPr="00186777" w:rsidRDefault="006E72B9" w:rsidP="003A02C7">
      <w:pPr>
        <w:pStyle w:val="SingleTxt"/>
        <w:rPr>
          <w:lang w:val="es-ES_tradnl"/>
        </w:rPr>
      </w:pPr>
    </w:p>
    <w:p w14:paraId="420E74D3" w14:textId="0E0518E8" w:rsidR="006E72B9" w:rsidRPr="00186777" w:rsidRDefault="006E72B9">
      <w:pPr>
        <w:suppressAutoHyphens w:val="0"/>
        <w:spacing w:after="200" w:line="276" w:lineRule="auto"/>
        <w:rPr>
          <w:kern w:val="14"/>
          <w:lang w:val="es-ES_tradnl"/>
        </w:rPr>
      </w:pPr>
      <w:r w:rsidRPr="00186777">
        <w:rPr>
          <w:lang w:val="es-ES_tradnl"/>
        </w:rPr>
        <w:br w:type="page"/>
      </w:r>
    </w:p>
    <w:p w14:paraId="2D951B59" w14:textId="77777777" w:rsidR="00AA6F33" w:rsidRPr="00186777" w:rsidRDefault="00AA6F33" w:rsidP="00C45E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ab/>
        <w:t>Segunda parte</w:t>
      </w:r>
    </w:p>
    <w:p w14:paraId="4C46FDF9" w14:textId="7E6FBC30" w:rsidR="00AA6F33" w:rsidRPr="00186777" w:rsidRDefault="00AA6F33" w:rsidP="00C45E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Informe del Comité para la Eliminación de la Discriminación contra la Mujer sobre su 68º período de sesiones</w:t>
      </w:r>
    </w:p>
    <w:p w14:paraId="1F938A15" w14:textId="6E5A658F" w:rsidR="00C45E41" w:rsidRPr="00186777" w:rsidRDefault="00C45E41" w:rsidP="00C45E41">
      <w:pPr>
        <w:pStyle w:val="SingleTxt"/>
        <w:spacing w:after="0" w:line="120" w:lineRule="exact"/>
        <w:rPr>
          <w:sz w:val="10"/>
          <w:lang w:val="es-ES_tradnl"/>
        </w:rPr>
      </w:pPr>
    </w:p>
    <w:p w14:paraId="1CF7053B" w14:textId="279A6A3D" w:rsidR="00C45E41" w:rsidRPr="00186777" w:rsidRDefault="00C45E41" w:rsidP="00C45E41">
      <w:pPr>
        <w:pStyle w:val="SingleTxt"/>
        <w:spacing w:after="0" w:line="120" w:lineRule="exact"/>
        <w:rPr>
          <w:sz w:val="10"/>
          <w:lang w:val="es-ES_tradnl"/>
        </w:rPr>
      </w:pPr>
    </w:p>
    <w:p w14:paraId="5A8A0EB9" w14:textId="2E74CF68" w:rsidR="00AA6F33" w:rsidRPr="00186777" w:rsidRDefault="00AA6F33" w:rsidP="00C45E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 xml:space="preserve">23 de octubre a 17 de noviembre de 2017 </w:t>
      </w:r>
    </w:p>
    <w:p w14:paraId="52458998" w14:textId="165794A5" w:rsidR="00C45E41" w:rsidRPr="00186777" w:rsidRDefault="00C45E41" w:rsidP="00C45E41">
      <w:pPr>
        <w:pStyle w:val="SingleTxt"/>
        <w:rPr>
          <w:lang w:val="es-ES_tradnl"/>
        </w:rPr>
      </w:pPr>
    </w:p>
    <w:p w14:paraId="1477D4A2" w14:textId="77777777" w:rsidR="00214419" w:rsidRPr="00186777" w:rsidRDefault="00214419" w:rsidP="00C45E41">
      <w:pPr>
        <w:pStyle w:val="SingleTxt"/>
        <w:rPr>
          <w:lang w:val="es-ES_tradnl"/>
        </w:rPr>
      </w:pPr>
    </w:p>
    <w:p w14:paraId="40DCA50A" w14:textId="03D22755" w:rsidR="00C45E41" w:rsidRPr="00186777" w:rsidRDefault="00C45E41">
      <w:pPr>
        <w:suppressAutoHyphens w:val="0"/>
        <w:spacing w:after="200" w:line="276" w:lineRule="auto"/>
        <w:rPr>
          <w:kern w:val="14"/>
          <w:lang w:val="es-ES_tradnl"/>
        </w:rPr>
      </w:pPr>
      <w:r w:rsidRPr="00186777">
        <w:rPr>
          <w:lang w:val="es-ES_tradnl"/>
        </w:rPr>
        <w:br w:type="page"/>
      </w:r>
    </w:p>
    <w:p w14:paraId="7D63C42B" w14:textId="10F04A83" w:rsidR="00AA6F33" w:rsidRPr="00186777" w:rsidRDefault="00AA6F33" w:rsidP="00C45E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w:t>
      </w:r>
    </w:p>
    <w:p w14:paraId="77699436" w14:textId="77777777" w:rsidR="00AA6F33" w:rsidRPr="00186777" w:rsidRDefault="00AA6F33" w:rsidP="00C45E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 xml:space="preserve">Decisiones adoptadas por el Comité </w:t>
      </w:r>
    </w:p>
    <w:p w14:paraId="4392F767" w14:textId="4DA7C2CB" w:rsidR="00C45E41" w:rsidRPr="00186777" w:rsidRDefault="00C45E41" w:rsidP="00C45E41">
      <w:pPr>
        <w:pStyle w:val="SingleTxt"/>
        <w:spacing w:after="0" w:line="120" w:lineRule="exact"/>
        <w:rPr>
          <w:b/>
          <w:sz w:val="10"/>
          <w:lang w:val="es-ES_tradnl"/>
        </w:rPr>
      </w:pPr>
    </w:p>
    <w:p w14:paraId="37E8D71D" w14:textId="77777777" w:rsidR="00C45E41" w:rsidRPr="00186777" w:rsidRDefault="00C45E41" w:rsidP="00C45E41">
      <w:pPr>
        <w:pStyle w:val="SingleTxt"/>
        <w:spacing w:after="0" w:line="120" w:lineRule="exact"/>
        <w:rPr>
          <w:b/>
          <w:sz w:val="10"/>
          <w:lang w:val="es-ES_tradnl"/>
        </w:rPr>
      </w:pPr>
    </w:p>
    <w:p w14:paraId="2867DFB8" w14:textId="0E9CEF37" w:rsidR="00AA6F33" w:rsidRPr="00186777" w:rsidRDefault="00AA6F33" w:rsidP="00C45E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68/I</w:t>
      </w:r>
    </w:p>
    <w:p w14:paraId="6725608B" w14:textId="77777777" w:rsidR="00C45E41" w:rsidRPr="00186777" w:rsidRDefault="00C45E41" w:rsidP="00C45E41">
      <w:pPr>
        <w:pStyle w:val="SingleTxt"/>
        <w:spacing w:after="0" w:line="120" w:lineRule="exact"/>
        <w:rPr>
          <w:sz w:val="10"/>
          <w:lang w:val="es-ES_tradnl"/>
        </w:rPr>
      </w:pPr>
    </w:p>
    <w:p w14:paraId="33FE5250" w14:textId="73464CB4" w:rsidR="00AA6F33" w:rsidRPr="00186777" w:rsidRDefault="00C45E41" w:rsidP="00AA6F33">
      <w:pPr>
        <w:pStyle w:val="SingleTxt"/>
        <w:rPr>
          <w:lang w:val="es-ES_tradnl"/>
        </w:rPr>
      </w:pPr>
      <w:r w:rsidRPr="00186777">
        <w:rPr>
          <w:lang w:val="es-ES_tradnl"/>
        </w:rPr>
        <w:tab/>
      </w:r>
      <w:r w:rsidR="00AA6F33" w:rsidRPr="00186777">
        <w:rPr>
          <w:lang w:val="es-ES_tradnl"/>
        </w:rPr>
        <w:t>El 16 de noviembre de 2017, el Comité aprobó la recomendación general núm. 36 (2017) sobre el derecho de las niñas y las mujeres a la educación (</w:t>
      </w:r>
      <w:hyperlink r:id="rId60" w:history="1">
        <w:r w:rsidR="00AA6F33" w:rsidRPr="00794DB5">
          <w:rPr>
            <w:rStyle w:val="Hyperlink"/>
            <w:lang w:val="es-ES_tradnl"/>
          </w:rPr>
          <w:t>CEDAW/C/GC/36</w:t>
        </w:r>
      </w:hyperlink>
      <w:r w:rsidR="00AA6F33" w:rsidRPr="00186777">
        <w:rPr>
          <w:lang w:val="es-ES_tradnl"/>
        </w:rPr>
        <w:t>), por consenso.</w:t>
      </w:r>
    </w:p>
    <w:p w14:paraId="57567C3F" w14:textId="77777777" w:rsidR="00C45E41" w:rsidRPr="00186777" w:rsidRDefault="00C45E41" w:rsidP="00C45E41">
      <w:pPr>
        <w:pStyle w:val="SingleTxt"/>
        <w:spacing w:after="0" w:line="120" w:lineRule="exact"/>
        <w:rPr>
          <w:b/>
          <w:sz w:val="10"/>
          <w:lang w:val="es-ES_tradnl"/>
        </w:rPr>
      </w:pPr>
    </w:p>
    <w:p w14:paraId="3EA890F1" w14:textId="4BDF9E8E" w:rsidR="00AA6F33" w:rsidRPr="00186777" w:rsidRDefault="00AA6F33" w:rsidP="00C45E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68/II</w:t>
      </w:r>
    </w:p>
    <w:p w14:paraId="55E42F71" w14:textId="77777777" w:rsidR="00C45E41" w:rsidRPr="00186777" w:rsidRDefault="00C45E41" w:rsidP="00C45E41">
      <w:pPr>
        <w:pStyle w:val="SingleTxt"/>
        <w:spacing w:after="0" w:line="120" w:lineRule="exact"/>
        <w:rPr>
          <w:sz w:val="10"/>
          <w:lang w:val="es-ES_tradnl"/>
        </w:rPr>
      </w:pPr>
    </w:p>
    <w:p w14:paraId="63CD4B22" w14:textId="1ABFB960" w:rsidR="00AA6F33" w:rsidRPr="00186777" w:rsidRDefault="00C45E41" w:rsidP="00AA6F33">
      <w:pPr>
        <w:pStyle w:val="SingleTxt"/>
        <w:rPr>
          <w:lang w:val="es-ES_tradnl"/>
        </w:rPr>
      </w:pPr>
      <w:r w:rsidRPr="00186777">
        <w:rPr>
          <w:lang w:val="es-ES_tradnl"/>
        </w:rPr>
        <w:tab/>
      </w:r>
      <w:r w:rsidR="00AA6F33" w:rsidRPr="00186777">
        <w:rPr>
          <w:lang w:val="es-ES_tradnl"/>
        </w:rPr>
        <w:t>De conformidad con el artículo 18 1) b) de la Convención y su decisión 21/I, el Comité decidió solicitar al Gobierno de Myanmar que presentara un informe con carácter excepcional, en un plazo de seis meses, sobre la situación de las mujeres y las niñas rohinyás en el norte del estado de Rakáin.</w:t>
      </w:r>
    </w:p>
    <w:p w14:paraId="2775E4DB" w14:textId="77777777" w:rsidR="00C45E41" w:rsidRPr="00186777" w:rsidRDefault="00C45E41" w:rsidP="00C45E41">
      <w:pPr>
        <w:pStyle w:val="SingleTxt"/>
        <w:spacing w:after="0" w:line="120" w:lineRule="exact"/>
        <w:rPr>
          <w:b/>
          <w:sz w:val="10"/>
          <w:lang w:val="es-ES_tradnl"/>
        </w:rPr>
      </w:pPr>
    </w:p>
    <w:p w14:paraId="55C85288" w14:textId="43517803" w:rsidR="00AA6F33" w:rsidRPr="00186777" w:rsidRDefault="00AA6F33" w:rsidP="00C45E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68/III</w:t>
      </w:r>
    </w:p>
    <w:p w14:paraId="0270A8FA" w14:textId="77777777" w:rsidR="00C45E41" w:rsidRPr="00186777" w:rsidRDefault="00C45E41" w:rsidP="00C45E41">
      <w:pPr>
        <w:pStyle w:val="SingleTxt"/>
        <w:spacing w:after="0" w:line="120" w:lineRule="exact"/>
        <w:rPr>
          <w:sz w:val="10"/>
          <w:lang w:val="es-ES_tradnl"/>
        </w:rPr>
      </w:pPr>
    </w:p>
    <w:p w14:paraId="6B8BD0AC" w14:textId="6AF98375" w:rsidR="00C45E41" w:rsidRPr="00186777" w:rsidRDefault="00C45E41" w:rsidP="00AA6F33">
      <w:pPr>
        <w:pStyle w:val="SingleTxt"/>
        <w:rPr>
          <w:lang w:val="es-ES_tradnl"/>
        </w:rPr>
      </w:pPr>
      <w:r w:rsidRPr="00186777">
        <w:rPr>
          <w:lang w:val="es-ES_tradnl"/>
        </w:rPr>
        <w:tab/>
      </w:r>
      <w:r w:rsidR="00AA6F33" w:rsidRPr="00186777">
        <w:rPr>
          <w:lang w:val="es-ES_tradnl"/>
        </w:rPr>
        <w:t>El Comité recordó su decisión de aplazar, a petición del Estado parte, su examen de los informes periódicos séptimo y octavo combinados del Yemen (</w:t>
      </w:r>
      <w:hyperlink r:id="rId61" w:history="1">
        <w:r w:rsidR="00AA6F33" w:rsidRPr="00794DB5">
          <w:rPr>
            <w:rStyle w:val="Hyperlink"/>
            <w:lang w:val="es-ES_tradnl"/>
          </w:rPr>
          <w:t>CEDAW/C/YEM/7-8</w:t>
        </w:r>
      </w:hyperlink>
      <w:r w:rsidR="00AA6F33" w:rsidRPr="00186777">
        <w:rPr>
          <w:lang w:val="es-ES_tradnl"/>
        </w:rPr>
        <w:t>), recibidos en junio de 2013, y decidió determinar las modalidades para el examen urgente de la situación de las mujeres y las niñas en el Yemen en su 69º período de sesiones.</w:t>
      </w:r>
    </w:p>
    <w:p w14:paraId="6FE74CD3" w14:textId="77777777" w:rsidR="00C45E41" w:rsidRPr="00186777" w:rsidRDefault="00C45E41" w:rsidP="00C45E41">
      <w:pPr>
        <w:pStyle w:val="SingleTxt"/>
        <w:spacing w:after="0" w:line="120" w:lineRule="exact"/>
        <w:rPr>
          <w:sz w:val="10"/>
          <w:lang w:val="es-ES_tradnl"/>
        </w:rPr>
      </w:pPr>
    </w:p>
    <w:p w14:paraId="01131CED" w14:textId="7F580C93" w:rsidR="00AA6F33" w:rsidRPr="00186777" w:rsidRDefault="00AA6F33" w:rsidP="00C45E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68/IV</w:t>
      </w:r>
    </w:p>
    <w:p w14:paraId="7F60425D" w14:textId="77777777" w:rsidR="00C45E41" w:rsidRPr="00186777" w:rsidRDefault="00C45E41" w:rsidP="00C45E41">
      <w:pPr>
        <w:pStyle w:val="SingleTxt"/>
        <w:spacing w:after="0" w:line="120" w:lineRule="exact"/>
        <w:rPr>
          <w:sz w:val="10"/>
          <w:lang w:val="es-ES_tradnl"/>
        </w:rPr>
      </w:pPr>
    </w:p>
    <w:p w14:paraId="560B0E6A" w14:textId="77777777" w:rsidR="00C45E41" w:rsidRPr="00186777" w:rsidRDefault="00C45E41" w:rsidP="00AA6F33">
      <w:pPr>
        <w:pStyle w:val="SingleTxt"/>
        <w:rPr>
          <w:lang w:val="es-ES_tradnl"/>
        </w:rPr>
      </w:pPr>
      <w:r w:rsidRPr="00186777">
        <w:rPr>
          <w:lang w:val="es-ES_tradnl"/>
        </w:rPr>
        <w:tab/>
      </w:r>
      <w:r w:rsidR="00AA6F33" w:rsidRPr="00186777">
        <w:rPr>
          <w:lang w:val="es-ES_tradnl"/>
        </w:rPr>
        <w:t>El Comité decidió modificar el segundo párrafo introductorio de sus observaciones finales insertando una referencia a la presentación, de haberla, por el Estado parte de información por escrito sobre las medidas adoptadas para aplicar las recomendaciones respecto de las que se señalara en anteriores observaciones finales del Comité que había que actuar inmediatamente. Si un Estado parte no presentara ese informe de seguimiento, el Comité expresaría pesar por dicho incumplimiento en el párrafo estándar sobre el seguimiento en las observaciones finales.</w:t>
      </w:r>
    </w:p>
    <w:p w14:paraId="48EB966A" w14:textId="77777777" w:rsidR="00C45E41" w:rsidRPr="00186777" w:rsidRDefault="00C45E41" w:rsidP="00C45E41">
      <w:pPr>
        <w:pStyle w:val="SingleTxt"/>
        <w:spacing w:after="0" w:line="120" w:lineRule="exact"/>
        <w:rPr>
          <w:sz w:val="10"/>
          <w:lang w:val="es-ES_tradnl"/>
        </w:rPr>
      </w:pPr>
    </w:p>
    <w:p w14:paraId="55496AB1" w14:textId="7CEDC6AB" w:rsidR="00AA6F33" w:rsidRPr="00186777" w:rsidRDefault="00AA6F33" w:rsidP="00C45E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68/V</w:t>
      </w:r>
    </w:p>
    <w:p w14:paraId="5D347210" w14:textId="77777777" w:rsidR="00C45E41" w:rsidRPr="00186777" w:rsidRDefault="00C45E41" w:rsidP="00C45E41">
      <w:pPr>
        <w:pStyle w:val="SingleTxt"/>
        <w:spacing w:after="0" w:line="120" w:lineRule="exact"/>
        <w:rPr>
          <w:sz w:val="10"/>
          <w:lang w:val="es-ES_tradnl"/>
        </w:rPr>
      </w:pPr>
    </w:p>
    <w:p w14:paraId="7C8EE3C9" w14:textId="01351944" w:rsidR="00AA6F33" w:rsidRPr="00186777" w:rsidRDefault="00C45E41" w:rsidP="00AA6F33">
      <w:pPr>
        <w:pStyle w:val="SingleTxt"/>
        <w:rPr>
          <w:lang w:val="es-ES_tradnl"/>
        </w:rPr>
      </w:pPr>
      <w:r w:rsidRPr="00186777">
        <w:rPr>
          <w:lang w:val="es-ES_tradnl"/>
        </w:rPr>
        <w:tab/>
      </w:r>
      <w:r w:rsidR="00AA6F33" w:rsidRPr="00186777">
        <w:rPr>
          <w:lang w:val="es-ES_tradnl"/>
        </w:rPr>
        <w:t xml:space="preserve">El Comité modificó el modelo de nota informativa para los relatores para los países que figura en el anexo de su decisión 52/II (véase </w:t>
      </w:r>
      <w:hyperlink r:id="rId62" w:history="1">
        <w:r w:rsidR="00AA6F33" w:rsidRPr="00794DB5">
          <w:rPr>
            <w:rStyle w:val="Hyperlink"/>
            <w:lang w:val="es-ES_tradnl"/>
          </w:rPr>
          <w:t>A/68/38</w:t>
        </w:r>
      </w:hyperlink>
      <w:r w:rsidR="00AA6F33" w:rsidRPr="00186777">
        <w:rPr>
          <w:lang w:val="es-ES_tradnl"/>
        </w:rPr>
        <w:t>, primera parte, anexo II, apéndice) a fin de incluir, en la sección I, una referencia a la presentación o no presentación por el Estado parte correspondiente de información por escrito sobre las medidas adoptadas para aplicar las recomendaciones formuladas para la adopción de medidas inmediatas en las anteriores observaciones finales del Comité. El Comité también decidió que, en caso de que ese informe de seguimiento se hubiera presentado, una referencia a la evaluación del informe de seguimiento por el Relator para el seguimiento de las observaciones finales debería incluirse en la nota informativa preparada por el Relator para el país.</w:t>
      </w:r>
    </w:p>
    <w:p w14:paraId="2909B9AA" w14:textId="77777777" w:rsidR="00C45E41" w:rsidRPr="00186777" w:rsidRDefault="00C45E41" w:rsidP="00C45E41">
      <w:pPr>
        <w:pStyle w:val="SingleTxt"/>
        <w:spacing w:after="0" w:line="120" w:lineRule="exact"/>
        <w:rPr>
          <w:sz w:val="10"/>
          <w:lang w:val="es-ES_tradnl"/>
        </w:rPr>
      </w:pPr>
    </w:p>
    <w:p w14:paraId="10C5995F" w14:textId="2FDF6A9C" w:rsidR="00AA6F33" w:rsidRPr="00186777" w:rsidRDefault="00AA6F33" w:rsidP="00C45E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68/VI</w:t>
      </w:r>
    </w:p>
    <w:p w14:paraId="350576CC" w14:textId="77777777" w:rsidR="00C45E41" w:rsidRPr="00186777" w:rsidRDefault="00C45E41" w:rsidP="00C45E41">
      <w:pPr>
        <w:pStyle w:val="SingleTxt"/>
        <w:spacing w:after="0" w:line="120" w:lineRule="exact"/>
        <w:rPr>
          <w:sz w:val="10"/>
          <w:lang w:val="es-ES_tradnl"/>
        </w:rPr>
      </w:pPr>
    </w:p>
    <w:p w14:paraId="07999507" w14:textId="6D16FF9F" w:rsidR="00AA6F33" w:rsidRPr="00186777" w:rsidRDefault="00C45E41" w:rsidP="00AA6F33">
      <w:pPr>
        <w:pStyle w:val="SingleTxt"/>
        <w:rPr>
          <w:lang w:val="es-ES_tradnl"/>
        </w:rPr>
      </w:pPr>
      <w:r w:rsidRPr="00186777">
        <w:rPr>
          <w:lang w:val="es-ES_tradnl"/>
        </w:rPr>
        <w:tab/>
      </w:r>
      <w:r w:rsidR="00AA6F33" w:rsidRPr="00186777">
        <w:rPr>
          <w:lang w:val="es-ES_tradnl"/>
        </w:rPr>
        <w:t xml:space="preserve">El Comité enmendó su metodología del procedimiento de seguimiento de las observaciones finales (véase </w:t>
      </w:r>
      <w:hyperlink r:id="rId63" w:history="1">
        <w:r w:rsidR="00AA6F33" w:rsidRPr="00794DB5">
          <w:rPr>
            <w:rStyle w:val="Hyperlink"/>
            <w:lang w:val="es-ES_tradnl"/>
          </w:rPr>
          <w:t>A/68/38</w:t>
        </w:r>
      </w:hyperlink>
      <w:r w:rsidR="00AA6F33" w:rsidRPr="00186777">
        <w:rPr>
          <w:lang w:val="es-ES_tradnl"/>
        </w:rPr>
        <w:t>, tercera parte, anexo III), como ya se había enmendado en la decisión 54/IX, mediante la introducción de dos nuevas categorías en las categorías que figuran en el párrafo 3 de la metodología y en la sección III de la nota informativa sobre el procedimiento para los Estados partes y otros interesados sobre la presentación de informes en el marco del procedimiento de seguimiento (</w:t>
      </w:r>
      <w:r w:rsidR="00AA6F33" w:rsidRPr="00054806">
        <w:rPr>
          <w:i/>
          <w:iCs/>
          <w:lang w:val="es-ES_tradnl"/>
        </w:rPr>
        <w:t>ibid</w:t>
      </w:r>
      <w:r w:rsidR="00AA6F33" w:rsidRPr="00186777">
        <w:rPr>
          <w:lang w:val="es-ES_tradnl"/>
        </w:rPr>
        <w:t>., apéndice):</w:t>
      </w:r>
    </w:p>
    <w:p w14:paraId="29F6D3E8" w14:textId="258B4284" w:rsidR="00AA6F33" w:rsidRPr="00186777" w:rsidRDefault="00C45E41" w:rsidP="00C45E41">
      <w:pPr>
        <w:pStyle w:val="SingleTxt"/>
        <w:tabs>
          <w:tab w:val="right" w:pos="1685"/>
        </w:tabs>
        <w:ind w:left="1742" w:hanging="475"/>
        <w:rPr>
          <w:lang w:val="es-ES_tradnl"/>
        </w:rPr>
      </w:pPr>
      <w:r w:rsidRPr="00186777">
        <w:rPr>
          <w:lang w:val="es-ES_tradnl"/>
        </w:rPr>
        <w:lastRenderedPageBreak/>
        <w:tab/>
        <w:t>•</w:t>
      </w:r>
      <w:r w:rsidRPr="00186777">
        <w:rPr>
          <w:lang w:val="es-ES_tradnl"/>
        </w:rPr>
        <w:tab/>
      </w:r>
      <w:r w:rsidR="00186777">
        <w:rPr>
          <w:lang w:val="es-ES_tradnl"/>
        </w:rPr>
        <w:t>“</w:t>
      </w:r>
      <w:r w:rsidR="00AA6F33" w:rsidRPr="00186777">
        <w:rPr>
          <w:lang w:val="es-ES_tradnl"/>
        </w:rPr>
        <w:t>Aplicada sustancialmente</w:t>
      </w:r>
      <w:r w:rsidR="00186777">
        <w:rPr>
          <w:lang w:val="es-ES_tradnl"/>
        </w:rPr>
        <w:t>”</w:t>
      </w:r>
      <w:r w:rsidR="00AA6F33" w:rsidRPr="00186777">
        <w:rPr>
          <w:lang w:val="es-ES_tradnl"/>
        </w:rPr>
        <w:t xml:space="preserve"> indica que el Estado parte ha presentado pruebas de que se han adoptado medidas importantes para aplicar la recomendación formulada por el Comité, pero que no responde plenamente a la recomendación; en ese caso, el Relator para el seguimiento no solicita información adicional al Estado parte.</w:t>
      </w:r>
    </w:p>
    <w:p w14:paraId="7D2C451E" w14:textId="396FA83E" w:rsidR="00AA6F33" w:rsidRPr="00186777" w:rsidRDefault="00C45E41" w:rsidP="00C45E41">
      <w:pPr>
        <w:pStyle w:val="SingleTxt"/>
        <w:tabs>
          <w:tab w:val="right" w:pos="1685"/>
        </w:tabs>
        <w:ind w:left="1742" w:hanging="475"/>
        <w:rPr>
          <w:lang w:val="es-ES_tradnl"/>
        </w:rPr>
      </w:pPr>
      <w:r w:rsidRPr="00186777">
        <w:rPr>
          <w:lang w:val="es-ES_tradnl"/>
        </w:rPr>
        <w:tab/>
        <w:t>•</w:t>
      </w:r>
      <w:r w:rsidRPr="00186777">
        <w:rPr>
          <w:lang w:val="es-ES_tradnl"/>
        </w:rPr>
        <w:tab/>
      </w:r>
      <w:r w:rsidR="00186777">
        <w:rPr>
          <w:lang w:val="es-ES_tradnl"/>
        </w:rPr>
        <w:t>“</w:t>
      </w:r>
      <w:r w:rsidR="00AA6F33" w:rsidRPr="00186777">
        <w:rPr>
          <w:lang w:val="es-ES_tradnl"/>
        </w:rPr>
        <w:t>La información o las medidas adoptadas contravienen o reflejan un rechazo de la recomendación</w:t>
      </w:r>
      <w:r w:rsidR="00186777">
        <w:rPr>
          <w:lang w:val="es-ES_tradnl"/>
        </w:rPr>
        <w:t>”</w:t>
      </w:r>
      <w:r w:rsidR="00AA6F33" w:rsidRPr="00186777">
        <w:rPr>
          <w:lang w:val="es-ES_tradnl"/>
        </w:rPr>
        <w:t xml:space="preserve"> indica que el Estado parte no ha adoptado medidas, reforzando así las preocupaciones del Comité, o demuestra que el Estado parte rechaza las recomendaciones formuladas por el Comité; en ese caso, el Relator para el seguimiento solicita información sobre las medidas adoptadas para aplicar la recomendación dentro de un plazo específico o en el siguiente informe periódico.</w:t>
      </w:r>
    </w:p>
    <w:p w14:paraId="7A5FF65C" w14:textId="77777777" w:rsidR="00C45E41" w:rsidRPr="00186777" w:rsidRDefault="00C45E41" w:rsidP="00C45E41">
      <w:pPr>
        <w:pStyle w:val="SingleTxt"/>
        <w:spacing w:after="0" w:line="120" w:lineRule="exact"/>
        <w:rPr>
          <w:b/>
          <w:sz w:val="10"/>
          <w:lang w:val="es-ES_tradnl"/>
        </w:rPr>
      </w:pPr>
    </w:p>
    <w:p w14:paraId="266487EF" w14:textId="44152602" w:rsidR="00AA6F33" w:rsidRPr="00186777" w:rsidRDefault="00AA6F33" w:rsidP="00C45E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68/VII</w:t>
      </w:r>
    </w:p>
    <w:p w14:paraId="3DC60E72" w14:textId="77777777" w:rsidR="00C45E41" w:rsidRPr="00186777" w:rsidRDefault="00C45E41" w:rsidP="00C45E41">
      <w:pPr>
        <w:pStyle w:val="SingleTxt"/>
        <w:spacing w:after="0" w:line="120" w:lineRule="exact"/>
        <w:rPr>
          <w:sz w:val="10"/>
          <w:lang w:val="es-ES_tradnl"/>
        </w:rPr>
      </w:pPr>
    </w:p>
    <w:p w14:paraId="60CB03D9" w14:textId="77777777" w:rsidR="00C45E41" w:rsidRPr="00186777" w:rsidRDefault="00C45E41" w:rsidP="00AA6F33">
      <w:pPr>
        <w:pStyle w:val="SingleTxt"/>
        <w:rPr>
          <w:lang w:val="es-ES_tradnl"/>
        </w:rPr>
      </w:pPr>
      <w:r w:rsidRPr="00186777">
        <w:rPr>
          <w:lang w:val="es-ES_tradnl"/>
        </w:rPr>
        <w:tab/>
      </w:r>
      <w:r w:rsidR="00AA6F33" w:rsidRPr="00186777">
        <w:rPr>
          <w:lang w:val="es-ES_tradnl"/>
        </w:rPr>
        <w:t xml:space="preserve">El Comité confirmó a los miembros integrantes del grupo de trabajo anterior al 67º período de sesiones, a saber, Gladys Acosta Vargas, Nicole Ameline, Lia Nadaraia, Bandana Rana y Aicha Vall Verges (en sustitución de Theodora Oby Nwankwo). </w:t>
      </w:r>
    </w:p>
    <w:p w14:paraId="03E589B1" w14:textId="77777777" w:rsidR="00C45E41" w:rsidRPr="00186777" w:rsidRDefault="00C45E41" w:rsidP="00AA6F33">
      <w:pPr>
        <w:pStyle w:val="SingleTxt"/>
        <w:rPr>
          <w:lang w:val="es-ES_tradnl"/>
        </w:rPr>
      </w:pPr>
    </w:p>
    <w:p w14:paraId="0425E41C" w14:textId="77777777" w:rsidR="00C45E41" w:rsidRPr="00186777" w:rsidRDefault="00C45E41">
      <w:pPr>
        <w:suppressAutoHyphens w:val="0"/>
        <w:spacing w:after="200" w:line="276" w:lineRule="auto"/>
        <w:rPr>
          <w:kern w:val="14"/>
          <w:lang w:val="es-ES_tradnl"/>
        </w:rPr>
      </w:pPr>
      <w:r w:rsidRPr="00186777">
        <w:rPr>
          <w:lang w:val="es-ES_tradnl"/>
        </w:rPr>
        <w:br w:type="page"/>
      </w:r>
    </w:p>
    <w:p w14:paraId="79BFB55C" w14:textId="7AA3BDCF" w:rsidR="00AA6F33" w:rsidRPr="00186777" w:rsidRDefault="00C45E41" w:rsidP="00C45E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w:t>
      </w:r>
      <w:r w:rsidR="00AA6F33" w:rsidRPr="00186777">
        <w:rPr>
          <w:lang w:val="es-ES_tradnl"/>
        </w:rPr>
        <w:t>apítulo II</w:t>
      </w:r>
    </w:p>
    <w:p w14:paraId="4A9D8CF2" w14:textId="1FB15781" w:rsidR="00AA6F33" w:rsidRPr="00186777" w:rsidRDefault="00AA6F33" w:rsidP="00C45E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Cuestiones de organización y otros asuntos</w:t>
      </w:r>
    </w:p>
    <w:p w14:paraId="7176A343" w14:textId="2AD14570" w:rsidR="00C45E41" w:rsidRPr="00186777" w:rsidRDefault="00C45E41" w:rsidP="00C45E41">
      <w:pPr>
        <w:pStyle w:val="SingleTxt"/>
        <w:spacing w:after="0" w:line="120" w:lineRule="exact"/>
        <w:rPr>
          <w:sz w:val="10"/>
          <w:lang w:val="es-ES_tradnl"/>
        </w:rPr>
      </w:pPr>
    </w:p>
    <w:p w14:paraId="3961A896" w14:textId="42312C5E" w:rsidR="00C45E41" w:rsidRPr="00186777" w:rsidRDefault="00C45E41" w:rsidP="00C45E41">
      <w:pPr>
        <w:pStyle w:val="SingleTxt"/>
        <w:spacing w:after="0" w:line="120" w:lineRule="exact"/>
        <w:rPr>
          <w:sz w:val="10"/>
          <w:lang w:val="es-ES_tradnl"/>
        </w:rPr>
      </w:pPr>
    </w:p>
    <w:p w14:paraId="193509F1" w14:textId="402AC744" w:rsidR="00AA6F33" w:rsidRPr="00186777" w:rsidRDefault="00C45E41" w:rsidP="00C45E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A.</w:t>
      </w:r>
      <w:r w:rsidR="00AA6F33" w:rsidRPr="00186777">
        <w:rPr>
          <w:lang w:val="es-ES_tradnl"/>
        </w:rPr>
        <w:tab/>
        <w:t>Estados partes en la Convención y en el Protocolo Facultativo</w:t>
      </w:r>
    </w:p>
    <w:p w14:paraId="74E859E6" w14:textId="77777777" w:rsidR="00C45E41" w:rsidRPr="00186777" w:rsidRDefault="00C45E41" w:rsidP="00C45E41">
      <w:pPr>
        <w:pStyle w:val="SingleTxt"/>
        <w:spacing w:after="0" w:line="120" w:lineRule="exact"/>
        <w:rPr>
          <w:sz w:val="10"/>
          <w:lang w:val="es-ES_tradnl"/>
        </w:rPr>
      </w:pPr>
    </w:p>
    <w:p w14:paraId="59292E84" w14:textId="77777777" w:rsidR="00C45E41" w:rsidRPr="00186777" w:rsidRDefault="00C45E41" w:rsidP="00C45E41">
      <w:pPr>
        <w:pStyle w:val="SingleTxt"/>
        <w:spacing w:after="0" w:line="120" w:lineRule="exact"/>
        <w:rPr>
          <w:sz w:val="10"/>
          <w:lang w:val="es-ES_tradnl"/>
        </w:rPr>
      </w:pPr>
    </w:p>
    <w:p w14:paraId="22CB16DA" w14:textId="6A4B2105" w:rsidR="00AA6F33" w:rsidRPr="00186777" w:rsidRDefault="00AA6F33" w:rsidP="00113F7A">
      <w:pPr>
        <w:pStyle w:val="SingleTxt"/>
        <w:numPr>
          <w:ilvl w:val="0"/>
          <w:numId w:val="9"/>
        </w:numPr>
        <w:tabs>
          <w:tab w:val="clear" w:pos="475"/>
          <w:tab w:val="right" w:pos="1022"/>
        </w:tabs>
        <w:ind w:left="1267" w:right="1260"/>
        <w:rPr>
          <w:lang w:val="es-ES_tradnl"/>
        </w:rPr>
      </w:pPr>
      <w:r w:rsidRPr="00186777">
        <w:rPr>
          <w:lang w:val="es-ES_tradnl"/>
        </w:rPr>
        <w:t>Al 17 de noviembre de 2017, fecha de clausura del 68º período de sesiones del Comité, el estado de ratificación de la Convención (189 Estados partes) era el mismo que al 21 de julio de 2016, fecha de clausura del 67º período de sesiones. Un Estado parte más había aceptado la enmienda del párrafo 1 del artículo 20 de la Convención, relativo al tiempo asignado a las reuniones del Comité, con lo que el número total de Estados partes que han aceptado la enmienda asciende a 72.</w:t>
      </w:r>
    </w:p>
    <w:p w14:paraId="64387ACA" w14:textId="521241A4" w:rsidR="00AA6F33" w:rsidRPr="00186777" w:rsidRDefault="00AA6F33" w:rsidP="00113F7A">
      <w:pPr>
        <w:pStyle w:val="SingleTxt"/>
        <w:numPr>
          <w:ilvl w:val="0"/>
          <w:numId w:val="9"/>
        </w:numPr>
        <w:ind w:left="1267"/>
        <w:rPr>
          <w:lang w:val="es-ES_tradnl"/>
        </w:rPr>
      </w:pPr>
      <w:r w:rsidRPr="00186777">
        <w:rPr>
          <w:lang w:val="es-ES_tradnl"/>
        </w:rPr>
        <w:t xml:space="preserve">La situación de la ratificación del Protocolo Facultativo de la Convención (109 Estados partes) era la misma que al 21 de julio, fecha de clausura del 67º período de sesiones. </w:t>
      </w:r>
    </w:p>
    <w:p w14:paraId="6C380BE4" w14:textId="77777777" w:rsidR="00C45E41" w:rsidRPr="00186777" w:rsidRDefault="00C45E41" w:rsidP="00C45E41">
      <w:pPr>
        <w:pStyle w:val="SingleTxt"/>
        <w:spacing w:after="0" w:line="120" w:lineRule="exact"/>
        <w:rPr>
          <w:sz w:val="10"/>
          <w:lang w:val="es-ES_tradnl"/>
        </w:rPr>
      </w:pPr>
    </w:p>
    <w:p w14:paraId="20AE28BB" w14:textId="77777777" w:rsidR="00C45E41" w:rsidRPr="00186777" w:rsidRDefault="00C45E41" w:rsidP="00C45E41">
      <w:pPr>
        <w:pStyle w:val="SingleTxt"/>
        <w:spacing w:after="0" w:line="120" w:lineRule="exact"/>
        <w:rPr>
          <w:sz w:val="10"/>
          <w:lang w:val="es-ES_tradnl"/>
        </w:rPr>
      </w:pPr>
    </w:p>
    <w:p w14:paraId="65CB902A" w14:textId="1AD7440D" w:rsidR="00AA6F33" w:rsidRPr="00186777" w:rsidRDefault="00C45E41" w:rsidP="00C45E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B.</w:t>
      </w:r>
      <w:r w:rsidR="00AA6F33" w:rsidRPr="00186777">
        <w:rPr>
          <w:lang w:val="es-ES_tradnl"/>
        </w:rPr>
        <w:tab/>
        <w:t>Apertura del período de sesiones</w:t>
      </w:r>
    </w:p>
    <w:p w14:paraId="6E98EB04" w14:textId="77777777" w:rsidR="00C45E41" w:rsidRPr="00186777" w:rsidRDefault="00C45E41" w:rsidP="00C45E41">
      <w:pPr>
        <w:pStyle w:val="SingleTxt"/>
        <w:spacing w:after="0" w:line="120" w:lineRule="exact"/>
        <w:rPr>
          <w:sz w:val="10"/>
          <w:lang w:val="es-ES_tradnl"/>
        </w:rPr>
      </w:pPr>
    </w:p>
    <w:p w14:paraId="7E8E26FE" w14:textId="77777777" w:rsidR="00C45E41" w:rsidRPr="00186777" w:rsidRDefault="00C45E41" w:rsidP="00C45E41">
      <w:pPr>
        <w:pStyle w:val="SingleTxt"/>
        <w:spacing w:after="0" w:line="120" w:lineRule="exact"/>
        <w:rPr>
          <w:sz w:val="10"/>
          <w:lang w:val="es-ES_tradnl"/>
        </w:rPr>
      </w:pPr>
    </w:p>
    <w:p w14:paraId="4D6693F7" w14:textId="481013C2" w:rsidR="00AA6F33" w:rsidRPr="00186777" w:rsidRDefault="00AA6F33" w:rsidP="00113F7A">
      <w:pPr>
        <w:pStyle w:val="SingleTxt"/>
        <w:numPr>
          <w:ilvl w:val="0"/>
          <w:numId w:val="9"/>
        </w:numPr>
        <w:ind w:left="1267"/>
        <w:rPr>
          <w:lang w:val="es-ES_tradnl"/>
        </w:rPr>
      </w:pPr>
      <w:r w:rsidRPr="00186777">
        <w:rPr>
          <w:lang w:val="es-ES_tradnl"/>
        </w:rPr>
        <w:t xml:space="preserve">El 68º período de sesiones del Comité se celebró en la Oficina de las Naciones Unidas en Ginebra del 23 de octubre al 17 de noviembre de 2017. El Comité celebró 29 sesiones plenarias y 11 sesiones para examinar los temas 5 a 8 del programa. En el anexo de la </w:t>
      </w:r>
      <w:r w:rsidR="009E747C">
        <w:rPr>
          <w:lang w:val="es-ES_tradnl"/>
        </w:rPr>
        <w:t>segunda</w:t>
      </w:r>
      <w:r w:rsidR="009E747C" w:rsidRPr="00186777">
        <w:rPr>
          <w:lang w:val="es-ES_tradnl"/>
        </w:rPr>
        <w:t xml:space="preserve"> </w:t>
      </w:r>
      <w:r w:rsidRPr="00186777">
        <w:rPr>
          <w:lang w:val="es-ES_tradnl"/>
        </w:rPr>
        <w:t xml:space="preserve">parte del presente informe figura una lista de los documentos que el Comité tuvo ante sí. </w:t>
      </w:r>
    </w:p>
    <w:p w14:paraId="73475C78" w14:textId="2BD2DCD5" w:rsidR="00AA6F33" w:rsidRPr="00186777" w:rsidRDefault="00AA6F33" w:rsidP="00113F7A">
      <w:pPr>
        <w:pStyle w:val="SingleTxt"/>
        <w:numPr>
          <w:ilvl w:val="0"/>
          <w:numId w:val="9"/>
        </w:numPr>
        <w:ind w:left="1267"/>
        <w:rPr>
          <w:lang w:val="es-ES_tradnl"/>
        </w:rPr>
      </w:pPr>
      <w:r w:rsidRPr="00186777">
        <w:rPr>
          <w:lang w:val="es-ES_tradnl"/>
        </w:rPr>
        <w:t xml:space="preserve">En la 1530ª sesión, celebrada el 23 de octubre, </w:t>
      </w:r>
      <w:r w:rsidR="00C36C04">
        <w:rPr>
          <w:lang w:val="es-ES_tradnl"/>
        </w:rPr>
        <w:t>l</w:t>
      </w:r>
      <w:r w:rsidRPr="00186777">
        <w:rPr>
          <w:lang w:val="es-ES_tradnl"/>
        </w:rPr>
        <w:t>a Presidenta inauguró el período de sesiones.</w:t>
      </w:r>
    </w:p>
    <w:p w14:paraId="7F24BE07" w14:textId="77777777" w:rsidR="00C45E41" w:rsidRPr="00186777" w:rsidRDefault="00C45E41" w:rsidP="00C45E41">
      <w:pPr>
        <w:pStyle w:val="SingleTxt"/>
        <w:spacing w:after="0" w:line="120" w:lineRule="exact"/>
        <w:rPr>
          <w:sz w:val="10"/>
          <w:lang w:val="es-ES_tradnl"/>
        </w:rPr>
      </w:pPr>
    </w:p>
    <w:p w14:paraId="2BE79C48" w14:textId="77777777" w:rsidR="00C45E41" w:rsidRPr="00186777" w:rsidRDefault="00C45E41" w:rsidP="00C45E41">
      <w:pPr>
        <w:pStyle w:val="SingleTxt"/>
        <w:spacing w:after="0" w:line="120" w:lineRule="exact"/>
        <w:rPr>
          <w:sz w:val="10"/>
          <w:lang w:val="es-ES_tradnl"/>
        </w:rPr>
      </w:pPr>
    </w:p>
    <w:p w14:paraId="13B35D76" w14:textId="35F1D13A" w:rsidR="00AA6F33" w:rsidRPr="00186777" w:rsidRDefault="003A610A" w:rsidP="00C45E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C.</w:t>
      </w:r>
      <w:r w:rsidR="00AA6F33" w:rsidRPr="00186777">
        <w:rPr>
          <w:lang w:val="es-ES_tradnl"/>
        </w:rPr>
        <w:tab/>
        <w:t>Aprobación del programa</w:t>
      </w:r>
    </w:p>
    <w:p w14:paraId="45FB26C0" w14:textId="77777777" w:rsidR="00C45E41" w:rsidRPr="00186777" w:rsidRDefault="00C45E41" w:rsidP="00C45E41">
      <w:pPr>
        <w:pStyle w:val="SingleTxt"/>
        <w:spacing w:after="0" w:line="120" w:lineRule="exact"/>
        <w:rPr>
          <w:sz w:val="10"/>
          <w:lang w:val="es-ES_tradnl"/>
        </w:rPr>
      </w:pPr>
    </w:p>
    <w:p w14:paraId="3602EB1D" w14:textId="77777777" w:rsidR="00C45E41" w:rsidRPr="00186777" w:rsidRDefault="00C45E41" w:rsidP="00C45E41">
      <w:pPr>
        <w:pStyle w:val="SingleTxt"/>
        <w:spacing w:after="0" w:line="120" w:lineRule="exact"/>
        <w:rPr>
          <w:sz w:val="10"/>
          <w:lang w:val="es-ES_tradnl"/>
        </w:rPr>
      </w:pPr>
    </w:p>
    <w:p w14:paraId="631520B4" w14:textId="567E0FDB" w:rsidR="00AA6F33" w:rsidRPr="00186777" w:rsidRDefault="00AA6F33" w:rsidP="00113F7A">
      <w:pPr>
        <w:pStyle w:val="SingleTxt"/>
        <w:numPr>
          <w:ilvl w:val="0"/>
          <w:numId w:val="9"/>
        </w:numPr>
        <w:ind w:left="1267"/>
        <w:rPr>
          <w:lang w:val="es-ES_tradnl"/>
        </w:rPr>
      </w:pPr>
      <w:r w:rsidRPr="00186777">
        <w:rPr>
          <w:lang w:val="es-ES_tradnl"/>
        </w:rPr>
        <w:t>En la 1530</w:t>
      </w:r>
      <w:r w:rsidRPr="00186777">
        <w:rPr>
          <w:vertAlign w:val="superscript"/>
          <w:lang w:val="es-ES_tradnl"/>
        </w:rPr>
        <w:t>a</w:t>
      </w:r>
      <w:r w:rsidRPr="00186777">
        <w:rPr>
          <w:lang w:val="es-ES_tradnl"/>
        </w:rPr>
        <w:t xml:space="preserve"> sesión, celebrada el 23 de octubre, la Presidenta inauguró el período de sesiones</w:t>
      </w:r>
      <w:r w:rsidR="00C36C04">
        <w:rPr>
          <w:lang w:val="es-ES_tradnl"/>
        </w:rPr>
        <w:t>(</w:t>
      </w:r>
      <w:hyperlink r:id="rId64" w:history="1">
        <w:r w:rsidR="00C36C04">
          <w:rPr>
            <w:rStyle w:val="Hyperlink"/>
            <w:lang w:val="es-ES_tradnl"/>
          </w:rPr>
          <w:t>CEDAW/C</w:t>
        </w:r>
        <w:r w:rsidR="00C36C04" w:rsidRPr="00794DB5">
          <w:rPr>
            <w:rStyle w:val="Hyperlink"/>
            <w:lang w:val="es-ES_tradnl"/>
          </w:rPr>
          <w:t>/68/1</w:t>
        </w:r>
      </w:hyperlink>
      <w:r w:rsidR="00C36C04">
        <w:rPr>
          <w:rStyle w:val="Hyperlink"/>
          <w:lang w:val="es-ES_tradnl"/>
        </w:rPr>
        <w:t>)</w:t>
      </w:r>
      <w:r w:rsidRPr="00186777">
        <w:rPr>
          <w:lang w:val="es-ES_tradnl"/>
        </w:rPr>
        <w:t>.</w:t>
      </w:r>
    </w:p>
    <w:p w14:paraId="51EAC700" w14:textId="77777777" w:rsidR="003A610A" w:rsidRPr="00186777" w:rsidRDefault="003A610A" w:rsidP="003A610A">
      <w:pPr>
        <w:pStyle w:val="SingleTxt"/>
        <w:spacing w:after="0" w:line="120" w:lineRule="exact"/>
        <w:rPr>
          <w:b/>
          <w:bCs/>
          <w:sz w:val="10"/>
          <w:lang w:val="es-ES_tradnl"/>
        </w:rPr>
      </w:pPr>
    </w:p>
    <w:p w14:paraId="512FC80F" w14:textId="77777777" w:rsidR="003A610A" w:rsidRPr="00186777" w:rsidRDefault="003A610A" w:rsidP="003A610A">
      <w:pPr>
        <w:pStyle w:val="SingleTxt"/>
        <w:spacing w:after="0" w:line="120" w:lineRule="exact"/>
        <w:rPr>
          <w:b/>
          <w:bCs/>
          <w:sz w:val="10"/>
          <w:lang w:val="es-ES_tradnl"/>
        </w:rPr>
      </w:pPr>
    </w:p>
    <w:p w14:paraId="3C947301" w14:textId="61CFAA8B" w:rsidR="00AA6F33" w:rsidRPr="00186777" w:rsidRDefault="003A610A" w:rsidP="003A61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D.</w:t>
      </w:r>
      <w:r w:rsidR="00AA6F33" w:rsidRPr="00186777">
        <w:rPr>
          <w:lang w:val="es-ES_tradnl"/>
        </w:rPr>
        <w:tab/>
        <w:t>Informe del grupo de trabajo anterior al período de sesiones</w:t>
      </w:r>
    </w:p>
    <w:p w14:paraId="51A6B85A" w14:textId="77777777" w:rsidR="003A610A" w:rsidRPr="00186777" w:rsidRDefault="003A610A" w:rsidP="003A610A">
      <w:pPr>
        <w:pStyle w:val="SingleTxt"/>
        <w:spacing w:after="0" w:line="120" w:lineRule="exact"/>
        <w:rPr>
          <w:sz w:val="10"/>
          <w:lang w:val="es-ES_tradnl"/>
        </w:rPr>
      </w:pPr>
    </w:p>
    <w:p w14:paraId="5C64AFDC" w14:textId="77777777" w:rsidR="003A610A" w:rsidRPr="00186777" w:rsidRDefault="003A610A" w:rsidP="003A610A">
      <w:pPr>
        <w:pStyle w:val="SingleTxt"/>
        <w:spacing w:after="0" w:line="120" w:lineRule="exact"/>
        <w:rPr>
          <w:sz w:val="10"/>
          <w:lang w:val="es-ES_tradnl"/>
        </w:rPr>
      </w:pPr>
    </w:p>
    <w:p w14:paraId="260CD07F" w14:textId="26596044" w:rsidR="00AA6F33" w:rsidRPr="00186777" w:rsidRDefault="00AA6F33" w:rsidP="00113F7A">
      <w:pPr>
        <w:pStyle w:val="SingleTxt"/>
        <w:numPr>
          <w:ilvl w:val="0"/>
          <w:numId w:val="9"/>
        </w:numPr>
        <w:ind w:left="1267"/>
        <w:rPr>
          <w:lang w:val="es-ES_tradnl"/>
        </w:rPr>
      </w:pPr>
      <w:r w:rsidRPr="00186777">
        <w:rPr>
          <w:lang w:val="es-ES_tradnl"/>
        </w:rPr>
        <w:t>El informe del grupo de trabajo anterior al período de sesiones (</w:t>
      </w:r>
      <w:hyperlink r:id="rId65" w:history="1">
        <w:r w:rsidRPr="00794DB5">
          <w:rPr>
            <w:rStyle w:val="Hyperlink"/>
            <w:lang w:val="es-ES_tradnl"/>
          </w:rPr>
          <w:t>CEDAW/C/PSWG/68/1</w:t>
        </w:r>
      </w:hyperlink>
      <w:r w:rsidRPr="00186777">
        <w:rPr>
          <w:lang w:val="es-ES_tradnl"/>
        </w:rPr>
        <w:t>), que se reunió del 6 al 10 de marzo, fue presentado por Náela Mohamed Gabr en la 1530ª sesión, celebrada el 23 de octubre.</w:t>
      </w:r>
    </w:p>
    <w:p w14:paraId="78C91D2E" w14:textId="77777777" w:rsidR="003A610A" w:rsidRPr="00186777" w:rsidRDefault="003A610A" w:rsidP="003A610A">
      <w:pPr>
        <w:pStyle w:val="SingleTxt"/>
        <w:spacing w:after="0" w:line="120" w:lineRule="exact"/>
        <w:rPr>
          <w:sz w:val="10"/>
          <w:lang w:val="es-ES_tradnl"/>
        </w:rPr>
      </w:pPr>
    </w:p>
    <w:p w14:paraId="77E747E9" w14:textId="77777777" w:rsidR="003A610A" w:rsidRPr="00186777" w:rsidRDefault="003A610A" w:rsidP="003A610A">
      <w:pPr>
        <w:pStyle w:val="SingleTxt"/>
        <w:spacing w:after="0" w:line="120" w:lineRule="exact"/>
        <w:rPr>
          <w:sz w:val="10"/>
          <w:lang w:val="es-ES_tradnl"/>
        </w:rPr>
      </w:pPr>
    </w:p>
    <w:p w14:paraId="54A75786" w14:textId="3596DE9F" w:rsidR="00AA6F33" w:rsidRPr="00186777" w:rsidRDefault="003A610A" w:rsidP="003A61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E.</w:t>
      </w:r>
      <w:r w:rsidR="00AA6F33" w:rsidRPr="00186777">
        <w:rPr>
          <w:lang w:val="es-ES_tradnl"/>
        </w:rPr>
        <w:tab/>
        <w:t xml:space="preserve">Organización de los trabajos </w:t>
      </w:r>
    </w:p>
    <w:p w14:paraId="3A0051AB" w14:textId="77777777" w:rsidR="003A610A" w:rsidRPr="00186777" w:rsidRDefault="003A610A" w:rsidP="003A610A">
      <w:pPr>
        <w:pStyle w:val="SingleTxt"/>
        <w:spacing w:after="0" w:line="120" w:lineRule="exact"/>
        <w:rPr>
          <w:sz w:val="10"/>
          <w:lang w:val="es-ES_tradnl"/>
        </w:rPr>
      </w:pPr>
    </w:p>
    <w:p w14:paraId="6684A190" w14:textId="77777777" w:rsidR="003A610A" w:rsidRPr="00186777" w:rsidRDefault="003A610A" w:rsidP="003A610A">
      <w:pPr>
        <w:pStyle w:val="SingleTxt"/>
        <w:spacing w:after="0" w:line="120" w:lineRule="exact"/>
        <w:rPr>
          <w:sz w:val="10"/>
          <w:lang w:val="es-ES_tradnl"/>
        </w:rPr>
      </w:pPr>
    </w:p>
    <w:p w14:paraId="32D5A325" w14:textId="746FEE54" w:rsidR="00AA6F33" w:rsidRPr="00186777" w:rsidRDefault="00AA6F33" w:rsidP="00113F7A">
      <w:pPr>
        <w:pStyle w:val="SingleTxt"/>
        <w:numPr>
          <w:ilvl w:val="0"/>
          <w:numId w:val="9"/>
        </w:numPr>
        <w:ind w:left="1267"/>
        <w:rPr>
          <w:lang w:val="es-ES_tradnl"/>
        </w:rPr>
      </w:pPr>
      <w:r w:rsidRPr="00186777">
        <w:rPr>
          <w:lang w:val="es-ES_tradnl"/>
        </w:rPr>
        <w:t>Los días 23 y 30 de octubre y 6 de noviembre, el Comité celebró sesiones privadas, en algunos casos mediante videoconferencia, con representantes de los organismos especializados, fondos y programas del sistema de las Naciones Unidas, así como de otras organizaciones intergubernamentales, en las cuales facilitaron información sobre determinados países y sobre las actividades que habían realizado para apoyar la aplicación de la Convención.</w:t>
      </w:r>
    </w:p>
    <w:p w14:paraId="48E098C2" w14:textId="05171411" w:rsidR="00AA6F33" w:rsidRPr="00186777" w:rsidRDefault="00AA6F33" w:rsidP="00113F7A">
      <w:pPr>
        <w:pStyle w:val="SingleTxt"/>
        <w:numPr>
          <w:ilvl w:val="0"/>
          <w:numId w:val="9"/>
        </w:numPr>
        <w:ind w:left="1267"/>
        <w:rPr>
          <w:lang w:val="es-ES_tradnl"/>
        </w:rPr>
      </w:pPr>
      <w:r w:rsidRPr="00186777">
        <w:rPr>
          <w:lang w:val="es-ES_tradnl"/>
        </w:rPr>
        <w:t xml:space="preserve">Además, el Comité celebró sesiones públicas oficiosas con representantes de organizaciones no gubernamentales e instituciones nacionales de derechos humanos, que informaron sobre la aplicación de la Convención en los Estados partes cuyos informes examinó el Comité en su período de sesiones. </w:t>
      </w:r>
    </w:p>
    <w:p w14:paraId="6B512DE7" w14:textId="616973EA" w:rsidR="00AA6F33" w:rsidRPr="00186777" w:rsidRDefault="00AA6F33" w:rsidP="00113F7A">
      <w:pPr>
        <w:pStyle w:val="SingleTxt"/>
        <w:numPr>
          <w:ilvl w:val="0"/>
          <w:numId w:val="9"/>
        </w:numPr>
        <w:ind w:left="1267"/>
        <w:rPr>
          <w:lang w:val="es-ES_tradnl"/>
        </w:rPr>
      </w:pPr>
      <w:r w:rsidRPr="00186777">
        <w:rPr>
          <w:lang w:val="es-ES_tradnl"/>
        </w:rPr>
        <w:t xml:space="preserve">Asímismo, el Comité se reunió con Alda Facio, Presidenta del Grupo de Trabajo sobre la cuestión de la discriminación contra la mujer en la legislación y en la práctica, </w:t>
      </w:r>
      <w:r w:rsidRPr="00186777">
        <w:rPr>
          <w:lang w:val="es-ES_tradnl"/>
        </w:rPr>
        <w:lastRenderedPageBreak/>
        <w:t>para hablar del fortalecimiento de la cooperación entre el Comité y el Grupo de Trabajo.</w:t>
      </w:r>
    </w:p>
    <w:p w14:paraId="245AF88C" w14:textId="2590CA80" w:rsidR="00AA6F33" w:rsidRPr="00186777" w:rsidRDefault="00AA6F33" w:rsidP="00113F7A">
      <w:pPr>
        <w:pStyle w:val="SingleTxt"/>
        <w:numPr>
          <w:ilvl w:val="0"/>
          <w:numId w:val="9"/>
        </w:numPr>
        <w:ind w:left="1267"/>
        <w:rPr>
          <w:lang w:val="es-ES_tradnl"/>
        </w:rPr>
      </w:pPr>
      <w:r w:rsidRPr="00186777">
        <w:rPr>
          <w:lang w:val="es-ES_tradnl"/>
        </w:rPr>
        <w:t>El 8 de noviembre, el Comité celebró una reunión oficiosa con representantes del Programa Conjunto de las Naciones Unidas sobre el VIH/SIDA (ONUSIDA) y la OMS, en la que se hizo una exposición informativa sobre la mujer, el VIH y el SIDA en el contexto de la Convención.</w:t>
      </w:r>
    </w:p>
    <w:p w14:paraId="50FDCFA0" w14:textId="3EB558F5" w:rsidR="00AA6F33" w:rsidRPr="00186777" w:rsidRDefault="00AA6F33" w:rsidP="00113F7A">
      <w:pPr>
        <w:pStyle w:val="SingleTxt"/>
        <w:numPr>
          <w:ilvl w:val="0"/>
          <w:numId w:val="9"/>
        </w:numPr>
        <w:ind w:left="1267"/>
        <w:rPr>
          <w:lang w:val="es-ES_tradnl"/>
        </w:rPr>
      </w:pPr>
      <w:r w:rsidRPr="00186777">
        <w:rPr>
          <w:lang w:val="es-ES_tradnl"/>
        </w:rPr>
        <w:t>El 14 de noviembre, el Comité convocó una mesa redonda de expertos, organizada por el ACNUDH, para sensibilizar a la población sobre su recientemente aprobada recomendación general núm. 35.</w:t>
      </w:r>
    </w:p>
    <w:p w14:paraId="66DCB394" w14:textId="77777777" w:rsidR="003A610A" w:rsidRPr="00186777" w:rsidRDefault="003A610A" w:rsidP="003A610A">
      <w:pPr>
        <w:pStyle w:val="SingleTxt"/>
        <w:spacing w:after="0" w:line="120" w:lineRule="exact"/>
        <w:rPr>
          <w:b/>
          <w:bCs/>
          <w:sz w:val="10"/>
          <w:lang w:val="es-ES_tradnl"/>
        </w:rPr>
      </w:pPr>
    </w:p>
    <w:p w14:paraId="7BEF5F69" w14:textId="77777777" w:rsidR="003A610A" w:rsidRPr="00186777" w:rsidRDefault="003A610A" w:rsidP="003A610A">
      <w:pPr>
        <w:pStyle w:val="SingleTxt"/>
        <w:spacing w:after="0" w:line="120" w:lineRule="exact"/>
        <w:rPr>
          <w:b/>
          <w:bCs/>
          <w:sz w:val="10"/>
          <w:lang w:val="es-ES_tradnl"/>
        </w:rPr>
      </w:pPr>
    </w:p>
    <w:p w14:paraId="341312E1" w14:textId="07012580" w:rsidR="00AA6F33" w:rsidRPr="00186777" w:rsidRDefault="003A610A" w:rsidP="003A61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F.</w:t>
      </w:r>
      <w:r w:rsidR="00AA6F33" w:rsidRPr="00186777">
        <w:rPr>
          <w:lang w:val="es-ES_tradnl"/>
        </w:rPr>
        <w:tab/>
        <w:t xml:space="preserve">Composición del Comité </w:t>
      </w:r>
    </w:p>
    <w:p w14:paraId="10EE8CF0" w14:textId="77777777" w:rsidR="003A610A" w:rsidRPr="00186777" w:rsidRDefault="003A610A" w:rsidP="003A610A">
      <w:pPr>
        <w:pStyle w:val="SingleTxt"/>
        <w:spacing w:after="0" w:line="120" w:lineRule="exact"/>
        <w:rPr>
          <w:b/>
          <w:sz w:val="10"/>
          <w:lang w:val="es-ES_tradnl"/>
        </w:rPr>
      </w:pPr>
    </w:p>
    <w:p w14:paraId="719193EB" w14:textId="77777777" w:rsidR="003A610A" w:rsidRPr="00186777" w:rsidRDefault="003A610A" w:rsidP="003A610A">
      <w:pPr>
        <w:pStyle w:val="SingleTxt"/>
        <w:spacing w:after="0" w:line="120" w:lineRule="exact"/>
        <w:rPr>
          <w:b/>
          <w:sz w:val="10"/>
          <w:lang w:val="es-ES_tradnl"/>
        </w:rPr>
      </w:pPr>
    </w:p>
    <w:p w14:paraId="5AC80ED7" w14:textId="0F05EE3F" w:rsidR="00AA6F33" w:rsidRPr="00186777" w:rsidRDefault="00AA6F33" w:rsidP="003A6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Cubrimiento de vacantes imprevistas</w:t>
      </w:r>
    </w:p>
    <w:p w14:paraId="21302224" w14:textId="77777777" w:rsidR="003A610A" w:rsidRPr="00186777" w:rsidRDefault="003A610A" w:rsidP="003A610A">
      <w:pPr>
        <w:pStyle w:val="SingleTxt"/>
        <w:spacing w:after="0" w:line="120" w:lineRule="exact"/>
        <w:rPr>
          <w:sz w:val="10"/>
          <w:lang w:val="es-ES_tradnl"/>
        </w:rPr>
      </w:pPr>
    </w:p>
    <w:p w14:paraId="47EE246C" w14:textId="6B46E506" w:rsidR="00AA6F33" w:rsidRPr="00186777" w:rsidRDefault="00AA6F33" w:rsidP="00113F7A">
      <w:pPr>
        <w:pStyle w:val="SingleTxt"/>
        <w:numPr>
          <w:ilvl w:val="0"/>
          <w:numId w:val="9"/>
        </w:numPr>
        <w:ind w:left="1267"/>
        <w:rPr>
          <w:lang w:val="es-ES_tradnl"/>
        </w:rPr>
      </w:pPr>
      <w:r w:rsidRPr="00186777">
        <w:rPr>
          <w:lang w:val="es-ES_tradnl"/>
        </w:rPr>
        <w:t>El 23 de octubre, Aruna Devi Narain, que había sido nombrada miembro del Comité para el resto del mandato de Pramila Patten (hasta el 31 de diciembre de 2018), asumió sus funciones y pronunció la declaración solemne que figura en el artículo 15 del reglamento del Comité.</w:t>
      </w:r>
    </w:p>
    <w:p w14:paraId="4D8371D2" w14:textId="77777777" w:rsidR="003A610A" w:rsidRPr="00186777" w:rsidRDefault="003A610A" w:rsidP="003A610A">
      <w:pPr>
        <w:pStyle w:val="SingleTxt"/>
        <w:spacing w:after="0" w:line="120" w:lineRule="exact"/>
        <w:rPr>
          <w:b/>
          <w:sz w:val="10"/>
          <w:lang w:val="es-ES_tradnl"/>
        </w:rPr>
      </w:pPr>
    </w:p>
    <w:p w14:paraId="15F826AB" w14:textId="1E80C7F3" w:rsidR="00AA6F33" w:rsidRPr="00186777" w:rsidRDefault="00AA6F33" w:rsidP="003A6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Participación en el 68º período de sesiones</w:t>
      </w:r>
    </w:p>
    <w:p w14:paraId="51D4A4AB" w14:textId="77777777" w:rsidR="003A610A" w:rsidRPr="00186777" w:rsidRDefault="003A610A" w:rsidP="003A610A">
      <w:pPr>
        <w:pStyle w:val="SingleTxt"/>
        <w:spacing w:after="0" w:line="120" w:lineRule="exact"/>
        <w:rPr>
          <w:sz w:val="10"/>
          <w:lang w:val="es-ES_tradnl"/>
        </w:rPr>
      </w:pPr>
    </w:p>
    <w:p w14:paraId="6BF02305" w14:textId="57BCCC96" w:rsidR="00AA6F33" w:rsidRPr="00186777" w:rsidRDefault="00AA6F33" w:rsidP="00113F7A">
      <w:pPr>
        <w:pStyle w:val="SingleTxt"/>
        <w:numPr>
          <w:ilvl w:val="0"/>
          <w:numId w:val="9"/>
        </w:numPr>
        <w:tabs>
          <w:tab w:val="num" w:pos="2804"/>
        </w:tabs>
        <w:ind w:left="1267"/>
        <w:rPr>
          <w:lang w:val="es-ES_tradnl"/>
        </w:rPr>
      </w:pPr>
      <w:r w:rsidRPr="00186777">
        <w:rPr>
          <w:lang w:val="es-ES_tradnl"/>
        </w:rPr>
        <w:t>Todos los miembros del Comité asistieron al 68º período de sesiones, con excepción de Theodora Oby Nwankwo. Los siguientes miembros no asistieron al período de sesiones en las fechas indicadas: Ayse Feride Acar, del 30 de octubre al 3 de noviembre y del 6 al 8 y el 17 de noviembre; Ruth Halperin-Kaddari, del 23 al 27 de octubre y del 3 al 17 de noviembre; Yoko Hayashi, del 15 al 17 de noviembre; Ismat Jahan, del 23 al 27 de noviembre; y Aicha Vall Verges, el 2 de noviembre. En el anexo II de la tercera parte del presente informe figura una lista de los miembros del Comité, en la que se indica la duración del mandato de cada uno.</w:t>
      </w:r>
    </w:p>
    <w:p w14:paraId="24584266" w14:textId="77777777" w:rsidR="003A610A" w:rsidRPr="00186777" w:rsidRDefault="003A610A" w:rsidP="00AA6F33">
      <w:pPr>
        <w:pStyle w:val="SingleTxt"/>
        <w:rPr>
          <w:b/>
          <w:lang w:val="es-ES_tradnl"/>
        </w:rPr>
      </w:pPr>
    </w:p>
    <w:p w14:paraId="1DC4D992" w14:textId="42FCD1E2" w:rsidR="003A610A" w:rsidRPr="00186777" w:rsidRDefault="003A610A">
      <w:pPr>
        <w:suppressAutoHyphens w:val="0"/>
        <w:spacing w:after="200" w:line="276" w:lineRule="auto"/>
        <w:rPr>
          <w:b/>
          <w:kern w:val="14"/>
          <w:lang w:val="es-ES_tradnl"/>
        </w:rPr>
      </w:pPr>
      <w:r w:rsidRPr="00186777">
        <w:rPr>
          <w:b/>
          <w:lang w:val="es-ES_tradnl"/>
        </w:rPr>
        <w:br w:type="page"/>
      </w:r>
    </w:p>
    <w:p w14:paraId="767C59CB" w14:textId="1C5EC5F8" w:rsidR="00AA6F33" w:rsidRPr="00186777" w:rsidRDefault="00AA6F33" w:rsidP="003A61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III</w:t>
      </w:r>
    </w:p>
    <w:p w14:paraId="1B8DBF01" w14:textId="3FDFE320" w:rsidR="00AA6F33" w:rsidRPr="00186777" w:rsidRDefault="00AA6F33" w:rsidP="003A61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Informe de la Presidenta sobre las actividades realizadas entre períodos de sesiones</w:t>
      </w:r>
    </w:p>
    <w:p w14:paraId="0B19278F" w14:textId="5325776A" w:rsidR="003A610A" w:rsidRPr="00186777" w:rsidRDefault="003A610A" w:rsidP="003A610A">
      <w:pPr>
        <w:pStyle w:val="SingleTxt"/>
        <w:spacing w:after="0" w:line="120" w:lineRule="exact"/>
        <w:rPr>
          <w:sz w:val="10"/>
          <w:lang w:val="es-ES_tradnl"/>
        </w:rPr>
      </w:pPr>
    </w:p>
    <w:p w14:paraId="5F630FB2" w14:textId="4A1EB677" w:rsidR="003A610A" w:rsidRPr="00186777" w:rsidRDefault="003A610A" w:rsidP="003A610A">
      <w:pPr>
        <w:pStyle w:val="SingleTxt"/>
        <w:spacing w:after="0" w:line="120" w:lineRule="exact"/>
        <w:rPr>
          <w:sz w:val="10"/>
          <w:lang w:val="es-ES_tradnl"/>
        </w:rPr>
      </w:pPr>
    </w:p>
    <w:p w14:paraId="27E53F63" w14:textId="771D0ED8" w:rsidR="00AA6F33" w:rsidRPr="00186777" w:rsidRDefault="00AA6F33" w:rsidP="00113F7A">
      <w:pPr>
        <w:pStyle w:val="SingleTxt"/>
        <w:numPr>
          <w:ilvl w:val="0"/>
          <w:numId w:val="9"/>
        </w:numPr>
        <w:ind w:left="1267"/>
        <w:rPr>
          <w:lang w:val="es-ES_tradnl"/>
        </w:rPr>
      </w:pPr>
      <w:r w:rsidRPr="00186777">
        <w:rPr>
          <w:lang w:val="es-ES_tradnl"/>
        </w:rPr>
        <w:t>En la 1569ª sesión, celebrada el 23 de octubre de 2017, la Presidenta presentó un informe sobre las actividades que había realizado desde el 67º período de sesiones.</w:t>
      </w:r>
    </w:p>
    <w:p w14:paraId="586EF1CB" w14:textId="4D93F49A" w:rsidR="003A610A" w:rsidRPr="00186777" w:rsidRDefault="003A610A" w:rsidP="00AA6F33">
      <w:pPr>
        <w:pStyle w:val="SingleTxt"/>
        <w:rPr>
          <w:lang w:val="es-ES_tradnl"/>
        </w:rPr>
      </w:pPr>
    </w:p>
    <w:p w14:paraId="401B9B9A" w14:textId="3C4368CA" w:rsidR="003A610A" w:rsidRPr="00186777" w:rsidRDefault="003A610A">
      <w:pPr>
        <w:suppressAutoHyphens w:val="0"/>
        <w:spacing w:after="200" w:line="276" w:lineRule="auto"/>
        <w:rPr>
          <w:kern w:val="14"/>
          <w:lang w:val="es-ES_tradnl"/>
        </w:rPr>
      </w:pPr>
      <w:r w:rsidRPr="00186777">
        <w:rPr>
          <w:lang w:val="es-ES_tradnl"/>
        </w:rPr>
        <w:br w:type="page"/>
      </w:r>
    </w:p>
    <w:p w14:paraId="20BD9162" w14:textId="5D81F1DC" w:rsidR="00AA6F33" w:rsidRPr="00186777" w:rsidRDefault="00AA6F33" w:rsidP="003A61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IV</w:t>
      </w:r>
    </w:p>
    <w:p w14:paraId="237F1CF8" w14:textId="37CAE1A2" w:rsidR="00AA6F33" w:rsidRPr="00186777" w:rsidRDefault="00AA6F33" w:rsidP="003A61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Examen de los informes presentados por los Estados partes en virtud del artículo 18 de la Convención</w:t>
      </w:r>
    </w:p>
    <w:p w14:paraId="7D3ED9B7" w14:textId="4FA74301" w:rsidR="003A610A" w:rsidRPr="00186777" w:rsidRDefault="003A610A" w:rsidP="003A610A">
      <w:pPr>
        <w:pStyle w:val="SingleTxt"/>
        <w:spacing w:after="0" w:line="120" w:lineRule="exact"/>
        <w:rPr>
          <w:sz w:val="10"/>
          <w:lang w:val="es-ES_tradnl"/>
        </w:rPr>
      </w:pPr>
    </w:p>
    <w:p w14:paraId="5EC26D14" w14:textId="289BC534" w:rsidR="003A610A" w:rsidRPr="00186777" w:rsidRDefault="003A610A" w:rsidP="003A610A">
      <w:pPr>
        <w:pStyle w:val="SingleTxt"/>
        <w:spacing w:after="0" w:line="120" w:lineRule="exact"/>
        <w:rPr>
          <w:sz w:val="10"/>
          <w:lang w:val="es-ES_tradnl"/>
        </w:rPr>
      </w:pPr>
    </w:p>
    <w:p w14:paraId="5E870AB1" w14:textId="06391C2B" w:rsidR="00AA6F33" w:rsidRPr="00186777" w:rsidRDefault="00AA6F33" w:rsidP="00113F7A">
      <w:pPr>
        <w:pStyle w:val="SingleTxt"/>
        <w:numPr>
          <w:ilvl w:val="0"/>
          <w:numId w:val="9"/>
        </w:numPr>
        <w:ind w:left="1267"/>
        <w:rPr>
          <w:lang w:val="es-ES_tradnl"/>
        </w:rPr>
      </w:pPr>
      <w:r w:rsidRPr="00186777">
        <w:rPr>
          <w:lang w:val="es-ES_tradnl"/>
        </w:rPr>
        <w:t>El Comité examinó los informes de 12 Estados partes presentados con arreglo al artículo 18 de la Convención y aprobó las siguientes observaciones finales al respecto:</w:t>
      </w: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3270"/>
      </w:tblGrid>
      <w:tr w:rsidR="00F30BCC" w:rsidRPr="00186777" w14:paraId="59C0C198" w14:textId="77777777" w:rsidTr="00F30BCC">
        <w:tc>
          <w:tcPr>
            <w:tcW w:w="4050" w:type="dxa"/>
          </w:tcPr>
          <w:p w14:paraId="785171D1" w14:textId="0A59DAE5"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Burkina Faso</w:t>
            </w:r>
          </w:p>
        </w:tc>
        <w:tc>
          <w:tcPr>
            <w:tcW w:w="3270" w:type="dxa"/>
            <w:shd w:val="clear" w:color="auto" w:fill="auto"/>
          </w:tcPr>
          <w:p w14:paraId="4BA6D185" w14:textId="4DCEC620"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bookmarkStart w:id="11" w:name="_Hlk512525816"/>
            <w:r w:rsidRPr="00186777">
              <w:rPr>
                <w:iCs/>
                <w:lang w:val="es-ES_tradnl"/>
              </w:rPr>
              <w:t>(</w:t>
            </w:r>
            <w:hyperlink r:id="rId66" w:history="1">
              <w:r w:rsidRPr="00186777">
                <w:rPr>
                  <w:rStyle w:val="Hyperlink"/>
                  <w:iCs/>
                  <w:lang w:val="es-ES_tradnl"/>
                </w:rPr>
                <w:t>CEDAW/C/BFA/CO/7</w:t>
              </w:r>
            </w:hyperlink>
            <w:r w:rsidRPr="00186777">
              <w:rPr>
                <w:iCs/>
                <w:lang w:val="es-ES_tradnl"/>
              </w:rPr>
              <w:t>)</w:t>
            </w:r>
          </w:p>
        </w:tc>
      </w:tr>
      <w:tr w:rsidR="00F30BCC" w:rsidRPr="00186777" w14:paraId="5014B2A9" w14:textId="77777777" w:rsidTr="00F30BCC">
        <w:tc>
          <w:tcPr>
            <w:tcW w:w="4050" w:type="dxa"/>
          </w:tcPr>
          <w:p w14:paraId="741E291B" w14:textId="45A0B4A0"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Guatemala</w:t>
            </w:r>
          </w:p>
        </w:tc>
        <w:tc>
          <w:tcPr>
            <w:tcW w:w="3270" w:type="dxa"/>
            <w:shd w:val="clear" w:color="auto" w:fill="auto"/>
          </w:tcPr>
          <w:p w14:paraId="354C6D95" w14:textId="1093A706"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67" w:history="1">
              <w:r w:rsidRPr="00186777">
                <w:rPr>
                  <w:rStyle w:val="Hyperlink"/>
                  <w:iCs/>
                  <w:lang w:val="es-ES_tradnl"/>
                </w:rPr>
                <w:t>CEDAW/C/GTM/CO/8-9</w:t>
              </w:r>
            </w:hyperlink>
            <w:r w:rsidRPr="00186777">
              <w:rPr>
                <w:iCs/>
                <w:lang w:val="es-ES_tradnl"/>
              </w:rPr>
              <w:t>)</w:t>
            </w:r>
          </w:p>
        </w:tc>
      </w:tr>
      <w:tr w:rsidR="00F30BCC" w:rsidRPr="00186777" w14:paraId="42A5F77F" w14:textId="77777777" w:rsidTr="00F30BCC">
        <w:tc>
          <w:tcPr>
            <w:tcW w:w="4050" w:type="dxa"/>
          </w:tcPr>
          <w:p w14:paraId="7E10FC62" w14:textId="1FED74CC"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Israel</w:t>
            </w:r>
          </w:p>
        </w:tc>
        <w:tc>
          <w:tcPr>
            <w:tcW w:w="3270" w:type="dxa"/>
            <w:shd w:val="clear" w:color="auto" w:fill="auto"/>
          </w:tcPr>
          <w:p w14:paraId="1B87C53A" w14:textId="0B7B4C27"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68" w:history="1">
              <w:r w:rsidRPr="00186777">
                <w:rPr>
                  <w:rStyle w:val="Hyperlink"/>
                  <w:iCs/>
                  <w:lang w:val="es-ES_tradnl"/>
                </w:rPr>
                <w:t>CEDAW/C/ISR/CO/6</w:t>
              </w:r>
            </w:hyperlink>
            <w:r w:rsidRPr="00186777">
              <w:rPr>
                <w:iCs/>
                <w:lang w:val="es-ES_tradnl"/>
              </w:rPr>
              <w:t>)</w:t>
            </w:r>
          </w:p>
        </w:tc>
      </w:tr>
      <w:tr w:rsidR="00F30BCC" w:rsidRPr="00186777" w14:paraId="13648CAF" w14:textId="77777777" w:rsidTr="00F30BCC">
        <w:tc>
          <w:tcPr>
            <w:tcW w:w="4050" w:type="dxa"/>
          </w:tcPr>
          <w:p w14:paraId="19E3BC2B" w14:textId="16CB0A4C"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Kenya</w:t>
            </w:r>
          </w:p>
        </w:tc>
        <w:tc>
          <w:tcPr>
            <w:tcW w:w="3270" w:type="dxa"/>
            <w:shd w:val="clear" w:color="auto" w:fill="auto"/>
          </w:tcPr>
          <w:p w14:paraId="530574F4" w14:textId="142525C6"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69" w:history="1">
              <w:r w:rsidRPr="00186777">
                <w:rPr>
                  <w:rStyle w:val="Hyperlink"/>
                  <w:iCs/>
                  <w:lang w:val="es-ES_tradnl"/>
                </w:rPr>
                <w:t>CEDAW/C/KEN/CO/8</w:t>
              </w:r>
            </w:hyperlink>
            <w:r w:rsidRPr="00186777">
              <w:rPr>
                <w:iCs/>
                <w:lang w:val="es-ES_tradnl"/>
              </w:rPr>
              <w:t>)</w:t>
            </w:r>
          </w:p>
        </w:tc>
      </w:tr>
      <w:tr w:rsidR="00F30BCC" w:rsidRPr="00186777" w14:paraId="2AAD9723" w14:textId="77777777" w:rsidTr="00F30BCC">
        <w:tc>
          <w:tcPr>
            <w:tcW w:w="4050" w:type="dxa"/>
          </w:tcPr>
          <w:p w14:paraId="04B87FC1" w14:textId="0D24D9A1"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Kuwait</w:t>
            </w:r>
          </w:p>
        </w:tc>
        <w:tc>
          <w:tcPr>
            <w:tcW w:w="3270" w:type="dxa"/>
            <w:shd w:val="clear" w:color="auto" w:fill="auto"/>
          </w:tcPr>
          <w:p w14:paraId="2B244D13" w14:textId="7026D9D8"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70" w:history="1">
              <w:r w:rsidRPr="00186777">
                <w:rPr>
                  <w:rStyle w:val="Hyperlink"/>
                  <w:iCs/>
                  <w:lang w:val="es-ES_tradnl"/>
                </w:rPr>
                <w:t>CEDAW/C/KWT/CO/5</w:t>
              </w:r>
            </w:hyperlink>
            <w:r w:rsidRPr="00186777">
              <w:rPr>
                <w:iCs/>
                <w:lang w:val="es-ES_tradnl"/>
              </w:rPr>
              <w:t>)</w:t>
            </w:r>
          </w:p>
        </w:tc>
      </w:tr>
      <w:tr w:rsidR="00F30BCC" w:rsidRPr="00186777" w14:paraId="445DDE8D" w14:textId="77777777" w:rsidTr="00F30BCC">
        <w:tc>
          <w:tcPr>
            <w:tcW w:w="4050" w:type="dxa"/>
          </w:tcPr>
          <w:p w14:paraId="52DCA821" w14:textId="0451EE8B"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Mónaco</w:t>
            </w:r>
          </w:p>
        </w:tc>
        <w:tc>
          <w:tcPr>
            <w:tcW w:w="3270" w:type="dxa"/>
            <w:shd w:val="clear" w:color="auto" w:fill="auto"/>
          </w:tcPr>
          <w:p w14:paraId="7319EB1E" w14:textId="1D802729"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71" w:history="1">
              <w:r w:rsidRPr="00186777">
                <w:rPr>
                  <w:rStyle w:val="Hyperlink"/>
                  <w:iCs/>
                  <w:lang w:val="es-ES_tradnl"/>
                </w:rPr>
                <w:t>CEDAW/C/MCO/CO/1-3</w:t>
              </w:r>
            </w:hyperlink>
            <w:r w:rsidRPr="00186777">
              <w:rPr>
                <w:iCs/>
                <w:lang w:val="es-ES_tradnl"/>
              </w:rPr>
              <w:t>)</w:t>
            </w:r>
          </w:p>
        </w:tc>
      </w:tr>
      <w:tr w:rsidR="00F30BCC" w:rsidRPr="00186777" w14:paraId="4B052D37" w14:textId="77777777" w:rsidTr="00F30BCC">
        <w:tc>
          <w:tcPr>
            <w:tcW w:w="4050" w:type="dxa"/>
          </w:tcPr>
          <w:p w14:paraId="65FBA771" w14:textId="3417B05A"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Nauru</w:t>
            </w:r>
          </w:p>
        </w:tc>
        <w:tc>
          <w:tcPr>
            <w:tcW w:w="3270" w:type="dxa"/>
            <w:shd w:val="clear" w:color="auto" w:fill="auto"/>
          </w:tcPr>
          <w:p w14:paraId="1D907C81" w14:textId="586B14C1"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72" w:history="1">
              <w:r w:rsidRPr="00186777">
                <w:rPr>
                  <w:rStyle w:val="Hyperlink"/>
                  <w:iCs/>
                  <w:lang w:val="es-ES_tradnl"/>
                </w:rPr>
                <w:t>CEDAW/C/NRU/CO/1-2</w:t>
              </w:r>
            </w:hyperlink>
            <w:r w:rsidRPr="00186777">
              <w:rPr>
                <w:iCs/>
                <w:lang w:val="es-ES_tradnl"/>
              </w:rPr>
              <w:t>)</w:t>
            </w:r>
          </w:p>
        </w:tc>
      </w:tr>
      <w:tr w:rsidR="00F30BCC" w:rsidRPr="00186777" w14:paraId="63D79C9E" w14:textId="77777777" w:rsidTr="00F30BCC">
        <w:tc>
          <w:tcPr>
            <w:tcW w:w="4050" w:type="dxa"/>
          </w:tcPr>
          <w:p w14:paraId="5988A15B" w14:textId="53F8EA35"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Noruega</w:t>
            </w:r>
          </w:p>
        </w:tc>
        <w:tc>
          <w:tcPr>
            <w:tcW w:w="3270" w:type="dxa"/>
            <w:shd w:val="clear" w:color="auto" w:fill="auto"/>
          </w:tcPr>
          <w:p w14:paraId="601013E2" w14:textId="1F08072F"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73" w:history="1">
              <w:r w:rsidRPr="00186777">
                <w:rPr>
                  <w:rStyle w:val="Hyperlink"/>
                  <w:iCs/>
                  <w:lang w:val="es-ES_tradnl"/>
                </w:rPr>
                <w:t>CEDAW/C/NOR/CO/9</w:t>
              </w:r>
            </w:hyperlink>
            <w:r w:rsidRPr="00186777">
              <w:rPr>
                <w:iCs/>
                <w:lang w:val="es-ES_tradnl"/>
              </w:rPr>
              <w:t>)</w:t>
            </w:r>
          </w:p>
        </w:tc>
      </w:tr>
      <w:tr w:rsidR="00F30BCC" w:rsidRPr="00186777" w14:paraId="23F4E806" w14:textId="77777777" w:rsidTr="00F30BCC">
        <w:tc>
          <w:tcPr>
            <w:tcW w:w="4050" w:type="dxa"/>
          </w:tcPr>
          <w:p w14:paraId="2FF76B96" w14:textId="65804FE2"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Omán</w:t>
            </w:r>
          </w:p>
        </w:tc>
        <w:tc>
          <w:tcPr>
            <w:tcW w:w="3270" w:type="dxa"/>
            <w:shd w:val="clear" w:color="auto" w:fill="auto"/>
          </w:tcPr>
          <w:p w14:paraId="5AC0727C" w14:textId="12084C1A"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74" w:history="1">
              <w:r w:rsidRPr="00186777">
                <w:rPr>
                  <w:rStyle w:val="Hyperlink"/>
                  <w:iCs/>
                  <w:lang w:val="es-ES_tradnl"/>
                </w:rPr>
                <w:t>CEDAW/C/OMN/CO/2-3</w:t>
              </w:r>
            </w:hyperlink>
            <w:r w:rsidRPr="00186777">
              <w:rPr>
                <w:iCs/>
                <w:lang w:val="es-ES_tradnl"/>
              </w:rPr>
              <w:t>)</w:t>
            </w:r>
          </w:p>
        </w:tc>
      </w:tr>
      <w:tr w:rsidR="00F30BCC" w:rsidRPr="00186777" w14:paraId="54B718FE" w14:textId="77777777" w:rsidTr="00F30BCC">
        <w:tc>
          <w:tcPr>
            <w:tcW w:w="4050" w:type="dxa"/>
          </w:tcPr>
          <w:p w14:paraId="5E97AAD1" w14:textId="374AE6AF"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Paraguay</w:t>
            </w:r>
          </w:p>
        </w:tc>
        <w:tc>
          <w:tcPr>
            <w:tcW w:w="3270" w:type="dxa"/>
            <w:shd w:val="clear" w:color="auto" w:fill="auto"/>
          </w:tcPr>
          <w:p w14:paraId="191EFC05" w14:textId="635C337F"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75" w:history="1">
              <w:r w:rsidRPr="00186777">
                <w:rPr>
                  <w:rStyle w:val="Hyperlink"/>
                  <w:iCs/>
                  <w:lang w:val="es-ES_tradnl"/>
                </w:rPr>
                <w:t>CEDAW/C/PRY/CO/7</w:t>
              </w:r>
            </w:hyperlink>
            <w:r w:rsidRPr="00186777">
              <w:rPr>
                <w:iCs/>
                <w:lang w:val="es-ES_tradnl"/>
              </w:rPr>
              <w:t>)</w:t>
            </w:r>
          </w:p>
        </w:tc>
      </w:tr>
      <w:tr w:rsidR="00C36C04" w:rsidRPr="00186777" w14:paraId="6ADEC612" w14:textId="77777777" w:rsidTr="006C7FE2">
        <w:tc>
          <w:tcPr>
            <w:tcW w:w="4050" w:type="dxa"/>
          </w:tcPr>
          <w:p w14:paraId="69CCC4F9" w14:textId="77777777" w:rsidR="00C36C04" w:rsidRPr="00186777" w:rsidRDefault="00C36C04" w:rsidP="006C7F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República Popular Democrática de Corea</w:t>
            </w:r>
          </w:p>
        </w:tc>
        <w:tc>
          <w:tcPr>
            <w:tcW w:w="3270" w:type="dxa"/>
            <w:shd w:val="clear" w:color="auto" w:fill="auto"/>
          </w:tcPr>
          <w:p w14:paraId="6FAD6A95" w14:textId="633075DD" w:rsidR="00C36C04" w:rsidRPr="00186777" w:rsidRDefault="00C36C04" w:rsidP="006C7F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76" w:history="1">
              <w:r w:rsidRPr="00186777">
                <w:rPr>
                  <w:rStyle w:val="Hyperlink"/>
                  <w:iCs/>
                  <w:lang w:val="es-ES_tradnl"/>
                </w:rPr>
                <w:t>CEDAW/C/ARM/PRK/2-4</w:t>
              </w:r>
            </w:hyperlink>
            <w:r w:rsidRPr="00186777">
              <w:rPr>
                <w:iCs/>
                <w:lang w:val="es-ES_tradnl"/>
              </w:rPr>
              <w:t>)</w:t>
            </w:r>
          </w:p>
        </w:tc>
      </w:tr>
      <w:tr w:rsidR="00F30BCC" w:rsidRPr="00186777" w14:paraId="4F43459D" w14:textId="77777777" w:rsidTr="00F30BCC">
        <w:tc>
          <w:tcPr>
            <w:tcW w:w="4050" w:type="dxa"/>
          </w:tcPr>
          <w:p w14:paraId="1C98A518" w14:textId="1C536587"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Singapur</w:t>
            </w:r>
          </w:p>
        </w:tc>
        <w:tc>
          <w:tcPr>
            <w:tcW w:w="3270" w:type="dxa"/>
            <w:shd w:val="clear" w:color="auto" w:fill="auto"/>
          </w:tcPr>
          <w:p w14:paraId="244A3E43" w14:textId="55267A3F" w:rsidR="00F30BC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s-ES_tradnl"/>
              </w:rPr>
            </w:pPr>
            <w:r w:rsidRPr="00186777">
              <w:rPr>
                <w:iCs/>
                <w:lang w:val="es-ES_tradnl"/>
              </w:rPr>
              <w:t>(</w:t>
            </w:r>
            <w:hyperlink r:id="rId77" w:history="1">
              <w:r w:rsidRPr="00186777">
                <w:rPr>
                  <w:rStyle w:val="Hyperlink"/>
                  <w:iCs/>
                  <w:lang w:val="es-ES_tradnl"/>
                </w:rPr>
                <w:t>CEDAW/C/SGP/CO/5</w:t>
              </w:r>
            </w:hyperlink>
            <w:r w:rsidRPr="00186777">
              <w:rPr>
                <w:iCs/>
                <w:lang w:val="es-ES_tradnl"/>
              </w:rPr>
              <w:t>)</w:t>
            </w:r>
          </w:p>
        </w:tc>
      </w:tr>
      <w:bookmarkEnd w:id="11"/>
    </w:tbl>
    <w:p w14:paraId="54C795B9" w14:textId="14FDC574" w:rsidR="003A610A" w:rsidRPr="00186777" w:rsidRDefault="003A610A" w:rsidP="00071E44">
      <w:pPr>
        <w:pStyle w:val="SingleTxt"/>
        <w:spacing w:after="0" w:line="120" w:lineRule="exact"/>
        <w:rPr>
          <w:sz w:val="10"/>
          <w:lang w:val="es-ES_tradnl"/>
        </w:rPr>
      </w:pPr>
    </w:p>
    <w:p w14:paraId="668CBBE5" w14:textId="40AC891C" w:rsidR="00071E44" w:rsidRPr="00186777" w:rsidRDefault="00071E44" w:rsidP="00071E44">
      <w:pPr>
        <w:pStyle w:val="SingleTxt"/>
        <w:spacing w:after="0" w:line="120" w:lineRule="exact"/>
        <w:rPr>
          <w:sz w:val="10"/>
          <w:lang w:val="es-ES_tradnl"/>
        </w:rPr>
      </w:pPr>
    </w:p>
    <w:p w14:paraId="32DC5C89" w14:textId="63757843" w:rsidR="00AA6F33" w:rsidRPr="00186777" w:rsidRDefault="00AA6F33" w:rsidP="003C70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Seguimiento de las observaciones finales</w:t>
      </w:r>
    </w:p>
    <w:p w14:paraId="2C938386" w14:textId="3984E3CC" w:rsidR="003C703C" w:rsidRPr="00186777" w:rsidRDefault="003C703C" w:rsidP="003C703C">
      <w:pPr>
        <w:pStyle w:val="SingleTxt"/>
        <w:spacing w:after="0" w:line="120" w:lineRule="exact"/>
        <w:rPr>
          <w:sz w:val="10"/>
          <w:lang w:val="es-ES_tradnl"/>
        </w:rPr>
      </w:pPr>
    </w:p>
    <w:p w14:paraId="3A23CB46" w14:textId="0A6D8EF7" w:rsidR="003C703C" w:rsidRPr="00186777" w:rsidRDefault="003C703C" w:rsidP="003C703C">
      <w:pPr>
        <w:pStyle w:val="SingleTxt"/>
        <w:spacing w:after="0" w:line="120" w:lineRule="exact"/>
        <w:rPr>
          <w:sz w:val="10"/>
          <w:lang w:val="es-ES_tradnl"/>
        </w:rPr>
      </w:pPr>
    </w:p>
    <w:p w14:paraId="4AD6B7F4" w14:textId="4B133E68" w:rsidR="00AA6F33" w:rsidRPr="00186777" w:rsidRDefault="00AA6F33" w:rsidP="00113F7A">
      <w:pPr>
        <w:pStyle w:val="SingleTxt"/>
        <w:numPr>
          <w:ilvl w:val="0"/>
          <w:numId w:val="9"/>
        </w:numPr>
        <w:ind w:left="1267"/>
        <w:rPr>
          <w:lang w:val="es-ES_tradnl"/>
        </w:rPr>
      </w:pPr>
      <w:r w:rsidRPr="00186777">
        <w:rPr>
          <w:lang w:val="es-ES_tradnl"/>
        </w:rPr>
        <w:t>El Comité examinó los informes de seguimiento recibidos de los siguientes Estados partes:</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3270"/>
      </w:tblGrid>
      <w:tr w:rsidR="003C703C" w:rsidRPr="00054806" w14:paraId="10BDADCB" w14:textId="77777777" w:rsidTr="00CC163D">
        <w:tc>
          <w:tcPr>
            <w:tcW w:w="4050" w:type="dxa"/>
            <w:shd w:val="clear" w:color="auto" w:fill="auto"/>
          </w:tcPr>
          <w:p w14:paraId="7E14709F" w14:textId="77777777" w:rsidR="003C703C" w:rsidRPr="00186777" w:rsidRDefault="003C703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186777">
              <w:rPr>
                <w:iCs/>
                <w:lang w:val="es-ES_tradnl"/>
              </w:rPr>
              <w:tab/>
              <w:t>Benin</w:t>
            </w:r>
          </w:p>
        </w:tc>
        <w:tc>
          <w:tcPr>
            <w:tcW w:w="3270" w:type="dxa"/>
            <w:shd w:val="clear" w:color="auto" w:fill="auto"/>
          </w:tcPr>
          <w:p w14:paraId="713170B4" w14:textId="0C836FB0" w:rsidR="003C703C" w:rsidRPr="00794DB5" w:rsidRDefault="003C703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n-US"/>
              </w:rPr>
            </w:pPr>
            <w:r w:rsidRPr="00794DB5">
              <w:rPr>
                <w:iCs/>
                <w:lang w:val="en-US"/>
              </w:rPr>
              <w:t>(</w:t>
            </w:r>
            <w:hyperlink r:id="rId78" w:history="1">
              <w:r w:rsidRPr="00794DB5">
                <w:rPr>
                  <w:rStyle w:val="Hyperlink"/>
                  <w:iCs/>
                  <w:lang w:val="en-US"/>
                </w:rPr>
                <w:t>CEDAW/C/BEN/CO/4/Add.1</w:t>
              </w:r>
            </w:hyperlink>
            <w:r w:rsidRPr="00794DB5">
              <w:rPr>
                <w:iCs/>
                <w:lang w:val="en-US"/>
              </w:rPr>
              <w:t>)</w:t>
            </w:r>
          </w:p>
        </w:tc>
      </w:tr>
      <w:tr w:rsidR="003C703C" w:rsidRPr="00054806" w14:paraId="65A040D0" w14:textId="77777777" w:rsidTr="00CC163D">
        <w:tc>
          <w:tcPr>
            <w:tcW w:w="4050" w:type="dxa"/>
            <w:shd w:val="clear" w:color="auto" w:fill="auto"/>
          </w:tcPr>
          <w:p w14:paraId="57C0F6B9" w14:textId="77777777" w:rsidR="003C703C" w:rsidRPr="00186777" w:rsidRDefault="003C703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794DB5">
              <w:rPr>
                <w:iCs/>
                <w:lang w:val="en-US"/>
              </w:rPr>
              <w:tab/>
            </w:r>
            <w:r w:rsidRPr="00186777">
              <w:rPr>
                <w:iCs/>
                <w:lang w:val="es-ES_tradnl"/>
              </w:rPr>
              <w:t>Brunei Darussalam</w:t>
            </w:r>
          </w:p>
        </w:tc>
        <w:tc>
          <w:tcPr>
            <w:tcW w:w="3270" w:type="dxa"/>
            <w:shd w:val="clear" w:color="auto" w:fill="auto"/>
          </w:tcPr>
          <w:p w14:paraId="20C5F6F8" w14:textId="296061D8" w:rsidR="003C703C" w:rsidRPr="00794DB5" w:rsidRDefault="003C703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n-US"/>
              </w:rPr>
            </w:pPr>
            <w:r w:rsidRPr="00794DB5">
              <w:rPr>
                <w:iCs/>
                <w:lang w:val="en-US"/>
              </w:rPr>
              <w:t>(</w:t>
            </w:r>
            <w:hyperlink r:id="rId79" w:history="1">
              <w:r w:rsidRPr="00794DB5">
                <w:rPr>
                  <w:rStyle w:val="Hyperlink"/>
                  <w:iCs/>
                  <w:lang w:val="en-US"/>
                </w:rPr>
                <w:t>CEDAW/C/BRN/CO/1-2/Add.1</w:t>
              </w:r>
            </w:hyperlink>
            <w:r w:rsidRPr="00794DB5">
              <w:rPr>
                <w:iCs/>
                <w:lang w:val="en-US"/>
              </w:rPr>
              <w:t>)</w:t>
            </w:r>
          </w:p>
        </w:tc>
      </w:tr>
      <w:tr w:rsidR="003C703C" w:rsidRPr="00054806" w14:paraId="590C63A5" w14:textId="77777777" w:rsidTr="00CC163D">
        <w:tc>
          <w:tcPr>
            <w:tcW w:w="4050" w:type="dxa"/>
            <w:shd w:val="clear" w:color="auto" w:fill="auto"/>
          </w:tcPr>
          <w:p w14:paraId="4FE358A8" w14:textId="661B540A" w:rsidR="003C703C" w:rsidRPr="00186777" w:rsidRDefault="00F30BC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794DB5">
              <w:rPr>
                <w:iCs/>
                <w:lang w:val="en-US"/>
              </w:rPr>
              <w:tab/>
            </w:r>
            <w:r w:rsidRPr="00186777">
              <w:rPr>
                <w:iCs/>
                <w:lang w:val="es-ES_tradnl"/>
              </w:rPr>
              <w:t>Es</w:t>
            </w:r>
            <w:r w:rsidR="003C703C" w:rsidRPr="00186777">
              <w:rPr>
                <w:iCs/>
                <w:lang w:val="es-ES_tradnl"/>
              </w:rPr>
              <w:t>lovenia</w:t>
            </w:r>
          </w:p>
        </w:tc>
        <w:tc>
          <w:tcPr>
            <w:tcW w:w="3270" w:type="dxa"/>
            <w:shd w:val="clear" w:color="auto" w:fill="auto"/>
          </w:tcPr>
          <w:p w14:paraId="5FCD10DA" w14:textId="71966A11" w:rsidR="003C703C" w:rsidRPr="00794DB5" w:rsidRDefault="003C703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n-US"/>
              </w:rPr>
            </w:pPr>
            <w:r w:rsidRPr="00794DB5">
              <w:rPr>
                <w:iCs/>
                <w:lang w:val="en-US"/>
              </w:rPr>
              <w:t>(</w:t>
            </w:r>
            <w:hyperlink r:id="rId80" w:history="1">
              <w:r w:rsidRPr="00794DB5">
                <w:rPr>
                  <w:rStyle w:val="Hyperlink"/>
                  <w:iCs/>
                  <w:lang w:val="en-US"/>
                </w:rPr>
                <w:t>CEDAW/C/SVN/CO/5-6/Add.1</w:t>
              </w:r>
            </w:hyperlink>
            <w:r w:rsidRPr="00794DB5">
              <w:rPr>
                <w:iCs/>
                <w:lang w:val="en-US"/>
              </w:rPr>
              <w:t>)</w:t>
            </w:r>
          </w:p>
        </w:tc>
      </w:tr>
      <w:tr w:rsidR="003C703C" w:rsidRPr="00054806" w14:paraId="3B660451" w14:textId="77777777" w:rsidTr="00CC163D">
        <w:tc>
          <w:tcPr>
            <w:tcW w:w="4050" w:type="dxa"/>
            <w:shd w:val="clear" w:color="auto" w:fill="auto"/>
          </w:tcPr>
          <w:p w14:paraId="4B5792B9" w14:textId="0EABEEC1" w:rsidR="003C703C" w:rsidRPr="00186777" w:rsidRDefault="003C703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Cs/>
                <w:lang w:val="es-ES_tradnl"/>
              </w:rPr>
            </w:pPr>
            <w:r w:rsidRPr="00794DB5">
              <w:rPr>
                <w:iCs/>
                <w:lang w:val="en-US"/>
              </w:rPr>
              <w:tab/>
            </w:r>
            <w:r w:rsidR="00F30BCC" w:rsidRPr="00186777">
              <w:rPr>
                <w:iCs/>
                <w:lang w:val="es-ES_tradnl"/>
              </w:rPr>
              <w:t>España</w:t>
            </w:r>
          </w:p>
        </w:tc>
        <w:tc>
          <w:tcPr>
            <w:tcW w:w="3270" w:type="dxa"/>
            <w:shd w:val="clear" w:color="auto" w:fill="auto"/>
          </w:tcPr>
          <w:p w14:paraId="79A49E9E" w14:textId="326FFCC5" w:rsidR="003C703C" w:rsidRPr="00794DB5" w:rsidRDefault="003C703C"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iCs/>
                <w:lang w:val="en-US"/>
              </w:rPr>
            </w:pPr>
            <w:r w:rsidRPr="00794DB5">
              <w:rPr>
                <w:iCs/>
                <w:lang w:val="en-US"/>
              </w:rPr>
              <w:t>(</w:t>
            </w:r>
            <w:hyperlink r:id="rId81" w:history="1">
              <w:r w:rsidRPr="00794DB5">
                <w:rPr>
                  <w:rStyle w:val="Hyperlink"/>
                  <w:iCs/>
                  <w:lang w:val="en-US"/>
                </w:rPr>
                <w:t>CEDAW/C/ESP/CO/7-8/Add.1</w:t>
              </w:r>
            </w:hyperlink>
            <w:r w:rsidRPr="00794DB5">
              <w:rPr>
                <w:iCs/>
                <w:lang w:val="en-US"/>
              </w:rPr>
              <w:t>)</w:t>
            </w:r>
          </w:p>
        </w:tc>
      </w:tr>
    </w:tbl>
    <w:p w14:paraId="10FE8C7A" w14:textId="3F30828D" w:rsidR="003C703C" w:rsidRPr="00794DB5" w:rsidRDefault="003C703C" w:rsidP="00F30BCC">
      <w:pPr>
        <w:pStyle w:val="SingleTxt"/>
        <w:spacing w:after="0" w:line="120" w:lineRule="exact"/>
        <w:rPr>
          <w:sz w:val="10"/>
          <w:lang w:val="en-US"/>
        </w:rPr>
      </w:pPr>
    </w:p>
    <w:p w14:paraId="430D2075" w14:textId="4138A364" w:rsidR="00F30BCC" w:rsidRPr="00794DB5" w:rsidRDefault="00F30BCC" w:rsidP="00F30BCC">
      <w:pPr>
        <w:pStyle w:val="SingleTxt"/>
        <w:spacing w:after="0" w:line="120" w:lineRule="exact"/>
        <w:rPr>
          <w:sz w:val="10"/>
          <w:lang w:val="en-US"/>
        </w:rPr>
      </w:pPr>
    </w:p>
    <w:p w14:paraId="1C722C0A" w14:textId="32E71524" w:rsidR="00AA6F33" w:rsidRPr="00186777" w:rsidRDefault="00AA6F33" w:rsidP="00113F7A">
      <w:pPr>
        <w:pStyle w:val="SingleTxt"/>
        <w:numPr>
          <w:ilvl w:val="0"/>
          <w:numId w:val="9"/>
        </w:numPr>
        <w:ind w:left="1267"/>
        <w:rPr>
          <w:lang w:val="es-ES_tradnl"/>
        </w:rPr>
      </w:pPr>
      <w:r w:rsidRPr="00186777">
        <w:rPr>
          <w:lang w:val="es-ES_tradnl"/>
        </w:rPr>
        <w:t>El Comité envió primeros recordatorios a Bolivia (Estado Plurinacional de), Croacia, Gambia, Namibia, San Vicente y las Granadinas, Senegal y Viet Nam, y segundos recordatorios a Azerbaiyán, Eritrea, el Gabón, Kirguistán y Tuvalu, cuyos informes de seguimiento estaban atrasados.</w:t>
      </w:r>
    </w:p>
    <w:p w14:paraId="0D382442" w14:textId="77777777" w:rsidR="00F30BCC" w:rsidRPr="00186777" w:rsidRDefault="00AA6F33" w:rsidP="00113F7A">
      <w:pPr>
        <w:pStyle w:val="SingleTxt"/>
        <w:numPr>
          <w:ilvl w:val="0"/>
          <w:numId w:val="9"/>
        </w:numPr>
        <w:ind w:left="1267"/>
        <w:rPr>
          <w:lang w:val="es-ES_tradnl"/>
        </w:rPr>
      </w:pPr>
      <w:r w:rsidRPr="00186777">
        <w:rPr>
          <w:lang w:val="es-ES_tradnl"/>
        </w:rPr>
        <w:t xml:space="preserve">La Relatora para el seguimiento se reunió con representantes de la República Centroafricana y Uganda, que no habían presentado sus informes de seguimiento en el plazo fijado. </w:t>
      </w:r>
    </w:p>
    <w:p w14:paraId="571DB2E4" w14:textId="77777777" w:rsidR="00F30BCC" w:rsidRPr="00186777" w:rsidRDefault="00F30BCC" w:rsidP="00F30BCC">
      <w:pPr>
        <w:pStyle w:val="SingleTxt"/>
        <w:rPr>
          <w:lang w:val="es-ES_tradnl"/>
        </w:rPr>
      </w:pPr>
    </w:p>
    <w:p w14:paraId="372DCFAB" w14:textId="77777777" w:rsidR="00F30BCC" w:rsidRPr="00186777" w:rsidRDefault="00F30BCC">
      <w:pPr>
        <w:suppressAutoHyphens w:val="0"/>
        <w:spacing w:after="200" w:line="276" w:lineRule="auto"/>
        <w:rPr>
          <w:kern w:val="14"/>
          <w:lang w:val="es-ES_tradnl"/>
        </w:rPr>
      </w:pPr>
      <w:r w:rsidRPr="00186777">
        <w:rPr>
          <w:lang w:val="es-ES_tradnl"/>
        </w:rPr>
        <w:br w:type="page"/>
      </w:r>
    </w:p>
    <w:p w14:paraId="63104343" w14:textId="75AB127D"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w:t>
      </w:r>
    </w:p>
    <w:p w14:paraId="01F1540F" w14:textId="575249E7" w:rsidR="00AA6F33" w:rsidRPr="00186777" w:rsidRDefault="00F30BCC"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ab/>
        <w:t>Actividades llevadas a cabo en virtud del Protocolo Facultativo</w:t>
      </w:r>
    </w:p>
    <w:p w14:paraId="0AEA0348" w14:textId="1EE51AB7" w:rsidR="00F30BCC" w:rsidRPr="00186777" w:rsidRDefault="00F30BCC" w:rsidP="00F30BCC">
      <w:pPr>
        <w:pStyle w:val="SingleTxt"/>
        <w:spacing w:after="0" w:line="120" w:lineRule="exact"/>
        <w:rPr>
          <w:sz w:val="10"/>
          <w:lang w:val="es-ES_tradnl"/>
        </w:rPr>
      </w:pPr>
    </w:p>
    <w:p w14:paraId="563E91E1" w14:textId="03BB9E98" w:rsidR="00F30BCC" w:rsidRPr="00186777" w:rsidRDefault="00F30BCC" w:rsidP="00F30BCC">
      <w:pPr>
        <w:pStyle w:val="SingleTxt"/>
        <w:spacing w:after="0" w:line="120" w:lineRule="exact"/>
        <w:rPr>
          <w:sz w:val="10"/>
          <w:lang w:val="es-ES_tradnl"/>
        </w:rPr>
      </w:pPr>
    </w:p>
    <w:p w14:paraId="22327A73" w14:textId="700A8BFF" w:rsidR="00AA6F33" w:rsidRPr="00186777" w:rsidRDefault="00AA6F33" w:rsidP="00113F7A">
      <w:pPr>
        <w:pStyle w:val="SingleTxt"/>
        <w:numPr>
          <w:ilvl w:val="0"/>
          <w:numId w:val="9"/>
        </w:numPr>
        <w:ind w:left="1267"/>
        <w:rPr>
          <w:lang w:val="es-ES_tradnl"/>
        </w:rPr>
      </w:pPr>
      <w:r w:rsidRPr="00186777">
        <w:rPr>
          <w:lang w:val="es-ES_tradnl"/>
        </w:rPr>
        <w:t xml:space="preserve">El artículo 12 del Protocolo Facultativo establece que el Comité incluirá en su informe anual un resumen de las actividades llevadas a cabo en virtud del Protocolo Facultativo. </w:t>
      </w:r>
    </w:p>
    <w:p w14:paraId="255A239A" w14:textId="77777777" w:rsidR="00F30BCC" w:rsidRPr="00186777" w:rsidRDefault="00F30BCC" w:rsidP="00F30BCC">
      <w:pPr>
        <w:pStyle w:val="SingleTxt"/>
        <w:spacing w:after="0" w:line="120" w:lineRule="exact"/>
        <w:rPr>
          <w:b/>
          <w:bCs/>
          <w:sz w:val="10"/>
          <w:lang w:val="es-ES_tradnl"/>
        </w:rPr>
      </w:pPr>
    </w:p>
    <w:p w14:paraId="4DB61568" w14:textId="77777777" w:rsidR="00F30BCC" w:rsidRPr="00186777" w:rsidRDefault="00F30BCC" w:rsidP="00F30BCC">
      <w:pPr>
        <w:pStyle w:val="SingleTxt"/>
        <w:spacing w:after="0" w:line="120" w:lineRule="exact"/>
        <w:rPr>
          <w:b/>
          <w:bCs/>
          <w:sz w:val="10"/>
          <w:lang w:val="es-ES_tradnl"/>
        </w:rPr>
      </w:pPr>
    </w:p>
    <w:p w14:paraId="05904DB3" w14:textId="773F2D34" w:rsidR="00AA6F33" w:rsidRPr="00186777" w:rsidRDefault="00F30BCC" w:rsidP="00F30B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A.</w:t>
      </w:r>
      <w:r w:rsidR="00AA6F33" w:rsidRPr="00186777">
        <w:rPr>
          <w:lang w:val="es-ES_tradnl"/>
        </w:rPr>
        <w:tab/>
        <w:t xml:space="preserve">Medidas adoptadas por el Comité con respecto a las cuestiones previstas en el artículo 2 del Protocolo Facultativo </w:t>
      </w:r>
    </w:p>
    <w:p w14:paraId="3513795F" w14:textId="77777777" w:rsidR="00F30BCC" w:rsidRPr="00186777" w:rsidRDefault="00F30BCC" w:rsidP="00F30BCC">
      <w:pPr>
        <w:pStyle w:val="SingleTxt"/>
        <w:spacing w:after="0" w:line="120" w:lineRule="exact"/>
        <w:rPr>
          <w:sz w:val="10"/>
          <w:lang w:val="es-ES_tradnl"/>
        </w:rPr>
      </w:pPr>
    </w:p>
    <w:p w14:paraId="7C23B856" w14:textId="77777777" w:rsidR="00F30BCC" w:rsidRPr="00186777" w:rsidRDefault="00F30BCC" w:rsidP="00F30BCC">
      <w:pPr>
        <w:pStyle w:val="SingleTxt"/>
        <w:spacing w:after="0" w:line="120" w:lineRule="exact"/>
        <w:rPr>
          <w:sz w:val="10"/>
          <w:lang w:val="es-ES_tradnl"/>
        </w:rPr>
      </w:pPr>
    </w:p>
    <w:p w14:paraId="0C016DD3" w14:textId="237D23F5" w:rsidR="00AA6F33" w:rsidRPr="00186777" w:rsidRDefault="00AA6F33" w:rsidP="00113F7A">
      <w:pPr>
        <w:pStyle w:val="SingleTxt"/>
        <w:numPr>
          <w:ilvl w:val="0"/>
          <w:numId w:val="9"/>
        </w:numPr>
        <w:ind w:left="1267"/>
        <w:rPr>
          <w:lang w:val="es-ES_tradnl"/>
        </w:rPr>
      </w:pPr>
      <w:r w:rsidRPr="00186777">
        <w:rPr>
          <w:lang w:val="es-ES_tradnl"/>
        </w:rPr>
        <w:t xml:space="preserve">El 6 de noviembre de 2017, el Comité examinó las actividades llevadas a cabo en virtud del artículo 2 del Protocolo Facultativo. </w:t>
      </w:r>
    </w:p>
    <w:p w14:paraId="2DDEE80F" w14:textId="12D9344A" w:rsidR="00AA6F33" w:rsidRPr="00186777" w:rsidRDefault="00AA6F33" w:rsidP="00113F7A">
      <w:pPr>
        <w:pStyle w:val="SingleTxt"/>
        <w:numPr>
          <w:ilvl w:val="0"/>
          <w:numId w:val="9"/>
        </w:numPr>
        <w:ind w:left="1267"/>
        <w:rPr>
          <w:lang w:val="es-ES_tradnl"/>
        </w:rPr>
      </w:pPr>
      <w:r w:rsidRPr="00186777">
        <w:rPr>
          <w:lang w:val="es-ES_tradnl"/>
        </w:rPr>
        <w:t>El Comité hizo suyo el informe del Grupo de Trabajo sobre las Comunicaciones Presentadas en virtud del Protocolo Facultativo acerca de su 39º período de sesiones (véase https://bit.ly/2HbdIhn).</w:t>
      </w:r>
    </w:p>
    <w:p w14:paraId="5B7947F6" w14:textId="780F1E18" w:rsidR="00AA6F33" w:rsidRPr="00054806" w:rsidRDefault="00AA6F33" w:rsidP="00113F7A">
      <w:pPr>
        <w:pStyle w:val="SingleTxt"/>
        <w:numPr>
          <w:ilvl w:val="0"/>
          <w:numId w:val="9"/>
        </w:numPr>
        <w:ind w:left="1267"/>
        <w:rPr>
          <w:spacing w:val="2"/>
          <w:lang w:val="es-ES_tradnl"/>
        </w:rPr>
      </w:pPr>
      <w:r w:rsidRPr="00054806">
        <w:rPr>
          <w:spacing w:val="2"/>
          <w:lang w:val="es-ES_tradnl"/>
        </w:rPr>
        <w:t xml:space="preserve">El Comité adoptó decisiones finales sobre tres comunicaciones individuales presentadas en virtud del artículo 2 del Protocolo Facultativo. Aprobó un dictamen en el que manifestaba que existía una violación en </w:t>
      </w:r>
      <w:r w:rsidRPr="00054806">
        <w:rPr>
          <w:i/>
          <w:iCs/>
          <w:spacing w:val="2"/>
          <w:lang w:val="es-ES_tradnl"/>
        </w:rPr>
        <w:t>O.G. c. la Federación de Rusia</w:t>
      </w:r>
      <w:r w:rsidRPr="00054806">
        <w:rPr>
          <w:spacing w:val="2"/>
          <w:lang w:val="es-ES_tradnl"/>
        </w:rPr>
        <w:t xml:space="preserve"> (</w:t>
      </w:r>
      <w:hyperlink r:id="rId82" w:history="1">
        <w:r w:rsidRPr="00054806">
          <w:rPr>
            <w:rStyle w:val="Hyperlink"/>
            <w:spacing w:val="2"/>
            <w:lang w:val="es-ES_tradnl"/>
          </w:rPr>
          <w:t>CEDAW/C/68/D/91/2015</w:t>
        </w:r>
      </w:hyperlink>
      <w:r w:rsidRPr="00054806">
        <w:rPr>
          <w:spacing w:val="2"/>
          <w:lang w:val="es-ES_tradnl"/>
        </w:rPr>
        <w:t xml:space="preserve">). También adoptó decisiones de inadmisibilidad en </w:t>
      </w:r>
      <w:r w:rsidRPr="00054806">
        <w:rPr>
          <w:i/>
          <w:iCs/>
          <w:spacing w:val="2"/>
          <w:lang w:val="es-ES_tradnl"/>
        </w:rPr>
        <w:t>S.J.</w:t>
      </w:r>
      <w:r w:rsidR="00614558" w:rsidRPr="00054806">
        <w:rPr>
          <w:i/>
          <w:iCs/>
          <w:spacing w:val="2"/>
          <w:lang w:val="es-ES_tradnl"/>
        </w:rPr>
        <w:t>A.</w:t>
      </w:r>
      <w:r w:rsidRPr="00054806">
        <w:rPr>
          <w:i/>
          <w:iCs/>
          <w:spacing w:val="2"/>
          <w:lang w:val="es-ES_tradnl"/>
        </w:rPr>
        <w:t xml:space="preserve"> c. Dinamarca</w:t>
      </w:r>
      <w:r w:rsidRPr="00054806">
        <w:rPr>
          <w:spacing w:val="2"/>
          <w:lang w:val="es-ES_tradnl"/>
        </w:rPr>
        <w:t xml:space="preserve"> (</w:t>
      </w:r>
      <w:hyperlink r:id="rId83" w:history="1">
        <w:r w:rsidRPr="00054806">
          <w:rPr>
            <w:rStyle w:val="Hyperlink"/>
            <w:spacing w:val="2"/>
            <w:lang w:val="es-ES_tradnl"/>
          </w:rPr>
          <w:t>CEDAW/C/68/D/79/2014</w:t>
        </w:r>
      </w:hyperlink>
      <w:r w:rsidRPr="00054806">
        <w:rPr>
          <w:spacing w:val="2"/>
          <w:lang w:val="es-ES_tradnl"/>
        </w:rPr>
        <w:t xml:space="preserve">) y </w:t>
      </w:r>
      <w:r w:rsidRPr="00054806">
        <w:rPr>
          <w:i/>
          <w:iCs/>
          <w:spacing w:val="2"/>
          <w:lang w:val="es-ES_tradnl"/>
        </w:rPr>
        <w:t>N. P. c. Ucrania</w:t>
      </w:r>
      <w:r w:rsidRPr="00054806">
        <w:rPr>
          <w:spacing w:val="2"/>
          <w:lang w:val="es-ES_tradnl"/>
        </w:rPr>
        <w:t xml:space="preserve"> (</w:t>
      </w:r>
      <w:hyperlink r:id="rId84" w:history="1">
        <w:r w:rsidRPr="00054806">
          <w:rPr>
            <w:rStyle w:val="Hyperlink"/>
            <w:spacing w:val="2"/>
            <w:lang w:val="es-ES_tradnl"/>
          </w:rPr>
          <w:t>CEDAW/C/68/D/95/2015</w:t>
        </w:r>
      </w:hyperlink>
      <w:r w:rsidRPr="00054806">
        <w:rPr>
          <w:spacing w:val="2"/>
          <w:lang w:val="es-ES_tradnl"/>
        </w:rPr>
        <w:t xml:space="preserve">). El Comité decidió además suspender su examen de la comunicación núm. </w:t>
      </w:r>
      <w:r w:rsidR="00614558" w:rsidRPr="00054806">
        <w:rPr>
          <w:spacing w:val="2"/>
        </w:rPr>
        <w:t>93/201</w:t>
      </w:r>
      <w:r w:rsidRPr="00054806">
        <w:rPr>
          <w:spacing w:val="2"/>
          <w:lang w:val="es-ES_tradnl"/>
        </w:rPr>
        <w:t>5 (</w:t>
      </w:r>
      <w:r w:rsidRPr="00054806">
        <w:rPr>
          <w:i/>
          <w:iCs/>
          <w:spacing w:val="2"/>
          <w:lang w:val="es-ES_tradnl"/>
        </w:rPr>
        <w:t>K.I.A. c</w:t>
      </w:r>
      <w:r w:rsidR="00614558" w:rsidRPr="00054806">
        <w:rPr>
          <w:i/>
          <w:iCs/>
          <w:spacing w:val="2"/>
          <w:lang w:val="es-ES_tradnl"/>
        </w:rPr>
        <w:t>.</w:t>
      </w:r>
      <w:r w:rsidRPr="00054806">
        <w:rPr>
          <w:i/>
          <w:iCs/>
          <w:spacing w:val="2"/>
          <w:lang w:val="es-ES_tradnl"/>
        </w:rPr>
        <w:t xml:space="preserve"> Dinamarca</w:t>
      </w:r>
      <w:r w:rsidRPr="00054806">
        <w:rPr>
          <w:spacing w:val="2"/>
          <w:lang w:val="es-ES_tradnl"/>
        </w:rPr>
        <w:t xml:space="preserve">). Todas las decisiones fueron adoptadas por consenso. </w:t>
      </w:r>
    </w:p>
    <w:p w14:paraId="0AE4F20E" w14:textId="2C0F8C40" w:rsidR="00F30BCC" w:rsidRPr="00186777" w:rsidRDefault="00F30BCC" w:rsidP="00F30BCC">
      <w:pPr>
        <w:pStyle w:val="SingleTxt"/>
        <w:spacing w:after="0" w:line="120" w:lineRule="exact"/>
        <w:rPr>
          <w:sz w:val="10"/>
          <w:lang w:val="es-ES_tradnl"/>
        </w:rPr>
      </w:pPr>
    </w:p>
    <w:p w14:paraId="6B843662" w14:textId="2BDC08D6" w:rsidR="00F30BCC" w:rsidRPr="00186777" w:rsidRDefault="00F30BCC" w:rsidP="00F30BCC">
      <w:pPr>
        <w:pStyle w:val="SingleTxt"/>
        <w:spacing w:after="0" w:line="120" w:lineRule="exact"/>
        <w:rPr>
          <w:sz w:val="10"/>
          <w:lang w:val="es-ES_tradnl"/>
        </w:rPr>
      </w:pPr>
    </w:p>
    <w:p w14:paraId="56CA9144" w14:textId="05BDC566" w:rsidR="00AA6F33" w:rsidRPr="00186777" w:rsidRDefault="00F30BCC" w:rsidP="00F30B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B.</w:t>
      </w:r>
      <w:r w:rsidR="00AA6F33" w:rsidRPr="00186777">
        <w:rPr>
          <w:lang w:val="es-ES_tradnl"/>
        </w:rPr>
        <w:tab/>
        <w:t>Seguimiento de los dictámenes del Comité sobre comunicaciones individuales</w:t>
      </w:r>
    </w:p>
    <w:p w14:paraId="5C4A99BE" w14:textId="2E6E3BFB" w:rsidR="00F30BCC" w:rsidRPr="00186777" w:rsidRDefault="00F30BCC" w:rsidP="00F30BCC">
      <w:pPr>
        <w:pStyle w:val="SingleTxt"/>
        <w:spacing w:after="0" w:line="120" w:lineRule="exact"/>
        <w:rPr>
          <w:sz w:val="10"/>
          <w:lang w:val="es-ES_tradnl"/>
        </w:rPr>
      </w:pPr>
    </w:p>
    <w:p w14:paraId="55FFCBF2" w14:textId="43D8FB2E" w:rsidR="00F30BCC" w:rsidRPr="00186777" w:rsidRDefault="00F30BCC" w:rsidP="00F30BCC">
      <w:pPr>
        <w:pStyle w:val="SingleTxt"/>
        <w:spacing w:after="0" w:line="120" w:lineRule="exact"/>
        <w:rPr>
          <w:sz w:val="10"/>
          <w:lang w:val="es-ES_tradnl"/>
        </w:rPr>
      </w:pPr>
    </w:p>
    <w:p w14:paraId="3433C2EF" w14:textId="5B3AE8AF" w:rsidR="00AA6F33" w:rsidRPr="00186777" w:rsidRDefault="00AA6F33" w:rsidP="00113F7A">
      <w:pPr>
        <w:pStyle w:val="SingleTxt"/>
        <w:numPr>
          <w:ilvl w:val="0"/>
          <w:numId w:val="9"/>
        </w:numPr>
        <w:ind w:left="1267"/>
        <w:rPr>
          <w:lang w:val="es-ES_tradnl"/>
        </w:rPr>
      </w:pPr>
      <w:r w:rsidRPr="00186777">
        <w:rPr>
          <w:lang w:val="es-ES_tradnl"/>
        </w:rPr>
        <w:t>Se informó al Comité de que el Grupo de Trabajo, en su 39º período de sesiones, había examinado la situación en cada caso en que el diálogo de seguimiento seguía en curso y había acordado las medidas necesarias. De los 15 casos que eran objeto de seguimiento, dos se referían a la Federación de Rusia y uno al Brasil, el Canadá, Dinamarca, Eslovaquia, España, Filipinas, Georgia, Kazajstán, México, los Países Bajos, el Perú, la República de Moldova y la República Unida de Tanzanía, respectivamente. El Comité designó relatores para cada uno de los casos.</w:t>
      </w:r>
    </w:p>
    <w:p w14:paraId="7F3D8C69" w14:textId="77777777" w:rsidR="00F30BCC" w:rsidRPr="00186777" w:rsidRDefault="00F30BCC" w:rsidP="00F30BCC">
      <w:pPr>
        <w:pStyle w:val="SingleTxt"/>
        <w:spacing w:after="0" w:line="120" w:lineRule="exact"/>
        <w:rPr>
          <w:sz w:val="10"/>
          <w:lang w:val="es-ES_tradnl"/>
        </w:rPr>
      </w:pPr>
    </w:p>
    <w:p w14:paraId="5ABB4994" w14:textId="77777777" w:rsidR="00F30BCC" w:rsidRPr="00186777" w:rsidRDefault="00F30BCC" w:rsidP="00F30BCC">
      <w:pPr>
        <w:pStyle w:val="SingleTxt"/>
        <w:spacing w:after="0" w:line="120" w:lineRule="exact"/>
        <w:rPr>
          <w:sz w:val="10"/>
          <w:lang w:val="es-ES_tradnl"/>
        </w:rPr>
      </w:pPr>
    </w:p>
    <w:p w14:paraId="40CA0D83" w14:textId="65C44797" w:rsidR="00AA6F33" w:rsidRPr="00186777" w:rsidRDefault="00F30BCC" w:rsidP="00F30B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C.</w:t>
      </w:r>
      <w:r w:rsidR="00AA6F33" w:rsidRPr="00186777">
        <w:rPr>
          <w:lang w:val="es-ES_tradnl"/>
        </w:rPr>
        <w:tab/>
        <w:t>Medidas adoptadas por el Comité con respecto a las cuestiones previstas en el artículo 8 del Protocolo Facultativo</w:t>
      </w:r>
    </w:p>
    <w:p w14:paraId="601EB992" w14:textId="77777777" w:rsidR="00F30BCC" w:rsidRPr="00186777" w:rsidRDefault="00F30BCC" w:rsidP="00F30BCC">
      <w:pPr>
        <w:pStyle w:val="SingleTxt"/>
        <w:spacing w:after="0" w:line="120" w:lineRule="exact"/>
        <w:rPr>
          <w:sz w:val="10"/>
          <w:lang w:val="es-ES_tradnl"/>
        </w:rPr>
      </w:pPr>
    </w:p>
    <w:p w14:paraId="4E1BD355" w14:textId="77777777" w:rsidR="00F30BCC" w:rsidRPr="00186777" w:rsidRDefault="00F30BCC" w:rsidP="00F30BCC">
      <w:pPr>
        <w:pStyle w:val="SingleTxt"/>
        <w:spacing w:after="0" w:line="120" w:lineRule="exact"/>
        <w:rPr>
          <w:sz w:val="10"/>
          <w:lang w:val="es-ES_tradnl"/>
        </w:rPr>
      </w:pPr>
    </w:p>
    <w:p w14:paraId="22752765" w14:textId="0414AE5F" w:rsidR="00AA6F33" w:rsidRPr="00186777" w:rsidRDefault="00AA6F33" w:rsidP="00113F7A">
      <w:pPr>
        <w:pStyle w:val="SingleTxt"/>
        <w:numPr>
          <w:ilvl w:val="0"/>
          <w:numId w:val="9"/>
        </w:numPr>
        <w:ind w:left="1267"/>
        <w:rPr>
          <w:lang w:val="es-ES_tradnl"/>
        </w:rPr>
      </w:pPr>
      <w:r w:rsidRPr="00186777">
        <w:rPr>
          <w:lang w:val="es-ES_tradnl"/>
        </w:rPr>
        <w:t>El 15 de noviembre, el Comité examinó las actividades llevadas a cabo en virtud del artículo 8 del Protocolo Facultativo. Hizo suyo el informe del Grupo de Trabajo sobre Investigaciones con arreglo al Protocolo Facultativo en su octavo período de sesiones (véase https://bit.ly/2qiv1TK).</w:t>
      </w:r>
    </w:p>
    <w:p w14:paraId="03750824" w14:textId="770267C4" w:rsidR="00AA6F33" w:rsidRPr="00186777" w:rsidRDefault="00AA6F33" w:rsidP="00113F7A">
      <w:pPr>
        <w:pStyle w:val="SingleTxt"/>
        <w:numPr>
          <w:ilvl w:val="0"/>
          <w:numId w:val="9"/>
        </w:numPr>
        <w:ind w:left="1267"/>
        <w:rPr>
          <w:lang w:val="es-ES_tradnl"/>
        </w:rPr>
      </w:pPr>
      <w:r w:rsidRPr="00186777">
        <w:rPr>
          <w:lang w:val="es-ES_tradnl"/>
        </w:rPr>
        <w:t xml:space="preserve">El Comité aprobó la recomendación del Grupo de Trabajo, en relación con la comunicación núm. </w:t>
      </w:r>
      <w:r w:rsidR="00614558" w:rsidRPr="00054806">
        <w:t>2017/2</w:t>
      </w:r>
      <w:r w:rsidRPr="00186777">
        <w:rPr>
          <w:lang w:val="es-ES_tradnl"/>
        </w:rPr>
        <w:t>, de suspender el examen de la información recibida en virtud del artículo 8 del Protocolo Facultativo.</w:t>
      </w:r>
    </w:p>
    <w:p w14:paraId="3BC5F444" w14:textId="3253BD85" w:rsidR="00AA6F33" w:rsidRPr="00186777" w:rsidRDefault="00AA6F33" w:rsidP="00113F7A">
      <w:pPr>
        <w:pStyle w:val="SingleTxt"/>
        <w:numPr>
          <w:ilvl w:val="0"/>
          <w:numId w:val="9"/>
        </w:numPr>
        <w:ind w:left="1267"/>
        <w:rPr>
          <w:lang w:val="es-ES_tradnl"/>
        </w:rPr>
      </w:pPr>
      <w:r w:rsidRPr="00186777">
        <w:rPr>
          <w:lang w:val="es-ES_tradnl"/>
        </w:rPr>
        <w:t xml:space="preserve">El Comité concluyó la primera lectura de su proyecto de conclusiones, observaciones y recomendaciones en relación con la investigación núm. </w:t>
      </w:r>
      <w:r w:rsidR="00614558" w:rsidRPr="00054806">
        <w:t>2014/1</w:t>
      </w:r>
      <w:r w:rsidRPr="00186777">
        <w:rPr>
          <w:lang w:val="es-ES_tradnl"/>
        </w:rPr>
        <w:t>.</w:t>
      </w:r>
    </w:p>
    <w:p w14:paraId="3438AE78" w14:textId="3E2DE03F" w:rsidR="00AA6F33" w:rsidRPr="00186777" w:rsidRDefault="00AA6F33" w:rsidP="00054806">
      <w:pPr>
        <w:pStyle w:val="SingleTxt"/>
        <w:keepNext/>
        <w:keepLines/>
        <w:numPr>
          <w:ilvl w:val="0"/>
          <w:numId w:val="9"/>
        </w:numPr>
        <w:ind w:left="1267"/>
        <w:rPr>
          <w:lang w:val="es-ES_tradnl"/>
        </w:rPr>
      </w:pPr>
      <w:r w:rsidRPr="00186777">
        <w:rPr>
          <w:lang w:val="es-ES_tradnl"/>
        </w:rPr>
        <w:lastRenderedPageBreak/>
        <w:t>El Comité ratificó las siguientes decisiones adoptadas por el Grupo de Trabajo:</w:t>
      </w:r>
    </w:p>
    <w:p w14:paraId="7D89FC4B" w14:textId="519A5FC5" w:rsidR="00AA6F33" w:rsidRPr="00186777" w:rsidRDefault="00AA6F33" w:rsidP="00054806">
      <w:pPr>
        <w:pStyle w:val="SingleTxt"/>
        <w:keepNext/>
        <w:keepLines/>
        <w:rPr>
          <w:lang w:val="es-ES_tradnl"/>
        </w:rPr>
      </w:pPr>
      <w:r w:rsidRPr="00186777">
        <w:rPr>
          <w:lang w:val="es-ES_tradnl"/>
        </w:rPr>
        <w:tab/>
        <w:t>a)</w:t>
      </w:r>
      <w:r w:rsidR="00F30BCC" w:rsidRPr="00186777">
        <w:rPr>
          <w:lang w:val="es-ES_tradnl"/>
        </w:rPr>
        <w:tab/>
      </w:r>
      <w:r w:rsidRPr="00186777">
        <w:rPr>
          <w:lang w:val="es-ES_tradnl"/>
        </w:rPr>
        <w:t xml:space="preserve">En relación con la investigación núm. </w:t>
      </w:r>
      <w:r w:rsidR="00614558" w:rsidRPr="00054806">
        <w:t>2011/4</w:t>
      </w:r>
      <w:r w:rsidRPr="00186777">
        <w:rPr>
          <w:lang w:val="es-ES_tradnl"/>
        </w:rPr>
        <w:t>, aceptar el retiro de Náela Mohamed Gabr como uno de los miembros designados para llevar a cabo la investigación;</w:t>
      </w:r>
    </w:p>
    <w:p w14:paraId="31A0CD1F" w14:textId="77777777" w:rsidR="00AA6F33" w:rsidRPr="00186777" w:rsidRDefault="00AA6F33" w:rsidP="00AA6F33">
      <w:pPr>
        <w:pStyle w:val="SingleTxt"/>
        <w:rPr>
          <w:lang w:val="es-ES_tradnl"/>
        </w:rPr>
      </w:pPr>
      <w:r w:rsidRPr="00186777">
        <w:rPr>
          <w:lang w:val="es-ES_tradnl"/>
        </w:rPr>
        <w:tab/>
        <w:t>b)</w:t>
      </w:r>
      <w:r w:rsidRPr="00186777">
        <w:rPr>
          <w:lang w:val="es-ES_tradnl"/>
        </w:rPr>
        <w:tab/>
        <w:t>Habida cuenta de la falta de cooperación de algunos Estados partes, el Comité encomendó al Grupo de Trabajo sobre Investigaciones que examinara la posibilidad de elaborar directrices para la realización de investigaciones sin visitar el territorio del Estado parte correspondiente;</w:t>
      </w:r>
    </w:p>
    <w:p w14:paraId="03FE88A5" w14:textId="2A58FB35" w:rsidR="00F30BCC" w:rsidRPr="00186777" w:rsidRDefault="00AA6F33" w:rsidP="00AA6F33">
      <w:pPr>
        <w:pStyle w:val="SingleTxt"/>
        <w:rPr>
          <w:lang w:val="es-ES_tradnl"/>
        </w:rPr>
      </w:pPr>
      <w:r w:rsidRPr="00186777">
        <w:rPr>
          <w:lang w:val="es-ES_tradnl"/>
        </w:rPr>
        <w:tab/>
        <w:t>c)</w:t>
      </w:r>
      <w:r w:rsidR="00F30BCC" w:rsidRPr="00186777">
        <w:rPr>
          <w:lang w:val="es-ES_tradnl"/>
        </w:rPr>
        <w:tab/>
      </w:r>
      <w:r w:rsidRPr="00186777">
        <w:rPr>
          <w:lang w:val="es-ES_tradnl"/>
        </w:rPr>
        <w:t xml:space="preserve">Aplazar el examen de las enmiendas de los procedimientos operativos estándar propuestas por el Grupo de Trabajo sobre Investigaciones hasta el </w:t>
      </w:r>
      <w:r w:rsidR="00614558">
        <w:rPr>
          <w:lang w:val="es-ES_tradnl"/>
        </w:rPr>
        <w:t>69</w:t>
      </w:r>
      <w:r w:rsidR="00614558" w:rsidRPr="00186777">
        <w:rPr>
          <w:lang w:val="es-ES_tradnl"/>
        </w:rPr>
        <w:t>º</w:t>
      </w:r>
      <w:r w:rsidRPr="00186777">
        <w:rPr>
          <w:lang w:val="es-ES_tradnl"/>
        </w:rPr>
        <w:t xml:space="preserve"> período de sesiones del Comité. </w:t>
      </w:r>
    </w:p>
    <w:p w14:paraId="04BB6902" w14:textId="77777777" w:rsidR="00F30BCC" w:rsidRPr="00186777" w:rsidRDefault="00F30BCC" w:rsidP="00AA6F33">
      <w:pPr>
        <w:pStyle w:val="SingleTxt"/>
        <w:rPr>
          <w:lang w:val="es-ES_tradnl"/>
        </w:rPr>
      </w:pPr>
    </w:p>
    <w:p w14:paraId="56E3A7AC" w14:textId="77777777" w:rsidR="00F30BCC" w:rsidRPr="00186777" w:rsidRDefault="00F30BCC">
      <w:pPr>
        <w:suppressAutoHyphens w:val="0"/>
        <w:spacing w:after="200" w:line="276" w:lineRule="auto"/>
        <w:rPr>
          <w:kern w:val="14"/>
          <w:lang w:val="es-ES_tradnl"/>
        </w:rPr>
      </w:pPr>
      <w:r w:rsidRPr="00186777">
        <w:rPr>
          <w:lang w:val="es-ES_tradnl"/>
        </w:rPr>
        <w:br w:type="page"/>
      </w:r>
    </w:p>
    <w:p w14:paraId="00E9EC1E" w14:textId="68360C27"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VI</w:t>
      </w:r>
    </w:p>
    <w:p w14:paraId="2913E3D0" w14:textId="542FAF09"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Medios de agilizar los trabajos del Comité</w:t>
      </w:r>
    </w:p>
    <w:p w14:paraId="445ACD27" w14:textId="17704363" w:rsidR="00F30BCC" w:rsidRPr="00186777" w:rsidRDefault="00F30BCC" w:rsidP="00F30BCC">
      <w:pPr>
        <w:pStyle w:val="SingleTxt"/>
        <w:spacing w:after="0" w:line="120" w:lineRule="exact"/>
        <w:rPr>
          <w:sz w:val="10"/>
          <w:lang w:val="es-ES_tradnl"/>
        </w:rPr>
      </w:pPr>
    </w:p>
    <w:p w14:paraId="48D5EB88" w14:textId="3F0664EB" w:rsidR="00F30BCC" w:rsidRPr="00186777" w:rsidRDefault="00F30BCC" w:rsidP="00F30BCC">
      <w:pPr>
        <w:pStyle w:val="SingleTxt"/>
        <w:spacing w:after="0" w:line="120" w:lineRule="exact"/>
        <w:rPr>
          <w:sz w:val="10"/>
          <w:lang w:val="es-ES_tradnl"/>
        </w:rPr>
      </w:pPr>
    </w:p>
    <w:p w14:paraId="7B175CC8" w14:textId="1A8E4F6D" w:rsidR="00AA6F33" w:rsidRPr="00186777" w:rsidRDefault="00AA6F33" w:rsidP="00113F7A">
      <w:pPr>
        <w:pStyle w:val="SingleTxt"/>
        <w:numPr>
          <w:ilvl w:val="0"/>
          <w:numId w:val="9"/>
        </w:numPr>
        <w:ind w:left="1267"/>
        <w:rPr>
          <w:lang w:val="es-ES_tradnl"/>
        </w:rPr>
      </w:pPr>
      <w:r w:rsidRPr="00186777">
        <w:rPr>
          <w:lang w:val="es-ES_tradnl"/>
        </w:rPr>
        <w:t>La secretaría informó al Comité de la situación relativa a la presentación de los informes atrasados de los Estados partes en virtud del artículo 18 de la Convención.</w:t>
      </w:r>
    </w:p>
    <w:p w14:paraId="12537A2A" w14:textId="77777777" w:rsidR="00F30BCC" w:rsidRPr="00186777" w:rsidRDefault="00F30BCC" w:rsidP="00F30BCC">
      <w:pPr>
        <w:pStyle w:val="SingleTxt"/>
        <w:spacing w:after="0" w:line="120" w:lineRule="exact"/>
        <w:rPr>
          <w:b/>
          <w:bCs/>
          <w:sz w:val="10"/>
          <w:lang w:val="es-ES_tradnl"/>
        </w:rPr>
      </w:pPr>
    </w:p>
    <w:p w14:paraId="08C5D447" w14:textId="77777777" w:rsidR="00F30BCC" w:rsidRPr="00186777" w:rsidRDefault="00F30BCC" w:rsidP="00F30BCC">
      <w:pPr>
        <w:pStyle w:val="SingleTxt"/>
        <w:spacing w:after="0" w:line="120" w:lineRule="exact"/>
        <w:rPr>
          <w:b/>
          <w:bCs/>
          <w:sz w:val="10"/>
          <w:lang w:val="es-ES_tradnl"/>
        </w:rPr>
      </w:pPr>
    </w:p>
    <w:p w14:paraId="4A4F4F2B" w14:textId="1D66B8A2" w:rsidR="00AA6F33" w:rsidRPr="00186777" w:rsidRDefault="00AA6F33" w:rsidP="00F30B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Medidas adoptadas por el Comité en relación con el tema 7 del programa</w:t>
      </w:r>
    </w:p>
    <w:p w14:paraId="38C02581" w14:textId="77777777" w:rsidR="00F30BCC" w:rsidRPr="00186777" w:rsidRDefault="00F30BCC" w:rsidP="00F30BCC">
      <w:pPr>
        <w:pStyle w:val="SingleTxt"/>
        <w:spacing w:after="0" w:line="120" w:lineRule="exact"/>
        <w:rPr>
          <w:b/>
          <w:sz w:val="10"/>
          <w:lang w:val="es-ES_tradnl"/>
        </w:rPr>
      </w:pPr>
    </w:p>
    <w:p w14:paraId="30321347" w14:textId="77777777" w:rsidR="00F30BCC" w:rsidRPr="00186777" w:rsidRDefault="00F30BCC" w:rsidP="00F30BCC">
      <w:pPr>
        <w:pStyle w:val="SingleTxt"/>
        <w:spacing w:after="0" w:line="120" w:lineRule="exact"/>
        <w:rPr>
          <w:b/>
          <w:sz w:val="10"/>
          <w:lang w:val="es-ES_tradnl"/>
        </w:rPr>
      </w:pPr>
    </w:p>
    <w:p w14:paraId="5F9CF312" w14:textId="0793124F" w:rsidR="00AA6F33" w:rsidRPr="00186777" w:rsidRDefault="00AA6F33" w:rsidP="00F30B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Fechas de los próximos períodos de sesiones</w:t>
      </w:r>
    </w:p>
    <w:p w14:paraId="6FE4BBBF" w14:textId="77777777" w:rsidR="00F30BCC" w:rsidRPr="00186777" w:rsidRDefault="00F30BCC" w:rsidP="00F30BCC">
      <w:pPr>
        <w:pStyle w:val="SingleTxt"/>
        <w:spacing w:after="0" w:line="120" w:lineRule="exact"/>
        <w:rPr>
          <w:sz w:val="10"/>
          <w:lang w:val="es-ES_tradnl"/>
        </w:rPr>
      </w:pPr>
    </w:p>
    <w:p w14:paraId="2325DA33" w14:textId="07108290" w:rsidR="00AA6F33" w:rsidRPr="00186777" w:rsidRDefault="00AA6F33" w:rsidP="00113F7A">
      <w:pPr>
        <w:pStyle w:val="SingleTxt"/>
        <w:numPr>
          <w:ilvl w:val="0"/>
          <w:numId w:val="9"/>
        </w:numPr>
        <w:ind w:left="1267"/>
        <w:rPr>
          <w:lang w:val="es-ES_tradnl"/>
        </w:rPr>
      </w:pPr>
      <w:r w:rsidRPr="00186777">
        <w:rPr>
          <w:lang w:val="es-ES_tradnl"/>
        </w:rPr>
        <w:t xml:space="preserve">De conformidad con el calendario de conferencias, se confirmaron las siguientes fechas para los períodos de sesiones 69º y 70º del Comité y reuniones conexas: </w:t>
      </w:r>
    </w:p>
    <w:p w14:paraId="7ADD6650" w14:textId="2110F389" w:rsidR="00F30BCC" w:rsidRPr="00186777" w:rsidRDefault="00F30BCC" w:rsidP="00F30BCC">
      <w:pPr>
        <w:pStyle w:val="SingleTxt"/>
        <w:rPr>
          <w:lang w:val="es-ES_tradnl"/>
        </w:rPr>
      </w:pPr>
      <w:r w:rsidRPr="00186777">
        <w:rPr>
          <w:lang w:val="es-ES_tradnl"/>
        </w:rPr>
        <w:tab/>
      </w:r>
      <w:r w:rsidR="00AA6F33" w:rsidRPr="00186777">
        <w:rPr>
          <w:lang w:val="es-ES_tradnl"/>
        </w:rPr>
        <w:t>69º</w:t>
      </w:r>
      <w:r w:rsidRPr="00186777">
        <w:rPr>
          <w:lang w:val="es-ES_tradnl"/>
        </w:rPr>
        <w:t xml:space="preserve"> </w:t>
      </w:r>
      <w:r w:rsidR="00AA6F33" w:rsidRPr="00186777">
        <w:rPr>
          <w:lang w:val="es-ES_tradnl"/>
        </w:rPr>
        <w:t>período de sesiones (Ginebra)</w:t>
      </w:r>
    </w:p>
    <w:p w14:paraId="28FCC516" w14:textId="3D263BFF" w:rsidR="00AA6F33" w:rsidRPr="00186777" w:rsidRDefault="00F30BCC" w:rsidP="00F30BCC">
      <w:pPr>
        <w:pStyle w:val="SingleTxt"/>
        <w:rPr>
          <w:lang w:val="es-ES_tradnl"/>
        </w:rPr>
      </w:pPr>
      <w:r w:rsidRPr="00186777">
        <w:rPr>
          <w:lang w:val="es-ES_tradnl"/>
        </w:rPr>
        <w:tab/>
        <w:t>a)</w:t>
      </w:r>
      <w:r w:rsidRPr="00186777">
        <w:rPr>
          <w:lang w:val="es-ES_tradnl"/>
        </w:rPr>
        <w:tab/>
      </w:r>
      <w:r w:rsidR="00AA6F33" w:rsidRPr="00186777">
        <w:rPr>
          <w:lang w:val="es-ES_tradnl"/>
        </w:rPr>
        <w:t>Según se indica en el párrafo 31 de la primera parte del presente informe;</w:t>
      </w:r>
    </w:p>
    <w:p w14:paraId="0421A6F3" w14:textId="4C823B5C" w:rsidR="00AA6F33" w:rsidRPr="00186777" w:rsidRDefault="00F30BCC" w:rsidP="00AA6F33">
      <w:pPr>
        <w:pStyle w:val="SingleTxt"/>
        <w:rPr>
          <w:lang w:val="es-ES_tradnl"/>
        </w:rPr>
      </w:pPr>
      <w:r w:rsidRPr="00186777">
        <w:rPr>
          <w:lang w:val="es-ES_tradnl"/>
        </w:rPr>
        <w:tab/>
      </w:r>
      <w:r w:rsidR="00AA6F33" w:rsidRPr="00186777">
        <w:rPr>
          <w:lang w:val="es-ES_tradnl"/>
        </w:rPr>
        <w:t>70º período de sesiones (Ginebra)</w:t>
      </w:r>
    </w:p>
    <w:p w14:paraId="1A0E7678" w14:textId="16B8753D" w:rsidR="00AA6F33" w:rsidRPr="00186777" w:rsidRDefault="00F30BCC" w:rsidP="00F30BCC">
      <w:pPr>
        <w:pStyle w:val="SingleTxt"/>
        <w:ind w:left="2218" w:hanging="868"/>
        <w:rPr>
          <w:lang w:val="es-ES_tradnl"/>
        </w:rPr>
      </w:pPr>
      <w:r w:rsidRPr="00186777">
        <w:rPr>
          <w:lang w:val="es-ES_tradnl"/>
        </w:rPr>
        <w:tab/>
      </w:r>
      <w:r w:rsidR="00AA6F33" w:rsidRPr="00186777">
        <w:rPr>
          <w:lang w:val="es-ES_tradnl"/>
        </w:rPr>
        <w:t>b)</w:t>
      </w:r>
      <w:r w:rsidRPr="00186777">
        <w:rPr>
          <w:lang w:val="es-ES_tradnl"/>
        </w:rPr>
        <w:tab/>
      </w:r>
      <w:r w:rsidR="00AA6F33" w:rsidRPr="00186777">
        <w:rPr>
          <w:lang w:val="es-ES_tradnl"/>
        </w:rPr>
        <w:t>41</w:t>
      </w:r>
      <w:r w:rsidR="00AA6F33" w:rsidRPr="00186777">
        <w:rPr>
          <w:vertAlign w:val="superscript"/>
          <w:lang w:val="es-ES_tradnl"/>
        </w:rPr>
        <w:t>er</w:t>
      </w:r>
      <w:r w:rsidR="00AA6F33" w:rsidRPr="00186777">
        <w:rPr>
          <w:lang w:val="es-ES_tradnl"/>
        </w:rPr>
        <w:t xml:space="preserve"> período de sesiones del Grupo de Trabajo sobre las Comunicaciones Presentadas en virtud del Protocolo Facultativo: 27 a 29 de junio de 2018;</w:t>
      </w:r>
    </w:p>
    <w:p w14:paraId="37E3AA4B" w14:textId="6810465E" w:rsidR="00AA6F33" w:rsidRPr="00186777" w:rsidRDefault="00F30BCC" w:rsidP="00F30BCC">
      <w:pPr>
        <w:pStyle w:val="SingleTxt"/>
        <w:ind w:left="2218" w:hanging="868"/>
        <w:rPr>
          <w:lang w:val="es-ES_tradnl"/>
        </w:rPr>
      </w:pPr>
      <w:r w:rsidRPr="00186777">
        <w:rPr>
          <w:lang w:val="es-ES_tradnl"/>
        </w:rPr>
        <w:tab/>
      </w:r>
      <w:r w:rsidR="00AA6F33" w:rsidRPr="00186777">
        <w:rPr>
          <w:lang w:val="es-ES_tradnl"/>
        </w:rPr>
        <w:t>c)</w:t>
      </w:r>
      <w:r w:rsidRPr="00186777">
        <w:rPr>
          <w:lang w:val="es-ES_tradnl"/>
        </w:rPr>
        <w:tab/>
      </w:r>
      <w:r w:rsidR="00AA6F33" w:rsidRPr="00186777">
        <w:rPr>
          <w:lang w:val="es-ES_tradnl"/>
        </w:rPr>
        <w:t>Décimo período de sesiones del Grupo de Trabajo sobre Investigaciones con arreglo al Protocolo Facultativo: 28 y 29 de junio de 2018;</w:t>
      </w:r>
    </w:p>
    <w:p w14:paraId="3408CAC6" w14:textId="32A9F6A6" w:rsidR="00AA6F33" w:rsidRPr="00186777" w:rsidRDefault="00F30BCC" w:rsidP="00F30BCC">
      <w:pPr>
        <w:pStyle w:val="SingleTxt"/>
        <w:rPr>
          <w:lang w:val="es-ES_tradnl"/>
        </w:rPr>
      </w:pPr>
      <w:r w:rsidRPr="00186777">
        <w:rPr>
          <w:lang w:val="es-ES_tradnl"/>
        </w:rPr>
        <w:tab/>
      </w:r>
      <w:r w:rsidR="00AA6F33" w:rsidRPr="00186777">
        <w:rPr>
          <w:lang w:val="es-ES_tradnl"/>
        </w:rPr>
        <w:t>d)</w:t>
      </w:r>
      <w:r w:rsidR="00AA6F33" w:rsidRPr="00186777">
        <w:rPr>
          <w:lang w:val="es-ES_tradnl"/>
        </w:rPr>
        <w:tab/>
      </w:r>
      <w:r w:rsidR="00614558">
        <w:rPr>
          <w:lang w:val="es-ES_tradnl"/>
        </w:rPr>
        <w:t>70</w:t>
      </w:r>
      <w:r w:rsidR="00614558" w:rsidRPr="00186777">
        <w:rPr>
          <w:lang w:val="es-ES_tradnl"/>
        </w:rPr>
        <w:t xml:space="preserve">º </w:t>
      </w:r>
      <w:r w:rsidR="00AA6F33" w:rsidRPr="00186777">
        <w:rPr>
          <w:lang w:val="es-ES_tradnl"/>
        </w:rPr>
        <w:t>período de sesiones: 2 a 20 de julio de 2018;</w:t>
      </w:r>
    </w:p>
    <w:p w14:paraId="5057EB5D" w14:textId="2BC26266" w:rsidR="00AA6F33" w:rsidRPr="00186777" w:rsidRDefault="00F30BCC" w:rsidP="00F30BCC">
      <w:pPr>
        <w:pStyle w:val="SingleTxt"/>
        <w:ind w:left="2218" w:hanging="868"/>
        <w:rPr>
          <w:lang w:val="es-ES_tradnl"/>
        </w:rPr>
      </w:pPr>
      <w:r w:rsidRPr="00186777">
        <w:rPr>
          <w:lang w:val="es-ES_tradnl"/>
        </w:rPr>
        <w:tab/>
      </w:r>
      <w:r w:rsidR="00AA6F33" w:rsidRPr="00186777">
        <w:rPr>
          <w:lang w:val="es-ES_tradnl"/>
        </w:rPr>
        <w:t>e)</w:t>
      </w:r>
      <w:r w:rsidR="00AA6F33" w:rsidRPr="00186777">
        <w:rPr>
          <w:lang w:val="es-ES_tradnl"/>
        </w:rPr>
        <w:tab/>
        <w:t>Grupo de trabajo anterior al 72º período de sesiones: 23 a 27 de julio de 2018.</w:t>
      </w:r>
    </w:p>
    <w:p w14:paraId="726B5411" w14:textId="77777777" w:rsidR="00F30BCC" w:rsidRPr="00186777" w:rsidRDefault="00F30BCC" w:rsidP="00F30BCC">
      <w:pPr>
        <w:pStyle w:val="SingleTxt"/>
        <w:spacing w:after="0" w:line="120" w:lineRule="exact"/>
        <w:rPr>
          <w:b/>
          <w:sz w:val="10"/>
          <w:lang w:val="es-ES_tradnl"/>
        </w:rPr>
      </w:pPr>
    </w:p>
    <w:p w14:paraId="57ED3C08" w14:textId="7E0DCC80" w:rsidR="00AA6F33" w:rsidRPr="00186777" w:rsidRDefault="00AA6F33" w:rsidP="00F30B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Informes que se examinarán en futuros períodos de sesiones</w:t>
      </w:r>
    </w:p>
    <w:p w14:paraId="4E854AD1" w14:textId="77777777" w:rsidR="00F30BCC" w:rsidRPr="00186777" w:rsidRDefault="00F30BCC" w:rsidP="00F30BCC">
      <w:pPr>
        <w:pStyle w:val="SingleTxt"/>
        <w:spacing w:after="0" w:line="120" w:lineRule="exact"/>
        <w:rPr>
          <w:sz w:val="10"/>
          <w:lang w:val="es-ES_tradnl"/>
        </w:rPr>
      </w:pPr>
    </w:p>
    <w:p w14:paraId="7D3AFE30" w14:textId="6DFEEEBF" w:rsidR="00F30BCC" w:rsidRPr="00186777" w:rsidRDefault="00AA6F33" w:rsidP="00113F7A">
      <w:pPr>
        <w:pStyle w:val="SingleTxt"/>
        <w:numPr>
          <w:ilvl w:val="0"/>
          <w:numId w:val="9"/>
        </w:numPr>
        <w:ind w:left="1267"/>
        <w:rPr>
          <w:lang w:val="es-ES_tradnl"/>
        </w:rPr>
      </w:pPr>
      <w:r w:rsidRPr="00186777">
        <w:rPr>
          <w:lang w:val="es-ES_tradnl"/>
        </w:rPr>
        <w:t xml:space="preserve">El Comité confirmó que en su 69º período de sesiones examinaría los informes de los Estados partes enumerados en el párrafo 32 de la primera parte del presente informe y que, en su 70º período de sesiones, examinaría los informes de Australia, Chipre, el Estado de Palestina, las Islas Cook, Liechtenstein (con arreglo al procedimiento simplificado de presentación de informes), México, Nueva Zelandia y Turkmenistán. </w:t>
      </w:r>
    </w:p>
    <w:p w14:paraId="547C7275" w14:textId="77777777" w:rsidR="00F30BCC" w:rsidRPr="00186777" w:rsidRDefault="00F30BCC" w:rsidP="00AA6F33">
      <w:pPr>
        <w:pStyle w:val="SingleTxt"/>
        <w:rPr>
          <w:lang w:val="es-ES_tradnl"/>
        </w:rPr>
      </w:pPr>
    </w:p>
    <w:p w14:paraId="20F15C0D" w14:textId="77777777" w:rsidR="00F30BCC" w:rsidRPr="00186777" w:rsidRDefault="00F30BCC">
      <w:pPr>
        <w:suppressAutoHyphens w:val="0"/>
        <w:spacing w:after="200" w:line="276" w:lineRule="auto"/>
        <w:rPr>
          <w:kern w:val="14"/>
          <w:lang w:val="es-ES_tradnl"/>
        </w:rPr>
      </w:pPr>
      <w:r w:rsidRPr="00186777">
        <w:rPr>
          <w:lang w:val="es-ES_tradnl"/>
        </w:rPr>
        <w:br w:type="page"/>
      </w:r>
    </w:p>
    <w:p w14:paraId="4324D24D" w14:textId="3DCC4FA9"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VII</w:t>
      </w:r>
    </w:p>
    <w:p w14:paraId="76A4B42D" w14:textId="77777777"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Información sobre la aplicación del artículo 21 de la Convención</w:t>
      </w:r>
    </w:p>
    <w:p w14:paraId="5C535A3B" w14:textId="77777777" w:rsidR="00F30BCC" w:rsidRPr="00186777" w:rsidRDefault="00F30BCC" w:rsidP="00F30BCC">
      <w:pPr>
        <w:pStyle w:val="SingleTxt"/>
        <w:spacing w:after="0" w:line="120" w:lineRule="exact"/>
        <w:rPr>
          <w:b/>
          <w:sz w:val="10"/>
          <w:lang w:val="es-ES_tradnl"/>
        </w:rPr>
      </w:pPr>
    </w:p>
    <w:p w14:paraId="421AF410" w14:textId="77777777" w:rsidR="00F30BCC" w:rsidRPr="00186777" w:rsidRDefault="00F30BCC" w:rsidP="00F30BCC">
      <w:pPr>
        <w:pStyle w:val="SingleTxt"/>
        <w:spacing w:after="0" w:line="120" w:lineRule="exact"/>
        <w:rPr>
          <w:b/>
          <w:sz w:val="10"/>
          <w:lang w:val="es-ES_tradnl"/>
        </w:rPr>
      </w:pPr>
    </w:p>
    <w:p w14:paraId="27A12B3E" w14:textId="3E89A8BB" w:rsidR="00AA6F33" w:rsidRPr="00186777" w:rsidRDefault="00AA6F33" w:rsidP="00F30B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las dimensiones de género de la reducción del riesgo de desastres en el contexto del cambio climático</w:t>
      </w:r>
    </w:p>
    <w:p w14:paraId="67B9E56D" w14:textId="77777777" w:rsidR="00F30BCC" w:rsidRPr="00186777" w:rsidRDefault="00F30BCC" w:rsidP="00F30BCC">
      <w:pPr>
        <w:pStyle w:val="SingleTxt"/>
        <w:spacing w:after="0" w:line="120" w:lineRule="exact"/>
        <w:rPr>
          <w:sz w:val="10"/>
          <w:lang w:val="es-ES_tradnl"/>
        </w:rPr>
      </w:pPr>
    </w:p>
    <w:p w14:paraId="6D04BDF7" w14:textId="570F313B" w:rsidR="00AA6F33" w:rsidRPr="00186777" w:rsidRDefault="00AA6F33" w:rsidP="00113F7A">
      <w:pPr>
        <w:pStyle w:val="SingleTxt"/>
        <w:numPr>
          <w:ilvl w:val="0"/>
          <w:numId w:val="9"/>
        </w:numPr>
        <w:ind w:left="1267"/>
        <w:rPr>
          <w:lang w:val="es-ES_tradnl"/>
        </w:rPr>
      </w:pPr>
      <w:r w:rsidRPr="00186777">
        <w:rPr>
          <w:lang w:val="es-ES_tradnl"/>
        </w:rPr>
        <w:t>El grupo de trabajo se reunió durante el período de sesiones y debatió el proyecto de recomendación general.</w:t>
      </w:r>
    </w:p>
    <w:p w14:paraId="69F8A1C4" w14:textId="7CE08D08" w:rsidR="00AA6F33" w:rsidRPr="00186777" w:rsidRDefault="00AA6F33" w:rsidP="00113F7A">
      <w:pPr>
        <w:pStyle w:val="SingleTxt"/>
        <w:numPr>
          <w:ilvl w:val="0"/>
          <w:numId w:val="9"/>
        </w:numPr>
        <w:ind w:left="1267"/>
        <w:rPr>
          <w:lang w:val="es-ES_tradnl"/>
        </w:rPr>
      </w:pPr>
      <w:r w:rsidRPr="00186777">
        <w:rPr>
          <w:lang w:val="es-ES_tradnl"/>
        </w:rPr>
        <w:t>El 17 de noviembre de 2017, el Comité concluyó su primera lectura del proyecto de recomendación general.</w:t>
      </w:r>
    </w:p>
    <w:p w14:paraId="68ECDF5A" w14:textId="77777777" w:rsidR="00F30BCC" w:rsidRPr="00186777" w:rsidRDefault="00F30BCC" w:rsidP="00F30BCC">
      <w:pPr>
        <w:pStyle w:val="SingleTxt"/>
        <w:spacing w:after="0" w:line="120" w:lineRule="exact"/>
        <w:rPr>
          <w:b/>
          <w:sz w:val="10"/>
          <w:lang w:val="es-ES_tradnl"/>
        </w:rPr>
      </w:pPr>
    </w:p>
    <w:p w14:paraId="0262D1EB" w14:textId="5D783DEF" w:rsidR="00AA6F33" w:rsidRPr="00186777" w:rsidRDefault="00AA6F33" w:rsidP="00F30B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el derecho a la educación</w:t>
      </w:r>
    </w:p>
    <w:p w14:paraId="3DD5BAB3" w14:textId="77777777" w:rsidR="00F30BCC" w:rsidRPr="00186777" w:rsidRDefault="00F30BCC" w:rsidP="00F30BCC">
      <w:pPr>
        <w:pStyle w:val="SingleTxt"/>
        <w:spacing w:after="0" w:line="120" w:lineRule="exact"/>
        <w:rPr>
          <w:sz w:val="10"/>
          <w:lang w:val="es-ES_tradnl"/>
        </w:rPr>
      </w:pPr>
    </w:p>
    <w:p w14:paraId="241BE590" w14:textId="24898785" w:rsidR="00AA6F33" w:rsidRPr="00186777" w:rsidRDefault="00AA6F33" w:rsidP="00113F7A">
      <w:pPr>
        <w:pStyle w:val="SingleTxt"/>
        <w:numPr>
          <w:ilvl w:val="0"/>
          <w:numId w:val="9"/>
        </w:numPr>
        <w:ind w:left="1267"/>
        <w:rPr>
          <w:lang w:val="es-ES_tradnl"/>
        </w:rPr>
      </w:pPr>
      <w:r w:rsidRPr="00186777">
        <w:rPr>
          <w:lang w:val="es-ES_tradnl"/>
        </w:rPr>
        <w:t>El grupo de trabajo se reunió durante el período de sesiones y debatió el proyecto de recomendación general. Se celebró una consulta oficiosa con Barbara Bailey, experta internacional en educación y ex miembro del Comité.</w:t>
      </w:r>
    </w:p>
    <w:p w14:paraId="5D4279D7" w14:textId="3D680257" w:rsidR="00AA6F33" w:rsidRPr="00186777" w:rsidRDefault="00AA6F33" w:rsidP="00113F7A">
      <w:pPr>
        <w:pStyle w:val="SingleTxt"/>
        <w:numPr>
          <w:ilvl w:val="0"/>
          <w:numId w:val="9"/>
        </w:numPr>
        <w:ind w:left="1267"/>
        <w:rPr>
          <w:lang w:val="es-ES_tradnl"/>
        </w:rPr>
      </w:pPr>
      <w:r w:rsidRPr="00186777">
        <w:rPr>
          <w:lang w:val="es-ES_tradnl"/>
        </w:rPr>
        <w:t>El 16 de noviembre, el Comité aprobó la recomendación general núm. 36 (2017) sobre los derechos de las mujeres de las zonas rurales (</w:t>
      </w:r>
      <w:hyperlink r:id="rId85" w:history="1">
        <w:r w:rsidRPr="00794DB5">
          <w:rPr>
            <w:rStyle w:val="Hyperlink"/>
            <w:lang w:val="es-ES_tradnl"/>
          </w:rPr>
          <w:t>CEDAW/C/GC/36</w:t>
        </w:r>
      </w:hyperlink>
      <w:r w:rsidRPr="00186777">
        <w:rPr>
          <w:lang w:val="es-ES_tradnl"/>
        </w:rPr>
        <w:t>), por consenso</w:t>
      </w:r>
      <w:r w:rsidRPr="00186777">
        <w:rPr>
          <w:vertAlign w:val="superscript"/>
          <w:lang w:val="es-ES_tradnl"/>
        </w:rPr>
        <w:footnoteReference w:id="2"/>
      </w:r>
      <w:r w:rsidRPr="00186777">
        <w:rPr>
          <w:lang w:val="es-ES_tradnl"/>
        </w:rPr>
        <w:t>, conforme a lo dispuesto en el artículo 31 de su reglamento. Barbara Bailey, ex Presidenta del Grupo de trabajo sobre el derecho a la educación, estuvo presente en la reunión.</w:t>
      </w:r>
    </w:p>
    <w:p w14:paraId="4BB1193A" w14:textId="77777777" w:rsidR="00F30BCC" w:rsidRPr="00186777" w:rsidRDefault="00F30BCC" w:rsidP="00F30BCC">
      <w:pPr>
        <w:pStyle w:val="SingleTxt"/>
        <w:spacing w:after="0" w:line="120" w:lineRule="exact"/>
        <w:rPr>
          <w:sz w:val="10"/>
          <w:lang w:val="es-ES_tradnl"/>
        </w:rPr>
      </w:pPr>
    </w:p>
    <w:p w14:paraId="5A49043F" w14:textId="002B44D4" w:rsidR="00AA6F33" w:rsidRPr="00186777" w:rsidRDefault="00F30BCC" w:rsidP="00F30B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ab/>
        <w:t>Grupo de Trabajo sobre Métodos de Trabajo</w:t>
      </w:r>
    </w:p>
    <w:p w14:paraId="5064A9EA" w14:textId="77777777" w:rsidR="00F30BCC" w:rsidRPr="00186777" w:rsidRDefault="00F30BCC" w:rsidP="00F30BCC">
      <w:pPr>
        <w:pStyle w:val="SingleTxt"/>
        <w:spacing w:after="0" w:line="120" w:lineRule="exact"/>
        <w:rPr>
          <w:sz w:val="10"/>
          <w:lang w:val="es-ES_tradnl"/>
        </w:rPr>
      </w:pPr>
    </w:p>
    <w:p w14:paraId="3E34C83E" w14:textId="5A2E9ABF" w:rsidR="00AA6F33" w:rsidRPr="00186777" w:rsidRDefault="00AA6F33" w:rsidP="00113F7A">
      <w:pPr>
        <w:pStyle w:val="SingleTxt"/>
        <w:numPr>
          <w:ilvl w:val="0"/>
          <w:numId w:val="9"/>
        </w:numPr>
        <w:ind w:left="1267"/>
        <w:rPr>
          <w:lang w:val="es-ES_tradnl"/>
        </w:rPr>
      </w:pPr>
      <w:r w:rsidRPr="00186777">
        <w:rPr>
          <w:lang w:val="es-ES_tradnl"/>
        </w:rPr>
        <w:t xml:space="preserve">El Grupo de Trabajo se reunió durante el período de sesiones y debatió un proyecto de decisión relativo a la gestión del tiempo durante el diálogo constructivo. También examinó y presentó al Comité un proyecto de decisión sobre la aprobación de declaraciones conjuntas entre períodos de sesiones. El Comité aplazó la adopción de una decisión hasta su </w:t>
      </w:r>
      <w:r w:rsidR="00E60D9F">
        <w:rPr>
          <w:lang w:val="es-ES_tradnl"/>
        </w:rPr>
        <w:t>69</w:t>
      </w:r>
      <w:r w:rsidR="00E60D9F" w:rsidRPr="00186777">
        <w:rPr>
          <w:lang w:val="es-ES_tradnl"/>
        </w:rPr>
        <w:t>º</w:t>
      </w:r>
      <w:r w:rsidRPr="00186777">
        <w:rPr>
          <w:lang w:val="es-ES_tradnl"/>
        </w:rPr>
        <w:t xml:space="preserve"> período de sesiones y pidió al Grupo de trabajo que elaborara criterios para determinar las situaciones urgentes en relación con los cuales el Comité debía aprobar declaraciones, tanto durante sus períodos de sesiones como entre períodos de sesiones.</w:t>
      </w:r>
    </w:p>
    <w:p w14:paraId="1130F3D4" w14:textId="77777777" w:rsidR="00F30BCC" w:rsidRPr="00186777" w:rsidRDefault="00F30BCC" w:rsidP="00F30BCC">
      <w:pPr>
        <w:pStyle w:val="SingleTxt"/>
        <w:spacing w:after="0" w:line="120" w:lineRule="exact"/>
        <w:rPr>
          <w:b/>
          <w:sz w:val="10"/>
          <w:lang w:val="es-ES_tradnl"/>
        </w:rPr>
      </w:pPr>
    </w:p>
    <w:p w14:paraId="09F2C6D2" w14:textId="50957832" w:rsidR="00AA6F33" w:rsidRPr="00186777" w:rsidRDefault="00AA6F33" w:rsidP="00F30B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la Unión Interparlamentaria</w:t>
      </w:r>
    </w:p>
    <w:p w14:paraId="5F89AFF4" w14:textId="77777777" w:rsidR="00F30BCC" w:rsidRPr="00186777" w:rsidRDefault="00F30BCC" w:rsidP="00F30BCC">
      <w:pPr>
        <w:pStyle w:val="SingleTxt"/>
        <w:spacing w:after="0" w:line="120" w:lineRule="exact"/>
        <w:rPr>
          <w:sz w:val="10"/>
          <w:lang w:val="es-ES_tradnl"/>
        </w:rPr>
      </w:pPr>
    </w:p>
    <w:p w14:paraId="41C22707" w14:textId="5E510E68" w:rsidR="00AA6F33" w:rsidRPr="00186777" w:rsidRDefault="00AA6F33" w:rsidP="00113F7A">
      <w:pPr>
        <w:pStyle w:val="SingleTxt"/>
        <w:numPr>
          <w:ilvl w:val="0"/>
          <w:numId w:val="9"/>
        </w:numPr>
        <w:ind w:left="1267"/>
        <w:rPr>
          <w:lang w:val="es-ES_tradnl"/>
        </w:rPr>
      </w:pPr>
      <w:r w:rsidRPr="00186777">
        <w:rPr>
          <w:lang w:val="es-ES_tradnl"/>
        </w:rPr>
        <w:t xml:space="preserve">El grupo de trabajo se reunió con un representante de la Unión Interparlamentaria, que hizo una exposición informativa sobre las actividades de la UIP, en los planos nacional y regional, centrándose en la Convención y la igualdad entre los géneros, en particular en el período de sesiones de la Asamblea de la Unión Interparlamentaria, celebrada en San Petersburgo en octubre de 2017, y en la Cumbre de Presidentas de Parlamentos celebrada en el Estado Plurinacional de Bolivia en diciembre de 2017. El Grupo de Trabajo examinó la posibilidad de celebrar una reunión con los parlamentarios durante el próximo período de sesiones de la Asamblea de la Unión Interparlamentaria, que se celebrará en Ginebra del 13 al 17 de octubre de 2018, incluida una reunión de alto nivel con la Presidenta de la UIP, Gabriela Cuevas Barrón (México). El grupo de trabajo invitó al representante de la Unión Interparlamentaria a proponer cuestiones para incluir en las notas informativas preparadas por los relatores para los países en relación con las medidas adoptadas por </w:t>
      </w:r>
      <w:r w:rsidRPr="00186777">
        <w:rPr>
          <w:lang w:val="es-ES_tradnl"/>
        </w:rPr>
        <w:lastRenderedPageBreak/>
        <w:t>el Estado parte para aumentar la representación de las mujeres en los procesos políticos. El grupo de trabajo también invitó a la Unión Interparlamentaria a que estudiara formas de integrar en su labor las metas relacionadas con el género de los Objetivos de Desarrollo Sostenible.</w:t>
      </w:r>
    </w:p>
    <w:p w14:paraId="3E3754D2" w14:textId="77777777" w:rsidR="00F30BCC" w:rsidRPr="00186777" w:rsidRDefault="00F30BCC" w:rsidP="00F30BCC">
      <w:pPr>
        <w:pStyle w:val="SingleTxt"/>
        <w:spacing w:after="0" w:line="120" w:lineRule="exact"/>
        <w:rPr>
          <w:b/>
          <w:bCs/>
          <w:sz w:val="10"/>
          <w:lang w:val="es-ES_tradnl"/>
        </w:rPr>
      </w:pPr>
    </w:p>
    <w:p w14:paraId="50600EFC" w14:textId="60EF7ACB" w:rsidR="00AA6F33" w:rsidRPr="00186777" w:rsidRDefault="00F30BCC" w:rsidP="00F30B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r>
      <w:r w:rsidR="00AA6F33" w:rsidRPr="00186777">
        <w:rPr>
          <w:lang w:val="es-ES_tradnl"/>
        </w:rPr>
        <w:t>Grupo de trabajo sobre la Convención, ONU-Mujeres y los Objetivos de Desarrollo Sostenible</w:t>
      </w:r>
    </w:p>
    <w:p w14:paraId="130714DD" w14:textId="77777777" w:rsidR="00F30BCC" w:rsidRPr="00186777" w:rsidRDefault="00F30BCC" w:rsidP="00F30BCC">
      <w:pPr>
        <w:pStyle w:val="SingleTxt"/>
        <w:spacing w:after="0" w:line="120" w:lineRule="exact"/>
        <w:rPr>
          <w:sz w:val="10"/>
          <w:lang w:val="es-ES_tradnl"/>
        </w:rPr>
      </w:pPr>
    </w:p>
    <w:p w14:paraId="102BB26A" w14:textId="496F7510" w:rsidR="00AA6F33" w:rsidRPr="00186777" w:rsidRDefault="00AA6F33" w:rsidP="00113F7A">
      <w:pPr>
        <w:pStyle w:val="SingleTxt"/>
        <w:numPr>
          <w:ilvl w:val="0"/>
          <w:numId w:val="9"/>
        </w:numPr>
        <w:ind w:left="1267"/>
        <w:rPr>
          <w:lang w:val="es-ES_tradnl"/>
        </w:rPr>
      </w:pPr>
      <w:r w:rsidRPr="00186777">
        <w:rPr>
          <w:lang w:val="es-ES_tradnl"/>
        </w:rPr>
        <w:t>El grupo de trabajo celebró una teleconferencia con representantes de ONU-Mujeres, la OCDE y el Banco Mundial, quienes hicieron una exposición informativa sobre las novedades relativas al indicador 5. 1. 1 de los Objetivos de Desarrollo Sostenible. El Grupo de Trabajo identificó las siguientes cuestiones prioritarias: a) determinar los medios de aumentar la visibilidad pública del Comité como asociado de pleno derecho en la aplicación y el seguimiento del indicador 5. 1. 1; y b) necesidad de elaborar una estrategia para sensibilizar a la población acerca de la interrelación entre el compromiso de los Estados partes en la consecución de las metas relativas al empoderamiento de la mujer y sus obligaciones en virtud de la Convención.</w:t>
      </w:r>
    </w:p>
    <w:p w14:paraId="77685051" w14:textId="53EAC2F9" w:rsidR="00AA6F33" w:rsidRPr="00186777" w:rsidRDefault="00AA6F33" w:rsidP="00113F7A">
      <w:pPr>
        <w:pStyle w:val="SingleTxt"/>
        <w:numPr>
          <w:ilvl w:val="0"/>
          <w:numId w:val="9"/>
        </w:numPr>
        <w:ind w:left="1267"/>
        <w:rPr>
          <w:lang w:val="es-ES_tradnl"/>
        </w:rPr>
      </w:pPr>
      <w:r w:rsidRPr="00186777">
        <w:rPr>
          <w:lang w:val="es-ES_tradnl"/>
        </w:rPr>
        <w:t>El grupo de trabajo invitó a Luis Mora, Jefe de la Subdivisión de Género, Derechos Humanos y Cultura de la División Técnica del UNFPA, a que hiciera una exposición informartiva ante el Comité sobre la elaboración del indicador 5. 6. 1 de los Objetivos de Desarrollo Sostenible, relativo al acceso de las mujeres de 15 a 49 años de edad a la posibilidad de adoptar sus propias decisiones informadas con respecto a las relaciones sexuales, el uso de anticonceptivos y la atención de la salud reproductiva, y del indicador 5. 6. 2, relativo a la promulgación de leyes y reglamentos nacionales que brindaran a las mujeres y los hombres de 15 o más años de edad acceso a servicios de salud sexual y reproductiva e información y educación a ese respecto; el UNFPA era el principal organismo encargado de vigilar el cumplimiento de dicho indicador. El grupo de trabajo subrayó la importancia de incluir las recomendaciones del Comité en la labor del UNFPA sobre la elaboración de indicadores y la recopilación de datos. El UNFPA y el Comité acordaron un rumbo futuro del fortalecimiento de la colaboración institucional.</w:t>
      </w:r>
    </w:p>
    <w:p w14:paraId="77DE1C06" w14:textId="48F374BE" w:rsidR="00AA6F33" w:rsidRPr="00186777" w:rsidRDefault="00AA6F33" w:rsidP="00113F7A">
      <w:pPr>
        <w:pStyle w:val="SingleTxt"/>
        <w:numPr>
          <w:ilvl w:val="0"/>
          <w:numId w:val="9"/>
        </w:numPr>
        <w:ind w:left="1267"/>
        <w:rPr>
          <w:lang w:val="es-ES_tradnl"/>
        </w:rPr>
      </w:pPr>
      <w:r w:rsidRPr="00186777">
        <w:rPr>
          <w:lang w:val="es-ES_tradnl"/>
        </w:rPr>
        <w:t xml:space="preserve">La Presidenta del Grupo de Trabajo, Nicole Ameline, propuso la organización de un acto paralelo en el </w:t>
      </w:r>
      <w:r w:rsidR="00E60D9F">
        <w:rPr>
          <w:lang w:val="es-ES_tradnl"/>
        </w:rPr>
        <w:t>6</w:t>
      </w:r>
      <w:r w:rsidRPr="00186777">
        <w:rPr>
          <w:lang w:val="es-ES_tradnl"/>
        </w:rPr>
        <w:t>2º período de sesiones de la Comisión de la Condición Jurídica y Social de la Mujer en marzo de 2018, con miras a mejorar el conocimiento de la labor de la Comisión en el fortalecimiento de la aplicación y la promoción de la Agenda 2030 para el Desarrollo Sostenible y su vínculo inextricable con la Convención.</w:t>
      </w:r>
    </w:p>
    <w:p w14:paraId="1EE601E6" w14:textId="6380ED9B" w:rsidR="00AA6F33" w:rsidRPr="00186777" w:rsidRDefault="00AA6F33" w:rsidP="00113F7A">
      <w:pPr>
        <w:pStyle w:val="SingleTxt"/>
        <w:numPr>
          <w:ilvl w:val="0"/>
          <w:numId w:val="9"/>
        </w:numPr>
        <w:ind w:left="1267"/>
        <w:rPr>
          <w:lang w:val="es-ES_tradnl"/>
        </w:rPr>
      </w:pPr>
      <w:r w:rsidRPr="00186777">
        <w:rPr>
          <w:lang w:val="es-ES_tradnl"/>
        </w:rPr>
        <w:t>El Grupo de Trabajo observó que el proceso de contratación de un consultor para que revisara las directrices del Comité se encontraba en sus últimas etapas.</w:t>
      </w:r>
    </w:p>
    <w:p w14:paraId="329FE5AF" w14:textId="77777777" w:rsidR="00F30BCC" w:rsidRPr="00186777" w:rsidRDefault="00F30BCC" w:rsidP="00F30BCC">
      <w:pPr>
        <w:pStyle w:val="SingleTxt"/>
        <w:spacing w:after="0" w:line="120" w:lineRule="exact"/>
        <w:rPr>
          <w:b/>
          <w:bCs/>
          <w:sz w:val="10"/>
          <w:lang w:val="es-ES_tradnl"/>
        </w:rPr>
      </w:pPr>
    </w:p>
    <w:p w14:paraId="78E3A7CC" w14:textId="6322044C" w:rsidR="00AA6F33" w:rsidRPr="00186777" w:rsidRDefault="00F30BCC" w:rsidP="00F30B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ab/>
        <w:t>Grupo de trabajo sobre la violencia por razón de género contra la mujer</w:t>
      </w:r>
    </w:p>
    <w:p w14:paraId="31763256" w14:textId="77777777" w:rsidR="00F30BCC" w:rsidRPr="00186777" w:rsidRDefault="00F30BCC" w:rsidP="00F30BCC">
      <w:pPr>
        <w:pStyle w:val="SingleTxt"/>
        <w:spacing w:after="0" w:line="120" w:lineRule="exact"/>
        <w:rPr>
          <w:sz w:val="10"/>
          <w:lang w:val="es-ES_tradnl"/>
        </w:rPr>
      </w:pPr>
    </w:p>
    <w:p w14:paraId="50A935BE" w14:textId="6D5D68A4" w:rsidR="00AA6F33" w:rsidRPr="00186777" w:rsidRDefault="00AA6F33" w:rsidP="00113F7A">
      <w:pPr>
        <w:pStyle w:val="SingleTxt"/>
        <w:numPr>
          <w:ilvl w:val="0"/>
          <w:numId w:val="9"/>
        </w:numPr>
        <w:ind w:left="1267"/>
        <w:rPr>
          <w:lang w:val="es-ES_tradnl"/>
        </w:rPr>
      </w:pPr>
      <w:r w:rsidRPr="00186777">
        <w:rPr>
          <w:lang w:val="es-ES_tradnl"/>
        </w:rPr>
        <w:t>El grupo de trabajo se reunió durante el período de sesiones.</w:t>
      </w:r>
    </w:p>
    <w:p w14:paraId="067FA4F3" w14:textId="0A6D9974" w:rsidR="00AA6F33" w:rsidRPr="00186777" w:rsidRDefault="00AA6F33" w:rsidP="00113F7A">
      <w:pPr>
        <w:pStyle w:val="SingleTxt"/>
        <w:numPr>
          <w:ilvl w:val="0"/>
          <w:numId w:val="9"/>
        </w:numPr>
        <w:ind w:left="1267"/>
        <w:rPr>
          <w:lang w:val="es-ES_tradnl"/>
        </w:rPr>
      </w:pPr>
      <w:r w:rsidRPr="00186777">
        <w:rPr>
          <w:lang w:val="es-ES_tradnl"/>
        </w:rPr>
        <w:t>El 14 de noviembre de 2017, el Comité convocó una mesa redonda de expertos, para sensibilizar a la población sobre su recientemente aprobada recomendación general núm. 35. Entre los panelistas figuraban Hina Jilani, abogada de derechos humanos de The Elders; Shilan Shah-Davis, Profesora Titular de la Universidad del Oeste de Inglaterra; Anthony Keedi, Asesor Técnico sobre Masculinidad de A</w:t>
      </w:r>
      <w:r w:rsidR="00E60D9F" w:rsidRPr="00186777">
        <w:rPr>
          <w:lang w:val="es-ES_tradnl"/>
        </w:rPr>
        <w:t>baad</w:t>
      </w:r>
      <w:r w:rsidRPr="00186777">
        <w:rPr>
          <w:lang w:val="es-ES_tradnl"/>
        </w:rPr>
        <w:t xml:space="preserve"> Resource Centre for Gender Equality; Carmen Barroso, Copresidenta del Grupo Independiente sobre Rendición de Cuentas de la Iniciativa Todas las Mujeres, Todos los Niños; Dubravka Šimonović, Relatora Especial sobre la violencia contra la mujer, sus causas y consecuencias; y Jane Connors, Subsecretaria General de las Naciones Unidas y Defensora de los Derechos de las Víctimas. Moderó el debate la Alta Comisionada Adjunta para los Derechos Humanos, Kate Gilmore.</w:t>
      </w:r>
    </w:p>
    <w:p w14:paraId="69E7B978" w14:textId="7726A062" w:rsidR="00AA6F33" w:rsidRPr="00186777" w:rsidRDefault="00AA6F33" w:rsidP="00113F7A">
      <w:pPr>
        <w:pStyle w:val="SingleTxt"/>
        <w:numPr>
          <w:ilvl w:val="0"/>
          <w:numId w:val="9"/>
        </w:numPr>
        <w:ind w:left="1267"/>
        <w:rPr>
          <w:lang w:val="es-ES_tradnl"/>
        </w:rPr>
      </w:pPr>
      <w:r w:rsidRPr="00186777">
        <w:rPr>
          <w:lang w:val="es-ES_tradnl"/>
        </w:rPr>
        <w:lastRenderedPageBreak/>
        <w:t>Asistieron al acto representantes de varios Estados partes en la Convención, así como representantes de organismos especializados y organizaciones no gubernamentales. Los representantes acogieron con beneplácito la recomendación general núm. 35 y expresaron su constante empeño por combatir la violencia por razón de género contra la mujer.</w:t>
      </w:r>
    </w:p>
    <w:p w14:paraId="4FE09FF4" w14:textId="77777777" w:rsidR="00F30BCC" w:rsidRPr="00186777" w:rsidRDefault="00F30BCC" w:rsidP="00F30BCC">
      <w:pPr>
        <w:pStyle w:val="SingleTxt"/>
        <w:spacing w:after="0" w:line="120" w:lineRule="exact"/>
        <w:rPr>
          <w:b/>
          <w:sz w:val="10"/>
          <w:lang w:val="es-ES_tradnl"/>
        </w:rPr>
      </w:pPr>
    </w:p>
    <w:p w14:paraId="79C31D76" w14:textId="251C75D1" w:rsidR="00AA6F33" w:rsidRPr="00186777" w:rsidRDefault="00AA6F33" w:rsidP="00F30B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Equipo de tareas sobre la mujer en la prevención de conflictos y en situaciones de conflicto y posteriores a conflictos</w:t>
      </w:r>
    </w:p>
    <w:p w14:paraId="5716A705" w14:textId="77777777" w:rsidR="00F30BCC" w:rsidRPr="00186777" w:rsidRDefault="00F30BCC" w:rsidP="00F30BCC">
      <w:pPr>
        <w:pStyle w:val="SingleTxt"/>
        <w:spacing w:after="0" w:line="120" w:lineRule="exact"/>
        <w:rPr>
          <w:sz w:val="10"/>
          <w:lang w:val="es-ES_tradnl"/>
        </w:rPr>
      </w:pPr>
    </w:p>
    <w:p w14:paraId="4D4E3526" w14:textId="3ED27151" w:rsidR="00AA6F33" w:rsidRPr="00186777" w:rsidRDefault="00AA6F33" w:rsidP="00113F7A">
      <w:pPr>
        <w:pStyle w:val="SingleTxt"/>
        <w:numPr>
          <w:ilvl w:val="0"/>
          <w:numId w:val="9"/>
        </w:numPr>
        <w:ind w:left="1267"/>
        <w:rPr>
          <w:lang w:val="es-ES_tradnl"/>
        </w:rPr>
      </w:pPr>
      <w:r w:rsidRPr="00186777">
        <w:rPr>
          <w:lang w:val="es-ES_tradnl"/>
        </w:rPr>
        <w:t>El equipo de tareas se reunió durante el período de sesiones para examinar la creación de un marco de cooperación con Pramila Patten, Representante Especial del Secretario General sobre la Violencia Sexual en los Conflictos y exmiembro del Comité.</w:t>
      </w:r>
    </w:p>
    <w:p w14:paraId="4936AF9B" w14:textId="4C88EE09" w:rsidR="00F30BCC" w:rsidRPr="00186777" w:rsidRDefault="00F30BCC" w:rsidP="00F30BCC">
      <w:pPr>
        <w:pStyle w:val="SingleTxt"/>
        <w:rPr>
          <w:lang w:val="es-ES_tradnl"/>
        </w:rPr>
      </w:pPr>
    </w:p>
    <w:p w14:paraId="3C20A058" w14:textId="4F6B21B7" w:rsidR="00F30BCC" w:rsidRPr="00186777" w:rsidRDefault="00F30BCC">
      <w:pPr>
        <w:suppressAutoHyphens w:val="0"/>
        <w:spacing w:after="200" w:line="276" w:lineRule="auto"/>
        <w:rPr>
          <w:kern w:val="14"/>
          <w:lang w:val="es-ES_tradnl"/>
        </w:rPr>
      </w:pPr>
      <w:r w:rsidRPr="00186777">
        <w:rPr>
          <w:lang w:val="es-ES_tradnl"/>
        </w:rPr>
        <w:br w:type="page"/>
      </w:r>
    </w:p>
    <w:p w14:paraId="4C59C141" w14:textId="7C77AA34"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VIII</w:t>
      </w:r>
    </w:p>
    <w:p w14:paraId="2A57BB46" w14:textId="3102A5C7"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Programa provisional del 69º período de sesiones</w:t>
      </w:r>
    </w:p>
    <w:p w14:paraId="4D9E9A22" w14:textId="6EA2B372" w:rsidR="00F30BCC" w:rsidRPr="00186777" w:rsidRDefault="00F30BCC" w:rsidP="00F30BCC">
      <w:pPr>
        <w:pStyle w:val="SingleTxt"/>
        <w:spacing w:after="0" w:line="120" w:lineRule="exact"/>
        <w:rPr>
          <w:sz w:val="10"/>
          <w:lang w:val="es-ES_tradnl"/>
        </w:rPr>
      </w:pPr>
    </w:p>
    <w:p w14:paraId="72CAFFEB" w14:textId="7044D052" w:rsidR="00F30BCC" w:rsidRPr="00186777" w:rsidRDefault="00F30BCC" w:rsidP="00F30BCC">
      <w:pPr>
        <w:pStyle w:val="SingleTxt"/>
        <w:spacing w:after="0" w:line="120" w:lineRule="exact"/>
        <w:rPr>
          <w:sz w:val="10"/>
          <w:lang w:val="es-ES_tradnl"/>
        </w:rPr>
      </w:pPr>
    </w:p>
    <w:p w14:paraId="02B82C0C" w14:textId="16A5790A" w:rsidR="00AA6F33" w:rsidRPr="00186777" w:rsidRDefault="00AA6F33" w:rsidP="00113F7A">
      <w:pPr>
        <w:pStyle w:val="SingleTxt"/>
        <w:numPr>
          <w:ilvl w:val="0"/>
          <w:numId w:val="9"/>
        </w:numPr>
        <w:ind w:left="1267"/>
        <w:rPr>
          <w:lang w:val="es-ES_tradnl"/>
        </w:rPr>
      </w:pPr>
      <w:r w:rsidRPr="00186777">
        <w:rPr>
          <w:lang w:val="es-ES_tradnl"/>
        </w:rPr>
        <w:t>En su 1569ª sesión, celebrada el 17 de noviembre de 2017, el Comité examinó y aprobó el proyecto de programa provisional de su 69º período de sesiones.</w:t>
      </w:r>
    </w:p>
    <w:p w14:paraId="65212E40" w14:textId="1C83CB75" w:rsidR="00F30BCC" w:rsidRPr="00186777" w:rsidRDefault="00F30BCC" w:rsidP="00F30BCC">
      <w:pPr>
        <w:pStyle w:val="SingleTxt"/>
        <w:rPr>
          <w:lang w:val="es-ES_tradnl"/>
        </w:rPr>
      </w:pPr>
    </w:p>
    <w:p w14:paraId="0720F9EF" w14:textId="57173C97" w:rsidR="00F30BCC" w:rsidRPr="00186777" w:rsidRDefault="00F30BCC">
      <w:pPr>
        <w:suppressAutoHyphens w:val="0"/>
        <w:spacing w:after="200" w:line="276" w:lineRule="auto"/>
        <w:rPr>
          <w:kern w:val="14"/>
          <w:lang w:val="es-ES_tradnl"/>
        </w:rPr>
      </w:pPr>
      <w:r w:rsidRPr="00186777">
        <w:rPr>
          <w:lang w:val="es-ES_tradnl"/>
        </w:rPr>
        <w:br w:type="page"/>
      </w:r>
    </w:p>
    <w:p w14:paraId="6E7E8400" w14:textId="20E12209"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IX</w:t>
      </w:r>
    </w:p>
    <w:p w14:paraId="1336DC3B" w14:textId="77777777" w:rsidR="00F30BCC" w:rsidRPr="00186777" w:rsidRDefault="00F30BCC" w:rsidP="00F30BCC">
      <w:pPr>
        <w:pStyle w:val="SingleTxt"/>
        <w:spacing w:after="0" w:line="120" w:lineRule="exact"/>
        <w:rPr>
          <w:b/>
          <w:sz w:val="10"/>
          <w:lang w:val="es-ES_tradnl"/>
        </w:rPr>
      </w:pPr>
    </w:p>
    <w:p w14:paraId="47DDBF0A" w14:textId="77777777" w:rsidR="00F30BCC" w:rsidRPr="00186777" w:rsidRDefault="00F30BCC" w:rsidP="00F30BCC">
      <w:pPr>
        <w:pStyle w:val="SingleTxt"/>
        <w:spacing w:after="0" w:line="120" w:lineRule="exact"/>
        <w:rPr>
          <w:b/>
          <w:sz w:val="10"/>
          <w:lang w:val="es-ES_tradnl"/>
        </w:rPr>
      </w:pPr>
    </w:p>
    <w:p w14:paraId="069AE453" w14:textId="2EE95139"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Aprobación del informe</w:t>
      </w:r>
    </w:p>
    <w:p w14:paraId="3C548FF9" w14:textId="77777777" w:rsidR="00F30BCC" w:rsidRPr="00186777" w:rsidRDefault="00F30BCC" w:rsidP="00F30BCC">
      <w:pPr>
        <w:pStyle w:val="SingleTxt"/>
        <w:spacing w:after="0" w:line="120" w:lineRule="exact"/>
        <w:rPr>
          <w:sz w:val="10"/>
          <w:lang w:val="es-ES_tradnl"/>
        </w:rPr>
      </w:pPr>
    </w:p>
    <w:p w14:paraId="2874B76B" w14:textId="77777777" w:rsidR="00F30BCC" w:rsidRPr="00186777" w:rsidRDefault="00F30BCC" w:rsidP="00F30BCC">
      <w:pPr>
        <w:pStyle w:val="SingleTxt"/>
        <w:spacing w:after="0" w:line="120" w:lineRule="exact"/>
        <w:rPr>
          <w:sz w:val="10"/>
          <w:lang w:val="es-ES_tradnl"/>
        </w:rPr>
      </w:pPr>
    </w:p>
    <w:p w14:paraId="7F35F2FB" w14:textId="6A720984" w:rsidR="00AA6F33" w:rsidRPr="00186777" w:rsidRDefault="00AA6F33" w:rsidP="00113F7A">
      <w:pPr>
        <w:pStyle w:val="SingleTxt"/>
        <w:numPr>
          <w:ilvl w:val="0"/>
          <w:numId w:val="9"/>
        </w:numPr>
        <w:ind w:left="1267"/>
        <w:rPr>
          <w:lang w:val="es-ES_tradnl"/>
        </w:rPr>
      </w:pPr>
      <w:r w:rsidRPr="00186777">
        <w:rPr>
          <w:lang w:val="es-ES_tradnl"/>
        </w:rPr>
        <w:t>En su 1569ª sesión, celebrada el 17 de noviembre de 2017, el Comité examinó y aprobó, en su forma revisada oralmente, el proyecto de informe sobre su 68</w:t>
      </w:r>
      <w:r w:rsidRPr="00186777">
        <w:rPr>
          <w:vertAlign w:val="superscript"/>
          <w:lang w:val="es-ES_tradnl"/>
        </w:rPr>
        <w:t>o</w:t>
      </w:r>
      <w:r w:rsidRPr="00186777">
        <w:rPr>
          <w:lang w:val="es-ES_tradnl"/>
        </w:rPr>
        <w:t xml:space="preserve"> período de sesiones.</w:t>
      </w:r>
    </w:p>
    <w:p w14:paraId="33E3EC7D" w14:textId="43D14A1B" w:rsidR="00F30BCC" w:rsidRPr="00186777" w:rsidRDefault="00F30BCC" w:rsidP="00F30BCC">
      <w:pPr>
        <w:pStyle w:val="SingleTxt"/>
        <w:rPr>
          <w:lang w:val="es-ES_tradnl"/>
        </w:rPr>
      </w:pPr>
    </w:p>
    <w:p w14:paraId="4F14C686" w14:textId="77777777" w:rsidR="00F30BCC" w:rsidRPr="00186777" w:rsidRDefault="00F30BCC" w:rsidP="00F30BCC">
      <w:pPr>
        <w:pStyle w:val="SingleTxt"/>
        <w:rPr>
          <w:lang w:val="es-ES_tradnl"/>
        </w:rPr>
      </w:pPr>
    </w:p>
    <w:p w14:paraId="3C01F460" w14:textId="77777777" w:rsidR="00F30BCC" w:rsidRPr="00186777" w:rsidRDefault="00F30BCC">
      <w:pPr>
        <w:suppressAutoHyphens w:val="0"/>
        <w:spacing w:after="200" w:line="276" w:lineRule="auto"/>
        <w:rPr>
          <w:b/>
          <w:kern w:val="14"/>
          <w:lang w:val="es-ES_tradnl"/>
        </w:rPr>
      </w:pPr>
      <w:r w:rsidRPr="00186777">
        <w:rPr>
          <w:b/>
          <w:lang w:val="es-ES_tradnl"/>
        </w:rPr>
        <w:br w:type="page"/>
      </w:r>
    </w:p>
    <w:p w14:paraId="53B7752D" w14:textId="07704A2F"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Anexo</w:t>
      </w:r>
    </w:p>
    <w:p w14:paraId="40173210" w14:textId="40D9E2AB" w:rsidR="00AA6F33" w:rsidRPr="00186777" w:rsidRDefault="00AA6F33" w:rsidP="00F30B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Documentos que el Comité tuvo ante sí en su 68º período de sesiones</w:t>
      </w:r>
    </w:p>
    <w:p w14:paraId="336C894D" w14:textId="686AE63B" w:rsidR="00C45E41" w:rsidRPr="00186777" w:rsidRDefault="00C45E41" w:rsidP="00B249EF">
      <w:pPr>
        <w:pStyle w:val="SingleTxt"/>
        <w:spacing w:after="0" w:line="120" w:lineRule="exact"/>
        <w:rPr>
          <w:b/>
          <w:sz w:val="10"/>
          <w:lang w:val="es-ES_tradnl"/>
        </w:rPr>
      </w:pPr>
    </w:p>
    <w:p w14:paraId="680F4F74" w14:textId="51CF4DF0" w:rsidR="00B249EF" w:rsidRPr="00186777" w:rsidRDefault="00B249EF" w:rsidP="00B249EF">
      <w:pPr>
        <w:pStyle w:val="SingleTxt"/>
        <w:spacing w:after="0" w:line="120" w:lineRule="exact"/>
        <w:rPr>
          <w:b/>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2592"/>
        <w:gridCol w:w="5160"/>
      </w:tblGrid>
      <w:tr w:rsidR="00B249EF" w:rsidRPr="00186777" w14:paraId="5EF24E8D" w14:textId="77777777" w:rsidTr="009576F3">
        <w:trPr>
          <w:tblHeader/>
        </w:trPr>
        <w:tc>
          <w:tcPr>
            <w:tcW w:w="2592" w:type="dxa"/>
            <w:tcBorders>
              <w:top w:val="single" w:sz="4" w:space="0" w:color="auto"/>
              <w:bottom w:val="single" w:sz="12" w:space="0" w:color="auto"/>
            </w:tcBorders>
            <w:shd w:val="clear" w:color="auto" w:fill="auto"/>
            <w:vAlign w:val="bottom"/>
          </w:tcPr>
          <w:p w14:paraId="60C97543" w14:textId="73789E18" w:rsidR="00B249EF" w:rsidRPr="00186777" w:rsidRDefault="00DA0CCE"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rPr>
                <w:i/>
                <w:sz w:val="14"/>
                <w:lang w:val="es-ES_tradnl"/>
              </w:rPr>
            </w:pPr>
            <w:r w:rsidRPr="00186777">
              <w:rPr>
                <w:i/>
                <w:sz w:val="14"/>
                <w:lang w:val="es-ES_tradnl"/>
              </w:rPr>
              <w:t>Número de documento</w:t>
            </w:r>
          </w:p>
        </w:tc>
        <w:tc>
          <w:tcPr>
            <w:tcW w:w="5160" w:type="dxa"/>
            <w:tcBorders>
              <w:top w:val="single" w:sz="4" w:space="0" w:color="auto"/>
              <w:bottom w:val="single" w:sz="12" w:space="0" w:color="auto"/>
            </w:tcBorders>
            <w:shd w:val="clear" w:color="auto" w:fill="auto"/>
            <w:vAlign w:val="bottom"/>
          </w:tcPr>
          <w:p w14:paraId="2BA47391" w14:textId="0B885159" w:rsidR="00B249EF" w:rsidRPr="00186777" w:rsidRDefault="00DA0CCE"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0"/>
              <w:jc w:val="left"/>
              <w:rPr>
                <w:i/>
                <w:sz w:val="14"/>
                <w:lang w:val="es-ES_tradnl"/>
              </w:rPr>
            </w:pPr>
            <w:r w:rsidRPr="00186777">
              <w:rPr>
                <w:i/>
                <w:sz w:val="14"/>
                <w:lang w:val="es-ES_tradnl"/>
              </w:rPr>
              <w:t>Título o descripción</w:t>
            </w:r>
          </w:p>
        </w:tc>
      </w:tr>
      <w:tr w:rsidR="00B249EF" w:rsidRPr="00186777" w14:paraId="6BA1F219" w14:textId="77777777" w:rsidTr="009576F3">
        <w:trPr>
          <w:trHeight w:hRule="exact" w:val="115"/>
          <w:tblHeader/>
        </w:trPr>
        <w:tc>
          <w:tcPr>
            <w:tcW w:w="2592" w:type="dxa"/>
            <w:tcBorders>
              <w:top w:val="single" w:sz="12" w:space="0" w:color="auto"/>
            </w:tcBorders>
            <w:shd w:val="clear" w:color="auto" w:fill="auto"/>
            <w:vAlign w:val="bottom"/>
          </w:tcPr>
          <w:p w14:paraId="10BC5F00" w14:textId="77777777" w:rsidR="00B249EF" w:rsidRPr="00186777" w:rsidRDefault="00B249EF"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rPr>
                <w:lang w:val="es-ES_tradnl"/>
              </w:rPr>
            </w:pPr>
          </w:p>
        </w:tc>
        <w:tc>
          <w:tcPr>
            <w:tcW w:w="5160" w:type="dxa"/>
            <w:tcBorders>
              <w:top w:val="single" w:sz="12" w:space="0" w:color="auto"/>
            </w:tcBorders>
            <w:shd w:val="clear" w:color="auto" w:fill="auto"/>
            <w:vAlign w:val="bottom"/>
          </w:tcPr>
          <w:p w14:paraId="25954C6F" w14:textId="77777777" w:rsidR="00B249EF" w:rsidRPr="00186777" w:rsidRDefault="00B249EF"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rPr>
                <w:lang w:val="es-ES_tradnl"/>
              </w:rPr>
            </w:pPr>
          </w:p>
        </w:tc>
      </w:tr>
      <w:tr w:rsidR="00B249EF" w:rsidRPr="00186777" w14:paraId="6A6D1D27" w14:textId="77777777" w:rsidTr="009576F3">
        <w:tc>
          <w:tcPr>
            <w:tcW w:w="2592" w:type="dxa"/>
            <w:shd w:val="clear" w:color="auto" w:fill="auto"/>
          </w:tcPr>
          <w:p w14:paraId="3ED196A1" w14:textId="4AB715CB"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86" w:history="1">
              <w:r w:rsidR="00B249EF" w:rsidRPr="00186777">
                <w:rPr>
                  <w:rStyle w:val="Hyperlink"/>
                  <w:lang w:val="es-ES_tradnl"/>
                </w:rPr>
                <w:t>CEDAW/C/68/1</w:t>
              </w:r>
            </w:hyperlink>
          </w:p>
        </w:tc>
        <w:tc>
          <w:tcPr>
            <w:tcW w:w="5160" w:type="dxa"/>
            <w:shd w:val="clear" w:color="auto" w:fill="auto"/>
          </w:tcPr>
          <w:p w14:paraId="098C678C" w14:textId="399E0816"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 xml:space="preserve">Programa provisional anotado </w:t>
            </w:r>
          </w:p>
        </w:tc>
      </w:tr>
      <w:tr w:rsidR="00B249EF" w:rsidRPr="00186777" w14:paraId="382FE49F" w14:textId="77777777" w:rsidTr="009576F3">
        <w:tc>
          <w:tcPr>
            <w:tcW w:w="2592" w:type="dxa"/>
            <w:shd w:val="clear" w:color="auto" w:fill="auto"/>
          </w:tcPr>
          <w:p w14:paraId="77046351" w14:textId="6CCBDB6B"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87" w:history="1">
              <w:r w:rsidR="00B249EF" w:rsidRPr="00186777">
                <w:rPr>
                  <w:rStyle w:val="Hyperlink"/>
                  <w:lang w:val="es-ES_tradnl"/>
                </w:rPr>
                <w:t>CEDAW/C/68/2</w:t>
              </w:r>
            </w:hyperlink>
          </w:p>
        </w:tc>
        <w:tc>
          <w:tcPr>
            <w:tcW w:w="5160" w:type="dxa"/>
            <w:shd w:val="clear" w:color="auto" w:fill="auto"/>
          </w:tcPr>
          <w:p w14:paraId="7E6307D1" w14:textId="34932C6D"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Informe de la Organización de las Naciones Unidas para la Educación, la Ciencia y la Cultura</w:t>
            </w:r>
          </w:p>
        </w:tc>
      </w:tr>
      <w:tr w:rsidR="00B249EF" w:rsidRPr="00186777" w14:paraId="5A271369" w14:textId="77777777" w:rsidTr="009576F3">
        <w:tc>
          <w:tcPr>
            <w:tcW w:w="2592" w:type="dxa"/>
            <w:shd w:val="clear" w:color="auto" w:fill="auto"/>
          </w:tcPr>
          <w:p w14:paraId="20627FCE" w14:textId="63AD8D6F"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88" w:history="1">
              <w:r w:rsidR="00B249EF" w:rsidRPr="00186777">
                <w:rPr>
                  <w:rStyle w:val="Hyperlink"/>
                  <w:lang w:val="es-ES_tradnl"/>
                </w:rPr>
                <w:t>CEDAW/C/68/3</w:t>
              </w:r>
            </w:hyperlink>
          </w:p>
        </w:tc>
        <w:tc>
          <w:tcPr>
            <w:tcW w:w="5160" w:type="dxa"/>
            <w:shd w:val="clear" w:color="auto" w:fill="auto"/>
          </w:tcPr>
          <w:p w14:paraId="7DCDC5B8" w14:textId="0A48958E"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Informe de la Organización Internacional del Trabajo</w:t>
            </w:r>
          </w:p>
        </w:tc>
      </w:tr>
      <w:tr w:rsidR="00B249EF" w:rsidRPr="00186777" w14:paraId="05172CB7" w14:textId="77777777" w:rsidTr="009576F3">
        <w:tc>
          <w:tcPr>
            <w:tcW w:w="2592" w:type="dxa"/>
            <w:shd w:val="clear" w:color="auto" w:fill="auto"/>
          </w:tcPr>
          <w:p w14:paraId="28208ED1" w14:textId="0C984DF8" w:rsidR="00B249EF" w:rsidRPr="00186777" w:rsidRDefault="00DA0CCE"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b/>
                <w:bCs/>
                <w:sz w:val="18"/>
                <w:szCs w:val="18"/>
                <w:lang w:val="es-ES_tradnl"/>
              </w:rPr>
            </w:pPr>
            <w:r w:rsidRPr="00186777">
              <w:rPr>
                <w:rFonts w:asciiTheme="majorBidi" w:hAnsiTheme="majorBidi" w:cstheme="majorBidi"/>
                <w:b/>
                <w:spacing w:val="0"/>
                <w:w w:val="100"/>
                <w:kern w:val="0"/>
                <w:sz w:val="18"/>
                <w:szCs w:val="18"/>
                <w:lang w:val="es-ES_tradnl"/>
              </w:rPr>
              <w:t>Informes de los Estados partes</w:t>
            </w:r>
          </w:p>
        </w:tc>
        <w:tc>
          <w:tcPr>
            <w:tcW w:w="5160" w:type="dxa"/>
            <w:shd w:val="clear" w:color="auto" w:fill="auto"/>
          </w:tcPr>
          <w:p w14:paraId="0413C271" w14:textId="77777777"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p>
        </w:tc>
      </w:tr>
      <w:tr w:rsidR="00B249EF" w:rsidRPr="00186777" w14:paraId="1D92EE09" w14:textId="77777777" w:rsidTr="009576F3">
        <w:tc>
          <w:tcPr>
            <w:tcW w:w="2592" w:type="dxa"/>
            <w:shd w:val="clear" w:color="auto" w:fill="auto"/>
          </w:tcPr>
          <w:p w14:paraId="651B1CC7" w14:textId="1417B504"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89" w:history="1">
              <w:r w:rsidR="00B249EF" w:rsidRPr="00186777">
                <w:rPr>
                  <w:rStyle w:val="Hyperlink"/>
                  <w:lang w:val="es-ES_tradnl"/>
                </w:rPr>
                <w:t>CEDAW/C/BFA/7</w:t>
              </w:r>
            </w:hyperlink>
          </w:p>
        </w:tc>
        <w:tc>
          <w:tcPr>
            <w:tcW w:w="5160" w:type="dxa"/>
            <w:shd w:val="clear" w:color="auto" w:fill="auto"/>
          </w:tcPr>
          <w:p w14:paraId="5C2BF640" w14:textId="57FD4895"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Séptimo informe periódico de Burkina Faso</w:t>
            </w:r>
          </w:p>
        </w:tc>
      </w:tr>
      <w:tr w:rsidR="00B249EF" w:rsidRPr="00186777" w14:paraId="31E7A2CB" w14:textId="77777777" w:rsidTr="009576F3">
        <w:tc>
          <w:tcPr>
            <w:tcW w:w="2592" w:type="dxa"/>
            <w:shd w:val="clear" w:color="auto" w:fill="auto"/>
          </w:tcPr>
          <w:p w14:paraId="28C2A19E" w14:textId="6C881E30"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90" w:history="1">
              <w:r w:rsidR="00B249EF" w:rsidRPr="00186777">
                <w:rPr>
                  <w:rStyle w:val="Hyperlink"/>
                  <w:lang w:val="es-ES_tradnl"/>
                </w:rPr>
                <w:t>CEDAW/C/PRK/2-4</w:t>
              </w:r>
            </w:hyperlink>
          </w:p>
        </w:tc>
        <w:tc>
          <w:tcPr>
            <w:tcW w:w="5160" w:type="dxa"/>
            <w:shd w:val="clear" w:color="auto" w:fill="auto"/>
          </w:tcPr>
          <w:p w14:paraId="4DBEF5C7" w14:textId="2A521787"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 xml:space="preserve">Informes periódicos </w:t>
            </w:r>
            <w:r w:rsidR="00E60D9F">
              <w:rPr>
                <w:lang w:val="es-ES_tradnl"/>
              </w:rPr>
              <w:t>segundo, tercero y cuarto</w:t>
            </w:r>
            <w:r w:rsidRPr="00186777">
              <w:rPr>
                <w:lang w:val="es-ES_tradnl"/>
              </w:rPr>
              <w:t xml:space="preserve"> combinados de la República Popular Democrática de Corea</w:t>
            </w:r>
          </w:p>
        </w:tc>
      </w:tr>
      <w:tr w:rsidR="00B249EF" w:rsidRPr="00186777" w14:paraId="52D8F148" w14:textId="77777777" w:rsidTr="009576F3">
        <w:tc>
          <w:tcPr>
            <w:tcW w:w="2592" w:type="dxa"/>
            <w:shd w:val="clear" w:color="auto" w:fill="auto"/>
          </w:tcPr>
          <w:p w14:paraId="1E5D14DF" w14:textId="3CFAF912"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91" w:history="1">
              <w:r w:rsidR="00B249EF" w:rsidRPr="00186777">
                <w:rPr>
                  <w:rStyle w:val="Hyperlink"/>
                  <w:lang w:val="es-ES_tradnl"/>
                </w:rPr>
                <w:t>CEDAW/C/GTM/8-9</w:t>
              </w:r>
            </w:hyperlink>
          </w:p>
        </w:tc>
        <w:tc>
          <w:tcPr>
            <w:tcW w:w="5160" w:type="dxa"/>
            <w:shd w:val="clear" w:color="auto" w:fill="auto"/>
          </w:tcPr>
          <w:p w14:paraId="73F681A8" w14:textId="5B4E0C6E"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Informes periódicos octavo y noveno combinados de Guatemala</w:t>
            </w:r>
          </w:p>
        </w:tc>
      </w:tr>
      <w:tr w:rsidR="00B249EF" w:rsidRPr="00186777" w14:paraId="5625CF08" w14:textId="77777777" w:rsidTr="009576F3">
        <w:tc>
          <w:tcPr>
            <w:tcW w:w="2592" w:type="dxa"/>
            <w:shd w:val="clear" w:color="auto" w:fill="auto"/>
          </w:tcPr>
          <w:p w14:paraId="67AD3CAF" w14:textId="0331F518"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92" w:history="1">
              <w:r w:rsidR="00B249EF" w:rsidRPr="00186777">
                <w:rPr>
                  <w:rStyle w:val="Hyperlink"/>
                  <w:lang w:val="es-ES_tradnl"/>
                </w:rPr>
                <w:t>CEDAW/C/ISR/6</w:t>
              </w:r>
            </w:hyperlink>
          </w:p>
        </w:tc>
        <w:tc>
          <w:tcPr>
            <w:tcW w:w="5160" w:type="dxa"/>
            <w:shd w:val="clear" w:color="auto" w:fill="auto"/>
          </w:tcPr>
          <w:p w14:paraId="7BFDE421" w14:textId="1594549E"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Sexto informe periódico de Israel</w:t>
            </w:r>
          </w:p>
        </w:tc>
      </w:tr>
      <w:tr w:rsidR="00B249EF" w:rsidRPr="00186777" w14:paraId="2196C460" w14:textId="77777777" w:rsidTr="009576F3">
        <w:tc>
          <w:tcPr>
            <w:tcW w:w="2592" w:type="dxa"/>
            <w:shd w:val="clear" w:color="auto" w:fill="auto"/>
          </w:tcPr>
          <w:p w14:paraId="0384484B" w14:textId="2E944D1F"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93" w:history="1">
              <w:r w:rsidR="00B249EF" w:rsidRPr="00186777">
                <w:rPr>
                  <w:rStyle w:val="Hyperlink"/>
                  <w:lang w:val="es-ES_tradnl"/>
                </w:rPr>
                <w:t>CEDAW/C/KEN/8</w:t>
              </w:r>
            </w:hyperlink>
          </w:p>
        </w:tc>
        <w:tc>
          <w:tcPr>
            <w:tcW w:w="5160" w:type="dxa"/>
            <w:shd w:val="clear" w:color="auto" w:fill="auto"/>
          </w:tcPr>
          <w:p w14:paraId="04D60552" w14:textId="7EE282BD"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Octavo informe periódico de Kenya</w:t>
            </w:r>
          </w:p>
        </w:tc>
      </w:tr>
      <w:tr w:rsidR="00B249EF" w:rsidRPr="00186777" w14:paraId="4DF7082A" w14:textId="77777777" w:rsidTr="009576F3">
        <w:tc>
          <w:tcPr>
            <w:tcW w:w="2592" w:type="dxa"/>
            <w:shd w:val="clear" w:color="auto" w:fill="auto"/>
          </w:tcPr>
          <w:p w14:paraId="2FF86973" w14:textId="0A5F68F9"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94" w:history="1">
              <w:r w:rsidR="00B249EF" w:rsidRPr="00186777">
                <w:rPr>
                  <w:rStyle w:val="Hyperlink"/>
                  <w:lang w:val="es-ES_tradnl"/>
                </w:rPr>
                <w:t>CEDAW/C/KWT/5</w:t>
              </w:r>
            </w:hyperlink>
          </w:p>
        </w:tc>
        <w:tc>
          <w:tcPr>
            <w:tcW w:w="5160" w:type="dxa"/>
            <w:shd w:val="clear" w:color="auto" w:fill="auto"/>
          </w:tcPr>
          <w:p w14:paraId="67F21AB2" w14:textId="73E6C3C1"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Quinto informe periódico de Kuwait</w:t>
            </w:r>
          </w:p>
        </w:tc>
      </w:tr>
      <w:tr w:rsidR="00B249EF" w:rsidRPr="00186777" w14:paraId="5DC5587F" w14:textId="77777777" w:rsidTr="009576F3">
        <w:tc>
          <w:tcPr>
            <w:tcW w:w="2592" w:type="dxa"/>
            <w:shd w:val="clear" w:color="auto" w:fill="auto"/>
          </w:tcPr>
          <w:p w14:paraId="19010382" w14:textId="094AC03F"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95" w:history="1">
              <w:r w:rsidR="00B249EF" w:rsidRPr="00186777">
                <w:rPr>
                  <w:rStyle w:val="Hyperlink"/>
                  <w:lang w:val="es-ES_tradnl"/>
                </w:rPr>
                <w:t>CEDAW/C/MCO/1-3</w:t>
              </w:r>
            </w:hyperlink>
          </w:p>
        </w:tc>
        <w:tc>
          <w:tcPr>
            <w:tcW w:w="5160" w:type="dxa"/>
            <w:shd w:val="clear" w:color="auto" w:fill="auto"/>
          </w:tcPr>
          <w:p w14:paraId="56F05A4E" w14:textId="2A5D6D7C"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Informes periódicos inicial</w:t>
            </w:r>
            <w:r w:rsidR="00E60D9F">
              <w:rPr>
                <w:lang w:val="es-ES_tradnl"/>
              </w:rPr>
              <w:t>,</w:t>
            </w:r>
            <w:r w:rsidRPr="00186777">
              <w:rPr>
                <w:lang w:val="es-ES_tradnl"/>
              </w:rPr>
              <w:t xml:space="preserve"> segundo</w:t>
            </w:r>
            <w:r w:rsidR="00E60D9F">
              <w:rPr>
                <w:lang w:val="es-ES_tradnl"/>
              </w:rPr>
              <w:t xml:space="preserve"> y tercero</w:t>
            </w:r>
            <w:r w:rsidRPr="00186777">
              <w:rPr>
                <w:lang w:val="es-ES_tradnl"/>
              </w:rPr>
              <w:t xml:space="preserve"> combinados de Mónaco</w:t>
            </w:r>
          </w:p>
        </w:tc>
      </w:tr>
      <w:tr w:rsidR="00B249EF" w:rsidRPr="00186777" w14:paraId="55CFFD33" w14:textId="77777777" w:rsidTr="009576F3">
        <w:tc>
          <w:tcPr>
            <w:tcW w:w="2592" w:type="dxa"/>
            <w:shd w:val="clear" w:color="auto" w:fill="auto"/>
          </w:tcPr>
          <w:p w14:paraId="76E0EB22" w14:textId="13BDF5AD"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96" w:history="1">
              <w:r w:rsidR="00B249EF" w:rsidRPr="00186777">
                <w:rPr>
                  <w:rStyle w:val="Hyperlink"/>
                  <w:lang w:val="es-ES_tradnl"/>
                </w:rPr>
                <w:t>CEDAW/C/NRU/1-2</w:t>
              </w:r>
            </w:hyperlink>
          </w:p>
        </w:tc>
        <w:tc>
          <w:tcPr>
            <w:tcW w:w="5160" w:type="dxa"/>
            <w:shd w:val="clear" w:color="auto" w:fill="auto"/>
          </w:tcPr>
          <w:p w14:paraId="2DA95FE1" w14:textId="3F2DEEA3"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Informes periódicos inicial y segundo combinados de Nauru</w:t>
            </w:r>
          </w:p>
        </w:tc>
      </w:tr>
      <w:tr w:rsidR="00B249EF" w:rsidRPr="00186777" w14:paraId="744B833A" w14:textId="77777777" w:rsidTr="009576F3">
        <w:tc>
          <w:tcPr>
            <w:tcW w:w="2592" w:type="dxa"/>
            <w:shd w:val="clear" w:color="auto" w:fill="auto"/>
          </w:tcPr>
          <w:p w14:paraId="27316BCA" w14:textId="79869794"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97" w:history="1">
              <w:r w:rsidR="00B249EF" w:rsidRPr="00186777">
                <w:rPr>
                  <w:rStyle w:val="Hyperlink"/>
                  <w:lang w:val="es-ES_tradnl"/>
                </w:rPr>
                <w:t>CEDAW/C/NOR/9</w:t>
              </w:r>
            </w:hyperlink>
          </w:p>
        </w:tc>
        <w:tc>
          <w:tcPr>
            <w:tcW w:w="5160" w:type="dxa"/>
            <w:shd w:val="clear" w:color="auto" w:fill="auto"/>
          </w:tcPr>
          <w:p w14:paraId="2E00EB31" w14:textId="1417E8B6"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Noveno informe periódico de Noruega</w:t>
            </w:r>
          </w:p>
        </w:tc>
      </w:tr>
      <w:tr w:rsidR="00B249EF" w:rsidRPr="00186777" w14:paraId="3D79FA61" w14:textId="77777777" w:rsidTr="009576F3">
        <w:tc>
          <w:tcPr>
            <w:tcW w:w="2592" w:type="dxa"/>
            <w:shd w:val="clear" w:color="auto" w:fill="auto"/>
          </w:tcPr>
          <w:p w14:paraId="0FF62C67" w14:textId="3B720FA3"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98" w:history="1">
              <w:r w:rsidR="00B249EF" w:rsidRPr="00186777">
                <w:rPr>
                  <w:rStyle w:val="Hyperlink"/>
                  <w:lang w:val="es-ES_tradnl"/>
                </w:rPr>
                <w:t>CEDAW/C/OMN/2-3</w:t>
              </w:r>
            </w:hyperlink>
          </w:p>
        </w:tc>
        <w:tc>
          <w:tcPr>
            <w:tcW w:w="5160" w:type="dxa"/>
            <w:shd w:val="clear" w:color="auto" w:fill="auto"/>
          </w:tcPr>
          <w:p w14:paraId="72122748" w14:textId="6EEB1C06"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Informes periódicos segundo y tercero combinados de Omán</w:t>
            </w:r>
          </w:p>
        </w:tc>
      </w:tr>
      <w:tr w:rsidR="00B249EF" w:rsidRPr="00186777" w14:paraId="1598B7C4" w14:textId="77777777" w:rsidTr="009576F3">
        <w:tc>
          <w:tcPr>
            <w:tcW w:w="2592" w:type="dxa"/>
            <w:shd w:val="clear" w:color="auto" w:fill="auto"/>
          </w:tcPr>
          <w:p w14:paraId="0B873395" w14:textId="21CEB842"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99" w:history="1">
              <w:r w:rsidR="00B249EF" w:rsidRPr="00186777">
                <w:rPr>
                  <w:rStyle w:val="Hyperlink"/>
                  <w:lang w:val="es-ES_tradnl"/>
                </w:rPr>
                <w:t>CEDAW/C/PRY/7</w:t>
              </w:r>
            </w:hyperlink>
          </w:p>
        </w:tc>
        <w:tc>
          <w:tcPr>
            <w:tcW w:w="5160" w:type="dxa"/>
            <w:shd w:val="clear" w:color="auto" w:fill="auto"/>
          </w:tcPr>
          <w:p w14:paraId="5CD29486" w14:textId="0ABCABF1"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Séptimo informe periódico del Paraguay</w:t>
            </w:r>
          </w:p>
        </w:tc>
      </w:tr>
      <w:tr w:rsidR="00B249EF" w:rsidRPr="00186777" w14:paraId="541D8E64" w14:textId="77777777" w:rsidTr="009576F3">
        <w:tc>
          <w:tcPr>
            <w:tcW w:w="2592" w:type="dxa"/>
            <w:tcBorders>
              <w:bottom w:val="single" w:sz="12" w:space="0" w:color="auto"/>
            </w:tcBorders>
            <w:shd w:val="clear" w:color="auto" w:fill="auto"/>
          </w:tcPr>
          <w:p w14:paraId="1ECEA0F0" w14:textId="127F7FDD" w:rsidR="00B249EF" w:rsidRPr="00186777" w:rsidRDefault="00C1661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00" w:history="1">
              <w:r w:rsidR="00B249EF" w:rsidRPr="00186777">
                <w:rPr>
                  <w:rStyle w:val="Hyperlink"/>
                  <w:lang w:val="es-ES_tradnl"/>
                </w:rPr>
                <w:t>CEDAW/C/SGP/5</w:t>
              </w:r>
            </w:hyperlink>
          </w:p>
        </w:tc>
        <w:tc>
          <w:tcPr>
            <w:tcW w:w="5160" w:type="dxa"/>
            <w:tcBorders>
              <w:bottom w:val="single" w:sz="12" w:space="0" w:color="auto"/>
            </w:tcBorders>
            <w:shd w:val="clear" w:color="auto" w:fill="auto"/>
          </w:tcPr>
          <w:p w14:paraId="7800DCA5" w14:textId="09929E50" w:rsidR="00B249EF" w:rsidRPr="00186777" w:rsidRDefault="00B249EF" w:rsidP="00B24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43" w:right="0"/>
              <w:jc w:val="left"/>
              <w:rPr>
                <w:lang w:val="es-ES_tradnl"/>
              </w:rPr>
            </w:pPr>
            <w:r w:rsidRPr="00186777">
              <w:rPr>
                <w:lang w:val="es-ES_tradnl"/>
              </w:rPr>
              <w:t>Quinto informe periódico de Singapur</w:t>
            </w:r>
          </w:p>
        </w:tc>
      </w:tr>
    </w:tbl>
    <w:p w14:paraId="4936035B" w14:textId="79A68CA6" w:rsidR="00F30BCC" w:rsidRPr="00186777" w:rsidRDefault="00F30BCC" w:rsidP="00B249EF">
      <w:pPr>
        <w:pStyle w:val="SingleTxt"/>
        <w:spacing w:after="0" w:line="120" w:lineRule="exact"/>
        <w:rPr>
          <w:b/>
          <w:sz w:val="10"/>
          <w:lang w:val="es-ES_tradnl"/>
        </w:rPr>
      </w:pPr>
    </w:p>
    <w:p w14:paraId="056EBBE9" w14:textId="746CE9FD" w:rsidR="00B249EF" w:rsidRPr="00186777" w:rsidRDefault="00B249EF" w:rsidP="00AA6F33">
      <w:pPr>
        <w:pStyle w:val="SingleTxt"/>
        <w:rPr>
          <w:b/>
          <w:lang w:val="es-ES_tradnl"/>
        </w:rPr>
      </w:pPr>
    </w:p>
    <w:p w14:paraId="115993B0" w14:textId="77777777" w:rsidR="00B249EF" w:rsidRPr="00186777" w:rsidRDefault="00B249EF" w:rsidP="00AA6F33">
      <w:pPr>
        <w:pStyle w:val="SingleTxt"/>
        <w:rPr>
          <w:b/>
          <w:lang w:val="es-ES_tradnl"/>
        </w:rPr>
      </w:pPr>
    </w:p>
    <w:p w14:paraId="6A042FBF" w14:textId="3C1F05C4" w:rsidR="00F30BCC" w:rsidRPr="00186777" w:rsidRDefault="00B249EF" w:rsidP="00AA6F33">
      <w:pPr>
        <w:pStyle w:val="SingleTxt"/>
        <w:rPr>
          <w:b/>
          <w:lang w:val="es-ES_tradnl"/>
        </w:rPr>
      </w:pPr>
      <w:r w:rsidRPr="00186777">
        <w:rPr>
          <w:rFonts w:asciiTheme="majorBidi" w:hAnsiTheme="majorBidi" w:cstheme="majorBidi"/>
          <w:sz w:val="24"/>
          <w:szCs w:val="24"/>
          <w:lang w:val="es-ES_tradnl"/>
        </w:rPr>
        <w:br w:type="page"/>
      </w:r>
    </w:p>
    <w:p w14:paraId="09CEAD4B" w14:textId="291D2198" w:rsidR="00AA6F33" w:rsidRPr="00186777" w:rsidRDefault="00AA6F33" w:rsidP="00B249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Tercera parte</w:t>
      </w:r>
    </w:p>
    <w:p w14:paraId="58DAD6E8" w14:textId="0148289C" w:rsidR="00AA6F33" w:rsidRPr="00186777" w:rsidRDefault="00AA6F33" w:rsidP="00B249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Informe del Comité para la Eliminación de la Discriminación contra la Mujer sobre su 69º período de sesiones</w:t>
      </w:r>
    </w:p>
    <w:p w14:paraId="484AA85C" w14:textId="1857D0D2" w:rsidR="00B249EF" w:rsidRPr="00186777" w:rsidRDefault="00B249EF" w:rsidP="00B249EF">
      <w:pPr>
        <w:pStyle w:val="SingleTxt"/>
        <w:spacing w:after="0" w:line="120" w:lineRule="exact"/>
        <w:rPr>
          <w:sz w:val="10"/>
          <w:lang w:val="es-ES_tradnl"/>
        </w:rPr>
      </w:pPr>
    </w:p>
    <w:p w14:paraId="7BF2CC78" w14:textId="00EA31AC" w:rsidR="00B249EF" w:rsidRPr="00186777" w:rsidRDefault="00B249EF" w:rsidP="00B249EF">
      <w:pPr>
        <w:pStyle w:val="SingleTxt"/>
        <w:spacing w:after="0" w:line="120" w:lineRule="exact"/>
        <w:rPr>
          <w:sz w:val="10"/>
          <w:lang w:val="es-ES_tradnl"/>
        </w:rPr>
      </w:pPr>
    </w:p>
    <w:p w14:paraId="5E73791E" w14:textId="31BBE012" w:rsidR="00AA6F33" w:rsidRPr="00186777" w:rsidRDefault="00AA6F33" w:rsidP="00B249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19 de febrero a 9 de marzo de 2018</w:t>
      </w:r>
    </w:p>
    <w:p w14:paraId="0F8FE171" w14:textId="17987C00" w:rsidR="00B249EF" w:rsidRPr="00186777" w:rsidRDefault="00B249EF" w:rsidP="00B249EF">
      <w:pPr>
        <w:pStyle w:val="SingleTxt"/>
        <w:rPr>
          <w:lang w:val="es-ES_tradnl"/>
        </w:rPr>
      </w:pPr>
    </w:p>
    <w:p w14:paraId="4FD9C8B1" w14:textId="287DBFD1" w:rsidR="00B249EF" w:rsidRPr="00186777" w:rsidRDefault="00B249EF" w:rsidP="00B249EF">
      <w:pPr>
        <w:pStyle w:val="SingleTxt"/>
        <w:rPr>
          <w:lang w:val="es-ES_tradnl"/>
        </w:rPr>
      </w:pPr>
    </w:p>
    <w:p w14:paraId="7B348279" w14:textId="4CE52857" w:rsidR="00B249EF" w:rsidRPr="00186777" w:rsidRDefault="00B249EF">
      <w:pPr>
        <w:suppressAutoHyphens w:val="0"/>
        <w:spacing w:after="200" w:line="276" w:lineRule="auto"/>
        <w:rPr>
          <w:kern w:val="14"/>
          <w:lang w:val="es-ES_tradnl"/>
        </w:rPr>
      </w:pPr>
      <w:r w:rsidRPr="00186777">
        <w:rPr>
          <w:lang w:val="es-ES_tradnl"/>
        </w:rPr>
        <w:br w:type="page"/>
      </w:r>
    </w:p>
    <w:p w14:paraId="0EFA50E3" w14:textId="18873D9D" w:rsidR="00AA6F33" w:rsidRPr="00186777" w:rsidRDefault="00AA6F33" w:rsidP="00B249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w:t>
      </w:r>
    </w:p>
    <w:p w14:paraId="33FDD7E7" w14:textId="77777777" w:rsidR="00AA6F33" w:rsidRPr="00186777" w:rsidRDefault="00AA6F33" w:rsidP="00B249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Decisiones adoptadas por el Comité</w:t>
      </w:r>
    </w:p>
    <w:p w14:paraId="0D91EAD4" w14:textId="77777777" w:rsidR="00B249EF" w:rsidRPr="00186777" w:rsidRDefault="00B249EF" w:rsidP="00B249EF">
      <w:pPr>
        <w:pStyle w:val="SingleTxt"/>
        <w:spacing w:after="0" w:line="120" w:lineRule="exact"/>
        <w:rPr>
          <w:b/>
          <w:sz w:val="10"/>
          <w:lang w:val="es-ES_tradnl"/>
        </w:rPr>
      </w:pPr>
    </w:p>
    <w:p w14:paraId="2EEAFB9B" w14:textId="77777777" w:rsidR="00B249EF" w:rsidRPr="00186777" w:rsidRDefault="00B249EF" w:rsidP="00B249EF">
      <w:pPr>
        <w:pStyle w:val="SingleTxt"/>
        <w:spacing w:after="0" w:line="120" w:lineRule="exact"/>
        <w:rPr>
          <w:b/>
          <w:sz w:val="10"/>
          <w:lang w:val="es-ES_tradnl"/>
        </w:rPr>
      </w:pPr>
    </w:p>
    <w:p w14:paraId="2C507EAE" w14:textId="5781F042" w:rsidR="00AA6F33" w:rsidRPr="00186777" w:rsidRDefault="00AA6F33"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69/I</w:t>
      </w:r>
    </w:p>
    <w:p w14:paraId="62B1867B" w14:textId="77777777" w:rsidR="00B249EF" w:rsidRPr="00186777" w:rsidRDefault="00B249EF" w:rsidP="00B249EF">
      <w:pPr>
        <w:pStyle w:val="SingleTxt"/>
        <w:spacing w:after="0" w:line="120" w:lineRule="exact"/>
        <w:rPr>
          <w:sz w:val="10"/>
          <w:lang w:val="es-ES_tradnl"/>
        </w:rPr>
      </w:pPr>
    </w:p>
    <w:p w14:paraId="271890CF" w14:textId="40590A7E" w:rsidR="00AA6F33" w:rsidRPr="00186777" w:rsidRDefault="00AA6F33" w:rsidP="00AA6F33">
      <w:pPr>
        <w:pStyle w:val="SingleTxt"/>
        <w:rPr>
          <w:lang w:val="es-ES_tradnl"/>
        </w:rPr>
      </w:pPr>
      <w:r w:rsidRPr="00186777">
        <w:rPr>
          <w:lang w:val="es-ES_tradnl"/>
        </w:rPr>
        <w:tab/>
        <w:t>El 7 de marzo de 2018, el Comité aprobó la recomendación general núm. 37 (2018) sobre las dimensiones de género de la reducción del riesgo de desastres en el contexto del cambio climático (</w:t>
      </w:r>
      <w:hyperlink r:id="rId101" w:history="1">
        <w:r w:rsidRPr="00794DB5">
          <w:rPr>
            <w:rStyle w:val="Hyperlink"/>
            <w:lang w:val="es-ES_tradnl"/>
          </w:rPr>
          <w:t>CEDAW/C/GC/37</w:t>
        </w:r>
      </w:hyperlink>
      <w:r w:rsidRPr="00186777">
        <w:rPr>
          <w:lang w:val="es-ES_tradnl"/>
        </w:rPr>
        <w:t>), por consenso.</w:t>
      </w:r>
    </w:p>
    <w:p w14:paraId="4C38DAE9" w14:textId="77777777" w:rsidR="00B249EF" w:rsidRPr="00186777" w:rsidRDefault="00B249EF" w:rsidP="00B249EF">
      <w:pPr>
        <w:pStyle w:val="SingleTxt"/>
        <w:spacing w:after="0" w:line="120" w:lineRule="exact"/>
        <w:rPr>
          <w:sz w:val="10"/>
          <w:lang w:val="es-ES_tradnl"/>
        </w:rPr>
      </w:pPr>
    </w:p>
    <w:p w14:paraId="7478267E" w14:textId="14A9AC04" w:rsidR="00AA6F33" w:rsidRPr="00186777" w:rsidRDefault="00AA6F33"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69/II</w:t>
      </w:r>
    </w:p>
    <w:p w14:paraId="210E8B70" w14:textId="77777777" w:rsidR="00B249EF" w:rsidRPr="00186777" w:rsidRDefault="00B249EF" w:rsidP="00B249EF">
      <w:pPr>
        <w:pStyle w:val="SingleTxt"/>
        <w:spacing w:after="0" w:line="120" w:lineRule="exact"/>
        <w:rPr>
          <w:sz w:val="10"/>
          <w:lang w:val="es-ES_tradnl"/>
        </w:rPr>
      </w:pPr>
    </w:p>
    <w:p w14:paraId="4069B30C" w14:textId="32F44902" w:rsidR="00AA6F33" w:rsidRPr="00186777" w:rsidRDefault="00AA6F33" w:rsidP="00AA6F33">
      <w:pPr>
        <w:pStyle w:val="SingleTxt"/>
        <w:rPr>
          <w:b/>
          <w:lang w:val="es-ES_tradnl"/>
        </w:rPr>
      </w:pPr>
      <w:r w:rsidRPr="00186777">
        <w:rPr>
          <w:lang w:val="es-ES_tradnl"/>
        </w:rPr>
        <w:tab/>
        <w:t>El Comité aprobó una declaración sobre las dimensiones de género de la reducción del riesgo de desastres en el contexto del cambio climático, con ocasión del Día Internacional de la Mujer (</w:t>
      </w:r>
      <w:hyperlink r:id="rId102" w:history="1">
        <w:r w:rsidRPr="00186777">
          <w:rPr>
            <w:rStyle w:val="Hyperlink"/>
            <w:lang w:val="es-ES_tradnl"/>
          </w:rPr>
          <w:t>https://goo.gl/5AEcJT</w:t>
        </w:r>
      </w:hyperlink>
      <w:r w:rsidRPr="00186777">
        <w:rPr>
          <w:lang w:val="es-ES_tradnl"/>
        </w:rPr>
        <w:t>).</w:t>
      </w:r>
    </w:p>
    <w:p w14:paraId="56BBE04A" w14:textId="77777777" w:rsidR="00B249EF" w:rsidRPr="00186777" w:rsidRDefault="00B249EF" w:rsidP="00B249EF">
      <w:pPr>
        <w:pStyle w:val="SingleTxt"/>
        <w:spacing w:after="0" w:line="120" w:lineRule="exact"/>
        <w:rPr>
          <w:b/>
          <w:sz w:val="10"/>
          <w:lang w:val="es-ES_tradnl"/>
        </w:rPr>
      </w:pPr>
    </w:p>
    <w:p w14:paraId="3206B631" w14:textId="1330EB34" w:rsidR="00AA6F33" w:rsidRPr="00186777" w:rsidRDefault="00AA6F33"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69/III</w:t>
      </w:r>
    </w:p>
    <w:p w14:paraId="692FE583" w14:textId="77777777" w:rsidR="00B249EF" w:rsidRPr="00186777" w:rsidRDefault="00B249EF" w:rsidP="00B249EF">
      <w:pPr>
        <w:pStyle w:val="SingleTxt"/>
        <w:spacing w:after="0" w:line="120" w:lineRule="exact"/>
        <w:rPr>
          <w:sz w:val="10"/>
          <w:lang w:val="es-ES_tradnl"/>
        </w:rPr>
      </w:pPr>
    </w:p>
    <w:p w14:paraId="46883FAE" w14:textId="60A1A545" w:rsidR="00AA6F33" w:rsidRPr="00186777" w:rsidRDefault="00AA6F33" w:rsidP="00AA6F33">
      <w:pPr>
        <w:pStyle w:val="SingleTxt"/>
        <w:rPr>
          <w:b/>
          <w:lang w:val="es-ES_tradnl"/>
        </w:rPr>
      </w:pPr>
      <w:r w:rsidRPr="00186777">
        <w:rPr>
          <w:lang w:val="es-ES_tradnl"/>
        </w:rPr>
        <w:tab/>
        <w:t xml:space="preserve">Con ocasión del Día Internacional de la Mujer, el Comité aprobó una declaración titulada </w:t>
      </w:r>
      <w:r w:rsidR="00186777">
        <w:rPr>
          <w:lang w:val="es-ES_tradnl"/>
        </w:rPr>
        <w:t>“</w:t>
      </w:r>
      <w:r w:rsidRPr="00186777">
        <w:rPr>
          <w:lang w:val="es-ES_tradnl"/>
        </w:rPr>
        <w:t>Luchar contra la violencia sexual, exigir igualdad</w:t>
      </w:r>
      <w:r w:rsidR="00186777">
        <w:rPr>
          <w:lang w:val="es-ES_tradnl"/>
        </w:rPr>
        <w:t>”</w:t>
      </w:r>
      <w:r w:rsidRPr="00186777">
        <w:rPr>
          <w:lang w:val="es-ES_tradnl"/>
        </w:rPr>
        <w:t>, conjuntamente con la Relatora Especial sobre la violencia contra la mujer, sus causas y consecuencias y el Grupo de Trabajo sobre la cuestión de la discriminación contra la mujer en la legislación y en la práctica del Consejo de Derechos Humanos (</w:t>
      </w:r>
      <w:hyperlink r:id="rId103" w:history="1">
        <w:r w:rsidRPr="00186777">
          <w:rPr>
            <w:rStyle w:val="Hyperlink"/>
            <w:lang w:val="es-ES_tradnl"/>
          </w:rPr>
          <w:t>https://goo.gl/5AEcJT</w:t>
        </w:r>
      </w:hyperlink>
      <w:r w:rsidRPr="00186777">
        <w:rPr>
          <w:lang w:val="es-ES_tradnl"/>
        </w:rPr>
        <w:t>).</w:t>
      </w:r>
    </w:p>
    <w:p w14:paraId="0BCE9F4B" w14:textId="77777777" w:rsidR="00B249EF" w:rsidRPr="00186777" w:rsidRDefault="00B249EF" w:rsidP="00B249EF">
      <w:pPr>
        <w:pStyle w:val="SingleTxt"/>
        <w:spacing w:after="0" w:line="120" w:lineRule="exact"/>
        <w:rPr>
          <w:b/>
          <w:sz w:val="10"/>
          <w:lang w:val="es-ES_tradnl"/>
        </w:rPr>
      </w:pPr>
    </w:p>
    <w:p w14:paraId="73FFD3CB" w14:textId="745569F4" w:rsidR="00AA6F33" w:rsidRPr="00186777" w:rsidRDefault="00AA6F33"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69/IV</w:t>
      </w:r>
    </w:p>
    <w:p w14:paraId="568F7240" w14:textId="77777777" w:rsidR="00B249EF" w:rsidRPr="00186777" w:rsidRDefault="00B249EF" w:rsidP="00B249EF">
      <w:pPr>
        <w:pStyle w:val="SingleTxt"/>
        <w:spacing w:after="0" w:line="120" w:lineRule="exact"/>
        <w:rPr>
          <w:sz w:val="10"/>
          <w:lang w:val="es-ES_tradnl"/>
        </w:rPr>
      </w:pPr>
    </w:p>
    <w:p w14:paraId="386D0DEE" w14:textId="10B45C61" w:rsidR="00AA6F33" w:rsidRPr="00186777" w:rsidRDefault="00B249EF" w:rsidP="00AA6F33">
      <w:pPr>
        <w:pStyle w:val="SingleTxt"/>
        <w:rPr>
          <w:lang w:val="es-ES_tradnl"/>
        </w:rPr>
      </w:pPr>
      <w:r w:rsidRPr="00186777">
        <w:rPr>
          <w:lang w:val="es-ES_tradnl"/>
        </w:rPr>
        <w:tab/>
      </w:r>
      <w:r w:rsidR="00AA6F33" w:rsidRPr="00186777">
        <w:rPr>
          <w:lang w:val="es-ES_tradnl"/>
        </w:rPr>
        <w:t>El Comité decidió iniciar la elaboración de un proyecto de recomendación general sobre la trata de mujeres y niñas en el contexto de la migración mundial y encomendó a Dalia Leinarte la tarea de preparar una nota conceptual. También decidió elaborar un proyecto de recomendaciones generales sobre los estereotipos de género y las mujeres indígenas en el momento en que la Secretaría contara con la capacidad necesaria para apoyar esos procesos.</w:t>
      </w:r>
    </w:p>
    <w:p w14:paraId="7248AC3C" w14:textId="31617D8D" w:rsidR="00B249EF" w:rsidRPr="00186777" w:rsidRDefault="00B249EF" w:rsidP="00B249EF">
      <w:pPr>
        <w:pStyle w:val="SingleTxt"/>
        <w:spacing w:after="0" w:line="120" w:lineRule="exact"/>
        <w:rPr>
          <w:sz w:val="10"/>
          <w:lang w:val="es-ES_tradnl"/>
        </w:rPr>
      </w:pPr>
    </w:p>
    <w:p w14:paraId="4ABC2E9D" w14:textId="07975E22" w:rsidR="00AA6F33" w:rsidRPr="00186777" w:rsidRDefault="00B249EF"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r>
      <w:r w:rsidR="00AA6F33" w:rsidRPr="00186777">
        <w:rPr>
          <w:lang w:val="es-ES_tradnl"/>
        </w:rPr>
        <w:t>Decisión 69/V</w:t>
      </w:r>
    </w:p>
    <w:p w14:paraId="7A3E665F" w14:textId="77777777" w:rsidR="00B249EF" w:rsidRPr="00186777" w:rsidRDefault="00B249EF" w:rsidP="00B249EF">
      <w:pPr>
        <w:pStyle w:val="SingleTxt"/>
        <w:spacing w:after="0" w:line="120" w:lineRule="exact"/>
        <w:rPr>
          <w:sz w:val="10"/>
          <w:lang w:val="es-ES_tradnl"/>
        </w:rPr>
      </w:pPr>
      <w:bookmarkStart w:id="12" w:name="_Hlk510798856"/>
    </w:p>
    <w:p w14:paraId="30551DFE" w14:textId="344E3636" w:rsidR="00AA6F33" w:rsidRPr="00186777" w:rsidRDefault="00B249EF" w:rsidP="00AA6F33">
      <w:pPr>
        <w:pStyle w:val="SingleTxt"/>
        <w:rPr>
          <w:lang w:val="es-ES_tradnl"/>
        </w:rPr>
      </w:pPr>
      <w:r w:rsidRPr="00186777">
        <w:rPr>
          <w:lang w:val="es-ES_tradnl"/>
        </w:rPr>
        <w:tab/>
      </w:r>
      <w:r w:rsidR="00AA6F33" w:rsidRPr="00186777">
        <w:rPr>
          <w:lang w:val="es-ES_tradnl"/>
        </w:rPr>
        <w:t>Habiendo examinado la decisión 65/V, por la que se suspendió el procedimiento simplificado de presentación de informes, el Comité decidió restituir ese procedimiento. También decidió modificar sus decisiones 58/II y 59/IV poniendo a disposición de todos los Estados partes, a petición de estos, el procedimiento simplificado de presentación de informes independientemente de que sus respectivos informes periódicos se hubieran presentado con retraso o no, a condición de que el Estado parte correspondiente: 1) haya presentado un informe inicial que se haya examinado con arreglo al procedimiento ordinario; y 2) haya presentado un documento básico común actualizado, de conformidad con las directrices armonizadas sobre la presentación de informes en virtud de tratados internacionales de derechos humanos, incluidas orientaciones relativas a la preparación de un documento básico común y los documentos específicos para cada tratado (</w:t>
      </w:r>
      <w:hyperlink r:id="rId104" w:history="1">
        <w:r w:rsidR="00AA6F33" w:rsidRPr="00794DB5">
          <w:rPr>
            <w:rStyle w:val="Hyperlink"/>
            <w:lang w:val="es-ES_tradnl"/>
          </w:rPr>
          <w:t>HRI/GEN/2/Rev.6</w:t>
        </w:r>
      </w:hyperlink>
      <w:r w:rsidR="00AA6F33" w:rsidRPr="00186777">
        <w:rPr>
          <w:lang w:val="es-ES_tradnl"/>
        </w:rPr>
        <w:t xml:space="preserve">, cap. I) en los últimos cinco años, calendario sujeto a un examen ulterior por el Comité. Asímismo decidió mantener en examen las modalidades prácticas de la aplicación del procedimiento simplificado de presentación de informes, a fin de asegurarse de su eficacia para todos los interesados. </w:t>
      </w:r>
      <w:bookmarkEnd w:id="12"/>
      <w:r w:rsidR="00AA6F33" w:rsidRPr="00186777">
        <w:rPr>
          <w:lang w:val="es-ES_tradnl"/>
        </w:rPr>
        <w:t>Por último, el Comité decidió que la presente decisión se comunicará a todos los Estados partes.</w:t>
      </w:r>
    </w:p>
    <w:p w14:paraId="71E81F51" w14:textId="77777777" w:rsidR="00B249EF" w:rsidRPr="00186777" w:rsidRDefault="00B249EF" w:rsidP="00B249EF">
      <w:pPr>
        <w:pStyle w:val="SingleTxt"/>
        <w:spacing w:after="0" w:line="120" w:lineRule="exact"/>
        <w:rPr>
          <w:b/>
          <w:bCs/>
          <w:sz w:val="10"/>
          <w:lang w:val="es-ES_tradnl"/>
        </w:rPr>
      </w:pPr>
    </w:p>
    <w:p w14:paraId="4C6C74C3" w14:textId="7F7986A2" w:rsidR="00AA6F33" w:rsidRPr="00186777" w:rsidRDefault="00B249EF"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r>
      <w:r w:rsidR="00AA6F33" w:rsidRPr="00186777">
        <w:rPr>
          <w:lang w:val="es-ES_tradnl"/>
        </w:rPr>
        <w:t>Decisión 69/VI</w:t>
      </w:r>
    </w:p>
    <w:p w14:paraId="3557854A" w14:textId="77777777" w:rsidR="00B249EF" w:rsidRPr="00186777" w:rsidRDefault="00B249EF" w:rsidP="00B249EF">
      <w:pPr>
        <w:pStyle w:val="SingleTxt"/>
        <w:spacing w:after="0" w:line="120" w:lineRule="exact"/>
        <w:rPr>
          <w:sz w:val="10"/>
          <w:lang w:val="es-ES_tradnl"/>
        </w:rPr>
      </w:pPr>
    </w:p>
    <w:p w14:paraId="77C82E5C" w14:textId="1CE25637" w:rsidR="00AA6F33" w:rsidRPr="00186777" w:rsidRDefault="00B249EF" w:rsidP="00AA6F33">
      <w:pPr>
        <w:pStyle w:val="SingleTxt"/>
        <w:rPr>
          <w:lang w:val="es-ES_tradnl"/>
        </w:rPr>
      </w:pPr>
      <w:r w:rsidRPr="00186777">
        <w:rPr>
          <w:lang w:val="es-ES_tradnl"/>
        </w:rPr>
        <w:tab/>
      </w:r>
      <w:r w:rsidR="00AA6F33" w:rsidRPr="00186777">
        <w:rPr>
          <w:lang w:val="es-ES_tradnl"/>
        </w:rPr>
        <w:t xml:space="preserve">El Comité decidió limitar a un máximo de dos el número de invitaciones a las reuniones de seguimiento de un Estado parte cuyo informe de seguimiento estuviera </w:t>
      </w:r>
      <w:r w:rsidR="00AA6F33" w:rsidRPr="00186777">
        <w:rPr>
          <w:lang w:val="es-ES_tradnl"/>
        </w:rPr>
        <w:lastRenderedPageBreak/>
        <w:t>pendiente aún después de dos recordatorios. También decidió que el incumplimiento por el Estado parte correspondiente del deber de presentar un informe de seguimiento tras dos invitaciones, independientemente de que se llevara o no a cabo una reunión, constituiría un caso de no colaboración en el marco del procedimiento de seguimiento.</w:t>
      </w:r>
      <w:bookmarkStart w:id="13" w:name="_Hlk510705683"/>
    </w:p>
    <w:p w14:paraId="7370CC23" w14:textId="77777777" w:rsidR="00B249EF" w:rsidRPr="00186777" w:rsidRDefault="00B249EF" w:rsidP="00B249EF">
      <w:pPr>
        <w:pStyle w:val="SingleTxt"/>
        <w:spacing w:after="0" w:line="120" w:lineRule="exact"/>
        <w:rPr>
          <w:b/>
          <w:bCs/>
          <w:sz w:val="10"/>
          <w:lang w:val="es-ES_tradnl"/>
        </w:rPr>
      </w:pPr>
    </w:p>
    <w:p w14:paraId="55A7713D" w14:textId="5EA20A4E" w:rsidR="00AA6F33" w:rsidRPr="00186777" w:rsidRDefault="00B249EF"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r>
      <w:r w:rsidR="00AA6F33" w:rsidRPr="00186777">
        <w:rPr>
          <w:lang w:val="es-ES_tradnl"/>
        </w:rPr>
        <w:t>Decisión 69/VII</w:t>
      </w:r>
    </w:p>
    <w:p w14:paraId="5FF62314" w14:textId="77777777" w:rsidR="00B249EF" w:rsidRPr="00186777" w:rsidRDefault="00B249EF" w:rsidP="00B249EF">
      <w:pPr>
        <w:pStyle w:val="SingleTxt"/>
        <w:spacing w:after="0" w:line="120" w:lineRule="exact"/>
        <w:rPr>
          <w:sz w:val="10"/>
          <w:lang w:val="es-ES_tradnl"/>
        </w:rPr>
      </w:pPr>
    </w:p>
    <w:p w14:paraId="13B007B5" w14:textId="0996987F" w:rsidR="00AA6F33" w:rsidRPr="00186777" w:rsidRDefault="00B249EF" w:rsidP="00AA6F33">
      <w:pPr>
        <w:pStyle w:val="SingleTxt"/>
        <w:rPr>
          <w:lang w:val="es-ES_tradnl"/>
        </w:rPr>
      </w:pPr>
      <w:r w:rsidRPr="00186777">
        <w:rPr>
          <w:lang w:val="es-ES_tradnl"/>
        </w:rPr>
        <w:tab/>
      </w:r>
      <w:r w:rsidR="00AA6F33" w:rsidRPr="00186777">
        <w:rPr>
          <w:lang w:val="es-ES_tradnl"/>
        </w:rPr>
        <w:t xml:space="preserve">El Comité decidió enmendar su decisión 54/IX mediante la introducción de las siguientes categorías, para su uso en la evaluación de la calidad de la información de seguimiento recibida de los Estados partes, en la metodología del procedimiento de seguimiento de las observaciones finales (véase </w:t>
      </w:r>
      <w:hyperlink r:id="rId105" w:history="1">
        <w:r w:rsidR="00AA6F33" w:rsidRPr="00794DB5">
          <w:rPr>
            <w:rStyle w:val="Hyperlink"/>
            <w:lang w:val="es-ES_tradnl"/>
          </w:rPr>
          <w:t>A/68/38</w:t>
        </w:r>
      </w:hyperlink>
      <w:r w:rsidR="00AA6F33" w:rsidRPr="00186777">
        <w:rPr>
          <w:lang w:val="es-ES_tradnl"/>
        </w:rPr>
        <w:t xml:space="preserve">, tercera parte, anexo III) y en una nueva sección titulada </w:t>
      </w:r>
      <w:r w:rsidR="00186777">
        <w:rPr>
          <w:lang w:val="es-ES_tradnl"/>
        </w:rPr>
        <w:t>“</w:t>
      </w:r>
      <w:r w:rsidR="00AA6F33" w:rsidRPr="00186777">
        <w:rPr>
          <w:lang w:val="es-ES_tradnl"/>
        </w:rPr>
        <w:t>Terminología para determinar la calidad de la información recibida de los Estados partes</w:t>
      </w:r>
      <w:r w:rsidR="00186777">
        <w:rPr>
          <w:lang w:val="es-ES_tradnl"/>
        </w:rPr>
        <w:t>”</w:t>
      </w:r>
      <w:r w:rsidR="00AA6F33" w:rsidRPr="00186777">
        <w:rPr>
          <w:lang w:val="es-ES_tradnl"/>
        </w:rPr>
        <w:t>, de la nota informativa para los Estados partes y otros interesados sobre la presentación de informes en el marco del procedimiento de seguimiento (</w:t>
      </w:r>
      <w:r w:rsidR="00AA6F33" w:rsidRPr="00054806">
        <w:rPr>
          <w:i/>
          <w:iCs/>
          <w:lang w:val="es-ES_tradnl"/>
        </w:rPr>
        <w:t>ibid</w:t>
      </w:r>
      <w:r w:rsidR="00AA6F33" w:rsidRPr="00186777">
        <w:rPr>
          <w:lang w:val="es-ES_tradnl"/>
        </w:rPr>
        <w:t>., apéndice):</w:t>
      </w:r>
    </w:p>
    <w:p w14:paraId="6324565C" w14:textId="119437F1" w:rsidR="00AA6F33" w:rsidRPr="00186777" w:rsidRDefault="00B249EF" w:rsidP="00B249EF">
      <w:pPr>
        <w:pStyle w:val="SingleTxt"/>
        <w:tabs>
          <w:tab w:val="right" w:pos="1685"/>
        </w:tabs>
        <w:ind w:left="1742" w:hanging="475"/>
        <w:rPr>
          <w:lang w:val="es-ES_tradnl"/>
        </w:rPr>
      </w:pPr>
      <w:r w:rsidRPr="00186777">
        <w:rPr>
          <w:lang w:val="es-ES_tradnl"/>
        </w:rPr>
        <w:tab/>
        <w:t>•</w:t>
      </w:r>
      <w:r w:rsidRPr="00186777">
        <w:rPr>
          <w:lang w:val="es-ES_tradnl"/>
        </w:rPr>
        <w:tab/>
      </w:r>
      <w:r w:rsidR="00186777">
        <w:rPr>
          <w:lang w:val="es-ES_tradnl"/>
        </w:rPr>
        <w:t>“</w:t>
      </w:r>
      <w:r w:rsidR="00AA6F33" w:rsidRPr="00186777">
        <w:rPr>
          <w:lang w:val="es-ES_tradnl"/>
        </w:rPr>
        <w:t>Satisfactoria</w:t>
      </w:r>
      <w:r w:rsidR="00186777">
        <w:rPr>
          <w:lang w:val="es-ES_tradnl"/>
        </w:rPr>
        <w:t>”</w:t>
      </w:r>
      <w:r w:rsidR="00AA6F33" w:rsidRPr="00186777">
        <w:rPr>
          <w:lang w:val="es-ES_tradnl"/>
        </w:rPr>
        <w:t xml:space="preserve"> indica que la información proporcionada por el Estado parte es exhaustiva y amplia, y está directamente relacionada con las recomendaciones;</w:t>
      </w:r>
    </w:p>
    <w:p w14:paraId="0411FCB0" w14:textId="12DA6996" w:rsidR="00AA6F33" w:rsidRPr="00186777" w:rsidRDefault="00B249EF" w:rsidP="00B249EF">
      <w:pPr>
        <w:pStyle w:val="SingleTxt"/>
        <w:tabs>
          <w:tab w:val="right" w:pos="1685"/>
        </w:tabs>
        <w:ind w:left="1742" w:hanging="475"/>
        <w:rPr>
          <w:lang w:val="es-ES_tradnl"/>
        </w:rPr>
      </w:pPr>
      <w:r w:rsidRPr="00186777">
        <w:rPr>
          <w:lang w:val="es-ES_tradnl"/>
        </w:rPr>
        <w:tab/>
        <w:t>•</w:t>
      </w:r>
      <w:r w:rsidRPr="00186777">
        <w:rPr>
          <w:lang w:val="es-ES_tradnl"/>
        </w:rPr>
        <w:tab/>
      </w:r>
      <w:r w:rsidR="00186777">
        <w:rPr>
          <w:lang w:val="es-ES_tradnl"/>
        </w:rPr>
        <w:t>“</w:t>
      </w:r>
      <w:r w:rsidR="00AA6F33" w:rsidRPr="00186777">
        <w:rPr>
          <w:lang w:val="es-ES_tradnl"/>
        </w:rPr>
        <w:t>Parcialmente satisfactoria</w:t>
      </w:r>
      <w:r w:rsidR="00186777">
        <w:rPr>
          <w:lang w:val="es-ES_tradnl"/>
        </w:rPr>
        <w:t>”</w:t>
      </w:r>
      <w:r w:rsidR="00AA6F33" w:rsidRPr="00186777">
        <w:rPr>
          <w:lang w:val="es-ES_tradnl"/>
        </w:rPr>
        <w:t xml:space="preserve"> indica que la información proporcionada por el Estado parte es exhaustiva y amplia, pero no responde plenamente a las recomendaciones;</w:t>
      </w:r>
    </w:p>
    <w:p w14:paraId="4117A9AE" w14:textId="5CEB8CA3" w:rsidR="00AA6F33" w:rsidRPr="00186777" w:rsidRDefault="00B249EF" w:rsidP="00B249EF">
      <w:pPr>
        <w:pStyle w:val="SingleTxt"/>
        <w:tabs>
          <w:tab w:val="right" w:pos="1685"/>
        </w:tabs>
        <w:ind w:left="1742" w:hanging="475"/>
        <w:rPr>
          <w:lang w:val="es-ES_tradnl"/>
        </w:rPr>
      </w:pPr>
      <w:r w:rsidRPr="00186777">
        <w:rPr>
          <w:lang w:val="es-ES_tradnl"/>
        </w:rPr>
        <w:tab/>
        <w:t>•</w:t>
      </w:r>
      <w:r w:rsidRPr="00186777">
        <w:rPr>
          <w:lang w:val="es-ES_tradnl"/>
        </w:rPr>
        <w:tab/>
      </w:r>
      <w:r w:rsidR="00186777">
        <w:rPr>
          <w:lang w:val="es-ES_tradnl"/>
        </w:rPr>
        <w:t>“</w:t>
      </w:r>
      <w:r w:rsidR="00AA6F33" w:rsidRPr="00186777">
        <w:rPr>
          <w:lang w:val="es-ES_tradnl"/>
        </w:rPr>
        <w:t>Insatisfactoria</w:t>
      </w:r>
      <w:r w:rsidR="00186777">
        <w:rPr>
          <w:lang w:val="es-ES_tradnl"/>
        </w:rPr>
        <w:t>”</w:t>
      </w:r>
      <w:r w:rsidR="00AA6F33" w:rsidRPr="00186777">
        <w:rPr>
          <w:lang w:val="es-ES_tradnl"/>
        </w:rPr>
        <w:t xml:space="preserve"> indica que la información proporcionada por el Estado parte es vaga e incompleta y no aborda las recomendaciones;</w:t>
      </w:r>
      <w:bookmarkEnd w:id="13"/>
    </w:p>
    <w:p w14:paraId="43D54576" w14:textId="7A1AA056" w:rsidR="00AA6F33" w:rsidRPr="00186777" w:rsidRDefault="00B249EF" w:rsidP="00B249EF">
      <w:pPr>
        <w:pStyle w:val="SingleTxt"/>
        <w:tabs>
          <w:tab w:val="right" w:pos="1685"/>
        </w:tabs>
        <w:ind w:left="1742" w:hanging="475"/>
        <w:rPr>
          <w:lang w:val="es-ES_tradnl"/>
        </w:rPr>
      </w:pPr>
      <w:r w:rsidRPr="00186777">
        <w:rPr>
          <w:lang w:val="es-ES_tradnl"/>
        </w:rPr>
        <w:tab/>
        <w:t>•</w:t>
      </w:r>
      <w:r w:rsidRPr="00186777">
        <w:rPr>
          <w:lang w:val="es-ES_tradnl"/>
        </w:rPr>
        <w:tab/>
      </w:r>
      <w:r w:rsidR="00186777">
        <w:rPr>
          <w:lang w:val="es-ES_tradnl"/>
        </w:rPr>
        <w:t>“</w:t>
      </w:r>
      <w:r w:rsidR="00AA6F33" w:rsidRPr="00186777">
        <w:rPr>
          <w:lang w:val="es-ES_tradnl"/>
        </w:rPr>
        <w:t>Sin respuesta</w:t>
      </w:r>
      <w:r w:rsidR="00186777">
        <w:rPr>
          <w:lang w:val="es-ES_tradnl"/>
        </w:rPr>
        <w:t>”</w:t>
      </w:r>
      <w:r w:rsidR="00AA6F33" w:rsidRPr="00186777">
        <w:rPr>
          <w:lang w:val="es-ES_tradnl"/>
        </w:rPr>
        <w:t xml:space="preserve"> indica que el Estado parte no ha abordado la preocupación o las recomendaciones en la respuesta.</w:t>
      </w:r>
    </w:p>
    <w:p w14:paraId="67D6A41E" w14:textId="5FC73ECC" w:rsidR="00AA6F33" w:rsidRPr="00186777" w:rsidRDefault="00AA6F33" w:rsidP="00AA6F33">
      <w:pPr>
        <w:pStyle w:val="SingleTxt"/>
        <w:rPr>
          <w:lang w:val="es-ES_tradnl"/>
        </w:rPr>
      </w:pPr>
      <w:r w:rsidRPr="00186777">
        <w:rPr>
          <w:lang w:val="es-ES_tradnl"/>
        </w:rPr>
        <w:t xml:space="preserve">Además, el título de la sección III de la nota informativa se modificó para que dijera </w:t>
      </w:r>
      <w:r w:rsidR="00186777">
        <w:rPr>
          <w:lang w:val="es-ES_tradnl"/>
        </w:rPr>
        <w:t>“</w:t>
      </w:r>
      <w:r w:rsidRPr="00186777">
        <w:rPr>
          <w:lang w:val="es-ES_tradnl"/>
        </w:rPr>
        <w:t>Terminología para determinar el grado de aplicación de las recomendaciones</w:t>
      </w:r>
      <w:r w:rsidR="00186777">
        <w:rPr>
          <w:lang w:val="es-ES_tradnl"/>
        </w:rPr>
        <w:t>”</w:t>
      </w:r>
      <w:r w:rsidRPr="00186777">
        <w:rPr>
          <w:lang w:val="es-ES_tradnl"/>
        </w:rPr>
        <w:t>, la nueva sección mencionada se insertó en la sección IV y las secciones siguientes se renumeraron.</w:t>
      </w:r>
    </w:p>
    <w:p w14:paraId="21238816" w14:textId="77777777" w:rsidR="00B249EF" w:rsidRPr="00186777" w:rsidRDefault="00B249EF" w:rsidP="00B249EF">
      <w:pPr>
        <w:pStyle w:val="SingleTxt"/>
        <w:spacing w:after="0" w:line="120" w:lineRule="exact"/>
        <w:rPr>
          <w:b/>
          <w:sz w:val="10"/>
          <w:lang w:val="es-ES_tradnl"/>
        </w:rPr>
      </w:pPr>
    </w:p>
    <w:p w14:paraId="30631473" w14:textId="4DC1DC0C" w:rsidR="00AA6F33" w:rsidRPr="00186777" w:rsidRDefault="00AA6F33"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69/VIII</w:t>
      </w:r>
    </w:p>
    <w:p w14:paraId="121B17EA" w14:textId="77777777" w:rsidR="00B249EF" w:rsidRPr="00186777" w:rsidRDefault="00B249EF" w:rsidP="00B249EF">
      <w:pPr>
        <w:pStyle w:val="SingleTxt"/>
        <w:spacing w:after="0" w:line="120" w:lineRule="exact"/>
        <w:rPr>
          <w:sz w:val="10"/>
          <w:lang w:val="es-ES_tradnl"/>
        </w:rPr>
      </w:pPr>
    </w:p>
    <w:p w14:paraId="64145BCA" w14:textId="1A7637EC" w:rsidR="00AA6F33" w:rsidRPr="00186777" w:rsidRDefault="00B249EF" w:rsidP="00AA6F33">
      <w:pPr>
        <w:pStyle w:val="SingleTxt"/>
        <w:rPr>
          <w:lang w:val="es-ES_tradnl"/>
        </w:rPr>
      </w:pPr>
      <w:r w:rsidRPr="00186777">
        <w:rPr>
          <w:lang w:val="es-ES_tradnl"/>
        </w:rPr>
        <w:tab/>
      </w:r>
      <w:r w:rsidR="00AA6F33" w:rsidRPr="00186777">
        <w:rPr>
          <w:lang w:val="es-ES_tradnl"/>
        </w:rPr>
        <w:t>El Comité eligió a Louiza Chalal para que sustituyera a la fallecida Theodora Oby Nwankwo como Vicepresidenta del Comité, de conformidad con el artículo 20 de su reglamento.</w:t>
      </w:r>
    </w:p>
    <w:p w14:paraId="41C7B06B" w14:textId="77777777" w:rsidR="00B249EF" w:rsidRPr="00186777" w:rsidRDefault="00B249EF" w:rsidP="00B249EF">
      <w:pPr>
        <w:pStyle w:val="SingleTxt"/>
        <w:spacing w:after="0" w:line="120" w:lineRule="exact"/>
        <w:rPr>
          <w:b/>
          <w:sz w:val="10"/>
          <w:lang w:val="es-ES_tradnl"/>
        </w:rPr>
      </w:pPr>
    </w:p>
    <w:p w14:paraId="7C123051" w14:textId="4066C606" w:rsidR="00AA6F33" w:rsidRPr="00186777" w:rsidRDefault="00AA6F33"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69/IX</w:t>
      </w:r>
    </w:p>
    <w:p w14:paraId="2B0B176F" w14:textId="77777777" w:rsidR="00B249EF" w:rsidRPr="00186777" w:rsidRDefault="00B249EF" w:rsidP="00B249EF">
      <w:pPr>
        <w:pStyle w:val="SingleTxt"/>
        <w:spacing w:after="0" w:line="120" w:lineRule="exact"/>
        <w:rPr>
          <w:sz w:val="10"/>
          <w:lang w:val="es-ES_tradnl"/>
        </w:rPr>
      </w:pPr>
    </w:p>
    <w:p w14:paraId="60D48EC2" w14:textId="2895ADC8" w:rsidR="00AA6F33" w:rsidRPr="00186777" w:rsidRDefault="00B249EF" w:rsidP="00AA6F33">
      <w:pPr>
        <w:pStyle w:val="SingleTxt"/>
        <w:rPr>
          <w:lang w:val="es-ES_tradnl"/>
        </w:rPr>
      </w:pPr>
      <w:r w:rsidRPr="00186777">
        <w:rPr>
          <w:lang w:val="es-ES_tradnl"/>
        </w:rPr>
        <w:tab/>
      </w:r>
      <w:r w:rsidR="00AA6F33" w:rsidRPr="00186777">
        <w:rPr>
          <w:lang w:val="es-ES_tradnl"/>
        </w:rPr>
        <w:t>El Comité eligió a Aruna Devi Narain para que sustituyera a la fallecida Theodora Oby Nwankwo como miembro del Grupo de Trabajo sobre las Comunicaciones Presentadas en virtud del Protocolo Facultativo.</w:t>
      </w:r>
    </w:p>
    <w:p w14:paraId="32BD2F4E" w14:textId="77777777" w:rsidR="00B249EF" w:rsidRPr="00186777" w:rsidRDefault="00B249EF" w:rsidP="00B249EF">
      <w:pPr>
        <w:pStyle w:val="SingleTxt"/>
        <w:spacing w:after="0" w:line="120" w:lineRule="exact"/>
        <w:rPr>
          <w:b/>
          <w:sz w:val="10"/>
          <w:lang w:val="es-ES_tradnl"/>
        </w:rPr>
      </w:pPr>
    </w:p>
    <w:p w14:paraId="557581B7" w14:textId="4F021AA3" w:rsidR="00AA6F33" w:rsidRPr="00186777" w:rsidRDefault="00B249EF"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ab/>
        <w:t>Decisión 69/X</w:t>
      </w:r>
    </w:p>
    <w:p w14:paraId="42F023DA" w14:textId="77777777" w:rsidR="00B249EF" w:rsidRPr="00186777" w:rsidRDefault="00B249EF" w:rsidP="00B249EF">
      <w:pPr>
        <w:pStyle w:val="SingleTxt"/>
        <w:spacing w:after="0" w:line="120" w:lineRule="exact"/>
        <w:rPr>
          <w:sz w:val="10"/>
          <w:lang w:val="es-ES_tradnl"/>
        </w:rPr>
      </w:pPr>
    </w:p>
    <w:p w14:paraId="17FE3023" w14:textId="4CE858DA" w:rsidR="00AA6F33" w:rsidRPr="00186777" w:rsidRDefault="00B249EF" w:rsidP="00AA6F33">
      <w:pPr>
        <w:pStyle w:val="SingleTxt"/>
        <w:rPr>
          <w:lang w:val="es-ES_tradnl"/>
        </w:rPr>
      </w:pPr>
      <w:r w:rsidRPr="00186777">
        <w:rPr>
          <w:lang w:val="es-ES_tradnl"/>
        </w:rPr>
        <w:tab/>
      </w:r>
      <w:r w:rsidR="00AA6F33" w:rsidRPr="00186777">
        <w:rPr>
          <w:lang w:val="es-ES_tradnl"/>
        </w:rPr>
        <w:t>El Comité decidió transformar los centros de coordinación sobre género, VIH/SIDA y derechos sexuales y reproductivos en un grupo de trabajo de composición abierta sobre salud y derechos sexuales y reproductivos, presidido por Louiza Chalal.</w:t>
      </w:r>
    </w:p>
    <w:p w14:paraId="2F388451" w14:textId="77777777" w:rsidR="00B249EF" w:rsidRPr="00186777" w:rsidRDefault="00B249EF" w:rsidP="00B249EF">
      <w:pPr>
        <w:pStyle w:val="SingleTxt"/>
        <w:spacing w:after="0" w:line="120" w:lineRule="exact"/>
        <w:rPr>
          <w:b/>
          <w:sz w:val="10"/>
          <w:lang w:val="es-ES_tradnl"/>
        </w:rPr>
      </w:pPr>
    </w:p>
    <w:p w14:paraId="0D895C59" w14:textId="6E9397EE" w:rsidR="00AA6F33" w:rsidRPr="00186777" w:rsidRDefault="00AA6F33"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Decisión 69/XI</w:t>
      </w:r>
    </w:p>
    <w:p w14:paraId="3091D827" w14:textId="77777777" w:rsidR="00B249EF" w:rsidRPr="00186777" w:rsidRDefault="00B249EF" w:rsidP="00B249EF">
      <w:pPr>
        <w:pStyle w:val="SingleTxt"/>
        <w:spacing w:after="0" w:line="120" w:lineRule="exact"/>
        <w:rPr>
          <w:sz w:val="10"/>
          <w:lang w:val="es-ES_tradnl"/>
        </w:rPr>
      </w:pPr>
    </w:p>
    <w:p w14:paraId="69A88D8F" w14:textId="3428F44A" w:rsidR="00AA6F33" w:rsidRPr="00186777" w:rsidRDefault="00B249EF" w:rsidP="00AA6F33">
      <w:pPr>
        <w:pStyle w:val="SingleTxt"/>
        <w:rPr>
          <w:b/>
          <w:lang w:val="es-ES_tradnl"/>
        </w:rPr>
      </w:pPr>
      <w:r w:rsidRPr="00186777">
        <w:rPr>
          <w:lang w:val="es-ES_tradnl"/>
        </w:rPr>
        <w:tab/>
      </w:r>
      <w:r w:rsidR="00AA6F33" w:rsidRPr="00186777">
        <w:rPr>
          <w:lang w:val="es-ES_tradnl"/>
        </w:rPr>
        <w:t>El Comité decidió establecer un grupo de trabajo sobre la cooperación con las instituciones nacionales de derechos humanos, con miras a aumentar su interacción con dichas instituciones de forma más estructurada, presidido por Nahla Haidar.</w:t>
      </w:r>
    </w:p>
    <w:p w14:paraId="184327F7" w14:textId="77777777" w:rsidR="00B249EF" w:rsidRPr="00186777" w:rsidRDefault="00B249EF" w:rsidP="00B249EF">
      <w:pPr>
        <w:pStyle w:val="SingleTxt"/>
        <w:spacing w:after="0" w:line="120" w:lineRule="exact"/>
        <w:rPr>
          <w:b/>
          <w:sz w:val="10"/>
          <w:lang w:val="es-ES_tradnl"/>
        </w:rPr>
      </w:pPr>
    </w:p>
    <w:p w14:paraId="024B8EE1" w14:textId="1E3ACFA2" w:rsidR="00AA6F33" w:rsidRPr="00186777" w:rsidRDefault="00B249EF" w:rsidP="00B24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ab/>
      </w:r>
      <w:r w:rsidR="00AA6F33" w:rsidRPr="00186777">
        <w:rPr>
          <w:lang w:val="es-ES_tradnl"/>
        </w:rPr>
        <w:tab/>
        <w:t>Decisión 69/XII</w:t>
      </w:r>
    </w:p>
    <w:p w14:paraId="0AF1DD0E" w14:textId="77777777" w:rsidR="00B249EF" w:rsidRPr="00186777" w:rsidRDefault="00B249EF" w:rsidP="00B249EF">
      <w:pPr>
        <w:pStyle w:val="SingleTxt"/>
        <w:spacing w:after="0" w:line="120" w:lineRule="exact"/>
        <w:rPr>
          <w:sz w:val="10"/>
          <w:lang w:val="es-ES_tradnl"/>
        </w:rPr>
      </w:pPr>
    </w:p>
    <w:p w14:paraId="5C14A0CF" w14:textId="77777777" w:rsidR="00B249EF" w:rsidRPr="00186777" w:rsidRDefault="00AA6F33" w:rsidP="00AA6F33">
      <w:pPr>
        <w:pStyle w:val="SingleTxt"/>
        <w:rPr>
          <w:lang w:val="es-ES_tradnl"/>
        </w:rPr>
      </w:pPr>
      <w:r w:rsidRPr="00186777">
        <w:rPr>
          <w:lang w:val="es-ES_tradnl"/>
        </w:rPr>
        <w:tab/>
        <w:t>El Comité confirmó a los miembros integrantes del grupo de trabajo anterior al 71º período de sesiones; a saber, Marion Bethel, Hilary Gbedemah, Rosario G. Manalo, Lia Nadaraia y Patricia Schulz.</w:t>
      </w:r>
    </w:p>
    <w:p w14:paraId="0DC60838" w14:textId="77777777" w:rsidR="00B249EF" w:rsidRPr="00186777" w:rsidRDefault="00B249EF" w:rsidP="00AA6F33">
      <w:pPr>
        <w:pStyle w:val="SingleTxt"/>
        <w:rPr>
          <w:lang w:val="es-ES_tradnl"/>
        </w:rPr>
      </w:pPr>
    </w:p>
    <w:p w14:paraId="169E66D5" w14:textId="77777777" w:rsidR="00B249EF" w:rsidRPr="00186777" w:rsidRDefault="00B249EF" w:rsidP="00AA6F33">
      <w:pPr>
        <w:pStyle w:val="SingleTxt"/>
        <w:rPr>
          <w:lang w:val="es-ES_tradnl"/>
        </w:rPr>
      </w:pPr>
    </w:p>
    <w:p w14:paraId="165C2682" w14:textId="77777777" w:rsidR="00B249EF" w:rsidRPr="00186777" w:rsidRDefault="00B249EF">
      <w:pPr>
        <w:suppressAutoHyphens w:val="0"/>
        <w:spacing w:after="200" w:line="276" w:lineRule="auto"/>
        <w:rPr>
          <w:kern w:val="14"/>
          <w:lang w:val="es-ES_tradnl"/>
        </w:rPr>
      </w:pPr>
      <w:r w:rsidRPr="00186777">
        <w:rPr>
          <w:lang w:val="es-ES_tradnl"/>
        </w:rPr>
        <w:br w:type="page"/>
      </w:r>
    </w:p>
    <w:p w14:paraId="27B4FEBE" w14:textId="0F040E7A" w:rsidR="00AA6F33" w:rsidRPr="00186777" w:rsidRDefault="00AA6F33" w:rsidP="00CC16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II</w:t>
      </w:r>
    </w:p>
    <w:p w14:paraId="659D90EC" w14:textId="25EA680C" w:rsidR="00AA6F33" w:rsidRPr="00186777" w:rsidRDefault="00AA6F33" w:rsidP="00CC16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Cuestiones de organización y otros asuntos</w:t>
      </w:r>
    </w:p>
    <w:p w14:paraId="2CA6545A" w14:textId="22CA3DCC" w:rsidR="00CC163D" w:rsidRPr="00186777" w:rsidRDefault="00CC163D" w:rsidP="00CC163D">
      <w:pPr>
        <w:pStyle w:val="SingleTxt"/>
        <w:spacing w:after="0" w:line="120" w:lineRule="exact"/>
        <w:rPr>
          <w:sz w:val="10"/>
          <w:lang w:val="es-ES_tradnl"/>
        </w:rPr>
      </w:pPr>
    </w:p>
    <w:p w14:paraId="43B16F8F" w14:textId="2B994280" w:rsidR="00CC163D" w:rsidRPr="00186777" w:rsidRDefault="00CC163D" w:rsidP="00CC163D">
      <w:pPr>
        <w:pStyle w:val="SingleTxt"/>
        <w:spacing w:after="0" w:line="120" w:lineRule="exact"/>
        <w:rPr>
          <w:sz w:val="10"/>
          <w:lang w:val="es-ES_tradnl"/>
        </w:rPr>
      </w:pPr>
    </w:p>
    <w:p w14:paraId="68CD8CAB" w14:textId="7AB914A0" w:rsidR="00AA6F33" w:rsidRPr="00186777" w:rsidRDefault="00AA6F33" w:rsidP="00CC16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A.</w:t>
      </w:r>
      <w:r w:rsidRPr="00186777">
        <w:rPr>
          <w:lang w:val="es-ES_tradnl"/>
        </w:rPr>
        <w:tab/>
        <w:t>Estados partes en la Convención y en el Protocolo Facultativo</w:t>
      </w:r>
    </w:p>
    <w:p w14:paraId="32615BEB" w14:textId="77777777" w:rsidR="00CC163D" w:rsidRPr="00186777" w:rsidRDefault="00CC163D" w:rsidP="00CC163D">
      <w:pPr>
        <w:pStyle w:val="SingleTxt"/>
        <w:spacing w:after="0" w:line="120" w:lineRule="exact"/>
        <w:rPr>
          <w:sz w:val="10"/>
          <w:lang w:val="es-ES_tradnl"/>
        </w:rPr>
      </w:pPr>
    </w:p>
    <w:p w14:paraId="457ED07E" w14:textId="77777777" w:rsidR="00CC163D" w:rsidRPr="00186777" w:rsidRDefault="00CC163D" w:rsidP="00CC163D">
      <w:pPr>
        <w:pStyle w:val="SingleTxt"/>
        <w:spacing w:after="0" w:line="120" w:lineRule="exact"/>
        <w:rPr>
          <w:sz w:val="10"/>
          <w:lang w:val="es-ES_tradnl"/>
        </w:rPr>
      </w:pPr>
    </w:p>
    <w:p w14:paraId="309A5B48" w14:textId="163A7592" w:rsidR="00AA6F33" w:rsidRPr="00186777" w:rsidRDefault="00AA6F33" w:rsidP="00113F7A">
      <w:pPr>
        <w:pStyle w:val="SingleTxt"/>
        <w:numPr>
          <w:ilvl w:val="0"/>
          <w:numId w:val="10"/>
        </w:numPr>
        <w:tabs>
          <w:tab w:val="clear" w:pos="475"/>
          <w:tab w:val="right" w:pos="1022"/>
        </w:tabs>
        <w:ind w:left="1267" w:right="1260"/>
        <w:rPr>
          <w:lang w:val="es-ES_tradnl"/>
        </w:rPr>
      </w:pPr>
      <w:r w:rsidRPr="00186777">
        <w:rPr>
          <w:lang w:val="es-ES_tradnl"/>
        </w:rPr>
        <w:t>Al 9 de marzo de 201</w:t>
      </w:r>
      <w:r w:rsidR="00344C35">
        <w:rPr>
          <w:lang w:val="es-ES_tradnl"/>
        </w:rPr>
        <w:t>8</w:t>
      </w:r>
      <w:r w:rsidRPr="00186777">
        <w:rPr>
          <w:lang w:val="es-ES_tradnl"/>
        </w:rPr>
        <w:t>, fecha de clausura del 69º período de sesiones del Comité, el estado de ratificación de la Convención (189 Estados partes) y el número de Estados partes (72) que habían aceptado la modificación del párrafo 1 del artículo 20 de la Convención relativa al tiempo asignado a las reuniones del Comité se mantenían al mismo nivel que los registrados el 17 de noviembre de 2017, fecha de clausura del 68º período de sesiones.</w:t>
      </w:r>
    </w:p>
    <w:p w14:paraId="2CACA6DC" w14:textId="16505F14" w:rsidR="00AA6F33" w:rsidRPr="00186777" w:rsidRDefault="00AA6F33" w:rsidP="00113F7A">
      <w:pPr>
        <w:pStyle w:val="SingleTxt"/>
        <w:numPr>
          <w:ilvl w:val="0"/>
          <w:numId w:val="10"/>
        </w:numPr>
        <w:ind w:left="1267"/>
        <w:rPr>
          <w:lang w:val="es-ES_tradnl"/>
        </w:rPr>
      </w:pPr>
      <w:r w:rsidRPr="00186777">
        <w:rPr>
          <w:lang w:val="es-ES_tradnl"/>
        </w:rPr>
        <w:t>Tampoco varió el estado de ratificación del Protocolo Facultativo de la Convención (109 Estados partes).</w:t>
      </w:r>
    </w:p>
    <w:p w14:paraId="637088EA" w14:textId="77777777" w:rsidR="00CC163D" w:rsidRPr="00186777" w:rsidRDefault="00CC163D" w:rsidP="00CC163D">
      <w:pPr>
        <w:pStyle w:val="SingleTxt"/>
        <w:spacing w:after="0" w:line="120" w:lineRule="exact"/>
        <w:rPr>
          <w:sz w:val="10"/>
          <w:lang w:val="es-ES_tradnl"/>
        </w:rPr>
      </w:pPr>
    </w:p>
    <w:p w14:paraId="32CDECEB" w14:textId="77777777" w:rsidR="00CC163D" w:rsidRPr="00186777" w:rsidRDefault="00CC163D" w:rsidP="00CC163D">
      <w:pPr>
        <w:pStyle w:val="SingleTxt"/>
        <w:spacing w:after="0" w:line="120" w:lineRule="exact"/>
        <w:rPr>
          <w:sz w:val="10"/>
          <w:lang w:val="es-ES_tradnl"/>
        </w:rPr>
      </w:pPr>
    </w:p>
    <w:p w14:paraId="768A0742" w14:textId="78651A24" w:rsidR="00AA6F33" w:rsidRPr="00186777" w:rsidRDefault="00AA6F33" w:rsidP="00CC16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B.</w:t>
      </w:r>
      <w:r w:rsidRPr="00186777">
        <w:rPr>
          <w:lang w:val="es-ES_tradnl"/>
        </w:rPr>
        <w:tab/>
        <w:t>Apertura del período de sesiones</w:t>
      </w:r>
    </w:p>
    <w:p w14:paraId="7FC467DF" w14:textId="77777777" w:rsidR="00CC163D" w:rsidRPr="00186777" w:rsidRDefault="00CC163D" w:rsidP="00CC163D">
      <w:pPr>
        <w:pStyle w:val="SingleTxt"/>
        <w:spacing w:after="0" w:line="120" w:lineRule="exact"/>
        <w:rPr>
          <w:sz w:val="10"/>
          <w:lang w:val="es-ES_tradnl"/>
        </w:rPr>
      </w:pPr>
    </w:p>
    <w:p w14:paraId="70AEDCD2" w14:textId="77777777" w:rsidR="00CC163D" w:rsidRPr="00186777" w:rsidRDefault="00CC163D" w:rsidP="00CC163D">
      <w:pPr>
        <w:pStyle w:val="SingleTxt"/>
        <w:spacing w:after="0" w:line="120" w:lineRule="exact"/>
        <w:rPr>
          <w:sz w:val="10"/>
          <w:lang w:val="es-ES_tradnl"/>
        </w:rPr>
      </w:pPr>
    </w:p>
    <w:p w14:paraId="284557CE" w14:textId="527008C3" w:rsidR="00AA6F33" w:rsidRPr="00186777" w:rsidRDefault="00AA6F33" w:rsidP="00113F7A">
      <w:pPr>
        <w:pStyle w:val="SingleTxt"/>
        <w:numPr>
          <w:ilvl w:val="0"/>
          <w:numId w:val="10"/>
        </w:numPr>
        <w:ind w:left="1267"/>
        <w:rPr>
          <w:lang w:val="es-ES_tradnl"/>
        </w:rPr>
      </w:pPr>
      <w:r w:rsidRPr="00186777">
        <w:rPr>
          <w:lang w:val="es-ES_tradnl"/>
        </w:rPr>
        <w:t>El 69º período de sesiones del Comité se celebró en la Oficina de las Naciones Unidas en Ginebra del 19 de febrero al 9 de marzo de 2018. El Comité celebró 20 sesiones plenarias y 10 sesiones para examinar los temas 5 a 8 del programa. En el anexo I de la tercera parte del presente informe figura una lista de los documentos que el Comité tuvo ante sí.</w:t>
      </w:r>
    </w:p>
    <w:p w14:paraId="074631D0" w14:textId="2F0D09D1" w:rsidR="00AA6F33" w:rsidRPr="00186777" w:rsidRDefault="00AA6F33" w:rsidP="00113F7A">
      <w:pPr>
        <w:pStyle w:val="SingleTxt"/>
        <w:numPr>
          <w:ilvl w:val="0"/>
          <w:numId w:val="10"/>
        </w:numPr>
        <w:ind w:left="1267"/>
        <w:rPr>
          <w:lang w:val="es-ES_tradnl"/>
        </w:rPr>
      </w:pPr>
      <w:r w:rsidRPr="00186777">
        <w:rPr>
          <w:lang w:val="es-ES_tradnl"/>
        </w:rPr>
        <w:t>En la 1570</w:t>
      </w:r>
      <w:r w:rsidRPr="00186777">
        <w:rPr>
          <w:vertAlign w:val="superscript"/>
          <w:lang w:val="es-ES_tradnl"/>
        </w:rPr>
        <w:t>a</w:t>
      </w:r>
      <w:r w:rsidRPr="00186777">
        <w:rPr>
          <w:lang w:val="es-ES_tradnl"/>
        </w:rPr>
        <w:t xml:space="preserve"> sesión, celebrada el 19 de febrero, la Presidenta inauguró el período de sesiones.</w:t>
      </w:r>
    </w:p>
    <w:p w14:paraId="70A3F20B" w14:textId="77777777" w:rsidR="00CC163D" w:rsidRPr="00186777" w:rsidRDefault="00CC163D" w:rsidP="00CC163D">
      <w:pPr>
        <w:pStyle w:val="SingleTxt"/>
        <w:spacing w:after="0" w:line="120" w:lineRule="exact"/>
        <w:rPr>
          <w:b/>
          <w:bCs/>
          <w:sz w:val="10"/>
          <w:lang w:val="es-ES_tradnl"/>
        </w:rPr>
      </w:pPr>
    </w:p>
    <w:p w14:paraId="5D5A138D" w14:textId="77777777" w:rsidR="00CC163D" w:rsidRPr="00186777" w:rsidRDefault="00CC163D" w:rsidP="00CC163D">
      <w:pPr>
        <w:pStyle w:val="SingleTxt"/>
        <w:spacing w:after="0" w:line="120" w:lineRule="exact"/>
        <w:rPr>
          <w:b/>
          <w:bCs/>
          <w:sz w:val="10"/>
          <w:lang w:val="es-ES_tradnl"/>
        </w:rPr>
      </w:pPr>
    </w:p>
    <w:p w14:paraId="2AF19FFA" w14:textId="1488C0D3" w:rsidR="00AA6F33" w:rsidRPr="00186777" w:rsidRDefault="00CC163D" w:rsidP="00CC16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C.</w:t>
      </w:r>
      <w:r w:rsidR="00AA6F33" w:rsidRPr="00186777">
        <w:rPr>
          <w:lang w:val="es-ES_tradnl"/>
        </w:rPr>
        <w:tab/>
        <w:t>Aprobación del programa</w:t>
      </w:r>
    </w:p>
    <w:p w14:paraId="01A2AA5B" w14:textId="77777777" w:rsidR="00CC163D" w:rsidRPr="00186777" w:rsidRDefault="00CC163D" w:rsidP="00CC163D">
      <w:pPr>
        <w:pStyle w:val="SingleTxt"/>
        <w:spacing w:after="0" w:line="120" w:lineRule="exact"/>
        <w:rPr>
          <w:sz w:val="10"/>
          <w:lang w:val="es-ES_tradnl"/>
        </w:rPr>
      </w:pPr>
    </w:p>
    <w:p w14:paraId="62BB7363" w14:textId="77777777" w:rsidR="00CC163D" w:rsidRPr="00186777" w:rsidRDefault="00CC163D" w:rsidP="00CC163D">
      <w:pPr>
        <w:pStyle w:val="SingleTxt"/>
        <w:spacing w:after="0" w:line="120" w:lineRule="exact"/>
        <w:rPr>
          <w:sz w:val="10"/>
          <w:lang w:val="es-ES_tradnl"/>
        </w:rPr>
      </w:pPr>
    </w:p>
    <w:p w14:paraId="12930221" w14:textId="3D337E1E" w:rsidR="00AA6F33" w:rsidRPr="00186777" w:rsidRDefault="00AA6F33" w:rsidP="00113F7A">
      <w:pPr>
        <w:pStyle w:val="SingleTxt"/>
        <w:numPr>
          <w:ilvl w:val="0"/>
          <w:numId w:val="10"/>
        </w:numPr>
        <w:ind w:left="1267"/>
        <w:rPr>
          <w:lang w:val="es-ES_tradnl"/>
        </w:rPr>
      </w:pPr>
      <w:r w:rsidRPr="00186777">
        <w:rPr>
          <w:lang w:val="es-ES_tradnl"/>
        </w:rPr>
        <w:t>El Comité aprobó el programa provisional (</w:t>
      </w:r>
      <w:hyperlink r:id="rId106" w:history="1">
        <w:r w:rsidRPr="00794DB5">
          <w:rPr>
            <w:rStyle w:val="Hyperlink"/>
            <w:lang w:val="es-ES_tradnl"/>
          </w:rPr>
          <w:t>CEDAW/C/69/1</w:t>
        </w:r>
      </w:hyperlink>
      <w:r w:rsidRPr="00186777">
        <w:rPr>
          <w:lang w:val="es-ES_tradnl"/>
        </w:rPr>
        <w:t>) en su 1570</w:t>
      </w:r>
      <w:r w:rsidRPr="00186777">
        <w:rPr>
          <w:vertAlign w:val="superscript"/>
          <w:lang w:val="es-ES_tradnl"/>
        </w:rPr>
        <w:t>a</w:t>
      </w:r>
      <w:r w:rsidR="00186777" w:rsidRPr="00186777">
        <w:rPr>
          <w:lang w:val="es-ES_tradnl"/>
        </w:rPr>
        <w:t xml:space="preserve"> </w:t>
      </w:r>
      <w:r w:rsidRPr="00186777">
        <w:rPr>
          <w:lang w:val="es-ES_tradnl"/>
        </w:rPr>
        <w:t>sesión, celebrada el 19 de febrero.</w:t>
      </w:r>
    </w:p>
    <w:p w14:paraId="328E5DEC" w14:textId="77777777" w:rsidR="00CC163D" w:rsidRPr="00186777" w:rsidRDefault="00CC163D" w:rsidP="00CC163D">
      <w:pPr>
        <w:pStyle w:val="SingleTxt"/>
        <w:spacing w:after="0" w:line="120" w:lineRule="exact"/>
        <w:rPr>
          <w:b/>
          <w:bCs/>
          <w:sz w:val="10"/>
          <w:lang w:val="es-ES_tradnl"/>
        </w:rPr>
      </w:pPr>
    </w:p>
    <w:p w14:paraId="6491FF33" w14:textId="77777777" w:rsidR="00CC163D" w:rsidRPr="00186777" w:rsidRDefault="00CC163D" w:rsidP="00CC163D">
      <w:pPr>
        <w:pStyle w:val="SingleTxt"/>
        <w:spacing w:after="0" w:line="120" w:lineRule="exact"/>
        <w:rPr>
          <w:b/>
          <w:bCs/>
          <w:sz w:val="10"/>
          <w:lang w:val="es-ES_tradnl"/>
        </w:rPr>
      </w:pPr>
    </w:p>
    <w:p w14:paraId="2CC56A55" w14:textId="2B34A7A7" w:rsidR="00AA6F33" w:rsidRPr="00186777" w:rsidRDefault="00CC163D" w:rsidP="00CC16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D.</w:t>
      </w:r>
      <w:r w:rsidR="00AA6F33" w:rsidRPr="00186777">
        <w:rPr>
          <w:lang w:val="es-ES_tradnl"/>
        </w:rPr>
        <w:tab/>
        <w:t>Informe del grupo de trabajo anterior al período de sesiones</w:t>
      </w:r>
    </w:p>
    <w:p w14:paraId="51E4D4F9" w14:textId="77777777" w:rsidR="00CC163D" w:rsidRPr="00186777" w:rsidRDefault="00CC163D" w:rsidP="00CC163D">
      <w:pPr>
        <w:pStyle w:val="SingleTxt"/>
        <w:spacing w:after="0" w:line="120" w:lineRule="exact"/>
        <w:rPr>
          <w:sz w:val="10"/>
          <w:lang w:val="es-ES_tradnl"/>
        </w:rPr>
      </w:pPr>
    </w:p>
    <w:p w14:paraId="3EEEBA9B" w14:textId="77777777" w:rsidR="00CC163D" w:rsidRPr="00186777" w:rsidRDefault="00CC163D" w:rsidP="00CC163D">
      <w:pPr>
        <w:pStyle w:val="SingleTxt"/>
        <w:spacing w:after="0" w:line="120" w:lineRule="exact"/>
        <w:rPr>
          <w:sz w:val="10"/>
          <w:lang w:val="es-ES_tradnl"/>
        </w:rPr>
      </w:pPr>
    </w:p>
    <w:p w14:paraId="2C8CF727" w14:textId="7B7A172B" w:rsidR="00AA6F33" w:rsidRPr="00186777" w:rsidRDefault="00AA6F33" w:rsidP="00113F7A">
      <w:pPr>
        <w:pStyle w:val="SingleTxt"/>
        <w:numPr>
          <w:ilvl w:val="0"/>
          <w:numId w:val="10"/>
        </w:numPr>
        <w:ind w:left="1267"/>
        <w:rPr>
          <w:lang w:val="es-ES_tradnl"/>
        </w:rPr>
      </w:pPr>
      <w:r w:rsidRPr="00186777">
        <w:rPr>
          <w:lang w:val="es-ES_tradnl"/>
        </w:rPr>
        <w:t>El informe del grupo de trabajo anterior al período de sesiones (</w:t>
      </w:r>
      <w:hyperlink r:id="rId107" w:history="1">
        <w:r w:rsidRPr="00794DB5">
          <w:rPr>
            <w:rStyle w:val="Hyperlink"/>
            <w:lang w:val="es-ES_tradnl"/>
          </w:rPr>
          <w:t>CEDAW/C/PSWG/69/1</w:t>
        </w:r>
      </w:hyperlink>
      <w:r w:rsidRPr="00186777">
        <w:rPr>
          <w:lang w:val="es-ES_tradnl"/>
        </w:rPr>
        <w:t>), que se reunió del 24 al 28 de julio de 2017, fue presentado por Nahla Haidar en la 1570ª sesión, celebrada el 19 de febrero.</w:t>
      </w:r>
    </w:p>
    <w:p w14:paraId="096BB384" w14:textId="77777777" w:rsidR="00CC163D" w:rsidRPr="00186777" w:rsidRDefault="00CC163D" w:rsidP="00CC163D">
      <w:pPr>
        <w:pStyle w:val="SingleTxt"/>
        <w:spacing w:after="0" w:line="120" w:lineRule="exact"/>
        <w:rPr>
          <w:sz w:val="10"/>
          <w:lang w:val="es-ES_tradnl"/>
        </w:rPr>
      </w:pPr>
    </w:p>
    <w:p w14:paraId="2764C78F" w14:textId="77777777" w:rsidR="00CC163D" w:rsidRPr="00186777" w:rsidRDefault="00CC163D" w:rsidP="00CC163D">
      <w:pPr>
        <w:pStyle w:val="SingleTxt"/>
        <w:spacing w:after="0" w:line="120" w:lineRule="exact"/>
        <w:rPr>
          <w:sz w:val="10"/>
          <w:lang w:val="es-ES_tradnl"/>
        </w:rPr>
      </w:pPr>
    </w:p>
    <w:p w14:paraId="36F25674" w14:textId="360D0E6D" w:rsidR="00AA6F33" w:rsidRPr="00186777" w:rsidRDefault="00AA6F33" w:rsidP="00CC16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E.</w:t>
      </w:r>
      <w:r w:rsidRPr="00186777">
        <w:rPr>
          <w:lang w:val="es-ES_tradnl"/>
        </w:rPr>
        <w:tab/>
        <w:t>Organización de los trabajos</w:t>
      </w:r>
    </w:p>
    <w:p w14:paraId="5453EFB9" w14:textId="77777777" w:rsidR="00CC163D" w:rsidRPr="00186777" w:rsidRDefault="00CC163D" w:rsidP="00CC163D">
      <w:pPr>
        <w:pStyle w:val="SingleTxt"/>
        <w:spacing w:after="0" w:line="120" w:lineRule="exact"/>
        <w:rPr>
          <w:sz w:val="10"/>
          <w:lang w:val="es-ES_tradnl"/>
        </w:rPr>
      </w:pPr>
    </w:p>
    <w:p w14:paraId="55330B9A" w14:textId="77777777" w:rsidR="00CC163D" w:rsidRPr="00186777" w:rsidRDefault="00CC163D" w:rsidP="00CC163D">
      <w:pPr>
        <w:pStyle w:val="SingleTxt"/>
        <w:spacing w:after="0" w:line="120" w:lineRule="exact"/>
        <w:rPr>
          <w:sz w:val="10"/>
          <w:lang w:val="es-ES_tradnl"/>
        </w:rPr>
      </w:pPr>
    </w:p>
    <w:p w14:paraId="09EB7E54" w14:textId="435EF500" w:rsidR="00AA6F33" w:rsidRPr="00186777" w:rsidRDefault="00AA6F33" w:rsidP="00113F7A">
      <w:pPr>
        <w:pStyle w:val="SingleTxt"/>
        <w:numPr>
          <w:ilvl w:val="0"/>
          <w:numId w:val="10"/>
        </w:numPr>
        <w:ind w:left="1267"/>
        <w:rPr>
          <w:lang w:val="es-ES_tradnl"/>
        </w:rPr>
      </w:pPr>
      <w:r w:rsidRPr="00186777">
        <w:rPr>
          <w:lang w:val="es-ES_tradnl"/>
        </w:rPr>
        <w:t>Los días 19 y 26 de febrero, el Comité celebró sesiones privadas, en algunos casos mediante videoconferencia, con representantes de los organismos especializados, fondos y programas del sistema de las Naciones Unidas, así como de otras organizaciones intergubernamentales, en las cuales facilitaron información sobre determinados países y sobre las actividades que habían realizado para apoyar la aplicación de la Convención.</w:t>
      </w:r>
    </w:p>
    <w:p w14:paraId="2A5A1C5B" w14:textId="2CE9D811" w:rsidR="00AA6F33" w:rsidRPr="00186777" w:rsidRDefault="00AA6F33" w:rsidP="00113F7A">
      <w:pPr>
        <w:pStyle w:val="SingleTxt"/>
        <w:numPr>
          <w:ilvl w:val="0"/>
          <w:numId w:val="10"/>
        </w:numPr>
        <w:ind w:left="1267"/>
        <w:rPr>
          <w:lang w:val="es-ES_tradnl"/>
        </w:rPr>
      </w:pPr>
      <w:r w:rsidRPr="00186777">
        <w:rPr>
          <w:lang w:val="es-ES_tradnl"/>
        </w:rPr>
        <w:t>Además, el Comité celebró sesiones públicas oficiosas con representantes de organizaciones no gubernamentales e instituciones nacionales de derechos humanos, que aportaron información sobre la aplicación de la Convención en los Estados partes cuyos informes examinó el Comité en su 69º período de sesiones.</w:t>
      </w:r>
    </w:p>
    <w:p w14:paraId="5DFE9F9B" w14:textId="2212E091" w:rsidR="00AA6F33" w:rsidRPr="00186777" w:rsidRDefault="00AA6F33" w:rsidP="00054806">
      <w:pPr>
        <w:pStyle w:val="SingleTxt"/>
        <w:keepNext/>
        <w:keepLines/>
        <w:numPr>
          <w:ilvl w:val="0"/>
          <w:numId w:val="10"/>
        </w:numPr>
        <w:ind w:left="1267"/>
        <w:rPr>
          <w:lang w:val="es-ES_tradnl"/>
        </w:rPr>
      </w:pPr>
      <w:r w:rsidRPr="00186777">
        <w:rPr>
          <w:lang w:val="es-ES_tradnl"/>
        </w:rPr>
        <w:lastRenderedPageBreak/>
        <w:t>El 21 de febrero, Christine Löw, Jefe de la Oficina de Enlace de ONU-Mujeres en Ginebra, hiso una exposición informativa ante el Comité sobre la labor de ONU-Mujeres en la promoción de la aplicación de la Convención y de las observaciones finales del Comité.</w:t>
      </w:r>
    </w:p>
    <w:p w14:paraId="0C3DE144" w14:textId="493DCCBA" w:rsidR="00AA6F33" w:rsidRPr="00186777" w:rsidRDefault="00AA6F33" w:rsidP="00113F7A">
      <w:pPr>
        <w:pStyle w:val="SingleTxt"/>
        <w:numPr>
          <w:ilvl w:val="0"/>
          <w:numId w:val="10"/>
        </w:numPr>
        <w:ind w:left="1267"/>
        <w:rPr>
          <w:lang w:val="es-ES_tradnl"/>
        </w:rPr>
      </w:pPr>
      <w:r w:rsidRPr="00186777">
        <w:rPr>
          <w:lang w:val="es-ES_tradnl"/>
        </w:rPr>
        <w:t>El 5 de marzo, el Comité celebró una reunión oficiosa con María Soledad Cisternas Reyes, Enviada Especial del Secretario General sobre la Discapacidad y la Accesibilidad, quien hizo una exposición informativa sobre la evolución de la práctica de los órganos de tratados de derechos humanos a la hora de abordar los derechos de las personas con discapacidad, incluidas las mujeres con discapacidad, y el papel de los Objetivos de Desarrollo Sostenible en la promoción de la accesibilidad y la inclusividad.</w:t>
      </w:r>
    </w:p>
    <w:p w14:paraId="07FAD343" w14:textId="77777777" w:rsidR="00CC163D" w:rsidRPr="00186777" w:rsidRDefault="00CC163D" w:rsidP="00CC163D">
      <w:pPr>
        <w:pStyle w:val="SingleTxt"/>
        <w:spacing w:after="0" w:line="120" w:lineRule="exact"/>
        <w:rPr>
          <w:b/>
          <w:bCs/>
          <w:sz w:val="10"/>
          <w:lang w:val="es-ES_tradnl"/>
        </w:rPr>
      </w:pPr>
    </w:p>
    <w:p w14:paraId="4371D327" w14:textId="77777777" w:rsidR="00CC163D" w:rsidRPr="00186777" w:rsidRDefault="00CC163D" w:rsidP="00CC163D">
      <w:pPr>
        <w:pStyle w:val="SingleTxt"/>
        <w:spacing w:after="0" w:line="120" w:lineRule="exact"/>
        <w:rPr>
          <w:b/>
          <w:bCs/>
          <w:sz w:val="10"/>
          <w:lang w:val="es-ES_tradnl"/>
        </w:rPr>
      </w:pPr>
    </w:p>
    <w:p w14:paraId="3CF7AD05" w14:textId="16BA591A" w:rsidR="00AA6F33" w:rsidRPr="00186777" w:rsidRDefault="00CC163D" w:rsidP="00CC16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F.</w:t>
      </w:r>
      <w:r w:rsidR="00AA6F33" w:rsidRPr="00186777">
        <w:rPr>
          <w:lang w:val="es-ES_tradnl"/>
        </w:rPr>
        <w:tab/>
        <w:t>Composición del Comité</w:t>
      </w:r>
    </w:p>
    <w:p w14:paraId="051EF086" w14:textId="77777777" w:rsidR="00CC163D" w:rsidRPr="00186777" w:rsidRDefault="00CC163D" w:rsidP="00CC163D">
      <w:pPr>
        <w:pStyle w:val="SingleTxt"/>
        <w:spacing w:after="0" w:line="120" w:lineRule="exact"/>
        <w:rPr>
          <w:b/>
          <w:sz w:val="10"/>
          <w:lang w:val="es-ES_tradnl"/>
        </w:rPr>
      </w:pPr>
    </w:p>
    <w:p w14:paraId="5796812B" w14:textId="77777777" w:rsidR="00CC163D" w:rsidRPr="00186777" w:rsidRDefault="00CC163D" w:rsidP="00CC163D">
      <w:pPr>
        <w:pStyle w:val="SingleTxt"/>
        <w:spacing w:after="0" w:line="120" w:lineRule="exact"/>
        <w:rPr>
          <w:b/>
          <w:sz w:val="10"/>
          <w:lang w:val="es-ES_tradnl"/>
        </w:rPr>
      </w:pPr>
    </w:p>
    <w:p w14:paraId="04B55EF4" w14:textId="4CC5B3FB" w:rsidR="00AA6F33" w:rsidRPr="00186777" w:rsidRDefault="00AA6F33" w:rsidP="00CC16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Cubrimiento de las vacantes imprevistas</w:t>
      </w:r>
    </w:p>
    <w:p w14:paraId="4599E65B" w14:textId="77777777" w:rsidR="00CC163D" w:rsidRPr="00186777" w:rsidRDefault="00CC163D" w:rsidP="00CC163D">
      <w:pPr>
        <w:pStyle w:val="SingleTxt"/>
        <w:spacing w:after="0" w:line="120" w:lineRule="exact"/>
        <w:rPr>
          <w:sz w:val="10"/>
          <w:lang w:val="es-ES_tradnl"/>
        </w:rPr>
      </w:pPr>
    </w:p>
    <w:p w14:paraId="3D086AB7" w14:textId="485C1ED4" w:rsidR="00AA6F33" w:rsidRPr="00054806" w:rsidRDefault="00AA6F33" w:rsidP="00113F7A">
      <w:pPr>
        <w:pStyle w:val="SingleTxt"/>
        <w:numPr>
          <w:ilvl w:val="0"/>
          <w:numId w:val="10"/>
        </w:numPr>
        <w:ind w:left="1267"/>
        <w:rPr>
          <w:bCs/>
          <w:lang w:val="es-ES_tradnl"/>
        </w:rPr>
      </w:pPr>
      <w:r w:rsidRPr="00186777">
        <w:rPr>
          <w:lang w:val="es-ES_tradnl"/>
        </w:rPr>
        <w:t>El 11 de diciembre de 2017, el Comité tomó conocimiento del fallecimiento, el 9 de diciembre, de Theodora Oby Nwankwo, que había sido reelegida miembro del Comité el 21 de junio de 2016, por un mandato que debía expirar el 31 de diciembre de 2020. El 11 de diciembre de 2017, la Presidenta transmitió sus condolencias a la Misión Permanente de Nigeria ante la Oficina de las Naciones Unidas y otras organizaciones internacionales en Ginebra. El 13 de diciembre, el Secretario General pidió al Gobierno de Nigeria que designara, en un plazo de dos meses, a otro experto de entre sus nacionales para llenar la vacante que se había producido por el fallecimiento de la Sra. Nwankwo. El 26 de enero de 2018, el Gobierno de Nigeria informó al Comité de su decisión de nombrar a Esther Eghobamien-Mshelia como miembro del Comité durante el resto del mandato de la fallecida Sra. Nwankwo. El 1 de marzo, el Comité decidió aprobar el nombramiento de la Sra. Eghobamien-Mshelia, de conformidad con el párrafo 7 del artículo 17 de la Convención.</w:t>
      </w:r>
    </w:p>
    <w:p w14:paraId="0ADD8789" w14:textId="77777777" w:rsidR="00CC163D" w:rsidRPr="00054806" w:rsidRDefault="00CC163D" w:rsidP="00CC163D">
      <w:pPr>
        <w:pStyle w:val="SingleTxt"/>
        <w:spacing w:after="0" w:line="120" w:lineRule="exact"/>
        <w:rPr>
          <w:bCs/>
          <w:sz w:val="10"/>
          <w:lang w:val="es-ES_tradnl"/>
        </w:rPr>
      </w:pPr>
    </w:p>
    <w:p w14:paraId="06F2D18A" w14:textId="6F57802F" w:rsidR="00AA6F33" w:rsidRPr="00186777" w:rsidRDefault="00AA6F33" w:rsidP="00CC16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Participación en el 69º período de sesiones</w:t>
      </w:r>
    </w:p>
    <w:p w14:paraId="66BD12CD" w14:textId="77777777" w:rsidR="00CC163D" w:rsidRPr="00186777" w:rsidRDefault="00CC163D" w:rsidP="00CC163D">
      <w:pPr>
        <w:pStyle w:val="SingleTxt"/>
        <w:spacing w:after="0" w:line="120" w:lineRule="exact"/>
        <w:rPr>
          <w:sz w:val="10"/>
          <w:lang w:val="es-ES_tradnl"/>
        </w:rPr>
      </w:pPr>
    </w:p>
    <w:p w14:paraId="2C5D538E" w14:textId="018D2802" w:rsidR="00AA6F33" w:rsidRPr="00186777" w:rsidRDefault="00AA6F33" w:rsidP="00113F7A">
      <w:pPr>
        <w:pStyle w:val="SingleTxt"/>
        <w:numPr>
          <w:ilvl w:val="0"/>
          <w:numId w:val="10"/>
        </w:numPr>
        <w:ind w:left="1267"/>
        <w:rPr>
          <w:lang w:val="es-ES_tradnl"/>
        </w:rPr>
      </w:pPr>
      <w:r w:rsidRPr="00186777">
        <w:rPr>
          <w:lang w:val="es-ES_tradnl"/>
        </w:rPr>
        <w:t xml:space="preserve">Todos los miembros del Comité asistieron al 69º período de sesiones. Los siguientes miembros no asistieron al período de sesiones en las fechas indicadas: Ayse Feride Acar, del 19 al 23 de febrero y el 8 </w:t>
      </w:r>
      <w:r w:rsidR="00344C35">
        <w:rPr>
          <w:lang w:val="es-ES_tradnl"/>
        </w:rPr>
        <w:t>y</w:t>
      </w:r>
      <w:r w:rsidR="00344C35" w:rsidRPr="00186777">
        <w:rPr>
          <w:lang w:val="es-ES_tradnl"/>
        </w:rPr>
        <w:t xml:space="preserve"> </w:t>
      </w:r>
      <w:r w:rsidRPr="00186777">
        <w:rPr>
          <w:lang w:val="es-ES_tradnl"/>
        </w:rPr>
        <w:t>9 de marzo; Ruth Halperin-Kaddari, del 28 de febrero al 2 de marzo y del 7 al 9 de marzo; Yoko Hayashi, del 5 al 9 de marzo; y Aruna Devi Narain, los días 8 y 9 de marzo. En el anexo II de la tercera parte del presente informe figura una lista de los miembros del Comité, en la que se indica la duración del mandato de cada uno.</w:t>
      </w:r>
    </w:p>
    <w:p w14:paraId="03027474" w14:textId="3E36583F" w:rsidR="00CC163D" w:rsidRPr="00186777" w:rsidRDefault="00CC163D" w:rsidP="00AA6F33">
      <w:pPr>
        <w:pStyle w:val="SingleTxt"/>
        <w:rPr>
          <w:lang w:val="es-ES_tradnl"/>
        </w:rPr>
      </w:pPr>
    </w:p>
    <w:p w14:paraId="45E44D97" w14:textId="0D94C497" w:rsidR="00CC163D" w:rsidRPr="00186777" w:rsidRDefault="00CC163D">
      <w:pPr>
        <w:suppressAutoHyphens w:val="0"/>
        <w:spacing w:after="200" w:line="276" w:lineRule="auto"/>
        <w:rPr>
          <w:kern w:val="14"/>
          <w:lang w:val="es-ES_tradnl"/>
        </w:rPr>
      </w:pPr>
      <w:r w:rsidRPr="00186777">
        <w:rPr>
          <w:lang w:val="es-ES_tradnl"/>
        </w:rPr>
        <w:br w:type="page"/>
      </w:r>
    </w:p>
    <w:p w14:paraId="135B3FD0" w14:textId="1A33946E" w:rsidR="00AA6F33" w:rsidRPr="00186777" w:rsidRDefault="00AA6F33" w:rsidP="00CC16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III</w:t>
      </w:r>
    </w:p>
    <w:p w14:paraId="2EABBE25" w14:textId="4FB3C884" w:rsidR="00AA6F33" w:rsidRPr="00186777" w:rsidRDefault="00AA6F33" w:rsidP="00CC16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Informe de la Presidenta sobre las actividades realizadas entre períodos de sesiones</w:t>
      </w:r>
    </w:p>
    <w:p w14:paraId="3F205F86" w14:textId="6EC8B54C" w:rsidR="00CC163D" w:rsidRPr="00186777" w:rsidRDefault="00CC163D" w:rsidP="00CC163D">
      <w:pPr>
        <w:pStyle w:val="SingleTxt"/>
        <w:spacing w:after="0" w:line="120" w:lineRule="exact"/>
        <w:rPr>
          <w:sz w:val="10"/>
          <w:lang w:val="es-ES_tradnl"/>
        </w:rPr>
      </w:pPr>
    </w:p>
    <w:p w14:paraId="24E017DA" w14:textId="28AD87B6" w:rsidR="00CC163D" w:rsidRPr="00186777" w:rsidRDefault="00CC163D" w:rsidP="00CC163D">
      <w:pPr>
        <w:pStyle w:val="SingleTxt"/>
        <w:spacing w:after="0" w:line="120" w:lineRule="exact"/>
        <w:rPr>
          <w:sz w:val="10"/>
          <w:lang w:val="es-ES_tradnl"/>
        </w:rPr>
      </w:pPr>
    </w:p>
    <w:p w14:paraId="71AC3EF5" w14:textId="77777777" w:rsidR="00CC163D" w:rsidRPr="00186777" w:rsidRDefault="00AA6F33" w:rsidP="00113F7A">
      <w:pPr>
        <w:pStyle w:val="SingleTxt"/>
        <w:numPr>
          <w:ilvl w:val="0"/>
          <w:numId w:val="10"/>
        </w:numPr>
        <w:ind w:left="1267"/>
        <w:rPr>
          <w:lang w:val="es-ES_tradnl"/>
        </w:rPr>
      </w:pPr>
      <w:r w:rsidRPr="00186777">
        <w:rPr>
          <w:lang w:val="es-ES_tradnl"/>
        </w:rPr>
        <w:t xml:space="preserve">En la 1570ª sesión, celebrada el 19 de febrero de 2018, la Presidenta presentó un informe sobre las actividades que había realizado desde el 68° período de sesiones. </w:t>
      </w:r>
    </w:p>
    <w:p w14:paraId="51065B37" w14:textId="2449D127" w:rsidR="00CC163D" w:rsidRPr="00186777" w:rsidRDefault="00CC163D" w:rsidP="00CC163D">
      <w:pPr>
        <w:pStyle w:val="SingleTxt"/>
        <w:rPr>
          <w:lang w:val="es-ES_tradnl"/>
        </w:rPr>
      </w:pPr>
    </w:p>
    <w:p w14:paraId="3EE995CB" w14:textId="45797CA8" w:rsidR="00CC163D" w:rsidRPr="00186777" w:rsidRDefault="00CC163D" w:rsidP="00CC163D">
      <w:pPr>
        <w:pStyle w:val="SingleTxt"/>
        <w:rPr>
          <w:lang w:val="es-ES_tradnl"/>
        </w:rPr>
      </w:pPr>
    </w:p>
    <w:p w14:paraId="60B00BC0" w14:textId="3145FDD7" w:rsidR="00CC163D" w:rsidRPr="00186777" w:rsidRDefault="00CC163D">
      <w:pPr>
        <w:suppressAutoHyphens w:val="0"/>
        <w:spacing w:after="200" w:line="276" w:lineRule="auto"/>
        <w:rPr>
          <w:kern w:val="14"/>
          <w:lang w:val="es-ES_tradnl"/>
        </w:rPr>
      </w:pPr>
      <w:r w:rsidRPr="00186777">
        <w:rPr>
          <w:lang w:val="es-ES_tradnl"/>
        </w:rPr>
        <w:br w:type="page"/>
      </w:r>
    </w:p>
    <w:p w14:paraId="0DAA5208" w14:textId="7442D6B6" w:rsidR="00AA6F33" w:rsidRPr="00186777" w:rsidRDefault="00AA6F33" w:rsidP="00CC16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 xml:space="preserve">Capítulo IV </w:t>
      </w:r>
    </w:p>
    <w:p w14:paraId="5A19C669" w14:textId="069B4E83" w:rsidR="00AA6F33" w:rsidRPr="00186777" w:rsidRDefault="00AA6F33" w:rsidP="00CC16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Examen de los informes presentados por los Estados partes en virtud del artículo 18 de la Convención</w:t>
      </w:r>
    </w:p>
    <w:p w14:paraId="0F1F9CE8" w14:textId="65486D7A" w:rsidR="00CC163D" w:rsidRPr="00186777" w:rsidRDefault="00CC163D" w:rsidP="00CC163D">
      <w:pPr>
        <w:pStyle w:val="SingleTxt"/>
        <w:spacing w:after="0" w:line="120" w:lineRule="exact"/>
        <w:rPr>
          <w:sz w:val="10"/>
          <w:lang w:val="es-ES_tradnl"/>
        </w:rPr>
      </w:pPr>
    </w:p>
    <w:p w14:paraId="269CC25B" w14:textId="1976B90E" w:rsidR="00CC163D" w:rsidRPr="00186777" w:rsidRDefault="00CC163D" w:rsidP="00CC163D">
      <w:pPr>
        <w:pStyle w:val="SingleTxt"/>
        <w:spacing w:after="0" w:line="120" w:lineRule="exact"/>
        <w:rPr>
          <w:sz w:val="10"/>
          <w:lang w:val="es-ES_tradnl"/>
        </w:rPr>
      </w:pPr>
    </w:p>
    <w:p w14:paraId="29DD8B41" w14:textId="65CAAA5A" w:rsidR="00AA6F33" w:rsidRPr="00186777" w:rsidRDefault="00AA6F33" w:rsidP="00113F7A">
      <w:pPr>
        <w:pStyle w:val="SingleTxt"/>
        <w:numPr>
          <w:ilvl w:val="0"/>
          <w:numId w:val="10"/>
        </w:numPr>
        <w:ind w:left="1267"/>
        <w:rPr>
          <w:lang w:val="es-ES_tradnl"/>
        </w:rPr>
      </w:pPr>
      <w:r w:rsidRPr="00186777">
        <w:rPr>
          <w:lang w:val="es-ES_tradnl"/>
        </w:rPr>
        <w:t>El Comité examinó los informes de ocho Estados partes presentados con arreglo al artículo 18 de la Convención y aprobó las siguientes observaciones finales al respecto:</w:t>
      </w:r>
    </w:p>
    <w:p w14:paraId="22614F97" w14:textId="08CA48B4" w:rsidR="00C45E41" w:rsidRPr="00186777" w:rsidRDefault="00C45E41" w:rsidP="00CC163D">
      <w:pPr>
        <w:pStyle w:val="SingleTxt"/>
        <w:spacing w:after="0" w:line="120" w:lineRule="exact"/>
        <w:rPr>
          <w:b/>
          <w:sz w:val="10"/>
          <w:lang w:val="es-ES_tradnl"/>
        </w:rPr>
      </w:pPr>
    </w:p>
    <w:p w14:paraId="5353DFCE" w14:textId="45D4EAF5" w:rsidR="00CC163D" w:rsidRPr="00186777" w:rsidRDefault="00CC163D" w:rsidP="00CC163D">
      <w:pPr>
        <w:pStyle w:val="SingleTxt"/>
        <w:spacing w:after="0" w:line="120" w:lineRule="exact"/>
        <w:rPr>
          <w:b/>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344C35" w:rsidRPr="00186777" w14:paraId="73C81EF4" w14:textId="77777777" w:rsidTr="00CC163D">
        <w:tc>
          <w:tcPr>
            <w:tcW w:w="3660" w:type="dxa"/>
            <w:shd w:val="clear" w:color="auto" w:fill="auto"/>
          </w:tcPr>
          <w:p w14:paraId="6B349CE7" w14:textId="77777777"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lang w:val="es-ES_tradnl"/>
              </w:rPr>
            </w:pPr>
            <w:r w:rsidRPr="00186777">
              <w:rPr>
                <w:lang w:val="es-ES_tradnl"/>
              </w:rPr>
              <w:tab/>
              <w:t>Arabia Saudita</w:t>
            </w:r>
          </w:p>
        </w:tc>
        <w:tc>
          <w:tcPr>
            <w:tcW w:w="3660" w:type="dxa"/>
            <w:shd w:val="clear" w:color="auto" w:fill="auto"/>
          </w:tcPr>
          <w:p w14:paraId="5C7446AC" w14:textId="15D7B766"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lang w:val="es-ES_tradnl"/>
              </w:rPr>
            </w:pPr>
            <w:r w:rsidRPr="00186777">
              <w:rPr>
                <w:lang w:val="es-ES_tradnl"/>
              </w:rPr>
              <w:t>(</w:t>
            </w:r>
            <w:hyperlink r:id="rId108" w:history="1">
              <w:r w:rsidRPr="00186777">
                <w:rPr>
                  <w:rStyle w:val="Hyperlink"/>
                  <w:lang w:val="es-ES_tradnl"/>
                </w:rPr>
                <w:t>CEDAW/C/SAU/CO/3-4</w:t>
              </w:r>
            </w:hyperlink>
            <w:r w:rsidRPr="00186777">
              <w:rPr>
                <w:lang w:val="es-ES_tradnl"/>
              </w:rPr>
              <w:t>)</w:t>
            </w:r>
          </w:p>
        </w:tc>
      </w:tr>
      <w:tr w:rsidR="00344C35" w:rsidRPr="00186777" w14:paraId="72DCE83C" w14:textId="77777777" w:rsidTr="00CC163D">
        <w:tc>
          <w:tcPr>
            <w:tcW w:w="3660" w:type="dxa"/>
            <w:shd w:val="clear" w:color="auto" w:fill="auto"/>
          </w:tcPr>
          <w:p w14:paraId="5F587B1D" w14:textId="77777777"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lang w:val="es-ES_tradnl"/>
              </w:rPr>
            </w:pPr>
            <w:r w:rsidRPr="00186777">
              <w:rPr>
                <w:lang w:val="es-ES_tradnl"/>
              </w:rPr>
              <w:tab/>
              <w:t>Chile</w:t>
            </w:r>
          </w:p>
        </w:tc>
        <w:tc>
          <w:tcPr>
            <w:tcW w:w="3660" w:type="dxa"/>
            <w:shd w:val="clear" w:color="auto" w:fill="auto"/>
          </w:tcPr>
          <w:p w14:paraId="6077E6C4" w14:textId="0FA37164"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lang w:val="es-ES_tradnl"/>
              </w:rPr>
            </w:pPr>
            <w:r w:rsidRPr="00186777">
              <w:rPr>
                <w:lang w:val="es-ES_tradnl"/>
              </w:rPr>
              <w:t>(</w:t>
            </w:r>
            <w:hyperlink r:id="rId109" w:history="1">
              <w:r w:rsidRPr="00186777">
                <w:rPr>
                  <w:rStyle w:val="Hyperlink"/>
                  <w:lang w:val="es-ES_tradnl"/>
                </w:rPr>
                <w:t>CEDAW/C/CHL/CO/7</w:t>
              </w:r>
            </w:hyperlink>
            <w:r w:rsidRPr="00186777">
              <w:rPr>
                <w:lang w:val="es-ES_tradnl"/>
              </w:rPr>
              <w:t>)</w:t>
            </w:r>
          </w:p>
        </w:tc>
      </w:tr>
      <w:tr w:rsidR="00344C35" w:rsidRPr="00186777" w14:paraId="57206083" w14:textId="77777777" w:rsidTr="00CC163D">
        <w:tc>
          <w:tcPr>
            <w:tcW w:w="3660" w:type="dxa"/>
            <w:shd w:val="clear" w:color="auto" w:fill="auto"/>
          </w:tcPr>
          <w:p w14:paraId="1FC62961" w14:textId="77777777"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lang w:val="es-ES_tradnl"/>
              </w:rPr>
            </w:pPr>
            <w:r w:rsidRPr="00186777">
              <w:rPr>
                <w:lang w:val="es-ES_tradnl"/>
              </w:rPr>
              <w:tab/>
              <w:t>Fiji</w:t>
            </w:r>
          </w:p>
        </w:tc>
        <w:tc>
          <w:tcPr>
            <w:tcW w:w="3660" w:type="dxa"/>
            <w:shd w:val="clear" w:color="auto" w:fill="auto"/>
          </w:tcPr>
          <w:p w14:paraId="102E3127" w14:textId="0C41B8B0"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lang w:val="es-ES_tradnl"/>
              </w:rPr>
            </w:pPr>
            <w:r w:rsidRPr="00186777">
              <w:rPr>
                <w:lang w:val="es-ES_tradnl"/>
              </w:rPr>
              <w:t>(</w:t>
            </w:r>
            <w:hyperlink r:id="rId110" w:history="1">
              <w:r w:rsidRPr="00186777">
                <w:rPr>
                  <w:rStyle w:val="Hyperlink"/>
                  <w:lang w:val="es-ES_tradnl"/>
                </w:rPr>
                <w:t>CEDAW/C/FJI/CO/5</w:t>
              </w:r>
            </w:hyperlink>
            <w:r w:rsidRPr="00186777">
              <w:rPr>
                <w:lang w:val="es-ES_tradnl"/>
              </w:rPr>
              <w:t>)</w:t>
            </w:r>
          </w:p>
        </w:tc>
      </w:tr>
      <w:tr w:rsidR="00344C35" w:rsidRPr="00186777" w14:paraId="755BC41C" w14:textId="77777777" w:rsidTr="00CC163D">
        <w:tc>
          <w:tcPr>
            <w:tcW w:w="3660" w:type="dxa"/>
            <w:shd w:val="clear" w:color="auto" w:fill="auto"/>
          </w:tcPr>
          <w:p w14:paraId="1023560A" w14:textId="77777777"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lang w:val="es-ES_tradnl"/>
              </w:rPr>
            </w:pPr>
            <w:r w:rsidRPr="00186777">
              <w:rPr>
                <w:lang w:val="es-ES_tradnl"/>
              </w:rPr>
              <w:tab/>
              <w:t>Islas Marshall</w:t>
            </w:r>
          </w:p>
        </w:tc>
        <w:tc>
          <w:tcPr>
            <w:tcW w:w="3660" w:type="dxa"/>
            <w:shd w:val="clear" w:color="auto" w:fill="auto"/>
          </w:tcPr>
          <w:p w14:paraId="36A865F2" w14:textId="5056E39F"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lang w:val="es-ES_tradnl"/>
              </w:rPr>
            </w:pPr>
            <w:r w:rsidRPr="00186777">
              <w:rPr>
                <w:lang w:val="es-ES_tradnl"/>
              </w:rPr>
              <w:t>(</w:t>
            </w:r>
            <w:hyperlink r:id="rId111" w:history="1">
              <w:r w:rsidRPr="00186777">
                <w:rPr>
                  <w:rStyle w:val="Hyperlink"/>
                  <w:lang w:val="es-ES_tradnl"/>
                </w:rPr>
                <w:t>CEDAW/C/MHL/CO/1-3</w:t>
              </w:r>
            </w:hyperlink>
            <w:r w:rsidRPr="00186777">
              <w:rPr>
                <w:lang w:val="es-ES_tradnl"/>
              </w:rPr>
              <w:t>)</w:t>
            </w:r>
          </w:p>
        </w:tc>
      </w:tr>
      <w:tr w:rsidR="00344C35" w:rsidRPr="00186777" w14:paraId="7B3D9093" w14:textId="77777777" w:rsidTr="00CC163D">
        <w:tc>
          <w:tcPr>
            <w:tcW w:w="3660" w:type="dxa"/>
            <w:shd w:val="clear" w:color="auto" w:fill="auto"/>
          </w:tcPr>
          <w:p w14:paraId="5C7F6626" w14:textId="77777777"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lang w:val="es-ES_tradnl"/>
              </w:rPr>
            </w:pPr>
            <w:r w:rsidRPr="00186777">
              <w:rPr>
                <w:lang w:val="es-ES_tradnl"/>
              </w:rPr>
              <w:tab/>
              <w:t>Luxemburgo</w:t>
            </w:r>
          </w:p>
        </w:tc>
        <w:tc>
          <w:tcPr>
            <w:tcW w:w="3660" w:type="dxa"/>
            <w:shd w:val="clear" w:color="auto" w:fill="auto"/>
          </w:tcPr>
          <w:p w14:paraId="1E7EA2F0" w14:textId="306720A1"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lang w:val="es-ES_tradnl"/>
              </w:rPr>
            </w:pPr>
            <w:r w:rsidRPr="00186777">
              <w:rPr>
                <w:lang w:val="es-ES_tradnl"/>
              </w:rPr>
              <w:t>(</w:t>
            </w:r>
            <w:hyperlink r:id="rId112" w:history="1">
              <w:r w:rsidRPr="00186777">
                <w:rPr>
                  <w:rStyle w:val="Hyperlink"/>
                  <w:lang w:val="es-ES_tradnl"/>
                </w:rPr>
                <w:t>CEDAW/C/LUX/CO/6-7</w:t>
              </w:r>
            </w:hyperlink>
            <w:r w:rsidRPr="00186777">
              <w:rPr>
                <w:lang w:val="es-ES_tradnl"/>
              </w:rPr>
              <w:t>)</w:t>
            </w:r>
          </w:p>
        </w:tc>
      </w:tr>
      <w:tr w:rsidR="00344C35" w:rsidRPr="00186777" w14:paraId="2A8C5308" w14:textId="77777777" w:rsidTr="00CC163D">
        <w:tc>
          <w:tcPr>
            <w:tcW w:w="3660" w:type="dxa"/>
            <w:shd w:val="clear" w:color="auto" w:fill="auto"/>
          </w:tcPr>
          <w:p w14:paraId="03E04ADF" w14:textId="77777777"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lang w:val="es-ES_tradnl"/>
              </w:rPr>
            </w:pPr>
            <w:r w:rsidRPr="00186777">
              <w:rPr>
                <w:lang w:val="es-ES_tradnl"/>
              </w:rPr>
              <w:tab/>
              <w:t>Malasia</w:t>
            </w:r>
          </w:p>
        </w:tc>
        <w:tc>
          <w:tcPr>
            <w:tcW w:w="3660" w:type="dxa"/>
            <w:shd w:val="clear" w:color="auto" w:fill="auto"/>
          </w:tcPr>
          <w:p w14:paraId="4EA4FD0A" w14:textId="7F5BA078"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lang w:val="es-ES_tradnl"/>
              </w:rPr>
            </w:pPr>
            <w:r w:rsidRPr="00186777">
              <w:rPr>
                <w:lang w:val="es-ES_tradnl"/>
              </w:rPr>
              <w:t>(</w:t>
            </w:r>
            <w:hyperlink r:id="rId113" w:history="1">
              <w:r w:rsidRPr="00186777">
                <w:rPr>
                  <w:rStyle w:val="Hyperlink"/>
                  <w:lang w:val="es-ES_tradnl"/>
                </w:rPr>
                <w:t>CEDAW/C/MAL/CO/3-5</w:t>
              </w:r>
            </w:hyperlink>
            <w:r w:rsidRPr="00186777">
              <w:rPr>
                <w:lang w:val="es-ES_tradnl"/>
              </w:rPr>
              <w:t>)</w:t>
            </w:r>
          </w:p>
        </w:tc>
      </w:tr>
      <w:tr w:rsidR="00344C35" w:rsidRPr="00186777" w14:paraId="0D754CC7" w14:textId="77777777" w:rsidTr="00CC163D">
        <w:tc>
          <w:tcPr>
            <w:tcW w:w="3660" w:type="dxa"/>
            <w:shd w:val="clear" w:color="auto" w:fill="auto"/>
          </w:tcPr>
          <w:p w14:paraId="645A310C" w14:textId="77777777"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lang w:val="es-ES_tradnl"/>
              </w:rPr>
            </w:pPr>
            <w:r w:rsidRPr="00186777">
              <w:rPr>
                <w:lang w:val="es-ES_tradnl"/>
              </w:rPr>
              <w:tab/>
              <w:t>República de Corea</w:t>
            </w:r>
          </w:p>
        </w:tc>
        <w:tc>
          <w:tcPr>
            <w:tcW w:w="3660" w:type="dxa"/>
            <w:shd w:val="clear" w:color="auto" w:fill="auto"/>
          </w:tcPr>
          <w:p w14:paraId="73187CB6" w14:textId="79280F94"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lang w:val="es-ES_tradnl"/>
              </w:rPr>
            </w:pPr>
            <w:r w:rsidRPr="00186777">
              <w:rPr>
                <w:lang w:val="es-ES_tradnl"/>
              </w:rPr>
              <w:t>(</w:t>
            </w:r>
            <w:hyperlink r:id="rId114" w:history="1">
              <w:r w:rsidRPr="00186777">
                <w:rPr>
                  <w:rStyle w:val="Hyperlink"/>
                  <w:lang w:val="es-ES_tradnl"/>
                </w:rPr>
                <w:t>CEDAW/C/KOR/CO/8</w:t>
              </w:r>
            </w:hyperlink>
            <w:r w:rsidRPr="00186777">
              <w:rPr>
                <w:lang w:val="es-ES_tradnl"/>
              </w:rPr>
              <w:t>)</w:t>
            </w:r>
          </w:p>
        </w:tc>
      </w:tr>
      <w:tr w:rsidR="00344C35" w:rsidRPr="00186777" w14:paraId="6D952216" w14:textId="77777777" w:rsidTr="00CC163D">
        <w:tc>
          <w:tcPr>
            <w:tcW w:w="3660" w:type="dxa"/>
            <w:shd w:val="clear" w:color="auto" w:fill="auto"/>
          </w:tcPr>
          <w:p w14:paraId="680F2F1B" w14:textId="77777777"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lang w:val="es-ES_tradnl"/>
              </w:rPr>
            </w:pPr>
            <w:r w:rsidRPr="00186777">
              <w:rPr>
                <w:lang w:val="es-ES_tradnl"/>
              </w:rPr>
              <w:tab/>
              <w:t>Suriname</w:t>
            </w:r>
          </w:p>
        </w:tc>
        <w:tc>
          <w:tcPr>
            <w:tcW w:w="3660" w:type="dxa"/>
            <w:shd w:val="clear" w:color="auto" w:fill="auto"/>
          </w:tcPr>
          <w:p w14:paraId="298EFD38" w14:textId="10EAA7DD" w:rsidR="00344C35" w:rsidRPr="00186777" w:rsidRDefault="00344C35"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144" w:right="43"/>
              <w:jc w:val="left"/>
              <w:rPr>
                <w:lang w:val="es-ES_tradnl"/>
              </w:rPr>
            </w:pPr>
            <w:r w:rsidRPr="00186777">
              <w:rPr>
                <w:lang w:val="es-ES_tradnl"/>
              </w:rPr>
              <w:t>(</w:t>
            </w:r>
            <w:hyperlink r:id="rId115" w:history="1">
              <w:r w:rsidRPr="00186777">
                <w:rPr>
                  <w:rStyle w:val="Hyperlink"/>
                  <w:lang w:val="es-ES_tradnl"/>
                </w:rPr>
                <w:t>CEDAW/C/SUR/CO/4-6</w:t>
              </w:r>
            </w:hyperlink>
            <w:r w:rsidRPr="00186777">
              <w:rPr>
                <w:lang w:val="es-ES_tradnl"/>
              </w:rPr>
              <w:t>)</w:t>
            </w:r>
          </w:p>
        </w:tc>
      </w:tr>
    </w:tbl>
    <w:p w14:paraId="14469133" w14:textId="0CFD70FC" w:rsidR="00CC163D" w:rsidRPr="00186777" w:rsidRDefault="00CC163D" w:rsidP="00CC163D">
      <w:pPr>
        <w:pStyle w:val="SingleTxt"/>
        <w:spacing w:after="0" w:line="120" w:lineRule="exact"/>
        <w:rPr>
          <w:b/>
          <w:sz w:val="10"/>
          <w:lang w:val="es-ES_tradnl"/>
        </w:rPr>
      </w:pPr>
    </w:p>
    <w:p w14:paraId="71E427D8" w14:textId="2DB2D01A" w:rsidR="00CC163D" w:rsidRPr="00186777" w:rsidRDefault="00CC163D" w:rsidP="00CC163D">
      <w:pPr>
        <w:pStyle w:val="SingleTxt"/>
        <w:spacing w:after="0" w:line="120" w:lineRule="exact"/>
        <w:rPr>
          <w:b/>
          <w:sz w:val="10"/>
          <w:lang w:val="es-ES_tradnl"/>
        </w:rPr>
      </w:pPr>
    </w:p>
    <w:p w14:paraId="15BBCA21" w14:textId="378948B3" w:rsidR="00AA6F33" w:rsidRPr="00186777" w:rsidRDefault="00AA6F33" w:rsidP="00CC16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Seguimiento de las observaciones finales</w:t>
      </w:r>
    </w:p>
    <w:p w14:paraId="28B6CB6D" w14:textId="08477BB5" w:rsidR="00CC163D" w:rsidRPr="00186777" w:rsidRDefault="00CC163D" w:rsidP="00CC163D">
      <w:pPr>
        <w:pStyle w:val="SingleTxt"/>
        <w:spacing w:after="0" w:line="120" w:lineRule="exact"/>
        <w:rPr>
          <w:sz w:val="10"/>
          <w:lang w:val="es-ES_tradnl"/>
        </w:rPr>
      </w:pPr>
    </w:p>
    <w:p w14:paraId="604620B7" w14:textId="436E38B6" w:rsidR="00AA6F33" w:rsidRPr="00186777" w:rsidRDefault="00AA6F33" w:rsidP="00113F7A">
      <w:pPr>
        <w:pStyle w:val="SingleTxt"/>
        <w:numPr>
          <w:ilvl w:val="0"/>
          <w:numId w:val="10"/>
        </w:numPr>
        <w:ind w:left="1267"/>
        <w:rPr>
          <w:lang w:val="es-ES_tradnl"/>
        </w:rPr>
      </w:pPr>
      <w:r w:rsidRPr="00186777">
        <w:rPr>
          <w:lang w:val="es-ES_tradnl"/>
        </w:rPr>
        <w:t>El Comité examinó los informes de seguimiento recibidos de los siguientes Estados partes:</w:t>
      </w:r>
    </w:p>
    <w:p w14:paraId="6D1C92B1" w14:textId="47885B18" w:rsidR="00AA6F33" w:rsidRPr="00186777" w:rsidRDefault="00AA6F33" w:rsidP="00CC163D">
      <w:pPr>
        <w:pStyle w:val="SingleTxt"/>
        <w:spacing w:after="0" w:line="120" w:lineRule="exact"/>
        <w:rPr>
          <w:sz w:val="10"/>
          <w:lang w:val="es-ES_tradnl"/>
        </w:rPr>
      </w:pPr>
    </w:p>
    <w:p w14:paraId="551B8A2C" w14:textId="09B8692B" w:rsidR="00CC163D" w:rsidRPr="00186777" w:rsidRDefault="00CC163D" w:rsidP="00CC163D">
      <w:pPr>
        <w:pStyle w:val="SingleTxt"/>
        <w:spacing w:after="0" w:line="120" w:lineRule="exact"/>
        <w:rPr>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CC163D" w:rsidRPr="00054806" w14:paraId="68A34D96" w14:textId="77777777" w:rsidTr="00CC163D">
        <w:tc>
          <w:tcPr>
            <w:tcW w:w="3660" w:type="dxa"/>
            <w:shd w:val="clear" w:color="auto" w:fill="auto"/>
          </w:tcPr>
          <w:p w14:paraId="757911A7" w14:textId="1F4475C6" w:rsidR="00CC163D" w:rsidRPr="00186777"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0" w:right="43"/>
              <w:rPr>
                <w:iCs/>
                <w:lang w:val="es-ES_tradnl"/>
              </w:rPr>
            </w:pPr>
            <w:r w:rsidRPr="00186777">
              <w:rPr>
                <w:iCs/>
                <w:lang w:val="es-ES_tradnl"/>
              </w:rPr>
              <w:tab/>
              <w:t>Bolivia</w:t>
            </w:r>
            <w:r w:rsidR="00344C35">
              <w:rPr>
                <w:iCs/>
                <w:lang w:val="es-ES_tradnl"/>
              </w:rPr>
              <w:t xml:space="preserve"> (</w:t>
            </w:r>
            <w:r w:rsidR="00344C35" w:rsidRPr="00186777">
              <w:rPr>
                <w:iCs/>
                <w:lang w:val="es-ES_tradnl"/>
              </w:rPr>
              <w:t>Estado Plurinacional de</w:t>
            </w:r>
            <w:r w:rsidR="00344C35">
              <w:rPr>
                <w:iCs/>
                <w:lang w:val="es-ES_tradnl"/>
              </w:rPr>
              <w:t>)</w:t>
            </w:r>
          </w:p>
        </w:tc>
        <w:tc>
          <w:tcPr>
            <w:tcW w:w="3660" w:type="dxa"/>
            <w:shd w:val="clear" w:color="auto" w:fill="auto"/>
          </w:tcPr>
          <w:p w14:paraId="40A72E2D" w14:textId="15368FF2" w:rsidR="00CC163D" w:rsidRPr="00794DB5"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left"/>
              <w:rPr>
                <w:iCs/>
                <w:lang w:val="en-US"/>
              </w:rPr>
            </w:pPr>
            <w:r w:rsidRPr="00794DB5">
              <w:rPr>
                <w:iCs/>
                <w:lang w:val="en-US"/>
              </w:rPr>
              <w:t>(</w:t>
            </w:r>
            <w:hyperlink r:id="rId116" w:history="1">
              <w:r w:rsidRPr="00794DB5">
                <w:rPr>
                  <w:rStyle w:val="Hyperlink"/>
                  <w:iCs/>
                  <w:lang w:val="en-US"/>
                </w:rPr>
                <w:t>CEDAW/C/BOL/CO/5-6/Add.1</w:t>
              </w:r>
            </w:hyperlink>
            <w:r w:rsidRPr="00794DB5">
              <w:rPr>
                <w:iCs/>
                <w:lang w:val="en-US"/>
              </w:rPr>
              <w:t>)</w:t>
            </w:r>
          </w:p>
        </w:tc>
      </w:tr>
      <w:tr w:rsidR="00CC163D" w:rsidRPr="00054806" w14:paraId="0DA0C0EB" w14:textId="77777777" w:rsidTr="00CC163D">
        <w:tc>
          <w:tcPr>
            <w:tcW w:w="3660" w:type="dxa"/>
            <w:shd w:val="clear" w:color="auto" w:fill="auto"/>
          </w:tcPr>
          <w:p w14:paraId="5BE45A24" w14:textId="60B9DB8A" w:rsidR="00CC163D" w:rsidRPr="00186777"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0" w:right="43"/>
              <w:rPr>
                <w:iCs/>
                <w:lang w:val="es-ES_tradnl"/>
              </w:rPr>
            </w:pPr>
            <w:r w:rsidRPr="00794DB5">
              <w:rPr>
                <w:iCs/>
                <w:lang w:val="en-US"/>
              </w:rPr>
              <w:tab/>
            </w:r>
            <w:r w:rsidRPr="00186777">
              <w:rPr>
                <w:iCs/>
                <w:lang w:val="es-ES_tradnl"/>
              </w:rPr>
              <w:t>Croacia</w:t>
            </w:r>
          </w:p>
        </w:tc>
        <w:tc>
          <w:tcPr>
            <w:tcW w:w="3660" w:type="dxa"/>
            <w:shd w:val="clear" w:color="auto" w:fill="auto"/>
          </w:tcPr>
          <w:p w14:paraId="6263116F" w14:textId="693CF567" w:rsidR="00CC163D" w:rsidRPr="00794DB5"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left"/>
              <w:rPr>
                <w:iCs/>
                <w:lang w:val="en-US"/>
              </w:rPr>
            </w:pPr>
            <w:r w:rsidRPr="00794DB5">
              <w:rPr>
                <w:iCs/>
                <w:lang w:val="en-US"/>
              </w:rPr>
              <w:t>(</w:t>
            </w:r>
            <w:hyperlink r:id="rId117" w:history="1">
              <w:r w:rsidRPr="00794DB5">
                <w:rPr>
                  <w:rStyle w:val="Hyperlink"/>
                  <w:iCs/>
                  <w:lang w:val="en-US"/>
                </w:rPr>
                <w:t>CEDAW/C/HRV/CO/4-5/Add.1</w:t>
              </w:r>
            </w:hyperlink>
            <w:r w:rsidRPr="00794DB5">
              <w:rPr>
                <w:iCs/>
                <w:lang w:val="en-US"/>
              </w:rPr>
              <w:t>)</w:t>
            </w:r>
          </w:p>
        </w:tc>
      </w:tr>
      <w:tr w:rsidR="00CC163D" w:rsidRPr="00054806" w14:paraId="54123EB7" w14:textId="77777777" w:rsidTr="00CC163D">
        <w:tc>
          <w:tcPr>
            <w:tcW w:w="3660" w:type="dxa"/>
            <w:shd w:val="clear" w:color="auto" w:fill="auto"/>
          </w:tcPr>
          <w:p w14:paraId="43FEBFB3" w14:textId="682FB4CA" w:rsidR="00CC163D" w:rsidRPr="00186777"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0" w:right="43"/>
              <w:rPr>
                <w:iCs/>
                <w:lang w:val="es-ES_tradnl"/>
              </w:rPr>
            </w:pPr>
            <w:r w:rsidRPr="00794DB5">
              <w:rPr>
                <w:iCs/>
                <w:lang w:val="en-US"/>
              </w:rPr>
              <w:tab/>
            </w:r>
            <w:r w:rsidRPr="00186777">
              <w:rPr>
                <w:iCs/>
                <w:lang w:val="es-ES_tradnl"/>
              </w:rPr>
              <w:t>Maldivas</w:t>
            </w:r>
          </w:p>
        </w:tc>
        <w:tc>
          <w:tcPr>
            <w:tcW w:w="3660" w:type="dxa"/>
            <w:shd w:val="clear" w:color="auto" w:fill="auto"/>
          </w:tcPr>
          <w:p w14:paraId="1F0D1603" w14:textId="629F5CFD" w:rsidR="00CC163D" w:rsidRPr="00794DB5"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left"/>
              <w:rPr>
                <w:iCs/>
                <w:lang w:val="en-US"/>
              </w:rPr>
            </w:pPr>
            <w:r w:rsidRPr="00794DB5">
              <w:rPr>
                <w:iCs/>
                <w:lang w:val="en-US"/>
              </w:rPr>
              <w:t>(</w:t>
            </w:r>
            <w:hyperlink r:id="rId118" w:history="1">
              <w:r w:rsidRPr="00794DB5">
                <w:rPr>
                  <w:rStyle w:val="Hyperlink"/>
                  <w:iCs/>
                  <w:lang w:val="en-US"/>
                </w:rPr>
                <w:t>CEDAW/C/MDV/CO/4-5/Add.1</w:t>
              </w:r>
            </w:hyperlink>
            <w:r w:rsidRPr="00794DB5">
              <w:rPr>
                <w:iCs/>
                <w:lang w:val="en-US"/>
              </w:rPr>
              <w:t>)</w:t>
            </w:r>
          </w:p>
        </w:tc>
      </w:tr>
      <w:tr w:rsidR="00344C35" w:rsidRPr="00054806" w14:paraId="420DB7A1" w14:textId="77777777" w:rsidTr="006C7FE2">
        <w:tc>
          <w:tcPr>
            <w:tcW w:w="3660" w:type="dxa"/>
            <w:shd w:val="clear" w:color="auto" w:fill="auto"/>
          </w:tcPr>
          <w:p w14:paraId="5341545F" w14:textId="77777777" w:rsidR="00344C35" w:rsidRPr="00186777" w:rsidRDefault="00344C35" w:rsidP="006C7F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0" w:right="43"/>
              <w:rPr>
                <w:iCs/>
                <w:lang w:val="es-ES_tradnl"/>
              </w:rPr>
            </w:pPr>
            <w:r w:rsidRPr="00794DB5">
              <w:rPr>
                <w:iCs/>
                <w:lang w:val="en-US"/>
              </w:rPr>
              <w:tab/>
            </w:r>
            <w:r w:rsidRPr="00186777">
              <w:rPr>
                <w:iCs/>
                <w:lang w:val="es-ES_tradnl"/>
              </w:rPr>
              <w:t>Mauritania</w:t>
            </w:r>
          </w:p>
        </w:tc>
        <w:tc>
          <w:tcPr>
            <w:tcW w:w="3660" w:type="dxa"/>
            <w:shd w:val="clear" w:color="auto" w:fill="auto"/>
          </w:tcPr>
          <w:p w14:paraId="0C4EB1F5" w14:textId="16BF3752" w:rsidR="00344C35" w:rsidRPr="00794DB5" w:rsidRDefault="00344C35" w:rsidP="006C7F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left"/>
              <w:rPr>
                <w:iCs/>
                <w:lang w:val="en-US"/>
              </w:rPr>
            </w:pPr>
            <w:r w:rsidRPr="00794DB5">
              <w:rPr>
                <w:iCs/>
                <w:lang w:val="en-US"/>
              </w:rPr>
              <w:t>(</w:t>
            </w:r>
            <w:hyperlink r:id="rId119" w:history="1">
              <w:r w:rsidRPr="00794DB5">
                <w:rPr>
                  <w:rStyle w:val="Hyperlink"/>
                  <w:iCs/>
                  <w:lang w:val="en-US"/>
                </w:rPr>
                <w:t>CEDAW/C/MRT/CO/2-3/Add.1</w:t>
              </w:r>
            </w:hyperlink>
            <w:r w:rsidRPr="00794DB5">
              <w:rPr>
                <w:iCs/>
                <w:lang w:val="en-US"/>
              </w:rPr>
              <w:t>)</w:t>
            </w:r>
          </w:p>
        </w:tc>
      </w:tr>
      <w:tr w:rsidR="00CC163D" w:rsidRPr="00054806" w14:paraId="15A59133" w14:textId="77777777" w:rsidTr="00CC163D">
        <w:tc>
          <w:tcPr>
            <w:tcW w:w="3660" w:type="dxa"/>
            <w:shd w:val="clear" w:color="auto" w:fill="auto"/>
          </w:tcPr>
          <w:p w14:paraId="5AFCD336" w14:textId="77777777" w:rsidR="00CC163D" w:rsidRPr="00186777"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0" w:right="43"/>
              <w:rPr>
                <w:iCs/>
                <w:lang w:val="es-ES_tradnl"/>
              </w:rPr>
            </w:pPr>
            <w:r w:rsidRPr="00794DB5">
              <w:rPr>
                <w:iCs/>
                <w:lang w:val="en-US"/>
              </w:rPr>
              <w:tab/>
            </w:r>
            <w:r w:rsidRPr="00186777">
              <w:rPr>
                <w:iCs/>
                <w:lang w:val="es-ES_tradnl"/>
              </w:rPr>
              <w:t>Namibia</w:t>
            </w:r>
          </w:p>
        </w:tc>
        <w:tc>
          <w:tcPr>
            <w:tcW w:w="3660" w:type="dxa"/>
            <w:shd w:val="clear" w:color="auto" w:fill="auto"/>
          </w:tcPr>
          <w:p w14:paraId="303FAB90" w14:textId="0E305422" w:rsidR="00CC163D" w:rsidRPr="00794DB5"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left"/>
              <w:rPr>
                <w:iCs/>
                <w:lang w:val="en-US"/>
              </w:rPr>
            </w:pPr>
            <w:bookmarkStart w:id="14" w:name="_Hlk511233670"/>
            <w:r w:rsidRPr="00794DB5">
              <w:rPr>
                <w:iCs/>
                <w:lang w:val="en-US"/>
              </w:rPr>
              <w:t>(</w:t>
            </w:r>
            <w:hyperlink r:id="rId120" w:history="1">
              <w:r w:rsidRPr="00794DB5">
                <w:rPr>
                  <w:rStyle w:val="Hyperlink"/>
                  <w:lang w:val="en-US"/>
                </w:rPr>
                <w:t>CEDAW/C/NAM/CO/4-5/Add.1</w:t>
              </w:r>
            </w:hyperlink>
            <w:r w:rsidRPr="00794DB5">
              <w:rPr>
                <w:iCs/>
                <w:lang w:val="en-US"/>
              </w:rPr>
              <w:t>)</w:t>
            </w:r>
            <w:bookmarkEnd w:id="14"/>
          </w:p>
        </w:tc>
      </w:tr>
      <w:tr w:rsidR="00CC163D" w:rsidRPr="00054806" w14:paraId="75ED604F" w14:textId="77777777" w:rsidTr="00CC163D">
        <w:tc>
          <w:tcPr>
            <w:tcW w:w="3660" w:type="dxa"/>
            <w:shd w:val="clear" w:color="auto" w:fill="auto"/>
          </w:tcPr>
          <w:p w14:paraId="0BC01BDC" w14:textId="475D8B6D" w:rsidR="00CC163D" w:rsidRPr="00186777"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0" w:right="43"/>
              <w:rPr>
                <w:iCs/>
                <w:lang w:val="es-ES_tradnl"/>
              </w:rPr>
            </w:pPr>
            <w:r w:rsidRPr="00794DB5">
              <w:rPr>
                <w:iCs/>
                <w:lang w:val="en-US"/>
              </w:rPr>
              <w:tab/>
            </w:r>
            <w:r w:rsidRPr="00186777">
              <w:rPr>
                <w:iCs/>
                <w:lang w:val="es-ES_tradnl"/>
              </w:rPr>
              <w:t>Polonia</w:t>
            </w:r>
          </w:p>
        </w:tc>
        <w:tc>
          <w:tcPr>
            <w:tcW w:w="3660" w:type="dxa"/>
            <w:shd w:val="clear" w:color="auto" w:fill="auto"/>
          </w:tcPr>
          <w:p w14:paraId="63F98197" w14:textId="6447164C" w:rsidR="00CC163D" w:rsidRPr="00794DB5"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left"/>
              <w:rPr>
                <w:iCs/>
                <w:lang w:val="en-US"/>
              </w:rPr>
            </w:pPr>
            <w:r w:rsidRPr="00794DB5">
              <w:rPr>
                <w:iCs/>
                <w:lang w:val="en-US"/>
              </w:rPr>
              <w:t>(</w:t>
            </w:r>
            <w:hyperlink r:id="rId121" w:history="1">
              <w:r w:rsidRPr="00794DB5">
                <w:rPr>
                  <w:rStyle w:val="Hyperlink"/>
                  <w:iCs/>
                  <w:lang w:val="en-US"/>
                </w:rPr>
                <w:t>CEDAW/C/POL/CO/7-8/Add.1</w:t>
              </w:r>
            </w:hyperlink>
            <w:r w:rsidRPr="00794DB5">
              <w:rPr>
                <w:iCs/>
                <w:lang w:val="en-US"/>
              </w:rPr>
              <w:t>)</w:t>
            </w:r>
          </w:p>
        </w:tc>
      </w:tr>
      <w:tr w:rsidR="00CC163D" w:rsidRPr="00054806" w14:paraId="2B53E944" w14:textId="77777777" w:rsidTr="00CC163D">
        <w:tc>
          <w:tcPr>
            <w:tcW w:w="3660" w:type="dxa"/>
            <w:shd w:val="clear" w:color="auto" w:fill="auto"/>
          </w:tcPr>
          <w:p w14:paraId="2E94AA77" w14:textId="77777777" w:rsidR="00CC163D" w:rsidRPr="00186777"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0" w:right="43"/>
              <w:rPr>
                <w:iCs/>
                <w:lang w:val="es-ES_tradnl"/>
              </w:rPr>
            </w:pPr>
            <w:r w:rsidRPr="00794DB5">
              <w:rPr>
                <w:iCs/>
                <w:lang w:val="en-US"/>
              </w:rPr>
              <w:tab/>
            </w:r>
            <w:r w:rsidRPr="00186777">
              <w:rPr>
                <w:iCs/>
                <w:lang w:val="es-ES_tradnl"/>
              </w:rPr>
              <w:t>Portugal</w:t>
            </w:r>
          </w:p>
        </w:tc>
        <w:tc>
          <w:tcPr>
            <w:tcW w:w="3660" w:type="dxa"/>
            <w:shd w:val="clear" w:color="auto" w:fill="auto"/>
          </w:tcPr>
          <w:p w14:paraId="185C6323" w14:textId="162F47AA" w:rsidR="00CC163D" w:rsidRPr="00794DB5"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44" w:right="43"/>
              <w:jc w:val="left"/>
              <w:rPr>
                <w:iCs/>
                <w:lang w:val="en-US"/>
              </w:rPr>
            </w:pPr>
            <w:r w:rsidRPr="00794DB5">
              <w:rPr>
                <w:iCs/>
                <w:lang w:val="en-US"/>
              </w:rPr>
              <w:t>(</w:t>
            </w:r>
            <w:hyperlink r:id="rId122" w:history="1">
              <w:r w:rsidRPr="00794DB5">
                <w:rPr>
                  <w:rStyle w:val="Hyperlink"/>
                  <w:iCs/>
                  <w:lang w:val="en-US"/>
                </w:rPr>
                <w:t>CEDAW/C/PRT/CO/8-9/Add.1</w:t>
              </w:r>
            </w:hyperlink>
            <w:r w:rsidRPr="00794DB5">
              <w:rPr>
                <w:iCs/>
                <w:lang w:val="en-US"/>
              </w:rPr>
              <w:t>)</w:t>
            </w:r>
          </w:p>
        </w:tc>
      </w:tr>
      <w:tr w:rsidR="00CC163D" w:rsidRPr="00054806" w14:paraId="3FAE61C3" w14:textId="77777777" w:rsidTr="00CC163D">
        <w:tc>
          <w:tcPr>
            <w:tcW w:w="3660" w:type="dxa"/>
            <w:shd w:val="clear" w:color="auto" w:fill="auto"/>
          </w:tcPr>
          <w:p w14:paraId="4D28AE58" w14:textId="01F776B3" w:rsidR="00CC163D" w:rsidRPr="00186777"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rPr>
                <w:iCs/>
                <w:lang w:val="es-ES_tradnl"/>
              </w:rPr>
            </w:pPr>
            <w:r w:rsidRPr="00794DB5">
              <w:rPr>
                <w:iCs/>
                <w:lang w:val="en-US"/>
              </w:rPr>
              <w:tab/>
            </w:r>
            <w:r w:rsidRPr="00186777">
              <w:rPr>
                <w:iCs/>
                <w:lang w:val="es-ES_tradnl"/>
              </w:rPr>
              <w:t>Uzbekistán</w:t>
            </w:r>
          </w:p>
        </w:tc>
        <w:tc>
          <w:tcPr>
            <w:tcW w:w="3660" w:type="dxa"/>
            <w:shd w:val="clear" w:color="auto" w:fill="auto"/>
          </w:tcPr>
          <w:p w14:paraId="2CB53B3D" w14:textId="2EDD075F" w:rsidR="00CC163D" w:rsidRPr="00794DB5" w:rsidRDefault="00CC163D" w:rsidP="00CC16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iCs/>
                <w:lang w:val="en-US"/>
              </w:rPr>
            </w:pPr>
            <w:r w:rsidRPr="00794DB5">
              <w:rPr>
                <w:iCs/>
                <w:lang w:val="en-US"/>
              </w:rPr>
              <w:t>(</w:t>
            </w:r>
            <w:hyperlink r:id="rId123" w:history="1">
              <w:r w:rsidRPr="00794DB5">
                <w:rPr>
                  <w:rStyle w:val="Hyperlink"/>
                  <w:iCs/>
                  <w:lang w:val="en-US"/>
                </w:rPr>
                <w:t>CEDAW/C/UZB/CO/5/Add.1</w:t>
              </w:r>
            </w:hyperlink>
            <w:r w:rsidRPr="00794DB5">
              <w:rPr>
                <w:iCs/>
                <w:lang w:val="en-US"/>
              </w:rPr>
              <w:t>)</w:t>
            </w:r>
          </w:p>
        </w:tc>
      </w:tr>
    </w:tbl>
    <w:p w14:paraId="02A745E8" w14:textId="6AFA0040" w:rsidR="00CC163D" w:rsidRPr="00794DB5" w:rsidRDefault="00CC163D" w:rsidP="00CC163D">
      <w:pPr>
        <w:pStyle w:val="SingleTxt"/>
        <w:spacing w:after="0" w:line="120" w:lineRule="exact"/>
        <w:rPr>
          <w:sz w:val="10"/>
          <w:lang w:val="en-US"/>
        </w:rPr>
      </w:pPr>
    </w:p>
    <w:p w14:paraId="13E88E50" w14:textId="0007134A" w:rsidR="00CC163D" w:rsidRPr="00794DB5" w:rsidRDefault="00CC163D" w:rsidP="00CC163D">
      <w:pPr>
        <w:pStyle w:val="SingleTxt"/>
        <w:spacing w:after="0" w:line="120" w:lineRule="exact"/>
        <w:rPr>
          <w:sz w:val="10"/>
          <w:lang w:val="en-US"/>
        </w:rPr>
      </w:pPr>
    </w:p>
    <w:p w14:paraId="7C34778C" w14:textId="72F4A6FF" w:rsidR="00AA6F33" w:rsidRPr="00186777" w:rsidRDefault="00AA6F33" w:rsidP="00113F7A">
      <w:pPr>
        <w:pStyle w:val="SingleTxt"/>
        <w:numPr>
          <w:ilvl w:val="0"/>
          <w:numId w:val="10"/>
        </w:numPr>
        <w:ind w:left="1267"/>
        <w:rPr>
          <w:lang w:val="es-ES_tradnl"/>
        </w:rPr>
      </w:pPr>
      <w:r w:rsidRPr="00186777">
        <w:rPr>
          <w:lang w:val="es-ES_tradnl"/>
        </w:rPr>
        <w:t>El Comité envió primeros recordatorios a los Emiratos Árabes Unidos, el Líbano, Liberia, Madagascar, Malawi y Timor-Leste, y segundos recordatorios a Gambia, San Vicente y las Granadinas y el Senegal, cuyos informes de seguimiento estaban atrasados.</w:t>
      </w:r>
    </w:p>
    <w:p w14:paraId="696C0A4E" w14:textId="77777777" w:rsidR="00CC163D" w:rsidRPr="00186777" w:rsidRDefault="00AA6F33" w:rsidP="00113F7A">
      <w:pPr>
        <w:pStyle w:val="SingleTxt"/>
        <w:numPr>
          <w:ilvl w:val="0"/>
          <w:numId w:val="10"/>
        </w:numPr>
        <w:ind w:left="1267"/>
        <w:rPr>
          <w:lang w:val="es-ES_tradnl"/>
        </w:rPr>
      </w:pPr>
      <w:r w:rsidRPr="00186777">
        <w:rPr>
          <w:lang w:val="es-ES_tradnl"/>
        </w:rPr>
        <w:t xml:space="preserve">La Relatora para el seguimiento de las observaciones finales se reunió con representantes de Azerbaiyán, el Gabón, Ghana, Guinea Ecuatorial y Uganda, que no habían presentado su informe de seguimiento en el plazo fijado. </w:t>
      </w:r>
    </w:p>
    <w:p w14:paraId="04919F2B" w14:textId="77777777" w:rsidR="00CC163D" w:rsidRPr="00186777" w:rsidRDefault="00CC163D" w:rsidP="00CC163D">
      <w:pPr>
        <w:pStyle w:val="SingleTxt"/>
        <w:rPr>
          <w:lang w:val="es-ES_tradnl"/>
        </w:rPr>
      </w:pPr>
    </w:p>
    <w:p w14:paraId="4688ADFB" w14:textId="635D8A59" w:rsidR="00CC163D" w:rsidRPr="00186777" w:rsidRDefault="00CC163D">
      <w:pPr>
        <w:suppressAutoHyphens w:val="0"/>
        <w:spacing w:after="200" w:line="276" w:lineRule="auto"/>
        <w:rPr>
          <w:kern w:val="14"/>
          <w:lang w:val="es-ES_tradnl"/>
        </w:rPr>
      </w:pPr>
      <w:r w:rsidRPr="00186777">
        <w:rPr>
          <w:lang w:val="es-ES_tradnl"/>
        </w:rPr>
        <w:br w:type="page"/>
      </w:r>
    </w:p>
    <w:p w14:paraId="03DB41C1" w14:textId="2BEF87D9" w:rsidR="00AA6F33" w:rsidRPr="00186777" w:rsidRDefault="00AA6F33" w:rsidP="00CC16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w:t>
      </w:r>
    </w:p>
    <w:p w14:paraId="0D764163" w14:textId="43D27A3E" w:rsidR="00AA6F33" w:rsidRPr="00186777" w:rsidRDefault="00AA6F33" w:rsidP="00CC16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Actividades llevadas a cabo en virtud del Protocolo Facultativo</w:t>
      </w:r>
    </w:p>
    <w:p w14:paraId="7CA87E4D" w14:textId="34C9432C" w:rsidR="00CC163D" w:rsidRPr="00186777" w:rsidRDefault="00CC163D" w:rsidP="00CC163D">
      <w:pPr>
        <w:pStyle w:val="SingleTxt"/>
        <w:spacing w:after="0" w:line="120" w:lineRule="exact"/>
        <w:rPr>
          <w:sz w:val="10"/>
          <w:lang w:val="es-ES_tradnl"/>
        </w:rPr>
      </w:pPr>
    </w:p>
    <w:p w14:paraId="2822B98A" w14:textId="41F90772" w:rsidR="00CC163D" w:rsidRPr="00186777" w:rsidRDefault="00CC163D" w:rsidP="00CC163D">
      <w:pPr>
        <w:pStyle w:val="SingleTxt"/>
        <w:spacing w:after="0" w:line="120" w:lineRule="exact"/>
        <w:rPr>
          <w:sz w:val="10"/>
          <w:lang w:val="es-ES_tradnl"/>
        </w:rPr>
      </w:pPr>
    </w:p>
    <w:p w14:paraId="0CB73641" w14:textId="65B76F07" w:rsidR="00AA6F33" w:rsidRPr="00186777" w:rsidRDefault="00AA6F33" w:rsidP="00113F7A">
      <w:pPr>
        <w:pStyle w:val="SingleTxt"/>
        <w:numPr>
          <w:ilvl w:val="0"/>
          <w:numId w:val="10"/>
        </w:numPr>
        <w:ind w:left="1267"/>
        <w:rPr>
          <w:lang w:val="es-ES_tradnl"/>
        </w:rPr>
      </w:pPr>
      <w:r w:rsidRPr="00186777">
        <w:rPr>
          <w:lang w:val="es-ES_tradnl"/>
        </w:rPr>
        <w:t xml:space="preserve">El artículo 12 del Protocolo Facultativo establece que el Comité incluirá en su informe anual un resumen de las actividades llevadas a cabo en virtud del Protocolo Facultativo. </w:t>
      </w:r>
    </w:p>
    <w:p w14:paraId="492B5B06" w14:textId="169BF547" w:rsidR="00CC163D" w:rsidRPr="00186777" w:rsidRDefault="00CC163D" w:rsidP="00CC163D">
      <w:pPr>
        <w:pStyle w:val="SingleTxt"/>
        <w:spacing w:after="0" w:line="120" w:lineRule="exact"/>
        <w:rPr>
          <w:sz w:val="10"/>
          <w:lang w:val="es-ES_tradnl"/>
        </w:rPr>
      </w:pPr>
    </w:p>
    <w:p w14:paraId="781D55B8" w14:textId="4EA95E98" w:rsidR="00CC163D" w:rsidRPr="00186777" w:rsidRDefault="00CC163D" w:rsidP="00CC163D">
      <w:pPr>
        <w:pStyle w:val="SingleTxt"/>
        <w:spacing w:after="0" w:line="120" w:lineRule="exact"/>
        <w:rPr>
          <w:sz w:val="10"/>
          <w:lang w:val="es-ES_tradnl"/>
        </w:rPr>
      </w:pPr>
    </w:p>
    <w:p w14:paraId="6BA9136F" w14:textId="1F37D844" w:rsidR="00AA6F33" w:rsidRPr="00186777" w:rsidRDefault="00CC163D" w:rsidP="00CC16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A.</w:t>
      </w:r>
      <w:r w:rsidR="00AA6F33" w:rsidRPr="00186777">
        <w:rPr>
          <w:lang w:val="es-ES_tradnl"/>
        </w:rPr>
        <w:tab/>
        <w:t>Medidas adoptadas por el Comité con respecto a las cuestiones previstas en el artículo 2 del Protocolo Facultativo</w:t>
      </w:r>
    </w:p>
    <w:p w14:paraId="3C7072E2" w14:textId="739F78F0" w:rsidR="00CC163D" w:rsidRPr="00186777" w:rsidRDefault="00CC163D" w:rsidP="00CC163D">
      <w:pPr>
        <w:pStyle w:val="SingleTxt"/>
        <w:spacing w:after="0" w:line="120" w:lineRule="exact"/>
        <w:rPr>
          <w:sz w:val="10"/>
          <w:lang w:val="es-ES_tradnl"/>
        </w:rPr>
      </w:pPr>
    </w:p>
    <w:p w14:paraId="47EF8619" w14:textId="07596590" w:rsidR="00CC163D" w:rsidRPr="00186777" w:rsidRDefault="00CC163D" w:rsidP="00CC163D">
      <w:pPr>
        <w:pStyle w:val="SingleTxt"/>
        <w:spacing w:after="0" w:line="120" w:lineRule="exact"/>
        <w:rPr>
          <w:sz w:val="10"/>
          <w:lang w:val="es-ES_tradnl"/>
        </w:rPr>
      </w:pPr>
    </w:p>
    <w:p w14:paraId="505B6F87" w14:textId="21232CAC" w:rsidR="00AA6F33" w:rsidRPr="00186777" w:rsidRDefault="00AA6F33" w:rsidP="00113F7A">
      <w:pPr>
        <w:pStyle w:val="SingleTxt"/>
        <w:numPr>
          <w:ilvl w:val="0"/>
          <w:numId w:val="10"/>
        </w:numPr>
        <w:ind w:left="1267"/>
        <w:rPr>
          <w:lang w:val="es-ES_tradnl"/>
        </w:rPr>
      </w:pPr>
      <w:r w:rsidRPr="00186777">
        <w:rPr>
          <w:lang w:val="es-ES_tradnl"/>
        </w:rPr>
        <w:t>Los días 26 de febrero y 5 de marzo de 2018, el Comité examinó las actividades llevadas a cabo en virtud del artículo 2 del Protocolo Facultativo.</w:t>
      </w:r>
    </w:p>
    <w:p w14:paraId="5ED25E97" w14:textId="5D757D4D" w:rsidR="00AA6F33" w:rsidRPr="00186777" w:rsidRDefault="00AA6F33" w:rsidP="00113F7A">
      <w:pPr>
        <w:pStyle w:val="SingleTxt"/>
        <w:numPr>
          <w:ilvl w:val="0"/>
          <w:numId w:val="10"/>
        </w:numPr>
        <w:ind w:left="1267"/>
        <w:rPr>
          <w:lang w:val="es-ES_tradnl"/>
        </w:rPr>
      </w:pPr>
      <w:r w:rsidRPr="00186777">
        <w:rPr>
          <w:lang w:val="es-ES_tradnl"/>
        </w:rPr>
        <w:t>El Comité hizo suyo el informe del Grupo de Trabajo sobre las Comunicaciones Presentadas en virtud del Protocolo Facultativo acerca de su 40º período de sesiones (véase https://bit.ly/2IAy00M).</w:t>
      </w:r>
    </w:p>
    <w:p w14:paraId="4783AACF" w14:textId="4B07EC17" w:rsidR="00AA6F33" w:rsidRPr="00186777" w:rsidRDefault="00AA6F33" w:rsidP="00113F7A">
      <w:pPr>
        <w:pStyle w:val="SingleTxt"/>
        <w:numPr>
          <w:ilvl w:val="0"/>
          <w:numId w:val="10"/>
        </w:numPr>
        <w:ind w:left="1267"/>
        <w:rPr>
          <w:lang w:val="es-ES_tradnl"/>
        </w:rPr>
      </w:pPr>
      <w:r w:rsidRPr="00186777">
        <w:rPr>
          <w:lang w:val="es-ES_tradnl"/>
        </w:rPr>
        <w:t xml:space="preserve">El Comité adoptó decisiones finales sobre cuatro comunicaciones individuales presentadas con arreglo al artículo 2 del Protocolo Facultativo. Aprobó un dictamen en el que manifestaba que existía una violación en </w:t>
      </w:r>
      <w:r w:rsidRPr="00186777">
        <w:rPr>
          <w:i/>
          <w:iCs/>
          <w:lang w:val="es-ES_tradnl"/>
        </w:rPr>
        <w:t>X. c. Timor-Leste</w:t>
      </w:r>
      <w:r w:rsidRPr="00186777">
        <w:rPr>
          <w:lang w:val="es-ES_tradnl"/>
        </w:rPr>
        <w:t xml:space="preserve"> (</w:t>
      </w:r>
      <w:hyperlink r:id="rId124" w:history="1">
        <w:r w:rsidRPr="00794DB5">
          <w:rPr>
            <w:rStyle w:val="Hyperlink"/>
            <w:lang w:val="es-ES_tradnl"/>
          </w:rPr>
          <w:t>CEDAW/C/69/D/88/2015</w:t>
        </w:r>
      </w:hyperlink>
      <w:r w:rsidRPr="00186777">
        <w:rPr>
          <w:lang w:val="es-ES_tradnl"/>
        </w:rPr>
        <w:t xml:space="preserve">) y </w:t>
      </w:r>
      <w:r w:rsidRPr="00186777">
        <w:rPr>
          <w:i/>
          <w:iCs/>
          <w:lang w:val="es-ES_tradnl"/>
        </w:rPr>
        <w:t>J.</w:t>
      </w:r>
      <w:r w:rsidR="00935E62">
        <w:rPr>
          <w:i/>
          <w:iCs/>
          <w:lang w:val="es-ES_tradnl"/>
        </w:rPr>
        <w:t>S.</w:t>
      </w:r>
      <w:r w:rsidRPr="00186777">
        <w:rPr>
          <w:i/>
          <w:iCs/>
          <w:lang w:val="es-ES_tradnl"/>
        </w:rPr>
        <w:t>I</w:t>
      </w:r>
      <w:r w:rsidR="00935E62">
        <w:rPr>
          <w:i/>
          <w:iCs/>
          <w:lang w:val="es-ES_tradnl"/>
        </w:rPr>
        <w:t>.</w:t>
      </w:r>
      <w:r w:rsidRPr="00186777">
        <w:rPr>
          <w:i/>
          <w:iCs/>
          <w:lang w:val="es-ES_tradnl"/>
        </w:rPr>
        <w:t xml:space="preserve"> c. Fi</w:t>
      </w:r>
      <w:r w:rsidR="00935E62">
        <w:rPr>
          <w:i/>
          <w:iCs/>
          <w:lang w:val="es-ES_tradnl"/>
        </w:rPr>
        <w:t>n</w:t>
      </w:r>
      <w:r w:rsidRPr="00186777">
        <w:rPr>
          <w:i/>
          <w:iCs/>
          <w:lang w:val="es-ES_tradnl"/>
        </w:rPr>
        <w:t>landia</w:t>
      </w:r>
      <w:r w:rsidRPr="00186777">
        <w:rPr>
          <w:lang w:val="es-ES_tradnl"/>
        </w:rPr>
        <w:t xml:space="preserve"> (</w:t>
      </w:r>
      <w:hyperlink r:id="rId125" w:history="1">
        <w:r w:rsidRPr="00794DB5">
          <w:rPr>
            <w:rStyle w:val="Hyperlink"/>
            <w:lang w:val="es-ES_tradnl"/>
          </w:rPr>
          <w:t>CEDAW/C/69/D/103/2016</w:t>
        </w:r>
      </w:hyperlink>
      <w:r w:rsidRPr="00186777">
        <w:rPr>
          <w:lang w:val="es-ES_tradnl"/>
        </w:rPr>
        <w:t xml:space="preserve">). También adoptó decisiones de inadmisibilidad en </w:t>
      </w:r>
      <w:r w:rsidRPr="00186777">
        <w:rPr>
          <w:i/>
          <w:iCs/>
          <w:lang w:val="es-ES_tradnl"/>
        </w:rPr>
        <w:t>A. S. c. Dinamarca</w:t>
      </w:r>
      <w:r w:rsidRPr="00186777">
        <w:rPr>
          <w:lang w:val="es-ES_tradnl"/>
        </w:rPr>
        <w:t xml:space="preserve"> (</w:t>
      </w:r>
      <w:hyperlink r:id="rId126" w:history="1">
        <w:r w:rsidRPr="00794DB5">
          <w:rPr>
            <w:rStyle w:val="Hyperlink"/>
            <w:lang w:val="es-ES_tradnl"/>
          </w:rPr>
          <w:t>CEDAW/C/69/D/80/2015</w:t>
        </w:r>
      </w:hyperlink>
      <w:r w:rsidRPr="00186777">
        <w:rPr>
          <w:lang w:val="es-ES_tradnl"/>
        </w:rPr>
        <w:t xml:space="preserve">) y </w:t>
      </w:r>
      <w:r w:rsidRPr="00186777">
        <w:rPr>
          <w:i/>
          <w:iCs/>
          <w:lang w:val="es-ES_tradnl"/>
        </w:rPr>
        <w:t>S.F.A c. Dinamarca</w:t>
      </w:r>
      <w:r w:rsidRPr="00186777">
        <w:rPr>
          <w:lang w:val="es-ES_tradnl"/>
        </w:rPr>
        <w:t xml:space="preserve"> (</w:t>
      </w:r>
      <w:hyperlink r:id="rId127" w:history="1">
        <w:r w:rsidRPr="00794DB5">
          <w:rPr>
            <w:rStyle w:val="Hyperlink"/>
            <w:lang w:val="es-ES_tradnl"/>
          </w:rPr>
          <w:t>CEDAW/C/69/D/85/2015</w:t>
        </w:r>
      </w:hyperlink>
      <w:r w:rsidRPr="00186777">
        <w:rPr>
          <w:lang w:val="es-ES_tradnl"/>
        </w:rPr>
        <w:t xml:space="preserve">). Todas las decisiones fueron adoptadas por consenso. </w:t>
      </w:r>
    </w:p>
    <w:p w14:paraId="03E6D2C3" w14:textId="77777777" w:rsidR="00CC163D" w:rsidRPr="00186777" w:rsidRDefault="00CC163D" w:rsidP="00CC163D">
      <w:pPr>
        <w:pStyle w:val="SingleTxt"/>
        <w:spacing w:after="0" w:line="120" w:lineRule="exact"/>
        <w:rPr>
          <w:b/>
          <w:bCs/>
          <w:sz w:val="10"/>
          <w:lang w:val="es-ES_tradnl"/>
        </w:rPr>
      </w:pPr>
    </w:p>
    <w:p w14:paraId="146D9735" w14:textId="77777777" w:rsidR="00CC163D" w:rsidRPr="00186777" w:rsidRDefault="00CC163D" w:rsidP="00CC163D">
      <w:pPr>
        <w:pStyle w:val="SingleTxt"/>
        <w:spacing w:after="0" w:line="120" w:lineRule="exact"/>
        <w:rPr>
          <w:b/>
          <w:bCs/>
          <w:sz w:val="10"/>
          <w:lang w:val="es-ES_tradnl"/>
        </w:rPr>
      </w:pPr>
    </w:p>
    <w:p w14:paraId="213CACE1" w14:textId="4253640A" w:rsidR="00AA6F33" w:rsidRPr="00186777" w:rsidRDefault="00CC163D" w:rsidP="00CC16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B.</w:t>
      </w:r>
      <w:r w:rsidR="00AA6F33" w:rsidRPr="00186777">
        <w:rPr>
          <w:lang w:val="es-ES_tradnl"/>
        </w:rPr>
        <w:tab/>
        <w:t>Seguimiento de los dictámenes del Comité sobre comunicaciones individuales</w:t>
      </w:r>
    </w:p>
    <w:p w14:paraId="448E40A0" w14:textId="77777777" w:rsidR="00CC163D" w:rsidRPr="00186777" w:rsidRDefault="00CC163D" w:rsidP="00CC163D">
      <w:pPr>
        <w:pStyle w:val="SingleTxt"/>
        <w:spacing w:after="0" w:line="120" w:lineRule="exact"/>
        <w:rPr>
          <w:sz w:val="10"/>
          <w:lang w:val="es-ES_tradnl"/>
        </w:rPr>
      </w:pPr>
    </w:p>
    <w:p w14:paraId="246A133F" w14:textId="77777777" w:rsidR="00CC163D" w:rsidRPr="00186777" w:rsidRDefault="00CC163D" w:rsidP="00CC163D">
      <w:pPr>
        <w:pStyle w:val="SingleTxt"/>
        <w:spacing w:after="0" w:line="120" w:lineRule="exact"/>
        <w:rPr>
          <w:sz w:val="10"/>
          <w:lang w:val="es-ES_tradnl"/>
        </w:rPr>
      </w:pPr>
    </w:p>
    <w:p w14:paraId="2FC0F9DF" w14:textId="256FB72C" w:rsidR="00AA6F33" w:rsidRPr="00186777" w:rsidRDefault="00AA6F33" w:rsidP="00113F7A">
      <w:pPr>
        <w:pStyle w:val="SingleTxt"/>
        <w:numPr>
          <w:ilvl w:val="0"/>
          <w:numId w:val="10"/>
        </w:numPr>
        <w:ind w:left="1267"/>
        <w:rPr>
          <w:lang w:val="es-ES_tradnl"/>
        </w:rPr>
      </w:pPr>
      <w:r w:rsidRPr="00186777">
        <w:rPr>
          <w:lang w:val="es-ES_tradnl"/>
        </w:rPr>
        <w:t>Se informó al Comité de que el Grupo de Trabajo, durante su 40º período de sesiones, había examinado la situación del seguimiento en cada caso en que el diálogo de seguimiento seguía en curso y había acordado las medidas necesarias. De los 15 casos que eran objeto de seguimiento, dos se referían a la Federación de Rusia y uno al Brasil, el Canadá, Dinamarca, Eslovaquia, España, Filipinas, Georgia, Kazajstán, México, los Países Bajos, el Perú, la República de Moldova y la República Unida de Tanzanía, respectivamente.</w:t>
      </w:r>
    </w:p>
    <w:p w14:paraId="4239EAC8" w14:textId="77777777" w:rsidR="00CC163D" w:rsidRPr="00186777" w:rsidRDefault="00CC163D" w:rsidP="00CC163D">
      <w:pPr>
        <w:pStyle w:val="SingleTxt"/>
        <w:spacing w:after="0" w:line="120" w:lineRule="exact"/>
        <w:rPr>
          <w:sz w:val="10"/>
          <w:lang w:val="es-ES_tradnl"/>
        </w:rPr>
      </w:pPr>
    </w:p>
    <w:p w14:paraId="1552E86E" w14:textId="77777777" w:rsidR="00CC163D" w:rsidRPr="00186777" w:rsidRDefault="00CC163D" w:rsidP="00CC163D">
      <w:pPr>
        <w:pStyle w:val="SingleTxt"/>
        <w:spacing w:after="0" w:line="120" w:lineRule="exact"/>
        <w:rPr>
          <w:sz w:val="10"/>
          <w:lang w:val="es-ES_tradnl"/>
        </w:rPr>
      </w:pPr>
    </w:p>
    <w:p w14:paraId="193EBA74" w14:textId="3E822072" w:rsidR="00AA6F33" w:rsidRPr="00186777" w:rsidRDefault="00AA6F33" w:rsidP="00CC16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t>C.</w:t>
      </w:r>
      <w:r w:rsidRPr="00186777">
        <w:rPr>
          <w:lang w:val="es-ES_tradnl"/>
        </w:rPr>
        <w:tab/>
        <w:t>Medidas adoptadas por el Comité con respecto a las cuestiones previstas en el artículo 8 del Protocolo Facultativo</w:t>
      </w:r>
    </w:p>
    <w:p w14:paraId="45BE43D2" w14:textId="77777777" w:rsidR="00CC163D" w:rsidRPr="00186777" w:rsidRDefault="00CC163D" w:rsidP="00CC163D">
      <w:pPr>
        <w:pStyle w:val="SingleTxt"/>
        <w:spacing w:after="0" w:line="120" w:lineRule="exact"/>
        <w:rPr>
          <w:sz w:val="10"/>
          <w:lang w:val="es-ES_tradnl"/>
        </w:rPr>
      </w:pPr>
    </w:p>
    <w:p w14:paraId="15972F01" w14:textId="77777777" w:rsidR="00CC163D" w:rsidRPr="00186777" w:rsidRDefault="00CC163D" w:rsidP="00CC163D">
      <w:pPr>
        <w:pStyle w:val="SingleTxt"/>
        <w:spacing w:after="0" w:line="120" w:lineRule="exact"/>
        <w:rPr>
          <w:sz w:val="10"/>
          <w:lang w:val="es-ES_tradnl"/>
        </w:rPr>
      </w:pPr>
    </w:p>
    <w:p w14:paraId="1683B0D6" w14:textId="4DA8F420" w:rsidR="00AA6F33" w:rsidRPr="00186777" w:rsidRDefault="00AA6F33" w:rsidP="00113F7A">
      <w:pPr>
        <w:pStyle w:val="SingleTxt"/>
        <w:numPr>
          <w:ilvl w:val="0"/>
          <w:numId w:val="10"/>
        </w:numPr>
        <w:ind w:left="1267"/>
        <w:rPr>
          <w:lang w:val="es-ES_tradnl"/>
        </w:rPr>
      </w:pPr>
      <w:r w:rsidRPr="00186777">
        <w:rPr>
          <w:lang w:val="es-ES_tradnl"/>
        </w:rPr>
        <w:t>El 1 de marzo de 2018, el Comité examinó las actividades llevadas a cabo en virtud del artículo 8 del Protocolo Facultativo. Hizo suyo el informe del Grupo de Trabajo sobre Investigaciones con arreglo al Protocolo Facultativo en su noveno período de sesiones (véase https://bit.ly/2HlrwDp).</w:t>
      </w:r>
    </w:p>
    <w:p w14:paraId="5523BA2A" w14:textId="163ED216" w:rsidR="00AA6F33" w:rsidRPr="00186777" w:rsidRDefault="00AA6F33" w:rsidP="00113F7A">
      <w:pPr>
        <w:pStyle w:val="SingleTxt"/>
        <w:numPr>
          <w:ilvl w:val="0"/>
          <w:numId w:val="10"/>
        </w:numPr>
        <w:ind w:left="1267"/>
        <w:rPr>
          <w:lang w:val="es-ES_tradnl"/>
        </w:rPr>
      </w:pPr>
      <w:r w:rsidRPr="00186777">
        <w:rPr>
          <w:lang w:val="es-ES_tradnl"/>
        </w:rPr>
        <w:t xml:space="preserve">El Comité aprobó la recomendación del Grupo de Trabajo, en relación con la comunicación núm. </w:t>
      </w:r>
      <w:r w:rsidR="00935E62" w:rsidRPr="00054806">
        <w:t>2017/3</w:t>
      </w:r>
      <w:r w:rsidRPr="00186777">
        <w:rPr>
          <w:lang w:val="es-ES_tradnl"/>
        </w:rPr>
        <w:t>, de solicitar al Estado parte interesado que presentara, en un plazo de dos meses, observaciones sobre la información recibida por el Comité en virtud del artículo 8 del Protocolo Facultativo.</w:t>
      </w:r>
    </w:p>
    <w:p w14:paraId="56A9AE7B" w14:textId="030E5D54" w:rsidR="00AA6F33" w:rsidRPr="00186777" w:rsidRDefault="00AA6F33" w:rsidP="00113F7A">
      <w:pPr>
        <w:pStyle w:val="SingleTxt"/>
        <w:numPr>
          <w:ilvl w:val="0"/>
          <w:numId w:val="10"/>
        </w:numPr>
        <w:ind w:left="1267"/>
        <w:rPr>
          <w:lang w:val="es-ES_tradnl"/>
        </w:rPr>
      </w:pPr>
      <w:r w:rsidRPr="00186777">
        <w:rPr>
          <w:lang w:val="es-ES_tradnl"/>
        </w:rPr>
        <w:t xml:space="preserve">El Comité aprobó sus conclusiones, observaciones y recomendaciones en relación con la investigación núm. </w:t>
      </w:r>
      <w:r w:rsidR="00935E62" w:rsidRPr="00054806">
        <w:t>2014/1</w:t>
      </w:r>
      <w:r w:rsidRPr="00186777">
        <w:rPr>
          <w:lang w:val="es-ES_tradnl"/>
        </w:rPr>
        <w:t xml:space="preserve"> y decidió transmitirlas al Estado parte interesado.</w:t>
      </w:r>
    </w:p>
    <w:p w14:paraId="46977AA0" w14:textId="4E0F2900" w:rsidR="00AA6F33" w:rsidRPr="00186777" w:rsidRDefault="00AA6F33" w:rsidP="00113F7A">
      <w:pPr>
        <w:pStyle w:val="SingleTxt"/>
        <w:numPr>
          <w:ilvl w:val="0"/>
          <w:numId w:val="10"/>
        </w:numPr>
        <w:ind w:left="1267"/>
        <w:rPr>
          <w:lang w:val="es-ES_tradnl"/>
        </w:rPr>
      </w:pPr>
      <w:r w:rsidRPr="00186777">
        <w:rPr>
          <w:lang w:val="es-ES_tradnl"/>
        </w:rPr>
        <w:lastRenderedPageBreak/>
        <w:t>El Comité también adoptó las siguientes decisiones:</w:t>
      </w:r>
    </w:p>
    <w:p w14:paraId="3C483314" w14:textId="591F0FFE" w:rsidR="00AA6F33" w:rsidRPr="00186777" w:rsidRDefault="00AA6F33" w:rsidP="00AA6F33">
      <w:pPr>
        <w:pStyle w:val="SingleTxt"/>
        <w:rPr>
          <w:lang w:val="es-ES_tradnl"/>
        </w:rPr>
      </w:pPr>
      <w:r w:rsidRPr="00186777">
        <w:rPr>
          <w:lang w:val="es-ES_tradnl"/>
        </w:rPr>
        <w:tab/>
        <w:t>a)</w:t>
      </w:r>
      <w:r w:rsidRPr="00186777">
        <w:rPr>
          <w:lang w:val="es-ES_tradnl"/>
        </w:rPr>
        <w:tab/>
        <w:t xml:space="preserve">En relación con la investigación núm. </w:t>
      </w:r>
      <w:r w:rsidR="00935E62" w:rsidRPr="00054806">
        <w:t>2013/1</w:t>
      </w:r>
      <w:r w:rsidRPr="00186777">
        <w:rPr>
          <w:lang w:val="es-ES_tradnl"/>
        </w:rPr>
        <w:t>, enviar un último recordatorio al Estado parte correspondiente en relación con la solicitud del Comité de realizar una visita a su territorio;</w:t>
      </w:r>
    </w:p>
    <w:p w14:paraId="38DC4FC5" w14:textId="1B3F08C2" w:rsidR="00AA6F33" w:rsidRPr="00186777" w:rsidRDefault="00AA6F33" w:rsidP="00AA6F33">
      <w:pPr>
        <w:pStyle w:val="SingleTxt"/>
        <w:rPr>
          <w:lang w:val="es-ES_tradnl"/>
        </w:rPr>
      </w:pPr>
      <w:r w:rsidRPr="00186777">
        <w:rPr>
          <w:lang w:val="es-ES_tradnl"/>
        </w:rPr>
        <w:tab/>
        <w:t>b)</w:t>
      </w:r>
      <w:r w:rsidRPr="00186777">
        <w:rPr>
          <w:lang w:val="es-ES_tradnl"/>
        </w:rPr>
        <w:tab/>
        <w:t>Aprobar las enmiendas a los procedimientos operativos estándar propuestos por el Grupo de Trabajo sobre Investigaciones.</w:t>
      </w:r>
    </w:p>
    <w:p w14:paraId="5C3FB991" w14:textId="2CFDBF12" w:rsidR="00CC163D" w:rsidRPr="00186777" w:rsidRDefault="00CC163D" w:rsidP="00AA6F33">
      <w:pPr>
        <w:pStyle w:val="SingleTxt"/>
        <w:rPr>
          <w:lang w:val="es-ES_tradnl"/>
        </w:rPr>
      </w:pPr>
    </w:p>
    <w:p w14:paraId="1D97D7EE" w14:textId="333E6B04" w:rsidR="00CC163D" w:rsidRPr="00186777" w:rsidRDefault="00CC163D" w:rsidP="00AA6F33">
      <w:pPr>
        <w:pStyle w:val="SingleTxt"/>
        <w:rPr>
          <w:lang w:val="es-ES_tradnl"/>
        </w:rPr>
      </w:pPr>
    </w:p>
    <w:p w14:paraId="7C9C3EBC" w14:textId="303C6E00" w:rsidR="00CC163D" w:rsidRPr="00186777" w:rsidRDefault="00CC163D">
      <w:pPr>
        <w:suppressAutoHyphens w:val="0"/>
        <w:spacing w:after="200" w:line="276" w:lineRule="auto"/>
        <w:rPr>
          <w:kern w:val="14"/>
          <w:lang w:val="es-ES_tradnl"/>
        </w:rPr>
      </w:pPr>
      <w:r w:rsidRPr="00186777">
        <w:rPr>
          <w:lang w:val="es-ES_tradnl"/>
        </w:rPr>
        <w:br w:type="page"/>
      </w:r>
    </w:p>
    <w:p w14:paraId="76ED19AC" w14:textId="17008A80" w:rsidR="00AA6F33" w:rsidRPr="00186777" w:rsidRDefault="00AA6F33" w:rsidP="00CC16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VI</w:t>
      </w:r>
    </w:p>
    <w:p w14:paraId="00FEC4EA" w14:textId="67783686" w:rsidR="00AA6F33" w:rsidRPr="00186777" w:rsidRDefault="00AA6F33" w:rsidP="00CC16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Medios de agilizar los trabajos del Comité</w:t>
      </w:r>
    </w:p>
    <w:p w14:paraId="09D09464" w14:textId="5AC9A17A" w:rsidR="00CC163D" w:rsidRPr="00186777" w:rsidRDefault="00CC163D" w:rsidP="00CC163D">
      <w:pPr>
        <w:pStyle w:val="SingleTxt"/>
        <w:spacing w:after="0" w:line="120" w:lineRule="exact"/>
        <w:rPr>
          <w:sz w:val="10"/>
          <w:lang w:val="es-ES_tradnl"/>
        </w:rPr>
      </w:pPr>
    </w:p>
    <w:p w14:paraId="0444A156" w14:textId="32563A35" w:rsidR="00CC163D" w:rsidRPr="00186777" w:rsidRDefault="00CC163D" w:rsidP="00CC163D">
      <w:pPr>
        <w:pStyle w:val="SingleTxt"/>
        <w:spacing w:after="0" w:line="120" w:lineRule="exact"/>
        <w:rPr>
          <w:sz w:val="10"/>
          <w:lang w:val="es-ES_tradnl"/>
        </w:rPr>
      </w:pPr>
    </w:p>
    <w:p w14:paraId="48D4E800" w14:textId="13CD4F30" w:rsidR="00AA6F33" w:rsidRPr="00186777" w:rsidRDefault="00AA6F33" w:rsidP="00113F7A">
      <w:pPr>
        <w:pStyle w:val="SingleTxt"/>
        <w:numPr>
          <w:ilvl w:val="0"/>
          <w:numId w:val="10"/>
        </w:numPr>
        <w:ind w:left="1267"/>
        <w:rPr>
          <w:lang w:val="es-ES_tradnl"/>
        </w:rPr>
      </w:pPr>
      <w:r w:rsidRPr="00186777">
        <w:rPr>
          <w:lang w:val="es-ES_tradnl"/>
        </w:rPr>
        <w:t>La secretaría informó al Comité de la situación relativa a la presentación de los informes atrasados de los Estados partes en virtud del artículo 18 de la Convención.</w:t>
      </w:r>
    </w:p>
    <w:p w14:paraId="2A7F23A1" w14:textId="77777777" w:rsidR="00CC163D" w:rsidRPr="00186777" w:rsidRDefault="00CC163D" w:rsidP="00CC163D">
      <w:pPr>
        <w:pStyle w:val="SingleTxt"/>
        <w:spacing w:after="0" w:line="120" w:lineRule="exact"/>
        <w:rPr>
          <w:sz w:val="10"/>
          <w:lang w:val="es-ES_tradnl"/>
        </w:rPr>
      </w:pPr>
    </w:p>
    <w:p w14:paraId="10F0D3A1" w14:textId="77777777" w:rsidR="00CC163D" w:rsidRPr="00186777" w:rsidRDefault="00CC163D" w:rsidP="00CC163D">
      <w:pPr>
        <w:pStyle w:val="SingleTxt"/>
        <w:spacing w:after="0" w:line="120" w:lineRule="exact"/>
        <w:rPr>
          <w:sz w:val="10"/>
          <w:lang w:val="es-ES_tradnl"/>
        </w:rPr>
      </w:pPr>
    </w:p>
    <w:p w14:paraId="2AD51B2C" w14:textId="171B64A5" w:rsidR="00AA6F33" w:rsidRPr="00186777" w:rsidRDefault="00AA6F33" w:rsidP="00CC16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Medidas adoptadas por el Comité en relación con el tema 7 del programa</w:t>
      </w:r>
    </w:p>
    <w:p w14:paraId="382D54C9" w14:textId="77777777" w:rsidR="00CC163D" w:rsidRPr="00186777" w:rsidRDefault="00CC163D" w:rsidP="00CC163D">
      <w:pPr>
        <w:pStyle w:val="SingleTxt"/>
        <w:spacing w:after="0" w:line="120" w:lineRule="exact"/>
        <w:rPr>
          <w:b/>
          <w:sz w:val="10"/>
          <w:lang w:val="es-ES_tradnl"/>
        </w:rPr>
      </w:pPr>
    </w:p>
    <w:p w14:paraId="6F877480" w14:textId="77777777" w:rsidR="00CC163D" w:rsidRPr="00186777" w:rsidRDefault="00CC163D" w:rsidP="00CC163D">
      <w:pPr>
        <w:pStyle w:val="SingleTxt"/>
        <w:spacing w:after="0" w:line="120" w:lineRule="exact"/>
        <w:rPr>
          <w:b/>
          <w:sz w:val="10"/>
          <w:lang w:val="es-ES_tradnl"/>
        </w:rPr>
      </w:pPr>
    </w:p>
    <w:p w14:paraId="4C803DC0" w14:textId="3B601160" w:rsidR="00AA6F33" w:rsidRPr="00186777" w:rsidRDefault="00AA6F33" w:rsidP="00CC16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Fechas de los próximos períodos de sesiones</w:t>
      </w:r>
    </w:p>
    <w:p w14:paraId="1F690646" w14:textId="77777777" w:rsidR="00CC163D" w:rsidRPr="00186777" w:rsidRDefault="00CC163D" w:rsidP="00CC163D">
      <w:pPr>
        <w:pStyle w:val="SingleTxt"/>
        <w:spacing w:after="0" w:line="120" w:lineRule="exact"/>
        <w:rPr>
          <w:sz w:val="10"/>
          <w:lang w:val="es-ES_tradnl"/>
        </w:rPr>
      </w:pPr>
    </w:p>
    <w:p w14:paraId="6ECDD5A0" w14:textId="17B57120" w:rsidR="00AA6F33" w:rsidRPr="00186777" w:rsidRDefault="00AA6F33" w:rsidP="00113F7A">
      <w:pPr>
        <w:pStyle w:val="SingleTxt"/>
        <w:numPr>
          <w:ilvl w:val="0"/>
          <w:numId w:val="10"/>
        </w:numPr>
        <w:ind w:left="1267"/>
        <w:rPr>
          <w:lang w:val="es-ES_tradnl"/>
        </w:rPr>
      </w:pPr>
      <w:r w:rsidRPr="00186777">
        <w:rPr>
          <w:lang w:val="es-ES_tradnl"/>
        </w:rPr>
        <w:t>De conformidad con el calendario de conferencias, se confirmaron las siguientes fechas para los períodos de sesiones 70º y 71</w:t>
      </w:r>
      <w:r w:rsidR="00935E62" w:rsidRPr="00054806">
        <w:rPr>
          <w:vertAlign w:val="superscript"/>
          <w:lang w:val="es-ES_tradnl"/>
        </w:rPr>
        <w:t>er</w:t>
      </w:r>
      <w:r w:rsidRPr="00186777">
        <w:rPr>
          <w:lang w:val="es-ES_tradnl"/>
        </w:rPr>
        <w:t xml:space="preserve"> del Comité y reuniones conexas:</w:t>
      </w:r>
    </w:p>
    <w:p w14:paraId="69894406" w14:textId="77777777" w:rsidR="00AA6F33" w:rsidRPr="00186777" w:rsidRDefault="00AA6F33" w:rsidP="00AA6F33">
      <w:pPr>
        <w:pStyle w:val="SingleTxt"/>
        <w:rPr>
          <w:lang w:val="es-ES_tradnl"/>
        </w:rPr>
      </w:pPr>
      <w:r w:rsidRPr="00186777">
        <w:rPr>
          <w:lang w:val="es-ES_tradnl"/>
        </w:rPr>
        <w:tab/>
        <w:t>70º período de sesiones (Ginebra)</w:t>
      </w:r>
    </w:p>
    <w:p w14:paraId="52037F68" w14:textId="7F31F0BE" w:rsidR="00AA6F33" w:rsidRPr="00186777" w:rsidRDefault="00DA0CCE" w:rsidP="00AA6F33">
      <w:pPr>
        <w:pStyle w:val="SingleTxt"/>
        <w:rPr>
          <w:lang w:val="es-ES_tradnl"/>
        </w:rPr>
      </w:pPr>
      <w:r w:rsidRPr="00186777">
        <w:rPr>
          <w:lang w:val="es-ES_tradnl"/>
        </w:rPr>
        <w:tab/>
      </w:r>
      <w:r w:rsidR="00AA6F33" w:rsidRPr="00186777">
        <w:rPr>
          <w:lang w:val="es-ES_tradnl"/>
        </w:rPr>
        <w:t>a)</w:t>
      </w:r>
      <w:r w:rsidR="00AA6F33" w:rsidRPr="00186777">
        <w:rPr>
          <w:lang w:val="es-ES_tradnl"/>
        </w:rPr>
        <w:tab/>
        <w:t>Según se indica en el párrafo 29 de la segunda parte del presente informe;</w:t>
      </w:r>
    </w:p>
    <w:p w14:paraId="6B3BA1D4" w14:textId="33AD36E1" w:rsidR="00AA6F33" w:rsidRPr="00186777" w:rsidRDefault="00AA6F33" w:rsidP="00AA6F33">
      <w:pPr>
        <w:pStyle w:val="SingleTxt"/>
        <w:rPr>
          <w:lang w:val="es-ES_tradnl"/>
        </w:rPr>
      </w:pPr>
      <w:r w:rsidRPr="00186777">
        <w:rPr>
          <w:lang w:val="es-ES_tradnl"/>
        </w:rPr>
        <w:tab/>
        <w:t>71</w:t>
      </w:r>
      <w:r w:rsidRPr="00186777">
        <w:rPr>
          <w:vertAlign w:val="superscript"/>
          <w:lang w:val="es-ES_tradnl"/>
        </w:rPr>
        <w:t>er</w:t>
      </w:r>
      <w:r w:rsidRPr="00186777">
        <w:rPr>
          <w:lang w:val="es-ES_tradnl"/>
        </w:rPr>
        <w:t xml:space="preserve"> período de sesiones (Ginebra)</w:t>
      </w:r>
    </w:p>
    <w:p w14:paraId="69BC352E" w14:textId="7BDEAA52" w:rsidR="00AA6F33" w:rsidRPr="00186777" w:rsidRDefault="00361DA3" w:rsidP="00054806">
      <w:pPr>
        <w:pStyle w:val="SingleTxt"/>
        <w:ind w:left="2218" w:hanging="951"/>
        <w:rPr>
          <w:lang w:val="es-ES_tradnl"/>
        </w:rPr>
      </w:pPr>
      <w:r>
        <w:rPr>
          <w:lang w:val="es-ES_tradnl"/>
        </w:rPr>
        <w:tab/>
      </w:r>
      <w:r w:rsidR="00DA0CCE" w:rsidRPr="00186777">
        <w:rPr>
          <w:lang w:val="es-ES_tradnl"/>
        </w:rPr>
        <w:tab/>
      </w:r>
      <w:r w:rsidR="00AA6F33" w:rsidRPr="00186777">
        <w:rPr>
          <w:lang w:val="es-ES_tradnl"/>
        </w:rPr>
        <w:t>b)</w:t>
      </w:r>
      <w:r w:rsidR="00DA0CCE" w:rsidRPr="00186777">
        <w:rPr>
          <w:lang w:val="es-ES_tradnl"/>
        </w:rPr>
        <w:tab/>
      </w:r>
      <w:r w:rsidR="00AA6F33" w:rsidRPr="00186777">
        <w:rPr>
          <w:lang w:val="es-ES_tradnl"/>
        </w:rPr>
        <w:t xml:space="preserve">42º período de sesiones del Grupo de Trabajo sobre las Comunicaciones Presentadas en virtud del Protocolo Facultativo: 17 a 19 de octubre de 2018; </w:t>
      </w:r>
    </w:p>
    <w:p w14:paraId="74510697" w14:textId="7302FA61" w:rsidR="00AA6F33" w:rsidRPr="00186777" w:rsidRDefault="00361DA3" w:rsidP="00054806">
      <w:pPr>
        <w:pStyle w:val="SingleTxt"/>
        <w:ind w:left="2218" w:hanging="951"/>
        <w:rPr>
          <w:lang w:val="es-ES_tradnl"/>
        </w:rPr>
      </w:pPr>
      <w:r>
        <w:rPr>
          <w:lang w:val="es-ES_tradnl"/>
        </w:rPr>
        <w:tab/>
      </w:r>
      <w:r w:rsidR="00DA0CCE" w:rsidRPr="00186777">
        <w:rPr>
          <w:lang w:val="es-ES_tradnl"/>
        </w:rPr>
        <w:tab/>
      </w:r>
      <w:r w:rsidR="00AA6F33" w:rsidRPr="00186777">
        <w:rPr>
          <w:lang w:val="es-ES_tradnl"/>
        </w:rPr>
        <w:t>c)</w:t>
      </w:r>
      <w:r w:rsidR="00AA6F33" w:rsidRPr="00186777">
        <w:rPr>
          <w:lang w:val="es-ES_tradnl"/>
        </w:rPr>
        <w:tab/>
        <w:t>11º período de sesiones del Grupo de Trabajo sobre Investigaciones con arreglo al Protocolo Facultativo: 18 y 19 de octubre de 2018;</w:t>
      </w:r>
    </w:p>
    <w:p w14:paraId="6376C9BC" w14:textId="26C187AF" w:rsidR="00AA6F33" w:rsidRPr="00186777" w:rsidRDefault="00361DA3" w:rsidP="00054806">
      <w:pPr>
        <w:pStyle w:val="SingleTxt"/>
        <w:ind w:left="2218" w:hanging="951"/>
        <w:rPr>
          <w:lang w:val="es-ES_tradnl"/>
        </w:rPr>
      </w:pPr>
      <w:r>
        <w:rPr>
          <w:lang w:val="es-ES_tradnl"/>
        </w:rPr>
        <w:tab/>
      </w:r>
      <w:r w:rsidR="00DA0CCE" w:rsidRPr="00186777">
        <w:rPr>
          <w:lang w:val="es-ES_tradnl"/>
        </w:rPr>
        <w:tab/>
      </w:r>
      <w:r w:rsidR="00AA6F33" w:rsidRPr="00186777">
        <w:rPr>
          <w:lang w:val="es-ES_tradnl"/>
        </w:rPr>
        <w:t>d)</w:t>
      </w:r>
      <w:r w:rsidR="00AA6F33" w:rsidRPr="00186777">
        <w:rPr>
          <w:lang w:val="es-ES_tradnl"/>
        </w:rPr>
        <w:tab/>
      </w:r>
      <w:r w:rsidRPr="00186777">
        <w:rPr>
          <w:lang w:val="es-ES_tradnl"/>
        </w:rPr>
        <w:t>71</w:t>
      </w:r>
      <w:r w:rsidRPr="00186777">
        <w:rPr>
          <w:vertAlign w:val="superscript"/>
          <w:lang w:val="es-ES_tradnl"/>
        </w:rPr>
        <w:t>er</w:t>
      </w:r>
      <w:r w:rsidRPr="00186777">
        <w:rPr>
          <w:lang w:val="es-ES_tradnl"/>
        </w:rPr>
        <w:t xml:space="preserve"> </w:t>
      </w:r>
      <w:r w:rsidR="00AA6F33" w:rsidRPr="00186777">
        <w:rPr>
          <w:lang w:val="es-ES_tradnl"/>
        </w:rPr>
        <w:t>período de sesiones: 22 de octubre a 9 de noviembre de 2018;</w:t>
      </w:r>
    </w:p>
    <w:p w14:paraId="5F262D4D" w14:textId="7B277F37" w:rsidR="00AA6F33" w:rsidRPr="00186777" w:rsidRDefault="00361DA3" w:rsidP="00054806">
      <w:pPr>
        <w:pStyle w:val="SingleTxt"/>
        <w:ind w:left="2218" w:hanging="951"/>
        <w:rPr>
          <w:lang w:val="es-ES_tradnl"/>
        </w:rPr>
      </w:pPr>
      <w:r>
        <w:rPr>
          <w:lang w:val="es-ES_tradnl"/>
        </w:rPr>
        <w:tab/>
      </w:r>
      <w:r w:rsidR="00DA0CCE" w:rsidRPr="00186777">
        <w:rPr>
          <w:lang w:val="es-ES_tradnl"/>
        </w:rPr>
        <w:tab/>
      </w:r>
      <w:r w:rsidR="00AA6F33" w:rsidRPr="00186777">
        <w:rPr>
          <w:lang w:val="es-ES_tradnl"/>
        </w:rPr>
        <w:t>e)</w:t>
      </w:r>
      <w:r w:rsidR="00AA6F33" w:rsidRPr="00186777">
        <w:rPr>
          <w:lang w:val="es-ES_tradnl"/>
        </w:rPr>
        <w:tab/>
        <w:t>Grupo de trabajo anterior al 73</w:t>
      </w:r>
      <w:r w:rsidR="00AA6F33" w:rsidRPr="00186777">
        <w:rPr>
          <w:vertAlign w:val="superscript"/>
          <w:lang w:val="es-ES_tradnl"/>
        </w:rPr>
        <w:t>er</w:t>
      </w:r>
      <w:r w:rsidR="00AA6F33" w:rsidRPr="00186777">
        <w:rPr>
          <w:lang w:val="es-ES_tradnl"/>
        </w:rPr>
        <w:t xml:space="preserve"> período de sesiones: 12 a 16 de noviembre de 2018.</w:t>
      </w:r>
    </w:p>
    <w:p w14:paraId="2394B56F" w14:textId="77777777" w:rsidR="00DA0CCE" w:rsidRPr="00186777" w:rsidRDefault="00DA0CCE" w:rsidP="00DA0CCE">
      <w:pPr>
        <w:pStyle w:val="SingleTxt"/>
        <w:spacing w:after="0" w:line="120" w:lineRule="exact"/>
        <w:rPr>
          <w:b/>
          <w:sz w:val="10"/>
          <w:lang w:val="es-ES_tradnl"/>
        </w:rPr>
      </w:pPr>
    </w:p>
    <w:p w14:paraId="56A4D46A" w14:textId="43F4DB7A" w:rsidR="00AA6F33" w:rsidRPr="00186777" w:rsidRDefault="00AA6F33" w:rsidP="00DA0C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Informes que se examinarán en futuros períodos de sesiones</w:t>
      </w:r>
    </w:p>
    <w:p w14:paraId="42D0D83B" w14:textId="77777777" w:rsidR="00DA0CCE" w:rsidRPr="00186777" w:rsidRDefault="00DA0CCE" w:rsidP="00DA0CCE">
      <w:pPr>
        <w:pStyle w:val="SingleTxt"/>
        <w:spacing w:after="0" w:line="120" w:lineRule="exact"/>
        <w:rPr>
          <w:sz w:val="10"/>
          <w:lang w:val="es-ES_tradnl"/>
        </w:rPr>
      </w:pPr>
    </w:p>
    <w:p w14:paraId="2323869E" w14:textId="77777777" w:rsidR="00DA0CCE" w:rsidRPr="00186777" w:rsidRDefault="00AA6F33" w:rsidP="00113F7A">
      <w:pPr>
        <w:pStyle w:val="SingleTxt"/>
        <w:numPr>
          <w:ilvl w:val="0"/>
          <w:numId w:val="10"/>
        </w:numPr>
        <w:ind w:left="1267"/>
        <w:rPr>
          <w:lang w:val="es-ES_tradnl"/>
        </w:rPr>
      </w:pPr>
      <w:r w:rsidRPr="00186777">
        <w:rPr>
          <w:lang w:val="es-ES_tradnl"/>
        </w:rPr>
        <w:t>El Comité confirmó que en su 70º período de sesiones examinaría los informes de los Estados partes enumerados en el párrafo 30 de la segunda parte del presente informe y que en su 71</w:t>
      </w:r>
      <w:r w:rsidRPr="00186777">
        <w:rPr>
          <w:vertAlign w:val="superscript"/>
          <w:lang w:val="es-ES_tradnl"/>
        </w:rPr>
        <w:t>er</w:t>
      </w:r>
      <w:r w:rsidRPr="00186777">
        <w:rPr>
          <w:lang w:val="es-ES_tradnl"/>
        </w:rPr>
        <w:t xml:space="preserve"> período de sesiones examinaría los de las Bahamas, el Congo, la ex República Yugoslava de Macedonia, Mauricio (con arreglo al procedimiento simplificado de presentación de informes), Nepal, la República Democrática Popular Lao, Samoa y Tayikistán. </w:t>
      </w:r>
    </w:p>
    <w:p w14:paraId="6EBB8775" w14:textId="77939D4B" w:rsidR="00DA0CCE" w:rsidRPr="00186777" w:rsidRDefault="00DA0CCE" w:rsidP="00DA0CCE">
      <w:pPr>
        <w:pStyle w:val="SingleTxt"/>
        <w:rPr>
          <w:lang w:val="es-ES_tradnl"/>
        </w:rPr>
      </w:pPr>
    </w:p>
    <w:p w14:paraId="75064B9E" w14:textId="1DD2F0E2" w:rsidR="00DA0CCE" w:rsidRPr="00186777" w:rsidRDefault="00DA0CCE">
      <w:pPr>
        <w:suppressAutoHyphens w:val="0"/>
        <w:spacing w:after="200" w:line="276" w:lineRule="auto"/>
        <w:rPr>
          <w:kern w:val="14"/>
          <w:lang w:val="es-ES_tradnl"/>
        </w:rPr>
      </w:pPr>
      <w:r w:rsidRPr="00186777">
        <w:rPr>
          <w:lang w:val="es-ES_tradnl"/>
        </w:rPr>
        <w:br w:type="page"/>
      </w:r>
    </w:p>
    <w:p w14:paraId="0C75C080" w14:textId="1A6F6CAA" w:rsidR="00AA6F33" w:rsidRPr="00186777" w:rsidRDefault="00AA6F33" w:rsidP="00DA0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VII</w:t>
      </w:r>
    </w:p>
    <w:p w14:paraId="1C66A7BF" w14:textId="77777777" w:rsidR="00AA6F33" w:rsidRPr="00186777" w:rsidRDefault="00AA6F33" w:rsidP="00DA0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Información sobre la aplicación del artículo 21 de la Convención</w:t>
      </w:r>
    </w:p>
    <w:p w14:paraId="6B5F3D4B" w14:textId="77777777" w:rsidR="00DA0CCE" w:rsidRPr="00186777" w:rsidRDefault="00DA0CCE" w:rsidP="00DA0CCE">
      <w:pPr>
        <w:pStyle w:val="SingleTxt"/>
        <w:spacing w:after="0" w:line="120" w:lineRule="exact"/>
        <w:rPr>
          <w:b/>
          <w:sz w:val="10"/>
          <w:lang w:val="es-ES_tradnl"/>
        </w:rPr>
      </w:pPr>
    </w:p>
    <w:p w14:paraId="1A272D0E" w14:textId="77777777" w:rsidR="00DA0CCE" w:rsidRPr="00186777" w:rsidRDefault="00DA0CCE" w:rsidP="00DA0CCE">
      <w:pPr>
        <w:pStyle w:val="SingleTxt"/>
        <w:spacing w:after="0" w:line="120" w:lineRule="exact"/>
        <w:rPr>
          <w:b/>
          <w:sz w:val="10"/>
          <w:lang w:val="es-ES_tradnl"/>
        </w:rPr>
      </w:pPr>
    </w:p>
    <w:p w14:paraId="293E1B89" w14:textId="431F12F6" w:rsidR="00AA6F33" w:rsidRPr="00186777" w:rsidRDefault="00AA6F33" w:rsidP="00DA0C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las dimensiones de género de la reducción del riesgo de desastres en el contexto del cambio climático</w:t>
      </w:r>
    </w:p>
    <w:p w14:paraId="707E05C4" w14:textId="77777777" w:rsidR="00DA0CCE" w:rsidRPr="00186777" w:rsidRDefault="00DA0CCE" w:rsidP="00DA0CCE">
      <w:pPr>
        <w:pStyle w:val="SingleTxt"/>
        <w:spacing w:after="0" w:line="120" w:lineRule="exact"/>
        <w:rPr>
          <w:sz w:val="10"/>
          <w:lang w:val="es-ES_tradnl"/>
        </w:rPr>
      </w:pPr>
    </w:p>
    <w:p w14:paraId="4EB325BE" w14:textId="0D005936" w:rsidR="00AA6F33" w:rsidRPr="00186777" w:rsidRDefault="00AA6F33" w:rsidP="00113F7A">
      <w:pPr>
        <w:pStyle w:val="SingleTxt"/>
        <w:numPr>
          <w:ilvl w:val="0"/>
          <w:numId w:val="10"/>
        </w:numPr>
        <w:ind w:left="1267"/>
        <w:rPr>
          <w:lang w:val="es-ES_tradnl"/>
        </w:rPr>
      </w:pPr>
      <w:r w:rsidRPr="00186777">
        <w:rPr>
          <w:lang w:val="es-ES_tradnl"/>
        </w:rPr>
        <w:t>El grupo de trabajo se reunió durante el período de sesiones y debatió el proyecto de recomendación general.</w:t>
      </w:r>
    </w:p>
    <w:p w14:paraId="49BBD518" w14:textId="09F9098C" w:rsidR="00AA6F33" w:rsidRPr="00186777" w:rsidRDefault="00AA6F33" w:rsidP="00113F7A">
      <w:pPr>
        <w:pStyle w:val="SingleTxt"/>
        <w:numPr>
          <w:ilvl w:val="0"/>
          <w:numId w:val="10"/>
        </w:numPr>
        <w:ind w:left="1267"/>
        <w:rPr>
          <w:lang w:val="es-ES_tradnl"/>
        </w:rPr>
      </w:pPr>
      <w:r w:rsidRPr="00186777">
        <w:rPr>
          <w:lang w:val="es-ES_tradnl"/>
        </w:rPr>
        <w:t>El 7 de marzo de 2018, el Comité aprobó la recomendación general núm. 37 (2018) sobre las dimensiones de género de la reducción del riesgo de desastres en el contexto del cambio climático (</w:t>
      </w:r>
      <w:hyperlink r:id="rId128" w:history="1">
        <w:r w:rsidRPr="00794DB5">
          <w:rPr>
            <w:rStyle w:val="Hyperlink"/>
            <w:lang w:val="es-ES_tradnl"/>
          </w:rPr>
          <w:t>CEDAW/C/GC/37</w:t>
        </w:r>
      </w:hyperlink>
      <w:r w:rsidRPr="00186777">
        <w:rPr>
          <w:lang w:val="es-ES_tradnl"/>
        </w:rPr>
        <w:t>), por consenso</w:t>
      </w:r>
      <w:r w:rsidRPr="00186777">
        <w:rPr>
          <w:vertAlign w:val="superscript"/>
          <w:lang w:val="es-ES_tradnl"/>
        </w:rPr>
        <w:footnoteReference w:id="3"/>
      </w:r>
      <w:r w:rsidRPr="00186777">
        <w:rPr>
          <w:lang w:val="es-ES_tradnl"/>
        </w:rPr>
        <w:t>, de conformidad con el artículo 31 de su reglamento.</w:t>
      </w:r>
    </w:p>
    <w:p w14:paraId="33206845" w14:textId="77777777" w:rsidR="00DA0CCE" w:rsidRPr="00186777" w:rsidRDefault="00DA0CCE" w:rsidP="00DA0CCE">
      <w:pPr>
        <w:pStyle w:val="SingleTxt"/>
        <w:spacing w:after="0" w:line="120" w:lineRule="exact"/>
        <w:rPr>
          <w:b/>
          <w:sz w:val="10"/>
          <w:lang w:val="es-ES_tradnl"/>
        </w:rPr>
      </w:pPr>
    </w:p>
    <w:p w14:paraId="45EAE936" w14:textId="3BAE91E9" w:rsidR="00AA6F33" w:rsidRPr="00186777" w:rsidRDefault="00AA6F33" w:rsidP="00DA0C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Grupo de Trabajo sobre Métodos de Trabajo</w:t>
      </w:r>
    </w:p>
    <w:p w14:paraId="37E9CA1D" w14:textId="77777777" w:rsidR="00DA0CCE" w:rsidRPr="00186777" w:rsidRDefault="00DA0CCE" w:rsidP="00DA0CCE">
      <w:pPr>
        <w:pStyle w:val="SingleTxt"/>
        <w:spacing w:after="0" w:line="120" w:lineRule="exact"/>
        <w:rPr>
          <w:sz w:val="10"/>
          <w:lang w:val="es-ES_tradnl"/>
        </w:rPr>
      </w:pPr>
    </w:p>
    <w:p w14:paraId="6001A13F" w14:textId="39556BF1" w:rsidR="00AA6F33" w:rsidRPr="00186777" w:rsidRDefault="00AA6F33" w:rsidP="00113F7A">
      <w:pPr>
        <w:pStyle w:val="SingleTxt"/>
        <w:numPr>
          <w:ilvl w:val="0"/>
          <w:numId w:val="10"/>
        </w:numPr>
        <w:ind w:left="1267"/>
        <w:rPr>
          <w:lang w:val="es-ES_tradnl"/>
        </w:rPr>
      </w:pPr>
      <w:r w:rsidRPr="00186777">
        <w:rPr>
          <w:lang w:val="es-ES_tradnl"/>
        </w:rPr>
        <w:t>El grupo de trabajo se reunió durante el período de sesiones y examinó y presentó al Comité un proyecto de decisión relativo a la restitución del procedimiento simplificado de presentación de informes (véase la decisión 69/V).</w:t>
      </w:r>
    </w:p>
    <w:p w14:paraId="2AC13CEC" w14:textId="77777777" w:rsidR="00DA0CCE" w:rsidRPr="00186777" w:rsidRDefault="00DA0CCE" w:rsidP="00DA0CCE">
      <w:pPr>
        <w:pStyle w:val="SingleTxt"/>
        <w:spacing w:after="0" w:line="120" w:lineRule="exact"/>
        <w:rPr>
          <w:b/>
          <w:bCs/>
          <w:sz w:val="10"/>
          <w:lang w:val="es-ES_tradnl"/>
        </w:rPr>
      </w:pPr>
    </w:p>
    <w:p w14:paraId="3993C58E" w14:textId="07F9AC24" w:rsidR="00AA6F33" w:rsidRPr="00186777" w:rsidRDefault="00DA0CCE" w:rsidP="00DA0C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r>
      <w:r w:rsidR="00AA6F33" w:rsidRPr="00186777">
        <w:rPr>
          <w:lang w:val="es-ES_tradnl"/>
        </w:rPr>
        <w:t>Grupo de trabajo sobre la Unión Interparlamentaria</w:t>
      </w:r>
    </w:p>
    <w:p w14:paraId="33F7332A" w14:textId="77777777" w:rsidR="00DA0CCE" w:rsidRPr="00186777" w:rsidRDefault="00DA0CCE" w:rsidP="00DA0CCE">
      <w:pPr>
        <w:pStyle w:val="SingleTxt"/>
        <w:spacing w:after="0" w:line="120" w:lineRule="exact"/>
        <w:rPr>
          <w:sz w:val="10"/>
          <w:lang w:val="es-ES_tradnl"/>
        </w:rPr>
      </w:pPr>
    </w:p>
    <w:p w14:paraId="750E9FFD" w14:textId="1772C5AA" w:rsidR="00AA6F33" w:rsidRPr="00186777" w:rsidRDefault="00AA6F33" w:rsidP="00113F7A">
      <w:pPr>
        <w:pStyle w:val="SingleTxt"/>
        <w:numPr>
          <w:ilvl w:val="0"/>
          <w:numId w:val="10"/>
        </w:numPr>
        <w:ind w:left="1267"/>
        <w:rPr>
          <w:lang w:val="es-ES_tradnl"/>
        </w:rPr>
      </w:pPr>
      <w:r w:rsidRPr="00186777">
        <w:rPr>
          <w:lang w:val="es-ES_tradnl"/>
        </w:rPr>
        <w:t>El Grupo de Trabajo se reunió con un representante de la Unión Interparlamentaria, quien hizo una exposición informariva ante el grupo de trabajo sobre las actividades de la UIP, en los planos nacional y regional, centrándose en la Convención y la igualdad entre los géneros. El grupo de trabajo destacó la importancia estratégica de aumentar la representación de la mujer en los procesos políticos para el logro de los Objetivos de Desarrollo Sostenible. Invitó a la UIP a compartir datos estadísticos sobre la participación de la mujer en las elecciones. El grupo de trabajo subrayó el compromiso del Comité de promover la aplicación de cuotas específicas para mujeres en el Parlamento, y subrayó la importancia de establecer mecanismos para tal fin.</w:t>
      </w:r>
    </w:p>
    <w:p w14:paraId="096FA5C2" w14:textId="77777777" w:rsidR="00DA0CCE" w:rsidRPr="00186777" w:rsidRDefault="00DA0CCE" w:rsidP="00DA0CCE">
      <w:pPr>
        <w:pStyle w:val="SingleTxt"/>
        <w:spacing w:after="0" w:line="120" w:lineRule="exact"/>
        <w:rPr>
          <w:b/>
          <w:bCs/>
          <w:sz w:val="10"/>
          <w:lang w:val="es-ES_tradnl"/>
        </w:rPr>
      </w:pPr>
    </w:p>
    <w:p w14:paraId="4D1CB115" w14:textId="34ACAE52" w:rsidR="00AA6F33" w:rsidRPr="00186777" w:rsidRDefault="00DA0CCE" w:rsidP="00DA0C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r>
      <w:r w:rsidR="00AA6F33" w:rsidRPr="00186777">
        <w:rPr>
          <w:lang w:val="es-ES_tradnl"/>
        </w:rPr>
        <w:t>Grupo de trabajo sobre la Convención, ONU-Mujeres y los Objetivos de Desarrollo Sostenible</w:t>
      </w:r>
    </w:p>
    <w:p w14:paraId="6430C9F3" w14:textId="77777777" w:rsidR="00DA0CCE" w:rsidRPr="00186777" w:rsidRDefault="00DA0CCE" w:rsidP="00DA0CCE">
      <w:pPr>
        <w:pStyle w:val="SingleTxt"/>
        <w:spacing w:after="0" w:line="120" w:lineRule="exact"/>
        <w:rPr>
          <w:sz w:val="10"/>
          <w:lang w:val="es-ES_tradnl"/>
        </w:rPr>
      </w:pPr>
    </w:p>
    <w:p w14:paraId="60C25C5A" w14:textId="49413EF8" w:rsidR="00AA6F33" w:rsidRPr="00186777" w:rsidRDefault="00AA6F33" w:rsidP="00113F7A">
      <w:pPr>
        <w:pStyle w:val="SingleTxt"/>
        <w:numPr>
          <w:ilvl w:val="0"/>
          <w:numId w:val="10"/>
        </w:numPr>
        <w:ind w:left="1267"/>
        <w:rPr>
          <w:lang w:val="es-ES_tradnl"/>
        </w:rPr>
      </w:pPr>
      <w:r w:rsidRPr="00186777">
        <w:rPr>
          <w:lang w:val="es-ES_tradnl"/>
        </w:rPr>
        <w:t>El Grupo de Trabajo invitó a Hoda Jaberian, oficial de proyectos, de la Sección de Educación para el Desarrollo Sostenible y Ciudadanía Mundial de la División de Inclusión, Paz y el Desarrollo Sostenible, Sector de Educación, de la UNESCO, a hacer una exposición informativa al Comité sobre la elaboración del indicador 4. 7. 1 de los Objetivos de Desarrollo Sostenible, relativo a la incorporación de la educación cívica mundial y la educación para el desarrollo sostenible, incluida la igualdad entre los géneros y los derechos humanos, en las políticas nacionales de educación, los planes de estudio, la formación del personal docente y la evaluación de los estudiantes; la UNESCO era el organismo encargado de vigilar el cumplimiento de dicho indicador. El Grupo de Trabajo subrayó la importancia de incluir las recomendaciones del Comité en la labor de la UNESCO sobre la elaboración de indicadores y la recopilación de datos. El Comité y la UNESCO acordaron fortalecer su colaboración institucional.</w:t>
      </w:r>
    </w:p>
    <w:p w14:paraId="1B5DCDDA" w14:textId="697EFABF" w:rsidR="00AA6F33" w:rsidRPr="00186777" w:rsidRDefault="00AA6F33" w:rsidP="00113F7A">
      <w:pPr>
        <w:pStyle w:val="SingleTxt"/>
        <w:numPr>
          <w:ilvl w:val="0"/>
          <w:numId w:val="10"/>
        </w:numPr>
        <w:ind w:left="1267"/>
        <w:rPr>
          <w:lang w:val="es-ES_tradnl"/>
        </w:rPr>
      </w:pPr>
      <w:r w:rsidRPr="00186777">
        <w:rPr>
          <w:lang w:val="es-ES_tradnl"/>
        </w:rPr>
        <w:lastRenderedPageBreak/>
        <w:t>El grupo de trabajo invitó a Biancamaria Pomeranzi, ex miembro del Comité, en su calidad de consultora, a que hiciera una exposición informativa sobre los progresos que había hecho en la revisión de las directrices del Comité para la presentación de informes sobre tratados específicos (</w:t>
      </w:r>
      <w:hyperlink r:id="rId129" w:history="1">
        <w:r w:rsidRPr="00794DB5">
          <w:rPr>
            <w:rStyle w:val="Hyperlink"/>
            <w:lang w:val="es-ES_tradnl"/>
          </w:rPr>
          <w:t>HRI/GEN/2/Rev.6</w:t>
        </w:r>
      </w:hyperlink>
      <w:r w:rsidRPr="00186777">
        <w:rPr>
          <w:lang w:val="es-ES_tradnl"/>
        </w:rPr>
        <w:t xml:space="preserve">) a la luz de los Objetivos de Desarrollo Sostenible. El grupo de trabajo aprobó un proyecto de propuesta preparado por la Sra. Pomeranzi y decidió trabajar en el perfeccionamiento de las directrices, en colaboración con ella y examinar el proyecto final en el </w:t>
      </w:r>
      <w:r w:rsidR="00361DA3" w:rsidRPr="00186777">
        <w:rPr>
          <w:lang w:val="es-ES_tradnl"/>
        </w:rPr>
        <w:t>70</w:t>
      </w:r>
      <w:r w:rsidR="00361DA3" w:rsidRPr="00186777">
        <w:rPr>
          <w:vertAlign w:val="superscript"/>
          <w:lang w:val="es-ES_tradnl"/>
        </w:rPr>
        <w:t>o</w:t>
      </w:r>
      <w:r w:rsidR="00361DA3" w:rsidRPr="00186777">
        <w:rPr>
          <w:lang w:val="es-ES_tradnl"/>
        </w:rPr>
        <w:t xml:space="preserve"> </w:t>
      </w:r>
      <w:r w:rsidRPr="00186777">
        <w:rPr>
          <w:lang w:val="es-ES_tradnl"/>
        </w:rPr>
        <w:t>período de sesiones.</w:t>
      </w:r>
    </w:p>
    <w:p w14:paraId="78AEDFE9" w14:textId="4C133A34" w:rsidR="00AA6F33" w:rsidRPr="00186777" w:rsidRDefault="00AA6F33" w:rsidP="00113F7A">
      <w:pPr>
        <w:pStyle w:val="SingleTxt"/>
        <w:numPr>
          <w:ilvl w:val="0"/>
          <w:numId w:val="10"/>
        </w:numPr>
        <w:ind w:left="1267"/>
        <w:rPr>
          <w:lang w:val="es-ES_tradnl"/>
        </w:rPr>
      </w:pPr>
      <w:r w:rsidRPr="00186777">
        <w:rPr>
          <w:lang w:val="es-ES_tradnl"/>
        </w:rPr>
        <w:t>La presidenta del grupo de trabajo, Nicole Ameline, propuso que el Comité celebrara una reunión con los organismos encargados de vigilar el cumplimiento de los Objetivos de Desarrollo Sostenible en su 70</w:t>
      </w:r>
      <w:r w:rsidRPr="00186777">
        <w:rPr>
          <w:vertAlign w:val="superscript"/>
          <w:lang w:val="es-ES_tradnl"/>
        </w:rPr>
        <w:t>o</w:t>
      </w:r>
      <w:r w:rsidRPr="00186777">
        <w:rPr>
          <w:lang w:val="es-ES_tradnl"/>
        </w:rPr>
        <w:t xml:space="preserve"> período de sesiones, con miras a reforzar la integración de la Convención en la implementación de la Agenda 2030, en particular con respecto a las metas relativas al empoderamiento de la mujer.</w:t>
      </w:r>
    </w:p>
    <w:p w14:paraId="5E2BB97D" w14:textId="77777777" w:rsidR="00DA0CCE" w:rsidRPr="00186777" w:rsidRDefault="00DA0CCE" w:rsidP="00DA0CCE">
      <w:pPr>
        <w:pStyle w:val="SingleTxt"/>
        <w:spacing w:after="0" w:line="120" w:lineRule="exact"/>
        <w:rPr>
          <w:sz w:val="10"/>
          <w:lang w:val="es-ES_tradnl"/>
        </w:rPr>
      </w:pPr>
    </w:p>
    <w:p w14:paraId="67D0E4EE" w14:textId="03E408A1" w:rsidR="00AA6F33" w:rsidRPr="00186777" w:rsidRDefault="00DA0CCE" w:rsidP="00DA0C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00AA6F33" w:rsidRPr="00186777">
        <w:rPr>
          <w:lang w:val="es-ES_tradnl"/>
        </w:rPr>
        <w:tab/>
        <w:t>Equipo de tareas sobre las mujeres en la prevención de conflictos y en situaciones de conflicto y posteriores a conflictos</w:t>
      </w:r>
    </w:p>
    <w:p w14:paraId="068AF412" w14:textId="77777777" w:rsidR="00DA0CCE" w:rsidRPr="00186777" w:rsidRDefault="00DA0CCE" w:rsidP="00DA0CCE">
      <w:pPr>
        <w:pStyle w:val="SingleTxt"/>
        <w:spacing w:after="0" w:line="120" w:lineRule="exact"/>
        <w:rPr>
          <w:sz w:val="10"/>
          <w:lang w:val="es-ES_tradnl"/>
        </w:rPr>
      </w:pPr>
    </w:p>
    <w:p w14:paraId="53EB5EE5" w14:textId="476657BD" w:rsidR="00AA6F33" w:rsidRPr="00186777" w:rsidRDefault="00AA6F33" w:rsidP="00113F7A">
      <w:pPr>
        <w:pStyle w:val="SingleTxt"/>
        <w:numPr>
          <w:ilvl w:val="0"/>
          <w:numId w:val="10"/>
        </w:numPr>
        <w:ind w:left="1267"/>
        <w:rPr>
          <w:lang w:val="es-ES_tradnl"/>
        </w:rPr>
      </w:pPr>
      <w:r w:rsidRPr="00186777">
        <w:rPr>
          <w:lang w:val="es-ES_tradnl"/>
        </w:rPr>
        <w:t xml:space="preserve">El equipo de tareas se reunió durante el período de sesiones y examinó la posibilidad de celebrar una mesa redonda sobre la mujer y la paz y la seguridad durante </w:t>
      </w:r>
      <w:r w:rsidR="00361DA3" w:rsidRPr="00186777">
        <w:rPr>
          <w:lang w:val="es-ES_tradnl"/>
        </w:rPr>
        <w:t>71</w:t>
      </w:r>
      <w:r w:rsidR="00361DA3" w:rsidRPr="00186777">
        <w:rPr>
          <w:vertAlign w:val="superscript"/>
          <w:lang w:val="es-ES_tradnl"/>
        </w:rPr>
        <w:t>er</w:t>
      </w:r>
      <w:r w:rsidR="00361DA3" w:rsidRPr="00186777">
        <w:rPr>
          <w:lang w:val="es-ES_tradnl"/>
        </w:rPr>
        <w:t xml:space="preserve"> </w:t>
      </w:r>
      <w:r w:rsidRPr="00186777">
        <w:rPr>
          <w:lang w:val="es-ES_tradnl"/>
        </w:rPr>
        <w:t>período de sesiones del Comité.</w:t>
      </w:r>
    </w:p>
    <w:p w14:paraId="27C67A1D" w14:textId="689A371F" w:rsidR="00DA0CCE" w:rsidRPr="00186777" w:rsidRDefault="00DA0CCE" w:rsidP="00DA0CCE">
      <w:pPr>
        <w:pStyle w:val="SingleTxt"/>
        <w:rPr>
          <w:lang w:val="es-ES_tradnl"/>
        </w:rPr>
      </w:pPr>
    </w:p>
    <w:p w14:paraId="7F418B1B" w14:textId="1EA7C3B4" w:rsidR="00DA0CCE" w:rsidRPr="00186777" w:rsidRDefault="00DA0CCE">
      <w:pPr>
        <w:suppressAutoHyphens w:val="0"/>
        <w:spacing w:after="200" w:line="276" w:lineRule="auto"/>
        <w:rPr>
          <w:kern w:val="14"/>
          <w:lang w:val="es-ES_tradnl"/>
        </w:rPr>
      </w:pPr>
      <w:r w:rsidRPr="00186777">
        <w:rPr>
          <w:lang w:val="es-ES_tradnl"/>
        </w:rPr>
        <w:br w:type="page"/>
      </w:r>
    </w:p>
    <w:p w14:paraId="07A44845" w14:textId="76DCFB57" w:rsidR="00AA6F33" w:rsidRPr="00186777" w:rsidRDefault="00AA6F33" w:rsidP="00DA0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VIII</w:t>
      </w:r>
    </w:p>
    <w:p w14:paraId="447520B6" w14:textId="71607398" w:rsidR="00AA6F33" w:rsidRPr="00186777" w:rsidRDefault="00AA6F33" w:rsidP="00DA0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Programa provisional del 70º período de sesiones</w:t>
      </w:r>
    </w:p>
    <w:p w14:paraId="1C3F7240" w14:textId="2DE94097" w:rsidR="00DA0CCE" w:rsidRPr="00186777" w:rsidRDefault="00DA0CCE" w:rsidP="00DA0CCE">
      <w:pPr>
        <w:pStyle w:val="SingleTxt"/>
        <w:spacing w:after="0" w:line="120" w:lineRule="exact"/>
        <w:rPr>
          <w:sz w:val="10"/>
          <w:lang w:val="es-ES_tradnl"/>
        </w:rPr>
      </w:pPr>
    </w:p>
    <w:p w14:paraId="685FBFB6" w14:textId="730E090C" w:rsidR="00DA0CCE" w:rsidRPr="00186777" w:rsidRDefault="00DA0CCE" w:rsidP="00DA0CCE">
      <w:pPr>
        <w:pStyle w:val="SingleTxt"/>
        <w:spacing w:after="0" w:line="120" w:lineRule="exact"/>
        <w:rPr>
          <w:sz w:val="10"/>
          <w:lang w:val="es-ES_tradnl"/>
        </w:rPr>
      </w:pPr>
    </w:p>
    <w:p w14:paraId="5C74AEF2" w14:textId="7DA128BF" w:rsidR="00AA6F33" w:rsidRPr="00186777" w:rsidRDefault="00AA6F33" w:rsidP="00113F7A">
      <w:pPr>
        <w:pStyle w:val="SingleTxt"/>
        <w:numPr>
          <w:ilvl w:val="0"/>
          <w:numId w:val="10"/>
        </w:numPr>
        <w:ind w:left="1267"/>
        <w:rPr>
          <w:lang w:val="es-ES_tradnl"/>
        </w:rPr>
      </w:pPr>
      <w:r w:rsidRPr="00186777">
        <w:rPr>
          <w:lang w:val="es-ES_tradnl"/>
        </w:rPr>
        <w:t>En su 1599ª sesión, celebrada el 9 de marzo de 2018, el Comité examinó y aprobó el proyecto de programa provisional de su 70º período de sesiones.</w:t>
      </w:r>
    </w:p>
    <w:p w14:paraId="2AA53561" w14:textId="50566EC6" w:rsidR="00DA0CCE" w:rsidRPr="00186777" w:rsidRDefault="00DA0CCE" w:rsidP="00DA0CCE">
      <w:pPr>
        <w:pStyle w:val="SingleTxt"/>
        <w:rPr>
          <w:lang w:val="es-ES_tradnl"/>
        </w:rPr>
      </w:pPr>
    </w:p>
    <w:p w14:paraId="1EE47B52" w14:textId="3FBB1281" w:rsidR="00DA0CCE" w:rsidRPr="00186777" w:rsidRDefault="00DA0CCE">
      <w:pPr>
        <w:suppressAutoHyphens w:val="0"/>
        <w:spacing w:after="200" w:line="276" w:lineRule="auto"/>
        <w:rPr>
          <w:kern w:val="14"/>
          <w:lang w:val="es-ES_tradnl"/>
        </w:rPr>
      </w:pPr>
      <w:r w:rsidRPr="00186777">
        <w:rPr>
          <w:lang w:val="es-ES_tradnl"/>
        </w:rPr>
        <w:br w:type="page"/>
      </w:r>
    </w:p>
    <w:p w14:paraId="03686909" w14:textId="72C5C9DC" w:rsidR="00AA6F33" w:rsidRPr="00186777" w:rsidRDefault="00AA6F33" w:rsidP="00DA0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Capítulo IX</w:t>
      </w:r>
    </w:p>
    <w:p w14:paraId="5792400E" w14:textId="77777777" w:rsidR="00AA6F33" w:rsidRPr="00186777" w:rsidRDefault="00AA6F33" w:rsidP="00DA0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Aprobación del informe</w:t>
      </w:r>
    </w:p>
    <w:p w14:paraId="03EC62B6" w14:textId="77777777" w:rsidR="00DA0CCE" w:rsidRPr="00186777" w:rsidRDefault="00DA0CCE" w:rsidP="00DA0CCE">
      <w:pPr>
        <w:pStyle w:val="SingleTxt"/>
        <w:spacing w:after="0" w:line="120" w:lineRule="exact"/>
        <w:rPr>
          <w:sz w:val="10"/>
          <w:lang w:val="es-ES_tradnl"/>
        </w:rPr>
      </w:pPr>
    </w:p>
    <w:p w14:paraId="06E45049" w14:textId="77777777" w:rsidR="00DA0CCE" w:rsidRPr="00186777" w:rsidRDefault="00DA0CCE" w:rsidP="00DA0CCE">
      <w:pPr>
        <w:pStyle w:val="SingleTxt"/>
        <w:spacing w:after="0" w:line="120" w:lineRule="exact"/>
        <w:rPr>
          <w:sz w:val="10"/>
          <w:lang w:val="es-ES_tradnl"/>
        </w:rPr>
      </w:pPr>
    </w:p>
    <w:p w14:paraId="20B0455C" w14:textId="24DDBD2D" w:rsidR="00AA6F33" w:rsidRPr="00186777" w:rsidRDefault="00AA6F33" w:rsidP="00113F7A">
      <w:pPr>
        <w:pStyle w:val="SingleTxt"/>
        <w:numPr>
          <w:ilvl w:val="0"/>
          <w:numId w:val="10"/>
        </w:numPr>
        <w:ind w:left="1267"/>
        <w:rPr>
          <w:lang w:val="es-ES_tradnl"/>
        </w:rPr>
      </w:pPr>
      <w:r w:rsidRPr="00186777">
        <w:rPr>
          <w:lang w:val="es-ES_tradnl"/>
        </w:rPr>
        <w:t>En su 1599ª sesión, celebrada el 9 de marzo de 2018, el Comité examinó y aprobó, en su forma revisada oralmente, el proyecto de informe sobre su 69º período de sesiones.</w:t>
      </w:r>
    </w:p>
    <w:p w14:paraId="69AF3618" w14:textId="7F941137" w:rsidR="00DA0CCE" w:rsidRPr="00186777" w:rsidRDefault="00DA0CCE" w:rsidP="00DA0CCE">
      <w:pPr>
        <w:pStyle w:val="SingleTxt"/>
        <w:rPr>
          <w:lang w:val="es-ES_tradnl"/>
        </w:rPr>
      </w:pPr>
    </w:p>
    <w:p w14:paraId="6E656D21" w14:textId="4247ECF8" w:rsidR="00DA0CCE" w:rsidRPr="00186777" w:rsidRDefault="00DA0CCE">
      <w:pPr>
        <w:suppressAutoHyphens w:val="0"/>
        <w:spacing w:after="200" w:line="276" w:lineRule="auto"/>
        <w:rPr>
          <w:kern w:val="14"/>
          <w:lang w:val="es-ES_tradnl"/>
        </w:rPr>
      </w:pPr>
      <w:r w:rsidRPr="00186777">
        <w:rPr>
          <w:lang w:val="es-ES_tradnl"/>
        </w:rPr>
        <w:br w:type="page"/>
      </w:r>
    </w:p>
    <w:p w14:paraId="25619FF5" w14:textId="3A485053" w:rsidR="00AA6F33" w:rsidRPr="00186777" w:rsidRDefault="00AA6F33" w:rsidP="00DA0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Anexo I</w:t>
      </w:r>
    </w:p>
    <w:p w14:paraId="2D42430F" w14:textId="77777777" w:rsidR="00AA6F33" w:rsidRPr="00186777" w:rsidRDefault="00AA6F33" w:rsidP="00DA0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Documentos que el Comité tuvo ante sí en su 69º período de sesiones</w:t>
      </w:r>
    </w:p>
    <w:p w14:paraId="1603B258" w14:textId="2A5A0D76" w:rsidR="00C45E41" w:rsidRPr="00186777" w:rsidRDefault="00C45E41" w:rsidP="00DA0CCE">
      <w:pPr>
        <w:pStyle w:val="SingleTxt"/>
        <w:spacing w:after="0" w:line="120" w:lineRule="exact"/>
        <w:rPr>
          <w:b/>
          <w:sz w:val="10"/>
          <w:lang w:val="es-ES_tradnl"/>
        </w:rPr>
      </w:pPr>
    </w:p>
    <w:p w14:paraId="5BC31E7D" w14:textId="695B34F3" w:rsidR="00DA0CCE" w:rsidRPr="00186777" w:rsidRDefault="00DA0CCE" w:rsidP="00DA0CCE">
      <w:pPr>
        <w:pStyle w:val="SingleTxt"/>
        <w:spacing w:after="0" w:line="120" w:lineRule="exact"/>
        <w:rPr>
          <w:b/>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0"/>
        <w:gridCol w:w="4800"/>
      </w:tblGrid>
      <w:tr w:rsidR="00DA0CCE" w:rsidRPr="00186777" w14:paraId="0B1485FE" w14:textId="77777777" w:rsidTr="00054806">
        <w:trPr>
          <w:tblHeader/>
        </w:trPr>
        <w:tc>
          <w:tcPr>
            <w:tcW w:w="2520" w:type="dxa"/>
            <w:tcBorders>
              <w:top w:val="single" w:sz="4" w:space="0" w:color="auto"/>
              <w:bottom w:val="single" w:sz="12" w:space="0" w:color="auto"/>
            </w:tcBorders>
            <w:shd w:val="clear" w:color="auto" w:fill="auto"/>
            <w:vAlign w:val="bottom"/>
          </w:tcPr>
          <w:p w14:paraId="46002317" w14:textId="1A5C09BA"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rPr>
                <w:i/>
                <w:sz w:val="14"/>
                <w:lang w:val="es-ES_tradnl"/>
              </w:rPr>
            </w:pPr>
            <w:r w:rsidRPr="00186777">
              <w:rPr>
                <w:i/>
                <w:sz w:val="14"/>
                <w:lang w:val="es-ES_tradnl"/>
              </w:rPr>
              <w:t>Número de documento</w:t>
            </w:r>
          </w:p>
        </w:tc>
        <w:tc>
          <w:tcPr>
            <w:tcW w:w="4800" w:type="dxa"/>
            <w:tcBorders>
              <w:top w:val="single" w:sz="4" w:space="0" w:color="auto"/>
              <w:bottom w:val="single" w:sz="12" w:space="0" w:color="auto"/>
            </w:tcBorders>
            <w:shd w:val="clear" w:color="auto" w:fill="auto"/>
            <w:vAlign w:val="bottom"/>
          </w:tcPr>
          <w:p w14:paraId="0E4F163B" w14:textId="7D0CDEBD"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0"/>
              <w:jc w:val="left"/>
              <w:rPr>
                <w:i/>
                <w:sz w:val="14"/>
                <w:lang w:val="es-ES_tradnl"/>
              </w:rPr>
            </w:pPr>
            <w:r w:rsidRPr="00186777">
              <w:rPr>
                <w:i/>
                <w:sz w:val="14"/>
                <w:lang w:val="es-ES_tradnl"/>
              </w:rPr>
              <w:t>Título o descripción</w:t>
            </w:r>
          </w:p>
        </w:tc>
      </w:tr>
      <w:tr w:rsidR="00DA0CCE" w:rsidRPr="00186777" w14:paraId="5BF4B83E" w14:textId="77777777" w:rsidTr="00054806">
        <w:trPr>
          <w:trHeight w:hRule="exact" w:val="115"/>
          <w:tblHeader/>
        </w:trPr>
        <w:tc>
          <w:tcPr>
            <w:tcW w:w="2520" w:type="dxa"/>
            <w:tcBorders>
              <w:top w:val="single" w:sz="12" w:space="0" w:color="auto"/>
            </w:tcBorders>
            <w:shd w:val="clear" w:color="auto" w:fill="auto"/>
            <w:vAlign w:val="bottom"/>
          </w:tcPr>
          <w:p w14:paraId="2D65095D" w14:textId="77777777" w:rsidR="00DA0CCE" w:rsidRPr="00186777" w:rsidRDefault="00DA0CCE" w:rsidP="00794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rPr>
                <w:lang w:val="es-ES_tradnl"/>
              </w:rPr>
            </w:pPr>
          </w:p>
        </w:tc>
        <w:tc>
          <w:tcPr>
            <w:tcW w:w="4800" w:type="dxa"/>
            <w:tcBorders>
              <w:top w:val="single" w:sz="12" w:space="0" w:color="auto"/>
            </w:tcBorders>
            <w:shd w:val="clear" w:color="auto" w:fill="auto"/>
            <w:vAlign w:val="bottom"/>
          </w:tcPr>
          <w:p w14:paraId="1824EF15" w14:textId="77777777" w:rsidR="00DA0CCE" w:rsidRPr="00186777" w:rsidRDefault="00DA0CCE" w:rsidP="00794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rPr>
                <w:lang w:val="es-ES_tradnl"/>
              </w:rPr>
            </w:pPr>
          </w:p>
        </w:tc>
      </w:tr>
      <w:tr w:rsidR="00DA0CCE" w:rsidRPr="00186777" w14:paraId="7CF570F9" w14:textId="77777777" w:rsidTr="00054806">
        <w:tc>
          <w:tcPr>
            <w:tcW w:w="2520" w:type="dxa"/>
            <w:shd w:val="clear" w:color="auto" w:fill="auto"/>
          </w:tcPr>
          <w:p w14:paraId="564D0487" w14:textId="5DAA5829"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30" w:history="1">
              <w:r w:rsidR="00DA0CCE" w:rsidRPr="00186777">
                <w:rPr>
                  <w:rStyle w:val="Hyperlink"/>
                  <w:lang w:val="es-ES_tradnl"/>
                </w:rPr>
                <w:t>CEDAW/C/69/1</w:t>
              </w:r>
            </w:hyperlink>
          </w:p>
        </w:tc>
        <w:tc>
          <w:tcPr>
            <w:tcW w:w="4800" w:type="dxa"/>
            <w:shd w:val="clear" w:color="auto" w:fill="auto"/>
          </w:tcPr>
          <w:p w14:paraId="63B39F5C" w14:textId="2F077109"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 xml:space="preserve">Programa provisional anotado </w:t>
            </w:r>
          </w:p>
        </w:tc>
      </w:tr>
      <w:tr w:rsidR="00DA0CCE" w:rsidRPr="00186777" w14:paraId="43B93FDA" w14:textId="77777777" w:rsidTr="00054806">
        <w:tc>
          <w:tcPr>
            <w:tcW w:w="2520" w:type="dxa"/>
            <w:shd w:val="clear" w:color="auto" w:fill="auto"/>
          </w:tcPr>
          <w:p w14:paraId="6EFBF784" w14:textId="6B051839"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31" w:history="1">
              <w:r w:rsidR="00DA0CCE" w:rsidRPr="00186777">
                <w:rPr>
                  <w:rStyle w:val="Hyperlink"/>
                  <w:lang w:val="es-ES_tradnl"/>
                </w:rPr>
                <w:t>CEDAW/C/69/2</w:t>
              </w:r>
            </w:hyperlink>
          </w:p>
        </w:tc>
        <w:tc>
          <w:tcPr>
            <w:tcW w:w="4800" w:type="dxa"/>
            <w:shd w:val="clear" w:color="auto" w:fill="auto"/>
          </w:tcPr>
          <w:p w14:paraId="535374EB" w14:textId="44CB46F3"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Informe de la Organización de las Naciones Unidas para la Educación, la Ciencia y la Cultura</w:t>
            </w:r>
          </w:p>
        </w:tc>
      </w:tr>
      <w:tr w:rsidR="00DA0CCE" w:rsidRPr="00186777" w14:paraId="1233F273" w14:textId="77777777" w:rsidTr="00054806">
        <w:tc>
          <w:tcPr>
            <w:tcW w:w="2520" w:type="dxa"/>
            <w:shd w:val="clear" w:color="auto" w:fill="auto"/>
          </w:tcPr>
          <w:p w14:paraId="34D357ED" w14:textId="3D7F4229"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32" w:history="1">
              <w:r w:rsidR="00DA0CCE" w:rsidRPr="00186777">
                <w:rPr>
                  <w:rStyle w:val="Hyperlink"/>
                  <w:lang w:val="es-ES_tradnl"/>
                </w:rPr>
                <w:t>CEDAW/C/69/3</w:t>
              </w:r>
            </w:hyperlink>
          </w:p>
        </w:tc>
        <w:tc>
          <w:tcPr>
            <w:tcW w:w="4800" w:type="dxa"/>
            <w:shd w:val="clear" w:color="auto" w:fill="auto"/>
          </w:tcPr>
          <w:p w14:paraId="2AE0EEBF" w14:textId="19D8D749"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Informe de la Organización Internacional del Trabajo</w:t>
            </w:r>
          </w:p>
        </w:tc>
      </w:tr>
      <w:tr w:rsidR="00DA0CCE" w:rsidRPr="00186777" w14:paraId="36B5B074" w14:textId="77777777" w:rsidTr="00054806">
        <w:tc>
          <w:tcPr>
            <w:tcW w:w="2520" w:type="dxa"/>
            <w:shd w:val="clear" w:color="auto" w:fill="auto"/>
          </w:tcPr>
          <w:p w14:paraId="6DE8F02E" w14:textId="59A444CD"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b/>
                <w:bCs/>
                <w:sz w:val="18"/>
                <w:szCs w:val="18"/>
                <w:lang w:val="es-ES_tradnl"/>
              </w:rPr>
            </w:pPr>
            <w:r w:rsidRPr="00186777">
              <w:rPr>
                <w:rFonts w:asciiTheme="majorBidi" w:hAnsiTheme="majorBidi" w:cstheme="majorBidi"/>
                <w:b/>
                <w:spacing w:val="0"/>
                <w:w w:val="100"/>
                <w:kern w:val="0"/>
                <w:sz w:val="18"/>
                <w:szCs w:val="18"/>
                <w:lang w:val="es-ES_tradnl"/>
              </w:rPr>
              <w:t>Informes de los Estados partes</w:t>
            </w:r>
          </w:p>
        </w:tc>
        <w:tc>
          <w:tcPr>
            <w:tcW w:w="4800" w:type="dxa"/>
            <w:shd w:val="clear" w:color="auto" w:fill="auto"/>
          </w:tcPr>
          <w:p w14:paraId="1C52FCB7"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p>
        </w:tc>
      </w:tr>
      <w:tr w:rsidR="00DA0CCE" w:rsidRPr="00186777" w14:paraId="52E2CBA0" w14:textId="77777777" w:rsidTr="00054806">
        <w:tc>
          <w:tcPr>
            <w:tcW w:w="2520" w:type="dxa"/>
            <w:shd w:val="clear" w:color="auto" w:fill="auto"/>
          </w:tcPr>
          <w:p w14:paraId="733F1FEA" w14:textId="5619F7AF"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33" w:history="1">
              <w:r w:rsidR="00DA0CCE" w:rsidRPr="00186777">
                <w:rPr>
                  <w:rStyle w:val="Hyperlink"/>
                  <w:lang w:val="es-ES_tradnl"/>
                </w:rPr>
                <w:t>CEDAW/C/CHL/7</w:t>
              </w:r>
            </w:hyperlink>
          </w:p>
        </w:tc>
        <w:tc>
          <w:tcPr>
            <w:tcW w:w="4800" w:type="dxa"/>
            <w:shd w:val="clear" w:color="auto" w:fill="auto"/>
          </w:tcPr>
          <w:p w14:paraId="57B842AD" w14:textId="3F05992C"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Séptimo informe periódico de Chile</w:t>
            </w:r>
          </w:p>
        </w:tc>
      </w:tr>
      <w:tr w:rsidR="00DA0CCE" w:rsidRPr="00186777" w14:paraId="0DBA3CA5" w14:textId="77777777" w:rsidTr="00054806">
        <w:tc>
          <w:tcPr>
            <w:tcW w:w="2520" w:type="dxa"/>
            <w:shd w:val="clear" w:color="auto" w:fill="auto"/>
          </w:tcPr>
          <w:p w14:paraId="61AA9EBA" w14:textId="3D3FD7C8"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34" w:history="1">
              <w:r w:rsidR="00DA0CCE" w:rsidRPr="00186777">
                <w:rPr>
                  <w:rStyle w:val="Hyperlink"/>
                  <w:lang w:val="es-ES_tradnl"/>
                </w:rPr>
                <w:t>CEDAW/C/FJI/5</w:t>
              </w:r>
            </w:hyperlink>
          </w:p>
        </w:tc>
        <w:tc>
          <w:tcPr>
            <w:tcW w:w="4800" w:type="dxa"/>
            <w:shd w:val="clear" w:color="auto" w:fill="auto"/>
          </w:tcPr>
          <w:p w14:paraId="69982B19" w14:textId="186DDD8D"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Quinto informe periódico de Fiji</w:t>
            </w:r>
          </w:p>
        </w:tc>
      </w:tr>
      <w:tr w:rsidR="00DA0CCE" w:rsidRPr="00186777" w14:paraId="0DCC6FFD" w14:textId="77777777" w:rsidTr="00054806">
        <w:tc>
          <w:tcPr>
            <w:tcW w:w="2520" w:type="dxa"/>
            <w:shd w:val="clear" w:color="auto" w:fill="auto"/>
          </w:tcPr>
          <w:p w14:paraId="3CB54242" w14:textId="5545DA03"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35" w:history="1">
              <w:r w:rsidR="00DA0CCE" w:rsidRPr="00186777">
                <w:rPr>
                  <w:rStyle w:val="Hyperlink"/>
                  <w:lang w:val="es-ES_tradnl"/>
                </w:rPr>
                <w:t>CEDAW/C/LUX/6-7</w:t>
              </w:r>
            </w:hyperlink>
          </w:p>
        </w:tc>
        <w:tc>
          <w:tcPr>
            <w:tcW w:w="4800" w:type="dxa"/>
            <w:shd w:val="clear" w:color="auto" w:fill="auto"/>
          </w:tcPr>
          <w:p w14:paraId="10BBC049" w14:textId="2B4F16F0"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Informes periódicos sexto y séptimo combinados de Luxemburgo</w:t>
            </w:r>
          </w:p>
        </w:tc>
      </w:tr>
      <w:tr w:rsidR="00DA0CCE" w:rsidRPr="00186777" w14:paraId="38298819" w14:textId="77777777" w:rsidTr="00054806">
        <w:tc>
          <w:tcPr>
            <w:tcW w:w="2520" w:type="dxa"/>
            <w:shd w:val="clear" w:color="auto" w:fill="auto"/>
          </w:tcPr>
          <w:p w14:paraId="76F0EA9D" w14:textId="73C9946E"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36" w:history="1">
              <w:r w:rsidR="00DA0CCE" w:rsidRPr="00186777">
                <w:rPr>
                  <w:rStyle w:val="Hyperlink"/>
                  <w:lang w:val="es-ES_tradnl"/>
                </w:rPr>
                <w:t>CEDAW/C/MAL/3/5</w:t>
              </w:r>
            </w:hyperlink>
          </w:p>
        </w:tc>
        <w:tc>
          <w:tcPr>
            <w:tcW w:w="4800" w:type="dxa"/>
            <w:shd w:val="clear" w:color="auto" w:fill="auto"/>
          </w:tcPr>
          <w:p w14:paraId="13658199" w14:textId="099ECBC9"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Informes periódicos tercero y quinto combinados de Malasia</w:t>
            </w:r>
          </w:p>
        </w:tc>
      </w:tr>
      <w:tr w:rsidR="00DA0CCE" w:rsidRPr="00186777" w14:paraId="2DC76511" w14:textId="77777777" w:rsidTr="00054806">
        <w:tc>
          <w:tcPr>
            <w:tcW w:w="2520" w:type="dxa"/>
            <w:shd w:val="clear" w:color="auto" w:fill="auto"/>
          </w:tcPr>
          <w:p w14:paraId="2C5705CB" w14:textId="17503D05"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37" w:history="1">
              <w:r w:rsidR="00DA0CCE" w:rsidRPr="00186777">
                <w:rPr>
                  <w:rStyle w:val="Hyperlink"/>
                  <w:lang w:val="es-ES_tradnl"/>
                </w:rPr>
                <w:t>CEDAW/C/MHL/1-3</w:t>
              </w:r>
            </w:hyperlink>
          </w:p>
        </w:tc>
        <w:tc>
          <w:tcPr>
            <w:tcW w:w="4800" w:type="dxa"/>
            <w:shd w:val="clear" w:color="auto" w:fill="auto"/>
          </w:tcPr>
          <w:p w14:paraId="21860701" w14:textId="3C40CC25"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 xml:space="preserve">Informe inicial </w:t>
            </w:r>
            <w:r w:rsidR="00C41BD8">
              <w:rPr>
                <w:lang w:val="es-ES_tradnl"/>
              </w:rPr>
              <w:t>a</w:t>
            </w:r>
            <w:r w:rsidRPr="00186777">
              <w:rPr>
                <w:lang w:val="es-ES_tradnl"/>
              </w:rPr>
              <w:t xml:space="preserve"> tercer informe periódico combinados de las Islas Marshall</w:t>
            </w:r>
          </w:p>
        </w:tc>
      </w:tr>
      <w:tr w:rsidR="00DA0CCE" w:rsidRPr="00186777" w14:paraId="3CF41C68" w14:textId="77777777" w:rsidTr="00054806">
        <w:tc>
          <w:tcPr>
            <w:tcW w:w="2520" w:type="dxa"/>
            <w:shd w:val="clear" w:color="auto" w:fill="auto"/>
          </w:tcPr>
          <w:p w14:paraId="557CFD63" w14:textId="7C41A26F"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38" w:history="1">
              <w:r w:rsidR="00DA0CCE" w:rsidRPr="00186777">
                <w:rPr>
                  <w:rStyle w:val="Hyperlink"/>
                  <w:lang w:val="es-ES_tradnl"/>
                </w:rPr>
                <w:t>CEDAW/C/KOR/8</w:t>
              </w:r>
            </w:hyperlink>
          </w:p>
        </w:tc>
        <w:tc>
          <w:tcPr>
            <w:tcW w:w="4800" w:type="dxa"/>
            <w:shd w:val="clear" w:color="auto" w:fill="auto"/>
          </w:tcPr>
          <w:p w14:paraId="3711B25B" w14:textId="0830BC8F"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Octavo informe periódico de la República de Corea</w:t>
            </w:r>
          </w:p>
        </w:tc>
      </w:tr>
      <w:tr w:rsidR="00DA0CCE" w:rsidRPr="00186777" w14:paraId="4F2BD1C8" w14:textId="77777777" w:rsidTr="00054806">
        <w:tc>
          <w:tcPr>
            <w:tcW w:w="2520" w:type="dxa"/>
            <w:shd w:val="clear" w:color="auto" w:fill="auto"/>
          </w:tcPr>
          <w:p w14:paraId="7BF2A954" w14:textId="7D01704F"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39" w:history="1">
              <w:r w:rsidR="00DA0CCE" w:rsidRPr="00186777">
                <w:rPr>
                  <w:rStyle w:val="Hyperlink"/>
                  <w:lang w:val="es-ES_tradnl"/>
                </w:rPr>
                <w:t>CEDAW/C/SAU/3-4</w:t>
              </w:r>
            </w:hyperlink>
          </w:p>
        </w:tc>
        <w:tc>
          <w:tcPr>
            <w:tcW w:w="4800" w:type="dxa"/>
            <w:shd w:val="clear" w:color="auto" w:fill="auto"/>
          </w:tcPr>
          <w:p w14:paraId="2756FCC5" w14:textId="35D1B0C0"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 xml:space="preserve">Informes periódicos tercero y cuarto combinados de la Arabia Saudita </w:t>
            </w:r>
          </w:p>
        </w:tc>
      </w:tr>
      <w:tr w:rsidR="00DA0CCE" w:rsidRPr="00186777" w14:paraId="30B6EF49" w14:textId="77777777" w:rsidTr="00054806">
        <w:tc>
          <w:tcPr>
            <w:tcW w:w="2520" w:type="dxa"/>
            <w:tcBorders>
              <w:bottom w:val="single" w:sz="12" w:space="0" w:color="auto"/>
            </w:tcBorders>
            <w:shd w:val="clear" w:color="auto" w:fill="auto"/>
          </w:tcPr>
          <w:p w14:paraId="5F1BB2AE" w14:textId="3B3E8DCC" w:rsidR="00DA0CCE" w:rsidRPr="00186777" w:rsidRDefault="00C1661F"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lang w:val="es-ES_tradnl"/>
              </w:rPr>
            </w:pPr>
            <w:hyperlink r:id="rId140" w:history="1">
              <w:r w:rsidR="00DA0CCE" w:rsidRPr="00186777">
                <w:rPr>
                  <w:rStyle w:val="Hyperlink"/>
                  <w:lang w:val="es-ES_tradnl"/>
                </w:rPr>
                <w:t>CEDAW/C/SUR/4-6</w:t>
              </w:r>
            </w:hyperlink>
          </w:p>
        </w:tc>
        <w:tc>
          <w:tcPr>
            <w:tcW w:w="4800" w:type="dxa"/>
            <w:tcBorders>
              <w:bottom w:val="single" w:sz="12" w:space="0" w:color="auto"/>
            </w:tcBorders>
            <w:shd w:val="clear" w:color="auto" w:fill="auto"/>
          </w:tcPr>
          <w:p w14:paraId="44A2B2EC" w14:textId="07FF1F11"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lang w:val="es-ES_tradnl"/>
              </w:rPr>
            </w:pPr>
            <w:r w:rsidRPr="00186777">
              <w:rPr>
                <w:lang w:val="es-ES_tradnl"/>
              </w:rPr>
              <w:t>Informes periódicos cuarto a sexto combinados de Suriname</w:t>
            </w:r>
          </w:p>
        </w:tc>
      </w:tr>
    </w:tbl>
    <w:p w14:paraId="73AB378A" w14:textId="7B8DE9A4" w:rsidR="00DA0CCE" w:rsidRPr="00186777" w:rsidRDefault="00DA0CCE" w:rsidP="00AA6F33">
      <w:pPr>
        <w:pStyle w:val="SingleTxt"/>
        <w:rPr>
          <w:b/>
          <w:lang w:val="es-ES_tradnl"/>
        </w:rPr>
      </w:pPr>
    </w:p>
    <w:p w14:paraId="4B3D0F4D" w14:textId="7EC70BE5" w:rsidR="00DA0CCE" w:rsidRPr="00186777" w:rsidRDefault="00DA0CCE" w:rsidP="00AA6F33">
      <w:pPr>
        <w:pStyle w:val="SingleTxt"/>
        <w:rPr>
          <w:b/>
          <w:lang w:val="es-ES_tradnl"/>
        </w:rPr>
      </w:pPr>
    </w:p>
    <w:p w14:paraId="35205856" w14:textId="769AB168" w:rsidR="00DA0CCE" w:rsidRPr="00186777" w:rsidRDefault="00DA0CCE">
      <w:pPr>
        <w:suppressAutoHyphens w:val="0"/>
        <w:spacing w:after="200" w:line="276" w:lineRule="auto"/>
        <w:rPr>
          <w:b/>
          <w:kern w:val="14"/>
          <w:lang w:val="es-ES_tradnl"/>
        </w:rPr>
      </w:pPr>
      <w:r w:rsidRPr="00186777">
        <w:rPr>
          <w:b/>
          <w:lang w:val="es-ES_tradnl"/>
        </w:rPr>
        <w:br w:type="page"/>
      </w:r>
    </w:p>
    <w:p w14:paraId="42D70B96" w14:textId="1CE220D2" w:rsidR="00AA6F33" w:rsidRPr="00186777" w:rsidRDefault="00AA6F33" w:rsidP="00DA0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lastRenderedPageBreak/>
        <w:t>Anexo II</w:t>
      </w:r>
    </w:p>
    <w:p w14:paraId="4EE454FB" w14:textId="4D060599" w:rsidR="00AA6F33" w:rsidRPr="00186777" w:rsidRDefault="00AA6F33" w:rsidP="00DA0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86777">
        <w:rPr>
          <w:lang w:val="es-ES_tradnl"/>
        </w:rPr>
        <w:tab/>
      </w:r>
      <w:r w:rsidRPr="00186777">
        <w:rPr>
          <w:lang w:val="es-ES_tradnl"/>
        </w:rPr>
        <w:tab/>
        <w:t>Composición del Comité al 9 de marzo de 2018</w:t>
      </w:r>
    </w:p>
    <w:p w14:paraId="7B119D83" w14:textId="3F0F0AB4" w:rsidR="00C45E41" w:rsidRPr="00186777" w:rsidRDefault="00C45E41" w:rsidP="00DA0CCE">
      <w:pPr>
        <w:pStyle w:val="SingleTxt"/>
        <w:spacing w:after="0" w:line="120" w:lineRule="exact"/>
        <w:rPr>
          <w:b/>
          <w:sz w:val="10"/>
          <w:lang w:val="es-ES_tradnl"/>
        </w:rPr>
      </w:pPr>
    </w:p>
    <w:p w14:paraId="3F1A639F" w14:textId="06425EDA" w:rsidR="00DA0CCE" w:rsidRPr="00186777" w:rsidRDefault="00DA0CCE" w:rsidP="00DA0CCE">
      <w:pPr>
        <w:pStyle w:val="SingleTxt"/>
        <w:spacing w:after="0" w:line="120" w:lineRule="exact"/>
        <w:rPr>
          <w:b/>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48"/>
        <w:gridCol w:w="1836"/>
        <w:gridCol w:w="1836"/>
      </w:tblGrid>
      <w:tr w:rsidR="00DA0CCE" w:rsidRPr="00186777" w14:paraId="46CB5700" w14:textId="77777777" w:rsidTr="00794DB5">
        <w:trPr>
          <w:tblHeader/>
        </w:trPr>
        <w:tc>
          <w:tcPr>
            <w:tcW w:w="3648" w:type="dxa"/>
            <w:tcBorders>
              <w:top w:val="single" w:sz="4" w:space="0" w:color="auto"/>
              <w:bottom w:val="single" w:sz="12" w:space="0" w:color="auto"/>
            </w:tcBorders>
            <w:shd w:val="clear" w:color="auto" w:fill="auto"/>
            <w:vAlign w:val="bottom"/>
          </w:tcPr>
          <w:p w14:paraId="7E85533B" w14:textId="1CE48328" w:rsidR="00DA0CCE" w:rsidRPr="00186777" w:rsidRDefault="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186777">
              <w:rPr>
                <w:i/>
                <w:sz w:val="14"/>
                <w:lang w:val="es-ES_tradnl"/>
              </w:rPr>
              <w:t>Nombre y apellidos</w:t>
            </w:r>
            <w:r w:rsidR="00C41BD8">
              <w:rPr>
                <w:i/>
                <w:sz w:val="14"/>
                <w:lang w:val="es-ES_tradnl"/>
              </w:rPr>
              <w:t xml:space="preserve"> </w:t>
            </w:r>
            <w:r w:rsidRPr="00186777">
              <w:rPr>
                <w:i/>
                <w:sz w:val="14"/>
                <w:lang w:val="es-ES_tradnl"/>
              </w:rPr>
              <w:t>del miembro</w:t>
            </w:r>
          </w:p>
        </w:tc>
        <w:tc>
          <w:tcPr>
            <w:tcW w:w="1836" w:type="dxa"/>
            <w:tcBorders>
              <w:top w:val="single" w:sz="4" w:space="0" w:color="auto"/>
              <w:bottom w:val="single" w:sz="12" w:space="0" w:color="auto"/>
            </w:tcBorders>
            <w:shd w:val="clear" w:color="auto" w:fill="auto"/>
            <w:vAlign w:val="bottom"/>
          </w:tcPr>
          <w:p w14:paraId="5BD6F2CC" w14:textId="58D50B25"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lang w:val="es-ES_tradnl"/>
              </w:rPr>
            </w:pPr>
            <w:r w:rsidRPr="00186777">
              <w:rPr>
                <w:i/>
                <w:sz w:val="14"/>
                <w:lang w:val="es-ES_tradnl"/>
              </w:rPr>
              <w:t>País de nacionalidad</w:t>
            </w:r>
          </w:p>
        </w:tc>
        <w:tc>
          <w:tcPr>
            <w:tcW w:w="1836" w:type="dxa"/>
            <w:tcBorders>
              <w:top w:val="single" w:sz="4" w:space="0" w:color="auto"/>
              <w:bottom w:val="single" w:sz="12" w:space="0" w:color="auto"/>
            </w:tcBorders>
            <w:shd w:val="clear" w:color="auto" w:fill="auto"/>
            <w:vAlign w:val="bottom"/>
          </w:tcPr>
          <w:p w14:paraId="602D5965" w14:textId="05885599" w:rsidR="00DA0CCE" w:rsidRPr="00186777" w:rsidRDefault="00DA0CCE" w:rsidP="000548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s-ES_tradnl"/>
              </w:rPr>
            </w:pPr>
            <w:r w:rsidRPr="00186777">
              <w:rPr>
                <w:i/>
                <w:sz w:val="14"/>
                <w:lang w:val="es-ES_tradnl"/>
              </w:rPr>
              <w:t>El mandato termina el</w:t>
            </w:r>
            <w:r w:rsidR="00C41BD8">
              <w:rPr>
                <w:i/>
                <w:sz w:val="14"/>
                <w:lang w:val="es-ES_tradnl"/>
              </w:rPr>
              <w:br/>
            </w:r>
            <w:r w:rsidRPr="00186777">
              <w:rPr>
                <w:i/>
                <w:sz w:val="14"/>
                <w:lang w:val="es-ES_tradnl"/>
              </w:rPr>
              <w:t>31 de diciembre de</w:t>
            </w:r>
          </w:p>
        </w:tc>
      </w:tr>
      <w:tr w:rsidR="00DA0CCE" w:rsidRPr="00186777" w14:paraId="52FD17AB" w14:textId="77777777" w:rsidTr="00794DB5">
        <w:trPr>
          <w:trHeight w:hRule="exact" w:val="115"/>
          <w:tblHeader/>
        </w:trPr>
        <w:tc>
          <w:tcPr>
            <w:tcW w:w="3648" w:type="dxa"/>
            <w:tcBorders>
              <w:top w:val="single" w:sz="12" w:space="0" w:color="auto"/>
            </w:tcBorders>
            <w:shd w:val="clear" w:color="auto" w:fill="auto"/>
            <w:vAlign w:val="bottom"/>
          </w:tcPr>
          <w:p w14:paraId="01D576A4" w14:textId="77777777" w:rsidR="00DA0CCE" w:rsidRPr="00186777" w:rsidRDefault="00DA0CCE" w:rsidP="00794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rPr>
                <w:lang w:val="es-ES_tradnl"/>
              </w:rPr>
            </w:pPr>
          </w:p>
        </w:tc>
        <w:tc>
          <w:tcPr>
            <w:tcW w:w="1836" w:type="dxa"/>
            <w:tcBorders>
              <w:top w:val="single" w:sz="12" w:space="0" w:color="auto"/>
            </w:tcBorders>
            <w:shd w:val="clear" w:color="auto" w:fill="auto"/>
            <w:vAlign w:val="bottom"/>
          </w:tcPr>
          <w:p w14:paraId="75352AAC" w14:textId="77777777" w:rsidR="00DA0CCE" w:rsidRPr="00186777" w:rsidRDefault="00DA0CCE" w:rsidP="00794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rPr>
                <w:lang w:val="es-ES_tradnl"/>
              </w:rPr>
            </w:pPr>
          </w:p>
        </w:tc>
        <w:tc>
          <w:tcPr>
            <w:tcW w:w="1836" w:type="dxa"/>
            <w:tcBorders>
              <w:top w:val="single" w:sz="12" w:space="0" w:color="auto"/>
            </w:tcBorders>
            <w:shd w:val="clear" w:color="auto" w:fill="auto"/>
            <w:vAlign w:val="bottom"/>
          </w:tcPr>
          <w:p w14:paraId="13B2F210" w14:textId="77777777" w:rsidR="00DA0CCE" w:rsidRPr="00186777" w:rsidRDefault="00DA0CCE" w:rsidP="00794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rPr>
                <w:lang w:val="es-ES_tradnl"/>
              </w:rPr>
            </w:pPr>
          </w:p>
        </w:tc>
      </w:tr>
      <w:tr w:rsidR="00DA0CCE" w:rsidRPr="00186777" w14:paraId="365B987B" w14:textId="77777777" w:rsidTr="00794DB5">
        <w:tc>
          <w:tcPr>
            <w:tcW w:w="3648" w:type="dxa"/>
            <w:shd w:val="clear" w:color="auto" w:fill="auto"/>
          </w:tcPr>
          <w:p w14:paraId="5281DC61"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Ayse Feride Acar</w:t>
            </w:r>
          </w:p>
        </w:tc>
        <w:tc>
          <w:tcPr>
            <w:tcW w:w="1836" w:type="dxa"/>
            <w:shd w:val="clear" w:color="auto" w:fill="auto"/>
          </w:tcPr>
          <w:p w14:paraId="5AF0463C" w14:textId="7E5958B1"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Turquía</w:t>
            </w:r>
          </w:p>
        </w:tc>
        <w:tc>
          <w:tcPr>
            <w:tcW w:w="1836" w:type="dxa"/>
            <w:shd w:val="clear" w:color="auto" w:fill="auto"/>
          </w:tcPr>
          <w:p w14:paraId="4EC35333"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17614ED9" w14:textId="77777777" w:rsidTr="00794DB5">
        <w:tc>
          <w:tcPr>
            <w:tcW w:w="3648" w:type="dxa"/>
            <w:shd w:val="clear" w:color="auto" w:fill="auto"/>
          </w:tcPr>
          <w:p w14:paraId="72F56F10"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Gladys Acosta Vargas</w:t>
            </w:r>
          </w:p>
        </w:tc>
        <w:tc>
          <w:tcPr>
            <w:tcW w:w="1836" w:type="dxa"/>
            <w:shd w:val="clear" w:color="auto" w:fill="auto"/>
          </w:tcPr>
          <w:p w14:paraId="4CB2A47C" w14:textId="28025219"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Perú</w:t>
            </w:r>
          </w:p>
        </w:tc>
        <w:tc>
          <w:tcPr>
            <w:tcW w:w="1836" w:type="dxa"/>
            <w:shd w:val="clear" w:color="auto" w:fill="auto"/>
          </w:tcPr>
          <w:p w14:paraId="7C5D03A2"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3ADEF239" w14:textId="77777777" w:rsidTr="00794DB5">
        <w:tc>
          <w:tcPr>
            <w:tcW w:w="3648" w:type="dxa"/>
            <w:shd w:val="clear" w:color="auto" w:fill="auto"/>
          </w:tcPr>
          <w:p w14:paraId="0B1A8B04"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Nicole Ameline</w:t>
            </w:r>
          </w:p>
        </w:tc>
        <w:tc>
          <w:tcPr>
            <w:tcW w:w="1836" w:type="dxa"/>
            <w:shd w:val="clear" w:color="auto" w:fill="auto"/>
          </w:tcPr>
          <w:p w14:paraId="1453C410" w14:textId="32E2036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Francia</w:t>
            </w:r>
          </w:p>
        </w:tc>
        <w:tc>
          <w:tcPr>
            <w:tcW w:w="1836" w:type="dxa"/>
            <w:shd w:val="clear" w:color="auto" w:fill="auto"/>
          </w:tcPr>
          <w:p w14:paraId="6C9568B6"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r w:rsidR="00DA0CCE" w:rsidRPr="00186777" w14:paraId="5CD68258" w14:textId="77777777" w:rsidTr="00794DB5">
        <w:tc>
          <w:tcPr>
            <w:tcW w:w="3648" w:type="dxa"/>
            <w:shd w:val="clear" w:color="auto" w:fill="auto"/>
          </w:tcPr>
          <w:p w14:paraId="15FF41F6" w14:textId="508A07B2" w:rsidR="00DA0CCE" w:rsidRPr="00794DB5" w:rsidRDefault="00501DB6"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5"/>
              <w:jc w:val="left"/>
              <w:rPr>
                <w:lang w:val="fr-FR"/>
              </w:rPr>
            </w:pPr>
            <w:r>
              <w:rPr>
                <w:lang w:val="fr-FR"/>
              </w:rPr>
              <w:t>Magalys Arocha Dominguez (Vicepresidenta</w:t>
            </w:r>
            <w:r w:rsidR="00DA0CCE" w:rsidRPr="00794DB5">
              <w:rPr>
                <w:lang w:val="fr-FR"/>
              </w:rPr>
              <w:t>)</w:t>
            </w:r>
          </w:p>
        </w:tc>
        <w:tc>
          <w:tcPr>
            <w:tcW w:w="1836" w:type="dxa"/>
            <w:shd w:val="clear" w:color="auto" w:fill="auto"/>
          </w:tcPr>
          <w:p w14:paraId="7C923841" w14:textId="31777153"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Cuba</w:t>
            </w:r>
          </w:p>
        </w:tc>
        <w:tc>
          <w:tcPr>
            <w:tcW w:w="1836" w:type="dxa"/>
            <w:shd w:val="clear" w:color="auto" w:fill="auto"/>
          </w:tcPr>
          <w:p w14:paraId="1085172B"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67762F2D" w14:textId="77777777" w:rsidTr="00794DB5">
        <w:tc>
          <w:tcPr>
            <w:tcW w:w="3648" w:type="dxa"/>
            <w:shd w:val="clear" w:color="auto" w:fill="auto"/>
          </w:tcPr>
          <w:p w14:paraId="2C534CE0"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Gunnar Bergby</w:t>
            </w:r>
          </w:p>
        </w:tc>
        <w:tc>
          <w:tcPr>
            <w:tcW w:w="1836" w:type="dxa"/>
            <w:shd w:val="clear" w:color="auto" w:fill="auto"/>
          </w:tcPr>
          <w:p w14:paraId="12B8FE3A" w14:textId="084AA180"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Noruega</w:t>
            </w:r>
          </w:p>
        </w:tc>
        <w:tc>
          <w:tcPr>
            <w:tcW w:w="1836" w:type="dxa"/>
            <w:shd w:val="clear" w:color="auto" w:fill="auto"/>
          </w:tcPr>
          <w:p w14:paraId="5DFDAA2B"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r w:rsidR="00DA0CCE" w:rsidRPr="00186777" w14:paraId="379A5A15" w14:textId="77777777" w:rsidTr="00794DB5">
        <w:tc>
          <w:tcPr>
            <w:tcW w:w="3648" w:type="dxa"/>
            <w:shd w:val="clear" w:color="auto" w:fill="auto"/>
          </w:tcPr>
          <w:p w14:paraId="3BFCBF58"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Marion Bethel</w:t>
            </w:r>
          </w:p>
        </w:tc>
        <w:tc>
          <w:tcPr>
            <w:tcW w:w="1836" w:type="dxa"/>
            <w:shd w:val="clear" w:color="auto" w:fill="auto"/>
          </w:tcPr>
          <w:p w14:paraId="6A455F52" w14:textId="6D3A9C20"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Bahamas</w:t>
            </w:r>
          </w:p>
        </w:tc>
        <w:tc>
          <w:tcPr>
            <w:tcW w:w="1836" w:type="dxa"/>
            <w:shd w:val="clear" w:color="auto" w:fill="auto"/>
          </w:tcPr>
          <w:p w14:paraId="0266AA27"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r w:rsidR="00DA0CCE" w:rsidRPr="00186777" w14:paraId="2467B918" w14:textId="77777777" w:rsidTr="00794DB5">
        <w:tc>
          <w:tcPr>
            <w:tcW w:w="3648" w:type="dxa"/>
            <w:shd w:val="clear" w:color="auto" w:fill="auto"/>
          </w:tcPr>
          <w:p w14:paraId="377EAF26" w14:textId="237A1B8A"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Louiza Chalal</w:t>
            </w:r>
            <w:r w:rsidRPr="00186777">
              <w:rPr>
                <w:i/>
                <w:iCs/>
                <w:vertAlign w:val="superscript"/>
                <w:lang w:val="es-ES_tradnl"/>
              </w:rPr>
              <w:t>a</w:t>
            </w:r>
            <w:r w:rsidRPr="00186777">
              <w:rPr>
                <w:lang w:val="es-ES_tradnl"/>
              </w:rPr>
              <w:t xml:space="preserve"> (Vice</w:t>
            </w:r>
            <w:r w:rsidR="003511D4">
              <w:rPr>
                <w:lang w:val="es-ES_tradnl"/>
              </w:rPr>
              <w:t>presidenta</w:t>
            </w:r>
            <w:r w:rsidRPr="00186777">
              <w:rPr>
                <w:lang w:val="es-ES_tradnl"/>
              </w:rPr>
              <w:t>)</w:t>
            </w:r>
          </w:p>
        </w:tc>
        <w:tc>
          <w:tcPr>
            <w:tcW w:w="1836" w:type="dxa"/>
            <w:shd w:val="clear" w:color="auto" w:fill="auto"/>
          </w:tcPr>
          <w:p w14:paraId="12121548" w14:textId="7F6EE359"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Argelia</w:t>
            </w:r>
          </w:p>
        </w:tc>
        <w:tc>
          <w:tcPr>
            <w:tcW w:w="1836" w:type="dxa"/>
            <w:shd w:val="clear" w:color="auto" w:fill="auto"/>
          </w:tcPr>
          <w:p w14:paraId="5AC721C7"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7715430C" w14:textId="77777777" w:rsidTr="00794DB5">
        <w:tc>
          <w:tcPr>
            <w:tcW w:w="3648" w:type="dxa"/>
            <w:shd w:val="clear" w:color="auto" w:fill="auto"/>
          </w:tcPr>
          <w:p w14:paraId="3A34937A"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Esther Eghobamien-Mshelia</w:t>
            </w:r>
            <w:r w:rsidRPr="00186777">
              <w:rPr>
                <w:i/>
                <w:iCs/>
                <w:vertAlign w:val="superscript"/>
                <w:lang w:val="es-ES_tradnl"/>
              </w:rPr>
              <w:t>b</w:t>
            </w:r>
          </w:p>
        </w:tc>
        <w:tc>
          <w:tcPr>
            <w:tcW w:w="1836" w:type="dxa"/>
            <w:shd w:val="clear" w:color="auto" w:fill="auto"/>
          </w:tcPr>
          <w:p w14:paraId="0E0A8D49" w14:textId="23DBE101"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Nigeria</w:t>
            </w:r>
          </w:p>
        </w:tc>
        <w:tc>
          <w:tcPr>
            <w:tcW w:w="1836" w:type="dxa"/>
            <w:shd w:val="clear" w:color="auto" w:fill="auto"/>
          </w:tcPr>
          <w:p w14:paraId="45DAD474"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r w:rsidR="00DA0CCE" w:rsidRPr="00186777" w14:paraId="68546FA2" w14:textId="77777777" w:rsidTr="00794DB5">
        <w:tc>
          <w:tcPr>
            <w:tcW w:w="3648" w:type="dxa"/>
            <w:shd w:val="clear" w:color="auto" w:fill="auto"/>
          </w:tcPr>
          <w:p w14:paraId="05BA2C8F"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Naéla Mohamed Gabr</w:t>
            </w:r>
          </w:p>
        </w:tc>
        <w:tc>
          <w:tcPr>
            <w:tcW w:w="1836" w:type="dxa"/>
            <w:shd w:val="clear" w:color="auto" w:fill="auto"/>
          </w:tcPr>
          <w:p w14:paraId="524C0D8A" w14:textId="33F69A75"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Egipto</w:t>
            </w:r>
          </w:p>
        </w:tc>
        <w:tc>
          <w:tcPr>
            <w:tcW w:w="1836" w:type="dxa"/>
            <w:shd w:val="clear" w:color="auto" w:fill="auto"/>
          </w:tcPr>
          <w:p w14:paraId="4AB04BB0"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459C5725" w14:textId="77777777" w:rsidTr="00794DB5">
        <w:tc>
          <w:tcPr>
            <w:tcW w:w="3648" w:type="dxa"/>
            <w:shd w:val="clear" w:color="auto" w:fill="auto"/>
          </w:tcPr>
          <w:p w14:paraId="0A4B8BBF"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Hilary Gbedemah</w:t>
            </w:r>
          </w:p>
        </w:tc>
        <w:tc>
          <w:tcPr>
            <w:tcW w:w="1836" w:type="dxa"/>
            <w:shd w:val="clear" w:color="auto" w:fill="auto"/>
          </w:tcPr>
          <w:p w14:paraId="0F3CD576" w14:textId="39906AAF"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Ghana</w:t>
            </w:r>
          </w:p>
        </w:tc>
        <w:tc>
          <w:tcPr>
            <w:tcW w:w="1836" w:type="dxa"/>
            <w:shd w:val="clear" w:color="auto" w:fill="auto"/>
          </w:tcPr>
          <w:p w14:paraId="2BD5D6C0"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r w:rsidR="00DA0CCE" w:rsidRPr="00186777" w14:paraId="4AFC1E3E" w14:textId="77777777" w:rsidTr="00794DB5">
        <w:tc>
          <w:tcPr>
            <w:tcW w:w="3648" w:type="dxa"/>
            <w:shd w:val="clear" w:color="auto" w:fill="auto"/>
          </w:tcPr>
          <w:p w14:paraId="19C806A7"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Nahla Haidar</w:t>
            </w:r>
          </w:p>
        </w:tc>
        <w:tc>
          <w:tcPr>
            <w:tcW w:w="1836" w:type="dxa"/>
            <w:shd w:val="clear" w:color="auto" w:fill="auto"/>
          </w:tcPr>
          <w:p w14:paraId="29B3F0D6" w14:textId="2CCB696A"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Líbano</w:t>
            </w:r>
          </w:p>
        </w:tc>
        <w:tc>
          <w:tcPr>
            <w:tcW w:w="1836" w:type="dxa"/>
            <w:shd w:val="clear" w:color="auto" w:fill="auto"/>
          </w:tcPr>
          <w:p w14:paraId="772B161C"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r w:rsidR="00DA0CCE" w:rsidRPr="00186777" w14:paraId="4AEF25FA" w14:textId="77777777" w:rsidTr="00794DB5">
        <w:tc>
          <w:tcPr>
            <w:tcW w:w="3648" w:type="dxa"/>
            <w:shd w:val="clear" w:color="auto" w:fill="auto"/>
          </w:tcPr>
          <w:p w14:paraId="452103EB" w14:textId="55E8EF25" w:rsidR="00DA0CCE" w:rsidRPr="00794DB5"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n-US"/>
              </w:rPr>
            </w:pPr>
            <w:r w:rsidRPr="00794DB5">
              <w:rPr>
                <w:lang w:val="en-US"/>
              </w:rPr>
              <w:t>Ruth Halperin-Kaddari (</w:t>
            </w:r>
            <w:r w:rsidR="003511D4" w:rsidRPr="00186777">
              <w:rPr>
                <w:lang w:val="es-ES_tradnl"/>
              </w:rPr>
              <w:t>Vice</w:t>
            </w:r>
            <w:r w:rsidR="003511D4">
              <w:rPr>
                <w:lang w:val="es-ES_tradnl"/>
              </w:rPr>
              <w:t>presidenta</w:t>
            </w:r>
            <w:r w:rsidRPr="00794DB5">
              <w:rPr>
                <w:lang w:val="en-US"/>
              </w:rPr>
              <w:t>)</w:t>
            </w:r>
          </w:p>
        </w:tc>
        <w:tc>
          <w:tcPr>
            <w:tcW w:w="1836" w:type="dxa"/>
            <w:shd w:val="clear" w:color="auto" w:fill="auto"/>
          </w:tcPr>
          <w:p w14:paraId="1EA02E95" w14:textId="632958FE"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Israel</w:t>
            </w:r>
          </w:p>
        </w:tc>
        <w:tc>
          <w:tcPr>
            <w:tcW w:w="1836" w:type="dxa"/>
            <w:shd w:val="clear" w:color="auto" w:fill="auto"/>
          </w:tcPr>
          <w:p w14:paraId="0227C64D"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52859F3B" w14:textId="77777777" w:rsidTr="00794DB5">
        <w:tc>
          <w:tcPr>
            <w:tcW w:w="3648" w:type="dxa"/>
            <w:shd w:val="clear" w:color="auto" w:fill="auto"/>
          </w:tcPr>
          <w:p w14:paraId="5390D5E4"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Yoko Hayashi</w:t>
            </w:r>
          </w:p>
        </w:tc>
        <w:tc>
          <w:tcPr>
            <w:tcW w:w="1836" w:type="dxa"/>
            <w:shd w:val="clear" w:color="auto" w:fill="auto"/>
          </w:tcPr>
          <w:p w14:paraId="766A7626" w14:textId="15B738D4"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Japón</w:t>
            </w:r>
          </w:p>
        </w:tc>
        <w:tc>
          <w:tcPr>
            <w:tcW w:w="1836" w:type="dxa"/>
            <w:shd w:val="clear" w:color="auto" w:fill="auto"/>
          </w:tcPr>
          <w:p w14:paraId="6D438657"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1B11C69C" w14:textId="77777777" w:rsidTr="00794DB5">
        <w:tc>
          <w:tcPr>
            <w:tcW w:w="3648" w:type="dxa"/>
            <w:shd w:val="clear" w:color="auto" w:fill="auto"/>
          </w:tcPr>
          <w:p w14:paraId="6B3A7C5D"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Lilian Hofmeister</w:t>
            </w:r>
          </w:p>
        </w:tc>
        <w:tc>
          <w:tcPr>
            <w:tcW w:w="1836" w:type="dxa"/>
            <w:shd w:val="clear" w:color="auto" w:fill="auto"/>
          </w:tcPr>
          <w:p w14:paraId="3DC1E523" w14:textId="305DE003"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Austria</w:t>
            </w:r>
          </w:p>
        </w:tc>
        <w:tc>
          <w:tcPr>
            <w:tcW w:w="1836" w:type="dxa"/>
            <w:shd w:val="clear" w:color="auto" w:fill="auto"/>
          </w:tcPr>
          <w:p w14:paraId="5280322D"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4406CABB" w14:textId="77777777" w:rsidTr="00794DB5">
        <w:tc>
          <w:tcPr>
            <w:tcW w:w="3648" w:type="dxa"/>
            <w:shd w:val="clear" w:color="auto" w:fill="auto"/>
          </w:tcPr>
          <w:p w14:paraId="13FD157B"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Ismat Jahan</w:t>
            </w:r>
          </w:p>
        </w:tc>
        <w:tc>
          <w:tcPr>
            <w:tcW w:w="1836" w:type="dxa"/>
            <w:shd w:val="clear" w:color="auto" w:fill="auto"/>
          </w:tcPr>
          <w:p w14:paraId="6F2DDC1C" w14:textId="4DD2959E"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Bangladesh</w:t>
            </w:r>
          </w:p>
        </w:tc>
        <w:tc>
          <w:tcPr>
            <w:tcW w:w="1836" w:type="dxa"/>
            <w:shd w:val="clear" w:color="auto" w:fill="auto"/>
          </w:tcPr>
          <w:p w14:paraId="4D620280"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66C8320D" w14:textId="77777777" w:rsidTr="00794DB5">
        <w:tc>
          <w:tcPr>
            <w:tcW w:w="3648" w:type="dxa"/>
            <w:shd w:val="clear" w:color="auto" w:fill="auto"/>
          </w:tcPr>
          <w:p w14:paraId="539C46CB" w14:textId="6C2A2F3A"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Dalia Leinarte (</w:t>
            </w:r>
            <w:r w:rsidR="003511D4">
              <w:rPr>
                <w:lang w:val="es-ES_tradnl"/>
              </w:rPr>
              <w:t>Presidenta</w:t>
            </w:r>
            <w:r w:rsidRPr="00186777">
              <w:rPr>
                <w:lang w:val="es-ES_tradnl"/>
              </w:rPr>
              <w:t>)</w:t>
            </w:r>
          </w:p>
        </w:tc>
        <w:tc>
          <w:tcPr>
            <w:tcW w:w="1836" w:type="dxa"/>
            <w:shd w:val="clear" w:color="auto" w:fill="auto"/>
          </w:tcPr>
          <w:p w14:paraId="2D54B1F0" w14:textId="23801E05"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Lituania</w:t>
            </w:r>
          </w:p>
        </w:tc>
        <w:tc>
          <w:tcPr>
            <w:tcW w:w="1836" w:type="dxa"/>
            <w:shd w:val="clear" w:color="auto" w:fill="auto"/>
          </w:tcPr>
          <w:p w14:paraId="253B1603"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r w:rsidR="00DA0CCE" w:rsidRPr="00186777" w14:paraId="2C27EE7F" w14:textId="77777777" w:rsidTr="00794DB5">
        <w:tc>
          <w:tcPr>
            <w:tcW w:w="3648" w:type="dxa"/>
            <w:shd w:val="clear" w:color="auto" w:fill="auto"/>
          </w:tcPr>
          <w:p w14:paraId="29350912" w14:textId="5FC8745D"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Rosario G. Manalo (</w:t>
            </w:r>
            <w:r w:rsidR="003511D4">
              <w:rPr>
                <w:lang w:val="es-ES_tradnl"/>
              </w:rPr>
              <w:t>Relatora</w:t>
            </w:r>
            <w:r w:rsidRPr="00186777">
              <w:rPr>
                <w:lang w:val="es-ES_tradnl"/>
              </w:rPr>
              <w:t>)</w:t>
            </w:r>
          </w:p>
        </w:tc>
        <w:tc>
          <w:tcPr>
            <w:tcW w:w="1836" w:type="dxa"/>
            <w:shd w:val="clear" w:color="auto" w:fill="auto"/>
          </w:tcPr>
          <w:p w14:paraId="72A9C40A" w14:textId="49063EAC"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Filipinas</w:t>
            </w:r>
          </w:p>
        </w:tc>
        <w:tc>
          <w:tcPr>
            <w:tcW w:w="1836" w:type="dxa"/>
            <w:shd w:val="clear" w:color="auto" w:fill="auto"/>
          </w:tcPr>
          <w:p w14:paraId="75D29EED"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r w:rsidR="00DA0CCE" w:rsidRPr="00186777" w14:paraId="5ACAFF6D" w14:textId="77777777" w:rsidTr="00794DB5">
        <w:tc>
          <w:tcPr>
            <w:tcW w:w="3648" w:type="dxa"/>
            <w:shd w:val="clear" w:color="auto" w:fill="auto"/>
          </w:tcPr>
          <w:p w14:paraId="12F5567B"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Lia Nadaraia</w:t>
            </w:r>
          </w:p>
        </w:tc>
        <w:tc>
          <w:tcPr>
            <w:tcW w:w="1836" w:type="dxa"/>
            <w:shd w:val="clear" w:color="auto" w:fill="auto"/>
          </w:tcPr>
          <w:p w14:paraId="69036614" w14:textId="67D8CC76"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Georgia</w:t>
            </w:r>
          </w:p>
        </w:tc>
        <w:tc>
          <w:tcPr>
            <w:tcW w:w="1836" w:type="dxa"/>
            <w:shd w:val="clear" w:color="auto" w:fill="auto"/>
          </w:tcPr>
          <w:p w14:paraId="426FEC5A"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47FD0874" w14:textId="77777777" w:rsidTr="00794DB5">
        <w:tc>
          <w:tcPr>
            <w:tcW w:w="3648" w:type="dxa"/>
            <w:shd w:val="clear" w:color="auto" w:fill="auto"/>
          </w:tcPr>
          <w:p w14:paraId="38B5E46C"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Aruna Devi Narain</w:t>
            </w:r>
            <w:r w:rsidRPr="00186777">
              <w:rPr>
                <w:i/>
                <w:iCs/>
                <w:vertAlign w:val="superscript"/>
                <w:lang w:val="es-ES_tradnl"/>
              </w:rPr>
              <w:t>c</w:t>
            </w:r>
          </w:p>
        </w:tc>
        <w:tc>
          <w:tcPr>
            <w:tcW w:w="1836" w:type="dxa"/>
            <w:shd w:val="clear" w:color="auto" w:fill="auto"/>
          </w:tcPr>
          <w:p w14:paraId="3508C552" w14:textId="4A62F87E"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Mauricio</w:t>
            </w:r>
          </w:p>
        </w:tc>
        <w:tc>
          <w:tcPr>
            <w:tcW w:w="1836" w:type="dxa"/>
            <w:shd w:val="clear" w:color="auto" w:fill="auto"/>
          </w:tcPr>
          <w:p w14:paraId="2C86BC92"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237D1E24" w14:textId="77777777" w:rsidTr="00794DB5">
        <w:tc>
          <w:tcPr>
            <w:tcW w:w="3648" w:type="dxa"/>
            <w:shd w:val="clear" w:color="auto" w:fill="auto"/>
          </w:tcPr>
          <w:p w14:paraId="513A14B2"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Bandana Rana</w:t>
            </w:r>
          </w:p>
        </w:tc>
        <w:tc>
          <w:tcPr>
            <w:tcW w:w="1836" w:type="dxa"/>
            <w:shd w:val="clear" w:color="auto" w:fill="auto"/>
          </w:tcPr>
          <w:p w14:paraId="3C38C03D" w14:textId="2DA4466B"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Nepal</w:t>
            </w:r>
          </w:p>
        </w:tc>
        <w:tc>
          <w:tcPr>
            <w:tcW w:w="1836" w:type="dxa"/>
            <w:shd w:val="clear" w:color="auto" w:fill="auto"/>
          </w:tcPr>
          <w:p w14:paraId="6833BA40"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r w:rsidR="00DA0CCE" w:rsidRPr="00186777" w14:paraId="54D1C9AF" w14:textId="77777777" w:rsidTr="00794DB5">
        <w:tc>
          <w:tcPr>
            <w:tcW w:w="3648" w:type="dxa"/>
            <w:shd w:val="clear" w:color="auto" w:fill="auto"/>
          </w:tcPr>
          <w:p w14:paraId="11FA0C58"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Patricia Schulz</w:t>
            </w:r>
          </w:p>
        </w:tc>
        <w:tc>
          <w:tcPr>
            <w:tcW w:w="1836" w:type="dxa"/>
            <w:shd w:val="clear" w:color="auto" w:fill="auto"/>
          </w:tcPr>
          <w:p w14:paraId="40B84776" w14:textId="115A7BA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 xml:space="preserve">Suiza </w:t>
            </w:r>
          </w:p>
        </w:tc>
        <w:tc>
          <w:tcPr>
            <w:tcW w:w="1836" w:type="dxa"/>
            <w:shd w:val="clear" w:color="auto" w:fill="auto"/>
          </w:tcPr>
          <w:p w14:paraId="789A5C3F"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2018</w:t>
            </w:r>
          </w:p>
        </w:tc>
      </w:tr>
      <w:tr w:rsidR="00DA0CCE" w:rsidRPr="00186777" w14:paraId="71442AE7" w14:textId="77777777" w:rsidTr="00794DB5">
        <w:tc>
          <w:tcPr>
            <w:tcW w:w="3648" w:type="dxa"/>
            <w:shd w:val="clear" w:color="auto" w:fill="auto"/>
          </w:tcPr>
          <w:p w14:paraId="0F330E87"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Wenyan Song</w:t>
            </w:r>
          </w:p>
        </w:tc>
        <w:tc>
          <w:tcPr>
            <w:tcW w:w="1836" w:type="dxa"/>
            <w:shd w:val="clear" w:color="auto" w:fill="auto"/>
          </w:tcPr>
          <w:p w14:paraId="34C0FD40" w14:textId="439B5DD8"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China</w:t>
            </w:r>
          </w:p>
        </w:tc>
        <w:tc>
          <w:tcPr>
            <w:tcW w:w="1836" w:type="dxa"/>
            <w:shd w:val="clear" w:color="auto" w:fill="auto"/>
          </w:tcPr>
          <w:p w14:paraId="6AC06088"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r w:rsidR="00DA0CCE" w:rsidRPr="00186777" w14:paraId="46DB2424" w14:textId="77777777" w:rsidTr="00794DB5">
        <w:tc>
          <w:tcPr>
            <w:tcW w:w="3648" w:type="dxa"/>
            <w:tcBorders>
              <w:bottom w:val="single" w:sz="12" w:space="0" w:color="auto"/>
            </w:tcBorders>
            <w:shd w:val="clear" w:color="auto" w:fill="auto"/>
          </w:tcPr>
          <w:p w14:paraId="5F2ED687"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ES_tradnl"/>
              </w:rPr>
            </w:pPr>
            <w:r w:rsidRPr="00186777">
              <w:rPr>
                <w:lang w:val="es-ES_tradnl"/>
              </w:rPr>
              <w:t>Aicha Vall Verges</w:t>
            </w:r>
          </w:p>
        </w:tc>
        <w:tc>
          <w:tcPr>
            <w:tcW w:w="1836" w:type="dxa"/>
            <w:tcBorders>
              <w:bottom w:val="single" w:sz="12" w:space="0" w:color="auto"/>
            </w:tcBorders>
            <w:shd w:val="clear" w:color="auto" w:fill="auto"/>
          </w:tcPr>
          <w:p w14:paraId="22E8E790" w14:textId="5F078803"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zCs w:val="20"/>
                <w:lang w:val="es-ES_tradnl"/>
              </w:rPr>
            </w:pPr>
            <w:r w:rsidRPr="00186777">
              <w:rPr>
                <w:rFonts w:asciiTheme="majorBidi" w:hAnsiTheme="majorBidi" w:cstheme="majorBidi"/>
                <w:szCs w:val="20"/>
                <w:lang w:val="es-ES_tradnl"/>
              </w:rPr>
              <w:t>Mauritania</w:t>
            </w:r>
          </w:p>
        </w:tc>
        <w:tc>
          <w:tcPr>
            <w:tcW w:w="1836" w:type="dxa"/>
            <w:tcBorders>
              <w:bottom w:val="single" w:sz="12" w:space="0" w:color="auto"/>
            </w:tcBorders>
            <w:shd w:val="clear" w:color="auto" w:fill="auto"/>
          </w:tcPr>
          <w:p w14:paraId="5C085614" w14:textId="77777777" w:rsidR="00DA0CCE" w:rsidRPr="00186777" w:rsidRDefault="00DA0CCE" w:rsidP="00DA0C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186777">
              <w:rPr>
                <w:lang w:val="es-ES_tradnl"/>
              </w:rPr>
              <w:t>2020</w:t>
            </w:r>
          </w:p>
        </w:tc>
      </w:tr>
    </w:tbl>
    <w:p w14:paraId="3B3D7756" w14:textId="27A325DC" w:rsidR="00DA0CCE" w:rsidRPr="00186777" w:rsidRDefault="00DA0CCE" w:rsidP="00DA0CCE">
      <w:pPr>
        <w:pStyle w:val="SingleTxt"/>
        <w:spacing w:after="0" w:line="120" w:lineRule="exact"/>
        <w:rPr>
          <w:b/>
          <w:sz w:val="10"/>
          <w:lang w:val="es-ES_tradnl"/>
        </w:rPr>
      </w:pPr>
    </w:p>
    <w:p w14:paraId="38F03A85" w14:textId="5EFB4A14" w:rsidR="00DA0CCE" w:rsidRPr="00186777" w:rsidRDefault="00DA0CCE" w:rsidP="00DA0CCE">
      <w:pPr>
        <w:pStyle w:val="SingleTxt"/>
        <w:spacing w:after="0" w:line="120" w:lineRule="exact"/>
        <w:rPr>
          <w:b/>
          <w:sz w:val="10"/>
          <w:lang w:val="es-ES_tradnl"/>
        </w:rPr>
      </w:pPr>
    </w:p>
    <w:p w14:paraId="3A74B583" w14:textId="69D291C4" w:rsidR="00AA6F33" w:rsidRPr="00186777" w:rsidRDefault="00DA0CCE" w:rsidP="00DA0CCE">
      <w:pPr>
        <w:pStyle w:val="FootnoteText"/>
        <w:tabs>
          <w:tab w:val="clear" w:pos="418"/>
          <w:tab w:val="right" w:pos="1476"/>
          <w:tab w:val="left" w:pos="1548"/>
          <w:tab w:val="right" w:pos="1836"/>
          <w:tab w:val="left" w:pos="1908"/>
        </w:tabs>
        <w:ind w:left="1548" w:right="1267" w:hanging="288"/>
        <w:rPr>
          <w:lang w:val="es-ES_tradnl"/>
        </w:rPr>
      </w:pPr>
      <w:bookmarkStart w:id="15" w:name="_Hlk510705573"/>
      <w:r w:rsidRPr="00186777">
        <w:rPr>
          <w:vertAlign w:val="superscript"/>
          <w:lang w:val="es-ES_tradnl"/>
        </w:rPr>
        <w:tab/>
      </w:r>
      <w:r w:rsidR="00AA6F33" w:rsidRPr="00186777">
        <w:rPr>
          <w:i/>
          <w:iCs/>
          <w:vertAlign w:val="superscript"/>
          <w:lang w:val="es-ES_tradnl"/>
        </w:rPr>
        <w:t>a</w:t>
      </w:r>
      <w:r w:rsidRPr="00186777">
        <w:rPr>
          <w:vertAlign w:val="superscript"/>
          <w:lang w:val="es-ES_tradnl"/>
        </w:rPr>
        <w:tab/>
      </w:r>
      <w:r w:rsidR="00AA6F33" w:rsidRPr="00186777">
        <w:rPr>
          <w:lang w:val="es-ES_tradnl"/>
        </w:rPr>
        <w:t xml:space="preserve">Véase </w:t>
      </w:r>
      <w:hyperlink r:id="rId141" w:history="1">
        <w:r w:rsidR="00AA6F33" w:rsidRPr="00794DB5">
          <w:rPr>
            <w:rStyle w:val="Hyperlink"/>
            <w:lang w:val="es-ES_tradnl"/>
          </w:rPr>
          <w:t>A/70/38</w:t>
        </w:r>
      </w:hyperlink>
      <w:r w:rsidR="00AA6F33" w:rsidRPr="00186777">
        <w:rPr>
          <w:lang w:val="es-ES_tradnl"/>
        </w:rPr>
        <w:t>, segunda parte, párr. 13.</w:t>
      </w:r>
    </w:p>
    <w:p w14:paraId="2A64322A" w14:textId="66344504" w:rsidR="00AA6F33" w:rsidRPr="00186777" w:rsidRDefault="00DA0CCE" w:rsidP="00DA0CCE">
      <w:pPr>
        <w:pStyle w:val="FootnoteText"/>
        <w:tabs>
          <w:tab w:val="clear" w:pos="418"/>
          <w:tab w:val="right" w:pos="1476"/>
          <w:tab w:val="left" w:pos="1548"/>
          <w:tab w:val="right" w:pos="1836"/>
          <w:tab w:val="left" w:pos="1908"/>
        </w:tabs>
        <w:ind w:left="1548" w:right="1267" w:hanging="288"/>
        <w:rPr>
          <w:lang w:val="es-ES_tradnl"/>
        </w:rPr>
      </w:pPr>
      <w:r w:rsidRPr="00186777">
        <w:rPr>
          <w:vertAlign w:val="superscript"/>
          <w:lang w:val="es-ES_tradnl"/>
        </w:rPr>
        <w:tab/>
      </w:r>
      <w:r w:rsidR="00AA6F33" w:rsidRPr="00186777">
        <w:rPr>
          <w:i/>
          <w:iCs/>
          <w:vertAlign w:val="superscript"/>
          <w:lang w:val="es-ES_tradnl"/>
        </w:rPr>
        <w:t>b</w:t>
      </w:r>
      <w:r w:rsidRPr="00186777">
        <w:rPr>
          <w:vertAlign w:val="superscript"/>
          <w:lang w:val="es-ES_tradnl"/>
        </w:rPr>
        <w:tab/>
      </w:r>
      <w:r w:rsidR="00AA6F33" w:rsidRPr="00186777">
        <w:rPr>
          <w:lang w:val="es-ES_tradnl"/>
        </w:rPr>
        <w:t xml:space="preserve"> Véase el párr. 11 de la tercera parte del presente informe.</w:t>
      </w:r>
    </w:p>
    <w:p w14:paraId="74992830" w14:textId="37440A69" w:rsidR="006E72B9" w:rsidRPr="00186777" w:rsidRDefault="00DA0CCE" w:rsidP="00DA0CCE">
      <w:pPr>
        <w:pStyle w:val="FootnoteText"/>
        <w:tabs>
          <w:tab w:val="clear" w:pos="418"/>
          <w:tab w:val="right" w:pos="1476"/>
          <w:tab w:val="left" w:pos="1548"/>
          <w:tab w:val="right" w:pos="1836"/>
          <w:tab w:val="left" w:pos="1908"/>
        </w:tabs>
        <w:ind w:left="1548" w:right="1267" w:hanging="288"/>
        <w:rPr>
          <w:lang w:val="es-ES_tradnl"/>
        </w:rPr>
      </w:pPr>
      <w:r w:rsidRPr="00186777">
        <w:rPr>
          <w:vertAlign w:val="superscript"/>
          <w:lang w:val="es-ES_tradnl"/>
        </w:rPr>
        <w:tab/>
      </w:r>
      <w:r w:rsidR="00AA6F33" w:rsidRPr="00186777">
        <w:rPr>
          <w:i/>
          <w:iCs/>
          <w:vertAlign w:val="superscript"/>
          <w:lang w:val="es-ES_tradnl"/>
        </w:rPr>
        <w:t>c</w:t>
      </w:r>
      <w:r w:rsidRPr="00186777">
        <w:rPr>
          <w:vertAlign w:val="superscript"/>
          <w:lang w:val="es-ES_tradnl"/>
        </w:rPr>
        <w:tab/>
      </w:r>
      <w:r w:rsidR="00AA6F33" w:rsidRPr="00186777">
        <w:rPr>
          <w:lang w:val="es-ES_tradnl"/>
        </w:rPr>
        <w:t xml:space="preserve"> Véase el párr. 14 de la primera parte del presente informe.</w:t>
      </w:r>
      <w:bookmarkEnd w:id="15"/>
    </w:p>
    <w:p w14:paraId="0984A34D" w14:textId="77608E3A" w:rsidR="006E72B9" w:rsidRPr="00186777" w:rsidRDefault="006E72B9" w:rsidP="00113F7A">
      <w:pPr>
        <w:pStyle w:val="SingleTxt"/>
        <w:spacing w:after="0" w:line="120" w:lineRule="exact"/>
        <w:rPr>
          <w:sz w:val="10"/>
          <w:lang w:val="es-ES_tradnl"/>
        </w:rPr>
      </w:pPr>
    </w:p>
    <w:p w14:paraId="4E3D3B95" w14:textId="3EC14018" w:rsidR="00113F7A" w:rsidRPr="00186777" w:rsidRDefault="00113F7A" w:rsidP="00113F7A">
      <w:pPr>
        <w:pStyle w:val="SingleTxt"/>
        <w:spacing w:after="0" w:line="120" w:lineRule="exact"/>
        <w:rPr>
          <w:sz w:val="10"/>
          <w:lang w:val="es-ES_tradnl"/>
        </w:rPr>
      </w:pPr>
    </w:p>
    <w:p w14:paraId="34FA254D" w14:textId="7B235DB7" w:rsidR="000E3200" w:rsidRDefault="000E3200" w:rsidP="000E3200">
      <w:pPr>
        <w:framePr w:w="4320" w:h="520" w:hSpace="180" w:vSpace="288" w:wrap="around" w:vAnchor="page" w:hAnchor="margin" w:x="1" w:y="14343"/>
      </w:pPr>
      <w:fldSimple w:instr=" DOCVARIABLE &quot;jobn&quot; \* MERGEFORMAT ">
        <w:r w:rsidR="006C7FE2">
          <w:t>18-04972 (S)</w:t>
        </w:r>
      </w:fldSimple>
      <w:r>
        <w:t xml:space="preserve">    260418    300418</w:t>
      </w:r>
    </w:p>
    <w:p w14:paraId="701F22D6" w14:textId="282B56CD" w:rsidR="000E3200" w:rsidRPr="00054806" w:rsidRDefault="000E3200" w:rsidP="00054806">
      <w:pPr>
        <w:framePr w:w="4320" w:h="520" w:hSpace="180" w:vSpace="288" w:wrap="around" w:vAnchor="page" w:hAnchor="margin" w:x="1" w:y="14343"/>
        <w:spacing w:before="80" w:line="210" w:lineRule="exact"/>
        <w:rPr>
          <w:rFonts w:ascii="Barcode 3 of 9 by request" w:hAnsi="Barcode 3 of 9 by request"/>
          <w:w w:val="100"/>
          <w:sz w:val="24"/>
        </w:rPr>
      </w:pPr>
      <w:r>
        <w:rPr>
          <w:rFonts w:ascii="Barcode 3 of 9 by request" w:hAnsi="Barcode 3 of 9 by request"/>
          <w:w w:val="100"/>
          <w:sz w:val="24"/>
        </w:rPr>
        <w:fldChar w:fldCharType="begin"/>
      </w:r>
      <w:r>
        <w:rPr>
          <w:rFonts w:ascii="Barcode 3 of 9 by request" w:hAnsi="Barcode 3 of 9 by request"/>
          <w:w w:val="100"/>
          <w:sz w:val="24"/>
        </w:rPr>
        <w:instrText xml:space="preserve"> DOCVARIABLE "Barcode" \* MERGEFORMAT </w:instrText>
      </w:r>
      <w:r>
        <w:rPr>
          <w:rFonts w:ascii="Barcode 3 of 9 by request" w:hAnsi="Barcode 3 of 9 by request"/>
          <w:w w:val="100"/>
          <w:sz w:val="24"/>
        </w:rPr>
        <w:fldChar w:fldCharType="separate"/>
      </w:r>
      <w:r w:rsidR="006C7FE2">
        <w:rPr>
          <w:rFonts w:ascii="Barcode 3 of 9 by request" w:hAnsi="Barcode 3 of 9 by request"/>
          <w:w w:val="100"/>
          <w:sz w:val="24"/>
        </w:rPr>
        <w:t>*1804972*</w:t>
      </w:r>
      <w:r>
        <w:rPr>
          <w:rFonts w:ascii="Barcode 3 of 9 by request" w:hAnsi="Barcode 3 of 9 by request"/>
          <w:w w:val="100"/>
          <w:sz w:val="24"/>
        </w:rPr>
        <w:fldChar w:fldCharType="end"/>
      </w:r>
    </w:p>
    <w:p w14:paraId="16C4B8B4" w14:textId="6C644AAF" w:rsidR="00113F7A" w:rsidRPr="00186777" w:rsidRDefault="00113F7A" w:rsidP="00113F7A">
      <w:pPr>
        <w:pStyle w:val="SingleTxt"/>
        <w:spacing w:after="0" w:line="120" w:lineRule="exact"/>
        <w:rPr>
          <w:sz w:val="10"/>
          <w:lang w:val="es-ES_tradnl"/>
        </w:rPr>
      </w:pPr>
      <w:r w:rsidRPr="00186777">
        <w:rPr>
          <w:noProof/>
          <w:w w:val="100"/>
          <w:sz w:val="10"/>
          <w:lang w:val="es-ES_tradnl"/>
        </w:rPr>
        <mc:AlternateContent>
          <mc:Choice Requires="wps">
            <w:drawing>
              <wp:anchor distT="0" distB="0" distL="114300" distR="114300" simplePos="0" relativeHeight="251659264" behindDoc="0" locked="0" layoutInCell="1" allowOverlap="1" wp14:anchorId="5E921E66" wp14:editId="1A00772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9B41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Start w:id="16" w:name="EndPage"/>
      <w:bookmarkEnd w:id="16"/>
    </w:p>
    <w:sectPr w:rsidR="00113F7A" w:rsidRPr="00186777" w:rsidSect="00C9219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4-26T15:45:00Z" w:initials="Start">
    <w:p w14:paraId="54FF9276" w14:textId="77777777" w:rsidR="006C7FE2" w:rsidRPr="00C9219C" w:rsidRDefault="006C7FE2">
      <w:pPr>
        <w:pStyle w:val="CommentText"/>
        <w:rPr>
          <w:lang w:val="en-US"/>
        </w:rPr>
      </w:pPr>
      <w:r>
        <w:fldChar w:fldCharType="begin"/>
      </w:r>
      <w:r w:rsidRPr="00C9219C">
        <w:rPr>
          <w:rStyle w:val="CommentReference"/>
          <w:lang w:val="en-US"/>
        </w:rPr>
        <w:instrText xml:space="preserve"> </w:instrText>
      </w:r>
      <w:r w:rsidRPr="00C9219C">
        <w:rPr>
          <w:lang w:val="en-US"/>
        </w:rPr>
        <w:instrText>PAGE \# "'Page: '#'</w:instrText>
      </w:r>
      <w:r w:rsidRPr="00C9219C">
        <w:rPr>
          <w:lang w:val="en-US"/>
        </w:rPr>
        <w:br/>
        <w:instrText>'"</w:instrText>
      </w:r>
      <w:r w:rsidRPr="00C9219C">
        <w:rPr>
          <w:rStyle w:val="CommentReference"/>
          <w:lang w:val="en-US"/>
        </w:rPr>
        <w:instrText xml:space="preserve"> </w:instrText>
      </w:r>
      <w:r>
        <w:fldChar w:fldCharType="end"/>
      </w:r>
      <w:r>
        <w:rPr>
          <w:rStyle w:val="CommentReference"/>
        </w:rPr>
        <w:annotationRef/>
      </w:r>
      <w:r w:rsidRPr="00C9219C">
        <w:rPr>
          <w:lang w:val="en-US"/>
        </w:rPr>
        <w:t>&lt;&lt;ODS JOB NO&gt;&gt;N1808923S&lt;&lt;ODS JOB NO&gt;&gt;</w:t>
      </w:r>
    </w:p>
    <w:p w14:paraId="6BA2922E" w14:textId="77777777" w:rsidR="006C7FE2" w:rsidRDefault="006C7FE2">
      <w:pPr>
        <w:pStyle w:val="CommentText"/>
      </w:pPr>
      <w:r>
        <w:t>&lt;&lt;ODS DOC SYMBOL1&gt;&gt;A/73/38&lt;&lt;ODS DOC SYMBOL1&gt;&gt;</w:t>
      </w:r>
    </w:p>
    <w:p w14:paraId="56CEDC54" w14:textId="77777777" w:rsidR="006C7FE2" w:rsidRDefault="006C7FE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CEDC5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499B2" w14:textId="77777777" w:rsidR="006C7FE2" w:rsidRDefault="006C7FE2" w:rsidP="00556720">
      <w:r>
        <w:separator/>
      </w:r>
    </w:p>
  </w:endnote>
  <w:endnote w:type="continuationSeparator" w:id="0">
    <w:p w14:paraId="362F84BA" w14:textId="77777777" w:rsidR="006C7FE2" w:rsidRDefault="006C7FE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default"/>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4915"/>
    </w:tblGrid>
    <w:tr w:rsidR="006C7FE2" w14:paraId="3B72D6CE" w14:textId="77777777" w:rsidTr="00025FC4">
      <w:tc>
        <w:tcPr>
          <w:tcW w:w="3744" w:type="dxa"/>
          <w:shd w:val="clear" w:color="auto" w:fill="auto"/>
        </w:tcPr>
        <w:p w14:paraId="2A404A02" w14:textId="77777777" w:rsidR="006C7FE2" w:rsidRDefault="006C7FE2">
          <w:pPr>
            <w:pStyle w:val="Footer"/>
          </w:pPr>
        </w:p>
      </w:tc>
      <w:tc>
        <w:tcPr>
          <w:tcW w:w="4915" w:type="dxa"/>
          <w:shd w:val="clear" w:color="auto" w:fill="auto"/>
        </w:tcPr>
        <w:p w14:paraId="7F640723" w14:textId="77777777" w:rsidR="006C7FE2" w:rsidRDefault="006C7FE2" w:rsidP="00025FC4">
          <w:pPr>
            <w:pStyle w:val="Footer"/>
            <w:jc w:val="right"/>
          </w:pPr>
          <w:r>
            <w:drawing>
              <wp:inline distT="0" distB="0" distL="0" distR="0" wp14:anchorId="07695DB8" wp14:editId="703D080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FA777E0" w14:textId="77777777" w:rsidR="006C7FE2" w:rsidRDefault="006C7FE2" w:rsidP="00025FC4">
    <w:pPr>
      <w:pStyle w:val="Footer"/>
      <w:spacing w:line="14" w:lineRule="exact"/>
    </w:pPr>
    <w:r>
      <w:drawing>
        <wp:anchor distT="0" distB="0" distL="114300" distR="114300" simplePos="0" relativeHeight="251658240" behindDoc="0" locked="0" layoutInCell="1" allowOverlap="1" wp14:anchorId="706ABB01" wp14:editId="4994FEF0">
          <wp:simplePos x="0" y="0"/>
          <wp:positionH relativeFrom="column">
            <wp:posOffset>5532120</wp:posOffset>
          </wp:positionH>
          <wp:positionV relativeFrom="paragraph">
            <wp:posOffset>-685800</wp:posOffset>
          </wp:positionV>
          <wp:extent cx="694690" cy="694690"/>
          <wp:effectExtent l="0" t="0" r="0" b="0"/>
          <wp:wrapNone/>
          <wp:docPr id="3" name="Picture 3" descr="https://undocs.org/m2/QRCode2.ashx?DS=A/73/3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38&amp;Size =1&amp;Lang = 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C7FE2" w:rsidRPr="00025FC4" w14:paraId="4C9A1996" w14:textId="77777777" w:rsidTr="00025FC4">
      <w:tc>
        <w:tcPr>
          <w:tcW w:w="4920" w:type="dxa"/>
          <w:shd w:val="clear" w:color="auto" w:fill="auto"/>
        </w:tcPr>
        <w:p w14:paraId="02E99ED7" w14:textId="098BB494" w:rsidR="006C7FE2" w:rsidRPr="00025FC4" w:rsidRDefault="006C7FE2" w:rsidP="00025FC4">
          <w:pPr>
            <w:pStyle w:val="Footer"/>
            <w:rPr>
              <w:w w:val="103"/>
            </w:rPr>
          </w:pPr>
          <w:r>
            <w:rPr>
              <w:w w:val="103"/>
            </w:rPr>
            <w:fldChar w:fldCharType="begin"/>
          </w:r>
          <w:r>
            <w:rPr>
              <w:w w:val="103"/>
            </w:rPr>
            <w:instrText xml:space="preserve"> PAGE  \* Arabic  \* MERGEFORMAT </w:instrText>
          </w:r>
          <w:r>
            <w:rPr>
              <w:w w:val="103"/>
            </w:rPr>
            <w:fldChar w:fldCharType="separate"/>
          </w:r>
          <w:r w:rsidR="00C1661F">
            <w:rPr>
              <w:w w:val="103"/>
            </w:rPr>
            <w:t>6</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C1661F">
            <w:rPr>
              <w:w w:val="103"/>
            </w:rPr>
            <w:t>55</w:t>
          </w:r>
          <w:r>
            <w:rPr>
              <w:w w:val="103"/>
            </w:rPr>
            <w:fldChar w:fldCharType="end"/>
          </w:r>
        </w:p>
      </w:tc>
      <w:tc>
        <w:tcPr>
          <w:tcW w:w="4920" w:type="dxa"/>
          <w:shd w:val="clear" w:color="auto" w:fill="auto"/>
        </w:tcPr>
        <w:p w14:paraId="577F6031" w14:textId="7ABEAD23" w:rsidR="006C7FE2" w:rsidRPr="00025FC4" w:rsidRDefault="006C7FE2" w:rsidP="00025FC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18-04972</w:t>
          </w:r>
          <w:r>
            <w:rPr>
              <w:b w:val="0"/>
              <w:w w:val="103"/>
              <w:sz w:val="14"/>
            </w:rPr>
            <w:fldChar w:fldCharType="end"/>
          </w:r>
        </w:p>
      </w:tc>
    </w:tr>
  </w:tbl>
  <w:p w14:paraId="4ED45B8B" w14:textId="77777777" w:rsidR="006C7FE2" w:rsidRDefault="006C7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C7FE2" w:rsidRPr="00025FC4" w14:paraId="7BA4B432" w14:textId="77777777" w:rsidTr="00025FC4">
      <w:tc>
        <w:tcPr>
          <w:tcW w:w="4920" w:type="dxa"/>
          <w:shd w:val="clear" w:color="auto" w:fill="auto"/>
        </w:tcPr>
        <w:p w14:paraId="092DE5BC" w14:textId="5DF7C99A" w:rsidR="006C7FE2" w:rsidRPr="00025FC4" w:rsidRDefault="006C7FE2" w:rsidP="00025FC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18-04972</w:t>
          </w:r>
          <w:r>
            <w:rPr>
              <w:b w:val="0"/>
              <w:w w:val="103"/>
              <w:sz w:val="14"/>
            </w:rPr>
            <w:fldChar w:fldCharType="end"/>
          </w:r>
        </w:p>
      </w:tc>
      <w:tc>
        <w:tcPr>
          <w:tcW w:w="4920" w:type="dxa"/>
          <w:shd w:val="clear" w:color="auto" w:fill="auto"/>
        </w:tcPr>
        <w:p w14:paraId="40D30CF4" w14:textId="19C819CB" w:rsidR="006C7FE2" w:rsidRPr="00025FC4" w:rsidRDefault="006C7FE2" w:rsidP="00025FC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1661F">
            <w:rPr>
              <w:w w:val="103"/>
            </w:rPr>
            <w:t>5</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C1661F">
            <w:rPr>
              <w:w w:val="103"/>
            </w:rPr>
            <w:t>55</w:t>
          </w:r>
          <w:r>
            <w:rPr>
              <w:w w:val="103"/>
            </w:rPr>
            <w:fldChar w:fldCharType="end"/>
          </w:r>
        </w:p>
      </w:tc>
    </w:tr>
  </w:tbl>
  <w:p w14:paraId="78A1CDE8" w14:textId="77777777" w:rsidR="006C7FE2" w:rsidRDefault="006C7F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C7FE2" w:rsidRPr="00025FC4" w14:paraId="039FF8B0" w14:textId="77777777" w:rsidTr="00025FC4">
      <w:tc>
        <w:tcPr>
          <w:tcW w:w="4920" w:type="dxa"/>
          <w:shd w:val="clear" w:color="auto" w:fill="auto"/>
        </w:tcPr>
        <w:p w14:paraId="3EB9B5A8" w14:textId="1A82DFE9" w:rsidR="006C7FE2" w:rsidRPr="00025FC4" w:rsidRDefault="006C7FE2" w:rsidP="00025FC4">
          <w:pPr>
            <w:pStyle w:val="Footer"/>
            <w:rPr>
              <w:w w:val="103"/>
            </w:rPr>
          </w:pPr>
          <w:r>
            <w:rPr>
              <w:w w:val="103"/>
            </w:rPr>
            <w:fldChar w:fldCharType="begin"/>
          </w:r>
          <w:r>
            <w:rPr>
              <w:w w:val="103"/>
            </w:rPr>
            <w:instrText xml:space="preserve"> PAGE  \* Arabic  \* MERGEFORMAT </w:instrText>
          </w:r>
          <w:r>
            <w:rPr>
              <w:w w:val="103"/>
            </w:rPr>
            <w:fldChar w:fldCharType="separate"/>
          </w:r>
          <w:r w:rsidR="00C1661F">
            <w:rPr>
              <w:w w:val="103"/>
            </w:rPr>
            <w:t>18</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C1661F">
            <w:rPr>
              <w:w w:val="103"/>
            </w:rPr>
            <w:t>55</w:t>
          </w:r>
          <w:r>
            <w:rPr>
              <w:w w:val="103"/>
            </w:rPr>
            <w:fldChar w:fldCharType="end"/>
          </w:r>
        </w:p>
      </w:tc>
      <w:tc>
        <w:tcPr>
          <w:tcW w:w="4920" w:type="dxa"/>
          <w:shd w:val="clear" w:color="auto" w:fill="auto"/>
        </w:tcPr>
        <w:p w14:paraId="757AD08F" w14:textId="129C2E6A" w:rsidR="006C7FE2" w:rsidRPr="00025FC4" w:rsidRDefault="006C7FE2" w:rsidP="00025FC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18-04972</w:t>
          </w:r>
          <w:r>
            <w:rPr>
              <w:b w:val="0"/>
              <w:w w:val="103"/>
              <w:sz w:val="14"/>
            </w:rPr>
            <w:fldChar w:fldCharType="end"/>
          </w:r>
        </w:p>
      </w:tc>
    </w:tr>
  </w:tbl>
  <w:p w14:paraId="2B14196F" w14:textId="77777777" w:rsidR="006C7FE2" w:rsidRDefault="006C7F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C7FE2" w:rsidRPr="00025FC4" w14:paraId="44B97DAE" w14:textId="77777777" w:rsidTr="00025FC4">
      <w:tc>
        <w:tcPr>
          <w:tcW w:w="4920" w:type="dxa"/>
          <w:shd w:val="clear" w:color="auto" w:fill="auto"/>
        </w:tcPr>
        <w:p w14:paraId="20CA9F58" w14:textId="702EC9DF" w:rsidR="006C7FE2" w:rsidRPr="00025FC4" w:rsidRDefault="006C7FE2" w:rsidP="00025FC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18-04972</w:t>
          </w:r>
          <w:r>
            <w:rPr>
              <w:b w:val="0"/>
              <w:w w:val="103"/>
              <w:sz w:val="14"/>
            </w:rPr>
            <w:fldChar w:fldCharType="end"/>
          </w:r>
        </w:p>
      </w:tc>
      <w:tc>
        <w:tcPr>
          <w:tcW w:w="4920" w:type="dxa"/>
          <w:shd w:val="clear" w:color="auto" w:fill="auto"/>
        </w:tcPr>
        <w:p w14:paraId="184FB402" w14:textId="1253019F" w:rsidR="006C7FE2" w:rsidRPr="00025FC4" w:rsidRDefault="006C7FE2" w:rsidP="00025FC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1661F">
            <w:rPr>
              <w:w w:val="103"/>
            </w:rPr>
            <w:t>13</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C1661F">
            <w:rPr>
              <w:w w:val="103"/>
            </w:rPr>
            <w:t>55</w:t>
          </w:r>
          <w:r>
            <w:rPr>
              <w:w w:val="103"/>
            </w:rPr>
            <w:fldChar w:fldCharType="end"/>
          </w:r>
        </w:p>
      </w:tc>
    </w:tr>
  </w:tbl>
  <w:p w14:paraId="1B174498" w14:textId="77777777" w:rsidR="006C7FE2" w:rsidRDefault="006C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2F96" w14:textId="0C39C3AC" w:rsidR="006C7FE2" w:rsidRPr="00113F7A" w:rsidRDefault="006C7FE2" w:rsidP="00113F7A">
      <w:pPr>
        <w:pStyle w:val="Footer"/>
        <w:spacing w:after="80"/>
        <w:ind w:left="792"/>
        <w:rPr>
          <w:sz w:val="16"/>
        </w:rPr>
      </w:pPr>
      <w:r w:rsidRPr="00113F7A">
        <w:rPr>
          <w:sz w:val="16"/>
        </w:rPr>
        <w:t>__________________</w:t>
      </w:r>
    </w:p>
  </w:footnote>
  <w:footnote w:type="continuationSeparator" w:id="0">
    <w:p w14:paraId="1B212E6E" w14:textId="071F0E67" w:rsidR="006C7FE2" w:rsidRPr="00113F7A" w:rsidRDefault="006C7FE2" w:rsidP="00113F7A">
      <w:pPr>
        <w:pStyle w:val="Footer"/>
        <w:spacing w:after="80"/>
        <w:ind w:left="792"/>
        <w:rPr>
          <w:sz w:val="16"/>
        </w:rPr>
      </w:pPr>
      <w:r w:rsidRPr="00113F7A">
        <w:rPr>
          <w:sz w:val="16"/>
        </w:rPr>
        <w:t>__________________</w:t>
      </w:r>
    </w:p>
  </w:footnote>
  <w:footnote w:id="1">
    <w:p w14:paraId="3BAF7D4B" w14:textId="0E6010BC" w:rsidR="006C7FE2" w:rsidRPr="001C4862" w:rsidRDefault="006C7FE2" w:rsidP="00113F7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1C4862">
        <w:rPr>
          <w:lang w:val="es-ES_tradnl"/>
        </w:rPr>
        <w:tab/>
      </w:r>
      <w:r w:rsidRPr="001C4862">
        <w:rPr>
          <w:rStyle w:val="FootnoteReference"/>
          <w:lang w:val="es-ES_tradnl"/>
        </w:rPr>
        <w:footnoteRef/>
      </w:r>
      <w:r>
        <w:rPr>
          <w:lang w:val="es-ES_tradnl"/>
        </w:rPr>
        <w:tab/>
      </w:r>
      <w:r w:rsidRPr="004F7F7C">
        <w:t xml:space="preserve">Los siguientes miembros del Comité estuvieron presentes en la aprobación de la recomendación: Ayse Feride Acar, Gladys Acosta Vargas, Nicole Ameline, Magalys Arocha Domínguez, Gunnar Bergby, Marion Bethel, Louiza Chalal, Naéla </w:t>
      </w:r>
      <w:r>
        <w:t xml:space="preserve">Mohamed </w:t>
      </w:r>
      <w:r w:rsidRPr="004F7F7C">
        <w:t>Gabr, Hilary Gbedemah, Nahla Haidar, Ruth Halperin-Kaddari, Yoko Hayashi,</w:t>
      </w:r>
      <w:r>
        <w:t xml:space="preserve"> Lilian Hofmeister,</w:t>
      </w:r>
      <w:r w:rsidRPr="004F7F7C">
        <w:t xml:space="preserve"> Ismat Jahan, Dalia Leinarte, Rosario </w:t>
      </w:r>
      <w:r>
        <w:t xml:space="preserve">G. </w:t>
      </w:r>
      <w:r w:rsidRPr="004F7F7C">
        <w:t>Manalo, Lia Nadaraia</w:t>
      </w:r>
      <w:r>
        <w:t xml:space="preserve">, </w:t>
      </w:r>
      <w:r w:rsidRPr="004F7F7C">
        <w:t>Bandana Rana, Patricia Schulz, Wenyan Song y Aicha Vall Verges</w:t>
      </w:r>
      <w:r w:rsidRPr="001C4862">
        <w:rPr>
          <w:lang w:val="es-ES_tradnl"/>
        </w:rPr>
        <w:t>.</w:t>
      </w:r>
    </w:p>
  </w:footnote>
  <w:footnote w:id="2">
    <w:p w14:paraId="57888A38" w14:textId="77777777" w:rsidR="006C7FE2" w:rsidRPr="001C4862" w:rsidRDefault="006C7FE2" w:rsidP="00113F7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1C4862">
        <w:rPr>
          <w:lang w:val="es-ES_tradnl"/>
        </w:rPr>
        <w:tab/>
      </w:r>
      <w:r w:rsidRPr="001C4862">
        <w:rPr>
          <w:rStyle w:val="FootnoteReference"/>
          <w:lang w:val="es-ES_tradnl"/>
        </w:rPr>
        <w:footnoteRef/>
      </w:r>
      <w:r>
        <w:rPr>
          <w:lang w:val="es-ES_tradnl"/>
        </w:rPr>
        <w:tab/>
      </w:r>
      <w:r w:rsidRPr="005E5DE3">
        <w:t>Los siguientes miembros del Comité estuvieron presentes en la aprobación de la recomendación: Ayse Feride Acar, Gladys Acosta Vargas, Nicole Ameline, Magalys Arocha Dominguez, Gunnar Bergby, Marion Bethel, Louiza Chalal, Náela Mohamed Gabr, Hilary Gbedemah, Nahla Haidar, Ruth Halperin-Kaddari, Lilian Hofmeister, Ismat Jahan, Dalia Leinarte, Rosario G. Manalo, Lia Nadaraia, Aruna Devi Narain, Bandana Rana, Patricia Schulz, Wenyan Song y Aicha Vall Verges</w:t>
      </w:r>
      <w:r w:rsidRPr="001C4862">
        <w:rPr>
          <w:lang w:val="es-ES_tradnl"/>
        </w:rPr>
        <w:t>.</w:t>
      </w:r>
    </w:p>
  </w:footnote>
  <w:footnote w:id="3">
    <w:p w14:paraId="2C2B6DF9" w14:textId="77777777" w:rsidR="006C7FE2" w:rsidRPr="001C4862" w:rsidRDefault="006C7FE2" w:rsidP="00113F7A">
      <w:pPr>
        <w:pStyle w:val="FootnoteText"/>
        <w:tabs>
          <w:tab w:val="clear" w:pos="418"/>
          <w:tab w:val="right" w:pos="1195"/>
          <w:tab w:val="left" w:pos="1267"/>
          <w:tab w:val="left" w:pos="1742"/>
          <w:tab w:val="left" w:pos="2218"/>
          <w:tab w:val="left" w:pos="2693"/>
        </w:tabs>
        <w:ind w:left="1267" w:right="1267" w:hanging="432"/>
        <w:rPr>
          <w:lang w:val="es-ES_tradnl"/>
        </w:rPr>
      </w:pPr>
      <w:r w:rsidRPr="001C4862">
        <w:rPr>
          <w:lang w:val="es-ES_tradnl"/>
        </w:rPr>
        <w:tab/>
      </w:r>
      <w:r w:rsidRPr="001C4862">
        <w:rPr>
          <w:rStyle w:val="FootnoteReference"/>
          <w:lang w:val="es-ES_tradnl"/>
        </w:rPr>
        <w:footnoteRef/>
      </w:r>
      <w:r w:rsidRPr="001C4862">
        <w:rPr>
          <w:lang w:val="es-ES_tradnl"/>
        </w:rPr>
        <w:tab/>
      </w:r>
      <w:r w:rsidRPr="004F7F7C">
        <w:t>Los siguientes miembros del Comité estuvieron presentes en la aprobación de la recomendación:</w:t>
      </w:r>
      <w:r w:rsidRPr="001C4862">
        <w:rPr>
          <w:szCs w:val="18"/>
          <w:lang w:val="es-ES_tradnl"/>
        </w:rPr>
        <w:t xml:space="preserve"> Ayse Feride Acar, Gladys Acosta Vargas, Nicole Ameline, Magalys Arocha Dominguez, Gunnar Bergby, Marion Bethel, Louiza Chalal, Náela </w:t>
      </w:r>
      <w:r w:rsidRPr="001C4862">
        <w:rPr>
          <w:spacing w:val="0"/>
          <w:w w:val="100"/>
          <w:lang w:val="es-ES_tradnl"/>
        </w:rPr>
        <w:t xml:space="preserve">Mohamed </w:t>
      </w:r>
      <w:r w:rsidRPr="001C4862">
        <w:rPr>
          <w:szCs w:val="18"/>
          <w:lang w:val="es-ES_tradnl"/>
        </w:rPr>
        <w:t xml:space="preserve">Gabr, Hilary Gbedemah, Nahla Haidar, Lilian Hofmeister, Ismat Jahan, Dalia Leinarte, Rosario G. Manalo, Lia Nadaraia, Aruna Devi Narain, Bandana Rana, Patricia Schulz, Wenyan Song </w:t>
      </w:r>
      <w:r>
        <w:rPr>
          <w:szCs w:val="18"/>
          <w:lang w:val="es-ES_tradnl"/>
        </w:rPr>
        <w:t>y</w:t>
      </w:r>
      <w:r w:rsidRPr="001C4862">
        <w:rPr>
          <w:szCs w:val="18"/>
          <w:lang w:val="es-ES_tradnl"/>
        </w:rPr>
        <w:t xml:space="preserve"> Aicha Vall Verges.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9850"/>
    </w:tblGrid>
    <w:tr w:rsidR="006C7FE2" w:rsidRPr="00025FC4" w14:paraId="06BEFBB4" w14:textId="77777777" w:rsidTr="00A90000">
      <w:trPr>
        <w:trHeight w:hRule="exact" w:val="1008"/>
      </w:trPr>
      <w:tc>
        <w:tcPr>
          <w:tcW w:w="9850" w:type="dxa"/>
          <w:shd w:val="clear" w:color="auto" w:fill="auto"/>
          <w:vAlign w:val="bottom"/>
        </w:tcPr>
        <w:p w14:paraId="1D9F63A9" w14:textId="77777777" w:rsidR="006C7FE2" w:rsidRPr="00025FC4" w:rsidRDefault="006C7FE2" w:rsidP="00025FC4">
          <w:pPr>
            <w:pStyle w:val="Header"/>
            <w:spacing w:after="80"/>
            <w:jc w:val="right"/>
            <w:rPr>
              <w:b/>
            </w:rPr>
          </w:pPr>
        </w:p>
      </w:tc>
    </w:tr>
  </w:tbl>
  <w:p w14:paraId="67CAC96F" w14:textId="77777777" w:rsidR="006C7FE2" w:rsidRDefault="006C7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5314" w14:textId="40858041" w:rsidR="006C7FE2" w:rsidRDefault="00C1661F" w:rsidP="00025FC4">
    <w:pPr>
      <w:pStyle w:val="Header"/>
      <w:spacing w:before="340"/>
      <w:jc w:val="right"/>
      <w:rPr>
        <w:sz w:val="20"/>
      </w:rPr>
    </w:pPr>
    <w:hyperlink r:id="rId1" w:history="1">
      <w:r w:rsidR="006C7FE2" w:rsidRPr="00794DB5">
        <w:rPr>
          <w:rStyle w:val="Hyperlink"/>
          <w:lang w:val="es-ES_tradnl"/>
        </w:rPr>
        <w:t>A/73/38</w:t>
      </w:r>
    </w:hyperlink>
  </w:p>
  <w:p w14:paraId="4D8DE50E" w14:textId="77777777" w:rsidR="006C7FE2" w:rsidRPr="00025FC4" w:rsidRDefault="006C7FE2" w:rsidP="00025FC4">
    <w:pPr>
      <w:spacing w:before="1480"/>
      <w:ind w:left="1260"/>
    </w:pPr>
    <w:r>
      <w:rPr>
        <w:noProof/>
      </w:rPr>
      <w:drawing>
        <wp:inline distT="0" distB="0" distL="0" distR="0" wp14:anchorId="7D40F668" wp14:editId="4039E094">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6C7FE2" w:rsidRPr="00025FC4" w14:paraId="0A85B83A" w14:textId="77777777" w:rsidTr="00025FC4">
      <w:trPr>
        <w:trHeight w:hRule="exact" w:val="1008"/>
      </w:trPr>
      <w:tc>
        <w:tcPr>
          <w:tcW w:w="9850" w:type="dxa"/>
          <w:shd w:val="clear" w:color="auto" w:fill="auto"/>
          <w:vAlign w:val="bottom"/>
        </w:tcPr>
        <w:p w14:paraId="436811F5" w14:textId="77777777" w:rsidR="006C7FE2" w:rsidRPr="00025FC4" w:rsidRDefault="006C7FE2" w:rsidP="00025FC4">
          <w:pPr>
            <w:pStyle w:val="Header"/>
            <w:spacing w:after="80"/>
            <w:rPr>
              <w:b/>
            </w:rPr>
          </w:pPr>
        </w:p>
      </w:tc>
    </w:tr>
  </w:tbl>
  <w:p w14:paraId="46F942D7" w14:textId="77777777" w:rsidR="006C7FE2" w:rsidRDefault="006C7F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6C7FE2" w:rsidRPr="00025FC4" w14:paraId="7CC71B5D" w14:textId="77777777" w:rsidTr="00025FC4">
      <w:trPr>
        <w:trHeight w:hRule="exact" w:val="1008"/>
      </w:trPr>
      <w:tc>
        <w:tcPr>
          <w:tcW w:w="9850" w:type="dxa"/>
          <w:shd w:val="clear" w:color="auto" w:fill="auto"/>
          <w:vAlign w:val="bottom"/>
        </w:tcPr>
        <w:p w14:paraId="28C7319D" w14:textId="77777777" w:rsidR="006C7FE2" w:rsidRPr="00025FC4" w:rsidRDefault="006C7FE2" w:rsidP="00025FC4">
          <w:pPr>
            <w:pStyle w:val="Header"/>
            <w:spacing w:after="80"/>
            <w:jc w:val="right"/>
            <w:rPr>
              <w:b/>
            </w:rPr>
          </w:pPr>
        </w:p>
      </w:tc>
    </w:tr>
  </w:tbl>
  <w:p w14:paraId="7D71BBFD" w14:textId="77777777" w:rsidR="006C7FE2" w:rsidRDefault="006C7F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C7FE2" w14:paraId="6CAE2DDE" w14:textId="77777777" w:rsidTr="00025FC4">
      <w:trPr>
        <w:trHeight w:hRule="exact" w:val="864"/>
      </w:trPr>
      <w:tc>
        <w:tcPr>
          <w:tcW w:w="4939" w:type="dxa"/>
          <w:shd w:val="clear" w:color="auto" w:fill="auto"/>
          <w:vAlign w:val="bottom"/>
        </w:tcPr>
        <w:p w14:paraId="321F8258" w14:textId="40B827CE" w:rsidR="006C7FE2" w:rsidRPr="00025FC4" w:rsidRDefault="006C7FE2" w:rsidP="00025FC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A/73/38</w:t>
          </w:r>
          <w:r>
            <w:rPr>
              <w:b/>
              <w:color w:val="000000"/>
            </w:rPr>
            <w:fldChar w:fldCharType="end"/>
          </w:r>
        </w:p>
      </w:tc>
      <w:tc>
        <w:tcPr>
          <w:tcW w:w="4920" w:type="dxa"/>
          <w:shd w:val="clear" w:color="auto" w:fill="auto"/>
          <w:vAlign w:val="bottom"/>
        </w:tcPr>
        <w:p w14:paraId="7DD843CE" w14:textId="77777777" w:rsidR="006C7FE2" w:rsidRDefault="006C7FE2" w:rsidP="00025FC4">
          <w:pPr>
            <w:pStyle w:val="Header"/>
          </w:pPr>
        </w:p>
      </w:tc>
    </w:tr>
  </w:tbl>
  <w:p w14:paraId="71229D8C" w14:textId="77777777" w:rsidR="006C7FE2" w:rsidRPr="00025FC4" w:rsidRDefault="006C7FE2" w:rsidP="00025FC4">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C7FE2" w14:paraId="5A69404A" w14:textId="77777777" w:rsidTr="00025FC4">
      <w:trPr>
        <w:trHeight w:hRule="exact" w:val="864"/>
      </w:trPr>
      <w:tc>
        <w:tcPr>
          <w:tcW w:w="4939" w:type="dxa"/>
          <w:shd w:val="clear" w:color="auto" w:fill="auto"/>
          <w:vAlign w:val="bottom"/>
        </w:tcPr>
        <w:p w14:paraId="071BA76D" w14:textId="77777777" w:rsidR="006C7FE2" w:rsidRDefault="006C7FE2" w:rsidP="00025FC4">
          <w:pPr>
            <w:pStyle w:val="Header"/>
          </w:pPr>
        </w:p>
      </w:tc>
      <w:tc>
        <w:tcPr>
          <w:tcW w:w="4920" w:type="dxa"/>
          <w:shd w:val="clear" w:color="auto" w:fill="auto"/>
          <w:vAlign w:val="bottom"/>
        </w:tcPr>
        <w:p w14:paraId="4AF2A9CF" w14:textId="561071A4" w:rsidR="006C7FE2" w:rsidRPr="00025FC4" w:rsidRDefault="006C7FE2" w:rsidP="00025FC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A/73/38</w:t>
          </w:r>
          <w:r>
            <w:rPr>
              <w:b/>
              <w:color w:val="000000"/>
            </w:rPr>
            <w:fldChar w:fldCharType="end"/>
          </w:r>
        </w:p>
      </w:tc>
    </w:tr>
  </w:tbl>
  <w:p w14:paraId="12D44BC6" w14:textId="77777777" w:rsidR="006C7FE2" w:rsidRPr="00025FC4" w:rsidRDefault="006C7FE2" w:rsidP="00025FC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18B7"/>
    <w:multiLevelType w:val="multilevel"/>
    <w:tmpl w:val="26366DBA"/>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1C3AD5"/>
    <w:multiLevelType w:val="singleLevel"/>
    <w:tmpl w:val="34760A80"/>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20330AD0"/>
    <w:multiLevelType w:val="hybridMultilevel"/>
    <w:tmpl w:val="45F643E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27151347"/>
    <w:multiLevelType w:val="multilevel"/>
    <w:tmpl w:val="74789C80"/>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AC33B66"/>
    <w:multiLevelType w:val="singleLevel"/>
    <w:tmpl w:val="5406C8B4"/>
    <w:lvl w:ilvl="0">
      <w:start w:val="1"/>
      <w:numFmt w:val="decimal"/>
      <w:lvlRestart w:val="0"/>
      <w:lvlText w:val="%1."/>
      <w:lvlJc w:val="left"/>
      <w:pPr>
        <w:tabs>
          <w:tab w:val="num" w:pos="475"/>
        </w:tabs>
        <w:ind w:left="0" w:firstLine="0"/>
      </w:pPr>
      <w:rPr>
        <w:spacing w:val="0"/>
        <w:w w:val="100"/>
      </w:rPr>
    </w:lvl>
  </w:abstractNum>
  <w:abstractNum w:abstractNumId="7" w15:restartNumberingAfterBreak="0">
    <w:nsid w:val="46FD2416"/>
    <w:multiLevelType w:val="multilevel"/>
    <w:tmpl w:val="3274109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8860937"/>
    <w:multiLevelType w:val="multilevel"/>
    <w:tmpl w:val="1394943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CE669A5"/>
    <w:multiLevelType w:val="multilevel"/>
    <w:tmpl w:val="DE90CC1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51376339"/>
    <w:multiLevelType w:val="hybridMultilevel"/>
    <w:tmpl w:val="9A78754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15:restartNumberingAfterBreak="0">
    <w:nsid w:val="62022005"/>
    <w:multiLevelType w:val="hybridMultilevel"/>
    <w:tmpl w:val="BE18492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50F3B16"/>
    <w:multiLevelType w:val="multilevel"/>
    <w:tmpl w:val="1394943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FA7F4B"/>
    <w:multiLevelType w:val="multilevel"/>
    <w:tmpl w:val="A99C52B8"/>
    <w:name w:val="TOC3"/>
    <w:lvl w:ilvl="0">
      <w:start w:val="1"/>
      <w:numFmt w:val="upperRoman"/>
      <w:lvlText w:val="%1."/>
      <w:lvlJc w:val="right"/>
      <w:pPr>
        <w:tabs>
          <w:tab w:val="num" w:pos="1168"/>
        </w:tabs>
        <w:ind w:left="1168" w:hanging="216"/>
      </w:pPr>
    </w:lvl>
    <w:lvl w:ilvl="1">
      <w:start w:val="1"/>
      <w:numFmt w:val="upperLetter"/>
      <w:lvlText w:val="%2."/>
      <w:lvlJc w:val="left"/>
      <w:pPr>
        <w:tabs>
          <w:tab w:val="num" w:pos="1600"/>
        </w:tabs>
        <w:ind w:left="1600" w:hanging="432"/>
      </w:pPr>
    </w:lvl>
    <w:lvl w:ilvl="2">
      <w:start w:val="1"/>
      <w:numFmt w:val="decimal"/>
      <w:lvlText w:val="%3."/>
      <w:lvlJc w:val="left"/>
      <w:pPr>
        <w:tabs>
          <w:tab w:val="num" w:pos="2032"/>
        </w:tabs>
        <w:ind w:left="2032" w:hanging="432"/>
      </w:pPr>
    </w:lvl>
    <w:lvl w:ilvl="3">
      <w:start w:val="1"/>
      <w:numFmt w:val="lowerLetter"/>
      <w:lvlText w:val="(%4)"/>
      <w:lvlJc w:val="left"/>
      <w:pPr>
        <w:tabs>
          <w:tab w:val="num" w:pos="2464"/>
        </w:tabs>
        <w:ind w:left="2464" w:hanging="432"/>
      </w:pPr>
    </w:lvl>
    <w:lvl w:ilvl="4">
      <w:start w:val="1"/>
      <w:numFmt w:val="lowerRoman"/>
      <w:lvlText w:val="(%5)"/>
      <w:lvlJc w:val="left"/>
      <w:pPr>
        <w:tabs>
          <w:tab w:val="num" w:pos="2896"/>
        </w:tabs>
        <w:ind w:left="2896" w:hanging="432"/>
      </w:pPr>
    </w:lvl>
    <w:lvl w:ilvl="5">
      <w:start w:val="1"/>
      <w:numFmt w:val="bullet"/>
      <w:lvlText w:val=""/>
      <w:lvlJc w:val="left"/>
      <w:pPr>
        <w:tabs>
          <w:tab w:val="num" w:pos="3328"/>
        </w:tabs>
        <w:ind w:left="3328" w:hanging="432"/>
      </w:pPr>
      <w:rPr>
        <w:rFonts w:ascii="Symbol" w:hAnsi="Symbol" w:hint="default"/>
      </w:rPr>
    </w:lvl>
    <w:lvl w:ilvl="6">
      <w:start w:val="1"/>
      <w:numFmt w:val="none"/>
      <w:suff w:val="nothing"/>
      <w:lvlText w:val=""/>
      <w:lvlJc w:val="left"/>
      <w:pPr>
        <w:ind w:left="-128" w:firstLine="0"/>
      </w:pPr>
    </w:lvl>
    <w:lvl w:ilvl="7">
      <w:start w:val="1"/>
      <w:numFmt w:val="none"/>
      <w:suff w:val="nothing"/>
      <w:lvlText w:val=""/>
      <w:lvlJc w:val="left"/>
      <w:pPr>
        <w:ind w:left="-128" w:firstLine="0"/>
      </w:pPr>
    </w:lvl>
    <w:lvl w:ilvl="8">
      <w:start w:val="1"/>
      <w:numFmt w:val="none"/>
      <w:suff w:val="nothing"/>
      <w:lvlText w:val=""/>
      <w:lvlJc w:val="left"/>
      <w:pPr>
        <w:ind w:left="-128" w:firstLine="0"/>
      </w:pPr>
    </w:lvl>
  </w:abstractNum>
  <w:abstractNum w:abstractNumId="15" w15:restartNumberingAfterBreak="0">
    <w:nsid w:val="7EF25900"/>
    <w:multiLevelType w:val="singleLevel"/>
    <w:tmpl w:val="7A2C4AC0"/>
    <w:lvl w:ilvl="0">
      <w:start w:val="1"/>
      <w:numFmt w:val="decimal"/>
      <w:lvlRestart w:val="0"/>
      <w:lvlText w:val="%1."/>
      <w:lvlJc w:val="left"/>
      <w:pPr>
        <w:tabs>
          <w:tab w:val="num" w:pos="475"/>
        </w:tabs>
        <w:ind w:left="0" w:firstLine="0"/>
      </w:pPr>
      <w:rPr>
        <w:spacing w:val="0"/>
        <w:w w:val="100"/>
      </w:rPr>
    </w:lvl>
  </w:abstractNum>
  <w:num w:numId="1">
    <w:abstractNumId w:val="11"/>
  </w:num>
  <w:num w:numId="2">
    <w:abstractNumId w:val="4"/>
  </w:num>
  <w:num w:numId="3">
    <w:abstractNumId w:val="10"/>
  </w:num>
  <w:num w:numId="4">
    <w:abstractNumId w:val="9"/>
  </w:num>
  <w:num w:numId="5">
    <w:abstractNumId w:val="3"/>
  </w:num>
  <w:num w:numId="6">
    <w:abstractNumId w:val="0"/>
  </w:num>
  <w:num w:numId="7">
    <w:abstractNumId w:val="13"/>
  </w:num>
  <w:num w:numId="8">
    <w:abstractNumId w:val="2"/>
  </w:num>
  <w:num w:numId="9">
    <w:abstractNumId w:val="6"/>
  </w:num>
  <w:num w:numId="10">
    <w:abstractNumId w:val="15"/>
  </w:num>
  <w:num w:numId="11">
    <w:abstractNumId w:val="7"/>
  </w:num>
  <w:num w:numId="12">
    <w:abstractNumId w:val="1"/>
  </w:num>
  <w:num w:numId="13">
    <w:abstractNumId w:val="12"/>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972*"/>
    <w:docVar w:name="CreationDt" w:val="26/04/2018 3:44: PM"/>
    <w:docVar w:name="DocCategory" w:val="Supplements"/>
    <w:docVar w:name="DocType" w:val="Final"/>
    <w:docVar w:name="DutyStation" w:val="New York"/>
    <w:docVar w:name="FooterJN" w:val="18-04972"/>
    <w:docVar w:name="jobn" w:val="18-04972 (S)"/>
    <w:docVar w:name="jobnDT" w:val="18-04972 (S)   260418"/>
    <w:docVar w:name="jobnDTDT" w:val="18-04972 (S)   260418   260418"/>
    <w:docVar w:name="JobNo" w:val="1804972S"/>
    <w:docVar w:name="JobNo2" w:val="18089233:44: PM"/>
    <w:docVar w:name="LocalDrive" w:val="0"/>
    <w:docVar w:name="OandT" w:val="MVP/PRATS"/>
    <w:docVar w:name="sss1" w:val="A/73/38"/>
    <w:docVar w:name="sss2" w:val="-"/>
    <w:docVar w:name="Symbol1" w:val="A/73/38"/>
    <w:docVar w:name="Symbol2" w:val="-"/>
  </w:docVars>
  <w:rsids>
    <w:rsidRoot w:val="007B1A89"/>
    <w:rsid w:val="00002F6A"/>
    <w:rsid w:val="00017FCF"/>
    <w:rsid w:val="00024D1E"/>
    <w:rsid w:val="00025FC4"/>
    <w:rsid w:val="00027556"/>
    <w:rsid w:val="00036D49"/>
    <w:rsid w:val="00054806"/>
    <w:rsid w:val="00055CEB"/>
    <w:rsid w:val="00065018"/>
    <w:rsid w:val="00071276"/>
    <w:rsid w:val="00071E44"/>
    <w:rsid w:val="000C4C9C"/>
    <w:rsid w:val="000E3200"/>
    <w:rsid w:val="0011115C"/>
    <w:rsid w:val="00113F7A"/>
    <w:rsid w:val="001263EE"/>
    <w:rsid w:val="00127E92"/>
    <w:rsid w:val="00150062"/>
    <w:rsid w:val="001619B8"/>
    <w:rsid w:val="0017690E"/>
    <w:rsid w:val="00186777"/>
    <w:rsid w:val="001A5866"/>
    <w:rsid w:val="001B580F"/>
    <w:rsid w:val="001F0FB0"/>
    <w:rsid w:val="0021185F"/>
    <w:rsid w:val="00214419"/>
    <w:rsid w:val="00214645"/>
    <w:rsid w:val="00232525"/>
    <w:rsid w:val="0024559F"/>
    <w:rsid w:val="002540F2"/>
    <w:rsid w:val="00264078"/>
    <w:rsid w:val="002706A2"/>
    <w:rsid w:val="00270D71"/>
    <w:rsid w:val="002A1FA8"/>
    <w:rsid w:val="002B3FDE"/>
    <w:rsid w:val="002E345B"/>
    <w:rsid w:val="002F3C56"/>
    <w:rsid w:val="002F5693"/>
    <w:rsid w:val="00300BF5"/>
    <w:rsid w:val="00344C35"/>
    <w:rsid w:val="003511D4"/>
    <w:rsid w:val="00361DA3"/>
    <w:rsid w:val="0037719A"/>
    <w:rsid w:val="0038204F"/>
    <w:rsid w:val="00387979"/>
    <w:rsid w:val="003A02C7"/>
    <w:rsid w:val="003A610A"/>
    <w:rsid w:val="003B6418"/>
    <w:rsid w:val="003C5E36"/>
    <w:rsid w:val="003C703C"/>
    <w:rsid w:val="003D45B3"/>
    <w:rsid w:val="003E3B08"/>
    <w:rsid w:val="003E723B"/>
    <w:rsid w:val="00411BAB"/>
    <w:rsid w:val="004140D0"/>
    <w:rsid w:val="0044179B"/>
    <w:rsid w:val="00452DA9"/>
    <w:rsid w:val="0046064E"/>
    <w:rsid w:val="004B4C46"/>
    <w:rsid w:val="004C1589"/>
    <w:rsid w:val="004C5F9E"/>
    <w:rsid w:val="004D17DB"/>
    <w:rsid w:val="004D1DDB"/>
    <w:rsid w:val="004F5BC6"/>
    <w:rsid w:val="00501DB6"/>
    <w:rsid w:val="005021C9"/>
    <w:rsid w:val="00511F73"/>
    <w:rsid w:val="0054233B"/>
    <w:rsid w:val="00556720"/>
    <w:rsid w:val="0056649E"/>
    <w:rsid w:val="00574BF4"/>
    <w:rsid w:val="005832B1"/>
    <w:rsid w:val="005B6F9A"/>
    <w:rsid w:val="005C49C8"/>
    <w:rsid w:val="005F0252"/>
    <w:rsid w:val="00603CAC"/>
    <w:rsid w:val="00614558"/>
    <w:rsid w:val="006237DC"/>
    <w:rsid w:val="00630929"/>
    <w:rsid w:val="00674235"/>
    <w:rsid w:val="006C4347"/>
    <w:rsid w:val="006C7FE2"/>
    <w:rsid w:val="006E1D37"/>
    <w:rsid w:val="006E72B9"/>
    <w:rsid w:val="007915BB"/>
    <w:rsid w:val="007924D2"/>
    <w:rsid w:val="00794DB5"/>
    <w:rsid w:val="007B1A89"/>
    <w:rsid w:val="00827586"/>
    <w:rsid w:val="0083443B"/>
    <w:rsid w:val="008402EC"/>
    <w:rsid w:val="0084511B"/>
    <w:rsid w:val="00854517"/>
    <w:rsid w:val="00855FFA"/>
    <w:rsid w:val="008723C3"/>
    <w:rsid w:val="00887ECB"/>
    <w:rsid w:val="008A0839"/>
    <w:rsid w:val="008B3FE9"/>
    <w:rsid w:val="008C4B1B"/>
    <w:rsid w:val="008D5F12"/>
    <w:rsid w:val="008F5C2D"/>
    <w:rsid w:val="00901B9F"/>
    <w:rsid w:val="00910F7E"/>
    <w:rsid w:val="00935E62"/>
    <w:rsid w:val="009457D2"/>
    <w:rsid w:val="00951DCF"/>
    <w:rsid w:val="009576F3"/>
    <w:rsid w:val="00965526"/>
    <w:rsid w:val="00965C8A"/>
    <w:rsid w:val="00975798"/>
    <w:rsid w:val="009C6308"/>
    <w:rsid w:val="009E1969"/>
    <w:rsid w:val="009E5A73"/>
    <w:rsid w:val="009E747C"/>
    <w:rsid w:val="00A20AC0"/>
    <w:rsid w:val="00A4615F"/>
    <w:rsid w:val="00A90000"/>
    <w:rsid w:val="00AA339A"/>
    <w:rsid w:val="00AA6F33"/>
    <w:rsid w:val="00AC4A26"/>
    <w:rsid w:val="00AD5416"/>
    <w:rsid w:val="00AF3614"/>
    <w:rsid w:val="00AF38EB"/>
    <w:rsid w:val="00B249EF"/>
    <w:rsid w:val="00B33875"/>
    <w:rsid w:val="00B40947"/>
    <w:rsid w:val="00B61ABA"/>
    <w:rsid w:val="00B95B84"/>
    <w:rsid w:val="00B9620C"/>
    <w:rsid w:val="00BB122A"/>
    <w:rsid w:val="00BB730D"/>
    <w:rsid w:val="00BB778A"/>
    <w:rsid w:val="00BC3AF3"/>
    <w:rsid w:val="00BF5B27"/>
    <w:rsid w:val="00BF6BE0"/>
    <w:rsid w:val="00C04657"/>
    <w:rsid w:val="00C04769"/>
    <w:rsid w:val="00C1661F"/>
    <w:rsid w:val="00C36C04"/>
    <w:rsid w:val="00C41BD8"/>
    <w:rsid w:val="00C45E41"/>
    <w:rsid w:val="00C75823"/>
    <w:rsid w:val="00C779E4"/>
    <w:rsid w:val="00C9219C"/>
    <w:rsid w:val="00CB358C"/>
    <w:rsid w:val="00CC163D"/>
    <w:rsid w:val="00CC625E"/>
    <w:rsid w:val="00CD0C24"/>
    <w:rsid w:val="00CF6699"/>
    <w:rsid w:val="00D17BF6"/>
    <w:rsid w:val="00D8355A"/>
    <w:rsid w:val="00DA0CCE"/>
    <w:rsid w:val="00DA119C"/>
    <w:rsid w:val="00DA3E59"/>
    <w:rsid w:val="00DB6BFF"/>
    <w:rsid w:val="00DC7B16"/>
    <w:rsid w:val="00DF0132"/>
    <w:rsid w:val="00E05773"/>
    <w:rsid w:val="00E26296"/>
    <w:rsid w:val="00E445F9"/>
    <w:rsid w:val="00E450C3"/>
    <w:rsid w:val="00E527A6"/>
    <w:rsid w:val="00E528BA"/>
    <w:rsid w:val="00E60D9F"/>
    <w:rsid w:val="00E73AC8"/>
    <w:rsid w:val="00E73D09"/>
    <w:rsid w:val="00E7541B"/>
    <w:rsid w:val="00EB6B7A"/>
    <w:rsid w:val="00EC2388"/>
    <w:rsid w:val="00EC6195"/>
    <w:rsid w:val="00EF45FD"/>
    <w:rsid w:val="00F04437"/>
    <w:rsid w:val="00F1460A"/>
    <w:rsid w:val="00F27BF6"/>
    <w:rsid w:val="00F30184"/>
    <w:rsid w:val="00F30BCC"/>
    <w:rsid w:val="00F31052"/>
    <w:rsid w:val="00F32866"/>
    <w:rsid w:val="00F37038"/>
    <w:rsid w:val="00F37FB5"/>
    <w:rsid w:val="00F41482"/>
    <w:rsid w:val="00F5593E"/>
    <w:rsid w:val="00F94BC6"/>
    <w:rsid w:val="00F95579"/>
    <w:rsid w:val="00FA0EFB"/>
    <w:rsid w:val="00FB6C73"/>
    <w:rsid w:val="00FC7D80"/>
    <w:rsid w:val="00FD3101"/>
    <w:rsid w:val="00FD6B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5147A"/>
  <w15:chartTrackingRefBased/>
  <w15:docId w15:val="{5908949E-55A7-455C-AA56-6CED7166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03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F3703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3703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3703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F37038"/>
    <w:p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F37038"/>
    <w:p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F3703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F37038"/>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F37038"/>
    <w:p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F3703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370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F37038"/>
    <w:pPr>
      <w:keepNext/>
      <w:keepLines/>
      <w:spacing w:line="270" w:lineRule="exact"/>
      <w:outlineLvl w:val="0"/>
    </w:pPr>
    <w:rPr>
      <w:b/>
      <w:kern w:val="14"/>
      <w:sz w:val="24"/>
    </w:rPr>
  </w:style>
  <w:style w:type="paragraph" w:customStyle="1" w:styleId="HCh">
    <w:name w:val="_ H _Ch"/>
    <w:basedOn w:val="H1"/>
    <w:next w:val="SingleTxt"/>
    <w:qFormat/>
    <w:rsid w:val="00F37038"/>
    <w:pPr>
      <w:spacing w:line="300" w:lineRule="exact"/>
    </w:pPr>
    <w:rPr>
      <w:spacing w:val="-2"/>
      <w:sz w:val="28"/>
    </w:rPr>
  </w:style>
  <w:style w:type="paragraph" w:customStyle="1" w:styleId="HM">
    <w:name w:val="_ H __M"/>
    <w:basedOn w:val="HCh"/>
    <w:next w:val="Normal"/>
    <w:qFormat/>
    <w:rsid w:val="00F37038"/>
    <w:pPr>
      <w:spacing w:line="360" w:lineRule="exact"/>
    </w:pPr>
    <w:rPr>
      <w:spacing w:val="-3"/>
      <w:w w:val="99"/>
      <w:sz w:val="34"/>
    </w:rPr>
  </w:style>
  <w:style w:type="paragraph" w:customStyle="1" w:styleId="H23">
    <w:name w:val="_ H_2/3"/>
    <w:basedOn w:val="H1"/>
    <w:next w:val="SingleTxt"/>
    <w:qFormat/>
    <w:rsid w:val="00F37038"/>
    <w:pPr>
      <w:spacing w:line="240" w:lineRule="exact"/>
      <w:outlineLvl w:val="1"/>
    </w:pPr>
    <w:rPr>
      <w:spacing w:val="2"/>
      <w:sz w:val="20"/>
    </w:rPr>
  </w:style>
  <w:style w:type="paragraph" w:customStyle="1" w:styleId="H4">
    <w:name w:val="_ H_4"/>
    <w:basedOn w:val="Normal"/>
    <w:next w:val="Normal"/>
    <w:qFormat/>
    <w:rsid w:val="00F37038"/>
    <w:pPr>
      <w:keepNext/>
      <w:keepLines/>
      <w:tabs>
        <w:tab w:val="right" w:pos="360"/>
      </w:tabs>
      <w:outlineLvl w:val="3"/>
    </w:pPr>
    <w:rPr>
      <w:i/>
      <w:spacing w:val="3"/>
      <w:kern w:val="14"/>
    </w:rPr>
  </w:style>
  <w:style w:type="paragraph" w:customStyle="1" w:styleId="H56">
    <w:name w:val="_ H_5/6"/>
    <w:basedOn w:val="Normal"/>
    <w:next w:val="Normal"/>
    <w:qFormat/>
    <w:rsid w:val="00F37038"/>
    <w:pPr>
      <w:keepNext/>
      <w:keepLines/>
      <w:tabs>
        <w:tab w:val="right" w:pos="360"/>
      </w:tabs>
      <w:outlineLvl w:val="4"/>
    </w:pPr>
    <w:rPr>
      <w:kern w:val="14"/>
    </w:rPr>
  </w:style>
  <w:style w:type="paragraph" w:customStyle="1" w:styleId="DualTxt">
    <w:name w:val="__Dual Txt"/>
    <w:basedOn w:val="Normal"/>
    <w:qFormat/>
    <w:rsid w:val="00F3703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3703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37038"/>
    <w:pPr>
      <w:spacing w:line="540" w:lineRule="exact"/>
    </w:pPr>
    <w:rPr>
      <w:spacing w:val="-8"/>
      <w:w w:val="96"/>
      <w:sz w:val="57"/>
    </w:rPr>
  </w:style>
  <w:style w:type="paragraph" w:customStyle="1" w:styleId="SS">
    <w:name w:val="__S_S"/>
    <w:basedOn w:val="HCh"/>
    <w:next w:val="Normal"/>
    <w:qFormat/>
    <w:rsid w:val="00F37038"/>
    <w:pPr>
      <w:ind w:left="1267" w:right="1267"/>
    </w:pPr>
  </w:style>
  <w:style w:type="paragraph" w:customStyle="1" w:styleId="SingleTxt">
    <w:name w:val="__Single Txt"/>
    <w:basedOn w:val="Normal"/>
    <w:link w:val="SingleTxtChar"/>
    <w:qFormat/>
    <w:rsid w:val="00F370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3703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3703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3703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37038"/>
    <w:rPr>
      <w:rFonts w:ascii="Tahoma" w:hAnsi="Tahoma" w:cs="Tahoma"/>
      <w:sz w:val="16"/>
      <w:szCs w:val="16"/>
    </w:rPr>
  </w:style>
  <w:style w:type="character" w:customStyle="1" w:styleId="BalloonTextChar">
    <w:name w:val="Balloon Text Char"/>
    <w:basedOn w:val="DefaultParagraphFont"/>
    <w:link w:val="BalloonText"/>
    <w:semiHidden/>
    <w:rsid w:val="00F37038"/>
    <w:rPr>
      <w:rFonts w:ascii="Tahoma" w:eastAsiaTheme="minorHAnsi" w:hAnsi="Tahoma" w:cs="Tahoma"/>
      <w:spacing w:val="4"/>
      <w:w w:val="103"/>
      <w:sz w:val="16"/>
      <w:szCs w:val="16"/>
      <w:lang w:val="es-ES" w:eastAsia="en-US"/>
    </w:rPr>
  </w:style>
  <w:style w:type="paragraph" w:customStyle="1" w:styleId="Bullet1">
    <w:name w:val="Bullet 1"/>
    <w:basedOn w:val="Normal"/>
    <w:qFormat/>
    <w:rsid w:val="00F37038"/>
    <w:pPr>
      <w:numPr>
        <w:numId w:val="1"/>
      </w:numPr>
      <w:spacing w:after="120"/>
      <w:ind w:right="1264"/>
      <w:jc w:val="both"/>
    </w:pPr>
  </w:style>
  <w:style w:type="paragraph" w:customStyle="1" w:styleId="Bullet2">
    <w:name w:val="Bullet 2"/>
    <w:basedOn w:val="Normal"/>
    <w:qFormat/>
    <w:rsid w:val="00F37038"/>
    <w:pPr>
      <w:numPr>
        <w:numId w:val="2"/>
      </w:numPr>
      <w:spacing w:after="120"/>
      <w:ind w:right="1264"/>
      <w:jc w:val="both"/>
    </w:pPr>
  </w:style>
  <w:style w:type="paragraph" w:customStyle="1" w:styleId="Bullet3">
    <w:name w:val="Bullet 3"/>
    <w:basedOn w:val="SingleTxt"/>
    <w:qFormat/>
    <w:rsid w:val="00F3703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37038"/>
    <w:pPr>
      <w:spacing w:line="240" w:lineRule="auto"/>
    </w:pPr>
    <w:rPr>
      <w:b/>
      <w:bCs/>
      <w:color w:val="4F81BD"/>
      <w:sz w:val="18"/>
      <w:szCs w:val="18"/>
    </w:rPr>
  </w:style>
  <w:style w:type="character" w:styleId="CommentReference">
    <w:name w:val="annotation reference"/>
    <w:semiHidden/>
    <w:rsid w:val="00F37038"/>
    <w:rPr>
      <w:sz w:val="6"/>
    </w:rPr>
  </w:style>
  <w:style w:type="paragraph" w:customStyle="1" w:styleId="Distribution">
    <w:name w:val="Distribution"/>
    <w:next w:val="Normal"/>
    <w:autoRedefine/>
    <w:qFormat/>
    <w:rsid w:val="00F3703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F3703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F37038"/>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F37038"/>
    <w:rPr>
      <w:rFonts w:ascii="Times New Roman" w:eastAsiaTheme="minorHAnsi" w:hAnsi="Times New Roman" w:cs="Times New Roman"/>
      <w:spacing w:val="5"/>
      <w:w w:val="104"/>
      <w:sz w:val="17"/>
      <w:lang w:val="es-ES" w:eastAsia="en-US"/>
    </w:rPr>
  </w:style>
  <w:style w:type="paragraph" w:styleId="EndnoteText">
    <w:name w:val="endnote text"/>
    <w:aliases w:val="2_G"/>
    <w:basedOn w:val="FootnoteText"/>
    <w:link w:val="EndnoteTextChar"/>
    <w:qFormat/>
    <w:rsid w:val="00F37038"/>
    <w:pPr>
      <w:spacing w:after="80"/>
    </w:pPr>
  </w:style>
  <w:style w:type="character" w:customStyle="1" w:styleId="EndnoteTextChar">
    <w:name w:val="Endnote Text Char"/>
    <w:aliases w:val="2_G Char"/>
    <w:basedOn w:val="DefaultParagraphFont"/>
    <w:link w:val="EndnoteText"/>
    <w:semiHidden/>
    <w:rsid w:val="00F37038"/>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F3703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rsid w:val="00F37038"/>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F3703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3703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3703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37038"/>
    <w:pPr>
      <w:spacing w:before="240"/>
    </w:pPr>
    <w:rPr>
      <w:b/>
      <w:spacing w:val="-2"/>
      <w:w w:val="100"/>
    </w:rPr>
  </w:style>
  <w:style w:type="paragraph" w:customStyle="1" w:styleId="HdChapterBdLg">
    <w:name w:val="Hd Chapter Bd Lg"/>
    <w:basedOn w:val="HdChapterBD"/>
    <w:next w:val="Normal"/>
    <w:qFormat/>
    <w:rsid w:val="00F37038"/>
    <w:rPr>
      <w:spacing w:val="-3"/>
      <w:w w:val="99"/>
      <w:kern w:val="14"/>
      <w:sz w:val="34"/>
      <w:szCs w:val="34"/>
    </w:rPr>
  </w:style>
  <w:style w:type="paragraph" w:styleId="Header">
    <w:name w:val="header"/>
    <w:aliases w:val="6_G"/>
    <w:link w:val="HeaderChar"/>
    <w:qFormat/>
    <w:rsid w:val="00F3703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F37038"/>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uiPriority w:val="9"/>
    <w:rsid w:val="00F3703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3703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3703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3703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3703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3703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F37038"/>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F3703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F3703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37038"/>
    <w:pPr>
      <w:keepNext/>
      <w:spacing w:before="190" w:line="270" w:lineRule="exact"/>
    </w:pPr>
    <w:rPr>
      <w:b/>
      <w:kern w:val="14"/>
      <w:sz w:val="24"/>
    </w:rPr>
  </w:style>
  <w:style w:type="paragraph" w:customStyle="1" w:styleId="JournalHeading2">
    <w:name w:val="Journal_Heading2"/>
    <w:basedOn w:val="Normal"/>
    <w:next w:val="Normal"/>
    <w:qFormat/>
    <w:rsid w:val="00F37038"/>
    <w:pPr>
      <w:keepNext/>
      <w:keepLines/>
      <w:spacing w:before="240"/>
      <w:outlineLvl w:val="1"/>
    </w:pPr>
    <w:rPr>
      <w:b/>
      <w:spacing w:val="2"/>
      <w:kern w:val="14"/>
    </w:rPr>
  </w:style>
  <w:style w:type="paragraph" w:customStyle="1" w:styleId="JournalHeading4">
    <w:name w:val="Journal_Heading4"/>
    <w:basedOn w:val="Normal"/>
    <w:next w:val="Normal"/>
    <w:qFormat/>
    <w:rsid w:val="00F37038"/>
    <w:pPr>
      <w:keepNext/>
      <w:keepLines/>
      <w:spacing w:before="240"/>
      <w:outlineLvl w:val="3"/>
    </w:pPr>
    <w:rPr>
      <w:i/>
      <w:kern w:val="14"/>
    </w:rPr>
  </w:style>
  <w:style w:type="character" w:styleId="LineNumber">
    <w:name w:val="line number"/>
    <w:qFormat/>
    <w:rsid w:val="00F37038"/>
    <w:rPr>
      <w:sz w:val="14"/>
    </w:rPr>
  </w:style>
  <w:style w:type="paragraph" w:styleId="NoSpacing">
    <w:name w:val="No Spacing"/>
    <w:basedOn w:val="Normal"/>
    <w:link w:val="NoSpacingChar"/>
    <w:uiPriority w:val="1"/>
    <w:qFormat/>
    <w:rsid w:val="00F37038"/>
    <w:pPr>
      <w:spacing w:line="240" w:lineRule="auto"/>
    </w:pPr>
  </w:style>
  <w:style w:type="paragraph" w:customStyle="1" w:styleId="NormalBullet">
    <w:name w:val="Normal Bullet"/>
    <w:basedOn w:val="Normal"/>
    <w:next w:val="Normal"/>
    <w:qFormat/>
    <w:rsid w:val="00F37038"/>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F37038"/>
    <w:pPr>
      <w:tabs>
        <w:tab w:val="left" w:leader="dot" w:pos="2218"/>
        <w:tab w:val="left" w:pos="2707"/>
        <w:tab w:val="right" w:leader="dot" w:pos="9835"/>
      </w:tabs>
    </w:pPr>
    <w:rPr>
      <w:kern w:val="14"/>
    </w:rPr>
  </w:style>
  <w:style w:type="paragraph" w:customStyle="1" w:styleId="Original">
    <w:name w:val="Original"/>
    <w:next w:val="Normal"/>
    <w:autoRedefine/>
    <w:qFormat/>
    <w:rsid w:val="00F3703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3703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F37038"/>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F37038"/>
    <w:pPr>
      <w:tabs>
        <w:tab w:val="right" w:pos="9965"/>
      </w:tabs>
      <w:spacing w:line="210" w:lineRule="exact"/>
    </w:pPr>
    <w:rPr>
      <w:spacing w:val="5"/>
      <w:w w:val="104"/>
      <w:kern w:val="14"/>
      <w:sz w:val="17"/>
    </w:rPr>
  </w:style>
  <w:style w:type="paragraph" w:customStyle="1" w:styleId="SmallX">
    <w:name w:val="SmallX"/>
    <w:basedOn w:val="Small"/>
    <w:next w:val="Normal"/>
    <w:qFormat/>
    <w:rsid w:val="00F37038"/>
    <w:pPr>
      <w:spacing w:line="180" w:lineRule="exact"/>
      <w:jc w:val="right"/>
    </w:pPr>
    <w:rPr>
      <w:spacing w:val="6"/>
      <w:w w:val="106"/>
      <w:sz w:val="14"/>
    </w:rPr>
  </w:style>
  <w:style w:type="paragraph" w:customStyle="1" w:styleId="TitleHCH">
    <w:name w:val="Title_H_CH"/>
    <w:basedOn w:val="HCh"/>
    <w:next w:val="SingleTxt"/>
    <w:qFormat/>
    <w:rsid w:val="00F370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370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F37038"/>
    <w:pPr>
      <w:outlineLvl w:val="9"/>
    </w:pPr>
    <w:rPr>
      <w:rFonts w:eastAsiaTheme="majorEastAsia" w:cstheme="majorBidi"/>
      <w:lang w:bidi="en-US"/>
    </w:rPr>
  </w:style>
  <w:style w:type="paragraph" w:customStyle="1" w:styleId="XLarge">
    <w:name w:val="XLarge"/>
    <w:basedOn w:val="HM"/>
    <w:qFormat/>
    <w:rsid w:val="00F37038"/>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table" w:styleId="TableGrid">
    <w:name w:val="Table Grid"/>
    <w:basedOn w:val="TableNormal"/>
    <w:rsid w:val="0002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025FC4"/>
    <w:pPr>
      <w:spacing w:line="240" w:lineRule="auto"/>
    </w:pPr>
    <w:rPr>
      <w:szCs w:val="20"/>
    </w:rPr>
  </w:style>
  <w:style w:type="character" w:customStyle="1" w:styleId="CommentTextChar">
    <w:name w:val="Comment Text Char"/>
    <w:basedOn w:val="DefaultParagraphFont"/>
    <w:link w:val="CommentText"/>
    <w:rsid w:val="00025FC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nhideWhenUsed/>
    <w:rsid w:val="00025FC4"/>
    <w:rPr>
      <w:b/>
      <w:bCs/>
    </w:rPr>
  </w:style>
  <w:style w:type="character" w:customStyle="1" w:styleId="CommentSubjectChar">
    <w:name w:val="Comment Subject Char"/>
    <w:basedOn w:val="CommentTextChar"/>
    <w:link w:val="CommentSubject"/>
    <w:rsid w:val="00025FC4"/>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4F5BC6"/>
    <w:pPr>
      <w:keepNext/>
      <w:keepLines/>
      <w:tabs>
        <w:tab w:val="right" w:pos="851"/>
      </w:tabs>
      <w:spacing w:before="360" w:after="240" w:line="300" w:lineRule="exact"/>
      <w:ind w:left="1134" w:right="1134" w:hanging="1134"/>
    </w:pPr>
    <w:rPr>
      <w:b/>
      <w:kern w:val="14"/>
      <w:sz w:val="28"/>
      <w:szCs w:val="20"/>
      <w:lang w:val="en-GB"/>
    </w:rPr>
  </w:style>
  <w:style w:type="paragraph" w:customStyle="1" w:styleId="H1G">
    <w:name w:val="_ H_1_G"/>
    <w:basedOn w:val="Normal"/>
    <w:next w:val="Normal"/>
    <w:qFormat/>
    <w:rsid w:val="004F5BC6"/>
    <w:pPr>
      <w:keepNext/>
      <w:keepLines/>
      <w:tabs>
        <w:tab w:val="right" w:pos="851"/>
      </w:tabs>
      <w:spacing w:before="360" w:after="240" w:line="270" w:lineRule="exact"/>
      <w:ind w:left="1134" w:right="1134" w:hanging="1134"/>
    </w:pPr>
    <w:rPr>
      <w:b/>
      <w:kern w:val="14"/>
      <w:sz w:val="24"/>
      <w:szCs w:val="20"/>
      <w:lang w:val="en-GB"/>
    </w:rPr>
  </w:style>
  <w:style w:type="character" w:styleId="Hyperlink">
    <w:name w:val="Hyperlink"/>
    <w:basedOn w:val="DefaultParagraphFont"/>
    <w:unhideWhenUsed/>
    <w:rsid w:val="00910F7E"/>
    <w:rPr>
      <w:color w:val="0000FF" w:themeColor="hyperlink"/>
      <w:u w:val="none"/>
    </w:rPr>
  </w:style>
  <w:style w:type="character" w:styleId="UnresolvedMention">
    <w:name w:val="Unresolved Mention"/>
    <w:basedOn w:val="DefaultParagraphFont"/>
    <w:uiPriority w:val="99"/>
    <w:semiHidden/>
    <w:unhideWhenUsed/>
    <w:rsid w:val="00910F7E"/>
    <w:rPr>
      <w:color w:val="808080"/>
      <w:shd w:val="clear" w:color="auto" w:fill="E6E6E6"/>
    </w:rPr>
  </w:style>
  <w:style w:type="character" w:customStyle="1" w:styleId="SingleTxtChar">
    <w:name w:val="__Single Txt Char"/>
    <w:link w:val="SingleTxt"/>
    <w:rsid w:val="00910F7E"/>
    <w:rPr>
      <w:rFonts w:ascii="Times New Roman" w:eastAsiaTheme="minorHAnsi" w:hAnsi="Times New Roman" w:cs="Times New Roman"/>
      <w:spacing w:val="4"/>
      <w:w w:val="103"/>
      <w:kern w:val="14"/>
      <w:sz w:val="20"/>
      <w:lang w:val="es-ES" w:eastAsia="en-US"/>
    </w:rPr>
  </w:style>
  <w:style w:type="paragraph" w:customStyle="1" w:styleId="SSG">
    <w:name w:val="__S_S_G"/>
    <w:basedOn w:val="Normal"/>
    <w:next w:val="Normal"/>
    <w:rsid w:val="003A02C7"/>
    <w:pPr>
      <w:keepNext/>
      <w:keepLines/>
      <w:spacing w:before="240" w:after="240" w:line="300" w:lineRule="exact"/>
      <w:ind w:left="1134" w:right="1134"/>
    </w:pPr>
    <w:rPr>
      <w:b/>
      <w:kern w:val="14"/>
      <w:sz w:val="28"/>
      <w:szCs w:val="20"/>
      <w:lang w:val="en-GB"/>
    </w:rPr>
  </w:style>
  <w:style w:type="paragraph" w:customStyle="1" w:styleId="SingleTxtG">
    <w:name w:val="_ Single Txt_G"/>
    <w:basedOn w:val="Normal"/>
    <w:link w:val="SingleTxtGChar"/>
    <w:qFormat/>
    <w:rsid w:val="00AA6F33"/>
    <w:pPr>
      <w:spacing w:after="120"/>
      <w:ind w:left="1134" w:right="1134"/>
      <w:jc w:val="both"/>
    </w:pPr>
    <w:rPr>
      <w:kern w:val="14"/>
      <w:szCs w:val="20"/>
      <w:lang w:val="en-GB"/>
    </w:rPr>
  </w:style>
  <w:style w:type="paragraph" w:customStyle="1" w:styleId="HMG">
    <w:name w:val="_ H __M_G"/>
    <w:basedOn w:val="Normal"/>
    <w:next w:val="Normal"/>
    <w:qFormat/>
    <w:rsid w:val="00AA6F33"/>
    <w:pPr>
      <w:keepNext/>
      <w:keepLines/>
      <w:tabs>
        <w:tab w:val="right" w:pos="851"/>
      </w:tabs>
      <w:spacing w:before="240" w:after="240" w:line="360" w:lineRule="exact"/>
      <w:ind w:left="1134" w:right="1134" w:hanging="1134"/>
    </w:pPr>
    <w:rPr>
      <w:b/>
      <w:kern w:val="14"/>
      <w:sz w:val="34"/>
      <w:szCs w:val="20"/>
      <w:lang w:val="en-GB"/>
    </w:rPr>
  </w:style>
  <w:style w:type="character" w:styleId="FollowedHyperlink">
    <w:name w:val="FollowedHyperlink"/>
    <w:basedOn w:val="DefaultParagraphFont"/>
    <w:rsid w:val="00AA6F33"/>
    <w:rPr>
      <w:color w:val="0000FF"/>
      <w:u w:val="none"/>
    </w:rPr>
  </w:style>
  <w:style w:type="paragraph" w:customStyle="1" w:styleId="SMG">
    <w:name w:val="__S_M_G"/>
    <w:basedOn w:val="Normal"/>
    <w:next w:val="Normal"/>
    <w:rsid w:val="00AA6F33"/>
    <w:pPr>
      <w:keepNext/>
      <w:keepLines/>
      <w:spacing w:before="240" w:after="240" w:line="420" w:lineRule="exact"/>
      <w:ind w:left="1134" w:right="1134"/>
    </w:pPr>
    <w:rPr>
      <w:b/>
      <w:kern w:val="14"/>
      <w:sz w:val="40"/>
      <w:szCs w:val="20"/>
      <w:lang w:val="en-GB"/>
    </w:rPr>
  </w:style>
  <w:style w:type="paragraph" w:customStyle="1" w:styleId="SLG">
    <w:name w:val="__S_L_G"/>
    <w:basedOn w:val="Normal"/>
    <w:next w:val="Normal"/>
    <w:rsid w:val="00AA6F33"/>
    <w:pPr>
      <w:keepNext/>
      <w:keepLines/>
      <w:spacing w:before="240" w:after="240" w:line="580" w:lineRule="exact"/>
      <w:ind w:left="1134" w:right="1134"/>
    </w:pPr>
    <w:rPr>
      <w:b/>
      <w:kern w:val="14"/>
      <w:sz w:val="56"/>
      <w:szCs w:val="20"/>
      <w:lang w:val="en-GB"/>
    </w:rPr>
  </w:style>
  <w:style w:type="character" w:styleId="PageNumber">
    <w:name w:val="page number"/>
    <w:aliases w:val="7_G"/>
    <w:basedOn w:val="DefaultParagraphFont"/>
    <w:qFormat/>
    <w:rsid w:val="00AA6F33"/>
    <w:rPr>
      <w:rFonts w:ascii="Times New Roman" w:hAnsi="Times New Roman"/>
      <w:b/>
      <w:sz w:val="18"/>
    </w:rPr>
  </w:style>
  <w:style w:type="paragraph" w:customStyle="1" w:styleId="XLargeG">
    <w:name w:val="__XLarge_G"/>
    <w:basedOn w:val="Normal"/>
    <w:next w:val="Normal"/>
    <w:rsid w:val="00AA6F33"/>
    <w:pPr>
      <w:keepNext/>
      <w:keepLines/>
      <w:spacing w:before="240" w:after="240" w:line="420" w:lineRule="exact"/>
      <w:ind w:left="1134" w:right="1134"/>
    </w:pPr>
    <w:rPr>
      <w:b/>
      <w:kern w:val="14"/>
      <w:sz w:val="40"/>
      <w:szCs w:val="20"/>
      <w:lang w:val="en-GB"/>
    </w:rPr>
  </w:style>
  <w:style w:type="paragraph" w:customStyle="1" w:styleId="Bullet1G">
    <w:name w:val="_Bullet 1_G"/>
    <w:basedOn w:val="Normal"/>
    <w:qFormat/>
    <w:rsid w:val="00AA6F33"/>
    <w:pPr>
      <w:numPr>
        <w:numId w:val="6"/>
      </w:numPr>
      <w:spacing w:after="120"/>
      <w:ind w:right="1134"/>
      <w:jc w:val="both"/>
    </w:pPr>
    <w:rPr>
      <w:kern w:val="14"/>
      <w:szCs w:val="20"/>
      <w:lang w:val="en-GB"/>
    </w:rPr>
  </w:style>
  <w:style w:type="paragraph" w:customStyle="1" w:styleId="Bullet2G">
    <w:name w:val="_Bullet 2_G"/>
    <w:basedOn w:val="Normal"/>
    <w:qFormat/>
    <w:rsid w:val="00AA6F33"/>
    <w:pPr>
      <w:numPr>
        <w:numId w:val="7"/>
      </w:numPr>
      <w:spacing w:after="120"/>
      <w:ind w:right="1134"/>
      <w:jc w:val="both"/>
    </w:pPr>
    <w:rPr>
      <w:kern w:val="14"/>
      <w:szCs w:val="20"/>
      <w:lang w:val="en-GB"/>
    </w:rPr>
  </w:style>
  <w:style w:type="paragraph" w:customStyle="1" w:styleId="H23G">
    <w:name w:val="_ H_2/3_G"/>
    <w:basedOn w:val="Normal"/>
    <w:next w:val="Normal"/>
    <w:qFormat/>
    <w:rsid w:val="00AA6F33"/>
    <w:pPr>
      <w:keepNext/>
      <w:keepLines/>
      <w:tabs>
        <w:tab w:val="right" w:pos="851"/>
      </w:tabs>
      <w:spacing w:before="240" w:after="120"/>
      <w:ind w:left="1134" w:right="1134" w:hanging="1134"/>
    </w:pPr>
    <w:rPr>
      <w:b/>
      <w:kern w:val="14"/>
      <w:szCs w:val="20"/>
      <w:lang w:val="en-GB"/>
    </w:rPr>
  </w:style>
  <w:style w:type="paragraph" w:customStyle="1" w:styleId="H4G">
    <w:name w:val="_ H_4_G"/>
    <w:basedOn w:val="Normal"/>
    <w:next w:val="Normal"/>
    <w:qFormat/>
    <w:rsid w:val="00AA6F33"/>
    <w:pPr>
      <w:keepNext/>
      <w:keepLines/>
      <w:tabs>
        <w:tab w:val="right" w:pos="851"/>
      </w:tabs>
      <w:spacing w:before="240" w:after="120"/>
      <w:ind w:left="1134" w:right="1134" w:hanging="1134"/>
    </w:pPr>
    <w:rPr>
      <w:i/>
      <w:kern w:val="14"/>
      <w:szCs w:val="20"/>
      <w:lang w:val="en-GB"/>
    </w:rPr>
  </w:style>
  <w:style w:type="paragraph" w:customStyle="1" w:styleId="H56G">
    <w:name w:val="_ H_5/6_G"/>
    <w:basedOn w:val="Normal"/>
    <w:next w:val="Normal"/>
    <w:qFormat/>
    <w:rsid w:val="00AA6F33"/>
    <w:pPr>
      <w:keepNext/>
      <w:keepLines/>
      <w:tabs>
        <w:tab w:val="right" w:pos="851"/>
      </w:tabs>
      <w:spacing w:before="240" w:after="120"/>
      <w:ind w:left="1134" w:right="1134" w:hanging="1134"/>
    </w:pPr>
    <w:rPr>
      <w:kern w:val="14"/>
      <w:szCs w:val="20"/>
      <w:lang w:val="en-GB"/>
    </w:rPr>
  </w:style>
  <w:style w:type="paragraph" w:customStyle="1" w:styleId="ParNoG">
    <w:name w:val="_ParNo_G"/>
    <w:basedOn w:val="SingleTxtG"/>
    <w:qFormat/>
    <w:rsid w:val="00AA6F33"/>
    <w:pPr>
      <w:numPr>
        <w:numId w:val="8"/>
      </w:numPr>
      <w:tabs>
        <w:tab w:val="clear" w:pos="1701"/>
        <w:tab w:val="num" w:pos="2376"/>
      </w:tabs>
      <w:kinsoku w:val="0"/>
      <w:overflowPunct w:val="0"/>
      <w:autoSpaceDE w:val="0"/>
      <w:autoSpaceDN w:val="0"/>
      <w:adjustRightInd w:val="0"/>
      <w:snapToGrid w:val="0"/>
      <w:ind w:left="2218" w:hanging="202"/>
    </w:pPr>
  </w:style>
  <w:style w:type="paragraph" w:styleId="ListParagraph">
    <w:name w:val="List Paragraph"/>
    <w:basedOn w:val="Normal"/>
    <w:uiPriority w:val="34"/>
    <w:qFormat/>
    <w:rsid w:val="00AA6F33"/>
    <w:pPr>
      <w:ind w:left="720"/>
      <w:contextualSpacing/>
    </w:pPr>
    <w:rPr>
      <w:kern w:val="14"/>
      <w:szCs w:val="20"/>
      <w:lang w:val="en-GB"/>
    </w:rPr>
  </w:style>
  <w:style w:type="paragraph" w:styleId="PlainText">
    <w:name w:val="Plain Text"/>
    <w:basedOn w:val="Normal"/>
    <w:link w:val="PlainTextChar"/>
    <w:rsid w:val="00AA6F33"/>
    <w:pPr>
      <w:suppressAutoHyphens w:val="0"/>
      <w:spacing w:line="240" w:lineRule="auto"/>
    </w:pPr>
    <w:rPr>
      <w:rFonts w:ascii="Courier New" w:eastAsia="Times New Roman" w:hAnsi="Courier New"/>
      <w:spacing w:val="0"/>
      <w:w w:val="100"/>
      <w:szCs w:val="20"/>
      <w:lang w:val="en-US" w:eastAsia="en-GB"/>
    </w:rPr>
  </w:style>
  <w:style w:type="character" w:customStyle="1" w:styleId="PlainTextChar">
    <w:name w:val="Plain Text Char"/>
    <w:basedOn w:val="DefaultParagraphFont"/>
    <w:link w:val="PlainText"/>
    <w:rsid w:val="00AA6F33"/>
    <w:rPr>
      <w:rFonts w:ascii="Courier New" w:eastAsia="Times New Roman" w:hAnsi="Courier New" w:cs="Times New Roman"/>
      <w:sz w:val="20"/>
      <w:szCs w:val="20"/>
      <w:lang w:val="en-US" w:eastAsia="en-GB"/>
    </w:rPr>
  </w:style>
  <w:style w:type="paragraph" w:customStyle="1" w:styleId="ReleaseDate0">
    <w:name w:val="Release Date"/>
    <w:next w:val="Footer"/>
    <w:rsid w:val="00AA6F33"/>
    <w:pPr>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SingleTxtGChar">
    <w:name w:val="_ Single Txt_G Char"/>
    <w:link w:val="SingleTxtG"/>
    <w:locked/>
    <w:rsid w:val="00AA6F33"/>
    <w:rPr>
      <w:rFonts w:ascii="Times New Roman" w:eastAsiaTheme="minorHAnsi" w:hAnsi="Times New Roman" w:cs="Times New Roman"/>
      <w:spacing w:val="4"/>
      <w:w w:val="103"/>
      <w:kern w:val="14"/>
      <w:sz w:val="20"/>
      <w:szCs w:val="20"/>
      <w:lang w:eastAsia="en-US"/>
    </w:rPr>
  </w:style>
  <w:style w:type="character" w:customStyle="1" w:styleId="short-url">
    <w:name w:val="short-url"/>
    <w:basedOn w:val="DefaultParagraphFont"/>
    <w:rsid w:val="00AA6F33"/>
  </w:style>
  <w:style w:type="character" w:customStyle="1" w:styleId="NoSpacingChar">
    <w:name w:val="No Spacing Char"/>
    <w:basedOn w:val="DefaultParagraphFont"/>
    <w:link w:val="NoSpacing"/>
    <w:uiPriority w:val="1"/>
    <w:rsid w:val="00AA6F33"/>
    <w:rPr>
      <w:rFonts w:ascii="Times New Roman" w:eastAsiaTheme="minorHAnsi" w:hAnsi="Times New Roman" w:cs="Times New Roman"/>
      <w:spacing w:val="4"/>
      <w:w w:val="103"/>
      <w:sz w:val="20"/>
      <w:lang w:val="es-ES" w:eastAsia="en-US"/>
    </w:rPr>
  </w:style>
  <w:style w:type="paragraph" w:styleId="Revision">
    <w:name w:val="Revision"/>
    <w:hidden/>
    <w:uiPriority w:val="99"/>
    <w:semiHidden/>
    <w:rsid w:val="00AA6F3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sp/CEDAW/C/PSWG/67/1" TargetMode="External"/><Relationship Id="rId117" Type="http://schemas.openxmlformats.org/officeDocument/2006/relationships/hyperlink" Target="https://undocs.org/CEDAW/C/HRV/CO/4" TargetMode="External"/><Relationship Id="rId21" Type="http://schemas.openxmlformats.org/officeDocument/2006/relationships/footer" Target="footer4.xml"/><Relationship Id="rId42" Type="http://schemas.openxmlformats.org/officeDocument/2006/relationships/hyperlink" Target="https://undocs.org/CEDAW/C/OMN/CO/1/Add.1" TargetMode="External"/><Relationship Id="rId47" Type="http://schemas.openxmlformats.org/officeDocument/2006/relationships/hyperlink" Target="https://undocs.org/sp/CEDAW/C/67/D/78/2014" TargetMode="External"/><Relationship Id="rId63" Type="http://schemas.openxmlformats.org/officeDocument/2006/relationships/hyperlink" Target="https://undocs.org/sp/A/68/38" TargetMode="External"/><Relationship Id="rId68" Type="http://schemas.openxmlformats.org/officeDocument/2006/relationships/hyperlink" Target="https://undocs.org/CEDAW/C/ISR/CO/6" TargetMode="External"/><Relationship Id="rId84" Type="http://schemas.openxmlformats.org/officeDocument/2006/relationships/hyperlink" Target="https://undocs.org/sp/CEDAW/C/68/D/95/2015" TargetMode="External"/><Relationship Id="rId89" Type="http://schemas.openxmlformats.org/officeDocument/2006/relationships/hyperlink" Target="https://undocs.org/CEDAW/C/BFA/7" TargetMode="External"/><Relationship Id="rId112" Type="http://schemas.openxmlformats.org/officeDocument/2006/relationships/hyperlink" Target="https://undocs.org/CEDAW/C/LUX/CO/6" TargetMode="External"/><Relationship Id="rId133" Type="http://schemas.openxmlformats.org/officeDocument/2006/relationships/hyperlink" Target="https://undocs.org/CEDAW/C/CHL/7" TargetMode="External"/><Relationship Id="rId138" Type="http://schemas.openxmlformats.org/officeDocument/2006/relationships/hyperlink" Target="https://undocs.org/CEDAW/C/KOR/8" TargetMode="External"/><Relationship Id="rId16" Type="http://schemas.openxmlformats.org/officeDocument/2006/relationships/header" Target="header4.xml"/><Relationship Id="rId107" Type="http://schemas.openxmlformats.org/officeDocument/2006/relationships/hyperlink" Target="https://undocs.org/sp/CEDAW/C/PSWG/69/1" TargetMode="External"/><Relationship Id="rId11" Type="http://schemas.microsoft.com/office/2011/relationships/commentsExtended" Target="commentsExtended.xml"/><Relationship Id="rId32" Type="http://schemas.openxmlformats.org/officeDocument/2006/relationships/hyperlink" Target="https://undocs.org/CEDAW/C/NGA/CO/7" TargetMode="External"/><Relationship Id="rId37" Type="http://schemas.openxmlformats.org/officeDocument/2006/relationships/hyperlink" Target="https://undocs.org/CEDAW/C/DEN/CO/8/Add.1" TargetMode="External"/><Relationship Id="rId53" Type="http://schemas.openxmlformats.org/officeDocument/2006/relationships/hyperlink" Target="https://undocs.org/CEDAW/C/CRI/7" TargetMode="External"/><Relationship Id="rId58" Type="http://schemas.openxmlformats.org/officeDocument/2006/relationships/hyperlink" Target="https://undocs.org/CEDAW/C/ROU/7-8" TargetMode="External"/><Relationship Id="rId74" Type="http://schemas.openxmlformats.org/officeDocument/2006/relationships/hyperlink" Target="https://undocs.org/CEDAW/C/OMN/CO/2" TargetMode="External"/><Relationship Id="rId79" Type="http://schemas.openxmlformats.org/officeDocument/2006/relationships/hyperlink" Target="https://undocs.org/CEDAW/C/BRN/CO/1" TargetMode="External"/><Relationship Id="rId102" Type="http://schemas.openxmlformats.org/officeDocument/2006/relationships/hyperlink" Target="https://goo.gl/5AEcJT" TargetMode="External"/><Relationship Id="rId123" Type="http://schemas.openxmlformats.org/officeDocument/2006/relationships/hyperlink" Target="https://undocs.org/CEDAW/C/UZB/CO/5/Add.1" TargetMode="External"/><Relationship Id="rId128" Type="http://schemas.openxmlformats.org/officeDocument/2006/relationships/hyperlink" Target="https://undocs.org/sp/CEDAW/C/GC/37" TargetMode="External"/><Relationship Id="rId5" Type="http://schemas.openxmlformats.org/officeDocument/2006/relationships/footnotes" Target="footnotes.xml"/><Relationship Id="rId90" Type="http://schemas.openxmlformats.org/officeDocument/2006/relationships/hyperlink" Target="https://undocs.org/CEDAW/C/PRK/2-4" TargetMode="External"/><Relationship Id="rId95" Type="http://schemas.openxmlformats.org/officeDocument/2006/relationships/hyperlink" Target="https://undocs.org/CEDAW/C/MCO/1-3" TargetMode="External"/><Relationship Id="rId22" Type="http://schemas.openxmlformats.org/officeDocument/2006/relationships/footer" Target="footer5.xml"/><Relationship Id="rId27" Type="http://schemas.openxmlformats.org/officeDocument/2006/relationships/hyperlink" Target="https://undocs.org/CEDAW/C/BRB/CO/5" TargetMode="External"/><Relationship Id="rId43" Type="http://schemas.openxmlformats.org/officeDocument/2006/relationships/hyperlink" Target="https://undocs.org/CEDAW/C/SWZ/CO/1" TargetMode="External"/><Relationship Id="rId48" Type="http://schemas.openxmlformats.org/officeDocument/2006/relationships/hyperlink" Target="https://undocs.org/sp/CEDAW/C/GC/35" TargetMode="External"/><Relationship Id="rId64" Type="http://schemas.openxmlformats.org/officeDocument/2006/relationships/hyperlink" Target="https://undocs.org/sp/CEDAW/C/68/1" TargetMode="External"/><Relationship Id="rId69" Type="http://schemas.openxmlformats.org/officeDocument/2006/relationships/hyperlink" Target="https://undocs.org/CEDAW/C/KEN/CO/8" TargetMode="External"/><Relationship Id="rId113" Type="http://schemas.openxmlformats.org/officeDocument/2006/relationships/hyperlink" Target="https://undocs.org/CEDAW/C/MAL/CO/3" TargetMode="External"/><Relationship Id="rId118" Type="http://schemas.openxmlformats.org/officeDocument/2006/relationships/hyperlink" Target="https://undocs.org/CEDAW/C/MDV/CO/4" TargetMode="External"/><Relationship Id="rId134" Type="http://schemas.openxmlformats.org/officeDocument/2006/relationships/hyperlink" Target="https://undocs.org/CEDAW/C/FJI/5" TargetMode="External"/><Relationship Id="rId139" Type="http://schemas.openxmlformats.org/officeDocument/2006/relationships/hyperlink" Target="https://undocs.org/CEDAW/C/SAU/3-4" TargetMode="External"/><Relationship Id="rId8" Type="http://schemas.openxmlformats.org/officeDocument/2006/relationships/hyperlink" Target="https://undocs.org/sp/A/73/38" TargetMode="External"/><Relationship Id="rId51" Type="http://schemas.openxmlformats.org/officeDocument/2006/relationships/hyperlink" Target="https://undocs.org/CEDAW/C/67/3" TargetMode="External"/><Relationship Id="rId72" Type="http://schemas.openxmlformats.org/officeDocument/2006/relationships/hyperlink" Target="https://undocs.org/CEDAW/C/NRU/CO/1" TargetMode="External"/><Relationship Id="rId80" Type="http://schemas.openxmlformats.org/officeDocument/2006/relationships/hyperlink" Target="https://undocs.org/CEDAW/C/SVN/CO/5" TargetMode="External"/><Relationship Id="rId85" Type="http://schemas.openxmlformats.org/officeDocument/2006/relationships/hyperlink" Target="https://undocs.org/sp/CEDAW/C/GC/36" TargetMode="External"/><Relationship Id="rId93" Type="http://schemas.openxmlformats.org/officeDocument/2006/relationships/hyperlink" Target="https://undocs.org/CEDAW/C/KEN/8" TargetMode="External"/><Relationship Id="rId98" Type="http://schemas.openxmlformats.org/officeDocument/2006/relationships/hyperlink" Target="https://undocs.org/CEDAW/C/OMN/2-3" TargetMode="External"/><Relationship Id="rId121" Type="http://schemas.openxmlformats.org/officeDocument/2006/relationships/hyperlink" Target="https://undocs.org/CEDAW/C/POL/CO/7"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undocs.org/sp/CEDAW/C/67/1" TargetMode="External"/><Relationship Id="rId33" Type="http://schemas.openxmlformats.org/officeDocument/2006/relationships/hyperlink" Target="https://undocs.org/CEDAW/C/ROU/CO/7" TargetMode="External"/><Relationship Id="rId38" Type="http://schemas.openxmlformats.org/officeDocument/2006/relationships/hyperlink" Target="https://undocs.org/CEDAW/C/ECU/CO/8" TargetMode="External"/><Relationship Id="rId46" Type="http://schemas.openxmlformats.org/officeDocument/2006/relationships/hyperlink" Target="https://undocs.org/sp/CEDAW/C/67/D/77/2014" TargetMode="External"/><Relationship Id="rId59" Type="http://schemas.openxmlformats.org/officeDocument/2006/relationships/hyperlink" Target="https://undocs.org/CEDAW/C/THA/6-7" TargetMode="External"/><Relationship Id="rId67" Type="http://schemas.openxmlformats.org/officeDocument/2006/relationships/hyperlink" Target="https://undocs.org/CEDAW/C/GTM/CO/8" TargetMode="External"/><Relationship Id="rId103" Type="http://schemas.openxmlformats.org/officeDocument/2006/relationships/hyperlink" Target="https://goo.gl/5AEcJT" TargetMode="External"/><Relationship Id="rId108" Type="http://schemas.openxmlformats.org/officeDocument/2006/relationships/hyperlink" Target="https://undocs.org/CEDAW/C/SAU/CO/3" TargetMode="External"/><Relationship Id="rId116" Type="http://schemas.openxmlformats.org/officeDocument/2006/relationships/hyperlink" Target="https://undocs.org/CEDAW/C/BOL/CO/5" TargetMode="External"/><Relationship Id="rId124" Type="http://schemas.openxmlformats.org/officeDocument/2006/relationships/hyperlink" Target="https://undocs.org/sp/CEDAW/C/69/D/88/2015" TargetMode="External"/><Relationship Id="rId129" Type="http://schemas.openxmlformats.org/officeDocument/2006/relationships/hyperlink" Target="https://undocs.org/sp/HRI/GEN/2/Rev.6" TargetMode="External"/><Relationship Id="rId137" Type="http://schemas.openxmlformats.org/officeDocument/2006/relationships/hyperlink" Target="https://undocs.org/CEDAW/C/MHL/1-3" TargetMode="External"/><Relationship Id="rId20" Type="http://schemas.openxmlformats.org/officeDocument/2006/relationships/header" Target="header6.xml"/><Relationship Id="rId41" Type="http://schemas.openxmlformats.org/officeDocument/2006/relationships/hyperlink" Target="https://undocs.org/CEDAW/C/KAZ/CO/3" TargetMode="External"/><Relationship Id="rId54" Type="http://schemas.openxmlformats.org/officeDocument/2006/relationships/hyperlink" Target="https://undocs.org/CEDAW/C/ITA/7" TargetMode="External"/><Relationship Id="rId62" Type="http://schemas.openxmlformats.org/officeDocument/2006/relationships/hyperlink" Target="https://undocs.org/sp/A/68/38" TargetMode="External"/><Relationship Id="rId70" Type="http://schemas.openxmlformats.org/officeDocument/2006/relationships/hyperlink" Target="https://undocs.org/CEDAW/C/KWT/CO/5" TargetMode="External"/><Relationship Id="rId75" Type="http://schemas.openxmlformats.org/officeDocument/2006/relationships/hyperlink" Target="https://undocs.org/CEDAW/C/PRY/CO/7" TargetMode="External"/><Relationship Id="rId83" Type="http://schemas.openxmlformats.org/officeDocument/2006/relationships/hyperlink" Target="https://undocs.org/sp/CEDAW/C/68/D/79/2014" TargetMode="External"/><Relationship Id="rId88" Type="http://schemas.openxmlformats.org/officeDocument/2006/relationships/hyperlink" Target="https://undocs.org/CEDAW/C/68/3" TargetMode="External"/><Relationship Id="rId91" Type="http://schemas.openxmlformats.org/officeDocument/2006/relationships/hyperlink" Target="https://undocs.org/CEDAW/C/GTM/8-9" TargetMode="External"/><Relationship Id="rId96" Type="http://schemas.openxmlformats.org/officeDocument/2006/relationships/hyperlink" Target="https://undocs.org/CEDAW/C/NRU/1-2" TargetMode="External"/><Relationship Id="rId111" Type="http://schemas.openxmlformats.org/officeDocument/2006/relationships/hyperlink" Target="https://undocs.org/CEDAW/C/MHL/CO/1" TargetMode="External"/><Relationship Id="rId132" Type="http://schemas.openxmlformats.org/officeDocument/2006/relationships/hyperlink" Target="https://undocs.org/CEDAW/C/69/3" TargetMode="External"/><Relationship Id="rId140" Type="http://schemas.openxmlformats.org/officeDocument/2006/relationships/hyperlink" Target="https://undocs.org/CEDAW/C/SUR/4-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undocs.org/sp/CEDAW/C/GC/35" TargetMode="External"/><Relationship Id="rId28" Type="http://schemas.openxmlformats.org/officeDocument/2006/relationships/hyperlink" Target="https://undocs.org/CEDAW/C/CRI/CO/7" TargetMode="External"/><Relationship Id="rId36" Type="http://schemas.openxmlformats.org/officeDocument/2006/relationships/hyperlink" Target="https://undocs.org/CEDAW/C/CHN/CO/7" TargetMode="External"/><Relationship Id="rId49" Type="http://schemas.openxmlformats.org/officeDocument/2006/relationships/hyperlink" Target="https://undocs.org/CEDAW/C/67/1" TargetMode="External"/><Relationship Id="rId57" Type="http://schemas.openxmlformats.org/officeDocument/2006/relationships/hyperlink" Target="https://undocs.org/CEDAW/C/NGA/7-8" TargetMode="External"/><Relationship Id="rId106" Type="http://schemas.openxmlformats.org/officeDocument/2006/relationships/hyperlink" Target="https://undocs.org/sp/CEDAW/C/69/1" TargetMode="External"/><Relationship Id="rId114" Type="http://schemas.openxmlformats.org/officeDocument/2006/relationships/hyperlink" Target="https://undocs.org/CEDAW/C/KOR/CO/8" TargetMode="External"/><Relationship Id="rId119" Type="http://schemas.openxmlformats.org/officeDocument/2006/relationships/hyperlink" Target="https://undocs.org/CEDAW/C/MRT/CO/2" TargetMode="External"/><Relationship Id="rId127" Type="http://schemas.openxmlformats.org/officeDocument/2006/relationships/hyperlink" Target="https://undocs.org/sp/CEDAW/C/69/D/85/2015" TargetMode="External"/><Relationship Id="rId10" Type="http://schemas.openxmlformats.org/officeDocument/2006/relationships/comments" Target="comments.xml"/><Relationship Id="rId31" Type="http://schemas.openxmlformats.org/officeDocument/2006/relationships/hyperlink" Target="https://undocs.org/CEDAW/C/NER/CO/3" TargetMode="External"/><Relationship Id="rId44" Type="http://schemas.openxmlformats.org/officeDocument/2006/relationships/hyperlink" Target="https://undocs.org/sp/CEDAW/C/67/D/75/2014" TargetMode="External"/><Relationship Id="rId52" Type="http://schemas.openxmlformats.org/officeDocument/2006/relationships/hyperlink" Target="https://undocs.org/CEDAW/C/BRB/5-8" TargetMode="External"/><Relationship Id="rId60" Type="http://schemas.openxmlformats.org/officeDocument/2006/relationships/hyperlink" Target="https://undocs.org/sp/CEDAW/C/GC/36" TargetMode="External"/><Relationship Id="rId65" Type="http://schemas.openxmlformats.org/officeDocument/2006/relationships/hyperlink" Target="https://undocs.org/sp/CEDAW/C/PSWG/68/1" TargetMode="External"/><Relationship Id="rId73" Type="http://schemas.openxmlformats.org/officeDocument/2006/relationships/hyperlink" Target="https://undocs.org/CEDAW/C/NOR/CO/9" TargetMode="External"/><Relationship Id="rId78" Type="http://schemas.openxmlformats.org/officeDocument/2006/relationships/hyperlink" Target="https://undocs.org/CEDAW/C/BEN/CO/4/Add.1" TargetMode="External"/><Relationship Id="rId81" Type="http://schemas.openxmlformats.org/officeDocument/2006/relationships/hyperlink" Target="https://undocs.org/CEDAW/C/ESP/CO/7" TargetMode="External"/><Relationship Id="rId86" Type="http://schemas.openxmlformats.org/officeDocument/2006/relationships/hyperlink" Target="https://undocs.org/CEDAW/C/68/1" TargetMode="External"/><Relationship Id="rId94" Type="http://schemas.openxmlformats.org/officeDocument/2006/relationships/hyperlink" Target="https://undocs.org/CEDAW/C/KWT/5" TargetMode="External"/><Relationship Id="rId99" Type="http://schemas.openxmlformats.org/officeDocument/2006/relationships/hyperlink" Target="https://undocs.org/CEDAW/C/PRY/7" TargetMode="External"/><Relationship Id="rId101" Type="http://schemas.openxmlformats.org/officeDocument/2006/relationships/hyperlink" Target="https://undocs.org/sp/CEDAW/C/GC/37" TargetMode="External"/><Relationship Id="rId122" Type="http://schemas.openxmlformats.org/officeDocument/2006/relationships/hyperlink" Target="https://undocs.org/CEDAW/C/PRT/CO/8" TargetMode="External"/><Relationship Id="rId130" Type="http://schemas.openxmlformats.org/officeDocument/2006/relationships/hyperlink" Target="https://undocs.org/CEDAW/C/69/1" TargetMode="External"/><Relationship Id="rId135" Type="http://schemas.openxmlformats.org/officeDocument/2006/relationships/hyperlink" Target="https://undocs.org/CEDAW/C/LUX/6-7"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yperlink" Target="https://undocs.org/CEDAW/C/EGY/CO/7/Add.1" TargetMode="External"/><Relationship Id="rId109" Type="http://schemas.openxmlformats.org/officeDocument/2006/relationships/hyperlink" Target="https://undocs.org/CEDAW/C/CHL/CO/7" TargetMode="External"/><Relationship Id="rId34" Type="http://schemas.openxmlformats.org/officeDocument/2006/relationships/hyperlink" Target="https://undocs.org/CEDAW/C/THA/CO/6" TargetMode="External"/><Relationship Id="rId50" Type="http://schemas.openxmlformats.org/officeDocument/2006/relationships/hyperlink" Target="https://undocs.org/CEDAW/C/67/2" TargetMode="External"/><Relationship Id="rId55" Type="http://schemas.openxmlformats.org/officeDocument/2006/relationships/hyperlink" Target="https://undocs.org/CEDAW/C/MNE/2" TargetMode="External"/><Relationship Id="rId76" Type="http://schemas.openxmlformats.org/officeDocument/2006/relationships/hyperlink" Target="https://undocs.org/CEDAW/C/ARM/PRK/2" TargetMode="External"/><Relationship Id="rId97" Type="http://schemas.openxmlformats.org/officeDocument/2006/relationships/hyperlink" Target="https://undocs.org/CEDAW/C/NOR/9" TargetMode="External"/><Relationship Id="rId104" Type="http://schemas.openxmlformats.org/officeDocument/2006/relationships/hyperlink" Target="https://undocs.org/sp/HRI/GEN/2/Rev.6" TargetMode="External"/><Relationship Id="rId120" Type="http://schemas.openxmlformats.org/officeDocument/2006/relationships/hyperlink" Target="https://undocs.org/CEDAW/C/NAM/CO/4" TargetMode="External"/><Relationship Id="rId125" Type="http://schemas.openxmlformats.org/officeDocument/2006/relationships/hyperlink" Target="https://undocs.org/sp/CEDAW/C/69/D/103/2016" TargetMode="External"/><Relationship Id="rId141" Type="http://schemas.openxmlformats.org/officeDocument/2006/relationships/hyperlink" Target="https://undocs.org/sp/A/70/38" TargetMode="External"/><Relationship Id="rId7" Type="http://schemas.openxmlformats.org/officeDocument/2006/relationships/hyperlink" Target="https://undocs.org/sp/A/73/38" TargetMode="External"/><Relationship Id="rId71" Type="http://schemas.openxmlformats.org/officeDocument/2006/relationships/hyperlink" Target="https://undocs.org/CEDAW/C/MCO/CO/1" TargetMode="External"/><Relationship Id="rId92" Type="http://schemas.openxmlformats.org/officeDocument/2006/relationships/hyperlink" Target="https://undocs.org/CEDAW/C/ISR/6" TargetMode="External"/><Relationship Id="rId2" Type="http://schemas.openxmlformats.org/officeDocument/2006/relationships/styles" Target="styles.xml"/><Relationship Id="rId29" Type="http://schemas.openxmlformats.org/officeDocument/2006/relationships/hyperlink" Target="https://undocs.org/CEDAW/C/ITA/CO/7" TargetMode="External"/><Relationship Id="rId24" Type="http://schemas.openxmlformats.org/officeDocument/2006/relationships/hyperlink" Target="https://undocs.org/sp/A/RES/68/268" TargetMode="External"/><Relationship Id="rId40" Type="http://schemas.openxmlformats.org/officeDocument/2006/relationships/hyperlink" Target="https://undocs.org/CEDAW/C/SLB/CO/1" TargetMode="External"/><Relationship Id="rId45" Type="http://schemas.openxmlformats.org/officeDocument/2006/relationships/hyperlink" Target="https://undocs.org/sp/CEDAW/C/67/D/70/2014" TargetMode="External"/><Relationship Id="rId66" Type="http://schemas.openxmlformats.org/officeDocument/2006/relationships/hyperlink" Target="https://undocs.org/CEDAW/C/BFA/CO/7" TargetMode="External"/><Relationship Id="rId87" Type="http://schemas.openxmlformats.org/officeDocument/2006/relationships/hyperlink" Target="https://undocs.org/CEDAW/C/68/2" TargetMode="External"/><Relationship Id="rId110" Type="http://schemas.openxmlformats.org/officeDocument/2006/relationships/hyperlink" Target="https://undocs.org/CEDAW/C/FJI/CO/5" TargetMode="External"/><Relationship Id="rId115" Type="http://schemas.openxmlformats.org/officeDocument/2006/relationships/hyperlink" Target="https://undocs.org/CEDAW/C/SUR/CO/4" TargetMode="External"/><Relationship Id="rId131" Type="http://schemas.openxmlformats.org/officeDocument/2006/relationships/hyperlink" Target="https://undocs.org/CEDAW/C/69/2" TargetMode="External"/><Relationship Id="rId136" Type="http://schemas.openxmlformats.org/officeDocument/2006/relationships/hyperlink" Target="https://undocs.org/CEDAW/C/MAL/3/5" TargetMode="External"/><Relationship Id="rId61" Type="http://schemas.openxmlformats.org/officeDocument/2006/relationships/hyperlink" Target="https://undocs.org/sp/CEDAW/C/YEM/7" TargetMode="External"/><Relationship Id="rId82" Type="http://schemas.openxmlformats.org/officeDocument/2006/relationships/hyperlink" Target="https://undocs.org/sp/CEDAW/C/68/D/91/2015" TargetMode="Externa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yperlink" Target="https://undocs.org/CEDAW/C/MNE/CO/2" TargetMode="External"/><Relationship Id="rId35" Type="http://schemas.openxmlformats.org/officeDocument/2006/relationships/hyperlink" Target="https://undocs.org/CEDAW/C/BEL/CO/7/Add.1" TargetMode="External"/><Relationship Id="rId56" Type="http://schemas.openxmlformats.org/officeDocument/2006/relationships/hyperlink" Target="https://undocs.org/CEDAW/C/NER/3-4" TargetMode="External"/><Relationship Id="rId77" Type="http://schemas.openxmlformats.org/officeDocument/2006/relationships/hyperlink" Target="https://undocs.org/CEDAW/C/SGP/CO/5" TargetMode="External"/><Relationship Id="rId100" Type="http://schemas.openxmlformats.org/officeDocument/2006/relationships/hyperlink" Target="https://undocs.org/CEDAW/C/SGP/5" TargetMode="External"/><Relationship Id="rId105" Type="http://schemas.openxmlformats.org/officeDocument/2006/relationships/hyperlink" Target="https://undocs.org/sp/A/68/38" TargetMode="External"/><Relationship Id="rId126" Type="http://schemas.openxmlformats.org/officeDocument/2006/relationships/hyperlink" Target="https://undocs.org/sp/CEDAW/C/69/D/80/201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undocs.org/sp/A/7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13626</Words>
  <Characters>72086</Characters>
  <Application>Microsoft Office Word</Application>
  <DocSecurity>0</DocSecurity>
  <Lines>2184</Lines>
  <Paragraphs>1032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Spanish_text_processing</cp:lastModifiedBy>
  <cp:revision>3</cp:revision>
  <cp:lastPrinted>2018-04-30T19:16:00Z</cp:lastPrinted>
  <dcterms:created xsi:type="dcterms:W3CDTF">2018-04-30T19:51:00Z</dcterms:created>
  <dcterms:modified xsi:type="dcterms:W3CDTF">2018-04-30T19:55:00Z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1804972</vt:lpwstr>
  </property>
  <property fmtid="{D5CDD505-2E9C-101B-9397-08002B2CF9AE}" pid="3" name="ODSRefJobNo">
    <vt:lpwstr>1808923</vt:lpwstr>
  </property>
  <property fmtid="{D5CDD505-2E9C-101B-9397-08002B2CF9AE}" pid="4" name="Symbol1">
    <vt:lpwstr>A/73/38</vt:lpwstr>
  </property>
  <property fmtid="{D5CDD505-2E9C-101B-9397-08002B2CF9AE}" pid="5" name="Symbol2">
    <vt:lpwstr/>
  </property>
  <property fmtid="{D5CDD505-2E9C-101B-9397-08002B2CF9AE}" pid="6" name="Category">
    <vt:lpwstr>Supplements</vt:lpwstr>
  </property>
  <property fmtid="{D5CDD505-2E9C-101B-9397-08002B2CF9AE}" pid="7" name="Supplement Title 1">
    <vt:lpwstr>Informe del Comité para la Eliminación de la Discriminación contra la Mujer_x000d_</vt:lpwstr>
  </property>
  <property fmtid="{D5CDD505-2E9C-101B-9397-08002B2CF9AE}" pid="8" name="Supplement Title 2">
    <vt:lpwstr>67º período de sesiones _x000d_</vt:lpwstr>
  </property>
  <property fmtid="{D5CDD505-2E9C-101B-9397-08002B2CF9AE}" pid="9" name="Supplement Title 3">
    <vt:lpwstr>68º período de sesiones _x000d_</vt:lpwstr>
  </property>
  <property fmtid="{D5CDD505-2E9C-101B-9397-08002B2CF9AE}" pid="10" name="Supplement Title 4">
    <vt:lpwstr>69º período de sesiones _x000d_</vt:lpwstr>
  </property>
  <property fmtid="{D5CDD505-2E9C-101B-9397-08002B2CF9AE}" pid="11" name="Comment">
    <vt:lpwstr/>
  </property>
  <property fmtid="{D5CDD505-2E9C-101B-9397-08002B2CF9AE}" pid="12" name="DraftPages">
    <vt:lpwstr> </vt:lpwstr>
  </property>
  <property fmtid="{D5CDD505-2E9C-101B-9397-08002B2CF9AE}" pid="13" name="Operator">
    <vt:lpwstr>MVP/SB</vt:lpwstr>
  </property>
  <property fmtid="{D5CDD505-2E9C-101B-9397-08002B2CF9AE}" pid="14" name="Translator">
    <vt:lpwstr>PRATS</vt:lpwstr>
  </property>
</Properties>
</file>