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6A0D7" w14:textId="77777777" w:rsidR="0083441A" w:rsidRDefault="0083441A" w:rsidP="0083441A">
      <w:pPr>
        <w:pStyle w:val="XLarge"/>
        <w:spacing w:before="120" w:after="780"/>
        <w:ind w:left="1267"/>
      </w:pPr>
      <w:r>
        <w:t>Nations Unies</w:t>
      </w:r>
    </w:p>
    <w:p w14:paraId="41252608" w14:textId="33DE80F7" w:rsidR="0083441A" w:rsidRDefault="00CA625D" w:rsidP="00CA625D">
      <w:pPr>
        <w:pStyle w:val="SL"/>
      </w:pPr>
      <w:r>
        <w:rPr>
          <w:lang w:val="fr-FR"/>
        </w:rPr>
        <w:t>Rapport du Comité pour l</w:t>
      </w:r>
      <w:r w:rsidR="00265783">
        <w:rPr>
          <w:lang w:val="fr-FR"/>
        </w:rPr>
        <w:t>’</w:t>
      </w:r>
      <w:r>
        <w:rPr>
          <w:lang w:val="fr-FR"/>
        </w:rPr>
        <w:t>élimination de la discrimination à l</w:t>
      </w:r>
      <w:r w:rsidR="00265783">
        <w:rPr>
          <w:lang w:val="fr-FR"/>
        </w:rPr>
        <w:t>’</w:t>
      </w:r>
      <w:r>
        <w:rPr>
          <w:lang w:val="fr-FR"/>
        </w:rPr>
        <w:t>égard des femmes</w:t>
      </w:r>
      <w:r>
        <w:t xml:space="preserve"> </w:t>
      </w:r>
    </w:p>
    <w:p w14:paraId="4930D726" w14:textId="77777777" w:rsidR="0083441A" w:rsidRDefault="0083441A" w:rsidP="0083441A">
      <w:pPr>
        <w:spacing w:line="240" w:lineRule="auto"/>
        <w:ind w:left="1267"/>
        <w:rPr>
          <w:sz w:val="12"/>
        </w:rPr>
      </w:pPr>
    </w:p>
    <w:p w14:paraId="71BAA943" w14:textId="77777777" w:rsidR="0083441A" w:rsidRDefault="0083441A" w:rsidP="0083441A">
      <w:pPr>
        <w:spacing w:line="240" w:lineRule="auto"/>
        <w:ind w:left="1267"/>
        <w:rPr>
          <w:sz w:val="12"/>
        </w:rPr>
      </w:pPr>
    </w:p>
    <w:p w14:paraId="20FC7517" w14:textId="77777777" w:rsidR="0083441A" w:rsidRDefault="0083441A" w:rsidP="0083441A">
      <w:pPr>
        <w:spacing w:line="240" w:lineRule="auto"/>
        <w:ind w:left="1267"/>
        <w:rPr>
          <w:sz w:val="12"/>
        </w:rPr>
      </w:pPr>
    </w:p>
    <w:p w14:paraId="1FAF4FF6" w14:textId="0883956D" w:rsidR="00CA625D" w:rsidRPr="00C54D1E" w:rsidRDefault="00CA625D" w:rsidP="00CA625D">
      <w:pPr>
        <w:pStyle w:val="SM"/>
        <w:rPr>
          <w:lang w:val="fr-FR"/>
        </w:rPr>
      </w:pPr>
      <w:r>
        <w:rPr>
          <w:lang w:val="fr-FR"/>
        </w:rPr>
        <w:t xml:space="preserve">Soixante-septième session </w:t>
      </w:r>
    </w:p>
    <w:p w14:paraId="239B6663" w14:textId="77777777" w:rsidR="00CA625D" w:rsidRPr="00C54D1E" w:rsidRDefault="00CA625D" w:rsidP="001732CB">
      <w:pPr>
        <w:pStyle w:val="SM"/>
        <w:rPr>
          <w:lang w:val="fr-FR"/>
        </w:rPr>
      </w:pPr>
      <w:r>
        <w:rPr>
          <w:lang w:val="fr-FR"/>
        </w:rPr>
        <w:t xml:space="preserve">(3-21 juillet 2017) </w:t>
      </w:r>
    </w:p>
    <w:p w14:paraId="6A743BCA" w14:textId="77777777" w:rsidR="0083441A" w:rsidRDefault="0083441A" w:rsidP="0083441A">
      <w:pPr>
        <w:spacing w:line="240" w:lineRule="auto"/>
        <w:ind w:left="1267"/>
        <w:rPr>
          <w:sz w:val="12"/>
        </w:rPr>
      </w:pPr>
    </w:p>
    <w:p w14:paraId="08269A37" w14:textId="77777777" w:rsidR="0083441A" w:rsidRDefault="0083441A" w:rsidP="0083441A">
      <w:pPr>
        <w:spacing w:line="240" w:lineRule="auto"/>
        <w:ind w:left="1267"/>
        <w:rPr>
          <w:sz w:val="12"/>
        </w:rPr>
      </w:pPr>
    </w:p>
    <w:p w14:paraId="4BF6DDB0" w14:textId="77777777" w:rsidR="0083441A" w:rsidRDefault="0083441A" w:rsidP="0083441A">
      <w:pPr>
        <w:spacing w:line="240" w:lineRule="auto"/>
        <w:ind w:left="1267"/>
        <w:rPr>
          <w:sz w:val="12"/>
        </w:rPr>
      </w:pPr>
    </w:p>
    <w:p w14:paraId="48C62072" w14:textId="3F94B55E" w:rsidR="00CA625D" w:rsidRPr="00C54D1E" w:rsidRDefault="00CA625D" w:rsidP="00CA625D">
      <w:pPr>
        <w:pStyle w:val="SM"/>
        <w:rPr>
          <w:lang w:val="fr-FR"/>
        </w:rPr>
      </w:pPr>
      <w:r>
        <w:rPr>
          <w:lang w:val="fr-FR"/>
        </w:rPr>
        <w:t xml:space="preserve">Soixante-huitième session </w:t>
      </w:r>
    </w:p>
    <w:p w14:paraId="58A37B22" w14:textId="46FEAF7D" w:rsidR="0083441A" w:rsidRDefault="00CA625D" w:rsidP="00CA625D">
      <w:pPr>
        <w:pStyle w:val="SM"/>
        <w:rPr>
          <w:lang w:val="fr-FR"/>
        </w:rPr>
      </w:pPr>
      <w:r>
        <w:rPr>
          <w:lang w:val="fr-FR"/>
        </w:rPr>
        <w:t>(23 octobre-17 novembre 2017)</w:t>
      </w:r>
    </w:p>
    <w:p w14:paraId="339F2E2B" w14:textId="172BDEF2" w:rsidR="00CA625D" w:rsidRPr="00CA625D" w:rsidRDefault="00CA625D" w:rsidP="00CA625D">
      <w:pPr>
        <w:pStyle w:val="SingleTxt"/>
        <w:spacing w:after="0" w:line="120" w:lineRule="exact"/>
        <w:rPr>
          <w:sz w:val="10"/>
          <w:lang w:val="fr-FR"/>
        </w:rPr>
      </w:pPr>
    </w:p>
    <w:p w14:paraId="0914B12D" w14:textId="79DDB4DB" w:rsidR="00CA625D" w:rsidRPr="00CA625D" w:rsidRDefault="00CA625D" w:rsidP="00CA625D">
      <w:pPr>
        <w:pStyle w:val="SingleTxt"/>
        <w:spacing w:after="0" w:line="120" w:lineRule="exact"/>
        <w:rPr>
          <w:sz w:val="10"/>
          <w:lang w:val="fr-FR"/>
        </w:rPr>
      </w:pPr>
    </w:p>
    <w:p w14:paraId="49702786" w14:textId="6EA92428" w:rsidR="00CA625D" w:rsidRPr="00CA625D" w:rsidRDefault="00CA625D" w:rsidP="00CA625D">
      <w:pPr>
        <w:pStyle w:val="SingleTxt"/>
        <w:spacing w:after="0" w:line="120" w:lineRule="exact"/>
        <w:rPr>
          <w:sz w:val="10"/>
          <w:lang w:val="fr-FR"/>
        </w:rPr>
      </w:pPr>
    </w:p>
    <w:p w14:paraId="21434695" w14:textId="77777777" w:rsidR="00CA625D" w:rsidRPr="00C54D1E" w:rsidRDefault="00CA625D" w:rsidP="00CA625D">
      <w:pPr>
        <w:pStyle w:val="SM"/>
        <w:rPr>
          <w:lang w:val="fr-FR"/>
        </w:rPr>
      </w:pPr>
      <w:r>
        <w:rPr>
          <w:lang w:val="fr-FR"/>
        </w:rPr>
        <w:t xml:space="preserve">Soixante-neuvième session </w:t>
      </w:r>
    </w:p>
    <w:p w14:paraId="69DD029F" w14:textId="2CF77B87" w:rsidR="00CA625D" w:rsidRPr="00CA625D" w:rsidRDefault="00CA625D" w:rsidP="00CA625D">
      <w:pPr>
        <w:pStyle w:val="SM"/>
        <w:rPr>
          <w:lang w:val="fr-FR"/>
        </w:rPr>
      </w:pPr>
      <w:r>
        <w:rPr>
          <w:lang w:val="fr-FR"/>
        </w:rPr>
        <w:t>(19 février-9 mars 2018)</w:t>
      </w:r>
    </w:p>
    <w:p w14:paraId="12B7AB29" w14:textId="77777777" w:rsidR="0083441A" w:rsidRDefault="0083441A" w:rsidP="0083441A">
      <w:pPr>
        <w:pStyle w:val="XLarge"/>
        <w:spacing w:before="640"/>
        <w:ind w:left="1267"/>
      </w:pPr>
      <w:r>
        <w:t>Assemblée générale</w:t>
      </w:r>
    </w:p>
    <w:p w14:paraId="2B2DF546" w14:textId="551646C3" w:rsidR="0083441A" w:rsidRDefault="0083441A" w:rsidP="0083441A">
      <w:pPr>
        <w:pStyle w:val="HCH"/>
        <w:spacing w:line="240" w:lineRule="auto"/>
        <w:ind w:left="1267"/>
      </w:pPr>
      <w:r>
        <w:t>Documents officiels</w:t>
      </w:r>
      <w:r>
        <w:br/>
        <w:t>Soixante-</w:t>
      </w:r>
      <w:r w:rsidR="009C4E47">
        <w:t>treizième session</w:t>
      </w:r>
      <w:r w:rsidR="009C4E47">
        <w:br/>
        <w:t>Supplément nº </w:t>
      </w:r>
      <w:r>
        <w:t>38</w:t>
      </w:r>
    </w:p>
    <w:p w14:paraId="1D274CCF" w14:textId="77777777" w:rsidR="0083441A" w:rsidRDefault="0083441A" w:rsidP="0083441A">
      <w:pPr>
        <w:rPr>
          <w:spacing w:val="-2"/>
          <w:sz w:val="28"/>
        </w:rPr>
      </w:pPr>
      <w:r>
        <w:br w:type="page"/>
      </w:r>
    </w:p>
    <w:p w14:paraId="07BA5487" w14:textId="77777777" w:rsidR="0083441A" w:rsidRPr="0083441A" w:rsidRDefault="0083441A" w:rsidP="0083441A">
      <w:pPr>
        <w:framePr w:w="547" w:h="2880" w:hSpace="180" w:wrap="notBeside" w:vAnchor="page" w:hAnchor="page" w:x="11233" w:y="721" w:anchorLock="1"/>
        <w:spacing w:line="240" w:lineRule="auto"/>
        <w:textDirection w:val="tbRl"/>
        <w:rPr>
          <w:sz w:val="17"/>
        </w:rPr>
      </w:pPr>
      <w:r>
        <w:rPr>
          <w:sz w:val="17"/>
        </w:rPr>
        <w:lastRenderedPageBreak/>
        <w:t>A/73/38</w:t>
      </w:r>
    </w:p>
    <w:p w14:paraId="124982C8" w14:textId="77777777" w:rsidR="0083441A" w:rsidRDefault="0083441A">
      <w:p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920"/>
        <w:gridCol w:w="4920"/>
      </w:tblGrid>
      <w:tr w:rsidR="00C05A84" w:rsidRPr="0083441A" w14:paraId="44D4DF6D" w14:textId="77777777" w:rsidTr="0083441A">
        <w:tc>
          <w:tcPr>
            <w:tcW w:w="4927" w:type="dxa"/>
            <w:shd w:val="clear" w:color="auto" w:fill="auto"/>
          </w:tcPr>
          <w:p w14:paraId="292AEDED" w14:textId="5255B7D5" w:rsidR="0083441A" w:rsidRDefault="0083441A" w:rsidP="0083441A">
            <w:pPr>
              <w:framePr w:hSpace="180" w:wrap="around" w:vAnchor="page" w:hAnchor="page" w:x="1210" w:y="1599" w:anchorLock="1"/>
              <w:spacing w:line="270" w:lineRule="exact"/>
              <w:rPr>
                <w:sz w:val="24"/>
              </w:rPr>
            </w:pPr>
            <w:r>
              <w:rPr>
                <w:b/>
                <w:sz w:val="24"/>
              </w:rPr>
              <w:lastRenderedPageBreak/>
              <w:t>Assemblée générale</w:t>
            </w:r>
            <w:r>
              <w:rPr>
                <w:b/>
                <w:sz w:val="24"/>
              </w:rPr>
              <w:br/>
            </w:r>
            <w:r>
              <w:rPr>
                <w:sz w:val="24"/>
              </w:rPr>
              <w:t>Documents officiels</w:t>
            </w:r>
            <w:r>
              <w:rPr>
                <w:sz w:val="24"/>
              </w:rPr>
              <w:br/>
              <w:t>Soixante-</w:t>
            </w:r>
            <w:r w:rsidR="00FE432B">
              <w:rPr>
                <w:sz w:val="24"/>
              </w:rPr>
              <w:t>treizième session</w:t>
            </w:r>
            <w:r w:rsidR="00FE432B">
              <w:rPr>
                <w:sz w:val="24"/>
              </w:rPr>
              <w:br/>
              <w:t>Supplément nº </w:t>
            </w:r>
            <w:r>
              <w:rPr>
                <w:sz w:val="24"/>
              </w:rPr>
              <w:t>38</w:t>
            </w:r>
          </w:p>
          <w:p w14:paraId="6EF66A92" w14:textId="77777777" w:rsidR="0083441A" w:rsidRPr="0083441A" w:rsidRDefault="0083441A" w:rsidP="0083441A">
            <w:pPr>
              <w:framePr w:hSpace="180" w:wrap="around" w:vAnchor="page" w:hAnchor="page" w:x="1210" w:y="1599" w:anchorLock="1"/>
              <w:spacing w:line="270" w:lineRule="exact"/>
              <w:rPr>
                <w:sz w:val="24"/>
              </w:rPr>
            </w:pPr>
          </w:p>
        </w:tc>
        <w:tc>
          <w:tcPr>
            <w:tcW w:w="4927" w:type="dxa"/>
            <w:shd w:val="clear" w:color="auto" w:fill="auto"/>
          </w:tcPr>
          <w:p w14:paraId="7E635C32" w14:textId="20FB55D7" w:rsidR="0083441A" w:rsidRPr="0083441A" w:rsidRDefault="002D427A" w:rsidP="0083441A">
            <w:pPr>
              <w:framePr w:hSpace="180" w:wrap="around" w:vAnchor="page" w:hAnchor="page" w:x="1210" w:y="1599" w:anchorLock="1"/>
              <w:spacing w:line="270" w:lineRule="exact"/>
              <w:jc w:val="right"/>
            </w:pPr>
            <w:hyperlink r:id="rId8" w:history="1">
              <w:r w:rsidR="0083441A" w:rsidRPr="008E2674">
                <w:rPr>
                  <w:rStyle w:val="Hyperlink"/>
                </w:rPr>
                <w:t>A/73/38</w:t>
              </w:r>
            </w:hyperlink>
          </w:p>
        </w:tc>
      </w:tr>
    </w:tbl>
    <w:p w14:paraId="358C3CC7" w14:textId="77777777" w:rsidR="0083441A" w:rsidRPr="0083441A" w:rsidRDefault="0083441A" w:rsidP="0083441A">
      <w:pPr>
        <w:framePr w:w="9864" w:h="1440" w:hSpace="180" w:wrap="around" w:vAnchor="page" w:hAnchor="page" w:x="1210" w:y="11808" w:anchorLock="1"/>
        <w:spacing w:before="600"/>
        <w:ind w:left="1267"/>
        <w:rPr>
          <w:sz w:val="28"/>
        </w:rPr>
      </w:pPr>
      <w:r>
        <w:rPr>
          <w:noProof/>
        </w:rPr>
        <w:drawing>
          <wp:inline distT="0" distB="0" distL="0" distR="0" wp14:anchorId="2C4230DC" wp14:editId="02593BEC">
            <wp:extent cx="533400" cy="43180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431800"/>
                    </a:xfrm>
                    <a:prstGeom prst="rect">
                      <a:avLst/>
                    </a:prstGeom>
                  </pic:spPr>
                </pic:pic>
              </a:graphicData>
            </a:graphic>
          </wp:inline>
        </w:drawing>
      </w:r>
      <w:r>
        <w:br/>
      </w:r>
      <w:r>
        <w:rPr>
          <w:sz w:val="28"/>
        </w:rPr>
        <w:t xml:space="preserve">Nations Unies </w:t>
      </w:r>
      <w:r>
        <w:rPr>
          <w:sz w:val="28"/>
        </w:rPr>
        <w:sym w:font="Symbol" w:char="F0B7"/>
      </w:r>
      <w:r>
        <w:rPr>
          <w:sz w:val="28"/>
        </w:rPr>
        <w:t xml:space="preserve"> New York, 2018</w:t>
      </w:r>
    </w:p>
    <w:p w14:paraId="60047283" w14:textId="77777777" w:rsidR="00993CB7" w:rsidRDefault="0083441A" w:rsidP="0083441A">
      <w:pPr>
        <w:spacing w:after="800"/>
      </w:pPr>
      <w:r>
        <w:rPr>
          <w:rStyle w:val="CommentReference"/>
        </w:rPr>
        <w:commentReference w:id="0"/>
      </w:r>
    </w:p>
    <w:p w14:paraId="25A9EBBA" w14:textId="4F416A79" w:rsidR="0083441A" w:rsidRDefault="00FE432B" w:rsidP="00FE432B">
      <w:pPr>
        <w:pStyle w:val="SM"/>
      </w:pPr>
      <w:r>
        <w:rPr>
          <w:lang w:val="fr-FR"/>
        </w:rPr>
        <w:t xml:space="preserve">Rapport du Comité </w:t>
      </w:r>
      <w:r>
        <w:rPr>
          <w:lang w:val="fr-FR"/>
        </w:rPr>
        <w:br/>
        <w:t>pour l</w:t>
      </w:r>
      <w:r w:rsidR="00265783">
        <w:rPr>
          <w:lang w:val="fr-FR"/>
        </w:rPr>
        <w:t>’</w:t>
      </w:r>
      <w:r>
        <w:rPr>
          <w:lang w:val="fr-FR"/>
        </w:rPr>
        <w:t xml:space="preserve">élimination </w:t>
      </w:r>
      <w:r>
        <w:rPr>
          <w:lang w:val="fr-FR"/>
        </w:rPr>
        <w:br/>
        <w:t>de la discrimination à l</w:t>
      </w:r>
      <w:r w:rsidR="00265783">
        <w:rPr>
          <w:lang w:val="fr-FR"/>
        </w:rPr>
        <w:t>’</w:t>
      </w:r>
      <w:r>
        <w:rPr>
          <w:lang w:val="fr-FR"/>
        </w:rPr>
        <w:t xml:space="preserve">égard </w:t>
      </w:r>
      <w:r>
        <w:rPr>
          <w:lang w:val="fr-FR"/>
        </w:rPr>
        <w:br/>
        <w:t>des femmes</w:t>
      </w:r>
    </w:p>
    <w:p w14:paraId="02C4F3C6" w14:textId="77777777" w:rsidR="0083441A" w:rsidRDefault="0083441A" w:rsidP="0083441A">
      <w:pPr>
        <w:spacing w:line="240" w:lineRule="auto"/>
        <w:ind w:left="1260"/>
        <w:rPr>
          <w:sz w:val="12"/>
        </w:rPr>
      </w:pPr>
    </w:p>
    <w:p w14:paraId="58C8A50E" w14:textId="77777777" w:rsidR="0083441A" w:rsidRDefault="0083441A" w:rsidP="0083441A">
      <w:pPr>
        <w:spacing w:line="240" w:lineRule="auto"/>
        <w:ind w:left="1260"/>
        <w:rPr>
          <w:sz w:val="12"/>
        </w:rPr>
      </w:pPr>
    </w:p>
    <w:p w14:paraId="2470F7C9" w14:textId="77777777" w:rsidR="0083441A" w:rsidRDefault="0083441A" w:rsidP="0083441A">
      <w:pPr>
        <w:spacing w:line="240" w:lineRule="auto"/>
        <w:ind w:left="1260"/>
        <w:rPr>
          <w:sz w:val="12"/>
        </w:rPr>
      </w:pPr>
    </w:p>
    <w:p w14:paraId="77CB2D15" w14:textId="194B51B5" w:rsidR="00FE432B" w:rsidRPr="00C54D1E" w:rsidRDefault="00FE432B" w:rsidP="00FE432B">
      <w:pPr>
        <w:pStyle w:val="SS"/>
        <w:rPr>
          <w:lang w:val="fr-FR"/>
        </w:rPr>
      </w:pPr>
      <w:r>
        <w:rPr>
          <w:lang w:val="fr-FR"/>
        </w:rPr>
        <w:t xml:space="preserve">Soixante-septième session </w:t>
      </w:r>
    </w:p>
    <w:p w14:paraId="1CDEA181" w14:textId="488D752A" w:rsidR="0083441A" w:rsidRDefault="00FE432B" w:rsidP="00FE432B">
      <w:pPr>
        <w:pStyle w:val="SS"/>
      </w:pPr>
      <w:r>
        <w:rPr>
          <w:lang w:val="fr-FR"/>
        </w:rPr>
        <w:t>(3-21 juillet 2017)</w:t>
      </w:r>
    </w:p>
    <w:p w14:paraId="23E69048" w14:textId="77777777" w:rsidR="0083441A" w:rsidRDefault="0083441A" w:rsidP="0083441A">
      <w:pPr>
        <w:spacing w:line="240" w:lineRule="auto"/>
        <w:ind w:left="1260"/>
        <w:rPr>
          <w:sz w:val="12"/>
        </w:rPr>
      </w:pPr>
    </w:p>
    <w:p w14:paraId="5F39D965" w14:textId="77777777" w:rsidR="0083441A" w:rsidRDefault="0083441A" w:rsidP="0083441A">
      <w:pPr>
        <w:spacing w:line="240" w:lineRule="auto"/>
        <w:ind w:left="1260"/>
        <w:rPr>
          <w:sz w:val="12"/>
        </w:rPr>
      </w:pPr>
    </w:p>
    <w:p w14:paraId="4955DD38" w14:textId="77777777" w:rsidR="0083441A" w:rsidRDefault="0083441A" w:rsidP="0083441A">
      <w:pPr>
        <w:spacing w:line="240" w:lineRule="auto"/>
        <w:ind w:left="1260"/>
        <w:rPr>
          <w:sz w:val="12"/>
        </w:rPr>
      </w:pPr>
    </w:p>
    <w:p w14:paraId="58485B7F" w14:textId="20C693F4" w:rsidR="00FE432B" w:rsidRPr="00C54D1E" w:rsidRDefault="00FE432B" w:rsidP="00FE432B">
      <w:pPr>
        <w:pStyle w:val="SS"/>
        <w:rPr>
          <w:lang w:val="fr-FR"/>
        </w:rPr>
      </w:pPr>
      <w:bookmarkStart w:id="1" w:name="_Hlk512441209"/>
      <w:r>
        <w:rPr>
          <w:lang w:val="fr-FR"/>
        </w:rPr>
        <w:t xml:space="preserve">Soixante-huitième session </w:t>
      </w:r>
    </w:p>
    <w:p w14:paraId="7E148BE6" w14:textId="7D26BF58" w:rsidR="0083441A" w:rsidRDefault="00FE432B" w:rsidP="00FE432B">
      <w:pPr>
        <w:pStyle w:val="SS"/>
        <w:rPr>
          <w:lang w:val="fr-FR"/>
        </w:rPr>
      </w:pPr>
      <w:r>
        <w:rPr>
          <w:lang w:val="fr-FR"/>
        </w:rPr>
        <w:t>(23 octobre-17 novembre 2017)</w:t>
      </w:r>
      <w:bookmarkEnd w:id="1"/>
    </w:p>
    <w:p w14:paraId="52878CA7" w14:textId="3105A957" w:rsidR="00FE432B" w:rsidRPr="00FE432B" w:rsidRDefault="00FE432B" w:rsidP="00FE432B">
      <w:pPr>
        <w:pStyle w:val="SingleTxt"/>
        <w:spacing w:after="0" w:line="120" w:lineRule="exact"/>
        <w:rPr>
          <w:sz w:val="10"/>
          <w:lang w:val="fr-FR"/>
        </w:rPr>
      </w:pPr>
    </w:p>
    <w:p w14:paraId="413E2E85" w14:textId="098B7BD6" w:rsidR="00FE432B" w:rsidRPr="00FE432B" w:rsidRDefault="00FE432B" w:rsidP="00FE432B">
      <w:pPr>
        <w:pStyle w:val="SingleTxt"/>
        <w:spacing w:after="0" w:line="120" w:lineRule="exact"/>
        <w:rPr>
          <w:sz w:val="10"/>
          <w:lang w:val="fr-FR"/>
        </w:rPr>
      </w:pPr>
    </w:p>
    <w:p w14:paraId="471A7A36" w14:textId="5DCF4FAB" w:rsidR="00FE432B" w:rsidRPr="00FE432B" w:rsidRDefault="00FE432B" w:rsidP="00FE432B">
      <w:pPr>
        <w:pStyle w:val="SingleTxt"/>
        <w:spacing w:after="0" w:line="120" w:lineRule="exact"/>
        <w:rPr>
          <w:sz w:val="10"/>
          <w:lang w:val="fr-FR"/>
        </w:rPr>
      </w:pPr>
    </w:p>
    <w:p w14:paraId="25729E00" w14:textId="77777777" w:rsidR="00FE432B" w:rsidRPr="00C54D1E" w:rsidRDefault="00FE432B" w:rsidP="00FE432B">
      <w:pPr>
        <w:pStyle w:val="SS"/>
        <w:rPr>
          <w:lang w:val="fr-FR"/>
        </w:rPr>
      </w:pPr>
      <w:bookmarkStart w:id="2" w:name="_Hlk512441238"/>
      <w:r>
        <w:rPr>
          <w:lang w:val="fr-FR"/>
        </w:rPr>
        <w:t xml:space="preserve">Soixante-neuvième session </w:t>
      </w:r>
    </w:p>
    <w:p w14:paraId="75303C18" w14:textId="39242C49" w:rsidR="00FE432B" w:rsidRPr="00FE432B" w:rsidRDefault="00FE432B" w:rsidP="00FE432B">
      <w:pPr>
        <w:pStyle w:val="SingleTxt"/>
        <w:rPr>
          <w:b/>
          <w:spacing w:val="-2"/>
          <w:sz w:val="28"/>
          <w:lang w:val="fr-FR"/>
        </w:rPr>
      </w:pPr>
      <w:r w:rsidRPr="00FE432B">
        <w:rPr>
          <w:b/>
          <w:spacing w:val="-2"/>
          <w:sz w:val="28"/>
          <w:lang w:val="fr-FR"/>
        </w:rPr>
        <w:t>(19 février-9 mars 2018)</w:t>
      </w:r>
      <w:bookmarkEnd w:id="2"/>
    </w:p>
    <w:p w14:paraId="7547FF98" w14:textId="77777777" w:rsidR="0083441A" w:rsidRDefault="0083441A">
      <w:pPr>
        <w:spacing w:after="200" w:line="276" w:lineRule="auto"/>
      </w:pPr>
      <w:r>
        <w:br w:type="page"/>
      </w:r>
      <w:bookmarkStart w:id="3" w:name="_GoBack"/>
      <w:bookmarkEnd w:id="3"/>
    </w:p>
    <w:p w14:paraId="662572F6" w14:textId="77777777" w:rsidR="0083441A" w:rsidRDefault="0083441A" w:rsidP="0083441A">
      <w:pPr>
        <w:spacing w:line="240" w:lineRule="auto"/>
        <w:ind w:left="1260"/>
      </w:pPr>
    </w:p>
    <w:p w14:paraId="45B8343D" w14:textId="77777777" w:rsidR="0083441A" w:rsidRPr="0083441A" w:rsidRDefault="0083441A" w:rsidP="0083441A">
      <w:pPr>
        <w:framePr w:w="2880" w:h="288" w:hSpace="180" w:wrap="notBeside" w:vAnchor="page" w:hAnchor="margin" w:x="1268" w:y="13393" w:anchorLock="1"/>
      </w:pPr>
      <w:r>
        <w:t>ISSN 0255-0989</w:t>
      </w:r>
    </w:p>
    <w:p w14:paraId="46B8DF14" w14:textId="77777777" w:rsidR="0083441A" w:rsidRDefault="0083441A" w:rsidP="0083441A">
      <w:pPr>
        <w:spacing w:before="1400" w:line="240" w:lineRule="auto"/>
        <w:ind w:left="1260"/>
        <w:rPr>
          <w:i/>
        </w:rPr>
      </w:pPr>
      <w:r>
        <w:rPr>
          <w:i/>
        </w:rPr>
        <w:t>Note</w:t>
      </w:r>
    </w:p>
    <w:p w14:paraId="3D52D0B7" w14:textId="5D54A97C" w:rsidR="0083441A" w:rsidRDefault="0083441A" w:rsidP="0083441A">
      <w:pPr>
        <w:spacing w:before="240" w:line="240" w:lineRule="auto"/>
        <w:ind w:left="1260" w:right="1260" w:firstLine="475"/>
        <w:jc w:val="both"/>
        <w:sectPr w:rsidR="0083441A" w:rsidSect="0083441A">
          <w:headerReference w:type="default" r:id="rId12"/>
          <w:headerReference w:type="first" r:id="rId13"/>
          <w:footerReference w:type="first" r:id="rId14"/>
          <w:pgSz w:w="12240" w:h="15840"/>
          <w:pgMar w:top="1440" w:right="1200" w:bottom="1152" w:left="1200" w:header="432" w:footer="576" w:gutter="0"/>
          <w:cols w:space="720"/>
          <w:titlePg/>
          <w:docGrid w:linePitch="360"/>
        </w:sectPr>
      </w:pPr>
      <w:r>
        <w:t>Les cotes des documents de l</w:t>
      </w:r>
      <w:r w:rsidR="00265783">
        <w:t>’</w:t>
      </w:r>
      <w:r>
        <w:t>Organisation des Nations Unies se composent de lettres et de chiffres. La simple mention d</w:t>
      </w:r>
      <w:r w:rsidR="00265783">
        <w:t>’</w:t>
      </w:r>
      <w:r>
        <w:t>une cote renvoie à un document de l</w:t>
      </w:r>
      <w:r w:rsidR="00265783">
        <w:t>’</w:t>
      </w:r>
      <w:r>
        <w:t>Organisation.</w:t>
      </w:r>
    </w:p>
    <w:p w14:paraId="2D1DDD24" w14:textId="77777777" w:rsidR="0083441A" w:rsidRDefault="0083441A" w:rsidP="0083441A">
      <w:pPr>
        <w:spacing w:before="240" w:line="240" w:lineRule="auto"/>
        <w:ind w:left="1260" w:right="1260" w:firstLine="475"/>
        <w:jc w:val="both"/>
      </w:pPr>
    </w:p>
    <w:p w14:paraId="05006DB1" w14:textId="174587FB" w:rsidR="00D70B84" w:rsidRPr="00A271D3" w:rsidRDefault="00D70B84" w:rsidP="00D70B84">
      <w:pPr>
        <w:jc w:val="right"/>
        <w:rPr>
          <w:lang w:eastAsia="zh-CN"/>
        </w:rPr>
      </w:pPr>
      <w:r>
        <w:rPr>
          <w:lang w:eastAsia="zh-CN"/>
        </w:rPr>
        <w:t>[29 Mars 2018]</w:t>
      </w:r>
    </w:p>
    <w:p w14:paraId="7DB2014E" w14:textId="57DB7325" w:rsidR="0083441A" w:rsidRPr="00D70B84" w:rsidRDefault="0083441A" w:rsidP="0083441A">
      <w:pPr>
        <w:jc w:val="right"/>
      </w:pPr>
    </w:p>
    <w:p w14:paraId="30E8FDA8" w14:textId="77777777" w:rsidR="0083441A" w:rsidRDefault="0083441A" w:rsidP="0083441A">
      <w:pPr>
        <w:pStyle w:val="HCH"/>
        <w:spacing w:before="880" w:after="100"/>
        <w:rPr>
          <w:b w:val="0"/>
        </w:rPr>
      </w:pPr>
      <w:r>
        <w:rPr>
          <w:b w:val="0"/>
        </w:rPr>
        <w:t>Table des matières</w:t>
      </w:r>
    </w:p>
    <w:tbl>
      <w:tblPr>
        <w:tblW w:w="9902" w:type="dxa"/>
        <w:tblLayout w:type="fixed"/>
        <w:tblCellMar>
          <w:left w:w="0" w:type="dxa"/>
          <w:right w:w="0" w:type="dxa"/>
        </w:tblCellMar>
        <w:tblLook w:val="0000" w:firstRow="0" w:lastRow="0" w:firstColumn="0" w:lastColumn="0" w:noHBand="0" w:noVBand="0"/>
      </w:tblPr>
      <w:tblGrid>
        <w:gridCol w:w="90"/>
        <w:gridCol w:w="981"/>
        <w:gridCol w:w="8298"/>
        <w:gridCol w:w="533"/>
      </w:tblGrid>
      <w:tr w:rsidR="0083441A" w:rsidRPr="0083441A" w14:paraId="775918BF" w14:textId="77777777" w:rsidTr="000F50DD">
        <w:tc>
          <w:tcPr>
            <w:tcW w:w="90" w:type="dxa"/>
            <w:shd w:val="clear" w:color="auto" w:fill="auto"/>
          </w:tcPr>
          <w:p w14:paraId="7557D44B" w14:textId="67B9C504" w:rsidR="0083441A" w:rsidRPr="0083441A" w:rsidRDefault="0083441A" w:rsidP="0083441A">
            <w:pPr>
              <w:spacing w:after="120"/>
              <w:jc w:val="right"/>
              <w:rPr>
                <w:i/>
                <w:sz w:val="14"/>
              </w:rPr>
            </w:pPr>
          </w:p>
        </w:tc>
        <w:tc>
          <w:tcPr>
            <w:tcW w:w="981" w:type="dxa"/>
            <w:shd w:val="clear" w:color="auto" w:fill="auto"/>
          </w:tcPr>
          <w:p w14:paraId="45783F47" w14:textId="5E8ED10B" w:rsidR="0083441A" w:rsidRPr="0083441A" w:rsidRDefault="000F50DD" w:rsidP="000F50DD">
            <w:pPr>
              <w:spacing w:after="120"/>
              <w:ind w:right="40"/>
              <w:jc w:val="right"/>
              <w:rPr>
                <w:i/>
                <w:sz w:val="14"/>
              </w:rPr>
            </w:pPr>
            <w:r>
              <w:rPr>
                <w:i/>
                <w:sz w:val="14"/>
              </w:rPr>
              <w:t>Chapitre</w:t>
            </w:r>
          </w:p>
        </w:tc>
        <w:tc>
          <w:tcPr>
            <w:tcW w:w="8298" w:type="dxa"/>
            <w:shd w:val="clear" w:color="auto" w:fill="auto"/>
          </w:tcPr>
          <w:p w14:paraId="31204E5A" w14:textId="35D195B0" w:rsidR="0083441A" w:rsidRPr="0083441A" w:rsidRDefault="0083441A" w:rsidP="0083441A">
            <w:pPr>
              <w:spacing w:after="120"/>
              <w:ind w:right="40"/>
              <w:jc w:val="right"/>
              <w:rPr>
                <w:i/>
                <w:sz w:val="14"/>
              </w:rPr>
            </w:pPr>
          </w:p>
        </w:tc>
        <w:tc>
          <w:tcPr>
            <w:tcW w:w="533" w:type="dxa"/>
            <w:shd w:val="clear" w:color="auto" w:fill="auto"/>
          </w:tcPr>
          <w:p w14:paraId="3F6A9814" w14:textId="77777777" w:rsidR="0083441A" w:rsidRPr="0083441A" w:rsidRDefault="0083441A" w:rsidP="0083441A">
            <w:pPr>
              <w:spacing w:after="120"/>
              <w:ind w:right="40"/>
              <w:jc w:val="right"/>
              <w:rPr>
                <w:i/>
                <w:sz w:val="14"/>
              </w:rPr>
            </w:pPr>
            <w:r>
              <w:rPr>
                <w:i/>
                <w:sz w:val="14"/>
              </w:rPr>
              <w:t>Page</w:t>
            </w:r>
          </w:p>
        </w:tc>
      </w:tr>
      <w:tr w:rsidR="00986B7F" w:rsidRPr="0083441A" w14:paraId="17794789" w14:textId="77777777" w:rsidTr="00986B7F">
        <w:tc>
          <w:tcPr>
            <w:tcW w:w="9369" w:type="dxa"/>
            <w:gridSpan w:val="3"/>
            <w:shd w:val="clear" w:color="auto" w:fill="auto"/>
          </w:tcPr>
          <w:p w14:paraId="6DF09DCF" w14:textId="0B328A84" w:rsidR="00986B7F" w:rsidRPr="00986B7F" w:rsidRDefault="00986B7F" w:rsidP="00986B7F">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986B7F">
              <w:t>Lettres d’envoi</w:t>
            </w:r>
            <w:r>
              <w:rPr>
                <w:spacing w:val="60"/>
                <w:sz w:val="17"/>
              </w:rPr>
              <w:tab/>
            </w:r>
          </w:p>
        </w:tc>
        <w:tc>
          <w:tcPr>
            <w:tcW w:w="533" w:type="dxa"/>
            <w:shd w:val="clear" w:color="auto" w:fill="auto"/>
            <w:vAlign w:val="bottom"/>
          </w:tcPr>
          <w:p w14:paraId="42E2F261" w14:textId="20CD96FC" w:rsidR="00986B7F" w:rsidRDefault="00AA7D60" w:rsidP="00986B7F">
            <w:pPr>
              <w:spacing w:after="120"/>
              <w:ind w:right="40"/>
              <w:jc w:val="right"/>
            </w:pPr>
            <w:r>
              <w:t>6</w:t>
            </w:r>
          </w:p>
        </w:tc>
      </w:tr>
      <w:tr w:rsidR="00986B7F" w:rsidRPr="0083441A" w14:paraId="2548AFDF" w14:textId="77777777" w:rsidTr="00986B7F">
        <w:tc>
          <w:tcPr>
            <w:tcW w:w="9369" w:type="dxa"/>
            <w:gridSpan w:val="3"/>
            <w:shd w:val="clear" w:color="auto" w:fill="auto"/>
          </w:tcPr>
          <w:p w14:paraId="167F2440" w14:textId="17BCEFBD" w:rsidR="00986B7F" w:rsidRPr="00986B7F" w:rsidRDefault="00986B7F" w:rsidP="001732CB">
            <w:pPr>
              <w:tabs>
                <w:tab w:val="right" w:pos="1080"/>
                <w:tab w:val="left" w:pos="1296"/>
                <w:tab w:val="left" w:pos="1728"/>
                <w:tab w:val="left" w:pos="2160"/>
                <w:tab w:val="left" w:pos="2592"/>
                <w:tab w:val="right" w:leader="dot" w:pos="9360"/>
              </w:tabs>
              <w:suppressAutoHyphens/>
              <w:spacing w:after="120"/>
              <w:ind w:left="1296" w:hanging="216"/>
              <w:rPr>
                <w:spacing w:val="60"/>
                <w:sz w:val="17"/>
              </w:rPr>
            </w:pPr>
            <w:r w:rsidRPr="004A0E90">
              <w:rPr>
                <w:b/>
                <w:szCs w:val="20"/>
                <w:lang w:val="fr-FR"/>
              </w:rPr>
              <w:tab/>
            </w:r>
            <w:r w:rsidRPr="001732CB">
              <w:rPr>
                <w:b/>
                <w:szCs w:val="20"/>
                <w:lang w:val="fr-FR"/>
              </w:rPr>
              <w:t>Première partie</w:t>
            </w:r>
            <w:r w:rsidR="001732CB" w:rsidRPr="001732CB">
              <w:rPr>
                <w:b/>
                <w:szCs w:val="20"/>
                <w:lang w:val="fr-FR"/>
              </w:rPr>
              <w:br/>
            </w:r>
            <w:r w:rsidRPr="001732CB">
              <w:rPr>
                <w:b/>
                <w:szCs w:val="20"/>
                <w:lang w:val="fr-FR"/>
              </w:rPr>
              <w:t>Rapport du Comité pour l’élimination de la disc</w:t>
            </w:r>
            <w:r w:rsidR="00AD2C01">
              <w:rPr>
                <w:b/>
                <w:szCs w:val="20"/>
                <w:lang w:val="fr-FR"/>
              </w:rPr>
              <w:t>rimination à l’égard des femmes</w:t>
            </w:r>
            <w:r w:rsidR="00AD2C01">
              <w:rPr>
                <w:b/>
                <w:szCs w:val="20"/>
                <w:lang w:val="fr-FR"/>
              </w:rPr>
              <w:br/>
            </w:r>
            <w:r w:rsidRPr="001732CB">
              <w:rPr>
                <w:b/>
                <w:szCs w:val="20"/>
                <w:lang w:val="fr-FR"/>
              </w:rPr>
              <w:t>sur les travaux de sa soixante-septième session</w:t>
            </w:r>
            <w:bookmarkStart w:id="4" w:name="TmpSave"/>
            <w:r w:rsidRPr="00FC6583">
              <w:rPr>
                <w:bCs/>
                <w:spacing w:val="60"/>
                <w:sz w:val="17"/>
                <w:lang w:val="fr-FR"/>
              </w:rPr>
              <w:tab/>
            </w:r>
            <w:bookmarkEnd w:id="4"/>
          </w:p>
        </w:tc>
        <w:tc>
          <w:tcPr>
            <w:tcW w:w="533" w:type="dxa"/>
            <w:shd w:val="clear" w:color="auto" w:fill="auto"/>
            <w:vAlign w:val="bottom"/>
          </w:tcPr>
          <w:p w14:paraId="269E6300" w14:textId="1E5FD1AA" w:rsidR="00986B7F" w:rsidRDefault="004142F4" w:rsidP="00986B7F">
            <w:pPr>
              <w:spacing w:after="120"/>
              <w:ind w:right="40"/>
              <w:jc w:val="right"/>
            </w:pPr>
            <w:r>
              <w:t>7</w:t>
            </w:r>
          </w:p>
        </w:tc>
      </w:tr>
      <w:tr w:rsidR="00986B7F" w:rsidRPr="0083441A" w14:paraId="32EB98FF" w14:textId="77777777" w:rsidTr="00986B7F">
        <w:tc>
          <w:tcPr>
            <w:tcW w:w="9369" w:type="dxa"/>
            <w:gridSpan w:val="3"/>
            <w:shd w:val="clear" w:color="auto" w:fill="auto"/>
          </w:tcPr>
          <w:p w14:paraId="57535A8A" w14:textId="76CB8ADE" w:rsidR="00986B7F" w:rsidRPr="00986B7F" w:rsidRDefault="00986B7F" w:rsidP="00986B7F">
            <w:pPr>
              <w:pStyle w:val="ListParagraph"/>
              <w:numPr>
                <w:ilvl w:val="0"/>
                <w:numId w:val="19"/>
              </w:numPr>
              <w:tabs>
                <w:tab w:val="left" w:pos="1296"/>
                <w:tab w:val="left" w:pos="1728"/>
                <w:tab w:val="left" w:pos="2160"/>
                <w:tab w:val="left" w:pos="2592"/>
                <w:tab w:val="left" w:pos="3024"/>
                <w:tab w:val="left" w:pos="3456"/>
                <w:tab w:val="left" w:pos="3888"/>
                <w:tab w:val="right" w:leader="dot" w:pos="9360"/>
              </w:tabs>
              <w:spacing w:after="120"/>
              <w:rPr>
                <w:b/>
                <w:lang w:val="fr-FR"/>
              </w:rPr>
            </w:pPr>
            <w:r w:rsidRPr="009C4E47">
              <w:rPr>
                <w:lang w:val="fr-FR"/>
              </w:rPr>
              <w:t>Décisions adoptées par le Comité</w:t>
            </w:r>
            <w:r>
              <w:rPr>
                <w:spacing w:val="60"/>
                <w:sz w:val="17"/>
                <w:lang w:val="fr-FR"/>
              </w:rPr>
              <w:tab/>
            </w:r>
          </w:p>
        </w:tc>
        <w:tc>
          <w:tcPr>
            <w:tcW w:w="533" w:type="dxa"/>
            <w:shd w:val="clear" w:color="auto" w:fill="auto"/>
            <w:vAlign w:val="bottom"/>
          </w:tcPr>
          <w:p w14:paraId="33C54B6E" w14:textId="74D7D255" w:rsidR="00986B7F" w:rsidRDefault="004142F4" w:rsidP="00986B7F">
            <w:pPr>
              <w:spacing w:after="120"/>
              <w:ind w:right="40"/>
              <w:jc w:val="right"/>
            </w:pPr>
            <w:r>
              <w:t>8</w:t>
            </w:r>
          </w:p>
        </w:tc>
      </w:tr>
      <w:tr w:rsidR="00986B7F" w:rsidRPr="0083441A" w14:paraId="5F890532" w14:textId="77777777" w:rsidTr="00986B7F">
        <w:tc>
          <w:tcPr>
            <w:tcW w:w="9369" w:type="dxa"/>
            <w:gridSpan w:val="3"/>
            <w:shd w:val="clear" w:color="auto" w:fill="auto"/>
          </w:tcPr>
          <w:p w14:paraId="4EEF524B" w14:textId="273F616A" w:rsidR="00986B7F" w:rsidRPr="009C4E47" w:rsidRDefault="00986B7F" w:rsidP="00986B7F">
            <w:pPr>
              <w:pStyle w:val="ListParagraph"/>
              <w:numPr>
                <w:ilvl w:val="0"/>
                <w:numId w:val="19"/>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fr-FR"/>
              </w:rPr>
            </w:pPr>
            <w:r w:rsidRPr="009C4E47">
              <w:rPr>
                <w:lang w:val="fr-FR"/>
              </w:rPr>
              <w:t>Questions d</w:t>
            </w:r>
            <w:r>
              <w:rPr>
                <w:lang w:val="fr-FR"/>
              </w:rPr>
              <w:t>’</w:t>
            </w:r>
            <w:r w:rsidRPr="009C4E47">
              <w:rPr>
                <w:lang w:val="fr-FR"/>
              </w:rPr>
              <w:t>organisation et questions diverses</w:t>
            </w:r>
            <w:r>
              <w:rPr>
                <w:spacing w:val="60"/>
                <w:sz w:val="17"/>
                <w:lang w:val="fr-FR"/>
              </w:rPr>
              <w:tab/>
            </w:r>
          </w:p>
        </w:tc>
        <w:tc>
          <w:tcPr>
            <w:tcW w:w="533" w:type="dxa"/>
            <w:shd w:val="clear" w:color="auto" w:fill="auto"/>
            <w:vAlign w:val="bottom"/>
          </w:tcPr>
          <w:p w14:paraId="4E34ED86" w14:textId="0CBFC8CE" w:rsidR="00986B7F" w:rsidRDefault="004142F4" w:rsidP="00986B7F">
            <w:pPr>
              <w:spacing w:after="120"/>
              <w:ind w:right="40"/>
              <w:jc w:val="right"/>
            </w:pPr>
            <w:r>
              <w:t>10</w:t>
            </w:r>
          </w:p>
        </w:tc>
      </w:tr>
      <w:tr w:rsidR="00986B7F" w:rsidRPr="0083441A" w14:paraId="6C0F2620" w14:textId="77777777" w:rsidTr="00986B7F">
        <w:tc>
          <w:tcPr>
            <w:tcW w:w="9369" w:type="dxa"/>
            <w:gridSpan w:val="3"/>
            <w:shd w:val="clear" w:color="auto" w:fill="auto"/>
          </w:tcPr>
          <w:p w14:paraId="030752FB" w14:textId="66E139CB" w:rsidR="00986B7F" w:rsidRPr="009C4E47" w:rsidRDefault="00986B7F" w:rsidP="00986B7F">
            <w:pPr>
              <w:pStyle w:val="ListParagraph"/>
              <w:numPr>
                <w:ilvl w:val="1"/>
                <w:numId w:val="1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lang w:val="fr-FR"/>
              </w:rPr>
            </w:pPr>
            <w:r w:rsidRPr="00265C56">
              <w:rPr>
                <w:lang w:val="fr-FR"/>
              </w:rPr>
              <w:t>États parties à la Convention et au Protocole facultatif</w:t>
            </w:r>
            <w:r>
              <w:rPr>
                <w:spacing w:val="60"/>
                <w:sz w:val="17"/>
                <w:lang w:val="fr-FR"/>
              </w:rPr>
              <w:tab/>
            </w:r>
          </w:p>
        </w:tc>
        <w:tc>
          <w:tcPr>
            <w:tcW w:w="533" w:type="dxa"/>
            <w:shd w:val="clear" w:color="auto" w:fill="auto"/>
            <w:vAlign w:val="bottom"/>
          </w:tcPr>
          <w:p w14:paraId="4B072479" w14:textId="10647603" w:rsidR="00986B7F" w:rsidRDefault="004142F4" w:rsidP="00986B7F">
            <w:pPr>
              <w:spacing w:after="120"/>
              <w:ind w:right="40"/>
              <w:jc w:val="right"/>
            </w:pPr>
            <w:r>
              <w:t>10</w:t>
            </w:r>
          </w:p>
        </w:tc>
      </w:tr>
      <w:tr w:rsidR="00986B7F" w:rsidRPr="0083441A" w14:paraId="3C59A852" w14:textId="77777777" w:rsidTr="00986B7F">
        <w:tc>
          <w:tcPr>
            <w:tcW w:w="9369" w:type="dxa"/>
            <w:gridSpan w:val="3"/>
            <w:shd w:val="clear" w:color="auto" w:fill="auto"/>
          </w:tcPr>
          <w:p w14:paraId="48A0687F" w14:textId="0C456737" w:rsidR="00986B7F" w:rsidRPr="00265C56" w:rsidRDefault="00986B7F" w:rsidP="00986B7F">
            <w:pPr>
              <w:pStyle w:val="ListParagraph"/>
              <w:numPr>
                <w:ilvl w:val="1"/>
                <w:numId w:val="19"/>
              </w:numPr>
              <w:tabs>
                <w:tab w:val="left" w:pos="1296"/>
                <w:tab w:val="left" w:pos="1728"/>
                <w:tab w:val="left" w:pos="2160"/>
                <w:tab w:val="left" w:pos="2592"/>
                <w:tab w:val="left" w:pos="3024"/>
                <w:tab w:val="left" w:pos="3456"/>
                <w:tab w:val="right" w:leader="dot" w:pos="9360"/>
              </w:tabs>
              <w:spacing w:after="120"/>
              <w:rPr>
                <w:lang w:val="fr-FR"/>
              </w:rPr>
            </w:pPr>
            <w:r w:rsidRPr="00265C56">
              <w:rPr>
                <w:lang w:val="fr-FR"/>
              </w:rPr>
              <w:t>Ouverture de la session</w:t>
            </w:r>
            <w:r>
              <w:rPr>
                <w:spacing w:val="60"/>
                <w:sz w:val="17"/>
                <w:lang w:val="fr-FR"/>
              </w:rPr>
              <w:tab/>
            </w:r>
          </w:p>
        </w:tc>
        <w:tc>
          <w:tcPr>
            <w:tcW w:w="533" w:type="dxa"/>
            <w:shd w:val="clear" w:color="auto" w:fill="auto"/>
            <w:vAlign w:val="bottom"/>
          </w:tcPr>
          <w:p w14:paraId="4CD5ACF9" w14:textId="324B59E9" w:rsidR="00986B7F" w:rsidRDefault="004142F4" w:rsidP="00986B7F">
            <w:pPr>
              <w:spacing w:after="120"/>
              <w:ind w:right="40"/>
              <w:jc w:val="right"/>
            </w:pPr>
            <w:r>
              <w:t>10</w:t>
            </w:r>
          </w:p>
        </w:tc>
      </w:tr>
      <w:tr w:rsidR="00986B7F" w:rsidRPr="0083441A" w14:paraId="48E4CDE3" w14:textId="77777777" w:rsidTr="00986B7F">
        <w:tc>
          <w:tcPr>
            <w:tcW w:w="9369" w:type="dxa"/>
            <w:gridSpan w:val="3"/>
            <w:shd w:val="clear" w:color="auto" w:fill="auto"/>
          </w:tcPr>
          <w:p w14:paraId="2A15E25F" w14:textId="05232044" w:rsidR="00986B7F" w:rsidRPr="00265C56" w:rsidRDefault="00986B7F" w:rsidP="00986B7F">
            <w:pPr>
              <w:pStyle w:val="ListParagraph"/>
              <w:numPr>
                <w:ilvl w:val="1"/>
                <w:numId w:val="19"/>
              </w:numPr>
              <w:tabs>
                <w:tab w:val="left" w:pos="1296"/>
                <w:tab w:val="left" w:pos="1728"/>
                <w:tab w:val="left" w:pos="2160"/>
                <w:tab w:val="left" w:pos="2592"/>
                <w:tab w:val="left" w:pos="3024"/>
                <w:tab w:val="left" w:pos="3456"/>
                <w:tab w:val="left" w:pos="3888"/>
                <w:tab w:val="right" w:leader="dot" w:pos="9360"/>
              </w:tabs>
              <w:spacing w:after="120"/>
              <w:rPr>
                <w:lang w:val="fr-FR"/>
              </w:rPr>
            </w:pPr>
            <w:r w:rsidRPr="00265C56">
              <w:rPr>
                <w:lang w:val="fr-FR"/>
              </w:rPr>
              <w:t>Adoption de l</w:t>
            </w:r>
            <w:r>
              <w:rPr>
                <w:lang w:val="fr-FR"/>
              </w:rPr>
              <w:t>’</w:t>
            </w:r>
            <w:r w:rsidRPr="00265C56">
              <w:rPr>
                <w:lang w:val="fr-FR"/>
              </w:rPr>
              <w:t>ordre du jour</w:t>
            </w:r>
            <w:r>
              <w:rPr>
                <w:spacing w:val="60"/>
                <w:sz w:val="17"/>
                <w:lang w:val="fr-FR"/>
              </w:rPr>
              <w:tab/>
            </w:r>
          </w:p>
        </w:tc>
        <w:tc>
          <w:tcPr>
            <w:tcW w:w="533" w:type="dxa"/>
            <w:shd w:val="clear" w:color="auto" w:fill="auto"/>
            <w:vAlign w:val="bottom"/>
          </w:tcPr>
          <w:p w14:paraId="249A275D" w14:textId="2B345014" w:rsidR="00986B7F" w:rsidRDefault="004142F4" w:rsidP="00986B7F">
            <w:pPr>
              <w:spacing w:after="120"/>
              <w:ind w:right="40"/>
              <w:jc w:val="right"/>
            </w:pPr>
            <w:r>
              <w:t>10</w:t>
            </w:r>
          </w:p>
        </w:tc>
      </w:tr>
      <w:tr w:rsidR="00986B7F" w:rsidRPr="0083441A" w14:paraId="029D2B05" w14:textId="77777777" w:rsidTr="00986B7F">
        <w:tc>
          <w:tcPr>
            <w:tcW w:w="9369" w:type="dxa"/>
            <w:gridSpan w:val="3"/>
            <w:shd w:val="clear" w:color="auto" w:fill="auto"/>
          </w:tcPr>
          <w:p w14:paraId="76D2694B" w14:textId="1EA1FD5B" w:rsidR="00986B7F" w:rsidRPr="00265C56" w:rsidRDefault="00986B7F" w:rsidP="00986B7F">
            <w:pPr>
              <w:pStyle w:val="ListParagraph"/>
              <w:numPr>
                <w:ilvl w:val="1"/>
                <w:numId w:val="19"/>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fr-FR"/>
              </w:rPr>
            </w:pPr>
            <w:r w:rsidRPr="00265C56">
              <w:rPr>
                <w:lang w:val="fr-FR"/>
              </w:rPr>
              <w:t>Rapport du groupe de travail d</w:t>
            </w:r>
            <w:r>
              <w:rPr>
                <w:lang w:val="fr-FR"/>
              </w:rPr>
              <w:t>’</w:t>
            </w:r>
            <w:r w:rsidRPr="00265C56">
              <w:rPr>
                <w:lang w:val="fr-FR"/>
              </w:rPr>
              <w:t>avant-session</w:t>
            </w:r>
            <w:r>
              <w:rPr>
                <w:spacing w:val="60"/>
                <w:sz w:val="17"/>
                <w:lang w:val="fr-FR"/>
              </w:rPr>
              <w:tab/>
            </w:r>
          </w:p>
        </w:tc>
        <w:tc>
          <w:tcPr>
            <w:tcW w:w="533" w:type="dxa"/>
            <w:shd w:val="clear" w:color="auto" w:fill="auto"/>
            <w:vAlign w:val="bottom"/>
          </w:tcPr>
          <w:p w14:paraId="011E4DD9" w14:textId="206C0AC5" w:rsidR="00986B7F" w:rsidRDefault="004142F4" w:rsidP="00986B7F">
            <w:pPr>
              <w:spacing w:after="120"/>
              <w:ind w:right="40"/>
              <w:jc w:val="right"/>
            </w:pPr>
            <w:r>
              <w:t>10</w:t>
            </w:r>
          </w:p>
        </w:tc>
      </w:tr>
      <w:tr w:rsidR="00986B7F" w:rsidRPr="0083441A" w14:paraId="18F66194" w14:textId="77777777" w:rsidTr="00986B7F">
        <w:tc>
          <w:tcPr>
            <w:tcW w:w="9369" w:type="dxa"/>
            <w:gridSpan w:val="3"/>
            <w:shd w:val="clear" w:color="auto" w:fill="auto"/>
          </w:tcPr>
          <w:p w14:paraId="72086481" w14:textId="3EB2503E" w:rsidR="00986B7F" w:rsidRPr="00265C56" w:rsidRDefault="00986B7F" w:rsidP="00986B7F">
            <w:pPr>
              <w:pStyle w:val="ListParagraph"/>
              <w:numPr>
                <w:ilvl w:val="1"/>
                <w:numId w:val="19"/>
              </w:numPr>
              <w:tabs>
                <w:tab w:val="left" w:pos="1296"/>
                <w:tab w:val="left" w:pos="1728"/>
                <w:tab w:val="left" w:pos="2160"/>
                <w:tab w:val="left" w:pos="2592"/>
                <w:tab w:val="left" w:pos="3024"/>
                <w:tab w:val="left" w:pos="3456"/>
                <w:tab w:val="right" w:leader="dot" w:pos="9360"/>
              </w:tabs>
              <w:spacing w:after="120"/>
              <w:rPr>
                <w:lang w:val="fr-FR"/>
              </w:rPr>
            </w:pPr>
            <w:r w:rsidRPr="00265C56">
              <w:rPr>
                <w:lang w:val="fr-FR"/>
              </w:rPr>
              <w:t>Organisation des travaux</w:t>
            </w:r>
            <w:r>
              <w:rPr>
                <w:spacing w:val="60"/>
                <w:sz w:val="17"/>
                <w:lang w:val="fr-FR"/>
              </w:rPr>
              <w:tab/>
            </w:r>
          </w:p>
        </w:tc>
        <w:tc>
          <w:tcPr>
            <w:tcW w:w="533" w:type="dxa"/>
            <w:shd w:val="clear" w:color="auto" w:fill="auto"/>
            <w:vAlign w:val="bottom"/>
          </w:tcPr>
          <w:p w14:paraId="4704A9E4" w14:textId="431931A7" w:rsidR="00986B7F" w:rsidRDefault="004142F4" w:rsidP="00986B7F">
            <w:pPr>
              <w:spacing w:after="120"/>
              <w:ind w:right="40"/>
              <w:jc w:val="right"/>
            </w:pPr>
            <w:r>
              <w:t>10</w:t>
            </w:r>
          </w:p>
        </w:tc>
      </w:tr>
      <w:tr w:rsidR="00986B7F" w:rsidRPr="0083441A" w14:paraId="11828D44" w14:textId="77777777" w:rsidTr="00986B7F">
        <w:tc>
          <w:tcPr>
            <w:tcW w:w="9369" w:type="dxa"/>
            <w:gridSpan w:val="3"/>
            <w:shd w:val="clear" w:color="auto" w:fill="auto"/>
          </w:tcPr>
          <w:p w14:paraId="7543EADB" w14:textId="3E2F16A9" w:rsidR="00986B7F" w:rsidRPr="00265C56" w:rsidRDefault="00986B7F" w:rsidP="00986B7F">
            <w:pPr>
              <w:pStyle w:val="ListParagraph"/>
              <w:numPr>
                <w:ilvl w:val="1"/>
                <w:numId w:val="19"/>
              </w:numPr>
              <w:tabs>
                <w:tab w:val="left" w:pos="1296"/>
                <w:tab w:val="left" w:pos="1728"/>
                <w:tab w:val="left" w:pos="2160"/>
                <w:tab w:val="left" w:pos="2592"/>
                <w:tab w:val="left" w:pos="3024"/>
                <w:tab w:val="left" w:pos="3456"/>
                <w:tab w:val="right" w:leader="dot" w:pos="9360"/>
              </w:tabs>
              <w:spacing w:after="120"/>
              <w:rPr>
                <w:lang w:val="fr-FR"/>
              </w:rPr>
            </w:pPr>
            <w:r w:rsidRPr="00265C56">
              <w:rPr>
                <w:lang w:val="fr-FR"/>
              </w:rPr>
              <w:t>Composition du Comité</w:t>
            </w:r>
            <w:r>
              <w:rPr>
                <w:spacing w:val="60"/>
                <w:sz w:val="17"/>
                <w:lang w:val="fr-FR"/>
              </w:rPr>
              <w:tab/>
            </w:r>
          </w:p>
        </w:tc>
        <w:tc>
          <w:tcPr>
            <w:tcW w:w="533" w:type="dxa"/>
            <w:shd w:val="clear" w:color="auto" w:fill="auto"/>
            <w:vAlign w:val="bottom"/>
          </w:tcPr>
          <w:p w14:paraId="4995C3BA" w14:textId="07E1FCFD" w:rsidR="00986B7F" w:rsidRDefault="004142F4" w:rsidP="00986B7F">
            <w:pPr>
              <w:spacing w:after="120"/>
              <w:ind w:right="40"/>
              <w:jc w:val="right"/>
            </w:pPr>
            <w:r>
              <w:t>11</w:t>
            </w:r>
          </w:p>
        </w:tc>
      </w:tr>
      <w:tr w:rsidR="00163310" w:rsidRPr="0083441A" w14:paraId="6ADACED5" w14:textId="77777777" w:rsidTr="00986B7F">
        <w:tc>
          <w:tcPr>
            <w:tcW w:w="9369" w:type="dxa"/>
            <w:gridSpan w:val="3"/>
            <w:shd w:val="clear" w:color="auto" w:fill="auto"/>
          </w:tcPr>
          <w:p w14:paraId="4DCDA919" w14:textId="5A9F505E" w:rsidR="00163310" w:rsidRPr="00265C56" w:rsidRDefault="00163310" w:rsidP="00163310">
            <w:pPr>
              <w:pStyle w:val="ListParagraph"/>
              <w:numPr>
                <w:ilvl w:val="0"/>
                <w:numId w:val="19"/>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lang w:val="fr-FR"/>
              </w:rPr>
            </w:pPr>
            <w:r w:rsidRPr="009C4E47">
              <w:rPr>
                <w:lang w:val="fr-FR"/>
              </w:rPr>
              <w:t>Rapport de la Présidente sur les activités intersessions</w:t>
            </w:r>
            <w:r>
              <w:rPr>
                <w:spacing w:val="60"/>
                <w:sz w:val="17"/>
                <w:lang w:val="fr-FR"/>
              </w:rPr>
              <w:tab/>
            </w:r>
          </w:p>
        </w:tc>
        <w:tc>
          <w:tcPr>
            <w:tcW w:w="533" w:type="dxa"/>
            <w:shd w:val="clear" w:color="auto" w:fill="auto"/>
            <w:vAlign w:val="bottom"/>
          </w:tcPr>
          <w:p w14:paraId="65DD0377" w14:textId="293611B7" w:rsidR="00163310" w:rsidRDefault="004142F4" w:rsidP="00986B7F">
            <w:pPr>
              <w:spacing w:after="120"/>
              <w:ind w:right="40"/>
              <w:jc w:val="right"/>
            </w:pPr>
            <w:r>
              <w:t>12</w:t>
            </w:r>
          </w:p>
        </w:tc>
      </w:tr>
      <w:tr w:rsidR="00163310" w:rsidRPr="0083441A" w14:paraId="390080EF" w14:textId="77777777" w:rsidTr="00986B7F">
        <w:tc>
          <w:tcPr>
            <w:tcW w:w="9369" w:type="dxa"/>
            <w:gridSpan w:val="3"/>
            <w:shd w:val="clear" w:color="auto" w:fill="auto"/>
          </w:tcPr>
          <w:p w14:paraId="5E02D693" w14:textId="7C92EBC1" w:rsidR="00163310" w:rsidRPr="009C4E47" w:rsidRDefault="00163310" w:rsidP="00163310">
            <w:pPr>
              <w:pStyle w:val="ListParagraph"/>
              <w:numPr>
                <w:ilvl w:val="0"/>
                <w:numId w:val="19"/>
              </w:numPr>
              <w:tabs>
                <w:tab w:val="left" w:pos="1296"/>
                <w:tab w:val="left" w:pos="1728"/>
                <w:tab w:val="left" w:pos="2160"/>
                <w:tab w:val="right" w:leader="dot" w:pos="9360"/>
              </w:tabs>
              <w:spacing w:after="120"/>
              <w:rPr>
                <w:lang w:val="fr-FR"/>
              </w:rPr>
            </w:pPr>
            <w:r w:rsidRPr="00332501">
              <w:rPr>
                <w:lang w:val="fr-FR"/>
              </w:rPr>
              <w:t>Examen des rapports soumis par les États parties en application de l</w:t>
            </w:r>
            <w:r>
              <w:rPr>
                <w:lang w:val="fr-FR"/>
              </w:rPr>
              <w:t>’</w:t>
            </w:r>
            <w:r w:rsidR="00AD2C01">
              <w:rPr>
                <w:lang w:val="fr-FR"/>
              </w:rPr>
              <w:t>article 18</w:t>
            </w:r>
            <w:r w:rsidR="00AD2C01">
              <w:rPr>
                <w:lang w:val="fr-FR"/>
              </w:rPr>
              <w:br/>
            </w:r>
            <w:r w:rsidRPr="00332501">
              <w:rPr>
                <w:lang w:val="fr-FR"/>
              </w:rPr>
              <w:t>de la Convention</w:t>
            </w:r>
            <w:r>
              <w:rPr>
                <w:spacing w:val="60"/>
                <w:sz w:val="17"/>
                <w:lang w:val="fr-FR"/>
              </w:rPr>
              <w:tab/>
            </w:r>
          </w:p>
        </w:tc>
        <w:tc>
          <w:tcPr>
            <w:tcW w:w="533" w:type="dxa"/>
            <w:shd w:val="clear" w:color="auto" w:fill="auto"/>
            <w:vAlign w:val="bottom"/>
          </w:tcPr>
          <w:p w14:paraId="2DEEB0C7" w14:textId="0F5C3564" w:rsidR="00163310" w:rsidRPr="00163310" w:rsidRDefault="004142F4" w:rsidP="00986B7F">
            <w:pPr>
              <w:spacing w:after="120"/>
              <w:ind w:right="40"/>
              <w:jc w:val="right"/>
              <w:rPr>
                <w:lang w:val="fr-FR"/>
              </w:rPr>
            </w:pPr>
            <w:r>
              <w:rPr>
                <w:lang w:val="fr-FR"/>
              </w:rPr>
              <w:t>13</w:t>
            </w:r>
          </w:p>
        </w:tc>
      </w:tr>
      <w:tr w:rsidR="00163310" w:rsidRPr="0083441A" w14:paraId="069CF2A9" w14:textId="77777777" w:rsidTr="00986B7F">
        <w:tc>
          <w:tcPr>
            <w:tcW w:w="9369" w:type="dxa"/>
            <w:gridSpan w:val="3"/>
            <w:shd w:val="clear" w:color="auto" w:fill="auto"/>
          </w:tcPr>
          <w:p w14:paraId="00CEE315" w14:textId="45EBE97E" w:rsidR="00163310" w:rsidRPr="00332501" w:rsidRDefault="00163310" w:rsidP="00163310">
            <w:pPr>
              <w:pStyle w:val="ListParagraph"/>
              <w:numPr>
                <w:ilvl w:val="0"/>
                <w:numId w:val="19"/>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fr-FR"/>
              </w:rPr>
            </w:pPr>
            <w:r w:rsidRPr="009C4E47">
              <w:rPr>
                <w:lang w:val="fr-FR"/>
              </w:rPr>
              <w:t>Activités menées au titre du Protocole facultatif</w:t>
            </w:r>
            <w:r>
              <w:rPr>
                <w:spacing w:val="60"/>
                <w:sz w:val="17"/>
                <w:lang w:val="fr-FR"/>
              </w:rPr>
              <w:tab/>
            </w:r>
          </w:p>
        </w:tc>
        <w:tc>
          <w:tcPr>
            <w:tcW w:w="533" w:type="dxa"/>
            <w:shd w:val="clear" w:color="auto" w:fill="auto"/>
            <w:vAlign w:val="bottom"/>
          </w:tcPr>
          <w:p w14:paraId="1BEA4D1C" w14:textId="33B2D279" w:rsidR="00163310" w:rsidRPr="00163310" w:rsidRDefault="004142F4" w:rsidP="00986B7F">
            <w:pPr>
              <w:spacing w:after="120"/>
              <w:ind w:right="40"/>
              <w:jc w:val="right"/>
              <w:rPr>
                <w:lang w:val="fr-FR"/>
              </w:rPr>
            </w:pPr>
            <w:r>
              <w:rPr>
                <w:lang w:val="fr-FR"/>
              </w:rPr>
              <w:t>14</w:t>
            </w:r>
          </w:p>
        </w:tc>
      </w:tr>
      <w:tr w:rsidR="00163310" w:rsidRPr="0083441A" w14:paraId="04E9B6EF" w14:textId="77777777" w:rsidTr="00986B7F">
        <w:tc>
          <w:tcPr>
            <w:tcW w:w="9369" w:type="dxa"/>
            <w:gridSpan w:val="3"/>
            <w:shd w:val="clear" w:color="auto" w:fill="auto"/>
          </w:tcPr>
          <w:p w14:paraId="73408603" w14:textId="1C42A528" w:rsidR="00163310" w:rsidRPr="009C4E47" w:rsidRDefault="00163310" w:rsidP="00163310">
            <w:pPr>
              <w:pStyle w:val="ListParagraph"/>
              <w:numPr>
                <w:ilvl w:val="0"/>
                <w:numId w:val="19"/>
              </w:numPr>
              <w:tabs>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val="fr-FR"/>
              </w:rPr>
            </w:pPr>
            <w:r w:rsidRPr="009C4E47">
              <w:rPr>
                <w:lang w:val="fr-FR"/>
              </w:rPr>
              <w:t>Moyens d</w:t>
            </w:r>
            <w:r>
              <w:rPr>
                <w:lang w:val="fr-FR"/>
              </w:rPr>
              <w:t>’</w:t>
            </w:r>
            <w:r w:rsidRPr="009C4E47">
              <w:rPr>
                <w:lang w:val="fr-FR"/>
              </w:rPr>
              <w:t>accélérer les travaux du Comité</w:t>
            </w:r>
            <w:r>
              <w:rPr>
                <w:spacing w:val="60"/>
                <w:sz w:val="17"/>
                <w:lang w:val="fr-FR"/>
              </w:rPr>
              <w:tab/>
            </w:r>
          </w:p>
        </w:tc>
        <w:tc>
          <w:tcPr>
            <w:tcW w:w="533" w:type="dxa"/>
            <w:shd w:val="clear" w:color="auto" w:fill="auto"/>
            <w:vAlign w:val="bottom"/>
          </w:tcPr>
          <w:p w14:paraId="0D62086B" w14:textId="37FF2437" w:rsidR="00163310" w:rsidRPr="00163310" w:rsidRDefault="004142F4" w:rsidP="00986B7F">
            <w:pPr>
              <w:spacing w:after="120"/>
              <w:ind w:right="40"/>
              <w:jc w:val="right"/>
              <w:rPr>
                <w:lang w:val="fr-FR"/>
              </w:rPr>
            </w:pPr>
            <w:r>
              <w:rPr>
                <w:lang w:val="fr-FR"/>
              </w:rPr>
              <w:t>16</w:t>
            </w:r>
          </w:p>
        </w:tc>
      </w:tr>
      <w:tr w:rsidR="00163310" w:rsidRPr="0083441A" w14:paraId="562DECDE" w14:textId="77777777" w:rsidTr="00986B7F">
        <w:tc>
          <w:tcPr>
            <w:tcW w:w="9369" w:type="dxa"/>
            <w:gridSpan w:val="3"/>
            <w:shd w:val="clear" w:color="auto" w:fill="auto"/>
          </w:tcPr>
          <w:p w14:paraId="53330D39" w14:textId="571F79BF" w:rsidR="00163310" w:rsidRPr="009C4E47" w:rsidRDefault="00163310" w:rsidP="00163310">
            <w:pPr>
              <w:pStyle w:val="ListParagraph"/>
              <w:numPr>
                <w:ilvl w:val="0"/>
                <w:numId w:val="19"/>
              </w:numPr>
              <w:tabs>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val="fr-FR"/>
              </w:rPr>
            </w:pPr>
            <w:r w:rsidRPr="009C4E47">
              <w:rPr>
                <w:lang w:val="fr-FR"/>
              </w:rPr>
              <w:t>Application de l</w:t>
            </w:r>
            <w:r>
              <w:rPr>
                <w:lang w:val="fr-FR"/>
              </w:rPr>
              <w:t>’</w:t>
            </w:r>
            <w:r w:rsidRPr="009C4E47">
              <w:rPr>
                <w:lang w:val="fr-FR"/>
              </w:rPr>
              <w:t>article 21 de la Convention</w:t>
            </w:r>
            <w:r>
              <w:rPr>
                <w:spacing w:val="60"/>
                <w:sz w:val="17"/>
                <w:lang w:val="fr-FR"/>
              </w:rPr>
              <w:tab/>
            </w:r>
          </w:p>
        </w:tc>
        <w:tc>
          <w:tcPr>
            <w:tcW w:w="533" w:type="dxa"/>
            <w:shd w:val="clear" w:color="auto" w:fill="auto"/>
            <w:vAlign w:val="bottom"/>
          </w:tcPr>
          <w:p w14:paraId="688F2290" w14:textId="3340BF06" w:rsidR="00163310" w:rsidRPr="00163310" w:rsidRDefault="004142F4" w:rsidP="00986B7F">
            <w:pPr>
              <w:spacing w:after="120"/>
              <w:ind w:right="40"/>
              <w:jc w:val="right"/>
              <w:rPr>
                <w:lang w:val="fr-FR"/>
              </w:rPr>
            </w:pPr>
            <w:r>
              <w:rPr>
                <w:lang w:val="fr-FR"/>
              </w:rPr>
              <w:t>18</w:t>
            </w:r>
          </w:p>
        </w:tc>
      </w:tr>
      <w:tr w:rsidR="00163310" w:rsidRPr="0083441A" w14:paraId="4BCC721A" w14:textId="77777777" w:rsidTr="00986B7F">
        <w:tc>
          <w:tcPr>
            <w:tcW w:w="9369" w:type="dxa"/>
            <w:gridSpan w:val="3"/>
            <w:shd w:val="clear" w:color="auto" w:fill="auto"/>
          </w:tcPr>
          <w:p w14:paraId="08EF0644" w14:textId="180E7C77" w:rsidR="00163310" w:rsidRPr="009C4E47" w:rsidRDefault="00163310" w:rsidP="00163310">
            <w:pPr>
              <w:pStyle w:val="ListParagraph"/>
              <w:numPr>
                <w:ilvl w:val="0"/>
                <w:numId w:val="1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lang w:val="fr-FR"/>
              </w:rPr>
            </w:pPr>
            <w:r w:rsidRPr="009C4E47">
              <w:rPr>
                <w:lang w:val="fr-FR"/>
              </w:rPr>
              <w:t>Ordre du jour provisoire de la soixante-huitième session</w:t>
            </w:r>
            <w:r>
              <w:rPr>
                <w:spacing w:val="60"/>
                <w:sz w:val="17"/>
                <w:lang w:val="fr-FR"/>
              </w:rPr>
              <w:tab/>
            </w:r>
          </w:p>
        </w:tc>
        <w:tc>
          <w:tcPr>
            <w:tcW w:w="533" w:type="dxa"/>
            <w:shd w:val="clear" w:color="auto" w:fill="auto"/>
            <w:vAlign w:val="bottom"/>
          </w:tcPr>
          <w:p w14:paraId="54D007EA" w14:textId="2919E320" w:rsidR="00163310" w:rsidRPr="00163310" w:rsidRDefault="004142F4" w:rsidP="00986B7F">
            <w:pPr>
              <w:spacing w:after="120"/>
              <w:ind w:right="40"/>
              <w:jc w:val="right"/>
              <w:rPr>
                <w:lang w:val="fr-FR"/>
              </w:rPr>
            </w:pPr>
            <w:r>
              <w:rPr>
                <w:lang w:val="fr-FR"/>
              </w:rPr>
              <w:t>20</w:t>
            </w:r>
          </w:p>
        </w:tc>
      </w:tr>
      <w:tr w:rsidR="00163310" w:rsidRPr="0083441A" w14:paraId="6A735789" w14:textId="77777777" w:rsidTr="00986B7F">
        <w:tc>
          <w:tcPr>
            <w:tcW w:w="9369" w:type="dxa"/>
            <w:gridSpan w:val="3"/>
            <w:shd w:val="clear" w:color="auto" w:fill="auto"/>
          </w:tcPr>
          <w:p w14:paraId="4AD13194" w14:textId="183E9B34" w:rsidR="00163310" w:rsidRPr="009C4E47" w:rsidRDefault="00163310" w:rsidP="00163310">
            <w:pPr>
              <w:pStyle w:val="ListParagraph"/>
              <w:numPr>
                <w:ilvl w:val="0"/>
                <w:numId w:val="19"/>
              </w:numPr>
              <w:tabs>
                <w:tab w:val="left" w:pos="1296"/>
                <w:tab w:val="left" w:pos="1728"/>
                <w:tab w:val="left" w:pos="2160"/>
                <w:tab w:val="left" w:pos="2592"/>
                <w:tab w:val="left" w:pos="3024"/>
                <w:tab w:val="right" w:leader="dot" w:pos="9360"/>
              </w:tabs>
              <w:spacing w:after="120"/>
              <w:rPr>
                <w:lang w:val="fr-FR"/>
              </w:rPr>
            </w:pPr>
            <w:r w:rsidRPr="003C0696">
              <w:t>Adoption du rapport</w:t>
            </w:r>
            <w:r>
              <w:rPr>
                <w:spacing w:val="60"/>
                <w:sz w:val="17"/>
              </w:rPr>
              <w:tab/>
            </w:r>
          </w:p>
        </w:tc>
        <w:tc>
          <w:tcPr>
            <w:tcW w:w="533" w:type="dxa"/>
            <w:shd w:val="clear" w:color="auto" w:fill="auto"/>
            <w:vAlign w:val="bottom"/>
          </w:tcPr>
          <w:p w14:paraId="5667E2C4" w14:textId="780D90ED" w:rsidR="00163310" w:rsidRPr="00163310" w:rsidRDefault="004142F4" w:rsidP="00986B7F">
            <w:pPr>
              <w:spacing w:after="120"/>
              <w:ind w:right="40"/>
              <w:jc w:val="right"/>
              <w:rPr>
                <w:lang w:val="fr-FR"/>
              </w:rPr>
            </w:pPr>
            <w:r>
              <w:rPr>
                <w:lang w:val="fr-FR"/>
              </w:rPr>
              <w:t>21</w:t>
            </w:r>
          </w:p>
        </w:tc>
      </w:tr>
      <w:tr w:rsidR="00163310" w:rsidRPr="0083441A" w14:paraId="0E698A26" w14:textId="77777777" w:rsidTr="00986B7F">
        <w:tc>
          <w:tcPr>
            <w:tcW w:w="9369" w:type="dxa"/>
            <w:gridSpan w:val="3"/>
            <w:shd w:val="clear" w:color="auto" w:fill="auto"/>
          </w:tcPr>
          <w:p w14:paraId="72300B69" w14:textId="31AE8438" w:rsidR="00163310" w:rsidRPr="003C0696" w:rsidRDefault="00163310" w:rsidP="00163310">
            <w:pPr>
              <w:tabs>
                <w:tab w:val="right" w:pos="1080"/>
                <w:tab w:val="left" w:pos="1296"/>
                <w:tab w:val="right" w:pos="1714"/>
                <w:tab w:val="left" w:pos="2160"/>
                <w:tab w:val="left" w:pos="2592"/>
                <w:tab w:val="left" w:pos="3024"/>
                <w:tab w:val="left" w:pos="3456"/>
              </w:tabs>
              <w:suppressAutoHyphens/>
              <w:spacing w:after="120"/>
              <w:ind w:left="1080" w:hanging="653"/>
            </w:pPr>
            <w:r>
              <w:t>Annexe</w:t>
            </w:r>
          </w:p>
        </w:tc>
        <w:tc>
          <w:tcPr>
            <w:tcW w:w="533" w:type="dxa"/>
            <w:shd w:val="clear" w:color="auto" w:fill="auto"/>
            <w:vAlign w:val="bottom"/>
          </w:tcPr>
          <w:p w14:paraId="3832C2D7" w14:textId="77777777" w:rsidR="00163310" w:rsidRPr="00163310" w:rsidRDefault="00163310" w:rsidP="00986B7F">
            <w:pPr>
              <w:spacing w:after="120"/>
              <w:ind w:right="40"/>
              <w:jc w:val="right"/>
              <w:rPr>
                <w:lang w:val="fr-FR"/>
              </w:rPr>
            </w:pPr>
          </w:p>
        </w:tc>
      </w:tr>
      <w:tr w:rsidR="00163310" w:rsidRPr="0083441A" w14:paraId="13A6F934" w14:textId="77777777" w:rsidTr="00986B7F">
        <w:tc>
          <w:tcPr>
            <w:tcW w:w="9369" w:type="dxa"/>
            <w:gridSpan w:val="3"/>
            <w:shd w:val="clear" w:color="auto" w:fill="auto"/>
          </w:tcPr>
          <w:p w14:paraId="23B09F8F" w14:textId="34340D2D" w:rsidR="00163310" w:rsidRPr="00163310" w:rsidRDefault="00163310" w:rsidP="0016331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080"/>
              <w:rPr>
                <w:spacing w:val="60"/>
                <w:sz w:val="17"/>
              </w:rPr>
            </w:pPr>
            <w:r>
              <w:rPr>
                <w:lang w:val="fr-FR"/>
              </w:rPr>
              <w:tab/>
            </w:r>
            <w:r w:rsidRPr="009C4E47">
              <w:rPr>
                <w:lang w:val="fr-FR"/>
              </w:rPr>
              <w:t>Liste des documents dont le Comité était saisi à sa soixante-septième session</w:t>
            </w:r>
            <w:r>
              <w:rPr>
                <w:spacing w:val="60"/>
                <w:sz w:val="17"/>
                <w:lang w:val="fr-FR"/>
              </w:rPr>
              <w:tab/>
            </w:r>
          </w:p>
        </w:tc>
        <w:tc>
          <w:tcPr>
            <w:tcW w:w="533" w:type="dxa"/>
            <w:shd w:val="clear" w:color="auto" w:fill="auto"/>
            <w:vAlign w:val="bottom"/>
          </w:tcPr>
          <w:p w14:paraId="49E5E5A0" w14:textId="0DC7449E" w:rsidR="00163310" w:rsidRPr="00163310" w:rsidRDefault="004142F4" w:rsidP="00986B7F">
            <w:pPr>
              <w:spacing w:after="120"/>
              <w:ind w:right="40"/>
              <w:jc w:val="right"/>
              <w:rPr>
                <w:lang w:val="fr-FR"/>
              </w:rPr>
            </w:pPr>
            <w:r>
              <w:rPr>
                <w:lang w:val="fr-FR"/>
              </w:rPr>
              <w:t>22</w:t>
            </w:r>
          </w:p>
        </w:tc>
      </w:tr>
      <w:tr w:rsidR="00163310" w:rsidRPr="0083441A" w14:paraId="7BE14504" w14:textId="77777777" w:rsidTr="00986B7F">
        <w:tc>
          <w:tcPr>
            <w:tcW w:w="9369" w:type="dxa"/>
            <w:gridSpan w:val="3"/>
            <w:shd w:val="clear" w:color="auto" w:fill="auto"/>
          </w:tcPr>
          <w:p w14:paraId="59947982" w14:textId="19800365" w:rsidR="00163310" w:rsidRPr="00163310" w:rsidRDefault="00163310" w:rsidP="00163310">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hanging="216"/>
              <w:rPr>
                <w:b/>
                <w:spacing w:val="60"/>
                <w:sz w:val="17"/>
                <w:lang w:val="fr-FR"/>
              </w:rPr>
            </w:pPr>
            <w:r w:rsidRPr="004A0E90">
              <w:rPr>
                <w:b/>
                <w:szCs w:val="20"/>
                <w:lang w:val="fr-FR"/>
              </w:rPr>
              <w:tab/>
            </w:r>
            <w:r w:rsidRPr="00163310">
              <w:rPr>
                <w:b/>
                <w:szCs w:val="20"/>
                <w:lang w:val="fr-FR"/>
              </w:rPr>
              <w:t>Deuxième partie</w:t>
            </w:r>
            <w:r w:rsidRPr="00163310">
              <w:rPr>
                <w:b/>
                <w:szCs w:val="20"/>
                <w:lang w:val="fr-FR"/>
              </w:rPr>
              <w:br/>
              <w:t>Rapport du Comité pour l’élimination de la disc</w:t>
            </w:r>
            <w:r w:rsidR="003062D5">
              <w:rPr>
                <w:b/>
                <w:szCs w:val="20"/>
                <w:lang w:val="fr-FR"/>
              </w:rPr>
              <w:t>rimination à l’égard des femmes</w:t>
            </w:r>
            <w:r w:rsidR="003062D5">
              <w:rPr>
                <w:b/>
                <w:szCs w:val="20"/>
                <w:lang w:val="fr-FR"/>
              </w:rPr>
              <w:br/>
            </w:r>
            <w:r w:rsidRPr="00163310">
              <w:rPr>
                <w:b/>
                <w:szCs w:val="20"/>
                <w:lang w:val="fr-FR"/>
              </w:rPr>
              <w:t>sur les travaux de sa soixante-huitième session</w:t>
            </w:r>
            <w:r w:rsidRPr="00FC6583">
              <w:rPr>
                <w:bCs/>
                <w:spacing w:val="60"/>
                <w:sz w:val="17"/>
                <w:lang w:val="fr-FR"/>
              </w:rPr>
              <w:tab/>
            </w:r>
          </w:p>
        </w:tc>
        <w:tc>
          <w:tcPr>
            <w:tcW w:w="533" w:type="dxa"/>
            <w:shd w:val="clear" w:color="auto" w:fill="auto"/>
            <w:vAlign w:val="bottom"/>
          </w:tcPr>
          <w:p w14:paraId="2DBB1B09" w14:textId="00EBF04E" w:rsidR="00163310" w:rsidRDefault="00163310" w:rsidP="00986B7F">
            <w:pPr>
              <w:spacing w:after="120"/>
              <w:ind w:right="40"/>
              <w:jc w:val="right"/>
              <w:rPr>
                <w:lang w:val="fr-FR"/>
              </w:rPr>
            </w:pPr>
          </w:p>
          <w:p w14:paraId="30064712" w14:textId="14F8F51C" w:rsidR="00163310" w:rsidRPr="00163310" w:rsidRDefault="006B13D5" w:rsidP="00986B7F">
            <w:pPr>
              <w:spacing w:after="120"/>
              <w:ind w:right="40"/>
              <w:jc w:val="right"/>
              <w:rPr>
                <w:lang w:val="fr-FR"/>
              </w:rPr>
            </w:pPr>
            <w:r>
              <w:rPr>
                <w:lang w:val="fr-FR"/>
              </w:rPr>
              <w:t>23</w:t>
            </w:r>
          </w:p>
        </w:tc>
      </w:tr>
      <w:tr w:rsidR="00163310" w:rsidRPr="0083441A" w14:paraId="607F1B93" w14:textId="77777777" w:rsidTr="00986B7F">
        <w:tc>
          <w:tcPr>
            <w:tcW w:w="9369" w:type="dxa"/>
            <w:gridSpan w:val="3"/>
            <w:shd w:val="clear" w:color="auto" w:fill="auto"/>
          </w:tcPr>
          <w:p w14:paraId="339A19A1" w14:textId="04E56823" w:rsidR="00163310" w:rsidRPr="009E2760" w:rsidRDefault="009E2760" w:rsidP="009E2760">
            <w:pPr>
              <w:pStyle w:val="ListParagraph"/>
              <w:numPr>
                <w:ilvl w:val="0"/>
                <w:numId w:val="20"/>
              </w:numPr>
              <w:tabs>
                <w:tab w:val="left" w:pos="1296"/>
                <w:tab w:val="left" w:pos="1728"/>
                <w:tab w:val="left" w:pos="2160"/>
                <w:tab w:val="left" w:pos="2592"/>
                <w:tab w:val="left" w:pos="3024"/>
                <w:tab w:val="left" w:pos="3456"/>
                <w:tab w:val="left" w:pos="3888"/>
                <w:tab w:val="right" w:leader="dot" w:pos="9360"/>
              </w:tabs>
              <w:suppressAutoHyphens/>
              <w:spacing w:after="120"/>
              <w:rPr>
                <w:b/>
                <w:szCs w:val="20"/>
                <w:lang w:val="fr-FR"/>
              </w:rPr>
            </w:pPr>
            <w:r w:rsidRPr="009C4E47">
              <w:rPr>
                <w:lang w:val="fr-FR"/>
              </w:rPr>
              <w:t xml:space="preserve">Décisions adoptées par le Comité </w:t>
            </w:r>
            <w:r>
              <w:rPr>
                <w:spacing w:val="60"/>
                <w:sz w:val="17"/>
                <w:lang w:val="fr-FR"/>
              </w:rPr>
              <w:tab/>
            </w:r>
          </w:p>
        </w:tc>
        <w:tc>
          <w:tcPr>
            <w:tcW w:w="533" w:type="dxa"/>
            <w:shd w:val="clear" w:color="auto" w:fill="auto"/>
            <w:vAlign w:val="bottom"/>
          </w:tcPr>
          <w:p w14:paraId="39D5F75A" w14:textId="3F6ADEBC" w:rsidR="00163310" w:rsidRDefault="006B13D5" w:rsidP="00163310">
            <w:pPr>
              <w:spacing w:after="120"/>
              <w:ind w:right="40"/>
              <w:jc w:val="right"/>
              <w:rPr>
                <w:lang w:val="fr-FR"/>
              </w:rPr>
            </w:pPr>
            <w:r>
              <w:rPr>
                <w:lang w:val="fr-FR"/>
              </w:rPr>
              <w:t>24</w:t>
            </w:r>
          </w:p>
        </w:tc>
      </w:tr>
      <w:tr w:rsidR="009E2760" w:rsidRPr="0083441A" w14:paraId="4953CFA4" w14:textId="77777777" w:rsidTr="00986B7F">
        <w:tc>
          <w:tcPr>
            <w:tcW w:w="9369" w:type="dxa"/>
            <w:gridSpan w:val="3"/>
            <w:shd w:val="clear" w:color="auto" w:fill="auto"/>
          </w:tcPr>
          <w:p w14:paraId="2AE26E18" w14:textId="11A9F94F" w:rsidR="009E2760" w:rsidRPr="009C4E47" w:rsidRDefault="009E2760" w:rsidP="009E2760">
            <w:pPr>
              <w:pStyle w:val="ListParagraph"/>
              <w:numPr>
                <w:ilvl w:val="0"/>
                <w:numId w:val="20"/>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9C4E47">
              <w:rPr>
                <w:lang w:val="fr-FR"/>
              </w:rPr>
              <w:t>Questions d</w:t>
            </w:r>
            <w:r>
              <w:rPr>
                <w:lang w:val="fr-FR"/>
              </w:rPr>
              <w:t>’</w:t>
            </w:r>
            <w:r w:rsidRPr="009C4E47">
              <w:rPr>
                <w:lang w:val="fr-FR"/>
              </w:rPr>
              <w:t>organisation et questions diverses</w:t>
            </w:r>
            <w:r>
              <w:rPr>
                <w:spacing w:val="60"/>
                <w:sz w:val="17"/>
                <w:lang w:val="fr-FR"/>
              </w:rPr>
              <w:tab/>
            </w:r>
          </w:p>
        </w:tc>
        <w:tc>
          <w:tcPr>
            <w:tcW w:w="533" w:type="dxa"/>
            <w:shd w:val="clear" w:color="auto" w:fill="auto"/>
            <w:vAlign w:val="bottom"/>
          </w:tcPr>
          <w:p w14:paraId="4BA663E9" w14:textId="2AD58FC0" w:rsidR="009E2760" w:rsidRDefault="006B13D5" w:rsidP="00163310">
            <w:pPr>
              <w:spacing w:after="120"/>
              <w:ind w:right="40"/>
              <w:jc w:val="right"/>
              <w:rPr>
                <w:lang w:val="fr-FR"/>
              </w:rPr>
            </w:pPr>
            <w:r>
              <w:rPr>
                <w:lang w:val="fr-FR"/>
              </w:rPr>
              <w:t>26</w:t>
            </w:r>
          </w:p>
        </w:tc>
      </w:tr>
      <w:tr w:rsidR="009E2760" w:rsidRPr="0083441A" w14:paraId="3B486E52" w14:textId="77777777" w:rsidTr="00986B7F">
        <w:tc>
          <w:tcPr>
            <w:tcW w:w="9369" w:type="dxa"/>
            <w:gridSpan w:val="3"/>
            <w:shd w:val="clear" w:color="auto" w:fill="auto"/>
          </w:tcPr>
          <w:p w14:paraId="45F56FB0" w14:textId="4DDFD35C" w:rsidR="009E2760" w:rsidRPr="009C4E47" w:rsidRDefault="009E2760" w:rsidP="009E2760">
            <w:pPr>
              <w:pStyle w:val="ListParagraph"/>
              <w:numPr>
                <w:ilvl w:val="1"/>
                <w:numId w:val="20"/>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0C604D">
              <w:rPr>
                <w:lang w:val="fr-FR"/>
              </w:rPr>
              <w:t>États parties à la Convention et au Protocole facultatif</w:t>
            </w:r>
            <w:r>
              <w:rPr>
                <w:spacing w:val="60"/>
                <w:sz w:val="17"/>
                <w:lang w:val="fr-FR"/>
              </w:rPr>
              <w:tab/>
            </w:r>
          </w:p>
        </w:tc>
        <w:tc>
          <w:tcPr>
            <w:tcW w:w="533" w:type="dxa"/>
            <w:shd w:val="clear" w:color="auto" w:fill="auto"/>
            <w:vAlign w:val="bottom"/>
          </w:tcPr>
          <w:p w14:paraId="73CA8475" w14:textId="5637A3E7" w:rsidR="009E2760" w:rsidRDefault="006B13D5" w:rsidP="00163310">
            <w:pPr>
              <w:spacing w:after="120"/>
              <w:ind w:right="40"/>
              <w:jc w:val="right"/>
              <w:rPr>
                <w:lang w:val="fr-FR"/>
              </w:rPr>
            </w:pPr>
            <w:r>
              <w:rPr>
                <w:lang w:val="fr-FR"/>
              </w:rPr>
              <w:t>26</w:t>
            </w:r>
          </w:p>
        </w:tc>
      </w:tr>
      <w:tr w:rsidR="009E2760" w:rsidRPr="0083441A" w14:paraId="3F8C2710" w14:textId="77777777" w:rsidTr="00986B7F">
        <w:tc>
          <w:tcPr>
            <w:tcW w:w="9369" w:type="dxa"/>
            <w:gridSpan w:val="3"/>
            <w:shd w:val="clear" w:color="auto" w:fill="auto"/>
          </w:tcPr>
          <w:p w14:paraId="31E3DAEF" w14:textId="66C18A40" w:rsidR="009E2760" w:rsidRPr="000C604D" w:rsidRDefault="009E2760" w:rsidP="009E2760">
            <w:pPr>
              <w:pStyle w:val="ListParagraph"/>
              <w:numPr>
                <w:ilvl w:val="1"/>
                <w:numId w:val="20"/>
              </w:numPr>
              <w:tabs>
                <w:tab w:val="left" w:pos="1296"/>
                <w:tab w:val="left" w:pos="1728"/>
                <w:tab w:val="left" w:pos="2160"/>
                <w:tab w:val="left" w:pos="2592"/>
                <w:tab w:val="left" w:pos="3024"/>
                <w:tab w:val="left" w:pos="3456"/>
                <w:tab w:val="right" w:leader="dot" w:pos="9360"/>
              </w:tabs>
              <w:suppressAutoHyphens/>
              <w:spacing w:after="120"/>
              <w:rPr>
                <w:lang w:val="fr-FR"/>
              </w:rPr>
            </w:pPr>
            <w:r w:rsidRPr="000C604D">
              <w:rPr>
                <w:lang w:val="fr-FR"/>
              </w:rPr>
              <w:t xml:space="preserve">Ouverture de la session </w:t>
            </w:r>
            <w:r>
              <w:rPr>
                <w:spacing w:val="60"/>
                <w:sz w:val="17"/>
                <w:lang w:val="fr-FR"/>
              </w:rPr>
              <w:tab/>
            </w:r>
          </w:p>
        </w:tc>
        <w:tc>
          <w:tcPr>
            <w:tcW w:w="533" w:type="dxa"/>
            <w:shd w:val="clear" w:color="auto" w:fill="auto"/>
            <w:vAlign w:val="bottom"/>
          </w:tcPr>
          <w:p w14:paraId="0D52E0F1" w14:textId="2844664F" w:rsidR="009E2760" w:rsidRDefault="006B13D5" w:rsidP="00163310">
            <w:pPr>
              <w:spacing w:after="120"/>
              <w:ind w:right="40"/>
              <w:jc w:val="right"/>
              <w:rPr>
                <w:lang w:val="fr-FR"/>
              </w:rPr>
            </w:pPr>
            <w:r>
              <w:rPr>
                <w:lang w:val="fr-FR"/>
              </w:rPr>
              <w:t>26</w:t>
            </w:r>
          </w:p>
        </w:tc>
      </w:tr>
      <w:tr w:rsidR="009E2760" w:rsidRPr="0083441A" w14:paraId="18A9266D" w14:textId="77777777" w:rsidTr="00986B7F">
        <w:tc>
          <w:tcPr>
            <w:tcW w:w="9369" w:type="dxa"/>
            <w:gridSpan w:val="3"/>
            <w:shd w:val="clear" w:color="auto" w:fill="auto"/>
          </w:tcPr>
          <w:p w14:paraId="2D7991E4" w14:textId="38578DD0" w:rsidR="009E2760" w:rsidRPr="000C604D" w:rsidRDefault="009E2760" w:rsidP="009E2760">
            <w:pPr>
              <w:pStyle w:val="ListParagraph"/>
              <w:numPr>
                <w:ilvl w:val="1"/>
                <w:numId w:val="20"/>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0C604D">
              <w:rPr>
                <w:lang w:val="fr-FR"/>
              </w:rPr>
              <w:t>Adoption de l</w:t>
            </w:r>
            <w:r>
              <w:rPr>
                <w:lang w:val="fr-FR"/>
              </w:rPr>
              <w:t>’</w:t>
            </w:r>
            <w:r w:rsidRPr="000C604D">
              <w:rPr>
                <w:lang w:val="fr-FR"/>
              </w:rPr>
              <w:t>ordre du jour</w:t>
            </w:r>
            <w:r>
              <w:rPr>
                <w:spacing w:val="60"/>
                <w:sz w:val="17"/>
                <w:lang w:val="fr-FR"/>
              </w:rPr>
              <w:tab/>
            </w:r>
          </w:p>
        </w:tc>
        <w:tc>
          <w:tcPr>
            <w:tcW w:w="533" w:type="dxa"/>
            <w:shd w:val="clear" w:color="auto" w:fill="auto"/>
            <w:vAlign w:val="bottom"/>
          </w:tcPr>
          <w:p w14:paraId="2BDEAD3F" w14:textId="339AC82F" w:rsidR="009E2760" w:rsidRDefault="006B13D5" w:rsidP="00163310">
            <w:pPr>
              <w:spacing w:after="120"/>
              <w:ind w:right="40"/>
              <w:jc w:val="right"/>
              <w:rPr>
                <w:lang w:val="fr-FR"/>
              </w:rPr>
            </w:pPr>
            <w:r>
              <w:rPr>
                <w:lang w:val="fr-FR"/>
              </w:rPr>
              <w:t>26</w:t>
            </w:r>
          </w:p>
        </w:tc>
      </w:tr>
      <w:tr w:rsidR="009E2760" w:rsidRPr="0083441A" w14:paraId="15A6CC22" w14:textId="77777777" w:rsidTr="00986B7F">
        <w:tc>
          <w:tcPr>
            <w:tcW w:w="9369" w:type="dxa"/>
            <w:gridSpan w:val="3"/>
            <w:shd w:val="clear" w:color="auto" w:fill="auto"/>
          </w:tcPr>
          <w:p w14:paraId="5BE4C509" w14:textId="17C4AFC0" w:rsidR="009E2760" w:rsidRPr="000C604D" w:rsidRDefault="009E2760" w:rsidP="009E2760">
            <w:pPr>
              <w:pStyle w:val="ListParagraph"/>
              <w:numPr>
                <w:ilvl w:val="1"/>
                <w:numId w:val="20"/>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0C604D">
              <w:rPr>
                <w:lang w:val="fr-FR"/>
              </w:rPr>
              <w:lastRenderedPageBreak/>
              <w:t>Rapport du groupe de travail d</w:t>
            </w:r>
            <w:r>
              <w:rPr>
                <w:lang w:val="fr-FR"/>
              </w:rPr>
              <w:t>’</w:t>
            </w:r>
            <w:r w:rsidRPr="000C604D">
              <w:rPr>
                <w:lang w:val="fr-FR"/>
              </w:rPr>
              <w:t>avant-session</w:t>
            </w:r>
            <w:r>
              <w:rPr>
                <w:spacing w:val="60"/>
                <w:sz w:val="17"/>
                <w:lang w:val="fr-FR"/>
              </w:rPr>
              <w:tab/>
            </w:r>
          </w:p>
        </w:tc>
        <w:tc>
          <w:tcPr>
            <w:tcW w:w="533" w:type="dxa"/>
            <w:shd w:val="clear" w:color="auto" w:fill="auto"/>
            <w:vAlign w:val="bottom"/>
          </w:tcPr>
          <w:p w14:paraId="7267DD6E" w14:textId="456B09B9" w:rsidR="009E2760" w:rsidRDefault="006B13D5" w:rsidP="00163310">
            <w:pPr>
              <w:spacing w:after="120"/>
              <w:ind w:right="40"/>
              <w:jc w:val="right"/>
              <w:rPr>
                <w:lang w:val="fr-FR"/>
              </w:rPr>
            </w:pPr>
            <w:r>
              <w:rPr>
                <w:lang w:val="fr-FR"/>
              </w:rPr>
              <w:t>26</w:t>
            </w:r>
          </w:p>
        </w:tc>
      </w:tr>
      <w:tr w:rsidR="009E2760" w:rsidRPr="0083441A" w14:paraId="7F966742" w14:textId="77777777" w:rsidTr="00986B7F">
        <w:tc>
          <w:tcPr>
            <w:tcW w:w="9369" w:type="dxa"/>
            <w:gridSpan w:val="3"/>
            <w:shd w:val="clear" w:color="auto" w:fill="auto"/>
          </w:tcPr>
          <w:p w14:paraId="46730283" w14:textId="4B12DCE7" w:rsidR="009E2760" w:rsidRPr="000C604D" w:rsidRDefault="009E2760" w:rsidP="009E2760">
            <w:pPr>
              <w:pStyle w:val="ListParagraph"/>
              <w:numPr>
                <w:ilvl w:val="1"/>
                <w:numId w:val="20"/>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0C604D">
              <w:rPr>
                <w:lang w:val="fr-FR"/>
              </w:rPr>
              <w:t xml:space="preserve">Organisation des travaux </w:t>
            </w:r>
            <w:r>
              <w:rPr>
                <w:spacing w:val="60"/>
                <w:sz w:val="17"/>
                <w:lang w:val="fr-FR"/>
              </w:rPr>
              <w:tab/>
            </w:r>
          </w:p>
        </w:tc>
        <w:tc>
          <w:tcPr>
            <w:tcW w:w="533" w:type="dxa"/>
            <w:shd w:val="clear" w:color="auto" w:fill="auto"/>
            <w:vAlign w:val="bottom"/>
          </w:tcPr>
          <w:p w14:paraId="453439B3" w14:textId="61E97357" w:rsidR="009E2760" w:rsidRDefault="006B13D5" w:rsidP="00163310">
            <w:pPr>
              <w:spacing w:after="120"/>
              <w:ind w:right="40"/>
              <w:jc w:val="right"/>
              <w:rPr>
                <w:lang w:val="fr-FR"/>
              </w:rPr>
            </w:pPr>
            <w:r>
              <w:rPr>
                <w:lang w:val="fr-FR"/>
              </w:rPr>
              <w:t>26</w:t>
            </w:r>
          </w:p>
        </w:tc>
      </w:tr>
      <w:tr w:rsidR="009E2760" w:rsidRPr="0083441A" w14:paraId="4C9D2289" w14:textId="77777777" w:rsidTr="00986B7F">
        <w:tc>
          <w:tcPr>
            <w:tcW w:w="9369" w:type="dxa"/>
            <w:gridSpan w:val="3"/>
            <w:shd w:val="clear" w:color="auto" w:fill="auto"/>
          </w:tcPr>
          <w:p w14:paraId="594550C8" w14:textId="65917AB8" w:rsidR="009E2760" w:rsidRPr="000C604D" w:rsidRDefault="009E2760" w:rsidP="009E2760">
            <w:pPr>
              <w:pStyle w:val="ListParagraph"/>
              <w:numPr>
                <w:ilvl w:val="1"/>
                <w:numId w:val="20"/>
              </w:numPr>
              <w:tabs>
                <w:tab w:val="left" w:pos="1296"/>
                <w:tab w:val="left" w:pos="1728"/>
                <w:tab w:val="left" w:pos="2160"/>
                <w:tab w:val="left" w:pos="2592"/>
                <w:tab w:val="left" w:pos="3024"/>
                <w:tab w:val="left" w:pos="3456"/>
                <w:tab w:val="right" w:leader="dot" w:pos="9360"/>
              </w:tabs>
              <w:suppressAutoHyphens/>
              <w:spacing w:after="120"/>
              <w:rPr>
                <w:lang w:val="fr-FR"/>
              </w:rPr>
            </w:pPr>
            <w:r w:rsidRPr="000C604D">
              <w:rPr>
                <w:lang w:val="fr-FR"/>
              </w:rPr>
              <w:t>Composition du Comité</w:t>
            </w:r>
            <w:r>
              <w:rPr>
                <w:spacing w:val="60"/>
                <w:sz w:val="17"/>
                <w:lang w:val="fr-FR"/>
              </w:rPr>
              <w:tab/>
            </w:r>
          </w:p>
        </w:tc>
        <w:tc>
          <w:tcPr>
            <w:tcW w:w="533" w:type="dxa"/>
            <w:shd w:val="clear" w:color="auto" w:fill="auto"/>
            <w:vAlign w:val="bottom"/>
          </w:tcPr>
          <w:p w14:paraId="5338FF0B" w14:textId="13ACA077" w:rsidR="009E2760" w:rsidRDefault="006B13D5" w:rsidP="00163310">
            <w:pPr>
              <w:spacing w:after="120"/>
              <w:ind w:right="40"/>
              <w:jc w:val="right"/>
              <w:rPr>
                <w:lang w:val="fr-FR"/>
              </w:rPr>
            </w:pPr>
            <w:r>
              <w:rPr>
                <w:lang w:val="fr-FR"/>
              </w:rPr>
              <w:t>27</w:t>
            </w:r>
          </w:p>
        </w:tc>
      </w:tr>
      <w:tr w:rsidR="009E2760" w:rsidRPr="0083441A" w14:paraId="738AF491" w14:textId="77777777" w:rsidTr="00986B7F">
        <w:tc>
          <w:tcPr>
            <w:tcW w:w="9369" w:type="dxa"/>
            <w:gridSpan w:val="3"/>
            <w:shd w:val="clear" w:color="auto" w:fill="auto"/>
          </w:tcPr>
          <w:p w14:paraId="48AA95DC" w14:textId="3D793D27" w:rsidR="009E2760" w:rsidRPr="000C604D" w:rsidRDefault="009E2760" w:rsidP="009E2760">
            <w:pPr>
              <w:pStyle w:val="ListParagraph"/>
              <w:numPr>
                <w:ilvl w:val="0"/>
                <w:numId w:val="20"/>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9C4E47">
              <w:rPr>
                <w:lang w:val="fr-FR"/>
              </w:rPr>
              <w:t>Rapport de la Présidente sur les activités intersessions</w:t>
            </w:r>
            <w:r>
              <w:rPr>
                <w:spacing w:val="60"/>
                <w:sz w:val="17"/>
                <w:lang w:val="fr-FR"/>
              </w:rPr>
              <w:tab/>
            </w:r>
          </w:p>
        </w:tc>
        <w:tc>
          <w:tcPr>
            <w:tcW w:w="533" w:type="dxa"/>
            <w:shd w:val="clear" w:color="auto" w:fill="auto"/>
            <w:vAlign w:val="bottom"/>
          </w:tcPr>
          <w:p w14:paraId="53440544" w14:textId="0F100CDC" w:rsidR="009E2760" w:rsidRDefault="006B13D5" w:rsidP="00163310">
            <w:pPr>
              <w:spacing w:after="120"/>
              <w:ind w:right="40"/>
              <w:jc w:val="right"/>
              <w:rPr>
                <w:lang w:val="fr-FR"/>
              </w:rPr>
            </w:pPr>
            <w:r>
              <w:rPr>
                <w:lang w:val="fr-FR"/>
              </w:rPr>
              <w:t>28</w:t>
            </w:r>
          </w:p>
        </w:tc>
      </w:tr>
      <w:tr w:rsidR="009E2760" w:rsidRPr="0083441A" w14:paraId="7A45173A" w14:textId="77777777" w:rsidTr="00986B7F">
        <w:tc>
          <w:tcPr>
            <w:tcW w:w="9369" w:type="dxa"/>
            <w:gridSpan w:val="3"/>
            <w:shd w:val="clear" w:color="auto" w:fill="auto"/>
          </w:tcPr>
          <w:p w14:paraId="60C2A85E" w14:textId="77363F7F" w:rsidR="009E2760" w:rsidRPr="009C4E47" w:rsidRDefault="009E2760" w:rsidP="009E2760">
            <w:pPr>
              <w:pStyle w:val="ListParagraph"/>
              <w:numPr>
                <w:ilvl w:val="0"/>
                <w:numId w:val="20"/>
              </w:numPr>
              <w:tabs>
                <w:tab w:val="left" w:pos="1296"/>
                <w:tab w:val="left" w:pos="1728"/>
                <w:tab w:val="left" w:pos="2160"/>
                <w:tab w:val="right" w:leader="dot" w:pos="9360"/>
              </w:tabs>
              <w:suppressAutoHyphens/>
              <w:spacing w:after="120"/>
              <w:rPr>
                <w:lang w:val="fr-FR"/>
              </w:rPr>
            </w:pPr>
            <w:r w:rsidRPr="005705C6">
              <w:rPr>
                <w:lang w:val="fr-FR"/>
              </w:rPr>
              <w:t>Examen des rapports soumis par les États parties en application de l</w:t>
            </w:r>
            <w:r>
              <w:rPr>
                <w:lang w:val="fr-FR"/>
              </w:rPr>
              <w:t>’</w:t>
            </w:r>
            <w:r w:rsidR="003062D5">
              <w:rPr>
                <w:lang w:val="fr-FR"/>
              </w:rPr>
              <w:t>article 18</w:t>
            </w:r>
            <w:r w:rsidR="003062D5">
              <w:rPr>
                <w:lang w:val="fr-FR"/>
              </w:rPr>
              <w:br/>
            </w:r>
            <w:r w:rsidRPr="005705C6">
              <w:rPr>
                <w:lang w:val="fr-FR"/>
              </w:rPr>
              <w:t>de la Convention</w:t>
            </w:r>
            <w:r>
              <w:rPr>
                <w:spacing w:val="60"/>
                <w:sz w:val="17"/>
                <w:lang w:val="fr-FR"/>
              </w:rPr>
              <w:tab/>
            </w:r>
          </w:p>
        </w:tc>
        <w:tc>
          <w:tcPr>
            <w:tcW w:w="533" w:type="dxa"/>
            <w:shd w:val="clear" w:color="auto" w:fill="auto"/>
            <w:vAlign w:val="bottom"/>
          </w:tcPr>
          <w:p w14:paraId="26C1F79D" w14:textId="43D52264" w:rsidR="009E2760" w:rsidRDefault="006B13D5" w:rsidP="00163310">
            <w:pPr>
              <w:spacing w:after="120"/>
              <w:ind w:right="40"/>
              <w:jc w:val="right"/>
              <w:rPr>
                <w:lang w:val="fr-FR"/>
              </w:rPr>
            </w:pPr>
            <w:r>
              <w:rPr>
                <w:lang w:val="fr-FR"/>
              </w:rPr>
              <w:t>29</w:t>
            </w:r>
          </w:p>
        </w:tc>
      </w:tr>
      <w:tr w:rsidR="009E2760" w:rsidRPr="0083441A" w14:paraId="4D04C4B2" w14:textId="77777777" w:rsidTr="00986B7F">
        <w:tc>
          <w:tcPr>
            <w:tcW w:w="9369" w:type="dxa"/>
            <w:gridSpan w:val="3"/>
            <w:shd w:val="clear" w:color="auto" w:fill="auto"/>
          </w:tcPr>
          <w:p w14:paraId="655A5591" w14:textId="7E35D016" w:rsidR="009E2760" w:rsidRPr="005705C6" w:rsidRDefault="009E2760" w:rsidP="009E2760">
            <w:pPr>
              <w:pStyle w:val="ListParagraph"/>
              <w:numPr>
                <w:ilvl w:val="0"/>
                <w:numId w:val="20"/>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9C4E47">
              <w:rPr>
                <w:lang w:val="fr-FR"/>
              </w:rPr>
              <w:t>Activités menées au titre du Protocole facultatif</w:t>
            </w:r>
            <w:r>
              <w:rPr>
                <w:spacing w:val="60"/>
                <w:sz w:val="17"/>
                <w:lang w:val="fr-FR"/>
              </w:rPr>
              <w:tab/>
            </w:r>
          </w:p>
        </w:tc>
        <w:tc>
          <w:tcPr>
            <w:tcW w:w="533" w:type="dxa"/>
            <w:shd w:val="clear" w:color="auto" w:fill="auto"/>
            <w:vAlign w:val="bottom"/>
          </w:tcPr>
          <w:p w14:paraId="559194C2" w14:textId="1AED4670" w:rsidR="009E2760" w:rsidRDefault="006B13D5" w:rsidP="00163310">
            <w:pPr>
              <w:spacing w:after="120"/>
              <w:ind w:right="40"/>
              <w:jc w:val="right"/>
              <w:rPr>
                <w:lang w:val="fr-FR"/>
              </w:rPr>
            </w:pPr>
            <w:r>
              <w:rPr>
                <w:lang w:val="fr-FR"/>
              </w:rPr>
              <w:t>30</w:t>
            </w:r>
          </w:p>
        </w:tc>
      </w:tr>
      <w:tr w:rsidR="009E2760" w:rsidRPr="0083441A" w14:paraId="2B2E74F2" w14:textId="77777777" w:rsidTr="00986B7F">
        <w:tc>
          <w:tcPr>
            <w:tcW w:w="9369" w:type="dxa"/>
            <w:gridSpan w:val="3"/>
            <w:shd w:val="clear" w:color="auto" w:fill="auto"/>
          </w:tcPr>
          <w:p w14:paraId="558A5C96" w14:textId="4A0D6CE8" w:rsidR="009E2760" w:rsidRPr="009C4E47" w:rsidRDefault="009E2760" w:rsidP="009E2760">
            <w:pPr>
              <w:pStyle w:val="ListParagraph"/>
              <w:numPr>
                <w:ilvl w:val="0"/>
                <w:numId w:val="20"/>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9C4E47">
              <w:rPr>
                <w:lang w:val="fr-FR"/>
              </w:rPr>
              <w:t>Moyens d</w:t>
            </w:r>
            <w:r>
              <w:rPr>
                <w:lang w:val="fr-FR"/>
              </w:rPr>
              <w:t>’</w:t>
            </w:r>
            <w:r w:rsidRPr="009C4E47">
              <w:rPr>
                <w:lang w:val="fr-FR"/>
              </w:rPr>
              <w:t>accélérer les travaux du Comité</w:t>
            </w:r>
            <w:r>
              <w:rPr>
                <w:spacing w:val="60"/>
                <w:sz w:val="17"/>
                <w:lang w:val="fr-FR"/>
              </w:rPr>
              <w:tab/>
            </w:r>
          </w:p>
        </w:tc>
        <w:tc>
          <w:tcPr>
            <w:tcW w:w="533" w:type="dxa"/>
            <w:shd w:val="clear" w:color="auto" w:fill="auto"/>
            <w:vAlign w:val="bottom"/>
          </w:tcPr>
          <w:p w14:paraId="380ECF2B" w14:textId="495A0C52" w:rsidR="009E2760" w:rsidRDefault="006B13D5" w:rsidP="00163310">
            <w:pPr>
              <w:spacing w:after="120"/>
              <w:ind w:right="40"/>
              <w:jc w:val="right"/>
              <w:rPr>
                <w:lang w:val="fr-FR"/>
              </w:rPr>
            </w:pPr>
            <w:r>
              <w:rPr>
                <w:lang w:val="fr-FR"/>
              </w:rPr>
              <w:t>32</w:t>
            </w:r>
          </w:p>
        </w:tc>
      </w:tr>
      <w:tr w:rsidR="009E2760" w:rsidRPr="0083441A" w14:paraId="075EA85F" w14:textId="77777777" w:rsidTr="00986B7F">
        <w:tc>
          <w:tcPr>
            <w:tcW w:w="9369" w:type="dxa"/>
            <w:gridSpan w:val="3"/>
            <w:shd w:val="clear" w:color="auto" w:fill="auto"/>
          </w:tcPr>
          <w:p w14:paraId="3C5C97BF" w14:textId="3BFB4F16" w:rsidR="009E2760" w:rsidRPr="009C4E47" w:rsidRDefault="00AC0D23" w:rsidP="00AC0D23">
            <w:pPr>
              <w:pStyle w:val="ListParagraph"/>
              <w:numPr>
                <w:ilvl w:val="0"/>
                <w:numId w:val="20"/>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9C4E47">
              <w:rPr>
                <w:lang w:val="fr-FR"/>
              </w:rPr>
              <w:t>Application de l</w:t>
            </w:r>
            <w:r>
              <w:rPr>
                <w:lang w:val="fr-FR"/>
              </w:rPr>
              <w:t>’</w:t>
            </w:r>
            <w:r w:rsidRPr="009C4E47">
              <w:rPr>
                <w:lang w:val="fr-FR"/>
              </w:rPr>
              <w:t>article 21 de la Convention</w:t>
            </w:r>
            <w:r>
              <w:rPr>
                <w:spacing w:val="60"/>
                <w:sz w:val="17"/>
                <w:lang w:val="fr-FR"/>
              </w:rPr>
              <w:tab/>
            </w:r>
          </w:p>
        </w:tc>
        <w:tc>
          <w:tcPr>
            <w:tcW w:w="533" w:type="dxa"/>
            <w:shd w:val="clear" w:color="auto" w:fill="auto"/>
            <w:vAlign w:val="bottom"/>
          </w:tcPr>
          <w:p w14:paraId="473640BF" w14:textId="13FAAF5F" w:rsidR="009E2760" w:rsidRDefault="006B13D5" w:rsidP="00163310">
            <w:pPr>
              <w:spacing w:after="120"/>
              <w:ind w:right="40"/>
              <w:jc w:val="right"/>
              <w:rPr>
                <w:lang w:val="fr-FR"/>
              </w:rPr>
            </w:pPr>
            <w:r>
              <w:rPr>
                <w:lang w:val="fr-FR"/>
              </w:rPr>
              <w:t>33</w:t>
            </w:r>
          </w:p>
        </w:tc>
      </w:tr>
      <w:tr w:rsidR="00AC0D23" w:rsidRPr="0083441A" w14:paraId="682F3B79" w14:textId="77777777" w:rsidTr="00986B7F">
        <w:tc>
          <w:tcPr>
            <w:tcW w:w="9369" w:type="dxa"/>
            <w:gridSpan w:val="3"/>
            <w:shd w:val="clear" w:color="auto" w:fill="auto"/>
          </w:tcPr>
          <w:p w14:paraId="114C6CF5" w14:textId="595B85D9" w:rsidR="00AC0D23" w:rsidRPr="009C4E47" w:rsidRDefault="00AC0D23" w:rsidP="00AC0D23">
            <w:pPr>
              <w:pStyle w:val="ListParagraph"/>
              <w:numPr>
                <w:ilvl w:val="0"/>
                <w:numId w:val="20"/>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9C4E47">
              <w:rPr>
                <w:lang w:val="fr-FR"/>
              </w:rPr>
              <w:t>Ordre du jour provisoire de la soixante-neuvième session</w:t>
            </w:r>
            <w:r>
              <w:rPr>
                <w:spacing w:val="60"/>
                <w:sz w:val="17"/>
                <w:lang w:val="fr-FR"/>
              </w:rPr>
              <w:tab/>
            </w:r>
          </w:p>
        </w:tc>
        <w:tc>
          <w:tcPr>
            <w:tcW w:w="533" w:type="dxa"/>
            <w:shd w:val="clear" w:color="auto" w:fill="auto"/>
            <w:vAlign w:val="bottom"/>
          </w:tcPr>
          <w:p w14:paraId="3BFCB16B" w14:textId="68556701" w:rsidR="00AC0D23" w:rsidRDefault="006B13D5" w:rsidP="00163310">
            <w:pPr>
              <w:spacing w:after="120"/>
              <w:ind w:right="40"/>
              <w:jc w:val="right"/>
              <w:rPr>
                <w:lang w:val="fr-FR"/>
              </w:rPr>
            </w:pPr>
            <w:r>
              <w:rPr>
                <w:lang w:val="fr-FR"/>
              </w:rPr>
              <w:t>36</w:t>
            </w:r>
          </w:p>
        </w:tc>
      </w:tr>
      <w:tr w:rsidR="00AC0D23" w:rsidRPr="0083441A" w14:paraId="3A80A290" w14:textId="77777777" w:rsidTr="00986B7F">
        <w:tc>
          <w:tcPr>
            <w:tcW w:w="9369" w:type="dxa"/>
            <w:gridSpan w:val="3"/>
            <w:shd w:val="clear" w:color="auto" w:fill="auto"/>
          </w:tcPr>
          <w:p w14:paraId="07342E12" w14:textId="0CA6B0B5" w:rsidR="00AC0D23" w:rsidRPr="009C4E47" w:rsidRDefault="00AC0D23" w:rsidP="00AC0D23">
            <w:pPr>
              <w:pStyle w:val="ListParagraph"/>
              <w:numPr>
                <w:ilvl w:val="0"/>
                <w:numId w:val="20"/>
              </w:numPr>
              <w:tabs>
                <w:tab w:val="left" w:pos="1296"/>
                <w:tab w:val="left" w:pos="1728"/>
                <w:tab w:val="left" w:pos="2160"/>
                <w:tab w:val="left" w:pos="2592"/>
                <w:tab w:val="left" w:pos="3024"/>
                <w:tab w:val="right" w:leader="dot" w:pos="9360"/>
              </w:tabs>
              <w:suppressAutoHyphens/>
              <w:spacing w:after="120"/>
              <w:rPr>
                <w:lang w:val="fr-FR"/>
              </w:rPr>
            </w:pPr>
            <w:r w:rsidRPr="008B45F1">
              <w:t>Adoption du rapport</w:t>
            </w:r>
            <w:r>
              <w:rPr>
                <w:spacing w:val="60"/>
                <w:sz w:val="17"/>
              </w:rPr>
              <w:tab/>
            </w:r>
          </w:p>
        </w:tc>
        <w:tc>
          <w:tcPr>
            <w:tcW w:w="533" w:type="dxa"/>
            <w:shd w:val="clear" w:color="auto" w:fill="auto"/>
            <w:vAlign w:val="bottom"/>
          </w:tcPr>
          <w:p w14:paraId="77D827ED" w14:textId="41A7A45E" w:rsidR="00AC0D23" w:rsidRDefault="006B13D5" w:rsidP="00163310">
            <w:pPr>
              <w:spacing w:after="120"/>
              <w:ind w:right="40"/>
              <w:jc w:val="right"/>
              <w:rPr>
                <w:lang w:val="fr-FR"/>
              </w:rPr>
            </w:pPr>
            <w:r>
              <w:rPr>
                <w:lang w:val="fr-FR"/>
              </w:rPr>
              <w:t>37</w:t>
            </w:r>
          </w:p>
        </w:tc>
      </w:tr>
      <w:tr w:rsidR="00AC0D23" w:rsidRPr="0083441A" w14:paraId="78CC83C0" w14:textId="77777777" w:rsidTr="00986B7F">
        <w:tc>
          <w:tcPr>
            <w:tcW w:w="9369" w:type="dxa"/>
            <w:gridSpan w:val="3"/>
            <w:shd w:val="clear" w:color="auto" w:fill="auto"/>
          </w:tcPr>
          <w:p w14:paraId="67B366B9" w14:textId="3083619A" w:rsidR="00AC0D23" w:rsidRPr="008B45F1" w:rsidRDefault="00AC0D23" w:rsidP="00AC0D23">
            <w:pPr>
              <w:tabs>
                <w:tab w:val="right" w:pos="1080"/>
                <w:tab w:val="left" w:pos="1296"/>
                <w:tab w:val="right" w:pos="1714"/>
                <w:tab w:val="left" w:pos="2160"/>
                <w:tab w:val="left" w:pos="2592"/>
                <w:tab w:val="left" w:pos="3024"/>
                <w:tab w:val="left" w:pos="3456"/>
              </w:tabs>
              <w:suppressAutoHyphens/>
              <w:spacing w:after="120"/>
              <w:ind w:left="1080" w:hanging="648"/>
            </w:pPr>
            <w:r>
              <w:t>Annexe</w:t>
            </w:r>
          </w:p>
        </w:tc>
        <w:tc>
          <w:tcPr>
            <w:tcW w:w="533" w:type="dxa"/>
            <w:shd w:val="clear" w:color="auto" w:fill="auto"/>
            <w:vAlign w:val="bottom"/>
          </w:tcPr>
          <w:p w14:paraId="6878AE88" w14:textId="77777777" w:rsidR="00AC0D23" w:rsidRDefault="00AC0D23" w:rsidP="00163310">
            <w:pPr>
              <w:spacing w:after="120"/>
              <w:ind w:right="40"/>
              <w:jc w:val="right"/>
              <w:rPr>
                <w:lang w:val="fr-FR"/>
              </w:rPr>
            </w:pPr>
          </w:p>
        </w:tc>
      </w:tr>
      <w:tr w:rsidR="00AC0D23" w:rsidRPr="0083441A" w14:paraId="3FF9F9D0" w14:textId="77777777" w:rsidTr="00986B7F">
        <w:tc>
          <w:tcPr>
            <w:tcW w:w="9369" w:type="dxa"/>
            <w:gridSpan w:val="3"/>
            <w:shd w:val="clear" w:color="auto" w:fill="auto"/>
          </w:tcPr>
          <w:p w14:paraId="5AEEAC9B" w14:textId="4A44AF90" w:rsidR="00AC0D23" w:rsidRDefault="00AC0D23" w:rsidP="00AC0D23">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pPr>
            <w:r w:rsidRPr="009C4E47">
              <w:rPr>
                <w:lang w:val="fr-FR"/>
              </w:rPr>
              <w:t>Liste des documents dont le Comité était saisi à sa soixante-huitième session</w:t>
            </w:r>
            <w:r w:rsidR="006B13D5">
              <w:rPr>
                <w:spacing w:val="60"/>
                <w:sz w:val="17"/>
              </w:rPr>
              <w:tab/>
            </w:r>
          </w:p>
        </w:tc>
        <w:tc>
          <w:tcPr>
            <w:tcW w:w="533" w:type="dxa"/>
            <w:shd w:val="clear" w:color="auto" w:fill="auto"/>
            <w:vAlign w:val="bottom"/>
          </w:tcPr>
          <w:p w14:paraId="11608C7B" w14:textId="4C2DF3BF" w:rsidR="00AC0D23" w:rsidRDefault="006B13D5" w:rsidP="00163310">
            <w:pPr>
              <w:spacing w:after="120"/>
              <w:ind w:right="40"/>
              <w:jc w:val="right"/>
              <w:rPr>
                <w:lang w:val="fr-FR"/>
              </w:rPr>
            </w:pPr>
            <w:r>
              <w:rPr>
                <w:lang w:val="fr-FR"/>
              </w:rPr>
              <w:t>38</w:t>
            </w:r>
          </w:p>
        </w:tc>
      </w:tr>
      <w:tr w:rsidR="00AC0D23" w:rsidRPr="0083441A" w14:paraId="3EB84482" w14:textId="77777777" w:rsidTr="00986B7F">
        <w:tc>
          <w:tcPr>
            <w:tcW w:w="9369" w:type="dxa"/>
            <w:gridSpan w:val="3"/>
            <w:shd w:val="clear" w:color="auto" w:fill="auto"/>
          </w:tcPr>
          <w:p w14:paraId="32A6B2D4" w14:textId="0FE871D5" w:rsidR="00AC0D23" w:rsidRPr="00AC0D23" w:rsidRDefault="00AC0D23" w:rsidP="00AC0D23">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hanging="216"/>
              <w:rPr>
                <w:spacing w:val="60"/>
                <w:sz w:val="17"/>
                <w:lang w:val="fr-FR"/>
              </w:rPr>
            </w:pPr>
            <w:r w:rsidRPr="004A0E90">
              <w:rPr>
                <w:b/>
                <w:szCs w:val="20"/>
                <w:lang w:val="fr-FR"/>
              </w:rPr>
              <w:tab/>
            </w:r>
            <w:r w:rsidRPr="00AC0D23">
              <w:rPr>
                <w:b/>
                <w:szCs w:val="20"/>
                <w:lang w:val="fr-FR"/>
              </w:rPr>
              <w:t>Troisième partie</w:t>
            </w:r>
            <w:r>
              <w:rPr>
                <w:b/>
                <w:szCs w:val="20"/>
                <w:lang w:val="fr-FR"/>
              </w:rPr>
              <w:br/>
            </w:r>
            <w:r w:rsidRPr="00AC0D23">
              <w:rPr>
                <w:b/>
                <w:szCs w:val="20"/>
                <w:lang w:val="fr-FR"/>
              </w:rPr>
              <w:t>Rapport du Comité pour l’élimination de la disc</w:t>
            </w:r>
            <w:r w:rsidR="003062D5">
              <w:rPr>
                <w:b/>
                <w:szCs w:val="20"/>
                <w:lang w:val="fr-FR"/>
              </w:rPr>
              <w:t>rimination à l’égard des femmes</w:t>
            </w:r>
            <w:r w:rsidR="003062D5">
              <w:rPr>
                <w:b/>
                <w:szCs w:val="20"/>
                <w:lang w:val="fr-FR"/>
              </w:rPr>
              <w:br/>
            </w:r>
            <w:r w:rsidRPr="00AC0D23">
              <w:rPr>
                <w:b/>
                <w:szCs w:val="20"/>
                <w:lang w:val="fr-FR"/>
              </w:rPr>
              <w:t>sur les travaux de sa soixante-neuvième session</w:t>
            </w:r>
            <w:r w:rsidRPr="00FC6583">
              <w:rPr>
                <w:bCs/>
                <w:spacing w:val="60"/>
                <w:sz w:val="17"/>
                <w:szCs w:val="20"/>
                <w:lang w:val="fr-FR"/>
              </w:rPr>
              <w:tab/>
            </w:r>
          </w:p>
        </w:tc>
        <w:tc>
          <w:tcPr>
            <w:tcW w:w="533" w:type="dxa"/>
            <w:shd w:val="clear" w:color="auto" w:fill="auto"/>
            <w:vAlign w:val="bottom"/>
          </w:tcPr>
          <w:p w14:paraId="40274CC0" w14:textId="582A7C0E" w:rsidR="00AC0D23" w:rsidRDefault="006B13D5" w:rsidP="00163310">
            <w:pPr>
              <w:spacing w:after="120"/>
              <w:ind w:right="40"/>
              <w:jc w:val="right"/>
              <w:rPr>
                <w:lang w:val="fr-FR"/>
              </w:rPr>
            </w:pPr>
            <w:r>
              <w:rPr>
                <w:lang w:val="fr-FR"/>
              </w:rPr>
              <w:t>39</w:t>
            </w:r>
          </w:p>
        </w:tc>
      </w:tr>
      <w:tr w:rsidR="00AC0D23" w:rsidRPr="0083441A" w14:paraId="12567DB6" w14:textId="77777777" w:rsidTr="00986B7F">
        <w:tc>
          <w:tcPr>
            <w:tcW w:w="9369" w:type="dxa"/>
            <w:gridSpan w:val="3"/>
            <w:shd w:val="clear" w:color="auto" w:fill="auto"/>
          </w:tcPr>
          <w:p w14:paraId="68820478" w14:textId="4C7EBB6A" w:rsidR="00AC0D23" w:rsidRPr="00AC0D23" w:rsidRDefault="00AC0D23" w:rsidP="00AC0D23">
            <w:pPr>
              <w:pStyle w:val="ListParagraph"/>
              <w:numPr>
                <w:ilvl w:val="0"/>
                <w:numId w:val="21"/>
              </w:numPr>
              <w:tabs>
                <w:tab w:val="left" w:pos="1296"/>
                <w:tab w:val="left" w:pos="1728"/>
                <w:tab w:val="left" w:pos="2160"/>
                <w:tab w:val="left" w:pos="2592"/>
                <w:tab w:val="left" w:pos="3024"/>
                <w:tab w:val="left" w:pos="3456"/>
                <w:tab w:val="left" w:pos="3888"/>
                <w:tab w:val="right" w:leader="dot" w:pos="9360"/>
              </w:tabs>
              <w:suppressAutoHyphens/>
              <w:spacing w:after="120"/>
              <w:rPr>
                <w:bCs/>
                <w:szCs w:val="20"/>
                <w:lang w:val="fr-FR"/>
              </w:rPr>
            </w:pPr>
            <w:r w:rsidRPr="009C4E47">
              <w:rPr>
                <w:lang w:val="fr-FR"/>
              </w:rPr>
              <w:t>Décisions adoptées par le Comité</w:t>
            </w:r>
            <w:r>
              <w:rPr>
                <w:spacing w:val="60"/>
                <w:sz w:val="17"/>
                <w:lang w:val="fr-FR"/>
              </w:rPr>
              <w:tab/>
            </w:r>
          </w:p>
        </w:tc>
        <w:tc>
          <w:tcPr>
            <w:tcW w:w="533" w:type="dxa"/>
            <w:shd w:val="clear" w:color="auto" w:fill="auto"/>
            <w:vAlign w:val="bottom"/>
          </w:tcPr>
          <w:p w14:paraId="5EF2593E" w14:textId="4D35BF54" w:rsidR="00AC0D23" w:rsidRDefault="006B13D5" w:rsidP="00AC0D23">
            <w:pPr>
              <w:spacing w:after="120"/>
              <w:ind w:right="40"/>
              <w:jc w:val="right"/>
              <w:rPr>
                <w:lang w:val="fr-FR"/>
              </w:rPr>
            </w:pPr>
            <w:r>
              <w:rPr>
                <w:lang w:val="fr-FR"/>
              </w:rPr>
              <w:t>40</w:t>
            </w:r>
          </w:p>
        </w:tc>
      </w:tr>
      <w:tr w:rsidR="00AC0D23" w:rsidRPr="0083441A" w14:paraId="655FEABB" w14:textId="77777777" w:rsidTr="00986B7F">
        <w:tc>
          <w:tcPr>
            <w:tcW w:w="9369" w:type="dxa"/>
            <w:gridSpan w:val="3"/>
            <w:shd w:val="clear" w:color="auto" w:fill="auto"/>
          </w:tcPr>
          <w:p w14:paraId="40F72D6F" w14:textId="66782704" w:rsidR="00AC0D23" w:rsidRPr="009C4E47" w:rsidRDefault="00AC0D23" w:rsidP="00AC0D23">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9C4E47">
              <w:rPr>
                <w:lang w:val="fr-FR"/>
              </w:rPr>
              <w:t>Questions d</w:t>
            </w:r>
            <w:r>
              <w:rPr>
                <w:lang w:val="fr-FR"/>
              </w:rPr>
              <w:t>’</w:t>
            </w:r>
            <w:r w:rsidRPr="009C4E47">
              <w:rPr>
                <w:lang w:val="fr-FR"/>
              </w:rPr>
              <w:t>organisation et questions diverses</w:t>
            </w:r>
            <w:r>
              <w:rPr>
                <w:spacing w:val="60"/>
                <w:sz w:val="17"/>
                <w:lang w:val="fr-FR"/>
              </w:rPr>
              <w:tab/>
            </w:r>
          </w:p>
        </w:tc>
        <w:tc>
          <w:tcPr>
            <w:tcW w:w="533" w:type="dxa"/>
            <w:shd w:val="clear" w:color="auto" w:fill="auto"/>
            <w:vAlign w:val="bottom"/>
          </w:tcPr>
          <w:p w14:paraId="6596CDBE" w14:textId="0B28729A" w:rsidR="00AC0D23" w:rsidRDefault="006B13D5" w:rsidP="00AC0D23">
            <w:pPr>
              <w:spacing w:after="120"/>
              <w:ind w:right="40"/>
              <w:jc w:val="right"/>
              <w:rPr>
                <w:lang w:val="fr-FR"/>
              </w:rPr>
            </w:pPr>
            <w:r>
              <w:rPr>
                <w:lang w:val="fr-FR"/>
              </w:rPr>
              <w:t>43</w:t>
            </w:r>
          </w:p>
        </w:tc>
      </w:tr>
      <w:tr w:rsidR="00AC0D23" w:rsidRPr="0083441A" w14:paraId="4236BCE6" w14:textId="77777777" w:rsidTr="00986B7F">
        <w:tc>
          <w:tcPr>
            <w:tcW w:w="9369" w:type="dxa"/>
            <w:gridSpan w:val="3"/>
            <w:shd w:val="clear" w:color="auto" w:fill="auto"/>
          </w:tcPr>
          <w:p w14:paraId="1B023066" w14:textId="04650C42" w:rsidR="00AC0D23" w:rsidRPr="009C4E47" w:rsidRDefault="00AC0D23" w:rsidP="00AC0D23">
            <w:pPr>
              <w:pStyle w:val="ListParagraph"/>
              <w:numPr>
                <w:ilvl w:val="1"/>
                <w:numId w:val="21"/>
              </w:numPr>
              <w:tabs>
                <w:tab w:val="left" w:pos="1296"/>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Pr>
                <w:lang w:val="fr-FR"/>
              </w:rPr>
              <w:t>États parties à la Convention et au Protocole facultatif</w:t>
            </w:r>
            <w:r w:rsidR="006B13D5">
              <w:rPr>
                <w:spacing w:val="60"/>
                <w:sz w:val="17"/>
              </w:rPr>
              <w:tab/>
            </w:r>
          </w:p>
        </w:tc>
        <w:tc>
          <w:tcPr>
            <w:tcW w:w="533" w:type="dxa"/>
            <w:shd w:val="clear" w:color="auto" w:fill="auto"/>
            <w:vAlign w:val="bottom"/>
          </w:tcPr>
          <w:p w14:paraId="3E07899A" w14:textId="639F34D9" w:rsidR="00AC0D23" w:rsidRDefault="006B13D5" w:rsidP="00AC0D23">
            <w:pPr>
              <w:spacing w:after="120"/>
              <w:ind w:right="40"/>
              <w:jc w:val="right"/>
              <w:rPr>
                <w:lang w:val="fr-FR"/>
              </w:rPr>
            </w:pPr>
            <w:r>
              <w:rPr>
                <w:lang w:val="fr-FR"/>
              </w:rPr>
              <w:t>43</w:t>
            </w:r>
          </w:p>
        </w:tc>
      </w:tr>
      <w:tr w:rsidR="00AC0D23" w:rsidRPr="0083441A" w14:paraId="20DAD848" w14:textId="77777777" w:rsidTr="00986B7F">
        <w:tc>
          <w:tcPr>
            <w:tcW w:w="9369" w:type="dxa"/>
            <w:gridSpan w:val="3"/>
            <w:shd w:val="clear" w:color="auto" w:fill="auto"/>
          </w:tcPr>
          <w:p w14:paraId="2BD49165" w14:textId="4215B105" w:rsidR="00AC0D23" w:rsidRDefault="00AC0D23" w:rsidP="00AC0D23">
            <w:pPr>
              <w:pStyle w:val="ListParagraph"/>
              <w:numPr>
                <w:ilvl w:val="1"/>
                <w:numId w:val="21"/>
              </w:numPr>
              <w:tabs>
                <w:tab w:val="left" w:pos="1296"/>
                <w:tab w:val="left" w:pos="1728"/>
                <w:tab w:val="left" w:pos="2160"/>
                <w:tab w:val="left" w:pos="2592"/>
                <w:tab w:val="left" w:pos="3024"/>
                <w:tab w:val="left" w:pos="3456"/>
                <w:tab w:val="right" w:leader="dot" w:pos="9360"/>
              </w:tabs>
              <w:suppressAutoHyphens/>
              <w:spacing w:after="120"/>
              <w:rPr>
                <w:lang w:val="fr-FR"/>
              </w:rPr>
            </w:pPr>
            <w:r>
              <w:rPr>
                <w:lang w:val="fr-FR"/>
              </w:rPr>
              <w:t>Ouverture de la session</w:t>
            </w:r>
            <w:r>
              <w:rPr>
                <w:spacing w:val="60"/>
                <w:sz w:val="17"/>
                <w:lang w:val="fr-FR"/>
              </w:rPr>
              <w:tab/>
            </w:r>
          </w:p>
        </w:tc>
        <w:tc>
          <w:tcPr>
            <w:tcW w:w="533" w:type="dxa"/>
            <w:shd w:val="clear" w:color="auto" w:fill="auto"/>
            <w:vAlign w:val="bottom"/>
          </w:tcPr>
          <w:p w14:paraId="14DA96E0" w14:textId="7186BF20" w:rsidR="00AC0D23" w:rsidRDefault="006B13D5" w:rsidP="00AC0D23">
            <w:pPr>
              <w:spacing w:after="120"/>
              <w:ind w:right="40"/>
              <w:jc w:val="right"/>
              <w:rPr>
                <w:lang w:val="fr-FR"/>
              </w:rPr>
            </w:pPr>
            <w:r>
              <w:rPr>
                <w:lang w:val="fr-FR"/>
              </w:rPr>
              <w:t>43</w:t>
            </w:r>
          </w:p>
        </w:tc>
      </w:tr>
      <w:tr w:rsidR="00AC0D23" w:rsidRPr="0083441A" w14:paraId="48CFF27D" w14:textId="77777777" w:rsidTr="00986B7F">
        <w:tc>
          <w:tcPr>
            <w:tcW w:w="9369" w:type="dxa"/>
            <w:gridSpan w:val="3"/>
            <w:shd w:val="clear" w:color="auto" w:fill="auto"/>
          </w:tcPr>
          <w:p w14:paraId="28B8AE3B" w14:textId="1B912F6D" w:rsidR="00AC0D23" w:rsidRDefault="00AC0D23" w:rsidP="00AC0D23">
            <w:pPr>
              <w:pStyle w:val="ListParagraph"/>
              <w:numPr>
                <w:ilvl w:val="1"/>
                <w:numId w:val="21"/>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Pr>
                <w:lang w:val="fr-FR"/>
              </w:rPr>
              <w:t>Adoption de l’ordre du jour</w:t>
            </w:r>
            <w:r>
              <w:rPr>
                <w:spacing w:val="60"/>
                <w:sz w:val="17"/>
                <w:lang w:val="fr-FR"/>
              </w:rPr>
              <w:tab/>
            </w:r>
          </w:p>
        </w:tc>
        <w:tc>
          <w:tcPr>
            <w:tcW w:w="533" w:type="dxa"/>
            <w:shd w:val="clear" w:color="auto" w:fill="auto"/>
            <w:vAlign w:val="bottom"/>
          </w:tcPr>
          <w:p w14:paraId="5000C69A" w14:textId="38F3A202" w:rsidR="00AC0D23" w:rsidRDefault="006B13D5" w:rsidP="00AC0D23">
            <w:pPr>
              <w:spacing w:after="120"/>
              <w:ind w:right="40"/>
              <w:jc w:val="right"/>
              <w:rPr>
                <w:lang w:val="fr-FR"/>
              </w:rPr>
            </w:pPr>
            <w:r>
              <w:rPr>
                <w:lang w:val="fr-FR"/>
              </w:rPr>
              <w:t>43</w:t>
            </w:r>
          </w:p>
        </w:tc>
      </w:tr>
      <w:tr w:rsidR="00AC0D23" w:rsidRPr="0083441A" w14:paraId="52F56853" w14:textId="77777777" w:rsidTr="00986B7F">
        <w:tc>
          <w:tcPr>
            <w:tcW w:w="9369" w:type="dxa"/>
            <w:gridSpan w:val="3"/>
            <w:shd w:val="clear" w:color="auto" w:fill="auto"/>
          </w:tcPr>
          <w:p w14:paraId="6C9BCE6E" w14:textId="3E830369" w:rsidR="00AC0D23" w:rsidRDefault="00AC0D23" w:rsidP="00AC0D23">
            <w:pPr>
              <w:pStyle w:val="ListParagraph"/>
              <w:numPr>
                <w:ilvl w:val="1"/>
                <w:numId w:val="21"/>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Pr>
                <w:lang w:val="fr-FR"/>
              </w:rPr>
              <w:t>Rapport du groupe de travail d’avant-session</w:t>
            </w:r>
            <w:r>
              <w:rPr>
                <w:spacing w:val="60"/>
                <w:sz w:val="17"/>
                <w:lang w:val="fr-FR"/>
              </w:rPr>
              <w:tab/>
            </w:r>
          </w:p>
        </w:tc>
        <w:tc>
          <w:tcPr>
            <w:tcW w:w="533" w:type="dxa"/>
            <w:shd w:val="clear" w:color="auto" w:fill="auto"/>
            <w:vAlign w:val="bottom"/>
          </w:tcPr>
          <w:p w14:paraId="304B4727" w14:textId="55B557A9" w:rsidR="00AC0D23" w:rsidRDefault="006B13D5" w:rsidP="00AC0D23">
            <w:pPr>
              <w:spacing w:after="120"/>
              <w:ind w:right="40"/>
              <w:jc w:val="right"/>
              <w:rPr>
                <w:lang w:val="fr-FR"/>
              </w:rPr>
            </w:pPr>
            <w:r>
              <w:rPr>
                <w:lang w:val="fr-FR"/>
              </w:rPr>
              <w:t>43</w:t>
            </w:r>
          </w:p>
        </w:tc>
      </w:tr>
      <w:tr w:rsidR="00AC0D23" w:rsidRPr="0083441A" w14:paraId="48B59BCA" w14:textId="77777777" w:rsidTr="00986B7F">
        <w:tc>
          <w:tcPr>
            <w:tcW w:w="9369" w:type="dxa"/>
            <w:gridSpan w:val="3"/>
            <w:shd w:val="clear" w:color="auto" w:fill="auto"/>
          </w:tcPr>
          <w:p w14:paraId="6DC6F919" w14:textId="60ED3D02" w:rsidR="00AC0D23" w:rsidRDefault="00AC0D23" w:rsidP="00AC0D23">
            <w:pPr>
              <w:pStyle w:val="ListParagraph"/>
              <w:numPr>
                <w:ilvl w:val="1"/>
                <w:numId w:val="21"/>
              </w:numPr>
              <w:tabs>
                <w:tab w:val="left" w:pos="1296"/>
                <w:tab w:val="left" w:pos="1728"/>
                <w:tab w:val="left" w:pos="2160"/>
                <w:tab w:val="left" w:pos="2592"/>
                <w:tab w:val="left" w:pos="3024"/>
                <w:tab w:val="left" w:pos="3456"/>
                <w:tab w:val="right" w:leader="dot" w:pos="9360"/>
              </w:tabs>
              <w:suppressAutoHyphens/>
              <w:spacing w:after="120"/>
              <w:rPr>
                <w:lang w:val="fr-FR"/>
              </w:rPr>
            </w:pPr>
            <w:r>
              <w:rPr>
                <w:lang w:val="fr-FR"/>
              </w:rPr>
              <w:t>Organisation des travaux</w:t>
            </w:r>
            <w:r>
              <w:rPr>
                <w:spacing w:val="60"/>
                <w:sz w:val="17"/>
                <w:lang w:val="fr-FR"/>
              </w:rPr>
              <w:tab/>
            </w:r>
          </w:p>
        </w:tc>
        <w:tc>
          <w:tcPr>
            <w:tcW w:w="533" w:type="dxa"/>
            <w:shd w:val="clear" w:color="auto" w:fill="auto"/>
            <w:vAlign w:val="bottom"/>
          </w:tcPr>
          <w:p w14:paraId="054F27C6" w14:textId="509F5918" w:rsidR="00AC0D23" w:rsidRDefault="006B13D5" w:rsidP="00AC0D23">
            <w:pPr>
              <w:spacing w:after="120"/>
              <w:ind w:right="40"/>
              <w:jc w:val="right"/>
              <w:rPr>
                <w:lang w:val="fr-FR"/>
              </w:rPr>
            </w:pPr>
            <w:r>
              <w:rPr>
                <w:lang w:val="fr-FR"/>
              </w:rPr>
              <w:t>43</w:t>
            </w:r>
          </w:p>
        </w:tc>
      </w:tr>
      <w:tr w:rsidR="00AC0D23" w:rsidRPr="0083441A" w14:paraId="7B017A38" w14:textId="77777777" w:rsidTr="00986B7F">
        <w:tc>
          <w:tcPr>
            <w:tcW w:w="9369" w:type="dxa"/>
            <w:gridSpan w:val="3"/>
            <w:shd w:val="clear" w:color="auto" w:fill="auto"/>
          </w:tcPr>
          <w:p w14:paraId="2FDAE880" w14:textId="5DA91C72" w:rsidR="00AC0D23" w:rsidRDefault="00AC0D23" w:rsidP="00AC0D23">
            <w:pPr>
              <w:pStyle w:val="ListParagraph"/>
              <w:numPr>
                <w:ilvl w:val="1"/>
                <w:numId w:val="21"/>
              </w:numPr>
              <w:tabs>
                <w:tab w:val="left" w:pos="1296"/>
                <w:tab w:val="left" w:pos="1728"/>
                <w:tab w:val="left" w:pos="2160"/>
                <w:tab w:val="left" w:pos="2592"/>
                <w:tab w:val="left" w:pos="3024"/>
                <w:tab w:val="left" w:pos="3456"/>
                <w:tab w:val="right" w:leader="dot" w:pos="9360"/>
              </w:tabs>
              <w:suppressAutoHyphens/>
              <w:spacing w:after="120"/>
              <w:rPr>
                <w:lang w:val="fr-FR"/>
              </w:rPr>
            </w:pPr>
            <w:r>
              <w:rPr>
                <w:lang w:val="fr-FR"/>
              </w:rPr>
              <w:t>Composition du Comité</w:t>
            </w:r>
            <w:r>
              <w:rPr>
                <w:spacing w:val="60"/>
                <w:sz w:val="17"/>
                <w:lang w:val="fr-FR"/>
              </w:rPr>
              <w:tab/>
            </w:r>
          </w:p>
        </w:tc>
        <w:tc>
          <w:tcPr>
            <w:tcW w:w="533" w:type="dxa"/>
            <w:shd w:val="clear" w:color="auto" w:fill="auto"/>
            <w:vAlign w:val="bottom"/>
          </w:tcPr>
          <w:p w14:paraId="7C163523" w14:textId="2488D98F" w:rsidR="00AC0D23" w:rsidRDefault="006B13D5" w:rsidP="00AC0D23">
            <w:pPr>
              <w:spacing w:after="120"/>
              <w:ind w:right="40"/>
              <w:jc w:val="right"/>
              <w:rPr>
                <w:lang w:val="fr-FR"/>
              </w:rPr>
            </w:pPr>
            <w:r>
              <w:rPr>
                <w:lang w:val="fr-FR"/>
              </w:rPr>
              <w:t>44</w:t>
            </w:r>
          </w:p>
        </w:tc>
      </w:tr>
      <w:tr w:rsidR="00AC0D23" w:rsidRPr="0083441A" w14:paraId="11FD2393" w14:textId="77777777" w:rsidTr="00986B7F">
        <w:tc>
          <w:tcPr>
            <w:tcW w:w="9369" w:type="dxa"/>
            <w:gridSpan w:val="3"/>
            <w:shd w:val="clear" w:color="auto" w:fill="auto"/>
          </w:tcPr>
          <w:p w14:paraId="6BBE8964" w14:textId="79E026D4" w:rsidR="00AC0D23" w:rsidRDefault="00146067" w:rsidP="00146067">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9C4E47">
              <w:rPr>
                <w:lang w:val="fr-FR"/>
              </w:rPr>
              <w:t>Rapport de la Présidente sur les activités intersessions</w:t>
            </w:r>
            <w:r>
              <w:rPr>
                <w:spacing w:val="60"/>
                <w:sz w:val="17"/>
                <w:lang w:val="fr-FR"/>
              </w:rPr>
              <w:tab/>
            </w:r>
          </w:p>
        </w:tc>
        <w:tc>
          <w:tcPr>
            <w:tcW w:w="533" w:type="dxa"/>
            <w:shd w:val="clear" w:color="auto" w:fill="auto"/>
            <w:vAlign w:val="bottom"/>
          </w:tcPr>
          <w:p w14:paraId="07A9A3CA" w14:textId="4563F556" w:rsidR="00AC0D23" w:rsidRDefault="006B13D5" w:rsidP="00AC0D23">
            <w:pPr>
              <w:spacing w:after="120"/>
              <w:ind w:right="40"/>
              <w:jc w:val="right"/>
              <w:rPr>
                <w:lang w:val="fr-FR"/>
              </w:rPr>
            </w:pPr>
            <w:r>
              <w:rPr>
                <w:lang w:val="fr-FR"/>
              </w:rPr>
              <w:t>45</w:t>
            </w:r>
          </w:p>
        </w:tc>
      </w:tr>
      <w:tr w:rsidR="00146067" w:rsidRPr="0083441A" w14:paraId="68861EBB" w14:textId="77777777" w:rsidTr="00986B7F">
        <w:tc>
          <w:tcPr>
            <w:tcW w:w="9369" w:type="dxa"/>
            <w:gridSpan w:val="3"/>
            <w:shd w:val="clear" w:color="auto" w:fill="auto"/>
          </w:tcPr>
          <w:p w14:paraId="3004A25D" w14:textId="043E6996" w:rsidR="00146067" w:rsidRPr="009C4E47" w:rsidRDefault="00146067" w:rsidP="00146067">
            <w:pPr>
              <w:pStyle w:val="ListParagraph"/>
              <w:numPr>
                <w:ilvl w:val="0"/>
                <w:numId w:val="21"/>
              </w:numPr>
              <w:tabs>
                <w:tab w:val="left" w:pos="1296"/>
                <w:tab w:val="left" w:pos="1728"/>
                <w:tab w:val="left" w:pos="2160"/>
                <w:tab w:val="right" w:leader="dot" w:pos="9360"/>
              </w:tabs>
              <w:suppressAutoHyphens/>
              <w:spacing w:after="120"/>
              <w:rPr>
                <w:lang w:val="fr-FR"/>
              </w:rPr>
            </w:pPr>
            <w:r w:rsidRPr="009C4E47">
              <w:rPr>
                <w:lang w:val="fr-FR"/>
              </w:rPr>
              <w:t>Examen des rapports soumis par les États parties en application de l</w:t>
            </w:r>
            <w:r>
              <w:rPr>
                <w:lang w:val="fr-FR"/>
              </w:rPr>
              <w:t>’</w:t>
            </w:r>
            <w:r w:rsidR="003062D5">
              <w:rPr>
                <w:lang w:val="fr-FR"/>
              </w:rPr>
              <w:t>article 18</w:t>
            </w:r>
            <w:r w:rsidR="003062D5">
              <w:rPr>
                <w:lang w:val="fr-FR"/>
              </w:rPr>
              <w:br/>
            </w:r>
            <w:r w:rsidRPr="009C4E47">
              <w:rPr>
                <w:lang w:val="fr-FR"/>
              </w:rPr>
              <w:t>de la Convention</w:t>
            </w:r>
            <w:r>
              <w:rPr>
                <w:spacing w:val="60"/>
                <w:sz w:val="17"/>
                <w:lang w:val="fr-FR"/>
              </w:rPr>
              <w:tab/>
            </w:r>
          </w:p>
        </w:tc>
        <w:tc>
          <w:tcPr>
            <w:tcW w:w="533" w:type="dxa"/>
            <w:shd w:val="clear" w:color="auto" w:fill="auto"/>
            <w:vAlign w:val="bottom"/>
          </w:tcPr>
          <w:p w14:paraId="3CD59371" w14:textId="21D40FD4" w:rsidR="00146067" w:rsidRDefault="006B13D5" w:rsidP="00AC0D23">
            <w:pPr>
              <w:spacing w:after="120"/>
              <w:ind w:right="40"/>
              <w:jc w:val="right"/>
              <w:rPr>
                <w:lang w:val="fr-FR"/>
              </w:rPr>
            </w:pPr>
            <w:r>
              <w:rPr>
                <w:lang w:val="fr-FR"/>
              </w:rPr>
              <w:t>46</w:t>
            </w:r>
          </w:p>
        </w:tc>
      </w:tr>
      <w:tr w:rsidR="00146067" w:rsidRPr="0083441A" w14:paraId="6C88BAE6" w14:textId="77777777" w:rsidTr="00986B7F">
        <w:tc>
          <w:tcPr>
            <w:tcW w:w="9369" w:type="dxa"/>
            <w:gridSpan w:val="3"/>
            <w:shd w:val="clear" w:color="auto" w:fill="auto"/>
          </w:tcPr>
          <w:p w14:paraId="58EB6775" w14:textId="0ADBD68E" w:rsidR="00146067" w:rsidRPr="009C4E47" w:rsidRDefault="00146067" w:rsidP="00146067">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9C4E47">
              <w:rPr>
                <w:lang w:val="fr-FR"/>
              </w:rPr>
              <w:t>Activités menées au titre du Protocole facultatif</w:t>
            </w:r>
            <w:r>
              <w:rPr>
                <w:spacing w:val="60"/>
                <w:sz w:val="17"/>
                <w:lang w:val="fr-FR"/>
              </w:rPr>
              <w:tab/>
            </w:r>
          </w:p>
        </w:tc>
        <w:tc>
          <w:tcPr>
            <w:tcW w:w="533" w:type="dxa"/>
            <w:shd w:val="clear" w:color="auto" w:fill="auto"/>
            <w:vAlign w:val="bottom"/>
          </w:tcPr>
          <w:p w14:paraId="59ECCD31" w14:textId="6E382C6E" w:rsidR="00146067" w:rsidRDefault="006B13D5" w:rsidP="00AC0D23">
            <w:pPr>
              <w:spacing w:after="120"/>
              <w:ind w:right="40"/>
              <w:jc w:val="right"/>
              <w:rPr>
                <w:lang w:val="fr-FR"/>
              </w:rPr>
            </w:pPr>
            <w:r>
              <w:rPr>
                <w:lang w:val="fr-FR"/>
              </w:rPr>
              <w:t>47</w:t>
            </w:r>
          </w:p>
        </w:tc>
      </w:tr>
      <w:tr w:rsidR="00913C01" w:rsidRPr="0083441A" w14:paraId="5E42B894" w14:textId="77777777" w:rsidTr="00986B7F">
        <w:tc>
          <w:tcPr>
            <w:tcW w:w="9369" w:type="dxa"/>
            <w:gridSpan w:val="3"/>
            <w:shd w:val="clear" w:color="auto" w:fill="auto"/>
          </w:tcPr>
          <w:p w14:paraId="6CA5997D" w14:textId="43F9C594" w:rsidR="00913C01" w:rsidRPr="009C4E47" w:rsidRDefault="00913C01" w:rsidP="00D93664">
            <w:pPr>
              <w:pStyle w:val="ListParagraph"/>
              <w:numPr>
                <w:ilvl w:val="1"/>
                <w:numId w:val="21"/>
              </w:numPr>
              <w:tabs>
                <w:tab w:val="left" w:pos="1296"/>
                <w:tab w:val="left" w:pos="1728"/>
                <w:tab w:val="left" w:pos="2160"/>
                <w:tab w:val="right" w:leader="dot" w:pos="9360"/>
              </w:tabs>
              <w:suppressAutoHyphens/>
              <w:spacing w:after="120"/>
              <w:rPr>
                <w:lang w:val="fr-FR"/>
              </w:rPr>
            </w:pPr>
            <w:r w:rsidRPr="005C3B55">
              <w:rPr>
                <w:lang w:val="fr-FR"/>
              </w:rPr>
              <w:t>Mesures prises par le Comité sur les questions relevant de l</w:t>
            </w:r>
            <w:r>
              <w:rPr>
                <w:lang w:val="fr-FR"/>
              </w:rPr>
              <w:t>’</w:t>
            </w:r>
            <w:r w:rsidRPr="005C3B55">
              <w:rPr>
                <w:lang w:val="fr-FR"/>
              </w:rPr>
              <w:t>article 2 du Protocole facultatif</w:t>
            </w:r>
            <w:r w:rsidR="00D93664">
              <w:rPr>
                <w:spacing w:val="60"/>
                <w:sz w:val="17"/>
                <w:lang w:val="fr-FR"/>
              </w:rPr>
              <w:tab/>
            </w:r>
          </w:p>
        </w:tc>
        <w:tc>
          <w:tcPr>
            <w:tcW w:w="533" w:type="dxa"/>
            <w:shd w:val="clear" w:color="auto" w:fill="auto"/>
            <w:vAlign w:val="bottom"/>
          </w:tcPr>
          <w:p w14:paraId="27FE34F7" w14:textId="0A8A4540" w:rsidR="00913C01" w:rsidRDefault="006B13D5" w:rsidP="00AC0D23">
            <w:pPr>
              <w:spacing w:after="120"/>
              <w:ind w:right="40"/>
              <w:jc w:val="right"/>
              <w:rPr>
                <w:lang w:val="fr-FR"/>
              </w:rPr>
            </w:pPr>
            <w:r>
              <w:rPr>
                <w:lang w:val="fr-FR"/>
              </w:rPr>
              <w:t>47</w:t>
            </w:r>
          </w:p>
        </w:tc>
      </w:tr>
      <w:tr w:rsidR="00D93664" w:rsidRPr="0083441A" w14:paraId="5A1BF726" w14:textId="77777777" w:rsidTr="00986B7F">
        <w:tc>
          <w:tcPr>
            <w:tcW w:w="9369" w:type="dxa"/>
            <w:gridSpan w:val="3"/>
            <w:shd w:val="clear" w:color="auto" w:fill="auto"/>
          </w:tcPr>
          <w:p w14:paraId="01E03585" w14:textId="4896EEB6" w:rsidR="00D93664" w:rsidRPr="005C3B55" w:rsidRDefault="00D93664" w:rsidP="00D93664">
            <w:pPr>
              <w:pStyle w:val="ListParagraph"/>
              <w:numPr>
                <w:ilvl w:val="1"/>
                <w:numId w:val="21"/>
              </w:numPr>
              <w:tabs>
                <w:tab w:val="left" w:pos="1296"/>
                <w:tab w:val="left" w:pos="1728"/>
                <w:tab w:val="left" w:pos="2160"/>
                <w:tab w:val="left" w:pos="2592"/>
                <w:tab w:val="right" w:leader="dot" w:pos="9360"/>
              </w:tabs>
              <w:suppressAutoHyphens/>
              <w:spacing w:after="120"/>
              <w:rPr>
                <w:lang w:val="fr-FR"/>
              </w:rPr>
            </w:pPr>
            <w:r w:rsidRPr="005C3B55">
              <w:rPr>
                <w:lang w:val="fr-FR"/>
              </w:rPr>
              <w:t>Suite donnée aux constatations du Comité</w:t>
            </w:r>
            <w:r w:rsidR="003062D5">
              <w:rPr>
                <w:lang w:val="fr-FR"/>
              </w:rPr>
              <w:t xml:space="preserve"> sur les communications émanant</w:t>
            </w:r>
            <w:r w:rsidR="003062D5">
              <w:rPr>
                <w:lang w:val="fr-FR"/>
              </w:rPr>
              <w:br/>
            </w:r>
            <w:r w:rsidRPr="005C3B55">
              <w:rPr>
                <w:lang w:val="fr-FR"/>
              </w:rPr>
              <w:t>de particuliers</w:t>
            </w:r>
            <w:r>
              <w:rPr>
                <w:spacing w:val="60"/>
                <w:sz w:val="17"/>
                <w:lang w:val="fr-FR"/>
              </w:rPr>
              <w:tab/>
            </w:r>
          </w:p>
        </w:tc>
        <w:tc>
          <w:tcPr>
            <w:tcW w:w="533" w:type="dxa"/>
            <w:shd w:val="clear" w:color="auto" w:fill="auto"/>
            <w:vAlign w:val="bottom"/>
          </w:tcPr>
          <w:p w14:paraId="1171E99D" w14:textId="20DB75BA" w:rsidR="00D93664" w:rsidRDefault="006B13D5" w:rsidP="00AC0D23">
            <w:pPr>
              <w:spacing w:after="120"/>
              <w:ind w:right="40"/>
              <w:jc w:val="right"/>
              <w:rPr>
                <w:lang w:val="fr-FR"/>
              </w:rPr>
            </w:pPr>
            <w:r>
              <w:rPr>
                <w:lang w:val="fr-FR"/>
              </w:rPr>
              <w:t>47</w:t>
            </w:r>
          </w:p>
        </w:tc>
      </w:tr>
      <w:tr w:rsidR="00D93664" w:rsidRPr="0083441A" w14:paraId="6A828C77" w14:textId="77777777" w:rsidTr="00986B7F">
        <w:tc>
          <w:tcPr>
            <w:tcW w:w="9369" w:type="dxa"/>
            <w:gridSpan w:val="3"/>
            <w:shd w:val="clear" w:color="auto" w:fill="auto"/>
          </w:tcPr>
          <w:p w14:paraId="469487BF" w14:textId="72B81B51" w:rsidR="00D93664" w:rsidRPr="005C3B55" w:rsidRDefault="00D93664" w:rsidP="00D93664">
            <w:pPr>
              <w:pStyle w:val="ListParagraph"/>
              <w:numPr>
                <w:ilvl w:val="1"/>
                <w:numId w:val="21"/>
              </w:numPr>
              <w:tabs>
                <w:tab w:val="left" w:pos="1296"/>
                <w:tab w:val="left" w:pos="1728"/>
                <w:tab w:val="left" w:pos="2160"/>
                <w:tab w:val="right" w:leader="dot" w:pos="9360"/>
              </w:tabs>
              <w:suppressAutoHyphens/>
              <w:spacing w:after="120"/>
              <w:rPr>
                <w:lang w:val="fr-FR"/>
              </w:rPr>
            </w:pPr>
            <w:r w:rsidRPr="005C3B55">
              <w:rPr>
                <w:lang w:val="fr-FR"/>
              </w:rPr>
              <w:t>Mesures prises par le Comité sur les questions relevant de l</w:t>
            </w:r>
            <w:r>
              <w:rPr>
                <w:lang w:val="fr-FR"/>
              </w:rPr>
              <w:t>’</w:t>
            </w:r>
            <w:r w:rsidRPr="005C3B55">
              <w:rPr>
                <w:lang w:val="fr-FR"/>
              </w:rPr>
              <w:t>article 8 du Protocole facultatif</w:t>
            </w:r>
            <w:r>
              <w:rPr>
                <w:spacing w:val="60"/>
                <w:sz w:val="17"/>
                <w:lang w:val="fr-FR"/>
              </w:rPr>
              <w:tab/>
            </w:r>
          </w:p>
        </w:tc>
        <w:tc>
          <w:tcPr>
            <w:tcW w:w="533" w:type="dxa"/>
            <w:shd w:val="clear" w:color="auto" w:fill="auto"/>
            <w:vAlign w:val="bottom"/>
          </w:tcPr>
          <w:p w14:paraId="4B2877A3" w14:textId="458FDD87" w:rsidR="00D93664" w:rsidRDefault="006B13D5" w:rsidP="00AC0D23">
            <w:pPr>
              <w:spacing w:after="120"/>
              <w:ind w:right="40"/>
              <w:jc w:val="right"/>
              <w:rPr>
                <w:lang w:val="fr-FR"/>
              </w:rPr>
            </w:pPr>
            <w:r>
              <w:rPr>
                <w:lang w:val="fr-FR"/>
              </w:rPr>
              <w:t>47</w:t>
            </w:r>
          </w:p>
        </w:tc>
      </w:tr>
      <w:tr w:rsidR="00D93664" w:rsidRPr="0083441A" w14:paraId="51D672B9" w14:textId="77777777" w:rsidTr="00986B7F">
        <w:tc>
          <w:tcPr>
            <w:tcW w:w="9369" w:type="dxa"/>
            <w:gridSpan w:val="3"/>
            <w:shd w:val="clear" w:color="auto" w:fill="auto"/>
          </w:tcPr>
          <w:p w14:paraId="59E11145" w14:textId="50DCEF7E" w:rsidR="00D93664" w:rsidRPr="005C3B55" w:rsidRDefault="00D93664" w:rsidP="00D93664">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9C4E47">
              <w:rPr>
                <w:lang w:val="fr-FR"/>
              </w:rPr>
              <w:t>Moyens d</w:t>
            </w:r>
            <w:r>
              <w:rPr>
                <w:lang w:val="fr-FR"/>
              </w:rPr>
              <w:t>’</w:t>
            </w:r>
            <w:r w:rsidRPr="009C4E47">
              <w:rPr>
                <w:lang w:val="fr-FR"/>
              </w:rPr>
              <w:t>accélérer les travaux du Comité</w:t>
            </w:r>
            <w:r>
              <w:rPr>
                <w:spacing w:val="60"/>
                <w:sz w:val="17"/>
                <w:lang w:val="fr-FR"/>
              </w:rPr>
              <w:tab/>
            </w:r>
          </w:p>
        </w:tc>
        <w:tc>
          <w:tcPr>
            <w:tcW w:w="533" w:type="dxa"/>
            <w:shd w:val="clear" w:color="auto" w:fill="auto"/>
            <w:vAlign w:val="bottom"/>
          </w:tcPr>
          <w:p w14:paraId="2A607788" w14:textId="28F11B72" w:rsidR="00D93664" w:rsidRDefault="006B13D5" w:rsidP="00AC0D23">
            <w:pPr>
              <w:spacing w:after="120"/>
              <w:ind w:right="40"/>
              <w:jc w:val="right"/>
              <w:rPr>
                <w:lang w:val="fr-FR"/>
              </w:rPr>
            </w:pPr>
            <w:r>
              <w:rPr>
                <w:lang w:val="fr-FR"/>
              </w:rPr>
              <w:t>49</w:t>
            </w:r>
          </w:p>
        </w:tc>
      </w:tr>
      <w:tr w:rsidR="00D93664" w:rsidRPr="0083441A" w14:paraId="2D1AA85F" w14:textId="77777777" w:rsidTr="00986B7F">
        <w:tc>
          <w:tcPr>
            <w:tcW w:w="9369" w:type="dxa"/>
            <w:gridSpan w:val="3"/>
            <w:shd w:val="clear" w:color="auto" w:fill="auto"/>
          </w:tcPr>
          <w:p w14:paraId="63B80809" w14:textId="5613245B" w:rsidR="00D93664" w:rsidRPr="009C4E47" w:rsidRDefault="00D93664" w:rsidP="00D93664">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9C4E47">
              <w:rPr>
                <w:lang w:val="fr-FR"/>
              </w:rPr>
              <w:t>Application de l</w:t>
            </w:r>
            <w:r>
              <w:rPr>
                <w:lang w:val="fr-FR"/>
              </w:rPr>
              <w:t>’</w:t>
            </w:r>
            <w:r w:rsidRPr="009C4E47">
              <w:rPr>
                <w:lang w:val="fr-FR"/>
              </w:rPr>
              <w:t>article 21 de la Convention</w:t>
            </w:r>
            <w:r>
              <w:rPr>
                <w:spacing w:val="60"/>
                <w:sz w:val="17"/>
                <w:lang w:val="fr-FR"/>
              </w:rPr>
              <w:tab/>
            </w:r>
          </w:p>
        </w:tc>
        <w:tc>
          <w:tcPr>
            <w:tcW w:w="533" w:type="dxa"/>
            <w:shd w:val="clear" w:color="auto" w:fill="auto"/>
            <w:vAlign w:val="bottom"/>
          </w:tcPr>
          <w:p w14:paraId="2619212E" w14:textId="015BDD8F" w:rsidR="00D93664" w:rsidRDefault="006B13D5" w:rsidP="00AC0D23">
            <w:pPr>
              <w:spacing w:after="120"/>
              <w:ind w:right="40"/>
              <w:jc w:val="right"/>
              <w:rPr>
                <w:lang w:val="fr-FR"/>
              </w:rPr>
            </w:pPr>
            <w:r>
              <w:rPr>
                <w:lang w:val="fr-FR"/>
              </w:rPr>
              <w:t>50</w:t>
            </w:r>
          </w:p>
        </w:tc>
      </w:tr>
      <w:tr w:rsidR="00D93664" w:rsidRPr="0083441A" w14:paraId="0D0997A7" w14:textId="77777777" w:rsidTr="00986B7F">
        <w:tc>
          <w:tcPr>
            <w:tcW w:w="9369" w:type="dxa"/>
            <w:gridSpan w:val="3"/>
            <w:shd w:val="clear" w:color="auto" w:fill="auto"/>
          </w:tcPr>
          <w:p w14:paraId="121CBAF6" w14:textId="3C265663" w:rsidR="00D93664" w:rsidRPr="009C4E47" w:rsidRDefault="00D93664" w:rsidP="00D93664">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9C4E47">
              <w:rPr>
                <w:lang w:val="fr-FR"/>
              </w:rPr>
              <w:t>Ordre du jour provisoire de la soixante-dixième session</w:t>
            </w:r>
            <w:r>
              <w:rPr>
                <w:spacing w:val="60"/>
                <w:sz w:val="17"/>
                <w:lang w:val="fr-FR"/>
              </w:rPr>
              <w:tab/>
            </w:r>
          </w:p>
        </w:tc>
        <w:tc>
          <w:tcPr>
            <w:tcW w:w="533" w:type="dxa"/>
            <w:shd w:val="clear" w:color="auto" w:fill="auto"/>
            <w:vAlign w:val="bottom"/>
          </w:tcPr>
          <w:p w14:paraId="733D2D8E" w14:textId="40B89143" w:rsidR="00D93664" w:rsidRDefault="006B13D5" w:rsidP="00AC0D23">
            <w:pPr>
              <w:spacing w:after="120"/>
              <w:ind w:right="40"/>
              <w:jc w:val="right"/>
              <w:rPr>
                <w:lang w:val="fr-FR"/>
              </w:rPr>
            </w:pPr>
            <w:r>
              <w:rPr>
                <w:lang w:val="fr-FR"/>
              </w:rPr>
              <w:t>52</w:t>
            </w:r>
          </w:p>
        </w:tc>
      </w:tr>
      <w:tr w:rsidR="00D93664" w:rsidRPr="0083441A" w14:paraId="680BED90" w14:textId="77777777" w:rsidTr="00986B7F">
        <w:tc>
          <w:tcPr>
            <w:tcW w:w="9369" w:type="dxa"/>
            <w:gridSpan w:val="3"/>
            <w:shd w:val="clear" w:color="auto" w:fill="auto"/>
          </w:tcPr>
          <w:p w14:paraId="303BD9B7" w14:textId="4996C312" w:rsidR="00D93664" w:rsidRPr="009C4E47" w:rsidRDefault="00D93664" w:rsidP="00D93664">
            <w:pPr>
              <w:pStyle w:val="ListParagraph"/>
              <w:numPr>
                <w:ilvl w:val="0"/>
                <w:numId w:val="21"/>
              </w:numPr>
              <w:tabs>
                <w:tab w:val="left" w:pos="1296"/>
                <w:tab w:val="left" w:pos="1728"/>
                <w:tab w:val="left" w:pos="2160"/>
                <w:tab w:val="left" w:pos="2592"/>
                <w:tab w:val="left" w:pos="3024"/>
                <w:tab w:val="right" w:leader="dot" w:pos="9360"/>
              </w:tabs>
              <w:suppressAutoHyphens/>
              <w:spacing w:after="120"/>
              <w:rPr>
                <w:lang w:val="fr-FR"/>
              </w:rPr>
            </w:pPr>
            <w:r w:rsidRPr="005C3B55">
              <w:t>Adoption du rapport</w:t>
            </w:r>
            <w:r>
              <w:rPr>
                <w:spacing w:val="60"/>
                <w:sz w:val="17"/>
              </w:rPr>
              <w:tab/>
            </w:r>
          </w:p>
        </w:tc>
        <w:tc>
          <w:tcPr>
            <w:tcW w:w="533" w:type="dxa"/>
            <w:shd w:val="clear" w:color="auto" w:fill="auto"/>
            <w:vAlign w:val="bottom"/>
          </w:tcPr>
          <w:p w14:paraId="031C1986" w14:textId="49A58E34" w:rsidR="00D93664" w:rsidRDefault="006B13D5" w:rsidP="00AC0D23">
            <w:pPr>
              <w:spacing w:after="120"/>
              <w:ind w:right="40"/>
              <w:jc w:val="right"/>
              <w:rPr>
                <w:lang w:val="fr-FR"/>
              </w:rPr>
            </w:pPr>
            <w:r>
              <w:rPr>
                <w:lang w:val="fr-FR"/>
              </w:rPr>
              <w:t>53</w:t>
            </w:r>
          </w:p>
        </w:tc>
      </w:tr>
      <w:tr w:rsidR="007E2E7A" w:rsidRPr="0083441A" w14:paraId="3B14036E" w14:textId="77777777" w:rsidTr="00986B7F">
        <w:tc>
          <w:tcPr>
            <w:tcW w:w="9369" w:type="dxa"/>
            <w:gridSpan w:val="3"/>
            <w:shd w:val="clear" w:color="auto" w:fill="auto"/>
          </w:tcPr>
          <w:p w14:paraId="11B5FECE" w14:textId="29CDD400" w:rsidR="007E2E7A" w:rsidRPr="005C3B55" w:rsidRDefault="007E2E7A" w:rsidP="007E2E7A">
            <w:pPr>
              <w:tabs>
                <w:tab w:val="right" w:pos="1080"/>
                <w:tab w:val="left" w:pos="1296"/>
                <w:tab w:val="right" w:pos="1714"/>
                <w:tab w:val="left" w:pos="2160"/>
                <w:tab w:val="left" w:pos="2592"/>
                <w:tab w:val="left" w:pos="3024"/>
                <w:tab w:val="left" w:pos="3456"/>
              </w:tabs>
              <w:suppressAutoHyphens/>
              <w:spacing w:after="120"/>
            </w:pPr>
            <w:r w:rsidRPr="007E2E7A">
              <w:rPr>
                <w:szCs w:val="20"/>
                <w:lang w:val="en-GB"/>
              </w:rPr>
              <w:lastRenderedPageBreak/>
              <w:t>Annexes</w:t>
            </w:r>
          </w:p>
        </w:tc>
        <w:tc>
          <w:tcPr>
            <w:tcW w:w="533" w:type="dxa"/>
            <w:shd w:val="clear" w:color="auto" w:fill="auto"/>
            <w:vAlign w:val="bottom"/>
          </w:tcPr>
          <w:p w14:paraId="0DFCECC5" w14:textId="77777777" w:rsidR="007E2E7A" w:rsidRDefault="007E2E7A" w:rsidP="00AC0D23">
            <w:pPr>
              <w:spacing w:after="120"/>
              <w:ind w:right="40"/>
              <w:jc w:val="right"/>
              <w:rPr>
                <w:lang w:val="fr-FR"/>
              </w:rPr>
            </w:pPr>
          </w:p>
        </w:tc>
      </w:tr>
      <w:tr w:rsidR="007E2E7A" w:rsidRPr="0083441A" w14:paraId="62D6FEE8" w14:textId="77777777" w:rsidTr="00986B7F">
        <w:tc>
          <w:tcPr>
            <w:tcW w:w="9369" w:type="dxa"/>
            <w:gridSpan w:val="3"/>
            <w:shd w:val="clear" w:color="auto" w:fill="auto"/>
          </w:tcPr>
          <w:p w14:paraId="19F931CE" w14:textId="221FD8C7" w:rsidR="007E2E7A" w:rsidRPr="007E2E7A" w:rsidRDefault="007E2E7A" w:rsidP="007E2E7A">
            <w:pPr>
              <w:pStyle w:val="ListParagraph"/>
              <w:numPr>
                <w:ilvl w:val="0"/>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szCs w:val="20"/>
                <w:lang w:val="fr-FR"/>
              </w:rPr>
            </w:pPr>
            <w:r w:rsidRPr="009C4E47">
              <w:rPr>
                <w:lang w:val="fr-FR"/>
              </w:rPr>
              <w:t>Liste des documents dont le Comité était saisi à sa soixante-neuvième session</w:t>
            </w:r>
            <w:r>
              <w:rPr>
                <w:spacing w:val="60"/>
                <w:sz w:val="17"/>
                <w:lang w:val="fr-FR"/>
              </w:rPr>
              <w:tab/>
            </w:r>
          </w:p>
        </w:tc>
        <w:tc>
          <w:tcPr>
            <w:tcW w:w="533" w:type="dxa"/>
            <w:shd w:val="clear" w:color="auto" w:fill="auto"/>
            <w:vAlign w:val="bottom"/>
          </w:tcPr>
          <w:p w14:paraId="07F87CC3" w14:textId="5CC332B9" w:rsidR="007E2E7A" w:rsidRDefault="006B13D5" w:rsidP="007E2E7A">
            <w:pPr>
              <w:spacing w:after="120"/>
              <w:ind w:right="40"/>
              <w:jc w:val="right"/>
              <w:rPr>
                <w:lang w:val="fr-FR"/>
              </w:rPr>
            </w:pPr>
            <w:r>
              <w:rPr>
                <w:lang w:val="fr-FR"/>
              </w:rPr>
              <w:t>54</w:t>
            </w:r>
          </w:p>
        </w:tc>
      </w:tr>
      <w:tr w:rsidR="007E2E7A" w:rsidRPr="0083441A" w14:paraId="1EC5E468" w14:textId="77777777" w:rsidTr="00986B7F">
        <w:tc>
          <w:tcPr>
            <w:tcW w:w="9369" w:type="dxa"/>
            <w:gridSpan w:val="3"/>
            <w:shd w:val="clear" w:color="auto" w:fill="auto"/>
          </w:tcPr>
          <w:p w14:paraId="4E227DFE" w14:textId="6E65E819" w:rsidR="007E2E7A" w:rsidRPr="009C4E47" w:rsidRDefault="007E2E7A" w:rsidP="007E2E7A">
            <w:pPr>
              <w:pStyle w:val="ListParagraph"/>
              <w:numPr>
                <w:ilvl w:val="0"/>
                <w:numId w:val="22"/>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t>Composition du Comité au 9 mars 2018</w:t>
            </w:r>
            <w:r>
              <w:rPr>
                <w:spacing w:val="60"/>
                <w:sz w:val="17"/>
              </w:rPr>
              <w:tab/>
            </w:r>
          </w:p>
        </w:tc>
        <w:tc>
          <w:tcPr>
            <w:tcW w:w="533" w:type="dxa"/>
            <w:shd w:val="clear" w:color="auto" w:fill="auto"/>
            <w:vAlign w:val="bottom"/>
          </w:tcPr>
          <w:p w14:paraId="1C485A88" w14:textId="6C7EFEFB" w:rsidR="007E2E7A" w:rsidRDefault="006B13D5" w:rsidP="007E2E7A">
            <w:pPr>
              <w:spacing w:after="120"/>
              <w:ind w:right="40"/>
              <w:jc w:val="right"/>
              <w:rPr>
                <w:lang w:val="fr-FR"/>
              </w:rPr>
            </w:pPr>
            <w:r>
              <w:rPr>
                <w:lang w:val="fr-FR"/>
              </w:rPr>
              <w:t>55</w:t>
            </w:r>
          </w:p>
        </w:tc>
      </w:tr>
    </w:tbl>
    <w:p w14:paraId="0C0F7E4D" w14:textId="23750DF7" w:rsidR="006E6CA9" w:rsidRDefault="006E6CA9" w:rsidP="0083441A"/>
    <w:p w14:paraId="19211DBB" w14:textId="28B5E91A" w:rsidR="006E6CA9" w:rsidRDefault="006E6CA9" w:rsidP="0083441A"/>
    <w:p w14:paraId="65BC5B38" w14:textId="60449C54" w:rsidR="001732CB" w:rsidRDefault="001732CB">
      <w:pPr>
        <w:spacing w:after="200" w:line="276" w:lineRule="auto"/>
      </w:pPr>
      <w:r>
        <w:br w:type="page"/>
      </w:r>
    </w:p>
    <w:p w14:paraId="04C843D2" w14:textId="712F2C9E" w:rsidR="006E6CA9" w:rsidRDefault="006E6CA9" w:rsidP="0083441A"/>
    <w:p w14:paraId="39CF8AE1" w14:textId="77777777" w:rsidR="006E6CA9" w:rsidRDefault="006E6CA9" w:rsidP="0083441A"/>
    <w:p w14:paraId="4EDD6754" w14:textId="77777777" w:rsidR="006E6CA9" w:rsidRDefault="006E6CA9">
      <w:pPr>
        <w:spacing w:after="200" w:line="276" w:lineRule="auto"/>
      </w:pPr>
    </w:p>
    <w:p w14:paraId="13302DFD" w14:textId="77777777" w:rsidR="0083441A" w:rsidRDefault="0083441A" w:rsidP="0083441A"/>
    <w:p w14:paraId="374BA972" w14:textId="01986135" w:rsidR="0083441A" w:rsidRDefault="0083441A" w:rsidP="0083441A">
      <w:pPr>
        <w:spacing w:before="1360" w:after="240"/>
        <w:rPr>
          <w:sz w:val="28"/>
        </w:rPr>
      </w:pPr>
      <w:r>
        <w:rPr>
          <w:sz w:val="28"/>
        </w:rPr>
        <w:t>Lettres d</w:t>
      </w:r>
      <w:r w:rsidR="00265783">
        <w:rPr>
          <w:sz w:val="28"/>
        </w:rPr>
        <w:t>’</w:t>
      </w:r>
      <w:r>
        <w:rPr>
          <w:sz w:val="28"/>
        </w:rPr>
        <w:t>envoi</w:t>
      </w:r>
    </w:p>
    <w:p w14:paraId="6CB043C4" w14:textId="5769C755" w:rsidR="0083441A" w:rsidRDefault="006E6CA9" w:rsidP="006E6CA9">
      <w:pPr>
        <w:spacing w:after="240"/>
        <w:jc w:val="right"/>
      </w:pPr>
      <w:r>
        <w:t>[</w:t>
      </w:r>
      <w:r w:rsidRPr="006E6CA9">
        <w:rPr>
          <w:lang w:val="fr-FR"/>
        </w:rPr>
        <w:t>29 Mars 2018</w:t>
      </w:r>
      <w:r w:rsidR="0083441A">
        <w:t>]</w:t>
      </w:r>
    </w:p>
    <w:p w14:paraId="2F8FFE5F" w14:textId="01F33BD2" w:rsidR="006E6CA9" w:rsidRPr="00200AAD" w:rsidRDefault="00C47FE2" w:rsidP="00C47FE2">
      <w:pPr>
        <w:pStyle w:val="SingleTxt"/>
        <w:rPr>
          <w:lang w:val="fr-FR"/>
        </w:rPr>
      </w:pPr>
      <w:r>
        <w:rPr>
          <w:lang w:val="fr-FR"/>
        </w:rPr>
        <w:tab/>
      </w:r>
      <w:r w:rsidR="006E6CA9">
        <w:rPr>
          <w:lang w:val="fr-FR"/>
        </w:rPr>
        <w:t>J</w:t>
      </w:r>
      <w:r w:rsidR="00265783">
        <w:rPr>
          <w:lang w:val="fr-FR"/>
        </w:rPr>
        <w:t>’</w:t>
      </w:r>
      <w:r w:rsidR="006E6CA9">
        <w:rPr>
          <w:lang w:val="fr-FR"/>
        </w:rPr>
        <w:t>ai l</w:t>
      </w:r>
      <w:r w:rsidR="00265783">
        <w:rPr>
          <w:lang w:val="fr-FR"/>
        </w:rPr>
        <w:t>’</w:t>
      </w:r>
      <w:r w:rsidR="006E6CA9">
        <w:rPr>
          <w:lang w:val="fr-FR"/>
        </w:rPr>
        <w:t>honneur de me référer à l</w:t>
      </w:r>
      <w:r w:rsidR="00265783">
        <w:rPr>
          <w:lang w:val="fr-FR"/>
        </w:rPr>
        <w:t>’</w:t>
      </w:r>
      <w:r w:rsidR="006E6CA9">
        <w:rPr>
          <w:lang w:val="fr-FR"/>
        </w:rPr>
        <w:t>article 21 de la Convention sur l</w:t>
      </w:r>
      <w:r w:rsidR="00265783">
        <w:rPr>
          <w:lang w:val="fr-FR"/>
        </w:rPr>
        <w:t>’</w:t>
      </w:r>
      <w:r w:rsidR="006E6CA9">
        <w:rPr>
          <w:lang w:val="fr-FR"/>
        </w:rPr>
        <w:t>élimination de toutes les formes de discrimination à l</w:t>
      </w:r>
      <w:r w:rsidR="00265783">
        <w:rPr>
          <w:lang w:val="fr-FR"/>
        </w:rPr>
        <w:t>’</w:t>
      </w:r>
      <w:r w:rsidR="006E6CA9">
        <w:rPr>
          <w:lang w:val="fr-FR"/>
        </w:rPr>
        <w:t>égard des femmes, qui dispose que le Comité pour l</w:t>
      </w:r>
      <w:r w:rsidR="00265783">
        <w:rPr>
          <w:lang w:val="fr-FR"/>
        </w:rPr>
        <w:t>’</w:t>
      </w:r>
      <w:r w:rsidR="006E6CA9">
        <w:rPr>
          <w:lang w:val="fr-FR"/>
        </w:rPr>
        <w:t>élimination de la discrimination à l</w:t>
      </w:r>
      <w:r w:rsidR="00265783">
        <w:rPr>
          <w:lang w:val="fr-FR"/>
        </w:rPr>
        <w:t>’</w:t>
      </w:r>
      <w:r w:rsidR="006E6CA9">
        <w:rPr>
          <w:lang w:val="fr-FR"/>
        </w:rPr>
        <w:t>égard des femmes, créé en application de la Convention, rend compte chaque année à l</w:t>
      </w:r>
      <w:r w:rsidR="00265783">
        <w:rPr>
          <w:lang w:val="fr-FR"/>
        </w:rPr>
        <w:t>’</w:t>
      </w:r>
      <w:r w:rsidR="006E6CA9">
        <w:rPr>
          <w:lang w:val="fr-FR"/>
        </w:rPr>
        <w:t>Assemblée générale de l</w:t>
      </w:r>
      <w:r w:rsidR="00265783">
        <w:rPr>
          <w:lang w:val="fr-FR"/>
        </w:rPr>
        <w:t>’</w:t>
      </w:r>
      <w:r w:rsidR="006E6CA9">
        <w:rPr>
          <w:lang w:val="fr-FR"/>
        </w:rPr>
        <w:t>Organisation des Nations Unies, par l</w:t>
      </w:r>
      <w:r w:rsidR="00265783">
        <w:rPr>
          <w:lang w:val="fr-FR"/>
        </w:rPr>
        <w:t>’</w:t>
      </w:r>
      <w:r w:rsidR="006E6CA9">
        <w:rPr>
          <w:lang w:val="fr-FR"/>
        </w:rPr>
        <w:t>intermédiaire du Conseil économique et social, de ses activités.</w:t>
      </w:r>
    </w:p>
    <w:p w14:paraId="421E5981" w14:textId="1BDE3B50" w:rsidR="006E6CA9" w:rsidRDefault="00C47FE2" w:rsidP="00C47FE2">
      <w:pPr>
        <w:pStyle w:val="SingleTxt"/>
        <w:rPr>
          <w:lang w:val="fr-FR"/>
        </w:rPr>
      </w:pPr>
      <w:r>
        <w:rPr>
          <w:lang w:val="fr-FR"/>
        </w:rPr>
        <w:tab/>
      </w:r>
      <w:r w:rsidR="006E6CA9">
        <w:rPr>
          <w:lang w:val="fr-FR"/>
        </w:rPr>
        <w:t>Le Comité a tenu sa soixante-septième session du 3 au 21 juillet 2017, sa soixante-huitième session du 23 octobre au 17 novembre 2017 et sa soixante-neuvième session du 19 février au 9 mars 2018 à l</w:t>
      </w:r>
      <w:r w:rsidR="00265783">
        <w:rPr>
          <w:lang w:val="fr-FR"/>
        </w:rPr>
        <w:t>’</w:t>
      </w:r>
      <w:r w:rsidR="006E6CA9">
        <w:rPr>
          <w:lang w:val="fr-FR"/>
        </w:rPr>
        <w:t>Office des Nations Unies à Genève. Il a adopté les rapports sur les travaux de ces sessions à sa 1529</w:t>
      </w:r>
      <w:r w:rsidR="006E6CA9" w:rsidRPr="0009473F">
        <w:rPr>
          <w:vertAlign w:val="superscript"/>
          <w:lang w:val="fr-FR"/>
        </w:rPr>
        <w:t xml:space="preserve">e </w:t>
      </w:r>
      <w:r w:rsidR="006E6CA9">
        <w:rPr>
          <w:lang w:val="fr-FR"/>
        </w:rPr>
        <w:t>séance, le 21 juillet 2017, à sa 1569</w:t>
      </w:r>
      <w:r w:rsidR="006E6CA9" w:rsidRPr="00C206F5">
        <w:rPr>
          <w:vertAlign w:val="superscript"/>
          <w:lang w:val="fr-FR"/>
        </w:rPr>
        <w:t>e</w:t>
      </w:r>
      <w:r w:rsidR="006E6CA9">
        <w:rPr>
          <w:lang w:val="fr-FR"/>
        </w:rPr>
        <w:t xml:space="preserve"> séance, le 17 novembre 2017, et à sa 1599</w:t>
      </w:r>
      <w:r w:rsidR="006E6CA9" w:rsidRPr="00C206F5">
        <w:rPr>
          <w:vertAlign w:val="superscript"/>
          <w:lang w:val="fr-FR"/>
        </w:rPr>
        <w:t>e</w:t>
      </w:r>
      <w:r w:rsidR="006E6CA9">
        <w:rPr>
          <w:lang w:val="fr-FR"/>
        </w:rPr>
        <w:t xml:space="preserve"> séance, le 9 mars 2018. Je vous serais obligée de bien vouloir transmettre ces rapports, que vous trouverez ci-joints, à l</w:t>
      </w:r>
      <w:r w:rsidR="00265783">
        <w:rPr>
          <w:lang w:val="fr-FR"/>
        </w:rPr>
        <w:t>’</w:t>
      </w:r>
      <w:r w:rsidR="006E6CA9">
        <w:rPr>
          <w:lang w:val="fr-FR"/>
        </w:rPr>
        <w:t>Assemblée générale à sa soixante-treizième session.</w:t>
      </w:r>
    </w:p>
    <w:p w14:paraId="08786EF2" w14:textId="2931CCCD" w:rsidR="006E6CA9" w:rsidRPr="006E6CA9" w:rsidRDefault="006E6CA9" w:rsidP="006E6CA9">
      <w:pPr>
        <w:pStyle w:val="SingleTxt"/>
        <w:spacing w:after="0" w:line="120" w:lineRule="exact"/>
        <w:ind w:left="1264" w:right="1264" w:firstLine="567"/>
        <w:rPr>
          <w:sz w:val="10"/>
          <w:lang w:val="fr-FR"/>
        </w:rPr>
      </w:pPr>
    </w:p>
    <w:p w14:paraId="30E1B1DF" w14:textId="22913F0C" w:rsidR="006E6CA9" w:rsidRDefault="00AA7D60" w:rsidP="006E6CA9">
      <w:pPr>
        <w:pStyle w:val="SingleTxt"/>
        <w:spacing w:after="0"/>
        <w:jc w:val="right"/>
        <w:rPr>
          <w:lang w:val="fr-FR"/>
        </w:rPr>
      </w:pPr>
      <w:r>
        <w:rPr>
          <w:lang w:val="fr-FR"/>
        </w:rPr>
        <w:t>La Présidente</w:t>
      </w:r>
    </w:p>
    <w:p w14:paraId="1CC5CC49" w14:textId="11B2F994" w:rsidR="00C47FE2" w:rsidRDefault="00C47FE2" w:rsidP="00C47FE2">
      <w:pPr>
        <w:pStyle w:val="SingleTxt"/>
        <w:spacing w:after="0"/>
        <w:jc w:val="right"/>
        <w:rPr>
          <w:lang w:val="fr-FR"/>
        </w:rPr>
      </w:pPr>
      <w:r w:rsidRPr="006E6CA9">
        <w:rPr>
          <w:lang w:val="fr-FR"/>
        </w:rPr>
        <w:t>(</w:t>
      </w:r>
      <w:r>
        <w:rPr>
          <w:i/>
          <w:iCs/>
          <w:lang w:val="fr-FR"/>
        </w:rPr>
        <w:t>Signé</w:t>
      </w:r>
      <w:r>
        <w:rPr>
          <w:lang w:val="fr-FR"/>
        </w:rPr>
        <w:t xml:space="preserve">) Dalia </w:t>
      </w:r>
      <w:r w:rsidRPr="00200AAD">
        <w:rPr>
          <w:b/>
          <w:bCs/>
          <w:lang w:val="fr-FR"/>
        </w:rPr>
        <w:t>Leinarte</w:t>
      </w:r>
    </w:p>
    <w:p w14:paraId="3922FD5E" w14:textId="76A97A8E" w:rsidR="0083441A" w:rsidRDefault="0083441A" w:rsidP="0083441A">
      <w:pPr>
        <w:pStyle w:val="SingleTxt"/>
        <w:jc w:val="right"/>
      </w:pPr>
    </w:p>
    <w:p w14:paraId="66B19F59" w14:textId="77777777" w:rsidR="0083441A" w:rsidRDefault="0083441A" w:rsidP="0083441A">
      <w:pPr>
        <w:pStyle w:val="SingleTxt"/>
        <w:jc w:val="right"/>
      </w:pPr>
    </w:p>
    <w:p w14:paraId="473B1078" w14:textId="53E1EABA" w:rsidR="0083441A" w:rsidRDefault="0083441A" w:rsidP="0083441A">
      <w:pPr>
        <w:pStyle w:val="SingleTxt"/>
      </w:pPr>
    </w:p>
    <w:p w14:paraId="3FF39E17" w14:textId="77777777" w:rsidR="0083441A" w:rsidRDefault="0083441A" w:rsidP="0083441A">
      <w:pPr>
        <w:pStyle w:val="SingleTxt"/>
        <w:sectPr w:rsidR="0083441A" w:rsidSect="0083441A">
          <w:headerReference w:type="even" r:id="rId15"/>
          <w:headerReference w:type="default" r:id="rId16"/>
          <w:footerReference w:type="even" r:id="rId17"/>
          <w:footerReference w:type="default" r:id="rId18"/>
          <w:pgSz w:w="12240" w:h="15840"/>
          <w:pgMar w:top="1440" w:right="1200" w:bottom="1152" w:left="1200" w:header="432" w:footer="576" w:gutter="0"/>
          <w:pgNumType w:start="3"/>
          <w:cols w:space="720"/>
          <w:docGrid w:linePitch="360"/>
        </w:sectPr>
      </w:pPr>
    </w:p>
    <w:p w14:paraId="0004B1AD" w14:textId="77777777" w:rsidR="0083441A" w:rsidRDefault="0083441A" w:rsidP="0083441A">
      <w:pPr>
        <w:spacing w:line="20" w:lineRule="exact"/>
        <w:ind w:left="1267" w:right="1267"/>
        <w:jc w:val="both"/>
        <w:sectPr w:rsidR="0083441A" w:rsidSect="00CA625D">
          <w:headerReference w:type="even" r:id="rId19"/>
          <w:headerReference w:type="default" r:id="rId20"/>
          <w:footerReference w:type="even" r:id="rId21"/>
          <w:footerReference w:type="default" r:id="rId22"/>
          <w:pgSz w:w="12240" w:h="15840"/>
          <w:pgMar w:top="1440" w:right="1200" w:bottom="1728" w:left="1200" w:header="432" w:footer="576" w:gutter="0"/>
          <w:cols w:space="720"/>
          <w:noEndnote/>
          <w:docGrid w:linePitch="360"/>
        </w:sectPr>
      </w:pPr>
    </w:p>
    <w:p w14:paraId="02D80ECC" w14:textId="77777777" w:rsidR="000D2A50" w:rsidRPr="00200AAD" w:rsidRDefault="000D2A50" w:rsidP="000D2A50">
      <w:pPr>
        <w:pStyle w:val="SingleTxt"/>
        <w:spacing w:after="0"/>
        <w:jc w:val="right"/>
        <w:rPr>
          <w:lang w:val="fr-FR"/>
        </w:rPr>
      </w:pPr>
    </w:p>
    <w:p w14:paraId="35BC5D29" w14:textId="3F73D22B" w:rsidR="000D2A50" w:rsidRPr="009C4E47" w:rsidRDefault="000D2A50" w:rsidP="000D2A50">
      <w:pPr>
        <w:pStyle w:val="HCh0"/>
        <w:ind w:left="1267" w:right="1260" w:hanging="1267"/>
        <w:rPr>
          <w:lang w:val="fr-FR"/>
        </w:rPr>
      </w:pPr>
      <w:r w:rsidRPr="009C4E47">
        <w:rPr>
          <w:lang w:val="fr-FR"/>
        </w:rPr>
        <w:t>Première partie</w:t>
      </w:r>
    </w:p>
    <w:p w14:paraId="164EB874" w14:textId="780B19C8" w:rsidR="000D2A50" w:rsidRPr="009C4E47" w:rsidRDefault="000D2A50" w:rsidP="000D2A50">
      <w:pPr>
        <w:pStyle w:val="HCh0"/>
        <w:ind w:left="1267" w:right="1260" w:hanging="1267"/>
        <w:rPr>
          <w:lang w:val="fr-FR"/>
        </w:rPr>
      </w:pPr>
      <w:r w:rsidRPr="009C4E47">
        <w:rPr>
          <w:lang w:val="fr-FR"/>
        </w:rPr>
        <w:tab/>
      </w:r>
      <w:r w:rsidRPr="009C4E47">
        <w:rPr>
          <w:lang w:val="fr-FR"/>
        </w:rPr>
        <w:tab/>
        <w:t>Rapport du Comité pour l</w:t>
      </w:r>
      <w:r w:rsidR="00265783">
        <w:rPr>
          <w:lang w:val="fr-FR"/>
        </w:rPr>
        <w:t>’</w:t>
      </w:r>
      <w:r w:rsidRPr="009C4E47">
        <w:rPr>
          <w:lang w:val="fr-FR"/>
        </w:rPr>
        <w:t>élimination de la discrimination à l</w:t>
      </w:r>
      <w:r w:rsidR="00265783">
        <w:rPr>
          <w:lang w:val="fr-FR"/>
        </w:rPr>
        <w:t>’</w:t>
      </w:r>
      <w:r w:rsidRPr="009C4E47">
        <w:rPr>
          <w:lang w:val="fr-FR"/>
        </w:rPr>
        <w:t>égard des femmes sur les travaux de sa soixante-septième session</w:t>
      </w:r>
    </w:p>
    <w:p w14:paraId="0BB7A033" w14:textId="28A71BDD" w:rsidR="000D2A50" w:rsidRPr="009C4E47" w:rsidRDefault="000D2A50" w:rsidP="000D2A50">
      <w:pPr>
        <w:pStyle w:val="SingleTxt"/>
        <w:spacing w:after="0" w:line="120" w:lineRule="exact"/>
        <w:rPr>
          <w:sz w:val="10"/>
          <w:lang w:val="fr-FR"/>
        </w:rPr>
      </w:pPr>
    </w:p>
    <w:p w14:paraId="2DE4C1BB" w14:textId="3FF3EF7A" w:rsidR="000D2A50" w:rsidRPr="009C4E47" w:rsidRDefault="000D2A50" w:rsidP="000D2A50">
      <w:pPr>
        <w:pStyle w:val="SingleTxt"/>
        <w:spacing w:after="0" w:line="120" w:lineRule="exact"/>
        <w:rPr>
          <w:sz w:val="10"/>
          <w:lang w:val="fr-FR"/>
        </w:rPr>
      </w:pPr>
    </w:p>
    <w:p w14:paraId="6506FA5A" w14:textId="4D4E2B75" w:rsidR="000D2A50" w:rsidRDefault="000D2A50" w:rsidP="000D2A5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3-21 juillet 2017</w:t>
      </w:r>
    </w:p>
    <w:p w14:paraId="48E16AD7" w14:textId="3B85112C" w:rsidR="0083441A" w:rsidRPr="00F60182" w:rsidRDefault="0083441A" w:rsidP="00F60182">
      <w:pPr>
        <w:pStyle w:val="SingleTxt"/>
        <w:spacing w:after="0" w:line="120" w:lineRule="exact"/>
        <w:rPr>
          <w:sz w:val="10"/>
        </w:rPr>
      </w:pPr>
    </w:p>
    <w:p w14:paraId="7AF09109" w14:textId="406AB043" w:rsidR="00F60182" w:rsidRPr="00F60182" w:rsidRDefault="00F60182" w:rsidP="00F60182">
      <w:pPr>
        <w:pStyle w:val="SingleTxt"/>
        <w:spacing w:after="0" w:line="120" w:lineRule="exact"/>
        <w:rPr>
          <w:sz w:val="10"/>
        </w:rPr>
      </w:pPr>
    </w:p>
    <w:p w14:paraId="3E62C558" w14:textId="7793419E" w:rsidR="000D2A50" w:rsidRDefault="000D2A50">
      <w:pPr>
        <w:spacing w:after="200" w:line="276" w:lineRule="auto"/>
      </w:pPr>
      <w:r>
        <w:br w:type="page"/>
      </w:r>
    </w:p>
    <w:p w14:paraId="1E324AB0" w14:textId="77777777" w:rsidR="000D2A50" w:rsidRPr="009C4E47" w:rsidRDefault="000D2A50" w:rsidP="00C62193">
      <w:pPr>
        <w:pStyle w:val="HCh0"/>
        <w:ind w:left="1267" w:right="1260" w:hanging="1267"/>
        <w:rPr>
          <w:lang w:val="fr-FR"/>
        </w:rPr>
      </w:pPr>
      <w:r w:rsidRPr="009C4E47">
        <w:rPr>
          <w:lang w:val="fr-FR"/>
        </w:rPr>
        <w:lastRenderedPageBreak/>
        <w:t>Chapitre I</w:t>
      </w:r>
    </w:p>
    <w:p w14:paraId="0A67FB6A" w14:textId="31E6B9E3" w:rsidR="000D2A50" w:rsidRPr="009C4E47" w:rsidRDefault="000D2A50" w:rsidP="00C62193">
      <w:pPr>
        <w:pStyle w:val="HCh0"/>
        <w:ind w:left="1267" w:right="1260" w:hanging="1267"/>
        <w:rPr>
          <w:lang w:val="fr-FR"/>
        </w:rPr>
      </w:pPr>
      <w:r w:rsidRPr="009C4E47">
        <w:rPr>
          <w:lang w:val="fr-FR"/>
        </w:rPr>
        <w:tab/>
      </w:r>
      <w:r w:rsidRPr="009C4E47">
        <w:rPr>
          <w:lang w:val="fr-FR"/>
        </w:rPr>
        <w:tab/>
        <w:t xml:space="preserve">Décisions adoptées par le Comité </w:t>
      </w:r>
    </w:p>
    <w:p w14:paraId="7B76182C" w14:textId="00F81BE8" w:rsidR="00C629FB" w:rsidRPr="009C4E47" w:rsidRDefault="00C629FB" w:rsidP="00C629FB">
      <w:pPr>
        <w:pStyle w:val="SingleTxt"/>
        <w:spacing w:after="0" w:line="120" w:lineRule="exact"/>
        <w:rPr>
          <w:sz w:val="10"/>
          <w:lang w:val="fr-FR"/>
        </w:rPr>
      </w:pPr>
    </w:p>
    <w:p w14:paraId="495342B6" w14:textId="1EBE6F5A" w:rsidR="00C629FB" w:rsidRPr="009C4E47" w:rsidRDefault="00C629FB" w:rsidP="00C629FB">
      <w:pPr>
        <w:pStyle w:val="SingleTxt"/>
        <w:spacing w:after="0" w:line="120" w:lineRule="exact"/>
        <w:rPr>
          <w:sz w:val="10"/>
          <w:lang w:val="fr-FR"/>
        </w:rPr>
      </w:pPr>
    </w:p>
    <w:p w14:paraId="5224B656" w14:textId="796C7951" w:rsidR="000D2A50" w:rsidRDefault="000D2A50" w:rsidP="00C62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5C56">
        <w:rPr>
          <w:lang w:val="fr-FR"/>
        </w:rPr>
        <w:tab/>
      </w:r>
      <w:r w:rsidRPr="00265C56">
        <w:rPr>
          <w:lang w:val="fr-FR"/>
        </w:rPr>
        <w:tab/>
        <w:t>Décision 67/I</w:t>
      </w:r>
    </w:p>
    <w:p w14:paraId="51771F25" w14:textId="548B63B3" w:rsidR="00C629FB" w:rsidRPr="00C629FB" w:rsidRDefault="00C629FB" w:rsidP="00C629FB">
      <w:pPr>
        <w:pStyle w:val="SingleTxt"/>
        <w:spacing w:after="0" w:line="120" w:lineRule="exact"/>
        <w:rPr>
          <w:sz w:val="10"/>
          <w:lang w:val="fr-FR"/>
        </w:rPr>
      </w:pPr>
    </w:p>
    <w:p w14:paraId="6573D280" w14:textId="7EEECD00" w:rsidR="000D2A50" w:rsidRDefault="000D2A50" w:rsidP="00C629FB">
      <w:pPr>
        <w:pStyle w:val="SingleTxt"/>
        <w:rPr>
          <w:lang w:val="fr-FR"/>
        </w:rPr>
      </w:pPr>
      <w:r w:rsidRPr="00265C56">
        <w:rPr>
          <w:lang w:val="fr-FR"/>
        </w:rPr>
        <w:tab/>
        <w:t>Le 18 juillet 2017, le Comité a adopté par consensus la recommandation générale n</w:t>
      </w:r>
      <w:r w:rsidRPr="00265C56">
        <w:rPr>
          <w:vertAlign w:val="superscript"/>
          <w:lang w:val="fr-FR"/>
        </w:rPr>
        <w:t>o</w:t>
      </w:r>
      <w:r w:rsidR="00C47FE2">
        <w:rPr>
          <w:lang w:val="fr-FR"/>
        </w:rPr>
        <w:t> </w:t>
      </w:r>
      <w:r w:rsidRPr="00265C56">
        <w:rPr>
          <w:lang w:val="fr-FR"/>
        </w:rPr>
        <w:t>35 (2017) sur la violence sexiste à l</w:t>
      </w:r>
      <w:r w:rsidR="00265783">
        <w:rPr>
          <w:lang w:val="fr-FR"/>
        </w:rPr>
        <w:t>’</w:t>
      </w:r>
      <w:r w:rsidRPr="00265C56">
        <w:rPr>
          <w:lang w:val="fr-FR"/>
        </w:rPr>
        <w:t>égard des femmes, portant actualisation de la recommandation générale n</w:t>
      </w:r>
      <w:r w:rsidRPr="00265C56">
        <w:rPr>
          <w:vertAlign w:val="superscript"/>
          <w:lang w:val="fr-FR"/>
        </w:rPr>
        <w:t>o</w:t>
      </w:r>
      <w:r w:rsidR="00C47FE2">
        <w:rPr>
          <w:lang w:val="fr-FR"/>
        </w:rPr>
        <w:t> </w:t>
      </w:r>
      <w:r w:rsidRPr="00265C56">
        <w:rPr>
          <w:lang w:val="fr-FR"/>
        </w:rPr>
        <w:t>19 (</w:t>
      </w:r>
      <w:hyperlink r:id="rId23" w:history="1">
        <w:r w:rsidRPr="008E2674">
          <w:rPr>
            <w:rStyle w:val="Hyperlink"/>
            <w:lang w:val="fr-FR"/>
          </w:rPr>
          <w:t>CEDAW/C/GC/35</w:t>
        </w:r>
      </w:hyperlink>
      <w:r w:rsidRPr="00265C56">
        <w:rPr>
          <w:lang w:val="fr-FR"/>
        </w:rPr>
        <w:t>). Le Comité a décidé d</w:t>
      </w:r>
      <w:r w:rsidR="00265783">
        <w:rPr>
          <w:lang w:val="fr-FR"/>
        </w:rPr>
        <w:t>’</w:t>
      </w:r>
      <w:r w:rsidRPr="00265C56">
        <w:rPr>
          <w:lang w:val="fr-FR"/>
        </w:rPr>
        <w:t xml:space="preserve">organiser une manifestation publique de haut niveau </w:t>
      </w:r>
      <w:r w:rsidRPr="00265C56">
        <w:t>à</w:t>
      </w:r>
      <w:r w:rsidRPr="00265C56">
        <w:rPr>
          <w:lang w:val="fr-FR"/>
        </w:rPr>
        <w:t xml:space="preserve"> sa soixante-huitième session en vue de faire connaître la recommandation générale n</w:t>
      </w:r>
      <w:r w:rsidRPr="00265C56">
        <w:rPr>
          <w:vertAlign w:val="superscript"/>
          <w:lang w:val="fr-FR"/>
        </w:rPr>
        <w:t>o</w:t>
      </w:r>
      <w:r w:rsidR="00C47FE2">
        <w:rPr>
          <w:lang w:val="fr-FR"/>
        </w:rPr>
        <w:t> </w:t>
      </w:r>
      <w:r w:rsidRPr="00265C56">
        <w:rPr>
          <w:lang w:val="fr-FR"/>
        </w:rPr>
        <w:t>35, qui vient d</w:t>
      </w:r>
      <w:r w:rsidR="00265783">
        <w:rPr>
          <w:lang w:val="fr-FR"/>
        </w:rPr>
        <w:t>’</w:t>
      </w:r>
      <w:r w:rsidRPr="00265C56">
        <w:rPr>
          <w:lang w:val="fr-FR"/>
        </w:rPr>
        <w:t>être adoptée. La manifestation sera organisée par le Service des instruments relatifs aux droits de l</w:t>
      </w:r>
      <w:r w:rsidR="00265783">
        <w:rPr>
          <w:lang w:val="fr-FR"/>
        </w:rPr>
        <w:t>’</w:t>
      </w:r>
      <w:r w:rsidRPr="00265C56">
        <w:rPr>
          <w:lang w:val="fr-FR"/>
        </w:rPr>
        <w:t>homme du Haut-Commissariat des Nations Unies aux droits de l</w:t>
      </w:r>
      <w:r w:rsidR="00265783">
        <w:rPr>
          <w:lang w:val="fr-FR"/>
        </w:rPr>
        <w:t>’</w:t>
      </w:r>
      <w:r w:rsidRPr="00265C56">
        <w:rPr>
          <w:lang w:val="fr-FR"/>
        </w:rPr>
        <w:t>homme, avec l</w:t>
      </w:r>
      <w:r w:rsidR="00265783">
        <w:rPr>
          <w:lang w:val="fr-FR"/>
        </w:rPr>
        <w:t>’</w:t>
      </w:r>
      <w:r w:rsidRPr="00265C56">
        <w:rPr>
          <w:lang w:val="fr-FR"/>
        </w:rPr>
        <w:t>appui de la Section des droits de la femme et de l</w:t>
      </w:r>
      <w:r w:rsidR="00265783">
        <w:rPr>
          <w:lang w:val="fr-FR"/>
        </w:rPr>
        <w:t>’</w:t>
      </w:r>
      <w:r w:rsidRPr="00265C56">
        <w:rPr>
          <w:lang w:val="fr-FR"/>
        </w:rPr>
        <w:t>égalité des sexes.</w:t>
      </w:r>
    </w:p>
    <w:p w14:paraId="143CC67C" w14:textId="3245E57E" w:rsidR="00C629FB" w:rsidRPr="00C629FB" w:rsidRDefault="00C629FB" w:rsidP="00C629FB">
      <w:pPr>
        <w:pStyle w:val="SingleTxt"/>
        <w:spacing w:after="0" w:line="120" w:lineRule="exact"/>
        <w:rPr>
          <w:sz w:val="10"/>
          <w:lang w:val="fr-FR"/>
        </w:rPr>
      </w:pPr>
    </w:p>
    <w:p w14:paraId="275F6526" w14:textId="5172EDC9" w:rsidR="000D2A50" w:rsidRDefault="000D2A50" w:rsidP="00C62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5C56">
        <w:rPr>
          <w:lang w:val="fr-FR"/>
        </w:rPr>
        <w:tab/>
      </w:r>
      <w:r w:rsidRPr="00265C56">
        <w:rPr>
          <w:lang w:val="fr-FR"/>
        </w:rPr>
        <w:tab/>
        <w:t>Décision 67/II</w:t>
      </w:r>
    </w:p>
    <w:p w14:paraId="411911C9" w14:textId="06E48369" w:rsidR="00C629FB" w:rsidRPr="00C629FB" w:rsidRDefault="00C629FB" w:rsidP="00C629FB">
      <w:pPr>
        <w:pStyle w:val="SingleTxt"/>
        <w:spacing w:after="0" w:line="120" w:lineRule="exact"/>
        <w:rPr>
          <w:sz w:val="10"/>
          <w:lang w:val="fr-FR"/>
        </w:rPr>
      </w:pPr>
    </w:p>
    <w:p w14:paraId="11B824D2" w14:textId="5BA97CB9" w:rsidR="000D2A50" w:rsidRDefault="000D2A50" w:rsidP="00C629FB">
      <w:pPr>
        <w:pStyle w:val="SingleTxt"/>
        <w:rPr>
          <w:lang w:val="fr-FR"/>
        </w:rPr>
      </w:pPr>
      <w:r w:rsidRPr="00265C56">
        <w:rPr>
          <w:lang w:val="fr-FR"/>
        </w:rPr>
        <w:tab/>
        <w:t>Le 13 juillet 2017, le Comité a souscrit aux recommandations sur la prise en compte des droits fondamentaux des femmes dans le pacte mondial pour des migrations sûres, ordonnées et régulières (goo.gl</w:t>
      </w:r>
      <w:r w:rsidR="009C4E47">
        <w:rPr>
          <w:lang w:val="fr-FR"/>
        </w:rPr>
        <w:t>/tA152h), adoptées les 21 et 22 </w:t>
      </w:r>
      <w:r w:rsidRPr="00265C56">
        <w:rPr>
          <w:lang w:val="fr-FR"/>
        </w:rPr>
        <w:t>novembre 2016 à Genève, à une réunion d</w:t>
      </w:r>
      <w:r w:rsidR="00265783">
        <w:rPr>
          <w:lang w:val="fr-FR"/>
        </w:rPr>
        <w:t>’</w:t>
      </w:r>
      <w:r w:rsidRPr="00265C56">
        <w:rPr>
          <w:lang w:val="fr-FR"/>
        </w:rPr>
        <w:t>experts organisée par le Haut-Commissariat aux droits de l</w:t>
      </w:r>
      <w:r w:rsidR="00265783">
        <w:rPr>
          <w:lang w:val="fr-FR"/>
        </w:rPr>
        <w:t>’</w:t>
      </w:r>
      <w:r w:rsidRPr="00265C56">
        <w:rPr>
          <w:lang w:val="fr-FR"/>
        </w:rPr>
        <w:t>homme et l</w:t>
      </w:r>
      <w:r w:rsidR="00265783">
        <w:rPr>
          <w:lang w:val="fr-FR"/>
        </w:rPr>
        <w:t>’</w:t>
      </w:r>
      <w:r w:rsidRPr="00265C56">
        <w:rPr>
          <w:lang w:val="fr-FR"/>
        </w:rPr>
        <w:t>Entité des Nations Unies pour l</w:t>
      </w:r>
      <w:r w:rsidR="00265783">
        <w:rPr>
          <w:lang w:val="fr-FR"/>
        </w:rPr>
        <w:t>’</w:t>
      </w:r>
      <w:r w:rsidRPr="00265C56">
        <w:rPr>
          <w:lang w:val="fr-FR"/>
        </w:rPr>
        <w:t>égalité des sexes et l</w:t>
      </w:r>
      <w:r w:rsidR="00265783">
        <w:rPr>
          <w:lang w:val="fr-FR"/>
        </w:rPr>
        <w:t>’</w:t>
      </w:r>
      <w:r w:rsidRPr="00265C56">
        <w:rPr>
          <w:lang w:val="fr-FR"/>
        </w:rPr>
        <w:t>autonomisation des femmes (ONU-Femmes).</w:t>
      </w:r>
    </w:p>
    <w:p w14:paraId="3A8E4441" w14:textId="12AE40D5" w:rsidR="00C629FB" w:rsidRPr="00C629FB" w:rsidRDefault="00C629FB" w:rsidP="00C629FB">
      <w:pPr>
        <w:pStyle w:val="SingleTxt"/>
        <w:spacing w:after="0" w:line="120" w:lineRule="exact"/>
        <w:rPr>
          <w:sz w:val="10"/>
          <w:lang w:val="fr-FR"/>
        </w:rPr>
      </w:pPr>
    </w:p>
    <w:p w14:paraId="606940BD" w14:textId="77777777" w:rsidR="000D2A50" w:rsidRPr="00265C56" w:rsidRDefault="000D2A50" w:rsidP="00C62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5C56">
        <w:rPr>
          <w:lang w:val="fr-FR"/>
        </w:rPr>
        <w:tab/>
      </w:r>
      <w:r w:rsidRPr="00265C56">
        <w:rPr>
          <w:lang w:val="fr-FR"/>
        </w:rPr>
        <w:tab/>
        <w:t>Décision 67/III</w:t>
      </w:r>
    </w:p>
    <w:p w14:paraId="7E535858" w14:textId="655451F5" w:rsidR="00C629FB" w:rsidRPr="00C629FB" w:rsidRDefault="00C629FB" w:rsidP="00C629FB">
      <w:pPr>
        <w:pStyle w:val="SingleTxtG"/>
        <w:spacing w:after="0" w:line="120" w:lineRule="exact"/>
        <w:ind w:firstLine="567"/>
        <w:rPr>
          <w:rFonts w:asciiTheme="majorBidi" w:hAnsiTheme="majorBidi" w:cstheme="majorBidi"/>
          <w:sz w:val="10"/>
          <w:lang w:val="fr-FR"/>
        </w:rPr>
      </w:pPr>
    </w:p>
    <w:p w14:paraId="40E57232" w14:textId="1B1702B7" w:rsidR="000D2A50" w:rsidRDefault="000D2A50" w:rsidP="00C629FB">
      <w:pPr>
        <w:pStyle w:val="SingleTxt"/>
        <w:rPr>
          <w:lang w:val="fr-FR"/>
        </w:rPr>
      </w:pPr>
      <w:r w:rsidRPr="00265C56">
        <w:rPr>
          <w:lang w:val="fr-FR"/>
        </w:rPr>
        <w:tab/>
        <w:t>Le Comité a nommé Theodora Oby Nwankwo membre du Groupe de travail des communications soumises en vertu du Protocole facultatif, en remplacement de Pramila Patten. Il a également avalisé l</w:t>
      </w:r>
      <w:r w:rsidR="00265783">
        <w:rPr>
          <w:lang w:val="fr-FR"/>
        </w:rPr>
        <w:t>’</w:t>
      </w:r>
      <w:r w:rsidRPr="00265C56">
        <w:rPr>
          <w:lang w:val="fr-FR"/>
        </w:rPr>
        <w:t>élection de Patricia Schulz à la présidence du Groupe de travail, de même que celle de Gladys Acosta Vargas à la vice-présidence.</w:t>
      </w:r>
    </w:p>
    <w:p w14:paraId="7ED74464" w14:textId="06644DDC" w:rsidR="00C629FB" w:rsidRPr="00C629FB" w:rsidRDefault="00C629FB" w:rsidP="00C629FB">
      <w:pPr>
        <w:pStyle w:val="SingleTxt"/>
        <w:spacing w:after="0" w:line="120" w:lineRule="exact"/>
        <w:rPr>
          <w:sz w:val="10"/>
          <w:lang w:val="fr-FR"/>
        </w:rPr>
      </w:pPr>
    </w:p>
    <w:p w14:paraId="3D5AB258" w14:textId="77777777" w:rsidR="000D2A50" w:rsidRPr="00265C56" w:rsidRDefault="000D2A50" w:rsidP="00C62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5C56">
        <w:rPr>
          <w:lang w:val="fr-FR"/>
        </w:rPr>
        <w:tab/>
      </w:r>
      <w:r w:rsidRPr="00265C56">
        <w:rPr>
          <w:lang w:val="fr-FR"/>
        </w:rPr>
        <w:tab/>
        <w:t>Décision 67/IV</w:t>
      </w:r>
    </w:p>
    <w:p w14:paraId="32BA0A3F" w14:textId="114CC805" w:rsidR="00C629FB" w:rsidRPr="00C629FB" w:rsidRDefault="00C629FB" w:rsidP="00C629FB">
      <w:pPr>
        <w:pStyle w:val="SingleTxt"/>
        <w:spacing w:after="0" w:line="120" w:lineRule="exact"/>
        <w:rPr>
          <w:sz w:val="10"/>
          <w:lang w:val="fr-FR"/>
        </w:rPr>
      </w:pPr>
    </w:p>
    <w:p w14:paraId="5B78AD10" w14:textId="092E46A5" w:rsidR="000D2A50" w:rsidRDefault="000D2A50" w:rsidP="00C629FB">
      <w:pPr>
        <w:pStyle w:val="SingleTxt"/>
        <w:rPr>
          <w:lang w:val="fr-FR"/>
        </w:rPr>
      </w:pPr>
      <w:r w:rsidRPr="00265C56">
        <w:rPr>
          <w:lang w:val="fr-FR"/>
        </w:rPr>
        <w:tab/>
        <w:t>Le Comité a nommé Dalia Leinarte membre du Groupe de travail chargé des enquêtes menées au titre du Protocole facultatif, en remplacement de Teodora Oby Nwankwo.</w:t>
      </w:r>
    </w:p>
    <w:p w14:paraId="4F58DCC4" w14:textId="19DF8C59" w:rsidR="00C629FB" w:rsidRPr="00C629FB" w:rsidRDefault="00C629FB" w:rsidP="00C629FB">
      <w:pPr>
        <w:pStyle w:val="SingleTxt"/>
        <w:spacing w:after="0" w:line="120" w:lineRule="exact"/>
        <w:rPr>
          <w:sz w:val="10"/>
          <w:lang w:val="fr-FR"/>
        </w:rPr>
      </w:pPr>
    </w:p>
    <w:p w14:paraId="3F942983" w14:textId="1E691847" w:rsidR="000D2A50" w:rsidRPr="00265C56" w:rsidRDefault="000D2A50" w:rsidP="00C62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5C56">
        <w:rPr>
          <w:lang w:val="fr-FR"/>
        </w:rPr>
        <w:tab/>
      </w:r>
      <w:r w:rsidRPr="00265C56">
        <w:rPr>
          <w:lang w:val="fr-FR"/>
        </w:rPr>
        <w:tab/>
        <w:t>Décision 67/V</w:t>
      </w:r>
    </w:p>
    <w:p w14:paraId="3E929466" w14:textId="6D452330" w:rsidR="00C629FB" w:rsidRPr="00C629FB" w:rsidRDefault="00C629FB" w:rsidP="00C629FB">
      <w:pPr>
        <w:pStyle w:val="SingleTxt"/>
        <w:spacing w:after="0" w:line="120" w:lineRule="exact"/>
        <w:rPr>
          <w:sz w:val="10"/>
          <w:lang w:val="fr-FR"/>
        </w:rPr>
      </w:pPr>
    </w:p>
    <w:p w14:paraId="3209533E" w14:textId="7E130542" w:rsidR="000D2A50" w:rsidRDefault="000D2A50" w:rsidP="00C629FB">
      <w:pPr>
        <w:pStyle w:val="SingleTxt"/>
        <w:rPr>
          <w:lang w:val="fr-FR"/>
        </w:rPr>
      </w:pPr>
      <w:r w:rsidRPr="00265C56">
        <w:rPr>
          <w:lang w:val="fr-FR"/>
        </w:rPr>
        <w:tab/>
        <w:t>Le Comité a décidé de modifier sa pratique actuelle consistant à ne traiter dans ses observations finales que les questions examinées au cours du dialogue constructif avec l</w:t>
      </w:r>
      <w:r w:rsidR="00265783">
        <w:rPr>
          <w:lang w:val="fr-FR"/>
        </w:rPr>
        <w:t>’</w:t>
      </w:r>
      <w:r w:rsidRPr="00265C56">
        <w:rPr>
          <w:lang w:val="fr-FR"/>
        </w:rPr>
        <w:t>État partie concerné (voir décision 60/VII), afin que les experts aient moins de questions à poser au cours du dialogue. Il a décidé également que les questions figurant sur la liste des points et questions à traiter ou la liste de points et questions avant la présentation du rapport du Comité pourront également être ajoutées aux observations finales. Le Comité a demandé au Secrétariat d</w:t>
      </w:r>
      <w:r w:rsidR="00265783">
        <w:rPr>
          <w:lang w:val="fr-FR"/>
        </w:rPr>
        <w:t>’</w:t>
      </w:r>
      <w:r w:rsidRPr="00265C56">
        <w:rPr>
          <w:lang w:val="fr-FR"/>
        </w:rPr>
        <w:t>informer les États parties de cette nouvelle pratique avant l</w:t>
      </w:r>
      <w:r w:rsidR="00265783">
        <w:rPr>
          <w:lang w:val="fr-FR"/>
        </w:rPr>
        <w:t>’</w:t>
      </w:r>
      <w:r w:rsidRPr="00265C56">
        <w:rPr>
          <w:lang w:val="fr-FR"/>
        </w:rPr>
        <w:t>établissement des rapports, par le truchement des notes verbales dans lesquelles figurent les listes de points et questions.</w:t>
      </w:r>
    </w:p>
    <w:p w14:paraId="7268241E" w14:textId="0B7BADB6" w:rsidR="00C629FB" w:rsidRPr="00C629FB" w:rsidRDefault="00C629FB" w:rsidP="00C629FB">
      <w:pPr>
        <w:pStyle w:val="SingleTxt"/>
        <w:spacing w:after="0" w:line="120" w:lineRule="exact"/>
        <w:rPr>
          <w:sz w:val="10"/>
          <w:lang w:val="fr-FR"/>
        </w:rPr>
      </w:pPr>
    </w:p>
    <w:p w14:paraId="2ACB4465" w14:textId="77777777" w:rsidR="000D2A50" w:rsidRPr="00265C56" w:rsidRDefault="000D2A50" w:rsidP="00C62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5C56">
        <w:rPr>
          <w:lang w:val="fr-FR"/>
        </w:rPr>
        <w:tab/>
      </w:r>
      <w:r w:rsidRPr="00265C56">
        <w:rPr>
          <w:lang w:val="fr-FR"/>
        </w:rPr>
        <w:tab/>
        <w:t>Décision 67/VI</w:t>
      </w:r>
    </w:p>
    <w:p w14:paraId="5D69CA13" w14:textId="7C7797D5" w:rsidR="00C629FB" w:rsidRPr="00C629FB" w:rsidRDefault="00C629FB" w:rsidP="00C629FB">
      <w:pPr>
        <w:pStyle w:val="SingleTxt"/>
        <w:spacing w:after="0" w:line="120" w:lineRule="exact"/>
        <w:rPr>
          <w:sz w:val="10"/>
          <w:lang w:val="fr-FR"/>
        </w:rPr>
      </w:pPr>
    </w:p>
    <w:p w14:paraId="530BAC7C" w14:textId="4F9949FC" w:rsidR="000D2A50" w:rsidRDefault="000D2A50" w:rsidP="00C629FB">
      <w:pPr>
        <w:pStyle w:val="SingleTxt"/>
        <w:rPr>
          <w:lang w:val="fr-FR"/>
        </w:rPr>
      </w:pPr>
      <w:r w:rsidRPr="00265C56">
        <w:rPr>
          <w:lang w:val="fr-FR"/>
        </w:rPr>
        <w:tab/>
        <w:t>Le Comité a rappelé sa décision 55/IX, en vertu de laquelle chaque expert doit s</w:t>
      </w:r>
      <w:r w:rsidR="00265783">
        <w:rPr>
          <w:lang w:val="fr-FR"/>
        </w:rPr>
        <w:t>’</w:t>
      </w:r>
      <w:r w:rsidRPr="00265C56">
        <w:rPr>
          <w:lang w:val="fr-FR"/>
        </w:rPr>
        <w:t>inscrire dans quatre équipes spéciales de pays au minimum et ce, à chaque session, les rapporteurs de pays devant s</w:t>
      </w:r>
      <w:r w:rsidR="00265783">
        <w:rPr>
          <w:lang w:val="fr-FR"/>
        </w:rPr>
        <w:t>’</w:t>
      </w:r>
      <w:r w:rsidRPr="00265C56">
        <w:rPr>
          <w:lang w:val="fr-FR"/>
        </w:rPr>
        <w:t>inscrire dans deux équipes spéciales de pays supplémentaires au minimum, dans les cas où huit rapports d</w:t>
      </w:r>
      <w:r w:rsidR="00265783">
        <w:rPr>
          <w:lang w:val="fr-FR"/>
        </w:rPr>
        <w:t>’</w:t>
      </w:r>
      <w:r w:rsidRPr="00265C56">
        <w:rPr>
          <w:lang w:val="fr-FR"/>
        </w:rPr>
        <w:t>États parties doivent être examinés au cours de la même session. Il a également décidé que, dans l</w:t>
      </w:r>
      <w:r w:rsidR="00265783">
        <w:rPr>
          <w:lang w:val="fr-FR"/>
        </w:rPr>
        <w:t>’</w:t>
      </w:r>
      <w:r w:rsidRPr="00265C56">
        <w:rPr>
          <w:lang w:val="fr-FR"/>
        </w:rPr>
        <w:t>éventualité d</w:t>
      </w:r>
      <w:r w:rsidR="00265783">
        <w:rPr>
          <w:lang w:val="fr-FR"/>
        </w:rPr>
        <w:t>’</w:t>
      </w:r>
      <w:r w:rsidRPr="00265C56">
        <w:rPr>
          <w:lang w:val="fr-FR"/>
        </w:rPr>
        <w:t>une session de quatre semaines, lors de laquelle 12 rapports d</w:t>
      </w:r>
      <w:r w:rsidR="00265783">
        <w:rPr>
          <w:lang w:val="fr-FR"/>
        </w:rPr>
        <w:t>’</w:t>
      </w:r>
      <w:r w:rsidRPr="00265C56">
        <w:rPr>
          <w:lang w:val="fr-FR"/>
        </w:rPr>
        <w:t>États parties seraient examinés, chaque expert devrait s</w:t>
      </w:r>
      <w:r w:rsidR="00265783">
        <w:rPr>
          <w:lang w:val="fr-FR"/>
        </w:rPr>
        <w:t>’</w:t>
      </w:r>
      <w:r w:rsidRPr="00265C56">
        <w:rPr>
          <w:lang w:val="fr-FR"/>
        </w:rPr>
        <w:t xml:space="preserve">inscrire dans six équipes spéciales </w:t>
      </w:r>
      <w:r w:rsidRPr="00265C56">
        <w:rPr>
          <w:lang w:val="fr-FR"/>
        </w:rPr>
        <w:lastRenderedPageBreak/>
        <w:t>de pays au minimum, à l</w:t>
      </w:r>
      <w:r w:rsidR="00265783">
        <w:rPr>
          <w:lang w:val="fr-FR"/>
        </w:rPr>
        <w:t>’</w:t>
      </w:r>
      <w:r w:rsidRPr="00265C56">
        <w:rPr>
          <w:lang w:val="fr-FR"/>
        </w:rPr>
        <w:t>exception des rapporteurs de pays, qui devraient, dans la mesure du possible, s</w:t>
      </w:r>
      <w:r w:rsidR="00265783">
        <w:rPr>
          <w:lang w:val="fr-FR"/>
        </w:rPr>
        <w:t>’</w:t>
      </w:r>
      <w:r w:rsidRPr="00265C56">
        <w:rPr>
          <w:lang w:val="fr-FR"/>
        </w:rPr>
        <w:t>inscrire dans trois équipes spéciales de pays. Le Comité a en outre décidé que la liste des équipes spéciales de pays d</w:t>
      </w:r>
      <w:r w:rsidR="00265783">
        <w:rPr>
          <w:lang w:val="fr-FR"/>
        </w:rPr>
        <w:t>’</w:t>
      </w:r>
      <w:r w:rsidRPr="00265C56">
        <w:rPr>
          <w:lang w:val="fr-FR"/>
        </w:rPr>
        <w:t>une session donnée devait être établie, dans la mesure du possible, à la session précédant celle où le rapport de l</w:t>
      </w:r>
      <w:r w:rsidR="00265783">
        <w:rPr>
          <w:lang w:val="fr-FR"/>
        </w:rPr>
        <w:t>’</w:t>
      </w:r>
      <w:r w:rsidRPr="00265C56">
        <w:rPr>
          <w:lang w:val="fr-FR"/>
        </w:rPr>
        <w:t>État partie concerné devait être examiné.</w:t>
      </w:r>
    </w:p>
    <w:p w14:paraId="472673C7" w14:textId="72FD9F46" w:rsidR="00C629FB" w:rsidRPr="00C629FB" w:rsidRDefault="00C629FB" w:rsidP="00C629FB">
      <w:pPr>
        <w:pStyle w:val="SingleTxt"/>
        <w:spacing w:after="0" w:line="120" w:lineRule="exact"/>
        <w:rPr>
          <w:sz w:val="10"/>
          <w:lang w:val="fr-FR"/>
        </w:rPr>
      </w:pPr>
    </w:p>
    <w:p w14:paraId="01E4EA11" w14:textId="7E17D6DA" w:rsidR="000D2A50" w:rsidRPr="00265C56" w:rsidRDefault="000D2A50" w:rsidP="00C62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5C56">
        <w:rPr>
          <w:lang w:val="fr-FR"/>
        </w:rPr>
        <w:tab/>
      </w:r>
      <w:r w:rsidRPr="00265C56">
        <w:rPr>
          <w:lang w:val="fr-FR"/>
        </w:rPr>
        <w:tab/>
        <w:t>Décision 67/VII</w:t>
      </w:r>
    </w:p>
    <w:p w14:paraId="2198B656" w14:textId="41A2B06E" w:rsidR="00C629FB" w:rsidRPr="00C629FB" w:rsidRDefault="00C629FB" w:rsidP="00C629FB">
      <w:pPr>
        <w:pStyle w:val="SingleTxt"/>
        <w:spacing w:after="0" w:line="120" w:lineRule="exact"/>
        <w:rPr>
          <w:sz w:val="10"/>
          <w:lang w:val="fr-FR"/>
        </w:rPr>
      </w:pPr>
    </w:p>
    <w:p w14:paraId="45F4398F" w14:textId="015BF410" w:rsidR="000D2A50" w:rsidRDefault="000D2A50" w:rsidP="00C629FB">
      <w:pPr>
        <w:pStyle w:val="SingleTxt"/>
        <w:rPr>
          <w:lang w:val="fr-FR"/>
        </w:rPr>
      </w:pPr>
      <w:r w:rsidRPr="00265C56">
        <w:rPr>
          <w:lang w:val="fr-FR"/>
        </w:rPr>
        <w:tab/>
        <w:t>Le Comité a décidé que, dans la me</w:t>
      </w:r>
      <w:r w:rsidR="001732CB">
        <w:rPr>
          <w:lang w:val="fr-FR"/>
        </w:rPr>
        <w:t xml:space="preserve">sure du possible, chaque membre </w:t>
      </w:r>
      <w:r w:rsidRPr="00265C56">
        <w:rPr>
          <w:lang w:val="fr-FR"/>
        </w:rPr>
        <w:t>devrait exercer les fonctions de rapporteur de pays à titre volontaire et ce, pour un pays par année, de manière à répartir de manière équitable la charge de travail entre les membres, et que les membres devraient exprimer leur préférence au membre du Bureau appartenant au groupe régional de l</w:t>
      </w:r>
      <w:r w:rsidR="00265783">
        <w:rPr>
          <w:lang w:val="fr-FR"/>
        </w:rPr>
        <w:t>’</w:t>
      </w:r>
      <w:r w:rsidRPr="00265C56">
        <w:rPr>
          <w:lang w:val="fr-FR"/>
        </w:rPr>
        <w:t>État partie concerné. Il a également décidé que les rapporteurs de pays devraient être désignés au cours de l</w:t>
      </w:r>
      <w:r w:rsidR="00265783">
        <w:rPr>
          <w:lang w:val="fr-FR"/>
        </w:rPr>
        <w:t>’</w:t>
      </w:r>
      <w:r w:rsidRPr="00265C56">
        <w:rPr>
          <w:lang w:val="fr-FR"/>
        </w:rPr>
        <w:t>année précédant celle où le rapport des États parties concernés devait être examiné.</w:t>
      </w:r>
    </w:p>
    <w:p w14:paraId="72775E74" w14:textId="05939208" w:rsidR="00C629FB" w:rsidRPr="00C629FB" w:rsidRDefault="00C629FB" w:rsidP="00C629FB">
      <w:pPr>
        <w:pStyle w:val="SingleTxt"/>
        <w:spacing w:after="0" w:line="120" w:lineRule="exact"/>
        <w:rPr>
          <w:sz w:val="10"/>
          <w:lang w:val="fr-FR"/>
        </w:rPr>
      </w:pPr>
    </w:p>
    <w:p w14:paraId="4551034F" w14:textId="77777777" w:rsidR="000D2A50" w:rsidRPr="00265C56" w:rsidRDefault="000D2A50" w:rsidP="00C62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5C56">
        <w:rPr>
          <w:lang w:val="fr-FR"/>
        </w:rPr>
        <w:tab/>
      </w:r>
      <w:r w:rsidRPr="00265C56">
        <w:rPr>
          <w:lang w:val="fr-FR"/>
        </w:rPr>
        <w:tab/>
        <w:t>Décision 67/VIII</w:t>
      </w:r>
    </w:p>
    <w:p w14:paraId="76DD90A8" w14:textId="4DDD98F7" w:rsidR="00C629FB" w:rsidRPr="00C629FB" w:rsidRDefault="00C629FB" w:rsidP="00C629FB">
      <w:pPr>
        <w:pStyle w:val="SingleTxt"/>
        <w:spacing w:after="0" w:line="120" w:lineRule="exact"/>
        <w:rPr>
          <w:sz w:val="10"/>
          <w:lang w:val="fr-FR"/>
        </w:rPr>
      </w:pPr>
    </w:p>
    <w:p w14:paraId="4FF8CECE" w14:textId="13DBE30C" w:rsidR="000D2A50" w:rsidRDefault="000D2A50" w:rsidP="00C629FB">
      <w:pPr>
        <w:pStyle w:val="SingleTxt"/>
        <w:rPr>
          <w:lang w:val="fr-FR"/>
        </w:rPr>
      </w:pPr>
      <w:r w:rsidRPr="00265C56">
        <w:rPr>
          <w:lang w:val="fr-FR"/>
        </w:rPr>
        <w:tab/>
        <w:t>Le Comité a décidé de réviser sa décision 65/II et de modifier le paragraphe standard de ses observations finales ayant trait à la date de présentation du prochain rapport périodique de l</w:t>
      </w:r>
      <w:r w:rsidR="00265783">
        <w:rPr>
          <w:lang w:val="fr-FR"/>
        </w:rPr>
        <w:t>’</w:t>
      </w:r>
      <w:r w:rsidRPr="00265C56">
        <w:rPr>
          <w:lang w:val="fr-FR"/>
        </w:rPr>
        <w:t>État partie concerné comme suit</w:t>
      </w:r>
      <w:r w:rsidR="00265783">
        <w:rPr>
          <w:lang w:val="fr-FR"/>
        </w:rPr>
        <w:t xml:space="preserve"> : </w:t>
      </w:r>
      <w:r w:rsidRPr="00265C56">
        <w:rPr>
          <w:lang w:val="fr-FR"/>
        </w:rPr>
        <w:t>« Le Comité prie l</w:t>
      </w:r>
      <w:r w:rsidR="00265783">
        <w:rPr>
          <w:lang w:val="fr-FR"/>
        </w:rPr>
        <w:t>’</w:t>
      </w:r>
      <w:r w:rsidRPr="00265C56">
        <w:rPr>
          <w:lang w:val="fr-FR"/>
        </w:rPr>
        <w:t>État partie de soumettre son rapport périodique [XXX], attendu en [mois] [année]. Le rapport doit être soumis dans les délais et couvrir la période allant jusqu</w:t>
      </w:r>
      <w:r w:rsidR="00265783">
        <w:rPr>
          <w:lang w:val="fr-FR"/>
        </w:rPr>
        <w:t>’</w:t>
      </w:r>
      <w:r w:rsidRPr="00265C56">
        <w:rPr>
          <w:lang w:val="fr-FR"/>
        </w:rPr>
        <w:t>à la date à laquelle il sera soumis ».</w:t>
      </w:r>
    </w:p>
    <w:p w14:paraId="65EC6724" w14:textId="182D58B3" w:rsidR="00C629FB" w:rsidRPr="00C629FB" w:rsidRDefault="00C629FB" w:rsidP="00C629FB">
      <w:pPr>
        <w:pStyle w:val="SingleTxt"/>
        <w:spacing w:after="0" w:line="120" w:lineRule="exact"/>
        <w:rPr>
          <w:sz w:val="10"/>
          <w:lang w:val="fr-FR"/>
        </w:rPr>
      </w:pPr>
    </w:p>
    <w:p w14:paraId="17229E43" w14:textId="77777777" w:rsidR="000D2A50" w:rsidRPr="00265C56" w:rsidRDefault="000D2A50" w:rsidP="00C62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5C56">
        <w:rPr>
          <w:lang w:val="fr-FR"/>
        </w:rPr>
        <w:tab/>
      </w:r>
      <w:r w:rsidRPr="00265C56">
        <w:rPr>
          <w:lang w:val="fr-FR"/>
        </w:rPr>
        <w:tab/>
        <w:t>Décision 67/IX</w:t>
      </w:r>
    </w:p>
    <w:p w14:paraId="3C4716EC" w14:textId="6D3E10EE" w:rsidR="00C629FB" w:rsidRPr="00C629FB" w:rsidRDefault="00C629FB" w:rsidP="00C629FB">
      <w:pPr>
        <w:pStyle w:val="SingleTxt"/>
        <w:spacing w:after="0" w:line="120" w:lineRule="exact"/>
        <w:rPr>
          <w:sz w:val="10"/>
          <w:lang w:val="fr-FR"/>
        </w:rPr>
      </w:pPr>
    </w:p>
    <w:p w14:paraId="261E399F" w14:textId="2A3B7EF9" w:rsidR="000D2A50" w:rsidRDefault="000D2A50" w:rsidP="00C629FB">
      <w:pPr>
        <w:pStyle w:val="SingleTxt"/>
        <w:rPr>
          <w:lang w:val="fr-FR"/>
        </w:rPr>
      </w:pPr>
      <w:r w:rsidRPr="00265C56">
        <w:rPr>
          <w:lang w:val="fr-FR"/>
        </w:rPr>
        <w:tab/>
        <w:t>Conformément à l</w:t>
      </w:r>
      <w:r w:rsidR="00265783">
        <w:rPr>
          <w:lang w:val="fr-FR"/>
        </w:rPr>
        <w:t>’</w:t>
      </w:r>
      <w:r w:rsidRPr="00265C56">
        <w:rPr>
          <w:lang w:val="fr-FR"/>
        </w:rPr>
        <w:t>article 24 de son règlement intérieur, tel que modifié par la décision 59/V, le Comité a décidé qu</w:t>
      </w:r>
      <w:r w:rsidR="00265783">
        <w:rPr>
          <w:lang w:val="fr-FR"/>
        </w:rPr>
        <w:t>’</w:t>
      </w:r>
      <w:r w:rsidRPr="00265C56">
        <w:rPr>
          <w:lang w:val="fr-FR"/>
        </w:rPr>
        <w:t>au vu de sa composition, l</w:t>
      </w:r>
      <w:r w:rsidR="00265783">
        <w:rPr>
          <w:lang w:val="fr-FR"/>
        </w:rPr>
        <w:t>’</w:t>
      </w:r>
      <w:r w:rsidRPr="00265C56">
        <w:rPr>
          <w:lang w:val="fr-FR"/>
        </w:rPr>
        <w:t>arabe resterait sa quatrième langue officielle jusqu</w:t>
      </w:r>
      <w:r w:rsidR="00265783">
        <w:rPr>
          <w:lang w:val="fr-FR"/>
        </w:rPr>
        <w:t>’</w:t>
      </w:r>
      <w:r w:rsidRPr="00265C56">
        <w:rPr>
          <w:lang w:val="fr-FR"/>
        </w:rPr>
        <w:t xml:space="preserve">au 31 décembre 2018, laquelle serait utilisée à titre exceptionnel pour faciliter la communication entre les membres, conformément au paragraphe 30 de la résolution </w:t>
      </w:r>
      <w:hyperlink r:id="rId24" w:history="1">
        <w:r w:rsidRPr="007753FC">
          <w:rPr>
            <w:rStyle w:val="Hyperlink"/>
            <w:lang w:val="fr-FR"/>
          </w:rPr>
          <w:t>68/268</w:t>
        </w:r>
      </w:hyperlink>
      <w:r w:rsidRPr="00265C56">
        <w:rPr>
          <w:lang w:val="fr-FR"/>
        </w:rPr>
        <w:t xml:space="preserve"> de l</w:t>
      </w:r>
      <w:r w:rsidR="00265783">
        <w:rPr>
          <w:lang w:val="fr-FR"/>
        </w:rPr>
        <w:t>’</w:t>
      </w:r>
      <w:r w:rsidRPr="00265C56">
        <w:rPr>
          <w:lang w:val="fr-FR"/>
        </w:rPr>
        <w:t>Assemblée générale.</w:t>
      </w:r>
    </w:p>
    <w:p w14:paraId="06A74BC6" w14:textId="3FAB7849" w:rsidR="00C629FB" w:rsidRPr="00C629FB" w:rsidRDefault="00C629FB" w:rsidP="00C629FB">
      <w:pPr>
        <w:pStyle w:val="SingleTxt"/>
        <w:spacing w:after="0" w:line="120" w:lineRule="exact"/>
        <w:rPr>
          <w:sz w:val="10"/>
          <w:lang w:val="fr-FR"/>
        </w:rPr>
      </w:pPr>
    </w:p>
    <w:p w14:paraId="709554F6" w14:textId="77777777" w:rsidR="000D2A50" w:rsidRPr="00265C56" w:rsidRDefault="000D2A50" w:rsidP="00C62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5C56">
        <w:rPr>
          <w:lang w:val="fr-FR"/>
        </w:rPr>
        <w:tab/>
      </w:r>
      <w:r w:rsidRPr="00265C56">
        <w:rPr>
          <w:lang w:val="fr-FR"/>
        </w:rPr>
        <w:tab/>
        <w:t>Décision 67/X</w:t>
      </w:r>
    </w:p>
    <w:p w14:paraId="5734EA02" w14:textId="1AE4B801" w:rsidR="00C629FB" w:rsidRPr="00C629FB" w:rsidRDefault="00C629FB" w:rsidP="00C629FB">
      <w:pPr>
        <w:pStyle w:val="SingleTxt"/>
        <w:spacing w:after="0" w:line="120" w:lineRule="exact"/>
        <w:rPr>
          <w:sz w:val="10"/>
          <w:lang w:val="fr-FR"/>
        </w:rPr>
      </w:pPr>
    </w:p>
    <w:p w14:paraId="2BE95728" w14:textId="64D73B43" w:rsidR="000D2A50" w:rsidRDefault="000D2A50" w:rsidP="00C629FB">
      <w:pPr>
        <w:pStyle w:val="SingleTxt"/>
        <w:rPr>
          <w:lang w:val="fr-FR"/>
        </w:rPr>
      </w:pPr>
      <w:r w:rsidRPr="00265C56">
        <w:rPr>
          <w:lang w:val="fr-FR"/>
        </w:rPr>
        <w:tab/>
        <w:t>Le Comité a confirmé que son groupe de travail d</w:t>
      </w:r>
      <w:r w:rsidR="00265783">
        <w:rPr>
          <w:lang w:val="fr-FR"/>
        </w:rPr>
        <w:t>’</w:t>
      </w:r>
      <w:r w:rsidRPr="00265C56">
        <w:rPr>
          <w:lang w:val="fr-FR"/>
        </w:rPr>
        <w:t>avant-session pour la soixante-neuvième session serait composé des membres suivants</w:t>
      </w:r>
      <w:r w:rsidR="00265783">
        <w:rPr>
          <w:lang w:val="fr-FR"/>
        </w:rPr>
        <w:t xml:space="preserve"> : </w:t>
      </w:r>
      <w:r w:rsidRPr="00265C56">
        <w:rPr>
          <w:lang w:val="fr-FR"/>
        </w:rPr>
        <w:t>Marion Bethel, Hilary Gbedemah (en remplacement de Theodora Oby Nwankwo), Nahla Haidar, Lilian Hofmeister et Lia Nadaraia.</w:t>
      </w:r>
    </w:p>
    <w:p w14:paraId="2EE72993" w14:textId="00759380" w:rsidR="00C629FB" w:rsidRDefault="00C629FB">
      <w:pPr>
        <w:spacing w:after="200" w:line="276" w:lineRule="auto"/>
        <w:rPr>
          <w:lang w:val="fr-FR"/>
        </w:rPr>
      </w:pPr>
      <w:r>
        <w:rPr>
          <w:lang w:val="fr-FR"/>
        </w:rPr>
        <w:br w:type="page"/>
      </w:r>
    </w:p>
    <w:p w14:paraId="31C161B0" w14:textId="71900FD2" w:rsidR="000D2A50" w:rsidRPr="009C4E47" w:rsidRDefault="000D2A50" w:rsidP="00D51C04">
      <w:pPr>
        <w:pStyle w:val="HCh0"/>
        <w:ind w:left="1267" w:right="1260" w:hanging="1267"/>
        <w:rPr>
          <w:lang w:val="fr-FR"/>
        </w:rPr>
      </w:pPr>
      <w:r w:rsidRPr="009C4E47">
        <w:rPr>
          <w:lang w:val="fr-FR"/>
        </w:rPr>
        <w:lastRenderedPageBreak/>
        <w:t>Chapitre II</w:t>
      </w:r>
    </w:p>
    <w:p w14:paraId="62CD73B4" w14:textId="14BBA611" w:rsidR="000D2A50" w:rsidRPr="009C4E47" w:rsidRDefault="000D2A50" w:rsidP="00D51C04">
      <w:pPr>
        <w:pStyle w:val="HCh0"/>
        <w:ind w:left="1267" w:right="1260" w:hanging="1267"/>
        <w:rPr>
          <w:lang w:val="fr-FR"/>
        </w:rPr>
      </w:pPr>
      <w:r w:rsidRPr="009C4E47">
        <w:rPr>
          <w:lang w:val="fr-FR"/>
        </w:rPr>
        <w:tab/>
      </w:r>
      <w:r w:rsidRPr="009C4E47">
        <w:rPr>
          <w:lang w:val="fr-FR"/>
        </w:rPr>
        <w:tab/>
        <w:t>Questions d</w:t>
      </w:r>
      <w:r w:rsidR="00265783">
        <w:rPr>
          <w:lang w:val="fr-FR"/>
        </w:rPr>
        <w:t>’</w:t>
      </w:r>
      <w:r w:rsidRPr="009C4E47">
        <w:rPr>
          <w:lang w:val="fr-FR"/>
        </w:rPr>
        <w:t>organisation et questions diverses</w:t>
      </w:r>
    </w:p>
    <w:p w14:paraId="3F083D59" w14:textId="162284D8" w:rsidR="00D51C04" w:rsidRPr="009C4E47" w:rsidRDefault="00D51C04" w:rsidP="00D51C04">
      <w:pPr>
        <w:pStyle w:val="SingleTxt"/>
        <w:spacing w:after="0" w:line="120" w:lineRule="exact"/>
        <w:rPr>
          <w:sz w:val="10"/>
          <w:lang w:val="fr-FR"/>
        </w:rPr>
      </w:pPr>
    </w:p>
    <w:p w14:paraId="454F1DD9" w14:textId="4F75F39E" w:rsidR="00D51C04" w:rsidRPr="009C4E47" w:rsidRDefault="00D51C04" w:rsidP="00D51C04">
      <w:pPr>
        <w:pStyle w:val="SingleTxt"/>
        <w:spacing w:after="0" w:line="120" w:lineRule="exact"/>
        <w:rPr>
          <w:sz w:val="10"/>
          <w:lang w:val="fr-FR"/>
        </w:rPr>
      </w:pPr>
    </w:p>
    <w:p w14:paraId="7EDCA743" w14:textId="2FDAE103" w:rsidR="000D2A50" w:rsidRDefault="00D51C04" w:rsidP="00D51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D2A50" w:rsidRPr="00265C56">
        <w:rPr>
          <w:lang w:val="fr-FR"/>
        </w:rPr>
        <w:t>A.</w:t>
      </w:r>
      <w:r w:rsidR="000D2A50" w:rsidRPr="00265C56">
        <w:rPr>
          <w:lang w:val="fr-FR"/>
        </w:rPr>
        <w:tab/>
        <w:t>États parties à la Convention et au Protocole facultatif</w:t>
      </w:r>
    </w:p>
    <w:p w14:paraId="7AF6F9F7" w14:textId="42F33AA6" w:rsidR="00D51C04" w:rsidRPr="00D51C04" w:rsidRDefault="00D51C04" w:rsidP="00D51C04">
      <w:pPr>
        <w:pStyle w:val="SingleTxt"/>
        <w:spacing w:after="0" w:line="120" w:lineRule="exact"/>
        <w:rPr>
          <w:sz w:val="10"/>
          <w:lang w:val="fr-FR"/>
        </w:rPr>
      </w:pPr>
    </w:p>
    <w:p w14:paraId="081DD224" w14:textId="55B15358" w:rsidR="00D51C04" w:rsidRPr="00D51C04" w:rsidRDefault="00D51C04" w:rsidP="00D51C04">
      <w:pPr>
        <w:pStyle w:val="SingleTxt"/>
        <w:spacing w:after="0" w:line="120" w:lineRule="exact"/>
        <w:rPr>
          <w:sz w:val="10"/>
          <w:lang w:val="fr-FR"/>
        </w:rPr>
      </w:pPr>
    </w:p>
    <w:p w14:paraId="7209C49A" w14:textId="4C8B63CA" w:rsidR="000D2A50" w:rsidRPr="00265C56" w:rsidRDefault="000D2A50" w:rsidP="00332501">
      <w:pPr>
        <w:pStyle w:val="SingleTxt"/>
        <w:numPr>
          <w:ilvl w:val="0"/>
          <w:numId w:val="6"/>
        </w:numPr>
        <w:spacing w:line="240" w:lineRule="exact"/>
        <w:ind w:left="1267"/>
        <w:rPr>
          <w:lang w:val="fr-FR"/>
        </w:rPr>
      </w:pPr>
      <w:r w:rsidRPr="00265C56">
        <w:rPr>
          <w:lang w:val="fr-FR"/>
        </w:rPr>
        <w:t>Au 21 juillet 2017, date de clôture de la soixante-septième session du Comité, 189 États étaient parties à la Convention. En outre, 71 États parties avaient accepté l</w:t>
      </w:r>
      <w:r w:rsidR="00265783">
        <w:rPr>
          <w:lang w:val="fr-FR"/>
        </w:rPr>
        <w:t>’</w:t>
      </w:r>
      <w:r w:rsidRPr="00265C56">
        <w:rPr>
          <w:lang w:val="fr-FR"/>
        </w:rPr>
        <w:t>amendement au paragraphe 1 de l</w:t>
      </w:r>
      <w:r w:rsidR="00265783">
        <w:rPr>
          <w:lang w:val="fr-FR"/>
        </w:rPr>
        <w:t>’</w:t>
      </w:r>
      <w:r w:rsidRPr="00265C56">
        <w:rPr>
          <w:lang w:val="fr-FR"/>
        </w:rPr>
        <w:t>article 20 de la Convention concernant le calendrier des réunions du Comité. L</w:t>
      </w:r>
      <w:r w:rsidR="00265783">
        <w:rPr>
          <w:lang w:val="fr-FR"/>
        </w:rPr>
        <w:t>’</w:t>
      </w:r>
      <w:r w:rsidRPr="00265C56">
        <w:rPr>
          <w:lang w:val="fr-FR"/>
        </w:rPr>
        <w:t>amendement entrera en vigueur lorsqu</w:t>
      </w:r>
      <w:r w:rsidR="00265783">
        <w:rPr>
          <w:lang w:val="fr-FR"/>
        </w:rPr>
        <w:t>’</w:t>
      </w:r>
      <w:r w:rsidRPr="00265C56">
        <w:rPr>
          <w:lang w:val="fr-FR"/>
        </w:rPr>
        <w:t>il aura été accepté par 126 États parties à la Convention.</w:t>
      </w:r>
    </w:p>
    <w:p w14:paraId="7BC82D2C" w14:textId="2AE51311" w:rsidR="000D2A50" w:rsidRDefault="000D2A50" w:rsidP="00332501">
      <w:pPr>
        <w:pStyle w:val="SingleTxt"/>
        <w:numPr>
          <w:ilvl w:val="0"/>
          <w:numId w:val="6"/>
        </w:numPr>
        <w:tabs>
          <w:tab w:val="num" w:pos="2804"/>
        </w:tabs>
        <w:spacing w:line="240" w:lineRule="exact"/>
        <w:ind w:left="1267"/>
        <w:rPr>
          <w:lang w:val="fr-FR"/>
        </w:rPr>
      </w:pPr>
      <w:r w:rsidRPr="00265C56">
        <w:rPr>
          <w:lang w:val="fr-FR"/>
        </w:rPr>
        <w:t>À la même date, 109 États étaient parties au Protocole facultatif se rapportant à la Convention.</w:t>
      </w:r>
    </w:p>
    <w:p w14:paraId="31192AC6" w14:textId="769368C3" w:rsidR="00332501" w:rsidRPr="00332501" w:rsidRDefault="00332501" w:rsidP="00332501">
      <w:pPr>
        <w:pStyle w:val="SingleTxt"/>
        <w:spacing w:after="0" w:line="120" w:lineRule="exact"/>
        <w:rPr>
          <w:sz w:val="10"/>
          <w:lang w:val="fr-FR"/>
        </w:rPr>
      </w:pPr>
    </w:p>
    <w:p w14:paraId="1026E998" w14:textId="40F118BC" w:rsidR="00332501" w:rsidRPr="00332501" w:rsidRDefault="00332501" w:rsidP="00332501">
      <w:pPr>
        <w:pStyle w:val="SingleTxt"/>
        <w:spacing w:after="0" w:line="120" w:lineRule="exact"/>
        <w:rPr>
          <w:sz w:val="10"/>
          <w:lang w:val="fr-FR"/>
        </w:rPr>
      </w:pPr>
    </w:p>
    <w:p w14:paraId="4979DA1C" w14:textId="09F3EC75" w:rsidR="000D2A50" w:rsidRPr="00265C56" w:rsidRDefault="00D51C04" w:rsidP="00D51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D2A50" w:rsidRPr="00265C56">
        <w:rPr>
          <w:lang w:val="fr-FR"/>
        </w:rPr>
        <w:t>B.</w:t>
      </w:r>
      <w:r w:rsidR="000D2A50" w:rsidRPr="00265C56">
        <w:rPr>
          <w:lang w:val="fr-FR"/>
        </w:rPr>
        <w:tab/>
        <w:t>Ouverture de la session</w:t>
      </w:r>
    </w:p>
    <w:p w14:paraId="3084134E" w14:textId="41A01E2B" w:rsidR="00D51C04" w:rsidRPr="00D51C04" w:rsidRDefault="00D51C04" w:rsidP="00D51C04">
      <w:pPr>
        <w:pStyle w:val="SingleTxt"/>
        <w:spacing w:after="0" w:line="120" w:lineRule="exact"/>
        <w:rPr>
          <w:sz w:val="10"/>
          <w:lang w:val="fr-FR"/>
        </w:rPr>
      </w:pPr>
    </w:p>
    <w:p w14:paraId="36B22253" w14:textId="0525D894" w:rsidR="00D51C04" w:rsidRPr="00D51C04" w:rsidRDefault="00D51C04" w:rsidP="00D51C04">
      <w:pPr>
        <w:pStyle w:val="SingleTxt"/>
        <w:spacing w:after="0" w:line="120" w:lineRule="exact"/>
        <w:rPr>
          <w:sz w:val="10"/>
          <w:lang w:val="fr-FR"/>
        </w:rPr>
      </w:pPr>
    </w:p>
    <w:p w14:paraId="62B13804" w14:textId="1F4532A9" w:rsidR="000D2A50" w:rsidRPr="00265C56" w:rsidRDefault="000D2A50" w:rsidP="00332501">
      <w:pPr>
        <w:pStyle w:val="SingleTxt"/>
        <w:numPr>
          <w:ilvl w:val="0"/>
          <w:numId w:val="6"/>
        </w:numPr>
        <w:spacing w:line="240" w:lineRule="exact"/>
        <w:ind w:left="1267"/>
        <w:rPr>
          <w:lang w:val="fr-FR"/>
        </w:rPr>
      </w:pPr>
      <w:r w:rsidRPr="00265C56">
        <w:rPr>
          <w:lang w:val="fr-FR"/>
        </w:rPr>
        <w:t>Le Comité a tenu sa soixante-septième session à l</w:t>
      </w:r>
      <w:r w:rsidR="00265783">
        <w:rPr>
          <w:lang w:val="fr-FR"/>
        </w:rPr>
        <w:t>’</w:t>
      </w:r>
      <w:r w:rsidRPr="00265C56">
        <w:rPr>
          <w:lang w:val="fr-FR"/>
        </w:rPr>
        <w:t>Office des Nations Unies à Genève, du 3 au 21 juillet 2017. Il a tenu 20 séances plénières et 10 autres séances pour examiner les points 5 à 8 de l</w:t>
      </w:r>
      <w:r w:rsidR="00265783">
        <w:rPr>
          <w:lang w:val="fr-FR"/>
        </w:rPr>
        <w:t>’</w:t>
      </w:r>
      <w:r w:rsidRPr="00265C56">
        <w:rPr>
          <w:lang w:val="fr-FR"/>
        </w:rPr>
        <w:t>ordre du jour. La liste des documents dont il était saisi figure dans l</w:t>
      </w:r>
      <w:r w:rsidR="00265783">
        <w:rPr>
          <w:lang w:val="fr-FR"/>
        </w:rPr>
        <w:t>’</w:t>
      </w:r>
      <w:r w:rsidRPr="00265C56">
        <w:rPr>
          <w:lang w:val="fr-FR"/>
        </w:rPr>
        <w:t>annexe de la première partie du présent rapport.</w:t>
      </w:r>
    </w:p>
    <w:p w14:paraId="43BED51C" w14:textId="314CAA8E" w:rsidR="000D2A50" w:rsidRDefault="000D2A50" w:rsidP="00332501">
      <w:pPr>
        <w:pStyle w:val="SingleTxt"/>
        <w:numPr>
          <w:ilvl w:val="0"/>
          <w:numId w:val="6"/>
        </w:numPr>
        <w:spacing w:line="240" w:lineRule="exact"/>
        <w:ind w:left="1267"/>
        <w:rPr>
          <w:lang w:val="fr-FR"/>
        </w:rPr>
      </w:pPr>
      <w:r w:rsidRPr="00265C56">
        <w:rPr>
          <w:lang w:val="fr-FR"/>
        </w:rPr>
        <w:t>La session a été ouverte par la Présidente, le 3 juillet, à la 1500</w:t>
      </w:r>
      <w:r w:rsidRPr="00265C56">
        <w:rPr>
          <w:vertAlign w:val="superscript"/>
          <w:lang w:val="fr-FR"/>
        </w:rPr>
        <w:t>e</w:t>
      </w:r>
      <w:r w:rsidRPr="00265C56">
        <w:rPr>
          <w:lang w:val="fr-FR"/>
        </w:rPr>
        <w:t xml:space="preserve"> séance.</w:t>
      </w:r>
    </w:p>
    <w:p w14:paraId="20351CAE" w14:textId="08AB67A4" w:rsidR="00D51C04" w:rsidRPr="00D51C04" w:rsidRDefault="00D51C04" w:rsidP="00D51C04">
      <w:pPr>
        <w:pStyle w:val="SingleTxt"/>
        <w:spacing w:after="0" w:line="120" w:lineRule="exact"/>
        <w:rPr>
          <w:sz w:val="10"/>
          <w:lang w:val="fr-FR"/>
        </w:rPr>
      </w:pPr>
    </w:p>
    <w:p w14:paraId="32B3BFC4" w14:textId="637FC395" w:rsidR="00D51C04" w:rsidRPr="00D51C04" w:rsidRDefault="00D51C04" w:rsidP="00D51C04">
      <w:pPr>
        <w:pStyle w:val="SingleTxt"/>
        <w:spacing w:after="0" w:line="120" w:lineRule="exact"/>
        <w:rPr>
          <w:sz w:val="10"/>
          <w:lang w:val="fr-FR"/>
        </w:rPr>
      </w:pPr>
    </w:p>
    <w:p w14:paraId="0B025CFB" w14:textId="0E06CDDA" w:rsidR="000D2A50" w:rsidRPr="00265C56" w:rsidRDefault="00D51C04" w:rsidP="00D51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D2A50" w:rsidRPr="00265C56">
        <w:rPr>
          <w:lang w:val="fr-FR"/>
        </w:rPr>
        <w:t>C.</w:t>
      </w:r>
      <w:r w:rsidR="000D2A50" w:rsidRPr="00265C56">
        <w:rPr>
          <w:lang w:val="fr-FR"/>
        </w:rPr>
        <w:tab/>
        <w:t>Adoption de l</w:t>
      </w:r>
      <w:r w:rsidR="00265783">
        <w:rPr>
          <w:lang w:val="fr-FR"/>
        </w:rPr>
        <w:t>’</w:t>
      </w:r>
      <w:r w:rsidR="000D2A50" w:rsidRPr="00265C56">
        <w:rPr>
          <w:lang w:val="fr-FR"/>
        </w:rPr>
        <w:t>ordre du jour</w:t>
      </w:r>
    </w:p>
    <w:p w14:paraId="00B89196" w14:textId="3284E374" w:rsidR="00D51C04" w:rsidRPr="00D51C04" w:rsidRDefault="00D51C04" w:rsidP="00D51C04">
      <w:pPr>
        <w:pStyle w:val="SingleTxt"/>
        <w:spacing w:after="0" w:line="120" w:lineRule="exact"/>
        <w:rPr>
          <w:sz w:val="10"/>
          <w:lang w:val="fr-FR"/>
        </w:rPr>
      </w:pPr>
    </w:p>
    <w:p w14:paraId="2F16B288" w14:textId="6A6F7D4E" w:rsidR="00D51C04" w:rsidRPr="00D51C04" w:rsidRDefault="00D51C04" w:rsidP="00D51C04">
      <w:pPr>
        <w:pStyle w:val="SingleTxt"/>
        <w:spacing w:after="0" w:line="120" w:lineRule="exact"/>
        <w:rPr>
          <w:sz w:val="10"/>
          <w:lang w:val="fr-FR"/>
        </w:rPr>
      </w:pPr>
    </w:p>
    <w:p w14:paraId="74B5B96F" w14:textId="4782E79B" w:rsidR="000D2A50" w:rsidRDefault="000D2A50" w:rsidP="00332501">
      <w:pPr>
        <w:pStyle w:val="SingleTxt"/>
        <w:numPr>
          <w:ilvl w:val="0"/>
          <w:numId w:val="6"/>
        </w:numPr>
        <w:spacing w:line="240" w:lineRule="exact"/>
        <w:ind w:left="1267"/>
        <w:rPr>
          <w:lang w:val="fr-FR"/>
        </w:rPr>
      </w:pPr>
      <w:r w:rsidRPr="00265C56">
        <w:rPr>
          <w:lang w:val="fr-FR"/>
        </w:rPr>
        <w:t>À sa 1500</w:t>
      </w:r>
      <w:r w:rsidRPr="00265C56">
        <w:rPr>
          <w:vertAlign w:val="superscript"/>
          <w:lang w:val="fr-FR"/>
        </w:rPr>
        <w:t>e</w:t>
      </w:r>
      <w:r w:rsidRPr="00265C56">
        <w:rPr>
          <w:lang w:val="fr-FR"/>
        </w:rPr>
        <w:t xml:space="preserve"> séance, le 3 juillet, le Comité a adopté l</w:t>
      </w:r>
      <w:r w:rsidR="00265783">
        <w:rPr>
          <w:lang w:val="fr-FR"/>
        </w:rPr>
        <w:t>’</w:t>
      </w:r>
      <w:r w:rsidRPr="00265C56">
        <w:rPr>
          <w:lang w:val="fr-FR"/>
        </w:rPr>
        <w:t>ordre du jour provisoire de sa session (</w:t>
      </w:r>
      <w:hyperlink r:id="rId25" w:history="1">
        <w:r w:rsidRPr="008E2674">
          <w:rPr>
            <w:rStyle w:val="Hyperlink"/>
            <w:lang w:val="fr-FR"/>
          </w:rPr>
          <w:t>CEDAW/C/67/1</w:t>
        </w:r>
      </w:hyperlink>
      <w:r w:rsidRPr="00265C56">
        <w:rPr>
          <w:lang w:val="fr-FR"/>
        </w:rPr>
        <w:t>).</w:t>
      </w:r>
    </w:p>
    <w:p w14:paraId="030CF2C3" w14:textId="577D1003" w:rsidR="00D51C04" w:rsidRPr="00D51C04" w:rsidRDefault="00D51C04" w:rsidP="00D51C04">
      <w:pPr>
        <w:pStyle w:val="SingleTxt"/>
        <w:spacing w:after="0" w:line="120" w:lineRule="exact"/>
        <w:rPr>
          <w:sz w:val="10"/>
          <w:lang w:val="fr-FR"/>
        </w:rPr>
      </w:pPr>
    </w:p>
    <w:p w14:paraId="73DC21A6" w14:textId="6799C0D7" w:rsidR="00D51C04" w:rsidRPr="00D51C04" w:rsidRDefault="00D51C04" w:rsidP="00D51C04">
      <w:pPr>
        <w:pStyle w:val="SingleTxt"/>
        <w:spacing w:after="0" w:line="120" w:lineRule="exact"/>
        <w:rPr>
          <w:sz w:val="10"/>
          <w:lang w:val="fr-FR"/>
        </w:rPr>
      </w:pPr>
    </w:p>
    <w:p w14:paraId="7A97D6A0" w14:textId="6BF79D4B" w:rsidR="000D2A50" w:rsidRPr="00265C56" w:rsidRDefault="00D51C04" w:rsidP="00D51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D2A50" w:rsidRPr="00265C56">
        <w:rPr>
          <w:lang w:val="fr-FR"/>
        </w:rPr>
        <w:t>D.</w:t>
      </w:r>
      <w:r w:rsidR="000D2A50" w:rsidRPr="00265C56">
        <w:rPr>
          <w:lang w:val="fr-FR"/>
        </w:rPr>
        <w:tab/>
        <w:t>Rapport du groupe de travail d</w:t>
      </w:r>
      <w:r w:rsidR="00265783">
        <w:rPr>
          <w:lang w:val="fr-FR"/>
        </w:rPr>
        <w:t>’</w:t>
      </w:r>
      <w:r w:rsidR="000D2A50" w:rsidRPr="00265C56">
        <w:rPr>
          <w:lang w:val="fr-FR"/>
        </w:rPr>
        <w:t>avant-session</w:t>
      </w:r>
    </w:p>
    <w:p w14:paraId="15C574FB" w14:textId="2D232E14" w:rsidR="00D51C04" w:rsidRPr="00D51C04" w:rsidRDefault="00D51C04" w:rsidP="00D51C04">
      <w:pPr>
        <w:pStyle w:val="SingleTxt"/>
        <w:spacing w:after="0" w:line="120" w:lineRule="exact"/>
        <w:rPr>
          <w:sz w:val="10"/>
          <w:lang w:val="fr-FR"/>
        </w:rPr>
      </w:pPr>
    </w:p>
    <w:p w14:paraId="39AB6EE3" w14:textId="39048828" w:rsidR="00D51C04" w:rsidRPr="00D51C04" w:rsidRDefault="00D51C04" w:rsidP="00D51C04">
      <w:pPr>
        <w:pStyle w:val="SingleTxt"/>
        <w:spacing w:after="0" w:line="120" w:lineRule="exact"/>
        <w:rPr>
          <w:sz w:val="10"/>
          <w:lang w:val="fr-FR"/>
        </w:rPr>
      </w:pPr>
    </w:p>
    <w:p w14:paraId="2E11A958" w14:textId="03FBF449" w:rsidR="000D2A50" w:rsidRDefault="000D2A50" w:rsidP="00332501">
      <w:pPr>
        <w:pStyle w:val="SingleTxt"/>
        <w:numPr>
          <w:ilvl w:val="0"/>
          <w:numId w:val="6"/>
        </w:numPr>
        <w:spacing w:line="240" w:lineRule="exact"/>
        <w:ind w:left="1267"/>
        <w:rPr>
          <w:lang w:val="fr-FR"/>
        </w:rPr>
      </w:pPr>
      <w:r w:rsidRPr="00265C56">
        <w:rPr>
          <w:lang w:val="fr-FR"/>
        </w:rPr>
        <w:t>Le rapport du groupe de travail d</w:t>
      </w:r>
      <w:r w:rsidR="00265783">
        <w:rPr>
          <w:lang w:val="fr-FR"/>
        </w:rPr>
        <w:t>’</w:t>
      </w:r>
      <w:r w:rsidRPr="00265C56">
        <w:rPr>
          <w:lang w:val="fr-FR"/>
        </w:rPr>
        <w:t>avant-session (</w:t>
      </w:r>
      <w:hyperlink r:id="rId26" w:history="1">
        <w:r w:rsidRPr="008E2674">
          <w:rPr>
            <w:rStyle w:val="Hyperlink"/>
            <w:lang w:val="fr-FR"/>
          </w:rPr>
          <w:t>CEDAW/C/PSWG/67/1</w:t>
        </w:r>
      </w:hyperlink>
      <w:r w:rsidRPr="00265C56">
        <w:rPr>
          <w:lang w:val="fr-FR"/>
        </w:rPr>
        <w:t>), qui s</w:t>
      </w:r>
      <w:r w:rsidR="00265783">
        <w:rPr>
          <w:lang w:val="fr-FR"/>
        </w:rPr>
        <w:t>’</w:t>
      </w:r>
      <w:r w:rsidRPr="00265C56">
        <w:rPr>
          <w:lang w:val="fr-FR"/>
        </w:rPr>
        <w:t>était réuni du 21 au 25 novembre 2016, a été présenté par Patricia Schulz à la 1500</w:t>
      </w:r>
      <w:r w:rsidRPr="00265C56">
        <w:rPr>
          <w:vertAlign w:val="superscript"/>
          <w:lang w:val="fr-FR"/>
        </w:rPr>
        <w:t>e</w:t>
      </w:r>
      <w:r w:rsidR="009C4E47">
        <w:rPr>
          <w:lang w:val="fr-FR"/>
        </w:rPr>
        <w:t> </w:t>
      </w:r>
      <w:r w:rsidRPr="00265C56">
        <w:rPr>
          <w:lang w:val="fr-FR"/>
        </w:rPr>
        <w:t>séance, le 3 juillet 2017.</w:t>
      </w:r>
    </w:p>
    <w:p w14:paraId="5C25D0A3" w14:textId="06170936" w:rsidR="00D51C04" w:rsidRPr="00D51C04" w:rsidRDefault="00D51C04" w:rsidP="00D51C04">
      <w:pPr>
        <w:pStyle w:val="SingleTxt"/>
        <w:spacing w:after="0" w:line="120" w:lineRule="exact"/>
        <w:rPr>
          <w:sz w:val="10"/>
          <w:lang w:val="fr-FR"/>
        </w:rPr>
      </w:pPr>
    </w:p>
    <w:p w14:paraId="3CC8FD70" w14:textId="234BA427" w:rsidR="00D51C04" w:rsidRPr="00D51C04" w:rsidRDefault="00D51C04" w:rsidP="00D51C04">
      <w:pPr>
        <w:pStyle w:val="SingleTxt"/>
        <w:spacing w:after="0" w:line="120" w:lineRule="exact"/>
        <w:rPr>
          <w:sz w:val="10"/>
          <w:lang w:val="fr-FR"/>
        </w:rPr>
      </w:pPr>
    </w:p>
    <w:p w14:paraId="769A5A20" w14:textId="032E7D37" w:rsidR="000D2A50" w:rsidRDefault="00D51C04" w:rsidP="00D51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D2A50" w:rsidRPr="00265C56">
        <w:rPr>
          <w:lang w:val="fr-FR"/>
        </w:rPr>
        <w:t>E.</w:t>
      </w:r>
      <w:r w:rsidR="000D2A50" w:rsidRPr="00265C56">
        <w:rPr>
          <w:lang w:val="fr-FR"/>
        </w:rPr>
        <w:tab/>
        <w:t>Organisation des travaux</w:t>
      </w:r>
    </w:p>
    <w:p w14:paraId="2986694B" w14:textId="3BE039A6" w:rsidR="00D51C04" w:rsidRPr="00D51C04" w:rsidRDefault="00D51C04" w:rsidP="00D51C04">
      <w:pPr>
        <w:pStyle w:val="SingleTxt"/>
        <w:spacing w:after="0" w:line="120" w:lineRule="exact"/>
        <w:rPr>
          <w:sz w:val="10"/>
          <w:lang w:val="fr-FR"/>
        </w:rPr>
      </w:pPr>
    </w:p>
    <w:p w14:paraId="2410566B" w14:textId="6FB3E128" w:rsidR="00D51C04" w:rsidRPr="00D51C04" w:rsidRDefault="00D51C04" w:rsidP="00D51C04">
      <w:pPr>
        <w:pStyle w:val="SingleTxt"/>
        <w:spacing w:after="0" w:line="120" w:lineRule="exact"/>
        <w:rPr>
          <w:sz w:val="10"/>
          <w:lang w:val="fr-FR"/>
        </w:rPr>
      </w:pPr>
    </w:p>
    <w:p w14:paraId="1A807091" w14:textId="2687DDFD" w:rsidR="000D2A50" w:rsidRPr="00265C56" w:rsidRDefault="000D2A50" w:rsidP="00332501">
      <w:pPr>
        <w:pStyle w:val="SingleTxt"/>
        <w:numPr>
          <w:ilvl w:val="0"/>
          <w:numId w:val="6"/>
        </w:numPr>
        <w:spacing w:line="240" w:lineRule="exact"/>
        <w:ind w:left="1267"/>
        <w:rPr>
          <w:lang w:val="fr-FR"/>
        </w:rPr>
      </w:pPr>
      <w:r w:rsidRPr="00265C56">
        <w:rPr>
          <w:lang w:val="fr-FR"/>
        </w:rPr>
        <w:t>Les 3 et 10 juillet 2017, le Comité a tenu des séances privées, notamment par visioconférence, avec des représentants d</w:t>
      </w:r>
      <w:r w:rsidR="00265783">
        <w:rPr>
          <w:lang w:val="fr-FR"/>
        </w:rPr>
        <w:t>’</w:t>
      </w:r>
      <w:r w:rsidRPr="00265C56">
        <w:rPr>
          <w:lang w:val="fr-FR"/>
        </w:rPr>
        <w:t>institutions spécialisées et de fonds et programmes des Nations Unies ainsi que d</w:t>
      </w:r>
      <w:r w:rsidR="00265783">
        <w:rPr>
          <w:lang w:val="fr-FR"/>
        </w:rPr>
        <w:t>’</w:t>
      </w:r>
      <w:r w:rsidRPr="00265C56">
        <w:rPr>
          <w:lang w:val="fr-FR"/>
        </w:rPr>
        <w:t>autres organisations intergouvernementales, qui lui ont communiqué des informations concernant certains pays et des renseignements sur l</w:t>
      </w:r>
      <w:r w:rsidR="00265783">
        <w:rPr>
          <w:lang w:val="fr-FR"/>
        </w:rPr>
        <w:t>’</w:t>
      </w:r>
      <w:r w:rsidRPr="00265C56">
        <w:rPr>
          <w:lang w:val="fr-FR"/>
        </w:rPr>
        <w:t>action qu</w:t>
      </w:r>
      <w:r w:rsidR="00265783">
        <w:rPr>
          <w:lang w:val="fr-FR"/>
        </w:rPr>
        <w:t>’</w:t>
      </w:r>
      <w:r w:rsidRPr="00265C56">
        <w:rPr>
          <w:lang w:val="fr-FR"/>
        </w:rPr>
        <w:t>ils menaient pour promouvoir l</w:t>
      </w:r>
      <w:r w:rsidR="00265783">
        <w:rPr>
          <w:lang w:val="fr-FR"/>
        </w:rPr>
        <w:t>’</w:t>
      </w:r>
      <w:r w:rsidRPr="00265C56">
        <w:rPr>
          <w:lang w:val="fr-FR"/>
        </w:rPr>
        <w:t>application de la Convention.</w:t>
      </w:r>
    </w:p>
    <w:p w14:paraId="4C6B36BA" w14:textId="4E98CECF" w:rsidR="000D2A50" w:rsidRPr="00265C56" w:rsidRDefault="000D2A50" w:rsidP="00332501">
      <w:pPr>
        <w:pStyle w:val="SingleTxt"/>
        <w:numPr>
          <w:ilvl w:val="0"/>
          <w:numId w:val="6"/>
        </w:numPr>
        <w:tabs>
          <w:tab w:val="num" w:pos="2804"/>
        </w:tabs>
        <w:spacing w:line="240" w:lineRule="exact"/>
        <w:ind w:left="1267"/>
        <w:rPr>
          <w:lang w:val="fr-FR"/>
        </w:rPr>
      </w:pPr>
      <w:r w:rsidRPr="00265C56">
        <w:rPr>
          <w:lang w:val="fr-FR"/>
        </w:rPr>
        <w:t>En outre, il a tenu des séances publiques informelles avec des représentants d</w:t>
      </w:r>
      <w:r w:rsidR="00265783">
        <w:rPr>
          <w:lang w:val="fr-FR"/>
        </w:rPr>
        <w:t>’</w:t>
      </w:r>
      <w:r w:rsidRPr="00265C56">
        <w:rPr>
          <w:lang w:val="fr-FR"/>
        </w:rPr>
        <w:t>organisations non gouvernementales et d</w:t>
      </w:r>
      <w:r w:rsidR="00265783">
        <w:rPr>
          <w:lang w:val="fr-FR"/>
        </w:rPr>
        <w:t>’</w:t>
      </w:r>
      <w:r w:rsidRPr="00265C56">
        <w:rPr>
          <w:lang w:val="fr-FR"/>
        </w:rPr>
        <w:t>institutions nationales de défense des droits de l</w:t>
      </w:r>
      <w:r w:rsidR="00265783">
        <w:rPr>
          <w:lang w:val="fr-FR"/>
        </w:rPr>
        <w:t>’</w:t>
      </w:r>
      <w:r w:rsidRPr="00265C56">
        <w:rPr>
          <w:lang w:val="fr-FR"/>
        </w:rPr>
        <w:t>homme, qui lui ont communiqué des renseignements sur l</w:t>
      </w:r>
      <w:r w:rsidR="00265783">
        <w:rPr>
          <w:lang w:val="fr-FR"/>
        </w:rPr>
        <w:t>’</w:t>
      </w:r>
      <w:r w:rsidRPr="00265C56">
        <w:rPr>
          <w:lang w:val="fr-FR"/>
        </w:rPr>
        <w:t>application de la Convention par les États parties dont le Comité avait prévu d</w:t>
      </w:r>
      <w:r w:rsidR="00265783">
        <w:rPr>
          <w:lang w:val="fr-FR"/>
        </w:rPr>
        <w:t>’</w:t>
      </w:r>
      <w:r w:rsidRPr="00265C56">
        <w:rPr>
          <w:lang w:val="fr-FR"/>
        </w:rPr>
        <w:t>examiner les rapports à sa soixante-septième session.</w:t>
      </w:r>
    </w:p>
    <w:p w14:paraId="481F656C" w14:textId="299639C6" w:rsidR="000D2A50" w:rsidRPr="00265C56" w:rsidRDefault="000D2A50" w:rsidP="00332501">
      <w:pPr>
        <w:pStyle w:val="SingleTxt"/>
        <w:numPr>
          <w:ilvl w:val="0"/>
          <w:numId w:val="6"/>
        </w:numPr>
        <w:tabs>
          <w:tab w:val="num" w:pos="2804"/>
        </w:tabs>
        <w:spacing w:line="240" w:lineRule="exact"/>
        <w:ind w:left="1267"/>
        <w:rPr>
          <w:lang w:val="fr-FR"/>
        </w:rPr>
      </w:pPr>
      <w:r w:rsidRPr="00265C56">
        <w:rPr>
          <w:lang w:val="fr-FR"/>
        </w:rPr>
        <w:t>Le 7 juillet, le Comité a tenu une réunion informelle avec Renée Chartres, spécialiste des questions juridiques relatives au droit foncier et à l</w:t>
      </w:r>
      <w:r w:rsidR="00265783">
        <w:rPr>
          <w:lang w:val="fr-FR"/>
        </w:rPr>
        <w:t>’</w:t>
      </w:r>
      <w:r w:rsidRPr="00265C56">
        <w:rPr>
          <w:lang w:val="fr-FR"/>
        </w:rPr>
        <w:t>égalité des sexes [Organisation des Nations Unies pour l</w:t>
      </w:r>
      <w:r w:rsidR="00265783">
        <w:rPr>
          <w:lang w:val="fr-FR"/>
        </w:rPr>
        <w:t>’</w:t>
      </w:r>
      <w:r w:rsidRPr="00265C56">
        <w:rPr>
          <w:lang w:val="fr-FR"/>
        </w:rPr>
        <w:t>alimentation et l</w:t>
      </w:r>
      <w:r w:rsidR="00265783">
        <w:rPr>
          <w:lang w:val="fr-FR"/>
        </w:rPr>
        <w:t>’</w:t>
      </w:r>
      <w:r w:rsidRPr="00265C56">
        <w:rPr>
          <w:lang w:val="fr-FR"/>
        </w:rPr>
        <w:t>agriculture (FAO)], lors de laquelle la spécialiste a fait un exposé sur l</w:t>
      </w:r>
      <w:r w:rsidR="00265783">
        <w:rPr>
          <w:lang w:val="fr-FR"/>
        </w:rPr>
        <w:t>’</w:t>
      </w:r>
      <w:r w:rsidRPr="00265C56">
        <w:rPr>
          <w:lang w:val="fr-FR"/>
        </w:rPr>
        <w:t xml:space="preserve">indicateur 5.a.2 des objectifs de </w:t>
      </w:r>
      <w:r w:rsidRPr="00265C56">
        <w:rPr>
          <w:lang w:val="fr-FR"/>
        </w:rPr>
        <w:lastRenderedPageBreak/>
        <w:t>développement durable, portant sur les moyens de faire en sorte que les cadres juridiques nationaux (y compris le droit coutumier) garantissent aux femmes les mêmes droits que les hommes en matière d</w:t>
      </w:r>
      <w:r w:rsidR="00265783">
        <w:rPr>
          <w:lang w:val="fr-FR"/>
        </w:rPr>
        <w:t>’</w:t>
      </w:r>
      <w:r w:rsidRPr="00265C56">
        <w:rPr>
          <w:lang w:val="fr-FR"/>
        </w:rPr>
        <w:t>accès à la propriété ou au contrôle des terres.</w:t>
      </w:r>
    </w:p>
    <w:p w14:paraId="7782B0A1" w14:textId="5F9B0096" w:rsidR="000D2A50" w:rsidRPr="00265C56" w:rsidRDefault="000D2A50" w:rsidP="00332501">
      <w:pPr>
        <w:pStyle w:val="SingleTxt"/>
        <w:numPr>
          <w:ilvl w:val="0"/>
          <w:numId w:val="6"/>
        </w:numPr>
        <w:tabs>
          <w:tab w:val="num" w:pos="2804"/>
        </w:tabs>
        <w:spacing w:line="240" w:lineRule="exact"/>
        <w:ind w:left="1267"/>
        <w:rPr>
          <w:lang w:val="fr-FR"/>
        </w:rPr>
      </w:pPr>
      <w:r w:rsidRPr="00265C56">
        <w:rPr>
          <w:lang w:val="fr-FR"/>
        </w:rPr>
        <w:t>Le 21 juillet, le Comité a tenu une réunion informelle, lors de laquelle Ann Blomberg, spécialiste des droits de l</w:t>
      </w:r>
      <w:r w:rsidR="00265783">
        <w:rPr>
          <w:lang w:val="fr-FR"/>
        </w:rPr>
        <w:t>’</w:t>
      </w:r>
      <w:r w:rsidRPr="00265C56">
        <w:rPr>
          <w:lang w:val="fr-FR"/>
        </w:rPr>
        <w:t>homme (ONU-Femmes), lui a communiqué les conclusions de la réunion d</w:t>
      </w:r>
      <w:r w:rsidR="00265783">
        <w:rPr>
          <w:lang w:val="fr-FR"/>
        </w:rPr>
        <w:t>’</w:t>
      </w:r>
      <w:r w:rsidRPr="00265C56">
        <w:rPr>
          <w:lang w:val="fr-FR"/>
        </w:rPr>
        <w:t>experts organisée par le Haut-Commissariat aux droits de l</w:t>
      </w:r>
      <w:r w:rsidR="00265783">
        <w:rPr>
          <w:lang w:val="fr-FR"/>
        </w:rPr>
        <w:t>’</w:t>
      </w:r>
      <w:r w:rsidRPr="00265C56">
        <w:rPr>
          <w:lang w:val="fr-FR"/>
        </w:rPr>
        <w:t>homme et ONU-Femmes les 21 et 22 novembre 2016 à Genève, en vue de débattre des stratégies destinées à intégrer la question des droits des femmes dans le pacte mondial pour des migrations sûres, ordonnées et régulières.</w:t>
      </w:r>
    </w:p>
    <w:p w14:paraId="6BBF0CDE" w14:textId="19D03053" w:rsidR="000D2A50" w:rsidRPr="00265C56" w:rsidRDefault="000D2A50" w:rsidP="00332501">
      <w:pPr>
        <w:pStyle w:val="SingleTxt"/>
        <w:numPr>
          <w:ilvl w:val="0"/>
          <w:numId w:val="6"/>
        </w:numPr>
        <w:tabs>
          <w:tab w:val="num" w:pos="2804"/>
        </w:tabs>
        <w:spacing w:line="240" w:lineRule="exact"/>
        <w:ind w:left="1267"/>
        <w:rPr>
          <w:lang w:val="fr-FR"/>
        </w:rPr>
      </w:pPr>
      <w:r w:rsidRPr="00265C56">
        <w:rPr>
          <w:lang w:val="fr-FR"/>
        </w:rPr>
        <w:t>Le 12 juillet, le Comité a tenu une réunion informelle avec les membres du Mécanisme d</w:t>
      </w:r>
      <w:r w:rsidR="00265783">
        <w:rPr>
          <w:lang w:val="fr-FR"/>
        </w:rPr>
        <w:t>’</w:t>
      </w:r>
      <w:r w:rsidRPr="00265C56">
        <w:rPr>
          <w:lang w:val="fr-FR"/>
        </w:rPr>
        <w:t>experts sur les droits des peuples autochtones du Conseil des droits de l</w:t>
      </w:r>
      <w:r w:rsidR="00265783">
        <w:rPr>
          <w:lang w:val="fr-FR"/>
        </w:rPr>
        <w:t>’</w:t>
      </w:r>
      <w:r w:rsidRPr="00265C56">
        <w:rPr>
          <w:lang w:val="fr-FR"/>
        </w:rPr>
        <w:t>homme, organisée par l</w:t>
      </w:r>
      <w:r w:rsidR="00265783">
        <w:rPr>
          <w:lang w:val="fr-FR"/>
        </w:rPr>
        <w:t>’</w:t>
      </w:r>
      <w:r w:rsidRPr="00265C56">
        <w:rPr>
          <w:lang w:val="fr-FR"/>
        </w:rPr>
        <w:t>Académie de droit international humanitaire et de droits humains à Genève.</w:t>
      </w:r>
    </w:p>
    <w:p w14:paraId="1B5D8E92" w14:textId="781B2CF0" w:rsidR="000D2A50" w:rsidRPr="00265C56" w:rsidRDefault="000D2A50" w:rsidP="00332501">
      <w:pPr>
        <w:pStyle w:val="SingleTxt"/>
        <w:numPr>
          <w:ilvl w:val="0"/>
          <w:numId w:val="6"/>
        </w:numPr>
        <w:tabs>
          <w:tab w:val="num" w:pos="2804"/>
        </w:tabs>
        <w:spacing w:line="240" w:lineRule="exact"/>
        <w:ind w:left="1267"/>
        <w:rPr>
          <w:lang w:val="fr-FR"/>
        </w:rPr>
      </w:pPr>
      <w:r w:rsidRPr="00265C56">
        <w:rPr>
          <w:lang w:val="fr-FR"/>
        </w:rPr>
        <w:t>Le 14 juillet, le Comité a entendu un exposé sur les questions relatives aux droits des femmes en matière de gestation pour autrui, présenté par visioconférence par Akiko Sakaue, analyste de programmes en matière de droits de l</w:t>
      </w:r>
      <w:r w:rsidR="00265783">
        <w:rPr>
          <w:lang w:val="fr-FR"/>
        </w:rPr>
        <w:t>’</w:t>
      </w:r>
      <w:r w:rsidRPr="00265C56">
        <w:rPr>
          <w:lang w:val="fr-FR"/>
        </w:rPr>
        <w:t>homme et d</w:t>
      </w:r>
      <w:r w:rsidR="00265783">
        <w:rPr>
          <w:lang w:val="fr-FR"/>
        </w:rPr>
        <w:t>’</w:t>
      </w:r>
      <w:r w:rsidRPr="00265C56">
        <w:rPr>
          <w:lang w:val="fr-FR"/>
        </w:rPr>
        <w:t>égalité des sexes [Fonds des Nations Unies pour la population (FNUAP)], et Emilie Filmer-Wilson, conseillère technique en matière de droits de l</w:t>
      </w:r>
      <w:r w:rsidR="00265783">
        <w:rPr>
          <w:lang w:val="fr-FR"/>
        </w:rPr>
        <w:t>’</w:t>
      </w:r>
      <w:r w:rsidRPr="00265C56">
        <w:rPr>
          <w:lang w:val="fr-FR"/>
        </w:rPr>
        <w:t>homme (FNUAP).</w:t>
      </w:r>
    </w:p>
    <w:p w14:paraId="6F333C7F" w14:textId="6A32A80D" w:rsidR="000D2A50" w:rsidRDefault="000D2A50" w:rsidP="00332501">
      <w:pPr>
        <w:pStyle w:val="SingleTxt"/>
        <w:numPr>
          <w:ilvl w:val="0"/>
          <w:numId w:val="6"/>
        </w:numPr>
        <w:tabs>
          <w:tab w:val="num" w:pos="2804"/>
        </w:tabs>
        <w:spacing w:line="240" w:lineRule="exact"/>
        <w:ind w:left="1267"/>
        <w:rPr>
          <w:lang w:val="fr-FR"/>
        </w:rPr>
      </w:pPr>
      <w:r w:rsidRPr="00265C56">
        <w:rPr>
          <w:lang w:val="fr-FR"/>
        </w:rPr>
        <w:t>Le 19 juillet, le Comité a tenu une réunion informelle avec Sarah Iqbal, directrice de programme dans le cadre du projet de la Banque mondiale intitulé « Les femmes, l</w:t>
      </w:r>
      <w:r w:rsidR="00265783">
        <w:rPr>
          <w:lang w:val="fr-FR"/>
        </w:rPr>
        <w:t>’</w:t>
      </w:r>
      <w:r w:rsidRPr="00265C56">
        <w:rPr>
          <w:lang w:val="fr-FR"/>
        </w:rPr>
        <w:t>entreprise et le droit », et Keiko Nowacka, coordonnatrice des questions relatives à l</w:t>
      </w:r>
      <w:r w:rsidR="00265783">
        <w:rPr>
          <w:lang w:val="fr-FR"/>
        </w:rPr>
        <w:t>’</w:t>
      </w:r>
      <w:r w:rsidRPr="00265C56">
        <w:rPr>
          <w:lang w:val="fr-FR"/>
        </w:rPr>
        <w:t>égalité des sexes au Centre de développement de l</w:t>
      </w:r>
      <w:r w:rsidR="00265783">
        <w:t>’</w:t>
      </w:r>
      <w:r w:rsidRPr="00265C56">
        <w:rPr>
          <w:lang w:val="fr-FR"/>
        </w:rPr>
        <w:t>Organisation de coopération et de développement économiques (OCDE), au cours de laquelle celles-ci ont présenté un exposé sur la collecte de données portant sur l</w:t>
      </w:r>
      <w:r w:rsidR="00265783">
        <w:rPr>
          <w:lang w:val="fr-FR"/>
        </w:rPr>
        <w:t>’</w:t>
      </w:r>
      <w:r w:rsidRPr="00265C56">
        <w:rPr>
          <w:lang w:val="fr-FR"/>
        </w:rPr>
        <w:t>indicateur 5.1.1 des objectifs de développement durable, relatif aux cadres juridiques visant à promouvoir, faire respecter et suivre l</w:t>
      </w:r>
      <w:r w:rsidR="00265783">
        <w:rPr>
          <w:lang w:val="fr-FR"/>
        </w:rPr>
        <w:t>’</w:t>
      </w:r>
      <w:r w:rsidRPr="00265C56">
        <w:rPr>
          <w:lang w:val="fr-FR"/>
        </w:rPr>
        <w:t>application des principes d</w:t>
      </w:r>
      <w:r w:rsidR="00265783">
        <w:rPr>
          <w:lang w:val="fr-FR"/>
        </w:rPr>
        <w:t>’</w:t>
      </w:r>
      <w:r w:rsidRPr="00265C56">
        <w:rPr>
          <w:lang w:val="fr-FR"/>
        </w:rPr>
        <w:t>égalité des sexes et de non-discrimination fondée sur le sexe. Représentant ONU-Femmes, Begoña Lasagabaster, Chef de la Section des droits de l</w:t>
      </w:r>
      <w:r w:rsidR="00265783">
        <w:rPr>
          <w:lang w:val="fr-FR"/>
        </w:rPr>
        <w:t>’</w:t>
      </w:r>
      <w:r w:rsidRPr="00265C56">
        <w:rPr>
          <w:lang w:val="fr-FR"/>
        </w:rPr>
        <w:t>homme, Ginette Azcona, spécialiste des questions politiques, et Caitlin Boyce, spécialiste des questions juridiques relatives aux droits de la personne, ont participé à la réunion par visioconférence.</w:t>
      </w:r>
    </w:p>
    <w:p w14:paraId="3D5EDC46" w14:textId="46BF0840" w:rsidR="00332501" w:rsidRPr="00332501" w:rsidRDefault="00332501" w:rsidP="00332501">
      <w:pPr>
        <w:pStyle w:val="SingleTxt"/>
        <w:spacing w:after="0" w:line="120" w:lineRule="exact"/>
        <w:rPr>
          <w:sz w:val="10"/>
          <w:lang w:val="fr-FR"/>
        </w:rPr>
      </w:pPr>
    </w:p>
    <w:p w14:paraId="29AC6245" w14:textId="4802EA10" w:rsidR="00332501" w:rsidRPr="00332501" w:rsidRDefault="00332501" w:rsidP="00332501">
      <w:pPr>
        <w:pStyle w:val="SingleTxt"/>
        <w:spacing w:after="0" w:line="120" w:lineRule="exact"/>
        <w:rPr>
          <w:sz w:val="10"/>
          <w:lang w:val="fr-FR"/>
        </w:rPr>
      </w:pPr>
    </w:p>
    <w:p w14:paraId="1BA4BC97" w14:textId="56326CB5" w:rsidR="000D2A50" w:rsidRPr="00265C56" w:rsidRDefault="00D51C04" w:rsidP="00D51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D2A50" w:rsidRPr="00265C56">
        <w:rPr>
          <w:lang w:val="fr-FR"/>
        </w:rPr>
        <w:t>F.</w:t>
      </w:r>
      <w:r w:rsidR="000D2A50" w:rsidRPr="00265C56">
        <w:rPr>
          <w:lang w:val="fr-FR"/>
        </w:rPr>
        <w:tab/>
        <w:t>Composition du Comité</w:t>
      </w:r>
    </w:p>
    <w:p w14:paraId="56E3EF7F" w14:textId="2CE5B5A1" w:rsidR="00D51C04" w:rsidRPr="00D51C04" w:rsidRDefault="00D51C04" w:rsidP="00D51C04">
      <w:pPr>
        <w:pStyle w:val="SingleTxt"/>
        <w:spacing w:after="0" w:line="120" w:lineRule="exact"/>
        <w:rPr>
          <w:sz w:val="10"/>
          <w:lang w:val="fr-FR"/>
        </w:rPr>
      </w:pPr>
    </w:p>
    <w:p w14:paraId="03759D36" w14:textId="79BE0FC1" w:rsidR="00D51C04" w:rsidRPr="00D51C04" w:rsidRDefault="00D51C04" w:rsidP="00D51C04">
      <w:pPr>
        <w:pStyle w:val="SingleTxt"/>
        <w:spacing w:after="0" w:line="120" w:lineRule="exact"/>
        <w:rPr>
          <w:sz w:val="10"/>
          <w:lang w:val="fr-FR"/>
        </w:rPr>
      </w:pPr>
    </w:p>
    <w:p w14:paraId="19E3A86D" w14:textId="68F9EC1C" w:rsidR="000D2A50" w:rsidRPr="00265C56" w:rsidRDefault="000D2A50" w:rsidP="00D51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5C56">
        <w:rPr>
          <w:lang w:val="fr-FR"/>
        </w:rPr>
        <w:tab/>
      </w:r>
      <w:r w:rsidRPr="00265C56">
        <w:rPr>
          <w:lang w:val="fr-FR"/>
        </w:rPr>
        <w:tab/>
        <w:t>Remplacement en cas de vacance fortuite</w:t>
      </w:r>
    </w:p>
    <w:p w14:paraId="1E9A2E77" w14:textId="2240BC09" w:rsidR="00D51C04" w:rsidRPr="00D51C04" w:rsidRDefault="00D51C04" w:rsidP="00D51C04">
      <w:pPr>
        <w:pStyle w:val="SingleTxt"/>
        <w:spacing w:after="0" w:line="120" w:lineRule="exact"/>
        <w:rPr>
          <w:sz w:val="10"/>
          <w:lang w:val="fr-FR"/>
        </w:rPr>
      </w:pPr>
    </w:p>
    <w:p w14:paraId="4DC12095" w14:textId="0D760F0F" w:rsidR="000D2A50" w:rsidRDefault="000D2A50" w:rsidP="00332501">
      <w:pPr>
        <w:pStyle w:val="SingleTxt"/>
        <w:numPr>
          <w:ilvl w:val="0"/>
          <w:numId w:val="6"/>
        </w:numPr>
        <w:spacing w:line="240" w:lineRule="exact"/>
        <w:ind w:left="1267"/>
        <w:rPr>
          <w:lang w:val="fr-FR"/>
        </w:rPr>
      </w:pPr>
      <w:r w:rsidRPr="00265C56">
        <w:rPr>
          <w:lang w:val="fr-FR"/>
        </w:rPr>
        <w:t>Pramila Patten a démissionné du Comité le 16 mai. Le 17 mai, le Secrétaire général a prié le Gouvernement mauricien de nommer, dans un délai de deux mois, un autre expert de même nationalité pour le reste du mandat de M</w:t>
      </w:r>
      <w:r w:rsidRPr="00265C56">
        <w:rPr>
          <w:vertAlign w:val="superscript"/>
          <w:lang w:val="fr-FR"/>
        </w:rPr>
        <w:t>me</w:t>
      </w:r>
      <w:r w:rsidR="00265783">
        <w:rPr>
          <w:lang w:val="fr-FR"/>
        </w:rPr>
        <w:t xml:space="preserve"> Patten. Le 21 </w:t>
      </w:r>
      <w:r w:rsidRPr="00265C56">
        <w:rPr>
          <w:lang w:val="fr-FR"/>
        </w:rPr>
        <w:t>juin, le Gouvernement mauricien a informé le Comité de sa décision de nommer Aruna Devi Narain membre du Comité pour assurer le reste du mandat de M</w:t>
      </w:r>
      <w:r w:rsidRPr="00265C56">
        <w:rPr>
          <w:vertAlign w:val="superscript"/>
          <w:lang w:val="fr-FR"/>
        </w:rPr>
        <w:t>me</w:t>
      </w:r>
      <w:r w:rsidRPr="00265C56">
        <w:rPr>
          <w:lang w:val="fr-FR"/>
        </w:rPr>
        <w:t xml:space="preserve"> Patten, jusqu</w:t>
      </w:r>
      <w:r w:rsidR="00265783">
        <w:rPr>
          <w:lang w:val="fr-FR"/>
        </w:rPr>
        <w:t>’</w:t>
      </w:r>
      <w:r w:rsidRPr="00265C56">
        <w:rPr>
          <w:lang w:val="fr-FR"/>
        </w:rPr>
        <w:t>au 31 décembre 2018. Le 21 juillet 2017, le Comité a décidé d</w:t>
      </w:r>
      <w:r w:rsidR="00265783">
        <w:rPr>
          <w:lang w:val="fr-FR"/>
        </w:rPr>
        <w:t>’</w:t>
      </w:r>
      <w:r w:rsidRPr="00265C56">
        <w:rPr>
          <w:lang w:val="fr-FR"/>
        </w:rPr>
        <w:t>approuver la nomination de M</w:t>
      </w:r>
      <w:r w:rsidRPr="00265C56">
        <w:rPr>
          <w:vertAlign w:val="superscript"/>
          <w:lang w:val="fr-FR"/>
        </w:rPr>
        <w:t>me</w:t>
      </w:r>
      <w:r w:rsidRPr="00265C56">
        <w:rPr>
          <w:lang w:val="fr-FR"/>
        </w:rPr>
        <w:t xml:space="preserve"> Narain, conformément au paragraphe 7 de l</w:t>
      </w:r>
      <w:r w:rsidR="00265783">
        <w:rPr>
          <w:lang w:val="fr-FR"/>
        </w:rPr>
        <w:t>’</w:t>
      </w:r>
      <w:r w:rsidRPr="00265C56">
        <w:rPr>
          <w:lang w:val="fr-FR"/>
        </w:rPr>
        <w:t>article 17 de la Convention.</w:t>
      </w:r>
    </w:p>
    <w:p w14:paraId="68E2E6BB" w14:textId="4ED96A36" w:rsidR="00D51C04" w:rsidRPr="00D51C04" w:rsidRDefault="00D51C04" w:rsidP="00D51C04">
      <w:pPr>
        <w:pStyle w:val="SingleTxt"/>
        <w:spacing w:after="0" w:line="120" w:lineRule="exact"/>
        <w:rPr>
          <w:sz w:val="10"/>
          <w:lang w:val="fr-FR"/>
        </w:rPr>
      </w:pPr>
    </w:p>
    <w:p w14:paraId="050BDCCF" w14:textId="77777777" w:rsidR="000D2A50" w:rsidRPr="00265C56" w:rsidRDefault="000D2A50" w:rsidP="00D51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5C56">
        <w:rPr>
          <w:lang w:val="fr-FR"/>
        </w:rPr>
        <w:tab/>
      </w:r>
      <w:r w:rsidRPr="00265C56">
        <w:rPr>
          <w:lang w:val="fr-FR"/>
        </w:rPr>
        <w:tab/>
        <w:t>Participants à la soixante-septième session</w:t>
      </w:r>
    </w:p>
    <w:p w14:paraId="6CB1633F" w14:textId="6F1D909C" w:rsidR="00D51C04" w:rsidRPr="00D51C04" w:rsidRDefault="00D51C04" w:rsidP="00D51C04">
      <w:pPr>
        <w:pStyle w:val="SingleTxt"/>
        <w:spacing w:after="0" w:line="120" w:lineRule="exact"/>
        <w:rPr>
          <w:sz w:val="10"/>
          <w:lang w:val="fr-FR"/>
        </w:rPr>
      </w:pPr>
    </w:p>
    <w:p w14:paraId="33229B29" w14:textId="07C1240A" w:rsidR="000D2A50" w:rsidRPr="00265C56" w:rsidRDefault="000D2A50" w:rsidP="00332501">
      <w:pPr>
        <w:pStyle w:val="SingleTxt"/>
        <w:numPr>
          <w:ilvl w:val="0"/>
          <w:numId w:val="6"/>
        </w:numPr>
        <w:spacing w:line="240" w:lineRule="exact"/>
        <w:ind w:left="1267"/>
        <w:rPr>
          <w:lang w:val="fr-FR"/>
        </w:rPr>
      </w:pPr>
      <w:r w:rsidRPr="00265C56">
        <w:rPr>
          <w:lang w:val="fr-FR"/>
        </w:rPr>
        <w:t>Tous les membres ont assisté à la soixante-septième session, à l</w:t>
      </w:r>
      <w:r w:rsidR="00265783">
        <w:rPr>
          <w:lang w:val="fr-FR"/>
        </w:rPr>
        <w:t>’</w:t>
      </w:r>
      <w:r w:rsidRPr="00265C56">
        <w:rPr>
          <w:lang w:val="fr-FR"/>
        </w:rPr>
        <w:t>exception de Theodora Oby Nwankwo. Les membres ci-après n</w:t>
      </w:r>
      <w:r w:rsidR="00265783">
        <w:rPr>
          <w:lang w:val="fr-FR"/>
        </w:rPr>
        <w:t>’</w:t>
      </w:r>
      <w:r w:rsidRPr="00265C56">
        <w:rPr>
          <w:lang w:val="fr-FR"/>
        </w:rPr>
        <w:t>y ont pas assisté aux dates indiquées</w:t>
      </w:r>
      <w:r w:rsidR="00265783">
        <w:rPr>
          <w:lang w:val="fr-FR"/>
        </w:rPr>
        <w:t xml:space="preserve"> : </w:t>
      </w:r>
      <w:r w:rsidRPr="00265C56">
        <w:rPr>
          <w:lang w:val="fr-FR"/>
        </w:rPr>
        <w:t>Ayse Feride Acar, les 10 et 14 juillet</w:t>
      </w:r>
      <w:r w:rsidR="00D83EA9">
        <w:rPr>
          <w:lang w:val="fr-FR"/>
        </w:rPr>
        <w:t> ;</w:t>
      </w:r>
      <w:r w:rsidRPr="00265C56">
        <w:rPr>
          <w:lang w:val="fr-FR"/>
        </w:rPr>
        <w:t xml:space="preserve"> Louiza Chalal, le 6 juillet</w:t>
      </w:r>
      <w:r w:rsidR="00D83EA9">
        <w:rPr>
          <w:lang w:val="fr-FR"/>
        </w:rPr>
        <w:t> ;</w:t>
      </w:r>
      <w:r w:rsidRPr="00265C56">
        <w:rPr>
          <w:lang w:val="fr-FR"/>
        </w:rPr>
        <w:t xml:space="preserve"> Ruth Halperin-Kaddari, le 21 juillet</w:t>
      </w:r>
      <w:r w:rsidR="00D83EA9">
        <w:rPr>
          <w:lang w:val="fr-FR"/>
        </w:rPr>
        <w:t> ;</w:t>
      </w:r>
      <w:r w:rsidRPr="00265C56">
        <w:rPr>
          <w:lang w:val="fr-FR"/>
        </w:rPr>
        <w:t xml:space="preserve"> Dalia Leinarte, le 21 juillet. On trouvera à l</w:t>
      </w:r>
      <w:r w:rsidR="00265783">
        <w:rPr>
          <w:lang w:val="fr-FR"/>
        </w:rPr>
        <w:t>’</w:t>
      </w:r>
      <w:r w:rsidR="0001121B">
        <w:rPr>
          <w:lang w:val="fr-FR"/>
        </w:rPr>
        <w:t>annexe </w:t>
      </w:r>
      <w:r w:rsidRPr="00265C56">
        <w:rPr>
          <w:lang w:val="fr-FR"/>
        </w:rPr>
        <w:t>II de la troisième partie du présent rapport la liste des membres du Comité, assortie de la durée de leur mandat.</w:t>
      </w:r>
    </w:p>
    <w:p w14:paraId="51A742F1" w14:textId="6F5F61E3" w:rsidR="000D2A50" w:rsidRPr="009C4E47" w:rsidRDefault="000D2A50" w:rsidP="00332501">
      <w:pPr>
        <w:pStyle w:val="HCh0"/>
        <w:tabs>
          <w:tab w:val="clear" w:pos="1742"/>
        </w:tabs>
        <w:rPr>
          <w:lang w:val="fr-FR"/>
        </w:rPr>
      </w:pPr>
      <w:r w:rsidRPr="009C4E47">
        <w:rPr>
          <w:lang w:val="fr-FR"/>
        </w:rPr>
        <w:lastRenderedPageBreak/>
        <w:t>Chapitre III</w:t>
      </w:r>
    </w:p>
    <w:p w14:paraId="18C00998" w14:textId="0FA0A99C" w:rsidR="000D2A50" w:rsidRPr="009C4E47" w:rsidRDefault="000D2A50" w:rsidP="00332501">
      <w:pPr>
        <w:pStyle w:val="HCh0"/>
        <w:tabs>
          <w:tab w:val="clear" w:pos="1742"/>
        </w:tabs>
        <w:rPr>
          <w:lang w:val="fr-FR"/>
        </w:rPr>
      </w:pPr>
      <w:r w:rsidRPr="009C4E47">
        <w:rPr>
          <w:lang w:val="fr-FR"/>
        </w:rPr>
        <w:tab/>
      </w:r>
      <w:r w:rsidRPr="009C4E47">
        <w:rPr>
          <w:lang w:val="fr-FR"/>
        </w:rPr>
        <w:tab/>
        <w:t>Rapport de la Présidente sur les activités intersessions</w:t>
      </w:r>
    </w:p>
    <w:p w14:paraId="21976F09" w14:textId="6355307A" w:rsidR="00332501" w:rsidRPr="009C4E47" w:rsidRDefault="00332501" w:rsidP="00332501">
      <w:pPr>
        <w:spacing w:line="120" w:lineRule="exact"/>
        <w:rPr>
          <w:sz w:val="10"/>
          <w:lang w:val="fr-FR"/>
        </w:rPr>
      </w:pPr>
    </w:p>
    <w:p w14:paraId="5631B00E" w14:textId="11CC5F7D" w:rsidR="00332501" w:rsidRPr="009C4E47" w:rsidRDefault="00332501" w:rsidP="00332501">
      <w:pPr>
        <w:spacing w:line="120" w:lineRule="exact"/>
        <w:rPr>
          <w:sz w:val="10"/>
          <w:lang w:val="fr-FR"/>
        </w:rPr>
      </w:pPr>
    </w:p>
    <w:p w14:paraId="1A3CD13B" w14:textId="050BB5DC" w:rsidR="000D2A50" w:rsidRDefault="000D2A50" w:rsidP="00332501">
      <w:pPr>
        <w:pStyle w:val="SingleTxt"/>
        <w:numPr>
          <w:ilvl w:val="0"/>
          <w:numId w:val="6"/>
        </w:numPr>
        <w:spacing w:line="240" w:lineRule="exact"/>
        <w:ind w:left="1267"/>
        <w:rPr>
          <w:lang w:val="fr-FR"/>
        </w:rPr>
      </w:pPr>
      <w:r w:rsidRPr="00265C56">
        <w:rPr>
          <w:lang w:val="fr-FR"/>
        </w:rPr>
        <w:t>À la 1500</w:t>
      </w:r>
      <w:r w:rsidRPr="00265C56">
        <w:rPr>
          <w:vertAlign w:val="superscript"/>
          <w:lang w:val="fr-FR"/>
        </w:rPr>
        <w:t>e</w:t>
      </w:r>
      <w:r w:rsidRPr="00265C56">
        <w:rPr>
          <w:lang w:val="fr-FR"/>
        </w:rPr>
        <w:t xml:space="preserve"> séance, le 3 juillet 2017, la Présidente a rendu compte des activités qu</w:t>
      </w:r>
      <w:r w:rsidR="00265783">
        <w:rPr>
          <w:lang w:val="fr-FR"/>
        </w:rPr>
        <w:t>’</w:t>
      </w:r>
      <w:r w:rsidRPr="00265C56">
        <w:rPr>
          <w:lang w:val="fr-FR"/>
        </w:rPr>
        <w:t>elle a menées depuis la soixante-sixième session.</w:t>
      </w:r>
    </w:p>
    <w:p w14:paraId="3516D621" w14:textId="0855D381" w:rsidR="00332501" w:rsidRDefault="00332501">
      <w:pPr>
        <w:spacing w:after="200" w:line="276" w:lineRule="auto"/>
        <w:rPr>
          <w:lang w:val="fr-FR"/>
        </w:rPr>
      </w:pPr>
      <w:r>
        <w:rPr>
          <w:lang w:val="fr-FR"/>
        </w:rPr>
        <w:br w:type="page"/>
      </w:r>
    </w:p>
    <w:p w14:paraId="2A338313" w14:textId="5917A788" w:rsidR="000D2A50" w:rsidRPr="009C4E47" w:rsidRDefault="000D2A50" w:rsidP="00332501">
      <w:pPr>
        <w:pStyle w:val="HCh0"/>
        <w:tabs>
          <w:tab w:val="clear" w:pos="1742"/>
        </w:tabs>
        <w:rPr>
          <w:lang w:val="fr-FR"/>
        </w:rPr>
      </w:pPr>
      <w:r w:rsidRPr="009C4E47">
        <w:rPr>
          <w:lang w:val="fr-FR"/>
        </w:rPr>
        <w:lastRenderedPageBreak/>
        <w:t>Chapitre IV</w:t>
      </w:r>
    </w:p>
    <w:p w14:paraId="1538440D" w14:textId="66C223EA" w:rsidR="000D2A50" w:rsidRDefault="000D2A50" w:rsidP="00332501">
      <w:pPr>
        <w:pStyle w:val="HCh0"/>
        <w:ind w:left="1267" w:right="1260" w:hanging="1267"/>
        <w:rPr>
          <w:lang w:val="fr-FR"/>
        </w:rPr>
      </w:pPr>
      <w:r w:rsidRPr="009C4E47">
        <w:rPr>
          <w:lang w:val="fr-FR"/>
        </w:rPr>
        <w:tab/>
      </w:r>
      <w:r w:rsidRPr="009C4E47">
        <w:rPr>
          <w:lang w:val="fr-FR"/>
        </w:rPr>
        <w:tab/>
      </w:r>
      <w:r w:rsidRPr="00332501">
        <w:rPr>
          <w:lang w:val="fr-FR"/>
        </w:rPr>
        <w:t xml:space="preserve">Examen des rapports soumis par les États parties </w:t>
      </w:r>
      <w:r w:rsidR="00332501" w:rsidRPr="00332501">
        <w:rPr>
          <w:lang w:val="fr-FR"/>
        </w:rPr>
        <w:br/>
      </w:r>
      <w:r w:rsidRPr="00332501">
        <w:rPr>
          <w:lang w:val="fr-FR"/>
        </w:rPr>
        <w:t>en application de l</w:t>
      </w:r>
      <w:r w:rsidR="00265783">
        <w:rPr>
          <w:lang w:val="fr-FR"/>
        </w:rPr>
        <w:t>’</w:t>
      </w:r>
      <w:r w:rsidRPr="00332501">
        <w:rPr>
          <w:lang w:val="fr-FR"/>
        </w:rPr>
        <w:t xml:space="preserve">article 18 de la Convention </w:t>
      </w:r>
    </w:p>
    <w:p w14:paraId="441C09AC" w14:textId="270E6517" w:rsidR="00332501" w:rsidRPr="00332501" w:rsidRDefault="00332501" w:rsidP="00332501">
      <w:pPr>
        <w:pStyle w:val="SingleTxt"/>
        <w:spacing w:after="0" w:line="120" w:lineRule="exact"/>
        <w:rPr>
          <w:sz w:val="10"/>
          <w:lang w:val="fr-FR"/>
        </w:rPr>
      </w:pPr>
    </w:p>
    <w:p w14:paraId="6E48F540" w14:textId="314B0CD5" w:rsidR="00332501" w:rsidRPr="00332501" w:rsidRDefault="00332501" w:rsidP="00332501">
      <w:pPr>
        <w:pStyle w:val="SingleTxt"/>
        <w:spacing w:after="0" w:line="120" w:lineRule="exact"/>
        <w:rPr>
          <w:sz w:val="10"/>
          <w:lang w:val="fr-FR"/>
        </w:rPr>
      </w:pPr>
    </w:p>
    <w:p w14:paraId="2A975987" w14:textId="422A0ACD" w:rsidR="000D2A50" w:rsidRPr="00265C56" w:rsidRDefault="000D2A50" w:rsidP="00332501">
      <w:pPr>
        <w:pStyle w:val="SingleTxt"/>
        <w:numPr>
          <w:ilvl w:val="0"/>
          <w:numId w:val="6"/>
        </w:numPr>
        <w:spacing w:line="240" w:lineRule="exact"/>
        <w:ind w:left="1267"/>
        <w:rPr>
          <w:rStyle w:val="SingleTxtGChar"/>
          <w:rFonts w:asciiTheme="majorBidi" w:hAnsiTheme="majorBidi" w:cstheme="majorBidi"/>
          <w:lang w:val="fr-FR"/>
        </w:rPr>
      </w:pPr>
      <w:r w:rsidRPr="00265C56">
        <w:rPr>
          <w:lang w:val="fr-FR"/>
        </w:rPr>
        <w:t>Le Comité a examiné les rapports que huit États parties lui avaient soumis en application de l</w:t>
      </w:r>
      <w:r w:rsidR="00265783">
        <w:rPr>
          <w:lang w:val="fr-FR"/>
        </w:rPr>
        <w:t>’</w:t>
      </w:r>
      <w:r w:rsidRPr="00265C56">
        <w:rPr>
          <w:lang w:val="fr-FR"/>
        </w:rPr>
        <w:t>article 18 de la Convention et établi les observations f</w:t>
      </w:r>
      <w:r w:rsidR="00C47FE2">
        <w:rPr>
          <w:lang w:val="fr-FR"/>
        </w:rPr>
        <w:t>inales correspondantes ci-après</w:t>
      </w:r>
      <w:r w:rsidR="00265783">
        <w:rPr>
          <w:lang w:val="fr-FR"/>
        </w:rPr>
        <w:t xml:space="preserve"> : </w:t>
      </w:r>
    </w:p>
    <w:p w14:paraId="6D707653" w14:textId="494A7E35" w:rsidR="005C5C2E" w:rsidRPr="005C5C2E" w:rsidRDefault="005C5C2E" w:rsidP="005C5C2E">
      <w:pPr>
        <w:pStyle w:val="SingleTxt"/>
        <w:spacing w:after="0" w:line="120" w:lineRule="exact"/>
        <w:rPr>
          <w:sz w:val="10"/>
          <w:lang w:val="fr-FR"/>
        </w:rPr>
      </w:pPr>
    </w:p>
    <w:tbl>
      <w:tblPr>
        <w:tblW w:w="7263" w:type="dxa"/>
        <w:tblInd w:w="1269" w:type="dxa"/>
        <w:tblLayout w:type="fixed"/>
        <w:tblCellMar>
          <w:left w:w="0" w:type="dxa"/>
          <w:right w:w="0" w:type="dxa"/>
        </w:tblCellMar>
        <w:tblLook w:val="0000" w:firstRow="0" w:lastRow="0" w:firstColumn="0" w:lastColumn="0" w:noHBand="0" w:noVBand="0"/>
      </w:tblPr>
      <w:tblGrid>
        <w:gridCol w:w="3759"/>
        <w:gridCol w:w="3504"/>
      </w:tblGrid>
      <w:tr w:rsidR="005C5C2E" w:rsidRPr="002B0D73" w14:paraId="2BB18B30" w14:textId="77777777" w:rsidTr="001E711C">
        <w:tc>
          <w:tcPr>
            <w:tcW w:w="3759" w:type="dxa"/>
            <w:shd w:val="clear" w:color="auto" w:fill="auto"/>
          </w:tcPr>
          <w:p w14:paraId="627AAFC7" w14:textId="1B577367"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Cs/>
                <w:szCs w:val="20"/>
                <w:lang w:val="fr-FR"/>
              </w:rPr>
            </w:pPr>
            <w:r w:rsidRPr="002B0D73">
              <w:rPr>
                <w:bCs/>
                <w:szCs w:val="20"/>
                <w:lang w:val="fr-FR"/>
              </w:rPr>
              <w:t>Barbade</w:t>
            </w:r>
          </w:p>
        </w:tc>
        <w:tc>
          <w:tcPr>
            <w:tcW w:w="3504" w:type="dxa"/>
            <w:shd w:val="clear" w:color="auto" w:fill="auto"/>
          </w:tcPr>
          <w:p w14:paraId="1D89671F" w14:textId="73D7593A"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szCs w:val="20"/>
                <w:lang w:val="fr-FR"/>
              </w:rPr>
            </w:pPr>
            <w:r w:rsidRPr="002B0D73">
              <w:rPr>
                <w:bCs/>
                <w:szCs w:val="20"/>
                <w:lang w:val="fr-FR"/>
              </w:rPr>
              <w:t>(</w:t>
            </w:r>
            <w:hyperlink r:id="rId27" w:history="1">
              <w:r w:rsidRPr="008E2674">
                <w:rPr>
                  <w:rStyle w:val="Hyperlink"/>
                  <w:szCs w:val="20"/>
                  <w:lang w:val="fr-FR"/>
                </w:rPr>
                <w:t>CEDAW/C/BRB/CO/5-8</w:t>
              </w:r>
            </w:hyperlink>
            <w:r w:rsidRPr="002B0D73">
              <w:rPr>
                <w:bCs/>
                <w:szCs w:val="20"/>
                <w:lang w:val="fr-FR"/>
              </w:rPr>
              <w:t>)</w:t>
            </w:r>
          </w:p>
        </w:tc>
      </w:tr>
      <w:tr w:rsidR="005C5C2E" w:rsidRPr="002B0D73" w14:paraId="6461CE5E" w14:textId="77777777" w:rsidTr="001E711C">
        <w:tc>
          <w:tcPr>
            <w:tcW w:w="3759" w:type="dxa"/>
            <w:shd w:val="clear" w:color="auto" w:fill="auto"/>
          </w:tcPr>
          <w:p w14:paraId="4A079A54" w14:textId="04F30672"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Cs/>
                <w:szCs w:val="20"/>
                <w:lang w:val="fr-FR"/>
              </w:rPr>
            </w:pPr>
            <w:r w:rsidRPr="002B0D73">
              <w:rPr>
                <w:bCs/>
                <w:szCs w:val="20"/>
                <w:lang w:val="fr-FR"/>
              </w:rPr>
              <w:t>Costa Rica</w:t>
            </w:r>
          </w:p>
        </w:tc>
        <w:tc>
          <w:tcPr>
            <w:tcW w:w="3504" w:type="dxa"/>
            <w:shd w:val="clear" w:color="auto" w:fill="auto"/>
          </w:tcPr>
          <w:p w14:paraId="7E47E8C5" w14:textId="2786F591"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szCs w:val="20"/>
                <w:lang w:val="fr-FR"/>
              </w:rPr>
            </w:pPr>
            <w:r w:rsidRPr="002B0D73">
              <w:rPr>
                <w:bCs/>
                <w:szCs w:val="20"/>
                <w:lang w:val="fr-FR"/>
              </w:rPr>
              <w:t>(</w:t>
            </w:r>
            <w:hyperlink r:id="rId28" w:history="1">
              <w:r w:rsidRPr="008E2674">
                <w:rPr>
                  <w:rStyle w:val="Hyperlink"/>
                  <w:szCs w:val="20"/>
                  <w:lang w:val="fr-FR"/>
                </w:rPr>
                <w:t>CEDAW/C/CRI/CO/7</w:t>
              </w:r>
            </w:hyperlink>
            <w:r w:rsidRPr="002B0D73">
              <w:rPr>
                <w:bCs/>
                <w:szCs w:val="20"/>
                <w:lang w:val="fr-FR"/>
              </w:rPr>
              <w:t>)</w:t>
            </w:r>
          </w:p>
        </w:tc>
      </w:tr>
      <w:tr w:rsidR="005C5C2E" w:rsidRPr="002B0D73" w14:paraId="5D17C019" w14:textId="77777777" w:rsidTr="001E711C">
        <w:tc>
          <w:tcPr>
            <w:tcW w:w="3759" w:type="dxa"/>
            <w:shd w:val="clear" w:color="auto" w:fill="auto"/>
          </w:tcPr>
          <w:p w14:paraId="5BEFD6BF" w14:textId="7A4AF696"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Cs/>
                <w:szCs w:val="20"/>
                <w:lang w:val="fr-FR"/>
              </w:rPr>
            </w:pPr>
            <w:r w:rsidRPr="002B0D73">
              <w:rPr>
                <w:bCs/>
                <w:szCs w:val="20"/>
                <w:lang w:val="fr-FR"/>
              </w:rPr>
              <w:t>Italie</w:t>
            </w:r>
          </w:p>
        </w:tc>
        <w:tc>
          <w:tcPr>
            <w:tcW w:w="3504" w:type="dxa"/>
            <w:shd w:val="clear" w:color="auto" w:fill="auto"/>
          </w:tcPr>
          <w:p w14:paraId="1DFDF18E" w14:textId="7F8779F0"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szCs w:val="20"/>
                <w:lang w:val="fr-FR"/>
              </w:rPr>
            </w:pPr>
            <w:r w:rsidRPr="002B0D73">
              <w:rPr>
                <w:bCs/>
                <w:szCs w:val="20"/>
                <w:lang w:val="fr-FR"/>
              </w:rPr>
              <w:t>(</w:t>
            </w:r>
            <w:hyperlink r:id="rId29" w:history="1">
              <w:r w:rsidRPr="008E2674">
                <w:rPr>
                  <w:rStyle w:val="Hyperlink"/>
                  <w:szCs w:val="20"/>
                  <w:lang w:val="fr-FR"/>
                </w:rPr>
                <w:t>CEDAW/C/ITA/CO/7</w:t>
              </w:r>
            </w:hyperlink>
            <w:r w:rsidRPr="002B0D73">
              <w:rPr>
                <w:bCs/>
                <w:szCs w:val="20"/>
                <w:lang w:val="fr-FR"/>
              </w:rPr>
              <w:t>)</w:t>
            </w:r>
          </w:p>
        </w:tc>
      </w:tr>
      <w:tr w:rsidR="005C5C2E" w:rsidRPr="002B0D73" w14:paraId="37FB2E04" w14:textId="77777777" w:rsidTr="001E711C">
        <w:tc>
          <w:tcPr>
            <w:tcW w:w="3759" w:type="dxa"/>
            <w:shd w:val="clear" w:color="auto" w:fill="auto"/>
          </w:tcPr>
          <w:p w14:paraId="0F23D2CF" w14:textId="28E2DB05"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Cs/>
                <w:szCs w:val="20"/>
                <w:lang w:val="fr-FR"/>
              </w:rPr>
            </w:pPr>
            <w:r w:rsidRPr="002B0D73">
              <w:rPr>
                <w:bCs/>
                <w:szCs w:val="20"/>
                <w:lang w:val="fr-FR"/>
              </w:rPr>
              <w:t>Monténégro</w:t>
            </w:r>
          </w:p>
        </w:tc>
        <w:tc>
          <w:tcPr>
            <w:tcW w:w="3504" w:type="dxa"/>
            <w:shd w:val="clear" w:color="auto" w:fill="auto"/>
          </w:tcPr>
          <w:p w14:paraId="59CD2A67" w14:textId="0B5DEA38"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szCs w:val="20"/>
                <w:lang w:val="fr-FR"/>
              </w:rPr>
            </w:pPr>
            <w:r w:rsidRPr="002B0D73">
              <w:rPr>
                <w:bCs/>
                <w:szCs w:val="20"/>
                <w:lang w:val="fr-FR"/>
              </w:rPr>
              <w:t>(</w:t>
            </w:r>
            <w:hyperlink r:id="rId30" w:history="1">
              <w:r w:rsidRPr="008E2674">
                <w:rPr>
                  <w:rStyle w:val="Hyperlink"/>
                  <w:szCs w:val="20"/>
                  <w:lang w:val="fr-FR"/>
                </w:rPr>
                <w:t>CEDAW/C/MNE/CO/2</w:t>
              </w:r>
            </w:hyperlink>
            <w:r w:rsidRPr="002B0D73">
              <w:rPr>
                <w:bCs/>
                <w:szCs w:val="20"/>
                <w:lang w:val="fr-FR"/>
              </w:rPr>
              <w:t>)</w:t>
            </w:r>
          </w:p>
        </w:tc>
      </w:tr>
      <w:tr w:rsidR="005C5C2E" w:rsidRPr="002B0D73" w14:paraId="3DD1CD5C" w14:textId="77777777" w:rsidTr="001E711C">
        <w:tc>
          <w:tcPr>
            <w:tcW w:w="3759" w:type="dxa"/>
            <w:shd w:val="clear" w:color="auto" w:fill="auto"/>
          </w:tcPr>
          <w:p w14:paraId="7C5FA30C" w14:textId="21F9127B"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Cs/>
                <w:szCs w:val="20"/>
                <w:lang w:val="fr-FR"/>
              </w:rPr>
            </w:pPr>
            <w:r w:rsidRPr="002B0D73">
              <w:rPr>
                <w:bCs/>
                <w:szCs w:val="20"/>
                <w:lang w:val="fr-FR"/>
              </w:rPr>
              <w:t>Niger</w:t>
            </w:r>
          </w:p>
        </w:tc>
        <w:tc>
          <w:tcPr>
            <w:tcW w:w="3504" w:type="dxa"/>
            <w:shd w:val="clear" w:color="auto" w:fill="auto"/>
          </w:tcPr>
          <w:p w14:paraId="7A0B74F6" w14:textId="2CEF2DE7"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szCs w:val="20"/>
                <w:lang w:val="fr-FR"/>
              </w:rPr>
            </w:pPr>
            <w:r w:rsidRPr="002B0D73">
              <w:rPr>
                <w:bCs/>
                <w:szCs w:val="20"/>
                <w:lang w:val="fr-FR"/>
              </w:rPr>
              <w:t>(</w:t>
            </w:r>
            <w:hyperlink r:id="rId31" w:history="1">
              <w:r w:rsidRPr="008E2674">
                <w:rPr>
                  <w:rStyle w:val="Hyperlink"/>
                  <w:szCs w:val="20"/>
                  <w:lang w:val="fr-FR"/>
                </w:rPr>
                <w:t>CEDAW/C/NER/CO/3-4</w:t>
              </w:r>
            </w:hyperlink>
            <w:r w:rsidRPr="002B0D73">
              <w:rPr>
                <w:bCs/>
                <w:szCs w:val="20"/>
                <w:lang w:val="fr-FR"/>
              </w:rPr>
              <w:t>)</w:t>
            </w:r>
          </w:p>
        </w:tc>
      </w:tr>
      <w:tr w:rsidR="005C5C2E" w:rsidRPr="002B0D73" w14:paraId="68EABB7A" w14:textId="77777777" w:rsidTr="001E711C">
        <w:tc>
          <w:tcPr>
            <w:tcW w:w="3759" w:type="dxa"/>
            <w:shd w:val="clear" w:color="auto" w:fill="auto"/>
          </w:tcPr>
          <w:p w14:paraId="021E72B8" w14:textId="6B46ACFB"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Cs/>
                <w:szCs w:val="20"/>
                <w:lang w:val="fr-FR"/>
              </w:rPr>
            </w:pPr>
            <w:r w:rsidRPr="002B0D73">
              <w:rPr>
                <w:bCs/>
                <w:szCs w:val="20"/>
                <w:lang w:val="fr-FR"/>
              </w:rPr>
              <w:t>Nigéria</w:t>
            </w:r>
          </w:p>
        </w:tc>
        <w:tc>
          <w:tcPr>
            <w:tcW w:w="3504" w:type="dxa"/>
            <w:shd w:val="clear" w:color="auto" w:fill="auto"/>
          </w:tcPr>
          <w:p w14:paraId="34CA45B8" w14:textId="6EC0BC4D"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szCs w:val="20"/>
                <w:lang w:val="fr-FR"/>
              </w:rPr>
            </w:pPr>
            <w:r w:rsidRPr="002B0D73">
              <w:rPr>
                <w:bCs/>
                <w:szCs w:val="20"/>
                <w:lang w:val="fr-FR"/>
              </w:rPr>
              <w:t>(</w:t>
            </w:r>
            <w:hyperlink r:id="rId32" w:history="1">
              <w:r w:rsidRPr="008E2674">
                <w:rPr>
                  <w:rStyle w:val="Hyperlink"/>
                  <w:szCs w:val="20"/>
                  <w:lang w:val="fr-FR"/>
                </w:rPr>
                <w:t>CEDAW/C/NGA/CO/7-8</w:t>
              </w:r>
            </w:hyperlink>
            <w:r w:rsidRPr="002B0D73">
              <w:rPr>
                <w:bCs/>
                <w:szCs w:val="20"/>
                <w:lang w:val="fr-FR"/>
              </w:rPr>
              <w:t>)</w:t>
            </w:r>
          </w:p>
        </w:tc>
      </w:tr>
      <w:tr w:rsidR="005C5C2E" w:rsidRPr="002B0D73" w14:paraId="66F09905" w14:textId="77777777" w:rsidTr="001E711C">
        <w:tc>
          <w:tcPr>
            <w:tcW w:w="3759" w:type="dxa"/>
            <w:shd w:val="clear" w:color="auto" w:fill="auto"/>
          </w:tcPr>
          <w:p w14:paraId="22C32766" w14:textId="11671126"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Cs/>
                <w:szCs w:val="20"/>
                <w:lang w:val="fr-FR"/>
              </w:rPr>
            </w:pPr>
            <w:r w:rsidRPr="002B0D73">
              <w:rPr>
                <w:bCs/>
                <w:szCs w:val="20"/>
                <w:lang w:val="fr-FR"/>
              </w:rPr>
              <w:t>Roumanie</w:t>
            </w:r>
          </w:p>
        </w:tc>
        <w:tc>
          <w:tcPr>
            <w:tcW w:w="3504" w:type="dxa"/>
            <w:shd w:val="clear" w:color="auto" w:fill="auto"/>
          </w:tcPr>
          <w:p w14:paraId="38C834F7" w14:textId="7304B774"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szCs w:val="20"/>
                <w:lang w:val="fr-FR"/>
              </w:rPr>
            </w:pPr>
            <w:r w:rsidRPr="002B0D73">
              <w:rPr>
                <w:bCs/>
                <w:szCs w:val="20"/>
                <w:lang w:val="fr-FR"/>
              </w:rPr>
              <w:t>(</w:t>
            </w:r>
            <w:hyperlink r:id="rId33" w:history="1">
              <w:r w:rsidRPr="008E2674">
                <w:rPr>
                  <w:rStyle w:val="Hyperlink"/>
                  <w:szCs w:val="20"/>
                  <w:lang w:val="fr-FR"/>
                </w:rPr>
                <w:t>CEDAW/C/ROU/CO/7-8</w:t>
              </w:r>
            </w:hyperlink>
            <w:r w:rsidRPr="002B0D73">
              <w:rPr>
                <w:bCs/>
                <w:szCs w:val="20"/>
                <w:lang w:val="fr-FR"/>
              </w:rPr>
              <w:t>)</w:t>
            </w:r>
          </w:p>
        </w:tc>
      </w:tr>
      <w:tr w:rsidR="005C5C2E" w:rsidRPr="002B0D73" w14:paraId="0BC69F81" w14:textId="77777777" w:rsidTr="001E711C">
        <w:tc>
          <w:tcPr>
            <w:tcW w:w="3759" w:type="dxa"/>
            <w:shd w:val="clear" w:color="auto" w:fill="auto"/>
          </w:tcPr>
          <w:p w14:paraId="184489B4" w14:textId="3A098AF0"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Cs/>
                <w:szCs w:val="20"/>
                <w:lang w:val="fr-FR"/>
              </w:rPr>
            </w:pPr>
            <w:r w:rsidRPr="002B0D73">
              <w:rPr>
                <w:bCs/>
                <w:szCs w:val="20"/>
                <w:lang w:val="fr-FR"/>
              </w:rPr>
              <w:t>Thaïlande</w:t>
            </w:r>
          </w:p>
        </w:tc>
        <w:tc>
          <w:tcPr>
            <w:tcW w:w="3504" w:type="dxa"/>
            <w:shd w:val="clear" w:color="auto" w:fill="auto"/>
          </w:tcPr>
          <w:p w14:paraId="139724B9" w14:textId="16FEC31F" w:rsidR="005C5C2E" w:rsidRPr="002B0D73" w:rsidRDefault="005C5C2E"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szCs w:val="20"/>
                <w:lang w:val="fr-FR"/>
              </w:rPr>
            </w:pPr>
            <w:r w:rsidRPr="002B0D73">
              <w:rPr>
                <w:bCs/>
                <w:szCs w:val="20"/>
                <w:lang w:val="fr-FR"/>
              </w:rPr>
              <w:t>(</w:t>
            </w:r>
            <w:hyperlink r:id="rId34" w:history="1">
              <w:r w:rsidRPr="008E2674">
                <w:rPr>
                  <w:rStyle w:val="Hyperlink"/>
                  <w:szCs w:val="20"/>
                  <w:lang w:val="fr-FR"/>
                </w:rPr>
                <w:t>CEDAW/C/THA/CO/6-7</w:t>
              </w:r>
            </w:hyperlink>
            <w:r w:rsidRPr="002B0D73">
              <w:rPr>
                <w:bCs/>
                <w:szCs w:val="20"/>
                <w:lang w:val="fr-FR"/>
              </w:rPr>
              <w:t>)</w:t>
            </w:r>
          </w:p>
        </w:tc>
      </w:tr>
    </w:tbl>
    <w:p w14:paraId="5B027744" w14:textId="1A869249" w:rsidR="005C5C2E" w:rsidRPr="005C5C2E" w:rsidRDefault="005C5C2E" w:rsidP="005C5C2E">
      <w:pPr>
        <w:pStyle w:val="SingleTxt"/>
        <w:spacing w:after="0" w:line="120" w:lineRule="exact"/>
        <w:rPr>
          <w:sz w:val="10"/>
          <w:lang w:val="fr-FR"/>
        </w:rPr>
      </w:pPr>
    </w:p>
    <w:p w14:paraId="37A6B9FC" w14:textId="0B024353" w:rsidR="005C5C2E" w:rsidRPr="005C5C2E" w:rsidRDefault="005C5C2E" w:rsidP="005C5C2E">
      <w:pPr>
        <w:pStyle w:val="SingleTxt"/>
        <w:spacing w:after="0" w:line="120" w:lineRule="exact"/>
        <w:rPr>
          <w:sz w:val="10"/>
          <w:lang w:val="fr-FR"/>
        </w:rPr>
      </w:pPr>
    </w:p>
    <w:p w14:paraId="70DD8B56" w14:textId="45127633" w:rsidR="005C5C2E" w:rsidRPr="005C5C2E" w:rsidRDefault="005C5C2E" w:rsidP="005C5C2E">
      <w:pPr>
        <w:pStyle w:val="SingleTxt"/>
        <w:spacing w:after="0" w:line="120" w:lineRule="exact"/>
        <w:rPr>
          <w:sz w:val="10"/>
          <w:lang w:val="fr-FR"/>
        </w:rPr>
      </w:pPr>
    </w:p>
    <w:p w14:paraId="545DDFDD" w14:textId="4DE08C56" w:rsidR="005C5C2E" w:rsidRDefault="005C5C2E" w:rsidP="005C5C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Procédure de suivi des observations finales </w:t>
      </w:r>
    </w:p>
    <w:p w14:paraId="3A749A5B" w14:textId="5407A0D6" w:rsidR="005C5C2E" w:rsidRPr="005C5C2E" w:rsidRDefault="005C5C2E" w:rsidP="005C5C2E">
      <w:pPr>
        <w:pStyle w:val="SingleTxt"/>
        <w:spacing w:after="0" w:line="120" w:lineRule="exact"/>
        <w:rPr>
          <w:sz w:val="10"/>
          <w:lang w:val="fr-FR"/>
        </w:rPr>
      </w:pPr>
    </w:p>
    <w:p w14:paraId="704D6641" w14:textId="62226812" w:rsidR="005C5C2E" w:rsidRDefault="005C5C2E" w:rsidP="009E64AA">
      <w:pPr>
        <w:pStyle w:val="SingleTxt"/>
        <w:numPr>
          <w:ilvl w:val="0"/>
          <w:numId w:val="6"/>
        </w:numPr>
        <w:spacing w:line="240" w:lineRule="exact"/>
        <w:ind w:left="1267"/>
        <w:rPr>
          <w:lang w:val="fr-FR"/>
        </w:rPr>
      </w:pPr>
      <w:r w:rsidRPr="005C5C2E">
        <w:rPr>
          <w:lang w:val="fr-FR"/>
        </w:rPr>
        <w:t>Le Comité a examiné les rapports de suivi soumis par les États parties ci-après</w:t>
      </w:r>
      <w:r w:rsidR="00265783">
        <w:rPr>
          <w:lang w:val="fr-FR"/>
        </w:rPr>
        <w:t xml:space="preserve"> : </w:t>
      </w:r>
    </w:p>
    <w:p w14:paraId="706C79B1" w14:textId="2FFAD6C7" w:rsidR="005C5C2E" w:rsidRDefault="005C5C2E" w:rsidP="005C5C2E">
      <w:pPr>
        <w:pStyle w:val="SingleTxt"/>
        <w:spacing w:after="0" w:line="120" w:lineRule="exact"/>
        <w:rPr>
          <w:sz w:val="10"/>
          <w:lang w:val="fr-FR"/>
        </w:rPr>
      </w:pPr>
    </w:p>
    <w:tbl>
      <w:tblPr>
        <w:tblStyle w:val="TableGrid"/>
        <w:tblW w:w="0" w:type="auto"/>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1"/>
        <w:gridCol w:w="3627"/>
      </w:tblGrid>
      <w:tr w:rsidR="002B0D73" w:rsidRPr="0089543A" w14:paraId="41AFB295" w14:textId="77777777" w:rsidTr="001E711C">
        <w:trPr>
          <w:cantSplit/>
        </w:trPr>
        <w:tc>
          <w:tcPr>
            <w:tcW w:w="3591" w:type="dxa"/>
            <w:shd w:val="clear" w:color="auto" w:fill="auto"/>
          </w:tcPr>
          <w:p w14:paraId="660E4D65" w14:textId="77777777"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2B0D73">
              <w:rPr>
                <w:lang w:val="fr-FR"/>
              </w:rPr>
              <w:t>Belgique</w:t>
            </w:r>
          </w:p>
        </w:tc>
        <w:tc>
          <w:tcPr>
            <w:tcW w:w="3627" w:type="dxa"/>
            <w:shd w:val="clear" w:color="auto" w:fill="auto"/>
          </w:tcPr>
          <w:p w14:paraId="4DBC08F0" w14:textId="469037FB"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US"/>
              </w:rPr>
            </w:pPr>
            <w:r w:rsidRPr="002B0D73">
              <w:rPr>
                <w:lang w:val="en-US"/>
              </w:rPr>
              <w:t>(</w:t>
            </w:r>
            <w:hyperlink r:id="rId35" w:history="1">
              <w:r w:rsidRPr="008E2674">
                <w:rPr>
                  <w:rStyle w:val="Hyperlink"/>
                  <w:lang w:val="en-US"/>
                </w:rPr>
                <w:t>CEDAW/C/BEL/CO/7/Add.1</w:t>
              </w:r>
            </w:hyperlink>
            <w:r w:rsidRPr="002B0D73">
              <w:rPr>
                <w:lang w:val="en-US"/>
              </w:rPr>
              <w:t>)</w:t>
            </w:r>
          </w:p>
        </w:tc>
      </w:tr>
      <w:tr w:rsidR="002B0D73" w:rsidRPr="0089543A" w14:paraId="204B5F4D" w14:textId="77777777" w:rsidTr="001E711C">
        <w:trPr>
          <w:cantSplit/>
        </w:trPr>
        <w:tc>
          <w:tcPr>
            <w:tcW w:w="3591" w:type="dxa"/>
            <w:shd w:val="clear" w:color="auto" w:fill="auto"/>
          </w:tcPr>
          <w:p w14:paraId="0C62DE57" w14:textId="77777777"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2B0D73">
              <w:rPr>
                <w:lang w:val="fr-FR"/>
              </w:rPr>
              <w:t>Chine</w:t>
            </w:r>
          </w:p>
        </w:tc>
        <w:tc>
          <w:tcPr>
            <w:tcW w:w="3627" w:type="dxa"/>
            <w:shd w:val="clear" w:color="auto" w:fill="auto"/>
          </w:tcPr>
          <w:p w14:paraId="47F86BC6" w14:textId="25C0691C"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US"/>
              </w:rPr>
            </w:pPr>
            <w:r w:rsidRPr="002B0D73">
              <w:rPr>
                <w:lang w:val="en-US"/>
              </w:rPr>
              <w:t>(</w:t>
            </w:r>
            <w:hyperlink r:id="rId36" w:history="1">
              <w:r w:rsidRPr="008E2674">
                <w:rPr>
                  <w:rStyle w:val="Hyperlink"/>
                  <w:lang w:val="en-US"/>
                </w:rPr>
                <w:t>CEDAW/C/CHN/CO/7-8/Add.1</w:t>
              </w:r>
            </w:hyperlink>
            <w:r w:rsidRPr="002B0D73">
              <w:rPr>
                <w:lang w:val="en-US"/>
              </w:rPr>
              <w:t>)</w:t>
            </w:r>
          </w:p>
        </w:tc>
      </w:tr>
      <w:tr w:rsidR="002B0D73" w:rsidRPr="0089543A" w14:paraId="37FC3CA6" w14:textId="77777777" w:rsidTr="001E711C">
        <w:trPr>
          <w:cantSplit/>
        </w:trPr>
        <w:tc>
          <w:tcPr>
            <w:tcW w:w="3591" w:type="dxa"/>
            <w:shd w:val="clear" w:color="auto" w:fill="auto"/>
          </w:tcPr>
          <w:p w14:paraId="0693D4AF" w14:textId="77777777"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2B0D73">
              <w:rPr>
                <w:lang w:val="fr-FR"/>
              </w:rPr>
              <w:t>Danemark</w:t>
            </w:r>
          </w:p>
        </w:tc>
        <w:tc>
          <w:tcPr>
            <w:tcW w:w="3627" w:type="dxa"/>
            <w:shd w:val="clear" w:color="auto" w:fill="auto"/>
          </w:tcPr>
          <w:p w14:paraId="7052EA87" w14:textId="618D113D"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US"/>
              </w:rPr>
            </w:pPr>
            <w:r w:rsidRPr="002B0D73">
              <w:rPr>
                <w:lang w:val="en-US"/>
              </w:rPr>
              <w:t>(</w:t>
            </w:r>
            <w:hyperlink r:id="rId37" w:history="1">
              <w:r w:rsidRPr="008E2674">
                <w:rPr>
                  <w:rStyle w:val="Hyperlink"/>
                  <w:lang w:val="en-US"/>
                </w:rPr>
                <w:t>CEDAW/C/DEN/CO/8/Add.1</w:t>
              </w:r>
            </w:hyperlink>
            <w:r w:rsidRPr="002B0D73">
              <w:rPr>
                <w:lang w:val="en-US"/>
              </w:rPr>
              <w:t>)</w:t>
            </w:r>
          </w:p>
        </w:tc>
      </w:tr>
      <w:tr w:rsidR="002B0D73" w:rsidRPr="0089543A" w14:paraId="40C48E19" w14:textId="77777777" w:rsidTr="001E711C">
        <w:trPr>
          <w:cantSplit/>
        </w:trPr>
        <w:tc>
          <w:tcPr>
            <w:tcW w:w="3591" w:type="dxa"/>
            <w:shd w:val="clear" w:color="auto" w:fill="auto"/>
          </w:tcPr>
          <w:p w14:paraId="62AF6CAB" w14:textId="77777777"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2B0D73">
              <w:rPr>
                <w:lang w:val="fr-FR"/>
              </w:rPr>
              <w:t>Équateur</w:t>
            </w:r>
          </w:p>
        </w:tc>
        <w:tc>
          <w:tcPr>
            <w:tcW w:w="3627" w:type="dxa"/>
            <w:shd w:val="clear" w:color="auto" w:fill="auto"/>
          </w:tcPr>
          <w:p w14:paraId="7EE8B715" w14:textId="7BDB4898"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US"/>
              </w:rPr>
            </w:pPr>
            <w:r w:rsidRPr="002B0D73">
              <w:rPr>
                <w:lang w:val="en-US"/>
              </w:rPr>
              <w:t>(</w:t>
            </w:r>
            <w:hyperlink r:id="rId38" w:history="1">
              <w:r w:rsidRPr="008E2674">
                <w:rPr>
                  <w:rStyle w:val="Hyperlink"/>
                  <w:lang w:val="en-US"/>
                </w:rPr>
                <w:t>CEDAW/C/ECU/CO/8-9/Add.1</w:t>
              </w:r>
            </w:hyperlink>
            <w:r w:rsidRPr="002B0D73">
              <w:rPr>
                <w:lang w:val="en-US"/>
              </w:rPr>
              <w:t>)</w:t>
            </w:r>
          </w:p>
        </w:tc>
      </w:tr>
      <w:tr w:rsidR="002B0D73" w:rsidRPr="0089543A" w14:paraId="78F9DEF5" w14:textId="77777777" w:rsidTr="001E711C">
        <w:trPr>
          <w:cantSplit/>
        </w:trPr>
        <w:tc>
          <w:tcPr>
            <w:tcW w:w="3591" w:type="dxa"/>
            <w:shd w:val="clear" w:color="auto" w:fill="auto"/>
          </w:tcPr>
          <w:p w14:paraId="4F8C3D75" w14:textId="77777777"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2B0D73">
              <w:rPr>
                <w:lang w:val="fr-FR"/>
              </w:rPr>
              <w:t>Égypte</w:t>
            </w:r>
          </w:p>
        </w:tc>
        <w:tc>
          <w:tcPr>
            <w:tcW w:w="3627" w:type="dxa"/>
            <w:shd w:val="clear" w:color="auto" w:fill="auto"/>
          </w:tcPr>
          <w:p w14:paraId="521E8C51" w14:textId="267CDD97"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US"/>
              </w:rPr>
            </w:pPr>
            <w:r w:rsidRPr="002B0D73">
              <w:rPr>
                <w:lang w:val="en-US"/>
              </w:rPr>
              <w:t>(</w:t>
            </w:r>
            <w:hyperlink r:id="rId39" w:history="1">
              <w:r w:rsidRPr="008E2674">
                <w:rPr>
                  <w:rStyle w:val="Hyperlink"/>
                  <w:lang w:val="en-US"/>
                </w:rPr>
                <w:t>CEDAW/C/EGY/CO/7/Add.1</w:t>
              </w:r>
            </w:hyperlink>
            <w:r w:rsidRPr="002B0D73">
              <w:rPr>
                <w:lang w:val="en-US"/>
              </w:rPr>
              <w:t>)</w:t>
            </w:r>
          </w:p>
        </w:tc>
      </w:tr>
      <w:tr w:rsidR="002B0D73" w:rsidRPr="0089543A" w14:paraId="22852915" w14:textId="77777777" w:rsidTr="001E711C">
        <w:trPr>
          <w:cantSplit/>
        </w:trPr>
        <w:tc>
          <w:tcPr>
            <w:tcW w:w="3591" w:type="dxa"/>
            <w:shd w:val="clear" w:color="auto" w:fill="auto"/>
          </w:tcPr>
          <w:p w14:paraId="24EB4D8C" w14:textId="77777777"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2B0D73">
              <w:rPr>
                <w:lang w:val="fr-FR"/>
              </w:rPr>
              <w:t>Kazakhstan</w:t>
            </w:r>
          </w:p>
        </w:tc>
        <w:tc>
          <w:tcPr>
            <w:tcW w:w="3627" w:type="dxa"/>
            <w:shd w:val="clear" w:color="auto" w:fill="auto"/>
          </w:tcPr>
          <w:p w14:paraId="720AC71A" w14:textId="1F4DB2C3"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US"/>
              </w:rPr>
            </w:pPr>
            <w:r w:rsidRPr="002B0D73">
              <w:rPr>
                <w:lang w:val="en-US"/>
              </w:rPr>
              <w:t>(</w:t>
            </w:r>
            <w:hyperlink r:id="rId40" w:history="1">
              <w:r w:rsidRPr="008E2674">
                <w:rPr>
                  <w:rStyle w:val="Hyperlink"/>
                  <w:lang w:val="en-US"/>
                </w:rPr>
                <w:t>CEDAW/C/KAZ/CO/3-4/Add.1</w:t>
              </w:r>
            </w:hyperlink>
            <w:r w:rsidRPr="002B0D73">
              <w:rPr>
                <w:lang w:val="en-US"/>
              </w:rPr>
              <w:t>)</w:t>
            </w:r>
          </w:p>
        </w:tc>
      </w:tr>
      <w:tr w:rsidR="002B0D73" w:rsidRPr="0089543A" w14:paraId="010C0E26" w14:textId="77777777" w:rsidTr="001E711C">
        <w:trPr>
          <w:cantSplit/>
        </w:trPr>
        <w:tc>
          <w:tcPr>
            <w:tcW w:w="3591" w:type="dxa"/>
            <w:shd w:val="clear" w:color="auto" w:fill="auto"/>
          </w:tcPr>
          <w:p w14:paraId="6985CF30" w14:textId="77777777"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2B0D73">
              <w:rPr>
                <w:lang w:val="fr-FR"/>
              </w:rPr>
              <w:t>Oman</w:t>
            </w:r>
          </w:p>
        </w:tc>
        <w:tc>
          <w:tcPr>
            <w:tcW w:w="3627" w:type="dxa"/>
            <w:shd w:val="clear" w:color="auto" w:fill="auto"/>
          </w:tcPr>
          <w:p w14:paraId="4D6A45FE" w14:textId="02CFB291"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US"/>
              </w:rPr>
            </w:pPr>
            <w:r w:rsidRPr="002B0D73">
              <w:rPr>
                <w:lang w:val="en-US"/>
              </w:rPr>
              <w:t>(</w:t>
            </w:r>
            <w:hyperlink r:id="rId41" w:history="1">
              <w:r w:rsidRPr="008E2674">
                <w:rPr>
                  <w:rStyle w:val="Hyperlink"/>
                  <w:lang w:val="en-US"/>
                </w:rPr>
                <w:t>CEDAW/C/OMN/CO/1/Add.1</w:t>
              </w:r>
            </w:hyperlink>
            <w:r w:rsidRPr="002B0D73">
              <w:rPr>
                <w:lang w:val="en-US"/>
              </w:rPr>
              <w:t>)</w:t>
            </w:r>
          </w:p>
        </w:tc>
      </w:tr>
      <w:tr w:rsidR="002B0D73" w:rsidRPr="0089543A" w14:paraId="52366A22" w14:textId="77777777" w:rsidTr="001E711C">
        <w:trPr>
          <w:cantSplit/>
        </w:trPr>
        <w:tc>
          <w:tcPr>
            <w:tcW w:w="3591" w:type="dxa"/>
            <w:shd w:val="clear" w:color="auto" w:fill="auto"/>
          </w:tcPr>
          <w:p w14:paraId="4687785C" w14:textId="77777777"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2B0D73">
              <w:rPr>
                <w:lang w:val="fr-FR"/>
              </w:rPr>
              <w:t>Îles Salomon</w:t>
            </w:r>
          </w:p>
        </w:tc>
        <w:tc>
          <w:tcPr>
            <w:tcW w:w="3627" w:type="dxa"/>
            <w:shd w:val="clear" w:color="auto" w:fill="auto"/>
          </w:tcPr>
          <w:p w14:paraId="56212FDF" w14:textId="75022257"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US"/>
              </w:rPr>
            </w:pPr>
            <w:r w:rsidRPr="002B0D73">
              <w:rPr>
                <w:lang w:val="en-US"/>
              </w:rPr>
              <w:t>(</w:t>
            </w:r>
            <w:hyperlink r:id="rId42" w:history="1">
              <w:r w:rsidRPr="008E2674">
                <w:rPr>
                  <w:rStyle w:val="Hyperlink"/>
                  <w:lang w:val="en-US"/>
                </w:rPr>
                <w:t>CEDAW/C/SLB/CO/1-3/Add.1</w:t>
              </w:r>
            </w:hyperlink>
            <w:r w:rsidRPr="002B0D73">
              <w:rPr>
                <w:lang w:val="en-US"/>
              </w:rPr>
              <w:t>)</w:t>
            </w:r>
          </w:p>
        </w:tc>
      </w:tr>
      <w:tr w:rsidR="002B0D73" w:rsidRPr="0089543A" w14:paraId="2B49B456" w14:textId="77777777" w:rsidTr="001E711C">
        <w:trPr>
          <w:cantSplit/>
        </w:trPr>
        <w:tc>
          <w:tcPr>
            <w:tcW w:w="3591" w:type="dxa"/>
            <w:shd w:val="clear" w:color="auto" w:fill="auto"/>
          </w:tcPr>
          <w:p w14:paraId="0C927851" w14:textId="77777777"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2B0D73">
              <w:rPr>
                <w:lang w:val="fr-FR"/>
              </w:rPr>
              <w:t>Swaziland</w:t>
            </w:r>
          </w:p>
        </w:tc>
        <w:tc>
          <w:tcPr>
            <w:tcW w:w="3627" w:type="dxa"/>
            <w:shd w:val="clear" w:color="auto" w:fill="auto"/>
          </w:tcPr>
          <w:p w14:paraId="6A1E665C" w14:textId="6DEC5040" w:rsidR="002B0D73" w:rsidRPr="002B0D73" w:rsidRDefault="002B0D73" w:rsidP="002B0D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US"/>
              </w:rPr>
            </w:pPr>
            <w:r w:rsidRPr="002B0D73">
              <w:rPr>
                <w:lang w:val="en-US"/>
              </w:rPr>
              <w:t>(</w:t>
            </w:r>
            <w:hyperlink r:id="rId43" w:history="1">
              <w:r w:rsidRPr="008E2674">
                <w:rPr>
                  <w:rStyle w:val="Hyperlink"/>
                  <w:lang w:val="en-US"/>
                </w:rPr>
                <w:t>CEDAW/C/SWZ/CO/1-2/Add.1</w:t>
              </w:r>
            </w:hyperlink>
            <w:r w:rsidRPr="002B0D73">
              <w:rPr>
                <w:lang w:val="en-US"/>
              </w:rPr>
              <w:t>)</w:t>
            </w:r>
          </w:p>
        </w:tc>
      </w:tr>
    </w:tbl>
    <w:p w14:paraId="450E6EC7" w14:textId="211A7C52" w:rsidR="005C5C2E" w:rsidRDefault="005C5C2E" w:rsidP="005C5C2E">
      <w:pPr>
        <w:pStyle w:val="SingleTxt"/>
        <w:spacing w:after="0" w:line="120" w:lineRule="exact"/>
        <w:rPr>
          <w:sz w:val="10"/>
          <w:lang w:val="en-US"/>
        </w:rPr>
      </w:pPr>
    </w:p>
    <w:p w14:paraId="10202AD6" w14:textId="5EBB73F3" w:rsidR="0028552B" w:rsidRDefault="0028552B" w:rsidP="005C5C2E">
      <w:pPr>
        <w:pStyle w:val="SingleTxt"/>
        <w:spacing w:after="0" w:line="120" w:lineRule="exact"/>
        <w:rPr>
          <w:sz w:val="10"/>
          <w:lang w:val="en-US"/>
        </w:rPr>
      </w:pPr>
    </w:p>
    <w:p w14:paraId="5D9AFF30" w14:textId="0E1A59FE" w:rsidR="00A664C3" w:rsidRDefault="00A664C3" w:rsidP="00A664C3">
      <w:pPr>
        <w:pStyle w:val="SingleTxt"/>
        <w:numPr>
          <w:ilvl w:val="0"/>
          <w:numId w:val="6"/>
        </w:numPr>
        <w:spacing w:line="240" w:lineRule="exact"/>
        <w:ind w:left="1267"/>
        <w:rPr>
          <w:lang w:val="fr-FR"/>
        </w:rPr>
      </w:pPr>
      <w:r>
        <w:rPr>
          <w:lang w:val="fr-FR"/>
        </w:rPr>
        <w:t>Le Comité a adressé un premier rappel à l</w:t>
      </w:r>
      <w:r w:rsidR="00265783">
        <w:rPr>
          <w:lang w:val="fr-FR"/>
        </w:rPr>
        <w:t>’</w:t>
      </w:r>
      <w:r>
        <w:rPr>
          <w:lang w:val="fr-FR"/>
        </w:rPr>
        <w:t>Azerbaïdjan, à l</w:t>
      </w:r>
      <w:r w:rsidR="00265783">
        <w:rPr>
          <w:lang w:val="fr-FR"/>
        </w:rPr>
        <w:t>’</w:t>
      </w:r>
      <w:r>
        <w:rPr>
          <w:lang w:val="fr-FR"/>
        </w:rPr>
        <w:t>Érythrée, au Gabon, au Kirghizistan, aux Maldives et aux Tuvalu et un deuxième rappel au Brunéi Darussalam, au Ghana, à la Guinée, à l</w:t>
      </w:r>
      <w:r w:rsidR="00265783">
        <w:rPr>
          <w:lang w:val="fr-FR"/>
        </w:rPr>
        <w:t>’</w:t>
      </w:r>
      <w:r>
        <w:rPr>
          <w:lang w:val="fr-FR"/>
        </w:rPr>
        <w:t>Inde, à la Mauritanie et à la Sierra Leone, qui auraient déjà dû soumettre leur rapport de suivi.</w:t>
      </w:r>
    </w:p>
    <w:p w14:paraId="585C098B" w14:textId="4FB0ABE3" w:rsidR="0028552B" w:rsidRDefault="00A664C3" w:rsidP="00A664C3">
      <w:pPr>
        <w:pStyle w:val="SingleTxt"/>
        <w:numPr>
          <w:ilvl w:val="0"/>
          <w:numId w:val="6"/>
        </w:numPr>
        <w:spacing w:line="240" w:lineRule="exact"/>
        <w:ind w:left="1267"/>
        <w:rPr>
          <w:lang w:val="fr-FR"/>
        </w:rPr>
      </w:pPr>
      <w:r w:rsidRPr="00A664C3">
        <w:rPr>
          <w:lang w:val="fr-FR"/>
        </w:rPr>
        <w:t>Le Rapporteuse chargée du suivi s</w:t>
      </w:r>
      <w:r w:rsidR="00265783">
        <w:rPr>
          <w:lang w:val="fr-FR"/>
        </w:rPr>
        <w:t>’</w:t>
      </w:r>
      <w:r w:rsidRPr="00A664C3">
        <w:rPr>
          <w:lang w:val="fr-FR"/>
        </w:rPr>
        <w:t>est entretenue avec des représentants du Bénin, de Cabo Verde et de la Sierra Leone, États parties qui auraient déjà dû soumettre leur rapport de suivi.</w:t>
      </w:r>
    </w:p>
    <w:p w14:paraId="1A2D8CA1" w14:textId="791C02F8" w:rsidR="00A664C3" w:rsidRDefault="00A664C3">
      <w:pPr>
        <w:spacing w:after="200" w:line="276" w:lineRule="auto"/>
        <w:rPr>
          <w:lang w:val="fr-FR"/>
        </w:rPr>
      </w:pPr>
      <w:r>
        <w:rPr>
          <w:lang w:val="fr-FR"/>
        </w:rPr>
        <w:br w:type="page"/>
      </w:r>
    </w:p>
    <w:p w14:paraId="5D878031" w14:textId="77777777" w:rsidR="000C10CC" w:rsidRPr="009C4E47" w:rsidRDefault="000C10CC" w:rsidP="000C10CC">
      <w:pPr>
        <w:pStyle w:val="HCh0"/>
        <w:ind w:left="1267" w:right="1260" w:hanging="1267"/>
        <w:rPr>
          <w:lang w:val="fr-FR"/>
        </w:rPr>
      </w:pPr>
      <w:r w:rsidRPr="009C4E47">
        <w:rPr>
          <w:lang w:val="fr-FR"/>
        </w:rPr>
        <w:lastRenderedPageBreak/>
        <w:t>Chapitre V</w:t>
      </w:r>
    </w:p>
    <w:p w14:paraId="324DB8C2" w14:textId="726EB4B1" w:rsidR="000C10CC" w:rsidRPr="009C4E47" w:rsidRDefault="000C10CC" w:rsidP="000C10CC">
      <w:pPr>
        <w:pStyle w:val="HCh0"/>
        <w:ind w:left="1267" w:right="1260" w:hanging="1267"/>
        <w:rPr>
          <w:lang w:val="fr-FR"/>
        </w:rPr>
      </w:pPr>
      <w:r w:rsidRPr="009C4E47">
        <w:rPr>
          <w:lang w:val="fr-FR"/>
        </w:rPr>
        <w:tab/>
      </w:r>
      <w:r w:rsidRPr="009C4E47">
        <w:rPr>
          <w:lang w:val="fr-FR"/>
        </w:rPr>
        <w:tab/>
        <w:t>Activités menées au titre du Protocole facultatif</w:t>
      </w:r>
    </w:p>
    <w:p w14:paraId="1C16D992" w14:textId="61104DA2" w:rsidR="000C10CC" w:rsidRPr="009C4E47" w:rsidRDefault="000C10CC" w:rsidP="000C10CC">
      <w:pPr>
        <w:pStyle w:val="SingleTxt"/>
        <w:spacing w:after="0" w:line="120" w:lineRule="exact"/>
        <w:rPr>
          <w:sz w:val="10"/>
          <w:lang w:val="fr-FR"/>
        </w:rPr>
      </w:pPr>
    </w:p>
    <w:p w14:paraId="497F26E1" w14:textId="44E24E91" w:rsidR="000C10CC" w:rsidRPr="009C4E47" w:rsidRDefault="000C10CC" w:rsidP="000C10CC">
      <w:pPr>
        <w:pStyle w:val="SingleTxt"/>
        <w:spacing w:after="0" w:line="120" w:lineRule="exact"/>
        <w:rPr>
          <w:sz w:val="10"/>
          <w:lang w:val="fr-FR"/>
        </w:rPr>
      </w:pPr>
    </w:p>
    <w:p w14:paraId="6AB5C5F6" w14:textId="7BAE2F2C" w:rsidR="000C10CC" w:rsidRDefault="000C10CC" w:rsidP="000C10CC">
      <w:pPr>
        <w:pStyle w:val="SingleTxt"/>
        <w:numPr>
          <w:ilvl w:val="0"/>
          <w:numId w:val="6"/>
        </w:numPr>
        <w:spacing w:line="240" w:lineRule="exact"/>
        <w:ind w:left="1267"/>
        <w:rPr>
          <w:lang w:val="fr-FR"/>
        </w:rPr>
      </w:pPr>
      <w:r w:rsidRPr="000C10CC">
        <w:rPr>
          <w:lang w:val="fr-FR"/>
        </w:rPr>
        <w:t>L</w:t>
      </w:r>
      <w:r w:rsidR="00265783">
        <w:rPr>
          <w:lang w:val="fr-FR"/>
        </w:rPr>
        <w:t>’</w:t>
      </w:r>
      <w:r w:rsidRPr="000C10CC">
        <w:rPr>
          <w:lang w:val="fr-FR"/>
        </w:rPr>
        <w:t>article 12 du Protocole facultatif dispose que le Comité résume dans son rapport annuel les activités qu</w:t>
      </w:r>
      <w:r w:rsidR="00265783">
        <w:rPr>
          <w:lang w:val="fr-FR"/>
        </w:rPr>
        <w:t>’</w:t>
      </w:r>
      <w:r w:rsidRPr="000C10CC">
        <w:rPr>
          <w:lang w:val="fr-FR"/>
        </w:rPr>
        <w:t>il a menées au titre du Protocole facultatif.</w:t>
      </w:r>
    </w:p>
    <w:p w14:paraId="74400FD0" w14:textId="635DF891" w:rsidR="000C10CC" w:rsidRPr="000C10CC" w:rsidRDefault="000C10CC" w:rsidP="000C10CC">
      <w:pPr>
        <w:pStyle w:val="SingleTxt"/>
        <w:spacing w:after="0" w:line="120" w:lineRule="exact"/>
        <w:rPr>
          <w:sz w:val="10"/>
          <w:lang w:val="fr-FR"/>
        </w:rPr>
      </w:pPr>
    </w:p>
    <w:p w14:paraId="2715D102" w14:textId="312B0021" w:rsidR="000C10CC" w:rsidRPr="000C10CC" w:rsidRDefault="000C10CC" w:rsidP="000C10CC">
      <w:pPr>
        <w:pStyle w:val="SingleTxt"/>
        <w:spacing w:after="0" w:line="120" w:lineRule="exact"/>
        <w:rPr>
          <w:sz w:val="10"/>
          <w:lang w:val="fr-FR"/>
        </w:rPr>
      </w:pPr>
    </w:p>
    <w:p w14:paraId="5A786640" w14:textId="6B3DE4CE" w:rsidR="000C10CC" w:rsidRDefault="000C10CC" w:rsidP="000C10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0C10CC">
        <w:rPr>
          <w:lang w:val="fr-FR"/>
        </w:rPr>
        <w:t>A.</w:t>
      </w:r>
      <w:r w:rsidRPr="000C10CC">
        <w:rPr>
          <w:lang w:val="fr-FR"/>
        </w:rPr>
        <w:tab/>
        <w:t>Mesures prises par le Comit</w:t>
      </w:r>
      <w:r w:rsidR="000F70E3">
        <w:rPr>
          <w:lang w:val="fr-FR"/>
        </w:rPr>
        <w:t>é sur les questions relevant de </w:t>
      </w:r>
      <w:r w:rsidRPr="000C10CC">
        <w:rPr>
          <w:lang w:val="fr-FR"/>
        </w:rPr>
        <w:t>l</w:t>
      </w:r>
      <w:r w:rsidR="00265783">
        <w:rPr>
          <w:lang w:val="fr-FR"/>
        </w:rPr>
        <w:t>’</w:t>
      </w:r>
      <w:r w:rsidR="000F70E3">
        <w:rPr>
          <w:lang w:val="fr-FR"/>
        </w:rPr>
        <w:t>article </w:t>
      </w:r>
      <w:r w:rsidRPr="000C10CC">
        <w:rPr>
          <w:lang w:val="fr-FR"/>
        </w:rPr>
        <w:t>2 du Protocole facultatif</w:t>
      </w:r>
    </w:p>
    <w:p w14:paraId="6C7527D4" w14:textId="76ECB173" w:rsidR="000C10CC" w:rsidRPr="000C10CC" w:rsidRDefault="000C10CC" w:rsidP="000C10CC">
      <w:pPr>
        <w:pStyle w:val="SingleTxt"/>
        <w:spacing w:after="0" w:line="120" w:lineRule="exact"/>
        <w:rPr>
          <w:sz w:val="10"/>
          <w:lang w:val="fr-FR"/>
        </w:rPr>
      </w:pPr>
    </w:p>
    <w:p w14:paraId="7160793E" w14:textId="5C28540C" w:rsidR="000C10CC" w:rsidRPr="000C10CC" w:rsidRDefault="000C10CC" w:rsidP="000C10CC">
      <w:pPr>
        <w:pStyle w:val="SingleTxt"/>
        <w:spacing w:after="0" w:line="120" w:lineRule="exact"/>
        <w:rPr>
          <w:sz w:val="10"/>
          <w:lang w:val="fr-FR"/>
        </w:rPr>
      </w:pPr>
    </w:p>
    <w:p w14:paraId="57F79711" w14:textId="5D09AF62" w:rsidR="000C10CC" w:rsidRPr="000C10CC" w:rsidRDefault="000C10CC" w:rsidP="000C10CC">
      <w:pPr>
        <w:pStyle w:val="SingleTxt"/>
        <w:numPr>
          <w:ilvl w:val="0"/>
          <w:numId w:val="6"/>
        </w:numPr>
        <w:spacing w:line="240" w:lineRule="exact"/>
        <w:ind w:left="1267"/>
        <w:rPr>
          <w:lang w:val="fr-FR"/>
        </w:rPr>
      </w:pPr>
      <w:r w:rsidRPr="000C10CC">
        <w:rPr>
          <w:lang w:val="fr-FR"/>
        </w:rPr>
        <w:t>Le 10 juillet 2017, le Comité a examiné les activités menées au titre de l</w:t>
      </w:r>
      <w:r w:rsidR="00265783">
        <w:rPr>
          <w:lang w:val="fr-FR"/>
        </w:rPr>
        <w:t>’</w:t>
      </w:r>
      <w:r w:rsidR="004647F2">
        <w:rPr>
          <w:lang w:val="fr-FR"/>
        </w:rPr>
        <w:t>article </w:t>
      </w:r>
      <w:r w:rsidRPr="000C10CC">
        <w:rPr>
          <w:lang w:val="fr-FR"/>
        </w:rPr>
        <w:t>2 du Protocole facultatif.</w:t>
      </w:r>
    </w:p>
    <w:p w14:paraId="506B3DA4" w14:textId="41E59DC5" w:rsidR="000C10CC" w:rsidRPr="000C10CC" w:rsidRDefault="000C10CC" w:rsidP="000C10CC">
      <w:pPr>
        <w:pStyle w:val="SingleTxt"/>
        <w:numPr>
          <w:ilvl w:val="0"/>
          <w:numId w:val="6"/>
        </w:numPr>
        <w:spacing w:line="240" w:lineRule="exact"/>
        <w:ind w:left="1267"/>
        <w:rPr>
          <w:lang w:val="fr-FR"/>
        </w:rPr>
      </w:pPr>
      <w:r w:rsidRPr="000C10CC">
        <w:rPr>
          <w:lang w:val="fr-FR"/>
        </w:rPr>
        <w:t>Le Comité a approuvé le rapport du Groupe de travail des communications soumises en vertu du Protocole facultatif sur les travaux de sa trente-huitième session (voir https://bit.ly/2IAeZvl).</w:t>
      </w:r>
    </w:p>
    <w:p w14:paraId="3D28ADF2" w14:textId="67F568BA" w:rsidR="000C10CC" w:rsidRDefault="000C10CC" w:rsidP="000C10CC">
      <w:pPr>
        <w:pStyle w:val="SingleTxt"/>
        <w:numPr>
          <w:ilvl w:val="0"/>
          <w:numId w:val="6"/>
        </w:numPr>
        <w:spacing w:line="240" w:lineRule="exact"/>
        <w:ind w:left="1267"/>
        <w:rPr>
          <w:lang w:val="fr-FR"/>
        </w:rPr>
      </w:pPr>
      <w:r w:rsidRPr="000C10CC">
        <w:rPr>
          <w:lang w:val="fr-FR"/>
        </w:rPr>
        <w:t>Le Comité a adopté des décisions finales concernant quatre communications émanant de particuliers présentées conformément à l</w:t>
      </w:r>
      <w:r w:rsidR="00265783">
        <w:rPr>
          <w:lang w:val="fr-FR"/>
        </w:rPr>
        <w:t>’</w:t>
      </w:r>
      <w:r w:rsidRPr="000C10CC">
        <w:rPr>
          <w:lang w:val="fr-FR"/>
        </w:rPr>
        <w:t>article 2 du Protocole facultatif. Il a adopté une constatation concluant à une violation des droits de l</w:t>
      </w:r>
      <w:r w:rsidR="00265783">
        <w:rPr>
          <w:lang w:val="fr-FR"/>
        </w:rPr>
        <w:t>’</w:t>
      </w:r>
      <w:r w:rsidRPr="000C10CC">
        <w:rPr>
          <w:lang w:val="fr-FR"/>
        </w:rPr>
        <w:t>intéressée dans l</w:t>
      </w:r>
      <w:r w:rsidR="00265783">
        <w:rPr>
          <w:lang w:val="fr-FR"/>
        </w:rPr>
        <w:t>’</w:t>
      </w:r>
      <w:r w:rsidRPr="000C10CC">
        <w:rPr>
          <w:lang w:val="fr-FR"/>
        </w:rPr>
        <w:t xml:space="preserve">affaire </w:t>
      </w:r>
      <w:r w:rsidRPr="000C10CC">
        <w:rPr>
          <w:i/>
          <w:lang w:val="fr-FR"/>
        </w:rPr>
        <w:t xml:space="preserve">Trujillo Reyes et Pedro Arguello Morales </w:t>
      </w:r>
      <w:r w:rsidRPr="00D83EA9">
        <w:rPr>
          <w:iCs/>
          <w:lang w:val="fr-FR"/>
        </w:rPr>
        <w:t>c.</w:t>
      </w:r>
      <w:r w:rsidRPr="000C10CC">
        <w:rPr>
          <w:i/>
          <w:lang w:val="fr-FR"/>
        </w:rPr>
        <w:t xml:space="preserve"> Mexique</w:t>
      </w:r>
      <w:r w:rsidRPr="000C10CC">
        <w:rPr>
          <w:lang w:val="fr-FR"/>
        </w:rPr>
        <w:t xml:space="preserve"> (</w:t>
      </w:r>
      <w:hyperlink r:id="rId44" w:history="1">
        <w:r w:rsidRPr="008E2674">
          <w:rPr>
            <w:rStyle w:val="Hyperlink"/>
            <w:lang w:val="fr-FR"/>
          </w:rPr>
          <w:t>CEDAW/C/67/D/75/2014</w:t>
        </w:r>
      </w:hyperlink>
      <w:r w:rsidRPr="000C10CC">
        <w:rPr>
          <w:lang w:val="fr-FR"/>
        </w:rPr>
        <w:t>) et des constatations concluant à l</w:t>
      </w:r>
      <w:r w:rsidR="00265783">
        <w:rPr>
          <w:lang w:val="fr-FR"/>
        </w:rPr>
        <w:t>’</w:t>
      </w:r>
      <w:r w:rsidRPr="000C10CC">
        <w:rPr>
          <w:lang w:val="fr-FR"/>
        </w:rPr>
        <w:t xml:space="preserve">absence de violations dans les affaires </w:t>
      </w:r>
      <w:r w:rsidRPr="000C10CC">
        <w:rPr>
          <w:i/>
          <w:lang w:val="fr-FR"/>
        </w:rPr>
        <w:t xml:space="preserve">F.F.M. </w:t>
      </w:r>
      <w:r w:rsidRPr="00D83EA9">
        <w:rPr>
          <w:iCs/>
          <w:lang w:val="fr-FR"/>
        </w:rPr>
        <w:t>c.</w:t>
      </w:r>
      <w:r w:rsidRPr="000C10CC">
        <w:rPr>
          <w:i/>
          <w:lang w:val="fr-FR"/>
        </w:rPr>
        <w:t xml:space="preserve"> Danemark</w:t>
      </w:r>
      <w:r w:rsidRPr="000C10CC">
        <w:rPr>
          <w:lang w:val="fr-FR"/>
        </w:rPr>
        <w:t xml:space="preserve"> (</w:t>
      </w:r>
      <w:hyperlink r:id="rId45" w:history="1">
        <w:r w:rsidRPr="008E2674">
          <w:rPr>
            <w:rStyle w:val="Hyperlink"/>
            <w:lang w:val="fr-FR"/>
          </w:rPr>
          <w:t>CEDAW/C/67/D/70/2014</w:t>
        </w:r>
      </w:hyperlink>
      <w:r w:rsidRPr="000C10CC">
        <w:rPr>
          <w:lang w:val="fr-FR"/>
        </w:rPr>
        <w:t xml:space="preserve">), </w:t>
      </w:r>
      <w:r w:rsidRPr="000C10CC">
        <w:rPr>
          <w:i/>
          <w:lang w:val="fr-FR"/>
        </w:rPr>
        <w:t>A.M</w:t>
      </w:r>
      <w:r w:rsidRPr="00B30172">
        <w:rPr>
          <w:iCs/>
          <w:lang w:val="fr-FR"/>
        </w:rPr>
        <w:t>. c</w:t>
      </w:r>
      <w:r w:rsidRPr="000C10CC">
        <w:rPr>
          <w:i/>
          <w:lang w:val="fr-FR"/>
        </w:rPr>
        <w:t>. Danemark</w:t>
      </w:r>
      <w:r w:rsidRPr="000C10CC">
        <w:rPr>
          <w:lang w:val="fr-FR"/>
        </w:rPr>
        <w:t xml:space="preserve"> (</w:t>
      </w:r>
      <w:hyperlink r:id="rId46" w:history="1">
        <w:r w:rsidRPr="008E2674">
          <w:rPr>
            <w:rStyle w:val="Hyperlink"/>
            <w:lang w:val="fr-FR"/>
          </w:rPr>
          <w:t>CEDAW/C/67/D/77/2014</w:t>
        </w:r>
      </w:hyperlink>
      <w:r w:rsidRPr="000C10CC">
        <w:rPr>
          <w:lang w:val="fr-FR"/>
        </w:rPr>
        <w:t xml:space="preserve">) et </w:t>
      </w:r>
      <w:r w:rsidRPr="000C10CC">
        <w:rPr>
          <w:i/>
          <w:lang w:val="fr-FR"/>
        </w:rPr>
        <w:t>N.M</w:t>
      </w:r>
      <w:r w:rsidRPr="00D83EA9">
        <w:rPr>
          <w:iCs/>
          <w:lang w:val="fr-FR"/>
        </w:rPr>
        <w:t>. c.</w:t>
      </w:r>
      <w:r w:rsidRPr="000C10CC">
        <w:rPr>
          <w:i/>
          <w:lang w:val="fr-FR"/>
        </w:rPr>
        <w:t xml:space="preserve"> Danemark</w:t>
      </w:r>
      <w:r w:rsidRPr="000C10CC">
        <w:rPr>
          <w:lang w:val="fr-FR"/>
        </w:rPr>
        <w:t xml:space="preserve"> (</w:t>
      </w:r>
      <w:hyperlink r:id="rId47" w:history="1">
        <w:r w:rsidRPr="008E2674">
          <w:rPr>
            <w:rStyle w:val="Hyperlink"/>
            <w:lang w:val="fr-FR"/>
          </w:rPr>
          <w:t>CEDAW/C/67/D/78/2014</w:t>
        </w:r>
      </w:hyperlink>
      <w:r w:rsidRPr="000C10CC">
        <w:rPr>
          <w:lang w:val="fr-FR"/>
        </w:rPr>
        <w:t>). Toutes les décisions ont été adoptées par consensus.</w:t>
      </w:r>
    </w:p>
    <w:p w14:paraId="41ABBFA4" w14:textId="50F65EA6" w:rsidR="000C10CC" w:rsidRPr="000C10CC" w:rsidRDefault="000C10CC" w:rsidP="000C10CC">
      <w:pPr>
        <w:pStyle w:val="SingleTxt"/>
        <w:spacing w:after="0" w:line="120" w:lineRule="exact"/>
        <w:rPr>
          <w:sz w:val="10"/>
          <w:lang w:val="fr-FR"/>
        </w:rPr>
      </w:pPr>
    </w:p>
    <w:p w14:paraId="1699F401" w14:textId="28FFB33A" w:rsidR="000C10CC" w:rsidRPr="000C10CC" w:rsidRDefault="000C10CC" w:rsidP="000C10CC">
      <w:pPr>
        <w:pStyle w:val="SingleTxt"/>
        <w:spacing w:after="0" w:line="120" w:lineRule="exact"/>
        <w:rPr>
          <w:sz w:val="10"/>
          <w:lang w:val="fr-FR"/>
        </w:rPr>
      </w:pPr>
    </w:p>
    <w:p w14:paraId="5CA5EFEF" w14:textId="29F77ED8" w:rsidR="000C10CC" w:rsidRPr="000C10CC" w:rsidRDefault="000C10CC" w:rsidP="000C10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0C10CC">
        <w:rPr>
          <w:lang w:val="fr-FR"/>
        </w:rPr>
        <w:t>B.</w:t>
      </w:r>
      <w:r w:rsidRPr="000C10CC">
        <w:rPr>
          <w:lang w:val="fr-FR"/>
        </w:rPr>
        <w:tab/>
        <w:t>Suite donnée aux constatations du Comité sur les communications émanant de particuliers</w:t>
      </w:r>
    </w:p>
    <w:p w14:paraId="6FA39F92" w14:textId="061976F3" w:rsidR="000C10CC" w:rsidRPr="000C10CC" w:rsidRDefault="000C10CC" w:rsidP="000C10CC">
      <w:pPr>
        <w:pStyle w:val="SingleTxt"/>
        <w:spacing w:after="0" w:line="120" w:lineRule="exact"/>
        <w:rPr>
          <w:sz w:val="10"/>
          <w:lang w:val="fr-FR"/>
        </w:rPr>
      </w:pPr>
    </w:p>
    <w:p w14:paraId="19F4FFCD" w14:textId="2723E0DB" w:rsidR="000C10CC" w:rsidRPr="000C10CC" w:rsidRDefault="000C10CC" w:rsidP="000C10CC">
      <w:pPr>
        <w:pStyle w:val="SingleTxt"/>
        <w:spacing w:after="0" w:line="120" w:lineRule="exact"/>
        <w:rPr>
          <w:sz w:val="10"/>
          <w:lang w:val="fr-FR"/>
        </w:rPr>
      </w:pPr>
    </w:p>
    <w:p w14:paraId="64F2878D" w14:textId="373B1CA5" w:rsidR="000C10CC" w:rsidRDefault="000C10CC" w:rsidP="00D83EA9">
      <w:pPr>
        <w:pStyle w:val="SingleTxt"/>
        <w:numPr>
          <w:ilvl w:val="0"/>
          <w:numId w:val="6"/>
        </w:numPr>
        <w:spacing w:line="240" w:lineRule="exact"/>
        <w:ind w:left="1267"/>
        <w:rPr>
          <w:lang w:val="fr-FR"/>
        </w:rPr>
      </w:pPr>
      <w:r w:rsidRPr="000C10CC">
        <w:rPr>
          <w:lang w:val="fr-FR"/>
        </w:rPr>
        <w:t xml:space="preserve">Le Comité a été informé que, du fait </w:t>
      </w:r>
      <w:r w:rsidR="00264668">
        <w:rPr>
          <w:lang w:val="fr-FR"/>
        </w:rPr>
        <w:t>de</w:t>
      </w:r>
      <w:r w:rsidRPr="000C10CC">
        <w:rPr>
          <w:lang w:val="fr-FR"/>
        </w:rPr>
        <w:t xml:space="preserve"> la capacité restreinte du secrétariat, le Groupe de travail n</w:t>
      </w:r>
      <w:r w:rsidR="00265783">
        <w:rPr>
          <w:lang w:val="fr-FR"/>
        </w:rPr>
        <w:t>’</w:t>
      </w:r>
      <w:r w:rsidRPr="000C10CC">
        <w:rPr>
          <w:lang w:val="fr-FR"/>
        </w:rPr>
        <w:t>avait pas reçu de rapport écrit concernant la suite donnée aux constatations dans les affaires où le dialogue de suivi était en cours, et que ce dernier comptait rencontrer prochainement des représentants du Brésil et du Pérou pour clore le dialogue de suiv</w:t>
      </w:r>
      <w:r w:rsidR="00D83EA9">
        <w:rPr>
          <w:lang w:val="fr-FR"/>
        </w:rPr>
        <w:t>i relatif aux communications n</w:t>
      </w:r>
      <w:r w:rsidR="00D83EA9" w:rsidRPr="00D83EA9">
        <w:rPr>
          <w:vertAlign w:val="superscript"/>
          <w:lang w:val="fr-FR"/>
        </w:rPr>
        <w:t>o</w:t>
      </w:r>
      <w:r w:rsidR="00D83EA9">
        <w:rPr>
          <w:lang w:val="fr-FR"/>
        </w:rPr>
        <w:t> </w:t>
      </w:r>
      <w:r w:rsidRPr="000C10CC">
        <w:rPr>
          <w:lang w:val="fr-FR"/>
        </w:rPr>
        <w:t>17/2008 (</w:t>
      </w:r>
      <w:r w:rsidRPr="000C10CC">
        <w:rPr>
          <w:i/>
          <w:lang w:val="fr-FR"/>
        </w:rPr>
        <w:t xml:space="preserve">da Silva Pimentel </w:t>
      </w:r>
      <w:r w:rsidRPr="00D83EA9">
        <w:rPr>
          <w:iCs/>
          <w:lang w:val="fr-FR"/>
        </w:rPr>
        <w:t xml:space="preserve">c. </w:t>
      </w:r>
      <w:r w:rsidRPr="000C10CC">
        <w:rPr>
          <w:i/>
          <w:lang w:val="fr-FR"/>
        </w:rPr>
        <w:t>Brésil</w:t>
      </w:r>
      <w:r w:rsidR="00D83EA9">
        <w:rPr>
          <w:lang w:val="fr-FR"/>
        </w:rPr>
        <w:t>) et n</w:t>
      </w:r>
      <w:r w:rsidR="00D83EA9" w:rsidRPr="00D83EA9">
        <w:rPr>
          <w:vertAlign w:val="superscript"/>
          <w:lang w:val="fr-FR"/>
        </w:rPr>
        <w:t>o</w:t>
      </w:r>
      <w:r w:rsidR="00D83EA9">
        <w:rPr>
          <w:lang w:val="fr-FR"/>
        </w:rPr>
        <w:t> </w:t>
      </w:r>
      <w:r w:rsidRPr="000C10CC">
        <w:rPr>
          <w:lang w:val="fr-FR"/>
        </w:rPr>
        <w:t>22/2009 (</w:t>
      </w:r>
      <w:r w:rsidRPr="000C10CC">
        <w:rPr>
          <w:i/>
          <w:lang w:val="fr-FR"/>
        </w:rPr>
        <w:t>T.P.F. c. Pérou</w:t>
      </w:r>
      <w:r w:rsidRPr="000C10CC">
        <w:rPr>
          <w:lang w:val="fr-FR"/>
        </w:rPr>
        <w:t>).</w:t>
      </w:r>
    </w:p>
    <w:p w14:paraId="7DC69E63" w14:textId="69B3CE8B" w:rsidR="000C10CC" w:rsidRPr="000C10CC" w:rsidRDefault="000C10CC" w:rsidP="000C10CC">
      <w:pPr>
        <w:pStyle w:val="SingleTxt"/>
        <w:spacing w:after="0" w:line="120" w:lineRule="exact"/>
        <w:rPr>
          <w:sz w:val="10"/>
          <w:lang w:val="fr-FR"/>
        </w:rPr>
      </w:pPr>
    </w:p>
    <w:p w14:paraId="3207A348" w14:textId="77777777" w:rsidR="000C10CC" w:rsidRPr="000C10CC" w:rsidRDefault="000C10CC" w:rsidP="000C10CC">
      <w:pPr>
        <w:pStyle w:val="SingleTxt"/>
        <w:spacing w:after="0" w:line="120" w:lineRule="exact"/>
        <w:rPr>
          <w:sz w:val="10"/>
          <w:lang w:val="fr-FR"/>
        </w:rPr>
      </w:pPr>
    </w:p>
    <w:p w14:paraId="4747235C" w14:textId="65A729F8" w:rsidR="000C10CC" w:rsidRPr="000C10CC" w:rsidRDefault="000C10CC" w:rsidP="000C10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0C10CC">
        <w:rPr>
          <w:lang w:val="fr-FR"/>
        </w:rPr>
        <w:t>C.</w:t>
      </w:r>
      <w:r w:rsidRPr="000C10CC">
        <w:rPr>
          <w:lang w:val="fr-FR"/>
        </w:rPr>
        <w:tab/>
        <w:t>Mesures prises par le Comit</w:t>
      </w:r>
      <w:r w:rsidR="004647F2">
        <w:rPr>
          <w:lang w:val="fr-FR"/>
        </w:rPr>
        <w:t>é sur les questions relevant de </w:t>
      </w:r>
      <w:r w:rsidRPr="000C10CC">
        <w:rPr>
          <w:lang w:val="fr-FR"/>
        </w:rPr>
        <w:t>l</w:t>
      </w:r>
      <w:r w:rsidR="00265783">
        <w:rPr>
          <w:lang w:val="fr-FR"/>
        </w:rPr>
        <w:t>’</w:t>
      </w:r>
      <w:r w:rsidR="004647F2">
        <w:rPr>
          <w:lang w:val="fr-FR"/>
        </w:rPr>
        <w:t>article </w:t>
      </w:r>
      <w:r w:rsidRPr="000C10CC">
        <w:rPr>
          <w:lang w:val="fr-FR"/>
        </w:rPr>
        <w:t>8 du Protocole facultatif</w:t>
      </w:r>
    </w:p>
    <w:p w14:paraId="52F18381" w14:textId="6ED811B8" w:rsidR="000C10CC" w:rsidRPr="000C10CC" w:rsidRDefault="000C10CC" w:rsidP="000C10CC">
      <w:pPr>
        <w:pStyle w:val="SingleTxt"/>
        <w:spacing w:after="0" w:line="120" w:lineRule="exact"/>
        <w:rPr>
          <w:sz w:val="10"/>
          <w:lang w:val="fr-FR"/>
        </w:rPr>
      </w:pPr>
    </w:p>
    <w:p w14:paraId="722CA2E5" w14:textId="0F62113A" w:rsidR="000C10CC" w:rsidRPr="000C10CC" w:rsidRDefault="000C10CC" w:rsidP="000C10CC">
      <w:pPr>
        <w:pStyle w:val="SingleTxt"/>
        <w:spacing w:after="0" w:line="120" w:lineRule="exact"/>
        <w:rPr>
          <w:sz w:val="10"/>
          <w:lang w:val="fr-FR"/>
        </w:rPr>
      </w:pPr>
    </w:p>
    <w:p w14:paraId="0F2452EC" w14:textId="134F1D6E" w:rsidR="000C10CC" w:rsidRPr="000C10CC" w:rsidRDefault="000C10CC" w:rsidP="000C10CC">
      <w:pPr>
        <w:pStyle w:val="SingleTxt"/>
        <w:numPr>
          <w:ilvl w:val="0"/>
          <w:numId w:val="6"/>
        </w:numPr>
        <w:spacing w:line="240" w:lineRule="exact"/>
        <w:ind w:left="1267"/>
        <w:rPr>
          <w:lang w:val="fr-FR"/>
        </w:rPr>
      </w:pPr>
      <w:r w:rsidRPr="000C10CC">
        <w:rPr>
          <w:lang w:val="fr-FR"/>
        </w:rPr>
        <w:t>Le 19 juillet 2017, le Comité a examiné les activités menées au titre de l</w:t>
      </w:r>
      <w:r w:rsidR="00265783">
        <w:rPr>
          <w:lang w:val="fr-FR"/>
        </w:rPr>
        <w:t>’</w:t>
      </w:r>
      <w:r w:rsidR="004647F2">
        <w:rPr>
          <w:lang w:val="fr-FR"/>
        </w:rPr>
        <w:t>article </w:t>
      </w:r>
      <w:r w:rsidRPr="000C10CC">
        <w:rPr>
          <w:lang w:val="fr-FR"/>
        </w:rPr>
        <w:t>8 du Protocole facultatif. Il a approuvé le rapport du Groupe de travail chargé des enquêtes menées au titre du Protocole facultatif sur les travaux de sa septième session (voir https://bit.ly/2qcL6KP).</w:t>
      </w:r>
    </w:p>
    <w:p w14:paraId="7F8DDAAF" w14:textId="0EDBCC53" w:rsidR="000C10CC" w:rsidRPr="000C10CC" w:rsidRDefault="000C10CC" w:rsidP="000C10CC">
      <w:pPr>
        <w:pStyle w:val="SingleTxt"/>
        <w:numPr>
          <w:ilvl w:val="0"/>
          <w:numId w:val="6"/>
        </w:numPr>
        <w:spacing w:line="240" w:lineRule="exact"/>
        <w:ind w:left="1267"/>
        <w:rPr>
          <w:lang w:val="fr-FR"/>
        </w:rPr>
      </w:pPr>
      <w:r w:rsidRPr="000C10CC">
        <w:rPr>
          <w:lang w:val="fr-FR"/>
        </w:rPr>
        <w:t>Le Comité a adopté les recommandations que le Groupe de travail lui avait faites, à savoir :</w:t>
      </w:r>
    </w:p>
    <w:p w14:paraId="000B5933" w14:textId="7C00AEB3" w:rsidR="000C10CC" w:rsidRPr="000C10CC" w:rsidRDefault="000C10CC" w:rsidP="000C10CC">
      <w:pPr>
        <w:pStyle w:val="SingleTxt"/>
        <w:rPr>
          <w:lang w:val="fr-FR"/>
        </w:rPr>
      </w:pPr>
      <w:r w:rsidRPr="000C10CC">
        <w:rPr>
          <w:lang w:val="fr-FR"/>
        </w:rPr>
        <w:tab/>
        <w:t>a)</w:t>
      </w:r>
      <w:r w:rsidRPr="000C10CC">
        <w:rPr>
          <w:lang w:val="fr-FR"/>
        </w:rPr>
        <w:tab/>
        <w:t>S</w:t>
      </w:r>
      <w:r w:rsidR="00265783">
        <w:rPr>
          <w:lang w:val="fr-FR"/>
        </w:rPr>
        <w:t>’</w:t>
      </w:r>
      <w:r w:rsidR="00D83EA9">
        <w:rPr>
          <w:lang w:val="fr-FR"/>
        </w:rPr>
        <w:t>agissant de la requête n</w:t>
      </w:r>
      <w:r w:rsidR="00D83EA9" w:rsidRPr="00D83EA9">
        <w:rPr>
          <w:vertAlign w:val="superscript"/>
          <w:lang w:val="fr-FR"/>
        </w:rPr>
        <w:t>o</w:t>
      </w:r>
      <w:r w:rsidR="00D83EA9">
        <w:rPr>
          <w:lang w:val="fr-FR"/>
        </w:rPr>
        <w:t> </w:t>
      </w:r>
      <w:r w:rsidRPr="000C10CC">
        <w:rPr>
          <w:lang w:val="fr-FR"/>
        </w:rPr>
        <w:t>2017/1, de mettre fin à l</w:t>
      </w:r>
      <w:r w:rsidR="00265783">
        <w:rPr>
          <w:lang w:val="fr-FR"/>
        </w:rPr>
        <w:t>’</w:t>
      </w:r>
      <w:r w:rsidRPr="000C10CC">
        <w:rPr>
          <w:lang w:val="fr-FR"/>
        </w:rPr>
        <w:t>examen des renseignements reçus au titre de l</w:t>
      </w:r>
      <w:r w:rsidR="00265783">
        <w:rPr>
          <w:lang w:val="fr-FR"/>
        </w:rPr>
        <w:t>’</w:t>
      </w:r>
      <w:r w:rsidRPr="000C10CC">
        <w:rPr>
          <w:lang w:val="fr-FR"/>
        </w:rPr>
        <w:t>article 8 du Protocole facultatif</w:t>
      </w:r>
      <w:r w:rsidR="00D83EA9">
        <w:rPr>
          <w:lang w:val="fr-FR"/>
        </w:rPr>
        <w:t> ;</w:t>
      </w:r>
    </w:p>
    <w:p w14:paraId="4E69A31D" w14:textId="141DBCDF" w:rsidR="000C10CC" w:rsidRPr="000C10CC" w:rsidRDefault="000C10CC" w:rsidP="000C10CC">
      <w:pPr>
        <w:pStyle w:val="SingleTxt"/>
        <w:rPr>
          <w:lang w:val="fr-FR"/>
        </w:rPr>
      </w:pPr>
      <w:r w:rsidRPr="000C10CC">
        <w:rPr>
          <w:lang w:val="fr-FR"/>
        </w:rPr>
        <w:tab/>
        <w:t>b)</w:t>
      </w:r>
      <w:r w:rsidRPr="000C10CC">
        <w:rPr>
          <w:lang w:val="fr-FR"/>
        </w:rPr>
        <w:tab/>
        <w:t>S</w:t>
      </w:r>
      <w:r w:rsidR="00265783">
        <w:rPr>
          <w:lang w:val="fr-FR"/>
        </w:rPr>
        <w:t>’</w:t>
      </w:r>
      <w:r w:rsidR="00D83EA9">
        <w:rPr>
          <w:lang w:val="fr-FR"/>
        </w:rPr>
        <w:t>agissant de la requête n</w:t>
      </w:r>
      <w:r w:rsidR="00D83EA9" w:rsidRPr="00D83EA9">
        <w:rPr>
          <w:vertAlign w:val="superscript"/>
          <w:lang w:val="fr-FR"/>
        </w:rPr>
        <w:t>o</w:t>
      </w:r>
      <w:r w:rsidR="00D83EA9">
        <w:rPr>
          <w:lang w:val="fr-FR"/>
        </w:rPr>
        <w:t> </w:t>
      </w:r>
      <w:r w:rsidRPr="000C10CC">
        <w:rPr>
          <w:lang w:val="fr-FR"/>
        </w:rPr>
        <w:t>2016/1, de demander à l</w:t>
      </w:r>
      <w:r w:rsidR="00265783">
        <w:rPr>
          <w:lang w:val="fr-FR"/>
        </w:rPr>
        <w:t>’</w:t>
      </w:r>
      <w:r w:rsidRPr="000C10CC">
        <w:rPr>
          <w:lang w:val="fr-FR"/>
        </w:rPr>
        <w:t>État partie concerné de présenter ses observations concernant les informations reçues au titre de l</w:t>
      </w:r>
      <w:r w:rsidR="00265783">
        <w:rPr>
          <w:lang w:val="fr-FR"/>
        </w:rPr>
        <w:t>’</w:t>
      </w:r>
      <w:r w:rsidRPr="000C10CC">
        <w:rPr>
          <w:lang w:val="fr-FR"/>
        </w:rPr>
        <w:t>article 8 du Protocole facultatif</w:t>
      </w:r>
      <w:r w:rsidR="00D83EA9">
        <w:rPr>
          <w:lang w:val="fr-FR"/>
        </w:rPr>
        <w:t> ;</w:t>
      </w:r>
    </w:p>
    <w:p w14:paraId="45A3621C" w14:textId="376836DF" w:rsidR="000C10CC" w:rsidRPr="000C10CC" w:rsidRDefault="000C10CC" w:rsidP="000C10CC">
      <w:pPr>
        <w:pStyle w:val="SingleTxt"/>
        <w:rPr>
          <w:lang w:val="fr-FR"/>
        </w:rPr>
      </w:pPr>
      <w:r w:rsidRPr="000C10CC">
        <w:rPr>
          <w:lang w:val="fr-FR"/>
        </w:rPr>
        <w:lastRenderedPageBreak/>
        <w:tab/>
        <w:t>c)</w:t>
      </w:r>
      <w:r w:rsidRPr="000C10CC">
        <w:rPr>
          <w:lang w:val="fr-FR"/>
        </w:rPr>
        <w:tab/>
        <w:t>S</w:t>
      </w:r>
      <w:r w:rsidR="00265783">
        <w:rPr>
          <w:lang w:val="fr-FR"/>
        </w:rPr>
        <w:t>’</w:t>
      </w:r>
      <w:r w:rsidRPr="000C10CC">
        <w:rPr>
          <w:lang w:val="fr-FR"/>
        </w:rPr>
        <w:t>agissant de l</w:t>
      </w:r>
      <w:r w:rsidR="00265783">
        <w:rPr>
          <w:lang w:val="fr-FR"/>
        </w:rPr>
        <w:t>’</w:t>
      </w:r>
      <w:r w:rsidR="00A11B8A">
        <w:rPr>
          <w:lang w:val="fr-FR"/>
        </w:rPr>
        <w:t>enquête n</w:t>
      </w:r>
      <w:r w:rsidR="00A11B8A" w:rsidRPr="00A11B8A">
        <w:rPr>
          <w:vertAlign w:val="superscript"/>
          <w:lang w:val="fr-FR"/>
        </w:rPr>
        <w:t>o</w:t>
      </w:r>
      <w:r w:rsidR="00A11B8A">
        <w:rPr>
          <w:lang w:val="fr-FR"/>
        </w:rPr>
        <w:t> </w:t>
      </w:r>
      <w:r w:rsidRPr="000C10CC">
        <w:rPr>
          <w:lang w:val="fr-FR"/>
        </w:rPr>
        <w:t>2014/3, de charger Gunnar Bergby, Nahla Haidar et Bandana Rana d</w:t>
      </w:r>
      <w:r w:rsidR="00265783">
        <w:rPr>
          <w:lang w:val="fr-FR"/>
        </w:rPr>
        <w:t>’</w:t>
      </w:r>
      <w:r w:rsidRPr="000C10CC">
        <w:rPr>
          <w:lang w:val="fr-FR"/>
        </w:rPr>
        <w:t>effectuer une enquête et de demander à l</w:t>
      </w:r>
      <w:r w:rsidR="00265783">
        <w:rPr>
          <w:lang w:val="fr-FR"/>
        </w:rPr>
        <w:t>’</w:t>
      </w:r>
      <w:r w:rsidRPr="000C10CC">
        <w:rPr>
          <w:lang w:val="fr-FR"/>
        </w:rPr>
        <w:t>État partie concerné d</w:t>
      </w:r>
      <w:r w:rsidR="00265783">
        <w:rPr>
          <w:lang w:val="fr-FR"/>
        </w:rPr>
        <w:t>’</w:t>
      </w:r>
      <w:r w:rsidRPr="000C10CC">
        <w:rPr>
          <w:lang w:val="fr-FR"/>
        </w:rPr>
        <w:t>autoriser une visite sur son territoire</w:t>
      </w:r>
      <w:r w:rsidR="00D83EA9">
        <w:rPr>
          <w:lang w:val="fr-FR"/>
        </w:rPr>
        <w:t> ;</w:t>
      </w:r>
    </w:p>
    <w:p w14:paraId="27F793BB" w14:textId="55D764F2" w:rsidR="000C10CC" w:rsidRPr="000C10CC" w:rsidRDefault="000C10CC" w:rsidP="000C10CC">
      <w:pPr>
        <w:pStyle w:val="SingleTxt"/>
        <w:rPr>
          <w:lang w:val="fr-FR"/>
        </w:rPr>
      </w:pPr>
      <w:r w:rsidRPr="000C10CC">
        <w:rPr>
          <w:lang w:val="fr-FR"/>
        </w:rPr>
        <w:tab/>
        <w:t>d)</w:t>
      </w:r>
      <w:r w:rsidRPr="000C10CC">
        <w:rPr>
          <w:lang w:val="fr-FR"/>
        </w:rPr>
        <w:tab/>
        <w:t>S</w:t>
      </w:r>
      <w:r w:rsidR="00265783">
        <w:rPr>
          <w:lang w:val="fr-FR"/>
        </w:rPr>
        <w:t>’</w:t>
      </w:r>
      <w:r w:rsidR="00A11B8A">
        <w:rPr>
          <w:lang w:val="fr-FR"/>
        </w:rPr>
        <w:t>agissant de la requête n</w:t>
      </w:r>
      <w:r w:rsidR="00A11B8A" w:rsidRPr="00A11B8A">
        <w:rPr>
          <w:vertAlign w:val="superscript"/>
          <w:lang w:val="fr-FR"/>
        </w:rPr>
        <w:t>o</w:t>
      </w:r>
      <w:r w:rsidR="00A11B8A">
        <w:rPr>
          <w:lang w:val="fr-FR"/>
        </w:rPr>
        <w:t> </w:t>
      </w:r>
      <w:r w:rsidRPr="000C10CC">
        <w:rPr>
          <w:lang w:val="fr-FR"/>
        </w:rPr>
        <w:t>2012/1, de charger Gladys Acosta Vargas et Marion Bethel d</w:t>
      </w:r>
      <w:r w:rsidR="00265783">
        <w:rPr>
          <w:lang w:val="fr-FR"/>
        </w:rPr>
        <w:t>’</w:t>
      </w:r>
      <w:r w:rsidRPr="000C10CC">
        <w:rPr>
          <w:lang w:val="fr-FR"/>
        </w:rPr>
        <w:t>effectuer une enquête et de demander à l</w:t>
      </w:r>
      <w:r w:rsidR="00265783">
        <w:rPr>
          <w:lang w:val="fr-FR"/>
        </w:rPr>
        <w:t>’</w:t>
      </w:r>
      <w:r w:rsidRPr="000C10CC">
        <w:rPr>
          <w:lang w:val="fr-FR"/>
        </w:rPr>
        <w:t>État partie concerné d</w:t>
      </w:r>
      <w:r w:rsidR="00265783">
        <w:rPr>
          <w:lang w:val="fr-FR"/>
        </w:rPr>
        <w:t>’</w:t>
      </w:r>
      <w:r w:rsidRPr="000C10CC">
        <w:rPr>
          <w:lang w:val="fr-FR"/>
        </w:rPr>
        <w:t>autoriser une visite sur son territoire</w:t>
      </w:r>
      <w:r w:rsidR="00D83EA9">
        <w:rPr>
          <w:lang w:val="fr-FR"/>
        </w:rPr>
        <w:t> ;</w:t>
      </w:r>
    </w:p>
    <w:p w14:paraId="5FEB3251" w14:textId="5C10DFE4" w:rsidR="000C10CC" w:rsidRPr="000C10CC" w:rsidRDefault="000C10CC" w:rsidP="000C10CC">
      <w:pPr>
        <w:pStyle w:val="SingleTxt"/>
        <w:rPr>
          <w:lang w:val="fr-FR"/>
        </w:rPr>
      </w:pPr>
      <w:r w:rsidRPr="000C10CC">
        <w:rPr>
          <w:lang w:val="fr-FR"/>
        </w:rPr>
        <w:tab/>
        <w:t>e)</w:t>
      </w:r>
      <w:r w:rsidRPr="000C10CC">
        <w:rPr>
          <w:lang w:val="fr-FR"/>
        </w:rPr>
        <w:tab/>
        <w:t>S</w:t>
      </w:r>
      <w:r w:rsidR="00265783">
        <w:rPr>
          <w:lang w:val="fr-FR"/>
        </w:rPr>
        <w:t>’</w:t>
      </w:r>
      <w:r w:rsidR="00A11B8A">
        <w:rPr>
          <w:lang w:val="fr-FR"/>
        </w:rPr>
        <w:t>agissant de la requête n</w:t>
      </w:r>
      <w:r w:rsidR="00A11B8A" w:rsidRPr="00A11B8A">
        <w:rPr>
          <w:vertAlign w:val="superscript"/>
          <w:lang w:val="fr-FR"/>
        </w:rPr>
        <w:t>o</w:t>
      </w:r>
      <w:r w:rsidR="00A11B8A">
        <w:rPr>
          <w:lang w:val="fr-FR"/>
        </w:rPr>
        <w:t> </w:t>
      </w:r>
      <w:r w:rsidRPr="000C10CC">
        <w:rPr>
          <w:lang w:val="fr-FR"/>
        </w:rPr>
        <w:t>2011/4, de charger Nicole Ameline, Marion Bethel, Náela Mohamed Gabr et Patricia Schulz d</w:t>
      </w:r>
      <w:r w:rsidR="00265783">
        <w:rPr>
          <w:lang w:val="fr-FR"/>
        </w:rPr>
        <w:t>’</w:t>
      </w:r>
      <w:r w:rsidRPr="000C10CC">
        <w:rPr>
          <w:lang w:val="fr-FR"/>
        </w:rPr>
        <w:t>effectuer une enquête et de demander à l</w:t>
      </w:r>
      <w:r w:rsidR="00265783">
        <w:rPr>
          <w:lang w:val="fr-FR"/>
        </w:rPr>
        <w:t>’</w:t>
      </w:r>
      <w:r w:rsidRPr="000C10CC">
        <w:rPr>
          <w:lang w:val="fr-FR"/>
        </w:rPr>
        <w:t>État partie concerné d</w:t>
      </w:r>
      <w:r w:rsidR="00265783">
        <w:rPr>
          <w:lang w:val="fr-FR"/>
        </w:rPr>
        <w:t>’</w:t>
      </w:r>
      <w:r w:rsidRPr="000C10CC">
        <w:rPr>
          <w:lang w:val="fr-FR"/>
        </w:rPr>
        <w:t>autoriser une visite sur son territoire.</w:t>
      </w:r>
    </w:p>
    <w:p w14:paraId="5CF62EE8" w14:textId="534D9C06" w:rsidR="000C10CC" w:rsidRPr="000C10CC" w:rsidRDefault="000C10CC" w:rsidP="000C10CC">
      <w:pPr>
        <w:pStyle w:val="SingleTxt"/>
        <w:numPr>
          <w:ilvl w:val="0"/>
          <w:numId w:val="6"/>
        </w:numPr>
        <w:spacing w:line="240" w:lineRule="exact"/>
        <w:ind w:left="1267"/>
        <w:rPr>
          <w:lang w:val="fr-FR"/>
        </w:rPr>
      </w:pPr>
      <w:r w:rsidRPr="000C10CC">
        <w:rPr>
          <w:lang w:val="fr-FR"/>
        </w:rPr>
        <w:t>Le Comité a ratifié les décisions ci-après, qui avaient été prises par le Groupe de travail :</w:t>
      </w:r>
    </w:p>
    <w:p w14:paraId="6B72602E" w14:textId="6E515238" w:rsidR="000C10CC" w:rsidRPr="000C10CC" w:rsidRDefault="000C10CC" w:rsidP="000C10CC">
      <w:pPr>
        <w:pStyle w:val="SingleTxt"/>
        <w:rPr>
          <w:lang w:val="fr-FR"/>
        </w:rPr>
      </w:pPr>
      <w:r w:rsidRPr="000C10CC">
        <w:rPr>
          <w:lang w:val="fr-FR"/>
        </w:rPr>
        <w:tab/>
        <w:t>a)</w:t>
      </w:r>
      <w:r w:rsidRPr="000C10CC">
        <w:rPr>
          <w:lang w:val="fr-FR"/>
        </w:rPr>
        <w:tab/>
        <w:t>S</w:t>
      </w:r>
      <w:r w:rsidR="00265783">
        <w:rPr>
          <w:lang w:val="fr-FR"/>
        </w:rPr>
        <w:t>’</w:t>
      </w:r>
      <w:r w:rsidRPr="000C10CC">
        <w:rPr>
          <w:lang w:val="fr-FR"/>
        </w:rPr>
        <w:t>agissant de l</w:t>
      </w:r>
      <w:r w:rsidR="00265783">
        <w:rPr>
          <w:lang w:val="fr-FR"/>
        </w:rPr>
        <w:t>’</w:t>
      </w:r>
      <w:r w:rsidR="00A11B8A">
        <w:rPr>
          <w:lang w:val="fr-FR"/>
        </w:rPr>
        <w:t>enquête n</w:t>
      </w:r>
      <w:r w:rsidR="00A11B8A" w:rsidRPr="00A11B8A">
        <w:rPr>
          <w:vertAlign w:val="superscript"/>
          <w:lang w:val="fr-FR"/>
        </w:rPr>
        <w:t>o</w:t>
      </w:r>
      <w:r w:rsidR="00A11B8A">
        <w:rPr>
          <w:lang w:val="fr-FR"/>
        </w:rPr>
        <w:t> </w:t>
      </w:r>
      <w:r w:rsidRPr="000C10CC">
        <w:rPr>
          <w:lang w:val="fr-FR"/>
        </w:rPr>
        <w:t>2013/1, de désigner Lilian Hofmeister pour remplacer Pramila Patten au sein de l</w:t>
      </w:r>
      <w:r w:rsidR="00265783">
        <w:rPr>
          <w:lang w:val="fr-FR"/>
        </w:rPr>
        <w:t>’</w:t>
      </w:r>
      <w:r w:rsidRPr="000C10CC">
        <w:rPr>
          <w:lang w:val="fr-FR"/>
        </w:rPr>
        <w:t>équipe chargée de l</w:t>
      </w:r>
      <w:r w:rsidR="00265783">
        <w:rPr>
          <w:lang w:val="fr-FR"/>
        </w:rPr>
        <w:t>’</w:t>
      </w:r>
      <w:r w:rsidRPr="000C10CC">
        <w:rPr>
          <w:lang w:val="fr-FR"/>
        </w:rPr>
        <w:t>enquête</w:t>
      </w:r>
      <w:r w:rsidR="00D83EA9">
        <w:rPr>
          <w:lang w:val="fr-FR"/>
        </w:rPr>
        <w:t> ;</w:t>
      </w:r>
    </w:p>
    <w:p w14:paraId="1DE0C61D" w14:textId="24E8791F" w:rsidR="000C10CC" w:rsidRPr="000C10CC" w:rsidRDefault="000C10CC" w:rsidP="000C10CC">
      <w:pPr>
        <w:pStyle w:val="SingleTxt"/>
        <w:rPr>
          <w:lang w:val="fr-FR"/>
        </w:rPr>
      </w:pPr>
      <w:r w:rsidRPr="000C10CC">
        <w:rPr>
          <w:lang w:val="fr-FR"/>
        </w:rPr>
        <w:tab/>
        <w:t>b)</w:t>
      </w:r>
      <w:r w:rsidRPr="000C10CC">
        <w:rPr>
          <w:lang w:val="fr-FR"/>
        </w:rPr>
        <w:tab/>
        <w:t>S</w:t>
      </w:r>
      <w:r w:rsidR="00265783">
        <w:rPr>
          <w:lang w:val="fr-FR"/>
        </w:rPr>
        <w:t>’</w:t>
      </w:r>
      <w:r w:rsidRPr="000C10CC">
        <w:rPr>
          <w:lang w:val="fr-FR"/>
        </w:rPr>
        <w:t>agissant de l</w:t>
      </w:r>
      <w:r w:rsidR="00265783">
        <w:rPr>
          <w:lang w:val="fr-FR"/>
        </w:rPr>
        <w:t>’</w:t>
      </w:r>
      <w:r w:rsidR="00A11B8A">
        <w:rPr>
          <w:lang w:val="fr-FR"/>
        </w:rPr>
        <w:t>enquête n</w:t>
      </w:r>
      <w:r w:rsidR="00A11B8A" w:rsidRPr="00A11B8A">
        <w:rPr>
          <w:vertAlign w:val="superscript"/>
          <w:lang w:val="fr-FR"/>
        </w:rPr>
        <w:t>o</w:t>
      </w:r>
      <w:r w:rsidR="00A11B8A">
        <w:rPr>
          <w:lang w:val="fr-FR"/>
        </w:rPr>
        <w:t> </w:t>
      </w:r>
      <w:r w:rsidRPr="000C10CC">
        <w:rPr>
          <w:lang w:val="fr-FR"/>
        </w:rPr>
        <w:t>2014/2, de désigner Marion Bethel et Aicha Vall Verges pour remplacer respectivement Nahla Haidar et Pramila Patten au sein de l</w:t>
      </w:r>
      <w:r w:rsidR="00265783">
        <w:rPr>
          <w:lang w:val="fr-FR"/>
        </w:rPr>
        <w:t>’</w:t>
      </w:r>
      <w:r w:rsidRPr="000C10CC">
        <w:rPr>
          <w:lang w:val="fr-FR"/>
        </w:rPr>
        <w:t>équipe chargée de l</w:t>
      </w:r>
      <w:r w:rsidR="00265783">
        <w:rPr>
          <w:lang w:val="fr-FR"/>
        </w:rPr>
        <w:t>’</w:t>
      </w:r>
      <w:r w:rsidRPr="000C10CC">
        <w:rPr>
          <w:lang w:val="fr-FR"/>
        </w:rPr>
        <w:t>enquête</w:t>
      </w:r>
      <w:r w:rsidR="00D83EA9">
        <w:rPr>
          <w:lang w:val="fr-FR"/>
        </w:rPr>
        <w:t> ;</w:t>
      </w:r>
    </w:p>
    <w:p w14:paraId="531D14AF" w14:textId="3E57CDF7" w:rsidR="000C10CC" w:rsidRPr="000C10CC" w:rsidRDefault="000C10CC" w:rsidP="000C10CC">
      <w:pPr>
        <w:pStyle w:val="SingleTxt"/>
        <w:rPr>
          <w:lang w:val="fr-FR"/>
        </w:rPr>
      </w:pPr>
      <w:r w:rsidRPr="000C10CC">
        <w:rPr>
          <w:lang w:val="fr-FR"/>
        </w:rPr>
        <w:tab/>
        <w:t>c)</w:t>
      </w:r>
      <w:r w:rsidRPr="000C10CC">
        <w:rPr>
          <w:lang w:val="fr-FR"/>
        </w:rPr>
        <w:tab/>
        <w:t>S</w:t>
      </w:r>
      <w:r w:rsidR="00265783">
        <w:rPr>
          <w:lang w:val="fr-FR"/>
        </w:rPr>
        <w:t>’</w:t>
      </w:r>
      <w:r w:rsidRPr="000C10CC">
        <w:rPr>
          <w:lang w:val="fr-FR"/>
        </w:rPr>
        <w:t>agissant de l</w:t>
      </w:r>
      <w:r w:rsidR="00265783">
        <w:rPr>
          <w:lang w:val="fr-FR"/>
        </w:rPr>
        <w:t>’</w:t>
      </w:r>
      <w:r w:rsidR="00A11B8A">
        <w:rPr>
          <w:lang w:val="fr-FR"/>
        </w:rPr>
        <w:t>enquête n</w:t>
      </w:r>
      <w:r w:rsidR="00A11B8A" w:rsidRPr="00A11B8A">
        <w:rPr>
          <w:vertAlign w:val="superscript"/>
          <w:lang w:val="fr-FR"/>
        </w:rPr>
        <w:t>o</w:t>
      </w:r>
      <w:r w:rsidR="00A11B8A">
        <w:rPr>
          <w:lang w:val="fr-FR"/>
        </w:rPr>
        <w:t> </w:t>
      </w:r>
      <w:r w:rsidRPr="000C10CC">
        <w:rPr>
          <w:lang w:val="fr-FR"/>
        </w:rPr>
        <w:t>2012/1, de reporter la visite sur le territoire de l</w:t>
      </w:r>
      <w:r w:rsidR="00265783">
        <w:rPr>
          <w:lang w:val="fr-FR"/>
        </w:rPr>
        <w:t>’</w:t>
      </w:r>
      <w:r w:rsidRPr="000C10CC">
        <w:rPr>
          <w:lang w:val="fr-FR"/>
        </w:rPr>
        <w:t>État partie concerné pour permettre l</w:t>
      </w:r>
      <w:r w:rsidR="00265783">
        <w:rPr>
          <w:lang w:val="fr-FR"/>
        </w:rPr>
        <w:t>’</w:t>
      </w:r>
      <w:r w:rsidRPr="000C10CC">
        <w:rPr>
          <w:lang w:val="fr-FR"/>
        </w:rPr>
        <w:t>examen préalable du rapport périodique de l</w:t>
      </w:r>
      <w:r w:rsidR="00265783">
        <w:rPr>
          <w:lang w:val="fr-FR"/>
        </w:rPr>
        <w:t>’</w:t>
      </w:r>
      <w:r w:rsidRPr="000C10CC">
        <w:rPr>
          <w:lang w:val="fr-FR"/>
        </w:rPr>
        <w:t>État partie.</w:t>
      </w:r>
    </w:p>
    <w:p w14:paraId="1DAF68B9" w14:textId="7BBC781A" w:rsidR="000C10CC" w:rsidRDefault="00C47FE2" w:rsidP="000C10CC">
      <w:pPr>
        <w:pStyle w:val="SingleTxt"/>
        <w:numPr>
          <w:ilvl w:val="0"/>
          <w:numId w:val="6"/>
        </w:numPr>
        <w:spacing w:line="240" w:lineRule="exact"/>
        <w:ind w:left="1267"/>
        <w:rPr>
          <w:lang w:val="fr-FR"/>
        </w:rPr>
      </w:pPr>
      <w:r>
        <w:rPr>
          <w:lang w:val="fr-FR"/>
        </w:rPr>
        <w:t>S</w:t>
      </w:r>
      <w:r w:rsidR="00265783">
        <w:rPr>
          <w:lang w:val="fr-FR"/>
        </w:rPr>
        <w:t>’</w:t>
      </w:r>
      <w:r>
        <w:rPr>
          <w:lang w:val="fr-FR"/>
        </w:rPr>
        <w:t>agissant de l</w:t>
      </w:r>
      <w:r w:rsidR="00265783">
        <w:rPr>
          <w:lang w:val="fr-FR"/>
        </w:rPr>
        <w:t>’</w:t>
      </w:r>
      <w:r>
        <w:rPr>
          <w:lang w:val="fr-FR"/>
        </w:rPr>
        <w:t>enquête n</w:t>
      </w:r>
      <w:r w:rsidRPr="00C47FE2">
        <w:rPr>
          <w:vertAlign w:val="superscript"/>
          <w:lang w:val="fr-FR"/>
        </w:rPr>
        <w:t>o</w:t>
      </w:r>
      <w:r>
        <w:rPr>
          <w:lang w:val="fr-FR"/>
        </w:rPr>
        <w:t> </w:t>
      </w:r>
      <w:r w:rsidR="000C10CC" w:rsidRPr="000C10CC">
        <w:rPr>
          <w:lang w:val="fr-FR"/>
        </w:rPr>
        <w:t>2014/1, Lia Nadaraia a présenté le rapport sur les résultats de l</w:t>
      </w:r>
      <w:r w:rsidR="00265783">
        <w:rPr>
          <w:lang w:val="fr-FR"/>
        </w:rPr>
        <w:t>’</w:t>
      </w:r>
      <w:r w:rsidR="000C10CC" w:rsidRPr="000C10CC">
        <w:rPr>
          <w:lang w:val="fr-FR"/>
        </w:rPr>
        <w:t>enquête.</w:t>
      </w:r>
    </w:p>
    <w:p w14:paraId="2FCDBF34" w14:textId="552BF534" w:rsidR="000C10CC" w:rsidRDefault="000C10CC" w:rsidP="000C10CC">
      <w:pPr>
        <w:pStyle w:val="SingleTxt"/>
        <w:rPr>
          <w:lang w:val="fr-FR"/>
        </w:rPr>
      </w:pPr>
    </w:p>
    <w:p w14:paraId="126AB7F1" w14:textId="0753E0A9" w:rsidR="000C10CC" w:rsidRDefault="000C10CC">
      <w:pPr>
        <w:spacing w:after="200" w:line="276" w:lineRule="auto"/>
        <w:rPr>
          <w:lang w:val="fr-FR"/>
        </w:rPr>
      </w:pPr>
      <w:r>
        <w:rPr>
          <w:lang w:val="fr-FR"/>
        </w:rPr>
        <w:br w:type="page"/>
      </w:r>
    </w:p>
    <w:p w14:paraId="6D51514E" w14:textId="01CACA20" w:rsidR="000C10CC" w:rsidRPr="009C4E47" w:rsidRDefault="000C10CC" w:rsidP="000C10CC">
      <w:pPr>
        <w:pStyle w:val="HCh0"/>
        <w:ind w:left="1267" w:right="1260" w:hanging="1267"/>
        <w:rPr>
          <w:lang w:val="fr-FR"/>
        </w:rPr>
      </w:pPr>
      <w:r w:rsidRPr="009C4E47">
        <w:rPr>
          <w:lang w:val="fr-FR"/>
        </w:rPr>
        <w:lastRenderedPageBreak/>
        <w:t>Chapitre VI</w:t>
      </w:r>
    </w:p>
    <w:p w14:paraId="63A8FDD7" w14:textId="46043930" w:rsidR="000C10CC" w:rsidRPr="009C4E47" w:rsidRDefault="000C10CC" w:rsidP="000C10CC">
      <w:pPr>
        <w:pStyle w:val="HCh0"/>
        <w:ind w:left="1267" w:right="1260" w:hanging="1267"/>
        <w:rPr>
          <w:lang w:val="fr-FR"/>
        </w:rPr>
      </w:pPr>
      <w:r w:rsidRPr="009C4E47">
        <w:rPr>
          <w:lang w:val="fr-FR"/>
        </w:rPr>
        <w:tab/>
      </w:r>
      <w:r w:rsidRPr="009C4E47">
        <w:rPr>
          <w:lang w:val="fr-FR"/>
        </w:rPr>
        <w:tab/>
        <w:t>Moyens d</w:t>
      </w:r>
      <w:r w:rsidR="00265783">
        <w:rPr>
          <w:lang w:val="fr-FR"/>
        </w:rPr>
        <w:t>’</w:t>
      </w:r>
      <w:r w:rsidRPr="009C4E47">
        <w:rPr>
          <w:lang w:val="fr-FR"/>
        </w:rPr>
        <w:t>accélérer les travaux du Comité</w:t>
      </w:r>
    </w:p>
    <w:p w14:paraId="70427A93" w14:textId="1D6AF75A" w:rsidR="000C10CC" w:rsidRPr="009C4E47" w:rsidRDefault="000C10CC" w:rsidP="000C10CC">
      <w:pPr>
        <w:pStyle w:val="SingleTxt"/>
        <w:spacing w:after="0" w:line="120" w:lineRule="exact"/>
        <w:rPr>
          <w:sz w:val="10"/>
          <w:lang w:val="fr-FR"/>
        </w:rPr>
      </w:pPr>
    </w:p>
    <w:p w14:paraId="2B9FEADF" w14:textId="144F2CD3" w:rsidR="000C10CC" w:rsidRPr="009C4E47" w:rsidRDefault="000C10CC" w:rsidP="000C10CC">
      <w:pPr>
        <w:pStyle w:val="SingleTxt"/>
        <w:spacing w:after="0" w:line="120" w:lineRule="exact"/>
        <w:rPr>
          <w:sz w:val="10"/>
          <w:lang w:val="fr-FR"/>
        </w:rPr>
      </w:pPr>
    </w:p>
    <w:p w14:paraId="651F1F82" w14:textId="07E8E6AB" w:rsidR="000C10CC" w:rsidRDefault="000C10CC" w:rsidP="000C10CC">
      <w:pPr>
        <w:pStyle w:val="SingleTxt"/>
        <w:numPr>
          <w:ilvl w:val="0"/>
          <w:numId w:val="6"/>
        </w:numPr>
        <w:spacing w:line="240" w:lineRule="exact"/>
        <w:ind w:left="1267"/>
        <w:rPr>
          <w:lang w:val="fr-FR"/>
        </w:rPr>
      </w:pPr>
      <w:r w:rsidRPr="000C10CC">
        <w:rPr>
          <w:lang w:val="fr-FR"/>
        </w:rPr>
        <w:t>Le secrétariat a informé le Comité de la situation concernant les rapports qui auraient dû être soumis par les États parties en application de l</w:t>
      </w:r>
      <w:r w:rsidR="00265783">
        <w:rPr>
          <w:lang w:val="fr-FR"/>
        </w:rPr>
        <w:t>’</w:t>
      </w:r>
      <w:r w:rsidRPr="000C10CC">
        <w:rPr>
          <w:lang w:val="fr-FR"/>
        </w:rPr>
        <w:t>article 18 de la Convention.</w:t>
      </w:r>
    </w:p>
    <w:p w14:paraId="057291EB" w14:textId="323532E9" w:rsidR="000C10CC" w:rsidRPr="000C10CC" w:rsidRDefault="000C10CC" w:rsidP="000C10CC">
      <w:pPr>
        <w:pStyle w:val="SingleTxt"/>
        <w:spacing w:after="0" w:line="120" w:lineRule="exact"/>
        <w:rPr>
          <w:sz w:val="10"/>
          <w:lang w:val="fr-FR"/>
        </w:rPr>
      </w:pPr>
    </w:p>
    <w:p w14:paraId="3DEEE87D" w14:textId="6B687C70" w:rsidR="000C10CC" w:rsidRPr="000C10CC" w:rsidRDefault="000C10CC" w:rsidP="000C10CC">
      <w:pPr>
        <w:pStyle w:val="SingleTxt"/>
        <w:spacing w:after="0" w:line="120" w:lineRule="exact"/>
        <w:rPr>
          <w:sz w:val="10"/>
          <w:lang w:val="fr-FR"/>
        </w:rPr>
      </w:pPr>
    </w:p>
    <w:p w14:paraId="7608A879" w14:textId="6BA1CA04" w:rsidR="000C10CC" w:rsidRPr="000C10CC" w:rsidRDefault="000C10CC" w:rsidP="000C10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10CC">
        <w:rPr>
          <w:lang w:val="fr-FR"/>
        </w:rPr>
        <w:tab/>
      </w:r>
      <w:r w:rsidRPr="000C10CC">
        <w:rPr>
          <w:lang w:val="fr-FR"/>
        </w:rPr>
        <w:tab/>
        <w:t>Mesures prises par le Comité au titre du point 7 de l</w:t>
      </w:r>
      <w:r w:rsidR="00265783">
        <w:rPr>
          <w:lang w:val="fr-FR"/>
        </w:rPr>
        <w:t>’</w:t>
      </w:r>
      <w:r w:rsidRPr="000C10CC">
        <w:rPr>
          <w:lang w:val="fr-FR"/>
        </w:rPr>
        <w:t>ordre du jour</w:t>
      </w:r>
    </w:p>
    <w:p w14:paraId="5AD10AC7" w14:textId="7E458057" w:rsidR="000C10CC" w:rsidRPr="000C10CC" w:rsidRDefault="000C10CC" w:rsidP="000C10CC">
      <w:pPr>
        <w:pStyle w:val="SingleTxt"/>
        <w:spacing w:after="0" w:line="120" w:lineRule="exact"/>
        <w:rPr>
          <w:b/>
          <w:sz w:val="10"/>
          <w:lang w:val="fr-FR"/>
        </w:rPr>
      </w:pPr>
    </w:p>
    <w:p w14:paraId="4B598B4E" w14:textId="1A1F8572" w:rsidR="000C10CC" w:rsidRPr="000C10CC" w:rsidRDefault="000C10CC" w:rsidP="000C10CC">
      <w:pPr>
        <w:pStyle w:val="SingleTxt"/>
        <w:spacing w:after="0" w:line="120" w:lineRule="exact"/>
        <w:rPr>
          <w:b/>
          <w:sz w:val="10"/>
          <w:lang w:val="fr-FR"/>
        </w:rPr>
      </w:pPr>
    </w:p>
    <w:p w14:paraId="45341986" w14:textId="633DF446" w:rsidR="000C10CC" w:rsidRPr="000C10CC" w:rsidRDefault="000C10CC" w:rsidP="000C10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10CC">
        <w:rPr>
          <w:lang w:val="fr-FR"/>
        </w:rPr>
        <w:tab/>
      </w:r>
      <w:r w:rsidRPr="000C10CC">
        <w:rPr>
          <w:lang w:val="fr-FR"/>
        </w:rPr>
        <w:tab/>
        <w:t xml:space="preserve">Dates des prochaines sessions </w:t>
      </w:r>
    </w:p>
    <w:p w14:paraId="641FC323" w14:textId="50471287" w:rsidR="000C10CC" w:rsidRPr="000C10CC" w:rsidRDefault="000C10CC" w:rsidP="000C10CC">
      <w:pPr>
        <w:pStyle w:val="SingleTxt"/>
        <w:spacing w:after="0" w:line="120" w:lineRule="exact"/>
        <w:rPr>
          <w:sz w:val="10"/>
          <w:lang w:val="fr-FR"/>
        </w:rPr>
      </w:pPr>
    </w:p>
    <w:p w14:paraId="7AC41559" w14:textId="091C99CF" w:rsidR="000C10CC" w:rsidRPr="000C10CC" w:rsidRDefault="000C10CC" w:rsidP="000C10CC">
      <w:pPr>
        <w:pStyle w:val="SingleTxt"/>
        <w:numPr>
          <w:ilvl w:val="0"/>
          <w:numId w:val="6"/>
        </w:numPr>
        <w:spacing w:line="240" w:lineRule="exact"/>
        <w:ind w:left="1267"/>
        <w:rPr>
          <w:lang w:val="fr-FR"/>
        </w:rPr>
      </w:pPr>
      <w:r w:rsidRPr="000C10CC">
        <w:rPr>
          <w:lang w:val="fr-FR"/>
        </w:rPr>
        <w:t>Conformément au calendrier des conférences, les dates et lieux de réunion suivants ont été confirmés pour les soixante-huitième et soixante-neuvième sessions et autres réunions connexes du Comité :</w:t>
      </w:r>
    </w:p>
    <w:p w14:paraId="4F73F835" w14:textId="77777777" w:rsidR="000C10CC" w:rsidRPr="000C10CC" w:rsidRDefault="000C10CC" w:rsidP="000C10CC">
      <w:pPr>
        <w:pStyle w:val="SingleTxt"/>
        <w:rPr>
          <w:lang w:val="fr-FR"/>
        </w:rPr>
      </w:pPr>
      <w:r w:rsidRPr="000C10CC">
        <w:rPr>
          <w:lang w:val="fr-FR"/>
        </w:rPr>
        <w:tab/>
        <w:t>Soixante-huitième session (Genève)</w:t>
      </w:r>
    </w:p>
    <w:p w14:paraId="2F05F347" w14:textId="2FEFF68F" w:rsidR="000C10CC" w:rsidRPr="000C10CC" w:rsidRDefault="000F50DD" w:rsidP="000F50DD">
      <w:pPr>
        <w:pStyle w:val="SingleTxt"/>
        <w:ind w:left="2218" w:hanging="951"/>
        <w:rPr>
          <w:lang w:val="fr-FR"/>
        </w:rPr>
      </w:pPr>
      <w:r>
        <w:rPr>
          <w:lang w:val="fr-FR"/>
        </w:rPr>
        <w:tab/>
      </w:r>
      <w:r w:rsidR="000C10CC">
        <w:rPr>
          <w:lang w:val="fr-FR"/>
        </w:rPr>
        <w:tab/>
      </w:r>
      <w:r w:rsidR="000C10CC" w:rsidRPr="000C10CC">
        <w:rPr>
          <w:lang w:val="fr-FR"/>
        </w:rPr>
        <w:t>a)</w:t>
      </w:r>
      <w:r w:rsidR="000C10CC" w:rsidRPr="000C10CC">
        <w:rPr>
          <w:lang w:val="fr-FR"/>
        </w:rPr>
        <w:tab/>
        <w:t>Trente-neuvième session du Groupe de travail des communications soumises en vertu du Protocole facultatif</w:t>
      </w:r>
      <w:r w:rsidR="00265783">
        <w:rPr>
          <w:lang w:val="fr-FR"/>
        </w:rPr>
        <w:t xml:space="preserve"> : </w:t>
      </w:r>
      <w:r w:rsidR="000C10CC" w:rsidRPr="000C10CC">
        <w:rPr>
          <w:lang w:val="fr-FR"/>
        </w:rPr>
        <w:t>du 18 au 20 octobre 2017</w:t>
      </w:r>
      <w:r w:rsidR="00D83EA9">
        <w:rPr>
          <w:lang w:val="fr-FR"/>
        </w:rPr>
        <w:t> ;</w:t>
      </w:r>
    </w:p>
    <w:p w14:paraId="1252C576" w14:textId="211BCBC5" w:rsidR="000C10CC" w:rsidRPr="000C10CC" w:rsidRDefault="000F50DD" w:rsidP="000F50DD">
      <w:pPr>
        <w:pStyle w:val="SingleTxt"/>
        <w:ind w:left="2218" w:hanging="951"/>
        <w:rPr>
          <w:lang w:val="fr-FR"/>
        </w:rPr>
      </w:pPr>
      <w:r>
        <w:rPr>
          <w:lang w:val="fr-FR"/>
        </w:rPr>
        <w:tab/>
      </w:r>
      <w:r w:rsidR="000C10CC">
        <w:rPr>
          <w:lang w:val="fr-FR"/>
        </w:rPr>
        <w:tab/>
      </w:r>
      <w:r w:rsidR="000C10CC" w:rsidRPr="000C10CC">
        <w:rPr>
          <w:lang w:val="fr-FR"/>
        </w:rPr>
        <w:t>b)</w:t>
      </w:r>
      <w:r w:rsidR="000C10CC" w:rsidRPr="000C10CC">
        <w:rPr>
          <w:lang w:val="fr-FR"/>
        </w:rPr>
        <w:tab/>
        <w:t>Huitième session du Groupe de travail chargé des enquêtes menées au titre du Protocole facultatif</w:t>
      </w:r>
      <w:r w:rsidR="00265783">
        <w:rPr>
          <w:lang w:val="fr-FR"/>
        </w:rPr>
        <w:t xml:space="preserve"> : </w:t>
      </w:r>
      <w:r w:rsidR="000C10CC" w:rsidRPr="000C10CC">
        <w:rPr>
          <w:lang w:val="fr-FR"/>
        </w:rPr>
        <w:t>les 19 et 20 octobre 2017</w:t>
      </w:r>
      <w:r w:rsidR="00D83EA9">
        <w:rPr>
          <w:lang w:val="fr-FR"/>
        </w:rPr>
        <w:t> ;</w:t>
      </w:r>
    </w:p>
    <w:p w14:paraId="0C6DEB1B" w14:textId="4468DFB1" w:rsidR="000C10CC" w:rsidRPr="000C10CC" w:rsidRDefault="00C47FE2" w:rsidP="000F50DD">
      <w:pPr>
        <w:pStyle w:val="SingleTxt"/>
        <w:ind w:left="2218" w:hanging="951"/>
        <w:rPr>
          <w:lang w:val="fr-FR"/>
        </w:rPr>
      </w:pPr>
      <w:r>
        <w:rPr>
          <w:lang w:val="fr-FR"/>
        </w:rPr>
        <w:tab/>
      </w:r>
      <w:r w:rsidR="000F50DD">
        <w:rPr>
          <w:lang w:val="fr-FR"/>
        </w:rPr>
        <w:tab/>
      </w:r>
      <w:r>
        <w:rPr>
          <w:lang w:val="fr-FR"/>
        </w:rPr>
        <w:t>c)</w:t>
      </w:r>
      <w:r>
        <w:rPr>
          <w:lang w:val="fr-FR"/>
        </w:rPr>
        <w:tab/>
        <w:t>Soixante-huitième session</w:t>
      </w:r>
      <w:r w:rsidR="00265783">
        <w:rPr>
          <w:lang w:val="fr-FR"/>
        </w:rPr>
        <w:t xml:space="preserve"> : </w:t>
      </w:r>
      <w:r w:rsidR="000C10CC" w:rsidRPr="000C10CC">
        <w:rPr>
          <w:lang w:val="fr-FR"/>
        </w:rPr>
        <w:t>du 23 octobre au 17 novembre 2017</w:t>
      </w:r>
      <w:r w:rsidR="00D83EA9">
        <w:rPr>
          <w:lang w:val="fr-FR"/>
        </w:rPr>
        <w:t> ;</w:t>
      </w:r>
    </w:p>
    <w:p w14:paraId="6FE116DD" w14:textId="530CBB52" w:rsidR="000C10CC" w:rsidRPr="000C10CC" w:rsidRDefault="000C10CC" w:rsidP="000F50DD">
      <w:pPr>
        <w:pStyle w:val="SingleTxt"/>
        <w:ind w:left="2218" w:hanging="951"/>
        <w:rPr>
          <w:lang w:val="fr-FR"/>
        </w:rPr>
      </w:pPr>
      <w:r>
        <w:rPr>
          <w:lang w:val="fr-FR"/>
        </w:rPr>
        <w:tab/>
      </w:r>
      <w:r w:rsidR="000F50DD">
        <w:rPr>
          <w:lang w:val="fr-FR"/>
        </w:rPr>
        <w:tab/>
      </w:r>
      <w:r w:rsidRPr="000C10CC">
        <w:rPr>
          <w:lang w:val="fr-FR"/>
        </w:rPr>
        <w:t>d)</w:t>
      </w:r>
      <w:r w:rsidRPr="000C10CC">
        <w:rPr>
          <w:lang w:val="fr-FR"/>
        </w:rPr>
        <w:tab/>
        <w:t>Réunion du groupe de travail d</w:t>
      </w:r>
      <w:r w:rsidR="00265783">
        <w:rPr>
          <w:lang w:val="fr-FR"/>
        </w:rPr>
        <w:t>’</w:t>
      </w:r>
      <w:r w:rsidRPr="000C10CC">
        <w:rPr>
          <w:lang w:val="fr-FR"/>
        </w:rPr>
        <w:t>avant-session pour la soixante-dixiè</w:t>
      </w:r>
      <w:r w:rsidR="00C47FE2">
        <w:rPr>
          <w:lang w:val="fr-FR"/>
        </w:rPr>
        <w:t>me session</w:t>
      </w:r>
      <w:r w:rsidR="00265783">
        <w:rPr>
          <w:lang w:val="fr-FR"/>
        </w:rPr>
        <w:t xml:space="preserve"> : </w:t>
      </w:r>
      <w:r w:rsidRPr="000C10CC">
        <w:rPr>
          <w:lang w:val="fr-FR"/>
        </w:rPr>
        <w:t>du 20 au 24 novembre 2017</w:t>
      </w:r>
      <w:r w:rsidR="00D83EA9">
        <w:rPr>
          <w:lang w:val="fr-FR"/>
        </w:rPr>
        <w:t> ;</w:t>
      </w:r>
    </w:p>
    <w:p w14:paraId="293714FF" w14:textId="77777777" w:rsidR="000C10CC" w:rsidRPr="000C10CC" w:rsidRDefault="000C10CC" w:rsidP="000C10CC">
      <w:pPr>
        <w:pStyle w:val="SingleTxt"/>
        <w:rPr>
          <w:lang w:val="fr-FR"/>
        </w:rPr>
      </w:pPr>
      <w:r w:rsidRPr="000C10CC">
        <w:rPr>
          <w:lang w:val="fr-FR"/>
        </w:rPr>
        <w:tab/>
        <w:t>Soixante-neuvième session (Genève)</w:t>
      </w:r>
    </w:p>
    <w:p w14:paraId="412D4617" w14:textId="2A9DF124" w:rsidR="000C10CC" w:rsidRPr="000C10CC" w:rsidRDefault="000F50DD" w:rsidP="000F50DD">
      <w:pPr>
        <w:pStyle w:val="SingleTxt"/>
        <w:ind w:left="2218" w:hanging="951"/>
        <w:rPr>
          <w:lang w:val="fr-FR"/>
        </w:rPr>
      </w:pPr>
      <w:r>
        <w:rPr>
          <w:lang w:val="fr-FR"/>
        </w:rPr>
        <w:tab/>
      </w:r>
      <w:r w:rsidR="000C10CC">
        <w:rPr>
          <w:lang w:val="fr-FR"/>
        </w:rPr>
        <w:tab/>
      </w:r>
      <w:r w:rsidR="000C10CC" w:rsidRPr="000C10CC">
        <w:rPr>
          <w:lang w:val="fr-FR"/>
        </w:rPr>
        <w:t>e)</w:t>
      </w:r>
      <w:r w:rsidR="000C10CC" w:rsidRPr="000C10CC">
        <w:rPr>
          <w:lang w:val="fr-FR"/>
        </w:rPr>
        <w:tab/>
        <w:t>Quarantième session du Groupe de travail des communications soumises en vertu du Protocole facultatif</w:t>
      </w:r>
      <w:r w:rsidR="00265783">
        <w:rPr>
          <w:lang w:val="fr-FR"/>
        </w:rPr>
        <w:t xml:space="preserve"> : </w:t>
      </w:r>
      <w:r w:rsidR="000C10CC" w:rsidRPr="000C10CC">
        <w:rPr>
          <w:lang w:val="fr-FR"/>
        </w:rPr>
        <w:t>du 13 au 16 février 2018</w:t>
      </w:r>
      <w:r w:rsidR="00D83EA9">
        <w:rPr>
          <w:lang w:val="fr-FR"/>
        </w:rPr>
        <w:t> ;</w:t>
      </w:r>
    </w:p>
    <w:p w14:paraId="00E6B6D4" w14:textId="3867ABA0" w:rsidR="000C10CC" w:rsidRPr="000C10CC" w:rsidRDefault="000F50DD" w:rsidP="000F50DD">
      <w:pPr>
        <w:pStyle w:val="SingleTxt"/>
        <w:ind w:left="2218" w:hanging="951"/>
        <w:rPr>
          <w:lang w:val="fr-FR"/>
        </w:rPr>
      </w:pPr>
      <w:r>
        <w:rPr>
          <w:lang w:val="fr-FR"/>
        </w:rPr>
        <w:tab/>
      </w:r>
      <w:r w:rsidR="000C10CC">
        <w:rPr>
          <w:lang w:val="fr-FR"/>
        </w:rPr>
        <w:tab/>
      </w:r>
      <w:r w:rsidR="000C10CC" w:rsidRPr="000C10CC">
        <w:rPr>
          <w:lang w:val="fr-FR"/>
        </w:rPr>
        <w:t>f)</w:t>
      </w:r>
      <w:r w:rsidR="000C10CC" w:rsidRPr="000C10CC">
        <w:rPr>
          <w:lang w:val="fr-FR"/>
        </w:rPr>
        <w:tab/>
        <w:t>Neuvième session du Groupe de travail chargé des enquêtes menées au titre du Protocole facultatif</w:t>
      </w:r>
      <w:r w:rsidR="00265783">
        <w:rPr>
          <w:lang w:val="fr-FR"/>
        </w:rPr>
        <w:t xml:space="preserve"> : </w:t>
      </w:r>
      <w:r w:rsidR="000C10CC" w:rsidRPr="000C10CC">
        <w:rPr>
          <w:lang w:val="fr-FR"/>
        </w:rPr>
        <w:t>les 15 et 16 février 2018</w:t>
      </w:r>
      <w:r w:rsidR="00D83EA9">
        <w:rPr>
          <w:lang w:val="fr-FR"/>
        </w:rPr>
        <w:t> ;</w:t>
      </w:r>
    </w:p>
    <w:p w14:paraId="2E0087A8" w14:textId="537CACCB" w:rsidR="000C10CC" w:rsidRPr="000C10CC" w:rsidRDefault="000F50DD" w:rsidP="000F50DD">
      <w:pPr>
        <w:pStyle w:val="SingleTxt"/>
        <w:ind w:left="2218" w:hanging="951"/>
        <w:rPr>
          <w:lang w:val="fr-FR"/>
        </w:rPr>
      </w:pPr>
      <w:r>
        <w:rPr>
          <w:lang w:val="fr-FR"/>
        </w:rPr>
        <w:tab/>
      </w:r>
      <w:r w:rsidR="000C10CC">
        <w:rPr>
          <w:lang w:val="fr-FR"/>
        </w:rPr>
        <w:tab/>
      </w:r>
      <w:r w:rsidR="000C10CC" w:rsidRPr="000C10CC">
        <w:rPr>
          <w:lang w:val="fr-FR"/>
        </w:rPr>
        <w:t>g)</w:t>
      </w:r>
      <w:r w:rsidR="000C10CC" w:rsidRPr="000C10CC">
        <w:rPr>
          <w:lang w:val="fr-FR"/>
        </w:rPr>
        <w:tab/>
        <w:t>Soixante-neuvième session</w:t>
      </w:r>
      <w:r w:rsidR="00265783">
        <w:rPr>
          <w:lang w:val="fr-FR"/>
        </w:rPr>
        <w:t xml:space="preserve"> : </w:t>
      </w:r>
      <w:r w:rsidR="000C10CC" w:rsidRPr="000C10CC">
        <w:rPr>
          <w:lang w:val="fr-FR"/>
        </w:rPr>
        <w:t>du 19 février au 9 mars 2018</w:t>
      </w:r>
      <w:r w:rsidR="00D83EA9">
        <w:rPr>
          <w:lang w:val="fr-FR"/>
        </w:rPr>
        <w:t> ;</w:t>
      </w:r>
    </w:p>
    <w:p w14:paraId="5419F59C" w14:textId="3E4B64F2" w:rsidR="000C10CC" w:rsidRDefault="000F50DD" w:rsidP="000F50DD">
      <w:pPr>
        <w:pStyle w:val="SingleTxt"/>
        <w:ind w:left="2218" w:hanging="951"/>
        <w:rPr>
          <w:lang w:val="fr-FR"/>
        </w:rPr>
      </w:pPr>
      <w:r>
        <w:rPr>
          <w:lang w:val="fr-FR"/>
        </w:rPr>
        <w:tab/>
      </w:r>
      <w:r w:rsidR="000C10CC">
        <w:rPr>
          <w:lang w:val="fr-FR"/>
        </w:rPr>
        <w:tab/>
      </w:r>
      <w:r w:rsidR="000C10CC" w:rsidRPr="000C10CC">
        <w:rPr>
          <w:lang w:val="fr-FR"/>
        </w:rPr>
        <w:t>h)</w:t>
      </w:r>
      <w:r w:rsidR="000C10CC" w:rsidRPr="000C10CC">
        <w:rPr>
          <w:lang w:val="fr-FR"/>
        </w:rPr>
        <w:tab/>
        <w:t>Réunion du groupe de travail d</w:t>
      </w:r>
      <w:r w:rsidR="00265783">
        <w:rPr>
          <w:lang w:val="fr-FR"/>
        </w:rPr>
        <w:t>’</w:t>
      </w:r>
      <w:r w:rsidR="000C10CC" w:rsidRPr="000C10CC">
        <w:rPr>
          <w:lang w:val="fr-FR"/>
        </w:rPr>
        <w:t>avant-session pour la soixante et onzième session</w:t>
      </w:r>
      <w:r w:rsidR="00265783">
        <w:rPr>
          <w:lang w:val="fr-FR"/>
        </w:rPr>
        <w:t xml:space="preserve"> : </w:t>
      </w:r>
      <w:r w:rsidR="000C10CC" w:rsidRPr="000C10CC">
        <w:rPr>
          <w:lang w:val="fr-FR"/>
        </w:rPr>
        <w:t>du 12 au 16 mars 2018.</w:t>
      </w:r>
    </w:p>
    <w:p w14:paraId="54214642" w14:textId="07EDDE26" w:rsidR="000C10CC" w:rsidRPr="000C10CC" w:rsidRDefault="000C10CC" w:rsidP="000C10CC">
      <w:pPr>
        <w:pStyle w:val="SingleTxt"/>
        <w:spacing w:after="0" w:line="120" w:lineRule="exact"/>
        <w:rPr>
          <w:sz w:val="10"/>
          <w:lang w:val="fr-FR"/>
        </w:rPr>
      </w:pPr>
    </w:p>
    <w:p w14:paraId="56F1E0F4" w14:textId="77777777" w:rsidR="000C10CC" w:rsidRPr="000C10CC" w:rsidRDefault="000C10CC" w:rsidP="000C10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10CC">
        <w:rPr>
          <w:lang w:val="fr-FR"/>
        </w:rPr>
        <w:tab/>
      </w:r>
      <w:r w:rsidRPr="000C10CC">
        <w:rPr>
          <w:lang w:val="fr-FR"/>
        </w:rPr>
        <w:tab/>
        <w:t xml:space="preserve">Rapports à examiner aux prochaines sessions du Comité </w:t>
      </w:r>
    </w:p>
    <w:p w14:paraId="545B8FF0" w14:textId="26A8AA1B" w:rsidR="000C10CC" w:rsidRPr="000C10CC" w:rsidRDefault="000C10CC" w:rsidP="000C10CC">
      <w:pPr>
        <w:pStyle w:val="SingleTxt"/>
        <w:spacing w:after="0" w:line="120" w:lineRule="exact"/>
        <w:rPr>
          <w:sz w:val="10"/>
          <w:lang w:val="fr-FR"/>
        </w:rPr>
      </w:pPr>
    </w:p>
    <w:p w14:paraId="184FD01A" w14:textId="0BCDD2DB" w:rsidR="000C10CC" w:rsidRPr="000C10CC" w:rsidRDefault="000C10CC" w:rsidP="000C10CC">
      <w:pPr>
        <w:pStyle w:val="SingleTxt"/>
        <w:numPr>
          <w:ilvl w:val="0"/>
          <w:numId w:val="6"/>
        </w:numPr>
        <w:spacing w:line="240" w:lineRule="exact"/>
        <w:ind w:left="1267"/>
        <w:rPr>
          <w:lang w:val="fr-FR"/>
        </w:rPr>
      </w:pPr>
      <w:r w:rsidRPr="000C10CC">
        <w:rPr>
          <w:lang w:val="fr-FR"/>
        </w:rPr>
        <w:t>Le Comité a confirmé qu</w:t>
      </w:r>
      <w:r w:rsidR="00265783">
        <w:rPr>
          <w:lang w:val="fr-FR"/>
        </w:rPr>
        <w:t>’</w:t>
      </w:r>
      <w:r w:rsidRPr="000C10CC">
        <w:rPr>
          <w:lang w:val="fr-FR"/>
        </w:rPr>
        <w:t>il examinerait les rapports des États parties ci-après à ses soixante-huitième et soixante-neuvième sessions :</w:t>
      </w:r>
    </w:p>
    <w:p w14:paraId="42AACCC5" w14:textId="13F6D581" w:rsidR="00A664C3" w:rsidRDefault="000C10CC" w:rsidP="000C10CC">
      <w:pPr>
        <w:pStyle w:val="SingleTxt"/>
        <w:spacing w:line="240" w:lineRule="exact"/>
        <w:rPr>
          <w:lang w:val="fr-FR"/>
        </w:rPr>
      </w:pPr>
      <w:r w:rsidRPr="000C10CC">
        <w:rPr>
          <w:lang w:val="fr-FR"/>
        </w:rPr>
        <w:tab/>
        <w:t>Soixante-huitième session :</w:t>
      </w:r>
    </w:p>
    <w:p w14:paraId="461E478F" w14:textId="144DE680" w:rsidR="00F85F3B" w:rsidRPr="00FC0713" w:rsidRDefault="00F85F3B" w:rsidP="000F50DD">
      <w:pPr>
        <w:pStyle w:val="SingleTxt"/>
        <w:spacing w:after="0" w:line="210" w:lineRule="atLeast"/>
        <w:rPr>
          <w:lang w:val="fr-FR"/>
        </w:rPr>
      </w:pPr>
      <w:r>
        <w:rPr>
          <w:lang w:val="fr-FR"/>
        </w:rPr>
        <w:tab/>
        <w:t>Burkina Faso</w:t>
      </w:r>
    </w:p>
    <w:p w14:paraId="12AC0C6C" w14:textId="5E5F5A7D" w:rsidR="00F85F3B" w:rsidRPr="00FC0713" w:rsidRDefault="00F85F3B" w:rsidP="000F50DD">
      <w:pPr>
        <w:pStyle w:val="SingleTxt"/>
        <w:spacing w:after="0" w:line="210" w:lineRule="atLeast"/>
        <w:rPr>
          <w:lang w:val="fr-FR"/>
        </w:rPr>
      </w:pPr>
      <w:r>
        <w:rPr>
          <w:lang w:val="fr-FR"/>
        </w:rPr>
        <w:tab/>
        <w:t>Guatemala</w:t>
      </w:r>
    </w:p>
    <w:p w14:paraId="6D654C0B" w14:textId="12732A91" w:rsidR="00F85F3B" w:rsidRPr="00FC0713" w:rsidRDefault="00F85F3B" w:rsidP="000F50DD">
      <w:pPr>
        <w:pStyle w:val="SingleTxt"/>
        <w:spacing w:after="0" w:line="210" w:lineRule="atLeast"/>
        <w:rPr>
          <w:lang w:val="fr-FR"/>
        </w:rPr>
      </w:pPr>
      <w:r>
        <w:rPr>
          <w:lang w:val="fr-FR"/>
        </w:rPr>
        <w:tab/>
        <w:t>Israël (au titre de la procédure simplifiée de présentation des rapports)</w:t>
      </w:r>
    </w:p>
    <w:p w14:paraId="622346C4" w14:textId="36223E2A" w:rsidR="00F85F3B" w:rsidRPr="00FC0713" w:rsidRDefault="00F85F3B" w:rsidP="000F50DD">
      <w:pPr>
        <w:pStyle w:val="SingleTxt"/>
        <w:spacing w:after="0" w:line="210" w:lineRule="atLeast"/>
        <w:rPr>
          <w:lang w:val="fr-FR"/>
        </w:rPr>
      </w:pPr>
      <w:r>
        <w:rPr>
          <w:lang w:val="fr-FR"/>
        </w:rPr>
        <w:tab/>
        <w:t>Kenya</w:t>
      </w:r>
    </w:p>
    <w:p w14:paraId="7E5EC84F" w14:textId="190F69A3" w:rsidR="00F85F3B" w:rsidRPr="00FC0713" w:rsidRDefault="00F85F3B" w:rsidP="000F50DD">
      <w:pPr>
        <w:pStyle w:val="SingleTxt"/>
        <w:spacing w:after="0" w:line="210" w:lineRule="atLeast"/>
        <w:rPr>
          <w:lang w:val="fr-FR"/>
        </w:rPr>
      </w:pPr>
      <w:r>
        <w:rPr>
          <w:lang w:val="fr-FR"/>
        </w:rPr>
        <w:tab/>
        <w:t>Koweït</w:t>
      </w:r>
    </w:p>
    <w:p w14:paraId="15376940" w14:textId="4B75768A" w:rsidR="00F85F3B" w:rsidRPr="00FC0713" w:rsidRDefault="00F85F3B" w:rsidP="000F50DD">
      <w:pPr>
        <w:pStyle w:val="SingleTxt"/>
        <w:spacing w:after="0" w:line="210" w:lineRule="atLeast"/>
        <w:rPr>
          <w:lang w:val="fr-FR"/>
        </w:rPr>
      </w:pPr>
      <w:r>
        <w:rPr>
          <w:lang w:val="fr-FR"/>
        </w:rPr>
        <w:tab/>
        <w:t>Monaco</w:t>
      </w:r>
    </w:p>
    <w:p w14:paraId="09CD7B1E" w14:textId="5ABCD3BD" w:rsidR="00F85F3B" w:rsidRPr="00FC0713" w:rsidRDefault="00F85F3B" w:rsidP="000F50DD">
      <w:pPr>
        <w:pStyle w:val="SingleTxt"/>
        <w:spacing w:after="0" w:line="210" w:lineRule="atLeast"/>
        <w:rPr>
          <w:lang w:val="fr-FR"/>
        </w:rPr>
      </w:pPr>
      <w:r>
        <w:rPr>
          <w:lang w:val="fr-FR"/>
        </w:rPr>
        <w:tab/>
        <w:t>Nauru</w:t>
      </w:r>
    </w:p>
    <w:p w14:paraId="2AF8F096" w14:textId="76514076" w:rsidR="00F85F3B" w:rsidRPr="00FC0713" w:rsidRDefault="00F85F3B" w:rsidP="000F50DD">
      <w:pPr>
        <w:pStyle w:val="SingleTxt"/>
        <w:spacing w:after="0" w:line="210" w:lineRule="atLeast"/>
        <w:rPr>
          <w:lang w:val="fr-FR"/>
        </w:rPr>
      </w:pPr>
      <w:r>
        <w:rPr>
          <w:lang w:val="fr-FR"/>
        </w:rPr>
        <w:tab/>
        <w:t>Norvège</w:t>
      </w:r>
    </w:p>
    <w:p w14:paraId="2B32774C" w14:textId="02C2882E" w:rsidR="00F85F3B" w:rsidRPr="00FC0713" w:rsidRDefault="00F85F3B" w:rsidP="000F50DD">
      <w:pPr>
        <w:pStyle w:val="SingleTxt"/>
        <w:spacing w:after="0" w:line="210" w:lineRule="atLeast"/>
        <w:rPr>
          <w:lang w:val="fr-FR"/>
        </w:rPr>
      </w:pPr>
      <w:r>
        <w:rPr>
          <w:lang w:val="fr-FR"/>
        </w:rPr>
        <w:tab/>
        <w:t>Oman</w:t>
      </w:r>
    </w:p>
    <w:p w14:paraId="4A17590E" w14:textId="18A4189C" w:rsidR="00F85F3B" w:rsidRPr="00FC0713" w:rsidRDefault="00F85F3B" w:rsidP="000F50DD">
      <w:pPr>
        <w:pStyle w:val="SingleTxt"/>
        <w:spacing w:after="0" w:line="210" w:lineRule="atLeast"/>
        <w:rPr>
          <w:lang w:val="fr-FR"/>
        </w:rPr>
      </w:pPr>
      <w:r>
        <w:rPr>
          <w:lang w:val="fr-FR"/>
        </w:rPr>
        <w:tab/>
        <w:t>Paraguay</w:t>
      </w:r>
    </w:p>
    <w:p w14:paraId="7CC03BA2" w14:textId="5D01399E" w:rsidR="00F85F3B" w:rsidRPr="00FC0713" w:rsidRDefault="00F85F3B" w:rsidP="000F50DD">
      <w:pPr>
        <w:pStyle w:val="SingleTxt"/>
        <w:spacing w:after="0" w:line="210" w:lineRule="atLeast"/>
        <w:rPr>
          <w:lang w:val="fr-FR"/>
        </w:rPr>
      </w:pPr>
      <w:r>
        <w:rPr>
          <w:lang w:val="fr-FR"/>
        </w:rPr>
        <w:tab/>
        <w:t>République populaire démocratique de Corée</w:t>
      </w:r>
    </w:p>
    <w:p w14:paraId="75BCB5FA" w14:textId="6ECEFEE5" w:rsidR="00F85F3B" w:rsidRPr="00FC0713" w:rsidRDefault="00F85F3B" w:rsidP="00D83EA9">
      <w:pPr>
        <w:pStyle w:val="SingleTxt"/>
        <w:spacing w:line="210" w:lineRule="atLeast"/>
        <w:rPr>
          <w:lang w:val="fr-FR"/>
        </w:rPr>
      </w:pPr>
      <w:r>
        <w:rPr>
          <w:lang w:val="fr-FR"/>
        </w:rPr>
        <w:tab/>
        <w:t>Singapour</w:t>
      </w:r>
    </w:p>
    <w:p w14:paraId="1C611527" w14:textId="752435AC" w:rsidR="00F85F3B" w:rsidRPr="00FC0713" w:rsidRDefault="00F85F3B" w:rsidP="000F50DD">
      <w:pPr>
        <w:pStyle w:val="SingleTxt"/>
        <w:keepNext/>
        <w:keepLines/>
        <w:rPr>
          <w:lang w:val="fr-FR"/>
        </w:rPr>
      </w:pPr>
      <w:r>
        <w:rPr>
          <w:lang w:val="fr-FR"/>
        </w:rPr>
        <w:lastRenderedPageBreak/>
        <w:tab/>
        <w:t>Soixante-neuvième session</w:t>
      </w:r>
      <w:r w:rsidR="000F50DD">
        <w:rPr>
          <w:lang w:val="fr-FR"/>
        </w:rPr>
        <w:t> </w:t>
      </w:r>
      <w:r>
        <w:rPr>
          <w:lang w:val="fr-FR"/>
        </w:rPr>
        <w:t>:</w:t>
      </w:r>
    </w:p>
    <w:p w14:paraId="5E147A37" w14:textId="77777777" w:rsidR="00F85F3B" w:rsidRPr="00A664C3" w:rsidRDefault="00F85F3B" w:rsidP="000F50DD">
      <w:pPr>
        <w:pStyle w:val="SingleTxt"/>
        <w:spacing w:after="0" w:line="210" w:lineRule="atLeast"/>
        <w:rPr>
          <w:lang w:val="fr-FR"/>
        </w:rPr>
      </w:pPr>
      <w:r>
        <w:rPr>
          <w:lang w:val="fr-FR"/>
        </w:rPr>
        <w:tab/>
        <w:t>Arabie saoudite</w:t>
      </w:r>
    </w:p>
    <w:p w14:paraId="52A18AB6" w14:textId="77777777" w:rsidR="00F85F3B" w:rsidRPr="00FC0713" w:rsidRDefault="00F85F3B" w:rsidP="000F50DD">
      <w:pPr>
        <w:pStyle w:val="SingleTxt"/>
        <w:spacing w:after="0" w:line="210" w:lineRule="atLeast"/>
        <w:rPr>
          <w:lang w:val="fr-FR"/>
        </w:rPr>
      </w:pPr>
      <w:r>
        <w:rPr>
          <w:lang w:val="fr-FR"/>
        </w:rPr>
        <w:tab/>
        <w:t>Chili</w:t>
      </w:r>
    </w:p>
    <w:p w14:paraId="1A535631" w14:textId="77777777" w:rsidR="00F85F3B" w:rsidRPr="00FC0713" w:rsidRDefault="00F85F3B" w:rsidP="000F50DD">
      <w:pPr>
        <w:pStyle w:val="SingleTxt"/>
        <w:spacing w:after="0" w:line="210" w:lineRule="atLeast"/>
        <w:rPr>
          <w:lang w:val="fr-FR"/>
        </w:rPr>
      </w:pPr>
      <w:r>
        <w:rPr>
          <w:lang w:val="fr-FR"/>
        </w:rPr>
        <w:tab/>
        <w:t>Fidji</w:t>
      </w:r>
    </w:p>
    <w:p w14:paraId="0A1E42C3" w14:textId="77777777" w:rsidR="00F85F3B" w:rsidRPr="00FC0713" w:rsidRDefault="00F85F3B" w:rsidP="000F50DD">
      <w:pPr>
        <w:pStyle w:val="SingleTxt"/>
        <w:spacing w:after="0" w:line="210" w:lineRule="atLeast"/>
        <w:rPr>
          <w:lang w:val="fr-FR"/>
        </w:rPr>
      </w:pPr>
      <w:r>
        <w:rPr>
          <w:lang w:val="fr-FR"/>
        </w:rPr>
        <w:tab/>
        <w:t>Îles Marshall</w:t>
      </w:r>
    </w:p>
    <w:p w14:paraId="45F3E5B7" w14:textId="77777777" w:rsidR="00F85F3B" w:rsidRPr="00FC0713" w:rsidRDefault="00F85F3B" w:rsidP="000F50DD">
      <w:pPr>
        <w:pStyle w:val="SingleTxt"/>
        <w:spacing w:after="0" w:line="210" w:lineRule="atLeast"/>
        <w:rPr>
          <w:lang w:val="fr-FR"/>
        </w:rPr>
      </w:pPr>
      <w:r>
        <w:rPr>
          <w:lang w:val="fr-FR"/>
        </w:rPr>
        <w:tab/>
        <w:t>Luxembourg (au titre de la procédure simplifiée de présentation des rapports)</w:t>
      </w:r>
    </w:p>
    <w:p w14:paraId="38C08422" w14:textId="77777777" w:rsidR="00F85F3B" w:rsidRPr="00FC0713" w:rsidRDefault="00F85F3B" w:rsidP="000F50DD">
      <w:pPr>
        <w:pStyle w:val="SingleTxt"/>
        <w:spacing w:after="0" w:line="210" w:lineRule="atLeast"/>
        <w:rPr>
          <w:lang w:val="fr-FR"/>
        </w:rPr>
      </w:pPr>
      <w:r>
        <w:rPr>
          <w:lang w:val="fr-FR"/>
        </w:rPr>
        <w:tab/>
        <w:t>Malaisie</w:t>
      </w:r>
    </w:p>
    <w:p w14:paraId="4C99E059" w14:textId="77777777" w:rsidR="00F85F3B" w:rsidRPr="00FC0713" w:rsidRDefault="00F85F3B" w:rsidP="000F50DD">
      <w:pPr>
        <w:pStyle w:val="SingleTxt"/>
        <w:spacing w:after="0" w:line="210" w:lineRule="atLeast"/>
        <w:rPr>
          <w:lang w:val="fr-FR"/>
        </w:rPr>
      </w:pPr>
      <w:r>
        <w:rPr>
          <w:lang w:val="fr-FR"/>
        </w:rPr>
        <w:tab/>
        <w:t>République de Corée</w:t>
      </w:r>
    </w:p>
    <w:p w14:paraId="4640818F" w14:textId="5CBC589D" w:rsidR="00F85F3B" w:rsidRDefault="00F85F3B" w:rsidP="000F50DD">
      <w:pPr>
        <w:pStyle w:val="SingleTxt"/>
        <w:spacing w:after="0" w:line="210" w:lineRule="atLeast"/>
        <w:rPr>
          <w:lang w:val="fr-FR"/>
        </w:rPr>
      </w:pPr>
      <w:r>
        <w:rPr>
          <w:lang w:val="fr-FR"/>
        </w:rPr>
        <w:tab/>
        <w:t>Suriname</w:t>
      </w:r>
    </w:p>
    <w:p w14:paraId="40A05F65" w14:textId="79AE5534" w:rsidR="00F85F3B" w:rsidRDefault="00F85F3B">
      <w:pPr>
        <w:spacing w:after="200" w:line="276" w:lineRule="auto"/>
        <w:rPr>
          <w:lang w:val="fr-FR"/>
        </w:rPr>
      </w:pPr>
      <w:r>
        <w:rPr>
          <w:lang w:val="fr-FR"/>
        </w:rPr>
        <w:br w:type="page"/>
      </w:r>
    </w:p>
    <w:p w14:paraId="4519E514" w14:textId="77777777" w:rsidR="003C0696" w:rsidRPr="009C4E47" w:rsidRDefault="003C0696" w:rsidP="003C0696">
      <w:pPr>
        <w:pStyle w:val="HCh0"/>
        <w:ind w:left="1267" w:right="1260" w:hanging="1267"/>
        <w:rPr>
          <w:lang w:val="fr-FR"/>
        </w:rPr>
      </w:pPr>
      <w:r w:rsidRPr="009C4E47">
        <w:rPr>
          <w:lang w:val="fr-FR"/>
        </w:rPr>
        <w:lastRenderedPageBreak/>
        <w:t>Chapitre VII</w:t>
      </w:r>
    </w:p>
    <w:p w14:paraId="0D761580" w14:textId="23DC73BA" w:rsidR="003C0696" w:rsidRPr="009C4E47" w:rsidRDefault="003C0696" w:rsidP="003C0696">
      <w:pPr>
        <w:pStyle w:val="HCh0"/>
        <w:ind w:left="1267" w:right="1260" w:hanging="1267"/>
        <w:rPr>
          <w:lang w:val="fr-FR"/>
        </w:rPr>
      </w:pPr>
      <w:r w:rsidRPr="009C4E47">
        <w:rPr>
          <w:lang w:val="fr-FR"/>
        </w:rPr>
        <w:tab/>
      </w:r>
      <w:r w:rsidRPr="009C4E47">
        <w:rPr>
          <w:lang w:val="fr-FR"/>
        </w:rPr>
        <w:tab/>
        <w:t>Application de l</w:t>
      </w:r>
      <w:r w:rsidR="00265783">
        <w:rPr>
          <w:lang w:val="fr-FR"/>
        </w:rPr>
        <w:t>’</w:t>
      </w:r>
      <w:r w:rsidRPr="009C4E47">
        <w:rPr>
          <w:lang w:val="fr-FR"/>
        </w:rPr>
        <w:t>article 21 de la Convention</w:t>
      </w:r>
    </w:p>
    <w:p w14:paraId="08724708" w14:textId="239207CF" w:rsidR="003C0696" w:rsidRPr="009C4E47" w:rsidRDefault="003C0696" w:rsidP="003C0696">
      <w:pPr>
        <w:pStyle w:val="SingleTxt"/>
        <w:spacing w:after="0" w:line="120" w:lineRule="exact"/>
        <w:rPr>
          <w:sz w:val="10"/>
          <w:lang w:val="fr-FR"/>
        </w:rPr>
      </w:pPr>
    </w:p>
    <w:p w14:paraId="344250A3" w14:textId="3C13EA69" w:rsidR="003C0696" w:rsidRPr="009C4E47" w:rsidRDefault="003C0696" w:rsidP="003C0696">
      <w:pPr>
        <w:pStyle w:val="SingleTxt"/>
        <w:spacing w:after="0" w:line="120" w:lineRule="exact"/>
        <w:rPr>
          <w:sz w:val="10"/>
          <w:lang w:val="fr-FR"/>
        </w:rPr>
      </w:pPr>
    </w:p>
    <w:p w14:paraId="062382D4" w14:textId="7E822B66" w:rsidR="003C0696" w:rsidRDefault="003C0696" w:rsidP="003C0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0696">
        <w:rPr>
          <w:lang w:val="fr-FR"/>
        </w:rPr>
        <w:tab/>
      </w:r>
      <w:r w:rsidRPr="003C0696">
        <w:rPr>
          <w:lang w:val="fr-FR"/>
        </w:rPr>
        <w:tab/>
        <w:t xml:space="preserve">Groupe de travail sur les aspects de la réduction des risques de catastrophe </w:t>
      </w:r>
      <w:r>
        <w:rPr>
          <w:lang w:val="fr-FR"/>
        </w:rPr>
        <w:br/>
      </w:r>
      <w:r w:rsidRPr="003C0696">
        <w:rPr>
          <w:lang w:val="fr-FR"/>
        </w:rPr>
        <w:t>et des changements climatiques ayant trait à la problématique hommes-femmes</w:t>
      </w:r>
    </w:p>
    <w:p w14:paraId="62C7E6C2" w14:textId="448F0759" w:rsidR="003C0696" w:rsidRPr="003C0696" w:rsidRDefault="003C0696" w:rsidP="003C0696">
      <w:pPr>
        <w:pStyle w:val="SingleTxt"/>
        <w:spacing w:after="0" w:line="120" w:lineRule="exact"/>
        <w:rPr>
          <w:sz w:val="10"/>
          <w:lang w:val="fr-FR"/>
        </w:rPr>
      </w:pPr>
    </w:p>
    <w:p w14:paraId="1B5EC2C1" w14:textId="3780EEAA" w:rsidR="003C0696" w:rsidRDefault="003C0696" w:rsidP="003C0696">
      <w:pPr>
        <w:pStyle w:val="SingleTxt"/>
        <w:numPr>
          <w:ilvl w:val="0"/>
          <w:numId w:val="6"/>
        </w:numPr>
        <w:spacing w:line="240" w:lineRule="exact"/>
        <w:ind w:left="1267"/>
        <w:rPr>
          <w:lang w:val="fr-FR"/>
        </w:rPr>
      </w:pPr>
      <w:r w:rsidRPr="003C0696">
        <w:rPr>
          <w:lang w:val="fr-FR"/>
        </w:rPr>
        <w:t>Le Groupe de travail s</w:t>
      </w:r>
      <w:r w:rsidR="00265783">
        <w:rPr>
          <w:lang w:val="fr-FR"/>
        </w:rPr>
        <w:t>’</w:t>
      </w:r>
      <w:r w:rsidRPr="003C0696">
        <w:rPr>
          <w:lang w:val="fr-FR"/>
        </w:rPr>
        <w:t>est réuni durant la session et a examiné la nouvelle version du projet de recommandation générale, qui avait été révisé pour tenir compte des observations formulées par les parties prenantes entre les sessions.</w:t>
      </w:r>
    </w:p>
    <w:p w14:paraId="64066B22" w14:textId="5D20FE25" w:rsidR="003C0696" w:rsidRPr="003C0696" w:rsidRDefault="003C0696" w:rsidP="003C0696">
      <w:pPr>
        <w:pStyle w:val="SingleTxt"/>
        <w:spacing w:after="0" w:line="120" w:lineRule="exact"/>
        <w:rPr>
          <w:sz w:val="10"/>
          <w:lang w:val="fr-FR"/>
        </w:rPr>
      </w:pPr>
    </w:p>
    <w:p w14:paraId="1D622162" w14:textId="7FE53225" w:rsidR="003C0696" w:rsidRPr="003C0696" w:rsidRDefault="003C0696" w:rsidP="003C0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0696">
        <w:rPr>
          <w:lang w:val="fr-FR"/>
        </w:rPr>
        <w:tab/>
      </w:r>
      <w:r w:rsidRPr="003C0696">
        <w:rPr>
          <w:lang w:val="fr-FR"/>
        </w:rPr>
        <w:tab/>
        <w:t>Groupe de travail sur le droit à l</w:t>
      </w:r>
      <w:r w:rsidR="00265783">
        <w:rPr>
          <w:lang w:val="fr-FR"/>
        </w:rPr>
        <w:t>’</w:t>
      </w:r>
      <w:r w:rsidRPr="003C0696">
        <w:rPr>
          <w:lang w:val="fr-FR"/>
        </w:rPr>
        <w:t>éducation</w:t>
      </w:r>
    </w:p>
    <w:p w14:paraId="07A0E5F3" w14:textId="7C5BD34E" w:rsidR="003C0696" w:rsidRPr="003C0696" w:rsidRDefault="003C0696" w:rsidP="003C0696">
      <w:pPr>
        <w:pStyle w:val="SingleTxt"/>
        <w:spacing w:after="0" w:line="120" w:lineRule="exact"/>
        <w:rPr>
          <w:sz w:val="10"/>
          <w:lang w:val="fr-FR"/>
        </w:rPr>
      </w:pPr>
    </w:p>
    <w:p w14:paraId="58A77A14" w14:textId="2963F471" w:rsidR="003C0696" w:rsidRPr="003C0696" w:rsidRDefault="003C0696" w:rsidP="003C0696">
      <w:pPr>
        <w:pStyle w:val="SingleTxt"/>
        <w:numPr>
          <w:ilvl w:val="0"/>
          <w:numId w:val="6"/>
        </w:numPr>
        <w:spacing w:line="240" w:lineRule="exact"/>
        <w:ind w:left="1267"/>
        <w:rPr>
          <w:lang w:val="fr-FR"/>
        </w:rPr>
      </w:pPr>
      <w:r w:rsidRPr="003C0696">
        <w:rPr>
          <w:lang w:val="fr-FR"/>
        </w:rPr>
        <w:t>Le Groupe de travail s</w:t>
      </w:r>
      <w:r w:rsidR="00265783">
        <w:rPr>
          <w:lang w:val="fr-FR"/>
        </w:rPr>
        <w:t>’</w:t>
      </w:r>
      <w:r w:rsidRPr="003C0696">
        <w:rPr>
          <w:lang w:val="fr-FR"/>
        </w:rPr>
        <w:t>est réuni durant la session et a examiné le projet de recommandation générale. Il a tenu une consultation avec Barbara Bailey, experte de renommée internationale dans le domaine de l</w:t>
      </w:r>
      <w:r w:rsidR="00265783">
        <w:rPr>
          <w:lang w:val="fr-FR"/>
        </w:rPr>
        <w:t>’</w:t>
      </w:r>
      <w:r w:rsidRPr="003C0696">
        <w:rPr>
          <w:lang w:val="fr-FR"/>
        </w:rPr>
        <w:t>éducation, qui avait été membre du Comité.</w:t>
      </w:r>
    </w:p>
    <w:p w14:paraId="2C032410" w14:textId="50772F92" w:rsidR="003C0696" w:rsidRDefault="003C0696" w:rsidP="003C0696">
      <w:pPr>
        <w:pStyle w:val="SingleTxt"/>
        <w:numPr>
          <w:ilvl w:val="0"/>
          <w:numId w:val="6"/>
        </w:numPr>
        <w:spacing w:line="240" w:lineRule="exact"/>
        <w:ind w:left="1267"/>
        <w:rPr>
          <w:lang w:val="fr-FR"/>
        </w:rPr>
      </w:pPr>
      <w:r w:rsidRPr="003C0696">
        <w:rPr>
          <w:lang w:val="fr-FR"/>
        </w:rPr>
        <w:t>Le 21 juillet 2017, le Comité a achevé sa première lecture du projet de recommandation générale.</w:t>
      </w:r>
    </w:p>
    <w:p w14:paraId="0768D2E7" w14:textId="582386E2" w:rsidR="003C0696" w:rsidRPr="003C0696" w:rsidRDefault="003C0696" w:rsidP="003C0696">
      <w:pPr>
        <w:pStyle w:val="SingleTxt"/>
        <w:spacing w:after="0" w:line="120" w:lineRule="exact"/>
        <w:rPr>
          <w:sz w:val="10"/>
          <w:lang w:val="fr-FR"/>
        </w:rPr>
      </w:pPr>
    </w:p>
    <w:p w14:paraId="0F8B48A4" w14:textId="77777777" w:rsidR="003C0696" w:rsidRPr="003C0696" w:rsidRDefault="003C0696" w:rsidP="003C0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0696">
        <w:rPr>
          <w:lang w:val="fr-FR"/>
        </w:rPr>
        <w:tab/>
      </w:r>
      <w:r w:rsidRPr="003C0696">
        <w:rPr>
          <w:lang w:val="fr-FR"/>
        </w:rPr>
        <w:tab/>
        <w:t>Groupe de travail sur les méthodes de travail</w:t>
      </w:r>
    </w:p>
    <w:p w14:paraId="1BBB7FE3" w14:textId="22A2C106" w:rsidR="003C0696" w:rsidRPr="003C0696" w:rsidRDefault="003C0696" w:rsidP="003C0696">
      <w:pPr>
        <w:pStyle w:val="SingleTxt"/>
        <w:spacing w:after="0" w:line="120" w:lineRule="exact"/>
        <w:rPr>
          <w:sz w:val="10"/>
          <w:lang w:val="fr-FR"/>
        </w:rPr>
      </w:pPr>
    </w:p>
    <w:p w14:paraId="6D6E7259" w14:textId="377A5690" w:rsidR="003C0696" w:rsidRDefault="003C0696" w:rsidP="003C0696">
      <w:pPr>
        <w:pStyle w:val="SingleTxt"/>
        <w:numPr>
          <w:ilvl w:val="0"/>
          <w:numId w:val="6"/>
        </w:numPr>
        <w:spacing w:line="240" w:lineRule="exact"/>
        <w:ind w:left="1267"/>
        <w:rPr>
          <w:lang w:val="fr-FR"/>
        </w:rPr>
      </w:pPr>
      <w:r w:rsidRPr="003C0696">
        <w:rPr>
          <w:lang w:val="fr-FR"/>
        </w:rPr>
        <w:t>Le Groupe de travail s</w:t>
      </w:r>
      <w:r w:rsidR="00265783">
        <w:rPr>
          <w:lang w:val="fr-FR"/>
        </w:rPr>
        <w:t>’</w:t>
      </w:r>
      <w:r w:rsidRPr="003C0696">
        <w:rPr>
          <w:lang w:val="fr-FR"/>
        </w:rPr>
        <w:t>est réuni lors de la session pour examiner et présenter au Comité des projets de décision relatifs aux questions abordées dans les observations finales du Comité, à la composition des équipes spéciales de pays, à la nomination des rapporteurs de pays et à la période devant être couverte par les rapports périodiques soumis en retard (voir décisions 67/V à 67/VIII).</w:t>
      </w:r>
    </w:p>
    <w:p w14:paraId="45BD53C6" w14:textId="48A9FFAE" w:rsidR="003C0696" w:rsidRPr="003C0696" w:rsidRDefault="003C0696" w:rsidP="003C0696">
      <w:pPr>
        <w:pStyle w:val="SingleTxt"/>
        <w:spacing w:after="0" w:line="120" w:lineRule="exact"/>
        <w:rPr>
          <w:sz w:val="10"/>
          <w:lang w:val="fr-FR"/>
        </w:rPr>
      </w:pPr>
    </w:p>
    <w:p w14:paraId="4125B811" w14:textId="19E20EF8" w:rsidR="003C0696" w:rsidRPr="003C0696" w:rsidRDefault="003C0696" w:rsidP="003C0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0696">
        <w:rPr>
          <w:lang w:val="fr-FR"/>
        </w:rPr>
        <w:tab/>
      </w:r>
      <w:r w:rsidRPr="003C0696">
        <w:rPr>
          <w:lang w:val="fr-FR"/>
        </w:rPr>
        <w:tab/>
        <w:t>Groupe de travail chargé de la coordination avec l</w:t>
      </w:r>
      <w:r w:rsidR="00265783">
        <w:rPr>
          <w:lang w:val="fr-FR"/>
        </w:rPr>
        <w:t>’</w:t>
      </w:r>
      <w:r w:rsidRPr="003C0696">
        <w:rPr>
          <w:lang w:val="fr-FR"/>
        </w:rPr>
        <w:t>Union interparlementaire</w:t>
      </w:r>
    </w:p>
    <w:p w14:paraId="7504FE0E" w14:textId="3243A0D4" w:rsidR="003C0696" w:rsidRPr="003C0696" w:rsidRDefault="003C0696" w:rsidP="003C0696">
      <w:pPr>
        <w:pStyle w:val="SingleTxt"/>
        <w:spacing w:after="0" w:line="120" w:lineRule="exact"/>
        <w:rPr>
          <w:sz w:val="10"/>
          <w:lang w:val="fr-FR"/>
        </w:rPr>
      </w:pPr>
    </w:p>
    <w:p w14:paraId="32E17A82" w14:textId="4216C736" w:rsidR="003C0696" w:rsidRDefault="003C0696" w:rsidP="003C0696">
      <w:pPr>
        <w:pStyle w:val="SingleTxt"/>
        <w:numPr>
          <w:ilvl w:val="0"/>
          <w:numId w:val="6"/>
        </w:numPr>
        <w:spacing w:line="240" w:lineRule="exact"/>
        <w:ind w:left="1267"/>
        <w:rPr>
          <w:lang w:val="fr-FR"/>
        </w:rPr>
      </w:pPr>
      <w:r w:rsidRPr="003C0696">
        <w:rPr>
          <w:lang w:val="fr-FR"/>
        </w:rPr>
        <w:t>Le Groupe de travail a rencontré un représentant de l</w:t>
      </w:r>
      <w:r w:rsidR="00265783">
        <w:rPr>
          <w:lang w:val="fr-FR"/>
        </w:rPr>
        <w:t>’</w:t>
      </w:r>
      <w:r w:rsidRPr="003C0696">
        <w:rPr>
          <w:lang w:val="fr-FR"/>
        </w:rPr>
        <w:t>Union interparlementaire (UIP), qui a présenté un aperçu des travaux effectués par l</w:t>
      </w:r>
      <w:r w:rsidR="00265783">
        <w:rPr>
          <w:lang w:val="fr-FR"/>
        </w:rPr>
        <w:t>’</w:t>
      </w:r>
      <w:r w:rsidRPr="003C0696">
        <w:rPr>
          <w:lang w:val="fr-FR"/>
        </w:rPr>
        <w:t>Union dans le monde, de l</w:t>
      </w:r>
      <w:r w:rsidR="00265783">
        <w:rPr>
          <w:lang w:val="fr-FR"/>
        </w:rPr>
        <w:t>’</w:t>
      </w:r>
      <w:r w:rsidRPr="003C0696">
        <w:rPr>
          <w:lang w:val="fr-FR"/>
        </w:rPr>
        <w:t>action qu</w:t>
      </w:r>
      <w:r w:rsidR="00265783">
        <w:rPr>
          <w:lang w:val="fr-FR"/>
        </w:rPr>
        <w:t>’</w:t>
      </w:r>
      <w:r w:rsidRPr="003C0696">
        <w:rPr>
          <w:lang w:val="fr-FR"/>
        </w:rPr>
        <w:t>elle mène pour lutter contre les violences faites aux femmes et des autres activités qu</w:t>
      </w:r>
      <w:r w:rsidR="00265783">
        <w:rPr>
          <w:lang w:val="fr-FR"/>
        </w:rPr>
        <w:t>’</w:t>
      </w:r>
      <w:r w:rsidRPr="003C0696">
        <w:rPr>
          <w:lang w:val="fr-FR"/>
        </w:rPr>
        <w:t>elle organise afin de faire connaître la Convention et les recommandations du Comité aux niveaux national et régional. Le Groupe de travail a continué de définir ses priorités en matière de collaboration avec l</w:t>
      </w:r>
      <w:r w:rsidR="00265783">
        <w:rPr>
          <w:lang w:val="fr-FR"/>
        </w:rPr>
        <w:t>’</w:t>
      </w:r>
      <w:r w:rsidRPr="003C0696">
        <w:rPr>
          <w:lang w:val="fr-FR"/>
        </w:rPr>
        <w:t>UIP, notamment l</w:t>
      </w:r>
      <w:r w:rsidR="00265783">
        <w:rPr>
          <w:lang w:val="fr-FR"/>
        </w:rPr>
        <w:t>’</w:t>
      </w:r>
      <w:r w:rsidRPr="003C0696">
        <w:rPr>
          <w:lang w:val="fr-FR"/>
        </w:rPr>
        <w:t>organisation d</w:t>
      </w:r>
      <w:r w:rsidR="00265783">
        <w:rPr>
          <w:lang w:val="fr-FR"/>
        </w:rPr>
        <w:t>’</w:t>
      </w:r>
      <w:r w:rsidRPr="003C0696">
        <w:rPr>
          <w:lang w:val="fr-FR"/>
        </w:rPr>
        <w:t>une réunion conjointe lors de la prochaine session de l</w:t>
      </w:r>
      <w:r w:rsidR="00265783">
        <w:rPr>
          <w:lang w:val="fr-FR"/>
        </w:rPr>
        <w:t>’</w:t>
      </w:r>
      <w:r w:rsidRPr="003C0696">
        <w:rPr>
          <w:lang w:val="fr-FR"/>
        </w:rPr>
        <w:t>Assemblée de l</w:t>
      </w:r>
      <w:r w:rsidR="00265783">
        <w:rPr>
          <w:lang w:val="fr-FR"/>
        </w:rPr>
        <w:t>’</w:t>
      </w:r>
      <w:r w:rsidRPr="003C0696">
        <w:rPr>
          <w:lang w:val="fr-FR"/>
        </w:rPr>
        <w:t>UIP à Genève, en mars 2018, et le remaniement du texte du paragraphe type des observations finales du Comité faisant référence au rôle des parlements.</w:t>
      </w:r>
    </w:p>
    <w:p w14:paraId="356772FB" w14:textId="7415B8A1" w:rsidR="003C0696" w:rsidRPr="003C0696" w:rsidRDefault="003C0696" w:rsidP="003C0696">
      <w:pPr>
        <w:pStyle w:val="SingleTxt"/>
        <w:spacing w:after="0" w:line="120" w:lineRule="exact"/>
        <w:rPr>
          <w:sz w:val="10"/>
          <w:lang w:val="fr-FR"/>
        </w:rPr>
      </w:pPr>
    </w:p>
    <w:p w14:paraId="01C5DF8A" w14:textId="2CB129B8" w:rsidR="003C0696" w:rsidRDefault="003C0696" w:rsidP="003C0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0696">
        <w:rPr>
          <w:lang w:val="fr-FR"/>
        </w:rPr>
        <w:tab/>
      </w:r>
      <w:r w:rsidRPr="003C0696">
        <w:rPr>
          <w:lang w:val="fr-FR"/>
        </w:rPr>
        <w:tab/>
        <w:t xml:space="preserve">Groupe de travail sur la Convention, ONU-Femmes et les objectifs </w:t>
      </w:r>
      <w:r>
        <w:rPr>
          <w:lang w:val="fr-FR"/>
        </w:rPr>
        <w:br/>
      </w:r>
      <w:r w:rsidRPr="003C0696">
        <w:rPr>
          <w:lang w:val="fr-FR"/>
        </w:rPr>
        <w:t>de développement durable</w:t>
      </w:r>
    </w:p>
    <w:p w14:paraId="239A2FF8" w14:textId="2DA33E87" w:rsidR="003C0696" w:rsidRPr="003C0696" w:rsidRDefault="003C0696" w:rsidP="003C0696">
      <w:pPr>
        <w:pStyle w:val="SingleTxt"/>
        <w:spacing w:after="0" w:line="120" w:lineRule="exact"/>
        <w:rPr>
          <w:sz w:val="10"/>
          <w:lang w:val="fr-FR"/>
        </w:rPr>
      </w:pPr>
    </w:p>
    <w:p w14:paraId="1F1D7326" w14:textId="6156FC8A" w:rsidR="003C0696" w:rsidRPr="003C0696" w:rsidRDefault="003C0696" w:rsidP="003C0696">
      <w:pPr>
        <w:pStyle w:val="SingleTxt"/>
        <w:numPr>
          <w:ilvl w:val="0"/>
          <w:numId w:val="6"/>
        </w:numPr>
        <w:spacing w:line="240" w:lineRule="exact"/>
        <w:ind w:left="1267"/>
        <w:rPr>
          <w:lang w:val="fr-FR"/>
        </w:rPr>
      </w:pPr>
      <w:r w:rsidRPr="003C0696">
        <w:rPr>
          <w:lang w:val="fr-FR"/>
        </w:rPr>
        <w:t>Durant la session, le Groupe de travail a rencontré des représentants de la Banque mondiale, de l</w:t>
      </w:r>
      <w:r w:rsidR="00265783">
        <w:rPr>
          <w:lang w:val="fr-FR"/>
        </w:rPr>
        <w:t>’</w:t>
      </w:r>
      <w:r w:rsidRPr="003C0696">
        <w:rPr>
          <w:lang w:val="fr-FR"/>
        </w:rPr>
        <w:t>OCDE, d</w:t>
      </w:r>
      <w:r w:rsidR="00265783">
        <w:rPr>
          <w:lang w:val="fr-FR"/>
        </w:rPr>
        <w:t>’</w:t>
      </w:r>
      <w:r w:rsidRPr="003C0696">
        <w:rPr>
          <w:lang w:val="fr-FR"/>
        </w:rPr>
        <w:t>ONU-Femmes et de la FAO pour examiner la contribution du Comité au perfectionnement des méthodes relatives à la réalisation et à la collecte des données concernant les indicateurs 5.1.1 et 5.a.2 des objectifs de développement durable.</w:t>
      </w:r>
    </w:p>
    <w:p w14:paraId="47D72D42" w14:textId="3CC2B2C2" w:rsidR="003C0696" w:rsidRPr="003C0696" w:rsidRDefault="003C0696" w:rsidP="003C0696">
      <w:pPr>
        <w:pStyle w:val="SingleTxt"/>
        <w:numPr>
          <w:ilvl w:val="0"/>
          <w:numId w:val="6"/>
        </w:numPr>
        <w:spacing w:line="240" w:lineRule="exact"/>
        <w:ind w:left="1267"/>
        <w:rPr>
          <w:lang w:val="fr-FR"/>
        </w:rPr>
      </w:pPr>
      <w:r w:rsidRPr="003C0696">
        <w:rPr>
          <w:lang w:val="fr-FR"/>
        </w:rPr>
        <w:t>Le Comité a accepté de créer un comité directeur de concert avec la Banque mondiale, l</w:t>
      </w:r>
      <w:r w:rsidR="00265783">
        <w:rPr>
          <w:lang w:val="fr-FR"/>
        </w:rPr>
        <w:t>’</w:t>
      </w:r>
      <w:r w:rsidRPr="003C0696">
        <w:rPr>
          <w:lang w:val="fr-FR"/>
        </w:rPr>
        <w:t>OCDE et ONU-Femmes en vue d</w:t>
      </w:r>
      <w:r w:rsidR="00265783">
        <w:rPr>
          <w:lang w:val="fr-FR"/>
        </w:rPr>
        <w:t>’</w:t>
      </w:r>
      <w:r w:rsidRPr="003C0696">
        <w:rPr>
          <w:lang w:val="fr-FR"/>
        </w:rPr>
        <w:t>améliorer l</w:t>
      </w:r>
      <w:r w:rsidR="00265783">
        <w:rPr>
          <w:lang w:val="fr-FR"/>
        </w:rPr>
        <w:t>’</w:t>
      </w:r>
      <w:r w:rsidRPr="003C0696">
        <w:rPr>
          <w:lang w:val="fr-FR"/>
        </w:rPr>
        <w:t>échange d</w:t>
      </w:r>
      <w:r w:rsidR="00265783">
        <w:rPr>
          <w:lang w:val="fr-FR"/>
        </w:rPr>
        <w:t>’</w:t>
      </w:r>
      <w:r w:rsidRPr="003C0696">
        <w:rPr>
          <w:lang w:val="fr-FR"/>
        </w:rPr>
        <w:t>informations sur les progrès réalisés quant au perfectionnement des méthodes relatives à la réalisation et à la collecte des données concernant l</w:t>
      </w:r>
      <w:r w:rsidR="00265783">
        <w:rPr>
          <w:lang w:val="fr-FR"/>
        </w:rPr>
        <w:t>’</w:t>
      </w:r>
      <w:r w:rsidRPr="003C0696">
        <w:rPr>
          <w:lang w:val="fr-FR"/>
        </w:rPr>
        <w:t>indicateur 5.1.1 des objectifs de développement durable. Il a également demandé aux représentants de la Banque mondiale et de l</w:t>
      </w:r>
      <w:r w:rsidR="00265783">
        <w:rPr>
          <w:lang w:val="fr-FR"/>
        </w:rPr>
        <w:t>’</w:t>
      </w:r>
      <w:r w:rsidRPr="003C0696">
        <w:rPr>
          <w:lang w:val="fr-FR"/>
        </w:rPr>
        <w:t>OCDE de lui transmettre des informations sur certains pays en prévision de l</w:t>
      </w:r>
      <w:r w:rsidR="00265783">
        <w:rPr>
          <w:lang w:val="fr-FR"/>
        </w:rPr>
        <w:t>’</w:t>
      </w:r>
      <w:r w:rsidRPr="003C0696">
        <w:rPr>
          <w:lang w:val="fr-FR"/>
        </w:rPr>
        <w:t>examen des rapports des États parties et surtout de l</w:t>
      </w:r>
      <w:r w:rsidR="00265783">
        <w:rPr>
          <w:lang w:val="fr-FR"/>
        </w:rPr>
        <w:t>’</w:t>
      </w:r>
      <w:r w:rsidRPr="003C0696">
        <w:rPr>
          <w:lang w:val="fr-FR"/>
        </w:rPr>
        <w:t>élaboration de la liste de points et de questions par le groupe de travail d</w:t>
      </w:r>
      <w:r w:rsidR="00265783">
        <w:rPr>
          <w:lang w:val="fr-FR"/>
        </w:rPr>
        <w:t>’</w:t>
      </w:r>
      <w:r w:rsidRPr="003C0696">
        <w:rPr>
          <w:lang w:val="fr-FR"/>
        </w:rPr>
        <w:t>avant-session.</w:t>
      </w:r>
    </w:p>
    <w:p w14:paraId="24F00D27" w14:textId="2D990907" w:rsidR="003C0696" w:rsidRDefault="003C0696" w:rsidP="003C0696">
      <w:pPr>
        <w:pStyle w:val="SingleTxt"/>
        <w:numPr>
          <w:ilvl w:val="0"/>
          <w:numId w:val="6"/>
        </w:numPr>
        <w:spacing w:line="240" w:lineRule="exact"/>
        <w:ind w:left="1267"/>
        <w:rPr>
          <w:lang w:val="fr-FR"/>
        </w:rPr>
      </w:pPr>
      <w:r w:rsidRPr="003C0696">
        <w:rPr>
          <w:lang w:val="fr-FR"/>
        </w:rPr>
        <w:lastRenderedPageBreak/>
        <w:t>Le Groupe de travail chargé de la coordination avec l</w:t>
      </w:r>
      <w:r w:rsidR="00265783">
        <w:rPr>
          <w:lang w:val="fr-FR"/>
        </w:rPr>
        <w:t>’</w:t>
      </w:r>
      <w:r w:rsidRPr="003C0696">
        <w:rPr>
          <w:lang w:val="fr-FR"/>
        </w:rPr>
        <w:t>Union interparlementaire a contribué, en collaboration avec le Groupe de travail sur les méthodes de travail, à définir les fonctions à confier à un consultant qui sera recruté pour réviser les directives du Comité relatives à l</w:t>
      </w:r>
      <w:r w:rsidR="00265783">
        <w:rPr>
          <w:lang w:val="fr-FR"/>
        </w:rPr>
        <w:t>’</w:t>
      </w:r>
      <w:r w:rsidRPr="003C0696">
        <w:rPr>
          <w:lang w:val="fr-FR"/>
        </w:rPr>
        <w:t>établissement de rapports et les rendre plus pertinentes en s</w:t>
      </w:r>
      <w:r w:rsidR="00265783">
        <w:rPr>
          <w:lang w:val="fr-FR"/>
        </w:rPr>
        <w:t>’</w:t>
      </w:r>
      <w:r w:rsidRPr="003C0696">
        <w:rPr>
          <w:lang w:val="fr-FR"/>
        </w:rPr>
        <w:t>appuyant sur les données collectées pour évaluer les progrès accomplis en vue de la réalisation des cibles des objectifs de développement durable.</w:t>
      </w:r>
    </w:p>
    <w:p w14:paraId="5BDA6CCE" w14:textId="75612B48" w:rsidR="003C0696" w:rsidRPr="003C0696" w:rsidRDefault="003C0696" w:rsidP="003C0696">
      <w:pPr>
        <w:pStyle w:val="SingleTxt"/>
        <w:spacing w:after="0" w:line="120" w:lineRule="exact"/>
        <w:rPr>
          <w:sz w:val="10"/>
          <w:lang w:val="fr-FR"/>
        </w:rPr>
      </w:pPr>
    </w:p>
    <w:p w14:paraId="28355248" w14:textId="77777777" w:rsidR="003C0696" w:rsidRPr="003C0696" w:rsidRDefault="003C0696" w:rsidP="003C0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0696">
        <w:rPr>
          <w:lang w:val="fr-FR"/>
        </w:rPr>
        <w:tab/>
      </w:r>
      <w:r w:rsidRPr="003C0696">
        <w:rPr>
          <w:lang w:val="fr-FR"/>
        </w:rPr>
        <w:tab/>
        <w:t>Groupe de travail sur la violence sexiste contre les femmes</w:t>
      </w:r>
    </w:p>
    <w:p w14:paraId="35D5FFFC" w14:textId="6DF45844" w:rsidR="003C0696" w:rsidRPr="003C0696" w:rsidRDefault="003C0696" w:rsidP="003C0696">
      <w:pPr>
        <w:pStyle w:val="SingleTxt"/>
        <w:spacing w:after="0" w:line="120" w:lineRule="exact"/>
        <w:rPr>
          <w:sz w:val="10"/>
          <w:lang w:val="fr-FR"/>
        </w:rPr>
      </w:pPr>
    </w:p>
    <w:p w14:paraId="20A26814" w14:textId="7B562B98" w:rsidR="003C0696" w:rsidRPr="003C0696" w:rsidRDefault="003C0696" w:rsidP="003C0696">
      <w:pPr>
        <w:pStyle w:val="SingleTxt"/>
        <w:numPr>
          <w:ilvl w:val="0"/>
          <w:numId w:val="6"/>
        </w:numPr>
        <w:spacing w:line="240" w:lineRule="exact"/>
        <w:ind w:left="1267"/>
        <w:rPr>
          <w:lang w:val="fr-FR"/>
        </w:rPr>
      </w:pPr>
      <w:r w:rsidRPr="003C0696">
        <w:rPr>
          <w:lang w:val="fr-FR"/>
        </w:rPr>
        <w:t>Le Groupe de travail s</w:t>
      </w:r>
      <w:r w:rsidR="00265783">
        <w:rPr>
          <w:lang w:val="fr-FR"/>
        </w:rPr>
        <w:t>’</w:t>
      </w:r>
      <w:r w:rsidRPr="003C0696">
        <w:rPr>
          <w:lang w:val="fr-FR"/>
        </w:rPr>
        <w:t>est réuni durant la session.</w:t>
      </w:r>
    </w:p>
    <w:p w14:paraId="117F8B87" w14:textId="22F8F65B" w:rsidR="003C0696" w:rsidRDefault="003C0696" w:rsidP="003C0696">
      <w:pPr>
        <w:pStyle w:val="SingleTxt"/>
        <w:numPr>
          <w:ilvl w:val="0"/>
          <w:numId w:val="6"/>
        </w:numPr>
        <w:spacing w:line="240" w:lineRule="exact"/>
        <w:ind w:left="1267"/>
        <w:rPr>
          <w:lang w:val="fr-FR"/>
        </w:rPr>
      </w:pPr>
      <w:r w:rsidRPr="003C0696">
        <w:rPr>
          <w:lang w:val="fr-FR"/>
        </w:rPr>
        <w:t>Le 18 juillet 2017, le Comité a adopté par consensus</w:t>
      </w:r>
      <w:r w:rsidRPr="00A11B8A">
        <w:rPr>
          <w:vertAlign w:val="superscript"/>
          <w:lang w:val="fr-FR"/>
        </w:rPr>
        <w:footnoteReference w:id="1"/>
      </w:r>
      <w:r w:rsidR="00D83EA9">
        <w:rPr>
          <w:lang w:val="fr-FR"/>
        </w:rPr>
        <w:t xml:space="preserve"> la recommandation générale n</w:t>
      </w:r>
      <w:r w:rsidR="00D83EA9" w:rsidRPr="00D83EA9">
        <w:rPr>
          <w:vertAlign w:val="superscript"/>
          <w:lang w:val="fr-FR"/>
        </w:rPr>
        <w:t>o</w:t>
      </w:r>
      <w:r w:rsidR="00D83EA9">
        <w:rPr>
          <w:lang w:val="fr-FR"/>
        </w:rPr>
        <w:t> </w:t>
      </w:r>
      <w:r w:rsidRPr="003C0696">
        <w:rPr>
          <w:lang w:val="fr-FR"/>
        </w:rPr>
        <w:t>35 (2017) sur la violence sexiste à l</w:t>
      </w:r>
      <w:r w:rsidR="00265783">
        <w:rPr>
          <w:lang w:val="fr-FR"/>
        </w:rPr>
        <w:t>’</w:t>
      </w:r>
      <w:r w:rsidRPr="003C0696">
        <w:rPr>
          <w:lang w:val="fr-FR"/>
        </w:rPr>
        <w:t>égard des femmes, portant actualisation d</w:t>
      </w:r>
      <w:r w:rsidR="00D83EA9">
        <w:rPr>
          <w:lang w:val="fr-FR"/>
        </w:rPr>
        <w:t>e la recommandation générale n</w:t>
      </w:r>
      <w:r w:rsidR="00D83EA9" w:rsidRPr="00D83EA9">
        <w:rPr>
          <w:vertAlign w:val="superscript"/>
          <w:lang w:val="fr-FR"/>
        </w:rPr>
        <w:t>o</w:t>
      </w:r>
      <w:r w:rsidR="00D83EA9">
        <w:rPr>
          <w:lang w:val="fr-FR"/>
        </w:rPr>
        <w:t> </w:t>
      </w:r>
      <w:r w:rsidRPr="003C0696">
        <w:rPr>
          <w:lang w:val="fr-FR"/>
        </w:rPr>
        <w:t>19 (</w:t>
      </w:r>
      <w:hyperlink r:id="rId48" w:history="1">
        <w:r w:rsidRPr="008E2674">
          <w:rPr>
            <w:rStyle w:val="Hyperlink"/>
            <w:lang w:val="fr-FR"/>
          </w:rPr>
          <w:t>CEDAW/C/GC/35</w:t>
        </w:r>
      </w:hyperlink>
      <w:r w:rsidRPr="003C0696">
        <w:rPr>
          <w:lang w:val="fr-FR"/>
        </w:rPr>
        <w:t>), conformément à l</w:t>
      </w:r>
      <w:r w:rsidR="00265783">
        <w:rPr>
          <w:lang w:val="fr-FR"/>
        </w:rPr>
        <w:t>’</w:t>
      </w:r>
      <w:r w:rsidRPr="003C0696">
        <w:rPr>
          <w:lang w:val="fr-FR"/>
        </w:rPr>
        <w:t>article 31 de son Règlement intérieur. La Rapporteuse spéciale sur la violence contre les femmes, ses causes et ses conséquences était présente à la réunion.</w:t>
      </w:r>
    </w:p>
    <w:p w14:paraId="0FD985EE" w14:textId="7AEC3DE2" w:rsidR="003C0696" w:rsidRPr="003C0696" w:rsidRDefault="003C0696" w:rsidP="003C0696">
      <w:pPr>
        <w:pStyle w:val="SingleTxt"/>
        <w:spacing w:after="0" w:line="120" w:lineRule="exact"/>
        <w:rPr>
          <w:sz w:val="10"/>
          <w:lang w:val="fr-FR"/>
        </w:rPr>
      </w:pPr>
    </w:p>
    <w:p w14:paraId="65187FB9" w14:textId="563E213D" w:rsidR="003C0696" w:rsidRDefault="003C0696" w:rsidP="003C0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0696">
        <w:rPr>
          <w:lang w:val="fr-FR"/>
        </w:rPr>
        <w:tab/>
      </w:r>
      <w:r w:rsidRPr="003C0696">
        <w:rPr>
          <w:lang w:val="fr-FR"/>
        </w:rPr>
        <w:tab/>
        <w:t xml:space="preserve">Équipe spéciale sur les femmes et la prévention des conflits et sur les femmes </w:t>
      </w:r>
      <w:r>
        <w:rPr>
          <w:lang w:val="fr-FR"/>
        </w:rPr>
        <w:br/>
      </w:r>
      <w:r w:rsidRPr="003C0696">
        <w:rPr>
          <w:lang w:val="fr-FR"/>
        </w:rPr>
        <w:t>en temps de conflit et après un conflit</w:t>
      </w:r>
    </w:p>
    <w:p w14:paraId="288DF229" w14:textId="2992DD10" w:rsidR="003C0696" w:rsidRPr="003C0696" w:rsidRDefault="003C0696" w:rsidP="003C0696">
      <w:pPr>
        <w:pStyle w:val="SingleTxt"/>
        <w:spacing w:after="0" w:line="120" w:lineRule="exact"/>
        <w:rPr>
          <w:sz w:val="10"/>
          <w:lang w:val="fr-FR"/>
        </w:rPr>
      </w:pPr>
    </w:p>
    <w:p w14:paraId="77E8D98F" w14:textId="7AC70F77" w:rsidR="003C0696" w:rsidRDefault="003C0696" w:rsidP="003C0696">
      <w:pPr>
        <w:pStyle w:val="SingleTxt"/>
        <w:numPr>
          <w:ilvl w:val="0"/>
          <w:numId w:val="6"/>
        </w:numPr>
        <w:spacing w:line="240" w:lineRule="exact"/>
        <w:ind w:left="1267"/>
        <w:rPr>
          <w:lang w:val="fr-FR"/>
        </w:rPr>
      </w:pPr>
      <w:r w:rsidRPr="003C0696">
        <w:rPr>
          <w:lang w:val="fr-FR"/>
        </w:rPr>
        <w:t>L</w:t>
      </w:r>
      <w:r w:rsidR="00265783">
        <w:rPr>
          <w:lang w:val="fr-FR"/>
        </w:rPr>
        <w:t>’</w:t>
      </w:r>
      <w:r w:rsidRPr="003C0696">
        <w:rPr>
          <w:lang w:val="fr-FR"/>
        </w:rPr>
        <w:t>Équipe spéciale s</w:t>
      </w:r>
      <w:r w:rsidR="00265783">
        <w:rPr>
          <w:lang w:val="fr-FR"/>
        </w:rPr>
        <w:t>’</w:t>
      </w:r>
      <w:r w:rsidRPr="003C0696">
        <w:rPr>
          <w:lang w:val="fr-FR"/>
        </w:rPr>
        <w:t>est réunie durant la session.</w:t>
      </w:r>
    </w:p>
    <w:p w14:paraId="786A2D95" w14:textId="44C7099E" w:rsidR="003C0696" w:rsidRDefault="003C0696" w:rsidP="003C0696">
      <w:pPr>
        <w:pStyle w:val="SingleTxt"/>
        <w:spacing w:line="240" w:lineRule="exact"/>
        <w:rPr>
          <w:lang w:val="fr-FR"/>
        </w:rPr>
      </w:pPr>
    </w:p>
    <w:p w14:paraId="22C8D023" w14:textId="646916E6" w:rsidR="003C0696" w:rsidRDefault="003C0696">
      <w:pPr>
        <w:spacing w:after="200" w:line="276" w:lineRule="auto"/>
        <w:rPr>
          <w:lang w:val="fr-FR"/>
        </w:rPr>
      </w:pPr>
      <w:r>
        <w:rPr>
          <w:lang w:val="fr-FR"/>
        </w:rPr>
        <w:br w:type="page"/>
      </w:r>
    </w:p>
    <w:p w14:paraId="3AEF3EBB" w14:textId="342E145A" w:rsidR="003C0696" w:rsidRPr="009C4E47" w:rsidRDefault="003C0696" w:rsidP="003C0696">
      <w:pPr>
        <w:pStyle w:val="HCh0"/>
        <w:ind w:left="1267" w:right="1260" w:hanging="1267"/>
        <w:rPr>
          <w:lang w:val="fr-FR"/>
        </w:rPr>
      </w:pPr>
      <w:r w:rsidRPr="009C4E47">
        <w:rPr>
          <w:lang w:val="fr-FR"/>
        </w:rPr>
        <w:lastRenderedPageBreak/>
        <w:t>Chapitre VIII</w:t>
      </w:r>
    </w:p>
    <w:p w14:paraId="07466879" w14:textId="67BF7658" w:rsidR="003C0696" w:rsidRPr="009C4E47" w:rsidRDefault="003C0696" w:rsidP="003C0696">
      <w:pPr>
        <w:pStyle w:val="HCh0"/>
        <w:ind w:left="1267" w:right="1260" w:hanging="1267"/>
        <w:rPr>
          <w:lang w:val="fr-FR"/>
        </w:rPr>
      </w:pPr>
      <w:r w:rsidRPr="009C4E47">
        <w:rPr>
          <w:lang w:val="fr-FR"/>
        </w:rPr>
        <w:tab/>
      </w:r>
      <w:r w:rsidRPr="009C4E47">
        <w:rPr>
          <w:lang w:val="fr-FR"/>
        </w:rPr>
        <w:tab/>
        <w:t>Ordre du jour provisoire de la soixante-huitième session</w:t>
      </w:r>
    </w:p>
    <w:p w14:paraId="372BF705" w14:textId="46BEDA28" w:rsidR="003C0696" w:rsidRPr="009C4E47" w:rsidRDefault="003C0696" w:rsidP="003C0696">
      <w:pPr>
        <w:pStyle w:val="SingleTxt"/>
        <w:spacing w:after="0" w:line="120" w:lineRule="exact"/>
        <w:rPr>
          <w:sz w:val="10"/>
          <w:lang w:val="fr-FR"/>
        </w:rPr>
      </w:pPr>
    </w:p>
    <w:p w14:paraId="22C41875" w14:textId="7E0E1258" w:rsidR="003C0696" w:rsidRPr="009C4E47" w:rsidRDefault="003C0696" w:rsidP="003C0696">
      <w:pPr>
        <w:pStyle w:val="SingleTxt"/>
        <w:spacing w:after="0" w:line="120" w:lineRule="exact"/>
        <w:rPr>
          <w:sz w:val="10"/>
          <w:lang w:val="fr-FR"/>
        </w:rPr>
      </w:pPr>
    </w:p>
    <w:p w14:paraId="3322A9F2" w14:textId="144CF318" w:rsidR="003C0696" w:rsidRDefault="003C0696" w:rsidP="003C0696">
      <w:pPr>
        <w:pStyle w:val="SingleTxt"/>
        <w:numPr>
          <w:ilvl w:val="0"/>
          <w:numId w:val="6"/>
        </w:numPr>
        <w:spacing w:line="240" w:lineRule="exact"/>
        <w:ind w:left="1267"/>
        <w:rPr>
          <w:lang w:val="fr-FR"/>
        </w:rPr>
      </w:pPr>
      <w:r w:rsidRPr="003C0696">
        <w:rPr>
          <w:lang w:val="fr-FR"/>
        </w:rPr>
        <w:t>À sa 1529</w:t>
      </w:r>
      <w:r w:rsidRPr="003C0696">
        <w:rPr>
          <w:vertAlign w:val="superscript"/>
          <w:lang w:val="fr-FR"/>
        </w:rPr>
        <w:t>e</w:t>
      </w:r>
      <w:r w:rsidRPr="003C0696">
        <w:rPr>
          <w:lang w:val="fr-FR"/>
        </w:rPr>
        <w:t xml:space="preserve"> séance, le 21 juillet 2017, le Comité a examiné et approuvé le projet d</w:t>
      </w:r>
      <w:r w:rsidR="00265783">
        <w:rPr>
          <w:lang w:val="fr-FR"/>
        </w:rPr>
        <w:t>’</w:t>
      </w:r>
      <w:r w:rsidRPr="003C0696">
        <w:rPr>
          <w:lang w:val="fr-FR"/>
        </w:rPr>
        <w:t>ordre du jour provisoire de sa soixante-huitième session.</w:t>
      </w:r>
    </w:p>
    <w:p w14:paraId="29C40070" w14:textId="0D35F109" w:rsidR="003C0696" w:rsidRDefault="003C0696">
      <w:pPr>
        <w:spacing w:after="200" w:line="276" w:lineRule="auto"/>
        <w:rPr>
          <w:lang w:val="fr-FR"/>
        </w:rPr>
      </w:pPr>
      <w:r>
        <w:rPr>
          <w:lang w:val="fr-FR"/>
        </w:rPr>
        <w:br w:type="page"/>
      </w:r>
    </w:p>
    <w:p w14:paraId="53DE8766" w14:textId="1B997F0A" w:rsidR="003C0696" w:rsidRPr="003C0696" w:rsidRDefault="003C0696" w:rsidP="003C0696">
      <w:pPr>
        <w:pStyle w:val="HCh0"/>
        <w:ind w:left="1267" w:right="1260" w:hanging="1267"/>
      </w:pPr>
      <w:r w:rsidRPr="003C0696">
        <w:lastRenderedPageBreak/>
        <w:t>Chapitre IX</w:t>
      </w:r>
    </w:p>
    <w:p w14:paraId="1AFD2FC5" w14:textId="0CD3E774" w:rsidR="003C0696" w:rsidRDefault="003C0696" w:rsidP="003C0696">
      <w:pPr>
        <w:pStyle w:val="HCh0"/>
        <w:ind w:left="1267" w:right="1260" w:hanging="1267"/>
      </w:pPr>
      <w:r w:rsidRPr="003C0696">
        <w:tab/>
      </w:r>
      <w:r w:rsidRPr="003C0696">
        <w:tab/>
        <w:t>Adoption du rapport</w:t>
      </w:r>
    </w:p>
    <w:p w14:paraId="38630304" w14:textId="7B17E6B3" w:rsidR="003C0696" w:rsidRPr="003C0696" w:rsidRDefault="003C0696" w:rsidP="003C0696">
      <w:pPr>
        <w:pStyle w:val="SingleTxt"/>
        <w:spacing w:after="0" w:line="120" w:lineRule="exact"/>
        <w:rPr>
          <w:sz w:val="10"/>
          <w:lang w:val="en-GB"/>
        </w:rPr>
      </w:pPr>
    </w:p>
    <w:p w14:paraId="5EFA49C7" w14:textId="2F42168E" w:rsidR="003C0696" w:rsidRPr="003C0696" w:rsidRDefault="003C0696" w:rsidP="003C0696">
      <w:pPr>
        <w:pStyle w:val="SingleTxt"/>
        <w:spacing w:after="0" w:line="120" w:lineRule="exact"/>
        <w:rPr>
          <w:sz w:val="10"/>
          <w:lang w:val="en-GB"/>
        </w:rPr>
      </w:pPr>
    </w:p>
    <w:p w14:paraId="7E1E58A0" w14:textId="69C60390" w:rsidR="003C0696" w:rsidRDefault="003C0696" w:rsidP="003C0696">
      <w:pPr>
        <w:pStyle w:val="SingleTxt"/>
        <w:numPr>
          <w:ilvl w:val="0"/>
          <w:numId w:val="6"/>
        </w:numPr>
        <w:spacing w:line="240" w:lineRule="exact"/>
        <w:ind w:left="1267"/>
        <w:rPr>
          <w:lang w:val="fr-FR"/>
        </w:rPr>
      </w:pPr>
      <w:r w:rsidRPr="003C0696">
        <w:rPr>
          <w:lang w:val="fr-FR"/>
        </w:rPr>
        <w:t>À sa 1529</w:t>
      </w:r>
      <w:r w:rsidRPr="003C0696">
        <w:rPr>
          <w:vertAlign w:val="superscript"/>
          <w:lang w:val="fr-FR"/>
        </w:rPr>
        <w:t>e</w:t>
      </w:r>
      <w:r w:rsidRPr="003C0696">
        <w:rPr>
          <w:lang w:val="fr-FR"/>
        </w:rPr>
        <w:t xml:space="preserve"> séance, le 21 juillet 2017, le Comité a examiné le projet de rapport sur les travaux de sa soixante-septième session et l</w:t>
      </w:r>
      <w:r w:rsidR="00265783">
        <w:rPr>
          <w:lang w:val="fr-FR"/>
        </w:rPr>
        <w:t>’</w:t>
      </w:r>
      <w:r w:rsidRPr="003C0696">
        <w:rPr>
          <w:lang w:val="fr-FR"/>
        </w:rPr>
        <w:t>a adopté tel que modifié oralement.</w:t>
      </w:r>
    </w:p>
    <w:p w14:paraId="6C80A2C5" w14:textId="12F1F4F5" w:rsidR="003C0696" w:rsidRDefault="003C0696" w:rsidP="003C0696">
      <w:pPr>
        <w:pStyle w:val="SingleTxt"/>
        <w:spacing w:line="240" w:lineRule="exact"/>
        <w:rPr>
          <w:lang w:val="fr-FR"/>
        </w:rPr>
      </w:pPr>
    </w:p>
    <w:p w14:paraId="674F264E" w14:textId="555993B0" w:rsidR="003C0696" w:rsidRDefault="003C0696">
      <w:pPr>
        <w:spacing w:after="200" w:line="276" w:lineRule="auto"/>
        <w:rPr>
          <w:lang w:val="fr-FR"/>
        </w:rPr>
      </w:pPr>
      <w:r>
        <w:rPr>
          <w:lang w:val="fr-FR"/>
        </w:rPr>
        <w:br w:type="page"/>
      </w:r>
    </w:p>
    <w:p w14:paraId="6D3AFDF0" w14:textId="65CEEAB4" w:rsidR="003C0696" w:rsidRPr="009C4E47" w:rsidRDefault="003C0696" w:rsidP="003C0696">
      <w:pPr>
        <w:pStyle w:val="HCh0"/>
        <w:ind w:left="1267" w:right="1260" w:hanging="1267"/>
        <w:rPr>
          <w:lang w:val="fr-FR"/>
        </w:rPr>
      </w:pPr>
      <w:r w:rsidRPr="009C4E47">
        <w:rPr>
          <w:lang w:val="fr-FR"/>
        </w:rPr>
        <w:lastRenderedPageBreak/>
        <w:t>Annexe</w:t>
      </w:r>
    </w:p>
    <w:p w14:paraId="3007A86C" w14:textId="4EC1E5C3" w:rsidR="00F85F3B" w:rsidRPr="009C4E47" w:rsidRDefault="003C0696" w:rsidP="003C0696">
      <w:pPr>
        <w:pStyle w:val="HCh0"/>
        <w:ind w:left="1267" w:right="1260" w:hanging="1267"/>
        <w:rPr>
          <w:lang w:val="fr-FR"/>
        </w:rPr>
      </w:pPr>
      <w:r w:rsidRPr="009C4E47">
        <w:rPr>
          <w:lang w:val="fr-FR"/>
        </w:rPr>
        <w:tab/>
      </w:r>
      <w:r w:rsidRPr="009C4E47">
        <w:rPr>
          <w:lang w:val="fr-FR"/>
        </w:rPr>
        <w:tab/>
        <w:t>Liste des docum</w:t>
      </w:r>
      <w:r w:rsidR="00F413E2">
        <w:rPr>
          <w:lang w:val="fr-FR"/>
        </w:rPr>
        <w:t>ents dont le Comité était saisi</w:t>
      </w:r>
      <w:r w:rsidR="00F413E2">
        <w:rPr>
          <w:lang w:val="fr-FR"/>
        </w:rPr>
        <w:br/>
      </w:r>
      <w:r w:rsidRPr="009C4E47">
        <w:rPr>
          <w:lang w:val="fr-FR"/>
        </w:rPr>
        <w:t>à sa soixante-septième session</w:t>
      </w:r>
    </w:p>
    <w:p w14:paraId="18C9188C" w14:textId="371A2B4B" w:rsidR="003C0696" w:rsidRPr="009C4E47" w:rsidRDefault="003C0696" w:rsidP="003C0696">
      <w:pPr>
        <w:pStyle w:val="SingleTxt"/>
        <w:spacing w:after="0" w:line="120" w:lineRule="exact"/>
        <w:rPr>
          <w:sz w:val="10"/>
          <w:lang w:val="fr-FR"/>
        </w:rPr>
      </w:pPr>
    </w:p>
    <w:p w14:paraId="01FBB3EB" w14:textId="324BBFD2" w:rsidR="003C0696" w:rsidRPr="009C4E47" w:rsidRDefault="003C0696" w:rsidP="003C0696">
      <w:pPr>
        <w:pStyle w:val="SingleTxt"/>
        <w:spacing w:after="0" w:line="120" w:lineRule="exact"/>
        <w:rPr>
          <w:sz w:val="10"/>
          <w:lang w:val="fr-FR"/>
        </w:rPr>
      </w:pPr>
    </w:p>
    <w:tbl>
      <w:tblPr>
        <w:tblStyle w:val="TableGrid"/>
        <w:tblW w:w="7208" w:type="dxa"/>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1"/>
        <w:gridCol w:w="4957"/>
      </w:tblGrid>
      <w:tr w:rsidR="000C604D" w:rsidRPr="000C604D" w14:paraId="450865DA" w14:textId="77777777" w:rsidTr="00D83EA9">
        <w:trPr>
          <w:cantSplit/>
          <w:tblHeader/>
        </w:trPr>
        <w:tc>
          <w:tcPr>
            <w:tcW w:w="2251" w:type="dxa"/>
            <w:tcBorders>
              <w:top w:val="single" w:sz="4" w:space="0" w:color="auto"/>
              <w:bottom w:val="single" w:sz="12" w:space="0" w:color="auto"/>
            </w:tcBorders>
            <w:shd w:val="clear" w:color="auto" w:fill="auto"/>
            <w:vAlign w:val="bottom"/>
          </w:tcPr>
          <w:p w14:paraId="307997C6" w14:textId="77777777" w:rsidR="000C604D" w:rsidRPr="000C604D" w:rsidRDefault="000C604D" w:rsidP="000C604D">
            <w:pPr>
              <w:suppressAutoHyphens/>
              <w:spacing w:before="81" w:after="81" w:line="160" w:lineRule="exact"/>
              <w:ind w:right="40"/>
              <w:rPr>
                <w:i/>
                <w:spacing w:val="0"/>
                <w:w w:val="100"/>
                <w:kern w:val="0"/>
                <w:sz w:val="14"/>
              </w:rPr>
            </w:pPr>
            <w:r w:rsidRPr="000C604D">
              <w:rPr>
                <w:i/>
                <w:iCs/>
                <w:sz w:val="14"/>
              </w:rPr>
              <w:t>Cote du document</w:t>
            </w:r>
          </w:p>
        </w:tc>
        <w:tc>
          <w:tcPr>
            <w:tcW w:w="4957" w:type="dxa"/>
            <w:tcBorders>
              <w:top w:val="single" w:sz="4" w:space="0" w:color="auto"/>
              <w:bottom w:val="single" w:sz="12" w:space="0" w:color="auto"/>
            </w:tcBorders>
            <w:shd w:val="clear" w:color="auto" w:fill="auto"/>
            <w:vAlign w:val="bottom"/>
          </w:tcPr>
          <w:p w14:paraId="43C0584D" w14:textId="77777777" w:rsidR="000C604D" w:rsidRPr="000C604D" w:rsidRDefault="000C604D" w:rsidP="000C604D">
            <w:pPr>
              <w:suppressAutoHyphens/>
              <w:spacing w:before="81" w:after="81" w:line="160" w:lineRule="exact"/>
              <w:ind w:left="144" w:right="43"/>
              <w:rPr>
                <w:i/>
                <w:spacing w:val="0"/>
                <w:w w:val="100"/>
                <w:kern w:val="0"/>
                <w:sz w:val="14"/>
              </w:rPr>
            </w:pPr>
            <w:r w:rsidRPr="000C604D">
              <w:rPr>
                <w:i/>
                <w:iCs/>
                <w:sz w:val="14"/>
              </w:rPr>
              <w:t>Titre ou description</w:t>
            </w:r>
          </w:p>
        </w:tc>
      </w:tr>
      <w:tr w:rsidR="000C604D" w:rsidRPr="000C604D" w14:paraId="5D7381E8" w14:textId="77777777" w:rsidTr="00D83EA9">
        <w:trPr>
          <w:cantSplit/>
          <w:trHeight w:hRule="exact" w:val="113"/>
          <w:tblHeader/>
        </w:trPr>
        <w:tc>
          <w:tcPr>
            <w:tcW w:w="2251" w:type="dxa"/>
            <w:tcBorders>
              <w:top w:val="single" w:sz="12" w:space="0" w:color="auto"/>
            </w:tcBorders>
            <w:shd w:val="clear" w:color="auto" w:fill="auto"/>
            <w:vAlign w:val="bottom"/>
          </w:tcPr>
          <w:p w14:paraId="6E383AE7" w14:textId="77777777" w:rsidR="000C604D" w:rsidRPr="000C604D" w:rsidRDefault="000C604D" w:rsidP="000C604D">
            <w:pPr>
              <w:suppressAutoHyphens/>
              <w:spacing w:before="40" w:after="80"/>
              <w:ind w:right="40"/>
              <w:rPr>
                <w:spacing w:val="0"/>
                <w:w w:val="100"/>
                <w:kern w:val="0"/>
              </w:rPr>
            </w:pPr>
          </w:p>
        </w:tc>
        <w:tc>
          <w:tcPr>
            <w:tcW w:w="4957" w:type="dxa"/>
            <w:tcBorders>
              <w:top w:val="single" w:sz="12" w:space="0" w:color="auto"/>
            </w:tcBorders>
            <w:shd w:val="clear" w:color="auto" w:fill="auto"/>
            <w:vAlign w:val="bottom"/>
          </w:tcPr>
          <w:p w14:paraId="7E38A088" w14:textId="77777777" w:rsidR="000C604D" w:rsidRPr="000C604D" w:rsidRDefault="000C604D" w:rsidP="000C604D">
            <w:pPr>
              <w:suppressAutoHyphens/>
              <w:spacing w:before="40" w:after="80"/>
              <w:ind w:left="144" w:right="43"/>
              <w:rPr>
                <w:spacing w:val="0"/>
                <w:w w:val="100"/>
                <w:kern w:val="0"/>
              </w:rPr>
            </w:pPr>
          </w:p>
        </w:tc>
      </w:tr>
      <w:tr w:rsidR="000C604D" w:rsidRPr="000C604D" w14:paraId="05BC4E5A" w14:textId="77777777" w:rsidTr="00D83EA9">
        <w:trPr>
          <w:cantSplit/>
        </w:trPr>
        <w:tc>
          <w:tcPr>
            <w:tcW w:w="2251" w:type="dxa"/>
            <w:shd w:val="clear" w:color="auto" w:fill="auto"/>
          </w:tcPr>
          <w:p w14:paraId="334B8EE7" w14:textId="440FBBE1" w:rsidR="000C604D" w:rsidRPr="009D6ABA" w:rsidRDefault="002D427A" w:rsidP="000C604D">
            <w:pPr>
              <w:tabs>
                <w:tab w:val="left" w:pos="288"/>
                <w:tab w:val="left" w:pos="576"/>
                <w:tab w:val="left" w:pos="864"/>
                <w:tab w:val="left" w:pos="1152"/>
              </w:tabs>
              <w:suppressAutoHyphens/>
              <w:spacing w:before="40" w:after="80"/>
              <w:ind w:right="40"/>
              <w:rPr>
                <w:color w:val="0000FF"/>
                <w:spacing w:val="0"/>
                <w:w w:val="100"/>
                <w:kern w:val="0"/>
              </w:rPr>
            </w:pPr>
            <w:hyperlink r:id="rId49" w:history="1">
              <w:r w:rsidR="000C604D" w:rsidRPr="009D6ABA">
                <w:rPr>
                  <w:rStyle w:val="Hyperlink"/>
                </w:rPr>
                <w:t>CEDAW/C/67/1</w:t>
              </w:r>
            </w:hyperlink>
          </w:p>
        </w:tc>
        <w:tc>
          <w:tcPr>
            <w:tcW w:w="4957" w:type="dxa"/>
            <w:shd w:val="clear" w:color="auto" w:fill="auto"/>
          </w:tcPr>
          <w:p w14:paraId="74B603CA" w14:textId="77777777" w:rsidR="000C604D" w:rsidRPr="000C604D" w:rsidRDefault="000C604D" w:rsidP="000C604D">
            <w:pPr>
              <w:tabs>
                <w:tab w:val="left" w:pos="288"/>
                <w:tab w:val="left" w:pos="576"/>
                <w:tab w:val="left" w:pos="864"/>
                <w:tab w:val="left" w:pos="1152"/>
              </w:tabs>
              <w:suppressAutoHyphens/>
              <w:spacing w:before="40" w:after="80"/>
              <w:ind w:left="144" w:right="43"/>
              <w:rPr>
                <w:spacing w:val="0"/>
                <w:w w:val="100"/>
                <w:kern w:val="0"/>
              </w:rPr>
            </w:pPr>
            <w:r w:rsidRPr="000C604D">
              <w:t>Ordre du jour provisoire annoté</w:t>
            </w:r>
          </w:p>
        </w:tc>
      </w:tr>
      <w:tr w:rsidR="000C604D" w:rsidRPr="000C604D" w14:paraId="6E751DE4" w14:textId="77777777" w:rsidTr="00D83EA9">
        <w:trPr>
          <w:cantSplit/>
        </w:trPr>
        <w:tc>
          <w:tcPr>
            <w:tcW w:w="2251" w:type="dxa"/>
            <w:shd w:val="clear" w:color="auto" w:fill="auto"/>
          </w:tcPr>
          <w:p w14:paraId="241690D0" w14:textId="2AA770C5" w:rsidR="000C604D" w:rsidRPr="000C604D" w:rsidRDefault="002D427A" w:rsidP="000C604D">
            <w:pPr>
              <w:tabs>
                <w:tab w:val="left" w:pos="288"/>
                <w:tab w:val="left" w:pos="576"/>
                <w:tab w:val="left" w:pos="864"/>
                <w:tab w:val="left" w:pos="1152"/>
              </w:tabs>
              <w:suppressAutoHyphens/>
              <w:spacing w:before="40" w:after="80"/>
              <w:ind w:right="40"/>
              <w:rPr>
                <w:spacing w:val="0"/>
                <w:w w:val="100"/>
                <w:kern w:val="0"/>
              </w:rPr>
            </w:pPr>
            <w:hyperlink r:id="rId50" w:history="1">
              <w:r w:rsidR="000C604D" w:rsidRPr="007753FC">
                <w:rPr>
                  <w:rStyle w:val="Hyperlink"/>
                </w:rPr>
                <w:t>CEDAW/C/67/2</w:t>
              </w:r>
            </w:hyperlink>
          </w:p>
        </w:tc>
        <w:tc>
          <w:tcPr>
            <w:tcW w:w="4957" w:type="dxa"/>
            <w:shd w:val="clear" w:color="auto" w:fill="auto"/>
          </w:tcPr>
          <w:p w14:paraId="10BE454C" w14:textId="42DEC339" w:rsidR="000C604D" w:rsidRPr="000C604D" w:rsidRDefault="000C604D" w:rsidP="000C604D">
            <w:pPr>
              <w:tabs>
                <w:tab w:val="left" w:pos="288"/>
                <w:tab w:val="left" w:pos="576"/>
                <w:tab w:val="left" w:pos="864"/>
                <w:tab w:val="left" w:pos="1152"/>
              </w:tabs>
              <w:suppressAutoHyphens/>
              <w:spacing w:before="40" w:after="80"/>
              <w:ind w:left="144" w:right="43"/>
              <w:rPr>
                <w:spacing w:val="0"/>
                <w:w w:val="100"/>
                <w:kern w:val="0"/>
              </w:rPr>
            </w:pPr>
            <w:r w:rsidRPr="000C604D">
              <w:t>Rapport de l</w:t>
            </w:r>
            <w:r w:rsidR="00265783">
              <w:t>’</w:t>
            </w:r>
            <w:r w:rsidRPr="000C604D">
              <w:t>Organisation des Nations Unies pour l</w:t>
            </w:r>
            <w:r w:rsidR="00265783">
              <w:t>’</w:t>
            </w:r>
            <w:r w:rsidRPr="000C604D">
              <w:t>éducation, la science et la culture</w:t>
            </w:r>
          </w:p>
        </w:tc>
      </w:tr>
      <w:tr w:rsidR="000C604D" w:rsidRPr="000C604D" w14:paraId="57655832" w14:textId="77777777" w:rsidTr="00D83EA9">
        <w:trPr>
          <w:cantSplit/>
        </w:trPr>
        <w:tc>
          <w:tcPr>
            <w:tcW w:w="2251" w:type="dxa"/>
            <w:shd w:val="clear" w:color="auto" w:fill="auto"/>
          </w:tcPr>
          <w:p w14:paraId="1E08B741" w14:textId="749DFAB9" w:rsidR="000C604D" w:rsidRPr="000C604D" w:rsidRDefault="002D427A" w:rsidP="000C604D">
            <w:pPr>
              <w:tabs>
                <w:tab w:val="left" w:pos="288"/>
                <w:tab w:val="left" w:pos="576"/>
                <w:tab w:val="left" w:pos="864"/>
                <w:tab w:val="left" w:pos="1152"/>
              </w:tabs>
              <w:suppressAutoHyphens/>
              <w:spacing w:before="40" w:after="80"/>
              <w:ind w:right="40"/>
              <w:rPr>
                <w:spacing w:val="0"/>
                <w:w w:val="100"/>
                <w:kern w:val="0"/>
              </w:rPr>
            </w:pPr>
            <w:hyperlink r:id="rId51" w:history="1">
              <w:r w:rsidR="000C604D" w:rsidRPr="008E2674">
                <w:rPr>
                  <w:rStyle w:val="Hyperlink"/>
                </w:rPr>
                <w:t>CEDAW/C/67/3</w:t>
              </w:r>
            </w:hyperlink>
          </w:p>
        </w:tc>
        <w:tc>
          <w:tcPr>
            <w:tcW w:w="4957" w:type="dxa"/>
            <w:shd w:val="clear" w:color="auto" w:fill="auto"/>
          </w:tcPr>
          <w:p w14:paraId="4F6B032B" w14:textId="14A2A441" w:rsidR="000C604D" w:rsidRPr="000C604D" w:rsidRDefault="000C604D" w:rsidP="000C604D">
            <w:pPr>
              <w:tabs>
                <w:tab w:val="left" w:pos="288"/>
                <w:tab w:val="left" w:pos="576"/>
                <w:tab w:val="left" w:pos="864"/>
                <w:tab w:val="left" w:pos="1152"/>
              </w:tabs>
              <w:suppressAutoHyphens/>
              <w:spacing w:before="40" w:after="80"/>
              <w:ind w:left="144" w:right="43"/>
              <w:rPr>
                <w:spacing w:val="0"/>
                <w:w w:val="100"/>
                <w:kern w:val="0"/>
              </w:rPr>
            </w:pPr>
            <w:r w:rsidRPr="000C604D">
              <w:t>Rapport de l</w:t>
            </w:r>
            <w:r w:rsidR="00265783">
              <w:t>’</w:t>
            </w:r>
            <w:r w:rsidRPr="000C604D">
              <w:t>Organisation internationale du Travail</w:t>
            </w:r>
          </w:p>
        </w:tc>
      </w:tr>
      <w:tr w:rsidR="000C604D" w:rsidRPr="000C604D" w14:paraId="2B7F6C21" w14:textId="77777777" w:rsidTr="00D83EA9">
        <w:trPr>
          <w:cantSplit/>
        </w:trPr>
        <w:tc>
          <w:tcPr>
            <w:tcW w:w="2251" w:type="dxa"/>
            <w:shd w:val="clear" w:color="auto" w:fill="auto"/>
          </w:tcPr>
          <w:p w14:paraId="65F54C41" w14:textId="77777777" w:rsidR="000C604D" w:rsidRPr="000C604D" w:rsidRDefault="000C604D" w:rsidP="000C604D">
            <w:pPr>
              <w:tabs>
                <w:tab w:val="left" w:pos="288"/>
                <w:tab w:val="left" w:pos="576"/>
                <w:tab w:val="left" w:pos="864"/>
                <w:tab w:val="left" w:pos="1152"/>
              </w:tabs>
              <w:suppressAutoHyphens/>
              <w:spacing w:before="40" w:after="80"/>
              <w:ind w:right="40"/>
              <w:rPr>
                <w:b/>
                <w:spacing w:val="0"/>
                <w:w w:val="100"/>
                <w:kern w:val="0"/>
              </w:rPr>
            </w:pPr>
            <w:r w:rsidRPr="000C604D">
              <w:rPr>
                <w:b/>
                <w:bCs/>
              </w:rPr>
              <w:t>Rapports des États parties</w:t>
            </w:r>
          </w:p>
        </w:tc>
        <w:tc>
          <w:tcPr>
            <w:tcW w:w="4957" w:type="dxa"/>
            <w:shd w:val="clear" w:color="auto" w:fill="auto"/>
          </w:tcPr>
          <w:p w14:paraId="0E7B4E81" w14:textId="77777777" w:rsidR="000C604D" w:rsidRPr="000C604D" w:rsidRDefault="000C604D" w:rsidP="000C604D">
            <w:pPr>
              <w:tabs>
                <w:tab w:val="left" w:pos="288"/>
                <w:tab w:val="left" w:pos="576"/>
                <w:tab w:val="left" w:pos="864"/>
                <w:tab w:val="left" w:pos="1152"/>
              </w:tabs>
              <w:suppressAutoHyphens/>
              <w:spacing w:before="40" w:after="80"/>
              <w:ind w:left="144" w:right="43"/>
              <w:rPr>
                <w:spacing w:val="0"/>
                <w:w w:val="100"/>
                <w:kern w:val="0"/>
              </w:rPr>
            </w:pPr>
          </w:p>
        </w:tc>
      </w:tr>
      <w:tr w:rsidR="000C604D" w:rsidRPr="000C604D" w14:paraId="65ECB09B" w14:textId="77777777" w:rsidTr="00D83EA9">
        <w:trPr>
          <w:cantSplit/>
        </w:trPr>
        <w:tc>
          <w:tcPr>
            <w:tcW w:w="2251" w:type="dxa"/>
            <w:shd w:val="clear" w:color="auto" w:fill="auto"/>
          </w:tcPr>
          <w:p w14:paraId="5263E97B" w14:textId="6BA87E25" w:rsidR="000C604D" w:rsidRPr="000C604D" w:rsidRDefault="002D427A" w:rsidP="000C604D">
            <w:pPr>
              <w:tabs>
                <w:tab w:val="left" w:pos="288"/>
                <w:tab w:val="left" w:pos="576"/>
                <w:tab w:val="left" w:pos="864"/>
                <w:tab w:val="left" w:pos="1152"/>
              </w:tabs>
              <w:suppressAutoHyphens/>
              <w:spacing w:before="40" w:after="80"/>
              <w:ind w:right="40"/>
              <w:rPr>
                <w:spacing w:val="0"/>
                <w:w w:val="100"/>
                <w:kern w:val="0"/>
              </w:rPr>
            </w:pPr>
            <w:hyperlink r:id="rId52" w:history="1">
              <w:r w:rsidR="000C604D" w:rsidRPr="00025ED9">
                <w:rPr>
                  <w:rStyle w:val="Hyperlink"/>
                </w:rPr>
                <w:t>CEDAW/C/BRB/5-8</w:t>
              </w:r>
            </w:hyperlink>
          </w:p>
        </w:tc>
        <w:tc>
          <w:tcPr>
            <w:tcW w:w="4957" w:type="dxa"/>
            <w:shd w:val="clear" w:color="auto" w:fill="auto"/>
          </w:tcPr>
          <w:p w14:paraId="5E00F610" w14:textId="77777777" w:rsidR="000C604D" w:rsidRPr="000C604D" w:rsidRDefault="000C604D" w:rsidP="000C604D">
            <w:pPr>
              <w:tabs>
                <w:tab w:val="left" w:pos="288"/>
                <w:tab w:val="left" w:pos="576"/>
                <w:tab w:val="left" w:pos="864"/>
                <w:tab w:val="left" w:pos="1152"/>
              </w:tabs>
              <w:suppressAutoHyphens/>
              <w:spacing w:before="40" w:after="80"/>
              <w:ind w:left="144" w:right="43"/>
              <w:rPr>
                <w:spacing w:val="0"/>
                <w:w w:val="100"/>
                <w:kern w:val="0"/>
              </w:rPr>
            </w:pPr>
            <w:r w:rsidRPr="000C604D">
              <w:t>Rapport unique valant cinquième à huitième rapports périodiques de la Barbade</w:t>
            </w:r>
          </w:p>
        </w:tc>
      </w:tr>
      <w:tr w:rsidR="000C604D" w:rsidRPr="000C604D" w14:paraId="36070B2A" w14:textId="77777777" w:rsidTr="00D83EA9">
        <w:trPr>
          <w:cantSplit/>
        </w:trPr>
        <w:tc>
          <w:tcPr>
            <w:tcW w:w="2251" w:type="dxa"/>
            <w:shd w:val="clear" w:color="auto" w:fill="auto"/>
          </w:tcPr>
          <w:p w14:paraId="4440209F" w14:textId="39FC43DC" w:rsidR="000C604D" w:rsidRPr="000C604D" w:rsidRDefault="002D427A" w:rsidP="000C604D">
            <w:pPr>
              <w:tabs>
                <w:tab w:val="left" w:pos="288"/>
                <w:tab w:val="left" w:pos="576"/>
                <w:tab w:val="left" w:pos="864"/>
                <w:tab w:val="left" w:pos="1152"/>
              </w:tabs>
              <w:suppressAutoHyphens/>
              <w:spacing w:before="40" w:after="80"/>
              <w:ind w:right="40"/>
              <w:rPr>
                <w:spacing w:val="0"/>
                <w:w w:val="100"/>
                <w:kern w:val="0"/>
              </w:rPr>
            </w:pPr>
            <w:hyperlink r:id="rId53" w:history="1">
              <w:r w:rsidR="000C604D" w:rsidRPr="00025ED9">
                <w:rPr>
                  <w:rStyle w:val="Hyperlink"/>
                </w:rPr>
                <w:t>CEDAW/C/CRI/7</w:t>
              </w:r>
            </w:hyperlink>
          </w:p>
        </w:tc>
        <w:tc>
          <w:tcPr>
            <w:tcW w:w="4957" w:type="dxa"/>
            <w:shd w:val="clear" w:color="auto" w:fill="auto"/>
          </w:tcPr>
          <w:p w14:paraId="6B304655" w14:textId="77777777" w:rsidR="000C604D" w:rsidRPr="000C604D" w:rsidRDefault="000C604D" w:rsidP="000C604D">
            <w:pPr>
              <w:tabs>
                <w:tab w:val="left" w:pos="288"/>
                <w:tab w:val="left" w:pos="576"/>
                <w:tab w:val="left" w:pos="864"/>
                <w:tab w:val="left" w:pos="1152"/>
              </w:tabs>
              <w:suppressAutoHyphens/>
              <w:spacing w:before="40" w:after="80"/>
              <w:ind w:left="144" w:right="43"/>
              <w:rPr>
                <w:spacing w:val="0"/>
                <w:w w:val="100"/>
                <w:kern w:val="0"/>
              </w:rPr>
            </w:pPr>
            <w:r w:rsidRPr="000C604D">
              <w:t>Septième rapport périodique du Costa Rica</w:t>
            </w:r>
          </w:p>
        </w:tc>
      </w:tr>
      <w:tr w:rsidR="000C604D" w:rsidRPr="000C604D" w14:paraId="6D916E85" w14:textId="77777777" w:rsidTr="00D83EA9">
        <w:trPr>
          <w:cantSplit/>
        </w:trPr>
        <w:tc>
          <w:tcPr>
            <w:tcW w:w="2251" w:type="dxa"/>
            <w:shd w:val="clear" w:color="auto" w:fill="auto"/>
          </w:tcPr>
          <w:p w14:paraId="47440D78" w14:textId="1DC4107D" w:rsidR="000C604D" w:rsidRPr="000C604D" w:rsidRDefault="002D427A" w:rsidP="000C604D">
            <w:pPr>
              <w:tabs>
                <w:tab w:val="left" w:pos="288"/>
                <w:tab w:val="left" w:pos="576"/>
                <w:tab w:val="left" w:pos="864"/>
                <w:tab w:val="left" w:pos="1152"/>
              </w:tabs>
              <w:suppressAutoHyphens/>
              <w:spacing w:before="40" w:after="80"/>
              <w:ind w:right="40"/>
              <w:rPr>
                <w:spacing w:val="0"/>
                <w:w w:val="100"/>
                <w:kern w:val="0"/>
              </w:rPr>
            </w:pPr>
            <w:hyperlink r:id="rId54" w:history="1">
              <w:r w:rsidR="000C604D" w:rsidRPr="00025ED9">
                <w:rPr>
                  <w:rStyle w:val="Hyperlink"/>
                </w:rPr>
                <w:t>CEDAW/C/ITA/7</w:t>
              </w:r>
            </w:hyperlink>
          </w:p>
        </w:tc>
        <w:tc>
          <w:tcPr>
            <w:tcW w:w="4957" w:type="dxa"/>
            <w:shd w:val="clear" w:color="auto" w:fill="auto"/>
          </w:tcPr>
          <w:p w14:paraId="18C58BD0" w14:textId="6D89E992" w:rsidR="000C604D" w:rsidRPr="000C604D" w:rsidRDefault="000C604D" w:rsidP="000C604D">
            <w:pPr>
              <w:tabs>
                <w:tab w:val="left" w:pos="288"/>
                <w:tab w:val="left" w:pos="576"/>
                <w:tab w:val="left" w:pos="864"/>
                <w:tab w:val="left" w:pos="1152"/>
              </w:tabs>
              <w:suppressAutoHyphens/>
              <w:spacing w:before="40" w:after="80"/>
              <w:ind w:left="144" w:right="43"/>
              <w:rPr>
                <w:spacing w:val="0"/>
                <w:w w:val="100"/>
                <w:kern w:val="0"/>
              </w:rPr>
            </w:pPr>
            <w:r w:rsidRPr="000C604D">
              <w:t>Septième rapport périodique de l</w:t>
            </w:r>
            <w:r w:rsidR="00265783">
              <w:t>’</w:t>
            </w:r>
            <w:r w:rsidRPr="000C604D">
              <w:t>Italie</w:t>
            </w:r>
          </w:p>
        </w:tc>
      </w:tr>
      <w:tr w:rsidR="000C604D" w:rsidRPr="000C604D" w14:paraId="5B548E38" w14:textId="77777777" w:rsidTr="00D83EA9">
        <w:trPr>
          <w:cantSplit/>
        </w:trPr>
        <w:tc>
          <w:tcPr>
            <w:tcW w:w="2251" w:type="dxa"/>
            <w:shd w:val="clear" w:color="auto" w:fill="auto"/>
          </w:tcPr>
          <w:p w14:paraId="7F49DAD9" w14:textId="05B93C6B" w:rsidR="000C604D" w:rsidRPr="000C604D" w:rsidRDefault="002D427A" w:rsidP="000C604D">
            <w:pPr>
              <w:tabs>
                <w:tab w:val="left" w:pos="288"/>
                <w:tab w:val="left" w:pos="576"/>
                <w:tab w:val="left" w:pos="864"/>
                <w:tab w:val="left" w:pos="1152"/>
              </w:tabs>
              <w:suppressAutoHyphens/>
              <w:spacing w:before="40" w:after="80"/>
              <w:ind w:right="40"/>
              <w:rPr>
                <w:spacing w:val="0"/>
                <w:w w:val="100"/>
                <w:kern w:val="0"/>
              </w:rPr>
            </w:pPr>
            <w:hyperlink r:id="rId55" w:history="1">
              <w:r w:rsidR="000C604D" w:rsidRPr="00025ED9">
                <w:rPr>
                  <w:rStyle w:val="Hyperlink"/>
                </w:rPr>
                <w:t>CEDAW/C/MNE/2</w:t>
              </w:r>
            </w:hyperlink>
          </w:p>
        </w:tc>
        <w:tc>
          <w:tcPr>
            <w:tcW w:w="4957" w:type="dxa"/>
            <w:shd w:val="clear" w:color="auto" w:fill="auto"/>
          </w:tcPr>
          <w:p w14:paraId="4F5DC4D2" w14:textId="77777777" w:rsidR="000C604D" w:rsidRPr="000C604D" w:rsidRDefault="000C604D" w:rsidP="000C604D">
            <w:pPr>
              <w:tabs>
                <w:tab w:val="left" w:pos="288"/>
                <w:tab w:val="left" w:pos="576"/>
                <w:tab w:val="left" w:pos="864"/>
                <w:tab w:val="left" w:pos="1152"/>
              </w:tabs>
              <w:suppressAutoHyphens/>
              <w:spacing w:before="40" w:after="80"/>
              <w:ind w:left="144" w:right="43"/>
              <w:rPr>
                <w:spacing w:val="0"/>
                <w:w w:val="100"/>
                <w:kern w:val="0"/>
              </w:rPr>
            </w:pPr>
            <w:r w:rsidRPr="000C604D">
              <w:t>Deuxième rapport périodique du Monténégro</w:t>
            </w:r>
          </w:p>
        </w:tc>
      </w:tr>
      <w:tr w:rsidR="000C604D" w:rsidRPr="000C604D" w14:paraId="25027825" w14:textId="77777777" w:rsidTr="00D83EA9">
        <w:trPr>
          <w:cantSplit/>
        </w:trPr>
        <w:tc>
          <w:tcPr>
            <w:tcW w:w="2251" w:type="dxa"/>
            <w:shd w:val="clear" w:color="auto" w:fill="auto"/>
          </w:tcPr>
          <w:p w14:paraId="55E0E3B1" w14:textId="2E4F8068" w:rsidR="000C604D" w:rsidRPr="000C604D" w:rsidRDefault="002D427A" w:rsidP="000C604D">
            <w:pPr>
              <w:tabs>
                <w:tab w:val="left" w:pos="288"/>
                <w:tab w:val="left" w:pos="576"/>
                <w:tab w:val="left" w:pos="864"/>
                <w:tab w:val="left" w:pos="1152"/>
              </w:tabs>
              <w:suppressAutoHyphens/>
              <w:spacing w:before="40" w:after="80"/>
              <w:ind w:right="40"/>
              <w:rPr>
                <w:spacing w:val="0"/>
                <w:w w:val="100"/>
                <w:kern w:val="0"/>
              </w:rPr>
            </w:pPr>
            <w:hyperlink r:id="rId56" w:history="1">
              <w:r w:rsidR="000C604D" w:rsidRPr="00025ED9">
                <w:rPr>
                  <w:rStyle w:val="Hyperlink"/>
                </w:rPr>
                <w:t>CEDAW/C/NER/3-4</w:t>
              </w:r>
            </w:hyperlink>
          </w:p>
        </w:tc>
        <w:tc>
          <w:tcPr>
            <w:tcW w:w="4957" w:type="dxa"/>
            <w:shd w:val="clear" w:color="auto" w:fill="auto"/>
          </w:tcPr>
          <w:p w14:paraId="2F8BE5FA" w14:textId="77777777" w:rsidR="000C604D" w:rsidRPr="000C604D" w:rsidRDefault="000C604D" w:rsidP="000C604D">
            <w:pPr>
              <w:tabs>
                <w:tab w:val="left" w:pos="288"/>
                <w:tab w:val="left" w:pos="576"/>
                <w:tab w:val="left" w:pos="864"/>
                <w:tab w:val="left" w:pos="1152"/>
              </w:tabs>
              <w:suppressAutoHyphens/>
              <w:spacing w:before="40" w:after="80"/>
              <w:ind w:left="144" w:right="43"/>
              <w:rPr>
                <w:spacing w:val="0"/>
                <w:w w:val="100"/>
                <w:kern w:val="0"/>
              </w:rPr>
            </w:pPr>
            <w:r w:rsidRPr="000C604D">
              <w:t>Rapport unique valant troisième et quatrième rapports périodiques du Niger</w:t>
            </w:r>
          </w:p>
        </w:tc>
      </w:tr>
      <w:tr w:rsidR="000C604D" w:rsidRPr="000C604D" w14:paraId="2BF5024D" w14:textId="77777777" w:rsidTr="00D83EA9">
        <w:trPr>
          <w:cantSplit/>
        </w:trPr>
        <w:tc>
          <w:tcPr>
            <w:tcW w:w="2251" w:type="dxa"/>
            <w:shd w:val="clear" w:color="auto" w:fill="auto"/>
          </w:tcPr>
          <w:p w14:paraId="6AC7F27D" w14:textId="3AFDDDB7" w:rsidR="000C604D" w:rsidRPr="000C604D" w:rsidRDefault="002D427A" w:rsidP="000C604D">
            <w:pPr>
              <w:tabs>
                <w:tab w:val="left" w:pos="288"/>
                <w:tab w:val="left" w:pos="576"/>
                <w:tab w:val="left" w:pos="864"/>
                <w:tab w:val="left" w:pos="1152"/>
              </w:tabs>
              <w:suppressAutoHyphens/>
              <w:spacing w:before="40" w:after="80"/>
              <w:ind w:right="40"/>
              <w:rPr>
                <w:spacing w:val="0"/>
                <w:w w:val="100"/>
                <w:kern w:val="0"/>
              </w:rPr>
            </w:pPr>
            <w:hyperlink r:id="rId57" w:history="1">
              <w:r w:rsidR="000C604D" w:rsidRPr="00025ED9">
                <w:rPr>
                  <w:rStyle w:val="Hyperlink"/>
                </w:rPr>
                <w:t>CEDAW/C/NGA/7-8</w:t>
              </w:r>
            </w:hyperlink>
          </w:p>
        </w:tc>
        <w:tc>
          <w:tcPr>
            <w:tcW w:w="4957" w:type="dxa"/>
            <w:shd w:val="clear" w:color="auto" w:fill="auto"/>
          </w:tcPr>
          <w:p w14:paraId="13AE9774" w14:textId="77777777" w:rsidR="000C604D" w:rsidRPr="000C604D" w:rsidRDefault="000C604D" w:rsidP="000C604D">
            <w:pPr>
              <w:tabs>
                <w:tab w:val="left" w:pos="288"/>
                <w:tab w:val="left" w:pos="576"/>
                <w:tab w:val="left" w:pos="864"/>
                <w:tab w:val="left" w:pos="1152"/>
              </w:tabs>
              <w:suppressAutoHyphens/>
              <w:spacing w:before="40" w:after="80"/>
              <w:ind w:left="144" w:right="43"/>
              <w:rPr>
                <w:spacing w:val="0"/>
                <w:w w:val="100"/>
                <w:kern w:val="0"/>
              </w:rPr>
            </w:pPr>
            <w:r w:rsidRPr="000C604D">
              <w:t>Rapport unique valant septième et huitième rapports périodiques du Nigéria</w:t>
            </w:r>
          </w:p>
        </w:tc>
      </w:tr>
      <w:tr w:rsidR="000C604D" w:rsidRPr="000C604D" w14:paraId="52854E9D" w14:textId="77777777" w:rsidTr="00D83EA9">
        <w:trPr>
          <w:cantSplit/>
        </w:trPr>
        <w:tc>
          <w:tcPr>
            <w:tcW w:w="2251" w:type="dxa"/>
            <w:shd w:val="clear" w:color="auto" w:fill="auto"/>
          </w:tcPr>
          <w:p w14:paraId="7166108C" w14:textId="382F7758" w:rsidR="000C604D" w:rsidRPr="000C604D" w:rsidRDefault="002D427A" w:rsidP="000C604D">
            <w:pPr>
              <w:tabs>
                <w:tab w:val="left" w:pos="288"/>
                <w:tab w:val="left" w:pos="576"/>
                <w:tab w:val="left" w:pos="864"/>
                <w:tab w:val="left" w:pos="1152"/>
              </w:tabs>
              <w:suppressAutoHyphens/>
              <w:spacing w:before="40" w:after="80"/>
              <w:ind w:right="40"/>
              <w:rPr>
                <w:spacing w:val="0"/>
                <w:w w:val="100"/>
                <w:kern w:val="0"/>
              </w:rPr>
            </w:pPr>
            <w:hyperlink r:id="rId58" w:history="1">
              <w:r w:rsidR="000C604D" w:rsidRPr="00025ED9">
                <w:rPr>
                  <w:rStyle w:val="Hyperlink"/>
                </w:rPr>
                <w:t>CEDAW/C/ROU/7-8</w:t>
              </w:r>
            </w:hyperlink>
          </w:p>
        </w:tc>
        <w:tc>
          <w:tcPr>
            <w:tcW w:w="4957" w:type="dxa"/>
            <w:shd w:val="clear" w:color="auto" w:fill="auto"/>
          </w:tcPr>
          <w:p w14:paraId="7395BD1F" w14:textId="77777777" w:rsidR="000C604D" w:rsidRPr="000C604D" w:rsidRDefault="000C604D" w:rsidP="000C604D">
            <w:pPr>
              <w:tabs>
                <w:tab w:val="left" w:pos="288"/>
                <w:tab w:val="left" w:pos="576"/>
                <w:tab w:val="left" w:pos="864"/>
                <w:tab w:val="left" w:pos="1152"/>
              </w:tabs>
              <w:suppressAutoHyphens/>
              <w:spacing w:before="40" w:after="80"/>
              <w:ind w:left="144" w:right="43"/>
              <w:rPr>
                <w:spacing w:val="0"/>
                <w:w w:val="100"/>
                <w:kern w:val="0"/>
              </w:rPr>
            </w:pPr>
            <w:r w:rsidRPr="000C604D">
              <w:t>Rapport unique valant septième et huitième rapports périodiques de la Roumanie</w:t>
            </w:r>
          </w:p>
        </w:tc>
      </w:tr>
      <w:tr w:rsidR="000C604D" w:rsidRPr="000C604D" w14:paraId="4D08C638" w14:textId="77777777" w:rsidTr="00D83EA9">
        <w:trPr>
          <w:cantSplit/>
        </w:trPr>
        <w:tc>
          <w:tcPr>
            <w:tcW w:w="2251" w:type="dxa"/>
            <w:shd w:val="clear" w:color="auto" w:fill="auto"/>
          </w:tcPr>
          <w:p w14:paraId="5F25BCB8" w14:textId="100237D9" w:rsidR="000C604D" w:rsidRPr="000C604D" w:rsidRDefault="002D427A" w:rsidP="000C604D">
            <w:pPr>
              <w:tabs>
                <w:tab w:val="left" w:pos="288"/>
                <w:tab w:val="left" w:pos="576"/>
                <w:tab w:val="left" w:pos="864"/>
                <w:tab w:val="left" w:pos="1152"/>
              </w:tabs>
              <w:suppressAutoHyphens/>
              <w:spacing w:before="40" w:after="80"/>
              <w:ind w:right="40"/>
              <w:rPr>
                <w:spacing w:val="0"/>
                <w:w w:val="100"/>
                <w:kern w:val="0"/>
              </w:rPr>
            </w:pPr>
            <w:hyperlink r:id="rId59" w:history="1">
              <w:r w:rsidR="000C604D" w:rsidRPr="00025ED9">
                <w:rPr>
                  <w:rStyle w:val="Hyperlink"/>
                </w:rPr>
                <w:t>CEDAW/C/THA/6-7</w:t>
              </w:r>
            </w:hyperlink>
          </w:p>
        </w:tc>
        <w:tc>
          <w:tcPr>
            <w:tcW w:w="4957" w:type="dxa"/>
            <w:shd w:val="clear" w:color="auto" w:fill="auto"/>
          </w:tcPr>
          <w:p w14:paraId="45C5B6F6" w14:textId="77777777" w:rsidR="000C604D" w:rsidRPr="000C604D" w:rsidRDefault="000C604D" w:rsidP="000C604D">
            <w:pPr>
              <w:tabs>
                <w:tab w:val="left" w:pos="288"/>
                <w:tab w:val="left" w:pos="576"/>
                <w:tab w:val="left" w:pos="864"/>
                <w:tab w:val="left" w:pos="1152"/>
              </w:tabs>
              <w:suppressAutoHyphens/>
              <w:spacing w:before="40" w:after="80"/>
              <w:ind w:left="144" w:right="43"/>
              <w:rPr>
                <w:spacing w:val="0"/>
                <w:w w:val="100"/>
                <w:kern w:val="0"/>
              </w:rPr>
            </w:pPr>
            <w:r w:rsidRPr="000C604D">
              <w:t>Rapport unique valant sixième et septième rapports périodiques de la Thaïlande</w:t>
            </w:r>
          </w:p>
        </w:tc>
      </w:tr>
    </w:tbl>
    <w:p w14:paraId="0FA7C4F5" w14:textId="2ACCD12C" w:rsidR="000C604D" w:rsidRDefault="000C604D" w:rsidP="003C0696">
      <w:pPr>
        <w:pStyle w:val="SingleTxt"/>
        <w:rPr>
          <w:lang w:val="fr-FR"/>
        </w:rPr>
      </w:pPr>
    </w:p>
    <w:p w14:paraId="0E8142BB" w14:textId="77777777" w:rsidR="000C604D" w:rsidRDefault="000C604D">
      <w:pPr>
        <w:spacing w:after="200" w:line="276" w:lineRule="auto"/>
        <w:rPr>
          <w:lang w:val="fr-FR"/>
        </w:rPr>
      </w:pPr>
      <w:r>
        <w:rPr>
          <w:lang w:val="fr-FR"/>
        </w:rPr>
        <w:br w:type="page"/>
      </w:r>
    </w:p>
    <w:p w14:paraId="3338162F" w14:textId="77777777" w:rsidR="000C604D" w:rsidRPr="009C4E47" w:rsidRDefault="000C604D" w:rsidP="000C604D">
      <w:pPr>
        <w:pStyle w:val="HCh0"/>
        <w:ind w:left="1267" w:right="1260" w:hanging="1267"/>
        <w:rPr>
          <w:lang w:val="fr-FR"/>
        </w:rPr>
      </w:pPr>
      <w:r w:rsidRPr="009C4E47">
        <w:rPr>
          <w:lang w:val="fr-FR"/>
        </w:rPr>
        <w:lastRenderedPageBreak/>
        <w:tab/>
      </w:r>
      <w:r w:rsidRPr="009C4E47">
        <w:rPr>
          <w:lang w:val="fr-FR"/>
        </w:rPr>
        <w:tab/>
        <w:t>Deuxième partie</w:t>
      </w:r>
    </w:p>
    <w:p w14:paraId="09B7C89E" w14:textId="7271C9C0" w:rsidR="000C604D" w:rsidRPr="009C4E47" w:rsidRDefault="000C604D" w:rsidP="000C604D">
      <w:pPr>
        <w:pStyle w:val="HCh0"/>
        <w:ind w:left="1267" w:right="1260" w:hanging="1267"/>
        <w:rPr>
          <w:lang w:val="fr-FR"/>
        </w:rPr>
      </w:pPr>
      <w:r w:rsidRPr="009C4E47">
        <w:rPr>
          <w:lang w:val="fr-FR"/>
        </w:rPr>
        <w:tab/>
      </w:r>
      <w:r w:rsidRPr="009C4E47">
        <w:rPr>
          <w:lang w:val="fr-FR"/>
        </w:rPr>
        <w:tab/>
        <w:t>Rapport du Comité pour l</w:t>
      </w:r>
      <w:r w:rsidR="00265783">
        <w:rPr>
          <w:lang w:val="fr-FR"/>
        </w:rPr>
        <w:t>’</w:t>
      </w:r>
      <w:r w:rsidRPr="009C4E47">
        <w:rPr>
          <w:lang w:val="fr-FR"/>
        </w:rPr>
        <w:t>élimination de la discrimination à l</w:t>
      </w:r>
      <w:r w:rsidR="00265783">
        <w:rPr>
          <w:lang w:val="fr-FR"/>
        </w:rPr>
        <w:t>’</w:t>
      </w:r>
      <w:r w:rsidRPr="009C4E47">
        <w:rPr>
          <w:lang w:val="fr-FR"/>
        </w:rPr>
        <w:t xml:space="preserve">égard des femmes sur les travaux de sa soixante-huitième session </w:t>
      </w:r>
    </w:p>
    <w:p w14:paraId="16829EF7" w14:textId="671EE6E6" w:rsidR="000C604D" w:rsidRPr="009C4E47" w:rsidRDefault="000C604D" w:rsidP="000C604D">
      <w:pPr>
        <w:pStyle w:val="SingleTxt"/>
        <w:spacing w:after="0" w:line="120" w:lineRule="exact"/>
        <w:rPr>
          <w:sz w:val="10"/>
          <w:lang w:val="fr-FR"/>
        </w:rPr>
      </w:pPr>
    </w:p>
    <w:p w14:paraId="6A980A12" w14:textId="53587B59" w:rsidR="000C604D" w:rsidRDefault="000C604D" w:rsidP="000C60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604D">
        <w:rPr>
          <w:lang w:val="fr-FR"/>
        </w:rPr>
        <w:tab/>
      </w:r>
      <w:r w:rsidRPr="000C604D">
        <w:rPr>
          <w:lang w:val="fr-FR"/>
        </w:rPr>
        <w:tab/>
        <w:t xml:space="preserve">23 octobre-17 novembre 2017 </w:t>
      </w:r>
    </w:p>
    <w:p w14:paraId="0480E6E5" w14:textId="3A8DC8AD" w:rsidR="000C604D" w:rsidRDefault="000C604D" w:rsidP="000C604D">
      <w:pPr>
        <w:pStyle w:val="SingleTxt"/>
        <w:rPr>
          <w:lang w:val="fr-FR"/>
        </w:rPr>
      </w:pPr>
    </w:p>
    <w:p w14:paraId="6C58792D" w14:textId="1CD84A29" w:rsidR="000C604D" w:rsidRDefault="000C604D" w:rsidP="000C604D">
      <w:pPr>
        <w:pStyle w:val="SingleTxt"/>
        <w:rPr>
          <w:lang w:val="fr-FR"/>
        </w:rPr>
      </w:pPr>
    </w:p>
    <w:p w14:paraId="30A1B9B2" w14:textId="127488F6" w:rsidR="000C604D" w:rsidRDefault="000C604D" w:rsidP="000C604D">
      <w:pPr>
        <w:pStyle w:val="SingleTxt"/>
        <w:rPr>
          <w:lang w:val="fr-FR"/>
        </w:rPr>
      </w:pPr>
    </w:p>
    <w:p w14:paraId="1BB70309" w14:textId="272F0A48" w:rsidR="000C604D" w:rsidRDefault="000C604D" w:rsidP="000C604D">
      <w:pPr>
        <w:pStyle w:val="SingleTxt"/>
        <w:rPr>
          <w:lang w:val="fr-FR"/>
        </w:rPr>
      </w:pPr>
    </w:p>
    <w:p w14:paraId="52AA44F2" w14:textId="6E950554" w:rsidR="000C604D" w:rsidRDefault="000C604D">
      <w:pPr>
        <w:spacing w:after="200" w:line="276" w:lineRule="auto"/>
        <w:rPr>
          <w:lang w:val="fr-FR"/>
        </w:rPr>
      </w:pPr>
      <w:r>
        <w:rPr>
          <w:lang w:val="fr-FR"/>
        </w:rPr>
        <w:br w:type="page"/>
      </w:r>
    </w:p>
    <w:p w14:paraId="65C748FA" w14:textId="233FB4AF" w:rsidR="000C604D" w:rsidRPr="009C4E47" w:rsidRDefault="000C604D" w:rsidP="000C604D">
      <w:pPr>
        <w:pStyle w:val="HCh0"/>
        <w:ind w:left="1267" w:right="1260" w:hanging="1267"/>
        <w:rPr>
          <w:lang w:val="fr-FR"/>
        </w:rPr>
      </w:pPr>
      <w:r w:rsidRPr="009C4E47">
        <w:rPr>
          <w:lang w:val="fr-FR"/>
        </w:rPr>
        <w:lastRenderedPageBreak/>
        <w:t>Chapitre I</w:t>
      </w:r>
    </w:p>
    <w:p w14:paraId="29478300" w14:textId="095C95BB" w:rsidR="000C604D" w:rsidRPr="009C4E47" w:rsidRDefault="000C604D" w:rsidP="000C604D">
      <w:pPr>
        <w:pStyle w:val="HCh0"/>
        <w:ind w:left="1267" w:right="1260" w:hanging="1267"/>
        <w:rPr>
          <w:lang w:val="fr-FR"/>
        </w:rPr>
      </w:pPr>
      <w:r w:rsidRPr="009C4E47">
        <w:rPr>
          <w:lang w:val="fr-FR"/>
        </w:rPr>
        <w:tab/>
      </w:r>
      <w:r w:rsidRPr="009C4E47">
        <w:rPr>
          <w:lang w:val="fr-FR"/>
        </w:rPr>
        <w:tab/>
        <w:t xml:space="preserve">Décisions adoptées par le Comité </w:t>
      </w:r>
    </w:p>
    <w:p w14:paraId="3FE8E221" w14:textId="30DE89F8" w:rsidR="000C604D" w:rsidRPr="009C4E47" w:rsidRDefault="000C604D" w:rsidP="000C604D">
      <w:pPr>
        <w:pStyle w:val="SingleTxt"/>
        <w:spacing w:after="0" w:line="120" w:lineRule="exact"/>
        <w:rPr>
          <w:sz w:val="10"/>
          <w:lang w:val="fr-FR"/>
        </w:rPr>
      </w:pPr>
    </w:p>
    <w:p w14:paraId="645FB47A" w14:textId="71BBD535" w:rsidR="000C604D" w:rsidRPr="009C4E47" w:rsidRDefault="000C604D" w:rsidP="000C604D">
      <w:pPr>
        <w:pStyle w:val="SingleTxt"/>
        <w:spacing w:after="0" w:line="120" w:lineRule="exact"/>
        <w:rPr>
          <w:sz w:val="10"/>
          <w:lang w:val="fr-FR"/>
        </w:rPr>
      </w:pPr>
    </w:p>
    <w:p w14:paraId="37796B38" w14:textId="591981B0" w:rsidR="000C604D" w:rsidRDefault="000C604D" w:rsidP="000C6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604D">
        <w:rPr>
          <w:lang w:val="fr-FR"/>
        </w:rPr>
        <w:tab/>
      </w:r>
      <w:r w:rsidRPr="000C604D">
        <w:rPr>
          <w:lang w:val="fr-FR"/>
        </w:rPr>
        <w:tab/>
        <w:t>Décision 68/I</w:t>
      </w:r>
    </w:p>
    <w:p w14:paraId="42911115" w14:textId="038BC243" w:rsidR="000C604D" w:rsidRPr="000C604D" w:rsidRDefault="000C604D" w:rsidP="000C604D">
      <w:pPr>
        <w:pStyle w:val="SingleTxt"/>
        <w:spacing w:after="0" w:line="120" w:lineRule="exact"/>
        <w:rPr>
          <w:sz w:val="10"/>
          <w:lang w:val="fr-FR"/>
        </w:rPr>
      </w:pPr>
    </w:p>
    <w:p w14:paraId="4813237A" w14:textId="4025413F" w:rsidR="000C604D" w:rsidRDefault="000C604D" w:rsidP="000C604D">
      <w:pPr>
        <w:pStyle w:val="SingleTxt"/>
        <w:rPr>
          <w:lang w:val="fr-FR"/>
        </w:rPr>
      </w:pPr>
      <w:r w:rsidRPr="000C604D">
        <w:rPr>
          <w:lang w:val="fr-FR"/>
        </w:rPr>
        <w:tab/>
        <w:t>Le 16 novembre 2017, le Comité a adopté par consensus la recommandation générale n</w:t>
      </w:r>
      <w:r w:rsidR="00D83EA9">
        <w:rPr>
          <w:vertAlign w:val="superscript"/>
          <w:lang w:val="fr-FR"/>
        </w:rPr>
        <w:t>o </w:t>
      </w:r>
      <w:r w:rsidRPr="000C604D">
        <w:rPr>
          <w:lang w:val="fr-FR"/>
        </w:rPr>
        <w:t>36 (2017) sur le droit des filles et des femmes à l</w:t>
      </w:r>
      <w:r w:rsidR="00265783">
        <w:rPr>
          <w:lang w:val="fr-FR"/>
        </w:rPr>
        <w:t>’</w:t>
      </w:r>
      <w:r w:rsidRPr="000C604D">
        <w:rPr>
          <w:lang w:val="fr-FR"/>
        </w:rPr>
        <w:t>éducation (</w:t>
      </w:r>
      <w:hyperlink r:id="rId60" w:history="1">
        <w:r w:rsidRPr="008E2674">
          <w:rPr>
            <w:rStyle w:val="Hyperlink"/>
            <w:lang w:val="fr-FR"/>
          </w:rPr>
          <w:t>CEDAW/C/GC/36</w:t>
        </w:r>
      </w:hyperlink>
      <w:r w:rsidRPr="000C604D">
        <w:rPr>
          <w:lang w:val="fr-FR"/>
        </w:rPr>
        <w:t>).</w:t>
      </w:r>
    </w:p>
    <w:p w14:paraId="189D3039" w14:textId="1D369B68" w:rsidR="000C604D" w:rsidRPr="000C604D" w:rsidRDefault="000C604D" w:rsidP="000C604D">
      <w:pPr>
        <w:pStyle w:val="SingleTxt"/>
        <w:spacing w:after="0" w:line="120" w:lineRule="exact"/>
        <w:rPr>
          <w:sz w:val="10"/>
          <w:lang w:val="fr-FR"/>
        </w:rPr>
      </w:pPr>
    </w:p>
    <w:p w14:paraId="2144DAE3" w14:textId="77777777" w:rsidR="000C604D" w:rsidRPr="000C604D" w:rsidRDefault="000C604D" w:rsidP="000C6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604D">
        <w:rPr>
          <w:lang w:val="fr-FR"/>
        </w:rPr>
        <w:tab/>
      </w:r>
      <w:r w:rsidRPr="000C604D">
        <w:rPr>
          <w:lang w:val="fr-FR"/>
        </w:rPr>
        <w:tab/>
        <w:t>Décision 68/II</w:t>
      </w:r>
    </w:p>
    <w:p w14:paraId="37D6D9CF" w14:textId="3BBDB1D4" w:rsidR="000C604D" w:rsidRPr="000C604D" w:rsidRDefault="000C604D" w:rsidP="000C604D">
      <w:pPr>
        <w:pStyle w:val="SingleTxt"/>
        <w:spacing w:after="0" w:line="120" w:lineRule="exact"/>
        <w:rPr>
          <w:sz w:val="10"/>
          <w:lang w:val="fr-FR"/>
        </w:rPr>
      </w:pPr>
    </w:p>
    <w:p w14:paraId="698DE897" w14:textId="2D99D777" w:rsidR="000C604D" w:rsidRDefault="000C604D" w:rsidP="000C604D">
      <w:pPr>
        <w:pStyle w:val="SingleTxt"/>
        <w:rPr>
          <w:lang w:val="fr-FR"/>
        </w:rPr>
      </w:pPr>
      <w:r w:rsidRPr="000C604D">
        <w:rPr>
          <w:lang w:val="fr-FR"/>
        </w:rPr>
        <w:tab/>
        <w:t>Conformément au paragraphe 1 b) de l</w:t>
      </w:r>
      <w:r w:rsidR="00265783">
        <w:rPr>
          <w:lang w:val="fr-FR"/>
        </w:rPr>
        <w:t>’</w:t>
      </w:r>
      <w:r w:rsidRPr="000C604D">
        <w:rPr>
          <w:lang w:val="fr-FR"/>
        </w:rPr>
        <w:t>article 18 de la Convention et à sa décision 21/I, le Comité a décidé de demander au Gouvernement du Myanmar de présenter, dans les six mois à venir, un rapport à titre exceptionnel sur la situation des femmes et des filles rohingya dans le nord de l</w:t>
      </w:r>
      <w:r w:rsidR="00265783">
        <w:rPr>
          <w:lang w:val="fr-FR"/>
        </w:rPr>
        <w:t>’</w:t>
      </w:r>
      <w:r w:rsidRPr="000C604D">
        <w:rPr>
          <w:lang w:val="fr-FR"/>
        </w:rPr>
        <w:t>État rakhine.</w:t>
      </w:r>
    </w:p>
    <w:p w14:paraId="0C18A651" w14:textId="3DBF6D01" w:rsidR="000C604D" w:rsidRPr="000C604D" w:rsidRDefault="000C604D" w:rsidP="000C604D">
      <w:pPr>
        <w:pStyle w:val="SingleTxt"/>
        <w:spacing w:after="0" w:line="120" w:lineRule="exact"/>
        <w:rPr>
          <w:sz w:val="10"/>
          <w:lang w:val="fr-FR"/>
        </w:rPr>
      </w:pPr>
    </w:p>
    <w:p w14:paraId="0420D68E" w14:textId="77777777" w:rsidR="000C604D" w:rsidRPr="000C604D" w:rsidRDefault="000C604D" w:rsidP="000C6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604D">
        <w:rPr>
          <w:lang w:val="fr-FR"/>
        </w:rPr>
        <w:tab/>
      </w:r>
      <w:r w:rsidRPr="000C604D">
        <w:rPr>
          <w:lang w:val="fr-FR"/>
        </w:rPr>
        <w:tab/>
        <w:t>Décision 68/III</w:t>
      </w:r>
    </w:p>
    <w:p w14:paraId="6DC9F1C0" w14:textId="0F6FE555" w:rsidR="000C604D" w:rsidRPr="000C604D" w:rsidRDefault="000C604D" w:rsidP="000C604D">
      <w:pPr>
        <w:pStyle w:val="SingleTxt"/>
        <w:spacing w:after="0" w:line="120" w:lineRule="exact"/>
        <w:rPr>
          <w:sz w:val="10"/>
          <w:lang w:val="fr-FR"/>
        </w:rPr>
      </w:pPr>
    </w:p>
    <w:p w14:paraId="7AD3B610" w14:textId="7044D750" w:rsidR="000C604D" w:rsidRDefault="000C604D" w:rsidP="000C604D">
      <w:pPr>
        <w:pStyle w:val="SingleTxt"/>
        <w:rPr>
          <w:lang w:val="fr-FR"/>
        </w:rPr>
      </w:pPr>
      <w:r w:rsidRPr="000C604D">
        <w:rPr>
          <w:lang w:val="fr-FR"/>
        </w:rPr>
        <w:tab/>
        <w:t>Le Comité a rappelé sa décision de reporter, à la demande de l</w:t>
      </w:r>
      <w:r w:rsidR="00265783">
        <w:rPr>
          <w:lang w:val="fr-FR"/>
        </w:rPr>
        <w:t>’</w:t>
      </w:r>
      <w:r w:rsidRPr="000C604D">
        <w:rPr>
          <w:lang w:val="fr-FR"/>
        </w:rPr>
        <w:t>État partie, son examen du rapport unique valant septième et huitième rapports périodiques (</w:t>
      </w:r>
      <w:hyperlink r:id="rId61" w:history="1">
        <w:r w:rsidRPr="008E2674">
          <w:rPr>
            <w:rStyle w:val="Hyperlink"/>
            <w:lang w:val="fr-FR"/>
          </w:rPr>
          <w:t>CEDAW/C/YEM/7-8</w:t>
        </w:r>
      </w:hyperlink>
      <w:r w:rsidRPr="000C604D">
        <w:rPr>
          <w:lang w:val="fr-FR"/>
        </w:rPr>
        <w:t>) soumis en juin 2013 par le Yémen et décidé d</w:t>
      </w:r>
      <w:r w:rsidR="00265783">
        <w:rPr>
          <w:lang w:val="fr-FR"/>
        </w:rPr>
        <w:t>’</w:t>
      </w:r>
      <w:r w:rsidRPr="000C604D">
        <w:rPr>
          <w:lang w:val="fr-FR"/>
        </w:rPr>
        <w:t>arrêter à sa soixante-neuvième session les modalités selon lesquelles il examinerait d</w:t>
      </w:r>
      <w:r w:rsidR="00265783">
        <w:rPr>
          <w:lang w:val="fr-FR"/>
        </w:rPr>
        <w:t>’</w:t>
      </w:r>
      <w:r w:rsidRPr="000C604D">
        <w:rPr>
          <w:lang w:val="fr-FR"/>
        </w:rPr>
        <w:t>urgence la situation des femmes et des filles dans le pays.</w:t>
      </w:r>
    </w:p>
    <w:p w14:paraId="28D23845" w14:textId="1E53FB63" w:rsidR="000C604D" w:rsidRPr="000C604D" w:rsidRDefault="000C604D" w:rsidP="000C604D">
      <w:pPr>
        <w:pStyle w:val="SingleTxt"/>
        <w:spacing w:after="0" w:line="120" w:lineRule="exact"/>
        <w:rPr>
          <w:sz w:val="10"/>
          <w:lang w:val="fr-FR"/>
        </w:rPr>
      </w:pPr>
    </w:p>
    <w:p w14:paraId="26FC71A9" w14:textId="77777777" w:rsidR="000C604D" w:rsidRPr="000C604D" w:rsidRDefault="000C604D" w:rsidP="000C6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604D">
        <w:rPr>
          <w:lang w:val="fr-FR"/>
        </w:rPr>
        <w:tab/>
      </w:r>
      <w:r w:rsidRPr="000C604D">
        <w:rPr>
          <w:lang w:val="fr-FR"/>
        </w:rPr>
        <w:tab/>
        <w:t>Décision 68/IV</w:t>
      </w:r>
    </w:p>
    <w:p w14:paraId="0EF9C776" w14:textId="6AAFE3BE" w:rsidR="000C604D" w:rsidRPr="000C604D" w:rsidRDefault="000C604D" w:rsidP="000C604D">
      <w:pPr>
        <w:pStyle w:val="SingleTxt"/>
        <w:spacing w:after="0" w:line="120" w:lineRule="exact"/>
        <w:rPr>
          <w:sz w:val="10"/>
          <w:lang w:val="fr-FR"/>
        </w:rPr>
      </w:pPr>
    </w:p>
    <w:p w14:paraId="3DA11EF6" w14:textId="19229DA8" w:rsidR="000C604D" w:rsidRDefault="000C604D" w:rsidP="000C604D">
      <w:pPr>
        <w:pStyle w:val="SingleTxt"/>
        <w:rPr>
          <w:lang w:val="fr-FR"/>
        </w:rPr>
      </w:pPr>
      <w:r w:rsidRPr="000C604D">
        <w:rPr>
          <w:lang w:val="fr-FR"/>
        </w:rPr>
        <w:tab/>
        <w:t>Le Comité a décidé de modifier le deuxième paragraphe initial de ses observations finales en y insérant une référence à la communication, le cas échéant, par l</w:t>
      </w:r>
      <w:r w:rsidR="00265783">
        <w:rPr>
          <w:lang w:val="fr-FR"/>
        </w:rPr>
        <w:t>’</w:t>
      </w:r>
      <w:r w:rsidRPr="000C604D">
        <w:rPr>
          <w:lang w:val="fr-FR"/>
        </w:rPr>
        <w:t>État partie d</w:t>
      </w:r>
      <w:r w:rsidR="00265783">
        <w:rPr>
          <w:lang w:val="fr-FR"/>
        </w:rPr>
        <w:t>’</w:t>
      </w:r>
      <w:r w:rsidRPr="000C604D">
        <w:rPr>
          <w:lang w:val="fr-FR"/>
        </w:rPr>
        <w:t>informations écrites sur les mesures prises en vue de faire appliquer les recommandations appelant une action immédiate formulées dans les précédentes observations finales du Comité. Il a décidé que, lorsque l</w:t>
      </w:r>
      <w:r w:rsidR="00265783">
        <w:rPr>
          <w:lang w:val="fr-FR"/>
        </w:rPr>
        <w:t>’</w:t>
      </w:r>
      <w:r w:rsidRPr="000C604D">
        <w:rPr>
          <w:lang w:val="fr-FR"/>
        </w:rPr>
        <w:t>État ne présentait pas de rapport de suivi, le paragraphe des observations finales relatif au suivi comporterait un passage dans lequel le Comité déclarerait regretter l</w:t>
      </w:r>
      <w:r w:rsidR="00265783">
        <w:rPr>
          <w:lang w:val="fr-FR"/>
        </w:rPr>
        <w:t>’</w:t>
      </w:r>
      <w:r w:rsidRPr="000C604D">
        <w:rPr>
          <w:lang w:val="fr-FR"/>
        </w:rPr>
        <w:t>absence d</w:t>
      </w:r>
      <w:r w:rsidR="00265783">
        <w:rPr>
          <w:lang w:val="fr-FR"/>
        </w:rPr>
        <w:t>’</w:t>
      </w:r>
      <w:r w:rsidRPr="000C604D">
        <w:rPr>
          <w:lang w:val="fr-FR"/>
        </w:rPr>
        <w:t>un tel rapport.</w:t>
      </w:r>
    </w:p>
    <w:p w14:paraId="19BEF3E1" w14:textId="485557D3" w:rsidR="000C604D" w:rsidRPr="000C604D" w:rsidRDefault="000C604D" w:rsidP="000C604D">
      <w:pPr>
        <w:pStyle w:val="SingleTxt"/>
        <w:spacing w:after="0" w:line="120" w:lineRule="exact"/>
        <w:rPr>
          <w:sz w:val="10"/>
          <w:lang w:val="fr-FR"/>
        </w:rPr>
      </w:pPr>
    </w:p>
    <w:p w14:paraId="692D908B" w14:textId="77777777" w:rsidR="000C604D" w:rsidRPr="000C604D" w:rsidRDefault="000C604D" w:rsidP="000C6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604D">
        <w:rPr>
          <w:lang w:val="fr-FR"/>
        </w:rPr>
        <w:tab/>
      </w:r>
      <w:r w:rsidRPr="000C604D">
        <w:rPr>
          <w:lang w:val="fr-FR"/>
        </w:rPr>
        <w:tab/>
        <w:t>Décision 68/V</w:t>
      </w:r>
    </w:p>
    <w:p w14:paraId="5BE47672" w14:textId="6DF7F3E8" w:rsidR="000C604D" w:rsidRPr="000C604D" w:rsidRDefault="000C604D" w:rsidP="000C604D">
      <w:pPr>
        <w:pStyle w:val="SingleTxt"/>
        <w:spacing w:after="0" w:line="120" w:lineRule="exact"/>
        <w:rPr>
          <w:sz w:val="10"/>
          <w:lang w:val="fr-FR"/>
        </w:rPr>
      </w:pPr>
    </w:p>
    <w:p w14:paraId="140F01C9" w14:textId="1C051891" w:rsidR="000C604D" w:rsidRDefault="000C604D" w:rsidP="000C604D">
      <w:pPr>
        <w:pStyle w:val="SingleTxt"/>
        <w:rPr>
          <w:lang w:val="fr-FR"/>
        </w:rPr>
      </w:pPr>
      <w:r w:rsidRPr="000C604D">
        <w:rPr>
          <w:lang w:val="fr-FR"/>
        </w:rPr>
        <w:tab/>
        <w:t>Le Comité a décidé de modifier le modèle de note d</w:t>
      </w:r>
      <w:r w:rsidR="00265783">
        <w:rPr>
          <w:lang w:val="fr-FR"/>
        </w:rPr>
        <w:t>’</w:t>
      </w:r>
      <w:r w:rsidRPr="000C604D">
        <w:rPr>
          <w:lang w:val="fr-FR"/>
        </w:rPr>
        <w:t>information à l</w:t>
      </w:r>
      <w:r w:rsidR="00265783">
        <w:rPr>
          <w:lang w:val="fr-FR"/>
        </w:rPr>
        <w:t>’</w:t>
      </w:r>
      <w:r w:rsidRPr="000C604D">
        <w:rPr>
          <w:lang w:val="fr-FR"/>
        </w:rPr>
        <w:t xml:space="preserve">usage des rapporteurs de pays, qui est annexé à sa décision 52/II (voir </w:t>
      </w:r>
      <w:hyperlink r:id="rId62" w:history="1">
        <w:r w:rsidRPr="008E2674">
          <w:rPr>
            <w:rStyle w:val="Hyperlink"/>
            <w:lang w:val="fr-FR"/>
          </w:rPr>
          <w:t>A/68/38</w:t>
        </w:r>
      </w:hyperlink>
      <w:r w:rsidRPr="000C604D">
        <w:rPr>
          <w:lang w:val="fr-FR"/>
        </w:rPr>
        <w:t>, première partie, annexe II, appendice), en ajoutant, dans la première partie, un passage concernant la communication ou non par l</w:t>
      </w:r>
      <w:r w:rsidR="00265783">
        <w:rPr>
          <w:lang w:val="fr-FR"/>
        </w:rPr>
        <w:t>’</w:t>
      </w:r>
      <w:r w:rsidRPr="000C604D">
        <w:rPr>
          <w:lang w:val="fr-FR"/>
        </w:rPr>
        <w:t>État partie d</w:t>
      </w:r>
      <w:r w:rsidR="00265783">
        <w:rPr>
          <w:lang w:val="fr-FR"/>
        </w:rPr>
        <w:t>’</w:t>
      </w:r>
      <w:r w:rsidRPr="000C604D">
        <w:rPr>
          <w:lang w:val="fr-FR"/>
        </w:rPr>
        <w:t>informations écrites sur les mesures prises en vue de faire appliquer les recommandations appelant une action immédiate, qui avaient été formulées par le Comité dans ses précédentes observations finales le concernant. Le Comité a décidé également que, lorsque de telles informations étaient communiquées, des renseignements sur leur examen par le Rapporteur chargé du suivi des observations finales figureraient dans la note d</w:t>
      </w:r>
      <w:r w:rsidR="00265783">
        <w:rPr>
          <w:lang w:val="fr-FR"/>
        </w:rPr>
        <w:t>’</w:t>
      </w:r>
      <w:r w:rsidRPr="000C604D">
        <w:rPr>
          <w:lang w:val="fr-FR"/>
        </w:rPr>
        <w:t>information établie par le rapporteur de pays.</w:t>
      </w:r>
    </w:p>
    <w:p w14:paraId="38F138DA" w14:textId="3267934A" w:rsidR="000C604D" w:rsidRPr="000C604D" w:rsidRDefault="000C604D" w:rsidP="000C604D">
      <w:pPr>
        <w:pStyle w:val="SingleTxt"/>
        <w:spacing w:after="0" w:line="120" w:lineRule="exact"/>
        <w:rPr>
          <w:sz w:val="10"/>
          <w:lang w:val="fr-FR"/>
        </w:rPr>
      </w:pPr>
    </w:p>
    <w:p w14:paraId="1EC434F8" w14:textId="77777777" w:rsidR="000C604D" w:rsidRPr="000C604D" w:rsidRDefault="000C604D" w:rsidP="000C6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604D">
        <w:rPr>
          <w:lang w:val="fr-FR"/>
        </w:rPr>
        <w:tab/>
      </w:r>
      <w:r w:rsidRPr="000C604D">
        <w:rPr>
          <w:lang w:val="fr-FR"/>
        </w:rPr>
        <w:tab/>
        <w:t>Décision 68/VI</w:t>
      </w:r>
    </w:p>
    <w:p w14:paraId="3FA14DE8" w14:textId="4C94D0C4" w:rsidR="000C604D" w:rsidRPr="000C604D" w:rsidRDefault="000C604D" w:rsidP="000C604D">
      <w:pPr>
        <w:pStyle w:val="SingleTxt"/>
        <w:spacing w:after="0" w:line="120" w:lineRule="exact"/>
        <w:rPr>
          <w:sz w:val="10"/>
          <w:lang w:val="fr-FR"/>
        </w:rPr>
      </w:pPr>
    </w:p>
    <w:p w14:paraId="6830C35E" w14:textId="0A8C39F0" w:rsidR="000C604D" w:rsidRPr="000C604D" w:rsidRDefault="000C604D" w:rsidP="000C604D">
      <w:pPr>
        <w:pStyle w:val="SingleTxt"/>
        <w:rPr>
          <w:lang w:val="fr-FR"/>
        </w:rPr>
      </w:pPr>
      <w:r>
        <w:rPr>
          <w:lang w:val="fr-FR"/>
        </w:rPr>
        <w:tab/>
      </w:r>
      <w:r w:rsidRPr="000C604D">
        <w:rPr>
          <w:lang w:val="fr-FR"/>
        </w:rPr>
        <w:t>Le Comité a décidé de modifier ses méthodes concernant la procédure à suivre pour l</w:t>
      </w:r>
      <w:r w:rsidR="00265783">
        <w:rPr>
          <w:lang w:val="fr-FR"/>
        </w:rPr>
        <w:t>’</w:t>
      </w:r>
      <w:r w:rsidRPr="000C604D">
        <w:rPr>
          <w:lang w:val="fr-FR"/>
        </w:rPr>
        <w:t xml:space="preserve">examen de la suite donnée aux observations finales (voir </w:t>
      </w:r>
      <w:hyperlink r:id="rId63" w:history="1">
        <w:r w:rsidRPr="008E2674">
          <w:rPr>
            <w:rStyle w:val="Hyperlink"/>
            <w:lang w:val="fr-FR"/>
          </w:rPr>
          <w:t>A/68/38</w:t>
        </w:r>
      </w:hyperlink>
      <w:r w:rsidRPr="000C604D">
        <w:rPr>
          <w:lang w:val="fr-FR"/>
        </w:rPr>
        <w:t>, troisième partie, annexe III), telle que modifiée par sa décision 54/IX, en ajoutant deux nouvelles catégories à celles prévues au paragraphe 3 des méthodes et à la partie III de la note d</w:t>
      </w:r>
      <w:r w:rsidR="00265783">
        <w:rPr>
          <w:lang w:val="fr-FR"/>
        </w:rPr>
        <w:t>’</w:t>
      </w:r>
      <w:r w:rsidRPr="000C604D">
        <w:rPr>
          <w:lang w:val="fr-FR"/>
        </w:rPr>
        <w:t>information concernant la procédure, à l</w:t>
      </w:r>
      <w:r w:rsidR="00265783">
        <w:rPr>
          <w:lang w:val="fr-FR"/>
        </w:rPr>
        <w:t>’</w:t>
      </w:r>
      <w:r w:rsidRPr="000C604D">
        <w:rPr>
          <w:lang w:val="fr-FR"/>
        </w:rPr>
        <w:t>intention des États parties et des autres parties prenantes, sur la présentation de rapports au titre de la procédure de suivi (ibid., appendice), à savoir :</w:t>
      </w:r>
    </w:p>
    <w:p w14:paraId="31C3CC9C" w14:textId="0FB158E0" w:rsidR="000C604D" w:rsidRPr="000C604D" w:rsidRDefault="000C604D" w:rsidP="000C604D">
      <w:pPr>
        <w:pStyle w:val="SingleTxt"/>
        <w:tabs>
          <w:tab w:val="right" w:pos="1685"/>
        </w:tabs>
        <w:ind w:left="1742" w:hanging="475"/>
        <w:rPr>
          <w:lang w:val="fr-FR"/>
        </w:rPr>
      </w:pPr>
      <w:r>
        <w:rPr>
          <w:lang w:val="fr-FR"/>
        </w:rPr>
        <w:lastRenderedPageBreak/>
        <w:tab/>
        <w:t>•</w:t>
      </w:r>
      <w:r w:rsidRPr="000C604D">
        <w:rPr>
          <w:lang w:val="fr-FR"/>
        </w:rPr>
        <w:tab/>
        <w:t>« Recommandation largement mise en œuvre » signifie que l</w:t>
      </w:r>
      <w:r w:rsidR="00265783">
        <w:rPr>
          <w:lang w:val="fr-FR"/>
        </w:rPr>
        <w:t>’</w:t>
      </w:r>
      <w:r w:rsidRPr="000C604D">
        <w:rPr>
          <w:lang w:val="fr-FR"/>
        </w:rPr>
        <w:t>État partie a démontré qu</w:t>
      </w:r>
      <w:r w:rsidR="00265783">
        <w:rPr>
          <w:lang w:val="fr-FR"/>
        </w:rPr>
        <w:t>’</w:t>
      </w:r>
      <w:r w:rsidRPr="000C604D">
        <w:rPr>
          <w:lang w:val="fr-FR"/>
        </w:rPr>
        <w:t>il avait pris des mesures suffisantes en vue de donner suite à la recommandation adoptée par le Comité mais qu</w:t>
      </w:r>
      <w:r w:rsidR="00265783">
        <w:rPr>
          <w:lang w:val="fr-FR"/>
        </w:rPr>
        <w:t>’</w:t>
      </w:r>
      <w:r w:rsidRPr="000C604D">
        <w:rPr>
          <w:lang w:val="fr-FR"/>
        </w:rPr>
        <w:t>il ne l</w:t>
      </w:r>
      <w:r w:rsidR="00265783">
        <w:rPr>
          <w:lang w:val="fr-FR"/>
        </w:rPr>
        <w:t>’</w:t>
      </w:r>
      <w:r w:rsidRPr="000C604D">
        <w:rPr>
          <w:lang w:val="fr-FR"/>
        </w:rPr>
        <w:t>a pas appliquée pleinement. Dans ce cas, le Rapporteur chargé du suivi ne lui demande aucune information complémentaire.</w:t>
      </w:r>
    </w:p>
    <w:p w14:paraId="3F8D3FE2" w14:textId="2746A14C" w:rsidR="000C604D" w:rsidRDefault="000C604D" w:rsidP="000C604D">
      <w:pPr>
        <w:pStyle w:val="SingleTxt"/>
        <w:tabs>
          <w:tab w:val="right" w:pos="1685"/>
        </w:tabs>
        <w:ind w:left="1742" w:hanging="475"/>
        <w:rPr>
          <w:lang w:val="fr-FR"/>
        </w:rPr>
      </w:pPr>
      <w:r>
        <w:rPr>
          <w:lang w:val="fr-FR"/>
        </w:rPr>
        <w:tab/>
      </w:r>
      <w:r w:rsidRPr="000C604D">
        <w:rPr>
          <w:lang w:val="fr-FR"/>
        </w:rPr>
        <w:t>•</w:t>
      </w:r>
      <w:r w:rsidRPr="000C604D">
        <w:rPr>
          <w:lang w:val="fr-FR"/>
        </w:rPr>
        <w:tab/>
        <w:t>« Les informations fournies ou les mesures prises sont contraires à la recommandation ou traduisent un refus de celle-ci » signifie que l</w:t>
      </w:r>
      <w:r w:rsidR="00265783">
        <w:rPr>
          <w:lang w:val="fr-FR"/>
        </w:rPr>
        <w:t>’</w:t>
      </w:r>
      <w:r w:rsidRPr="000C604D">
        <w:rPr>
          <w:lang w:val="fr-FR"/>
        </w:rPr>
        <w:t>État partie n</w:t>
      </w:r>
      <w:r w:rsidR="00265783">
        <w:rPr>
          <w:lang w:val="fr-FR"/>
        </w:rPr>
        <w:t>’</w:t>
      </w:r>
      <w:r w:rsidRPr="000C604D">
        <w:rPr>
          <w:lang w:val="fr-FR"/>
        </w:rPr>
        <w:t>a pas pris de mesures pour donner suite à la recommandation, confirmant ainsi les préoccupations du Comité, ou que l</w:t>
      </w:r>
      <w:r w:rsidR="00265783">
        <w:rPr>
          <w:lang w:val="fr-FR"/>
        </w:rPr>
        <w:t>’</w:t>
      </w:r>
      <w:r w:rsidRPr="000C604D">
        <w:rPr>
          <w:lang w:val="fr-FR"/>
        </w:rPr>
        <w:t>État partie rejette la recommandation faite par le Comité. En pareil cas, le Rapporteur chargé du suivi demande à l</w:t>
      </w:r>
      <w:r w:rsidR="00265783">
        <w:rPr>
          <w:lang w:val="fr-FR"/>
        </w:rPr>
        <w:t>’</w:t>
      </w:r>
      <w:r w:rsidRPr="000C604D">
        <w:rPr>
          <w:lang w:val="fr-FR"/>
        </w:rPr>
        <w:t>État partie de donner, dans des délais précis ou dans le prochain rapport périodique, des informations sur les dispositions prises aux fins de la mise en œuvre de la recommandation.</w:t>
      </w:r>
    </w:p>
    <w:p w14:paraId="3036DE2D" w14:textId="3538FBAF" w:rsidR="000C604D" w:rsidRPr="000C604D" w:rsidRDefault="000C604D" w:rsidP="000C604D">
      <w:pPr>
        <w:pStyle w:val="SingleTxt"/>
        <w:tabs>
          <w:tab w:val="right" w:pos="1685"/>
        </w:tabs>
        <w:spacing w:after="0" w:line="120" w:lineRule="exact"/>
        <w:ind w:left="1742" w:hanging="475"/>
        <w:rPr>
          <w:sz w:val="10"/>
          <w:lang w:val="fr-FR"/>
        </w:rPr>
      </w:pPr>
    </w:p>
    <w:p w14:paraId="28D89852" w14:textId="77777777" w:rsidR="000C604D" w:rsidRPr="000C604D" w:rsidRDefault="000C604D" w:rsidP="000C6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604D">
        <w:rPr>
          <w:lang w:val="fr-FR"/>
        </w:rPr>
        <w:tab/>
      </w:r>
      <w:r w:rsidRPr="000C604D">
        <w:rPr>
          <w:lang w:val="fr-FR"/>
        </w:rPr>
        <w:tab/>
        <w:t>Décision 68/VII</w:t>
      </w:r>
    </w:p>
    <w:p w14:paraId="435C19E5" w14:textId="31D0F9A0" w:rsidR="000C604D" w:rsidRPr="000C604D" w:rsidRDefault="000C604D" w:rsidP="000C604D">
      <w:pPr>
        <w:pStyle w:val="SingleTxt"/>
        <w:spacing w:after="0" w:line="120" w:lineRule="exact"/>
        <w:rPr>
          <w:sz w:val="10"/>
          <w:lang w:val="fr-FR"/>
        </w:rPr>
      </w:pPr>
    </w:p>
    <w:p w14:paraId="185845C0" w14:textId="59E633FD" w:rsidR="000C604D" w:rsidRDefault="000C604D" w:rsidP="000C604D">
      <w:pPr>
        <w:pStyle w:val="SingleTxt"/>
        <w:rPr>
          <w:lang w:val="fr-FR"/>
        </w:rPr>
      </w:pPr>
      <w:r w:rsidRPr="000C604D">
        <w:rPr>
          <w:lang w:val="fr-FR"/>
        </w:rPr>
        <w:tab/>
        <w:t>Le Comité a confirmé que son groupe de travail d</w:t>
      </w:r>
      <w:r w:rsidR="00265783">
        <w:rPr>
          <w:lang w:val="fr-FR"/>
        </w:rPr>
        <w:t>’</w:t>
      </w:r>
      <w:r w:rsidRPr="000C604D">
        <w:rPr>
          <w:lang w:val="fr-FR"/>
        </w:rPr>
        <w:t>avant-session pour la soixante-dixième session serait composé des membres suivants</w:t>
      </w:r>
      <w:r w:rsidR="00265783">
        <w:rPr>
          <w:lang w:val="fr-FR"/>
        </w:rPr>
        <w:t xml:space="preserve"> : </w:t>
      </w:r>
      <w:r w:rsidRPr="000C604D">
        <w:rPr>
          <w:lang w:val="fr-FR"/>
        </w:rPr>
        <w:t>Gladys Acosta Vargas, Nicole Ameline, Lia Nadaraia, Bandana Rana et Aicha Vall Verges (en remplacement de Theodora Oby Nwankwo).</w:t>
      </w:r>
    </w:p>
    <w:p w14:paraId="042FC57F" w14:textId="5741E1CB" w:rsidR="000C604D" w:rsidRDefault="000C604D" w:rsidP="000C604D">
      <w:pPr>
        <w:pStyle w:val="SingleTxt"/>
        <w:rPr>
          <w:lang w:val="fr-FR"/>
        </w:rPr>
      </w:pPr>
    </w:p>
    <w:p w14:paraId="157FFA59" w14:textId="777C2328" w:rsidR="000C604D" w:rsidRDefault="000C604D" w:rsidP="000C604D">
      <w:pPr>
        <w:pStyle w:val="SingleTxt"/>
        <w:rPr>
          <w:lang w:val="fr-FR"/>
        </w:rPr>
      </w:pPr>
    </w:p>
    <w:p w14:paraId="705DB249" w14:textId="037969BA" w:rsidR="000C604D" w:rsidRDefault="000C604D" w:rsidP="000C604D">
      <w:pPr>
        <w:pStyle w:val="SingleTxt"/>
        <w:rPr>
          <w:lang w:val="fr-FR"/>
        </w:rPr>
      </w:pPr>
    </w:p>
    <w:p w14:paraId="63D9C994" w14:textId="6AC0BE6B" w:rsidR="000C604D" w:rsidRDefault="000C604D">
      <w:pPr>
        <w:spacing w:after="200" w:line="276" w:lineRule="auto"/>
        <w:rPr>
          <w:lang w:val="fr-FR"/>
        </w:rPr>
      </w:pPr>
      <w:r>
        <w:rPr>
          <w:lang w:val="fr-FR"/>
        </w:rPr>
        <w:br w:type="page"/>
      </w:r>
    </w:p>
    <w:p w14:paraId="0D78A6ED" w14:textId="57C66F89" w:rsidR="000C604D" w:rsidRPr="009C4E47" w:rsidRDefault="000C604D" w:rsidP="0034509F">
      <w:pPr>
        <w:pStyle w:val="HCh0"/>
        <w:ind w:left="1267" w:right="1260" w:hanging="1267"/>
        <w:rPr>
          <w:lang w:val="fr-FR"/>
        </w:rPr>
      </w:pPr>
      <w:r w:rsidRPr="009C4E47">
        <w:rPr>
          <w:lang w:val="fr-FR"/>
        </w:rPr>
        <w:lastRenderedPageBreak/>
        <w:t>Chapitre II</w:t>
      </w:r>
    </w:p>
    <w:p w14:paraId="68A89335" w14:textId="50A62601" w:rsidR="000C604D" w:rsidRPr="009C4E47" w:rsidRDefault="000C604D" w:rsidP="0034509F">
      <w:pPr>
        <w:pStyle w:val="HCh0"/>
        <w:ind w:left="1267" w:right="1260" w:hanging="1267"/>
        <w:rPr>
          <w:lang w:val="fr-FR"/>
        </w:rPr>
      </w:pPr>
      <w:r w:rsidRPr="009C4E47">
        <w:rPr>
          <w:lang w:val="fr-FR"/>
        </w:rPr>
        <w:tab/>
      </w:r>
      <w:r w:rsidRPr="009C4E47">
        <w:rPr>
          <w:lang w:val="fr-FR"/>
        </w:rPr>
        <w:tab/>
        <w:t>Questions d</w:t>
      </w:r>
      <w:r w:rsidR="00265783">
        <w:rPr>
          <w:lang w:val="fr-FR"/>
        </w:rPr>
        <w:t>’</w:t>
      </w:r>
      <w:r w:rsidRPr="009C4E47">
        <w:rPr>
          <w:lang w:val="fr-FR"/>
        </w:rPr>
        <w:t xml:space="preserve">organisation et questions diverses </w:t>
      </w:r>
    </w:p>
    <w:p w14:paraId="5D6F4BB2" w14:textId="6D9E08B9" w:rsidR="0034509F" w:rsidRPr="009C4E47" w:rsidRDefault="0034509F" w:rsidP="0034509F">
      <w:pPr>
        <w:pStyle w:val="SingleTxt"/>
        <w:spacing w:after="0" w:line="120" w:lineRule="exact"/>
        <w:rPr>
          <w:sz w:val="10"/>
          <w:lang w:val="fr-FR"/>
        </w:rPr>
      </w:pPr>
    </w:p>
    <w:p w14:paraId="62C18FB9" w14:textId="44738A29" w:rsidR="0034509F" w:rsidRPr="009C4E47" w:rsidRDefault="0034509F" w:rsidP="0034509F">
      <w:pPr>
        <w:pStyle w:val="SingleTxt"/>
        <w:spacing w:after="0" w:line="120" w:lineRule="exact"/>
        <w:rPr>
          <w:sz w:val="10"/>
          <w:lang w:val="fr-FR"/>
        </w:rPr>
      </w:pPr>
    </w:p>
    <w:p w14:paraId="2624528A" w14:textId="7BE63341" w:rsidR="000C604D" w:rsidRDefault="0034509F" w:rsidP="003450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C604D" w:rsidRPr="000C604D">
        <w:rPr>
          <w:lang w:val="fr-FR"/>
        </w:rPr>
        <w:t>A.</w:t>
      </w:r>
      <w:r w:rsidR="000C604D" w:rsidRPr="000C604D">
        <w:rPr>
          <w:lang w:val="fr-FR"/>
        </w:rPr>
        <w:tab/>
        <w:t>États parties à la Convention et au Protocole facultatif</w:t>
      </w:r>
    </w:p>
    <w:p w14:paraId="494935FB" w14:textId="78C70E6D" w:rsidR="0034509F" w:rsidRPr="0034509F" w:rsidRDefault="0034509F" w:rsidP="0034509F">
      <w:pPr>
        <w:pStyle w:val="SingleTxt"/>
        <w:spacing w:after="0" w:line="120" w:lineRule="exact"/>
        <w:rPr>
          <w:sz w:val="10"/>
          <w:lang w:val="fr-FR"/>
        </w:rPr>
      </w:pPr>
    </w:p>
    <w:p w14:paraId="078155A0" w14:textId="4C733160" w:rsidR="0034509F" w:rsidRPr="0034509F" w:rsidRDefault="0034509F" w:rsidP="0034509F">
      <w:pPr>
        <w:pStyle w:val="SingleTxt"/>
        <w:spacing w:after="0" w:line="120" w:lineRule="exact"/>
        <w:rPr>
          <w:sz w:val="10"/>
          <w:lang w:val="fr-FR"/>
        </w:rPr>
      </w:pPr>
    </w:p>
    <w:p w14:paraId="5A7F3C64" w14:textId="2DD7E7E8" w:rsidR="000C604D" w:rsidRPr="000C604D" w:rsidRDefault="000C604D" w:rsidP="0034509F">
      <w:pPr>
        <w:pStyle w:val="SingleTxt"/>
        <w:numPr>
          <w:ilvl w:val="0"/>
          <w:numId w:val="10"/>
        </w:numPr>
        <w:spacing w:line="240" w:lineRule="exact"/>
        <w:rPr>
          <w:lang w:val="fr-FR"/>
        </w:rPr>
      </w:pPr>
      <w:r w:rsidRPr="000C604D">
        <w:rPr>
          <w:lang w:val="fr-FR"/>
        </w:rPr>
        <w:t>Au 17 novembre 2017, date de la clôture de la soixante-huitième session du Comité, le nombre d</w:t>
      </w:r>
      <w:r w:rsidR="00265783">
        <w:rPr>
          <w:lang w:val="fr-FR"/>
        </w:rPr>
        <w:t>’</w:t>
      </w:r>
      <w:r w:rsidRPr="000C604D">
        <w:rPr>
          <w:lang w:val="fr-FR"/>
        </w:rPr>
        <w:t>États ayant ratifié la Convention (189) était le même qu</w:t>
      </w:r>
      <w:r w:rsidR="00265783">
        <w:rPr>
          <w:lang w:val="fr-FR"/>
        </w:rPr>
        <w:t>’</w:t>
      </w:r>
      <w:r w:rsidR="00745E5A">
        <w:rPr>
          <w:lang w:val="fr-FR"/>
        </w:rPr>
        <w:t>au 21 </w:t>
      </w:r>
      <w:r w:rsidRPr="000C604D">
        <w:rPr>
          <w:lang w:val="fr-FR"/>
        </w:rPr>
        <w:t>juillet, date de la clôture de la soixante-septième session. Un nouvel État partie a accepté la modification du paragraphe 1 de l</w:t>
      </w:r>
      <w:r w:rsidR="00265783">
        <w:rPr>
          <w:lang w:val="fr-FR"/>
        </w:rPr>
        <w:t>’</w:t>
      </w:r>
      <w:r w:rsidRPr="000C604D">
        <w:rPr>
          <w:lang w:val="fr-FR"/>
        </w:rPr>
        <w:t>article 20 de la Convention relatif à la période de réunion du Comité, ce qui porte à 72 le nombre des États parties l</w:t>
      </w:r>
      <w:r w:rsidR="00265783">
        <w:rPr>
          <w:lang w:val="fr-FR"/>
        </w:rPr>
        <w:t>’</w:t>
      </w:r>
      <w:r w:rsidRPr="000C604D">
        <w:rPr>
          <w:lang w:val="fr-FR"/>
        </w:rPr>
        <w:t>ayant acceptée.</w:t>
      </w:r>
    </w:p>
    <w:p w14:paraId="5E3CB460" w14:textId="04CF39FD" w:rsidR="000C604D" w:rsidRDefault="000C604D" w:rsidP="0034509F">
      <w:pPr>
        <w:pStyle w:val="SingleTxt"/>
        <w:numPr>
          <w:ilvl w:val="0"/>
          <w:numId w:val="10"/>
        </w:numPr>
        <w:spacing w:line="240" w:lineRule="exact"/>
        <w:rPr>
          <w:lang w:val="fr-FR"/>
        </w:rPr>
      </w:pPr>
      <w:r w:rsidRPr="000C604D">
        <w:rPr>
          <w:lang w:val="fr-FR"/>
        </w:rPr>
        <w:t>Le nombre d</w:t>
      </w:r>
      <w:r w:rsidR="00265783">
        <w:rPr>
          <w:lang w:val="fr-FR"/>
        </w:rPr>
        <w:t>’</w:t>
      </w:r>
      <w:r w:rsidRPr="000C604D">
        <w:rPr>
          <w:lang w:val="fr-FR"/>
        </w:rPr>
        <w:t>États ayant ratifié le Protocole facultatif à la Convention (109) était le même qu</w:t>
      </w:r>
      <w:r w:rsidR="00265783">
        <w:rPr>
          <w:lang w:val="fr-FR"/>
        </w:rPr>
        <w:t>’</w:t>
      </w:r>
      <w:r w:rsidRPr="000C604D">
        <w:rPr>
          <w:lang w:val="fr-FR"/>
        </w:rPr>
        <w:t xml:space="preserve">au 21 juillet, date de la clôture de la soixante-septième session. </w:t>
      </w:r>
    </w:p>
    <w:p w14:paraId="05E7BE86" w14:textId="7CA3D808" w:rsidR="0034509F" w:rsidRPr="0034509F" w:rsidRDefault="0034509F" w:rsidP="0034509F">
      <w:pPr>
        <w:pStyle w:val="SingleTxt"/>
        <w:spacing w:after="0" w:line="120" w:lineRule="exact"/>
        <w:rPr>
          <w:sz w:val="10"/>
          <w:lang w:val="fr-FR"/>
        </w:rPr>
      </w:pPr>
    </w:p>
    <w:p w14:paraId="34A3A7AA" w14:textId="47C9558E" w:rsidR="0034509F" w:rsidRPr="0034509F" w:rsidRDefault="0034509F" w:rsidP="0034509F">
      <w:pPr>
        <w:pStyle w:val="SingleTxt"/>
        <w:spacing w:after="0" w:line="120" w:lineRule="exact"/>
        <w:rPr>
          <w:sz w:val="10"/>
          <w:lang w:val="fr-FR"/>
        </w:rPr>
      </w:pPr>
    </w:p>
    <w:p w14:paraId="59E09DDE" w14:textId="6E54B84E" w:rsidR="000C604D" w:rsidRPr="000C604D" w:rsidRDefault="0034509F" w:rsidP="003450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C604D" w:rsidRPr="000C604D">
        <w:rPr>
          <w:lang w:val="fr-FR"/>
        </w:rPr>
        <w:t>B.</w:t>
      </w:r>
      <w:r w:rsidR="000C604D" w:rsidRPr="000C604D">
        <w:rPr>
          <w:lang w:val="fr-FR"/>
        </w:rPr>
        <w:tab/>
        <w:t xml:space="preserve">Ouverture de la session </w:t>
      </w:r>
    </w:p>
    <w:p w14:paraId="28C2B6F2" w14:textId="6DC98790" w:rsidR="0034509F" w:rsidRPr="0034509F" w:rsidRDefault="0034509F" w:rsidP="0034509F">
      <w:pPr>
        <w:pStyle w:val="SingleTxt"/>
        <w:spacing w:after="0" w:line="120" w:lineRule="exact"/>
        <w:rPr>
          <w:sz w:val="10"/>
          <w:lang w:val="fr-FR"/>
        </w:rPr>
      </w:pPr>
    </w:p>
    <w:p w14:paraId="676286F0" w14:textId="3C1936CC" w:rsidR="0034509F" w:rsidRPr="0034509F" w:rsidRDefault="0034509F" w:rsidP="0034509F">
      <w:pPr>
        <w:pStyle w:val="SingleTxt"/>
        <w:spacing w:after="0" w:line="120" w:lineRule="exact"/>
        <w:rPr>
          <w:sz w:val="10"/>
          <w:lang w:val="fr-FR"/>
        </w:rPr>
      </w:pPr>
    </w:p>
    <w:p w14:paraId="19152312" w14:textId="24BC0A0F" w:rsidR="000C604D" w:rsidRPr="000C604D" w:rsidRDefault="000C604D" w:rsidP="0034509F">
      <w:pPr>
        <w:pStyle w:val="SingleTxt"/>
        <w:numPr>
          <w:ilvl w:val="0"/>
          <w:numId w:val="10"/>
        </w:numPr>
        <w:spacing w:line="240" w:lineRule="exact"/>
        <w:rPr>
          <w:lang w:val="fr-FR"/>
        </w:rPr>
      </w:pPr>
      <w:r w:rsidRPr="000C604D">
        <w:rPr>
          <w:lang w:val="fr-FR"/>
        </w:rPr>
        <w:t>Le Comité a tenu sa soixante-huitième session à l</w:t>
      </w:r>
      <w:r w:rsidR="00265783">
        <w:rPr>
          <w:lang w:val="fr-FR"/>
        </w:rPr>
        <w:t>’</w:t>
      </w:r>
      <w:r w:rsidRPr="000C604D">
        <w:rPr>
          <w:lang w:val="fr-FR"/>
        </w:rPr>
        <w:t xml:space="preserve">Office des Nations Unies à Genève, du 23 octobre au 17 novembre 2017. Il a </w:t>
      </w:r>
      <w:r w:rsidR="00745E5A">
        <w:rPr>
          <w:lang w:val="fr-FR"/>
        </w:rPr>
        <w:t>tenu 29 séances plénières et 11 </w:t>
      </w:r>
      <w:r w:rsidRPr="000C604D">
        <w:rPr>
          <w:lang w:val="fr-FR"/>
        </w:rPr>
        <w:t>autres séances pour examiner les points 5 à 8 de l</w:t>
      </w:r>
      <w:r w:rsidR="00265783">
        <w:rPr>
          <w:lang w:val="fr-FR"/>
        </w:rPr>
        <w:t>’</w:t>
      </w:r>
      <w:r w:rsidRPr="000C604D">
        <w:rPr>
          <w:lang w:val="fr-FR"/>
        </w:rPr>
        <w:t>ordre du jour. La liste des documents dont il était saisi figure à l</w:t>
      </w:r>
      <w:r w:rsidR="00265783">
        <w:rPr>
          <w:lang w:val="fr-FR"/>
        </w:rPr>
        <w:t>’</w:t>
      </w:r>
      <w:r w:rsidRPr="000C604D">
        <w:rPr>
          <w:lang w:val="fr-FR"/>
        </w:rPr>
        <w:t xml:space="preserve">annexe de la deuxième partie du présent rapport. </w:t>
      </w:r>
    </w:p>
    <w:p w14:paraId="5AEF1FB6" w14:textId="54E529D8" w:rsidR="000C604D" w:rsidRDefault="000C604D" w:rsidP="002A5D84">
      <w:pPr>
        <w:pStyle w:val="SingleTxt"/>
        <w:numPr>
          <w:ilvl w:val="0"/>
          <w:numId w:val="10"/>
        </w:numPr>
        <w:spacing w:line="240" w:lineRule="exact"/>
        <w:rPr>
          <w:lang w:val="fr-FR"/>
        </w:rPr>
      </w:pPr>
      <w:r w:rsidRPr="000C604D">
        <w:rPr>
          <w:lang w:val="fr-FR"/>
        </w:rPr>
        <w:t>La session a été ouverte par la Présidente, le 23 octobre, à la 1530</w:t>
      </w:r>
      <w:r w:rsidRPr="000C604D">
        <w:rPr>
          <w:vertAlign w:val="superscript"/>
          <w:lang w:val="fr-FR"/>
        </w:rPr>
        <w:t>e</w:t>
      </w:r>
      <w:r w:rsidRPr="000C604D">
        <w:rPr>
          <w:lang w:val="fr-FR"/>
        </w:rPr>
        <w:t xml:space="preserve"> séance.</w:t>
      </w:r>
    </w:p>
    <w:p w14:paraId="76831F8D" w14:textId="2C49AE9C" w:rsidR="002A5D84" w:rsidRPr="002A5D84" w:rsidRDefault="002A5D84" w:rsidP="002A5D84">
      <w:pPr>
        <w:pStyle w:val="SingleTxt"/>
        <w:spacing w:after="0" w:line="120" w:lineRule="exact"/>
        <w:rPr>
          <w:sz w:val="10"/>
          <w:lang w:val="fr-FR"/>
        </w:rPr>
      </w:pPr>
    </w:p>
    <w:p w14:paraId="21BC6D5E" w14:textId="4BFC09C7" w:rsidR="002A5D84" w:rsidRPr="002A5D84" w:rsidRDefault="002A5D84" w:rsidP="002A5D84">
      <w:pPr>
        <w:pStyle w:val="SingleTxt"/>
        <w:spacing w:after="0" w:line="120" w:lineRule="exact"/>
        <w:rPr>
          <w:sz w:val="10"/>
          <w:lang w:val="fr-FR"/>
        </w:rPr>
      </w:pPr>
    </w:p>
    <w:p w14:paraId="22A06F79" w14:textId="715B6F65" w:rsidR="000C604D" w:rsidRPr="000C604D" w:rsidRDefault="002A5D84" w:rsidP="002A5D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C604D" w:rsidRPr="000C604D">
        <w:rPr>
          <w:lang w:val="fr-FR"/>
        </w:rPr>
        <w:t>C.</w:t>
      </w:r>
      <w:r w:rsidR="000C604D" w:rsidRPr="000C604D">
        <w:rPr>
          <w:lang w:val="fr-FR"/>
        </w:rPr>
        <w:tab/>
        <w:t>Adoption de l</w:t>
      </w:r>
      <w:r w:rsidR="00265783">
        <w:rPr>
          <w:lang w:val="fr-FR"/>
        </w:rPr>
        <w:t>’</w:t>
      </w:r>
      <w:r w:rsidR="000C604D" w:rsidRPr="000C604D">
        <w:rPr>
          <w:lang w:val="fr-FR"/>
        </w:rPr>
        <w:t>ordre du jour</w:t>
      </w:r>
    </w:p>
    <w:p w14:paraId="62605851" w14:textId="33F7B448" w:rsidR="002A5D84" w:rsidRPr="002A5D84" w:rsidRDefault="002A5D84" w:rsidP="002A5D84">
      <w:pPr>
        <w:pStyle w:val="SingleTxt"/>
        <w:spacing w:after="0" w:line="120" w:lineRule="exact"/>
        <w:rPr>
          <w:sz w:val="10"/>
          <w:lang w:val="fr-FR"/>
        </w:rPr>
      </w:pPr>
    </w:p>
    <w:p w14:paraId="40CBF0C5" w14:textId="72C25DEC" w:rsidR="002A5D84" w:rsidRPr="002A5D84" w:rsidRDefault="002A5D84" w:rsidP="002A5D84">
      <w:pPr>
        <w:pStyle w:val="SingleTxt"/>
        <w:spacing w:after="0" w:line="120" w:lineRule="exact"/>
        <w:rPr>
          <w:sz w:val="10"/>
          <w:lang w:val="fr-FR"/>
        </w:rPr>
      </w:pPr>
    </w:p>
    <w:p w14:paraId="7FE12D13" w14:textId="409755B3" w:rsidR="000C604D" w:rsidRDefault="000C604D" w:rsidP="002A5D84">
      <w:pPr>
        <w:pStyle w:val="SingleTxt"/>
        <w:numPr>
          <w:ilvl w:val="0"/>
          <w:numId w:val="10"/>
        </w:numPr>
        <w:spacing w:line="240" w:lineRule="exact"/>
        <w:rPr>
          <w:lang w:val="fr-FR"/>
        </w:rPr>
      </w:pPr>
      <w:r w:rsidRPr="000C604D">
        <w:rPr>
          <w:lang w:val="fr-FR"/>
        </w:rPr>
        <w:t>À sa 1530</w:t>
      </w:r>
      <w:r w:rsidRPr="000C604D">
        <w:rPr>
          <w:vertAlign w:val="superscript"/>
          <w:lang w:val="fr-FR"/>
        </w:rPr>
        <w:t>e</w:t>
      </w:r>
      <w:r w:rsidRPr="000C604D">
        <w:rPr>
          <w:lang w:val="fr-FR"/>
        </w:rPr>
        <w:t xml:space="preserve"> séance, le 23 octobre, le Comité a adopté l</w:t>
      </w:r>
      <w:r w:rsidR="00265783">
        <w:rPr>
          <w:lang w:val="fr-FR"/>
        </w:rPr>
        <w:t>’</w:t>
      </w:r>
      <w:r w:rsidRPr="000C604D">
        <w:rPr>
          <w:lang w:val="fr-FR"/>
        </w:rPr>
        <w:t>ordre du jour provisoire de sa session (</w:t>
      </w:r>
      <w:hyperlink r:id="rId64" w:history="1">
        <w:r w:rsidRPr="008E2674">
          <w:rPr>
            <w:rStyle w:val="Hyperlink"/>
            <w:lang w:val="fr-FR"/>
          </w:rPr>
          <w:t>CEDAW/C/68/1</w:t>
        </w:r>
      </w:hyperlink>
      <w:r w:rsidRPr="000C604D">
        <w:rPr>
          <w:lang w:val="fr-FR"/>
        </w:rPr>
        <w:t xml:space="preserve">). </w:t>
      </w:r>
    </w:p>
    <w:p w14:paraId="79AD95A3" w14:textId="537CAC2C" w:rsidR="002A5D84" w:rsidRPr="002A5D84" w:rsidRDefault="002A5D84" w:rsidP="002A5D84">
      <w:pPr>
        <w:pStyle w:val="SingleTxt"/>
        <w:spacing w:after="0" w:line="120" w:lineRule="exact"/>
        <w:rPr>
          <w:sz w:val="10"/>
          <w:lang w:val="fr-FR"/>
        </w:rPr>
      </w:pPr>
    </w:p>
    <w:p w14:paraId="70E6032D" w14:textId="12D4E73E" w:rsidR="002A5D84" w:rsidRPr="002A5D84" w:rsidRDefault="002A5D84" w:rsidP="002A5D84">
      <w:pPr>
        <w:pStyle w:val="SingleTxt"/>
        <w:spacing w:after="0" w:line="120" w:lineRule="exact"/>
        <w:rPr>
          <w:sz w:val="10"/>
          <w:lang w:val="fr-FR"/>
        </w:rPr>
      </w:pPr>
    </w:p>
    <w:p w14:paraId="7C8B33F9" w14:textId="283CCE23" w:rsidR="000C604D" w:rsidRPr="000C604D" w:rsidRDefault="002A5D84" w:rsidP="002A5D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C604D" w:rsidRPr="000C604D">
        <w:rPr>
          <w:lang w:val="fr-FR"/>
        </w:rPr>
        <w:t>D.</w:t>
      </w:r>
      <w:r w:rsidR="000C604D" w:rsidRPr="000C604D">
        <w:rPr>
          <w:lang w:val="fr-FR"/>
        </w:rPr>
        <w:tab/>
        <w:t>Rapport du groupe de travail d</w:t>
      </w:r>
      <w:r w:rsidR="00265783">
        <w:rPr>
          <w:lang w:val="fr-FR"/>
        </w:rPr>
        <w:t>’</w:t>
      </w:r>
      <w:r w:rsidR="000C604D" w:rsidRPr="000C604D">
        <w:rPr>
          <w:lang w:val="fr-FR"/>
        </w:rPr>
        <w:t xml:space="preserve">avant-session </w:t>
      </w:r>
    </w:p>
    <w:p w14:paraId="31AC1E51" w14:textId="1DAB481B" w:rsidR="002A5D84" w:rsidRPr="002A5D84" w:rsidRDefault="002A5D84" w:rsidP="002A5D84">
      <w:pPr>
        <w:pStyle w:val="SingleTxt"/>
        <w:spacing w:after="0" w:line="120" w:lineRule="exact"/>
        <w:rPr>
          <w:sz w:val="10"/>
          <w:lang w:val="fr-FR"/>
        </w:rPr>
      </w:pPr>
    </w:p>
    <w:p w14:paraId="4EFA03D5" w14:textId="2D3EAFB7" w:rsidR="002A5D84" w:rsidRPr="002A5D84" w:rsidRDefault="002A5D84" w:rsidP="002A5D84">
      <w:pPr>
        <w:pStyle w:val="SingleTxt"/>
        <w:spacing w:after="0" w:line="120" w:lineRule="exact"/>
        <w:rPr>
          <w:sz w:val="10"/>
          <w:lang w:val="fr-FR"/>
        </w:rPr>
      </w:pPr>
    </w:p>
    <w:p w14:paraId="0355E440" w14:textId="08BF7FA2" w:rsidR="000C604D" w:rsidRDefault="000C604D" w:rsidP="002A5D84">
      <w:pPr>
        <w:pStyle w:val="SingleTxt"/>
        <w:numPr>
          <w:ilvl w:val="0"/>
          <w:numId w:val="10"/>
        </w:numPr>
        <w:spacing w:line="240" w:lineRule="exact"/>
        <w:rPr>
          <w:lang w:val="fr-FR"/>
        </w:rPr>
      </w:pPr>
      <w:r w:rsidRPr="000C604D">
        <w:rPr>
          <w:lang w:val="fr-FR"/>
        </w:rPr>
        <w:t>Le rapport du groupe de travail d</w:t>
      </w:r>
      <w:r w:rsidR="00265783">
        <w:rPr>
          <w:lang w:val="fr-FR"/>
        </w:rPr>
        <w:t>’</w:t>
      </w:r>
      <w:r w:rsidRPr="000C604D">
        <w:rPr>
          <w:lang w:val="fr-FR"/>
        </w:rPr>
        <w:t>avant-session (</w:t>
      </w:r>
      <w:hyperlink r:id="rId65" w:history="1">
        <w:r w:rsidRPr="008E2674">
          <w:rPr>
            <w:rStyle w:val="Hyperlink"/>
            <w:lang w:val="fr-FR"/>
          </w:rPr>
          <w:t>CEDAW/C/PSWG/68/1</w:t>
        </w:r>
      </w:hyperlink>
      <w:r w:rsidRPr="000C604D">
        <w:rPr>
          <w:lang w:val="fr-FR"/>
        </w:rPr>
        <w:t>), qui s</w:t>
      </w:r>
      <w:r w:rsidR="00265783">
        <w:rPr>
          <w:lang w:val="fr-FR"/>
        </w:rPr>
        <w:t>’</w:t>
      </w:r>
      <w:r w:rsidRPr="000C604D">
        <w:rPr>
          <w:lang w:val="fr-FR"/>
        </w:rPr>
        <w:t>était réuni du 6 au 10 mars, a été présenté par Náela Mohamed Gabr à la 1530</w:t>
      </w:r>
      <w:r w:rsidRPr="000C604D">
        <w:rPr>
          <w:vertAlign w:val="superscript"/>
          <w:lang w:val="fr-FR"/>
        </w:rPr>
        <w:t>e</w:t>
      </w:r>
      <w:r w:rsidR="00745E5A">
        <w:rPr>
          <w:lang w:val="fr-FR"/>
        </w:rPr>
        <w:t> </w:t>
      </w:r>
      <w:r w:rsidRPr="000C604D">
        <w:rPr>
          <w:lang w:val="fr-FR"/>
        </w:rPr>
        <w:t xml:space="preserve">séance, le 23 octobre. </w:t>
      </w:r>
    </w:p>
    <w:p w14:paraId="27C2AFDF" w14:textId="02C5AAAF" w:rsidR="002A5D84" w:rsidRPr="002A5D84" w:rsidRDefault="002A5D84" w:rsidP="002A5D84">
      <w:pPr>
        <w:pStyle w:val="SingleTxt"/>
        <w:spacing w:after="0" w:line="120" w:lineRule="exact"/>
        <w:rPr>
          <w:sz w:val="10"/>
          <w:lang w:val="fr-FR"/>
        </w:rPr>
      </w:pPr>
    </w:p>
    <w:p w14:paraId="7431A621" w14:textId="66451DD6" w:rsidR="002A5D84" w:rsidRPr="002A5D84" w:rsidRDefault="002A5D84" w:rsidP="002A5D84">
      <w:pPr>
        <w:pStyle w:val="SingleTxt"/>
        <w:spacing w:after="0" w:line="120" w:lineRule="exact"/>
        <w:rPr>
          <w:sz w:val="10"/>
          <w:lang w:val="fr-FR"/>
        </w:rPr>
      </w:pPr>
    </w:p>
    <w:p w14:paraId="11222A6B" w14:textId="41DBEB8D" w:rsidR="000C604D" w:rsidRPr="000C604D" w:rsidRDefault="002A5D84" w:rsidP="002A5D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C604D" w:rsidRPr="000C604D">
        <w:rPr>
          <w:lang w:val="fr-FR"/>
        </w:rPr>
        <w:t>E.</w:t>
      </w:r>
      <w:r w:rsidR="000C604D" w:rsidRPr="000C604D">
        <w:rPr>
          <w:lang w:val="fr-FR"/>
        </w:rPr>
        <w:tab/>
        <w:t xml:space="preserve">Organisation des travaux </w:t>
      </w:r>
    </w:p>
    <w:p w14:paraId="6DCC64EB" w14:textId="7C4C68E7" w:rsidR="002A5D84" w:rsidRPr="002A5D84" w:rsidRDefault="002A5D84" w:rsidP="002A5D84">
      <w:pPr>
        <w:pStyle w:val="SingleTxt"/>
        <w:spacing w:after="0" w:line="120" w:lineRule="exact"/>
        <w:rPr>
          <w:sz w:val="10"/>
          <w:lang w:val="fr-FR"/>
        </w:rPr>
      </w:pPr>
    </w:p>
    <w:p w14:paraId="1A61709D" w14:textId="38006C79" w:rsidR="002A5D84" w:rsidRPr="002A5D84" w:rsidRDefault="002A5D84" w:rsidP="002A5D84">
      <w:pPr>
        <w:pStyle w:val="SingleTxt"/>
        <w:spacing w:after="0" w:line="120" w:lineRule="exact"/>
        <w:rPr>
          <w:sz w:val="10"/>
          <w:lang w:val="fr-FR"/>
        </w:rPr>
      </w:pPr>
    </w:p>
    <w:p w14:paraId="66C20311" w14:textId="465489A0" w:rsidR="000C604D" w:rsidRPr="000C604D" w:rsidRDefault="000C604D" w:rsidP="002A5D84">
      <w:pPr>
        <w:pStyle w:val="SingleTxt"/>
        <w:numPr>
          <w:ilvl w:val="0"/>
          <w:numId w:val="10"/>
        </w:numPr>
        <w:spacing w:line="240" w:lineRule="exact"/>
        <w:rPr>
          <w:lang w:val="fr-FR"/>
        </w:rPr>
      </w:pPr>
      <w:r w:rsidRPr="000C604D">
        <w:rPr>
          <w:lang w:val="fr-FR"/>
        </w:rPr>
        <w:t>Les 23 et 30 octobre et le 6 novembre, le Comité a tenu des séances privées, notamment par visioconférence, avec des représentants d</w:t>
      </w:r>
      <w:r w:rsidR="00265783">
        <w:rPr>
          <w:lang w:val="fr-FR"/>
        </w:rPr>
        <w:t>’</w:t>
      </w:r>
      <w:r w:rsidRPr="000C604D">
        <w:rPr>
          <w:lang w:val="fr-FR"/>
        </w:rPr>
        <w:t>institutions spécialisées et de fonds et programmes des Nations Unies ainsi que d</w:t>
      </w:r>
      <w:r w:rsidR="00265783">
        <w:rPr>
          <w:lang w:val="fr-FR"/>
        </w:rPr>
        <w:t>’</w:t>
      </w:r>
      <w:r w:rsidRPr="000C604D">
        <w:rPr>
          <w:lang w:val="fr-FR"/>
        </w:rPr>
        <w:t>autres organisations intergouvernementales, qui lui ont communiqué des informations concernant certains pays et des renseignements sur l</w:t>
      </w:r>
      <w:r w:rsidR="00265783">
        <w:rPr>
          <w:lang w:val="fr-FR"/>
        </w:rPr>
        <w:t>’</w:t>
      </w:r>
      <w:r w:rsidRPr="000C604D">
        <w:rPr>
          <w:lang w:val="fr-FR"/>
        </w:rPr>
        <w:t>action qu</w:t>
      </w:r>
      <w:r w:rsidR="00265783">
        <w:rPr>
          <w:lang w:val="fr-FR"/>
        </w:rPr>
        <w:t>’</w:t>
      </w:r>
      <w:r w:rsidRPr="000C604D">
        <w:rPr>
          <w:lang w:val="fr-FR"/>
        </w:rPr>
        <w:t>ils menaient pour promouvoir l</w:t>
      </w:r>
      <w:r w:rsidR="00265783">
        <w:rPr>
          <w:lang w:val="fr-FR"/>
        </w:rPr>
        <w:t>’</w:t>
      </w:r>
      <w:r w:rsidRPr="000C604D">
        <w:rPr>
          <w:lang w:val="fr-FR"/>
        </w:rPr>
        <w:t xml:space="preserve">application de la Convention. </w:t>
      </w:r>
    </w:p>
    <w:p w14:paraId="3BFC85DB" w14:textId="522594C1" w:rsidR="000C604D" w:rsidRPr="000C604D" w:rsidRDefault="000C604D" w:rsidP="002A5D84">
      <w:pPr>
        <w:pStyle w:val="SingleTxt"/>
        <w:numPr>
          <w:ilvl w:val="0"/>
          <w:numId w:val="10"/>
        </w:numPr>
        <w:spacing w:line="240" w:lineRule="exact"/>
        <w:rPr>
          <w:lang w:val="fr-FR"/>
        </w:rPr>
      </w:pPr>
      <w:r w:rsidRPr="000C604D">
        <w:rPr>
          <w:lang w:val="fr-FR"/>
        </w:rPr>
        <w:t>En outre, le Comité a tenu des séances publiques informelles avec des représentants d</w:t>
      </w:r>
      <w:r w:rsidR="00265783">
        <w:rPr>
          <w:lang w:val="fr-FR"/>
        </w:rPr>
        <w:t>’</w:t>
      </w:r>
      <w:r w:rsidRPr="000C604D">
        <w:rPr>
          <w:lang w:val="fr-FR"/>
        </w:rPr>
        <w:t>organisations non gouvernementales et d</w:t>
      </w:r>
      <w:r w:rsidR="00265783">
        <w:rPr>
          <w:lang w:val="fr-FR"/>
        </w:rPr>
        <w:t>’</w:t>
      </w:r>
      <w:r w:rsidRPr="000C604D">
        <w:rPr>
          <w:lang w:val="fr-FR"/>
        </w:rPr>
        <w:t>institutions nationales de défense des droits de l</w:t>
      </w:r>
      <w:r w:rsidR="00265783">
        <w:rPr>
          <w:lang w:val="fr-FR"/>
        </w:rPr>
        <w:t>’</w:t>
      </w:r>
      <w:r w:rsidRPr="000C604D">
        <w:rPr>
          <w:lang w:val="fr-FR"/>
        </w:rPr>
        <w:t>homme, qui lui ont communiqué des renseignements sur l</w:t>
      </w:r>
      <w:r w:rsidR="00265783">
        <w:rPr>
          <w:lang w:val="fr-FR"/>
        </w:rPr>
        <w:t>’</w:t>
      </w:r>
      <w:r w:rsidRPr="000C604D">
        <w:rPr>
          <w:lang w:val="fr-FR"/>
        </w:rPr>
        <w:t>application de la Convention par les États parties dont le Comité avait prévu d</w:t>
      </w:r>
      <w:r w:rsidR="00265783">
        <w:rPr>
          <w:lang w:val="fr-FR"/>
        </w:rPr>
        <w:t>’</w:t>
      </w:r>
      <w:r w:rsidRPr="000C604D">
        <w:rPr>
          <w:lang w:val="fr-FR"/>
        </w:rPr>
        <w:t>examiner les rapports à sa session.</w:t>
      </w:r>
    </w:p>
    <w:p w14:paraId="61A804DD" w14:textId="591D17DC" w:rsidR="000C604D" w:rsidRPr="000C604D" w:rsidRDefault="000C604D" w:rsidP="002A5D84">
      <w:pPr>
        <w:pStyle w:val="SingleTxt"/>
        <w:numPr>
          <w:ilvl w:val="0"/>
          <w:numId w:val="10"/>
        </w:numPr>
        <w:spacing w:line="240" w:lineRule="exact"/>
        <w:rPr>
          <w:lang w:val="fr-FR"/>
        </w:rPr>
      </w:pPr>
      <w:r w:rsidRPr="000C604D">
        <w:rPr>
          <w:lang w:val="fr-FR"/>
        </w:rPr>
        <w:t>Le 3 novembre, le Comité a rencontré Alda Facio, Présidente du Groupe de travail chargé de la question de la discrimination à l</w:t>
      </w:r>
      <w:r w:rsidR="00265783">
        <w:rPr>
          <w:lang w:val="fr-FR"/>
        </w:rPr>
        <w:t>’</w:t>
      </w:r>
      <w:r w:rsidRPr="000C604D">
        <w:rPr>
          <w:lang w:val="fr-FR"/>
        </w:rPr>
        <w:t xml:space="preserve">égard des femmes dans la </w:t>
      </w:r>
      <w:r w:rsidRPr="000C604D">
        <w:rPr>
          <w:lang w:val="fr-FR"/>
        </w:rPr>
        <w:lastRenderedPageBreak/>
        <w:t>législation et dans la pratique, pour débattre du renforcement de la coopération entre le Comité et le Groupe de travail.</w:t>
      </w:r>
    </w:p>
    <w:p w14:paraId="05CF781E" w14:textId="62340BAF" w:rsidR="000C604D" w:rsidRPr="000C604D" w:rsidRDefault="000C604D" w:rsidP="002A5D84">
      <w:pPr>
        <w:pStyle w:val="SingleTxt"/>
        <w:numPr>
          <w:ilvl w:val="0"/>
          <w:numId w:val="10"/>
        </w:numPr>
        <w:spacing w:line="240" w:lineRule="exact"/>
        <w:rPr>
          <w:lang w:val="fr-FR"/>
        </w:rPr>
      </w:pPr>
      <w:r w:rsidRPr="000C604D">
        <w:rPr>
          <w:lang w:val="fr-FR"/>
        </w:rPr>
        <w:t>Le 8 novembre, le Comité a organisé une séance informelle avec des représentants du Programme commun des Nations Unies sur le VIH/sida (ONUSIDA) et l</w:t>
      </w:r>
      <w:r w:rsidR="00265783">
        <w:rPr>
          <w:lang w:val="fr-FR"/>
        </w:rPr>
        <w:t>’</w:t>
      </w:r>
      <w:r w:rsidRPr="000C604D">
        <w:rPr>
          <w:lang w:val="fr-FR"/>
        </w:rPr>
        <w:t>OMS, durant laquelle il a entendu un exposé sur les femmes, le VIH et le sida dans le contexte de la Convention.</w:t>
      </w:r>
    </w:p>
    <w:p w14:paraId="033FC49C" w14:textId="67BAC544" w:rsidR="000C604D" w:rsidRDefault="000C604D" w:rsidP="002A5D84">
      <w:pPr>
        <w:pStyle w:val="SingleTxt"/>
        <w:numPr>
          <w:ilvl w:val="0"/>
          <w:numId w:val="10"/>
        </w:numPr>
        <w:rPr>
          <w:lang w:val="fr-FR"/>
        </w:rPr>
      </w:pPr>
      <w:r w:rsidRPr="000C604D">
        <w:rPr>
          <w:lang w:val="fr-FR"/>
        </w:rPr>
        <w:t>Le 14 novembre, il a accueilli un débat d</w:t>
      </w:r>
      <w:r w:rsidR="00265783">
        <w:rPr>
          <w:lang w:val="fr-FR"/>
        </w:rPr>
        <w:t>’</w:t>
      </w:r>
      <w:r w:rsidRPr="000C604D">
        <w:rPr>
          <w:lang w:val="fr-FR"/>
        </w:rPr>
        <w:t>experts organisé par le Haut-Commissariat aux droits de l</w:t>
      </w:r>
      <w:r w:rsidR="00265783">
        <w:rPr>
          <w:lang w:val="fr-FR"/>
        </w:rPr>
        <w:t>’</w:t>
      </w:r>
      <w:r w:rsidRPr="000C604D">
        <w:rPr>
          <w:lang w:val="fr-FR"/>
        </w:rPr>
        <w:t>homme afin de faire connaître la recommandation générale n</w:t>
      </w:r>
      <w:r w:rsidRPr="000C604D">
        <w:rPr>
          <w:vertAlign w:val="superscript"/>
          <w:lang w:val="fr-FR"/>
        </w:rPr>
        <w:t xml:space="preserve">o </w:t>
      </w:r>
      <w:r w:rsidRPr="000C604D">
        <w:rPr>
          <w:lang w:val="fr-FR"/>
        </w:rPr>
        <w:t>35 qu</w:t>
      </w:r>
      <w:r w:rsidR="00265783">
        <w:rPr>
          <w:lang w:val="fr-FR"/>
        </w:rPr>
        <w:t>’</w:t>
      </w:r>
      <w:r w:rsidRPr="000C604D">
        <w:rPr>
          <w:lang w:val="fr-FR"/>
        </w:rPr>
        <w:t>il avait adoptée récemment.</w:t>
      </w:r>
    </w:p>
    <w:p w14:paraId="41802502" w14:textId="0B0A1A47" w:rsidR="002A5D84" w:rsidRPr="002A5D84" w:rsidRDefault="002A5D84" w:rsidP="002A5D84">
      <w:pPr>
        <w:pStyle w:val="SingleTxt"/>
        <w:spacing w:after="0" w:line="120" w:lineRule="exact"/>
        <w:rPr>
          <w:sz w:val="10"/>
          <w:lang w:val="fr-FR"/>
        </w:rPr>
      </w:pPr>
    </w:p>
    <w:p w14:paraId="1D9EC5F9" w14:textId="3F7E30DE" w:rsidR="002A5D84" w:rsidRPr="002A5D84" w:rsidRDefault="002A5D84" w:rsidP="002A5D84">
      <w:pPr>
        <w:pStyle w:val="SingleTxt"/>
        <w:spacing w:after="0" w:line="120" w:lineRule="exact"/>
        <w:rPr>
          <w:sz w:val="10"/>
          <w:lang w:val="fr-FR"/>
        </w:rPr>
      </w:pPr>
    </w:p>
    <w:p w14:paraId="40664081" w14:textId="244D543D" w:rsidR="000C604D" w:rsidRPr="000C604D" w:rsidRDefault="002A5D84" w:rsidP="002A5D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C604D" w:rsidRPr="000C604D">
        <w:rPr>
          <w:lang w:val="fr-FR"/>
        </w:rPr>
        <w:t>F.</w:t>
      </w:r>
      <w:r w:rsidR="000C604D" w:rsidRPr="000C604D">
        <w:rPr>
          <w:lang w:val="fr-FR"/>
        </w:rPr>
        <w:tab/>
        <w:t xml:space="preserve">Composition du Comité </w:t>
      </w:r>
    </w:p>
    <w:p w14:paraId="127A95E1" w14:textId="5671B278" w:rsidR="002A5D84" w:rsidRPr="002A5D84" w:rsidRDefault="002A5D84" w:rsidP="002A5D84">
      <w:pPr>
        <w:pStyle w:val="SingleTxt"/>
        <w:spacing w:after="0" w:line="120" w:lineRule="exact"/>
        <w:rPr>
          <w:b/>
          <w:sz w:val="10"/>
          <w:lang w:val="fr-FR"/>
        </w:rPr>
      </w:pPr>
    </w:p>
    <w:p w14:paraId="62D878B0" w14:textId="0003BD52" w:rsidR="002A5D84" w:rsidRPr="002A5D84" w:rsidRDefault="002A5D84" w:rsidP="002A5D84">
      <w:pPr>
        <w:pStyle w:val="SingleTxt"/>
        <w:spacing w:after="0" w:line="120" w:lineRule="exact"/>
        <w:rPr>
          <w:b/>
          <w:sz w:val="10"/>
          <w:lang w:val="fr-FR"/>
        </w:rPr>
      </w:pPr>
    </w:p>
    <w:p w14:paraId="2DC578AC" w14:textId="59259965" w:rsidR="000C604D" w:rsidRPr="000C604D" w:rsidRDefault="000C604D" w:rsidP="002A5D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604D">
        <w:rPr>
          <w:lang w:val="fr-FR"/>
        </w:rPr>
        <w:tab/>
      </w:r>
      <w:r w:rsidRPr="000C604D">
        <w:rPr>
          <w:lang w:val="fr-FR"/>
        </w:rPr>
        <w:tab/>
        <w:t>Remplacement en cas de vacance fortuite</w:t>
      </w:r>
    </w:p>
    <w:p w14:paraId="3C77CCBE" w14:textId="13158C54" w:rsidR="002A5D84" w:rsidRPr="002A5D84" w:rsidRDefault="002A5D84" w:rsidP="002A5D84">
      <w:pPr>
        <w:pStyle w:val="SingleTxt"/>
        <w:spacing w:after="0" w:line="120" w:lineRule="exact"/>
        <w:rPr>
          <w:sz w:val="10"/>
          <w:lang w:val="fr-FR"/>
        </w:rPr>
      </w:pPr>
    </w:p>
    <w:p w14:paraId="0BB326DE" w14:textId="139927C5" w:rsidR="000C604D" w:rsidRDefault="000C604D" w:rsidP="002A5D84">
      <w:pPr>
        <w:pStyle w:val="SingleTxt"/>
        <w:numPr>
          <w:ilvl w:val="0"/>
          <w:numId w:val="10"/>
        </w:numPr>
        <w:spacing w:line="240" w:lineRule="exact"/>
        <w:rPr>
          <w:lang w:val="fr-FR"/>
        </w:rPr>
      </w:pPr>
      <w:r w:rsidRPr="000C604D">
        <w:rPr>
          <w:lang w:val="fr-FR"/>
        </w:rPr>
        <w:t>Le 23 octobre, Aruna Devi Narain, qui avait été nommée pour occuper le siège de Pramila Patten jusqu</w:t>
      </w:r>
      <w:r w:rsidR="00265783">
        <w:rPr>
          <w:lang w:val="fr-FR"/>
        </w:rPr>
        <w:t>’</w:t>
      </w:r>
      <w:r w:rsidRPr="000C604D">
        <w:rPr>
          <w:lang w:val="fr-FR"/>
        </w:rPr>
        <w:t>au 31 décembre 2018, date d</w:t>
      </w:r>
      <w:r w:rsidR="00265783">
        <w:rPr>
          <w:lang w:val="fr-FR"/>
        </w:rPr>
        <w:t>’</w:t>
      </w:r>
      <w:r w:rsidRPr="000C604D">
        <w:rPr>
          <w:lang w:val="fr-FR"/>
        </w:rPr>
        <w:t>expiration du mandat de celle-ci, a pris ses fonctions et prononcé la déclaration solennelle figurant à l</w:t>
      </w:r>
      <w:r w:rsidR="00265783">
        <w:rPr>
          <w:lang w:val="fr-FR"/>
        </w:rPr>
        <w:t>’</w:t>
      </w:r>
      <w:r w:rsidRPr="000C604D">
        <w:rPr>
          <w:lang w:val="fr-FR"/>
        </w:rPr>
        <w:t>article 15 du Règlement intérieur du Comité.</w:t>
      </w:r>
    </w:p>
    <w:p w14:paraId="7AD06C59" w14:textId="3D6D9BDA" w:rsidR="002A5D84" w:rsidRPr="002A5D84" w:rsidRDefault="002A5D84" w:rsidP="002A5D84">
      <w:pPr>
        <w:pStyle w:val="SingleTxt"/>
        <w:tabs>
          <w:tab w:val="clear" w:pos="1742"/>
        </w:tabs>
        <w:spacing w:after="0" w:line="120" w:lineRule="exact"/>
        <w:rPr>
          <w:sz w:val="10"/>
          <w:lang w:val="fr-FR"/>
        </w:rPr>
      </w:pPr>
    </w:p>
    <w:p w14:paraId="72E6D7F4" w14:textId="77777777" w:rsidR="000C604D" w:rsidRPr="000C604D" w:rsidRDefault="000C604D" w:rsidP="002A5D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604D">
        <w:rPr>
          <w:lang w:val="fr-FR"/>
        </w:rPr>
        <w:tab/>
      </w:r>
      <w:r w:rsidRPr="000C604D">
        <w:rPr>
          <w:lang w:val="fr-FR"/>
        </w:rPr>
        <w:tab/>
        <w:t>Participants à la soixante-huitième session</w:t>
      </w:r>
    </w:p>
    <w:p w14:paraId="217AF9F1" w14:textId="6DEE08EA" w:rsidR="002A5D84" w:rsidRPr="002A5D84" w:rsidRDefault="002A5D84" w:rsidP="002A5D84">
      <w:pPr>
        <w:pStyle w:val="SingleTxt"/>
        <w:spacing w:after="0" w:line="120" w:lineRule="exact"/>
        <w:rPr>
          <w:sz w:val="10"/>
          <w:lang w:val="fr-FR"/>
        </w:rPr>
      </w:pPr>
    </w:p>
    <w:p w14:paraId="1CF7AC85" w14:textId="368BD65C" w:rsidR="000C604D" w:rsidRDefault="000C604D" w:rsidP="002A5D84">
      <w:pPr>
        <w:pStyle w:val="SingleTxt"/>
        <w:numPr>
          <w:ilvl w:val="0"/>
          <w:numId w:val="10"/>
        </w:numPr>
        <w:spacing w:line="240" w:lineRule="exact"/>
        <w:rPr>
          <w:lang w:val="fr-FR"/>
        </w:rPr>
      </w:pPr>
      <w:r w:rsidRPr="000C604D">
        <w:rPr>
          <w:lang w:val="fr-FR"/>
        </w:rPr>
        <w:t>Tous les membres ont assisté à la soixante-huitième session, à l</w:t>
      </w:r>
      <w:r w:rsidR="00265783">
        <w:rPr>
          <w:lang w:val="fr-FR"/>
        </w:rPr>
        <w:t>’</w:t>
      </w:r>
      <w:r w:rsidRPr="000C604D">
        <w:rPr>
          <w:lang w:val="fr-FR"/>
        </w:rPr>
        <w:t>exception de Theodora Oby Nwankwo. Les membres ci-après n</w:t>
      </w:r>
      <w:r w:rsidR="00265783">
        <w:rPr>
          <w:lang w:val="fr-FR"/>
        </w:rPr>
        <w:t>’</w:t>
      </w:r>
      <w:r w:rsidRPr="000C604D">
        <w:rPr>
          <w:lang w:val="fr-FR"/>
        </w:rPr>
        <w:t>ont pas assisté aux dates indiquées</w:t>
      </w:r>
      <w:r w:rsidR="00265783">
        <w:rPr>
          <w:lang w:val="fr-FR"/>
        </w:rPr>
        <w:t xml:space="preserve"> : </w:t>
      </w:r>
      <w:r w:rsidRPr="000C604D">
        <w:rPr>
          <w:lang w:val="fr-FR"/>
        </w:rPr>
        <w:t>Ayse Feride Acar, du 30 octobre au 3 novembre, du 6 au 8 novembre et le 17 novembre </w:t>
      </w:r>
      <w:r w:rsidR="00D83EA9">
        <w:rPr>
          <w:lang w:val="fr-FR"/>
        </w:rPr>
        <w:t>;</w:t>
      </w:r>
      <w:r w:rsidRPr="000C604D">
        <w:rPr>
          <w:lang w:val="fr-FR"/>
        </w:rPr>
        <w:t xml:space="preserve"> Ruth Halperin-Kaddari, du 23 au 27 octobr</w:t>
      </w:r>
      <w:r w:rsidR="00745E5A">
        <w:rPr>
          <w:lang w:val="fr-FR"/>
        </w:rPr>
        <w:t>e et du 3 au 17 novembre</w:t>
      </w:r>
      <w:r w:rsidR="00D83EA9">
        <w:rPr>
          <w:lang w:val="fr-FR"/>
        </w:rPr>
        <w:t> ;</w:t>
      </w:r>
      <w:r w:rsidRPr="000C604D">
        <w:rPr>
          <w:lang w:val="fr-FR"/>
        </w:rPr>
        <w:t xml:space="preserve"> Yok</w:t>
      </w:r>
      <w:r w:rsidR="00745E5A">
        <w:rPr>
          <w:lang w:val="fr-FR"/>
        </w:rPr>
        <w:t>o Hayashi, du 15 au 17 novembre</w:t>
      </w:r>
      <w:r w:rsidR="00D83EA9">
        <w:rPr>
          <w:lang w:val="fr-FR"/>
        </w:rPr>
        <w:t> ;</w:t>
      </w:r>
      <w:r w:rsidRPr="000C604D">
        <w:rPr>
          <w:lang w:val="fr-FR"/>
        </w:rPr>
        <w:t xml:space="preserve"> Ismat Jahan, du 23 au 27 novembre </w:t>
      </w:r>
      <w:r w:rsidR="00D83EA9">
        <w:rPr>
          <w:lang w:val="fr-FR"/>
        </w:rPr>
        <w:t>;</w:t>
      </w:r>
      <w:r w:rsidRPr="000C604D">
        <w:rPr>
          <w:lang w:val="fr-FR"/>
        </w:rPr>
        <w:t xml:space="preserve"> Aicha Vall Verges, le 2 novembre. On trouvera à l</w:t>
      </w:r>
      <w:r w:rsidR="00265783">
        <w:rPr>
          <w:lang w:val="fr-FR"/>
        </w:rPr>
        <w:t>’</w:t>
      </w:r>
      <w:r w:rsidRPr="000C604D">
        <w:rPr>
          <w:lang w:val="fr-FR"/>
        </w:rPr>
        <w:t>annexe II de la troisième partie du présent rapport la liste des membres du Comité, assortie de la durée de leur mandat.</w:t>
      </w:r>
    </w:p>
    <w:p w14:paraId="7052FAB2" w14:textId="5B25C638" w:rsidR="002A5D84" w:rsidRDefault="002A5D84">
      <w:pPr>
        <w:spacing w:after="200" w:line="276" w:lineRule="auto"/>
        <w:rPr>
          <w:lang w:val="fr-FR"/>
        </w:rPr>
      </w:pPr>
      <w:r>
        <w:rPr>
          <w:lang w:val="fr-FR"/>
        </w:rPr>
        <w:br w:type="page"/>
      </w:r>
    </w:p>
    <w:p w14:paraId="64A22DFA" w14:textId="664009AF" w:rsidR="000C604D" w:rsidRPr="009C4E47" w:rsidRDefault="000C604D" w:rsidP="005705C6">
      <w:pPr>
        <w:pStyle w:val="HCh0"/>
        <w:ind w:left="1267" w:right="1260" w:hanging="1267"/>
        <w:rPr>
          <w:lang w:val="fr-FR"/>
        </w:rPr>
      </w:pPr>
      <w:r w:rsidRPr="009C4E47">
        <w:rPr>
          <w:lang w:val="fr-FR"/>
        </w:rPr>
        <w:lastRenderedPageBreak/>
        <w:t>Chapitre III</w:t>
      </w:r>
    </w:p>
    <w:p w14:paraId="3CCAAA7C" w14:textId="77777777" w:rsidR="000C604D" w:rsidRPr="009C4E47" w:rsidRDefault="000C604D" w:rsidP="005705C6">
      <w:pPr>
        <w:pStyle w:val="HCh0"/>
        <w:ind w:left="1267" w:right="1260" w:hanging="1267"/>
        <w:rPr>
          <w:lang w:val="fr-FR"/>
        </w:rPr>
      </w:pPr>
      <w:r w:rsidRPr="009C4E47">
        <w:rPr>
          <w:lang w:val="fr-FR"/>
        </w:rPr>
        <w:tab/>
      </w:r>
      <w:r w:rsidRPr="009C4E47">
        <w:rPr>
          <w:lang w:val="fr-FR"/>
        </w:rPr>
        <w:tab/>
        <w:t>Rapport de la Présidente sur les activités intersessions</w:t>
      </w:r>
    </w:p>
    <w:p w14:paraId="00E715EE" w14:textId="77777777" w:rsidR="005705C6" w:rsidRPr="005705C6" w:rsidRDefault="005705C6" w:rsidP="005705C6">
      <w:pPr>
        <w:pStyle w:val="SingleTxt"/>
        <w:spacing w:after="0" w:line="120" w:lineRule="exact"/>
        <w:rPr>
          <w:sz w:val="10"/>
          <w:lang w:val="fr-FR"/>
        </w:rPr>
      </w:pPr>
    </w:p>
    <w:p w14:paraId="776442E5" w14:textId="77777777" w:rsidR="005705C6" w:rsidRPr="005705C6" w:rsidRDefault="005705C6" w:rsidP="005705C6">
      <w:pPr>
        <w:pStyle w:val="SingleTxt"/>
        <w:spacing w:after="0" w:line="120" w:lineRule="exact"/>
        <w:rPr>
          <w:sz w:val="10"/>
          <w:lang w:val="fr-FR"/>
        </w:rPr>
      </w:pPr>
    </w:p>
    <w:p w14:paraId="45FB28A5" w14:textId="5D3B9DF2" w:rsidR="000C604D" w:rsidRDefault="000C604D" w:rsidP="005705C6">
      <w:pPr>
        <w:pStyle w:val="SingleTxt"/>
        <w:numPr>
          <w:ilvl w:val="0"/>
          <w:numId w:val="10"/>
        </w:numPr>
        <w:spacing w:line="240" w:lineRule="exact"/>
        <w:rPr>
          <w:lang w:val="fr-FR"/>
        </w:rPr>
      </w:pPr>
      <w:r w:rsidRPr="000C604D">
        <w:rPr>
          <w:lang w:val="fr-FR"/>
        </w:rPr>
        <w:t>À la 1569</w:t>
      </w:r>
      <w:r w:rsidRPr="000C604D">
        <w:rPr>
          <w:vertAlign w:val="superscript"/>
          <w:lang w:val="fr-FR"/>
        </w:rPr>
        <w:t>e</w:t>
      </w:r>
      <w:r w:rsidRPr="000C604D">
        <w:rPr>
          <w:lang w:val="fr-FR"/>
        </w:rPr>
        <w:t xml:space="preserve"> séance, le 23 octobre 2017, la Présidente a rendu compte des activités qu</w:t>
      </w:r>
      <w:r w:rsidR="00265783">
        <w:rPr>
          <w:lang w:val="fr-FR"/>
        </w:rPr>
        <w:t>’</w:t>
      </w:r>
      <w:r w:rsidRPr="000C604D">
        <w:rPr>
          <w:lang w:val="fr-FR"/>
        </w:rPr>
        <w:t>elle avait menées depuis la soixante-septième session.</w:t>
      </w:r>
    </w:p>
    <w:p w14:paraId="240881D4" w14:textId="453D4E93" w:rsidR="005705C6" w:rsidRDefault="005705C6" w:rsidP="005705C6">
      <w:pPr>
        <w:pStyle w:val="SingleTxt"/>
        <w:spacing w:line="240" w:lineRule="exact"/>
        <w:rPr>
          <w:lang w:val="fr-FR"/>
        </w:rPr>
      </w:pPr>
    </w:p>
    <w:p w14:paraId="5BFC43F1" w14:textId="7627AC3D" w:rsidR="005705C6" w:rsidRDefault="005705C6" w:rsidP="005705C6">
      <w:pPr>
        <w:pStyle w:val="SingleTxt"/>
        <w:spacing w:line="240" w:lineRule="exact"/>
        <w:rPr>
          <w:lang w:val="fr-FR"/>
        </w:rPr>
      </w:pPr>
    </w:p>
    <w:p w14:paraId="6B0786E2" w14:textId="27A217E9" w:rsidR="005705C6" w:rsidRDefault="005705C6" w:rsidP="005705C6">
      <w:pPr>
        <w:pStyle w:val="SingleTxt"/>
        <w:spacing w:line="240" w:lineRule="exact"/>
        <w:rPr>
          <w:lang w:val="fr-FR"/>
        </w:rPr>
      </w:pPr>
    </w:p>
    <w:p w14:paraId="107C1C1D" w14:textId="5DDBA5EC" w:rsidR="005705C6" w:rsidRDefault="005705C6">
      <w:pPr>
        <w:spacing w:after="200" w:line="276" w:lineRule="auto"/>
        <w:rPr>
          <w:lang w:val="fr-FR"/>
        </w:rPr>
      </w:pPr>
      <w:r>
        <w:rPr>
          <w:lang w:val="fr-FR"/>
        </w:rPr>
        <w:br w:type="page"/>
      </w:r>
    </w:p>
    <w:p w14:paraId="4F53145D" w14:textId="6AE99C96" w:rsidR="000C604D" w:rsidRPr="005705C6" w:rsidRDefault="000C604D" w:rsidP="005705C6">
      <w:pPr>
        <w:pStyle w:val="HCh0"/>
        <w:ind w:left="1267" w:right="1260" w:hanging="1267"/>
        <w:rPr>
          <w:lang w:val="fr-FR"/>
        </w:rPr>
      </w:pPr>
      <w:r w:rsidRPr="005705C6">
        <w:rPr>
          <w:lang w:val="fr-FR"/>
        </w:rPr>
        <w:lastRenderedPageBreak/>
        <w:t>Chapitre IV</w:t>
      </w:r>
    </w:p>
    <w:p w14:paraId="41410622" w14:textId="24AF761E" w:rsidR="000C604D" w:rsidRDefault="000C604D" w:rsidP="005705C6">
      <w:pPr>
        <w:pStyle w:val="HCh0"/>
        <w:ind w:left="1267" w:right="1260" w:hanging="1267"/>
        <w:rPr>
          <w:lang w:val="fr-FR"/>
        </w:rPr>
      </w:pPr>
      <w:r w:rsidRPr="005705C6">
        <w:rPr>
          <w:lang w:val="fr-FR"/>
        </w:rPr>
        <w:tab/>
      </w:r>
      <w:r w:rsidRPr="005705C6">
        <w:rPr>
          <w:lang w:val="fr-FR"/>
        </w:rPr>
        <w:tab/>
        <w:t xml:space="preserve">Examen des rapports soumis par les États parties </w:t>
      </w:r>
      <w:r w:rsidR="005705C6" w:rsidRPr="005705C6">
        <w:rPr>
          <w:lang w:val="fr-FR"/>
        </w:rPr>
        <w:br/>
      </w:r>
      <w:r w:rsidRPr="005705C6">
        <w:rPr>
          <w:lang w:val="fr-FR"/>
        </w:rPr>
        <w:t>en application de l</w:t>
      </w:r>
      <w:r w:rsidR="00265783">
        <w:rPr>
          <w:lang w:val="fr-FR"/>
        </w:rPr>
        <w:t>’</w:t>
      </w:r>
      <w:r w:rsidRPr="005705C6">
        <w:rPr>
          <w:lang w:val="fr-FR"/>
        </w:rPr>
        <w:t xml:space="preserve">article 18 de la Convention </w:t>
      </w:r>
    </w:p>
    <w:p w14:paraId="73721D2A" w14:textId="3260E0A6" w:rsidR="005705C6" w:rsidRPr="005705C6" w:rsidRDefault="005705C6" w:rsidP="005705C6">
      <w:pPr>
        <w:pStyle w:val="SingleTxt"/>
        <w:spacing w:after="0" w:line="120" w:lineRule="exact"/>
        <w:rPr>
          <w:sz w:val="10"/>
          <w:lang w:val="fr-FR"/>
        </w:rPr>
      </w:pPr>
    </w:p>
    <w:p w14:paraId="49971EA4" w14:textId="2D9A1A6C" w:rsidR="005705C6" w:rsidRPr="005705C6" w:rsidRDefault="005705C6" w:rsidP="005705C6">
      <w:pPr>
        <w:pStyle w:val="SingleTxt"/>
        <w:spacing w:after="0" w:line="120" w:lineRule="exact"/>
        <w:rPr>
          <w:sz w:val="10"/>
          <w:lang w:val="fr-FR"/>
        </w:rPr>
      </w:pPr>
    </w:p>
    <w:p w14:paraId="325CBD09" w14:textId="6200C984" w:rsidR="003C0696" w:rsidRDefault="000C604D" w:rsidP="005705C6">
      <w:pPr>
        <w:pStyle w:val="SingleTxt"/>
        <w:numPr>
          <w:ilvl w:val="0"/>
          <w:numId w:val="10"/>
        </w:numPr>
        <w:spacing w:line="240" w:lineRule="exact"/>
        <w:rPr>
          <w:lang w:val="fr-FR"/>
        </w:rPr>
      </w:pPr>
      <w:r w:rsidRPr="000C604D">
        <w:rPr>
          <w:lang w:val="fr-FR"/>
        </w:rPr>
        <w:t>Le Comité a examiné les rapports que 12 États parties lui avaient soumis en application de l</w:t>
      </w:r>
      <w:r w:rsidR="00265783">
        <w:rPr>
          <w:lang w:val="fr-FR"/>
        </w:rPr>
        <w:t>’</w:t>
      </w:r>
      <w:r w:rsidRPr="000C604D">
        <w:rPr>
          <w:lang w:val="fr-FR"/>
        </w:rPr>
        <w:t>article 18 de la Convention et adopté les observations finales ci-après :</w:t>
      </w:r>
    </w:p>
    <w:tbl>
      <w:tblPr>
        <w:tblStyle w:val="TableGrid"/>
        <w:tblW w:w="3674" w:type="pct"/>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0"/>
        <w:gridCol w:w="3660"/>
      </w:tblGrid>
      <w:tr w:rsidR="009E64AA" w:rsidRPr="008B45F1" w14:paraId="715F4903" w14:textId="77777777" w:rsidTr="007511D2">
        <w:trPr>
          <w:cantSplit/>
        </w:trPr>
        <w:tc>
          <w:tcPr>
            <w:tcW w:w="2469" w:type="pct"/>
            <w:shd w:val="clear" w:color="auto" w:fill="auto"/>
            <w:vAlign w:val="bottom"/>
          </w:tcPr>
          <w:p w14:paraId="3781D470" w14:textId="77777777" w:rsidR="009E64AA" w:rsidRPr="008B45F1" w:rsidRDefault="009E64AA" w:rsidP="009E6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Cs w:val="20"/>
              </w:rPr>
            </w:pPr>
            <w:r w:rsidRPr="008B45F1">
              <w:rPr>
                <w:szCs w:val="20"/>
              </w:rPr>
              <w:t>Burkina Faso</w:t>
            </w:r>
          </w:p>
        </w:tc>
        <w:tc>
          <w:tcPr>
            <w:tcW w:w="2531" w:type="pct"/>
            <w:shd w:val="clear" w:color="auto" w:fill="auto"/>
            <w:vAlign w:val="bottom"/>
          </w:tcPr>
          <w:p w14:paraId="0ABF8BB5" w14:textId="359027E5" w:rsidR="009E64AA" w:rsidRPr="008B45F1" w:rsidRDefault="009E64AA"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rPr>
            </w:pPr>
            <w:r w:rsidRPr="008B45F1">
              <w:rPr>
                <w:szCs w:val="20"/>
              </w:rPr>
              <w:t>(</w:t>
            </w:r>
            <w:hyperlink r:id="rId66" w:history="1">
              <w:r w:rsidRPr="008E2674">
                <w:rPr>
                  <w:rStyle w:val="Hyperlink"/>
                  <w:szCs w:val="20"/>
                </w:rPr>
                <w:t>CEDAW/C/BFA/CO/7</w:t>
              </w:r>
            </w:hyperlink>
            <w:r w:rsidRPr="008B45F1">
              <w:rPr>
                <w:szCs w:val="20"/>
              </w:rPr>
              <w:t>)</w:t>
            </w:r>
          </w:p>
        </w:tc>
      </w:tr>
      <w:tr w:rsidR="009E64AA" w:rsidRPr="008B45F1" w14:paraId="7A4145C1" w14:textId="77777777" w:rsidTr="007511D2">
        <w:trPr>
          <w:cantSplit/>
        </w:trPr>
        <w:tc>
          <w:tcPr>
            <w:tcW w:w="2469" w:type="pct"/>
            <w:shd w:val="clear" w:color="auto" w:fill="auto"/>
            <w:vAlign w:val="bottom"/>
          </w:tcPr>
          <w:p w14:paraId="6F80E303" w14:textId="61FF26D6" w:rsidR="009E64AA" w:rsidRPr="008B45F1" w:rsidRDefault="009E64AA" w:rsidP="009E6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Cs w:val="20"/>
              </w:rPr>
            </w:pPr>
            <w:r w:rsidRPr="008B45F1">
              <w:rPr>
                <w:szCs w:val="20"/>
              </w:rPr>
              <w:t>Répub</w:t>
            </w:r>
            <w:r w:rsidR="00463502">
              <w:rPr>
                <w:szCs w:val="20"/>
              </w:rPr>
              <w:t>lique populaire démocratique de </w:t>
            </w:r>
            <w:r w:rsidRPr="008B45F1">
              <w:rPr>
                <w:szCs w:val="20"/>
              </w:rPr>
              <w:t>Corée</w:t>
            </w:r>
          </w:p>
        </w:tc>
        <w:tc>
          <w:tcPr>
            <w:tcW w:w="2531" w:type="pct"/>
            <w:shd w:val="clear" w:color="auto" w:fill="auto"/>
            <w:vAlign w:val="bottom"/>
          </w:tcPr>
          <w:p w14:paraId="3E91CBB9" w14:textId="76573EF3" w:rsidR="009E64AA" w:rsidRPr="008B45F1" w:rsidRDefault="009E64AA"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rPr>
            </w:pPr>
            <w:r w:rsidRPr="008B45F1">
              <w:rPr>
                <w:szCs w:val="20"/>
              </w:rPr>
              <w:t>(</w:t>
            </w:r>
            <w:hyperlink r:id="rId67" w:history="1">
              <w:r w:rsidRPr="008E2674">
                <w:rPr>
                  <w:rStyle w:val="Hyperlink"/>
                  <w:szCs w:val="20"/>
                </w:rPr>
                <w:t>CEDAW/C/ARM/PRK/2-4</w:t>
              </w:r>
            </w:hyperlink>
            <w:r w:rsidRPr="008B45F1">
              <w:rPr>
                <w:szCs w:val="20"/>
              </w:rPr>
              <w:t>)</w:t>
            </w:r>
          </w:p>
        </w:tc>
      </w:tr>
      <w:tr w:rsidR="009E64AA" w:rsidRPr="008B45F1" w14:paraId="54939452" w14:textId="77777777" w:rsidTr="007511D2">
        <w:trPr>
          <w:cantSplit/>
        </w:trPr>
        <w:tc>
          <w:tcPr>
            <w:tcW w:w="2469" w:type="pct"/>
            <w:shd w:val="clear" w:color="auto" w:fill="auto"/>
            <w:vAlign w:val="bottom"/>
          </w:tcPr>
          <w:p w14:paraId="351DFD3E" w14:textId="77777777" w:rsidR="009E64AA" w:rsidRPr="008B45F1" w:rsidRDefault="009E64AA" w:rsidP="009E6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Cs w:val="20"/>
              </w:rPr>
            </w:pPr>
            <w:r w:rsidRPr="008B45F1">
              <w:rPr>
                <w:szCs w:val="20"/>
              </w:rPr>
              <w:t>Guatemala</w:t>
            </w:r>
          </w:p>
        </w:tc>
        <w:tc>
          <w:tcPr>
            <w:tcW w:w="2531" w:type="pct"/>
            <w:shd w:val="clear" w:color="auto" w:fill="auto"/>
            <w:vAlign w:val="bottom"/>
          </w:tcPr>
          <w:p w14:paraId="5A88FE60" w14:textId="0C16EA6A" w:rsidR="009E64AA" w:rsidRPr="008B45F1" w:rsidRDefault="009E64AA"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rPr>
            </w:pPr>
            <w:r w:rsidRPr="008B45F1">
              <w:rPr>
                <w:szCs w:val="20"/>
              </w:rPr>
              <w:t>(</w:t>
            </w:r>
            <w:hyperlink r:id="rId68" w:history="1">
              <w:r w:rsidRPr="008E2674">
                <w:rPr>
                  <w:rStyle w:val="Hyperlink"/>
                  <w:szCs w:val="20"/>
                </w:rPr>
                <w:t>CEDAW/C/GTM/CO/8-9</w:t>
              </w:r>
            </w:hyperlink>
            <w:r w:rsidRPr="008B45F1">
              <w:rPr>
                <w:szCs w:val="20"/>
              </w:rPr>
              <w:t>)</w:t>
            </w:r>
          </w:p>
        </w:tc>
      </w:tr>
      <w:tr w:rsidR="009E64AA" w:rsidRPr="008B45F1" w14:paraId="131060D4" w14:textId="77777777" w:rsidTr="007511D2">
        <w:trPr>
          <w:cantSplit/>
        </w:trPr>
        <w:tc>
          <w:tcPr>
            <w:tcW w:w="2469" w:type="pct"/>
            <w:shd w:val="clear" w:color="auto" w:fill="auto"/>
            <w:vAlign w:val="bottom"/>
          </w:tcPr>
          <w:p w14:paraId="3CADF9C3" w14:textId="77777777" w:rsidR="009E64AA" w:rsidRPr="008B45F1" w:rsidRDefault="009E64AA" w:rsidP="009E6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Cs w:val="20"/>
              </w:rPr>
            </w:pPr>
            <w:r w:rsidRPr="008B45F1">
              <w:rPr>
                <w:szCs w:val="20"/>
              </w:rPr>
              <w:t>Israël</w:t>
            </w:r>
          </w:p>
        </w:tc>
        <w:tc>
          <w:tcPr>
            <w:tcW w:w="2531" w:type="pct"/>
            <w:shd w:val="clear" w:color="auto" w:fill="auto"/>
            <w:vAlign w:val="bottom"/>
          </w:tcPr>
          <w:p w14:paraId="79537DDC" w14:textId="662B9AFB" w:rsidR="009E64AA" w:rsidRPr="008B45F1" w:rsidRDefault="009E64AA"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rPr>
            </w:pPr>
            <w:r w:rsidRPr="008B45F1">
              <w:rPr>
                <w:szCs w:val="20"/>
              </w:rPr>
              <w:t>(</w:t>
            </w:r>
            <w:hyperlink r:id="rId69" w:history="1">
              <w:r w:rsidRPr="008E2674">
                <w:rPr>
                  <w:rStyle w:val="Hyperlink"/>
                  <w:szCs w:val="20"/>
                </w:rPr>
                <w:t>CEDAW/C/ISR/CO/6</w:t>
              </w:r>
            </w:hyperlink>
            <w:r w:rsidRPr="008B45F1">
              <w:rPr>
                <w:szCs w:val="20"/>
              </w:rPr>
              <w:t>)</w:t>
            </w:r>
          </w:p>
        </w:tc>
      </w:tr>
      <w:tr w:rsidR="009E64AA" w:rsidRPr="008B45F1" w14:paraId="6FD54A74" w14:textId="77777777" w:rsidTr="007511D2">
        <w:trPr>
          <w:cantSplit/>
        </w:trPr>
        <w:tc>
          <w:tcPr>
            <w:tcW w:w="2469" w:type="pct"/>
            <w:shd w:val="clear" w:color="auto" w:fill="auto"/>
            <w:vAlign w:val="bottom"/>
          </w:tcPr>
          <w:p w14:paraId="765F5AE3" w14:textId="77777777" w:rsidR="009E64AA" w:rsidRPr="008B45F1" w:rsidRDefault="009E64AA" w:rsidP="009E6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Cs w:val="20"/>
              </w:rPr>
            </w:pPr>
            <w:r w:rsidRPr="008B45F1">
              <w:rPr>
                <w:szCs w:val="20"/>
              </w:rPr>
              <w:t>Kenya</w:t>
            </w:r>
          </w:p>
        </w:tc>
        <w:tc>
          <w:tcPr>
            <w:tcW w:w="2531" w:type="pct"/>
            <w:shd w:val="clear" w:color="auto" w:fill="auto"/>
            <w:vAlign w:val="bottom"/>
          </w:tcPr>
          <w:p w14:paraId="432EA74F" w14:textId="31E56B0C" w:rsidR="009E64AA" w:rsidRPr="008B45F1" w:rsidRDefault="009E64AA"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rPr>
            </w:pPr>
            <w:r w:rsidRPr="008B45F1">
              <w:rPr>
                <w:szCs w:val="20"/>
              </w:rPr>
              <w:t>(</w:t>
            </w:r>
            <w:hyperlink r:id="rId70" w:history="1">
              <w:r w:rsidRPr="008E2674">
                <w:rPr>
                  <w:rStyle w:val="Hyperlink"/>
                  <w:szCs w:val="20"/>
                </w:rPr>
                <w:t>CEDAW/C/KEN/CO/8</w:t>
              </w:r>
            </w:hyperlink>
            <w:r w:rsidRPr="008B45F1">
              <w:rPr>
                <w:szCs w:val="20"/>
              </w:rPr>
              <w:t>)</w:t>
            </w:r>
          </w:p>
        </w:tc>
      </w:tr>
      <w:tr w:rsidR="009E64AA" w:rsidRPr="008B45F1" w14:paraId="2FA826CF" w14:textId="77777777" w:rsidTr="007511D2">
        <w:trPr>
          <w:cantSplit/>
        </w:trPr>
        <w:tc>
          <w:tcPr>
            <w:tcW w:w="2469" w:type="pct"/>
            <w:shd w:val="clear" w:color="auto" w:fill="auto"/>
            <w:vAlign w:val="bottom"/>
          </w:tcPr>
          <w:p w14:paraId="64962C4A" w14:textId="77777777" w:rsidR="009E64AA" w:rsidRPr="008B45F1" w:rsidRDefault="009E64AA" w:rsidP="009E6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Cs w:val="20"/>
              </w:rPr>
            </w:pPr>
            <w:r w:rsidRPr="008B45F1">
              <w:rPr>
                <w:szCs w:val="20"/>
              </w:rPr>
              <w:t>Koweït</w:t>
            </w:r>
          </w:p>
        </w:tc>
        <w:tc>
          <w:tcPr>
            <w:tcW w:w="2531" w:type="pct"/>
            <w:shd w:val="clear" w:color="auto" w:fill="auto"/>
            <w:vAlign w:val="bottom"/>
          </w:tcPr>
          <w:p w14:paraId="702DFF4D" w14:textId="4948795C" w:rsidR="009E64AA" w:rsidRPr="008B45F1" w:rsidRDefault="009E64AA"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rPr>
            </w:pPr>
            <w:r w:rsidRPr="008B45F1">
              <w:rPr>
                <w:szCs w:val="20"/>
              </w:rPr>
              <w:t>(</w:t>
            </w:r>
            <w:hyperlink r:id="rId71" w:history="1">
              <w:r w:rsidRPr="008E2674">
                <w:rPr>
                  <w:rStyle w:val="Hyperlink"/>
                  <w:szCs w:val="20"/>
                </w:rPr>
                <w:t>CEDAW/C/KWT/CO/5</w:t>
              </w:r>
            </w:hyperlink>
            <w:r w:rsidRPr="008B45F1">
              <w:rPr>
                <w:szCs w:val="20"/>
              </w:rPr>
              <w:t>)</w:t>
            </w:r>
          </w:p>
        </w:tc>
      </w:tr>
      <w:tr w:rsidR="009E64AA" w:rsidRPr="008B45F1" w14:paraId="440E7806" w14:textId="77777777" w:rsidTr="007511D2">
        <w:trPr>
          <w:cantSplit/>
        </w:trPr>
        <w:tc>
          <w:tcPr>
            <w:tcW w:w="2469" w:type="pct"/>
            <w:shd w:val="clear" w:color="auto" w:fill="auto"/>
            <w:vAlign w:val="bottom"/>
          </w:tcPr>
          <w:p w14:paraId="60E59429" w14:textId="77777777" w:rsidR="009E64AA" w:rsidRPr="008B45F1" w:rsidRDefault="009E64AA" w:rsidP="009E6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Cs w:val="20"/>
              </w:rPr>
            </w:pPr>
            <w:r w:rsidRPr="008B45F1">
              <w:rPr>
                <w:szCs w:val="20"/>
              </w:rPr>
              <w:t>Monaco</w:t>
            </w:r>
          </w:p>
        </w:tc>
        <w:tc>
          <w:tcPr>
            <w:tcW w:w="2531" w:type="pct"/>
            <w:shd w:val="clear" w:color="auto" w:fill="auto"/>
            <w:vAlign w:val="bottom"/>
          </w:tcPr>
          <w:p w14:paraId="6271D53D" w14:textId="7C649BA1" w:rsidR="009E64AA" w:rsidRPr="008B45F1" w:rsidRDefault="009E64AA"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rPr>
            </w:pPr>
            <w:r w:rsidRPr="008B45F1">
              <w:rPr>
                <w:szCs w:val="20"/>
              </w:rPr>
              <w:t>(</w:t>
            </w:r>
            <w:hyperlink r:id="rId72" w:history="1">
              <w:r w:rsidRPr="008E2674">
                <w:rPr>
                  <w:rStyle w:val="Hyperlink"/>
                  <w:szCs w:val="20"/>
                </w:rPr>
                <w:t>CEDAW/C/MCO/CO/1-3</w:t>
              </w:r>
            </w:hyperlink>
            <w:r w:rsidRPr="008B45F1">
              <w:rPr>
                <w:szCs w:val="20"/>
              </w:rPr>
              <w:t>)</w:t>
            </w:r>
          </w:p>
        </w:tc>
      </w:tr>
      <w:tr w:rsidR="009E64AA" w:rsidRPr="008B45F1" w14:paraId="7F3DBA65" w14:textId="77777777" w:rsidTr="007511D2">
        <w:trPr>
          <w:cantSplit/>
        </w:trPr>
        <w:tc>
          <w:tcPr>
            <w:tcW w:w="2469" w:type="pct"/>
            <w:shd w:val="clear" w:color="auto" w:fill="auto"/>
            <w:vAlign w:val="bottom"/>
          </w:tcPr>
          <w:p w14:paraId="7A1F6979" w14:textId="77777777" w:rsidR="009E64AA" w:rsidRPr="008B45F1" w:rsidRDefault="009E64AA" w:rsidP="009E6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Cs w:val="20"/>
              </w:rPr>
            </w:pPr>
            <w:r w:rsidRPr="008B45F1">
              <w:rPr>
                <w:szCs w:val="20"/>
              </w:rPr>
              <w:t>Nauru</w:t>
            </w:r>
          </w:p>
        </w:tc>
        <w:tc>
          <w:tcPr>
            <w:tcW w:w="2531" w:type="pct"/>
            <w:shd w:val="clear" w:color="auto" w:fill="auto"/>
            <w:vAlign w:val="bottom"/>
          </w:tcPr>
          <w:p w14:paraId="221E4B5C" w14:textId="3AB36E31" w:rsidR="009E64AA" w:rsidRPr="008B45F1" w:rsidRDefault="009E64AA"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rPr>
            </w:pPr>
            <w:r w:rsidRPr="008B45F1">
              <w:rPr>
                <w:szCs w:val="20"/>
              </w:rPr>
              <w:t>(</w:t>
            </w:r>
            <w:hyperlink r:id="rId73" w:history="1">
              <w:r w:rsidRPr="008E2674">
                <w:rPr>
                  <w:rStyle w:val="Hyperlink"/>
                  <w:szCs w:val="20"/>
                </w:rPr>
                <w:t>CEDAW/C/NRU/CO/1-2</w:t>
              </w:r>
            </w:hyperlink>
            <w:r w:rsidRPr="008B45F1">
              <w:rPr>
                <w:szCs w:val="20"/>
              </w:rPr>
              <w:t>)</w:t>
            </w:r>
          </w:p>
        </w:tc>
      </w:tr>
      <w:tr w:rsidR="009E64AA" w:rsidRPr="008B45F1" w14:paraId="71CF12DA" w14:textId="77777777" w:rsidTr="007511D2">
        <w:trPr>
          <w:cantSplit/>
        </w:trPr>
        <w:tc>
          <w:tcPr>
            <w:tcW w:w="2469" w:type="pct"/>
            <w:shd w:val="clear" w:color="auto" w:fill="auto"/>
            <w:vAlign w:val="bottom"/>
          </w:tcPr>
          <w:p w14:paraId="7E24BACF" w14:textId="77777777" w:rsidR="009E64AA" w:rsidRPr="008B45F1" w:rsidRDefault="009E64AA" w:rsidP="009E6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Cs w:val="20"/>
              </w:rPr>
            </w:pPr>
            <w:r w:rsidRPr="008B45F1">
              <w:rPr>
                <w:szCs w:val="20"/>
              </w:rPr>
              <w:t>Norvège</w:t>
            </w:r>
          </w:p>
        </w:tc>
        <w:tc>
          <w:tcPr>
            <w:tcW w:w="2531" w:type="pct"/>
            <w:shd w:val="clear" w:color="auto" w:fill="auto"/>
            <w:vAlign w:val="bottom"/>
          </w:tcPr>
          <w:p w14:paraId="621F9CCB" w14:textId="10972DA3" w:rsidR="009E64AA" w:rsidRPr="008B45F1" w:rsidRDefault="009E64AA"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rPr>
            </w:pPr>
            <w:r w:rsidRPr="008B45F1">
              <w:rPr>
                <w:szCs w:val="20"/>
              </w:rPr>
              <w:t>(</w:t>
            </w:r>
            <w:hyperlink r:id="rId74" w:history="1">
              <w:r w:rsidRPr="008E2674">
                <w:rPr>
                  <w:rStyle w:val="Hyperlink"/>
                  <w:szCs w:val="20"/>
                </w:rPr>
                <w:t>CEDAW/C/NOR/CO/9</w:t>
              </w:r>
            </w:hyperlink>
            <w:r w:rsidRPr="008B45F1">
              <w:rPr>
                <w:szCs w:val="20"/>
              </w:rPr>
              <w:t>)</w:t>
            </w:r>
          </w:p>
        </w:tc>
      </w:tr>
      <w:tr w:rsidR="009E64AA" w:rsidRPr="008B45F1" w14:paraId="1AF7FD4D" w14:textId="77777777" w:rsidTr="007511D2">
        <w:trPr>
          <w:cantSplit/>
        </w:trPr>
        <w:tc>
          <w:tcPr>
            <w:tcW w:w="2469" w:type="pct"/>
            <w:shd w:val="clear" w:color="auto" w:fill="auto"/>
            <w:vAlign w:val="bottom"/>
          </w:tcPr>
          <w:p w14:paraId="30131FBF" w14:textId="77777777" w:rsidR="009E64AA" w:rsidRPr="008B45F1" w:rsidRDefault="009E64AA" w:rsidP="009E6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Cs w:val="20"/>
              </w:rPr>
            </w:pPr>
            <w:r w:rsidRPr="008B45F1">
              <w:rPr>
                <w:szCs w:val="20"/>
              </w:rPr>
              <w:t>Oman</w:t>
            </w:r>
          </w:p>
        </w:tc>
        <w:tc>
          <w:tcPr>
            <w:tcW w:w="2531" w:type="pct"/>
            <w:shd w:val="clear" w:color="auto" w:fill="auto"/>
            <w:vAlign w:val="bottom"/>
          </w:tcPr>
          <w:p w14:paraId="68B5A140" w14:textId="12BE85E8" w:rsidR="009E64AA" w:rsidRPr="008B45F1" w:rsidRDefault="009E64AA"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rPr>
            </w:pPr>
            <w:r w:rsidRPr="008B45F1">
              <w:rPr>
                <w:szCs w:val="20"/>
              </w:rPr>
              <w:t>(</w:t>
            </w:r>
            <w:hyperlink r:id="rId75" w:history="1">
              <w:r w:rsidRPr="008E2674">
                <w:rPr>
                  <w:rStyle w:val="Hyperlink"/>
                  <w:szCs w:val="20"/>
                </w:rPr>
                <w:t>CEDAW/C/OMN/CO/2-3</w:t>
              </w:r>
            </w:hyperlink>
            <w:r w:rsidRPr="008B45F1">
              <w:rPr>
                <w:szCs w:val="20"/>
              </w:rPr>
              <w:t>)</w:t>
            </w:r>
          </w:p>
        </w:tc>
      </w:tr>
      <w:tr w:rsidR="009E64AA" w:rsidRPr="008B45F1" w14:paraId="7D7F7335" w14:textId="77777777" w:rsidTr="007511D2">
        <w:trPr>
          <w:cantSplit/>
        </w:trPr>
        <w:tc>
          <w:tcPr>
            <w:tcW w:w="2469" w:type="pct"/>
            <w:shd w:val="clear" w:color="auto" w:fill="auto"/>
            <w:vAlign w:val="bottom"/>
          </w:tcPr>
          <w:p w14:paraId="36BD3FC6" w14:textId="77777777" w:rsidR="009E64AA" w:rsidRPr="008B45F1" w:rsidRDefault="009E64AA" w:rsidP="009E6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Cs w:val="20"/>
              </w:rPr>
            </w:pPr>
            <w:r w:rsidRPr="008B45F1">
              <w:rPr>
                <w:szCs w:val="20"/>
              </w:rPr>
              <w:t>Paraguay</w:t>
            </w:r>
          </w:p>
        </w:tc>
        <w:tc>
          <w:tcPr>
            <w:tcW w:w="2531" w:type="pct"/>
            <w:shd w:val="clear" w:color="auto" w:fill="auto"/>
            <w:vAlign w:val="bottom"/>
          </w:tcPr>
          <w:p w14:paraId="15446FBD" w14:textId="3223D7E5" w:rsidR="009E64AA" w:rsidRPr="008B45F1" w:rsidRDefault="009E64AA"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rPr>
            </w:pPr>
            <w:r w:rsidRPr="008B45F1">
              <w:rPr>
                <w:szCs w:val="20"/>
              </w:rPr>
              <w:t>(</w:t>
            </w:r>
            <w:hyperlink r:id="rId76" w:history="1">
              <w:r w:rsidRPr="008E2674">
                <w:rPr>
                  <w:rStyle w:val="Hyperlink"/>
                  <w:szCs w:val="20"/>
                </w:rPr>
                <w:t>CEDAW/C/PRY/CO/7</w:t>
              </w:r>
            </w:hyperlink>
            <w:r w:rsidRPr="008B45F1">
              <w:rPr>
                <w:szCs w:val="20"/>
              </w:rPr>
              <w:t>)</w:t>
            </w:r>
          </w:p>
        </w:tc>
      </w:tr>
      <w:tr w:rsidR="009E64AA" w:rsidRPr="008B45F1" w14:paraId="5EE91796" w14:textId="77777777" w:rsidTr="007511D2">
        <w:trPr>
          <w:cantSplit/>
        </w:trPr>
        <w:tc>
          <w:tcPr>
            <w:tcW w:w="2469" w:type="pct"/>
            <w:shd w:val="clear" w:color="auto" w:fill="auto"/>
            <w:vAlign w:val="bottom"/>
          </w:tcPr>
          <w:p w14:paraId="1D73B862" w14:textId="77777777" w:rsidR="009E64AA" w:rsidRPr="008B45F1" w:rsidRDefault="009E64AA" w:rsidP="009E6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Cs w:val="20"/>
              </w:rPr>
            </w:pPr>
            <w:r w:rsidRPr="008B45F1">
              <w:rPr>
                <w:szCs w:val="20"/>
              </w:rPr>
              <w:t>Singapour</w:t>
            </w:r>
          </w:p>
        </w:tc>
        <w:tc>
          <w:tcPr>
            <w:tcW w:w="2531" w:type="pct"/>
            <w:shd w:val="clear" w:color="auto" w:fill="auto"/>
            <w:vAlign w:val="bottom"/>
          </w:tcPr>
          <w:p w14:paraId="7B755274" w14:textId="241E3207" w:rsidR="009E64AA" w:rsidRPr="008B45F1" w:rsidRDefault="009E64AA"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rPr>
            </w:pPr>
            <w:r w:rsidRPr="008B45F1">
              <w:rPr>
                <w:szCs w:val="20"/>
              </w:rPr>
              <w:t>(</w:t>
            </w:r>
            <w:hyperlink r:id="rId77" w:history="1">
              <w:r w:rsidRPr="008E2674">
                <w:rPr>
                  <w:rStyle w:val="Hyperlink"/>
                  <w:szCs w:val="20"/>
                </w:rPr>
                <w:t>CEDAW/C/SGP/CO/5</w:t>
              </w:r>
            </w:hyperlink>
            <w:r w:rsidRPr="008B45F1">
              <w:rPr>
                <w:szCs w:val="20"/>
              </w:rPr>
              <w:t>)</w:t>
            </w:r>
          </w:p>
        </w:tc>
      </w:tr>
    </w:tbl>
    <w:p w14:paraId="7B01F1DD" w14:textId="77B673AB" w:rsidR="009E64AA" w:rsidRPr="008B45F1" w:rsidRDefault="009E64AA" w:rsidP="008B45F1">
      <w:pPr>
        <w:pStyle w:val="SingleTxt"/>
        <w:spacing w:after="0" w:line="120" w:lineRule="exact"/>
        <w:rPr>
          <w:sz w:val="10"/>
          <w:lang w:val="fr-FR"/>
        </w:rPr>
      </w:pPr>
    </w:p>
    <w:p w14:paraId="2D805A36" w14:textId="6176E418" w:rsidR="008B45F1" w:rsidRPr="008B45F1" w:rsidRDefault="008B45F1" w:rsidP="008B45F1">
      <w:pPr>
        <w:pStyle w:val="SingleTxt"/>
        <w:spacing w:after="0" w:line="120" w:lineRule="exact"/>
        <w:rPr>
          <w:sz w:val="10"/>
          <w:lang w:val="fr-FR"/>
        </w:rPr>
      </w:pPr>
    </w:p>
    <w:p w14:paraId="60FE52B3" w14:textId="69750734" w:rsidR="008B45F1" w:rsidRDefault="008B45F1" w:rsidP="008B45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E1F04">
        <w:rPr>
          <w:lang w:val="fr-FR"/>
        </w:rPr>
        <w:tab/>
      </w:r>
      <w:r>
        <w:rPr>
          <w:lang w:val="fr-FR"/>
        </w:rPr>
        <w:tab/>
      </w:r>
      <w:r w:rsidRPr="009E1F04">
        <w:rPr>
          <w:lang w:val="fr-FR"/>
        </w:rPr>
        <w:t xml:space="preserve">Procédure de suivi des observations finales </w:t>
      </w:r>
    </w:p>
    <w:p w14:paraId="49A257BE" w14:textId="0158F13C" w:rsidR="008B45F1" w:rsidRPr="008B45F1" w:rsidRDefault="008B45F1" w:rsidP="008B45F1">
      <w:pPr>
        <w:pStyle w:val="SingleTxt"/>
        <w:spacing w:after="0" w:line="120" w:lineRule="exact"/>
        <w:rPr>
          <w:sz w:val="10"/>
          <w:lang w:val="fr-FR"/>
        </w:rPr>
      </w:pPr>
    </w:p>
    <w:p w14:paraId="13A021AD" w14:textId="0D9E3A34" w:rsidR="007511D2" w:rsidRPr="007511D2" w:rsidRDefault="008B45F1" w:rsidP="007511D2">
      <w:pPr>
        <w:pStyle w:val="SingleTxt"/>
        <w:numPr>
          <w:ilvl w:val="0"/>
          <w:numId w:val="10"/>
        </w:numPr>
        <w:spacing w:line="240" w:lineRule="exact"/>
        <w:rPr>
          <w:lang w:val="fr-FR"/>
        </w:rPr>
      </w:pPr>
      <w:r w:rsidRPr="009E1F04">
        <w:rPr>
          <w:lang w:val="fr-FR"/>
        </w:rPr>
        <w:t xml:space="preserve">Le Comité a examiné les rapports de suivi </w:t>
      </w:r>
      <w:r>
        <w:rPr>
          <w:lang w:val="fr-FR"/>
        </w:rPr>
        <w:t>soumi</w:t>
      </w:r>
      <w:r w:rsidRPr="009E1F04">
        <w:rPr>
          <w:lang w:val="fr-FR"/>
        </w:rPr>
        <w:t>s par les États parties ci-après</w:t>
      </w:r>
      <w:r w:rsidR="00265783">
        <w:rPr>
          <w:lang w:val="fr-FR"/>
        </w:rPr>
        <w:t xml:space="preserve"> : </w:t>
      </w:r>
    </w:p>
    <w:tbl>
      <w:tblPr>
        <w:tblStyle w:val="TableGrid"/>
        <w:tblW w:w="3674" w:type="pct"/>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0"/>
        <w:gridCol w:w="3660"/>
      </w:tblGrid>
      <w:tr w:rsidR="008B45F1" w:rsidRPr="0089543A" w14:paraId="35D6A792" w14:textId="77777777" w:rsidTr="007511D2">
        <w:trPr>
          <w:cantSplit/>
        </w:trPr>
        <w:tc>
          <w:tcPr>
            <w:tcW w:w="2469" w:type="pct"/>
            <w:shd w:val="clear" w:color="auto" w:fill="auto"/>
            <w:vAlign w:val="bottom"/>
          </w:tcPr>
          <w:p w14:paraId="76CBD11E" w14:textId="77777777" w:rsidR="008B45F1" w:rsidRPr="008B45F1" w:rsidRDefault="008B45F1" w:rsidP="008B45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Cs w:val="20"/>
              </w:rPr>
            </w:pPr>
            <w:r w:rsidRPr="008B45F1">
              <w:rPr>
                <w:szCs w:val="20"/>
              </w:rPr>
              <w:t>Bénin</w:t>
            </w:r>
          </w:p>
        </w:tc>
        <w:tc>
          <w:tcPr>
            <w:tcW w:w="2531" w:type="pct"/>
            <w:shd w:val="clear" w:color="auto" w:fill="auto"/>
            <w:vAlign w:val="bottom"/>
          </w:tcPr>
          <w:p w14:paraId="04226057" w14:textId="3571F51C" w:rsidR="008B45F1" w:rsidRPr="008B45F1" w:rsidRDefault="008B45F1"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lang w:val="en-US"/>
              </w:rPr>
            </w:pPr>
            <w:r w:rsidRPr="008B45F1">
              <w:rPr>
                <w:szCs w:val="20"/>
                <w:lang w:val="en-US"/>
              </w:rPr>
              <w:t>(</w:t>
            </w:r>
            <w:hyperlink r:id="rId78" w:history="1">
              <w:r w:rsidRPr="008E2674">
                <w:rPr>
                  <w:rStyle w:val="Hyperlink"/>
                  <w:szCs w:val="20"/>
                  <w:lang w:val="en-US"/>
                </w:rPr>
                <w:t>CEDAW/C/BEN/CO/4/Add.1</w:t>
              </w:r>
            </w:hyperlink>
            <w:r w:rsidRPr="008B45F1">
              <w:rPr>
                <w:szCs w:val="20"/>
                <w:lang w:val="en-US"/>
              </w:rPr>
              <w:t>)</w:t>
            </w:r>
          </w:p>
        </w:tc>
      </w:tr>
      <w:tr w:rsidR="008B45F1" w:rsidRPr="0089543A" w14:paraId="50219166" w14:textId="77777777" w:rsidTr="007511D2">
        <w:trPr>
          <w:cantSplit/>
        </w:trPr>
        <w:tc>
          <w:tcPr>
            <w:tcW w:w="2469" w:type="pct"/>
            <w:shd w:val="clear" w:color="auto" w:fill="auto"/>
            <w:vAlign w:val="bottom"/>
          </w:tcPr>
          <w:p w14:paraId="06E76E33" w14:textId="77777777" w:rsidR="008B45F1" w:rsidRPr="008B45F1" w:rsidRDefault="008B45F1" w:rsidP="008B45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Cs w:val="20"/>
              </w:rPr>
            </w:pPr>
            <w:r w:rsidRPr="008B45F1">
              <w:rPr>
                <w:szCs w:val="20"/>
              </w:rPr>
              <w:t>Brunéi Darussalam</w:t>
            </w:r>
          </w:p>
        </w:tc>
        <w:tc>
          <w:tcPr>
            <w:tcW w:w="2531" w:type="pct"/>
            <w:shd w:val="clear" w:color="auto" w:fill="auto"/>
            <w:vAlign w:val="bottom"/>
          </w:tcPr>
          <w:p w14:paraId="777B4C0D" w14:textId="6FD50058" w:rsidR="008B45F1" w:rsidRPr="008B45F1" w:rsidRDefault="008B45F1"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lang w:val="en-US"/>
              </w:rPr>
            </w:pPr>
            <w:r w:rsidRPr="008B45F1">
              <w:rPr>
                <w:szCs w:val="20"/>
                <w:lang w:val="en-US"/>
              </w:rPr>
              <w:t>(</w:t>
            </w:r>
            <w:hyperlink r:id="rId79" w:history="1">
              <w:r w:rsidRPr="008E2674">
                <w:rPr>
                  <w:rStyle w:val="Hyperlink"/>
                  <w:szCs w:val="20"/>
                  <w:lang w:val="en-US"/>
                </w:rPr>
                <w:t>CEDAW/C/BRN/CO/1-2/Add.1</w:t>
              </w:r>
            </w:hyperlink>
            <w:r w:rsidRPr="008B45F1">
              <w:rPr>
                <w:szCs w:val="20"/>
                <w:lang w:val="en-US"/>
              </w:rPr>
              <w:t>)</w:t>
            </w:r>
          </w:p>
        </w:tc>
      </w:tr>
      <w:tr w:rsidR="008B45F1" w:rsidRPr="0089543A" w14:paraId="74AB84EB" w14:textId="77777777" w:rsidTr="007511D2">
        <w:trPr>
          <w:cantSplit/>
        </w:trPr>
        <w:tc>
          <w:tcPr>
            <w:tcW w:w="2469" w:type="pct"/>
            <w:shd w:val="clear" w:color="auto" w:fill="auto"/>
            <w:vAlign w:val="bottom"/>
          </w:tcPr>
          <w:p w14:paraId="32D3C781" w14:textId="77777777" w:rsidR="008B45F1" w:rsidRPr="008B45F1" w:rsidRDefault="008B45F1" w:rsidP="008B45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Cs w:val="20"/>
              </w:rPr>
            </w:pPr>
            <w:r w:rsidRPr="008B45F1">
              <w:rPr>
                <w:szCs w:val="20"/>
              </w:rPr>
              <w:t>Slovénie</w:t>
            </w:r>
          </w:p>
        </w:tc>
        <w:tc>
          <w:tcPr>
            <w:tcW w:w="2531" w:type="pct"/>
            <w:shd w:val="clear" w:color="auto" w:fill="auto"/>
            <w:vAlign w:val="bottom"/>
          </w:tcPr>
          <w:p w14:paraId="0199645A" w14:textId="597B339E" w:rsidR="008B45F1" w:rsidRPr="008B45F1" w:rsidRDefault="008B45F1"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lang w:val="en-US"/>
              </w:rPr>
            </w:pPr>
            <w:r w:rsidRPr="008B45F1">
              <w:rPr>
                <w:szCs w:val="20"/>
                <w:lang w:val="en-US"/>
              </w:rPr>
              <w:t>(</w:t>
            </w:r>
            <w:hyperlink r:id="rId80" w:history="1">
              <w:r w:rsidRPr="008E2674">
                <w:rPr>
                  <w:rStyle w:val="Hyperlink"/>
                  <w:szCs w:val="20"/>
                  <w:lang w:val="en-US"/>
                </w:rPr>
                <w:t>CEDAW/C/SVN/CO/5-6/Add.1</w:t>
              </w:r>
            </w:hyperlink>
            <w:r w:rsidRPr="008B45F1">
              <w:rPr>
                <w:szCs w:val="20"/>
                <w:lang w:val="en-US"/>
              </w:rPr>
              <w:t>)</w:t>
            </w:r>
          </w:p>
        </w:tc>
      </w:tr>
      <w:tr w:rsidR="008B45F1" w:rsidRPr="0089543A" w14:paraId="3FC2FEA5" w14:textId="77777777" w:rsidTr="007511D2">
        <w:trPr>
          <w:cantSplit/>
        </w:trPr>
        <w:tc>
          <w:tcPr>
            <w:tcW w:w="2469" w:type="pct"/>
            <w:shd w:val="clear" w:color="auto" w:fill="auto"/>
            <w:vAlign w:val="bottom"/>
          </w:tcPr>
          <w:p w14:paraId="73171C5D" w14:textId="77777777" w:rsidR="008B45F1" w:rsidRPr="008B45F1" w:rsidRDefault="008B45F1" w:rsidP="008B45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Cs w:val="20"/>
              </w:rPr>
            </w:pPr>
            <w:r w:rsidRPr="008B45F1">
              <w:rPr>
                <w:szCs w:val="20"/>
              </w:rPr>
              <w:t>Espagne</w:t>
            </w:r>
          </w:p>
        </w:tc>
        <w:tc>
          <w:tcPr>
            <w:tcW w:w="2531" w:type="pct"/>
            <w:shd w:val="clear" w:color="auto" w:fill="auto"/>
            <w:vAlign w:val="bottom"/>
          </w:tcPr>
          <w:p w14:paraId="58A7FDDD" w14:textId="667813C8" w:rsidR="008B45F1" w:rsidRPr="008B45F1" w:rsidRDefault="008B45F1"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lang w:val="en-US"/>
              </w:rPr>
            </w:pPr>
            <w:r w:rsidRPr="008B45F1">
              <w:rPr>
                <w:szCs w:val="20"/>
                <w:lang w:val="en-US"/>
              </w:rPr>
              <w:t>(</w:t>
            </w:r>
            <w:hyperlink r:id="rId81" w:history="1">
              <w:r w:rsidRPr="008E2674">
                <w:rPr>
                  <w:rStyle w:val="Hyperlink"/>
                  <w:szCs w:val="20"/>
                  <w:lang w:val="en-US"/>
                </w:rPr>
                <w:t>CEDAW/C/ESP/CO/7-8/Add.1</w:t>
              </w:r>
            </w:hyperlink>
            <w:r w:rsidRPr="008B45F1">
              <w:rPr>
                <w:szCs w:val="20"/>
                <w:lang w:val="en-US"/>
              </w:rPr>
              <w:t>)</w:t>
            </w:r>
          </w:p>
        </w:tc>
      </w:tr>
    </w:tbl>
    <w:p w14:paraId="291944D6" w14:textId="196A131F" w:rsidR="008B45F1" w:rsidRPr="008B45F1" w:rsidRDefault="008B45F1" w:rsidP="008B45F1">
      <w:pPr>
        <w:pStyle w:val="SingleTxt"/>
        <w:spacing w:after="0" w:line="120" w:lineRule="exact"/>
        <w:rPr>
          <w:sz w:val="10"/>
          <w:lang w:val="en-US"/>
        </w:rPr>
      </w:pPr>
    </w:p>
    <w:p w14:paraId="156C4CB5" w14:textId="343CCCF1" w:rsidR="008B45F1" w:rsidRPr="008B45F1" w:rsidRDefault="008B45F1" w:rsidP="008B45F1">
      <w:pPr>
        <w:pStyle w:val="SingleTxt"/>
        <w:spacing w:after="0" w:line="120" w:lineRule="exact"/>
        <w:rPr>
          <w:sz w:val="10"/>
          <w:lang w:val="en-US"/>
        </w:rPr>
      </w:pPr>
    </w:p>
    <w:p w14:paraId="21382B1D" w14:textId="3C518D87" w:rsidR="008B45F1" w:rsidRPr="008B45F1" w:rsidRDefault="008B45F1" w:rsidP="008B45F1">
      <w:pPr>
        <w:pStyle w:val="SingleTxt"/>
        <w:numPr>
          <w:ilvl w:val="0"/>
          <w:numId w:val="10"/>
        </w:numPr>
        <w:spacing w:line="240" w:lineRule="exact"/>
        <w:rPr>
          <w:lang w:val="fr-FR"/>
        </w:rPr>
      </w:pPr>
      <w:r w:rsidRPr="008B45F1">
        <w:rPr>
          <w:lang w:val="fr-FR"/>
        </w:rPr>
        <w:t>Le Comité a adressé un premier rappel à la Bolivie (État plurinational de), à la Croatie, à la Gambie, à la Namibie, à Saint-Vincent-et-les Grenadines, au Sénégal et au Viet Nam, et un deuxième rappel à l</w:t>
      </w:r>
      <w:r w:rsidR="00265783">
        <w:rPr>
          <w:lang w:val="fr-FR"/>
        </w:rPr>
        <w:t>’</w:t>
      </w:r>
      <w:r w:rsidRPr="008B45F1">
        <w:rPr>
          <w:lang w:val="fr-FR"/>
        </w:rPr>
        <w:t>Azerbaïdjan, à l</w:t>
      </w:r>
      <w:r w:rsidR="00265783">
        <w:rPr>
          <w:lang w:val="fr-FR"/>
        </w:rPr>
        <w:t>’</w:t>
      </w:r>
      <w:r w:rsidRPr="008B45F1">
        <w:rPr>
          <w:lang w:val="fr-FR"/>
        </w:rPr>
        <w:t xml:space="preserve">Érythrée, au Gabon, au Kirghizistan et aux Tuvalu, qui auraient déjà dû présenter leur rapport de suivi. </w:t>
      </w:r>
    </w:p>
    <w:p w14:paraId="02DAB2CF" w14:textId="2807EFD6" w:rsidR="008B45F1" w:rsidRDefault="008B45F1" w:rsidP="008B45F1">
      <w:pPr>
        <w:pStyle w:val="SingleTxt"/>
        <w:numPr>
          <w:ilvl w:val="0"/>
          <w:numId w:val="10"/>
        </w:numPr>
        <w:spacing w:line="240" w:lineRule="exact"/>
        <w:rPr>
          <w:lang w:val="fr-FR"/>
        </w:rPr>
      </w:pPr>
      <w:r w:rsidRPr="008B45F1">
        <w:rPr>
          <w:lang w:val="fr-FR"/>
        </w:rPr>
        <w:t>La Rapporteuse chargée du suivi s</w:t>
      </w:r>
      <w:r w:rsidR="00265783">
        <w:rPr>
          <w:lang w:val="fr-FR"/>
        </w:rPr>
        <w:t>’</w:t>
      </w:r>
      <w:r w:rsidRPr="008B45F1">
        <w:rPr>
          <w:lang w:val="fr-FR"/>
        </w:rPr>
        <w:t>est entretenue avec des représentants de l</w:t>
      </w:r>
      <w:r w:rsidR="00265783">
        <w:rPr>
          <w:lang w:val="fr-FR"/>
        </w:rPr>
        <w:t>’</w:t>
      </w:r>
      <w:r w:rsidRPr="008B45F1">
        <w:rPr>
          <w:lang w:val="fr-FR"/>
        </w:rPr>
        <w:t>Ouganda et de la République centrafricaine, États parties qui auraient déjà dû présenter leur rapport de suivi.</w:t>
      </w:r>
    </w:p>
    <w:p w14:paraId="5FC6925F" w14:textId="54A40122" w:rsidR="008B45F1" w:rsidRDefault="008B45F1" w:rsidP="008B45F1">
      <w:pPr>
        <w:pStyle w:val="SingleTxt"/>
        <w:spacing w:line="240" w:lineRule="exact"/>
        <w:rPr>
          <w:lang w:val="fr-FR"/>
        </w:rPr>
      </w:pPr>
    </w:p>
    <w:p w14:paraId="32CC4FA4" w14:textId="51D47104" w:rsidR="008B45F1" w:rsidRDefault="008B45F1">
      <w:pPr>
        <w:spacing w:after="200" w:line="276" w:lineRule="auto"/>
        <w:rPr>
          <w:lang w:val="fr-FR"/>
        </w:rPr>
      </w:pPr>
      <w:r>
        <w:rPr>
          <w:lang w:val="fr-FR"/>
        </w:rPr>
        <w:br w:type="page"/>
      </w:r>
    </w:p>
    <w:p w14:paraId="1B0A5650" w14:textId="50F5D979" w:rsidR="008B45F1" w:rsidRPr="009C4E47" w:rsidRDefault="008B45F1" w:rsidP="008B45F1">
      <w:pPr>
        <w:pStyle w:val="HCh0"/>
        <w:ind w:left="1267" w:right="1260" w:hanging="1267"/>
        <w:rPr>
          <w:lang w:val="fr-FR"/>
        </w:rPr>
      </w:pPr>
      <w:r w:rsidRPr="009C4E47">
        <w:rPr>
          <w:lang w:val="fr-FR"/>
        </w:rPr>
        <w:lastRenderedPageBreak/>
        <w:t>Chapitre V</w:t>
      </w:r>
    </w:p>
    <w:p w14:paraId="769E0DDC" w14:textId="6B606A0D" w:rsidR="008B45F1" w:rsidRPr="009C4E47" w:rsidRDefault="008B45F1" w:rsidP="008B45F1">
      <w:pPr>
        <w:pStyle w:val="HCh0"/>
        <w:ind w:left="1267" w:right="1260" w:hanging="1267"/>
        <w:rPr>
          <w:lang w:val="fr-FR"/>
        </w:rPr>
      </w:pPr>
      <w:r w:rsidRPr="009C4E47">
        <w:rPr>
          <w:lang w:val="fr-FR"/>
        </w:rPr>
        <w:tab/>
      </w:r>
      <w:r w:rsidRPr="009C4E47">
        <w:rPr>
          <w:lang w:val="fr-FR"/>
        </w:rPr>
        <w:tab/>
        <w:t>Activités menées au titre du Protocole facultatif</w:t>
      </w:r>
    </w:p>
    <w:p w14:paraId="6CD15D78" w14:textId="395732F5" w:rsidR="008B45F1" w:rsidRPr="009C4E47" w:rsidRDefault="008B45F1" w:rsidP="008B45F1">
      <w:pPr>
        <w:pStyle w:val="SingleTxt"/>
        <w:spacing w:after="0" w:line="120" w:lineRule="exact"/>
        <w:rPr>
          <w:sz w:val="10"/>
          <w:lang w:val="fr-FR"/>
        </w:rPr>
      </w:pPr>
    </w:p>
    <w:p w14:paraId="614ABEBD" w14:textId="3DDE1322" w:rsidR="008B45F1" w:rsidRPr="009C4E47" w:rsidRDefault="008B45F1" w:rsidP="008B45F1">
      <w:pPr>
        <w:pStyle w:val="SingleTxt"/>
        <w:spacing w:after="0" w:line="120" w:lineRule="exact"/>
        <w:rPr>
          <w:sz w:val="10"/>
          <w:lang w:val="fr-FR"/>
        </w:rPr>
      </w:pPr>
    </w:p>
    <w:p w14:paraId="288696C0" w14:textId="40A8FB42" w:rsidR="008B45F1" w:rsidRDefault="008B45F1" w:rsidP="008B45F1">
      <w:pPr>
        <w:pStyle w:val="SingleTxt"/>
        <w:numPr>
          <w:ilvl w:val="0"/>
          <w:numId w:val="10"/>
        </w:numPr>
        <w:spacing w:line="240" w:lineRule="exact"/>
        <w:rPr>
          <w:lang w:val="fr-FR"/>
        </w:rPr>
      </w:pPr>
      <w:r w:rsidRPr="008B45F1">
        <w:rPr>
          <w:lang w:val="fr-FR"/>
        </w:rPr>
        <w:t>L</w:t>
      </w:r>
      <w:r w:rsidR="00265783">
        <w:rPr>
          <w:lang w:val="fr-FR"/>
        </w:rPr>
        <w:t>’</w:t>
      </w:r>
      <w:r w:rsidRPr="008B45F1">
        <w:rPr>
          <w:lang w:val="fr-FR"/>
        </w:rPr>
        <w:t>article 12 du Protocole facultatif dispose que le Comité résume dans son rapport annuel les activités qu</w:t>
      </w:r>
      <w:r w:rsidR="00265783">
        <w:rPr>
          <w:lang w:val="fr-FR"/>
        </w:rPr>
        <w:t>’</w:t>
      </w:r>
      <w:r w:rsidRPr="008B45F1">
        <w:rPr>
          <w:lang w:val="fr-FR"/>
        </w:rPr>
        <w:t>il a menées au titre du Protocole facultatif.</w:t>
      </w:r>
    </w:p>
    <w:p w14:paraId="7363186E" w14:textId="45D38A93" w:rsidR="000B3135" w:rsidRPr="000B3135" w:rsidRDefault="000B3135" w:rsidP="000B3135">
      <w:pPr>
        <w:pStyle w:val="SingleTxt"/>
        <w:spacing w:after="0" w:line="120" w:lineRule="exact"/>
        <w:rPr>
          <w:sz w:val="10"/>
          <w:lang w:val="fr-FR"/>
        </w:rPr>
      </w:pPr>
    </w:p>
    <w:p w14:paraId="5F780FC1" w14:textId="245C5CCC" w:rsidR="000B3135" w:rsidRPr="000B3135" w:rsidRDefault="000B3135" w:rsidP="000B3135">
      <w:pPr>
        <w:pStyle w:val="SingleTxt"/>
        <w:spacing w:after="0" w:line="120" w:lineRule="exact"/>
        <w:rPr>
          <w:sz w:val="10"/>
          <w:lang w:val="fr-FR"/>
        </w:rPr>
      </w:pPr>
    </w:p>
    <w:p w14:paraId="4E5217E5" w14:textId="0081E5DA" w:rsidR="008B45F1" w:rsidRPr="008B45F1" w:rsidRDefault="00CD67C7" w:rsidP="00CD67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B45F1" w:rsidRPr="008B45F1">
        <w:rPr>
          <w:lang w:val="fr-FR"/>
        </w:rPr>
        <w:t>A.</w:t>
      </w:r>
      <w:r w:rsidR="008B45F1" w:rsidRPr="008B45F1">
        <w:rPr>
          <w:lang w:val="fr-FR"/>
        </w:rPr>
        <w:tab/>
        <w:t>Mesures prises par le Comit</w:t>
      </w:r>
      <w:r w:rsidR="00463502">
        <w:rPr>
          <w:lang w:val="fr-FR"/>
        </w:rPr>
        <w:t>é sur les questions relevant de </w:t>
      </w:r>
      <w:r w:rsidR="008B45F1" w:rsidRPr="008B45F1">
        <w:rPr>
          <w:lang w:val="fr-FR"/>
        </w:rPr>
        <w:t>l</w:t>
      </w:r>
      <w:r w:rsidR="00265783">
        <w:rPr>
          <w:lang w:val="fr-FR"/>
        </w:rPr>
        <w:t>’</w:t>
      </w:r>
      <w:r w:rsidR="00463502">
        <w:rPr>
          <w:lang w:val="fr-FR"/>
        </w:rPr>
        <w:t>article </w:t>
      </w:r>
      <w:r w:rsidR="008B45F1" w:rsidRPr="008B45F1">
        <w:rPr>
          <w:lang w:val="fr-FR"/>
        </w:rPr>
        <w:t>2 du Protocole facultatif</w:t>
      </w:r>
    </w:p>
    <w:p w14:paraId="527642D2" w14:textId="05222021" w:rsidR="00CD67C7" w:rsidRPr="00CD67C7" w:rsidRDefault="00CD67C7" w:rsidP="00CD67C7">
      <w:pPr>
        <w:pStyle w:val="SingleTxt"/>
        <w:spacing w:after="0" w:line="120" w:lineRule="exact"/>
        <w:rPr>
          <w:sz w:val="10"/>
          <w:lang w:val="fr-FR"/>
        </w:rPr>
      </w:pPr>
    </w:p>
    <w:p w14:paraId="09373489" w14:textId="067A2A0C" w:rsidR="00CD67C7" w:rsidRPr="00CD67C7" w:rsidRDefault="00CD67C7" w:rsidP="00CD67C7">
      <w:pPr>
        <w:pStyle w:val="SingleTxt"/>
        <w:spacing w:after="0" w:line="120" w:lineRule="exact"/>
        <w:rPr>
          <w:sz w:val="10"/>
          <w:lang w:val="fr-FR"/>
        </w:rPr>
      </w:pPr>
    </w:p>
    <w:p w14:paraId="3E6B855B" w14:textId="786D033D" w:rsidR="008B45F1" w:rsidRPr="008B45F1" w:rsidRDefault="008B45F1" w:rsidP="00CD67C7">
      <w:pPr>
        <w:pStyle w:val="SingleTxt"/>
        <w:numPr>
          <w:ilvl w:val="0"/>
          <w:numId w:val="10"/>
        </w:numPr>
        <w:spacing w:line="240" w:lineRule="exact"/>
        <w:rPr>
          <w:lang w:val="fr-FR"/>
        </w:rPr>
      </w:pPr>
      <w:r w:rsidRPr="008B45F1">
        <w:rPr>
          <w:lang w:val="fr-FR"/>
        </w:rPr>
        <w:t>Le 6 novembre 2017, le Comité a examiné les activités menées au titre de l</w:t>
      </w:r>
      <w:r w:rsidR="00265783">
        <w:rPr>
          <w:lang w:val="fr-FR"/>
        </w:rPr>
        <w:t>’</w:t>
      </w:r>
      <w:r w:rsidRPr="008B45F1">
        <w:rPr>
          <w:lang w:val="fr-FR"/>
        </w:rPr>
        <w:t xml:space="preserve">article 2 du Protocole facultatif. </w:t>
      </w:r>
    </w:p>
    <w:p w14:paraId="3DE7D3BE" w14:textId="5ADBE546" w:rsidR="008B45F1" w:rsidRPr="008B45F1" w:rsidRDefault="008B45F1" w:rsidP="00CD67C7">
      <w:pPr>
        <w:pStyle w:val="SingleTxt"/>
        <w:numPr>
          <w:ilvl w:val="0"/>
          <w:numId w:val="10"/>
        </w:numPr>
        <w:spacing w:line="240" w:lineRule="exact"/>
        <w:rPr>
          <w:lang w:val="fr-FR"/>
        </w:rPr>
      </w:pPr>
      <w:r w:rsidRPr="008B45F1">
        <w:rPr>
          <w:lang w:val="fr-FR"/>
        </w:rPr>
        <w:t>Le Comité a approuvé le rapport du Groupe de travail sur les communications présentées conformément au Protocole facultatif sur les travaux de sa trente-neuvième session (voir https://bit.ly/2HbdIhn).</w:t>
      </w:r>
    </w:p>
    <w:p w14:paraId="01B2F825" w14:textId="2DFB59CC" w:rsidR="008B45F1" w:rsidRDefault="008B45F1" w:rsidP="00CD67C7">
      <w:pPr>
        <w:pStyle w:val="SingleTxt"/>
        <w:numPr>
          <w:ilvl w:val="0"/>
          <w:numId w:val="10"/>
        </w:numPr>
        <w:spacing w:line="240" w:lineRule="exact"/>
        <w:rPr>
          <w:lang w:val="fr-FR"/>
        </w:rPr>
      </w:pPr>
      <w:r w:rsidRPr="008B45F1">
        <w:rPr>
          <w:lang w:val="fr-FR"/>
        </w:rPr>
        <w:t>Le Comité a adopté des décisions finales concernant trois communications émanant de particuliers présentées conformément à l</w:t>
      </w:r>
      <w:r w:rsidR="00265783">
        <w:rPr>
          <w:lang w:val="fr-FR"/>
        </w:rPr>
        <w:t>’</w:t>
      </w:r>
      <w:r w:rsidRPr="008B45F1">
        <w:rPr>
          <w:lang w:val="fr-FR"/>
        </w:rPr>
        <w:t>article 2 du Protocole facultatif. Dans les constatations qu</w:t>
      </w:r>
      <w:r w:rsidR="00265783">
        <w:rPr>
          <w:lang w:val="fr-FR"/>
        </w:rPr>
        <w:t>’</w:t>
      </w:r>
      <w:r w:rsidRPr="008B45F1">
        <w:rPr>
          <w:lang w:val="fr-FR"/>
        </w:rPr>
        <w:t>il a adoptées concernant l</w:t>
      </w:r>
      <w:r w:rsidR="00265783">
        <w:rPr>
          <w:lang w:val="fr-FR"/>
        </w:rPr>
        <w:t>’</w:t>
      </w:r>
      <w:r w:rsidRPr="008B45F1">
        <w:rPr>
          <w:lang w:val="fr-FR"/>
        </w:rPr>
        <w:t xml:space="preserve">affaire </w:t>
      </w:r>
      <w:r w:rsidRPr="008B45F1">
        <w:rPr>
          <w:i/>
          <w:iCs/>
          <w:lang w:val="fr-FR"/>
        </w:rPr>
        <w:t xml:space="preserve">O.G. </w:t>
      </w:r>
      <w:r w:rsidRPr="007511D2">
        <w:rPr>
          <w:lang w:val="fr-FR"/>
        </w:rPr>
        <w:t>c</w:t>
      </w:r>
      <w:r w:rsidRPr="008B45F1">
        <w:rPr>
          <w:i/>
          <w:iCs/>
          <w:lang w:val="fr-FR"/>
        </w:rPr>
        <w:t>. Fédération de Russie</w:t>
      </w:r>
      <w:r w:rsidRPr="008B45F1">
        <w:rPr>
          <w:lang w:val="fr-FR"/>
        </w:rPr>
        <w:t>) (</w:t>
      </w:r>
      <w:hyperlink r:id="rId82" w:history="1">
        <w:r w:rsidRPr="008E2674">
          <w:rPr>
            <w:rStyle w:val="Hyperlink"/>
            <w:lang w:val="fr-FR"/>
          </w:rPr>
          <w:t>CEDAW/C/68/D/91/2015</w:t>
        </w:r>
      </w:hyperlink>
      <w:r w:rsidRPr="008B45F1">
        <w:rPr>
          <w:lang w:val="fr-FR"/>
        </w:rPr>
        <w:t>), il a conclu à une violation des droits de l</w:t>
      </w:r>
      <w:r w:rsidR="00265783">
        <w:rPr>
          <w:lang w:val="fr-FR"/>
        </w:rPr>
        <w:t>’</w:t>
      </w:r>
      <w:r w:rsidRPr="008B45F1">
        <w:rPr>
          <w:lang w:val="fr-FR"/>
        </w:rPr>
        <w:t xml:space="preserve">intéressée. Concernant les affaires </w:t>
      </w:r>
      <w:r w:rsidRPr="008B45F1">
        <w:rPr>
          <w:i/>
          <w:iCs/>
          <w:lang w:val="fr-FR"/>
        </w:rPr>
        <w:t xml:space="preserve">S.J.A. </w:t>
      </w:r>
      <w:r w:rsidRPr="007511D2">
        <w:rPr>
          <w:lang w:val="fr-FR"/>
        </w:rPr>
        <w:t>c</w:t>
      </w:r>
      <w:r w:rsidRPr="008B45F1">
        <w:rPr>
          <w:i/>
          <w:iCs/>
          <w:lang w:val="fr-FR"/>
        </w:rPr>
        <w:t>. Danemark</w:t>
      </w:r>
      <w:r w:rsidRPr="008B45F1">
        <w:rPr>
          <w:lang w:val="fr-FR"/>
        </w:rPr>
        <w:t xml:space="preserve"> (</w:t>
      </w:r>
      <w:hyperlink r:id="rId83" w:history="1">
        <w:r w:rsidRPr="008E2674">
          <w:rPr>
            <w:rStyle w:val="Hyperlink"/>
            <w:lang w:val="fr-FR"/>
          </w:rPr>
          <w:t>CEDAW/C/68/D/79/2014</w:t>
        </w:r>
      </w:hyperlink>
      <w:r w:rsidRPr="008B45F1">
        <w:rPr>
          <w:lang w:val="fr-FR"/>
        </w:rPr>
        <w:t xml:space="preserve">) et </w:t>
      </w:r>
      <w:r w:rsidRPr="008B45F1">
        <w:rPr>
          <w:i/>
          <w:iCs/>
          <w:lang w:val="fr-FR"/>
        </w:rPr>
        <w:t xml:space="preserve">N.P. </w:t>
      </w:r>
      <w:r w:rsidRPr="007511D2">
        <w:rPr>
          <w:lang w:val="fr-FR"/>
        </w:rPr>
        <w:t>c.</w:t>
      </w:r>
      <w:r w:rsidRPr="008B45F1">
        <w:rPr>
          <w:i/>
          <w:iCs/>
          <w:lang w:val="fr-FR"/>
        </w:rPr>
        <w:t xml:space="preserve"> Ukraine</w:t>
      </w:r>
      <w:r w:rsidRPr="008B45F1">
        <w:rPr>
          <w:lang w:val="fr-FR"/>
        </w:rPr>
        <w:t xml:space="preserve"> (</w:t>
      </w:r>
      <w:hyperlink r:id="rId84" w:history="1">
        <w:r w:rsidRPr="008E2674">
          <w:rPr>
            <w:rStyle w:val="Hyperlink"/>
            <w:lang w:val="fr-FR"/>
          </w:rPr>
          <w:t>CEDAW/C/68/D/95/2015</w:t>
        </w:r>
      </w:hyperlink>
      <w:r w:rsidRPr="008B45F1">
        <w:rPr>
          <w:lang w:val="fr-FR"/>
        </w:rPr>
        <w:t>), il a adopté des décisions d</w:t>
      </w:r>
      <w:r w:rsidR="00265783">
        <w:rPr>
          <w:lang w:val="fr-FR"/>
        </w:rPr>
        <w:t>’</w:t>
      </w:r>
      <w:r w:rsidRPr="008B45F1">
        <w:rPr>
          <w:lang w:val="fr-FR"/>
        </w:rPr>
        <w:t>irrecevabilité. En outre, il a clos l</w:t>
      </w:r>
      <w:r w:rsidR="00265783">
        <w:rPr>
          <w:lang w:val="fr-FR"/>
        </w:rPr>
        <w:t>’</w:t>
      </w:r>
      <w:r w:rsidRPr="008B45F1">
        <w:rPr>
          <w:lang w:val="fr-FR"/>
        </w:rPr>
        <w:t>examen de la communication n</w:t>
      </w:r>
      <w:r w:rsidR="007511D2">
        <w:rPr>
          <w:vertAlign w:val="superscript"/>
          <w:lang w:val="fr-FR"/>
        </w:rPr>
        <w:t>o </w:t>
      </w:r>
      <w:r w:rsidRPr="008B45F1">
        <w:rPr>
          <w:lang w:val="fr-FR"/>
        </w:rPr>
        <w:t>93/2015 (</w:t>
      </w:r>
      <w:r w:rsidRPr="008B45F1">
        <w:rPr>
          <w:i/>
          <w:iCs/>
          <w:lang w:val="fr-FR"/>
        </w:rPr>
        <w:t xml:space="preserve">K.I.A </w:t>
      </w:r>
      <w:r w:rsidRPr="007511D2">
        <w:rPr>
          <w:lang w:val="fr-FR"/>
        </w:rPr>
        <w:t>c.</w:t>
      </w:r>
      <w:r w:rsidRPr="008B45F1">
        <w:rPr>
          <w:i/>
          <w:iCs/>
          <w:lang w:val="fr-FR"/>
        </w:rPr>
        <w:t xml:space="preserve"> Danemark</w:t>
      </w:r>
      <w:r w:rsidRPr="008B45F1">
        <w:rPr>
          <w:lang w:val="fr-FR"/>
        </w:rPr>
        <w:t xml:space="preserve">). Toutes les décisions ont été adoptées par consensus. </w:t>
      </w:r>
    </w:p>
    <w:p w14:paraId="6CE90EDD" w14:textId="21503E64" w:rsidR="00CD67C7" w:rsidRPr="00CD67C7" w:rsidRDefault="00CD67C7" w:rsidP="00CD67C7">
      <w:pPr>
        <w:pStyle w:val="SingleTxt"/>
        <w:spacing w:after="0" w:line="120" w:lineRule="exact"/>
        <w:rPr>
          <w:sz w:val="10"/>
          <w:lang w:val="fr-FR"/>
        </w:rPr>
      </w:pPr>
    </w:p>
    <w:p w14:paraId="1E7636C8" w14:textId="16D82D45" w:rsidR="00CD67C7" w:rsidRPr="00CD67C7" w:rsidRDefault="00CD67C7" w:rsidP="00CD67C7">
      <w:pPr>
        <w:pStyle w:val="SingleTxt"/>
        <w:spacing w:after="0" w:line="120" w:lineRule="exact"/>
        <w:rPr>
          <w:sz w:val="10"/>
          <w:lang w:val="fr-FR"/>
        </w:rPr>
      </w:pPr>
    </w:p>
    <w:p w14:paraId="49E647EE" w14:textId="65BF441E" w:rsidR="008B45F1" w:rsidRPr="008B45F1" w:rsidRDefault="00CD67C7" w:rsidP="00CD67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B45F1" w:rsidRPr="008B45F1">
        <w:rPr>
          <w:lang w:val="fr-FR"/>
        </w:rPr>
        <w:t>B.</w:t>
      </w:r>
      <w:r w:rsidR="008B45F1" w:rsidRPr="008B45F1">
        <w:rPr>
          <w:lang w:val="fr-FR"/>
        </w:rPr>
        <w:tab/>
        <w:t>Suite don</w:t>
      </w:r>
      <w:r w:rsidR="00463502">
        <w:rPr>
          <w:lang w:val="fr-FR"/>
        </w:rPr>
        <w:t>née aux constatations du Comité</w:t>
      </w:r>
      <w:r w:rsidR="00463502">
        <w:rPr>
          <w:lang w:val="fr-FR"/>
        </w:rPr>
        <w:br/>
      </w:r>
      <w:r w:rsidR="008B45F1" w:rsidRPr="008B45F1">
        <w:rPr>
          <w:lang w:val="fr-FR"/>
        </w:rPr>
        <w:t>sur les communications émanant de particuliers</w:t>
      </w:r>
    </w:p>
    <w:p w14:paraId="3693F913" w14:textId="086CC0CA" w:rsidR="00CD67C7" w:rsidRPr="00CD67C7" w:rsidRDefault="00CD67C7" w:rsidP="00CD67C7">
      <w:pPr>
        <w:pStyle w:val="SingleTxt"/>
        <w:spacing w:after="0" w:line="120" w:lineRule="exact"/>
        <w:rPr>
          <w:sz w:val="10"/>
          <w:lang w:val="fr-FR"/>
        </w:rPr>
      </w:pPr>
    </w:p>
    <w:p w14:paraId="4F2CACCB" w14:textId="3B078E2A" w:rsidR="00CD67C7" w:rsidRPr="00CD67C7" w:rsidRDefault="00CD67C7" w:rsidP="00CD67C7">
      <w:pPr>
        <w:pStyle w:val="SingleTxt"/>
        <w:spacing w:after="0" w:line="120" w:lineRule="exact"/>
        <w:rPr>
          <w:sz w:val="10"/>
          <w:lang w:val="fr-FR"/>
        </w:rPr>
      </w:pPr>
    </w:p>
    <w:p w14:paraId="226260EA" w14:textId="4E7EC600" w:rsidR="008B45F1" w:rsidRDefault="008B45F1" w:rsidP="00CD67C7">
      <w:pPr>
        <w:pStyle w:val="SingleTxt"/>
        <w:numPr>
          <w:ilvl w:val="0"/>
          <w:numId w:val="10"/>
        </w:numPr>
        <w:spacing w:line="240" w:lineRule="exact"/>
        <w:rPr>
          <w:lang w:val="fr-FR"/>
        </w:rPr>
      </w:pPr>
      <w:r w:rsidRPr="008B45F1">
        <w:rPr>
          <w:lang w:val="fr-FR"/>
        </w:rPr>
        <w:t>Le Comité a été informé que, à sa trente-neuvième session, le Groupe de travail avait débattu de l</w:t>
      </w:r>
      <w:r w:rsidR="00265783">
        <w:rPr>
          <w:lang w:val="fr-FR"/>
        </w:rPr>
        <w:t>’</w:t>
      </w:r>
      <w:r w:rsidRPr="008B45F1">
        <w:rPr>
          <w:lang w:val="fr-FR"/>
        </w:rPr>
        <w:t>état du suivi de chaque affaire pour laquelle un dialogue était en cours et s</w:t>
      </w:r>
      <w:r w:rsidR="00265783">
        <w:rPr>
          <w:lang w:val="fr-FR"/>
        </w:rPr>
        <w:t>’</w:t>
      </w:r>
      <w:r w:rsidRPr="008B45F1">
        <w:rPr>
          <w:lang w:val="fr-FR"/>
        </w:rPr>
        <w:t>était prononcé sur les mesures à prendre. Sur les 15 affaires en cours d</w:t>
      </w:r>
      <w:r w:rsidR="00265783">
        <w:rPr>
          <w:lang w:val="fr-FR"/>
        </w:rPr>
        <w:t>’</w:t>
      </w:r>
      <w:r w:rsidRPr="008B45F1">
        <w:rPr>
          <w:lang w:val="fr-FR"/>
        </w:rPr>
        <w:t>examen, deux concernaient la Fédération de Russie, une le Brésil, une le Canada, une le Danemark, une l</w:t>
      </w:r>
      <w:r w:rsidR="00265783">
        <w:rPr>
          <w:lang w:val="fr-FR"/>
        </w:rPr>
        <w:t>’</w:t>
      </w:r>
      <w:r w:rsidRPr="008B45F1">
        <w:rPr>
          <w:lang w:val="fr-FR"/>
        </w:rPr>
        <w:t>Espagne, une la Géorgie, une</w:t>
      </w:r>
      <w:r w:rsidR="00B30172">
        <w:rPr>
          <w:lang w:val="fr-FR"/>
        </w:rPr>
        <w:t xml:space="preserve"> le Kazakhstan, une le Mexique</w:t>
      </w:r>
      <w:r w:rsidRPr="008B45F1">
        <w:rPr>
          <w:lang w:val="fr-FR"/>
        </w:rPr>
        <w:t>, une les Pays-Bas, une le Pérou, une les Philippines, une la République de Moldova, une la République-Unie de Tanzanie et une la Slovaquie. Pour chacune d</w:t>
      </w:r>
      <w:r w:rsidR="00265783">
        <w:rPr>
          <w:lang w:val="fr-FR"/>
        </w:rPr>
        <w:t>’</w:t>
      </w:r>
      <w:r w:rsidRPr="008B45F1">
        <w:rPr>
          <w:lang w:val="fr-FR"/>
        </w:rPr>
        <w:t>entre elles, le Comité a désigné un rapporteur.</w:t>
      </w:r>
    </w:p>
    <w:p w14:paraId="7A41EE4C" w14:textId="6FA6D1F3" w:rsidR="00CD67C7" w:rsidRPr="00CD67C7" w:rsidRDefault="00CD67C7" w:rsidP="00CD67C7">
      <w:pPr>
        <w:pStyle w:val="SingleTxt"/>
        <w:tabs>
          <w:tab w:val="clear" w:pos="1742"/>
        </w:tabs>
        <w:spacing w:after="0" w:line="120" w:lineRule="exact"/>
        <w:rPr>
          <w:sz w:val="10"/>
          <w:lang w:val="fr-FR"/>
        </w:rPr>
      </w:pPr>
    </w:p>
    <w:p w14:paraId="6DD145F2" w14:textId="22817655" w:rsidR="00CD67C7" w:rsidRPr="00CD67C7" w:rsidRDefault="00CD67C7" w:rsidP="00CD67C7">
      <w:pPr>
        <w:pStyle w:val="SingleTxt"/>
        <w:tabs>
          <w:tab w:val="clear" w:pos="1742"/>
        </w:tabs>
        <w:spacing w:after="0" w:line="120" w:lineRule="exact"/>
        <w:rPr>
          <w:sz w:val="10"/>
          <w:lang w:val="fr-FR"/>
        </w:rPr>
      </w:pPr>
    </w:p>
    <w:p w14:paraId="332CA742" w14:textId="4E627819" w:rsidR="008B45F1" w:rsidRDefault="00CD67C7" w:rsidP="00CD67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B45F1" w:rsidRPr="008B45F1">
        <w:rPr>
          <w:lang w:val="fr-FR"/>
        </w:rPr>
        <w:t>C.</w:t>
      </w:r>
      <w:r w:rsidR="008B45F1" w:rsidRPr="008B45F1">
        <w:rPr>
          <w:lang w:val="fr-FR"/>
        </w:rPr>
        <w:tab/>
        <w:t>Mesures prises par le Co</w:t>
      </w:r>
      <w:r w:rsidR="00463502">
        <w:rPr>
          <w:lang w:val="fr-FR"/>
        </w:rPr>
        <w:t>mité sur les questions relevant</w:t>
      </w:r>
      <w:r w:rsidR="00463502">
        <w:rPr>
          <w:lang w:val="fr-FR"/>
        </w:rPr>
        <w:br/>
      </w:r>
      <w:r w:rsidR="008B45F1" w:rsidRPr="008B45F1">
        <w:rPr>
          <w:lang w:val="fr-FR"/>
        </w:rPr>
        <w:t>de l</w:t>
      </w:r>
      <w:r w:rsidR="00265783">
        <w:rPr>
          <w:lang w:val="fr-FR"/>
        </w:rPr>
        <w:t>’</w:t>
      </w:r>
      <w:r w:rsidR="008B45F1" w:rsidRPr="008B45F1">
        <w:rPr>
          <w:lang w:val="fr-FR"/>
        </w:rPr>
        <w:t>article 8 du Protocole facultatif</w:t>
      </w:r>
    </w:p>
    <w:p w14:paraId="4523666F" w14:textId="6A257BCB" w:rsidR="00CD67C7" w:rsidRPr="00CD67C7" w:rsidRDefault="00CD67C7" w:rsidP="00CD67C7">
      <w:pPr>
        <w:pStyle w:val="SingleTxt"/>
        <w:spacing w:after="0" w:line="120" w:lineRule="exact"/>
        <w:rPr>
          <w:sz w:val="10"/>
          <w:lang w:val="fr-FR"/>
        </w:rPr>
      </w:pPr>
    </w:p>
    <w:p w14:paraId="3B0B0871" w14:textId="64E3DFF0" w:rsidR="00CD67C7" w:rsidRPr="00CD67C7" w:rsidRDefault="00CD67C7" w:rsidP="00CD67C7">
      <w:pPr>
        <w:pStyle w:val="SingleTxt"/>
        <w:spacing w:after="0" w:line="120" w:lineRule="exact"/>
        <w:rPr>
          <w:sz w:val="10"/>
          <w:lang w:val="fr-FR"/>
        </w:rPr>
      </w:pPr>
    </w:p>
    <w:p w14:paraId="531955EF" w14:textId="509E87E4" w:rsidR="008B45F1" w:rsidRPr="008B45F1" w:rsidRDefault="008B45F1" w:rsidP="00CD67C7">
      <w:pPr>
        <w:pStyle w:val="SingleTxt"/>
        <w:numPr>
          <w:ilvl w:val="0"/>
          <w:numId w:val="10"/>
        </w:numPr>
        <w:spacing w:line="240" w:lineRule="exact"/>
        <w:rPr>
          <w:lang w:val="fr-FR"/>
        </w:rPr>
      </w:pPr>
      <w:r w:rsidRPr="008B45F1">
        <w:rPr>
          <w:lang w:val="fr-FR"/>
        </w:rPr>
        <w:t>Le 15 novembre, le Comité a examiné les activités menées au titre de l</w:t>
      </w:r>
      <w:r w:rsidR="00265783">
        <w:rPr>
          <w:lang w:val="fr-FR"/>
        </w:rPr>
        <w:t>’</w:t>
      </w:r>
      <w:r w:rsidRPr="008B45F1">
        <w:rPr>
          <w:lang w:val="fr-FR"/>
        </w:rPr>
        <w:t>article 8 du Protocole facultatif. Il a approuvé le rapport du Groupe de travail chargé des enquêtes menées au titre du Protocole facultatif sur les travaux de sa huitième session (voir https://bit.ly/2qiv1TK).</w:t>
      </w:r>
    </w:p>
    <w:p w14:paraId="0E028C31" w14:textId="30AB5C79" w:rsidR="008B45F1" w:rsidRPr="008B45F1" w:rsidRDefault="008B45F1" w:rsidP="00CD67C7">
      <w:pPr>
        <w:pStyle w:val="SingleTxt"/>
        <w:numPr>
          <w:ilvl w:val="0"/>
          <w:numId w:val="10"/>
        </w:numPr>
        <w:spacing w:line="240" w:lineRule="exact"/>
        <w:rPr>
          <w:lang w:val="fr-FR"/>
        </w:rPr>
      </w:pPr>
      <w:r w:rsidRPr="008B45F1">
        <w:rPr>
          <w:lang w:val="fr-FR"/>
        </w:rPr>
        <w:t>Le Comité a adopté la recommandation que le Groupe de travail lui avait faite s</w:t>
      </w:r>
      <w:r w:rsidR="00265783">
        <w:rPr>
          <w:lang w:val="fr-FR"/>
        </w:rPr>
        <w:t>’</w:t>
      </w:r>
      <w:r w:rsidRPr="008B45F1">
        <w:rPr>
          <w:lang w:val="fr-FR"/>
        </w:rPr>
        <w:t>agissant de</w:t>
      </w:r>
      <w:r w:rsidR="007511D2">
        <w:rPr>
          <w:lang w:val="fr-FR"/>
        </w:rPr>
        <w:t xml:space="preserve"> la requête n</w:t>
      </w:r>
      <w:r w:rsidR="007511D2" w:rsidRPr="007511D2">
        <w:rPr>
          <w:vertAlign w:val="superscript"/>
          <w:lang w:val="fr-FR"/>
        </w:rPr>
        <w:t>o</w:t>
      </w:r>
      <w:r w:rsidR="007511D2">
        <w:rPr>
          <w:lang w:val="fr-FR"/>
        </w:rPr>
        <w:t xml:space="preserve"> 2017/2, à savoir </w:t>
      </w:r>
      <w:r w:rsidRPr="008B45F1">
        <w:rPr>
          <w:lang w:val="fr-FR"/>
        </w:rPr>
        <w:t>de mettre fin à l</w:t>
      </w:r>
      <w:r w:rsidR="00265783">
        <w:rPr>
          <w:lang w:val="fr-FR"/>
        </w:rPr>
        <w:t>’</w:t>
      </w:r>
      <w:r w:rsidRPr="008B45F1">
        <w:rPr>
          <w:lang w:val="fr-FR"/>
        </w:rPr>
        <w:t>examen des renseignements reçus au titre de l</w:t>
      </w:r>
      <w:r w:rsidR="00265783">
        <w:rPr>
          <w:lang w:val="fr-FR"/>
        </w:rPr>
        <w:t>’</w:t>
      </w:r>
      <w:r w:rsidRPr="008B45F1">
        <w:rPr>
          <w:lang w:val="fr-FR"/>
        </w:rPr>
        <w:t>article 8 du Protocole facultatif.</w:t>
      </w:r>
    </w:p>
    <w:p w14:paraId="12C8E987" w14:textId="4BC7F337" w:rsidR="008B45F1" w:rsidRPr="008B45F1" w:rsidRDefault="008B45F1" w:rsidP="00CD67C7">
      <w:pPr>
        <w:pStyle w:val="SingleTxt"/>
        <w:numPr>
          <w:ilvl w:val="0"/>
          <w:numId w:val="10"/>
        </w:numPr>
        <w:spacing w:line="240" w:lineRule="exact"/>
        <w:rPr>
          <w:lang w:val="fr-FR"/>
        </w:rPr>
      </w:pPr>
      <w:r w:rsidRPr="008B45F1">
        <w:rPr>
          <w:lang w:val="fr-FR"/>
        </w:rPr>
        <w:t>Le Comité a achevé la première lecture du projet de conclusions, d</w:t>
      </w:r>
      <w:r w:rsidR="00265783">
        <w:rPr>
          <w:lang w:val="fr-FR"/>
        </w:rPr>
        <w:t>’</w:t>
      </w:r>
      <w:r w:rsidRPr="008B45F1">
        <w:rPr>
          <w:lang w:val="fr-FR"/>
        </w:rPr>
        <w:t>observations et de recommand</w:t>
      </w:r>
      <w:r w:rsidR="007511D2">
        <w:rPr>
          <w:lang w:val="fr-FR"/>
        </w:rPr>
        <w:t>ations concernant la requête n</w:t>
      </w:r>
      <w:r w:rsidR="007511D2" w:rsidRPr="007511D2">
        <w:rPr>
          <w:vertAlign w:val="superscript"/>
          <w:lang w:val="fr-FR"/>
        </w:rPr>
        <w:t>o</w:t>
      </w:r>
      <w:r w:rsidR="007511D2">
        <w:rPr>
          <w:lang w:val="fr-FR"/>
        </w:rPr>
        <w:t> </w:t>
      </w:r>
      <w:r w:rsidRPr="008B45F1">
        <w:rPr>
          <w:lang w:val="fr-FR"/>
        </w:rPr>
        <w:t>2014/1.</w:t>
      </w:r>
    </w:p>
    <w:p w14:paraId="40B39C96" w14:textId="24CF7E10" w:rsidR="008B45F1" w:rsidRPr="008B45F1" w:rsidRDefault="008B45F1" w:rsidP="00CD67C7">
      <w:pPr>
        <w:pStyle w:val="SingleTxt"/>
        <w:numPr>
          <w:ilvl w:val="0"/>
          <w:numId w:val="10"/>
        </w:numPr>
        <w:spacing w:line="240" w:lineRule="exact"/>
        <w:rPr>
          <w:lang w:val="fr-FR"/>
        </w:rPr>
      </w:pPr>
      <w:r w:rsidRPr="008B45F1">
        <w:rPr>
          <w:lang w:val="fr-FR"/>
        </w:rPr>
        <w:t>Le Comité a ratifié les décisions ci-après, qui avaient été prises par le Groupe de travail :</w:t>
      </w:r>
    </w:p>
    <w:p w14:paraId="458AF757" w14:textId="090638F8" w:rsidR="008B45F1" w:rsidRPr="008B45F1" w:rsidRDefault="008B45F1" w:rsidP="008B45F1">
      <w:pPr>
        <w:pStyle w:val="SingleTxt"/>
        <w:rPr>
          <w:lang w:val="fr-FR"/>
        </w:rPr>
      </w:pPr>
      <w:r w:rsidRPr="008B45F1">
        <w:rPr>
          <w:lang w:val="fr-FR"/>
        </w:rPr>
        <w:lastRenderedPageBreak/>
        <w:tab/>
        <w:t>a)</w:t>
      </w:r>
      <w:r w:rsidRPr="008B45F1">
        <w:rPr>
          <w:lang w:val="fr-FR"/>
        </w:rPr>
        <w:tab/>
        <w:t>En ce qui concerne la requê</w:t>
      </w:r>
      <w:r w:rsidR="007511D2">
        <w:rPr>
          <w:lang w:val="fr-FR"/>
        </w:rPr>
        <w:t>te n</w:t>
      </w:r>
      <w:r w:rsidR="007511D2" w:rsidRPr="007511D2">
        <w:rPr>
          <w:vertAlign w:val="superscript"/>
          <w:lang w:val="fr-FR"/>
        </w:rPr>
        <w:t>o</w:t>
      </w:r>
      <w:r w:rsidR="007511D2">
        <w:rPr>
          <w:lang w:val="fr-FR"/>
        </w:rPr>
        <w:t> </w:t>
      </w:r>
      <w:r w:rsidRPr="008B45F1">
        <w:rPr>
          <w:lang w:val="fr-FR"/>
        </w:rPr>
        <w:t>2011/4, d</w:t>
      </w:r>
      <w:r w:rsidR="00265783">
        <w:rPr>
          <w:lang w:val="fr-FR"/>
        </w:rPr>
        <w:t>’</w:t>
      </w:r>
      <w:r w:rsidRPr="008B45F1">
        <w:rPr>
          <w:lang w:val="fr-FR"/>
        </w:rPr>
        <w:t>accepter le retrait de Náela Mohamed Gabr de la liste des membres chargés de mener l</w:t>
      </w:r>
      <w:r w:rsidR="00265783">
        <w:rPr>
          <w:lang w:val="fr-FR"/>
        </w:rPr>
        <w:t>’</w:t>
      </w:r>
      <w:r w:rsidRPr="008B45F1">
        <w:rPr>
          <w:lang w:val="fr-FR"/>
        </w:rPr>
        <w:t>enquête </w:t>
      </w:r>
      <w:r w:rsidR="00D83EA9">
        <w:rPr>
          <w:lang w:val="fr-FR"/>
        </w:rPr>
        <w:t>;</w:t>
      </w:r>
    </w:p>
    <w:p w14:paraId="7F3F9E11" w14:textId="6C84E885" w:rsidR="008B45F1" w:rsidRPr="008B45F1" w:rsidRDefault="008B45F1" w:rsidP="008B45F1">
      <w:pPr>
        <w:pStyle w:val="SingleTxt"/>
        <w:rPr>
          <w:lang w:val="fr-FR"/>
        </w:rPr>
      </w:pPr>
      <w:r w:rsidRPr="008B45F1">
        <w:rPr>
          <w:lang w:val="fr-FR"/>
        </w:rPr>
        <w:tab/>
        <w:t>b)</w:t>
      </w:r>
      <w:r w:rsidRPr="008B45F1">
        <w:rPr>
          <w:lang w:val="fr-FR"/>
        </w:rPr>
        <w:tab/>
        <w:t>Au vu de l</w:t>
      </w:r>
      <w:r w:rsidR="00265783">
        <w:rPr>
          <w:lang w:val="fr-FR"/>
        </w:rPr>
        <w:t>’</w:t>
      </w:r>
      <w:r w:rsidRPr="008B45F1">
        <w:rPr>
          <w:lang w:val="fr-FR"/>
        </w:rPr>
        <w:t>absence de coopération de certains États parties, de donner au Groupe de travail chargé des enquêtes mandat d</w:t>
      </w:r>
      <w:r w:rsidR="00265783">
        <w:rPr>
          <w:lang w:val="fr-FR"/>
        </w:rPr>
        <w:t>’</w:t>
      </w:r>
      <w:r w:rsidRPr="008B45F1">
        <w:rPr>
          <w:lang w:val="fr-FR"/>
        </w:rPr>
        <w:t>étudier les moyens d</w:t>
      </w:r>
      <w:r w:rsidR="00265783">
        <w:rPr>
          <w:lang w:val="fr-FR"/>
        </w:rPr>
        <w:t>’</w:t>
      </w:r>
      <w:r w:rsidRPr="008B45F1">
        <w:rPr>
          <w:lang w:val="fr-FR"/>
        </w:rPr>
        <w:t>élaborer des procédures permettant de mener une enquête sans se rendre sur le territoire de l</w:t>
      </w:r>
      <w:r w:rsidR="00265783">
        <w:rPr>
          <w:lang w:val="fr-FR"/>
        </w:rPr>
        <w:t>’</w:t>
      </w:r>
      <w:r w:rsidRPr="008B45F1">
        <w:rPr>
          <w:lang w:val="fr-FR"/>
        </w:rPr>
        <w:t>État partie concerné </w:t>
      </w:r>
      <w:r w:rsidR="00D83EA9">
        <w:rPr>
          <w:lang w:val="fr-FR"/>
        </w:rPr>
        <w:t>;</w:t>
      </w:r>
    </w:p>
    <w:p w14:paraId="26E20911" w14:textId="3F57A363" w:rsidR="00CD67C7" w:rsidRDefault="008B45F1" w:rsidP="00CD67C7">
      <w:pPr>
        <w:pStyle w:val="SingleTxt"/>
        <w:rPr>
          <w:lang w:val="fr-FR"/>
        </w:rPr>
      </w:pPr>
      <w:r w:rsidRPr="008B45F1">
        <w:rPr>
          <w:lang w:val="fr-FR"/>
        </w:rPr>
        <w:tab/>
        <w:t>c)</w:t>
      </w:r>
      <w:r w:rsidRPr="008B45F1">
        <w:rPr>
          <w:lang w:val="fr-FR"/>
        </w:rPr>
        <w:tab/>
        <w:t>De reporter à la soixante-neuvième session du Comité l</w:t>
      </w:r>
      <w:r w:rsidR="00265783">
        <w:rPr>
          <w:lang w:val="fr-FR"/>
        </w:rPr>
        <w:t>’</w:t>
      </w:r>
      <w:r w:rsidRPr="008B45F1">
        <w:rPr>
          <w:lang w:val="fr-FR"/>
        </w:rPr>
        <w:t>examen des amendements aux directives générales proposés par le Groupe de travail chargé des enquêtes.</w:t>
      </w:r>
    </w:p>
    <w:p w14:paraId="08E44094" w14:textId="372A2EBD" w:rsidR="00CD67C7" w:rsidRDefault="00CD67C7" w:rsidP="00CD67C7">
      <w:pPr>
        <w:pStyle w:val="SingleTxt"/>
        <w:rPr>
          <w:lang w:val="fr-FR"/>
        </w:rPr>
      </w:pPr>
    </w:p>
    <w:p w14:paraId="684FE9FD" w14:textId="6EB086DF" w:rsidR="00CD67C7" w:rsidRDefault="00CD67C7" w:rsidP="00CD67C7">
      <w:pPr>
        <w:pStyle w:val="SingleTxt"/>
        <w:rPr>
          <w:lang w:val="fr-FR"/>
        </w:rPr>
      </w:pPr>
    </w:p>
    <w:p w14:paraId="053313AC" w14:textId="567BE7AE" w:rsidR="00CD67C7" w:rsidRDefault="00CD67C7">
      <w:pPr>
        <w:spacing w:after="200" w:line="276" w:lineRule="auto"/>
        <w:rPr>
          <w:lang w:val="fr-FR"/>
        </w:rPr>
      </w:pPr>
      <w:r>
        <w:rPr>
          <w:lang w:val="fr-FR"/>
        </w:rPr>
        <w:br w:type="page"/>
      </w:r>
    </w:p>
    <w:p w14:paraId="00700D02" w14:textId="2F47D15A" w:rsidR="008B45F1" w:rsidRPr="009C4E47" w:rsidRDefault="008B45F1" w:rsidP="006C56F9">
      <w:pPr>
        <w:pStyle w:val="HCh0"/>
        <w:ind w:left="1267" w:right="1260" w:hanging="1267"/>
        <w:rPr>
          <w:lang w:val="fr-FR"/>
        </w:rPr>
      </w:pPr>
      <w:r w:rsidRPr="009C4E47">
        <w:rPr>
          <w:lang w:val="fr-FR"/>
        </w:rPr>
        <w:lastRenderedPageBreak/>
        <w:t>Chapitre VI</w:t>
      </w:r>
    </w:p>
    <w:p w14:paraId="65AFB2AE" w14:textId="19A85D8C" w:rsidR="008B45F1" w:rsidRPr="009C4E47" w:rsidRDefault="008B45F1" w:rsidP="006C56F9">
      <w:pPr>
        <w:pStyle w:val="HCh0"/>
        <w:ind w:left="1267" w:right="1260" w:hanging="1267"/>
        <w:rPr>
          <w:lang w:val="fr-FR"/>
        </w:rPr>
      </w:pPr>
      <w:r w:rsidRPr="009C4E47">
        <w:rPr>
          <w:lang w:val="fr-FR"/>
        </w:rPr>
        <w:tab/>
      </w:r>
      <w:r w:rsidRPr="009C4E47">
        <w:rPr>
          <w:lang w:val="fr-FR"/>
        </w:rPr>
        <w:tab/>
        <w:t>Moyens d</w:t>
      </w:r>
      <w:r w:rsidR="00265783">
        <w:rPr>
          <w:lang w:val="fr-FR"/>
        </w:rPr>
        <w:t>’</w:t>
      </w:r>
      <w:r w:rsidRPr="009C4E47">
        <w:rPr>
          <w:lang w:val="fr-FR"/>
        </w:rPr>
        <w:t>accélérer les travaux du Comité</w:t>
      </w:r>
    </w:p>
    <w:p w14:paraId="4AB20FB0" w14:textId="1D448A98" w:rsidR="006C56F9" w:rsidRPr="006C56F9" w:rsidRDefault="006C56F9" w:rsidP="006C56F9">
      <w:pPr>
        <w:pStyle w:val="SingleTxt"/>
        <w:spacing w:after="0" w:line="120" w:lineRule="exact"/>
        <w:rPr>
          <w:sz w:val="10"/>
          <w:lang w:val="fr-FR"/>
        </w:rPr>
      </w:pPr>
    </w:p>
    <w:p w14:paraId="6985A6E2" w14:textId="77777777" w:rsidR="006C56F9" w:rsidRPr="006C56F9" w:rsidRDefault="006C56F9" w:rsidP="006C56F9">
      <w:pPr>
        <w:pStyle w:val="SingleTxt"/>
        <w:spacing w:after="0" w:line="120" w:lineRule="exact"/>
        <w:rPr>
          <w:sz w:val="10"/>
          <w:lang w:val="fr-FR"/>
        </w:rPr>
      </w:pPr>
    </w:p>
    <w:p w14:paraId="2066BCD1" w14:textId="4A3D302B" w:rsidR="008B45F1" w:rsidRDefault="008B45F1" w:rsidP="006C56F9">
      <w:pPr>
        <w:pStyle w:val="SingleTxt"/>
        <w:numPr>
          <w:ilvl w:val="0"/>
          <w:numId w:val="11"/>
        </w:numPr>
        <w:spacing w:line="240" w:lineRule="exact"/>
        <w:rPr>
          <w:lang w:val="fr-FR"/>
        </w:rPr>
      </w:pPr>
      <w:r w:rsidRPr="008B45F1">
        <w:rPr>
          <w:lang w:val="fr-FR"/>
        </w:rPr>
        <w:t>Le secrétariat a indiqué au Comité ce qu</w:t>
      </w:r>
      <w:r w:rsidR="00265783">
        <w:rPr>
          <w:lang w:val="fr-FR"/>
        </w:rPr>
        <w:t>’</w:t>
      </w:r>
      <w:r w:rsidRPr="008B45F1">
        <w:rPr>
          <w:lang w:val="fr-FR"/>
        </w:rPr>
        <w:t>il en était des rapports qui auraient dû être soumis par les États parties en application de l</w:t>
      </w:r>
      <w:r w:rsidR="00265783">
        <w:rPr>
          <w:lang w:val="fr-FR"/>
        </w:rPr>
        <w:t>’</w:t>
      </w:r>
      <w:r w:rsidRPr="008B45F1">
        <w:rPr>
          <w:lang w:val="fr-FR"/>
        </w:rPr>
        <w:t xml:space="preserve">article 18 de la Convention. </w:t>
      </w:r>
    </w:p>
    <w:p w14:paraId="4287FC45" w14:textId="44D98CC2" w:rsidR="006C56F9" w:rsidRPr="006C56F9" w:rsidRDefault="006C56F9" w:rsidP="006C56F9">
      <w:pPr>
        <w:pStyle w:val="SingleTxt"/>
        <w:spacing w:after="0" w:line="120" w:lineRule="exact"/>
        <w:rPr>
          <w:sz w:val="10"/>
          <w:lang w:val="fr-FR"/>
        </w:rPr>
      </w:pPr>
    </w:p>
    <w:p w14:paraId="68F9D354" w14:textId="0E74EE5D" w:rsidR="006C56F9" w:rsidRPr="006C56F9" w:rsidRDefault="006C56F9" w:rsidP="006C56F9">
      <w:pPr>
        <w:pStyle w:val="SingleTxt"/>
        <w:spacing w:after="0" w:line="120" w:lineRule="exact"/>
        <w:rPr>
          <w:sz w:val="10"/>
          <w:lang w:val="fr-FR"/>
        </w:rPr>
      </w:pPr>
    </w:p>
    <w:p w14:paraId="206669AE" w14:textId="176990C3" w:rsidR="008B45F1" w:rsidRPr="008B45F1" w:rsidRDefault="008B45F1" w:rsidP="006C56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45F1">
        <w:rPr>
          <w:lang w:val="fr-FR"/>
        </w:rPr>
        <w:tab/>
      </w:r>
      <w:r w:rsidRPr="008B45F1">
        <w:rPr>
          <w:lang w:val="fr-FR"/>
        </w:rPr>
        <w:tab/>
        <w:t>Mesures prises par le Comité au titre du point 7 de l</w:t>
      </w:r>
      <w:r w:rsidR="00265783">
        <w:rPr>
          <w:lang w:val="fr-FR"/>
        </w:rPr>
        <w:t>’</w:t>
      </w:r>
      <w:r w:rsidRPr="008B45F1">
        <w:rPr>
          <w:lang w:val="fr-FR"/>
        </w:rPr>
        <w:t>ordre du jour</w:t>
      </w:r>
    </w:p>
    <w:p w14:paraId="4691ADCF" w14:textId="514CC072" w:rsidR="006C56F9" w:rsidRPr="006C56F9" w:rsidRDefault="006C56F9" w:rsidP="006C56F9">
      <w:pPr>
        <w:pStyle w:val="SingleTxt"/>
        <w:spacing w:after="0" w:line="120" w:lineRule="exact"/>
        <w:rPr>
          <w:b/>
          <w:sz w:val="10"/>
          <w:lang w:val="fr-FR"/>
        </w:rPr>
      </w:pPr>
    </w:p>
    <w:p w14:paraId="087FC01E" w14:textId="7E2D0FAA" w:rsidR="006C56F9" w:rsidRPr="006C56F9" w:rsidRDefault="006C56F9" w:rsidP="006C56F9">
      <w:pPr>
        <w:pStyle w:val="SingleTxt"/>
        <w:spacing w:after="0" w:line="120" w:lineRule="exact"/>
        <w:rPr>
          <w:b/>
          <w:sz w:val="10"/>
          <w:lang w:val="fr-FR"/>
        </w:rPr>
      </w:pPr>
    </w:p>
    <w:p w14:paraId="13F10431" w14:textId="7DC34096" w:rsidR="008B45F1" w:rsidRPr="008B45F1" w:rsidRDefault="008B45F1" w:rsidP="006C56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45F1">
        <w:rPr>
          <w:lang w:val="fr-FR"/>
        </w:rPr>
        <w:tab/>
      </w:r>
      <w:r w:rsidRPr="008B45F1">
        <w:rPr>
          <w:lang w:val="fr-FR"/>
        </w:rPr>
        <w:tab/>
        <w:t xml:space="preserve">Dates des prochaines sessions </w:t>
      </w:r>
    </w:p>
    <w:p w14:paraId="43C924B3" w14:textId="6444C93A" w:rsidR="006C56F9" w:rsidRPr="006C56F9" w:rsidRDefault="006C56F9" w:rsidP="006C56F9">
      <w:pPr>
        <w:pStyle w:val="SingleTxt"/>
        <w:spacing w:after="0" w:line="120" w:lineRule="exact"/>
        <w:rPr>
          <w:sz w:val="10"/>
          <w:lang w:val="fr-FR"/>
        </w:rPr>
      </w:pPr>
    </w:p>
    <w:p w14:paraId="203A8652" w14:textId="0D1F0021" w:rsidR="008B45F1" w:rsidRPr="008B45F1" w:rsidRDefault="008B45F1" w:rsidP="006C56F9">
      <w:pPr>
        <w:pStyle w:val="SingleTxt"/>
        <w:numPr>
          <w:ilvl w:val="0"/>
          <w:numId w:val="11"/>
        </w:numPr>
        <w:spacing w:line="240" w:lineRule="exact"/>
        <w:rPr>
          <w:lang w:val="fr-FR"/>
        </w:rPr>
      </w:pPr>
      <w:r w:rsidRPr="008B45F1">
        <w:rPr>
          <w:lang w:val="fr-FR"/>
        </w:rPr>
        <w:t>Conformément au calendrier des conférences, les dates et lieux de réunion suivants ont été confirmés pour les soixante-neuvième et soixante-dixième sessions et autr</w:t>
      </w:r>
      <w:r w:rsidR="00E74161">
        <w:rPr>
          <w:lang w:val="fr-FR"/>
        </w:rPr>
        <w:t>es réunions connexes du Comité :</w:t>
      </w:r>
    </w:p>
    <w:p w14:paraId="003FCC50" w14:textId="77777777" w:rsidR="008B45F1" w:rsidRPr="008B45F1" w:rsidRDefault="008B45F1" w:rsidP="008B45F1">
      <w:pPr>
        <w:pStyle w:val="SingleTxt"/>
        <w:rPr>
          <w:lang w:val="fr-FR"/>
        </w:rPr>
      </w:pPr>
      <w:r w:rsidRPr="008B45F1">
        <w:rPr>
          <w:lang w:val="fr-FR"/>
        </w:rPr>
        <w:tab/>
        <w:t>Soixante-neuvième session (Genève)</w:t>
      </w:r>
    </w:p>
    <w:p w14:paraId="2A8DC858" w14:textId="261978D9" w:rsidR="008B45F1" w:rsidRPr="008B45F1" w:rsidRDefault="006C56F9" w:rsidP="006C56F9">
      <w:pPr>
        <w:pStyle w:val="SingleTxt"/>
        <w:rPr>
          <w:lang w:val="fr-FR"/>
        </w:rPr>
      </w:pPr>
      <w:r>
        <w:rPr>
          <w:lang w:val="fr-FR"/>
        </w:rPr>
        <w:tab/>
      </w:r>
      <w:r w:rsidR="008B45F1" w:rsidRPr="008B45F1">
        <w:rPr>
          <w:lang w:val="fr-FR"/>
        </w:rPr>
        <w:t>a)</w:t>
      </w:r>
      <w:r w:rsidR="008B45F1" w:rsidRPr="008B45F1">
        <w:rPr>
          <w:lang w:val="fr-FR"/>
        </w:rPr>
        <w:tab/>
        <w:t>Comme indiqué au paragraphe 31 de la première partie du présent rapport</w:t>
      </w:r>
      <w:r w:rsidR="004A0E90">
        <w:rPr>
          <w:lang w:val="fr-FR"/>
        </w:rPr>
        <w:t> </w:t>
      </w:r>
      <w:r w:rsidR="00D83EA9">
        <w:rPr>
          <w:lang w:val="fr-FR"/>
        </w:rPr>
        <w:t>;</w:t>
      </w:r>
    </w:p>
    <w:p w14:paraId="1C4BA30D" w14:textId="77777777" w:rsidR="008B45F1" w:rsidRPr="008B45F1" w:rsidRDefault="008B45F1" w:rsidP="008B45F1">
      <w:pPr>
        <w:pStyle w:val="SingleTxt"/>
        <w:rPr>
          <w:lang w:val="fr-FR"/>
        </w:rPr>
      </w:pPr>
      <w:r w:rsidRPr="008B45F1">
        <w:rPr>
          <w:lang w:val="fr-FR"/>
        </w:rPr>
        <w:tab/>
        <w:t>Soixante-dixième session (Genève)</w:t>
      </w:r>
    </w:p>
    <w:p w14:paraId="1CBAEBBD" w14:textId="6347C4A4" w:rsidR="008B45F1" w:rsidRPr="008B45F1" w:rsidRDefault="00B71F06" w:rsidP="00B71F06">
      <w:pPr>
        <w:pStyle w:val="SingleTxt"/>
        <w:ind w:left="2218" w:hanging="951"/>
        <w:rPr>
          <w:lang w:val="fr-FR"/>
        </w:rPr>
      </w:pPr>
      <w:r>
        <w:rPr>
          <w:lang w:val="fr-FR"/>
        </w:rPr>
        <w:tab/>
      </w:r>
      <w:r w:rsidR="006C56F9">
        <w:rPr>
          <w:lang w:val="fr-FR"/>
        </w:rPr>
        <w:tab/>
      </w:r>
      <w:r w:rsidR="008B45F1" w:rsidRPr="008B45F1">
        <w:rPr>
          <w:lang w:val="fr-FR"/>
        </w:rPr>
        <w:t>b)</w:t>
      </w:r>
      <w:r w:rsidR="008B45F1" w:rsidRPr="008B45F1">
        <w:rPr>
          <w:lang w:val="fr-FR"/>
        </w:rPr>
        <w:tab/>
        <w:t>Quarante et unième session du Groupe de travail sur les communications présentées conformément au Protocole facultatif</w:t>
      </w:r>
      <w:r w:rsidR="00AA7D60">
        <w:rPr>
          <w:lang w:val="fr-FR"/>
        </w:rPr>
        <w:t> :</w:t>
      </w:r>
      <w:r>
        <w:rPr>
          <w:lang w:val="fr-FR"/>
        </w:rPr>
        <w:t xml:space="preserve"> du 27 au 29 </w:t>
      </w:r>
      <w:r w:rsidR="008B45F1" w:rsidRPr="008B45F1">
        <w:rPr>
          <w:lang w:val="fr-FR"/>
        </w:rPr>
        <w:t>juin 2018 </w:t>
      </w:r>
      <w:r w:rsidR="00D83EA9">
        <w:rPr>
          <w:lang w:val="fr-FR"/>
        </w:rPr>
        <w:t>;</w:t>
      </w:r>
    </w:p>
    <w:p w14:paraId="49F2661C" w14:textId="5E18268F" w:rsidR="008B45F1" w:rsidRPr="008B45F1" w:rsidRDefault="00B71F06" w:rsidP="00B71F06">
      <w:pPr>
        <w:pStyle w:val="SingleTxt"/>
        <w:ind w:left="2218" w:hanging="951"/>
        <w:rPr>
          <w:lang w:val="fr-FR"/>
        </w:rPr>
      </w:pPr>
      <w:r>
        <w:rPr>
          <w:lang w:val="fr-FR"/>
        </w:rPr>
        <w:tab/>
      </w:r>
      <w:r w:rsidR="006C56F9">
        <w:rPr>
          <w:lang w:val="fr-FR"/>
        </w:rPr>
        <w:tab/>
      </w:r>
      <w:r w:rsidR="008B45F1" w:rsidRPr="008B45F1">
        <w:rPr>
          <w:lang w:val="fr-FR"/>
        </w:rPr>
        <w:t>c)</w:t>
      </w:r>
      <w:r w:rsidR="008B45F1" w:rsidRPr="008B45F1">
        <w:rPr>
          <w:lang w:val="fr-FR"/>
        </w:rPr>
        <w:tab/>
        <w:t>Dixième session du Groupe de travail chargé des enquêtes menées au titre du Protocole facultatif</w:t>
      </w:r>
      <w:r w:rsidR="00AA7D60">
        <w:rPr>
          <w:lang w:val="fr-FR"/>
        </w:rPr>
        <w:t> :</w:t>
      </w:r>
      <w:r w:rsidR="008B45F1" w:rsidRPr="008B45F1">
        <w:rPr>
          <w:lang w:val="fr-FR"/>
        </w:rPr>
        <w:t xml:space="preserve"> les 28 et 29 juin 2018 </w:t>
      </w:r>
      <w:r w:rsidR="00D83EA9">
        <w:rPr>
          <w:lang w:val="fr-FR"/>
        </w:rPr>
        <w:t>;</w:t>
      </w:r>
    </w:p>
    <w:p w14:paraId="73441FB4" w14:textId="3BBAAAED" w:rsidR="008B45F1" w:rsidRPr="008B45F1" w:rsidRDefault="006C56F9" w:rsidP="00B71F06">
      <w:pPr>
        <w:pStyle w:val="SingleTxt"/>
        <w:ind w:left="2218" w:hanging="951"/>
        <w:rPr>
          <w:lang w:val="fr-FR"/>
        </w:rPr>
      </w:pPr>
      <w:r>
        <w:rPr>
          <w:lang w:val="fr-FR"/>
        </w:rPr>
        <w:tab/>
      </w:r>
      <w:r w:rsidR="00B71F06">
        <w:rPr>
          <w:lang w:val="fr-FR"/>
        </w:rPr>
        <w:tab/>
      </w:r>
      <w:r w:rsidR="008B45F1" w:rsidRPr="008B45F1">
        <w:rPr>
          <w:lang w:val="fr-FR"/>
        </w:rPr>
        <w:t>d)</w:t>
      </w:r>
      <w:r w:rsidR="008B45F1" w:rsidRPr="008B45F1">
        <w:rPr>
          <w:lang w:val="fr-FR"/>
        </w:rPr>
        <w:tab/>
        <w:t>Soixante-dixième session</w:t>
      </w:r>
      <w:r w:rsidR="00265783">
        <w:rPr>
          <w:lang w:val="fr-FR"/>
        </w:rPr>
        <w:t xml:space="preserve"> : </w:t>
      </w:r>
      <w:r w:rsidR="001E711C">
        <w:rPr>
          <w:lang w:val="fr-FR"/>
        </w:rPr>
        <w:t>du 2 au 20 juillet 2018</w:t>
      </w:r>
      <w:r w:rsidR="00D83EA9">
        <w:rPr>
          <w:lang w:val="fr-FR"/>
        </w:rPr>
        <w:t> ;</w:t>
      </w:r>
    </w:p>
    <w:p w14:paraId="54574461" w14:textId="0FD9A182" w:rsidR="00BD46BA" w:rsidRDefault="006C56F9" w:rsidP="00B71F06">
      <w:pPr>
        <w:pStyle w:val="SingleTxt"/>
        <w:ind w:left="2218" w:hanging="951"/>
        <w:rPr>
          <w:lang w:val="fr-FR"/>
        </w:rPr>
      </w:pPr>
      <w:r>
        <w:rPr>
          <w:lang w:val="fr-FR"/>
        </w:rPr>
        <w:tab/>
      </w:r>
      <w:r w:rsidR="00B71F06">
        <w:rPr>
          <w:lang w:val="fr-FR"/>
        </w:rPr>
        <w:tab/>
      </w:r>
      <w:r w:rsidR="008B45F1" w:rsidRPr="008B45F1">
        <w:rPr>
          <w:lang w:val="fr-FR"/>
        </w:rPr>
        <w:t>e)</w:t>
      </w:r>
      <w:r w:rsidR="008B45F1" w:rsidRPr="008B45F1">
        <w:rPr>
          <w:lang w:val="fr-FR"/>
        </w:rPr>
        <w:tab/>
        <w:t>Réunion du groupe de travail d</w:t>
      </w:r>
      <w:r w:rsidR="00265783">
        <w:rPr>
          <w:lang w:val="fr-FR"/>
        </w:rPr>
        <w:t>’</w:t>
      </w:r>
      <w:r w:rsidR="008B45F1" w:rsidRPr="008B45F1">
        <w:rPr>
          <w:lang w:val="fr-FR"/>
        </w:rPr>
        <w:t>avant-session pour la soixante-douzième session</w:t>
      </w:r>
      <w:r w:rsidR="00AA7D60">
        <w:rPr>
          <w:lang w:val="fr-FR"/>
        </w:rPr>
        <w:t> :</w:t>
      </w:r>
      <w:r w:rsidR="008B45F1" w:rsidRPr="008B45F1">
        <w:rPr>
          <w:lang w:val="fr-FR"/>
        </w:rPr>
        <w:t xml:space="preserve"> du 23 au 27 juillet 2018.</w:t>
      </w:r>
    </w:p>
    <w:p w14:paraId="1D305E13" w14:textId="7D1F7336" w:rsidR="00BD46BA" w:rsidRPr="00BD46BA" w:rsidRDefault="00BD46BA" w:rsidP="00BD46BA">
      <w:pPr>
        <w:pStyle w:val="SingleTxt"/>
        <w:spacing w:after="0" w:line="120" w:lineRule="exact"/>
        <w:rPr>
          <w:sz w:val="10"/>
          <w:lang w:val="fr-FR"/>
        </w:rPr>
      </w:pPr>
    </w:p>
    <w:p w14:paraId="51A5A012" w14:textId="77777777" w:rsidR="008B45F1" w:rsidRPr="008B45F1" w:rsidRDefault="008B45F1" w:rsidP="00BD46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45F1">
        <w:rPr>
          <w:lang w:val="fr-FR"/>
        </w:rPr>
        <w:tab/>
      </w:r>
      <w:r w:rsidRPr="008B45F1">
        <w:rPr>
          <w:lang w:val="fr-FR"/>
        </w:rPr>
        <w:tab/>
        <w:t xml:space="preserve">Rapports à examiner aux prochaines sessions du Comité </w:t>
      </w:r>
    </w:p>
    <w:p w14:paraId="1EDAD6A9" w14:textId="2F590D68" w:rsidR="00BD46BA" w:rsidRPr="00BD46BA" w:rsidRDefault="00BD46BA" w:rsidP="00BD46BA">
      <w:pPr>
        <w:pStyle w:val="SingleTxt"/>
        <w:spacing w:after="0" w:line="120" w:lineRule="exact"/>
        <w:rPr>
          <w:sz w:val="10"/>
          <w:lang w:val="fr-FR"/>
        </w:rPr>
      </w:pPr>
    </w:p>
    <w:p w14:paraId="59FAA4CF" w14:textId="4DA72712" w:rsidR="008B45F1" w:rsidRDefault="008B45F1" w:rsidP="00BD46BA">
      <w:pPr>
        <w:pStyle w:val="SingleTxt"/>
        <w:numPr>
          <w:ilvl w:val="0"/>
          <w:numId w:val="11"/>
        </w:numPr>
        <w:spacing w:line="240" w:lineRule="exact"/>
        <w:rPr>
          <w:lang w:val="fr-FR"/>
        </w:rPr>
      </w:pPr>
      <w:r w:rsidRPr="008B45F1">
        <w:rPr>
          <w:lang w:val="fr-FR"/>
        </w:rPr>
        <w:t>Le Comité a confirmé qu</w:t>
      </w:r>
      <w:r w:rsidR="00265783">
        <w:rPr>
          <w:lang w:val="fr-FR"/>
        </w:rPr>
        <w:t>’</w:t>
      </w:r>
      <w:r w:rsidRPr="008B45F1">
        <w:rPr>
          <w:lang w:val="fr-FR"/>
        </w:rPr>
        <w:t>il examinerait, à sa soixante-neuvième session, les rapports des États parties énumérés au paragraphe 32 de la première partie du présent rapport, et qu</w:t>
      </w:r>
      <w:r w:rsidR="00265783">
        <w:rPr>
          <w:lang w:val="fr-FR"/>
        </w:rPr>
        <w:t>’</w:t>
      </w:r>
      <w:r w:rsidRPr="008B45F1">
        <w:rPr>
          <w:lang w:val="fr-FR"/>
        </w:rPr>
        <w:t>il examinerait, à sa soixante-dixième session, ceux de l</w:t>
      </w:r>
      <w:r w:rsidR="00265783">
        <w:rPr>
          <w:lang w:val="fr-FR"/>
        </w:rPr>
        <w:t>’</w:t>
      </w:r>
      <w:r w:rsidRPr="008B45F1">
        <w:rPr>
          <w:lang w:val="fr-FR"/>
        </w:rPr>
        <w:t>Australie, de Chypre, de l</w:t>
      </w:r>
      <w:r w:rsidR="00265783">
        <w:rPr>
          <w:lang w:val="fr-FR"/>
        </w:rPr>
        <w:t>’</w:t>
      </w:r>
      <w:r w:rsidRPr="008B45F1">
        <w:rPr>
          <w:lang w:val="fr-FR"/>
        </w:rPr>
        <w:t>État de Palestine, des Îles Cook, du Liechtenstein (au titre de la procédure simplifiée de présentation des rapports), du Mexique, de la Nouvelle-Zélande et du Turkménistan.</w:t>
      </w:r>
    </w:p>
    <w:p w14:paraId="67516053" w14:textId="013F17A2" w:rsidR="00BD46BA" w:rsidRDefault="00BD46BA" w:rsidP="00BD46BA">
      <w:pPr>
        <w:pStyle w:val="SingleTxt"/>
        <w:spacing w:line="240" w:lineRule="exact"/>
        <w:rPr>
          <w:lang w:val="fr-FR"/>
        </w:rPr>
      </w:pPr>
    </w:p>
    <w:p w14:paraId="6C7A4BF5" w14:textId="75C45207" w:rsidR="00BD46BA" w:rsidRDefault="00BD46BA">
      <w:pPr>
        <w:spacing w:after="200" w:line="276" w:lineRule="auto"/>
        <w:rPr>
          <w:lang w:val="fr-FR"/>
        </w:rPr>
      </w:pPr>
      <w:r>
        <w:rPr>
          <w:lang w:val="fr-FR"/>
        </w:rPr>
        <w:br w:type="page"/>
      </w:r>
    </w:p>
    <w:p w14:paraId="7F9183F8" w14:textId="0F1C8874" w:rsidR="008B45F1" w:rsidRPr="009C4E47" w:rsidRDefault="008B45F1" w:rsidP="00DA4742">
      <w:pPr>
        <w:pStyle w:val="HCh0"/>
        <w:ind w:left="1267" w:right="1260" w:hanging="1267"/>
        <w:rPr>
          <w:lang w:val="fr-FR"/>
        </w:rPr>
      </w:pPr>
      <w:r w:rsidRPr="009C4E47">
        <w:rPr>
          <w:lang w:val="fr-FR"/>
        </w:rPr>
        <w:lastRenderedPageBreak/>
        <w:t>Chapitre VII</w:t>
      </w:r>
    </w:p>
    <w:p w14:paraId="0C80BB15" w14:textId="36ABE042" w:rsidR="008B45F1" w:rsidRPr="009C4E47" w:rsidRDefault="008B45F1" w:rsidP="00DA4742">
      <w:pPr>
        <w:pStyle w:val="HCh0"/>
        <w:ind w:left="1267" w:right="1260" w:hanging="1267"/>
        <w:rPr>
          <w:lang w:val="fr-FR"/>
        </w:rPr>
      </w:pPr>
      <w:r w:rsidRPr="009C4E47">
        <w:rPr>
          <w:lang w:val="fr-FR"/>
        </w:rPr>
        <w:tab/>
      </w:r>
      <w:r w:rsidRPr="009C4E47">
        <w:rPr>
          <w:lang w:val="fr-FR"/>
        </w:rPr>
        <w:tab/>
        <w:t>Application de l</w:t>
      </w:r>
      <w:r w:rsidR="00265783">
        <w:rPr>
          <w:lang w:val="fr-FR"/>
        </w:rPr>
        <w:t>’</w:t>
      </w:r>
      <w:r w:rsidRPr="009C4E47">
        <w:rPr>
          <w:lang w:val="fr-FR"/>
        </w:rPr>
        <w:t>article 21 de la Convention</w:t>
      </w:r>
    </w:p>
    <w:p w14:paraId="68FD62DA" w14:textId="488FA6E0" w:rsidR="00DA4742" w:rsidRPr="00DA4742" w:rsidRDefault="00DA4742" w:rsidP="00DA4742">
      <w:pPr>
        <w:pStyle w:val="SingleTxt"/>
        <w:spacing w:after="0" w:line="120" w:lineRule="exact"/>
        <w:rPr>
          <w:b/>
          <w:sz w:val="10"/>
          <w:lang w:val="fr-FR"/>
        </w:rPr>
      </w:pPr>
    </w:p>
    <w:p w14:paraId="4A01BDA2" w14:textId="4C2BE9CD" w:rsidR="00DA4742" w:rsidRPr="00DA4742" w:rsidRDefault="00DA4742" w:rsidP="00DA4742">
      <w:pPr>
        <w:pStyle w:val="SingleTxt"/>
        <w:spacing w:after="0" w:line="120" w:lineRule="exact"/>
        <w:rPr>
          <w:b/>
          <w:sz w:val="10"/>
          <w:lang w:val="fr-FR"/>
        </w:rPr>
      </w:pPr>
    </w:p>
    <w:p w14:paraId="4195BD04" w14:textId="19F21CF8" w:rsidR="008B45F1" w:rsidRPr="008B45F1" w:rsidRDefault="008B45F1" w:rsidP="00DA4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45F1">
        <w:rPr>
          <w:lang w:val="fr-FR"/>
        </w:rPr>
        <w:tab/>
      </w:r>
      <w:r w:rsidRPr="008B45F1">
        <w:rPr>
          <w:lang w:val="fr-FR"/>
        </w:rPr>
        <w:tab/>
        <w:t xml:space="preserve">Groupe de travail sur les aspects de la réduction des risques de catastrophe </w:t>
      </w:r>
      <w:r w:rsidR="00DA4742">
        <w:rPr>
          <w:lang w:val="fr-FR"/>
        </w:rPr>
        <w:br/>
      </w:r>
      <w:r w:rsidRPr="008B45F1">
        <w:rPr>
          <w:lang w:val="fr-FR"/>
        </w:rPr>
        <w:t>et des changements climatiques ayant trait à la problématique hommes-femmes</w:t>
      </w:r>
    </w:p>
    <w:p w14:paraId="77631033" w14:textId="4E36BF68" w:rsidR="00DA4742" w:rsidRPr="00DA4742" w:rsidRDefault="00DA4742" w:rsidP="00DA4742">
      <w:pPr>
        <w:pStyle w:val="SingleTxt"/>
        <w:spacing w:after="0" w:line="120" w:lineRule="exact"/>
        <w:rPr>
          <w:sz w:val="10"/>
          <w:lang w:val="fr-FR"/>
        </w:rPr>
      </w:pPr>
    </w:p>
    <w:p w14:paraId="2881189F" w14:textId="41688846" w:rsidR="008B45F1" w:rsidRPr="008B45F1" w:rsidRDefault="008B45F1" w:rsidP="00DA4742">
      <w:pPr>
        <w:pStyle w:val="SingleTxt"/>
        <w:numPr>
          <w:ilvl w:val="0"/>
          <w:numId w:val="11"/>
        </w:numPr>
        <w:spacing w:line="240" w:lineRule="exact"/>
        <w:rPr>
          <w:lang w:val="fr-FR"/>
        </w:rPr>
      </w:pPr>
      <w:r w:rsidRPr="008B45F1">
        <w:rPr>
          <w:lang w:val="fr-FR"/>
        </w:rPr>
        <w:t>Le Groupe de travail s</w:t>
      </w:r>
      <w:r w:rsidR="00265783">
        <w:rPr>
          <w:lang w:val="fr-FR"/>
        </w:rPr>
        <w:t>’</w:t>
      </w:r>
      <w:r w:rsidRPr="008B45F1">
        <w:rPr>
          <w:lang w:val="fr-FR"/>
        </w:rPr>
        <w:t>est réuni en marge de la session et a examiné un avant-projet de recommandation générale.</w:t>
      </w:r>
    </w:p>
    <w:p w14:paraId="7B9A6140" w14:textId="2E7AE75F" w:rsidR="008B45F1" w:rsidRDefault="008B45F1" w:rsidP="00DA4742">
      <w:pPr>
        <w:pStyle w:val="SingleTxt"/>
        <w:numPr>
          <w:ilvl w:val="0"/>
          <w:numId w:val="11"/>
        </w:numPr>
        <w:spacing w:line="240" w:lineRule="exact"/>
        <w:rPr>
          <w:lang w:val="fr-FR"/>
        </w:rPr>
      </w:pPr>
      <w:r w:rsidRPr="008B45F1">
        <w:rPr>
          <w:lang w:val="fr-FR"/>
        </w:rPr>
        <w:t>Le 17 novembre 2017, le Comité a achevé sa première lecture du projet de recommandation générale.</w:t>
      </w:r>
    </w:p>
    <w:p w14:paraId="41F88838" w14:textId="7365EA37" w:rsidR="00DA4742" w:rsidRPr="00DA4742" w:rsidRDefault="00DA4742" w:rsidP="00DA4742">
      <w:pPr>
        <w:pStyle w:val="SingleTxt"/>
        <w:spacing w:after="0" w:line="120" w:lineRule="exact"/>
        <w:rPr>
          <w:sz w:val="10"/>
          <w:lang w:val="fr-FR"/>
        </w:rPr>
      </w:pPr>
    </w:p>
    <w:p w14:paraId="6C91DE1E" w14:textId="68D40D4A" w:rsidR="008B45F1" w:rsidRPr="008B45F1" w:rsidRDefault="008B45F1" w:rsidP="00DA4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45F1">
        <w:rPr>
          <w:lang w:val="fr-FR"/>
        </w:rPr>
        <w:tab/>
      </w:r>
      <w:r w:rsidRPr="008B45F1">
        <w:rPr>
          <w:lang w:val="fr-FR"/>
        </w:rPr>
        <w:tab/>
        <w:t>Groupe de travail sur le droit à l</w:t>
      </w:r>
      <w:r w:rsidR="00265783">
        <w:rPr>
          <w:lang w:val="fr-FR"/>
        </w:rPr>
        <w:t>’</w:t>
      </w:r>
      <w:r w:rsidRPr="008B45F1">
        <w:rPr>
          <w:lang w:val="fr-FR"/>
        </w:rPr>
        <w:t>éducation</w:t>
      </w:r>
    </w:p>
    <w:p w14:paraId="7116E25E" w14:textId="43E4649F" w:rsidR="00DA4742" w:rsidRPr="00DA4742" w:rsidRDefault="00DA4742" w:rsidP="00DA4742">
      <w:pPr>
        <w:pStyle w:val="SingleTxt"/>
        <w:spacing w:after="0" w:line="120" w:lineRule="exact"/>
        <w:rPr>
          <w:sz w:val="10"/>
          <w:lang w:val="fr-FR"/>
        </w:rPr>
      </w:pPr>
    </w:p>
    <w:p w14:paraId="33030721" w14:textId="00DE9103" w:rsidR="008B45F1" w:rsidRDefault="008B45F1" w:rsidP="00DA4742">
      <w:pPr>
        <w:pStyle w:val="SingleTxt"/>
        <w:numPr>
          <w:ilvl w:val="0"/>
          <w:numId w:val="11"/>
        </w:numPr>
        <w:spacing w:line="240" w:lineRule="exact"/>
        <w:rPr>
          <w:lang w:val="fr-FR"/>
        </w:rPr>
      </w:pPr>
      <w:r w:rsidRPr="008B45F1">
        <w:rPr>
          <w:lang w:val="fr-FR"/>
        </w:rPr>
        <w:t>Le Groupe de travail s</w:t>
      </w:r>
      <w:r w:rsidR="00265783">
        <w:rPr>
          <w:lang w:val="fr-FR"/>
        </w:rPr>
        <w:t>’</w:t>
      </w:r>
      <w:r w:rsidRPr="008B45F1">
        <w:rPr>
          <w:lang w:val="fr-FR"/>
        </w:rPr>
        <w:t>est réuni durant la session pour examiner le projet de recommandation générale. Il a organisé deux réunions de consultation avec Barbara Bailey, experte de renommée internationale dans le domaine de l</w:t>
      </w:r>
      <w:r w:rsidR="00265783">
        <w:rPr>
          <w:lang w:val="fr-FR"/>
        </w:rPr>
        <w:t>’</w:t>
      </w:r>
      <w:r w:rsidRPr="008B45F1">
        <w:rPr>
          <w:lang w:val="fr-FR"/>
        </w:rPr>
        <w:t>éducation, qui avait été membre du Comité.</w:t>
      </w:r>
    </w:p>
    <w:p w14:paraId="16355BED" w14:textId="1EB0BACE" w:rsidR="008B45F1" w:rsidRDefault="008B45F1" w:rsidP="00DA4742">
      <w:pPr>
        <w:pStyle w:val="SingleTxt"/>
        <w:numPr>
          <w:ilvl w:val="0"/>
          <w:numId w:val="11"/>
        </w:numPr>
        <w:spacing w:line="240" w:lineRule="exact"/>
        <w:rPr>
          <w:lang w:val="fr-FR"/>
        </w:rPr>
      </w:pPr>
      <w:r w:rsidRPr="00DA4742">
        <w:rPr>
          <w:lang w:val="fr-FR"/>
        </w:rPr>
        <w:t>Le 16 novembre, conformément à l</w:t>
      </w:r>
      <w:r w:rsidR="00265783">
        <w:rPr>
          <w:lang w:val="fr-FR"/>
        </w:rPr>
        <w:t>’</w:t>
      </w:r>
      <w:r w:rsidRPr="00DA4742">
        <w:rPr>
          <w:lang w:val="fr-FR"/>
        </w:rPr>
        <w:t>article 31 de son Règlement intérieur, le Comité a adopté par consensus la recommandation générale n</w:t>
      </w:r>
      <w:r w:rsidRPr="00DA4742">
        <w:rPr>
          <w:vertAlign w:val="superscript"/>
          <w:lang w:val="fr-FR"/>
        </w:rPr>
        <w:t>o</w:t>
      </w:r>
      <w:r w:rsidRPr="00DA4742">
        <w:rPr>
          <w:lang w:val="fr-FR"/>
        </w:rPr>
        <w:t xml:space="preserve"> 36 (2017) sur le droit des filles et des femmes à l</w:t>
      </w:r>
      <w:r w:rsidR="00265783">
        <w:rPr>
          <w:lang w:val="fr-FR"/>
        </w:rPr>
        <w:t>’</w:t>
      </w:r>
      <w:r w:rsidRPr="00DA4742">
        <w:rPr>
          <w:lang w:val="fr-FR"/>
        </w:rPr>
        <w:t>éducation (</w:t>
      </w:r>
      <w:hyperlink r:id="rId85" w:history="1">
        <w:r w:rsidRPr="008E2674">
          <w:rPr>
            <w:rStyle w:val="Hyperlink"/>
            <w:lang w:val="fr-FR"/>
          </w:rPr>
          <w:t>CEDAW/C/GC/36</w:t>
        </w:r>
      </w:hyperlink>
      <w:r w:rsidRPr="00DA4742">
        <w:rPr>
          <w:lang w:val="fr-FR"/>
        </w:rPr>
        <w:t>)</w:t>
      </w:r>
      <w:r w:rsidRPr="00A11B8A">
        <w:rPr>
          <w:vertAlign w:val="superscript"/>
          <w:lang w:val="fr-FR"/>
        </w:rPr>
        <w:footnoteReference w:id="2"/>
      </w:r>
      <w:r w:rsidRPr="00DA4742">
        <w:rPr>
          <w:lang w:val="fr-FR"/>
        </w:rPr>
        <w:t>.Barbara Bailey, ancienne Présidente du Groupe de travail sur le droit à l</w:t>
      </w:r>
      <w:r w:rsidR="00265783">
        <w:rPr>
          <w:lang w:val="fr-FR"/>
        </w:rPr>
        <w:t>’</w:t>
      </w:r>
      <w:r w:rsidRPr="00DA4742">
        <w:rPr>
          <w:lang w:val="fr-FR"/>
        </w:rPr>
        <w:t>éducation, était présente à la réunion.</w:t>
      </w:r>
    </w:p>
    <w:p w14:paraId="57080640" w14:textId="32679D6B" w:rsidR="00DA4742" w:rsidRPr="00DA4742" w:rsidRDefault="00DA4742" w:rsidP="00DA4742">
      <w:pPr>
        <w:pStyle w:val="SingleTxt"/>
        <w:spacing w:after="0" w:line="120" w:lineRule="exact"/>
        <w:rPr>
          <w:sz w:val="10"/>
          <w:lang w:val="fr-FR"/>
        </w:rPr>
      </w:pPr>
    </w:p>
    <w:p w14:paraId="18144BE5" w14:textId="77777777" w:rsidR="008B45F1" w:rsidRPr="008B45F1" w:rsidRDefault="008B45F1" w:rsidP="00DA4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45F1">
        <w:rPr>
          <w:lang w:val="fr-FR"/>
        </w:rPr>
        <w:tab/>
      </w:r>
      <w:r w:rsidRPr="008B45F1">
        <w:rPr>
          <w:lang w:val="fr-FR"/>
        </w:rPr>
        <w:tab/>
        <w:t>Groupe de travail sur les méthodes de travail</w:t>
      </w:r>
    </w:p>
    <w:p w14:paraId="47429D4E" w14:textId="6169C55F" w:rsidR="00DA4742" w:rsidRPr="00DA4742" w:rsidRDefault="00DA4742" w:rsidP="00DA4742">
      <w:pPr>
        <w:pStyle w:val="SingleTxt"/>
        <w:spacing w:after="0" w:line="120" w:lineRule="exact"/>
        <w:rPr>
          <w:sz w:val="10"/>
          <w:lang w:val="fr-FR"/>
        </w:rPr>
      </w:pPr>
    </w:p>
    <w:p w14:paraId="5DB05DE4" w14:textId="4B9E8AD4" w:rsidR="008B45F1" w:rsidRDefault="008B45F1" w:rsidP="00DA4742">
      <w:pPr>
        <w:pStyle w:val="SingleTxt"/>
        <w:numPr>
          <w:ilvl w:val="0"/>
          <w:numId w:val="11"/>
        </w:numPr>
        <w:spacing w:line="240" w:lineRule="exact"/>
        <w:rPr>
          <w:lang w:val="fr-FR"/>
        </w:rPr>
      </w:pPr>
      <w:r w:rsidRPr="008B45F1">
        <w:rPr>
          <w:lang w:val="fr-FR"/>
        </w:rPr>
        <w:t>Le Groupe de travail s</w:t>
      </w:r>
      <w:r w:rsidR="00265783">
        <w:rPr>
          <w:lang w:val="fr-FR"/>
        </w:rPr>
        <w:t>’</w:t>
      </w:r>
      <w:r w:rsidRPr="008B45F1">
        <w:rPr>
          <w:lang w:val="fr-FR"/>
        </w:rPr>
        <w:t>est réuni durant la session et a débattu d</w:t>
      </w:r>
      <w:r w:rsidR="00265783">
        <w:rPr>
          <w:lang w:val="fr-FR"/>
        </w:rPr>
        <w:t>’</w:t>
      </w:r>
      <w:r w:rsidRPr="008B45F1">
        <w:rPr>
          <w:lang w:val="fr-FR"/>
        </w:rPr>
        <w:t>un projet de décision sur la gestion du temps pendant le dialogue constructif. En outre, il a examiné et présenté au Comité un projet de décision sur l</w:t>
      </w:r>
      <w:r w:rsidR="00265783">
        <w:rPr>
          <w:lang w:val="fr-FR"/>
        </w:rPr>
        <w:t>’</w:t>
      </w:r>
      <w:r w:rsidRPr="008B45F1">
        <w:rPr>
          <w:lang w:val="fr-FR"/>
        </w:rPr>
        <w:t>adoption de déclarations communes entre les sessions. Le Comité a reporté à sa soixante-neuvième session l</w:t>
      </w:r>
      <w:r w:rsidR="00265783">
        <w:rPr>
          <w:lang w:val="fr-FR"/>
        </w:rPr>
        <w:t>’</w:t>
      </w:r>
      <w:r w:rsidRPr="008B45F1">
        <w:rPr>
          <w:lang w:val="fr-FR"/>
        </w:rPr>
        <w:t>adoption d</w:t>
      </w:r>
      <w:r w:rsidR="00265783">
        <w:rPr>
          <w:lang w:val="fr-FR"/>
        </w:rPr>
        <w:t>’</w:t>
      </w:r>
      <w:r w:rsidRPr="008B45F1">
        <w:rPr>
          <w:lang w:val="fr-FR"/>
        </w:rPr>
        <w:t>un projet de décision et demandé au Groupe de travail de fixer des critères permettant de déterminer dans quelles situations urgentes le Comité adopterait des déclarations, pendant et entre les sessions.</w:t>
      </w:r>
    </w:p>
    <w:p w14:paraId="46A11D6D" w14:textId="1DC369F5" w:rsidR="00DA4742" w:rsidRPr="00DA4742" w:rsidRDefault="00DA4742" w:rsidP="00DA4742">
      <w:pPr>
        <w:pStyle w:val="SingleTxt"/>
        <w:spacing w:after="0" w:line="120" w:lineRule="exact"/>
        <w:rPr>
          <w:sz w:val="10"/>
          <w:lang w:val="fr-FR"/>
        </w:rPr>
      </w:pPr>
    </w:p>
    <w:p w14:paraId="520EDB87" w14:textId="7A44CDF6" w:rsidR="008B45F1" w:rsidRPr="008B45F1" w:rsidRDefault="008B45F1" w:rsidP="00DA4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45F1">
        <w:rPr>
          <w:lang w:val="fr-FR"/>
        </w:rPr>
        <w:tab/>
      </w:r>
      <w:r w:rsidRPr="008B45F1">
        <w:rPr>
          <w:lang w:val="fr-FR"/>
        </w:rPr>
        <w:tab/>
        <w:t>Groupe de travail chargé de la coordination avec l</w:t>
      </w:r>
      <w:r w:rsidR="00265783">
        <w:rPr>
          <w:lang w:val="fr-FR"/>
        </w:rPr>
        <w:t>’</w:t>
      </w:r>
      <w:r w:rsidRPr="008B45F1">
        <w:rPr>
          <w:lang w:val="fr-FR"/>
        </w:rPr>
        <w:t>Union interparlementaire</w:t>
      </w:r>
    </w:p>
    <w:p w14:paraId="73F6A1F0" w14:textId="21911A14" w:rsidR="00DA4742" w:rsidRPr="00DA4742" w:rsidRDefault="00DA4742" w:rsidP="00DA4742">
      <w:pPr>
        <w:pStyle w:val="SingleTxt"/>
        <w:spacing w:after="0" w:line="120" w:lineRule="exact"/>
        <w:rPr>
          <w:sz w:val="10"/>
          <w:lang w:val="fr-FR"/>
        </w:rPr>
      </w:pPr>
    </w:p>
    <w:p w14:paraId="1F08B2DF" w14:textId="4BF7DE6D" w:rsidR="008B45F1" w:rsidRDefault="008B45F1" w:rsidP="00AD2C01">
      <w:pPr>
        <w:pStyle w:val="SingleTxt"/>
        <w:numPr>
          <w:ilvl w:val="0"/>
          <w:numId w:val="11"/>
        </w:numPr>
        <w:spacing w:after="240" w:line="240" w:lineRule="exact"/>
        <w:rPr>
          <w:lang w:val="fr-FR"/>
        </w:rPr>
      </w:pPr>
      <w:r w:rsidRPr="008B45F1">
        <w:rPr>
          <w:lang w:val="fr-FR"/>
        </w:rPr>
        <w:t>Le Groupe de travail a rencontré un représentant de l</w:t>
      </w:r>
      <w:r w:rsidR="00265783">
        <w:rPr>
          <w:lang w:val="fr-FR"/>
        </w:rPr>
        <w:t>’</w:t>
      </w:r>
      <w:r w:rsidRPr="008B45F1">
        <w:rPr>
          <w:lang w:val="fr-FR"/>
        </w:rPr>
        <w:t>Union interparlementaire, qui a fait un exposé sur les activités relatives à la Convention et à l</w:t>
      </w:r>
      <w:r w:rsidR="00265783">
        <w:rPr>
          <w:lang w:val="fr-FR"/>
        </w:rPr>
        <w:t>’</w:t>
      </w:r>
      <w:r w:rsidRPr="008B45F1">
        <w:rPr>
          <w:lang w:val="fr-FR"/>
        </w:rPr>
        <w:t>égalité des sexes que l</w:t>
      </w:r>
      <w:r w:rsidR="00265783">
        <w:rPr>
          <w:lang w:val="fr-FR"/>
        </w:rPr>
        <w:t>’</w:t>
      </w:r>
      <w:r w:rsidRPr="008B45F1">
        <w:rPr>
          <w:lang w:val="fr-FR"/>
        </w:rPr>
        <w:t>UIP a menées et entend mener aux niveaux national et régional, notamment à la session de l</w:t>
      </w:r>
      <w:r w:rsidR="00265783">
        <w:rPr>
          <w:lang w:val="fr-FR"/>
        </w:rPr>
        <w:t>’</w:t>
      </w:r>
      <w:r w:rsidRPr="008B45F1">
        <w:rPr>
          <w:lang w:val="fr-FR"/>
        </w:rPr>
        <w:t>Assemblée de l</w:t>
      </w:r>
      <w:r w:rsidR="00265783">
        <w:rPr>
          <w:lang w:val="fr-FR"/>
        </w:rPr>
        <w:t>’</w:t>
      </w:r>
      <w:r w:rsidRPr="008B45F1">
        <w:rPr>
          <w:lang w:val="fr-FR"/>
        </w:rPr>
        <w:t>UIP, organisée à Saint-Pétersbourg (Fédération de Russie) en octobre 2017, et au Sommet des présidentes de parlements, qui devait se tenir dans l</w:t>
      </w:r>
      <w:r w:rsidR="00265783">
        <w:rPr>
          <w:lang w:val="fr-FR"/>
        </w:rPr>
        <w:t>’</w:t>
      </w:r>
      <w:r w:rsidRPr="008B45F1">
        <w:rPr>
          <w:lang w:val="fr-FR"/>
        </w:rPr>
        <w:t>État plurinational de Bolivie en décembre 2017. Le Groupe de travail a examiné la possibilité d</w:t>
      </w:r>
      <w:r w:rsidR="00265783">
        <w:rPr>
          <w:lang w:val="fr-FR"/>
        </w:rPr>
        <w:t>’</w:t>
      </w:r>
      <w:r w:rsidRPr="008B45F1">
        <w:rPr>
          <w:lang w:val="fr-FR"/>
        </w:rPr>
        <w:t>organiser une réunion avec des parlementaires durant la prochaine session de l</w:t>
      </w:r>
      <w:r w:rsidR="00265783">
        <w:rPr>
          <w:lang w:val="fr-FR"/>
        </w:rPr>
        <w:t>’</w:t>
      </w:r>
      <w:r w:rsidRPr="008B45F1">
        <w:rPr>
          <w:lang w:val="fr-FR"/>
        </w:rPr>
        <w:t>Assemblée de l</w:t>
      </w:r>
      <w:r w:rsidR="00265783">
        <w:rPr>
          <w:lang w:val="fr-FR"/>
        </w:rPr>
        <w:t>’</w:t>
      </w:r>
      <w:r w:rsidRPr="008B45F1">
        <w:rPr>
          <w:lang w:val="fr-FR"/>
        </w:rPr>
        <w:t>UIP, qui se</w:t>
      </w:r>
      <w:r w:rsidR="001E711C">
        <w:rPr>
          <w:lang w:val="fr-FR"/>
        </w:rPr>
        <w:t xml:space="preserve"> tiendrait à Genève du 13 au 17 </w:t>
      </w:r>
      <w:r w:rsidRPr="008B45F1">
        <w:rPr>
          <w:lang w:val="fr-FR"/>
        </w:rPr>
        <w:t>octobre 2018, et d</w:t>
      </w:r>
      <w:r w:rsidR="00265783">
        <w:rPr>
          <w:lang w:val="fr-FR"/>
        </w:rPr>
        <w:t>’</w:t>
      </w:r>
      <w:r w:rsidRPr="008B45F1">
        <w:rPr>
          <w:lang w:val="fr-FR"/>
        </w:rPr>
        <w:t>organiser une rencontre de haut niveau avec la Présidente de l</w:t>
      </w:r>
      <w:r w:rsidR="00265783">
        <w:rPr>
          <w:lang w:val="fr-FR"/>
        </w:rPr>
        <w:t>’</w:t>
      </w:r>
      <w:r w:rsidRPr="008B45F1">
        <w:rPr>
          <w:lang w:val="fr-FR"/>
        </w:rPr>
        <w:t>UIP, Gabriela Cuevas Barrón (Mexique). Il a invité le représentant de l</w:t>
      </w:r>
      <w:r w:rsidR="00265783">
        <w:rPr>
          <w:lang w:val="fr-FR"/>
        </w:rPr>
        <w:t>’</w:t>
      </w:r>
      <w:r w:rsidRPr="008B45F1">
        <w:rPr>
          <w:lang w:val="fr-FR"/>
        </w:rPr>
        <w:t>UIP à proposer des questions concernant les mesures prises par l</w:t>
      </w:r>
      <w:r w:rsidR="00265783">
        <w:rPr>
          <w:lang w:val="fr-FR"/>
        </w:rPr>
        <w:t>’</w:t>
      </w:r>
      <w:r w:rsidRPr="008B45F1">
        <w:rPr>
          <w:lang w:val="fr-FR"/>
        </w:rPr>
        <w:t>État partie concerné pour accroître la représentation des femmes dans la vie politique, qui pourraient être ajoutées à la note d</w:t>
      </w:r>
      <w:r w:rsidR="00265783">
        <w:rPr>
          <w:lang w:val="fr-FR"/>
        </w:rPr>
        <w:t>’</w:t>
      </w:r>
      <w:r w:rsidRPr="008B45F1">
        <w:rPr>
          <w:lang w:val="fr-FR"/>
        </w:rPr>
        <w:t xml:space="preserve">information établie par le rapporteur de pays. Il a également </w:t>
      </w:r>
      <w:r w:rsidRPr="008B45F1">
        <w:rPr>
          <w:lang w:val="fr-FR"/>
        </w:rPr>
        <w:lastRenderedPageBreak/>
        <w:t>demandé à l</w:t>
      </w:r>
      <w:r w:rsidR="00265783">
        <w:rPr>
          <w:lang w:val="fr-FR"/>
        </w:rPr>
        <w:t>’</w:t>
      </w:r>
      <w:r w:rsidRPr="008B45F1">
        <w:rPr>
          <w:lang w:val="fr-FR"/>
        </w:rPr>
        <w:t>UIP d</w:t>
      </w:r>
      <w:r w:rsidR="00265783">
        <w:rPr>
          <w:lang w:val="fr-FR"/>
        </w:rPr>
        <w:t>’</w:t>
      </w:r>
      <w:r w:rsidRPr="008B45F1">
        <w:rPr>
          <w:lang w:val="fr-FR"/>
        </w:rPr>
        <w:t>étudier des moyens d</w:t>
      </w:r>
      <w:r w:rsidR="00265783">
        <w:rPr>
          <w:lang w:val="fr-FR"/>
        </w:rPr>
        <w:t>’</w:t>
      </w:r>
      <w:r w:rsidRPr="008B45F1">
        <w:rPr>
          <w:lang w:val="fr-FR"/>
        </w:rPr>
        <w:t>intégrer à ses travaux les cibles relatives à l</w:t>
      </w:r>
      <w:r w:rsidR="00265783">
        <w:rPr>
          <w:lang w:val="fr-FR"/>
        </w:rPr>
        <w:t>’</w:t>
      </w:r>
      <w:r w:rsidRPr="008B45F1">
        <w:rPr>
          <w:lang w:val="fr-FR"/>
        </w:rPr>
        <w:t>égalité des sexes associées aux objectifs de développement durable.</w:t>
      </w:r>
    </w:p>
    <w:p w14:paraId="2BC2CCE9" w14:textId="79D89A17" w:rsidR="008B45F1" w:rsidRDefault="008B45F1" w:rsidP="0080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45F1">
        <w:rPr>
          <w:lang w:val="fr-FR"/>
        </w:rPr>
        <w:tab/>
      </w:r>
      <w:r w:rsidRPr="008B45F1">
        <w:rPr>
          <w:lang w:val="fr-FR"/>
        </w:rPr>
        <w:tab/>
        <w:t xml:space="preserve">Groupe de travail sur la Convention, ONU-Femmes et les objectifs </w:t>
      </w:r>
      <w:r w:rsidR="0080393B">
        <w:rPr>
          <w:lang w:val="fr-FR"/>
        </w:rPr>
        <w:br/>
      </w:r>
      <w:r w:rsidRPr="008B45F1">
        <w:rPr>
          <w:lang w:val="fr-FR"/>
        </w:rPr>
        <w:t>de développement durable</w:t>
      </w:r>
    </w:p>
    <w:p w14:paraId="059C6769" w14:textId="53BA1CDD" w:rsidR="0080393B" w:rsidRPr="0080393B" w:rsidRDefault="0080393B" w:rsidP="0080393B">
      <w:pPr>
        <w:pStyle w:val="SingleTxt"/>
        <w:spacing w:after="0" w:line="120" w:lineRule="exact"/>
        <w:rPr>
          <w:sz w:val="10"/>
          <w:lang w:val="fr-FR"/>
        </w:rPr>
      </w:pPr>
    </w:p>
    <w:p w14:paraId="6B3BCD73" w14:textId="5A6DCE6B" w:rsidR="008B45F1" w:rsidRPr="008B45F1" w:rsidRDefault="008B45F1" w:rsidP="0080393B">
      <w:pPr>
        <w:pStyle w:val="SingleTxt"/>
        <w:numPr>
          <w:ilvl w:val="0"/>
          <w:numId w:val="11"/>
        </w:numPr>
        <w:spacing w:line="240" w:lineRule="exact"/>
        <w:rPr>
          <w:lang w:val="fr-FR"/>
        </w:rPr>
      </w:pPr>
      <w:r w:rsidRPr="008B45F1">
        <w:rPr>
          <w:lang w:val="fr-FR"/>
        </w:rPr>
        <w:t>Le Groupe de travail a tenu une visioconférence avec des représentants d</w:t>
      </w:r>
      <w:r w:rsidR="00265783">
        <w:rPr>
          <w:lang w:val="fr-FR"/>
        </w:rPr>
        <w:t>’</w:t>
      </w:r>
      <w:r w:rsidRPr="008B45F1">
        <w:rPr>
          <w:lang w:val="fr-FR"/>
        </w:rPr>
        <w:t>ONU-Femmes, de l</w:t>
      </w:r>
      <w:r w:rsidR="00265783">
        <w:rPr>
          <w:lang w:val="fr-FR"/>
        </w:rPr>
        <w:t>’</w:t>
      </w:r>
      <w:r w:rsidRPr="008B45F1">
        <w:rPr>
          <w:lang w:val="fr-FR"/>
        </w:rPr>
        <w:t>OCDE et de la Banque mondiale, qui lui ont présenté l</w:t>
      </w:r>
      <w:r w:rsidR="00265783">
        <w:rPr>
          <w:lang w:val="fr-FR"/>
        </w:rPr>
        <w:t>’</w:t>
      </w:r>
      <w:r w:rsidRPr="008B45F1">
        <w:rPr>
          <w:lang w:val="fr-FR"/>
        </w:rPr>
        <w:t>évolution de la situation concernant l</w:t>
      </w:r>
      <w:r w:rsidR="00265783">
        <w:rPr>
          <w:lang w:val="fr-FR"/>
        </w:rPr>
        <w:t>’</w:t>
      </w:r>
      <w:r w:rsidRPr="008B45F1">
        <w:rPr>
          <w:lang w:val="fr-FR"/>
        </w:rPr>
        <w:t>indicateur 5.1.1 des objectifs de développement durable. Il a fixé les deux priorités ci-après</w:t>
      </w:r>
      <w:r w:rsidR="00265783">
        <w:rPr>
          <w:lang w:val="fr-FR"/>
        </w:rPr>
        <w:t xml:space="preserve"> : </w:t>
      </w:r>
      <w:r w:rsidRPr="008B45F1">
        <w:rPr>
          <w:lang w:val="fr-FR"/>
        </w:rPr>
        <w:t>a) définir comment mieux faire savoir que le Comité participe à part entière à l</w:t>
      </w:r>
      <w:r w:rsidR="00265783">
        <w:rPr>
          <w:lang w:val="fr-FR"/>
        </w:rPr>
        <w:t>’</w:t>
      </w:r>
      <w:r w:rsidRPr="008B45F1">
        <w:rPr>
          <w:lang w:val="fr-FR"/>
        </w:rPr>
        <w:t>élaboration et au suivi de l</w:t>
      </w:r>
      <w:r w:rsidR="00265783">
        <w:rPr>
          <w:lang w:val="fr-FR"/>
        </w:rPr>
        <w:t>’</w:t>
      </w:r>
      <w:r w:rsidRPr="008B45F1">
        <w:rPr>
          <w:lang w:val="fr-FR"/>
        </w:rPr>
        <w:t>indicateur 5.1.1</w:t>
      </w:r>
      <w:r w:rsidR="004A0E90">
        <w:rPr>
          <w:lang w:val="fr-FR"/>
        </w:rPr>
        <w:t> </w:t>
      </w:r>
      <w:r w:rsidR="00D83EA9">
        <w:rPr>
          <w:lang w:val="fr-FR"/>
        </w:rPr>
        <w:t>;</w:t>
      </w:r>
      <w:r w:rsidRPr="008B45F1">
        <w:rPr>
          <w:lang w:val="fr-FR"/>
        </w:rPr>
        <w:t xml:space="preserve"> b) élaborer une stratégie visant à mieux faire comprendre le lien qui existe entre l</w:t>
      </w:r>
      <w:r w:rsidR="00265783">
        <w:rPr>
          <w:lang w:val="fr-FR"/>
        </w:rPr>
        <w:t>’</w:t>
      </w:r>
      <w:r w:rsidRPr="008B45F1">
        <w:rPr>
          <w:lang w:val="fr-FR"/>
        </w:rPr>
        <w:t>engagement que les États parties ont pris d</w:t>
      </w:r>
      <w:r w:rsidR="00265783">
        <w:rPr>
          <w:lang w:val="fr-FR"/>
        </w:rPr>
        <w:t>’</w:t>
      </w:r>
      <w:r w:rsidRPr="008B45F1">
        <w:rPr>
          <w:lang w:val="fr-FR"/>
        </w:rPr>
        <w:t>atteindre les objectifs liés à l</w:t>
      </w:r>
      <w:r w:rsidR="00265783">
        <w:rPr>
          <w:lang w:val="fr-FR"/>
        </w:rPr>
        <w:t>’</w:t>
      </w:r>
      <w:r w:rsidRPr="008B45F1">
        <w:rPr>
          <w:lang w:val="fr-FR"/>
        </w:rPr>
        <w:t>autonomisation des femmes et les obligations qui leur incombent au titre de la Convention.</w:t>
      </w:r>
    </w:p>
    <w:p w14:paraId="7045A791" w14:textId="42426D82" w:rsidR="008B45F1" w:rsidRPr="008B45F1" w:rsidRDefault="008B45F1" w:rsidP="0080393B">
      <w:pPr>
        <w:pStyle w:val="SingleTxt"/>
        <w:numPr>
          <w:ilvl w:val="0"/>
          <w:numId w:val="11"/>
        </w:numPr>
        <w:spacing w:line="240" w:lineRule="exact"/>
        <w:rPr>
          <w:lang w:val="fr-FR"/>
        </w:rPr>
      </w:pPr>
      <w:r w:rsidRPr="008B45F1">
        <w:rPr>
          <w:lang w:val="fr-FR"/>
        </w:rPr>
        <w:t>Le Groupe de travail a invité Luis Mora, Chef du Service de la problématique femmes-hommes, des droits fondamentaux et de la culture à la Division technique du FNUAP, à présenter au Comité l</w:t>
      </w:r>
      <w:r w:rsidR="00265783">
        <w:rPr>
          <w:lang w:val="fr-FR"/>
        </w:rPr>
        <w:t>’</w:t>
      </w:r>
      <w:r w:rsidRPr="008B45F1">
        <w:rPr>
          <w:lang w:val="fr-FR"/>
        </w:rPr>
        <w:t>état d</w:t>
      </w:r>
      <w:r w:rsidR="00265783">
        <w:rPr>
          <w:lang w:val="fr-FR"/>
        </w:rPr>
        <w:t>’</w:t>
      </w:r>
      <w:r w:rsidRPr="008B45F1">
        <w:rPr>
          <w:lang w:val="fr-FR"/>
        </w:rPr>
        <w:t>avancement de l</w:t>
      </w:r>
      <w:r w:rsidR="00265783">
        <w:rPr>
          <w:lang w:val="fr-FR"/>
        </w:rPr>
        <w:t>’</w:t>
      </w:r>
      <w:r w:rsidRPr="008B45F1">
        <w:rPr>
          <w:lang w:val="fr-FR"/>
        </w:rPr>
        <w:t>élaboration de l</w:t>
      </w:r>
      <w:r w:rsidR="00265783">
        <w:rPr>
          <w:lang w:val="fr-FR"/>
        </w:rPr>
        <w:t>’</w:t>
      </w:r>
      <w:r w:rsidRPr="008B45F1">
        <w:rPr>
          <w:lang w:val="fr-FR"/>
        </w:rPr>
        <w:t>indicateur 5.6.1 des objectifs de développement durable, sur les moyens de faire en sorte que les femmes âgées de 15 à 49 ans prennent, en connaissance de cause, leurs propres décisions concernant leurs relations sexuelles, l</w:t>
      </w:r>
      <w:r w:rsidR="00265783">
        <w:rPr>
          <w:lang w:val="fr-FR"/>
        </w:rPr>
        <w:t>’</w:t>
      </w:r>
      <w:r w:rsidRPr="008B45F1">
        <w:rPr>
          <w:lang w:val="fr-FR"/>
        </w:rPr>
        <w:t>utilisation de contraceptifs et les soins de santé procréative, et l</w:t>
      </w:r>
      <w:r w:rsidR="00265783">
        <w:rPr>
          <w:lang w:val="fr-FR"/>
        </w:rPr>
        <w:t>’</w:t>
      </w:r>
      <w:r w:rsidRPr="008B45F1">
        <w:rPr>
          <w:lang w:val="fr-FR"/>
        </w:rPr>
        <w:t>indicateur 5.6.2 sur les moyens de faire en sorte que les textes législatifs et réglementaires garantissent</w:t>
      </w:r>
      <w:r w:rsidR="00157F94">
        <w:rPr>
          <w:lang w:val="fr-FR"/>
        </w:rPr>
        <w:t xml:space="preserve"> aux femmes et aux hommes de 15 </w:t>
      </w:r>
      <w:r w:rsidRPr="008B45F1">
        <w:rPr>
          <w:lang w:val="fr-FR"/>
        </w:rPr>
        <w:t>ans ou plus un accès équitable et sans restriction aux soins de santé sexuelle et procréative, ainsi qu</w:t>
      </w:r>
      <w:r w:rsidR="00265783">
        <w:rPr>
          <w:lang w:val="fr-FR"/>
        </w:rPr>
        <w:t>’</w:t>
      </w:r>
      <w:r w:rsidRPr="008B45F1">
        <w:rPr>
          <w:lang w:val="fr-FR"/>
        </w:rPr>
        <w:t>à des informations et une éducation dans ce domaine, dont le Fonds est le principal organisme responsable. Le Groupe de travail a souligné qu</w:t>
      </w:r>
      <w:r w:rsidR="00265783">
        <w:rPr>
          <w:lang w:val="fr-FR"/>
        </w:rPr>
        <w:t>’</w:t>
      </w:r>
      <w:r w:rsidRPr="008B45F1">
        <w:rPr>
          <w:lang w:val="fr-FR"/>
        </w:rPr>
        <w:t>il importait que le Fonds tienne compte des recommandations du Comité lors de l</w:t>
      </w:r>
      <w:r w:rsidR="00265783">
        <w:rPr>
          <w:lang w:val="fr-FR"/>
        </w:rPr>
        <w:t>’</w:t>
      </w:r>
      <w:r w:rsidRPr="008B45F1">
        <w:rPr>
          <w:lang w:val="fr-FR"/>
        </w:rPr>
        <w:t>élaboration des indicateurs et de la collecte des données. Le Fonds et le Comité sont convenus des moyens à mettre en œuvre pour renforcer leur collaboration institutionnelle à l</w:t>
      </w:r>
      <w:r w:rsidR="00265783">
        <w:rPr>
          <w:lang w:val="fr-FR"/>
        </w:rPr>
        <w:t>’</w:t>
      </w:r>
      <w:r w:rsidRPr="008B45F1">
        <w:rPr>
          <w:lang w:val="fr-FR"/>
        </w:rPr>
        <w:t>avenir.</w:t>
      </w:r>
    </w:p>
    <w:p w14:paraId="3B3A4A01" w14:textId="6FB5473A" w:rsidR="008B45F1" w:rsidRPr="008B45F1" w:rsidRDefault="008B45F1" w:rsidP="0080393B">
      <w:pPr>
        <w:pStyle w:val="SingleTxt"/>
        <w:numPr>
          <w:ilvl w:val="0"/>
          <w:numId w:val="11"/>
        </w:numPr>
        <w:spacing w:line="240" w:lineRule="exact"/>
        <w:rPr>
          <w:lang w:val="fr-FR"/>
        </w:rPr>
      </w:pPr>
      <w:r w:rsidRPr="008B45F1">
        <w:rPr>
          <w:lang w:val="fr-FR"/>
        </w:rPr>
        <w:t>La présidente du Groupe de travail, Nicole Ameline,</w:t>
      </w:r>
      <w:r w:rsidR="00AD061C">
        <w:rPr>
          <w:lang w:val="fr-FR"/>
        </w:rPr>
        <w:t xml:space="preserve"> </w:t>
      </w:r>
      <w:r w:rsidRPr="008B45F1">
        <w:rPr>
          <w:lang w:val="fr-FR"/>
        </w:rPr>
        <w:t>a proposé que soit organisée, en marge de la soixante-deuxième session de la Commission de la condition de la femme, qui se tiendrait en mars 2018, une manifestation parallèle visant à mieux faire connaître les activités que le Comité mène à l</w:t>
      </w:r>
      <w:r w:rsidR="00265783">
        <w:rPr>
          <w:lang w:val="fr-FR"/>
        </w:rPr>
        <w:t>’</w:t>
      </w:r>
      <w:r w:rsidRPr="008B45F1">
        <w:rPr>
          <w:lang w:val="fr-FR"/>
        </w:rPr>
        <w:t>appui de la mise en œuvre et de la promotion du Programme de développement durable à l</w:t>
      </w:r>
      <w:r w:rsidR="00265783">
        <w:rPr>
          <w:lang w:val="fr-FR"/>
        </w:rPr>
        <w:t>’</w:t>
      </w:r>
      <w:r w:rsidRPr="008B45F1">
        <w:rPr>
          <w:lang w:val="fr-FR"/>
        </w:rPr>
        <w:t>horizon 2030 et les liens étroits qui existent entre le Programme et la Convention.</w:t>
      </w:r>
    </w:p>
    <w:p w14:paraId="4635EA98" w14:textId="52752A4A" w:rsidR="008B45F1" w:rsidRDefault="008B45F1" w:rsidP="0080393B">
      <w:pPr>
        <w:pStyle w:val="SingleTxt"/>
        <w:numPr>
          <w:ilvl w:val="0"/>
          <w:numId w:val="11"/>
        </w:numPr>
        <w:spacing w:line="240" w:lineRule="exact"/>
        <w:rPr>
          <w:lang w:val="fr-FR"/>
        </w:rPr>
      </w:pPr>
      <w:r w:rsidRPr="008B45F1">
        <w:rPr>
          <w:lang w:val="fr-FR"/>
        </w:rPr>
        <w:t>Le Groupe de travail a noté que la procédure de recrutement d</w:t>
      </w:r>
      <w:r w:rsidR="00265783">
        <w:rPr>
          <w:lang w:val="fr-FR"/>
        </w:rPr>
        <w:t>’</w:t>
      </w:r>
      <w:r w:rsidRPr="008B45F1">
        <w:rPr>
          <w:lang w:val="fr-FR"/>
        </w:rPr>
        <w:t>un consultant qui serait chargé de passer en revue les directives du Comité relatives à l</w:t>
      </w:r>
      <w:r w:rsidR="00265783">
        <w:rPr>
          <w:lang w:val="fr-FR"/>
        </w:rPr>
        <w:t>’</w:t>
      </w:r>
      <w:r w:rsidRPr="008B45F1">
        <w:rPr>
          <w:lang w:val="fr-FR"/>
        </w:rPr>
        <w:t>établissement de rapports tirait à sa fin.</w:t>
      </w:r>
    </w:p>
    <w:p w14:paraId="60D79B00" w14:textId="6DDD3E62" w:rsidR="0080393B" w:rsidRPr="0080393B" w:rsidRDefault="0080393B" w:rsidP="0080393B">
      <w:pPr>
        <w:pStyle w:val="SingleTxt"/>
        <w:spacing w:after="0" w:line="120" w:lineRule="exact"/>
        <w:rPr>
          <w:sz w:val="10"/>
          <w:lang w:val="fr-FR"/>
        </w:rPr>
      </w:pPr>
    </w:p>
    <w:p w14:paraId="1D75A815" w14:textId="77777777" w:rsidR="008B45F1" w:rsidRPr="008B45F1" w:rsidRDefault="008B45F1" w:rsidP="0080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45F1">
        <w:rPr>
          <w:lang w:val="fr-FR"/>
        </w:rPr>
        <w:tab/>
      </w:r>
      <w:r w:rsidRPr="008B45F1">
        <w:rPr>
          <w:lang w:val="fr-FR"/>
        </w:rPr>
        <w:tab/>
        <w:t>Groupe de travail sur la violence sexiste contre les femmes</w:t>
      </w:r>
    </w:p>
    <w:p w14:paraId="363CA703" w14:textId="2A5CB0A0" w:rsidR="0080393B" w:rsidRPr="0080393B" w:rsidRDefault="0080393B" w:rsidP="0080393B">
      <w:pPr>
        <w:pStyle w:val="SingleTxt"/>
        <w:spacing w:after="0" w:line="120" w:lineRule="exact"/>
        <w:rPr>
          <w:sz w:val="10"/>
          <w:lang w:val="fr-FR"/>
        </w:rPr>
      </w:pPr>
    </w:p>
    <w:p w14:paraId="45BDDF75" w14:textId="13C2BD29" w:rsidR="008B45F1" w:rsidRPr="008B45F1" w:rsidRDefault="008B45F1" w:rsidP="0080393B">
      <w:pPr>
        <w:pStyle w:val="SingleTxt"/>
        <w:numPr>
          <w:ilvl w:val="0"/>
          <w:numId w:val="11"/>
        </w:numPr>
        <w:spacing w:line="240" w:lineRule="exact"/>
        <w:rPr>
          <w:lang w:val="fr-FR"/>
        </w:rPr>
      </w:pPr>
      <w:r w:rsidRPr="008B45F1">
        <w:rPr>
          <w:lang w:val="fr-FR"/>
        </w:rPr>
        <w:t>Le Groupe de travail s</w:t>
      </w:r>
      <w:r w:rsidR="00265783">
        <w:rPr>
          <w:lang w:val="fr-FR"/>
        </w:rPr>
        <w:t>’</w:t>
      </w:r>
      <w:r w:rsidRPr="008B45F1">
        <w:rPr>
          <w:lang w:val="fr-FR"/>
        </w:rPr>
        <w:t>est réuni durant la session.</w:t>
      </w:r>
    </w:p>
    <w:p w14:paraId="20325D54" w14:textId="2A0A88B3" w:rsidR="008B45F1" w:rsidRPr="008B45F1" w:rsidRDefault="008B45F1" w:rsidP="0080393B">
      <w:pPr>
        <w:pStyle w:val="SingleTxt"/>
        <w:numPr>
          <w:ilvl w:val="0"/>
          <w:numId w:val="11"/>
        </w:numPr>
        <w:spacing w:line="240" w:lineRule="exact"/>
        <w:rPr>
          <w:lang w:val="fr-FR"/>
        </w:rPr>
      </w:pPr>
      <w:r w:rsidRPr="008B45F1">
        <w:rPr>
          <w:lang w:val="fr-FR"/>
        </w:rPr>
        <w:t>Le 14 novembre 2017, le Comité a tenu un débat d</w:t>
      </w:r>
      <w:r w:rsidR="00265783">
        <w:rPr>
          <w:lang w:val="fr-FR"/>
        </w:rPr>
        <w:t>’</w:t>
      </w:r>
      <w:r w:rsidRPr="008B45F1">
        <w:rPr>
          <w:lang w:val="fr-FR"/>
        </w:rPr>
        <w:t>experts afin de présenter la recommandation générale n</w:t>
      </w:r>
      <w:r w:rsidRPr="008B45F1">
        <w:rPr>
          <w:vertAlign w:val="superscript"/>
          <w:lang w:val="fr-FR"/>
        </w:rPr>
        <w:t>o</w:t>
      </w:r>
      <w:r w:rsidRPr="008B45F1">
        <w:rPr>
          <w:lang w:val="fr-FR"/>
        </w:rPr>
        <w:t xml:space="preserve"> 35,</w:t>
      </w:r>
      <w:r w:rsidR="00AD061C">
        <w:rPr>
          <w:lang w:val="fr-FR"/>
        </w:rPr>
        <w:t xml:space="preserve"> </w:t>
      </w:r>
      <w:r w:rsidRPr="008B45F1">
        <w:rPr>
          <w:lang w:val="fr-FR"/>
        </w:rPr>
        <w:t>qui vient d</w:t>
      </w:r>
      <w:r w:rsidR="00265783">
        <w:rPr>
          <w:lang w:val="fr-FR"/>
        </w:rPr>
        <w:t>’</w:t>
      </w:r>
      <w:r w:rsidRPr="008B45F1">
        <w:rPr>
          <w:lang w:val="fr-FR"/>
        </w:rPr>
        <w:t>être adoptée. Parmi les experts figuraient Hina Jilani, avocate spécialiste des droits de l</w:t>
      </w:r>
      <w:r w:rsidR="00265783">
        <w:rPr>
          <w:lang w:val="fr-FR"/>
        </w:rPr>
        <w:t>’</w:t>
      </w:r>
      <w:r w:rsidRPr="008B45F1">
        <w:rPr>
          <w:lang w:val="fr-FR"/>
        </w:rPr>
        <w:t>homme et membre du groupe des Sages</w:t>
      </w:r>
      <w:r w:rsidR="004A0E90">
        <w:rPr>
          <w:lang w:val="fr-FR"/>
        </w:rPr>
        <w:t> </w:t>
      </w:r>
      <w:r w:rsidR="00D83EA9">
        <w:rPr>
          <w:lang w:val="fr-FR"/>
        </w:rPr>
        <w:t>;</w:t>
      </w:r>
      <w:r w:rsidRPr="008B45F1">
        <w:rPr>
          <w:lang w:val="fr-FR"/>
        </w:rPr>
        <w:t xml:space="preserve"> Shilan Shah-Davis, maître de conférences à l</w:t>
      </w:r>
      <w:r w:rsidR="00265783">
        <w:rPr>
          <w:lang w:val="fr-FR"/>
        </w:rPr>
        <w:t>’</w:t>
      </w:r>
      <w:r w:rsidRPr="008B45F1">
        <w:rPr>
          <w:lang w:val="fr-FR"/>
        </w:rPr>
        <w:t>Université de l</w:t>
      </w:r>
      <w:r w:rsidR="00265783">
        <w:rPr>
          <w:lang w:val="fr-FR"/>
        </w:rPr>
        <w:t>’</w:t>
      </w:r>
      <w:r w:rsidRPr="008B45F1">
        <w:rPr>
          <w:lang w:val="fr-FR"/>
        </w:rPr>
        <w:t>Ouest de l</w:t>
      </w:r>
      <w:r w:rsidR="00265783">
        <w:rPr>
          <w:lang w:val="fr-FR"/>
        </w:rPr>
        <w:t>’</w:t>
      </w:r>
      <w:r w:rsidRPr="008B45F1">
        <w:rPr>
          <w:lang w:val="fr-FR"/>
        </w:rPr>
        <w:t>Angleterre</w:t>
      </w:r>
      <w:r w:rsidR="004A0E90">
        <w:rPr>
          <w:lang w:val="fr-FR"/>
        </w:rPr>
        <w:t> </w:t>
      </w:r>
      <w:r w:rsidR="00D83EA9">
        <w:rPr>
          <w:lang w:val="fr-FR"/>
        </w:rPr>
        <w:t>;</w:t>
      </w:r>
      <w:r w:rsidRPr="008B45F1">
        <w:rPr>
          <w:lang w:val="fr-FR"/>
        </w:rPr>
        <w:t xml:space="preserve"> Anthony Keedi, conseiller technique (masculinités) au centre de ressources pour l</w:t>
      </w:r>
      <w:r w:rsidR="00265783">
        <w:rPr>
          <w:lang w:val="fr-FR"/>
        </w:rPr>
        <w:t>’</w:t>
      </w:r>
      <w:r w:rsidRPr="008B45F1">
        <w:rPr>
          <w:lang w:val="fr-FR"/>
        </w:rPr>
        <w:t>égalité des sexes d</w:t>
      </w:r>
      <w:r w:rsidR="00265783">
        <w:rPr>
          <w:lang w:val="fr-FR"/>
        </w:rPr>
        <w:t>’</w:t>
      </w:r>
      <w:r w:rsidRPr="008B45F1">
        <w:rPr>
          <w:lang w:val="fr-FR"/>
        </w:rPr>
        <w:t>ABAAD</w:t>
      </w:r>
      <w:r w:rsidR="004A0E90">
        <w:rPr>
          <w:lang w:val="fr-FR"/>
        </w:rPr>
        <w:t> </w:t>
      </w:r>
      <w:r w:rsidR="00D83EA9">
        <w:rPr>
          <w:lang w:val="fr-FR"/>
        </w:rPr>
        <w:t>;</w:t>
      </w:r>
      <w:r w:rsidRPr="008B45F1">
        <w:rPr>
          <w:lang w:val="fr-FR"/>
        </w:rPr>
        <w:t xml:space="preserve"> Carmen Barroso, coprésidente du Panel indépendant sur la responsabilité de l</w:t>
      </w:r>
      <w:r w:rsidR="00265783">
        <w:rPr>
          <w:lang w:val="fr-FR"/>
        </w:rPr>
        <w:t>’</w:t>
      </w:r>
      <w:r w:rsidRPr="008B45F1">
        <w:rPr>
          <w:lang w:val="fr-FR"/>
        </w:rPr>
        <w:t>initiative « Toutes les femmes, tous les enfants »</w:t>
      </w:r>
      <w:r w:rsidR="004A0E90">
        <w:rPr>
          <w:lang w:val="fr-FR"/>
        </w:rPr>
        <w:t> </w:t>
      </w:r>
      <w:r w:rsidR="00D83EA9">
        <w:rPr>
          <w:lang w:val="fr-FR"/>
        </w:rPr>
        <w:t>;</w:t>
      </w:r>
      <w:r w:rsidRPr="008B45F1">
        <w:rPr>
          <w:lang w:val="fr-FR"/>
        </w:rPr>
        <w:t xml:space="preserve"> la Rapporteuse spéciale sur la violence contre les femmes, ses causes et ses conséquences, Dubravka Šimonović</w:t>
      </w:r>
      <w:r w:rsidR="00D83EA9">
        <w:rPr>
          <w:lang w:val="fr-FR"/>
        </w:rPr>
        <w:t> ;</w:t>
      </w:r>
      <w:r w:rsidRPr="008B45F1">
        <w:rPr>
          <w:lang w:val="fr-FR"/>
        </w:rPr>
        <w:t xml:space="preserve"> la Sous-Secrétaire générale et Défenseuse des droits des victimes, Jane Connors. Le débat a été animé par la Haut-Commissaire adjointe des Nations Unies aux droits de l</w:t>
      </w:r>
      <w:r w:rsidR="00265783">
        <w:rPr>
          <w:lang w:val="fr-FR"/>
        </w:rPr>
        <w:t>’</w:t>
      </w:r>
      <w:r w:rsidRPr="008B45F1">
        <w:rPr>
          <w:lang w:val="fr-FR"/>
        </w:rPr>
        <w:t>homme, Kate Gilmore.</w:t>
      </w:r>
    </w:p>
    <w:p w14:paraId="4733207A" w14:textId="33EF2FA5" w:rsidR="008B45F1" w:rsidRDefault="008B45F1" w:rsidP="0080393B">
      <w:pPr>
        <w:pStyle w:val="SingleTxt"/>
        <w:numPr>
          <w:ilvl w:val="0"/>
          <w:numId w:val="11"/>
        </w:numPr>
        <w:spacing w:line="240" w:lineRule="exact"/>
        <w:rPr>
          <w:lang w:val="fr-FR"/>
        </w:rPr>
      </w:pPr>
      <w:r w:rsidRPr="008B45F1">
        <w:rPr>
          <w:lang w:val="fr-FR"/>
        </w:rPr>
        <w:lastRenderedPageBreak/>
        <w:t>Plusieurs États parties à la Convention ainsi que des représentants d</w:t>
      </w:r>
      <w:r w:rsidR="00265783">
        <w:rPr>
          <w:lang w:val="fr-FR"/>
        </w:rPr>
        <w:t>’</w:t>
      </w:r>
      <w:r w:rsidRPr="008B45F1">
        <w:rPr>
          <w:lang w:val="fr-FR"/>
        </w:rPr>
        <w:t>institutions spécialisées et d</w:t>
      </w:r>
      <w:r w:rsidR="00265783">
        <w:rPr>
          <w:lang w:val="fr-FR"/>
        </w:rPr>
        <w:t>’</w:t>
      </w:r>
      <w:r w:rsidRPr="008B45F1">
        <w:rPr>
          <w:lang w:val="fr-FR"/>
        </w:rPr>
        <w:t>organisations non gouvernementales ont participé à ce débat. Ils ont accueilli favorablement la recommandation générale n</w:t>
      </w:r>
      <w:r w:rsidRPr="008B45F1">
        <w:rPr>
          <w:vertAlign w:val="superscript"/>
          <w:lang w:val="fr-FR"/>
        </w:rPr>
        <w:t>o</w:t>
      </w:r>
      <w:r w:rsidRPr="008B45F1">
        <w:rPr>
          <w:lang w:val="fr-FR"/>
        </w:rPr>
        <w:t> 35 et se sont déclarés déterminés à continuer de lutter contre la violence à l</w:t>
      </w:r>
      <w:r w:rsidR="00265783">
        <w:rPr>
          <w:lang w:val="fr-FR"/>
        </w:rPr>
        <w:t>’</w:t>
      </w:r>
      <w:r w:rsidRPr="008B45F1">
        <w:rPr>
          <w:lang w:val="fr-FR"/>
        </w:rPr>
        <w:t>égard des femmes.</w:t>
      </w:r>
    </w:p>
    <w:p w14:paraId="7710FE52" w14:textId="458E21B3" w:rsidR="0080393B" w:rsidRPr="0080393B" w:rsidRDefault="0080393B" w:rsidP="0080393B">
      <w:pPr>
        <w:pStyle w:val="SingleTxt"/>
        <w:tabs>
          <w:tab w:val="clear" w:pos="1742"/>
        </w:tabs>
        <w:spacing w:after="0" w:line="120" w:lineRule="exact"/>
        <w:rPr>
          <w:sz w:val="10"/>
          <w:lang w:val="fr-FR"/>
        </w:rPr>
      </w:pPr>
    </w:p>
    <w:p w14:paraId="0F71D4AB" w14:textId="42980BED" w:rsidR="008B45F1" w:rsidRDefault="008B45F1" w:rsidP="0080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45F1">
        <w:rPr>
          <w:lang w:val="fr-FR"/>
        </w:rPr>
        <w:tab/>
      </w:r>
      <w:r w:rsidRPr="008B45F1">
        <w:rPr>
          <w:lang w:val="fr-FR"/>
        </w:rPr>
        <w:tab/>
        <w:t>Équipe spéciale sur les femmes et la prévention des conflits et sur les femmes</w:t>
      </w:r>
      <w:r w:rsidR="0080393B">
        <w:rPr>
          <w:lang w:val="fr-FR"/>
        </w:rPr>
        <w:br/>
      </w:r>
      <w:r w:rsidRPr="008B45F1">
        <w:rPr>
          <w:lang w:val="fr-FR"/>
        </w:rPr>
        <w:t>en temps de conflit et après un conflit</w:t>
      </w:r>
    </w:p>
    <w:p w14:paraId="1CED6C2F" w14:textId="50DFBCE9" w:rsidR="0080393B" w:rsidRPr="0080393B" w:rsidRDefault="0080393B" w:rsidP="0080393B">
      <w:pPr>
        <w:pStyle w:val="SingleTxt"/>
        <w:spacing w:after="0" w:line="120" w:lineRule="exact"/>
        <w:rPr>
          <w:sz w:val="10"/>
          <w:lang w:val="fr-FR"/>
        </w:rPr>
      </w:pPr>
    </w:p>
    <w:p w14:paraId="1CF870A0" w14:textId="64515AD5" w:rsidR="008B45F1" w:rsidRDefault="008B45F1" w:rsidP="0080393B">
      <w:pPr>
        <w:pStyle w:val="SingleTxt"/>
        <w:numPr>
          <w:ilvl w:val="0"/>
          <w:numId w:val="11"/>
        </w:numPr>
        <w:spacing w:line="240" w:lineRule="exact"/>
        <w:rPr>
          <w:lang w:val="fr-FR"/>
        </w:rPr>
      </w:pPr>
      <w:r w:rsidRPr="008B45F1">
        <w:rPr>
          <w:lang w:val="fr-FR"/>
        </w:rPr>
        <w:t>L</w:t>
      </w:r>
      <w:r w:rsidR="00265783">
        <w:rPr>
          <w:lang w:val="fr-FR"/>
        </w:rPr>
        <w:t>’</w:t>
      </w:r>
      <w:r w:rsidRPr="008B45F1">
        <w:rPr>
          <w:lang w:val="fr-FR"/>
        </w:rPr>
        <w:t>Équipe spéciale s</w:t>
      </w:r>
      <w:r w:rsidR="00265783">
        <w:rPr>
          <w:lang w:val="fr-FR"/>
        </w:rPr>
        <w:t>’</w:t>
      </w:r>
      <w:r w:rsidRPr="008B45F1">
        <w:rPr>
          <w:lang w:val="fr-FR"/>
        </w:rPr>
        <w:t>est réunie durant la session avec la Représentante spéciale du Secrétaire général chargée de la question des violences sexuelles commises en période de conflit, Pramila Patten, pour débattre d</w:t>
      </w:r>
      <w:r w:rsidR="00265783">
        <w:rPr>
          <w:lang w:val="fr-FR"/>
        </w:rPr>
        <w:t>’</w:t>
      </w:r>
      <w:r w:rsidRPr="008B45F1">
        <w:rPr>
          <w:lang w:val="fr-FR"/>
        </w:rPr>
        <w:t>un cadre de coopération.</w:t>
      </w:r>
    </w:p>
    <w:p w14:paraId="1E552D46" w14:textId="4F9A0CDB" w:rsidR="0080393B" w:rsidRDefault="0080393B" w:rsidP="0080393B">
      <w:pPr>
        <w:pStyle w:val="SingleTxt"/>
        <w:spacing w:line="240" w:lineRule="exact"/>
        <w:rPr>
          <w:lang w:val="fr-FR"/>
        </w:rPr>
      </w:pPr>
    </w:p>
    <w:p w14:paraId="63EC01B4" w14:textId="557D0BC9" w:rsidR="0080393B" w:rsidRDefault="0080393B" w:rsidP="0080393B">
      <w:pPr>
        <w:pStyle w:val="SingleTxt"/>
        <w:spacing w:line="240" w:lineRule="exact"/>
        <w:rPr>
          <w:lang w:val="fr-FR"/>
        </w:rPr>
      </w:pPr>
    </w:p>
    <w:p w14:paraId="393A02E0" w14:textId="52EA0497" w:rsidR="0080393B" w:rsidRDefault="0080393B">
      <w:pPr>
        <w:spacing w:after="200" w:line="276" w:lineRule="auto"/>
        <w:rPr>
          <w:lang w:val="fr-FR"/>
        </w:rPr>
      </w:pPr>
      <w:r>
        <w:rPr>
          <w:lang w:val="fr-FR"/>
        </w:rPr>
        <w:br w:type="page"/>
      </w:r>
    </w:p>
    <w:p w14:paraId="02056F10" w14:textId="764795F5" w:rsidR="008B45F1" w:rsidRPr="009C4E47" w:rsidRDefault="008B45F1" w:rsidP="00AB1859">
      <w:pPr>
        <w:pStyle w:val="HCh0"/>
        <w:ind w:left="1267" w:right="1260" w:hanging="1267"/>
        <w:rPr>
          <w:lang w:val="fr-FR"/>
        </w:rPr>
      </w:pPr>
      <w:r w:rsidRPr="009C4E47">
        <w:rPr>
          <w:lang w:val="fr-FR"/>
        </w:rPr>
        <w:lastRenderedPageBreak/>
        <w:t>Chapitre VIII</w:t>
      </w:r>
    </w:p>
    <w:p w14:paraId="2582707C" w14:textId="77777777" w:rsidR="008B45F1" w:rsidRPr="009C4E47" w:rsidRDefault="008B45F1" w:rsidP="00AB1859">
      <w:pPr>
        <w:pStyle w:val="HCh0"/>
        <w:ind w:left="1267" w:right="1260" w:hanging="1267"/>
        <w:rPr>
          <w:lang w:val="fr-FR"/>
        </w:rPr>
      </w:pPr>
      <w:r w:rsidRPr="009C4E47">
        <w:rPr>
          <w:lang w:val="fr-FR"/>
        </w:rPr>
        <w:tab/>
      </w:r>
      <w:r w:rsidRPr="009C4E47">
        <w:rPr>
          <w:lang w:val="fr-FR"/>
        </w:rPr>
        <w:tab/>
        <w:t>Ordre du jour provisoire de la soixante-neuvième session</w:t>
      </w:r>
    </w:p>
    <w:p w14:paraId="0801785A" w14:textId="0833B0FB" w:rsidR="00AB1859" w:rsidRPr="00AB1859" w:rsidRDefault="00AB1859" w:rsidP="00AB1859">
      <w:pPr>
        <w:pStyle w:val="SingleTxt"/>
        <w:spacing w:after="0" w:line="120" w:lineRule="exact"/>
        <w:rPr>
          <w:sz w:val="10"/>
          <w:lang w:val="fr-FR"/>
        </w:rPr>
      </w:pPr>
    </w:p>
    <w:p w14:paraId="421932A6" w14:textId="54DB24F7" w:rsidR="00AB1859" w:rsidRPr="00AB1859" w:rsidRDefault="00AB1859" w:rsidP="00AB1859">
      <w:pPr>
        <w:pStyle w:val="SingleTxt"/>
        <w:spacing w:after="0" w:line="120" w:lineRule="exact"/>
        <w:rPr>
          <w:sz w:val="10"/>
          <w:lang w:val="fr-FR"/>
        </w:rPr>
      </w:pPr>
    </w:p>
    <w:p w14:paraId="18221D51" w14:textId="1BA8B155" w:rsidR="008B45F1" w:rsidRDefault="008B45F1" w:rsidP="00AB1859">
      <w:pPr>
        <w:pStyle w:val="SingleTxt"/>
        <w:numPr>
          <w:ilvl w:val="0"/>
          <w:numId w:val="11"/>
        </w:numPr>
        <w:spacing w:line="240" w:lineRule="exact"/>
        <w:rPr>
          <w:lang w:val="fr-FR"/>
        </w:rPr>
      </w:pPr>
      <w:r w:rsidRPr="008B45F1">
        <w:rPr>
          <w:lang w:val="fr-FR"/>
        </w:rPr>
        <w:t>À sa 1569</w:t>
      </w:r>
      <w:r w:rsidRPr="008B45F1">
        <w:rPr>
          <w:vertAlign w:val="superscript"/>
          <w:lang w:val="fr-FR"/>
        </w:rPr>
        <w:t>e</w:t>
      </w:r>
      <w:r w:rsidRPr="008B45F1">
        <w:rPr>
          <w:lang w:val="fr-FR"/>
        </w:rPr>
        <w:t xml:space="preserve"> séance, le 17 novembre 2017, le Comité a examiné et approuvé le projet d</w:t>
      </w:r>
      <w:r w:rsidR="00265783">
        <w:rPr>
          <w:lang w:val="fr-FR"/>
        </w:rPr>
        <w:t>’</w:t>
      </w:r>
      <w:r w:rsidRPr="008B45F1">
        <w:rPr>
          <w:lang w:val="fr-FR"/>
        </w:rPr>
        <w:t xml:space="preserve">ordre du jour provisoire de sa soixante-neuvième session. </w:t>
      </w:r>
    </w:p>
    <w:p w14:paraId="6A9CEA2B" w14:textId="0CF6603C" w:rsidR="00AB1859" w:rsidRDefault="00AB1859">
      <w:pPr>
        <w:spacing w:after="200" w:line="276" w:lineRule="auto"/>
        <w:rPr>
          <w:lang w:val="fr-FR"/>
        </w:rPr>
      </w:pPr>
      <w:r>
        <w:rPr>
          <w:lang w:val="fr-FR"/>
        </w:rPr>
        <w:br w:type="page"/>
      </w:r>
    </w:p>
    <w:p w14:paraId="6FCB75DA" w14:textId="6373CC3F" w:rsidR="008B45F1" w:rsidRPr="008B45F1" w:rsidRDefault="008B45F1" w:rsidP="00AB1859">
      <w:pPr>
        <w:pStyle w:val="HCh0"/>
        <w:ind w:left="1267" w:right="1260" w:hanging="1267"/>
      </w:pPr>
      <w:r w:rsidRPr="008B45F1">
        <w:lastRenderedPageBreak/>
        <w:t>Chapitre IX</w:t>
      </w:r>
    </w:p>
    <w:p w14:paraId="6B752CB2" w14:textId="77777777" w:rsidR="008B45F1" w:rsidRPr="008B45F1" w:rsidRDefault="008B45F1" w:rsidP="00AB1859">
      <w:pPr>
        <w:pStyle w:val="HCh0"/>
        <w:ind w:left="1267" w:right="1260" w:hanging="1267"/>
      </w:pPr>
      <w:r w:rsidRPr="008B45F1">
        <w:tab/>
      </w:r>
      <w:r w:rsidRPr="008B45F1">
        <w:tab/>
        <w:t>Adoption du rapport</w:t>
      </w:r>
    </w:p>
    <w:p w14:paraId="656083DE" w14:textId="15CC6420" w:rsidR="00AB1859" w:rsidRPr="00AB1859" w:rsidRDefault="00AB1859" w:rsidP="00AB1859">
      <w:pPr>
        <w:pStyle w:val="SingleTxt"/>
        <w:spacing w:after="0" w:line="120" w:lineRule="exact"/>
        <w:rPr>
          <w:sz w:val="10"/>
          <w:lang w:val="fr-FR"/>
        </w:rPr>
      </w:pPr>
    </w:p>
    <w:p w14:paraId="5D29DECA" w14:textId="032A2703" w:rsidR="00AB1859" w:rsidRPr="00AB1859" w:rsidRDefault="00AB1859" w:rsidP="00AB1859">
      <w:pPr>
        <w:pStyle w:val="SingleTxt"/>
        <w:spacing w:after="0" w:line="120" w:lineRule="exact"/>
        <w:rPr>
          <w:sz w:val="10"/>
          <w:lang w:val="fr-FR"/>
        </w:rPr>
      </w:pPr>
    </w:p>
    <w:p w14:paraId="0940964A" w14:textId="0EF21160" w:rsidR="008B45F1" w:rsidRDefault="008B45F1" w:rsidP="00AB1859">
      <w:pPr>
        <w:pStyle w:val="SingleTxt"/>
        <w:numPr>
          <w:ilvl w:val="0"/>
          <w:numId w:val="11"/>
        </w:numPr>
        <w:spacing w:line="240" w:lineRule="exact"/>
        <w:rPr>
          <w:lang w:val="fr-FR"/>
        </w:rPr>
      </w:pPr>
      <w:r w:rsidRPr="008B45F1">
        <w:rPr>
          <w:lang w:val="fr-FR"/>
        </w:rPr>
        <w:t>À sa 1569</w:t>
      </w:r>
      <w:r w:rsidRPr="008B45F1">
        <w:rPr>
          <w:vertAlign w:val="superscript"/>
          <w:lang w:val="fr-FR"/>
        </w:rPr>
        <w:t>e</w:t>
      </w:r>
      <w:r w:rsidRPr="008B45F1">
        <w:rPr>
          <w:lang w:val="fr-FR"/>
        </w:rPr>
        <w:t xml:space="preserve"> séance, le 17 novembre 2017, le Comité a examiné le projet de rapport sur les travaux de sa soixante-huitième session, et l</w:t>
      </w:r>
      <w:r w:rsidR="00265783">
        <w:rPr>
          <w:lang w:val="fr-FR"/>
        </w:rPr>
        <w:t>’</w:t>
      </w:r>
      <w:r w:rsidRPr="008B45F1">
        <w:rPr>
          <w:lang w:val="fr-FR"/>
        </w:rPr>
        <w:t>adopté tel que modifié oralement.</w:t>
      </w:r>
    </w:p>
    <w:p w14:paraId="1BFF2EBC" w14:textId="64024D4F" w:rsidR="00AB1859" w:rsidRDefault="00AB1859" w:rsidP="00AB1859">
      <w:pPr>
        <w:pStyle w:val="SingleTxt"/>
        <w:spacing w:line="240" w:lineRule="exact"/>
        <w:rPr>
          <w:lang w:val="fr-FR"/>
        </w:rPr>
      </w:pPr>
    </w:p>
    <w:p w14:paraId="475CC9D5" w14:textId="1469A443" w:rsidR="00AB1859" w:rsidRDefault="00AB1859">
      <w:pPr>
        <w:spacing w:after="200" w:line="276" w:lineRule="auto"/>
        <w:rPr>
          <w:lang w:val="fr-FR"/>
        </w:rPr>
      </w:pPr>
      <w:r>
        <w:rPr>
          <w:lang w:val="fr-FR"/>
        </w:rPr>
        <w:br w:type="page"/>
      </w:r>
    </w:p>
    <w:p w14:paraId="0DD23E79" w14:textId="2584E649" w:rsidR="008B45F1" w:rsidRPr="009C4E47" w:rsidRDefault="008B45F1" w:rsidP="00AB1859">
      <w:pPr>
        <w:pStyle w:val="HCh0"/>
        <w:ind w:left="1267" w:right="1260" w:hanging="1267"/>
        <w:rPr>
          <w:lang w:val="fr-FR"/>
        </w:rPr>
      </w:pPr>
      <w:r w:rsidRPr="009C4E47">
        <w:rPr>
          <w:lang w:val="fr-FR"/>
        </w:rPr>
        <w:lastRenderedPageBreak/>
        <w:t>Annexe</w:t>
      </w:r>
    </w:p>
    <w:p w14:paraId="1B8F163D" w14:textId="6A87CFA7" w:rsidR="008B45F1" w:rsidRPr="009C4E47" w:rsidRDefault="008B45F1" w:rsidP="00AB1859">
      <w:pPr>
        <w:pStyle w:val="HCh0"/>
        <w:ind w:left="1267" w:right="1260" w:hanging="1267"/>
        <w:rPr>
          <w:lang w:val="fr-FR"/>
        </w:rPr>
      </w:pPr>
      <w:r w:rsidRPr="009C4E47">
        <w:rPr>
          <w:lang w:val="fr-FR"/>
        </w:rPr>
        <w:tab/>
      </w:r>
      <w:r w:rsidRPr="009C4E47">
        <w:rPr>
          <w:lang w:val="fr-FR"/>
        </w:rPr>
        <w:tab/>
        <w:t>Liste des documents dont le Comité était saisi à sa soixante-huitième session</w:t>
      </w:r>
    </w:p>
    <w:p w14:paraId="77362BB5" w14:textId="7B7FAB68" w:rsidR="00AB1859" w:rsidRPr="009C4E47" w:rsidRDefault="00AB1859" w:rsidP="00AB1859">
      <w:pPr>
        <w:pStyle w:val="SingleTxt"/>
        <w:spacing w:after="0" w:line="120" w:lineRule="exact"/>
        <w:rPr>
          <w:sz w:val="10"/>
          <w:lang w:val="fr-FR"/>
        </w:rPr>
      </w:pPr>
    </w:p>
    <w:p w14:paraId="6BDFBAFA" w14:textId="51902B2D" w:rsidR="00AB1859" w:rsidRPr="009C4E47" w:rsidRDefault="00AB1859" w:rsidP="00AB1859">
      <w:pPr>
        <w:pStyle w:val="SingleTxt"/>
        <w:spacing w:after="0" w:line="120" w:lineRule="exact"/>
        <w:rPr>
          <w:sz w:val="10"/>
          <w:lang w:val="fr-FR"/>
        </w:rPr>
      </w:pPr>
    </w:p>
    <w:tbl>
      <w:tblPr>
        <w:tblW w:w="4376" w:type="pct"/>
        <w:tblInd w:w="1267" w:type="dxa"/>
        <w:tblCellMar>
          <w:left w:w="0" w:type="dxa"/>
          <w:right w:w="0" w:type="dxa"/>
        </w:tblCellMar>
        <w:tblLook w:val="04A0" w:firstRow="1" w:lastRow="0" w:firstColumn="1" w:lastColumn="0" w:noHBand="0" w:noVBand="1"/>
      </w:tblPr>
      <w:tblGrid>
        <w:gridCol w:w="2670"/>
        <w:gridCol w:w="5942"/>
      </w:tblGrid>
      <w:tr w:rsidR="004C0C29" w:rsidRPr="004C0C29" w14:paraId="5737F344" w14:textId="77777777" w:rsidTr="004C0C29">
        <w:trPr>
          <w:cantSplit/>
          <w:tblHeader/>
        </w:trPr>
        <w:tc>
          <w:tcPr>
            <w:tcW w:w="1550" w:type="pct"/>
            <w:tcBorders>
              <w:top w:val="single" w:sz="4" w:space="0" w:color="auto"/>
              <w:bottom w:val="single" w:sz="12" w:space="0" w:color="auto"/>
            </w:tcBorders>
            <w:shd w:val="clear" w:color="auto" w:fill="auto"/>
            <w:vAlign w:val="bottom"/>
          </w:tcPr>
          <w:p w14:paraId="5B31E4B0" w14:textId="77777777" w:rsidR="004C0C29" w:rsidRPr="004C0C29" w:rsidRDefault="004C0C29" w:rsidP="004C0C29">
            <w:pPr>
              <w:suppressAutoHyphens/>
              <w:spacing w:before="81" w:after="81" w:line="160" w:lineRule="exact"/>
              <w:ind w:right="40"/>
              <w:rPr>
                <w:i/>
                <w:sz w:val="14"/>
              </w:rPr>
            </w:pPr>
            <w:bookmarkStart w:id="5" w:name="_Hlk512604100"/>
            <w:r w:rsidRPr="004C0C29">
              <w:rPr>
                <w:i/>
                <w:sz w:val="14"/>
              </w:rPr>
              <w:t>Cote du document</w:t>
            </w:r>
          </w:p>
        </w:tc>
        <w:tc>
          <w:tcPr>
            <w:tcW w:w="3450" w:type="pct"/>
            <w:tcBorders>
              <w:top w:val="single" w:sz="4" w:space="0" w:color="auto"/>
              <w:bottom w:val="single" w:sz="12" w:space="0" w:color="auto"/>
            </w:tcBorders>
            <w:shd w:val="clear" w:color="auto" w:fill="auto"/>
            <w:vAlign w:val="bottom"/>
          </w:tcPr>
          <w:p w14:paraId="241F1366" w14:textId="77777777" w:rsidR="004C0C29" w:rsidRPr="004C0C29" w:rsidRDefault="004C0C29" w:rsidP="004C0C29">
            <w:pPr>
              <w:suppressAutoHyphens/>
              <w:spacing w:before="81" w:after="81" w:line="160" w:lineRule="exact"/>
              <w:ind w:left="144" w:right="43"/>
              <w:rPr>
                <w:i/>
                <w:sz w:val="14"/>
              </w:rPr>
            </w:pPr>
            <w:r w:rsidRPr="004C0C29">
              <w:rPr>
                <w:i/>
                <w:sz w:val="14"/>
              </w:rPr>
              <w:t>Titre ou description</w:t>
            </w:r>
          </w:p>
        </w:tc>
      </w:tr>
      <w:tr w:rsidR="004C0C29" w:rsidRPr="004C0C29" w14:paraId="51B8B7D6" w14:textId="77777777" w:rsidTr="004C0C29">
        <w:trPr>
          <w:cantSplit/>
          <w:trHeight w:hRule="exact" w:val="113"/>
          <w:tblHeader/>
        </w:trPr>
        <w:tc>
          <w:tcPr>
            <w:tcW w:w="1550" w:type="pct"/>
            <w:tcBorders>
              <w:top w:val="single" w:sz="12" w:space="0" w:color="auto"/>
            </w:tcBorders>
            <w:shd w:val="clear" w:color="auto" w:fill="auto"/>
            <w:vAlign w:val="bottom"/>
          </w:tcPr>
          <w:p w14:paraId="187C4EEC" w14:textId="77777777" w:rsidR="004C0C29" w:rsidRPr="004C0C29" w:rsidRDefault="004C0C29" w:rsidP="004C0C29">
            <w:pPr>
              <w:suppressAutoHyphens/>
              <w:spacing w:before="40" w:after="40" w:line="210" w:lineRule="exact"/>
              <w:ind w:right="40"/>
              <w:rPr>
                <w:sz w:val="17"/>
              </w:rPr>
            </w:pPr>
          </w:p>
        </w:tc>
        <w:tc>
          <w:tcPr>
            <w:tcW w:w="3450" w:type="pct"/>
            <w:tcBorders>
              <w:top w:val="single" w:sz="12" w:space="0" w:color="auto"/>
            </w:tcBorders>
            <w:shd w:val="clear" w:color="auto" w:fill="auto"/>
            <w:vAlign w:val="bottom"/>
          </w:tcPr>
          <w:p w14:paraId="73EC77B1" w14:textId="77777777" w:rsidR="004C0C29" w:rsidRPr="004C0C29" w:rsidRDefault="004C0C29" w:rsidP="004C0C29">
            <w:pPr>
              <w:suppressAutoHyphens/>
              <w:spacing w:before="40" w:after="40" w:line="210" w:lineRule="exact"/>
              <w:ind w:left="144" w:right="43"/>
              <w:rPr>
                <w:sz w:val="17"/>
              </w:rPr>
            </w:pPr>
          </w:p>
        </w:tc>
      </w:tr>
      <w:tr w:rsidR="004C0C29" w:rsidRPr="004C0C29" w14:paraId="026134C0" w14:textId="77777777" w:rsidTr="004C0C29">
        <w:trPr>
          <w:cantSplit/>
        </w:trPr>
        <w:tc>
          <w:tcPr>
            <w:tcW w:w="1550" w:type="pct"/>
            <w:shd w:val="clear" w:color="auto" w:fill="auto"/>
            <w:vAlign w:val="bottom"/>
          </w:tcPr>
          <w:p w14:paraId="3671745E" w14:textId="7CFB468D" w:rsidR="004C0C29" w:rsidRPr="004C0C29" w:rsidRDefault="002D427A" w:rsidP="004C0C29">
            <w:pPr>
              <w:tabs>
                <w:tab w:val="left" w:pos="288"/>
                <w:tab w:val="left" w:pos="576"/>
                <w:tab w:val="left" w:pos="864"/>
                <w:tab w:val="left" w:pos="1152"/>
              </w:tabs>
              <w:suppressAutoHyphens/>
              <w:spacing w:before="40" w:after="40" w:line="210" w:lineRule="exact"/>
              <w:ind w:right="40"/>
              <w:rPr>
                <w:szCs w:val="20"/>
              </w:rPr>
            </w:pPr>
            <w:hyperlink r:id="rId86" w:history="1">
              <w:r w:rsidR="004C0C29" w:rsidRPr="0032170C">
                <w:rPr>
                  <w:rStyle w:val="Hyperlink"/>
                  <w:szCs w:val="20"/>
                </w:rPr>
                <w:t>CEDAW/C/68/1</w:t>
              </w:r>
            </w:hyperlink>
          </w:p>
        </w:tc>
        <w:tc>
          <w:tcPr>
            <w:tcW w:w="3450" w:type="pct"/>
            <w:shd w:val="clear" w:color="auto" w:fill="auto"/>
            <w:vAlign w:val="bottom"/>
          </w:tcPr>
          <w:p w14:paraId="398A1C01" w14:textId="77777777" w:rsidR="004C0C29" w:rsidRPr="004C0C29" w:rsidRDefault="004C0C29" w:rsidP="004C0C29">
            <w:pPr>
              <w:tabs>
                <w:tab w:val="left" w:pos="288"/>
                <w:tab w:val="left" w:pos="576"/>
                <w:tab w:val="left" w:pos="864"/>
                <w:tab w:val="left" w:pos="1152"/>
              </w:tabs>
              <w:suppressAutoHyphens/>
              <w:spacing w:before="40" w:after="40" w:line="210" w:lineRule="exact"/>
              <w:ind w:left="144" w:right="43"/>
              <w:rPr>
                <w:szCs w:val="20"/>
              </w:rPr>
            </w:pPr>
            <w:r w:rsidRPr="004C0C29">
              <w:rPr>
                <w:szCs w:val="20"/>
              </w:rPr>
              <w:t xml:space="preserve">Ordre du jour provisoire annoté </w:t>
            </w:r>
          </w:p>
        </w:tc>
      </w:tr>
      <w:tr w:rsidR="004C0C29" w:rsidRPr="004C0C29" w14:paraId="237386BC" w14:textId="77777777" w:rsidTr="004C0C29">
        <w:trPr>
          <w:cantSplit/>
        </w:trPr>
        <w:tc>
          <w:tcPr>
            <w:tcW w:w="1550" w:type="pct"/>
            <w:shd w:val="clear" w:color="auto" w:fill="auto"/>
            <w:vAlign w:val="bottom"/>
          </w:tcPr>
          <w:p w14:paraId="663149D1" w14:textId="4ECE87A2" w:rsidR="004C0C29" w:rsidRPr="004C0C29" w:rsidRDefault="002D427A" w:rsidP="0032170C">
            <w:pPr>
              <w:tabs>
                <w:tab w:val="left" w:pos="288"/>
                <w:tab w:val="left" w:pos="576"/>
                <w:tab w:val="left" w:pos="864"/>
                <w:tab w:val="left" w:pos="1152"/>
              </w:tabs>
              <w:suppressAutoHyphens/>
              <w:spacing w:before="40" w:after="40" w:line="210" w:lineRule="exact"/>
              <w:ind w:right="40"/>
              <w:rPr>
                <w:szCs w:val="20"/>
              </w:rPr>
            </w:pPr>
            <w:hyperlink r:id="rId87" w:history="1">
              <w:r w:rsidR="0032170C" w:rsidRPr="0032170C">
                <w:rPr>
                  <w:rStyle w:val="Hyperlink"/>
                  <w:szCs w:val="20"/>
                </w:rPr>
                <w:t>CEDAW/C/68/2</w:t>
              </w:r>
            </w:hyperlink>
          </w:p>
        </w:tc>
        <w:tc>
          <w:tcPr>
            <w:tcW w:w="3450" w:type="pct"/>
            <w:shd w:val="clear" w:color="auto" w:fill="auto"/>
            <w:vAlign w:val="bottom"/>
          </w:tcPr>
          <w:p w14:paraId="0BE9CD3E" w14:textId="54959B08" w:rsidR="004C0C29" w:rsidRPr="004C0C29" w:rsidRDefault="004C0C29" w:rsidP="004C0C29">
            <w:pPr>
              <w:tabs>
                <w:tab w:val="left" w:pos="288"/>
                <w:tab w:val="left" w:pos="576"/>
                <w:tab w:val="left" w:pos="864"/>
                <w:tab w:val="left" w:pos="1152"/>
              </w:tabs>
              <w:suppressAutoHyphens/>
              <w:spacing w:before="40" w:after="40" w:line="210" w:lineRule="exact"/>
              <w:ind w:left="144" w:right="43"/>
              <w:rPr>
                <w:szCs w:val="20"/>
              </w:rPr>
            </w:pPr>
            <w:r w:rsidRPr="004C0C29">
              <w:rPr>
                <w:szCs w:val="20"/>
              </w:rPr>
              <w:t>Rapport de l</w:t>
            </w:r>
            <w:r w:rsidR="00265783">
              <w:rPr>
                <w:szCs w:val="20"/>
              </w:rPr>
              <w:t>’</w:t>
            </w:r>
            <w:r w:rsidRPr="004C0C29">
              <w:rPr>
                <w:szCs w:val="20"/>
              </w:rPr>
              <w:t>Organisation des Nations Unies pour l</w:t>
            </w:r>
            <w:r w:rsidR="00265783">
              <w:rPr>
                <w:szCs w:val="20"/>
              </w:rPr>
              <w:t>’</w:t>
            </w:r>
            <w:r w:rsidRPr="004C0C29">
              <w:rPr>
                <w:szCs w:val="20"/>
              </w:rPr>
              <w:t>éducation, la science et la culture</w:t>
            </w:r>
          </w:p>
        </w:tc>
      </w:tr>
      <w:tr w:rsidR="004C0C29" w:rsidRPr="004C0C29" w14:paraId="0600592F" w14:textId="77777777" w:rsidTr="004C0C29">
        <w:trPr>
          <w:cantSplit/>
        </w:trPr>
        <w:tc>
          <w:tcPr>
            <w:tcW w:w="1550" w:type="pct"/>
            <w:shd w:val="clear" w:color="auto" w:fill="auto"/>
            <w:vAlign w:val="bottom"/>
          </w:tcPr>
          <w:p w14:paraId="2204B184" w14:textId="0CA17DB3" w:rsidR="004C0C29" w:rsidRPr="004C0C29" w:rsidRDefault="002D427A" w:rsidP="004C0C29">
            <w:pPr>
              <w:tabs>
                <w:tab w:val="left" w:pos="288"/>
                <w:tab w:val="left" w:pos="576"/>
                <w:tab w:val="left" w:pos="864"/>
                <w:tab w:val="left" w:pos="1152"/>
              </w:tabs>
              <w:suppressAutoHyphens/>
              <w:spacing w:before="40" w:after="40" w:line="210" w:lineRule="exact"/>
              <w:ind w:right="40"/>
              <w:rPr>
                <w:szCs w:val="20"/>
              </w:rPr>
            </w:pPr>
            <w:hyperlink r:id="rId88" w:history="1">
              <w:hyperlink r:id="rId89" w:history="1">
                <w:r w:rsidR="0032170C" w:rsidRPr="00AE2F49">
                  <w:rPr>
                    <w:rStyle w:val="Hyperlink"/>
                    <w:szCs w:val="20"/>
                  </w:rPr>
                  <w:t>CEDAW/C/68/3</w:t>
                </w:r>
              </w:hyperlink>
            </w:hyperlink>
          </w:p>
        </w:tc>
        <w:tc>
          <w:tcPr>
            <w:tcW w:w="3450" w:type="pct"/>
            <w:shd w:val="clear" w:color="auto" w:fill="auto"/>
            <w:vAlign w:val="bottom"/>
          </w:tcPr>
          <w:p w14:paraId="291AD8EA" w14:textId="05EECBB4" w:rsidR="004C0C29" w:rsidRPr="004C0C29" w:rsidRDefault="004C0C29" w:rsidP="004C0C29">
            <w:pPr>
              <w:tabs>
                <w:tab w:val="left" w:pos="288"/>
                <w:tab w:val="left" w:pos="576"/>
                <w:tab w:val="left" w:pos="864"/>
                <w:tab w:val="left" w:pos="1152"/>
              </w:tabs>
              <w:suppressAutoHyphens/>
              <w:spacing w:before="40" w:after="40" w:line="210" w:lineRule="exact"/>
              <w:ind w:left="144" w:right="43"/>
              <w:rPr>
                <w:szCs w:val="20"/>
              </w:rPr>
            </w:pPr>
            <w:r w:rsidRPr="004C0C29">
              <w:rPr>
                <w:szCs w:val="20"/>
              </w:rPr>
              <w:t>Rapport de l</w:t>
            </w:r>
            <w:r w:rsidR="00265783">
              <w:rPr>
                <w:szCs w:val="20"/>
              </w:rPr>
              <w:t>’</w:t>
            </w:r>
            <w:r w:rsidRPr="004C0C29">
              <w:rPr>
                <w:szCs w:val="20"/>
              </w:rPr>
              <w:t>Organisation internationale du Travail</w:t>
            </w:r>
          </w:p>
        </w:tc>
      </w:tr>
      <w:tr w:rsidR="004C0C29" w:rsidRPr="004C0C29" w14:paraId="3CCF47AF" w14:textId="77777777" w:rsidTr="004C0C29">
        <w:trPr>
          <w:cantSplit/>
        </w:trPr>
        <w:tc>
          <w:tcPr>
            <w:tcW w:w="1550" w:type="pct"/>
            <w:shd w:val="clear" w:color="auto" w:fill="auto"/>
            <w:vAlign w:val="bottom"/>
          </w:tcPr>
          <w:p w14:paraId="566A2130" w14:textId="77777777" w:rsidR="004C0C29" w:rsidRPr="004C0C29" w:rsidRDefault="004C0C29" w:rsidP="004C0C29">
            <w:pPr>
              <w:tabs>
                <w:tab w:val="left" w:pos="288"/>
                <w:tab w:val="left" w:pos="576"/>
                <w:tab w:val="left" w:pos="864"/>
                <w:tab w:val="left" w:pos="1152"/>
              </w:tabs>
              <w:suppressAutoHyphens/>
              <w:spacing w:before="40" w:after="40" w:line="210" w:lineRule="exact"/>
              <w:ind w:right="40"/>
              <w:rPr>
                <w:b/>
                <w:bCs/>
                <w:szCs w:val="20"/>
              </w:rPr>
            </w:pPr>
            <w:r w:rsidRPr="004C0C29">
              <w:rPr>
                <w:b/>
                <w:bCs/>
                <w:szCs w:val="20"/>
              </w:rPr>
              <w:t>Rapports des États parties</w:t>
            </w:r>
          </w:p>
        </w:tc>
        <w:tc>
          <w:tcPr>
            <w:tcW w:w="3450" w:type="pct"/>
            <w:shd w:val="clear" w:color="auto" w:fill="auto"/>
            <w:vAlign w:val="bottom"/>
          </w:tcPr>
          <w:p w14:paraId="4088025C" w14:textId="77777777" w:rsidR="004C0C29" w:rsidRPr="004C0C29" w:rsidRDefault="004C0C29" w:rsidP="004C0C29">
            <w:pPr>
              <w:tabs>
                <w:tab w:val="left" w:pos="288"/>
                <w:tab w:val="left" w:pos="576"/>
                <w:tab w:val="left" w:pos="864"/>
                <w:tab w:val="left" w:pos="1152"/>
              </w:tabs>
              <w:suppressAutoHyphens/>
              <w:spacing w:before="40" w:after="40" w:line="210" w:lineRule="exact"/>
              <w:ind w:left="144" w:right="43"/>
              <w:rPr>
                <w:szCs w:val="20"/>
              </w:rPr>
            </w:pPr>
          </w:p>
        </w:tc>
      </w:tr>
      <w:tr w:rsidR="00592526" w:rsidRPr="004C0C29" w14:paraId="53752B96" w14:textId="77777777" w:rsidTr="004C0C29">
        <w:trPr>
          <w:cantSplit/>
        </w:trPr>
        <w:tc>
          <w:tcPr>
            <w:tcW w:w="1550" w:type="pct"/>
            <w:shd w:val="clear" w:color="auto" w:fill="auto"/>
            <w:vAlign w:val="bottom"/>
          </w:tcPr>
          <w:p w14:paraId="76FDCA41" w14:textId="2A600589" w:rsidR="00592526" w:rsidRPr="004C0C29" w:rsidRDefault="002D427A" w:rsidP="00592526">
            <w:pPr>
              <w:tabs>
                <w:tab w:val="left" w:pos="288"/>
                <w:tab w:val="left" w:pos="576"/>
                <w:tab w:val="left" w:pos="864"/>
                <w:tab w:val="left" w:pos="1152"/>
              </w:tabs>
              <w:suppressAutoHyphens/>
              <w:spacing w:before="40" w:after="40" w:line="210" w:lineRule="exact"/>
              <w:ind w:right="40"/>
              <w:rPr>
                <w:szCs w:val="20"/>
              </w:rPr>
            </w:pPr>
            <w:hyperlink r:id="rId90" w:history="1">
              <w:r w:rsidR="00592526" w:rsidRPr="00AE2F49">
                <w:rPr>
                  <w:rStyle w:val="Hyperlink"/>
                  <w:szCs w:val="20"/>
                </w:rPr>
                <w:t>CEDAW/C/BFA/7</w:t>
              </w:r>
            </w:hyperlink>
          </w:p>
        </w:tc>
        <w:tc>
          <w:tcPr>
            <w:tcW w:w="3450" w:type="pct"/>
            <w:shd w:val="clear" w:color="auto" w:fill="auto"/>
            <w:vAlign w:val="bottom"/>
          </w:tcPr>
          <w:p w14:paraId="01451CF9" w14:textId="77777777" w:rsidR="00592526" w:rsidRPr="004C0C29" w:rsidRDefault="00592526" w:rsidP="00592526">
            <w:pPr>
              <w:tabs>
                <w:tab w:val="left" w:pos="288"/>
                <w:tab w:val="left" w:pos="576"/>
                <w:tab w:val="left" w:pos="864"/>
                <w:tab w:val="left" w:pos="1152"/>
              </w:tabs>
              <w:suppressAutoHyphens/>
              <w:spacing w:before="40" w:after="40" w:line="210" w:lineRule="exact"/>
              <w:ind w:left="144" w:right="43"/>
              <w:rPr>
                <w:szCs w:val="20"/>
              </w:rPr>
            </w:pPr>
            <w:r w:rsidRPr="004C0C29">
              <w:rPr>
                <w:szCs w:val="20"/>
              </w:rPr>
              <w:t>Septième rapport périodique du Burkina Faso</w:t>
            </w:r>
          </w:p>
        </w:tc>
      </w:tr>
      <w:tr w:rsidR="00592526" w:rsidRPr="004C0C29" w14:paraId="7D5483B8" w14:textId="77777777" w:rsidTr="004C0C29">
        <w:trPr>
          <w:cantSplit/>
        </w:trPr>
        <w:tc>
          <w:tcPr>
            <w:tcW w:w="1550" w:type="pct"/>
            <w:shd w:val="clear" w:color="auto" w:fill="auto"/>
            <w:vAlign w:val="bottom"/>
          </w:tcPr>
          <w:p w14:paraId="5115FCFF" w14:textId="40C11383" w:rsidR="00592526" w:rsidRPr="004C0C29" w:rsidRDefault="002D427A" w:rsidP="00592526">
            <w:pPr>
              <w:tabs>
                <w:tab w:val="left" w:pos="288"/>
                <w:tab w:val="left" w:pos="576"/>
                <w:tab w:val="left" w:pos="864"/>
                <w:tab w:val="left" w:pos="1152"/>
              </w:tabs>
              <w:suppressAutoHyphens/>
              <w:spacing w:before="40" w:after="40" w:line="210" w:lineRule="exact"/>
              <w:ind w:right="40"/>
              <w:rPr>
                <w:szCs w:val="20"/>
              </w:rPr>
            </w:pPr>
            <w:hyperlink r:id="rId91" w:history="1">
              <w:r w:rsidR="00592526" w:rsidRPr="00AE2F49">
                <w:rPr>
                  <w:rStyle w:val="Hyperlink"/>
                  <w:szCs w:val="20"/>
                </w:rPr>
                <w:t>CEDAW/C/PRK/2-4</w:t>
              </w:r>
            </w:hyperlink>
          </w:p>
        </w:tc>
        <w:tc>
          <w:tcPr>
            <w:tcW w:w="3450" w:type="pct"/>
            <w:shd w:val="clear" w:color="auto" w:fill="auto"/>
            <w:vAlign w:val="bottom"/>
          </w:tcPr>
          <w:p w14:paraId="5397B055" w14:textId="77777777" w:rsidR="00592526" w:rsidRPr="004C0C29" w:rsidRDefault="00592526" w:rsidP="00592526">
            <w:pPr>
              <w:tabs>
                <w:tab w:val="left" w:pos="288"/>
                <w:tab w:val="left" w:pos="576"/>
                <w:tab w:val="left" w:pos="864"/>
                <w:tab w:val="left" w:pos="1152"/>
              </w:tabs>
              <w:suppressAutoHyphens/>
              <w:spacing w:before="40" w:after="40" w:line="210" w:lineRule="exact"/>
              <w:ind w:left="144" w:right="43"/>
              <w:rPr>
                <w:szCs w:val="20"/>
              </w:rPr>
            </w:pPr>
            <w:r w:rsidRPr="004C0C29">
              <w:rPr>
                <w:szCs w:val="20"/>
              </w:rPr>
              <w:t>Rapport unique valant deuxième à quatrième rapports périodiques de la République populaire démocratique de Corée</w:t>
            </w:r>
          </w:p>
        </w:tc>
      </w:tr>
      <w:tr w:rsidR="00592526" w:rsidRPr="004C0C29" w14:paraId="77D4D4D2" w14:textId="77777777" w:rsidTr="004C0C29">
        <w:trPr>
          <w:cantSplit/>
        </w:trPr>
        <w:tc>
          <w:tcPr>
            <w:tcW w:w="1550" w:type="pct"/>
            <w:shd w:val="clear" w:color="auto" w:fill="auto"/>
            <w:vAlign w:val="bottom"/>
          </w:tcPr>
          <w:p w14:paraId="2E4E17B1" w14:textId="4A167203" w:rsidR="00592526" w:rsidRPr="004C0C29" w:rsidRDefault="002D427A" w:rsidP="00592526">
            <w:pPr>
              <w:tabs>
                <w:tab w:val="left" w:pos="288"/>
                <w:tab w:val="left" w:pos="576"/>
                <w:tab w:val="left" w:pos="864"/>
                <w:tab w:val="left" w:pos="1152"/>
              </w:tabs>
              <w:suppressAutoHyphens/>
              <w:spacing w:before="40" w:after="40" w:line="210" w:lineRule="exact"/>
              <w:ind w:right="40"/>
              <w:rPr>
                <w:szCs w:val="20"/>
              </w:rPr>
            </w:pPr>
            <w:hyperlink r:id="rId92" w:history="1">
              <w:r w:rsidR="00592526" w:rsidRPr="00AE2F49">
                <w:rPr>
                  <w:rStyle w:val="Hyperlink"/>
                  <w:szCs w:val="20"/>
                </w:rPr>
                <w:t>CEDAW/C/GTM/8-9</w:t>
              </w:r>
            </w:hyperlink>
          </w:p>
        </w:tc>
        <w:tc>
          <w:tcPr>
            <w:tcW w:w="3450" w:type="pct"/>
            <w:shd w:val="clear" w:color="auto" w:fill="auto"/>
            <w:vAlign w:val="bottom"/>
          </w:tcPr>
          <w:p w14:paraId="04EF9FDF" w14:textId="77777777" w:rsidR="00592526" w:rsidRPr="004C0C29" w:rsidRDefault="00592526" w:rsidP="00592526">
            <w:pPr>
              <w:tabs>
                <w:tab w:val="left" w:pos="288"/>
                <w:tab w:val="left" w:pos="576"/>
                <w:tab w:val="left" w:pos="864"/>
                <w:tab w:val="left" w:pos="1152"/>
              </w:tabs>
              <w:suppressAutoHyphens/>
              <w:spacing w:before="40" w:after="40" w:line="210" w:lineRule="exact"/>
              <w:ind w:left="144" w:right="43"/>
              <w:rPr>
                <w:szCs w:val="20"/>
              </w:rPr>
            </w:pPr>
            <w:r w:rsidRPr="004C0C29">
              <w:rPr>
                <w:szCs w:val="20"/>
              </w:rPr>
              <w:t>Rapport unique valant huitième et neuvième rapports périodiques du Guatemala</w:t>
            </w:r>
          </w:p>
        </w:tc>
      </w:tr>
      <w:tr w:rsidR="00592526" w:rsidRPr="004C0C29" w14:paraId="062838A6" w14:textId="77777777" w:rsidTr="004C0C29">
        <w:trPr>
          <w:cantSplit/>
        </w:trPr>
        <w:tc>
          <w:tcPr>
            <w:tcW w:w="1550" w:type="pct"/>
            <w:shd w:val="clear" w:color="auto" w:fill="auto"/>
            <w:vAlign w:val="bottom"/>
          </w:tcPr>
          <w:p w14:paraId="3AF57FF0" w14:textId="5A20CCBB" w:rsidR="00592526" w:rsidRPr="004C0C29" w:rsidRDefault="002D427A" w:rsidP="00592526">
            <w:pPr>
              <w:tabs>
                <w:tab w:val="left" w:pos="288"/>
                <w:tab w:val="left" w:pos="576"/>
                <w:tab w:val="left" w:pos="864"/>
                <w:tab w:val="left" w:pos="1152"/>
              </w:tabs>
              <w:suppressAutoHyphens/>
              <w:spacing w:before="40" w:after="40" w:line="210" w:lineRule="exact"/>
              <w:ind w:right="40"/>
              <w:rPr>
                <w:szCs w:val="20"/>
              </w:rPr>
            </w:pPr>
            <w:hyperlink r:id="rId93" w:history="1">
              <w:r w:rsidR="00592526" w:rsidRPr="00AE2F49">
                <w:rPr>
                  <w:rStyle w:val="Hyperlink"/>
                  <w:szCs w:val="20"/>
                </w:rPr>
                <w:t>CEDAW/C/ISR/6</w:t>
              </w:r>
            </w:hyperlink>
          </w:p>
        </w:tc>
        <w:tc>
          <w:tcPr>
            <w:tcW w:w="3450" w:type="pct"/>
            <w:shd w:val="clear" w:color="auto" w:fill="auto"/>
            <w:vAlign w:val="bottom"/>
          </w:tcPr>
          <w:p w14:paraId="7739F991" w14:textId="43820C15" w:rsidR="00592526" w:rsidRPr="004C0C29" w:rsidRDefault="00592526" w:rsidP="00592526">
            <w:pPr>
              <w:tabs>
                <w:tab w:val="left" w:pos="288"/>
                <w:tab w:val="left" w:pos="576"/>
                <w:tab w:val="left" w:pos="864"/>
                <w:tab w:val="left" w:pos="1152"/>
              </w:tabs>
              <w:suppressAutoHyphens/>
              <w:spacing w:before="40" w:after="40" w:line="210" w:lineRule="exact"/>
              <w:ind w:left="144" w:right="43"/>
              <w:rPr>
                <w:szCs w:val="20"/>
              </w:rPr>
            </w:pPr>
            <w:r w:rsidRPr="004C0C29">
              <w:rPr>
                <w:szCs w:val="20"/>
              </w:rPr>
              <w:t>Sixième rapport périodique d</w:t>
            </w:r>
            <w:r>
              <w:rPr>
                <w:szCs w:val="20"/>
              </w:rPr>
              <w:t>’</w:t>
            </w:r>
            <w:r w:rsidRPr="004C0C29">
              <w:rPr>
                <w:szCs w:val="20"/>
              </w:rPr>
              <w:t>Israël</w:t>
            </w:r>
          </w:p>
        </w:tc>
      </w:tr>
      <w:tr w:rsidR="00592526" w:rsidRPr="004C0C29" w14:paraId="5EB19AB7" w14:textId="77777777" w:rsidTr="004C0C29">
        <w:trPr>
          <w:cantSplit/>
        </w:trPr>
        <w:tc>
          <w:tcPr>
            <w:tcW w:w="1550" w:type="pct"/>
            <w:shd w:val="clear" w:color="auto" w:fill="auto"/>
            <w:vAlign w:val="bottom"/>
          </w:tcPr>
          <w:p w14:paraId="5011ED47" w14:textId="375B1480" w:rsidR="00592526" w:rsidRPr="004C0C29" w:rsidRDefault="002D427A" w:rsidP="00592526">
            <w:pPr>
              <w:tabs>
                <w:tab w:val="left" w:pos="288"/>
                <w:tab w:val="left" w:pos="576"/>
                <w:tab w:val="left" w:pos="864"/>
                <w:tab w:val="left" w:pos="1152"/>
              </w:tabs>
              <w:suppressAutoHyphens/>
              <w:spacing w:before="40" w:after="40" w:line="210" w:lineRule="exact"/>
              <w:ind w:right="40"/>
              <w:rPr>
                <w:szCs w:val="20"/>
              </w:rPr>
            </w:pPr>
            <w:hyperlink r:id="rId94" w:history="1">
              <w:r w:rsidR="00592526" w:rsidRPr="00AE2F49">
                <w:rPr>
                  <w:rStyle w:val="Hyperlink"/>
                  <w:szCs w:val="20"/>
                </w:rPr>
                <w:t>CEDAW/C/KEN/8</w:t>
              </w:r>
            </w:hyperlink>
          </w:p>
        </w:tc>
        <w:tc>
          <w:tcPr>
            <w:tcW w:w="3450" w:type="pct"/>
            <w:shd w:val="clear" w:color="auto" w:fill="auto"/>
            <w:vAlign w:val="bottom"/>
          </w:tcPr>
          <w:p w14:paraId="5AC8A6BE" w14:textId="77777777" w:rsidR="00592526" w:rsidRPr="004C0C29" w:rsidRDefault="00592526" w:rsidP="00592526">
            <w:pPr>
              <w:tabs>
                <w:tab w:val="left" w:pos="288"/>
                <w:tab w:val="left" w:pos="576"/>
                <w:tab w:val="left" w:pos="864"/>
                <w:tab w:val="left" w:pos="1152"/>
              </w:tabs>
              <w:suppressAutoHyphens/>
              <w:spacing w:before="40" w:after="40" w:line="210" w:lineRule="exact"/>
              <w:ind w:left="144" w:right="43"/>
              <w:rPr>
                <w:szCs w:val="20"/>
              </w:rPr>
            </w:pPr>
            <w:r w:rsidRPr="004C0C29">
              <w:rPr>
                <w:szCs w:val="20"/>
              </w:rPr>
              <w:t>Huitième rapport périodique du Kenya</w:t>
            </w:r>
          </w:p>
        </w:tc>
      </w:tr>
      <w:tr w:rsidR="00592526" w:rsidRPr="004C0C29" w14:paraId="5907574A" w14:textId="77777777" w:rsidTr="004C0C29">
        <w:trPr>
          <w:cantSplit/>
        </w:trPr>
        <w:tc>
          <w:tcPr>
            <w:tcW w:w="1550" w:type="pct"/>
            <w:shd w:val="clear" w:color="auto" w:fill="auto"/>
            <w:vAlign w:val="bottom"/>
          </w:tcPr>
          <w:p w14:paraId="5E895A8F" w14:textId="3C2E41ED" w:rsidR="00592526" w:rsidRPr="004C0C29" w:rsidRDefault="002D427A" w:rsidP="00592526">
            <w:pPr>
              <w:tabs>
                <w:tab w:val="left" w:pos="288"/>
                <w:tab w:val="left" w:pos="576"/>
                <w:tab w:val="left" w:pos="864"/>
                <w:tab w:val="left" w:pos="1152"/>
              </w:tabs>
              <w:suppressAutoHyphens/>
              <w:spacing w:before="40" w:after="40" w:line="210" w:lineRule="exact"/>
              <w:ind w:right="40"/>
              <w:rPr>
                <w:szCs w:val="20"/>
              </w:rPr>
            </w:pPr>
            <w:hyperlink r:id="rId95" w:history="1">
              <w:r w:rsidR="00592526" w:rsidRPr="00AE2F49">
                <w:rPr>
                  <w:rStyle w:val="Hyperlink"/>
                  <w:szCs w:val="20"/>
                </w:rPr>
                <w:t>CEDAW/C/KWT/5</w:t>
              </w:r>
            </w:hyperlink>
          </w:p>
        </w:tc>
        <w:tc>
          <w:tcPr>
            <w:tcW w:w="3450" w:type="pct"/>
            <w:shd w:val="clear" w:color="auto" w:fill="auto"/>
            <w:vAlign w:val="bottom"/>
          </w:tcPr>
          <w:p w14:paraId="5664185C" w14:textId="77777777" w:rsidR="00592526" w:rsidRPr="004C0C29" w:rsidRDefault="00592526" w:rsidP="00592526">
            <w:pPr>
              <w:tabs>
                <w:tab w:val="left" w:pos="288"/>
                <w:tab w:val="left" w:pos="576"/>
                <w:tab w:val="left" w:pos="864"/>
                <w:tab w:val="left" w:pos="1152"/>
              </w:tabs>
              <w:suppressAutoHyphens/>
              <w:spacing w:before="40" w:after="40" w:line="210" w:lineRule="exact"/>
              <w:ind w:left="144" w:right="43"/>
              <w:rPr>
                <w:szCs w:val="20"/>
              </w:rPr>
            </w:pPr>
            <w:r w:rsidRPr="004C0C29">
              <w:rPr>
                <w:szCs w:val="20"/>
              </w:rPr>
              <w:t>Cinquième rapport périodique du Koweït</w:t>
            </w:r>
          </w:p>
        </w:tc>
      </w:tr>
      <w:tr w:rsidR="00592526" w:rsidRPr="004C0C29" w14:paraId="000AC12B" w14:textId="77777777" w:rsidTr="004C0C29">
        <w:trPr>
          <w:cantSplit/>
        </w:trPr>
        <w:tc>
          <w:tcPr>
            <w:tcW w:w="1550" w:type="pct"/>
            <w:shd w:val="clear" w:color="auto" w:fill="auto"/>
            <w:vAlign w:val="bottom"/>
          </w:tcPr>
          <w:p w14:paraId="09AC91DF" w14:textId="55A3E941" w:rsidR="00592526" w:rsidRPr="004C0C29" w:rsidRDefault="002D427A" w:rsidP="00592526">
            <w:pPr>
              <w:tabs>
                <w:tab w:val="left" w:pos="288"/>
                <w:tab w:val="left" w:pos="576"/>
                <w:tab w:val="left" w:pos="864"/>
                <w:tab w:val="left" w:pos="1152"/>
              </w:tabs>
              <w:suppressAutoHyphens/>
              <w:spacing w:before="40" w:after="40" w:line="210" w:lineRule="exact"/>
              <w:ind w:right="40"/>
              <w:rPr>
                <w:szCs w:val="20"/>
              </w:rPr>
            </w:pPr>
            <w:hyperlink r:id="rId96" w:history="1">
              <w:r w:rsidR="00592526" w:rsidRPr="00AE2F49">
                <w:rPr>
                  <w:rStyle w:val="Hyperlink"/>
                  <w:szCs w:val="20"/>
                </w:rPr>
                <w:t>CEDAW/C/MCO/1-3</w:t>
              </w:r>
            </w:hyperlink>
          </w:p>
        </w:tc>
        <w:tc>
          <w:tcPr>
            <w:tcW w:w="3450" w:type="pct"/>
            <w:shd w:val="clear" w:color="auto" w:fill="auto"/>
            <w:vAlign w:val="bottom"/>
          </w:tcPr>
          <w:p w14:paraId="3C64BF46" w14:textId="77777777" w:rsidR="00592526" w:rsidRPr="004C0C29" w:rsidRDefault="00592526" w:rsidP="00592526">
            <w:pPr>
              <w:tabs>
                <w:tab w:val="left" w:pos="288"/>
                <w:tab w:val="left" w:pos="576"/>
                <w:tab w:val="left" w:pos="864"/>
                <w:tab w:val="left" w:pos="1152"/>
              </w:tabs>
              <w:suppressAutoHyphens/>
              <w:spacing w:before="40" w:after="40" w:line="210" w:lineRule="exact"/>
              <w:ind w:left="144" w:right="43"/>
              <w:rPr>
                <w:szCs w:val="20"/>
              </w:rPr>
            </w:pPr>
            <w:r w:rsidRPr="004C0C29">
              <w:rPr>
                <w:szCs w:val="20"/>
              </w:rPr>
              <w:t>Rapport unique valant rapport initial et deuxième et troisième rapports périodiques de Monaco</w:t>
            </w:r>
          </w:p>
        </w:tc>
      </w:tr>
      <w:tr w:rsidR="00592526" w:rsidRPr="004C0C29" w14:paraId="2A34A73E" w14:textId="77777777" w:rsidTr="004C0C29">
        <w:trPr>
          <w:cantSplit/>
        </w:trPr>
        <w:tc>
          <w:tcPr>
            <w:tcW w:w="1550" w:type="pct"/>
            <w:shd w:val="clear" w:color="auto" w:fill="auto"/>
            <w:vAlign w:val="bottom"/>
          </w:tcPr>
          <w:p w14:paraId="37A12ED7" w14:textId="0C383962" w:rsidR="00592526" w:rsidRPr="004C0C29" w:rsidRDefault="002D427A" w:rsidP="00592526">
            <w:pPr>
              <w:tabs>
                <w:tab w:val="left" w:pos="288"/>
                <w:tab w:val="left" w:pos="576"/>
                <w:tab w:val="left" w:pos="864"/>
                <w:tab w:val="left" w:pos="1152"/>
              </w:tabs>
              <w:suppressAutoHyphens/>
              <w:spacing w:before="40" w:after="40" w:line="210" w:lineRule="exact"/>
              <w:ind w:right="40"/>
              <w:rPr>
                <w:szCs w:val="20"/>
              </w:rPr>
            </w:pPr>
            <w:hyperlink r:id="rId97" w:history="1">
              <w:r w:rsidR="00592526" w:rsidRPr="00AE2F49">
                <w:rPr>
                  <w:rStyle w:val="Hyperlink"/>
                  <w:szCs w:val="20"/>
                </w:rPr>
                <w:t>CEDAW/C/NRU/1-2</w:t>
              </w:r>
            </w:hyperlink>
          </w:p>
        </w:tc>
        <w:tc>
          <w:tcPr>
            <w:tcW w:w="3450" w:type="pct"/>
            <w:shd w:val="clear" w:color="auto" w:fill="auto"/>
            <w:vAlign w:val="bottom"/>
          </w:tcPr>
          <w:p w14:paraId="3D8ECBFE" w14:textId="77777777" w:rsidR="00592526" w:rsidRPr="004C0C29" w:rsidRDefault="00592526" w:rsidP="00592526">
            <w:pPr>
              <w:tabs>
                <w:tab w:val="left" w:pos="288"/>
                <w:tab w:val="left" w:pos="576"/>
                <w:tab w:val="left" w:pos="864"/>
                <w:tab w:val="left" w:pos="1152"/>
              </w:tabs>
              <w:suppressAutoHyphens/>
              <w:spacing w:before="40" w:after="40" w:line="210" w:lineRule="exact"/>
              <w:ind w:left="144" w:right="43"/>
              <w:rPr>
                <w:szCs w:val="20"/>
              </w:rPr>
            </w:pPr>
            <w:r w:rsidRPr="004C0C29">
              <w:rPr>
                <w:szCs w:val="20"/>
              </w:rPr>
              <w:t>Rapport unique valant rapport initial et deuxième rapport périodique de Nauru</w:t>
            </w:r>
          </w:p>
        </w:tc>
      </w:tr>
      <w:tr w:rsidR="00592526" w:rsidRPr="004C0C29" w14:paraId="39C65C19" w14:textId="77777777" w:rsidTr="004C0C29">
        <w:trPr>
          <w:cantSplit/>
        </w:trPr>
        <w:tc>
          <w:tcPr>
            <w:tcW w:w="1550" w:type="pct"/>
            <w:shd w:val="clear" w:color="auto" w:fill="auto"/>
            <w:vAlign w:val="bottom"/>
          </w:tcPr>
          <w:p w14:paraId="4100B271" w14:textId="63FE251D" w:rsidR="00592526" w:rsidRPr="004C0C29" w:rsidRDefault="002D427A" w:rsidP="00592526">
            <w:pPr>
              <w:tabs>
                <w:tab w:val="left" w:pos="288"/>
                <w:tab w:val="left" w:pos="576"/>
                <w:tab w:val="left" w:pos="864"/>
                <w:tab w:val="left" w:pos="1152"/>
              </w:tabs>
              <w:suppressAutoHyphens/>
              <w:spacing w:before="40" w:after="40" w:line="210" w:lineRule="exact"/>
              <w:ind w:right="40"/>
              <w:rPr>
                <w:szCs w:val="20"/>
              </w:rPr>
            </w:pPr>
            <w:hyperlink r:id="rId98" w:history="1">
              <w:r w:rsidR="00592526" w:rsidRPr="00AE2F49">
                <w:rPr>
                  <w:rStyle w:val="Hyperlink"/>
                  <w:szCs w:val="20"/>
                </w:rPr>
                <w:t>CEDAW/C/NOR/9</w:t>
              </w:r>
            </w:hyperlink>
          </w:p>
        </w:tc>
        <w:tc>
          <w:tcPr>
            <w:tcW w:w="3450" w:type="pct"/>
            <w:shd w:val="clear" w:color="auto" w:fill="auto"/>
            <w:vAlign w:val="bottom"/>
          </w:tcPr>
          <w:p w14:paraId="52CA6660" w14:textId="77777777" w:rsidR="00592526" w:rsidRPr="004C0C29" w:rsidRDefault="00592526" w:rsidP="00592526">
            <w:pPr>
              <w:tabs>
                <w:tab w:val="left" w:pos="288"/>
                <w:tab w:val="left" w:pos="576"/>
                <w:tab w:val="left" w:pos="864"/>
                <w:tab w:val="left" w:pos="1152"/>
              </w:tabs>
              <w:suppressAutoHyphens/>
              <w:spacing w:before="40" w:after="40" w:line="210" w:lineRule="exact"/>
              <w:ind w:left="144" w:right="43"/>
              <w:rPr>
                <w:szCs w:val="20"/>
              </w:rPr>
            </w:pPr>
            <w:r w:rsidRPr="004C0C29">
              <w:rPr>
                <w:szCs w:val="20"/>
              </w:rPr>
              <w:t>Neuvième rapport périodique de la Norvège</w:t>
            </w:r>
          </w:p>
        </w:tc>
      </w:tr>
      <w:tr w:rsidR="00592526" w:rsidRPr="004C0C29" w14:paraId="07695838" w14:textId="77777777" w:rsidTr="004C0C29">
        <w:trPr>
          <w:cantSplit/>
        </w:trPr>
        <w:tc>
          <w:tcPr>
            <w:tcW w:w="1550" w:type="pct"/>
            <w:shd w:val="clear" w:color="auto" w:fill="auto"/>
            <w:vAlign w:val="bottom"/>
          </w:tcPr>
          <w:p w14:paraId="09C80227" w14:textId="27E2B270" w:rsidR="00592526" w:rsidRPr="004C0C29" w:rsidRDefault="002D427A" w:rsidP="00592526">
            <w:pPr>
              <w:tabs>
                <w:tab w:val="left" w:pos="288"/>
                <w:tab w:val="left" w:pos="576"/>
                <w:tab w:val="left" w:pos="864"/>
                <w:tab w:val="left" w:pos="1152"/>
              </w:tabs>
              <w:suppressAutoHyphens/>
              <w:spacing w:before="40" w:after="40" w:line="210" w:lineRule="exact"/>
              <w:ind w:right="40"/>
              <w:rPr>
                <w:szCs w:val="20"/>
              </w:rPr>
            </w:pPr>
            <w:hyperlink r:id="rId99" w:history="1">
              <w:r w:rsidR="00592526" w:rsidRPr="00AE2F49">
                <w:rPr>
                  <w:rStyle w:val="Hyperlink"/>
                  <w:szCs w:val="20"/>
                </w:rPr>
                <w:t>CEDAW/C/OMN/2-3</w:t>
              </w:r>
            </w:hyperlink>
          </w:p>
        </w:tc>
        <w:tc>
          <w:tcPr>
            <w:tcW w:w="3450" w:type="pct"/>
            <w:shd w:val="clear" w:color="auto" w:fill="auto"/>
            <w:vAlign w:val="bottom"/>
          </w:tcPr>
          <w:p w14:paraId="59074831" w14:textId="4724A340" w:rsidR="00592526" w:rsidRPr="004C0C29" w:rsidRDefault="00592526" w:rsidP="00592526">
            <w:pPr>
              <w:tabs>
                <w:tab w:val="left" w:pos="288"/>
                <w:tab w:val="left" w:pos="576"/>
                <w:tab w:val="left" w:pos="864"/>
                <w:tab w:val="left" w:pos="1152"/>
              </w:tabs>
              <w:suppressAutoHyphens/>
              <w:spacing w:before="40" w:after="40" w:line="210" w:lineRule="exact"/>
              <w:ind w:left="144" w:right="43"/>
              <w:rPr>
                <w:szCs w:val="20"/>
              </w:rPr>
            </w:pPr>
            <w:r w:rsidRPr="004C0C29">
              <w:rPr>
                <w:szCs w:val="20"/>
              </w:rPr>
              <w:t>Rapport unique valant deuxième et troisième rapports périodiques d</w:t>
            </w:r>
            <w:r>
              <w:rPr>
                <w:szCs w:val="20"/>
              </w:rPr>
              <w:t>’</w:t>
            </w:r>
            <w:r w:rsidRPr="004C0C29">
              <w:rPr>
                <w:szCs w:val="20"/>
              </w:rPr>
              <w:t>Oman</w:t>
            </w:r>
          </w:p>
        </w:tc>
      </w:tr>
      <w:tr w:rsidR="00592526" w:rsidRPr="004C0C29" w14:paraId="1CC6281A" w14:textId="77777777" w:rsidTr="004C0C29">
        <w:trPr>
          <w:cantSplit/>
        </w:trPr>
        <w:tc>
          <w:tcPr>
            <w:tcW w:w="1550" w:type="pct"/>
            <w:shd w:val="clear" w:color="auto" w:fill="auto"/>
            <w:vAlign w:val="bottom"/>
          </w:tcPr>
          <w:p w14:paraId="6F6A1CB4" w14:textId="3EE4318D" w:rsidR="00592526" w:rsidRPr="004C0C29" w:rsidRDefault="002D427A" w:rsidP="00592526">
            <w:pPr>
              <w:tabs>
                <w:tab w:val="left" w:pos="288"/>
                <w:tab w:val="left" w:pos="576"/>
                <w:tab w:val="left" w:pos="864"/>
                <w:tab w:val="left" w:pos="1152"/>
              </w:tabs>
              <w:suppressAutoHyphens/>
              <w:spacing w:before="40" w:after="40" w:line="210" w:lineRule="exact"/>
              <w:ind w:right="40"/>
              <w:rPr>
                <w:szCs w:val="20"/>
              </w:rPr>
            </w:pPr>
            <w:hyperlink r:id="rId100" w:history="1">
              <w:r w:rsidR="00592526" w:rsidRPr="00AE2F49">
                <w:rPr>
                  <w:rStyle w:val="Hyperlink"/>
                  <w:szCs w:val="20"/>
                </w:rPr>
                <w:t>CEDAW/C/PRY/7</w:t>
              </w:r>
            </w:hyperlink>
          </w:p>
        </w:tc>
        <w:tc>
          <w:tcPr>
            <w:tcW w:w="3450" w:type="pct"/>
            <w:shd w:val="clear" w:color="auto" w:fill="auto"/>
            <w:vAlign w:val="bottom"/>
          </w:tcPr>
          <w:p w14:paraId="54DC26B7" w14:textId="77777777" w:rsidR="00592526" w:rsidRPr="004C0C29" w:rsidRDefault="00592526" w:rsidP="00592526">
            <w:pPr>
              <w:tabs>
                <w:tab w:val="left" w:pos="288"/>
                <w:tab w:val="left" w:pos="576"/>
                <w:tab w:val="left" w:pos="864"/>
                <w:tab w:val="left" w:pos="1152"/>
              </w:tabs>
              <w:suppressAutoHyphens/>
              <w:spacing w:before="40" w:after="40" w:line="210" w:lineRule="exact"/>
              <w:ind w:left="144" w:right="43"/>
              <w:rPr>
                <w:szCs w:val="20"/>
              </w:rPr>
            </w:pPr>
            <w:r w:rsidRPr="004C0C29">
              <w:rPr>
                <w:szCs w:val="20"/>
              </w:rPr>
              <w:t>Septième rapport périodique du Paraguay</w:t>
            </w:r>
          </w:p>
        </w:tc>
      </w:tr>
      <w:tr w:rsidR="00592526" w:rsidRPr="004C0C29" w14:paraId="243466CF" w14:textId="77777777" w:rsidTr="004C0C29">
        <w:trPr>
          <w:cantSplit/>
        </w:trPr>
        <w:tc>
          <w:tcPr>
            <w:tcW w:w="1550" w:type="pct"/>
            <w:tcBorders>
              <w:bottom w:val="single" w:sz="12" w:space="0" w:color="auto"/>
            </w:tcBorders>
            <w:shd w:val="clear" w:color="auto" w:fill="auto"/>
            <w:vAlign w:val="bottom"/>
          </w:tcPr>
          <w:p w14:paraId="78FD3D51" w14:textId="534DD745" w:rsidR="00592526" w:rsidRPr="004C0C29" w:rsidRDefault="002D427A" w:rsidP="00592526">
            <w:pPr>
              <w:tabs>
                <w:tab w:val="left" w:pos="288"/>
                <w:tab w:val="left" w:pos="576"/>
                <w:tab w:val="left" w:pos="864"/>
                <w:tab w:val="left" w:pos="1152"/>
              </w:tabs>
              <w:suppressAutoHyphens/>
              <w:spacing w:before="40" w:after="40" w:line="210" w:lineRule="exact"/>
              <w:ind w:right="40"/>
              <w:rPr>
                <w:szCs w:val="20"/>
              </w:rPr>
            </w:pPr>
            <w:hyperlink r:id="rId101" w:history="1">
              <w:r w:rsidR="00592526" w:rsidRPr="00AE2F49">
                <w:rPr>
                  <w:rStyle w:val="Hyperlink"/>
                  <w:szCs w:val="20"/>
                </w:rPr>
                <w:t>CEDAW/C/SGP/5</w:t>
              </w:r>
            </w:hyperlink>
          </w:p>
        </w:tc>
        <w:tc>
          <w:tcPr>
            <w:tcW w:w="3450" w:type="pct"/>
            <w:tcBorders>
              <w:bottom w:val="single" w:sz="12" w:space="0" w:color="auto"/>
            </w:tcBorders>
            <w:shd w:val="clear" w:color="auto" w:fill="auto"/>
            <w:vAlign w:val="bottom"/>
          </w:tcPr>
          <w:p w14:paraId="26263E65" w14:textId="77777777" w:rsidR="00592526" w:rsidRPr="004C0C29" w:rsidDel="008E35B5" w:rsidRDefault="00592526" w:rsidP="00592526">
            <w:pPr>
              <w:tabs>
                <w:tab w:val="left" w:pos="288"/>
                <w:tab w:val="left" w:pos="576"/>
                <w:tab w:val="left" w:pos="864"/>
                <w:tab w:val="left" w:pos="1152"/>
              </w:tabs>
              <w:suppressAutoHyphens/>
              <w:spacing w:before="40" w:after="40" w:line="210" w:lineRule="exact"/>
              <w:ind w:left="144" w:right="43"/>
              <w:rPr>
                <w:szCs w:val="20"/>
              </w:rPr>
            </w:pPr>
            <w:r w:rsidRPr="004C0C29">
              <w:rPr>
                <w:szCs w:val="20"/>
              </w:rPr>
              <w:t>Cinquième rapport périodique de Singapour</w:t>
            </w:r>
          </w:p>
        </w:tc>
      </w:tr>
      <w:bookmarkEnd w:id="5"/>
    </w:tbl>
    <w:p w14:paraId="22D54666" w14:textId="2467FECE" w:rsidR="00DC30FB" w:rsidRDefault="00DC30FB" w:rsidP="00AB1859">
      <w:pPr>
        <w:pStyle w:val="SingleTxt"/>
        <w:rPr>
          <w:lang w:val="fr-FR"/>
        </w:rPr>
      </w:pPr>
    </w:p>
    <w:p w14:paraId="44A6D923" w14:textId="77777777" w:rsidR="00DC30FB" w:rsidRDefault="00DC30FB">
      <w:pPr>
        <w:spacing w:after="200" w:line="276" w:lineRule="auto"/>
        <w:rPr>
          <w:lang w:val="fr-FR"/>
        </w:rPr>
      </w:pPr>
      <w:r>
        <w:rPr>
          <w:lang w:val="fr-FR"/>
        </w:rPr>
        <w:br w:type="page"/>
      </w:r>
    </w:p>
    <w:p w14:paraId="2DE3276E" w14:textId="77777777" w:rsidR="00A372CF" w:rsidRPr="009C4E47" w:rsidRDefault="00A372CF" w:rsidP="00A372CF">
      <w:pPr>
        <w:pStyle w:val="HCh0"/>
        <w:ind w:left="1267" w:right="1260" w:hanging="1267"/>
        <w:rPr>
          <w:lang w:val="fr-FR"/>
        </w:rPr>
      </w:pPr>
      <w:r w:rsidRPr="009C4E47">
        <w:rPr>
          <w:lang w:val="fr-FR"/>
        </w:rPr>
        <w:lastRenderedPageBreak/>
        <w:tab/>
      </w:r>
      <w:r w:rsidRPr="009C4E47">
        <w:rPr>
          <w:lang w:val="fr-FR"/>
        </w:rPr>
        <w:tab/>
        <w:t>Troisième partie</w:t>
      </w:r>
    </w:p>
    <w:p w14:paraId="7E6C8478" w14:textId="7E38A626" w:rsidR="00A372CF" w:rsidRPr="009C4E47" w:rsidRDefault="00A372CF" w:rsidP="00A372CF">
      <w:pPr>
        <w:pStyle w:val="HCh0"/>
        <w:ind w:left="1267" w:right="1260" w:hanging="1267"/>
        <w:rPr>
          <w:lang w:val="fr-FR"/>
        </w:rPr>
      </w:pPr>
      <w:r w:rsidRPr="009C4E47">
        <w:rPr>
          <w:lang w:val="fr-FR"/>
        </w:rPr>
        <w:tab/>
      </w:r>
      <w:r w:rsidRPr="009C4E47">
        <w:rPr>
          <w:lang w:val="fr-FR"/>
        </w:rPr>
        <w:tab/>
        <w:t>Rapport du Comité pour l</w:t>
      </w:r>
      <w:r w:rsidR="00265783">
        <w:rPr>
          <w:lang w:val="fr-FR"/>
        </w:rPr>
        <w:t>’</w:t>
      </w:r>
      <w:r w:rsidRPr="009C4E47">
        <w:rPr>
          <w:lang w:val="fr-FR"/>
        </w:rPr>
        <w:t>élimination de la discrimination à l</w:t>
      </w:r>
      <w:r w:rsidR="00265783">
        <w:rPr>
          <w:lang w:val="fr-FR"/>
        </w:rPr>
        <w:t>’</w:t>
      </w:r>
      <w:r w:rsidRPr="009C4E47">
        <w:rPr>
          <w:lang w:val="fr-FR"/>
        </w:rPr>
        <w:t>égard des femmes sur les travaux de sa soixante-neuvième session</w:t>
      </w:r>
    </w:p>
    <w:p w14:paraId="3BDBFBC2" w14:textId="54FB9BB4" w:rsidR="00A372CF" w:rsidRPr="009C4E47" w:rsidRDefault="00A372CF" w:rsidP="00A372CF">
      <w:pPr>
        <w:pStyle w:val="SingleTxt"/>
        <w:spacing w:after="0" w:line="120" w:lineRule="exact"/>
        <w:rPr>
          <w:sz w:val="10"/>
          <w:lang w:val="fr-FR"/>
        </w:rPr>
      </w:pPr>
    </w:p>
    <w:p w14:paraId="5391209E" w14:textId="427281D6" w:rsidR="00A372CF" w:rsidRPr="009C4E47" w:rsidRDefault="00A372CF" w:rsidP="00A372CF">
      <w:pPr>
        <w:pStyle w:val="SingleTxt"/>
        <w:spacing w:after="0" w:line="120" w:lineRule="exact"/>
        <w:rPr>
          <w:sz w:val="10"/>
          <w:lang w:val="fr-FR"/>
        </w:rPr>
      </w:pPr>
    </w:p>
    <w:p w14:paraId="2422E3CF" w14:textId="09E70C72" w:rsidR="00A372CF" w:rsidRDefault="00A372CF" w:rsidP="00A372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19 février-9 mars 2018</w:t>
      </w:r>
    </w:p>
    <w:p w14:paraId="7FD52F27" w14:textId="77777777" w:rsidR="00A372CF" w:rsidRPr="00A372CF" w:rsidRDefault="00A372CF" w:rsidP="00A372CF">
      <w:pPr>
        <w:rPr>
          <w:lang w:val="fr-FR"/>
        </w:rPr>
      </w:pPr>
    </w:p>
    <w:p w14:paraId="698A4B8C" w14:textId="77777777" w:rsidR="00A372CF" w:rsidRDefault="00A372CF" w:rsidP="00A372CF">
      <w:pPr>
        <w:spacing w:after="200" w:line="276" w:lineRule="auto"/>
        <w:rPr>
          <w:b/>
          <w:sz w:val="28"/>
          <w:lang w:val="fr-FR"/>
        </w:rPr>
      </w:pPr>
      <w:r>
        <w:rPr>
          <w:lang w:val="fr-FR"/>
        </w:rPr>
        <w:br w:type="page"/>
      </w:r>
    </w:p>
    <w:p w14:paraId="79812168" w14:textId="77777777" w:rsidR="00A372CF" w:rsidRPr="009C4E47" w:rsidRDefault="00A372CF" w:rsidP="00A372CF">
      <w:pPr>
        <w:pStyle w:val="HCh0"/>
        <w:ind w:left="1267" w:right="1260" w:hanging="1267"/>
        <w:rPr>
          <w:lang w:val="fr-FR"/>
        </w:rPr>
      </w:pPr>
      <w:r w:rsidRPr="009C4E47">
        <w:rPr>
          <w:lang w:val="fr-FR"/>
        </w:rPr>
        <w:lastRenderedPageBreak/>
        <w:t>Chapitre I</w:t>
      </w:r>
    </w:p>
    <w:p w14:paraId="69EB9408" w14:textId="58568F4F" w:rsidR="00A372CF" w:rsidRPr="009C4E47" w:rsidRDefault="00A372CF" w:rsidP="00A372CF">
      <w:pPr>
        <w:pStyle w:val="HCh0"/>
        <w:ind w:left="1267" w:right="1260" w:hanging="1267"/>
        <w:rPr>
          <w:lang w:val="fr-FR"/>
        </w:rPr>
      </w:pPr>
      <w:r w:rsidRPr="009C4E47">
        <w:rPr>
          <w:lang w:val="fr-FR"/>
        </w:rPr>
        <w:tab/>
      </w:r>
      <w:r w:rsidRPr="009C4E47">
        <w:rPr>
          <w:lang w:val="fr-FR"/>
        </w:rPr>
        <w:tab/>
        <w:t>Décisions adoptées par le Comité</w:t>
      </w:r>
    </w:p>
    <w:p w14:paraId="0BC4A0D8" w14:textId="5B532FA1" w:rsidR="00A372CF" w:rsidRPr="009C4E47" w:rsidRDefault="00A372CF" w:rsidP="00A372CF">
      <w:pPr>
        <w:pStyle w:val="SingleTxt"/>
        <w:spacing w:after="0" w:line="120" w:lineRule="exact"/>
        <w:rPr>
          <w:sz w:val="10"/>
          <w:lang w:val="fr-FR"/>
        </w:rPr>
      </w:pPr>
    </w:p>
    <w:p w14:paraId="215708C2" w14:textId="6F00753F" w:rsidR="00A372CF" w:rsidRPr="009C4E47" w:rsidRDefault="00A372CF" w:rsidP="00A372CF">
      <w:pPr>
        <w:pStyle w:val="SingleTxt"/>
        <w:spacing w:after="0" w:line="120" w:lineRule="exact"/>
        <w:rPr>
          <w:sz w:val="10"/>
          <w:lang w:val="fr-FR"/>
        </w:rPr>
      </w:pPr>
    </w:p>
    <w:p w14:paraId="0D9ADD7D" w14:textId="77777777" w:rsidR="00A372CF" w:rsidRPr="00491296" w:rsidRDefault="00A372CF" w:rsidP="00A37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69/I</w:t>
      </w:r>
    </w:p>
    <w:p w14:paraId="7499D92A" w14:textId="7C227473" w:rsidR="00A372CF" w:rsidRPr="00A372CF" w:rsidRDefault="00A372CF" w:rsidP="00A372CF">
      <w:pPr>
        <w:pStyle w:val="SingleTxt"/>
        <w:spacing w:after="0" w:line="120" w:lineRule="exact"/>
        <w:rPr>
          <w:sz w:val="10"/>
          <w:lang w:val="fr-FR"/>
        </w:rPr>
      </w:pPr>
    </w:p>
    <w:p w14:paraId="092FAB14" w14:textId="60FD9849" w:rsidR="00A372CF" w:rsidRDefault="00A372CF" w:rsidP="00A372CF">
      <w:pPr>
        <w:pStyle w:val="SingleTxt"/>
        <w:rPr>
          <w:lang w:val="fr-FR"/>
        </w:rPr>
      </w:pPr>
      <w:r>
        <w:rPr>
          <w:lang w:val="fr-FR"/>
        </w:rPr>
        <w:tab/>
        <w:t>Le 7 mars 2018, le Comité a adopté par consensus la recommandation générale n</w:t>
      </w:r>
      <w:r w:rsidR="00B30172">
        <w:rPr>
          <w:vertAlign w:val="superscript"/>
          <w:lang w:val="fr-FR"/>
        </w:rPr>
        <w:t>o </w:t>
      </w:r>
      <w:r>
        <w:rPr>
          <w:lang w:val="fr-FR"/>
        </w:rPr>
        <w:t xml:space="preserve">37 (2018) sur les </w:t>
      </w:r>
      <w:r w:rsidRPr="007A3DAB">
        <w:rPr>
          <w:lang w:val="fr-FR"/>
        </w:rPr>
        <w:t xml:space="preserve">aspects de la réduction des risques de catastrophe et des changements climatiques ayant trait à la problématique femmes-hommes </w:t>
      </w:r>
      <w:r>
        <w:rPr>
          <w:lang w:val="fr-FR"/>
        </w:rPr>
        <w:t>(</w:t>
      </w:r>
      <w:hyperlink r:id="rId102" w:history="1">
        <w:r w:rsidRPr="008E2674">
          <w:rPr>
            <w:rStyle w:val="Hyperlink"/>
            <w:lang w:val="fr-FR"/>
          </w:rPr>
          <w:t>CEDAW/C/GC/37</w:t>
        </w:r>
      </w:hyperlink>
      <w:r>
        <w:rPr>
          <w:lang w:val="fr-FR"/>
        </w:rPr>
        <w:t>).</w:t>
      </w:r>
    </w:p>
    <w:p w14:paraId="36D87943" w14:textId="2926DD6C" w:rsidR="00A372CF" w:rsidRPr="00A372CF" w:rsidRDefault="00A372CF" w:rsidP="00A372CF">
      <w:pPr>
        <w:pStyle w:val="SingleTxt"/>
        <w:spacing w:after="0" w:line="120" w:lineRule="exact"/>
        <w:rPr>
          <w:sz w:val="10"/>
          <w:lang w:val="fr-FR"/>
        </w:rPr>
      </w:pPr>
    </w:p>
    <w:p w14:paraId="04C2C741" w14:textId="77777777" w:rsidR="00A372CF" w:rsidRPr="00491296" w:rsidRDefault="00A372CF" w:rsidP="00A37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69/II</w:t>
      </w:r>
    </w:p>
    <w:p w14:paraId="772E1D04" w14:textId="2CA1FAE0" w:rsidR="00A372CF" w:rsidRPr="00A372CF" w:rsidRDefault="00A372CF" w:rsidP="00A372CF">
      <w:pPr>
        <w:pStyle w:val="SingleTxt"/>
        <w:spacing w:after="0" w:line="120" w:lineRule="exact"/>
        <w:rPr>
          <w:sz w:val="10"/>
          <w:lang w:val="fr-FR"/>
        </w:rPr>
      </w:pPr>
    </w:p>
    <w:p w14:paraId="3F62C9CD" w14:textId="7BC81DEE" w:rsidR="00A372CF" w:rsidRDefault="00A372CF" w:rsidP="00A372CF">
      <w:pPr>
        <w:pStyle w:val="SingleTxt"/>
        <w:rPr>
          <w:lang w:val="fr-FR"/>
        </w:rPr>
      </w:pPr>
      <w:r>
        <w:rPr>
          <w:lang w:val="fr-FR"/>
        </w:rPr>
        <w:tab/>
        <w:t>Le Comité a adopté, à l</w:t>
      </w:r>
      <w:r w:rsidR="00265783">
        <w:rPr>
          <w:lang w:val="fr-FR"/>
        </w:rPr>
        <w:t>’</w:t>
      </w:r>
      <w:r>
        <w:rPr>
          <w:lang w:val="fr-FR"/>
        </w:rPr>
        <w:t xml:space="preserve">occasion de la Journée internationale des femmes, une déclaration sur les </w:t>
      </w:r>
      <w:r w:rsidRPr="00963891">
        <w:rPr>
          <w:lang w:val="fr-FR"/>
        </w:rPr>
        <w:t>aspects de la réduction des risques de catastrophe et des changements climatiques ayant trait à la problématique femmes</w:t>
      </w:r>
      <w:r>
        <w:rPr>
          <w:lang w:val="fr-FR"/>
        </w:rPr>
        <w:t>-</w:t>
      </w:r>
      <w:r w:rsidRPr="00963891">
        <w:rPr>
          <w:lang w:val="fr-FR"/>
        </w:rPr>
        <w:t>hommes</w:t>
      </w:r>
      <w:r w:rsidR="00AD061C">
        <w:rPr>
          <w:lang w:val="fr-FR"/>
        </w:rPr>
        <w:t xml:space="preserve"> </w:t>
      </w:r>
      <w:r>
        <w:rPr>
          <w:lang w:val="fr-FR"/>
        </w:rPr>
        <w:t>(</w:t>
      </w:r>
      <w:hyperlink r:id="rId103" w:history="1">
        <w:r w:rsidRPr="009A6F31">
          <w:rPr>
            <w:rStyle w:val="Hyperlink"/>
            <w:lang w:val="fr-FR"/>
          </w:rPr>
          <w:t>http://goo.gl/5AEcJT</w:t>
        </w:r>
      </w:hyperlink>
      <w:r>
        <w:rPr>
          <w:lang w:val="fr-FR"/>
        </w:rPr>
        <w:t>).</w:t>
      </w:r>
    </w:p>
    <w:p w14:paraId="1CA59101" w14:textId="63848764" w:rsidR="00A372CF" w:rsidRPr="00A372CF" w:rsidRDefault="00A372CF" w:rsidP="00A372CF">
      <w:pPr>
        <w:pStyle w:val="SingleTxt"/>
        <w:spacing w:after="0" w:line="120" w:lineRule="exact"/>
        <w:rPr>
          <w:sz w:val="10"/>
          <w:lang w:val="fr-FR"/>
        </w:rPr>
      </w:pPr>
    </w:p>
    <w:p w14:paraId="4BE4985C" w14:textId="3D4D0258" w:rsidR="00A372CF" w:rsidRDefault="00A372CF" w:rsidP="00A37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69/III</w:t>
      </w:r>
    </w:p>
    <w:p w14:paraId="4E5FCAED" w14:textId="796BD9CA" w:rsidR="00A372CF" w:rsidRPr="00A372CF" w:rsidRDefault="00A372CF" w:rsidP="00A372CF">
      <w:pPr>
        <w:pStyle w:val="SingleTxt"/>
        <w:spacing w:after="0" w:line="120" w:lineRule="exact"/>
        <w:rPr>
          <w:sz w:val="10"/>
          <w:lang w:val="fr-FR"/>
        </w:rPr>
      </w:pPr>
    </w:p>
    <w:p w14:paraId="1BB5E7ED" w14:textId="47312580" w:rsidR="00A372CF" w:rsidRDefault="00A372CF" w:rsidP="00A372CF">
      <w:pPr>
        <w:pStyle w:val="SingleTxt"/>
        <w:rPr>
          <w:lang w:val="fr-FR"/>
        </w:rPr>
      </w:pPr>
      <w:r>
        <w:rPr>
          <w:lang w:val="fr-FR"/>
        </w:rPr>
        <w:tab/>
        <w:t>À l</w:t>
      </w:r>
      <w:r w:rsidR="00265783">
        <w:rPr>
          <w:lang w:val="fr-FR"/>
        </w:rPr>
        <w:t>’</w:t>
      </w:r>
      <w:r>
        <w:rPr>
          <w:lang w:val="fr-FR"/>
        </w:rPr>
        <w:t>occasion de la Journée internationale des femmes, le Comité a adopté une déclaration intitulée « Lutter contre la violence sexuelle, exiger l</w:t>
      </w:r>
      <w:r w:rsidR="00265783">
        <w:rPr>
          <w:lang w:val="fr-FR"/>
        </w:rPr>
        <w:t>’</w:t>
      </w:r>
      <w:r>
        <w:rPr>
          <w:lang w:val="fr-FR"/>
        </w:rPr>
        <w:t>égalité », conjointement avec la Rapporteuse spéciale sur la violence contre les femmes, ses causes et ses conséquences et le Groupe de travail du Conseil des droits de l</w:t>
      </w:r>
      <w:r w:rsidR="00265783">
        <w:rPr>
          <w:lang w:val="fr-FR"/>
        </w:rPr>
        <w:t>’</w:t>
      </w:r>
      <w:r>
        <w:rPr>
          <w:lang w:val="fr-FR"/>
        </w:rPr>
        <w:t>homme chargé de la question de la discrimination à l</w:t>
      </w:r>
      <w:r w:rsidR="00265783">
        <w:rPr>
          <w:lang w:val="fr-FR"/>
        </w:rPr>
        <w:t>’</w:t>
      </w:r>
      <w:r>
        <w:rPr>
          <w:lang w:val="fr-FR"/>
        </w:rPr>
        <w:t>égard des femmes dans la législation et dans la pratique (</w:t>
      </w:r>
      <w:hyperlink r:id="rId104" w:history="1">
        <w:r w:rsidRPr="009A6F31">
          <w:rPr>
            <w:rStyle w:val="Hyperlink"/>
            <w:lang w:val="fr-FR"/>
          </w:rPr>
          <w:t>http://goo.gl/5AEcJT</w:t>
        </w:r>
      </w:hyperlink>
      <w:r>
        <w:rPr>
          <w:lang w:val="fr-FR"/>
        </w:rPr>
        <w:t>).</w:t>
      </w:r>
    </w:p>
    <w:p w14:paraId="76987A65" w14:textId="2527FD44" w:rsidR="00A372CF" w:rsidRPr="00A372CF" w:rsidRDefault="00A372CF" w:rsidP="00A372CF">
      <w:pPr>
        <w:pStyle w:val="SingleTxt"/>
        <w:spacing w:after="0" w:line="120" w:lineRule="exact"/>
        <w:rPr>
          <w:sz w:val="10"/>
          <w:lang w:val="fr-FR"/>
        </w:rPr>
      </w:pPr>
    </w:p>
    <w:p w14:paraId="2C8F3528" w14:textId="77777777" w:rsidR="00A372CF" w:rsidRPr="00491296" w:rsidRDefault="00A372CF" w:rsidP="00A37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69/IV</w:t>
      </w:r>
    </w:p>
    <w:p w14:paraId="42F1DF28" w14:textId="1F2A6A9C" w:rsidR="00A372CF" w:rsidRPr="00A372CF" w:rsidRDefault="00A372CF" w:rsidP="00A372CF">
      <w:pPr>
        <w:pStyle w:val="SingleTxt"/>
        <w:spacing w:after="0" w:line="120" w:lineRule="exact"/>
        <w:rPr>
          <w:sz w:val="10"/>
          <w:lang w:val="fr-FR"/>
        </w:rPr>
      </w:pPr>
    </w:p>
    <w:p w14:paraId="0CF71301" w14:textId="3DD9E098" w:rsidR="00A372CF" w:rsidRDefault="00A372CF" w:rsidP="00A372CF">
      <w:pPr>
        <w:pStyle w:val="SingleTxt"/>
        <w:rPr>
          <w:lang w:val="fr-FR"/>
        </w:rPr>
      </w:pPr>
      <w:r>
        <w:rPr>
          <w:lang w:val="fr-FR"/>
        </w:rPr>
        <w:tab/>
        <w:t>Le Comité a décidé d</w:t>
      </w:r>
      <w:r w:rsidR="00265783">
        <w:rPr>
          <w:lang w:val="fr-FR"/>
        </w:rPr>
        <w:t>’</w:t>
      </w:r>
      <w:r>
        <w:rPr>
          <w:lang w:val="fr-FR"/>
        </w:rPr>
        <w:t>entreprendre l</w:t>
      </w:r>
      <w:r w:rsidR="00265783">
        <w:rPr>
          <w:lang w:val="fr-FR"/>
        </w:rPr>
        <w:t>’</w:t>
      </w:r>
      <w:r>
        <w:rPr>
          <w:lang w:val="fr-FR"/>
        </w:rPr>
        <w:t>élaboration d</w:t>
      </w:r>
      <w:r w:rsidR="00265783">
        <w:rPr>
          <w:lang w:val="fr-FR"/>
        </w:rPr>
        <w:t>’</w:t>
      </w:r>
      <w:r>
        <w:rPr>
          <w:lang w:val="fr-FR"/>
        </w:rPr>
        <w:t>un projet de recommandation générale sur la traite des femmes et des filles dans le contexte des migrations et chargé Dalia Leinarte d</w:t>
      </w:r>
      <w:r w:rsidR="00265783">
        <w:rPr>
          <w:lang w:val="fr-FR"/>
        </w:rPr>
        <w:t>’</w:t>
      </w:r>
      <w:r>
        <w:rPr>
          <w:lang w:val="fr-FR"/>
        </w:rPr>
        <w:t>établir un document de réflexion. Il a également décidé d</w:t>
      </w:r>
      <w:r w:rsidR="00265783">
        <w:rPr>
          <w:lang w:val="fr-FR"/>
        </w:rPr>
        <w:t>’</w:t>
      </w:r>
      <w:r>
        <w:rPr>
          <w:lang w:val="fr-FR"/>
        </w:rPr>
        <w:t>élaborer des projets de recommandation générale sur les stéréotypes sexistes et sur les femmes autochtones lorsque le secrétariat aurait les moyens d</w:t>
      </w:r>
      <w:r w:rsidR="00265783">
        <w:rPr>
          <w:lang w:val="fr-FR"/>
        </w:rPr>
        <w:t>’</w:t>
      </w:r>
      <w:r>
        <w:rPr>
          <w:lang w:val="fr-FR"/>
        </w:rPr>
        <w:t>assurer les services nécessaires.</w:t>
      </w:r>
    </w:p>
    <w:p w14:paraId="18350174" w14:textId="3FE64D18" w:rsidR="00A372CF" w:rsidRPr="00A372CF" w:rsidRDefault="00A372CF" w:rsidP="00A372CF">
      <w:pPr>
        <w:pStyle w:val="SingleTxt"/>
        <w:spacing w:after="0" w:line="120" w:lineRule="exact"/>
        <w:rPr>
          <w:sz w:val="10"/>
          <w:lang w:val="fr-FR"/>
        </w:rPr>
      </w:pPr>
    </w:p>
    <w:p w14:paraId="7DA0CE2C" w14:textId="77777777" w:rsidR="00A372CF" w:rsidRPr="00491296" w:rsidRDefault="00A372CF" w:rsidP="00A37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69/V</w:t>
      </w:r>
    </w:p>
    <w:p w14:paraId="7A1A8127" w14:textId="237FB246" w:rsidR="00A372CF" w:rsidRPr="00A372CF" w:rsidRDefault="00A372CF" w:rsidP="00A372CF">
      <w:pPr>
        <w:pStyle w:val="SingleTxt"/>
        <w:spacing w:after="0" w:line="120" w:lineRule="exact"/>
        <w:rPr>
          <w:sz w:val="10"/>
          <w:lang w:val="fr-FR"/>
        </w:rPr>
      </w:pPr>
    </w:p>
    <w:p w14:paraId="1D1272C2" w14:textId="43788B06" w:rsidR="00A372CF" w:rsidRDefault="00A372CF" w:rsidP="00A372CF">
      <w:pPr>
        <w:pStyle w:val="SingleTxt"/>
        <w:rPr>
          <w:lang w:val="fr-FR"/>
        </w:rPr>
      </w:pPr>
      <w:r>
        <w:rPr>
          <w:lang w:val="fr-FR"/>
        </w:rPr>
        <w:tab/>
        <w:t>Ayant réexaminé sa décision 65/V par laquelle il avait suspendu la procédure simplifiée de présentation des rapports, le Comité a décidé de rétablir cette procédure. Il a également décidé de modifier ses décisions 58/II et 59/IV en offrant à tous les États parties qui en feraient la demande la possibilité de recourir à la procédure simplifiée de présentation des rapports, qu</w:t>
      </w:r>
      <w:r w:rsidR="00265783">
        <w:rPr>
          <w:lang w:val="fr-FR"/>
        </w:rPr>
        <w:t>’</w:t>
      </w:r>
      <w:r>
        <w:rPr>
          <w:lang w:val="fr-FR"/>
        </w:rPr>
        <w:t>ils soient ou non en retard dans la soumission de leur rapport périodique, à condition que l</w:t>
      </w:r>
      <w:r w:rsidR="00265783">
        <w:rPr>
          <w:lang w:val="fr-FR"/>
        </w:rPr>
        <w:t>’</w:t>
      </w:r>
      <w:r>
        <w:rPr>
          <w:lang w:val="fr-FR"/>
        </w:rPr>
        <w:t>État partie concerné</w:t>
      </w:r>
      <w:r w:rsidR="00265783">
        <w:rPr>
          <w:lang w:val="fr-FR"/>
        </w:rPr>
        <w:t xml:space="preserve"> : </w:t>
      </w:r>
      <w:r w:rsidR="0001434D">
        <w:rPr>
          <w:lang w:val="fr-FR"/>
        </w:rPr>
        <w:t>1</w:t>
      </w:r>
      <w:r>
        <w:rPr>
          <w:lang w:val="fr-FR"/>
        </w:rPr>
        <w:t>) ait déjà présenté un rapport initi</w:t>
      </w:r>
      <w:r w:rsidR="00B30172">
        <w:rPr>
          <w:lang w:val="fr-FR"/>
        </w:rPr>
        <w:t>al selon la procédure ordinaire</w:t>
      </w:r>
      <w:r w:rsidR="00D83EA9">
        <w:rPr>
          <w:lang w:val="fr-FR"/>
        </w:rPr>
        <w:t> ;</w:t>
      </w:r>
      <w:r>
        <w:rPr>
          <w:lang w:val="fr-FR"/>
        </w:rPr>
        <w:t xml:space="preserve"> 2) ait présenté un document de base commun mis à jour, conformément aux Directives harmonisées pour l</w:t>
      </w:r>
      <w:r w:rsidR="00265783">
        <w:rPr>
          <w:lang w:val="fr-FR"/>
        </w:rPr>
        <w:t>’</w:t>
      </w:r>
      <w:r>
        <w:rPr>
          <w:lang w:val="fr-FR"/>
        </w:rPr>
        <w:t>établissement de rapports au titre des organes créés en vertu d</w:t>
      </w:r>
      <w:r w:rsidR="00265783">
        <w:rPr>
          <w:lang w:val="fr-FR"/>
        </w:rPr>
        <w:t>’</w:t>
      </w:r>
      <w:r>
        <w:rPr>
          <w:lang w:val="fr-FR"/>
        </w:rPr>
        <w:t>instruments internationaux relatifs aux droits de l</w:t>
      </w:r>
      <w:r w:rsidR="00265783">
        <w:rPr>
          <w:lang w:val="fr-FR"/>
        </w:rPr>
        <w:t>’</w:t>
      </w:r>
      <w:r>
        <w:rPr>
          <w:lang w:val="fr-FR"/>
        </w:rPr>
        <w:t>homme,</w:t>
      </w:r>
      <w:r w:rsidRPr="004D3D94">
        <w:rPr>
          <w:lang w:val="fr-FR"/>
        </w:rPr>
        <w:t xml:space="preserve"> </w:t>
      </w:r>
      <w:r w:rsidRPr="00491296">
        <w:rPr>
          <w:rStyle w:val="preferred"/>
          <w:lang w:val="fr-FR"/>
        </w:rPr>
        <w:t xml:space="preserve">englobant le </w:t>
      </w:r>
      <w:r w:rsidRPr="00B71F06">
        <w:rPr>
          <w:rStyle w:val="Emphasis"/>
          <w:i w:val="0"/>
          <w:iCs w:val="0"/>
          <w:lang w:val="fr-FR"/>
        </w:rPr>
        <w:t>document</w:t>
      </w:r>
      <w:r w:rsidR="00B71F06">
        <w:rPr>
          <w:rStyle w:val="Emphasis"/>
          <w:i w:val="0"/>
          <w:iCs w:val="0"/>
          <w:lang w:val="fr-FR"/>
        </w:rPr>
        <w:t xml:space="preserve"> </w:t>
      </w:r>
      <w:r w:rsidRPr="00491296">
        <w:rPr>
          <w:rStyle w:val="preferred"/>
          <w:lang w:val="fr-FR"/>
        </w:rPr>
        <w:t>de base commun et les rapports pour chaque instrument</w:t>
      </w:r>
      <w:r>
        <w:rPr>
          <w:lang w:val="fr-FR"/>
        </w:rPr>
        <w:t xml:space="preserve"> (</w:t>
      </w:r>
      <w:hyperlink r:id="rId105" w:history="1">
        <w:r w:rsidRPr="008E2674">
          <w:rPr>
            <w:rStyle w:val="Hyperlink"/>
            <w:lang w:val="fr-FR"/>
          </w:rPr>
          <w:t>HRI/GEN/2/Rev.6</w:t>
        </w:r>
      </w:hyperlink>
      <w:r>
        <w:rPr>
          <w:lang w:val="fr-FR"/>
        </w:rPr>
        <w:t>, chap. I), au cours des cinq années précédentes, délai que le Comité entendait examiner plus avant. Le Comité a décidé de garder à l</w:t>
      </w:r>
      <w:r w:rsidR="00265783">
        <w:rPr>
          <w:lang w:val="fr-FR"/>
        </w:rPr>
        <w:t>’</w:t>
      </w:r>
      <w:r>
        <w:rPr>
          <w:lang w:val="fr-FR"/>
        </w:rPr>
        <w:t>examen les modalités concrètes de l</w:t>
      </w:r>
      <w:r w:rsidR="00265783">
        <w:rPr>
          <w:lang w:val="fr-FR"/>
        </w:rPr>
        <w:t>’</w:t>
      </w:r>
      <w:r>
        <w:rPr>
          <w:lang w:val="fr-FR"/>
        </w:rPr>
        <w:t>application de la procédure simplifiée de présentation des rapports afin d</w:t>
      </w:r>
      <w:r w:rsidR="00265783">
        <w:rPr>
          <w:lang w:val="fr-FR"/>
        </w:rPr>
        <w:t>’</w:t>
      </w:r>
      <w:r>
        <w:rPr>
          <w:lang w:val="fr-FR"/>
        </w:rPr>
        <w:t>en garantir l</w:t>
      </w:r>
      <w:r w:rsidR="00265783">
        <w:rPr>
          <w:lang w:val="fr-FR"/>
        </w:rPr>
        <w:t>’</w:t>
      </w:r>
      <w:r>
        <w:rPr>
          <w:lang w:val="fr-FR"/>
        </w:rPr>
        <w:t xml:space="preserve">utilité pour toutes les parties prenantes. Il a également décidé que la présente décision serait communiquée à tous les États parties. </w:t>
      </w:r>
    </w:p>
    <w:p w14:paraId="13814D55" w14:textId="3FC3D287" w:rsidR="00A372CF" w:rsidRPr="00A372CF" w:rsidRDefault="00A372CF" w:rsidP="00A372CF">
      <w:pPr>
        <w:pStyle w:val="SingleTxt"/>
        <w:spacing w:after="0" w:line="120" w:lineRule="exact"/>
        <w:rPr>
          <w:sz w:val="10"/>
          <w:lang w:val="fr-FR"/>
        </w:rPr>
      </w:pPr>
    </w:p>
    <w:p w14:paraId="67C95138" w14:textId="77777777" w:rsidR="00A372CF" w:rsidRPr="00491296" w:rsidRDefault="00A372CF" w:rsidP="00A37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69/VI</w:t>
      </w:r>
    </w:p>
    <w:p w14:paraId="013751CC" w14:textId="1C0E5137" w:rsidR="00A372CF" w:rsidRPr="00A372CF" w:rsidRDefault="00A372CF" w:rsidP="00A372CF">
      <w:pPr>
        <w:pStyle w:val="SingleTxt"/>
        <w:spacing w:after="0" w:line="120" w:lineRule="exact"/>
        <w:rPr>
          <w:sz w:val="10"/>
          <w:lang w:val="fr-FR"/>
        </w:rPr>
      </w:pPr>
    </w:p>
    <w:p w14:paraId="313DBBE5" w14:textId="57498A14" w:rsidR="00A372CF" w:rsidRDefault="00A372CF" w:rsidP="00A372CF">
      <w:pPr>
        <w:pStyle w:val="SingleTxt"/>
        <w:rPr>
          <w:lang w:val="fr-FR"/>
        </w:rPr>
      </w:pPr>
      <w:r>
        <w:rPr>
          <w:lang w:val="fr-FR"/>
        </w:rPr>
        <w:tab/>
        <w:t>Le Comité a décidé de limiter à deux au maximum le nombre d</w:t>
      </w:r>
      <w:r w:rsidR="00265783">
        <w:rPr>
          <w:lang w:val="fr-FR"/>
        </w:rPr>
        <w:t>’</w:t>
      </w:r>
      <w:r>
        <w:rPr>
          <w:lang w:val="fr-FR"/>
        </w:rPr>
        <w:t>invitations aux réunions de suivi adressées à un État partie, qui n</w:t>
      </w:r>
      <w:r w:rsidR="00265783">
        <w:rPr>
          <w:lang w:val="fr-FR"/>
        </w:rPr>
        <w:t>’</w:t>
      </w:r>
      <w:r>
        <w:rPr>
          <w:lang w:val="fr-FR"/>
        </w:rPr>
        <w:t xml:space="preserve">avait toujours pas soumis son </w:t>
      </w:r>
      <w:r>
        <w:rPr>
          <w:lang w:val="fr-FR"/>
        </w:rPr>
        <w:lastRenderedPageBreak/>
        <w:t>rapport de suivi malgré deux rappels. Il a également décidé que la non-présentation par l</w:t>
      </w:r>
      <w:r w:rsidR="00265783">
        <w:rPr>
          <w:lang w:val="fr-FR"/>
        </w:rPr>
        <w:t>’</w:t>
      </w:r>
      <w:r>
        <w:rPr>
          <w:lang w:val="fr-FR"/>
        </w:rPr>
        <w:t>État partie concerné d</w:t>
      </w:r>
      <w:r w:rsidR="00265783">
        <w:rPr>
          <w:lang w:val="fr-FR"/>
        </w:rPr>
        <w:t>’</w:t>
      </w:r>
      <w:r>
        <w:rPr>
          <w:lang w:val="fr-FR"/>
        </w:rPr>
        <w:t>un rapport de suivi après deux invitations constituerait un refus de collaborer à la procédure de suivi, qu</w:t>
      </w:r>
      <w:r w:rsidR="00265783">
        <w:rPr>
          <w:lang w:val="fr-FR"/>
        </w:rPr>
        <w:t>’</w:t>
      </w:r>
      <w:r>
        <w:rPr>
          <w:lang w:val="fr-FR"/>
        </w:rPr>
        <w:t>il y ait une réunion de suivi ou non.</w:t>
      </w:r>
    </w:p>
    <w:p w14:paraId="6FE8A531" w14:textId="32F7EC0E" w:rsidR="00A372CF" w:rsidRPr="00A372CF" w:rsidRDefault="00A372CF" w:rsidP="00A372CF">
      <w:pPr>
        <w:pStyle w:val="SingleTxt"/>
        <w:spacing w:after="0" w:line="120" w:lineRule="exact"/>
        <w:rPr>
          <w:sz w:val="10"/>
          <w:lang w:val="fr-FR"/>
        </w:rPr>
      </w:pPr>
    </w:p>
    <w:p w14:paraId="285DFEE8" w14:textId="77777777" w:rsidR="00A372CF" w:rsidRPr="00491296" w:rsidRDefault="00A372CF" w:rsidP="00A37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69/VII</w:t>
      </w:r>
    </w:p>
    <w:p w14:paraId="5F37D097" w14:textId="05F8DF51" w:rsidR="00A372CF" w:rsidRPr="00A372CF" w:rsidRDefault="00A372CF" w:rsidP="00A372CF">
      <w:pPr>
        <w:pStyle w:val="SingleTxt"/>
        <w:spacing w:after="0" w:line="120" w:lineRule="exact"/>
        <w:rPr>
          <w:sz w:val="10"/>
          <w:lang w:val="fr-FR"/>
        </w:rPr>
      </w:pPr>
    </w:p>
    <w:p w14:paraId="3908E565" w14:textId="027A31C3" w:rsidR="00A372CF" w:rsidRPr="00491296" w:rsidRDefault="0001434D" w:rsidP="00A372CF">
      <w:pPr>
        <w:pStyle w:val="SingleTxt"/>
        <w:rPr>
          <w:lang w:val="fr-FR"/>
        </w:rPr>
      </w:pPr>
      <w:r>
        <w:rPr>
          <w:lang w:val="fr-FR"/>
        </w:rPr>
        <w:tab/>
      </w:r>
      <w:r w:rsidR="00A372CF">
        <w:rPr>
          <w:lang w:val="fr-FR"/>
        </w:rPr>
        <w:t>Le Comité a décidé de modifier sa décision 54/IX en ajoutant, pour l</w:t>
      </w:r>
      <w:r w:rsidR="00265783">
        <w:rPr>
          <w:lang w:val="fr-FR"/>
        </w:rPr>
        <w:t>’</w:t>
      </w:r>
      <w:r w:rsidR="00A372CF">
        <w:rPr>
          <w:lang w:val="fr-FR"/>
        </w:rPr>
        <w:t>évaluation de la qualité des informations de suivi reçues des États parties, les expressions suivantes dans les m</w:t>
      </w:r>
      <w:r w:rsidR="00A372CF" w:rsidRPr="007A78B4">
        <w:rPr>
          <w:lang w:val="fr-FR"/>
        </w:rPr>
        <w:t>éthodes propre</w:t>
      </w:r>
      <w:r w:rsidR="00A372CF">
        <w:rPr>
          <w:lang w:val="fr-FR"/>
        </w:rPr>
        <w:t xml:space="preserve">s à la procédure à suivre pour </w:t>
      </w:r>
      <w:r w:rsidR="00A372CF" w:rsidRPr="007A78B4">
        <w:rPr>
          <w:lang w:val="fr-FR"/>
        </w:rPr>
        <w:t>l</w:t>
      </w:r>
      <w:r w:rsidR="00265783">
        <w:rPr>
          <w:lang w:val="fr-FR"/>
        </w:rPr>
        <w:t>’</w:t>
      </w:r>
      <w:r w:rsidR="00A372CF" w:rsidRPr="007A78B4">
        <w:rPr>
          <w:lang w:val="fr-FR"/>
        </w:rPr>
        <w:t xml:space="preserve">examen de la suite donnée aux observations finales </w:t>
      </w:r>
      <w:r w:rsidR="00A372CF">
        <w:rPr>
          <w:lang w:val="fr-FR"/>
        </w:rPr>
        <w:t>(</w:t>
      </w:r>
      <w:hyperlink r:id="rId106" w:history="1">
        <w:r w:rsidR="00A372CF" w:rsidRPr="008E2674">
          <w:rPr>
            <w:rStyle w:val="Hyperlink"/>
            <w:lang w:val="fr-FR"/>
          </w:rPr>
          <w:t>A/68/38</w:t>
        </w:r>
      </w:hyperlink>
      <w:r w:rsidR="00A372CF">
        <w:rPr>
          <w:lang w:val="fr-FR"/>
        </w:rPr>
        <w:t>, troisième partie, annexe III) et dans une nouvelle section, intitulée «</w:t>
      </w:r>
      <w:r w:rsidR="004A0E90">
        <w:rPr>
          <w:lang w:val="fr-FR"/>
        </w:rPr>
        <w:t> </w:t>
      </w:r>
      <w:r w:rsidR="00A372CF">
        <w:rPr>
          <w:lang w:val="fr-FR"/>
        </w:rPr>
        <w:t>Expressions utilisées pour déterminer la qualité des informations reçues des États parties », de la note d</w:t>
      </w:r>
      <w:r w:rsidR="00265783">
        <w:rPr>
          <w:lang w:val="fr-FR"/>
        </w:rPr>
        <w:t>’</w:t>
      </w:r>
      <w:r w:rsidR="00A372CF">
        <w:rPr>
          <w:lang w:val="fr-FR"/>
        </w:rPr>
        <w:t>information sur la présentation de rapports dans le cadre de la procédure de suivi destinée aux États parties et autres parties prenantes (ibid., appendice) :</w:t>
      </w:r>
    </w:p>
    <w:p w14:paraId="255528BD" w14:textId="0EC09F4C" w:rsidR="00A372CF" w:rsidRPr="00491296" w:rsidRDefault="00A372CF" w:rsidP="00A372CF">
      <w:pPr>
        <w:pStyle w:val="SingleTxt"/>
        <w:tabs>
          <w:tab w:val="right" w:pos="1685"/>
        </w:tabs>
        <w:ind w:left="1742" w:hanging="475"/>
        <w:rPr>
          <w:lang w:val="fr-FR"/>
        </w:rPr>
      </w:pPr>
      <w:r>
        <w:rPr>
          <w:lang w:val="fr-FR"/>
        </w:rPr>
        <w:tab/>
      </w:r>
      <w:r w:rsidRPr="00C8495B">
        <w:rPr>
          <w:lang w:val="fr-FR"/>
        </w:rPr>
        <w:t>•</w:t>
      </w:r>
      <w:r>
        <w:rPr>
          <w:lang w:val="fr-FR"/>
        </w:rPr>
        <w:tab/>
        <w:t xml:space="preserve"> « Satisfaisantes » signifie que les informations reçues de l</w:t>
      </w:r>
      <w:r w:rsidR="00265783">
        <w:rPr>
          <w:lang w:val="fr-FR"/>
        </w:rPr>
        <w:t>’</w:t>
      </w:r>
      <w:r>
        <w:rPr>
          <w:lang w:val="fr-FR"/>
        </w:rPr>
        <w:t xml:space="preserve">État partie sont étoffées et exhaustives et se rapportent </w:t>
      </w:r>
      <w:r w:rsidR="00B30172">
        <w:rPr>
          <w:lang w:val="fr-FR"/>
        </w:rPr>
        <w:t>directement aux recommandations</w:t>
      </w:r>
      <w:r w:rsidR="00D83EA9">
        <w:rPr>
          <w:lang w:val="fr-FR"/>
        </w:rPr>
        <w:t> ;</w:t>
      </w:r>
    </w:p>
    <w:p w14:paraId="4F08945B" w14:textId="2FF046EE" w:rsidR="00A372CF" w:rsidRPr="00491296" w:rsidRDefault="00A372CF" w:rsidP="00A372CF">
      <w:pPr>
        <w:pStyle w:val="SingleTxt"/>
        <w:tabs>
          <w:tab w:val="right" w:pos="1685"/>
        </w:tabs>
        <w:ind w:left="1742" w:hanging="475"/>
        <w:rPr>
          <w:lang w:val="fr-FR"/>
        </w:rPr>
      </w:pPr>
      <w:r>
        <w:rPr>
          <w:lang w:val="fr-FR"/>
        </w:rPr>
        <w:tab/>
      </w:r>
      <w:r w:rsidRPr="00C8495B">
        <w:rPr>
          <w:lang w:val="fr-FR"/>
        </w:rPr>
        <w:t>•</w:t>
      </w:r>
      <w:r>
        <w:rPr>
          <w:lang w:val="fr-FR"/>
        </w:rPr>
        <w:tab/>
        <w:t>« Partiellement satisfaisantes » signifie que les informations reçues de l</w:t>
      </w:r>
      <w:r w:rsidR="00265783">
        <w:rPr>
          <w:lang w:val="fr-FR"/>
        </w:rPr>
        <w:t>’</w:t>
      </w:r>
      <w:r>
        <w:rPr>
          <w:lang w:val="fr-FR"/>
        </w:rPr>
        <w:t>État partie sont étoffées et exhaustives mais ne tiennent pas entière</w:t>
      </w:r>
      <w:r w:rsidR="00B30172">
        <w:rPr>
          <w:lang w:val="fr-FR"/>
        </w:rPr>
        <w:t>ment compte des recommandations</w:t>
      </w:r>
      <w:r w:rsidR="00D83EA9">
        <w:rPr>
          <w:lang w:val="fr-FR"/>
        </w:rPr>
        <w:t> ;</w:t>
      </w:r>
    </w:p>
    <w:p w14:paraId="17303BA8" w14:textId="34F20904" w:rsidR="00A372CF" w:rsidRPr="00491296" w:rsidRDefault="00A372CF" w:rsidP="00A372CF">
      <w:pPr>
        <w:pStyle w:val="SingleTxt"/>
        <w:tabs>
          <w:tab w:val="right" w:pos="1685"/>
        </w:tabs>
        <w:ind w:left="1742" w:hanging="475"/>
        <w:rPr>
          <w:lang w:val="fr-FR"/>
        </w:rPr>
      </w:pPr>
      <w:r>
        <w:rPr>
          <w:lang w:val="fr-FR"/>
        </w:rPr>
        <w:tab/>
      </w:r>
      <w:r w:rsidRPr="00C8495B">
        <w:rPr>
          <w:lang w:val="fr-FR"/>
        </w:rPr>
        <w:t>•</w:t>
      </w:r>
      <w:r>
        <w:rPr>
          <w:lang w:val="fr-FR"/>
        </w:rPr>
        <w:tab/>
        <w:t>« Insatisfaisantes » signifie que les informations reçues de l</w:t>
      </w:r>
      <w:r w:rsidR="00265783">
        <w:rPr>
          <w:lang w:val="fr-FR"/>
        </w:rPr>
        <w:t>’</w:t>
      </w:r>
      <w:r>
        <w:rPr>
          <w:lang w:val="fr-FR"/>
        </w:rPr>
        <w:t>État partie sont vagues et incomplètes et ne tiennent pas c</w:t>
      </w:r>
      <w:r w:rsidR="00B30172">
        <w:rPr>
          <w:lang w:val="fr-FR"/>
        </w:rPr>
        <w:t>ompte des recommandations</w:t>
      </w:r>
      <w:r w:rsidR="00D83EA9">
        <w:rPr>
          <w:lang w:val="fr-FR"/>
        </w:rPr>
        <w:t> ;</w:t>
      </w:r>
    </w:p>
    <w:p w14:paraId="306D5248" w14:textId="57E0CD4C" w:rsidR="00A372CF" w:rsidRDefault="00A372CF" w:rsidP="00A372CF">
      <w:pPr>
        <w:pStyle w:val="SingleTxt"/>
        <w:tabs>
          <w:tab w:val="right" w:pos="1685"/>
        </w:tabs>
        <w:ind w:left="1742" w:hanging="475"/>
        <w:rPr>
          <w:lang w:val="fr-FR"/>
        </w:rPr>
      </w:pPr>
      <w:r>
        <w:rPr>
          <w:lang w:val="fr-FR"/>
        </w:rPr>
        <w:tab/>
      </w:r>
      <w:r w:rsidRPr="00C8495B">
        <w:rPr>
          <w:lang w:val="fr-FR"/>
        </w:rPr>
        <w:t>•</w:t>
      </w:r>
      <w:r>
        <w:rPr>
          <w:lang w:val="fr-FR"/>
        </w:rPr>
        <w:tab/>
        <w:t>« Pas de réponse » indique que l</w:t>
      </w:r>
      <w:r w:rsidR="00265783">
        <w:rPr>
          <w:lang w:val="fr-FR"/>
        </w:rPr>
        <w:t>’</w:t>
      </w:r>
      <w:r>
        <w:rPr>
          <w:lang w:val="fr-FR"/>
        </w:rPr>
        <w:t>État partie n</w:t>
      </w:r>
      <w:r w:rsidR="00265783">
        <w:rPr>
          <w:lang w:val="fr-FR"/>
        </w:rPr>
        <w:t>’</w:t>
      </w:r>
      <w:r>
        <w:rPr>
          <w:lang w:val="fr-FR"/>
        </w:rPr>
        <w:t>a pas abordé le problème ou les recommandations dans sa réponse.</w:t>
      </w:r>
    </w:p>
    <w:p w14:paraId="6CFA5B1C" w14:textId="13E687F9" w:rsidR="00A372CF" w:rsidRDefault="00B71F06" w:rsidP="00A372CF">
      <w:pPr>
        <w:pStyle w:val="SingleTxt"/>
        <w:rPr>
          <w:lang w:val="fr-FR"/>
        </w:rPr>
      </w:pPr>
      <w:r>
        <w:rPr>
          <w:lang w:val="fr-FR"/>
        </w:rPr>
        <w:tab/>
      </w:r>
      <w:r w:rsidR="00A372CF" w:rsidRPr="00491296">
        <w:rPr>
          <w:lang w:val="fr-FR"/>
        </w:rPr>
        <w:t>Le titre de la partie III de la note d</w:t>
      </w:r>
      <w:r w:rsidR="00265783">
        <w:rPr>
          <w:lang w:val="fr-FR"/>
        </w:rPr>
        <w:t>’</w:t>
      </w:r>
      <w:r w:rsidR="00A372CF" w:rsidRPr="00491296">
        <w:rPr>
          <w:lang w:val="fr-FR"/>
        </w:rPr>
        <w:t xml:space="preserve">information a été modifié comme suit </w:t>
      </w:r>
      <w:r w:rsidR="00A372CF" w:rsidRPr="006B790F">
        <w:rPr>
          <w:lang w:val="fr-FR"/>
        </w:rPr>
        <w:t>« Expressions utilisées pour d</w:t>
      </w:r>
      <w:r w:rsidR="00A372CF">
        <w:rPr>
          <w:lang w:val="fr-FR"/>
        </w:rPr>
        <w:t>é</w:t>
      </w:r>
      <w:r w:rsidR="00A372CF" w:rsidRPr="00491296">
        <w:rPr>
          <w:lang w:val="fr-FR"/>
        </w:rPr>
        <w:t xml:space="preserve">terminer le degré </w:t>
      </w:r>
      <w:r w:rsidR="00A372CF">
        <w:rPr>
          <w:lang w:val="fr-FR"/>
        </w:rPr>
        <w:t>d</w:t>
      </w:r>
      <w:r w:rsidR="00265783">
        <w:rPr>
          <w:lang w:val="fr-FR"/>
        </w:rPr>
        <w:t>’</w:t>
      </w:r>
      <w:r w:rsidR="00A372CF">
        <w:rPr>
          <w:lang w:val="fr-FR"/>
        </w:rPr>
        <w:t>application</w:t>
      </w:r>
      <w:r w:rsidR="00A372CF" w:rsidRPr="00491296">
        <w:rPr>
          <w:lang w:val="fr-FR"/>
        </w:rPr>
        <w:t xml:space="preserve"> des recommandations », la nouvelle partie susmentionnée est devenue la partie IV et les parties suivantes ont été renumérotées en conséquence. </w:t>
      </w:r>
    </w:p>
    <w:p w14:paraId="25B23E95" w14:textId="52DC9D30" w:rsidR="00A372CF" w:rsidRPr="00A372CF" w:rsidRDefault="00A372CF" w:rsidP="00A372CF">
      <w:pPr>
        <w:pStyle w:val="SingleTxt"/>
        <w:spacing w:after="0" w:line="120" w:lineRule="exact"/>
        <w:rPr>
          <w:sz w:val="10"/>
          <w:lang w:val="fr-FR"/>
        </w:rPr>
      </w:pPr>
    </w:p>
    <w:p w14:paraId="5B8641E6" w14:textId="77777777" w:rsidR="00A372CF" w:rsidRPr="00491296" w:rsidRDefault="00A372CF" w:rsidP="00A37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69/VIII</w:t>
      </w:r>
    </w:p>
    <w:p w14:paraId="73DBB6B7" w14:textId="33353C85" w:rsidR="00A372CF" w:rsidRPr="00A372CF" w:rsidRDefault="00A372CF" w:rsidP="00A372CF">
      <w:pPr>
        <w:pStyle w:val="SingleTxt"/>
        <w:spacing w:after="0" w:line="120" w:lineRule="exact"/>
        <w:rPr>
          <w:sz w:val="10"/>
          <w:lang w:val="fr-FR"/>
        </w:rPr>
      </w:pPr>
    </w:p>
    <w:p w14:paraId="489AF0CB" w14:textId="528CFAB8" w:rsidR="00A372CF" w:rsidRDefault="00A372CF" w:rsidP="00A372CF">
      <w:pPr>
        <w:pStyle w:val="SingleTxt"/>
        <w:rPr>
          <w:lang w:val="fr-FR"/>
        </w:rPr>
      </w:pPr>
      <w:r>
        <w:rPr>
          <w:lang w:val="fr-FR"/>
        </w:rPr>
        <w:tab/>
        <w:t>Le Comité a élu Louiza Chalal à la vice-présidence, en remplacement de feu Theodora Oby Nwankwo, conformément à l</w:t>
      </w:r>
      <w:r w:rsidR="00265783">
        <w:rPr>
          <w:lang w:val="fr-FR"/>
        </w:rPr>
        <w:t>’</w:t>
      </w:r>
      <w:r>
        <w:rPr>
          <w:lang w:val="fr-FR"/>
        </w:rPr>
        <w:t>article 20 de son règlement intérieur.</w:t>
      </w:r>
    </w:p>
    <w:p w14:paraId="2C661884" w14:textId="155659D6" w:rsidR="00A372CF" w:rsidRPr="00A372CF" w:rsidRDefault="00A372CF" w:rsidP="00A372CF">
      <w:pPr>
        <w:pStyle w:val="SingleTxt"/>
        <w:spacing w:after="0" w:line="120" w:lineRule="exact"/>
        <w:rPr>
          <w:sz w:val="10"/>
          <w:lang w:val="fr-FR"/>
        </w:rPr>
      </w:pPr>
    </w:p>
    <w:p w14:paraId="7B146639" w14:textId="77777777" w:rsidR="00A372CF" w:rsidRPr="00491296" w:rsidRDefault="00A372CF" w:rsidP="00A37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69/IX</w:t>
      </w:r>
    </w:p>
    <w:p w14:paraId="6532A296" w14:textId="54FA52DB" w:rsidR="00A372CF" w:rsidRPr="00A372CF" w:rsidRDefault="00A372CF" w:rsidP="00A372CF">
      <w:pPr>
        <w:pStyle w:val="SingleTxt"/>
        <w:spacing w:after="0" w:line="120" w:lineRule="exact"/>
        <w:rPr>
          <w:sz w:val="10"/>
          <w:lang w:val="fr-FR"/>
        </w:rPr>
      </w:pPr>
    </w:p>
    <w:p w14:paraId="58A287AD" w14:textId="30522667" w:rsidR="00A372CF" w:rsidRDefault="00A372CF" w:rsidP="00A372CF">
      <w:pPr>
        <w:pStyle w:val="SingleTxt"/>
        <w:rPr>
          <w:lang w:val="fr-FR"/>
        </w:rPr>
      </w:pPr>
      <w:r>
        <w:rPr>
          <w:lang w:val="fr-FR"/>
        </w:rPr>
        <w:tab/>
        <w:t xml:space="preserve">Le Comité a élu Aruna Devi Naraim membre du </w:t>
      </w:r>
      <w:r w:rsidRPr="00970588">
        <w:rPr>
          <w:lang w:val="fr-FR"/>
        </w:rPr>
        <w:t>Groupe de travail des communications soumises en vertu du Protocole facultatif se rapportant à la Convention</w:t>
      </w:r>
      <w:r>
        <w:rPr>
          <w:lang w:val="fr-FR"/>
        </w:rPr>
        <w:t>, en remplacement de feu Theodora Oby Nwankwo.</w:t>
      </w:r>
    </w:p>
    <w:p w14:paraId="5A98050C" w14:textId="626F1FB0" w:rsidR="00A372CF" w:rsidRPr="00A372CF" w:rsidRDefault="00A372CF" w:rsidP="00A372CF">
      <w:pPr>
        <w:pStyle w:val="SingleTxt"/>
        <w:spacing w:after="0" w:line="120" w:lineRule="exact"/>
        <w:rPr>
          <w:sz w:val="10"/>
          <w:lang w:val="fr-FR"/>
        </w:rPr>
      </w:pPr>
    </w:p>
    <w:p w14:paraId="6E3BD222" w14:textId="77777777" w:rsidR="00A372CF" w:rsidRPr="00491296" w:rsidRDefault="00A372CF" w:rsidP="00A37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69/X</w:t>
      </w:r>
    </w:p>
    <w:p w14:paraId="2EBFA67C" w14:textId="3D4A1363" w:rsidR="00A372CF" w:rsidRPr="00A372CF" w:rsidRDefault="00A372CF" w:rsidP="00A372CF">
      <w:pPr>
        <w:pStyle w:val="SingleTxt"/>
        <w:spacing w:after="0" w:line="120" w:lineRule="exact"/>
        <w:rPr>
          <w:sz w:val="10"/>
          <w:lang w:val="fr-FR"/>
        </w:rPr>
      </w:pPr>
    </w:p>
    <w:p w14:paraId="07F95DD6" w14:textId="642EF099" w:rsidR="00A372CF" w:rsidRDefault="00A372CF" w:rsidP="00A372CF">
      <w:pPr>
        <w:pStyle w:val="SingleTxt"/>
        <w:rPr>
          <w:lang w:val="fr-FR"/>
        </w:rPr>
      </w:pPr>
      <w:r>
        <w:rPr>
          <w:lang w:val="fr-FR"/>
        </w:rPr>
        <w:tab/>
        <w:t>Le Comité a décidé de transformer le système des coordonnateurs pour les questions d</w:t>
      </w:r>
      <w:r w:rsidR="00265783">
        <w:rPr>
          <w:lang w:val="fr-FR"/>
        </w:rPr>
        <w:t>’</w:t>
      </w:r>
      <w:r>
        <w:rPr>
          <w:lang w:val="fr-FR"/>
        </w:rPr>
        <w:t>égalité des sexes, le VIH/sida et les droits en matière de sexualité et de procréation en un groupe de travail à composition non limitée sur la santé et les droits en matière de sexualité et de procréation, présidé par Louiza Chalal.</w:t>
      </w:r>
    </w:p>
    <w:p w14:paraId="664C1DA3" w14:textId="3A90B0CA" w:rsidR="00A372CF" w:rsidRPr="00A372CF" w:rsidRDefault="00A372CF" w:rsidP="00A372CF">
      <w:pPr>
        <w:pStyle w:val="SingleTxt"/>
        <w:spacing w:after="0" w:line="120" w:lineRule="exact"/>
        <w:rPr>
          <w:sz w:val="10"/>
          <w:lang w:val="fr-FR"/>
        </w:rPr>
      </w:pPr>
    </w:p>
    <w:p w14:paraId="04919B69" w14:textId="77777777" w:rsidR="00A372CF" w:rsidRPr="00491296" w:rsidRDefault="00A372CF" w:rsidP="00A37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69/XI</w:t>
      </w:r>
    </w:p>
    <w:p w14:paraId="58163629" w14:textId="4CB33B7F" w:rsidR="00A372CF" w:rsidRPr="00A372CF" w:rsidRDefault="00A372CF" w:rsidP="00A372CF">
      <w:pPr>
        <w:pStyle w:val="SingleTxt"/>
        <w:spacing w:after="0" w:line="120" w:lineRule="exact"/>
        <w:rPr>
          <w:sz w:val="10"/>
          <w:lang w:val="fr-FR"/>
        </w:rPr>
      </w:pPr>
    </w:p>
    <w:p w14:paraId="6103B541" w14:textId="2E7F0395" w:rsidR="00A372CF" w:rsidRDefault="00A372CF" w:rsidP="00A372CF">
      <w:pPr>
        <w:pStyle w:val="SingleTxt"/>
        <w:rPr>
          <w:lang w:val="fr-FR"/>
        </w:rPr>
      </w:pPr>
      <w:r>
        <w:rPr>
          <w:lang w:val="fr-FR"/>
        </w:rPr>
        <w:tab/>
        <w:t>Le Comité a décidé de créer un groupe de travail sur la coopération avec les institutions nationales de défense des droits de l</w:t>
      </w:r>
      <w:r w:rsidR="00265783">
        <w:rPr>
          <w:lang w:val="fr-FR"/>
        </w:rPr>
        <w:t>’</w:t>
      </w:r>
      <w:r>
        <w:rPr>
          <w:lang w:val="fr-FR"/>
        </w:rPr>
        <w:t>homme, présidé par Nahla Haidar, afin d</w:t>
      </w:r>
      <w:r w:rsidR="00265783">
        <w:rPr>
          <w:lang w:val="fr-FR"/>
        </w:rPr>
        <w:t>’</w:t>
      </w:r>
      <w:r>
        <w:rPr>
          <w:lang w:val="fr-FR"/>
        </w:rPr>
        <w:t>améliorer de manière plus méthodique ses échanges avec les institutions nationales de défense des droits de l</w:t>
      </w:r>
      <w:r w:rsidR="00265783">
        <w:rPr>
          <w:lang w:val="fr-FR"/>
        </w:rPr>
        <w:t>’</w:t>
      </w:r>
      <w:r>
        <w:rPr>
          <w:lang w:val="fr-FR"/>
        </w:rPr>
        <w:t>homme.</w:t>
      </w:r>
    </w:p>
    <w:p w14:paraId="52CC9049" w14:textId="02169310" w:rsidR="00A372CF" w:rsidRPr="00A372CF" w:rsidRDefault="00A372CF" w:rsidP="00A372CF">
      <w:pPr>
        <w:pStyle w:val="SingleTxt"/>
        <w:spacing w:after="0" w:line="120" w:lineRule="exact"/>
        <w:rPr>
          <w:sz w:val="10"/>
          <w:lang w:val="fr-FR"/>
        </w:rPr>
      </w:pPr>
    </w:p>
    <w:p w14:paraId="664D5B99" w14:textId="24FD6DC6" w:rsidR="00A372CF" w:rsidRDefault="00A372CF" w:rsidP="00A37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t>Décision 69/XII</w:t>
      </w:r>
    </w:p>
    <w:p w14:paraId="29691E3F" w14:textId="3A7A9D53" w:rsidR="00A372CF" w:rsidRPr="00A372CF" w:rsidRDefault="00A372CF" w:rsidP="00B30172">
      <w:pPr>
        <w:pStyle w:val="SingleTxt"/>
        <w:keepNext/>
        <w:spacing w:after="0" w:line="120" w:lineRule="exact"/>
        <w:rPr>
          <w:sz w:val="10"/>
          <w:lang w:val="fr-FR"/>
        </w:rPr>
      </w:pPr>
    </w:p>
    <w:p w14:paraId="40BFE662" w14:textId="3B00B046" w:rsidR="00A372CF" w:rsidRPr="00491296" w:rsidRDefault="00A372CF" w:rsidP="00A372CF">
      <w:pPr>
        <w:pStyle w:val="SingleTxt"/>
        <w:rPr>
          <w:lang w:val="fr-FR"/>
        </w:rPr>
      </w:pPr>
      <w:r>
        <w:rPr>
          <w:lang w:val="fr-FR"/>
        </w:rPr>
        <w:tab/>
        <w:t>Le Comité a confirmé que son groupe de travail d</w:t>
      </w:r>
      <w:r w:rsidR="00265783">
        <w:rPr>
          <w:lang w:val="fr-FR"/>
        </w:rPr>
        <w:t>’</w:t>
      </w:r>
      <w:r>
        <w:rPr>
          <w:lang w:val="fr-FR"/>
        </w:rPr>
        <w:t>avant-session pour la soixante et onzième session serait composé des membres suivants</w:t>
      </w:r>
      <w:r w:rsidR="00265783">
        <w:rPr>
          <w:lang w:val="fr-FR"/>
        </w:rPr>
        <w:t xml:space="preserve"> : </w:t>
      </w:r>
      <w:r>
        <w:rPr>
          <w:lang w:val="fr-FR"/>
        </w:rPr>
        <w:t>Marion Bethel, Hilary Gbedemah, Rosario G. Manalo, Lia Nadaraia et Patricia Schulz.</w:t>
      </w:r>
    </w:p>
    <w:p w14:paraId="1CF6035D" w14:textId="77777777" w:rsidR="00A372CF" w:rsidRDefault="00A372CF" w:rsidP="00A372CF">
      <w:pPr>
        <w:spacing w:after="200" w:line="276" w:lineRule="auto"/>
        <w:rPr>
          <w:b/>
          <w:sz w:val="28"/>
          <w:lang w:val="fr-FR"/>
        </w:rPr>
      </w:pPr>
      <w:r>
        <w:rPr>
          <w:lang w:val="fr-FR"/>
        </w:rPr>
        <w:br w:type="page"/>
      </w:r>
    </w:p>
    <w:p w14:paraId="24EBBE62" w14:textId="77777777" w:rsidR="00A372CF" w:rsidRPr="009C4E47" w:rsidRDefault="00A372CF" w:rsidP="00C04F42">
      <w:pPr>
        <w:pStyle w:val="HCh0"/>
        <w:ind w:left="1267" w:right="1260" w:hanging="1267"/>
        <w:rPr>
          <w:lang w:val="fr-FR"/>
        </w:rPr>
      </w:pPr>
      <w:r w:rsidRPr="009C4E47">
        <w:rPr>
          <w:lang w:val="fr-FR"/>
        </w:rPr>
        <w:lastRenderedPageBreak/>
        <w:t>Chapitre II</w:t>
      </w:r>
    </w:p>
    <w:p w14:paraId="02F386E7" w14:textId="27187328" w:rsidR="00A372CF" w:rsidRPr="009C4E47" w:rsidRDefault="00A372CF" w:rsidP="00C04F42">
      <w:pPr>
        <w:pStyle w:val="HCh0"/>
        <w:ind w:left="1267" w:right="1260" w:hanging="1267"/>
        <w:rPr>
          <w:lang w:val="fr-FR"/>
        </w:rPr>
      </w:pPr>
      <w:r w:rsidRPr="009C4E47">
        <w:rPr>
          <w:lang w:val="fr-FR"/>
        </w:rPr>
        <w:tab/>
      </w:r>
      <w:r w:rsidRPr="009C4E47">
        <w:rPr>
          <w:lang w:val="fr-FR"/>
        </w:rPr>
        <w:tab/>
        <w:t>Questions d</w:t>
      </w:r>
      <w:r w:rsidR="00265783">
        <w:rPr>
          <w:lang w:val="fr-FR"/>
        </w:rPr>
        <w:t>’</w:t>
      </w:r>
      <w:r w:rsidRPr="009C4E47">
        <w:rPr>
          <w:lang w:val="fr-FR"/>
        </w:rPr>
        <w:t>organisation et questions diverses</w:t>
      </w:r>
    </w:p>
    <w:p w14:paraId="216EE0E3" w14:textId="49347532" w:rsidR="00C04F42" w:rsidRPr="009C4E47" w:rsidRDefault="00C04F42" w:rsidP="00C04F42">
      <w:pPr>
        <w:pStyle w:val="SingleTxt"/>
        <w:spacing w:after="0" w:line="120" w:lineRule="exact"/>
        <w:rPr>
          <w:sz w:val="10"/>
          <w:lang w:val="fr-FR"/>
        </w:rPr>
      </w:pPr>
    </w:p>
    <w:p w14:paraId="7C80D15B" w14:textId="4E169FDB" w:rsidR="00C04F42" w:rsidRPr="009C4E47" w:rsidRDefault="00C04F42" w:rsidP="00C04F42">
      <w:pPr>
        <w:pStyle w:val="SingleTxt"/>
        <w:spacing w:after="0" w:line="120" w:lineRule="exact"/>
        <w:rPr>
          <w:sz w:val="10"/>
          <w:lang w:val="fr-FR"/>
        </w:rPr>
      </w:pPr>
    </w:p>
    <w:p w14:paraId="538B0277" w14:textId="1CF6FF71" w:rsidR="00A372CF" w:rsidRDefault="00A372CF" w:rsidP="00C04F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États parties à la Convention et au Protocole facultatif</w:t>
      </w:r>
    </w:p>
    <w:p w14:paraId="4AB265AC" w14:textId="2BB71054" w:rsidR="00C04F42" w:rsidRPr="00C04F42" w:rsidRDefault="00C04F42" w:rsidP="00C04F42">
      <w:pPr>
        <w:pStyle w:val="SingleTxt"/>
        <w:spacing w:after="0" w:line="120" w:lineRule="exact"/>
        <w:rPr>
          <w:sz w:val="10"/>
          <w:lang w:val="fr-FR"/>
        </w:rPr>
      </w:pPr>
    </w:p>
    <w:p w14:paraId="28FA3B43" w14:textId="66E804DA" w:rsidR="00C04F42" w:rsidRPr="00C04F42" w:rsidRDefault="00C04F42" w:rsidP="00C04F42">
      <w:pPr>
        <w:pStyle w:val="SingleTxt"/>
        <w:spacing w:after="0" w:line="120" w:lineRule="exact"/>
        <w:rPr>
          <w:sz w:val="10"/>
          <w:lang w:val="fr-FR"/>
        </w:rPr>
      </w:pPr>
    </w:p>
    <w:p w14:paraId="16EA7211" w14:textId="59E0A0FC" w:rsidR="00A372CF" w:rsidRPr="00491296" w:rsidRDefault="00A372CF" w:rsidP="00C04F42">
      <w:pPr>
        <w:pStyle w:val="SingleTxt"/>
        <w:numPr>
          <w:ilvl w:val="0"/>
          <w:numId w:val="14"/>
        </w:numPr>
        <w:spacing w:line="240" w:lineRule="exact"/>
        <w:rPr>
          <w:lang w:val="fr-FR"/>
        </w:rPr>
      </w:pPr>
      <w:r>
        <w:rPr>
          <w:lang w:val="fr-FR"/>
        </w:rPr>
        <w:t>Au 9 mars 2018, date de clôture de la soixante-neuvième session du Comité, le nombre d</w:t>
      </w:r>
      <w:r w:rsidR="00265783">
        <w:rPr>
          <w:lang w:val="fr-FR"/>
        </w:rPr>
        <w:t>’</w:t>
      </w:r>
      <w:r>
        <w:rPr>
          <w:lang w:val="fr-FR"/>
        </w:rPr>
        <w:t>États ayant ratifié la Convention (189) et le nombre d</w:t>
      </w:r>
      <w:r w:rsidR="00265783">
        <w:rPr>
          <w:lang w:val="fr-FR"/>
        </w:rPr>
        <w:t>’</w:t>
      </w:r>
      <w:r>
        <w:rPr>
          <w:lang w:val="fr-FR"/>
        </w:rPr>
        <w:t>États parties (72) ayant accepté l</w:t>
      </w:r>
      <w:r w:rsidR="00265783">
        <w:rPr>
          <w:lang w:val="fr-FR"/>
        </w:rPr>
        <w:t>’</w:t>
      </w:r>
      <w:r>
        <w:rPr>
          <w:lang w:val="fr-FR"/>
        </w:rPr>
        <w:t>amendement du paragraphe 1 de l</w:t>
      </w:r>
      <w:r w:rsidR="00265783">
        <w:rPr>
          <w:lang w:val="fr-FR"/>
        </w:rPr>
        <w:t>’</w:t>
      </w:r>
      <w:r>
        <w:rPr>
          <w:lang w:val="fr-FR"/>
        </w:rPr>
        <w:t>article 20 de la Convention concernant le calendrier des réunions du Comité étaient le même qu</w:t>
      </w:r>
      <w:r w:rsidR="00265783">
        <w:rPr>
          <w:lang w:val="fr-FR"/>
        </w:rPr>
        <w:t>’</w:t>
      </w:r>
      <w:r>
        <w:rPr>
          <w:lang w:val="fr-FR"/>
        </w:rPr>
        <w:t xml:space="preserve">au 17 novembre 2017, date de clôture de la soixante-huitième session. </w:t>
      </w:r>
    </w:p>
    <w:p w14:paraId="3B26B0B2" w14:textId="4DC9BB2E" w:rsidR="00A372CF" w:rsidRDefault="00A372CF" w:rsidP="00C04F42">
      <w:pPr>
        <w:pStyle w:val="SingleTxt"/>
        <w:numPr>
          <w:ilvl w:val="0"/>
          <w:numId w:val="14"/>
        </w:numPr>
        <w:spacing w:line="240" w:lineRule="exact"/>
        <w:rPr>
          <w:lang w:val="fr-FR"/>
        </w:rPr>
      </w:pPr>
      <w:r>
        <w:rPr>
          <w:lang w:val="fr-FR"/>
        </w:rPr>
        <w:t>Le nombre d</w:t>
      </w:r>
      <w:r w:rsidR="00265783">
        <w:rPr>
          <w:lang w:val="fr-FR"/>
        </w:rPr>
        <w:t>’</w:t>
      </w:r>
      <w:r>
        <w:rPr>
          <w:lang w:val="fr-FR"/>
        </w:rPr>
        <w:t>États parties ayant ratifié le Protocole facultatif à la Convention (109) n</w:t>
      </w:r>
      <w:r w:rsidR="00265783">
        <w:rPr>
          <w:lang w:val="fr-FR"/>
        </w:rPr>
        <w:t>’</w:t>
      </w:r>
      <w:r>
        <w:rPr>
          <w:lang w:val="fr-FR"/>
        </w:rPr>
        <w:t xml:space="preserve">a pas changé non plus. </w:t>
      </w:r>
    </w:p>
    <w:p w14:paraId="55FBAB63" w14:textId="278CD57B" w:rsidR="00C04F42" w:rsidRPr="00C04F42" w:rsidRDefault="00C04F42" w:rsidP="00C04F42">
      <w:pPr>
        <w:pStyle w:val="SingleTxt"/>
        <w:spacing w:after="0" w:line="120" w:lineRule="exact"/>
        <w:rPr>
          <w:sz w:val="10"/>
          <w:lang w:val="fr-FR"/>
        </w:rPr>
      </w:pPr>
    </w:p>
    <w:p w14:paraId="60E699C9" w14:textId="4BA21304" w:rsidR="00C04F42" w:rsidRPr="00C04F42" w:rsidRDefault="00C04F42" w:rsidP="00C04F42">
      <w:pPr>
        <w:pStyle w:val="SingleTxt"/>
        <w:spacing w:after="0" w:line="120" w:lineRule="exact"/>
        <w:rPr>
          <w:sz w:val="10"/>
          <w:lang w:val="fr-FR"/>
        </w:rPr>
      </w:pPr>
    </w:p>
    <w:p w14:paraId="5655712F" w14:textId="5EB7EB72" w:rsidR="00A372CF" w:rsidRDefault="00A372CF" w:rsidP="00C04F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Ouverture de la session</w:t>
      </w:r>
    </w:p>
    <w:p w14:paraId="50D06734" w14:textId="32DD5F80" w:rsidR="004862FE" w:rsidRPr="004862FE" w:rsidRDefault="004862FE" w:rsidP="004862FE">
      <w:pPr>
        <w:pStyle w:val="SingleTxt"/>
        <w:spacing w:after="0" w:line="120" w:lineRule="exact"/>
        <w:rPr>
          <w:sz w:val="10"/>
          <w:lang w:val="fr-FR"/>
        </w:rPr>
      </w:pPr>
    </w:p>
    <w:p w14:paraId="71A57FA6" w14:textId="666FE169" w:rsidR="004862FE" w:rsidRPr="004862FE" w:rsidRDefault="004862FE" w:rsidP="004862FE">
      <w:pPr>
        <w:pStyle w:val="SingleTxt"/>
        <w:spacing w:after="0" w:line="120" w:lineRule="exact"/>
        <w:rPr>
          <w:sz w:val="10"/>
          <w:lang w:val="fr-FR"/>
        </w:rPr>
      </w:pPr>
    </w:p>
    <w:p w14:paraId="26E3EDB8" w14:textId="18B5DB66" w:rsidR="00A372CF" w:rsidRDefault="00A372CF" w:rsidP="004862FE">
      <w:pPr>
        <w:pStyle w:val="SingleTxt"/>
        <w:numPr>
          <w:ilvl w:val="0"/>
          <w:numId w:val="14"/>
        </w:numPr>
        <w:spacing w:line="240" w:lineRule="exact"/>
        <w:rPr>
          <w:lang w:val="fr-FR"/>
        </w:rPr>
      </w:pPr>
      <w:r>
        <w:rPr>
          <w:lang w:val="fr-FR"/>
        </w:rPr>
        <w:t>Le Comité a tenu sa soixante-neuvième session à l</w:t>
      </w:r>
      <w:r w:rsidR="00265783">
        <w:rPr>
          <w:lang w:val="fr-FR"/>
        </w:rPr>
        <w:t>’</w:t>
      </w:r>
      <w:r>
        <w:rPr>
          <w:lang w:val="fr-FR"/>
        </w:rPr>
        <w:t>Office des Nations Unies à Genève, du 19 février au 9 mars 2018. Il a tenu 20 séances plénières et 10 autres séances pour examiner les points 5 à 8 de l</w:t>
      </w:r>
      <w:r w:rsidR="00265783">
        <w:rPr>
          <w:lang w:val="fr-FR"/>
        </w:rPr>
        <w:t>’</w:t>
      </w:r>
      <w:r>
        <w:rPr>
          <w:lang w:val="fr-FR"/>
        </w:rPr>
        <w:t>ordre du jour. La liste des documents dont il était saisi figure dans l</w:t>
      </w:r>
      <w:r w:rsidR="00265783">
        <w:rPr>
          <w:lang w:val="fr-FR"/>
        </w:rPr>
        <w:t>’</w:t>
      </w:r>
      <w:r>
        <w:rPr>
          <w:lang w:val="fr-FR"/>
        </w:rPr>
        <w:t>annexe I de la troisième partie du présent rapport.</w:t>
      </w:r>
    </w:p>
    <w:p w14:paraId="112376ED" w14:textId="500E2FAF" w:rsidR="00A372CF" w:rsidRDefault="00A372CF" w:rsidP="004862FE">
      <w:pPr>
        <w:pStyle w:val="SingleTxt"/>
        <w:numPr>
          <w:ilvl w:val="0"/>
          <w:numId w:val="14"/>
        </w:numPr>
        <w:spacing w:line="240" w:lineRule="exact"/>
        <w:rPr>
          <w:lang w:val="fr-FR"/>
        </w:rPr>
      </w:pPr>
      <w:r w:rsidRPr="004862FE">
        <w:rPr>
          <w:lang w:val="fr-FR"/>
        </w:rPr>
        <w:t>La session a été ouverte par la Présidente, le 19 février, à la 1570</w:t>
      </w:r>
      <w:r w:rsidRPr="004862FE">
        <w:rPr>
          <w:vertAlign w:val="superscript"/>
          <w:lang w:val="fr-FR"/>
        </w:rPr>
        <w:t>e</w:t>
      </w:r>
      <w:r w:rsidRPr="004862FE">
        <w:rPr>
          <w:lang w:val="fr-FR"/>
        </w:rPr>
        <w:t xml:space="preserve"> séance.</w:t>
      </w:r>
    </w:p>
    <w:p w14:paraId="4B48230B" w14:textId="718F5584" w:rsidR="004862FE" w:rsidRPr="004862FE" w:rsidRDefault="004862FE" w:rsidP="004862FE">
      <w:pPr>
        <w:pStyle w:val="SingleTxt"/>
        <w:tabs>
          <w:tab w:val="clear" w:pos="1742"/>
        </w:tabs>
        <w:spacing w:after="0" w:line="120" w:lineRule="exact"/>
        <w:rPr>
          <w:sz w:val="10"/>
          <w:lang w:val="fr-FR"/>
        </w:rPr>
      </w:pPr>
    </w:p>
    <w:p w14:paraId="22D09E85" w14:textId="7B158252" w:rsidR="004862FE" w:rsidRPr="004862FE" w:rsidRDefault="004862FE" w:rsidP="004862FE">
      <w:pPr>
        <w:pStyle w:val="SingleTxt"/>
        <w:tabs>
          <w:tab w:val="clear" w:pos="1742"/>
        </w:tabs>
        <w:spacing w:after="0" w:line="120" w:lineRule="exact"/>
        <w:rPr>
          <w:sz w:val="10"/>
          <w:lang w:val="fr-FR"/>
        </w:rPr>
      </w:pPr>
    </w:p>
    <w:p w14:paraId="189615BA" w14:textId="2ADB0A31" w:rsidR="00A372CF" w:rsidRPr="00491296" w:rsidRDefault="00A372CF" w:rsidP="004862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t>Adoption de l</w:t>
      </w:r>
      <w:r w:rsidR="00265783">
        <w:rPr>
          <w:lang w:val="fr-FR"/>
        </w:rPr>
        <w:t>’</w:t>
      </w:r>
      <w:r>
        <w:rPr>
          <w:lang w:val="fr-FR"/>
        </w:rPr>
        <w:t>ordre du jour</w:t>
      </w:r>
    </w:p>
    <w:p w14:paraId="017F0B3B" w14:textId="0B630B26" w:rsidR="004862FE" w:rsidRPr="004862FE" w:rsidRDefault="004862FE" w:rsidP="004862FE">
      <w:pPr>
        <w:pStyle w:val="SingleTxt"/>
        <w:spacing w:after="0" w:line="120" w:lineRule="exact"/>
        <w:rPr>
          <w:sz w:val="10"/>
          <w:lang w:val="fr-FR"/>
        </w:rPr>
      </w:pPr>
    </w:p>
    <w:p w14:paraId="71AF6002" w14:textId="104A0243" w:rsidR="004862FE" w:rsidRPr="004862FE" w:rsidRDefault="004862FE" w:rsidP="004862FE">
      <w:pPr>
        <w:pStyle w:val="SingleTxt"/>
        <w:spacing w:after="0" w:line="120" w:lineRule="exact"/>
        <w:rPr>
          <w:sz w:val="10"/>
          <w:lang w:val="fr-FR"/>
        </w:rPr>
      </w:pPr>
    </w:p>
    <w:p w14:paraId="50CC39D1" w14:textId="24D3AB62" w:rsidR="00A372CF" w:rsidRDefault="00A372CF" w:rsidP="004862FE">
      <w:pPr>
        <w:pStyle w:val="SingleTxt"/>
        <w:numPr>
          <w:ilvl w:val="0"/>
          <w:numId w:val="14"/>
        </w:numPr>
        <w:spacing w:line="240" w:lineRule="exact"/>
        <w:rPr>
          <w:lang w:val="fr-FR"/>
        </w:rPr>
      </w:pPr>
      <w:r>
        <w:rPr>
          <w:lang w:val="fr-FR"/>
        </w:rPr>
        <w:t>À sa 1570</w:t>
      </w:r>
      <w:r>
        <w:rPr>
          <w:vertAlign w:val="superscript"/>
          <w:lang w:val="fr-FR"/>
        </w:rPr>
        <w:t>e</w:t>
      </w:r>
      <w:r>
        <w:rPr>
          <w:lang w:val="fr-FR"/>
        </w:rPr>
        <w:t xml:space="preserve"> séance, le 19 février, le Comité a adopté l</w:t>
      </w:r>
      <w:r w:rsidR="00265783">
        <w:rPr>
          <w:lang w:val="fr-FR"/>
        </w:rPr>
        <w:t>’</w:t>
      </w:r>
      <w:r>
        <w:rPr>
          <w:lang w:val="fr-FR"/>
        </w:rPr>
        <w:t>ordre du jour provisoire de sa session (</w:t>
      </w:r>
      <w:hyperlink r:id="rId107" w:history="1">
        <w:r w:rsidRPr="008E2674">
          <w:rPr>
            <w:rStyle w:val="Hyperlink"/>
            <w:lang w:val="fr-FR"/>
          </w:rPr>
          <w:t>CEDAW/C/69/1</w:t>
        </w:r>
      </w:hyperlink>
      <w:r>
        <w:rPr>
          <w:lang w:val="fr-FR"/>
        </w:rPr>
        <w:t>).</w:t>
      </w:r>
    </w:p>
    <w:p w14:paraId="23947F94" w14:textId="756E853F" w:rsidR="004862FE" w:rsidRPr="004862FE" w:rsidRDefault="004862FE" w:rsidP="004862FE">
      <w:pPr>
        <w:pStyle w:val="SingleTxt"/>
        <w:spacing w:after="0" w:line="120" w:lineRule="exact"/>
        <w:rPr>
          <w:sz w:val="10"/>
          <w:lang w:val="fr-FR"/>
        </w:rPr>
      </w:pPr>
    </w:p>
    <w:p w14:paraId="2BFAB3B4" w14:textId="3E6FB924" w:rsidR="004862FE" w:rsidRPr="004862FE" w:rsidRDefault="004862FE" w:rsidP="004862FE">
      <w:pPr>
        <w:pStyle w:val="SingleTxt"/>
        <w:spacing w:after="0" w:line="120" w:lineRule="exact"/>
        <w:rPr>
          <w:sz w:val="10"/>
          <w:lang w:val="fr-FR"/>
        </w:rPr>
      </w:pPr>
    </w:p>
    <w:p w14:paraId="45D2D813" w14:textId="6338F334" w:rsidR="00A372CF" w:rsidRPr="00491296" w:rsidRDefault="00A372CF" w:rsidP="004862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Pr>
          <w:lang w:val="fr-FR"/>
        </w:rPr>
        <w:tab/>
        <w:t>Rapport du groupe de travail d</w:t>
      </w:r>
      <w:r w:rsidR="00265783">
        <w:rPr>
          <w:lang w:val="fr-FR"/>
        </w:rPr>
        <w:t>’</w:t>
      </w:r>
      <w:r>
        <w:rPr>
          <w:lang w:val="fr-FR"/>
        </w:rPr>
        <w:t>avant-session</w:t>
      </w:r>
    </w:p>
    <w:p w14:paraId="5A386609" w14:textId="07D293B0" w:rsidR="004862FE" w:rsidRPr="004862FE" w:rsidRDefault="004862FE" w:rsidP="004862FE">
      <w:pPr>
        <w:pStyle w:val="SingleTxt"/>
        <w:spacing w:after="0" w:line="120" w:lineRule="exact"/>
        <w:rPr>
          <w:sz w:val="10"/>
          <w:lang w:val="fr-FR"/>
        </w:rPr>
      </w:pPr>
    </w:p>
    <w:p w14:paraId="34787578" w14:textId="518A6F76" w:rsidR="004862FE" w:rsidRPr="004862FE" w:rsidRDefault="004862FE" w:rsidP="004862FE">
      <w:pPr>
        <w:pStyle w:val="SingleTxt"/>
        <w:spacing w:after="0" w:line="120" w:lineRule="exact"/>
        <w:rPr>
          <w:sz w:val="10"/>
          <w:lang w:val="fr-FR"/>
        </w:rPr>
      </w:pPr>
    </w:p>
    <w:p w14:paraId="44B81FE0" w14:textId="67628227" w:rsidR="00A372CF" w:rsidRDefault="00A372CF" w:rsidP="004862FE">
      <w:pPr>
        <w:pStyle w:val="SingleTxt"/>
        <w:numPr>
          <w:ilvl w:val="0"/>
          <w:numId w:val="14"/>
        </w:numPr>
        <w:spacing w:line="240" w:lineRule="exact"/>
        <w:rPr>
          <w:lang w:val="fr-FR"/>
        </w:rPr>
      </w:pPr>
      <w:r>
        <w:rPr>
          <w:lang w:val="fr-FR"/>
        </w:rPr>
        <w:t>Le rapport du groupe de travail d</w:t>
      </w:r>
      <w:r w:rsidR="00265783">
        <w:rPr>
          <w:lang w:val="fr-FR"/>
        </w:rPr>
        <w:t>’</w:t>
      </w:r>
      <w:r>
        <w:rPr>
          <w:lang w:val="fr-FR"/>
        </w:rPr>
        <w:t>avant-session (</w:t>
      </w:r>
      <w:hyperlink r:id="rId108" w:history="1">
        <w:r w:rsidRPr="008E2674">
          <w:rPr>
            <w:rStyle w:val="Hyperlink"/>
            <w:lang w:val="fr-FR"/>
          </w:rPr>
          <w:t>CEDAW/C/PSWG/69/1</w:t>
        </w:r>
      </w:hyperlink>
      <w:r>
        <w:rPr>
          <w:lang w:val="fr-FR"/>
        </w:rPr>
        <w:t>), qui s</w:t>
      </w:r>
      <w:r w:rsidR="00265783">
        <w:rPr>
          <w:lang w:val="fr-FR"/>
        </w:rPr>
        <w:t>’</w:t>
      </w:r>
      <w:r>
        <w:rPr>
          <w:lang w:val="fr-FR"/>
        </w:rPr>
        <w:t>était réuni du 24 au 28 juillet 2017, a été présenté par Nahla Haidar à la 1570</w:t>
      </w:r>
      <w:r>
        <w:rPr>
          <w:vertAlign w:val="superscript"/>
          <w:lang w:val="fr-FR"/>
        </w:rPr>
        <w:t>e</w:t>
      </w:r>
      <w:r w:rsidR="00AA7D60">
        <w:rPr>
          <w:lang w:val="fr-FR"/>
        </w:rPr>
        <w:t xml:space="preserve"> séance, le 19 février</w:t>
      </w:r>
      <w:r>
        <w:rPr>
          <w:lang w:val="fr-FR"/>
        </w:rPr>
        <w:t>.</w:t>
      </w:r>
    </w:p>
    <w:p w14:paraId="0E48148C" w14:textId="527BD3D4" w:rsidR="004862FE" w:rsidRPr="004862FE" w:rsidRDefault="004862FE" w:rsidP="004862FE">
      <w:pPr>
        <w:pStyle w:val="SingleTxt"/>
        <w:spacing w:after="0" w:line="120" w:lineRule="exact"/>
        <w:rPr>
          <w:sz w:val="10"/>
          <w:lang w:val="fr-FR"/>
        </w:rPr>
      </w:pPr>
    </w:p>
    <w:p w14:paraId="737A4554" w14:textId="010CB0D4" w:rsidR="004862FE" w:rsidRPr="004862FE" w:rsidRDefault="004862FE" w:rsidP="004862FE">
      <w:pPr>
        <w:pStyle w:val="SingleTxt"/>
        <w:spacing w:after="0" w:line="120" w:lineRule="exact"/>
        <w:rPr>
          <w:sz w:val="10"/>
          <w:lang w:val="fr-FR"/>
        </w:rPr>
      </w:pPr>
    </w:p>
    <w:p w14:paraId="66ABBF72" w14:textId="77777777" w:rsidR="00A372CF" w:rsidRPr="00491296" w:rsidRDefault="00A372CF" w:rsidP="004862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E.</w:t>
      </w:r>
      <w:r>
        <w:rPr>
          <w:lang w:val="fr-FR"/>
        </w:rPr>
        <w:tab/>
        <w:t>Organisation des travaux</w:t>
      </w:r>
    </w:p>
    <w:p w14:paraId="38F9DC59" w14:textId="2227C845" w:rsidR="004862FE" w:rsidRPr="004862FE" w:rsidRDefault="004862FE" w:rsidP="004862FE">
      <w:pPr>
        <w:pStyle w:val="SingleTxt"/>
        <w:spacing w:after="0" w:line="120" w:lineRule="exact"/>
        <w:rPr>
          <w:sz w:val="10"/>
          <w:lang w:val="fr-FR"/>
        </w:rPr>
      </w:pPr>
    </w:p>
    <w:p w14:paraId="6B3AB995" w14:textId="238AE8B1" w:rsidR="004862FE" w:rsidRPr="004862FE" w:rsidRDefault="004862FE" w:rsidP="004862FE">
      <w:pPr>
        <w:pStyle w:val="SingleTxt"/>
        <w:spacing w:after="0" w:line="120" w:lineRule="exact"/>
        <w:rPr>
          <w:sz w:val="10"/>
          <w:lang w:val="fr-FR"/>
        </w:rPr>
      </w:pPr>
    </w:p>
    <w:p w14:paraId="65DC67E8" w14:textId="0BC0A445" w:rsidR="00A372CF" w:rsidRPr="00491296" w:rsidRDefault="00A372CF" w:rsidP="004862FE">
      <w:pPr>
        <w:pStyle w:val="SingleTxt"/>
        <w:numPr>
          <w:ilvl w:val="0"/>
          <w:numId w:val="14"/>
        </w:numPr>
        <w:spacing w:line="240" w:lineRule="exact"/>
        <w:rPr>
          <w:lang w:val="fr-FR"/>
        </w:rPr>
      </w:pPr>
      <w:r>
        <w:rPr>
          <w:lang w:val="fr-FR"/>
        </w:rPr>
        <w:t>Les 19 et 26 février, le Comité a tenu des séances privées, notamment par visioconférence, avec des représentants d</w:t>
      </w:r>
      <w:r w:rsidR="00265783">
        <w:rPr>
          <w:lang w:val="fr-FR"/>
        </w:rPr>
        <w:t>’</w:t>
      </w:r>
      <w:r>
        <w:rPr>
          <w:lang w:val="fr-FR"/>
        </w:rPr>
        <w:t>institutions spécialisées et de fonds et programmes des Nations Unies ainsi que d</w:t>
      </w:r>
      <w:r w:rsidR="00265783">
        <w:rPr>
          <w:lang w:val="fr-FR"/>
        </w:rPr>
        <w:t>’</w:t>
      </w:r>
      <w:r>
        <w:rPr>
          <w:lang w:val="fr-FR"/>
        </w:rPr>
        <w:t>autres organisations intergouvernementales, qui lui ont communiqué des informations concernant certains pays et des renseignements sur l</w:t>
      </w:r>
      <w:r w:rsidR="00265783">
        <w:rPr>
          <w:lang w:val="fr-FR"/>
        </w:rPr>
        <w:t>’</w:t>
      </w:r>
      <w:r>
        <w:rPr>
          <w:lang w:val="fr-FR"/>
        </w:rPr>
        <w:t>action qu</w:t>
      </w:r>
      <w:r w:rsidR="00265783">
        <w:rPr>
          <w:lang w:val="fr-FR"/>
        </w:rPr>
        <w:t>’</w:t>
      </w:r>
      <w:r>
        <w:rPr>
          <w:lang w:val="fr-FR"/>
        </w:rPr>
        <w:t>ils menaient pour promouvoir l</w:t>
      </w:r>
      <w:r w:rsidR="00265783">
        <w:rPr>
          <w:lang w:val="fr-FR"/>
        </w:rPr>
        <w:t>’</w:t>
      </w:r>
      <w:r>
        <w:rPr>
          <w:lang w:val="fr-FR"/>
        </w:rPr>
        <w:t>application de la Convention.</w:t>
      </w:r>
    </w:p>
    <w:p w14:paraId="538B13E9" w14:textId="40DE2120" w:rsidR="00A372CF" w:rsidRPr="00491296" w:rsidRDefault="00A372CF" w:rsidP="004862FE">
      <w:pPr>
        <w:pStyle w:val="SingleTxt"/>
        <w:numPr>
          <w:ilvl w:val="0"/>
          <w:numId w:val="14"/>
        </w:numPr>
        <w:spacing w:line="240" w:lineRule="exact"/>
        <w:rPr>
          <w:lang w:val="fr-FR"/>
        </w:rPr>
      </w:pPr>
      <w:r>
        <w:rPr>
          <w:lang w:val="fr-FR"/>
        </w:rPr>
        <w:t>En outre, le Comité a tenu des séances publiques informelles avec des représentants d</w:t>
      </w:r>
      <w:r w:rsidR="00265783">
        <w:rPr>
          <w:lang w:val="fr-FR"/>
        </w:rPr>
        <w:t>’</w:t>
      </w:r>
      <w:r>
        <w:rPr>
          <w:lang w:val="fr-FR"/>
        </w:rPr>
        <w:t>organisations non gouvernementales et d</w:t>
      </w:r>
      <w:r w:rsidR="00265783">
        <w:rPr>
          <w:lang w:val="fr-FR"/>
        </w:rPr>
        <w:t>’</w:t>
      </w:r>
      <w:r>
        <w:rPr>
          <w:lang w:val="fr-FR"/>
        </w:rPr>
        <w:t>institutions nationales de défense des droits de l</w:t>
      </w:r>
      <w:r w:rsidR="00265783">
        <w:rPr>
          <w:lang w:val="fr-FR"/>
        </w:rPr>
        <w:t>’</w:t>
      </w:r>
      <w:r>
        <w:rPr>
          <w:lang w:val="fr-FR"/>
        </w:rPr>
        <w:t>homme, qui lui ont communiqué des renseignements sur l</w:t>
      </w:r>
      <w:r w:rsidR="00265783">
        <w:rPr>
          <w:lang w:val="fr-FR"/>
        </w:rPr>
        <w:t>’</w:t>
      </w:r>
      <w:r>
        <w:rPr>
          <w:lang w:val="fr-FR"/>
        </w:rPr>
        <w:t>application de la Convention par les États parties dont le Comité avait prévu d</w:t>
      </w:r>
      <w:r w:rsidR="00265783">
        <w:rPr>
          <w:lang w:val="fr-FR"/>
        </w:rPr>
        <w:t>’</w:t>
      </w:r>
      <w:r>
        <w:rPr>
          <w:lang w:val="fr-FR"/>
        </w:rPr>
        <w:t>examiner les rapports à sa soixante-neuvième session.</w:t>
      </w:r>
    </w:p>
    <w:p w14:paraId="1987A950" w14:textId="0DFE804C" w:rsidR="00A372CF" w:rsidRPr="00491296" w:rsidRDefault="00A372CF" w:rsidP="004862FE">
      <w:pPr>
        <w:pStyle w:val="SingleTxt"/>
        <w:numPr>
          <w:ilvl w:val="0"/>
          <w:numId w:val="14"/>
        </w:numPr>
        <w:spacing w:line="240" w:lineRule="exact"/>
        <w:rPr>
          <w:lang w:val="fr-FR"/>
        </w:rPr>
      </w:pPr>
      <w:r>
        <w:rPr>
          <w:lang w:val="fr-FR"/>
        </w:rPr>
        <w:t>Le 21 février, la Chef du bureau de liaison d</w:t>
      </w:r>
      <w:r w:rsidR="00265783">
        <w:rPr>
          <w:lang w:val="fr-FR"/>
        </w:rPr>
        <w:t>’</w:t>
      </w:r>
      <w:r>
        <w:rPr>
          <w:lang w:val="fr-FR"/>
        </w:rPr>
        <w:t>ONU-Femmes à Genève, Christine Löw, a présenté au Comité un compte rendu des travaux menés par ONU-Femmes pour promouvoir l</w:t>
      </w:r>
      <w:r w:rsidR="00265783">
        <w:rPr>
          <w:lang w:val="fr-FR"/>
        </w:rPr>
        <w:t>’</w:t>
      </w:r>
      <w:r>
        <w:rPr>
          <w:lang w:val="fr-FR"/>
        </w:rPr>
        <w:t xml:space="preserve">application de la Convention et celle des observations finales du Comité. </w:t>
      </w:r>
    </w:p>
    <w:p w14:paraId="04772979" w14:textId="50CFE4F1" w:rsidR="00A372CF" w:rsidRDefault="00A372CF" w:rsidP="004862FE">
      <w:pPr>
        <w:pStyle w:val="SingleTxt"/>
        <w:numPr>
          <w:ilvl w:val="0"/>
          <w:numId w:val="14"/>
        </w:numPr>
        <w:spacing w:line="240" w:lineRule="exact"/>
        <w:rPr>
          <w:lang w:val="fr-FR"/>
        </w:rPr>
      </w:pPr>
      <w:r>
        <w:rPr>
          <w:lang w:val="fr-FR"/>
        </w:rPr>
        <w:lastRenderedPageBreak/>
        <w:t>Le 5 mars, le Comité a tenu une réunion informelle avec l</w:t>
      </w:r>
      <w:r w:rsidR="00265783">
        <w:rPr>
          <w:lang w:val="fr-FR"/>
        </w:rPr>
        <w:t>’</w:t>
      </w:r>
      <w:r>
        <w:rPr>
          <w:lang w:val="fr-FR"/>
        </w:rPr>
        <w:t>Envoyée spéciale du Secrétaire général pour les questions de handicap et d</w:t>
      </w:r>
      <w:r w:rsidR="00265783">
        <w:rPr>
          <w:lang w:val="fr-FR"/>
        </w:rPr>
        <w:t>’</w:t>
      </w:r>
      <w:r>
        <w:rPr>
          <w:lang w:val="fr-FR"/>
        </w:rPr>
        <w:t>accessibilité, Maria Soledad Cisternas Reyes, qui lui a présenté un exposé sur l</w:t>
      </w:r>
      <w:r w:rsidR="00265783">
        <w:rPr>
          <w:lang w:val="fr-FR"/>
        </w:rPr>
        <w:t>’</w:t>
      </w:r>
      <w:r>
        <w:rPr>
          <w:lang w:val="fr-FR"/>
        </w:rPr>
        <w:t>évolution de la manière dont les organes conventionnels des droits de l</w:t>
      </w:r>
      <w:r w:rsidR="00265783">
        <w:rPr>
          <w:lang w:val="fr-FR"/>
        </w:rPr>
        <w:t>’</w:t>
      </w:r>
      <w:r>
        <w:rPr>
          <w:lang w:val="fr-FR"/>
        </w:rPr>
        <w:t>homme abordaient les droits des personnes handicapées, y compris des femmes handicapées, et le rôle des objectifs de développement durable dans la promotion de l</w:t>
      </w:r>
      <w:r w:rsidR="00265783">
        <w:rPr>
          <w:lang w:val="fr-FR"/>
        </w:rPr>
        <w:t>’</w:t>
      </w:r>
      <w:r>
        <w:rPr>
          <w:lang w:val="fr-FR"/>
        </w:rPr>
        <w:t>accessibilité et l</w:t>
      </w:r>
      <w:r w:rsidR="00265783">
        <w:rPr>
          <w:lang w:val="fr-FR"/>
        </w:rPr>
        <w:t>’</w:t>
      </w:r>
      <w:r>
        <w:rPr>
          <w:lang w:val="fr-FR"/>
        </w:rPr>
        <w:t>inclusion.</w:t>
      </w:r>
    </w:p>
    <w:p w14:paraId="30B31F1A" w14:textId="67B6EF09" w:rsidR="004862FE" w:rsidRPr="004862FE" w:rsidRDefault="004862FE" w:rsidP="004862FE">
      <w:pPr>
        <w:pStyle w:val="SingleTxt"/>
        <w:spacing w:after="0" w:line="120" w:lineRule="exact"/>
        <w:rPr>
          <w:sz w:val="10"/>
          <w:lang w:val="fr-FR"/>
        </w:rPr>
      </w:pPr>
    </w:p>
    <w:p w14:paraId="6FFD23DA" w14:textId="60A29BC3" w:rsidR="004862FE" w:rsidRPr="004862FE" w:rsidRDefault="004862FE" w:rsidP="004862FE">
      <w:pPr>
        <w:pStyle w:val="SingleTxt"/>
        <w:spacing w:after="0" w:line="120" w:lineRule="exact"/>
        <w:rPr>
          <w:sz w:val="10"/>
          <w:lang w:val="fr-FR"/>
        </w:rPr>
      </w:pPr>
    </w:p>
    <w:p w14:paraId="6A7EBE67" w14:textId="77777777" w:rsidR="00A372CF" w:rsidRPr="00491296" w:rsidRDefault="00A372CF" w:rsidP="004862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F.</w:t>
      </w:r>
      <w:r>
        <w:rPr>
          <w:lang w:val="fr-FR"/>
        </w:rPr>
        <w:tab/>
        <w:t>Composition du Comité</w:t>
      </w:r>
    </w:p>
    <w:p w14:paraId="1AD20652" w14:textId="1E4EA67C" w:rsidR="004862FE" w:rsidRPr="004862FE" w:rsidRDefault="004862FE" w:rsidP="004862FE">
      <w:pPr>
        <w:pStyle w:val="SingleTxt"/>
        <w:spacing w:after="0" w:line="120" w:lineRule="exact"/>
        <w:rPr>
          <w:sz w:val="10"/>
          <w:lang w:val="fr-FR"/>
        </w:rPr>
      </w:pPr>
    </w:p>
    <w:p w14:paraId="4A55AC7A" w14:textId="7483BF17" w:rsidR="004862FE" w:rsidRPr="004862FE" w:rsidRDefault="004862FE" w:rsidP="004862FE">
      <w:pPr>
        <w:pStyle w:val="SingleTxt"/>
        <w:spacing w:after="0" w:line="120" w:lineRule="exact"/>
        <w:rPr>
          <w:sz w:val="10"/>
          <w:lang w:val="fr-FR"/>
        </w:rPr>
      </w:pPr>
    </w:p>
    <w:p w14:paraId="1B5B5F25" w14:textId="1F8E6AE9" w:rsidR="00A372CF" w:rsidRDefault="00A372CF" w:rsidP="004862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Remplacement en cas de vacance fortuite</w:t>
      </w:r>
    </w:p>
    <w:p w14:paraId="35A832A1" w14:textId="5B699DA1" w:rsidR="004862FE" w:rsidRPr="004862FE" w:rsidRDefault="004862FE" w:rsidP="004862FE">
      <w:pPr>
        <w:pStyle w:val="SingleTxt"/>
        <w:spacing w:after="0" w:line="120" w:lineRule="exact"/>
        <w:rPr>
          <w:sz w:val="10"/>
          <w:lang w:val="fr-FR"/>
        </w:rPr>
      </w:pPr>
    </w:p>
    <w:p w14:paraId="1B5DCD3C" w14:textId="065220F4" w:rsidR="00A372CF" w:rsidRPr="004862FE" w:rsidRDefault="00A372CF" w:rsidP="004862FE">
      <w:pPr>
        <w:pStyle w:val="SingleTxt"/>
        <w:numPr>
          <w:ilvl w:val="0"/>
          <w:numId w:val="14"/>
        </w:numPr>
        <w:spacing w:line="240" w:lineRule="exact"/>
        <w:rPr>
          <w:b/>
          <w:lang w:val="fr-FR"/>
        </w:rPr>
      </w:pPr>
      <w:r>
        <w:rPr>
          <w:lang w:val="fr-FR"/>
        </w:rPr>
        <w:t>Le 11 décembre 2017, le Comité a appris le décès, survenu le 9 décembre, de Theodora Oby Nwankwo, qui avait été réélue au Comité le 21 juin 2016 pour un mandat venant à expiration le 31 décembre 2020. Le 11 décembre 2017, la Présidente a présenté les condoléances du Comité à la Mission permanente du Nigéria auprès de l</w:t>
      </w:r>
      <w:r w:rsidR="00265783">
        <w:rPr>
          <w:lang w:val="fr-FR"/>
        </w:rPr>
        <w:t>’</w:t>
      </w:r>
      <w:r>
        <w:rPr>
          <w:lang w:val="fr-FR"/>
        </w:rPr>
        <w:t>Office des Nations Unies et des autres organisations internationales à Genève. Le 13 décembre, le Secrétaire général a prié le Gouvernement nigérian de nommer, dans un délai de deux mois, un autre expert de même nationalité pour occuper le siège devenu vacant comme suite au décès de M</w:t>
      </w:r>
      <w:r>
        <w:rPr>
          <w:vertAlign w:val="superscript"/>
          <w:lang w:val="fr-FR"/>
        </w:rPr>
        <w:t>me </w:t>
      </w:r>
      <w:r>
        <w:rPr>
          <w:lang w:val="fr-FR"/>
        </w:rPr>
        <w:t>Nwankwo. Le 26 janvier 2018, le Gouvernement nigérian a fait part au Comité de sa décision de nommer Esther Eghobamien-Mshelia à ce siège pour la durée du mandat de feu M</w:t>
      </w:r>
      <w:r>
        <w:rPr>
          <w:vertAlign w:val="superscript"/>
          <w:lang w:val="fr-FR"/>
        </w:rPr>
        <w:t>me</w:t>
      </w:r>
      <w:r>
        <w:rPr>
          <w:lang w:val="fr-FR"/>
        </w:rPr>
        <w:t xml:space="preserve"> Nwankwo restant à courir. Le 1</w:t>
      </w:r>
      <w:r>
        <w:rPr>
          <w:vertAlign w:val="superscript"/>
          <w:lang w:val="fr-FR"/>
        </w:rPr>
        <w:t>er</w:t>
      </w:r>
      <w:r>
        <w:rPr>
          <w:lang w:val="fr-FR"/>
        </w:rPr>
        <w:t xml:space="preserve"> mars, le Comité a approuvé la nomination de M</w:t>
      </w:r>
      <w:r>
        <w:rPr>
          <w:vertAlign w:val="superscript"/>
          <w:lang w:val="fr-FR"/>
        </w:rPr>
        <w:t>me</w:t>
      </w:r>
      <w:r>
        <w:rPr>
          <w:lang w:val="fr-FR"/>
        </w:rPr>
        <w:t xml:space="preserve"> Eghobamien-Mshe</w:t>
      </w:r>
      <w:r w:rsidR="005B4DE7">
        <w:rPr>
          <w:lang w:val="fr-FR"/>
        </w:rPr>
        <w:t>lia, conformément au paragraphe </w:t>
      </w:r>
      <w:r>
        <w:rPr>
          <w:lang w:val="fr-FR"/>
        </w:rPr>
        <w:t>7 de l</w:t>
      </w:r>
      <w:r w:rsidR="00265783">
        <w:rPr>
          <w:lang w:val="fr-FR"/>
        </w:rPr>
        <w:t>’</w:t>
      </w:r>
      <w:r>
        <w:rPr>
          <w:lang w:val="fr-FR"/>
        </w:rPr>
        <w:t>article 17 de la Convention.</w:t>
      </w:r>
    </w:p>
    <w:p w14:paraId="1E11D6DA" w14:textId="33509C26" w:rsidR="004862FE" w:rsidRPr="004862FE" w:rsidRDefault="004862FE" w:rsidP="004862FE">
      <w:pPr>
        <w:pStyle w:val="SingleTxt"/>
        <w:spacing w:after="0" w:line="120" w:lineRule="exact"/>
        <w:rPr>
          <w:sz w:val="10"/>
          <w:lang w:val="fr-FR"/>
        </w:rPr>
      </w:pPr>
    </w:p>
    <w:p w14:paraId="78973283" w14:textId="77777777" w:rsidR="00A372CF" w:rsidRPr="00491296" w:rsidRDefault="00A372CF" w:rsidP="004862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Participation à la soixante-neuvième session</w:t>
      </w:r>
    </w:p>
    <w:p w14:paraId="1EC822C7" w14:textId="007B11C1" w:rsidR="004862FE" w:rsidRPr="004862FE" w:rsidRDefault="004862FE" w:rsidP="004862FE">
      <w:pPr>
        <w:pStyle w:val="SingleTxt"/>
        <w:spacing w:after="0" w:line="120" w:lineRule="exact"/>
        <w:rPr>
          <w:sz w:val="10"/>
          <w:lang w:val="fr-FR"/>
        </w:rPr>
      </w:pPr>
    </w:p>
    <w:p w14:paraId="5B79C2E0" w14:textId="4DB77117" w:rsidR="00A372CF" w:rsidRPr="00491296" w:rsidRDefault="00A372CF" w:rsidP="004862FE">
      <w:pPr>
        <w:pStyle w:val="SingleTxt"/>
        <w:numPr>
          <w:ilvl w:val="0"/>
          <w:numId w:val="16"/>
        </w:numPr>
        <w:spacing w:line="240" w:lineRule="exact"/>
        <w:rPr>
          <w:lang w:val="fr-FR"/>
        </w:rPr>
      </w:pPr>
      <w:r>
        <w:rPr>
          <w:lang w:val="fr-FR"/>
        </w:rPr>
        <w:t>Tous les membres ont assisté à la soixante-neuvième session. Les membres ci-après n</w:t>
      </w:r>
      <w:r w:rsidR="00265783">
        <w:rPr>
          <w:lang w:val="fr-FR"/>
        </w:rPr>
        <w:t>’</w:t>
      </w:r>
      <w:r>
        <w:rPr>
          <w:lang w:val="fr-FR"/>
        </w:rPr>
        <w:t>y ont pas assisté aux dates indiquées</w:t>
      </w:r>
      <w:r w:rsidR="00265783">
        <w:rPr>
          <w:lang w:val="fr-FR"/>
        </w:rPr>
        <w:t xml:space="preserve"> : </w:t>
      </w:r>
      <w:r>
        <w:rPr>
          <w:lang w:val="fr-FR"/>
        </w:rPr>
        <w:t>Ayse Feride Acar, du 19 au 23 février et les 8 et 9 mars</w:t>
      </w:r>
      <w:r w:rsidR="004A0E90">
        <w:rPr>
          <w:lang w:val="fr-FR"/>
        </w:rPr>
        <w:t> </w:t>
      </w:r>
      <w:r w:rsidR="00D83EA9">
        <w:rPr>
          <w:lang w:val="fr-FR"/>
        </w:rPr>
        <w:t>;</w:t>
      </w:r>
      <w:r>
        <w:rPr>
          <w:lang w:val="fr-FR"/>
        </w:rPr>
        <w:t xml:space="preserve"> Ruth Halperin-Kaddari, du 28 février au 2 mars et du 7 au 9 mars</w:t>
      </w:r>
      <w:r w:rsidR="004A0E90">
        <w:rPr>
          <w:lang w:val="fr-FR"/>
        </w:rPr>
        <w:t> </w:t>
      </w:r>
      <w:r w:rsidR="00D83EA9">
        <w:rPr>
          <w:lang w:val="fr-FR"/>
        </w:rPr>
        <w:t>;</w:t>
      </w:r>
      <w:r>
        <w:rPr>
          <w:lang w:val="fr-FR"/>
        </w:rPr>
        <w:t xml:space="preserve"> Yoko Hayashi, du 5 au 9 mars</w:t>
      </w:r>
      <w:r w:rsidR="004A0E90">
        <w:rPr>
          <w:lang w:val="fr-FR"/>
        </w:rPr>
        <w:t> </w:t>
      </w:r>
      <w:r w:rsidR="00D83EA9">
        <w:rPr>
          <w:lang w:val="fr-FR"/>
        </w:rPr>
        <w:t>;</w:t>
      </w:r>
      <w:r>
        <w:rPr>
          <w:lang w:val="fr-FR"/>
        </w:rPr>
        <w:t xml:space="preserve"> Aruna Devi Narain, les 8 et 9 mars. On trouvera à l</w:t>
      </w:r>
      <w:r w:rsidR="00265783">
        <w:rPr>
          <w:lang w:val="fr-FR"/>
        </w:rPr>
        <w:t>’</w:t>
      </w:r>
      <w:r>
        <w:rPr>
          <w:lang w:val="fr-FR"/>
        </w:rPr>
        <w:t>annexe II de la troisième partie du présent rapport la liste des membres du Comité, assortie de la durée de leur mandat.</w:t>
      </w:r>
    </w:p>
    <w:p w14:paraId="6935EBCE" w14:textId="77777777" w:rsidR="00A372CF" w:rsidRDefault="00A372CF" w:rsidP="00A372CF">
      <w:pPr>
        <w:spacing w:after="200" w:line="276" w:lineRule="auto"/>
        <w:rPr>
          <w:b/>
          <w:sz w:val="28"/>
          <w:lang w:val="fr-FR"/>
        </w:rPr>
      </w:pPr>
      <w:r>
        <w:rPr>
          <w:lang w:val="fr-FR"/>
        </w:rPr>
        <w:br w:type="page"/>
      </w:r>
    </w:p>
    <w:p w14:paraId="54A43545" w14:textId="77777777" w:rsidR="00A372CF" w:rsidRPr="009C4E47" w:rsidRDefault="00A372CF" w:rsidP="004862FE">
      <w:pPr>
        <w:pStyle w:val="HCh0"/>
        <w:tabs>
          <w:tab w:val="clear" w:pos="1742"/>
        </w:tabs>
        <w:rPr>
          <w:lang w:val="fr-FR"/>
        </w:rPr>
      </w:pPr>
      <w:r w:rsidRPr="009C4E47">
        <w:rPr>
          <w:lang w:val="fr-FR"/>
        </w:rPr>
        <w:lastRenderedPageBreak/>
        <w:t>Chapitre III</w:t>
      </w:r>
    </w:p>
    <w:p w14:paraId="3A9C8670" w14:textId="77777777" w:rsidR="00A372CF" w:rsidRPr="009C4E47" w:rsidRDefault="00A372CF" w:rsidP="004862FE">
      <w:pPr>
        <w:pStyle w:val="HCh0"/>
        <w:ind w:left="1267" w:right="1260" w:hanging="1267"/>
        <w:rPr>
          <w:lang w:val="fr-FR"/>
        </w:rPr>
      </w:pPr>
      <w:r w:rsidRPr="009C4E47">
        <w:rPr>
          <w:lang w:val="fr-FR"/>
        </w:rPr>
        <w:tab/>
      </w:r>
      <w:r w:rsidRPr="009C4E47">
        <w:rPr>
          <w:lang w:val="fr-FR"/>
        </w:rPr>
        <w:tab/>
        <w:t>Rapport de la Présidente sur les activités intersessions</w:t>
      </w:r>
    </w:p>
    <w:p w14:paraId="42CBA1BF" w14:textId="5C189DAB" w:rsidR="004862FE" w:rsidRPr="004862FE" w:rsidRDefault="004862FE" w:rsidP="004862FE">
      <w:pPr>
        <w:pStyle w:val="SingleTxtG"/>
        <w:tabs>
          <w:tab w:val="left" w:pos="1701"/>
        </w:tabs>
        <w:spacing w:after="0" w:line="120" w:lineRule="exact"/>
        <w:rPr>
          <w:sz w:val="10"/>
          <w:lang w:val="fr-FR"/>
        </w:rPr>
      </w:pPr>
    </w:p>
    <w:p w14:paraId="37659CA9" w14:textId="2CFBF9ED" w:rsidR="004862FE" w:rsidRPr="004862FE" w:rsidRDefault="004862FE" w:rsidP="004862FE">
      <w:pPr>
        <w:pStyle w:val="SingleTxtG"/>
        <w:tabs>
          <w:tab w:val="left" w:pos="1701"/>
        </w:tabs>
        <w:spacing w:after="0" w:line="120" w:lineRule="exact"/>
        <w:rPr>
          <w:sz w:val="10"/>
          <w:lang w:val="fr-FR"/>
        </w:rPr>
      </w:pPr>
    </w:p>
    <w:p w14:paraId="21DE3F85" w14:textId="39F6D904" w:rsidR="00A372CF" w:rsidRPr="00491296" w:rsidRDefault="00A372CF" w:rsidP="004862FE">
      <w:pPr>
        <w:pStyle w:val="SingleTxt"/>
        <w:numPr>
          <w:ilvl w:val="0"/>
          <w:numId w:val="16"/>
        </w:numPr>
        <w:spacing w:line="240" w:lineRule="exact"/>
        <w:rPr>
          <w:lang w:val="fr-FR"/>
        </w:rPr>
      </w:pPr>
      <w:r>
        <w:rPr>
          <w:lang w:val="fr-FR"/>
        </w:rPr>
        <w:t>À la 1570</w:t>
      </w:r>
      <w:r>
        <w:rPr>
          <w:vertAlign w:val="superscript"/>
          <w:lang w:val="fr-FR"/>
        </w:rPr>
        <w:t>e</w:t>
      </w:r>
      <w:r>
        <w:rPr>
          <w:lang w:val="fr-FR"/>
        </w:rPr>
        <w:t xml:space="preserve"> séance, le 19 février 2018, la Présidente a rendu compte des activités qu</w:t>
      </w:r>
      <w:r w:rsidR="00265783">
        <w:rPr>
          <w:lang w:val="fr-FR"/>
        </w:rPr>
        <w:t>’</w:t>
      </w:r>
      <w:r>
        <w:rPr>
          <w:lang w:val="fr-FR"/>
        </w:rPr>
        <w:t>elle avait menées depuis la soixante-huitième session.</w:t>
      </w:r>
    </w:p>
    <w:p w14:paraId="66379A12" w14:textId="77777777" w:rsidR="00A372CF" w:rsidRDefault="00A372CF" w:rsidP="00A372CF">
      <w:pPr>
        <w:spacing w:after="200" w:line="276" w:lineRule="auto"/>
        <w:rPr>
          <w:b/>
          <w:bCs/>
          <w:sz w:val="28"/>
          <w:lang w:val="fr-FR"/>
        </w:rPr>
      </w:pPr>
      <w:r>
        <w:rPr>
          <w:bCs/>
          <w:lang w:val="fr-FR"/>
        </w:rPr>
        <w:br w:type="page"/>
      </w:r>
    </w:p>
    <w:p w14:paraId="7E1E8CB0" w14:textId="77777777" w:rsidR="00A372CF" w:rsidRPr="009C4E47" w:rsidRDefault="00A372CF" w:rsidP="004862FE">
      <w:pPr>
        <w:pStyle w:val="HCh0"/>
        <w:ind w:left="1267" w:right="1260" w:hanging="1267"/>
        <w:rPr>
          <w:lang w:val="fr-FR"/>
        </w:rPr>
      </w:pPr>
      <w:r w:rsidRPr="009C4E47">
        <w:rPr>
          <w:lang w:val="fr-FR"/>
        </w:rPr>
        <w:lastRenderedPageBreak/>
        <w:t xml:space="preserve">Chapitre IV </w:t>
      </w:r>
    </w:p>
    <w:p w14:paraId="75082835" w14:textId="13A552DB" w:rsidR="00A372CF" w:rsidRPr="009C4E47" w:rsidRDefault="00A372CF" w:rsidP="004862FE">
      <w:pPr>
        <w:pStyle w:val="HCh0"/>
        <w:ind w:left="1267" w:right="1260" w:hanging="1267"/>
        <w:rPr>
          <w:lang w:val="fr-FR"/>
        </w:rPr>
      </w:pPr>
      <w:r w:rsidRPr="009C4E47">
        <w:rPr>
          <w:lang w:val="fr-FR"/>
        </w:rPr>
        <w:tab/>
      </w:r>
      <w:r w:rsidRPr="009C4E47">
        <w:rPr>
          <w:lang w:val="fr-FR"/>
        </w:rPr>
        <w:tab/>
        <w:t>Examen des rapports soumis par les États parties en application de l</w:t>
      </w:r>
      <w:r w:rsidR="00265783">
        <w:rPr>
          <w:lang w:val="fr-FR"/>
        </w:rPr>
        <w:t>’</w:t>
      </w:r>
      <w:r w:rsidRPr="009C4E47">
        <w:rPr>
          <w:lang w:val="fr-FR"/>
        </w:rPr>
        <w:t>article 18 de la Convention</w:t>
      </w:r>
    </w:p>
    <w:p w14:paraId="76C277EB" w14:textId="5A94C68E" w:rsidR="004862FE" w:rsidRPr="009C4E47" w:rsidRDefault="004862FE" w:rsidP="004862FE">
      <w:pPr>
        <w:pStyle w:val="SingleTxt"/>
        <w:spacing w:after="0" w:line="120" w:lineRule="exact"/>
        <w:rPr>
          <w:sz w:val="10"/>
          <w:lang w:val="fr-FR"/>
        </w:rPr>
      </w:pPr>
    </w:p>
    <w:p w14:paraId="1892145F" w14:textId="392B2987" w:rsidR="004862FE" w:rsidRPr="009C4E47" w:rsidRDefault="004862FE" w:rsidP="004862FE">
      <w:pPr>
        <w:pStyle w:val="SingleTxt"/>
        <w:spacing w:after="0" w:line="120" w:lineRule="exact"/>
        <w:rPr>
          <w:sz w:val="10"/>
          <w:lang w:val="fr-FR"/>
        </w:rPr>
      </w:pPr>
    </w:p>
    <w:p w14:paraId="5D01AD73" w14:textId="65C69144" w:rsidR="00AB1859" w:rsidRDefault="00A372CF" w:rsidP="004862FE">
      <w:pPr>
        <w:pStyle w:val="SingleTxt"/>
        <w:numPr>
          <w:ilvl w:val="0"/>
          <w:numId w:val="16"/>
        </w:numPr>
        <w:spacing w:line="240" w:lineRule="exact"/>
        <w:rPr>
          <w:lang w:val="fr-FR"/>
        </w:rPr>
      </w:pPr>
      <w:r>
        <w:rPr>
          <w:lang w:val="fr-FR"/>
        </w:rPr>
        <w:t xml:space="preserve">Le Comité a examiné les rapports que huit États parties lui avaient </w:t>
      </w:r>
      <w:r w:rsidRPr="00491296">
        <w:rPr>
          <w:lang w:val="fr-FR"/>
        </w:rPr>
        <w:t>soumi</w:t>
      </w:r>
      <w:r w:rsidRPr="00196C65">
        <w:rPr>
          <w:lang w:val="fr-FR"/>
        </w:rPr>
        <w:t>s</w:t>
      </w:r>
      <w:r>
        <w:rPr>
          <w:lang w:val="fr-FR"/>
        </w:rPr>
        <w:t xml:space="preserve"> en application de l</w:t>
      </w:r>
      <w:r w:rsidR="00265783">
        <w:rPr>
          <w:lang w:val="fr-FR"/>
        </w:rPr>
        <w:t>’</w:t>
      </w:r>
      <w:r>
        <w:rPr>
          <w:lang w:val="fr-FR"/>
        </w:rPr>
        <w:t xml:space="preserve">article 18 de la Convention et </w:t>
      </w:r>
      <w:r w:rsidRPr="00196C65">
        <w:rPr>
          <w:lang w:val="fr-FR"/>
        </w:rPr>
        <w:t>adopté</w:t>
      </w:r>
      <w:r>
        <w:rPr>
          <w:lang w:val="fr-FR"/>
        </w:rPr>
        <w:t xml:space="preserve"> les observations finales ci-après :</w:t>
      </w:r>
    </w:p>
    <w:p w14:paraId="6CFA92B7" w14:textId="0F5EA00E" w:rsidR="005C3B55" w:rsidRPr="005C3B55" w:rsidRDefault="005C3B55" w:rsidP="005C3B55">
      <w:pPr>
        <w:pStyle w:val="SingleTxt"/>
        <w:spacing w:after="0" w:line="120" w:lineRule="exact"/>
        <w:rPr>
          <w:sz w:val="10"/>
          <w:lang w:val="fr-FR"/>
        </w:rPr>
      </w:pPr>
    </w:p>
    <w:p w14:paraId="3C2EE91E" w14:textId="5D99D81E" w:rsidR="005C3B55" w:rsidRPr="005C3B55" w:rsidRDefault="005C3B55" w:rsidP="005C3B55">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3660"/>
        <w:gridCol w:w="3660"/>
      </w:tblGrid>
      <w:tr w:rsidR="005C3B55" w:rsidRPr="00BC3FAD" w14:paraId="40E9904C" w14:textId="77777777" w:rsidTr="00BC3FAD">
        <w:trPr>
          <w:cantSplit/>
        </w:trPr>
        <w:tc>
          <w:tcPr>
            <w:tcW w:w="3660" w:type="dxa"/>
            <w:shd w:val="clear" w:color="auto" w:fill="auto"/>
          </w:tcPr>
          <w:p w14:paraId="1E001A6B" w14:textId="41EEC0B4" w:rsidR="005C3B55" w:rsidRPr="00BC3FAD" w:rsidRDefault="005C3B55" w:rsidP="00B71F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36"/>
                <w:tab w:val="left" w:pos="864"/>
                <w:tab w:val="left" w:pos="1152"/>
              </w:tabs>
              <w:spacing w:before="40" w:after="80" w:line="240" w:lineRule="exact"/>
              <w:ind w:left="0" w:right="40"/>
              <w:rPr>
                <w:rFonts w:eastAsia="Times New Roman"/>
                <w:szCs w:val="20"/>
              </w:rPr>
            </w:pPr>
            <w:r w:rsidRPr="00BC3FAD">
              <w:rPr>
                <w:szCs w:val="20"/>
                <w:lang w:val="fr-FR"/>
              </w:rPr>
              <w:t>Arabie saoudite</w:t>
            </w:r>
          </w:p>
        </w:tc>
        <w:tc>
          <w:tcPr>
            <w:tcW w:w="3660" w:type="dxa"/>
            <w:shd w:val="clear" w:color="auto" w:fill="auto"/>
          </w:tcPr>
          <w:p w14:paraId="0502364B" w14:textId="492801D0"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rFonts w:eastAsia="Times New Roman"/>
                <w:szCs w:val="20"/>
              </w:rPr>
            </w:pPr>
            <w:r w:rsidRPr="00BC3FAD">
              <w:rPr>
                <w:szCs w:val="20"/>
                <w:lang w:val="fr-FR"/>
              </w:rPr>
              <w:t>(</w:t>
            </w:r>
            <w:hyperlink r:id="rId109" w:history="1">
              <w:r w:rsidRPr="008E2674">
                <w:rPr>
                  <w:rStyle w:val="Hyperlink"/>
                  <w:szCs w:val="20"/>
                  <w:lang w:val="fr-FR"/>
                </w:rPr>
                <w:t>CEDAW/C/SAU/CO/3-4</w:t>
              </w:r>
            </w:hyperlink>
            <w:r w:rsidRPr="00BC3FAD">
              <w:rPr>
                <w:szCs w:val="20"/>
                <w:lang w:val="fr-FR"/>
              </w:rPr>
              <w:t>)</w:t>
            </w:r>
          </w:p>
        </w:tc>
      </w:tr>
      <w:tr w:rsidR="005C3B55" w:rsidRPr="00BC3FAD" w14:paraId="25FB2179" w14:textId="77777777" w:rsidTr="00BC3FAD">
        <w:trPr>
          <w:cantSplit/>
        </w:trPr>
        <w:tc>
          <w:tcPr>
            <w:tcW w:w="3660" w:type="dxa"/>
            <w:shd w:val="clear" w:color="auto" w:fill="auto"/>
          </w:tcPr>
          <w:p w14:paraId="5B517E29" w14:textId="77777777"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rFonts w:eastAsia="Times New Roman"/>
                <w:szCs w:val="20"/>
              </w:rPr>
            </w:pPr>
            <w:r w:rsidRPr="00BC3FAD">
              <w:rPr>
                <w:szCs w:val="20"/>
                <w:lang w:val="fr-FR"/>
              </w:rPr>
              <w:t>Chili</w:t>
            </w:r>
          </w:p>
        </w:tc>
        <w:tc>
          <w:tcPr>
            <w:tcW w:w="3660" w:type="dxa"/>
            <w:shd w:val="clear" w:color="auto" w:fill="auto"/>
          </w:tcPr>
          <w:p w14:paraId="6061E0D4" w14:textId="1EDA54C4"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rFonts w:eastAsia="Times New Roman"/>
                <w:szCs w:val="20"/>
              </w:rPr>
            </w:pPr>
            <w:r w:rsidRPr="00BC3FAD">
              <w:rPr>
                <w:szCs w:val="20"/>
                <w:lang w:val="fr-FR"/>
              </w:rPr>
              <w:t>(</w:t>
            </w:r>
            <w:hyperlink r:id="rId110" w:history="1">
              <w:r w:rsidRPr="008E2674">
                <w:rPr>
                  <w:rStyle w:val="Hyperlink"/>
                  <w:szCs w:val="20"/>
                  <w:lang w:val="fr-FR"/>
                </w:rPr>
                <w:t>CEDAW/C/CHL/CO/7</w:t>
              </w:r>
            </w:hyperlink>
            <w:r w:rsidRPr="00BC3FAD">
              <w:rPr>
                <w:szCs w:val="20"/>
                <w:lang w:val="fr-FR"/>
              </w:rPr>
              <w:t>)</w:t>
            </w:r>
          </w:p>
        </w:tc>
      </w:tr>
      <w:tr w:rsidR="005C3B55" w:rsidRPr="00BC3FAD" w14:paraId="71690B8E" w14:textId="77777777" w:rsidTr="00BC3FAD">
        <w:trPr>
          <w:cantSplit/>
        </w:trPr>
        <w:tc>
          <w:tcPr>
            <w:tcW w:w="3660" w:type="dxa"/>
            <w:shd w:val="clear" w:color="auto" w:fill="auto"/>
          </w:tcPr>
          <w:p w14:paraId="2E3FED7C" w14:textId="77777777"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rFonts w:eastAsia="Times New Roman"/>
                <w:szCs w:val="20"/>
              </w:rPr>
            </w:pPr>
            <w:r w:rsidRPr="00BC3FAD">
              <w:rPr>
                <w:szCs w:val="20"/>
                <w:lang w:val="fr-FR"/>
              </w:rPr>
              <w:t>Fidji</w:t>
            </w:r>
          </w:p>
        </w:tc>
        <w:tc>
          <w:tcPr>
            <w:tcW w:w="3660" w:type="dxa"/>
            <w:shd w:val="clear" w:color="auto" w:fill="auto"/>
          </w:tcPr>
          <w:p w14:paraId="65866F4F" w14:textId="38F2B2A1"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rFonts w:eastAsia="Times New Roman"/>
                <w:szCs w:val="20"/>
              </w:rPr>
            </w:pPr>
            <w:r w:rsidRPr="00BC3FAD">
              <w:rPr>
                <w:szCs w:val="20"/>
                <w:lang w:val="fr-FR"/>
              </w:rPr>
              <w:t>(</w:t>
            </w:r>
            <w:hyperlink r:id="rId111" w:history="1">
              <w:r w:rsidRPr="008E2674">
                <w:rPr>
                  <w:rStyle w:val="Hyperlink"/>
                  <w:szCs w:val="20"/>
                  <w:lang w:val="fr-FR"/>
                </w:rPr>
                <w:t>CEDAW/C/FJI/CO/5</w:t>
              </w:r>
            </w:hyperlink>
            <w:r w:rsidRPr="00BC3FAD">
              <w:rPr>
                <w:szCs w:val="20"/>
                <w:lang w:val="fr-FR"/>
              </w:rPr>
              <w:t>)</w:t>
            </w:r>
          </w:p>
        </w:tc>
      </w:tr>
      <w:tr w:rsidR="005C3B55" w:rsidRPr="00BC3FAD" w14:paraId="5BA482DC" w14:textId="77777777" w:rsidTr="00BC3FAD">
        <w:trPr>
          <w:cantSplit/>
        </w:trPr>
        <w:tc>
          <w:tcPr>
            <w:tcW w:w="3660" w:type="dxa"/>
            <w:shd w:val="clear" w:color="auto" w:fill="auto"/>
          </w:tcPr>
          <w:p w14:paraId="65ED28F7" w14:textId="77777777"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rFonts w:eastAsia="Times New Roman"/>
                <w:szCs w:val="20"/>
              </w:rPr>
            </w:pPr>
            <w:r w:rsidRPr="00BC3FAD">
              <w:rPr>
                <w:szCs w:val="20"/>
                <w:lang w:val="fr-FR"/>
              </w:rPr>
              <w:t>Îles Marshall</w:t>
            </w:r>
          </w:p>
        </w:tc>
        <w:tc>
          <w:tcPr>
            <w:tcW w:w="3660" w:type="dxa"/>
            <w:shd w:val="clear" w:color="auto" w:fill="auto"/>
          </w:tcPr>
          <w:p w14:paraId="5649789A" w14:textId="51BB92A5"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rFonts w:eastAsia="Times New Roman"/>
                <w:szCs w:val="20"/>
              </w:rPr>
            </w:pPr>
            <w:r w:rsidRPr="00BC3FAD">
              <w:rPr>
                <w:szCs w:val="20"/>
                <w:lang w:val="fr-FR"/>
              </w:rPr>
              <w:t>(</w:t>
            </w:r>
            <w:hyperlink r:id="rId112" w:history="1">
              <w:r w:rsidRPr="008E2674">
                <w:rPr>
                  <w:rStyle w:val="Hyperlink"/>
                  <w:szCs w:val="20"/>
                  <w:lang w:val="fr-FR"/>
                </w:rPr>
                <w:t>CEDAW/C/MHL/CO/1-3</w:t>
              </w:r>
            </w:hyperlink>
            <w:r w:rsidRPr="00BC3FAD">
              <w:rPr>
                <w:szCs w:val="20"/>
                <w:lang w:val="fr-FR"/>
              </w:rPr>
              <w:t>)</w:t>
            </w:r>
          </w:p>
        </w:tc>
      </w:tr>
      <w:tr w:rsidR="005C3B55" w:rsidRPr="00BC3FAD" w14:paraId="58F3A89E" w14:textId="77777777" w:rsidTr="00BC3FAD">
        <w:trPr>
          <w:cantSplit/>
        </w:trPr>
        <w:tc>
          <w:tcPr>
            <w:tcW w:w="3660" w:type="dxa"/>
            <w:shd w:val="clear" w:color="auto" w:fill="auto"/>
          </w:tcPr>
          <w:p w14:paraId="513D26BC" w14:textId="77777777"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rFonts w:eastAsia="Times New Roman"/>
                <w:szCs w:val="20"/>
              </w:rPr>
            </w:pPr>
            <w:r w:rsidRPr="00BC3FAD">
              <w:rPr>
                <w:szCs w:val="20"/>
                <w:lang w:val="fr-FR"/>
              </w:rPr>
              <w:t>Luxembourg</w:t>
            </w:r>
          </w:p>
        </w:tc>
        <w:tc>
          <w:tcPr>
            <w:tcW w:w="3660" w:type="dxa"/>
            <w:shd w:val="clear" w:color="auto" w:fill="auto"/>
          </w:tcPr>
          <w:p w14:paraId="3203DAF5" w14:textId="23F59AB6"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rFonts w:eastAsia="Times New Roman"/>
                <w:szCs w:val="20"/>
              </w:rPr>
            </w:pPr>
            <w:r w:rsidRPr="00BC3FAD">
              <w:rPr>
                <w:szCs w:val="20"/>
                <w:lang w:val="fr-FR"/>
              </w:rPr>
              <w:t>(</w:t>
            </w:r>
            <w:hyperlink r:id="rId113" w:history="1">
              <w:r w:rsidRPr="008E2674">
                <w:rPr>
                  <w:rStyle w:val="Hyperlink"/>
                  <w:szCs w:val="20"/>
                  <w:lang w:val="fr-FR"/>
                </w:rPr>
                <w:t>CEDAW/C/LUX/CO/6-7</w:t>
              </w:r>
            </w:hyperlink>
            <w:r w:rsidRPr="00BC3FAD">
              <w:rPr>
                <w:szCs w:val="20"/>
                <w:lang w:val="fr-FR"/>
              </w:rPr>
              <w:t>)</w:t>
            </w:r>
          </w:p>
        </w:tc>
      </w:tr>
      <w:tr w:rsidR="005C3B55" w:rsidRPr="00BC3FAD" w14:paraId="38DB22DA" w14:textId="77777777" w:rsidTr="00BC3FAD">
        <w:trPr>
          <w:cantSplit/>
        </w:trPr>
        <w:tc>
          <w:tcPr>
            <w:tcW w:w="3660" w:type="dxa"/>
            <w:shd w:val="clear" w:color="auto" w:fill="auto"/>
          </w:tcPr>
          <w:p w14:paraId="16989768" w14:textId="77777777"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rFonts w:eastAsia="Times New Roman"/>
                <w:szCs w:val="20"/>
              </w:rPr>
            </w:pPr>
            <w:r w:rsidRPr="00BC3FAD">
              <w:rPr>
                <w:szCs w:val="20"/>
                <w:lang w:val="fr-FR"/>
              </w:rPr>
              <w:t>Malaisie</w:t>
            </w:r>
          </w:p>
        </w:tc>
        <w:tc>
          <w:tcPr>
            <w:tcW w:w="3660" w:type="dxa"/>
            <w:shd w:val="clear" w:color="auto" w:fill="auto"/>
          </w:tcPr>
          <w:p w14:paraId="76F53ABC" w14:textId="203CF8A2"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rFonts w:eastAsia="Times New Roman"/>
                <w:szCs w:val="20"/>
              </w:rPr>
            </w:pPr>
            <w:r w:rsidRPr="00BC3FAD">
              <w:rPr>
                <w:szCs w:val="20"/>
                <w:lang w:val="fr-FR"/>
              </w:rPr>
              <w:t>(</w:t>
            </w:r>
            <w:hyperlink r:id="rId114" w:history="1">
              <w:r w:rsidRPr="008E2674">
                <w:rPr>
                  <w:rStyle w:val="Hyperlink"/>
                  <w:szCs w:val="20"/>
                  <w:lang w:val="fr-FR"/>
                </w:rPr>
                <w:t>CEDAW/C/MAL/CO/3-5</w:t>
              </w:r>
            </w:hyperlink>
            <w:r w:rsidRPr="00BC3FAD">
              <w:rPr>
                <w:szCs w:val="20"/>
                <w:lang w:val="fr-FR"/>
              </w:rPr>
              <w:t>)</w:t>
            </w:r>
          </w:p>
        </w:tc>
      </w:tr>
      <w:tr w:rsidR="005C3B55" w:rsidRPr="00BC3FAD" w14:paraId="5A56AD0F" w14:textId="77777777" w:rsidTr="00BC3FAD">
        <w:trPr>
          <w:cantSplit/>
        </w:trPr>
        <w:tc>
          <w:tcPr>
            <w:tcW w:w="3660" w:type="dxa"/>
            <w:shd w:val="clear" w:color="auto" w:fill="auto"/>
          </w:tcPr>
          <w:p w14:paraId="49D4D60B" w14:textId="77777777"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rFonts w:eastAsia="Times New Roman"/>
                <w:szCs w:val="20"/>
              </w:rPr>
            </w:pPr>
            <w:r w:rsidRPr="00BC3FAD">
              <w:rPr>
                <w:szCs w:val="20"/>
                <w:lang w:val="fr-FR"/>
              </w:rPr>
              <w:t>République de Corée</w:t>
            </w:r>
          </w:p>
        </w:tc>
        <w:tc>
          <w:tcPr>
            <w:tcW w:w="3660" w:type="dxa"/>
            <w:shd w:val="clear" w:color="auto" w:fill="auto"/>
          </w:tcPr>
          <w:p w14:paraId="05243D77" w14:textId="5E1B2163"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rFonts w:eastAsia="Times New Roman"/>
                <w:szCs w:val="20"/>
              </w:rPr>
            </w:pPr>
            <w:r w:rsidRPr="00BC3FAD">
              <w:rPr>
                <w:szCs w:val="20"/>
                <w:lang w:val="fr-FR"/>
              </w:rPr>
              <w:t>(</w:t>
            </w:r>
            <w:hyperlink r:id="rId115" w:history="1">
              <w:r w:rsidRPr="008E2674">
                <w:rPr>
                  <w:rStyle w:val="Hyperlink"/>
                  <w:szCs w:val="20"/>
                  <w:lang w:val="fr-FR"/>
                </w:rPr>
                <w:t>CEDAW/C/KOR/CO/8</w:t>
              </w:r>
            </w:hyperlink>
            <w:r w:rsidRPr="00BC3FAD">
              <w:rPr>
                <w:szCs w:val="20"/>
                <w:lang w:val="fr-FR"/>
              </w:rPr>
              <w:t>)</w:t>
            </w:r>
          </w:p>
        </w:tc>
      </w:tr>
      <w:tr w:rsidR="005C3B55" w:rsidRPr="00BC3FAD" w14:paraId="7C67AF8F" w14:textId="77777777" w:rsidTr="00BC3FAD">
        <w:trPr>
          <w:cantSplit/>
        </w:trPr>
        <w:tc>
          <w:tcPr>
            <w:tcW w:w="3660" w:type="dxa"/>
            <w:shd w:val="clear" w:color="auto" w:fill="auto"/>
          </w:tcPr>
          <w:p w14:paraId="4A3A0672" w14:textId="77777777"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rFonts w:eastAsia="Times New Roman"/>
                <w:szCs w:val="20"/>
              </w:rPr>
            </w:pPr>
            <w:r w:rsidRPr="00BC3FAD">
              <w:rPr>
                <w:szCs w:val="20"/>
                <w:lang w:val="fr-FR"/>
              </w:rPr>
              <w:t>Suriname</w:t>
            </w:r>
          </w:p>
        </w:tc>
        <w:tc>
          <w:tcPr>
            <w:tcW w:w="3660" w:type="dxa"/>
            <w:shd w:val="clear" w:color="auto" w:fill="auto"/>
          </w:tcPr>
          <w:p w14:paraId="2F160FC4" w14:textId="51DCB831" w:rsidR="005C3B55" w:rsidRPr="00BC3FAD" w:rsidRDefault="005C3B55" w:rsidP="00BC3F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rFonts w:eastAsia="Times New Roman"/>
                <w:szCs w:val="20"/>
              </w:rPr>
            </w:pPr>
            <w:r w:rsidRPr="00BC3FAD">
              <w:rPr>
                <w:szCs w:val="20"/>
                <w:lang w:val="fr-FR"/>
              </w:rPr>
              <w:t>(</w:t>
            </w:r>
            <w:hyperlink r:id="rId116" w:history="1">
              <w:r w:rsidRPr="008E2674">
                <w:rPr>
                  <w:rStyle w:val="Hyperlink"/>
                  <w:szCs w:val="20"/>
                  <w:lang w:val="fr-FR"/>
                </w:rPr>
                <w:t>CEDAW/C/SUR/CO/4-6</w:t>
              </w:r>
            </w:hyperlink>
            <w:r w:rsidRPr="00BC3FAD">
              <w:rPr>
                <w:szCs w:val="20"/>
                <w:lang w:val="fr-FR"/>
              </w:rPr>
              <w:t>)</w:t>
            </w:r>
          </w:p>
        </w:tc>
      </w:tr>
    </w:tbl>
    <w:p w14:paraId="7204EDE2" w14:textId="086012CC" w:rsidR="005C3B55" w:rsidRPr="005C3B55" w:rsidRDefault="005C3B55" w:rsidP="005C3B55">
      <w:pPr>
        <w:pStyle w:val="SingleTxt"/>
        <w:spacing w:after="0" w:line="120" w:lineRule="exact"/>
        <w:rPr>
          <w:sz w:val="10"/>
          <w:lang w:val="fr-FR"/>
        </w:rPr>
      </w:pPr>
    </w:p>
    <w:p w14:paraId="68BDE11E" w14:textId="20B19614" w:rsidR="005C3B55" w:rsidRPr="005C3B55" w:rsidRDefault="005C3B55" w:rsidP="005C3B55">
      <w:pPr>
        <w:pStyle w:val="SingleTxt"/>
        <w:spacing w:after="0" w:line="120" w:lineRule="exact"/>
        <w:rPr>
          <w:sz w:val="10"/>
          <w:lang w:val="fr-FR"/>
        </w:rPr>
      </w:pPr>
    </w:p>
    <w:p w14:paraId="39EF7E19" w14:textId="60190A52" w:rsidR="005C3B55" w:rsidRDefault="005C3B55" w:rsidP="005C3B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Procédure de suivi des observations finales</w:t>
      </w:r>
    </w:p>
    <w:p w14:paraId="3BADDBE2" w14:textId="6487EB73" w:rsidR="005C3B55" w:rsidRPr="005C3B55" w:rsidRDefault="005C3B55" w:rsidP="005C3B55">
      <w:pPr>
        <w:pStyle w:val="SingleTxt"/>
        <w:spacing w:after="0" w:line="120" w:lineRule="exact"/>
        <w:rPr>
          <w:sz w:val="10"/>
          <w:lang w:val="fr-FR"/>
        </w:rPr>
      </w:pPr>
    </w:p>
    <w:p w14:paraId="33C56584" w14:textId="2B5E26C5" w:rsidR="005C3B55" w:rsidRPr="00491296" w:rsidRDefault="005C3B55" w:rsidP="005C3B55">
      <w:pPr>
        <w:pStyle w:val="SingleTxt"/>
        <w:numPr>
          <w:ilvl w:val="0"/>
          <w:numId w:val="16"/>
        </w:numPr>
        <w:spacing w:line="240" w:lineRule="exact"/>
        <w:rPr>
          <w:lang w:val="fr-FR"/>
        </w:rPr>
      </w:pPr>
      <w:r>
        <w:rPr>
          <w:lang w:val="fr-FR"/>
        </w:rPr>
        <w:t>Le Comité a examiné les rapports de suivi reçus des États parties ci-après</w:t>
      </w:r>
      <w:r w:rsidR="00265783">
        <w:rPr>
          <w:lang w:val="fr-FR"/>
        </w:rPr>
        <w:t xml:space="preserve"> : </w:t>
      </w:r>
    </w:p>
    <w:tbl>
      <w:tblPr>
        <w:tblW w:w="0" w:type="auto"/>
        <w:tblInd w:w="1260" w:type="dxa"/>
        <w:tblLayout w:type="fixed"/>
        <w:tblCellMar>
          <w:left w:w="0" w:type="dxa"/>
          <w:right w:w="0" w:type="dxa"/>
        </w:tblCellMar>
        <w:tblLook w:val="04A0" w:firstRow="1" w:lastRow="0" w:firstColumn="1" w:lastColumn="0" w:noHBand="0" w:noVBand="1"/>
      </w:tblPr>
      <w:tblGrid>
        <w:gridCol w:w="3660"/>
        <w:gridCol w:w="3660"/>
      </w:tblGrid>
      <w:tr w:rsidR="005C3B55" w:rsidRPr="0089543A" w14:paraId="61FB3397" w14:textId="77777777" w:rsidTr="005C3B55">
        <w:trPr>
          <w:cantSplit/>
        </w:trPr>
        <w:tc>
          <w:tcPr>
            <w:tcW w:w="3660" w:type="dxa"/>
            <w:shd w:val="clear" w:color="auto" w:fill="auto"/>
            <w:vAlign w:val="bottom"/>
          </w:tcPr>
          <w:p w14:paraId="677C4D72" w14:textId="14FA246E" w:rsidR="005C3B55" w:rsidRPr="005C3B55" w:rsidRDefault="00AA7D60" w:rsidP="005C3B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Cs w:val="20"/>
                <w:lang w:val="fr-FR"/>
              </w:rPr>
            </w:pPr>
            <w:r w:rsidRPr="005C3B55">
              <w:rPr>
                <w:szCs w:val="20"/>
                <w:lang w:val="fr-FR"/>
              </w:rPr>
              <w:t>Croatie</w:t>
            </w:r>
          </w:p>
        </w:tc>
        <w:tc>
          <w:tcPr>
            <w:tcW w:w="3660" w:type="dxa"/>
            <w:shd w:val="clear" w:color="auto" w:fill="auto"/>
            <w:vAlign w:val="bottom"/>
          </w:tcPr>
          <w:p w14:paraId="26B3FCEF" w14:textId="1B9318DA" w:rsidR="005C3B55" w:rsidRPr="009C4E47" w:rsidRDefault="00AA7D60"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lang w:val="en-US"/>
              </w:rPr>
            </w:pPr>
            <w:r w:rsidRPr="009C4E47">
              <w:rPr>
                <w:szCs w:val="20"/>
                <w:lang w:val="en-US"/>
              </w:rPr>
              <w:t>(</w:t>
            </w:r>
            <w:hyperlink r:id="rId117" w:history="1">
              <w:r w:rsidRPr="008E2674">
                <w:rPr>
                  <w:rStyle w:val="Hyperlink"/>
                  <w:szCs w:val="20"/>
                  <w:lang w:val="en-US"/>
                </w:rPr>
                <w:t>CEDAW/C/HRV/CO/4-5/Add.1</w:t>
              </w:r>
            </w:hyperlink>
            <w:r w:rsidRPr="009C4E47">
              <w:rPr>
                <w:szCs w:val="20"/>
                <w:lang w:val="en-US"/>
              </w:rPr>
              <w:t>)</w:t>
            </w:r>
          </w:p>
        </w:tc>
      </w:tr>
      <w:tr w:rsidR="00AA7D60" w:rsidRPr="0089543A" w14:paraId="0A8C42A5" w14:textId="77777777" w:rsidTr="005C3B55">
        <w:trPr>
          <w:cantSplit/>
        </w:trPr>
        <w:tc>
          <w:tcPr>
            <w:tcW w:w="3660" w:type="dxa"/>
            <w:shd w:val="clear" w:color="auto" w:fill="auto"/>
            <w:vAlign w:val="bottom"/>
          </w:tcPr>
          <w:p w14:paraId="6A3029E6" w14:textId="478360F4" w:rsidR="00AA7D60" w:rsidRPr="005C3B55" w:rsidRDefault="00AA7D60" w:rsidP="005C3B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Cs w:val="20"/>
                <w:lang w:val="fr-FR"/>
              </w:rPr>
            </w:pPr>
            <w:r>
              <w:rPr>
                <w:szCs w:val="20"/>
                <w:lang w:val="fr-FR"/>
              </w:rPr>
              <w:t xml:space="preserve">État plurinational de </w:t>
            </w:r>
            <w:r w:rsidRPr="005C3B55">
              <w:rPr>
                <w:szCs w:val="20"/>
                <w:lang w:val="fr-FR"/>
              </w:rPr>
              <w:t>Bolivie</w:t>
            </w:r>
          </w:p>
        </w:tc>
        <w:tc>
          <w:tcPr>
            <w:tcW w:w="3660" w:type="dxa"/>
            <w:shd w:val="clear" w:color="auto" w:fill="auto"/>
            <w:vAlign w:val="bottom"/>
          </w:tcPr>
          <w:p w14:paraId="54C4520B" w14:textId="752D2FFE" w:rsidR="00AA7D60" w:rsidRPr="009C4E47" w:rsidRDefault="00AA7D60"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lang w:val="en-US"/>
              </w:rPr>
            </w:pPr>
            <w:r w:rsidRPr="009C4E47">
              <w:rPr>
                <w:szCs w:val="20"/>
                <w:lang w:val="en-US"/>
              </w:rPr>
              <w:t>(</w:t>
            </w:r>
            <w:hyperlink r:id="rId118" w:history="1">
              <w:r w:rsidRPr="008E2674">
                <w:rPr>
                  <w:rStyle w:val="Hyperlink"/>
                  <w:szCs w:val="20"/>
                  <w:lang w:val="en-US"/>
                </w:rPr>
                <w:t>CEDAW/C/BOL/CO/5-6/Add.1</w:t>
              </w:r>
            </w:hyperlink>
            <w:r w:rsidRPr="009C4E47">
              <w:rPr>
                <w:szCs w:val="20"/>
                <w:lang w:val="en-US"/>
              </w:rPr>
              <w:t>)</w:t>
            </w:r>
          </w:p>
        </w:tc>
      </w:tr>
      <w:tr w:rsidR="005C3B55" w:rsidRPr="0089543A" w14:paraId="01C4CF86" w14:textId="77777777" w:rsidTr="005C3B55">
        <w:trPr>
          <w:cantSplit/>
        </w:trPr>
        <w:tc>
          <w:tcPr>
            <w:tcW w:w="3660" w:type="dxa"/>
            <w:shd w:val="clear" w:color="auto" w:fill="auto"/>
            <w:vAlign w:val="bottom"/>
          </w:tcPr>
          <w:p w14:paraId="3BE7D75C" w14:textId="77777777" w:rsidR="005C3B55" w:rsidRPr="005C3B55" w:rsidRDefault="005C3B55" w:rsidP="005C3B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Cs w:val="20"/>
                <w:lang w:val="fr-FR"/>
              </w:rPr>
            </w:pPr>
            <w:r w:rsidRPr="005C3B55">
              <w:rPr>
                <w:szCs w:val="20"/>
                <w:lang w:val="fr-FR"/>
              </w:rPr>
              <w:t>Maldives</w:t>
            </w:r>
          </w:p>
        </w:tc>
        <w:tc>
          <w:tcPr>
            <w:tcW w:w="3660" w:type="dxa"/>
            <w:shd w:val="clear" w:color="auto" w:fill="auto"/>
            <w:vAlign w:val="bottom"/>
          </w:tcPr>
          <w:p w14:paraId="483DB13A" w14:textId="61972A71" w:rsidR="005C3B55" w:rsidRPr="009C4E47" w:rsidRDefault="005C3B55"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lang w:val="en-US"/>
              </w:rPr>
            </w:pPr>
            <w:r w:rsidRPr="009C4E47">
              <w:rPr>
                <w:szCs w:val="20"/>
                <w:lang w:val="en-US"/>
              </w:rPr>
              <w:t>(</w:t>
            </w:r>
            <w:hyperlink r:id="rId119" w:history="1">
              <w:r w:rsidRPr="008E2674">
                <w:rPr>
                  <w:rStyle w:val="Hyperlink"/>
                  <w:szCs w:val="20"/>
                  <w:lang w:val="en-US"/>
                </w:rPr>
                <w:t>CEDAW/C/MDV/CO/4-5/Add.1</w:t>
              </w:r>
            </w:hyperlink>
            <w:r w:rsidRPr="009C4E47">
              <w:rPr>
                <w:szCs w:val="20"/>
                <w:lang w:val="en-US"/>
              </w:rPr>
              <w:t>)</w:t>
            </w:r>
          </w:p>
        </w:tc>
      </w:tr>
      <w:tr w:rsidR="005C3B55" w:rsidRPr="0089543A" w14:paraId="175B7B72" w14:textId="77777777" w:rsidTr="005C3B55">
        <w:trPr>
          <w:cantSplit/>
        </w:trPr>
        <w:tc>
          <w:tcPr>
            <w:tcW w:w="3660" w:type="dxa"/>
            <w:shd w:val="clear" w:color="auto" w:fill="auto"/>
            <w:vAlign w:val="bottom"/>
          </w:tcPr>
          <w:p w14:paraId="7659E5CC" w14:textId="77777777" w:rsidR="005C3B55" w:rsidRPr="005C3B55" w:rsidRDefault="005C3B55" w:rsidP="005C3B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Cs w:val="20"/>
                <w:lang w:val="fr-FR"/>
              </w:rPr>
            </w:pPr>
            <w:r w:rsidRPr="005C3B55">
              <w:rPr>
                <w:szCs w:val="20"/>
                <w:lang w:val="fr-FR"/>
              </w:rPr>
              <w:t>Mauritanie</w:t>
            </w:r>
          </w:p>
        </w:tc>
        <w:tc>
          <w:tcPr>
            <w:tcW w:w="3660" w:type="dxa"/>
            <w:shd w:val="clear" w:color="auto" w:fill="auto"/>
            <w:vAlign w:val="bottom"/>
          </w:tcPr>
          <w:p w14:paraId="71D1C410" w14:textId="7F4424F6" w:rsidR="005C3B55" w:rsidRPr="009C4E47" w:rsidRDefault="005C3B55"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lang w:val="en-US"/>
              </w:rPr>
            </w:pPr>
            <w:r w:rsidRPr="009C4E47">
              <w:rPr>
                <w:szCs w:val="20"/>
                <w:lang w:val="en-US"/>
              </w:rPr>
              <w:t>(</w:t>
            </w:r>
            <w:hyperlink r:id="rId120" w:history="1">
              <w:r w:rsidRPr="008E2674">
                <w:rPr>
                  <w:rStyle w:val="Hyperlink"/>
                  <w:szCs w:val="20"/>
                  <w:lang w:val="en-US"/>
                </w:rPr>
                <w:t>CEDAW/C/MRT/CO/2-3/Add.1</w:t>
              </w:r>
            </w:hyperlink>
            <w:r w:rsidRPr="009C4E47">
              <w:rPr>
                <w:szCs w:val="20"/>
                <w:lang w:val="en-US"/>
              </w:rPr>
              <w:t>)</w:t>
            </w:r>
          </w:p>
        </w:tc>
      </w:tr>
      <w:tr w:rsidR="005C3B55" w:rsidRPr="0089543A" w14:paraId="293CF4D8" w14:textId="77777777" w:rsidTr="005C3B55">
        <w:trPr>
          <w:cantSplit/>
        </w:trPr>
        <w:tc>
          <w:tcPr>
            <w:tcW w:w="3660" w:type="dxa"/>
            <w:shd w:val="clear" w:color="auto" w:fill="auto"/>
            <w:vAlign w:val="bottom"/>
          </w:tcPr>
          <w:p w14:paraId="2B9B91F7" w14:textId="77777777" w:rsidR="005C3B55" w:rsidRPr="005C3B55" w:rsidRDefault="005C3B55" w:rsidP="005C3B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Cs w:val="20"/>
                <w:lang w:val="fr-FR"/>
              </w:rPr>
            </w:pPr>
            <w:r w:rsidRPr="005C3B55">
              <w:rPr>
                <w:szCs w:val="20"/>
                <w:lang w:val="fr-FR"/>
              </w:rPr>
              <w:t>Namibie</w:t>
            </w:r>
          </w:p>
        </w:tc>
        <w:tc>
          <w:tcPr>
            <w:tcW w:w="3660" w:type="dxa"/>
            <w:shd w:val="clear" w:color="auto" w:fill="auto"/>
            <w:vAlign w:val="bottom"/>
          </w:tcPr>
          <w:p w14:paraId="0A3B8A80" w14:textId="744AF17E" w:rsidR="005C3B55" w:rsidRPr="009C4E47" w:rsidRDefault="005C3B55"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lang w:val="en-US"/>
              </w:rPr>
            </w:pPr>
            <w:r w:rsidRPr="009C4E47">
              <w:rPr>
                <w:szCs w:val="20"/>
                <w:lang w:val="en-US"/>
              </w:rPr>
              <w:t>(</w:t>
            </w:r>
            <w:hyperlink r:id="rId121" w:history="1">
              <w:r w:rsidRPr="00E600F4">
                <w:rPr>
                  <w:rStyle w:val="Hyperlink"/>
                  <w:szCs w:val="20"/>
                  <w:lang w:val="en-US"/>
                </w:rPr>
                <w:t>CEDAW/C/</w:t>
              </w:r>
              <w:r w:rsidR="00E600F4" w:rsidRPr="00E600F4">
                <w:rPr>
                  <w:rStyle w:val="Hyperlink"/>
                  <w:szCs w:val="20"/>
                  <w:lang w:val="en-US"/>
                </w:rPr>
                <w:t>NAM</w:t>
              </w:r>
              <w:r w:rsidRPr="00E600F4">
                <w:rPr>
                  <w:rStyle w:val="Hyperlink"/>
                  <w:szCs w:val="20"/>
                  <w:lang w:val="en-US"/>
                </w:rPr>
                <w:t>/CO/4-5/Add.1</w:t>
              </w:r>
            </w:hyperlink>
            <w:r w:rsidRPr="009C4E47">
              <w:rPr>
                <w:szCs w:val="20"/>
                <w:lang w:val="en-US"/>
              </w:rPr>
              <w:t>)</w:t>
            </w:r>
          </w:p>
        </w:tc>
      </w:tr>
      <w:tr w:rsidR="005C3B55" w:rsidRPr="0089543A" w14:paraId="34505686" w14:textId="77777777" w:rsidTr="005C3B55">
        <w:trPr>
          <w:cantSplit/>
        </w:trPr>
        <w:tc>
          <w:tcPr>
            <w:tcW w:w="3660" w:type="dxa"/>
            <w:shd w:val="clear" w:color="auto" w:fill="auto"/>
            <w:vAlign w:val="bottom"/>
          </w:tcPr>
          <w:p w14:paraId="2289B99E" w14:textId="77777777" w:rsidR="005C3B55" w:rsidRPr="005C3B55" w:rsidRDefault="005C3B55" w:rsidP="005C3B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Cs w:val="20"/>
                <w:lang w:val="fr-FR"/>
              </w:rPr>
            </w:pPr>
            <w:r w:rsidRPr="005C3B55">
              <w:rPr>
                <w:szCs w:val="20"/>
                <w:lang w:val="fr-FR"/>
              </w:rPr>
              <w:t>Ouzbékistan</w:t>
            </w:r>
          </w:p>
        </w:tc>
        <w:tc>
          <w:tcPr>
            <w:tcW w:w="3660" w:type="dxa"/>
            <w:shd w:val="clear" w:color="auto" w:fill="auto"/>
            <w:vAlign w:val="bottom"/>
          </w:tcPr>
          <w:p w14:paraId="18A2B040" w14:textId="7A1F5FFD" w:rsidR="005C3B55" w:rsidRPr="009C4E47" w:rsidRDefault="005C3B55"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lang w:val="en-US"/>
              </w:rPr>
            </w:pPr>
            <w:r w:rsidRPr="009C4E47">
              <w:rPr>
                <w:szCs w:val="20"/>
                <w:lang w:val="en-US"/>
              </w:rPr>
              <w:t>(</w:t>
            </w:r>
            <w:hyperlink r:id="rId122" w:history="1">
              <w:r w:rsidRPr="008E2674">
                <w:rPr>
                  <w:rStyle w:val="Hyperlink"/>
                  <w:szCs w:val="20"/>
                  <w:lang w:val="en-US"/>
                </w:rPr>
                <w:t>CEDAW/C/UZB/CO/5/Add.1</w:t>
              </w:r>
            </w:hyperlink>
            <w:r w:rsidRPr="009C4E47">
              <w:rPr>
                <w:szCs w:val="20"/>
                <w:lang w:val="en-US"/>
              </w:rPr>
              <w:t>)</w:t>
            </w:r>
          </w:p>
        </w:tc>
      </w:tr>
      <w:tr w:rsidR="005C3B55" w:rsidRPr="0089543A" w14:paraId="7085EC75" w14:textId="77777777" w:rsidTr="005C3B55">
        <w:trPr>
          <w:cantSplit/>
        </w:trPr>
        <w:tc>
          <w:tcPr>
            <w:tcW w:w="3660" w:type="dxa"/>
            <w:shd w:val="clear" w:color="auto" w:fill="auto"/>
            <w:vAlign w:val="bottom"/>
          </w:tcPr>
          <w:p w14:paraId="09143344" w14:textId="77777777" w:rsidR="005C3B55" w:rsidRPr="005C3B55" w:rsidRDefault="005C3B55" w:rsidP="005C3B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Cs w:val="20"/>
                <w:lang w:val="fr-FR"/>
              </w:rPr>
            </w:pPr>
            <w:r w:rsidRPr="005C3B55">
              <w:rPr>
                <w:szCs w:val="20"/>
                <w:lang w:val="fr-FR"/>
              </w:rPr>
              <w:t>Pologne</w:t>
            </w:r>
          </w:p>
        </w:tc>
        <w:tc>
          <w:tcPr>
            <w:tcW w:w="3660" w:type="dxa"/>
            <w:shd w:val="clear" w:color="auto" w:fill="auto"/>
            <w:vAlign w:val="bottom"/>
          </w:tcPr>
          <w:p w14:paraId="66FF7059" w14:textId="20B2586F" w:rsidR="005C3B55" w:rsidRPr="009C4E47" w:rsidRDefault="005C3B55"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lang w:val="en-US"/>
              </w:rPr>
            </w:pPr>
            <w:r w:rsidRPr="009C4E47">
              <w:rPr>
                <w:szCs w:val="20"/>
                <w:lang w:val="en-US"/>
              </w:rPr>
              <w:t>(</w:t>
            </w:r>
            <w:hyperlink r:id="rId123" w:history="1">
              <w:r w:rsidRPr="008E2674">
                <w:rPr>
                  <w:rStyle w:val="Hyperlink"/>
                  <w:szCs w:val="20"/>
                  <w:lang w:val="en-US"/>
                </w:rPr>
                <w:t>CEDAW/C/POL/CO/7-8/Add.1</w:t>
              </w:r>
            </w:hyperlink>
            <w:r w:rsidRPr="009C4E47">
              <w:rPr>
                <w:szCs w:val="20"/>
                <w:lang w:val="en-US"/>
              </w:rPr>
              <w:t>)</w:t>
            </w:r>
          </w:p>
        </w:tc>
      </w:tr>
      <w:tr w:rsidR="005C3B55" w:rsidRPr="0089543A" w14:paraId="111A1D75" w14:textId="77777777" w:rsidTr="005C3B55">
        <w:trPr>
          <w:cantSplit/>
        </w:trPr>
        <w:tc>
          <w:tcPr>
            <w:tcW w:w="3660" w:type="dxa"/>
            <w:shd w:val="clear" w:color="auto" w:fill="auto"/>
            <w:vAlign w:val="bottom"/>
          </w:tcPr>
          <w:p w14:paraId="5CCD3472" w14:textId="77777777" w:rsidR="005C3B55" w:rsidRPr="005C3B55" w:rsidRDefault="005C3B55" w:rsidP="005C3B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Cs w:val="20"/>
                <w:lang w:val="fr-FR"/>
              </w:rPr>
            </w:pPr>
            <w:r w:rsidRPr="005C3B55">
              <w:rPr>
                <w:szCs w:val="20"/>
                <w:lang w:val="fr-FR"/>
              </w:rPr>
              <w:t>Portugal</w:t>
            </w:r>
          </w:p>
        </w:tc>
        <w:tc>
          <w:tcPr>
            <w:tcW w:w="3660" w:type="dxa"/>
            <w:shd w:val="clear" w:color="auto" w:fill="auto"/>
            <w:vAlign w:val="bottom"/>
          </w:tcPr>
          <w:p w14:paraId="4761E1A4" w14:textId="74F766F9" w:rsidR="005C3B55" w:rsidRPr="009C4E47" w:rsidRDefault="005C3B55" w:rsidP="00A11B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Cs w:val="20"/>
                <w:lang w:val="en-US"/>
              </w:rPr>
            </w:pPr>
            <w:r w:rsidRPr="009C4E47">
              <w:rPr>
                <w:szCs w:val="20"/>
                <w:lang w:val="en-US"/>
              </w:rPr>
              <w:t>(</w:t>
            </w:r>
            <w:hyperlink r:id="rId124" w:history="1">
              <w:r w:rsidRPr="008E2674">
                <w:rPr>
                  <w:rStyle w:val="Hyperlink"/>
                  <w:szCs w:val="20"/>
                  <w:lang w:val="en-US"/>
                </w:rPr>
                <w:t>CEDAW/C/PRT/CO/8-9/Add.1</w:t>
              </w:r>
            </w:hyperlink>
            <w:r w:rsidRPr="009C4E47">
              <w:rPr>
                <w:szCs w:val="20"/>
                <w:lang w:val="en-US"/>
              </w:rPr>
              <w:t>)</w:t>
            </w:r>
          </w:p>
        </w:tc>
      </w:tr>
    </w:tbl>
    <w:p w14:paraId="57D72ECB" w14:textId="021EBDA8" w:rsidR="005C3B55" w:rsidRPr="005C3B55" w:rsidRDefault="005C3B55" w:rsidP="005C3B55">
      <w:pPr>
        <w:pStyle w:val="SingleTxt"/>
        <w:spacing w:after="0" w:line="120" w:lineRule="exact"/>
        <w:rPr>
          <w:sz w:val="10"/>
          <w:lang w:val="en-US"/>
        </w:rPr>
      </w:pPr>
    </w:p>
    <w:p w14:paraId="705E769F" w14:textId="445FEEB7" w:rsidR="005C3B55" w:rsidRPr="005C3B55" w:rsidRDefault="005C3B55" w:rsidP="005C3B55">
      <w:pPr>
        <w:pStyle w:val="SingleTxt"/>
        <w:spacing w:after="0" w:line="120" w:lineRule="exact"/>
        <w:rPr>
          <w:sz w:val="10"/>
          <w:lang w:val="en-US"/>
        </w:rPr>
      </w:pPr>
    </w:p>
    <w:p w14:paraId="6433776B" w14:textId="78B0FDFA" w:rsidR="005C3B55" w:rsidRPr="00491296" w:rsidRDefault="005C3B55" w:rsidP="005C3B55">
      <w:pPr>
        <w:pStyle w:val="SingleTxt"/>
        <w:numPr>
          <w:ilvl w:val="0"/>
          <w:numId w:val="16"/>
        </w:numPr>
        <w:spacing w:line="240" w:lineRule="exact"/>
        <w:rPr>
          <w:lang w:val="fr-FR"/>
        </w:rPr>
      </w:pPr>
      <w:r>
        <w:rPr>
          <w:lang w:val="fr-FR"/>
        </w:rPr>
        <w:t xml:space="preserve">Le Comité a adressé un premier rappel aux Émirats arabes unis, </w:t>
      </w:r>
      <w:r w:rsidR="00D70B84">
        <w:rPr>
          <w:lang w:val="fr-FR"/>
        </w:rPr>
        <w:t xml:space="preserve">à la Fédération de Russie, </w:t>
      </w:r>
      <w:r>
        <w:rPr>
          <w:lang w:val="fr-FR"/>
        </w:rPr>
        <w:t>au Liban, au Libéria, à Madagascar, au Malawi et au Timor Leste et un deuxième rappel à la Gambie, à Saint-Vincent-et-les Grenadines et au Sénégal, États parties qui auraient déjà dû soumettre leur rapport de suivi.</w:t>
      </w:r>
    </w:p>
    <w:p w14:paraId="2F55B474" w14:textId="2C62A29C" w:rsidR="005C3B55" w:rsidRDefault="005C3B55" w:rsidP="005C3B55">
      <w:pPr>
        <w:pStyle w:val="SingleTxt"/>
        <w:numPr>
          <w:ilvl w:val="0"/>
          <w:numId w:val="16"/>
        </w:numPr>
        <w:spacing w:line="240" w:lineRule="exact"/>
        <w:rPr>
          <w:lang w:val="fr-FR"/>
        </w:rPr>
      </w:pPr>
      <w:r>
        <w:rPr>
          <w:lang w:val="fr-FR"/>
        </w:rPr>
        <w:t>La Rapporteuse chargée du suivi s</w:t>
      </w:r>
      <w:r w:rsidR="00265783">
        <w:rPr>
          <w:lang w:val="fr-FR"/>
        </w:rPr>
        <w:t>’</w:t>
      </w:r>
      <w:r>
        <w:rPr>
          <w:lang w:val="fr-FR"/>
        </w:rPr>
        <w:t>est entretenue avec des représentants de l</w:t>
      </w:r>
      <w:r w:rsidR="00265783">
        <w:rPr>
          <w:lang w:val="fr-FR"/>
        </w:rPr>
        <w:t>’</w:t>
      </w:r>
      <w:r>
        <w:rPr>
          <w:lang w:val="fr-FR"/>
        </w:rPr>
        <w:t>Azerbaïdjan, du Gabon, du Ghana, de la Guinée équatoriale et de l</w:t>
      </w:r>
      <w:r w:rsidR="00265783">
        <w:rPr>
          <w:lang w:val="fr-FR"/>
        </w:rPr>
        <w:t>’</w:t>
      </w:r>
      <w:r>
        <w:rPr>
          <w:lang w:val="fr-FR"/>
        </w:rPr>
        <w:t>Ouganda, États parties qui auraient déjà dû soumettre leur rapport de suivi.</w:t>
      </w:r>
    </w:p>
    <w:p w14:paraId="709582E6" w14:textId="7E542832" w:rsidR="005C3B55" w:rsidRDefault="005C3B55">
      <w:pPr>
        <w:spacing w:after="200" w:line="276" w:lineRule="auto"/>
        <w:rPr>
          <w:lang w:val="fr-FR"/>
        </w:rPr>
      </w:pPr>
      <w:r>
        <w:rPr>
          <w:lang w:val="fr-FR"/>
        </w:rPr>
        <w:br w:type="page"/>
      </w:r>
    </w:p>
    <w:p w14:paraId="4259A099" w14:textId="77777777" w:rsidR="005C3B55" w:rsidRPr="009C4E47" w:rsidRDefault="005C3B55" w:rsidP="005C3B55">
      <w:pPr>
        <w:pStyle w:val="HCh0"/>
        <w:ind w:left="1267" w:right="1260" w:hanging="1267"/>
        <w:rPr>
          <w:lang w:val="fr-FR"/>
        </w:rPr>
      </w:pPr>
      <w:r w:rsidRPr="009C4E47">
        <w:rPr>
          <w:lang w:val="fr-FR"/>
        </w:rPr>
        <w:lastRenderedPageBreak/>
        <w:t>Chapitre V</w:t>
      </w:r>
    </w:p>
    <w:p w14:paraId="0372E062" w14:textId="6D53DE64" w:rsidR="005C3B55" w:rsidRPr="009C4E47" w:rsidRDefault="005C3B55" w:rsidP="005C3B55">
      <w:pPr>
        <w:pStyle w:val="HCh0"/>
        <w:ind w:left="1267" w:right="1260" w:hanging="1267"/>
        <w:rPr>
          <w:lang w:val="fr-FR"/>
        </w:rPr>
      </w:pPr>
      <w:r w:rsidRPr="009C4E47">
        <w:rPr>
          <w:lang w:val="fr-FR"/>
        </w:rPr>
        <w:tab/>
      </w:r>
      <w:r w:rsidRPr="009C4E47">
        <w:rPr>
          <w:lang w:val="fr-FR"/>
        </w:rPr>
        <w:tab/>
        <w:t>Activités menées au titre du Protocole facultatif</w:t>
      </w:r>
    </w:p>
    <w:p w14:paraId="458784DC" w14:textId="6066CE72" w:rsidR="005C3B55" w:rsidRPr="009C4E47" w:rsidRDefault="005C3B55" w:rsidP="005C3B55">
      <w:pPr>
        <w:pStyle w:val="SingleTxt"/>
        <w:spacing w:after="0" w:line="120" w:lineRule="exact"/>
        <w:rPr>
          <w:sz w:val="10"/>
          <w:lang w:val="fr-FR"/>
        </w:rPr>
      </w:pPr>
    </w:p>
    <w:p w14:paraId="630AD5A9" w14:textId="6DA05718" w:rsidR="005C3B55" w:rsidRPr="009C4E47" w:rsidRDefault="005C3B55" w:rsidP="005C3B55">
      <w:pPr>
        <w:pStyle w:val="SingleTxt"/>
        <w:spacing w:after="0" w:line="120" w:lineRule="exact"/>
        <w:rPr>
          <w:sz w:val="10"/>
          <w:lang w:val="fr-FR"/>
        </w:rPr>
      </w:pPr>
    </w:p>
    <w:p w14:paraId="6916B810" w14:textId="468EFBBE" w:rsidR="005C3B55" w:rsidRDefault="005C3B55" w:rsidP="005C3B55">
      <w:pPr>
        <w:pStyle w:val="SingleTxt"/>
        <w:numPr>
          <w:ilvl w:val="0"/>
          <w:numId w:val="16"/>
        </w:numPr>
        <w:spacing w:line="240" w:lineRule="exact"/>
        <w:rPr>
          <w:lang w:val="fr-FR"/>
        </w:rPr>
      </w:pPr>
      <w:r w:rsidRPr="005C3B55">
        <w:rPr>
          <w:lang w:val="fr-FR"/>
        </w:rPr>
        <w:t>L</w:t>
      </w:r>
      <w:r w:rsidR="00265783">
        <w:rPr>
          <w:lang w:val="fr-FR"/>
        </w:rPr>
        <w:t>’</w:t>
      </w:r>
      <w:r w:rsidRPr="005C3B55">
        <w:rPr>
          <w:lang w:val="fr-FR"/>
        </w:rPr>
        <w:t>article 12 du Protocole facultatif dispose que le Comité résume dans son rapport annuel les activités qu</w:t>
      </w:r>
      <w:r w:rsidR="00265783">
        <w:rPr>
          <w:lang w:val="fr-FR"/>
        </w:rPr>
        <w:t>’</w:t>
      </w:r>
      <w:r w:rsidRPr="005C3B55">
        <w:rPr>
          <w:lang w:val="fr-FR"/>
        </w:rPr>
        <w:t>il a menées au titre du Protocole facultatif.</w:t>
      </w:r>
    </w:p>
    <w:p w14:paraId="3A6685BB" w14:textId="506CC3DF" w:rsidR="00BC3FAD" w:rsidRPr="00BC3FAD" w:rsidRDefault="00BC3FAD" w:rsidP="00BC3FAD">
      <w:pPr>
        <w:pStyle w:val="SingleTxt"/>
        <w:tabs>
          <w:tab w:val="clear" w:pos="1742"/>
        </w:tabs>
        <w:spacing w:after="0" w:line="120" w:lineRule="exact"/>
        <w:rPr>
          <w:sz w:val="10"/>
          <w:lang w:val="fr-FR"/>
        </w:rPr>
      </w:pPr>
    </w:p>
    <w:p w14:paraId="77A3267D" w14:textId="4A166C4C" w:rsidR="00BC3FAD" w:rsidRPr="00BC3FAD" w:rsidRDefault="00BC3FAD" w:rsidP="00BC3FAD">
      <w:pPr>
        <w:pStyle w:val="SingleTxt"/>
        <w:tabs>
          <w:tab w:val="clear" w:pos="1742"/>
        </w:tabs>
        <w:spacing w:after="0" w:line="120" w:lineRule="exact"/>
        <w:rPr>
          <w:sz w:val="10"/>
          <w:lang w:val="fr-FR"/>
        </w:rPr>
      </w:pPr>
    </w:p>
    <w:p w14:paraId="27A01AF3" w14:textId="5844B20E" w:rsidR="005C3B55" w:rsidRPr="005C3B55" w:rsidRDefault="005C3B55" w:rsidP="00BC3F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3B55">
        <w:rPr>
          <w:lang w:val="fr-FR"/>
        </w:rPr>
        <w:tab/>
        <w:t>A.</w:t>
      </w:r>
      <w:r w:rsidRPr="005C3B55">
        <w:rPr>
          <w:lang w:val="fr-FR"/>
        </w:rPr>
        <w:tab/>
        <w:t>Mesures prises par le Comité sur les questions relevant de l</w:t>
      </w:r>
      <w:r w:rsidR="00265783">
        <w:rPr>
          <w:lang w:val="fr-FR"/>
        </w:rPr>
        <w:t>’</w:t>
      </w:r>
      <w:r w:rsidRPr="005C3B55">
        <w:rPr>
          <w:lang w:val="fr-FR"/>
        </w:rPr>
        <w:t>article 2 du Protocole facultatif</w:t>
      </w:r>
    </w:p>
    <w:p w14:paraId="6CE44D01" w14:textId="48DBC1CC" w:rsidR="00BC3FAD" w:rsidRPr="00BC3FAD" w:rsidRDefault="00BC3FAD" w:rsidP="00BC3FAD">
      <w:pPr>
        <w:pStyle w:val="SingleTxt"/>
        <w:spacing w:after="0" w:line="120" w:lineRule="exact"/>
        <w:rPr>
          <w:sz w:val="10"/>
          <w:lang w:val="fr-FR"/>
        </w:rPr>
      </w:pPr>
    </w:p>
    <w:p w14:paraId="31A67DEF" w14:textId="77777777" w:rsidR="00BC3FAD" w:rsidRPr="00BC3FAD" w:rsidRDefault="00BC3FAD" w:rsidP="00BC3FAD">
      <w:pPr>
        <w:pStyle w:val="SingleTxt"/>
        <w:spacing w:after="0" w:line="120" w:lineRule="exact"/>
        <w:rPr>
          <w:sz w:val="10"/>
          <w:lang w:val="fr-FR"/>
        </w:rPr>
      </w:pPr>
    </w:p>
    <w:p w14:paraId="4436ADA6" w14:textId="7E9E56D4" w:rsidR="005C3B55" w:rsidRPr="005C3B55" w:rsidRDefault="005C3B55" w:rsidP="00BC3FAD">
      <w:pPr>
        <w:pStyle w:val="SingleTxt"/>
        <w:numPr>
          <w:ilvl w:val="0"/>
          <w:numId w:val="17"/>
        </w:numPr>
        <w:spacing w:line="240" w:lineRule="exact"/>
        <w:rPr>
          <w:lang w:val="fr-FR"/>
        </w:rPr>
      </w:pPr>
      <w:r w:rsidRPr="005C3B55">
        <w:rPr>
          <w:lang w:val="fr-FR"/>
        </w:rPr>
        <w:t>Les 26 février et 5 mars 2018, le Comité a examiné les activités menées au titre de l</w:t>
      </w:r>
      <w:r w:rsidR="00265783">
        <w:rPr>
          <w:lang w:val="fr-FR"/>
        </w:rPr>
        <w:t>’</w:t>
      </w:r>
      <w:r w:rsidRPr="005C3B55">
        <w:rPr>
          <w:lang w:val="fr-FR"/>
        </w:rPr>
        <w:t xml:space="preserve">article 2 du Protocole facultatif. </w:t>
      </w:r>
    </w:p>
    <w:p w14:paraId="00B09D30" w14:textId="7D26BE17" w:rsidR="005C3B55" w:rsidRPr="005C3B55" w:rsidRDefault="005C3B55" w:rsidP="00BC3FAD">
      <w:pPr>
        <w:pStyle w:val="SingleTxt"/>
        <w:numPr>
          <w:ilvl w:val="0"/>
          <w:numId w:val="17"/>
        </w:numPr>
        <w:spacing w:line="240" w:lineRule="exact"/>
        <w:rPr>
          <w:lang w:val="fr-FR"/>
        </w:rPr>
      </w:pPr>
      <w:r w:rsidRPr="005C3B55">
        <w:rPr>
          <w:lang w:val="fr-FR"/>
        </w:rPr>
        <w:t xml:space="preserve">Le Comité a approuvé le rapport du Groupe de travail des communications soumises en vertu du Protocole facultatif se rapportant à la Convention sur les travaux de sa quarantième session (voir https://bit.ly/2IAy00M). </w:t>
      </w:r>
    </w:p>
    <w:p w14:paraId="128AF2C9" w14:textId="064FCDD4" w:rsidR="005C3B55" w:rsidRDefault="005C3B55" w:rsidP="00BC3FAD">
      <w:pPr>
        <w:pStyle w:val="SingleTxt"/>
        <w:numPr>
          <w:ilvl w:val="0"/>
          <w:numId w:val="17"/>
        </w:numPr>
        <w:spacing w:line="240" w:lineRule="exact"/>
        <w:rPr>
          <w:lang w:val="fr-FR"/>
        </w:rPr>
      </w:pPr>
      <w:r w:rsidRPr="005C3B55">
        <w:rPr>
          <w:lang w:val="fr-FR"/>
        </w:rPr>
        <w:t>Le Comité a adopté des décisions finales concernant quatre communications émanant de particuliers soumises en vertu de l</w:t>
      </w:r>
      <w:r w:rsidR="00265783">
        <w:rPr>
          <w:lang w:val="fr-FR"/>
        </w:rPr>
        <w:t>’</w:t>
      </w:r>
      <w:r w:rsidRPr="005C3B55">
        <w:rPr>
          <w:lang w:val="fr-FR"/>
        </w:rPr>
        <w:t>article 2 du Protocole facultatif. Dans les constatations qu</w:t>
      </w:r>
      <w:r w:rsidR="00265783">
        <w:rPr>
          <w:lang w:val="fr-FR"/>
        </w:rPr>
        <w:t>’</w:t>
      </w:r>
      <w:r w:rsidRPr="005C3B55">
        <w:rPr>
          <w:lang w:val="fr-FR"/>
        </w:rPr>
        <w:t xml:space="preserve">il a adoptées au sujet des affaires </w:t>
      </w:r>
      <w:r w:rsidRPr="005C3B55">
        <w:rPr>
          <w:i/>
          <w:iCs/>
          <w:lang w:val="fr-FR"/>
        </w:rPr>
        <w:t>X </w:t>
      </w:r>
      <w:r w:rsidRPr="005C3B55">
        <w:rPr>
          <w:lang w:val="fr-FR"/>
        </w:rPr>
        <w:t xml:space="preserve">c. </w:t>
      </w:r>
      <w:r w:rsidRPr="005C3B55">
        <w:rPr>
          <w:i/>
          <w:iCs/>
          <w:lang w:val="fr-FR"/>
        </w:rPr>
        <w:t>Timor-Leste</w:t>
      </w:r>
      <w:r w:rsidRPr="005C3B55">
        <w:rPr>
          <w:lang w:val="fr-FR"/>
        </w:rPr>
        <w:t xml:space="preserve"> (</w:t>
      </w:r>
      <w:hyperlink r:id="rId125" w:history="1">
        <w:r w:rsidRPr="008E2674">
          <w:rPr>
            <w:rStyle w:val="Hyperlink"/>
            <w:lang w:val="fr-FR"/>
          </w:rPr>
          <w:t>CEDAW/C/69/D/88/2015</w:t>
        </w:r>
      </w:hyperlink>
      <w:r w:rsidRPr="005C3B55">
        <w:rPr>
          <w:lang w:val="fr-FR"/>
        </w:rPr>
        <w:t xml:space="preserve">) et </w:t>
      </w:r>
      <w:r w:rsidRPr="005C3B55">
        <w:rPr>
          <w:i/>
          <w:iCs/>
          <w:lang w:val="fr-FR"/>
        </w:rPr>
        <w:t xml:space="preserve">J.I. </w:t>
      </w:r>
      <w:r w:rsidRPr="005C3B55">
        <w:rPr>
          <w:lang w:val="fr-FR"/>
        </w:rPr>
        <w:t xml:space="preserve">c. </w:t>
      </w:r>
      <w:r w:rsidRPr="005C3B55">
        <w:rPr>
          <w:i/>
          <w:iCs/>
          <w:lang w:val="fr-FR"/>
        </w:rPr>
        <w:t>Finlande</w:t>
      </w:r>
      <w:r w:rsidRPr="005C3B55">
        <w:rPr>
          <w:lang w:val="fr-FR"/>
        </w:rPr>
        <w:t xml:space="preserve"> (</w:t>
      </w:r>
      <w:hyperlink r:id="rId126" w:history="1">
        <w:r w:rsidRPr="008E2674">
          <w:rPr>
            <w:rStyle w:val="Hyperlink"/>
            <w:lang w:val="fr-FR"/>
          </w:rPr>
          <w:t>CEDAW/C/69/D/103/2016</w:t>
        </w:r>
      </w:hyperlink>
      <w:r w:rsidRPr="005C3B55">
        <w:rPr>
          <w:lang w:val="fr-FR"/>
        </w:rPr>
        <w:t xml:space="preserve">), il a conclu à une violation des droits des intéressées. En ce qui concerne les affaires </w:t>
      </w:r>
      <w:r w:rsidRPr="005C3B55">
        <w:rPr>
          <w:i/>
          <w:iCs/>
          <w:lang w:val="fr-FR"/>
        </w:rPr>
        <w:t>A.S.</w:t>
      </w:r>
      <w:r w:rsidRPr="005C3B55">
        <w:rPr>
          <w:lang w:val="fr-FR"/>
        </w:rPr>
        <w:t xml:space="preserve"> c. </w:t>
      </w:r>
      <w:r w:rsidRPr="005C3B55">
        <w:rPr>
          <w:i/>
          <w:iCs/>
          <w:lang w:val="fr-FR"/>
        </w:rPr>
        <w:t>Danemark</w:t>
      </w:r>
      <w:r w:rsidRPr="005C3B55">
        <w:rPr>
          <w:lang w:val="fr-FR"/>
        </w:rPr>
        <w:t xml:space="preserve"> (</w:t>
      </w:r>
      <w:hyperlink r:id="rId127" w:history="1">
        <w:r w:rsidRPr="008E2674">
          <w:rPr>
            <w:rStyle w:val="Hyperlink"/>
            <w:lang w:val="fr-FR"/>
          </w:rPr>
          <w:t>CEDAW/C/69/D/80/2015</w:t>
        </w:r>
      </w:hyperlink>
      <w:r w:rsidRPr="005C3B55">
        <w:rPr>
          <w:lang w:val="fr-FR"/>
        </w:rPr>
        <w:t xml:space="preserve">) et </w:t>
      </w:r>
      <w:r w:rsidRPr="005C3B55">
        <w:rPr>
          <w:i/>
          <w:iCs/>
          <w:lang w:val="fr-FR"/>
        </w:rPr>
        <w:t>S.F.A.</w:t>
      </w:r>
      <w:r w:rsidRPr="005C3B55">
        <w:rPr>
          <w:lang w:val="fr-FR"/>
        </w:rPr>
        <w:t xml:space="preserve"> c. </w:t>
      </w:r>
      <w:r w:rsidRPr="005C3B55">
        <w:rPr>
          <w:i/>
          <w:iCs/>
          <w:lang w:val="fr-FR"/>
        </w:rPr>
        <w:t>Danemark</w:t>
      </w:r>
      <w:r w:rsidRPr="005C3B55">
        <w:rPr>
          <w:lang w:val="fr-FR"/>
        </w:rPr>
        <w:t xml:space="preserve"> (</w:t>
      </w:r>
      <w:hyperlink r:id="rId128" w:history="1">
        <w:r w:rsidRPr="008E2674">
          <w:rPr>
            <w:rStyle w:val="Hyperlink"/>
            <w:lang w:val="fr-FR"/>
          </w:rPr>
          <w:t>CEDAW/C/69/D/85/2015</w:t>
        </w:r>
      </w:hyperlink>
      <w:r w:rsidRPr="005C3B55">
        <w:rPr>
          <w:lang w:val="fr-FR"/>
        </w:rPr>
        <w:t>), il a adopté des décisions d</w:t>
      </w:r>
      <w:r w:rsidR="00265783">
        <w:rPr>
          <w:lang w:val="fr-FR"/>
        </w:rPr>
        <w:t>’</w:t>
      </w:r>
      <w:r w:rsidRPr="005C3B55">
        <w:rPr>
          <w:lang w:val="fr-FR"/>
        </w:rPr>
        <w:t>irrecevabilité. Toutes les décisions ont été adoptées par consensus.</w:t>
      </w:r>
    </w:p>
    <w:p w14:paraId="1665CDA4" w14:textId="1C9B6423" w:rsidR="00BC3FAD" w:rsidRPr="00BC3FAD" w:rsidRDefault="00BC3FAD" w:rsidP="00BC3FAD">
      <w:pPr>
        <w:pStyle w:val="SingleTxt"/>
        <w:spacing w:after="0" w:line="120" w:lineRule="exact"/>
        <w:rPr>
          <w:sz w:val="10"/>
          <w:lang w:val="fr-FR"/>
        </w:rPr>
      </w:pPr>
    </w:p>
    <w:p w14:paraId="105D5A33" w14:textId="07A3D4DD" w:rsidR="00BC3FAD" w:rsidRPr="00BC3FAD" w:rsidRDefault="00BC3FAD" w:rsidP="00BC3FAD">
      <w:pPr>
        <w:pStyle w:val="SingleTxt"/>
        <w:spacing w:after="0" w:line="120" w:lineRule="exact"/>
        <w:rPr>
          <w:sz w:val="10"/>
          <w:lang w:val="fr-FR"/>
        </w:rPr>
      </w:pPr>
    </w:p>
    <w:p w14:paraId="7790D346" w14:textId="77777777" w:rsidR="005C3B55" w:rsidRPr="005C3B55" w:rsidRDefault="005C3B55" w:rsidP="00BC3F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3B55">
        <w:rPr>
          <w:lang w:val="fr-FR"/>
        </w:rPr>
        <w:tab/>
        <w:t>B.</w:t>
      </w:r>
      <w:r w:rsidRPr="005C3B55">
        <w:rPr>
          <w:lang w:val="fr-FR"/>
        </w:rPr>
        <w:tab/>
        <w:t>Suite donnée aux constatations du Comité sur les communications émanant de particuliers</w:t>
      </w:r>
    </w:p>
    <w:p w14:paraId="6C77E622" w14:textId="414A3AA6" w:rsidR="00BC3FAD" w:rsidRPr="00BC3FAD" w:rsidRDefault="00BC3FAD" w:rsidP="00BC3FAD">
      <w:pPr>
        <w:pStyle w:val="SingleTxt"/>
        <w:spacing w:after="0" w:line="120" w:lineRule="exact"/>
        <w:rPr>
          <w:sz w:val="10"/>
          <w:lang w:val="fr-FR"/>
        </w:rPr>
      </w:pPr>
    </w:p>
    <w:p w14:paraId="57B8CF24" w14:textId="6388243E" w:rsidR="00BC3FAD" w:rsidRPr="00BC3FAD" w:rsidRDefault="00BC3FAD" w:rsidP="00BC3FAD">
      <w:pPr>
        <w:pStyle w:val="SingleTxt"/>
        <w:spacing w:after="0" w:line="120" w:lineRule="exact"/>
        <w:rPr>
          <w:sz w:val="10"/>
          <w:lang w:val="fr-FR"/>
        </w:rPr>
      </w:pPr>
    </w:p>
    <w:p w14:paraId="0A060A00" w14:textId="24AFE57B" w:rsidR="005C3B55" w:rsidRDefault="005C3B55" w:rsidP="00BC3FAD">
      <w:pPr>
        <w:pStyle w:val="SingleTxt"/>
        <w:numPr>
          <w:ilvl w:val="0"/>
          <w:numId w:val="17"/>
        </w:numPr>
        <w:spacing w:line="240" w:lineRule="exact"/>
        <w:rPr>
          <w:lang w:val="fr-FR"/>
        </w:rPr>
      </w:pPr>
      <w:r w:rsidRPr="005C3B55">
        <w:rPr>
          <w:lang w:val="fr-FR"/>
        </w:rPr>
        <w:t>Le Comité a été informé que le Groupe de travail s</w:t>
      </w:r>
      <w:r w:rsidR="00265783">
        <w:rPr>
          <w:lang w:val="fr-FR"/>
        </w:rPr>
        <w:t>’</w:t>
      </w:r>
      <w:r w:rsidRPr="005C3B55">
        <w:rPr>
          <w:lang w:val="fr-FR"/>
        </w:rPr>
        <w:t>était penché, à sa quarantième session, sur l</w:t>
      </w:r>
      <w:r w:rsidR="00265783">
        <w:rPr>
          <w:lang w:val="fr-FR"/>
        </w:rPr>
        <w:t>’</w:t>
      </w:r>
      <w:r w:rsidRPr="005C3B55">
        <w:rPr>
          <w:lang w:val="fr-FR"/>
        </w:rPr>
        <w:t>état du suivi de chaque affaire pour laquelle un dialogue était en cours et s</w:t>
      </w:r>
      <w:r w:rsidR="00265783">
        <w:rPr>
          <w:lang w:val="fr-FR"/>
        </w:rPr>
        <w:t>’</w:t>
      </w:r>
      <w:r w:rsidRPr="005C3B55">
        <w:rPr>
          <w:lang w:val="fr-FR"/>
        </w:rPr>
        <w:t>était prononcé sur les mesures à prendre. Sur les 15 affaires en cours d</w:t>
      </w:r>
      <w:r w:rsidR="00265783">
        <w:rPr>
          <w:lang w:val="fr-FR"/>
        </w:rPr>
        <w:t>’</w:t>
      </w:r>
      <w:r w:rsidRPr="005C3B55">
        <w:rPr>
          <w:lang w:val="fr-FR"/>
        </w:rPr>
        <w:t>examen, deux concernaient la Fédération de Russie, une le Brésil, une le Canada, une le Danemark, une l</w:t>
      </w:r>
      <w:r w:rsidR="00265783">
        <w:rPr>
          <w:lang w:val="fr-FR"/>
        </w:rPr>
        <w:t>’</w:t>
      </w:r>
      <w:r w:rsidRPr="005C3B55">
        <w:rPr>
          <w:lang w:val="fr-FR"/>
        </w:rPr>
        <w:t>Espagne, une la Géorgie, une le Kazakhstan, une le Mexique, une la République de Moldova, une les Pays-Bas, une le Pérou, une les Philippines, une la République-Unie de Tanzanie et une la Slovaquie.</w:t>
      </w:r>
    </w:p>
    <w:p w14:paraId="00437A23" w14:textId="16C538D4" w:rsidR="00BC3FAD" w:rsidRPr="00BC3FAD" w:rsidRDefault="00BC3FAD" w:rsidP="00BC3FAD">
      <w:pPr>
        <w:pStyle w:val="SingleTxt"/>
        <w:spacing w:after="0" w:line="120" w:lineRule="exact"/>
        <w:rPr>
          <w:sz w:val="10"/>
          <w:lang w:val="fr-FR"/>
        </w:rPr>
      </w:pPr>
    </w:p>
    <w:p w14:paraId="2721CAF3" w14:textId="7674A6D3" w:rsidR="00BC3FAD" w:rsidRPr="00BC3FAD" w:rsidRDefault="00BC3FAD" w:rsidP="00BC3FAD">
      <w:pPr>
        <w:pStyle w:val="SingleTxt"/>
        <w:spacing w:after="0" w:line="120" w:lineRule="exact"/>
        <w:rPr>
          <w:sz w:val="10"/>
          <w:lang w:val="fr-FR"/>
        </w:rPr>
      </w:pPr>
    </w:p>
    <w:p w14:paraId="24BA4A8A" w14:textId="1D15357A" w:rsidR="005C3B55" w:rsidRDefault="005C3B55" w:rsidP="00BC3F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3B55">
        <w:rPr>
          <w:lang w:val="fr-FR"/>
        </w:rPr>
        <w:tab/>
        <w:t>C.</w:t>
      </w:r>
      <w:r w:rsidRPr="005C3B55">
        <w:rPr>
          <w:lang w:val="fr-FR"/>
        </w:rPr>
        <w:tab/>
        <w:t>Mesures prises par le Comité sur les questions relevant de l</w:t>
      </w:r>
      <w:r w:rsidR="00265783">
        <w:rPr>
          <w:lang w:val="fr-FR"/>
        </w:rPr>
        <w:t>’</w:t>
      </w:r>
      <w:r w:rsidRPr="005C3B55">
        <w:rPr>
          <w:lang w:val="fr-FR"/>
        </w:rPr>
        <w:t>article 8 du Protocole facultatif</w:t>
      </w:r>
    </w:p>
    <w:p w14:paraId="5812731E" w14:textId="7537CF2C" w:rsidR="00BC3FAD" w:rsidRPr="00BC3FAD" w:rsidRDefault="00BC3FAD" w:rsidP="00BC3FAD">
      <w:pPr>
        <w:pStyle w:val="SingleTxt"/>
        <w:spacing w:after="0" w:line="120" w:lineRule="exact"/>
        <w:rPr>
          <w:sz w:val="10"/>
          <w:lang w:val="fr-FR"/>
        </w:rPr>
      </w:pPr>
    </w:p>
    <w:p w14:paraId="7913D48D" w14:textId="1055980A" w:rsidR="00BC3FAD" w:rsidRPr="00BC3FAD" w:rsidRDefault="00BC3FAD" w:rsidP="00BC3FAD">
      <w:pPr>
        <w:pStyle w:val="SingleTxt"/>
        <w:spacing w:after="0" w:line="120" w:lineRule="exact"/>
        <w:rPr>
          <w:sz w:val="10"/>
          <w:lang w:val="fr-FR"/>
        </w:rPr>
      </w:pPr>
    </w:p>
    <w:p w14:paraId="19CA4DE0" w14:textId="1B6A0243" w:rsidR="005C3B55" w:rsidRPr="005C3B55" w:rsidRDefault="005C3B55" w:rsidP="00BC3FAD">
      <w:pPr>
        <w:pStyle w:val="SingleTxt"/>
        <w:numPr>
          <w:ilvl w:val="0"/>
          <w:numId w:val="17"/>
        </w:numPr>
        <w:spacing w:line="240" w:lineRule="exact"/>
        <w:rPr>
          <w:lang w:val="fr-FR"/>
        </w:rPr>
      </w:pPr>
      <w:r w:rsidRPr="005C3B55">
        <w:rPr>
          <w:lang w:val="fr-FR"/>
        </w:rPr>
        <w:t>Le 1</w:t>
      </w:r>
      <w:r w:rsidRPr="005C3B55">
        <w:rPr>
          <w:vertAlign w:val="superscript"/>
          <w:lang w:val="fr-FR"/>
        </w:rPr>
        <w:t>er</w:t>
      </w:r>
      <w:r w:rsidRPr="005C3B55">
        <w:rPr>
          <w:lang w:val="fr-FR"/>
        </w:rPr>
        <w:t xml:space="preserve"> mars 2018, le Comité a examiné les activités menées au titre de l</w:t>
      </w:r>
      <w:r w:rsidR="00265783">
        <w:rPr>
          <w:lang w:val="fr-FR"/>
        </w:rPr>
        <w:t>’</w:t>
      </w:r>
      <w:r w:rsidRPr="005C3B55">
        <w:rPr>
          <w:lang w:val="fr-FR"/>
        </w:rPr>
        <w:t>article 8 du Protocole facultatif. Il a approuvé le rapport du Groupe de travail chargé des enquêtes menées au titre du Protocole facultatif sur les travaux de sa neuvième session (voir https://bit.ly/2HlrwDp).</w:t>
      </w:r>
    </w:p>
    <w:p w14:paraId="011A57A1" w14:textId="525B0CEE" w:rsidR="005C3B55" w:rsidRPr="005C3B55" w:rsidRDefault="005C3B55" w:rsidP="00BC3FAD">
      <w:pPr>
        <w:pStyle w:val="SingleTxt"/>
        <w:numPr>
          <w:ilvl w:val="0"/>
          <w:numId w:val="17"/>
        </w:numPr>
        <w:spacing w:line="240" w:lineRule="exact"/>
        <w:rPr>
          <w:lang w:val="fr-FR"/>
        </w:rPr>
      </w:pPr>
      <w:r w:rsidRPr="005C3B55">
        <w:rPr>
          <w:lang w:val="fr-FR"/>
        </w:rPr>
        <w:t>Le Comité a adopté la recommandation du Groupe de travail tendant à ce que, au sujet de la requête n</w:t>
      </w:r>
      <w:r w:rsidRPr="005C3B55">
        <w:rPr>
          <w:vertAlign w:val="superscript"/>
          <w:lang w:val="fr-FR"/>
        </w:rPr>
        <w:t>o</w:t>
      </w:r>
      <w:r w:rsidRPr="005C3B55">
        <w:rPr>
          <w:lang w:val="fr-FR"/>
        </w:rPr>
        <w:t xml:space="preserve"> 2017/3, il soit demandé à l</w:t>
      </w:r>
      <w:r w:rsidR="00265783">
        <w:rPr>
          <w:lang w:val="fr-FR"/>
        </w:rPr>
        <w:t>’</w:t>
      </w:r>
      <w:r w:rsidRPr="005C3B55">
        <w:rPr>
          <w:lang w:val="fr-FR"/>
        </w:rPr>
        <w:t>État partie concerné de présenter ses observations concernant les informations reçues par le Comité au titre de l</w:t>
      </w:r>
      <w:r w:rsidR="00265783">
        <w:rPr>
          <w:lang w:val="fr-FR"/>
        </w:rPr>
        <w:t>’</w:t>
      </w:r>
      <w:r w:rsidRPr="005C3B55">
        <w:rPr>
          <w:lang w:val="fr-FR"/>
        </w:rPr>
        <w:t>article 8 du Protocole facultatif.</w:t>
      </w:r>
    </w:p>
    <w:p w14:paraId="6AA07960" w14:textId="06CAE314" w:rsidR="005C3B55" w:rsidRPr="005C3B55" w:rsidRDefault="005C3B55" w:rsidP="00BC3FAD">
      <w:pPr>
        <w:pStyle w:val="SingleTxt"/>
        <w:numPr>
          <w:ilvl w:val="0"/>
          <w:numId w:val="17"/>
        </w:numPr>
        <w:spacing w:line="240" w:lineRule="exact"/>
        <w:rPr>
          <w:lang w:val="fr-FR"/>
        </w:rPr>
      </w:pPr>
      <w:r w:rsidRPr="005C3B55">
        <w:rPr>
          <w:lang w:val="fr-FR"/>
        </w:rPr>
        <w:t>Le Comité a adopté ses conclusions, observations et recommandations concernant la requête n</w:t>
      </w:r>
      <w:r w:rsidRPr="005C3B55">
        <w:rPr>
          <w:vertAlign w:val="superscript"/>
          <w:lang w:val="fr-FR"/>
        </w:rPr>
        <w:t>o</w:t>
      </w:r>
      <w:r w:rsidRPr="005C3B55">
        <w:rPr>
          <w:lang w:val="fr-FR"/>
        </w:rPr>
        <w:t xml:space="preserve"> 2014/1 et décidé de les transmettre à l</w:t>
      </w:r>
      <w:r w:rsidR="00265783">
        <w:rPr>
          <w:lang w:val="fr-FR"/>
        </w:rPr>
        <w:t>’</w:t>
      </w:r>
      <w:r w:rsidRPr="005C3B55">
        <w:rPr>
          <w:lang w:val="fr-FR"/>
        </w:rPr>
        <w:t>État partie concerné.</w:t>
      </w:r>
    </w:p>
    <w:p w14:paraId="295D596E" w14:textId="4265058E" w:rsidR="005C3B55" w:rsidRPr="005C3B55" w:rsidRDefault="005C3B55" w:rsidP="00BC3FAD">
      <w:pPr>
        <w:pStyle w:val="SingleTxt"/>
        <w:numPr>
          <w:ilvl w:val="0"/>
          <w:numId w:val="17"/>
        </w:numPr>
        <w:spacing w:line="240" w:lineRule="exact"/>
        <w:rPr>
          <w:lang w:val="fr-FR"/>
        </w:rPr>
      </w:pPr>
      <w:r w:rsidRPr="005C3B55">
        <w:rPr>
          <w:lang w:val="fr-FR"/>
        </w:rPr>
        <w:t>Le Comité a également adopté les décisions suivantes :</w:t>
      </w:r>
    </w:p>
    <w:p w14:paraId="7D3C9212" w14:textId="31A021FC" w:rsidR="005C3B55" w:rsidRPr="005C3B55" w:rsidRDefault="005C3B55" w:rsidP="005C3B55">
      <w:pPr>
        <w:pStyle w:val="SingleTxt"/>
        <w:rPr>
          <w:lang w:val="fr-FR"/>
        </w:rPr>
      </w:pPr>
      <w:r w:rsidRPr="005C3B55">
        <w:rPr>
          <w:lang w:val="fr-FR"/>
        </w:rPr>
        <w:lastRenderedPageBreak/>
        <w:tab/>
        <w:t>a)</w:t>
      </w:r>
      <w:r w:rsidRPr="005C3B55">
        <w:rPr>
          <w:lang w:val="fr-FR"/>
        </w:rPr>
        <w:tab/>
        <w:t>En ce qui concerne la requête n</w:t>
      </w:r>
      <w:r w:rsidRPr="005C3B55">
        <w:rPr>
          <w:vertAlign w:val="superscript"/>
          <w:lang w:val="fr-FR"/>
        </w:rPr>
        <w:t>o</w:t>
      </w:r>
      <w:r w:rsidRPr="005C3B55">
        <w:rPr>
          <w:lang w:val="fr-FR"/>
        </w:rPr>
        <w:t xml:space="preserve"> 2013/1, adresser à l</w:t>
      </w:r>
      <w:r w:rsidR="00265783">
        <w:rPr>
          <w:lang w:val="fr-FR"/>
        </w:rPr>
        <w:t>’</w:t>
      </w:r>
      <w:r w:rsidRPr="005C3B55">
        <w:rPr>
          <w:lang w:val="fr-FR"/>
        </w:rPr>
        <w:t>État partie un dernier rappel au sujet de la demande faite par le Comité d</w:t>
      </w:r>
      <w:r w:rsidR="00265783">
        <w:rPr>
          <w:lang w:val="fr-FR"/>
        </w:rPr>
        <w:t>’</w:t>
      </w:r>
      <w:r w:rsidRPr="005C3B55">
        <w:rPr>
          <w:lang w:val="fr-FR"/>
        </w:rPr>
        <w:t>effectuer une mission sur son territoire</w:t>
      </w:r>
      <w:r w:rsidR="00AD061C">
        <w:rPr>
          <w:lang w:val="fr-FR"/>
        </w:rPr>
        <w:t xml:space="preserve"> </w:t>
      </w:r>
      <w:r w:rsidR="00D83EA9">
        <w:rPr>
          <w:lang w:val="fr-FR"/>
        </w:rPr>
        <w:t>;</w:t>
      </w:r>
    </w:p>
    <w:p w14:paraId="17BCB6D3" w14:textId="77777777" w:rsidR="005C3B55" w:rsidRPr="005C3B55" w:rsidRDefault="005C3B55" w:rsidP="005C3B55">
      <w:pPr>
        <w:pStyle w:val="SingleTxt"/>
        <w:rPr>
          <w:lang w:val="fr-FR"/>
        </w:rPr>
      </w:pPr>
      <w:r w:rsidRPr="005C3B55">
        <w:rPr>
          <w:lang w:val="fr-FR"/>
        </w:rPr>
        <w:tab/>
        <w:t>b)</w:t>
      </w:r>
      <w:r w:rsidRPr="005C3B55">
        <w:rPr>
          <w:lang w:val="fr-FR"/>
        </w:rPr>
        <w:tab/>
        <w:t>Approuver les amendements aux directives générales proposés par le Groupe de travail.</w:t>
      </w:r>
    </w:p>
    <w:p w14:paraId="3DBE80EA" w14:textId="77777777" w:rsidR="005C3B55" w:rsidRPr="005C3B55" w:rsidRDefault="005C3B55" w:rsidP="005C3B55">
      <w:pPr>
        <w:pStyle w:val="SingleTxt"/>
        <w:spacing w:line="240" w:lineRule="exact"/>
        <w:rPr>
          <w:b/>
          <w:bCs/>
          <w:lang w:val="fr-FR"/>
        </w:rPr>
      </w:pPr>
      <w:r w:rsidRPr="005C3B55">
        <w:rPr>
          <w:bCs/>
          <w:lang w:val="fr-FR"/>
        </w:rPr>
        <w:br w:type="page"/>
      </w:r>
    </w:p>
    <w:p w14:paraId="506456B1" w14:textId="77777777" w:rsidR="005C3B55" w:rsidRPr="009C4E47" w:rsidRDefault="005C3B55" w:rsidP="00BC3FAD">
      <w:pPr>
        <w:pStyle w:val="HCh0"/>
        <w:ind w:left="1267" w:right="1260" w:hanging="1267"/>
        <w:rPr>
          <w:lang w:val="fr-FR"/>
        </w:rPr>
      </w:pPr>
      <w:r w:rsidRPr="009C4E47">
        <w:rPr>
          <w:lang w:val="fr-FR"/>
        </w:rPr>
        <w:lastRenderedPageBreak/>
        <w:t>Chapitre VI</w:t>
      </w:r>
    </w:p>
    <w:p w14:paraId="345E9B4B" w14:textId="0843AE1E" w:rsidR="005C3B55" w:rsidRPr="009C4E47" w:rsidRDefault="005C3B55" w:rsidP="00BC3FAD">
      <w:pPr>
        <w:pStyle w:val="HCh0"/>
        <w:ind w:left="1267" w:right="1260" w:hanging="1267"/>
        <w:rPr>
          <w:lang w:val="fr-FR"/>
        </w:rPr>
      </w:pPr>
      <w:r w:rsidRPr="009C4E47">
        <w:rPr>
          <w:lang w:val="fr-FR"/>
        </w:rPr>
        <w:tab/>
      </w:r>
      <w:r w:rsidRPr="009C4E47">
        <w:rPr>
          <w:lang w:val="fr-FR"/>
        </w:rPr>
        <w:tab/>
        <w:t>Moyens d</w:t>
      </w:r>
      <w:r w:rsidR="00265783">
        <w:rPr>
          <w:lang w:val="fr-FR"/>
        </w:rPr>
        <w:t>’</w:t>
      </w:r>
      <w:r w:rsidRPr="009C4E47">
        <w:rPr>
          <w:lang w:val="fr-FR"/>
        </w:rPr>
        <w:t>accélérer les travaux du Comité</w:t>
      </w:r>
    </w:p>
    <w:p w14:paraId="1F98D428" w14:textId="473EB137" w:rsidR="00BC3FAD" w:rsidRPr="009C4E47" w:rsidRDefault="00BC3FAD" w:rsidP="00BC3FAD">
      <w:pPr>
        <w:pStyle w:val="SingleTxt"/>
        <w:spacing w:after="0" w:line="120" w:lineRule="exact"/>
        <w:rPr>
          <w:sz w:val="10"/>
          <w:lang w:val="fr-FR"/>
        </w:rPr>
      </w:pPr>
    </w:p>
    <w:p w14:paraId="4B2177ED" w14:textId="6F801CCE" w:rsidR="00BC3FAD" w:rsidRPr="009C4E47" w:rsidRDefault="00BC3FAD" w:rsidP="00BC3FAD">
      <w:pPr>
        <w:pStyle w:val="SingleTxt"/>
        <w:spacing w:after="0" w:line="120" w:lineRule="exact"/>
        <w:rPr>
          <w:sz w:val="10"/>
          <w:lang w:val="fr-FR"/>
        </w:rPr>
      </w:pPr>
    </w:p>
    <w:p w14:paraId="2C7861AA" w14:textId="26CEFFC3" w:rsidR="005C3B55" w:rsidRDefault="005C3B55" w:rsidP="00BC3FAD">
      <w:pPr>
        <w:pStyle w:val="SingleTxt"/>
        <w:numPr>
          <w:ilvl w:val="0"/>
          <w:numId w:val="17"/>
        </w:numPr>
        <w:spacing w:line="240" w:lineRule="exact"/>
        <w:rPr>
          <w:lang w:val="fr-FR"/>
        </w:rPr>
      </w:pPr>
      <w:r w:rsidRPr="005C3B55">
        <w:rPr>
          <w:lang w:val="fr-FR"/>
        </w:rPr>
        <w:t>Le secrétariat a indiqué au Comité ce qu</w:t>
      </w:r>
      <w:r w:rsidR="00265783">
        <w:rPr>
          <w:lang w:val="fr-FR"/>
        </w:rPr>
        <w:t>’</w:t>
      </w:r>
      <w:r w:rsidRPr="005C3B55">
        <w:rPr>
          <w:lang w:val="fr-FR"/>
        </w:rPr>
        <w:t>il en était des rapports qui auraient dû être soumis par les États parties en application de l</w:t>
      </w:r>
      <w:r w:rsidR="00265783">
        <w:rPr>
          <w:lang w:val="fr-FR"/>
        </w:rPr>
        <w:t>’</w:t>
      </w:r>
      <w:r w:rsidRPr="005C3B55">
        <w:rPr>
          <w:lang w:val="fr-FR"/>
        </w:rPr>
        <w:t>article 18 de la Convention.</w:t>
      </w:r>
    </w:p>
    <w:p w14:paraId="1F070CDC" w14:textId="6F356329" w:rsidR="00BC3FAD" w:rsidRPr="00BC3FAD" w:rsidRDefault="00BC3FAD" w:rsidP="00BC3FAD">
      <w:pPr>
        <w:pStyle w:val="SingleTxt"/>
        <w:tabs>
          <w:tab w:val="clear" w:pos="1742"/>
        </w:tabs>
        <w:spacing w:after="0" w:line="120" w:lineRule="exact"/>
        <w:rPr>
          <w:sz w:val="10"/>
          <w:lang w:val="fr-FR"/>
        </w:rPr>
      </w:pPr>
    </w:p>
    <w:p w14:paraId="6E2A07CA" w14:textId="360ADECC" w:rsidR="00BC3FAD" w:rsidRPr="00BC3FAD" w:rsidRDefault="00BC3FAD" w:rsidP="00BC3FAD">
      <w:pPr>
        <w:pStyle w:val="SingleTxt"/>
        <w:tabs>
          <w:tab w:val="clear" w:pos="1742"/>
        </w:tabs>
        <w:spacing w:after="0" w:line="120" w:lineRule="exact"/>
        <w:rPr>
          <w:sz w:val="10"/>
          <w:lang w:val="fr-FR"/>
        </w:rPr>
      </w:pPr>
    </w:p>
    <w:p w14:paraId="2147934C" w14:textId="42357948" w:rsidR="005C3B55" w:rsidRDefault="005C3B55" w:rsidP="00BC3F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3B55">
        <w:rPr>
          <w:lang w:val="fr-FR"/>
        </w:rPr>
        <w:tab/>
      </w:r>
      <w:r w:rsidRPr="005C3B55">
        <w:rPr>
          <w:lang w:val="fr-FR"/>
        </w:rPr>
        <w:tab/>
        <w:t>Mesures prises par le Comité au titre du point 7 de l</w:t>
      </w:r>
      <w:r w:rsidR="00265783">
        <w:rPr>
          <w:lang w:val="fr-FR"/>
        </w:rPr>
        <w:t>’</w:t>
      </w:r>
      <w:r w:rsidRPr="005C3B55">
        <w:rPr>
          <w:lang w:val="fr-FR"/>
        </w:rPr>
        <w:t>ordre du jour</w:t>
      </w:r>
    </w:p>
    <w:p w14:paraId="6DAB23CD" w14:textId="0E464902" w:rsidR="00BC3FAD" w:rsidRPr="00BC3FAD" w:rsidRDefault="00BC3FAD" w:rsidP="00BC3FAD">
      <w:pPr>
        <w:pStyle w:val="SingleTxt"/>
        <w:spacing w:after="0" w:line="120" w:lineRule="exact"/>
        <w:rPr>
          <w:sz w:val="10"/>
          <w:lang w:val="fr-FR"/>
        </w:rPr>
      </w:pPr>
    </w:p>
    <w:p w14:paraId="396B7791" w14:textId="30418734" w:rsidR="00BC3FAD" w:rsidRPr="00BC3FAD" w:rsidRDefault="00BC3FAD" w:rsidP="00BC3FAD">
      <w:pPr>
        <w:pStyle w:val="SingleTxt"/>
        <w:spacing w:after="0" w:line="120" w:lineRule="exact"/>
        <w:rPr>
          <w:sz w:val="10"/>
          <w:lang w:val="fr-FR"/>
        </w:rPr>
      </w:pPr>
    </w:p>
    <w:p w14:paraId="51EA8A99" w14:textId="77777777" w:rsidR="005C3B55" w:rsidRPr="005C3B55" w:rsidRDefault="005C3B55" w:rsidP="00BC3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3B55">
        <w:rPr>
          <w:lang w:val="fr-FR"/>
        </w:rPr>
        <w:tab/>
      </w:r>
      <w:r w:rsidRPr="005C3B55">
        <w:rPr>
          <w:lang w:val="fr-FR"/>
        </w:rPr>
        <w:tab/>
        <w:t xml:space="preserve">Dates des prochaines sessions </w:t>
      </w:r>
    </w:p>
    <w:p w14:paraId="671D808E" w14:textId="35A770BB" w:rsidR="00BC3FAD" w:rsidRPr="00BC3FAD" w:rsidRDefault="00BC3FAD" w:rsidP="00BC3FAD">
      <w:pPr>
        <w:pStyle w:val="SingleTxt"/>
        <w:spacing w:after="0" w:line="120" w:lineRule="exact"/>
        <w:rPr>
          <w:sz w:val="10"/>
          <w:lang w:val="fr-FR"/>
        </w:rPr>
      </w:pPr>
    </w:p>
    <w:p w14:paraId="2DD3EE11" w14:textId="59E88356" w:rsidR="005C3B55" w:rsidRPr="005C3B55" w:rsidRDefault="005C3B55" w:rsidP="00BC3FAD">
      <w:pPr>
        <w:pStyle w:val="SingleTxt"/>
        <w:numPr>
          <w:ilvl w:val="0"/>
          <w:numId w:val="17"/>
        </w:numPr>
        <w:spacing w:line="240" w:lineRule="exact"/>
        <w:rPr>
          <w:lang w:val="fr-FR"/>
        </w:rPr>
      </w:pPr>
      <w:r w:rsidRPr="005C3B55">
        <w:rPr>
          <w:lang w:val="fr-FR"/>
        </w:rPr>
        <w:t>Conformément au calendrier des conférences, les dates et lieux de réunion suivants ont été confirmés pour les soixante-dixième et soixante et onzième sessions et autres réunions connexes du Comité :</w:t>
      </w:r>
    </w:p>
    <w:p w14:paraId="3660DDE4" w14:textId="43F2A4B9" w:rsidR="005C3B55" w:rsidRPr="005C3B55" w:rsidRDefault="00BC3FAD" w:rsidP="00BC3FAD">
      <w:pPr>
        <w:pStyle w:val="SingleTxt"/>
        <w:rPr>
          <w:lang w:val="fr-FR"/>
        </w:rPr>
      </w:pPr>
      <w:r>
        <w:rPr>
          <w:lang w:val="fr-FR"/>
        </w:rPr>
        <w:tab/>
      </w:r>
      <w:r w:rsidR="005C3B55" w:rsidRPr="005C3B55">
        <w:rPr>
          <w:lang w:val="fr-FR"/>
        </w:rPr>
        <w:t>Soixante-dixième session (Genève)</w:t>
      </w:r>
    </w:p>
    <w:p w14:paraId="3D2D33E4" w14:textId="23C2BD9D" w:rsidR="005C3B55" w:rsidRPr="005C3B55" w:rsidRDefault="00BC3FAD" w:rsidP="00B71F06">
      <w:pPr>
        <w:pStyle w:val="SingleTxt"/>
        <w:tabs>
          <w:tab w:val="clear" w:pos="1267"/>
        </w:tabs>
        <w:ind w:left="2218" w:hanging="951"/>
        <w:rPr>
          <w:lang w:val="fr-FR"/>
        </w:rPr>
      </w:pPr>
      <w:r>
        <w:rPr>
          <w:lang w:val="fr-FR"/>
        </w:rPr>
        <w:tab/>
      </w:r>
      <w:r w:rsidR="005C3B55" w:rsidRPr="005C3B55">
        <w:rPr>
          <w:lang w:val="fr-FR"/>
        </w:rPr>
        <w:t>a)</w:t>
      </w:r>
      <w:r w:rsidR="005C3B55" w:rsidRPr="005C3B55">
        <w:rPr>
          <w:lang w:val="fr-FR"/>
        </w:rPr>
        <w:tab/>
        <w:t>Comme indiqué au paragraphe 29 de la deu</w:t>
      </w:r>
      <w:r w:rsidR="001E711C">
        <w:rPr>
          <w:lang w:val="fr-FR"/>
        </w:rPr>
        <w:t>xième partie du présent rapport</w:t>
      </w:r>
      <w:r w:rsidR="00D83EA9">
        <w:rPr>
          <w:lang w:val="fr-FR"/>
        </w:rPr>
        <w:t> ;</w:t>
      </w:r>
    </w:p>
    <w:p w14:paraId="0A2C9749" w14:textId="4FACDE57" w:rsidR="005C3B55" w:rsidRPr="005C3B55" w:rsidRDefault="001563CB" w:rsidP="005C3B55">
      <w:pPr>
        <w:pStyle w:val="SingleTxt"/>
        <w:rPr>
          <w:lang w:val="fr-FR"/>
        </w:rPr>
      </w:pPr>
      <w:r>
        <w:rPr>
          <w:lang w:val="fr-FR"/>
        </w:rPr>
        <w:tab/>
      </w:r>
      <w:r w:rsidR="005C3B55" w:rsidRPr="005C3B55">
        <w:rPr>
          <w:lang w:val="fr-FR"/>
        </w:rPr>
        <w:t>Soixante et onzième session (Genève)</w:t>
      </w:r>
    </w:p>
    <w:p w14:paraId="6BB47CBF" w14:textId="4A294493" w:rsidR="005C3B55" w:rsidRPr="005C3B55" w:rsidRDefault="00E00189" w:rsidP="00B71F06">
      <w:pPr>
        <w:pStyle w:val="SingleTxt"/>
        <w:tabs>
          <w:tab w:val="clear" w:pos="1267"/>
        </w:tabs>
        <w:ind w:left="2218" w:hanging="951"/>
        <w:rPr>
          <w:lang w:val="fr-FR"/>
        </w:rPr>
      </w:pPr>
      <w:r>
        <w:rPr>
          <w:lang w:val="fr-FR"/>
        </w:rPr>
        <w:tab/>
      </w:r>
      <w:r w:rsidR="005C3B55" w:rsidRPr="005C3B55">
        <w:rPr>
          <w:lang w:val="fr-FR"/>
        </w:rPr>
        <w:t>b)</w:t>
      </w:r>
      <w:r w:rsidR="005C3B55" w:rsidRPr="005C3B55">
        <w:rPr>
          <w:lang w:val="fr-FR"/>
        </w:rPr>
        <w:tab/>
        <w:t>Quarante-deuxième session du Groupe de travail des communications soumises en vertu du Protocole facultatif se rapportant à la Convention</w:t>
      </w:r>
      <w:r w:rsidR="00265783">
        <w:rPr>
          <w:lang w:val="fr-FR"/>
        </w:rPr>
        <w:t xml:space="preserve"> : </w:t>
      </w:r>
      <w:r w:rsidR="001E711C">
        <w:rPr>
          <w:lang w:val="fr-FR"/>
        </w:rPr>
        <w:t>du 17 au 19 </w:t>
      </w:r>
      <w:r w:rsidR="005C3B55" w:rsidRPr="005C3B55">
        <w:rPr>
          <w:lang w:val="fr-FR"/>
        </w:rPr>
        <w:t>octobre 2018</w:t>
      </w:r>
      <w:r w:rsidR="00AD061C">
        <w:rPr>
          <w:lang w:val="fr-FR"/>
        </w:rPr>
        <w:t xml:space="preserve"> </w:t>
      </w:r>
      <w:r w:rsidR="00D83EA9">
        <w:rPr>
          <w:lang w:val="fr-FR"/>
        </w:rPr>
        <w:t>;</w:t>
      </w:r>
    </w:p>
    <w:p w14:paraId="06229231" w14:textId="6E59FFB0" w:rsidR="005C3B55" w:rsidRPr="005C3B55" w:rsidRDefault="00E00189" w:rsidP="00B71F06">
      <w:pPr>
        <w:pStyle w:val="SingleTxt"/>
        <w:tabs>
          <w:tab w:val="clear" w:pos="1267"/>
        </w:tabs>
        <w:ind w:left="2218" w:hanging="951"/>
        <w:rPr>
          <w:lang w:val="fr-FR"/>
        </w:rPr>
      </w:pPr>
      <w:r>
        <w:rPr>
          <w:lang w:val="fr-FR"/>
        </w:rPr>
        <w:tab/>
      </w:r>
      <w:r w:rsidR="005C3B55" w:rsidRPr="005C3B55">
        <w:rPr>
          <w:lang w:val="fr-FR"/>
        </w:rPr>
        <w:t>c)</w:t>
      </w:r>
      <w:r w:rsidR="005C3B55" w:rsidRPr="005C3B55">
        <w:rPr>
          <w:lang w:val="fr-FR"/>
        </w:rPr>
        <w:tab/>
        <w:t>Onzième session du Groupe de travail chargé des enquêtes menées au titre du Protocole facultatif</w:t>
      </w:r>
      <w:r w:rsidR="00265783">
        <w:rPr>
          <w:lang w:val="fr-FR"/>
        </w:rPr>
        <w:t xml:space="preserve"> : </w:t>
      </w:r>
      <w:r w:rsidR="001E711C">
        <w:rPr>
          <w:lang w:val="fr-FR"/>
        </w:rPr>
        <w:t>les 18 et 19 octobre 2018</w:t>
      </w:r>
      <w:r w:rsidR="00D83EA9">
        <w:rPr>
          <w:lang w:val="fr-FR"/>
        </w:rPr>
        <w:t> ;</w:t>
      </w:r>
    </w:p>
    <w:p w14:paraId="774F1D5E" w14:textId="5B735D6D" w:rsidR="005C3B55" w:rsidRPr="005C3B55" w:rsidRDefault="00E00189" w:rsidP="00B71F06">
      <w:pPr>
        <w:pStyle w:val="SingleTxt"/>
        <w:tabs>
          <w:tab w:val="clear" w:pos="1267"/>
        </w:tabs>
        <w:ind w:left="2218" w:hanging="951"/>
        <w:rPr>
          <w:lang w:val="fr-FR"/>
        </w:rPr>
      </w:pPr>
      <w:r>
        <w:rPr>
          <w:lang w:val="fr-FR"/>
        </w:rPr>
        <w:tab/>
      </w:r>
      <w:r w:rsidR="005C3B55" w:rsidRPr="005C3B55">
        <w:rPr>
          <w:lang w:val="fr-FR"/>
        </w:rPr>
        <w:t>d)</w:t>
      </w:r>
      <w:r w:rsidR="005C3B55" w:rsidRPr="005C3B55">
        <w:rPr>
          <w:lang w:val="fr-FR"/>
        </w:rPr>
        <w:tab/>
        <w:t>Soixante et onzième session</w:t>
      </w:r>
      <w:r w:rsidR="00265783">
        <w:rPr>
          <w:lang w:val="fr-FR"/>
        </w:rPr>
        <w:t xml:space="preserve"> : </w:t>
      </w:r>
      <w:r w:rsidR="005C3B55" w:rsidRPr="005C3B55">
        <w:rPr>
          <w:lang w:val="fr-FR"/>
        </w:rPr>
        <w:t xml:space="preserve">du 22 octobre au 9 novembre 2018 </w:t>
      </w:r>
      <w:r w:rsidR="00D83EA9">
        <w:rPr>
          <w:lang w:val="fr-FR"/>
        </w:rPr>
        <w:t>;</w:t>
      </w:r>
      <w:r w:rsidR="005C3B55" w:rsidRPr="005C3B55">
        <w:rPr>
          <w:lang w:val="fr-FR"/>
        </w:rPr>
        <w:t xml:space="preserve"> </w:t>
      </w:r>
    </w:p>
    <w:p w14:paraId="31268880" w14:textId="5A16379F" w:rsidR="005C3B55" w:rsidRDefault="00E00189" w:rsidP="00B71F06">
      <w:pPr>
        <w:pStyle w:val="SingleTxt"/>
        <w:tabs>
          <w:tab w:val="clear" w:pos="1267"/>
        </w:tabs>
        <w:ind w:left="2218" w:hanging="951"/>
        <w:rPr>
          <w:lang w:val="fr-FR"/>
        </w:rPr>
      </w:pPr>
      <w:r>
        <w:rPr>
          <w:lang w:val="fr-FR"/>
        </w:rPr>
        <w:tab/>
      </w:r>
      <w:r w:rsidR="005C3B55" w:rsidRPr="005C3B55">
        <w:rPr>
          <w:lang w:val="fr-FR"/>
        </w:rPr>
        <w:t>e)</w:t>
      </w:r>
      <w:r w:rsidR="005C3B55" w:rsidRPr="005C3B55">
        <w:rPr>
          <w:lang w:val="fr-FR"/>
        </w:rPr>
        <w:tab/>
        <w:t>Réunion du Groupe de travail d</w:t>
      </w:r>
      <w:r w:rsidR="00265783">
        <w:rPr>
          <w:lang w:val="fr-FR"/>
        </w:rPr>
        <w:t>’</w:t>
      </w:r>
      <w:r w:rsidR="005C3B55" w:rsidRPr="005C3B55">
        <w:rPr>
          <w:lang w:val="fr-FR"/>
        </w:rPr>
        <w:t>avant-session pour la soixante-treizième session</w:t>
      </w:r>
      <w:r w:rsidR="00265783">
        <w:rPr>
          <w:lang w:val="fr-FR"/>
        </w:rPr>
        <w:t xml:space="preserve"> : </w:t>
      </w:r>
      <w:r w:rsidR="005C3B55" w:rsidRPr="005C3B55">
        <w:rPr>
          <w:lang w:val="fr-FR"/>
        </w:rPr>
        <w:t>du 12 au 16 novembre 2018.</w:t>
      </w:r>
    </w:p>
    <w:p w14:paraId="5C72F13D" w14:textId="35AB1A95" w:rsidR="00E00189" w:rsidRPr="00E00189" w:rsidRDefault="00E00189" w:rsidP="00E00189">
      <w:pPr>
        <w:pStyle w:val="SingleTxt"/>
        <w:spacing w:after="0" w:line="120" w:lineRule="exact"/>
        <w:rPr>
          <w:sz w:val="10"/>
          <w:lang w:val="fr-FR"/>
        </w:rPr>
      </w:pPr>
    </w:p>
    <w:p w14:paraId="2E4F58F6" w14:textId="77777777" w:rsidR="005C3B55" w:rsidRPr="005C3B55" w:rsidRDefault="005C3B55" w:rsidP="00E001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3B55">
        <w:rPr>
          <w:lang w:val="fr-FR"/>
        </w:rPr>
        <w:tab/>
      </w:r>
      <w:r w:rsidRPr="005C3B55">
        <w:rPr>
          <w:lang w:val="fr-FR"/>
        </w:rPr>
        <w:tab/>
        <w:t xml:space="preserve">Rapports à examiner aux prochaines sessions du Comité </w:t>
      </w:r>
    </w:p>
    <w:p w14:paraId="1AA7BE86" w14:textId="6B22A77E" w:rsidR="00E00189" w:rsidRPr="00E00189" w:rsidRDefault="00E00189" w:rsidP="00E00189">
      <w:pPr>
        <w:pStyle w:val="SingleTxt"/>
        <w:spacing w:after="0" w:line="120" w:lineRule="exact"/>
        <w:rPr>
          <w:sz w:val="10"/>
          <w:lang w:val="fr-FR"/>
        </w:rPr>
      </w:pPr>
    </w:p>
    <w:p w14:paraId="3514B3A1" w14:textId="46E48B54" w:rsidR="005C3B55" w:rsidRPr="005C3B55" w:rsidRDefault="005C3B55" w:rsidP="00E00189">
      <w:pPr>
        <w:pStyle w:val="SingleTxt"/>
        <w:numPr>
          <w:ilvl w:val="0"/>
          <w:numId w:val="17"/>
        </w:numPr>
        <w:spacing w:line="240" w:lineRule="exact"/>
        <w:rPr>
          <w:lang w:val="fr-FR"/>
        </w:rPr>
      </w:pPr>
      <w:r w:rsidRPr="005C3B55">
        <w:rPr>
          <w:lang w:val="fr-FR"/>
        </w:rPr>
        <w:t>Le Comité a confirmé qu</w:t>
      </w:r>
      <w:r w:rsidR="00265783">
        <w:rPr>
          <w:lang w:val="fr-FR"/>
        </w:rPr>
        <w:t>’</w:t>
      </w:r>
      <w:r w:rsidRPr="005C3B55">
        <w:rPr>
          <w:lang w:val="fr-FR"/>
        </w:rPr>
        <w:t>à sa soixante-dixième session, il examinerait les rapports des États parties énumérés au paragraphe 30 de la deuxième partie du présent rapport, et qu</w:t>
      </w:r>
      <w:r w:rsidR="00265783">
        <w:rPr>
          <w:lang w:val="fr-FR"/>
        </w:rPr>
        <w:t>’</w:t>
      </w:r>
      <w:r w:rsidRPr="005C3B55">
        <w:rPr>
          <w:lang w:val="fr-FR"/>
        </w:rPr>
        <w:t>à sa soixante et onzième session, il examinerait ceux des Bahamas, du Congo, de l</w:t>
      </w:r>
      <w:r w:rsidR="00265783">
        <w:rPr>
          <w:lang w:val="fr-FR"/>
        </w:rPr>
        <w:t>’</w:t>
      </w:r>
      <w:r w:rsidRPr="005C3B55">
        <w:rPr>
          <w:lang w:val="fr-FR"/>
        </w:rPr>
        <w:t>ex-République yougoslave de Macédoine, de Maurice (au titre de la procédure simplifiée de présentation des rapports), du Népal, de la République démocratique populaire lao, du Samoa et du Tadjikistan.</w:t>
      </w:r>
    </w:p>
    <w:p w14:paraId="763BEE4B" w14:textId="77777777" w:rsidR="005C3B55" w:rsidRPr="005C3B55" w:rsidRDefault="005C3B55" w:rsidP="005C3B55">
      <w:pPr>
        <w:pStyle w:val="SingleTxt"/>
        <w:spacing w:line="240" w:lineRule="exact"/>
        <w:rPr>
          <w:b/>
          <w:lang w:val="fr-FR"/>
        </w:rPr>
      </w:pPr>
      <w:r w:rsidRPr="005C3B55">
        <w:rPr>
          <w:lang w:val="fr-FR"/>
        </w:rPr>
        <w:br w:type="page"/>
      </w:r>
    </w:p>
    <w:p w14:paraId="7431A609" w14:textId="77777777" w:rsidR="005C3B55" w:rsidRPr="009C4E47" w:rsidRDefault="005C3B55" w:rsidP="00E00189">
      <w:pPr>
        <w:pStyle w:val="HCh0"/>
        <w:ind w:left="1267" w:right="1260" w:hanging="1267"/>
        <w:rPr>
          <w:lang w:val="fr-FR"/>
        </w:rPr>
      </w:pPr>
      <w:r w:rsidRPr="009C4E47">
        <w:rPr>
          <w:lang w:val="fr-FR"/>
        </w:rPr>
        <w:lastRenderedPageBreak/>
        <w:t>Chapitre VII</w:t>
      </w:r>
    </w:p>
    <w:p w14:paraId="2FBB8B9A" w14:textId="50D4E114" w:rsidR="005C3B55" w:rsidRPr="009C4E47" w:rsidRDefault="005C3B55" w:rsidP="00E00189">
      <w:pPr>
        <w:pStyle w:val="HCh0"/>
        <w:ind w:left="1267" w:right="1260" w:hanging="1267"/>
        <w:rPr>
          <w:lang w:val="fr-FR"/>
        </w:rPr>
      </w:pPr>
      <w:r w:rsidRPr="009C4E47">
        <w:rPr>
          <w:lang w:val="fr-FR"/>
        </w:rPr>
        <w:tab/>
      </w:r>
      <w:r w:rsidRPr="009C4E47">
        <w:rPr>
          <w:lang w:val="fr-FR"/>
        </w:rPr>
        <w:tab/>
        <w:t>Application de l</w:t>
      </w:r>
      <w:r w:rsidR="00265783">
        <w:rPr>
          <w:lang w:val="fr-FR"/>
        </w:rPr>
        <w:t>’</w:t>
      </w:r>
      <w:r w:rsidRPr="009C4E47">
        <w:rPr>
          <w:lang w:val="fr-FR"/>
        </w:rPr>
        <w:t>article 21 de la Convention</w:t>
      </w:r>
    </w:p>
    <w:p w14:paraId="2446F0D1" w14:textId="6BC76A88" w:rsidR="00E00189" w:rsidRPr="00E00189" w:rsidRDefault="00E00189" w:rsidP="00E00189">
      <w:pPr>
        <w:pStyle w:val="SingleTxt"/>
        <w:spacing w:after="0" w:line="120" w:lineRule="exact"/>
        <w:rPr>
          <w:b/>
          <w:sz w:val="10"/>
          <w:lang w:val="fr-FR"/>
        </w:rPr>
      </w:pPr>
    </w:p>
    <w:p w14:paraId="5C4EC9E8" w14:textId="12791677" w:rsidR="00E00189" w:rsidRPr="00E00189" w:rsidRDefault="00E00189" w:rsidP="00E00189">
      <w:pPr>
        <w:pStyle w:val="SingleTxt"/>
        <w:spacing w:after="0" w:line="120" w:lineRule="exact"/>
        <w:rPr>
          <w:b/>
          <w:sz w:val="10"/>
          <w:lang w:val="fr-FR"/>
        </w:rPr>
      </w:pPr>
    </w:p>
    <w:p w14:paraId="48E74ED0" w14:textId="2DCF5033" w:rsidR="005C3B55" w:rsidRDefault="005C3B55" w:rsidP="00EB57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3B55">
        <w:rPr>
          <w:lang w:val="fr-FR"/>
        </w:rPr>
        <w:tab/>
      </w:r>
      <w:r w:rsidRPr="005C3B55">
        <w:rPr>
          <w:lang w:val="fr-FR"/>
        </w:rPr>
        <w:tab/>
        <w:t xml:space="preserve">Groupe de travail sur les aspects de la réduction des risques </w:t>
      </w:r>
      <w:r w:rsidR="00EB5782">
        <w:rPr>
          <w:lang w:val="fr-FR"/>
        </w:rPr>
        <w:t>de catastrophe</w:t>
      </w:r>
      <w:r w:rsidR="00EB5782">
        <w:rPr>
          <w:lang w:val="fr-FR"/>
        </w:rPr>
        <w:br/>
      </w:r>
      <w:r w:rsidRPr="005C3B55">
        <w:rPr>
          <w:lang w:val="fr-FR"/>
        </w:rPr>
        <w:t>et des changements climatiques ayant trait à la problématique hommes-femmes</w:t>
      </w:r>
    </w:p>
    <w:p w14:paraId="5592E7C3" w14:textId="7109CAF0" w:rsidR="00E00189" w:rsidRPr="00E00189" w:rsidRDefault="00E00189" w:rsidP="00E00189">
      <w:pPr>
        <w:pStyle w:val="SingleTxt"/>
        <w:spacing w:after="0" w:line="120" w:lineRule="exact"/>
        <w:rPr>
          <w:sz w:val="10"/>
          <w:lang w:val="fr-FR"/>
        </w:rPr>
      </w:pPr>
    </w:p>
    <w:p w14:paraId="6CC7606B" w14:textId="4A8998A3" w:rsidR="005C3B55" w:rsidRPr="005C3B55" w:rsidRDefault="005C3B55" w:rsidP="00E00189">
      <w:pPr>
        <w:pStyle w:val="SingleTxt"/>
        <w:numPr>
          <w:ilvl w:val="0"/>
          <w:numId w:val="17"/>
        </w:numPr>
        <w:spacing w:line="240" w:lineRule="exact"/>
        <w:rPr>
          <w:lang w:val="fr-FR"/>
        </w:rPr>
      </w:pPr>
      <w:r w:rsidRPr="005C3B55">
        <w:rPr>
          <w:lang w:val="fr-FR"/>
        </w:rPr>
        <w:t>Le Groupe de travail s</w:t>
      </w:r>
      <w:r w:rsidR="00265783">
        <w:rPr>
          <w:lang w:val="fr-FR"/>
        </w:rPr>
        <w:t>’</w:t>
      </w:r>
      <w:r w:rsidRPr="005C3B55">
        <w:rPr>
          <w:lang w:val="fr-FR"/>
        </w:rPr>
        <w:t>est réuni pendant la session pour examiner le projet de recommandation générale.</w:t>
      </w:r>
    </w:p>
    <w:p w14:paraId="37CAE76D" w14:textId="3E97F8C3" w:rsidR="005C3B55" w:rsidRPr="009E5411" w:rsidRDefault="005C3B55" w:rsidP="009E5411">
      <w:pPr>
        <w:pStyle w:val="SingleTxt"/>
        <w:numPr>
          <w:ilvl w:val="0"/>
          <w:numId w:val="17"/>
        </w:numPr>
        <w:spacing w:line="240" w:lineRule="exact"/>
        <w:rPr>
          <w:lang w:val="fr-FR"/>
        </w:rPr>
      </w:pPr>
      <w:r w:rsidRPr="005C3B55">
        <w:rPr>
          <w:lang w:val="fr-FR"/>
        </w:rPr>
        <w:t>Le 7 mars 2018, le Comité a adopté par consensus la recommandation générale n</w:t>
      </w:r>
      <w:r w:rsidR="00A11B8A">
        <w:rPr>
          <w:vertAlign w:val="superscript"/>
          <w:lang w:val="fr-FR"/>
        </w:rPr>
        <w:t>o </w:t>
      </w:r>
      <w:r w:rsidRPr="005C3B55">
        <w:rPr>
          <w:lang w:val="fr-FR"/>
        </w:rPr>
        <w:t>37 (2018) sur les aspects de la réduction des risques de catastrophe et des changements climatiques ayant trait à la problématique femmes-hommes (</w:t>
      </w:r>
      <w:hyperlink r:id="rId129" w:history="1">
        <w:r w:rsidRPr="008E2674">
          <w:rPr>
            <w:rStyle w:val="Hyperlink"/>
            <w:lang w:val="fr-FR"/>
          </w:rPr>
          <w:t>CEDAW/C/GC/37</w:t>
        </w:r>
      </w:hyperlink>
      <w:r w:rsidRPr="005C3B55">
        <w:rPr>
          <w:lang w:val="fr-FR"/>
        </w:rPr>
        <w:t>)</w:t>
      </w:r>
      <w:r w:rsidRPr="00A11B8A">
        <w:rPr>
          <w:vertAlign w:val="superscript"/>
          <w:lang w:val="fr-FR"/>
        </w:rPr>
        <w:footnoteReference w:id="3"/>
      </w:r>
      <w:r w:rsidRPr="009E5411">
        <w:rPr>
          <w:lang w:val="fr-FR"/>
        </w:rPr>
        <w:t>, en application de l</w:t>
      </w:r>
      <w:r w:rsidR="00265783" w:rsidRPr="009E5411">
        <w:rPr>
          <w:lang w:val="fr-FR"/>
        </w:rPr>
        <w:t>’</w:t>
      </w:r>
      <w:r w:rsidRPr="009E5411">
        <w:rPr>
          <w:lang w:val="fr-FR"/>
        </w:rPr>
        <w:t>article 31 de son règlement intérieur.</w:t>
      </w:r>
    </w:p>
    <w:p w14:paraId="6262C4E4" w14:textId="4989D89D" w:rsidR="00E00189" w:rsidRPr="00E00189" w:rsidRDefault="00E00189" w:rsidP="00E00189">
      <w:pPr>
        <w:pStyle w:val="SingleTxt"/>
        <w:spacing w:after="0" w:line="120" w:lineRule="exact"/>
        <w:rPr>
          <w:sz w:val="10"/>
          <w:lang w:val="fr-FR"/>
        </w:rPr>
      </w:pPr>
    </w:p>
    <w:p w14:paraId="7E1D127E" w14:textId="77777777" w:rsidR="005C3B55" w:rsidRPr="005C3B55" w:rsidRDefault="005C3B55" w:rsidP="00E001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3B55">
        <w:rPr>
          <w:lang w:val="fr-FR"/>
        </w:rPr>
        <w:tab/>
      </w:r>
      <w:r w:rsidRPr="005C3B55">
        <w:rPr>
          <w:lang w:val="fr-FR"/>
        </w:rPr>
        <w:tab/>
        <w:t>Groupe de travail sur les méthodes de travail</w:t>
      </w:r>
    </w:p>
    <w:p w14:paraId="0D58CF8D" w14:textId="0C6C9F5F" w:rsidR="00E00189" w:rsidRPr="00E00189" w:rsidRDefault="00E00189" w:rsidP="00E00189">
      <w:pPr>
        <w:pStyle w:val="SingleTxt"/>
        <w:spacing w:after="0" w:line="120" w:lineRule="exact"/>
        <w:rPr>
          <w:sz w:val="10"/>
          <w:lang w:val="fr-FR"/>
        </w:rPr>
      </w:pPr>
    </w:p>
    <w:p w14:paraId="3C5B5A12" w14:textId="78895B16" w:rsidR="005C3B55" w:rsidRDefault="005C3B55" w:rsidP="00E00189">
      <w:pPr>
        <w:pStyle w:val="SingleTxt"/>
        <w:numPr>
          <w:ilvl w:val="0"/>
          <w:numId w:val="17"/>
        </w:numPr>
        <w:spacing w:line="240" w:lineRule="exact"/>
        <w:rPr>
          <w:lang w:val="fr-FR"/>
        </w:rPr>
      </w:pPr>
      <w:r w:rsidRPr="005C3B55">
        <w:rPr>
          <w:lang w:val="fr-FR"/>
        </w:rPr>
        <w:t>Le groupe de travail s</w:t>
      </w:r>
      <w:r w:rsidR="00265783">
        <w:rPr>
          <w:lang w:val="fr-FR"/>
        </w:rPr>
        <w:t>’</w:t>
      </w:r>
      <w:r w:rsidRPr="005C3B55">
        <w:rPr>
          <w:lang w:val="fr-FR"/>
        </w:rPr>
        <w:t>est réuni pendant la session et a examiné un projet de décision relatif au rétablissement de la procédure simplifiée de présentation des rapports qu</w:t>
      </w:r>
      <w:r w:rsidR="00265783">
        <w:rPr>
          <w:lang w:val="fr-FR"/>
        </w:rPr>
        <w:t>’</w:t>
      </w:r>
      <w:r w:rsidRPr="005C3B55">
        <w:rPr>
          <w:lang w:val="fr-FR"/>
        </w:rPr>
        <w:t>il a ensuite présenté au Comité (voir décision 69/V).</w:t>
      </w:r>
    </w:p>
    <w:p w14:paraId="201E9232" w14:textId="7C29986A" w:rsidR="00E00189" w:rsidRPr="00E00189" w:rsidRDefault="00E00189" w:rsidP="00E00189">
      <w:pPr>
        <w:pStyle w:val="SingleTxt"/>
        <w:tabs>
          <w:tab w:val="clear" w:pos="1742"/>
        </w:tabs>
        <w:spacing w:after="0" w:line="120" w:lineRule="exact"/>
        <w:rPr>
          <w:sz w:val="10"/>
          <w:lang w:val="fr-FR"/>
        </w:rPr>
      </w:pPr>
    </w:p>
    <w:p w14:paraId="179B2667" w14:textId="4921E36F" w:rsidR="005C3B55" w:rsidRPr="005C3B55" w:rsidRDefault="005C3B55" w:rsidP="00E001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3B55">
        <w:rPr>
          <w:lang w:val="fr-FR"/>
        </w:rPr>
        <w:tab/>
      </w:r>
      <w:r w:rsidRPr="005C3B55">
        <w:rPr>
          <w:lang w:val="fr-FR"/>
        </w:rPr>
        <w:tab/>
        <w:t>Groupe de travail chargé de la coordination avec l</w:t>
      </w:r>
      <w:r w:rsidR="00265783">
        <w:rPr>
          <w:lang w:val="fr-FR"/>
        </w:rPr>
        <w:t>’</w:t>
      </w:r>
      <w:r w:rsidRPr="005C3B55">
        <w:rPr>
          <w:lang w:val="fr-FR"/>
        </w:rPr>
        <w:t>Union interparlementaire</w:t>
      </w:r>
    </w:p>
    <w:p w14:paraId="4A8DE3F9" w14:textId="28979FE0" w:rsidR="00E00189" w:rsidRPr="00E00189" w:rsidRDefault="00E00189" w:rsidP="00E00189">
      <w:pPr>
        <w:pStyle w:val="SingleTxt"/>
        <w:spacing w:after="0" w:line="120" w:lineRule="exact"/>
        <w:rPr>
          <w:sz w:val="10"/>
          <w:lang w:val="fr-FR"/>
        </w:rPr>
      </w:pPr>
    </w:p>
    <w:p w14:paraId="361D0A4C" w14:textId="225A610A" w:rsidR="005C3B55" w:rsidRDefault="005C3B55" w:rsidP="00E00189">
      <w:pPr>
        <w:pStyle w:val="SingleTxt"/>
        <w:numPr>
          <w:ilvl w:val="0"/>
          <w:numId w:val="17"/>
        </w:numPr>
        <w:spacing w:line="240" w:lineRule="exact"/>
        <w:rPr>
          <w:lang w:val="fr-FR"/>
        </w:rPr>
      </w:pPr>
      <w:r w:rsidRPr="005C3B55">
        <w:rPr>
          <w:lang w:val="fr-FR"/>
        </w:rPr>
        <w:t>Le groupe de travail s</w:t>
      </w:r>
      <w:r w:rsidR="00265783">
        <w:rPr>
          <w:lang w:val="fr-FR"/>
        </w:rPr>
        <w:t>’</w:t>
      </w:r>
      <w:r w:rsidRPr="005C3B55">
        <w:rPr>
          <w:lang w:val="fr-FR"/>
        </w:rPr>
        <w:t>est réuni pendant la session avec un représentant de l</w:t>
      </w:r>
      <w:r w:rsidR="00265783">
        <w:rPr>
          <w:lang w:val="fr-FR"/>
        </w:rPr>
        <w:t>’</w:t>
      </w:r>
      <w:r w:rsidRPr="005C3B55">
        <w:rPr>
          <w:lang w:val="fr-FR"/>
        </w:rPr>
        <w:t>Union interparlementaire, qui lui a présenté les activités axées sur la Convention et l</w:t>
      </w:r>
      <w:r w:rsidR="00265783">
        <w:rPr>
          <w:lang w:val="fr-FR"/>
        </w:rPr>
        <w:t>’</w:t>
      </w:r>
      <w:r w:rsidRPr="005C3B55">
        <w:rPr>
          <w:lang w:val="fr-FR"/>
        </w:rPr>
        <w:t>égalité des sexes menées par l</w:t>
      </w:r>
      <w:r w:rsidR="00265783">
        <w:rPr>
          <w:lang w:val="fr-FR"/>
        </w:rPr>
        <w:t>’</w:t>
      </w:r>
      <w:r w:rsidRPr="005C3B55">
        <w:rPr>
          <w:lang w:val="fr-FR"/>
        </w:rPr>
        <w:t>UIP aux niveaux national et régional. Le groupe de travail a souligné l</w:t>
      </w:r>
      <w:r w:rsidR="00265783">
        <w:rPr>
          <w:lang w:val="fr-FR"/>
        </w:rPr>
        <w:t>’</w:t>
      </w:r>
      <w:r w:rsidRPr="005C3B55">
        <w:rPr>
          <w:lang w:val="fr-FR"/>
        </w:rPr>
        <w:t>importance stratégique que revêtait le renforcement de la représentation des femmes dans les processus politiques pour la réalisation des objectifs de développement durable. Il a invité l</w:t>
      </w:r>
      <w:r w:rsidR="00265783">
        <w:rPr>
          <w:lang w:val="fr-FR"/>
        </w:rPr>
        <w:t>’</w:t>
      </w:r>
      <w:r w:rsidRPr="005C3B55">
        <w:rPr>
          <w:lang w:val="fr-FR"/>
        </w:rPr>
        <w:t>UIP à communiquer des données statistiques sur la participation des femmes aux élections. Il a mis l</w:t>
      </w:r>
      <w:r w:rsidR="00265783">
        <w:rPr>
          <w:lang w:val="fr-FR"/>
        </w:rPr>
        <w:t>’</w:t>
      </w:r>
      <w:r w:rsidRPr="005C3B55">
        <w:rPr>
          <w:lang w:val="fr-FR"/>
        </w:rPr>
        <w:t>accent sur l</w:t>
      </w:r>
      <w:r w:rsidR="00265783">
        <w:rPr>
          <w:lang w:val="fr-FR"/>
        </w:rPr>
        <w:t>’</w:t>
      </w:r>
      <w:r w:rsidRPr="005C3B55">
        <w:rPr>
          <w:lang w:val="fr-FR"/>
        </w:rPr>
        <w:t>engagement pris par le Comité de promouvoir l</w:t>
      </w:r>
      <w:r w:rsidR="00265783">
        <w:rPr>
          <w:lang w:val="fr-FR"/>
        </w:rPr>
        <w:t>’</w:t>
      </w:r>
      <w:r w:rsidRPr="005C3B55">
        <w:rPr>
          <w:lang w:val="fr-FR"/>
        </w:rPr>
        <w:t>application de quotas à la représentation des femmes dans les parlements et souligné qu</w:t>
      </w:r>
      <w:r w:rsidR="00265783">
        <w:rPr>
          <w:lang w:val="fr-FR"/>
        </w:rPr>
        <w:t>’</w:t>
      </w:r>
      <w:r w:rsidRPr="005C3B55">
        <w:rPr>
          <w:lang w:val="fr-FR"/>
        </w:rPr>
        <w:t>il importait d</w:t>
      </w:r>
      <w:r w:rsidR="00265783">
        <w:rPr>
          <w:lang w:val="fr-FR"/>
        </w:rPr>
        <w:t>’</w:t>
      </w:r>
      <w:r w:rsidRPr="005C3B55">
        <w:rPr>
          <w:lang w:val="fr-FR"/>
        </w:rPr>
        <w:t>établir des mécanismes à cette fin.</w:t>
      </w:r>
    </w:p>
    <w:p w14:paraId="60C7358F" w14:textId="08716136" w:rsidR="00E00189" w:rsidRPr="00E00189" w:rsidRDefault="00E00189" w:rsidP="00E00189">
      <w:pPr>
        <w:pStyle w:val="SingleTxt"/>
        <w:spacing w:after="0" w:line="120" w:lineRule="exact"/>
        <w:rPr>
          <w:sz w:val="10"/>
          <w:lang w:val="fr-FR"/>
        </w:rPr>
      </w:pPr>
    </w:p>
    <w:p w14:paraId="1320C706" w14:textId="33A423C2" w:rsidR="005C3B55" w:rsidRPr="005C3B55" w:rsidRDefault="005C3B55" w:rsidP="00E001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3B55">
        <w:rPr>
          <w:lang w:val="fr-FR"/>
        </w:rPr>
        <w:tab/>
      </w:r>
      <w:r w:rsidRPr="005C3B55">
        <w:rPr>
          <w:lang w:val="fr-FR"/>
        </w:rPr>
        <w:tab/>
        <w:t>Groupe de travail sur la Convention,</w:t>
      </w:r>
      <w:r w:rsidR="009E5411">
        <w:rPr>
          <w:lang w:val="fr-FR"/>
        </w:rPr>
        <w:t xml:space="preserve"> ONU-Femmes et les objectifs de </w:t>
      </w:r>
      <w:r w:rsidRPr="005C3B55">
        <w:rPr>
          <w:lang w:val="fr-FR"/>
        </w:rPr>
        <w:t>développement durable</w:t>
      </w:r>
    </w:p>
    <w:p w14:paraId="49B995EA" w14:textId="25A4EB67" w:rsidR="00E00189" w:rsidRPr="00E00189" w:rsidRDefault="00E00189" w:rsidP="00E00189">
      <w:pPr>
        <w:pStyle w:val="SingleTxt"/>
        <w:spacing w:after="0" w:line="120" w:lineRule="exact"/>
        <w:rPr>
          <w:sz w:val="10"/>
          <w:lang w:val="fr-FR"/>
        </w:rPr>
      </w:pPr>
    </w:p>
    <w:p w14:paraId="6B7FFA9B" w14:textId="5A2E53F1" w:rsidR="005C3B55" w:rsidRPr="005C3B55" w:rsidRDefault="005C3B55" w:rsidP="00E00189">
      <w:pPr>
        <w:pStyle w:val="SingleTxt"/>
        <w:numPr>
          <w:ilvl w:val="0"/>
          <w:numId w:val="17"/>
        </w:numPr>
        <w:spacing w:line="240" w:lineRule="exact"/>
        <w:rPr>
          <w:lang w:val="fr-FR"/>
        </w:rPr>
      </w:pPr>
      <w:r w:rsidRPr="005C3B55">
        <w:rPr>
          <w:lang w:val="fr-FR"/>
        </w:rPr>
        <w:t>Le Goupe de travail a invité Hoda Jaberian, administratrice de projets (Section de l</w:t>
      </w:r>
      <w:r w:rsidR="00265783">
        <w:rPr>
          <w:lang w:val="fr-FR"/>
        </w:rPr>
        <w:t>’</w:t>
      </w:r>
      <w:r w:rsidRPr="005C3B55">
        <w:rPr>
          <w:lang w:val="fr-FR"/>
        </w:rPr>
        <w:t>éducation pour le développement durable et la citoyenneté mondiale de la Division pour l</w:t>
      </w:r>
      <w:r w:rsidR="00265783">
        <w:rPr>
          <w:lang w:val="fr-FR"/>
        </w:rPr>
        <w:t>’</w:t>
      </w:r>
      <w:r w:rsidRPr="005C3B55">
        <w:rPr>
          <w:lang w:val="fr-FR"/>
        </w:rPr>
        <w:t>inclusion, la paix et le développement durable de l</w:t>
      </w:r>
      <w:r w:rsidR="00265783">
        <w:rPr>
          <w:lang w:val="fr-FR"/>
        </w:rPr>
        <w:t>’</w:t>
      </w:r>
      <w:r w:rsidRPr="005C3B55">
        <w:rPr>
          <w:lang w:val="fr-FR"/>
        </w:rPr>
        <w:t>UNESCO) à rendre compte au Comité de l</w:t>
      </w:r>
      <w:r w:rsidR="00265783">
        <w:rPr>
          <w:lang w:val="fr-FR"/>
        </w:rPr>
        <w:t>’</w:t>
      </w:r>
      <w:r w:rsidRPr="005C3B55">
        <w:rPr>
          <w:lang w:val="fr-FR"/>
        </w:rPr>
        <w:t>élaboration de l</w:t>
      </w:r>
      <w:r w:rsidR="00265783">
        <w:rPr>
          <w:lang w:val="fr-FR"/>
        </w:rPr>
        <w:t>’</w:t>
      </w:r>
      <w:r w:rsidRPr="005C3B55">
        <w:rPr>
          <w:lang w:val="fr-FR"/>
        </w:rPr>
        <w:t>indicateur 4.7.1 des objectifs de développement durable, sur l</w:t>
      </w:r>
      <w:r w:rsidR="00265783">
        <w:rPr>
          <w:lang w:val="fr-FR"/>
        </w:rPr>
        <w:t>’</w:t>
      </w:r>
      <w:r w:rsidRPr="005C3B55">
        <w:rPr>
          <w:lang w:val="fr-FR"/>
        </w:rPr>
        <w:t>intégration de l</w:t>
      </w:r>
      <w:r w:rsidR="00265783">
        <w:rPr>
          <w:lang w:val="fr-FR"/>
        </w:rPr>
        <w:t>’</w:t>
      </w:r>
      <w:r w:rsidRPr="005C3B55">
        <w:rPr>
          <w:lang w:val="fr-FR"/>
        </w:rPr>
        <w:t>éducation à la citoyenneté mondiale et l</w:t>
      </w:r>
      <w:r w:rsidR="00265783">
        <w:rPr>
          <w:lang w:val="fr-FR"/>
        </w:rPr>
        <w:t>’</w:t>
      </w:r>
      <w:r w:rsidRPr="005C3B55">
        <w:rPr>
          <w:lang w:val="fr-FR"/>
        </w:rPr>
        <w:t>éducation au développement durable, y compris l</w:t>
      </w:r>
      <w:r w:rsidR="00265783">
        <w:rPr>
          <w:lang w:val="fr-FR"/>
        </w:rPr>
        <w:t>’</w:t>
      </w:r>
      <w:r w:rsidRPr="005C3B55">
        <w:rPr>
          <w:lang w:val="fr-FR"/>
        </w:rPr>
        <w:t>égalité des sexes et le respect des droits de l</w:t>
      </w:r>
      <w:r w:rsidR="00265783">
        <w:rPr>
          <w:lang w:val="fr-FR"/>
        </w:rPr>
        <w:t>’</w:t>
      </w:r>
      <w:r w:rsidRPr="005C3B55">
        <w:rPr>
          <w:lang w:val="fr-FR"/>
        </w:rPr>
        <w:t>homme, dans les politiques nationales d</w:t>
      </w:r>
      <w:r w:rsidR="00265783">
        <w:rPr>
          <w:lang w:val="fr-FR"/>
        </w:rPr>
        <w:t>’</w:t>
      </w:r>
      <w:r w:rsidRPr="005C3B55">
        <w:rPr>
          <w:lang w:val="fr-FR"/>
        </w:rPr>
        <w:t>éducation, les programmes d</w:t>
      </w:r>
      <w:r w:rsidR="00265783">
        <w:rPr>
          <w:lang w:val="fr-FR"/>
        </w:rPr>
        <w:t>’</w:t>
      </w:r>
      <w:r w:rsidRPr="005C3B55">
        <w:rPr>
          <w:lang w:val="fr-FR"/>
        </w:rPr>
        <w:t>enseignement, la formation des enseignants et l</w:t>
      </w:r>
      <w:r w:rsidR="00265783">
        <w:rPr>
          <w:lang w:val="fr-FR"/>
        </w:rPr>
        <w:t>’</w:t>
      </w:r>
      <w:r w:rsidRPr="005C3B55">
        <w:rPr>
          <w:lang w:val="fr-FR"/>
        </w:rPr>
        <w:t>évaluation des étudiants, dont l</w:t>
      </w:r>
      <w:r w:rsidR="00265783">
        <w:rPr>
          <w:lang w:val="fr-FR"/>
        </w:rPr>
        <w:t>’</w:t>
      </w:r>
      <w:r w:rsidRPr="005C3B55">
        <w:rPr>
          <w:lang w:val="fr-FR"/>
        </w:rPr>
        <w:t>UNESCO est l</w:t>
      </w:r>
      <w:r w:rsidR="00265783">
        <w:rPr>
          <w:lang w:val="fr-FR"/>
        </w:rPr>
        <w:t>’</w:t>
      </w:r>
      <w:r w:rsidRPr="005C3B55">
        <w:rPr>
          <w:lang w:val="fr-FR"/>
        </w:rPr>
        <w:t>organisme responsable. Le Groupe de travail a souligné l</w:t>
      </w:r>
      <w:r w:rsidR="00265783">
        <w:rPr>
          <w:lang w:val="fr-FR"/>
        </w:rPr>
        <w:t>’</w:t>
      </w:r>
      <w:r w:rsidRPr="005C3B55">
        <w:rPr>
          <w:lang w:val="fr-FR"/>
        </w:rPr>
        <w:t>utilité d</w:t>
      </w:r>
      <w:r w:rsidR="00265783">
        <w:rPr>
          <w:lang w:val="fr-FR"/>
        </w:rPr>
        <w:t>’</w:t>
      </w:r>
      <w:r w:rsidRPr="005C3B55">
        <w:rPr>
          <w:lang w:val="fr-FR"/>
        </w:rPr>
        <w:t>inclure les recommandations pertinentes du Comité dans les travaux menés par l</w:t>
      </w:r>
      <w:r w:rsidR="00265783">
        <w:rPr>
          <w:lang w:val="fr-FR"/>
        </w:rPr>
        <w:t>’</w:t>
      </w:r>
      <w:r w:rsidRPr="005C3B55">
        <w:rPr>
          <w:lang w:val="fr-FR"/>
        </w:rPr>
        <w:t>UNESCO en matière d</w:t>
      </w:r>
      <w:r w:rsidR="00265783">
        <w:rPr>
          <w:lang w:val="fr-FR"/>
        </w:rPr>
        <w:t>’</w:t>
      </w:r>
      <w:r w:rsidRPr="005C3B55">
        <w:rPr>
          <w:lang w:val="fr-FR"/>
        </w:rPr>
        <w:t>élaboration d</w:t>
      </w:r>
      <w:r w:rsidR="00265783">
        <w:rPr>
          <w:lang w:val="fr-FR"/>
        </w:rPr>
        <w:t>’</w:t>
      </w:r>
      <w:r w:rsidRPr="005C3B55">
        <w:rPr>
          <w:lang w:val="fr-FR"/>
        </w:rPr>
        <w:t>indicateurs et de collecte de données. Le Comité et l</w:t>
      </w:r>
      <w:r w:rsidR="00265783">
        <w:rPr>
          <w:lang w:val="fr-FR"/>
        </w:rPr>
        <w:t>’</w:t>
      </w:r>
      <w:r w:rsidRPr="005C3B55">
        <w:rPr>
          <w:lang w:val="fr-FR"/>
        </w:rPr>
        <w:t>UNESCO sont convenus de resserrer leur collaboration.</w:t>
      </w:r>
    </w:p>
    <w:p w14:paraId="27BE0CD0" w14:textId="672F13E6" w:rsidR="005C3B55" w:rsidRPr="005C3B55" w:rsidRDefault="005C3B55" w:rsidP="00E00189">
      <w:pPr>
        <w:pStyle w:val="SingleTxt"/>
        <w:numPr>
          <w:ilvl w:val="0"/>
          <w:numId w:val="17"/>
        </w:numPr>
        <w:spacing w:line="240" w:lineRule="exact"/>
        <w:rPr>
          <w:lang w:val="fr-FR"/>
        </w:rPr>
      </w:pPr>
      <w:r w:rsidRPr="005C3B55">
        <w:rPr>
          <w:lang w:val="fr-FR"/>
        </w:rPr>
        <w:t>Le Groupe de travail a invité Biancamaria Pomeranzi, ancien membre du Comité, qui, en sa qualité de consultante, lui a rendu compte des progrès qu</w:t>
      </w:r>
      <w:r w:rsidR="00265783">
        <w:rPr>
          <w:lang w:val="fr-FR"/>
        </w:rPr>
        <w:t>’</w:t>
      </w:r>
      <w:r w:rsidRPr="005C3B55">
        <w:rPr>
          <w:lang w:val="fr-FR"/>
        </w:rPr>
        <w:t xml:space="preserve">elle avait </w:t>
      </w:r>
      <w:r w:rsidRPr="005C3B55">
        <w:rPr>
          <w:lang w:val="fr-FR"/>
        </w:rPr>
        <w:lastRenderedPageBreak/>
        <w:t>faits dans l</w:t>
      </w:r>
      <w:r w:rsidR="00265783">
        <w:rPr>
          <w:lang w:val="fr-FR"/>
        </w:rPr>
        <w:t>’</w:t>
      </w:r>
      <w:r w:rsidRPr="005C3B55">
        <w:rPr>
          <w:lang w:val="fr-FR"/>
        </w:rPr>
        <w:t>examen des directives du Comité concernant l</w:t>
      </w:r>
      <w:r w:rsidR="00265783">
        <w:rPr>
          <w:lang w:val="fr-FR"/>
        </w:rPr>
        <w:t>’</w:t>
      </w:r>
      <w:r w:rsidRPr="005C3B55">
        <w:rPr>
          <w:lang w:val="fr-FR"/>
        </w:rPr>
        <w:t>établissement des rapports destinés à certains organes conventionnels (</w:t>
      </w:r>
      <w:hyperlink r:id="rId130" w:history="1">
        <w:r w:rsidRPr="008E2674">
          <w:rPr>
            <w:rStyle w:val="Hyperlink"/>
            <w:lang w:val="fr-FR"/>
          </w:rPr>
          <w:t>HRI/GEN/2/Rev.6</w:t>
        </w:r>
      </w:hyperlink>
      <w:r w:rsidRPr="005C3B55">
        <w:rPr>
          <w:lang w:val="fr-FR"/>
        </w:rPr>
        <w:t>) à la lumière des objectifs de développement durable. Le Groupe de travail a approuvé un projet de proposition élaboré par M</w:t>
      </w:r>
      <w:r w:rsidRPr="005C3B55">
        <w:rPr>
          <w:vertAlign w:val="superscript"/>
          <w:lang w:val="fr-FR"/>
        </w:rPr>
        <w:t>me</w:t>
      </w:r>
      <w:r w:rsidRPr="005C3B55">
        <w:rPr>
          <w:lang w:val="fr-FR"/>
        </w:rPr>
        <w:t xml:space="preserve"> Pomeranzi et décidé d</w:t>
      </w:r>
      <w:r w:rsidR="00265783">
        <w:rPr>
          <w:lang w:val="fr-FR"/>
        </w:rPr>
        <w:t>’</w:t>
      </w:r>
      <w:r w:rsidRPr="005C3B55">
        <w:rPr>
          <w:lang w:val="fr-FR"/>
        </w:rPr>
        <w:t>affiner encore les directives en collaboration avec M</w:t>
      </w:r>
      <w:r w:rsidRPr="005C3B55">
        <w:rPr>
          <w:vertAlign w:val="superscript"/>
          <w:lang w:val="fr-FR"/>
        </w:rPr>
        <w:t>me</w:t>
      </w:r>
      <w:r w:rsidRPr="005C3B55">
        <w:rPr>
          <w:lang w:val="fr-FR"/>
        </w:rPr>
        <w:t xml:space="preserve"> Pomeranzi et d</w:t>
      </w:r>
      <w:r w:rsidR="00265783">
        <w:rPr>
          <w:lang w:val="fr-FR"/>
        </w:rPr>
        <w:t>’</w:t>
      </w:r>
      <w:r w:rsidRPr="005C3B55">
        <w:rPr>
          <w:lang w:val="fr-FR"/>
        </w:rPr>
        <w:t>examiner le projet définitif à la soixante-dixième session du Comité.</w:t>
      </w:r>
    </w:p>
    <w:p w14:paraId="40FE4ED2" w14:textId="0F95E686" w:rsidR="005C3B55" w:rsidRDefault="005C3B55" w:rsidP="00E00189">
      <w:pPr>
        <w:pStyle w:val="SingleTxt"/>
        <w:numPr>
          <w:ilvl w:val="0"/>
          <w:numId w:val="17"/>
        </w:numPr>
        <w:spacing w:line="240" w:lineRule="exact"/>
        <w:rPr>
          <w:lang w:val="fr-FR"/>
        </w:rPr>
      </w:pPr>
      <w:r w:rsidRPr="005C3B55">
        <w:rPr>
          <w:lang w:val="fr-FR"/>
        </w:rPr>
        <w:t>La présidente du Groupe de travail, Nicole Ameline, a proposé que le Comité tienne, à sa soixante-dixième session, une réunion avec les organismes responsables des objectifs de développement durable afin de renforcer l</w:t>
      </w:r>
      <w:r w:rsidR="00265783">
        <w:rPr>
          <w:lang w:val="fr-FR"/>
        </w:rPr>
        <w:t>’</w:t>
      </w:r>
      <w:r w:rsidRPr="005C3B55">
        <w:rPr>
          <w:lang w:val="fr-FR"/>
        </w:rPr>
        <w:t>intégration de la Convention dans l</w:t>
      </w:r>
      <w:r w:rsidR="00265783">
        <w:rPr>
          <w:lang w:val="fr-FR"/>
        </w:rPr>
        <w:t>’</w:t>
      </w:r>
      <w:r w:rsidRPr="005C3B55">
        <w:rPr>
          <w:lang w:val="fr-FR"/>
        </w:rPr>
        <w:t>application du Programme 2030, en particulier en ce qui concerne les cibles relatives à l</w:t>
      </w:r>
      <w:r w:rsidR="00265783">
        <w:rPr>
          <w:lang w:val="fr-FR"/>
        </w:rPr>
        <w:t>’</w:t>
      </w:r>
      <w:r w:rsidRPr="005C3B55">
        <w:rPr>
          <w:lang w:val="fr-FR"/>
        </w:rPr>
        <w:t>autonomisation des femmes.</w:t>
      </w:r>
    </w:p>
    <w:p w14:paraId="4CDFB747" w14:textId="405603B0" w:rsidR="00E00189" w:rsidRPr="00E00189" w:rsidRDefault="00E00189" w:rsidP="00E00189">
      <w:pPr>
        <w:pStyle w:val="SingleTxt"/>
        <w:spacing w:after="0" w:line="120" w:lineRule="exact"/>
        <w:rPr>
          <w:sz w:val="10"/>
          <w:lang w:val="fr-FR"/>
        </w:rPr>
      </w:pPr>
    </w:p>
    <w:p w14:paraId="77229E29" w14:textId="3F0D02C3" w:rsidR="005C3B55" w:rsidRPr="005C3B55" w:rsidRDefault="005C3B55" w:rsidP="00E001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3B55">
        <w:rPr>
          <w:lang w:val="fr-FR"/>
        </w:rPr>
        <w:tab/>
      </w:r>
      <w:r w:rsidRPr="005C3B55">
        <w:rPr>
          <w:lang w:val="fr-FR"/>
        </w:rPr>
        <w:tab/>
        <w:t xml:space="preserve">Équipe spéciale sur les femmes et la prévention des conflits et sur les femmes </w:t>
      </w:r>
      <w:r w:rsidR="00C47FE2">
        <w:rPr>
          <w:lang w:val="fr-FR"/>
        </w:rPr>
        <w:br/>
      </w:r>
      <w:r w:rsidRPr="005C3B55">
        <w:rPr>
          <w:lang w:val="fr-FR"/>
        </w:rPr>
        <w:t>en temps de conflit et après un conflit</w:t>
      </w:r>
    </w:p>
    <w:p w14:paraId="3C0CF494" w14:textId="1D9969FB" w:rsidR="00E00189" w:rsidRPr="00E00189" w:rsidRDefault="00E00189" w:rsidP="00E00189">
      <w:pPr>
        <w:pStyle w:val="SingleTxt"/>
        <w:spacing w:after="0" w:line="120" w:lineRule="exact"/>
        <w:rPr>
          <w:sz w:val="10"/>
          <w:lang w:val="fr-FR"/>
        </w:rPr>
      </w:pPr>
    </w:p>
    <w:p w14:paraId="061A7CDD" w14:textId="0AA54579" w:rsidR="005C3B55" w:rsidRPr="005C3B55" w:rsidRDefault="005C3B55" w:rsidP="00E00189">
      <w:pPr>
        <w:pStyle w:val="SingleTxt"/>
        <w:numPr>
          <w:ilvl w:val="0"/>
          <w:numId w:val="17"/>
        </w:numPr>
        <w:spacing w:line="240" w:lineRule="exact"/>
        <w:rPr>
          <w:lang w:val="fr-FR"/>
        </w:rPr>
      </w:pPr>
      <w:r w:rsidRPr="005C3B55">
        <w:rPr>
          <w:lang w:val="fr-FR"/>
        </w:rPr>
        <w:t>L</w:t>
      </w:r>
      <w:r w:rsidR="00265783">
        <w:rPr>
          <w:lang w:val="fr-FR"/>
        </w:rPr>
        <w:t>’</w:t>
      </w:r>
      <w:r w:rsidRPr="005C3B55">
        <w:rPr>
          <w:lang w:val="fr-FR"/>
        </w:rPr>
        <w:t>Équipe spéciale s</w:t>
      </w:r>
      <w:r w:rsidR="00265783">
        <w:rPr>
          <w:lang w:val="fr-FR"/>
        </w:rPr>
        <w:t>’</w:t>
      </w:r>
      <w:r w:rsidRPr="005C3B55">
        <w:rPr>
          <w:lang w:val="fr-FR"/>
        </w:rPr>
        <w:t>est réunie pendant la session et a examiné la possibilité de tenir une table ronde sur les femmes et la paix et la sécurité pendant la soixante et onzième session du Comité.</w:t>
      </w:r>
    </w:p>
    <w:p w14:paraId="4134E867" w14:textId="77777777" w:rsidR="005C3B55" w:rsidRPr="005C3B55" w:rsidRDefault="005C3B55" w:rsidP="005C3B55">
      <w:pPr>
        <w:pStyle w:val="SingleTxt"/>
        <w:spacing w:line="240" w:lineRule="exact"/>
        <w:rPr>
          <w:b/>
          <w:bCs/>
          <w:lang w:val="fr-FR"/>
        </w:rPr>
      </w:pPr>
      <w:r w:rsidRPr="005C3B55">
        <w:rPr>
          <w:bCs/>
          <w:lang w:val="fr-FR"/>
        </w:rPr>
        <w:br w:type="page"/>
      </w:r>
    </w:p>
    <w:p w14:paraId="25C48126" w14:textId="77777777" w:rsidR="005C3B55" w:rsidRPr="009C4E47" w:rsidRDefault="005C3B55" w:rsidP="00E00189">
      <w:pPr>
        <w:pStyle w:val="HCh0"/>
        <w:ind w:left="1267" w:right="1260" w:hanging="1267"/>
        <w:rPr>
          <w:lang w:val="fr-FR"/>
        </w:rPr>
      </w:pPr>
      <w:r w:rsidRPr="009C4E47">
        <w:rPr>
          <w:lang w:val="fr-FR"/>
        </w:rPr>
        <w:lastRenderedPageBreak/>
        <w:t>Chapitre VIII</w:t>
      </w:r>
    </w:p>
    <w:p w14:paraId="7E9B5E73" w14:textId="58AF04DD" w:rsidR="005C3B55" w:rsidRPr="009C4E47" w:rsidRDefault="005C3B55" w:rsidP="00E00189">
      <w:pPr>
        <w:pStyle w:val="HCh0"/>
        <w:ind w:left="1267" w:right="1260" w:hanging="1267"/>
        <w:rPr>
          <w:lang w:val="fr-FR"/>
        </w:rPr>
      </w:pPr>
      <w:r w:rsidRPr="009C4E47">
        <w:rPr>
          <w:lang w:val="fr-FR"/>
        </w:rPr>
        <w:tab/>
      </w:r>
      <w:r w:rsidRPr="009C4E47">
        <w:rPr>
          <w:lang w:val="fr-FR"/>
        </w:rPr>
        <w:tab/>
        <w:t>Ordre du jour provisoire de la soixante-dixième session</w:t>
      </w:r>
    </w:p>
    <w:p w14:paraId="4D5A897F" w14:textId="126EBCFF" w:rsidR="00E00189" w:rsidRPr="009C4E47" w:rsidRDefault="00E00189" w:rsidP="00E00189">
      <w:pPr>
        <w:pStyle w:val="SingleTxt"/>
        <w:spacing w:after="0" w:line="120" w:lineRule="exact"/>
        <w:rPr>
          <w:sz w:val="10"/>
          <w:lang w:val="fr-FR"/>
        </w:rPr>
      </w:pPr>
    </w:p>
    <w:p w14:paraId="3D553EA8" w14:textId="7CB1DBF4" w:rsidR="00E00189" w:rsidRPr="009C4E47" w:rsidRDefault="00E00189" w:rsidP="00E00189">
      <w:pPr>
        <w:pStyle w:val="SingleTxt"/>
        <w:spacing w:after="0" w:line="120" w:lineRule="exact"/>
        <w:rPr>
          <w:sz w:val="10"/>
          <w:lang w:val="fr-FR"/>
        </w:rPr>
      </w:pPr>
    </w:p>
    <w:p w14:paraId="29836534" w14:textId="62E54A88" w:rsidR="005C3B55" w:rsidRPr="005C3B55" w:rsidRDefault="005C3B55" w:rsidP="00E00189">
      <w:pPr>
        <w:pStyle w:val="SingleTxt"/>
        <w:numPr>
          <w:ilvl w:val="0"/>
          <w:numId w:val="17"/>
        </w:numPr>
        <w:spacing w:line="240" w:lineRule="exact"/>
        <w:rPr>
          <w:lang w:val="fr-FR"/>
        </w:rPr>
      </w:pPr>
      <w:r w:rsidRPr="005C3B55">
        <w:rPr>
          <w:lang w:val="fr-FR"/>
        </w:rPr>
        <w:t>À sa 1599</w:t>
      </w:r>
      <w:r w:rsidRPr="005C3B55">
        <w:rPr>
          <w:vertAlign w:val="superscript"/>
          <w:lang w:val="fr-FR"/>
        </w:rPr>
        <w:t>e</w:t>
      </w:r>
      <w:r w:rsidRPr="005C3B55">
        <w:rPr>
          <w:lang w:val="fr-FR"/>
        </w:rPr>
        <w:t xml:space="preserve"> séance, le 9 mars 2018, le Comité a examiné et approuvé le projet d</w:t>
      </w:r>
      <w:r w:rsidR="00265783">
        <w:rPr>
          <w:lang w:val="fr-FR"/>
        </w:rPr>
        <w:t>’</w:t>
      </w:r>
      <w:r w:rsidRPr="005C3B55">
        <w:rPr>
          <w:lang w:val="fr-FR"/>
        </w:rPr>
        <w:t>ordre du jour provisoire de sa soixante-dixième session.</w:t>
      </w:r>
    </w:p>
    <w:p w14:paraId="30CE4672" w14:textId="77777777" w:rsidR="005C3B55" w:rsidRPr="005C3B55" w:rsidRDefault="005C3B55" w:rsidP="005C3B55">
      <w:pPr>
        <w:pStyle w:val="SingleTxt"/>
        <w:spacing w:line="240" w:lineRule="exact"/>
        <w:rPr>
          <w:b/>
          <w:bCs/>
          <w:lang w:val="fr-FR"/>
        </w:rPr>
      </w:pPr>
      <w:r w:rsidRPr="005C3B55">
        <w:rPr>
          <w:bCs/>
          <w:lang w:val="fr-FR"/>
        </w:rPr>
        <w:br w:type="page"/>
      </w:r>
    </w:p>
    <w:p w14:paraId="747152FC" w14:textId="77777777" w:rsidR="005C3B55" w:rsidRPr="005C3B55" w:rsidRDefault="005C3B55" w:rsidP="008940CF">
      <w:pPr>
        <w:pStyle w:val="HCh0"/>
        <w:ind w:left="1267" w:right="1260" w:hanging="1267"/>
      </w:pPr>
      <w:r w:rsidRPr="005C3B55">
        <w:lastRenderedPageBreak/>
        <w:t>Chapitre IX</w:t>
      </w:r>
    </w:p>
    <w:p w14:paraId="3A898A01" w14:textId="17CF6C7B" w:rsidR="005C3B55" w:rsidRDefault="005C3B55" w:rsidP="008940CF">
      <w:pPr>
        <w:pStyle w:val="HCh0"/>
        <w:ind w:left="1267" w:right="1260" w:hanging="1267"/>
      </w:pPr>
      <w:r w:rsidRPr="005C3B55">
        <w:tab/>
      </w:r>
      <w:r w:rsidRPr="005C3B55">
        <w:tab/>
        <w:t>Adoption du rapport</w:t>
      </w:r>
    </w:p>
    <w:p w14:paraId="0B817697" w14:textId="17AAC1E5" w:rsidR="008940CF" w:rsidRPr="008940CF" w:rsidRDefault="008940CF" w:rsidP="008940CF">
      <w:pPr>
        <w:pStyle w:val="SingleTxt"/>
        <w:spacing w:after="0" w:line="120" w:lineRule="exact"/>
        <w:rPr>
          <w:sz w:val="10"/>
          <w:lang w:val="en-GB"/>
        </w:rPr>
      </w:pPr>
    </w:p>
    <w:p w14:paraId="0CDD2E42" w14:textId="674DEAD7" w:rsidR="008940CF" w:rsidRPr="008940CF" w:rsidRDefault="008940CF" w:rsidP="008940CF">
      <w:pPr>
        <w:pStyle w:val="SingleTxt"/>
        <w:spacing w:after="0" w:line="120" w:lineRule="exact"/>
        <w:rPr>
          <w:sz w:val="10"/>
          <w:lang w:val="en-GB"/>
        </w:rPr>
      </w:pPr>
    </w:p>
    <w:p w14:paraId="498016F6" w14:textId="0C41225A" w:rsidR="005C3B55" w:rsidRPr="005C3B55" w:rsidRDefault="005C3B55" w:rsidP="008940CF">
      <w:pPr>
        <w:pStyle w:val="SingleTxt"/>
        <w:numPr>
          <w:ilvl w:val="0"/>
          <w:numId w:val="17"/>
        </w:numPr>
        <w:spacing w:line="240" w:lineRule="exact"/>
        <w:rPr>
          <w:lang w:val="fr-FR"/>
        </w:rPr>
      </w:pPr>
      <w:r w:rsidRPr="005C3B55">
        <w:rPr>
          <w:lang w:val="fr-FR"/>
        </w:rPr>
        <w:t>À sa 1599</w:t>
      </w:r>
      <w:r w:rsidRPr="005C3B55">
        <w:rPr>
          <w:vertAlign w:val="superscript"/>
          <w:lang w:val="fr-FR"/>
        </w:rPr>
        <w:t>e</w:t>
      </w:r>
      <w:r w:rsidRPr="005C3B55">
        <w:rPr>
          <w:lang w:val="fr-FR"/>
        </w:rPr>
        <w:t xml:space="preserve"> séance, le 9 mars 2018, le Comité a examiné et adopté le projet de rapport sur les travaux de sa soixante-neuvième session, tel que modifié oralement.</w:t>
      </w:r>
    </w:p>
    <w:p w14:paraId="51FDC9F6" w14:textId="77777777" w:rsidR="005C3B55" w:rsidRPr="005C3B55" w:rsidRDefault="005C3B55" w:rsidP="005C3B55">
      <w:pPr>
        <w:pStyle w:val="SingleTxt"/>
        <w:spacing w:line="240" w:lineRule="exact"/>
        <w:rPr>
          <w:b/>
          <w:bCs/>
          <w:lang w:val="fr-FR"/>
        </w:rPr>
      </w:pPr>
      <w:r w:rsidRPr="005C3B55">
        <w:rPr>
          <w:bCs/>
          <w:lang w:val="fr-FR"/>
        </w:rPr>
        <w:br w:type="page"/>
      </w:r>
    </w:p>
    <w:p w14:paraId="1039C01B" w14:textId="77777777" w:rsidR="005C3B55" w:rsidRPr="009C4E47" w:rsidRDefault="005C3B55" w:rsidP="008940CF">
      <w:pPr>
        <w:pStyle w:val="HCh0"/>
        <w:ind w:left="1267" w:right="1260" w:hanging="1267"/>
        <w:rPr>
          <w:lang w:val="fr-FR"/>
        </w:rPr>
      </w:pPr>
      <w:r w:rsidRPr="009C4E47">
        <w:rPr>
          <w:lang w:val="fr-FR"/>
        </w:rPr>
        <w:lastRenderedPageBreak/>
        <w:t>Annexe I</w:t>
      </w:r>
    </w:p>
    <w:p w14:paraId="7D9711FA" w14:textId="0553EA79" w:rsidR="005C3B55" w:rsidRDefault="005C3B55" w:rsidP="008940CF">
      <w:pPr>
        <w:pStyle w:val="HCh0"/>
        <w:ind w:left="1267" w:right="1260" w:hanging="1267"/>
        <w:rPr>
          <w:lang w:val="fr-FR"/>
        </w:rPr>
      </w:pPr>
      <w:r w:rsidRPr="009C4E47">
        <w:rPr>
          <w:lang w:val="fr-FR"/>
        </w:rPr>
        <w:tab/>
      </w:r>
      <w:r w:rsidRPr="009C4E47">
        <w:rPr>
          <w:lang w:val="fr-FR"/>
        </w:rPr>
        <w:tab/>
        <w:t>Liste des documents dont le Comité était saisi à sa soixante-neuvième session</w:t>
      </w:r>
    </w:p>
    <w:p w14:paraId="7F56C4C6" w14:textId="54827E0B" w:rsidR="00567612" w:rsidRPr="00567612" w:rsidRDefault="00567612" w:rsidP="00567612">
      <w:pPr>
        <w:pStyle w:val="SingleTxt"/>
        <w:spacing w:after="0" w:line="120" w:lineRule="exact"/>
        <w:rPr>
          <w:sz w:val="10"/>
          <w:lang w:val="fr-FR"/>
        </w:rPr>
      </w:pPr>
    </w:p>
    <w:p w14:paraId="2D2A551F" w14:textId="0043B722" w:rsidR="00567612" w:rsidRPr="00567612" w:rsidRDefault="00567612" w:rsidP="00567612">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440"/>
      </w:tblGrid>
      <w:tr w:rsidR="00567612" w:rsidRPr="00567612" w14:paraId="5EBDE6E1" w14:textId="77777777" w:rsidTr="00DF51DA">
        <w:trPr>
          <w:cantSplit/>
          <w:tblHeader/>
        </w:trPr>
        <w:tc>
          <w:tcPr>
            <w:tcW w:w="2880" w:type="dxa"/>
            <w:tcBorders>
              <w:top w:val="single" w:sz="4" w:space="0" w:color="auto"/>
              <w:bottom w:val="single" w:sz="12" w:space="0" w:color="auto"/>
            </w:tcBorders>
            <w:shd w:val="clear" w:color="auto" w:fill="auto"/>
            <w:vAlign w:val="bottom"/>
          </w:tcPr>
          <w:p w14:paraId="12C0D6D5" w14:textId="77777777" w:rsidR="00567612" w:rsidRPr="00567612" w:rsidRDefault="00567612" w:rsidP="00567612">
            <w:pPr>
              <w:suppressAutoHyphens/>
              <w:spacing w:before="81" w:after="81" w:line="160" w:lineRule="exact"/>
              <w:ind w:right="40"/>
              <w:rPr>
                <w:i/>
                <w:spacing w:val="0"/>
                <w:w w:val="100"/>
                <w:kern w:val="0"/>
                <w:sz w:val="14"/>
                <w:szCs w:val="14"/>
              </w:rPr>
            </w:pPr>
            <w:bookmarkStart w:id="6" w:name="_Hlk512608718"/>
            <w:r w:rsidRPr="00567612">
              <w:rPr>
                <w:i/>
                <w:iCs/>
                <w:sz w:val="14"/>
                <w:szCs w:val="14"/>
              </w:rPr>
              <w:t>Cote du document</w:t>
            </w:r>
          </w:p>
        </w:tc>
        <w:tc>
          <w:tcPr>
            <w:tcW w:w="4440" w:type="dxa"/>
            <w:tcBorders>
              <w:top w:val="single" w:sz="4" w:space="0" w:color="auto"/>
              <w:bottom w:val="single" w:sz="12" w:space="0" w:color="auto"/>
            </w:tcBorders>
            <w:shd w:val="clear" w:color="auto" w:fill="auto"/>
            <w:vAlign w:val="bottom"/>
          </w:tcPr>
          <w:p w14:paraId="0AFE743C" w14:textId="77777777" w:rsidR="00567612" w:rsidRPr="00567612" w:rsidRDefault="00567612" w:rsidP="00567612">
            <w:pPr>
              <w:suppressAutoHyphens/>
              <w:spacing w:before="81" w:after="81" w:line="160" w:lineRule="exact"/>
              <w:ind w:left="144" w:right="43"/>
              <w:rPr>
                <w:i/>
                <w:spacing w:val="0"/>
                <w:w w:val="100"/>
                <w:kern w:val="0"/>
                <w:sz w:val="14"/>
                <w:szCs w:val="14"/>
              </w:rPr>
            </w:pPr>
            <w:r w:rsidRPr="00567612">
              <w:rPr>
                <w:i/>
                <w:iCs/>
                <w:sz w:val="14"/>
                <w:szCs w:val="14"/>
              </w:rPr>
              <w:t>Titre ou description</w:t>
            </w:r>
          </w:p>
        </w:tc>
      </w:tr>
      <w:tr w:rsidR="00567612" w:rsidRPr="00567612" w14:paraId="1640B59F" w14:textId="77777777" w:rsidTr="00DF51DA">
        <w:trPr>
          <w:cantSplit/>
          <w:trHeight w:hRule="exact" w:val="113"/>
          <w:tblHeader/>
        </w:trPr>
        <w:tc>
          <w:tcPr>
            <w:tcW w:w="2880" w:type="dxa"/>
            <w:tcBorders>
              <w:top w:val="single" w:sz="12" w:space="0" w:color="auto"/>
            </w:tcBorders>
            <w:shd w:val="clear" w:color="auto" w:fill="auto"/>
            <w:vAlign w:val="bottom"/>
          </w:tcPr>
          <w:p w14:paraId="364F31B6" w14:textId="77777777" w:rsidR="00567612" w:rsidRPr="00567612" w:rsidRDefault="00567612" w:rsidP="00567612">
            <w:pPr>
              <w:suppressAutoHyphens/>
              <w:spacing w:before="40" w:after="40" w:line="210" w:lineRule="exact"/>
              <w:ind w:right="40"/>
              <w:rPr>
                <w:spacing w:val="0"/>
                <w:w w:val="100"/>
                <w:kern w:val="0"/>
                <w:sz w:val="17"/>
              </w:rPr>
            </w:pPr>
          </w:p>
        </w:tc>
        <w:tc>
          <w:tcPr>
            <w:tcW w:w="4440" w:type="dxa"/>
            <w:tcBorders>
              <w:top w:val="single" w:sz="12" w:space="0" w:color="auto"/>
            </w:tcBorders>
            <w:shd w:val="clear" w:color="auto" w:fill="auto"/>
            <w:vAlign w:val="bottom"/>
          </w:tcPr>
          <w:p w14:paraId="1732E325" w14:textId="77777777" w:rsidR="00567612" w:rsidRPr="00567612" w:rsidRDefault="00567612" w:rsidP="00567612">
            <w:pPr>
              <w:suppressAutoHyphens/>
              <w:spacing w:before="40" w:after="40" w:line="210" w:lineRule="exact"/>
              <w:ind w:left="144" w:right="43"/>
              <w:rPr>
                <w:spacing w:val="0"/>
                <w:w w:val="100"/>
                <w:kern w:val="0"/>
                <w:sz w:val="17"/>
              </w:rPr>
            </w:pPr>
          </w:p>
        </w:tc>
      </w:tr>
      <w:tr w:rsidR="00DF51DA" w:rsidRPr="00567612" w14:paraId="3B102061" w14:textId="77777777" w:rsidTr="00DF51DA">
        <w:trPr>
          <w:cantSplit/>
        </w:trPr>
        <w:tc>
          <w:tcPr>
            <w:tcW w:w="2880" w:type="dxa"/>
            <w:shd w:val="clear" w:color="auto" w:fill="auto"/>
          </w:tcPr>
          <w:p w14:paraId="4B844A8F" w14:textId="141B4E33" w:rsidR="00DF51DA" w:rsidRPr="00567612" w:rsidRDefault="002D427A" w:rsidP="00DF51DA">
            <w:pPr>
              <w:tabs>
                <w:tab w:val="left" w:pos="288"/>
                <w:tab w:val="left" w:pos="576"/>
                <w:tab w:val="left" w:pos="864"/>
                <w:tab w:val="left" w:pos="1152"/>
              </w:tabs>
              <w:suppressAutoHyphens/>
              <w:spacing w:before="40" w:after="40" w:line="210" w:lineRule="exact"/>
              <w:ind w:right="40"/>
              <w:rPr>
                <w:spacing w:val="0"/>
                <w:w w:val="100"/>
                <w:kern w:val="0"/>
                <w:szCs w:val="20"/>
              </w:rPr>
            </w:pPr>
            <w:hyperlink r:id="rId131" w:history="1">
              <w:r w:rsidR="00DF51DA" w:rsidRPr="00185DA7">
                <w:rPr>
                  <w:rStyle w:val="Hyperlink"/>
                  <w:szCs w:val="20"/>
                </w:rPr>
                <w:t>CEDAW/C/69/1</w:t>
              </w:r>
            </w:hyperlink>
          </w:p>
        </w:tc>
        <w:tc>
          <w:tcPr>
            <w:tcW w:w="4440" w:type="dxa"/>
            <w:shd w:val="clear" w:color="auto" w:fill="auto"/>
            <w:vAlign w:val="bottom"/>
          </w:tcPr>
          <w:p w14:paraId="2D2D39D3" w14:textId="77777777" w:rsidR="00DF51DA" w:rsidRPr="00567612" w:rsidRDefault="00DF51DA" w:rsidP="00DF51DA">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rPr>
              <w:t xml:space="preserve">Ordre du jour provisoire annoté </w:t>
            </w:r>
          </w:p>
        </w:tc>
      </w:tr>
      <w:tr w:rsidR="00DF51DA" w:rsidRPr="00567612" w14:paraId="46B7BBBA" w14:textId="77777777" w:rsidTr="00DF51DA">
        <w:trPr>
          <w:cantSplit/>
        </w:trPr>
        <w:tc>
          <w:tcPr>
            <w:tcW w:w="2880" w:type="dxa"/>
            <w:shd w:val="clear" w:color="auto" w:fill="auto"/>
          </w:tcPr>
          <w:p w14:paraId="74B70313" w14:textId="7693C6BA" w:rsidR="00DF51DA" w:rsidRPr="00567612" w:rsidRDefault="002D427A" w:rsidP="00DF51DA">
            <w:pPr>
              <w:tabs>
                <w:tab w:val="left" w:pos="288"/>
                <w:tab w:val="left" w:pos="576"/>
                <w:tab w:val="left" w:pos="864"/>
                <w:tab w:val="left" w:pos="1152"/>
              </w:tabs>
              <w:suppressAutoHyphens/>
              <w:spacing w:before="40" w:after="40" w:line="210" w:lineRule="exact"/>
              <w:ind w:right="40"/>
              <w:rPr>
                <w:spacing w:val="0"/>
                <w:w w:val="100"/>
                <w:kern w:val="0"/>
                <w:szCs w:val="20"/>
              </w:rPr>
            </w:pPr>
            <w:hyperlink r:id="rId132" w:history="1">
              <w:r w:rsidR="00DF51DA" w:rsidRPr="00185DA7">
                <w:rPr>
                  <w:rStyle w:val="Hyperlink"/>
                  <w:szCs w:val="20"/>
                </w:rPr>
                <w:t>CEDAW/C/69/2</w:t>
              </w:r>
            </w:hyperlink>
          </w:p>
        </w:tc>
        <w:tc>
          <w:tcPr>
            <w:tcW w:w="4440" w:type="dxa"/>
            <w:shd w:val="clear" w:color="auto" w:fill="auto"/>
            <w:vAlign w:val="bottom"/>
          </w:tcPr>
          <w:p w14:paraId="2BFDE7F0" w14:textId="77777777" w:rsidR="00DF51DA" w:rsidRPr="00567612" w:rsidRDefault="00DF51DA" w:rsidP="00DF51DA">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rPr>
              <w:t>Rapport de l’Organisation des Nations Unies pour l’éducation, la science et la culture</w:t>
            </w:r>
          </w:p>
        </w:tc>
      </w:tr>
      <w:tr w:rsidR="00DF51DA" w:rsidRPr="00567612" w14:paraId="033D1EEE" w14:textId="77777777" w:rsidTr="00DF51DA">
        <w:trPr>
          <w:cantSplit/>
        </w:trPr>
        <w:tc>
          <w:tcPr>
            <w:tcW w:w="2880" w:type="dxa"/>
            <w:shd w:val="clear" w:color="auto" w:fill="auto"/>
          </w:tcPr>
          <w:p w14:paraId="11A9AABC" w14:textId="1E3BC35C" w:rsidR="00DF51DA" w:rsidRPr="00567612" w:rsidRDefault="002D427A" w:rsidP="00DF51DA">
            <w:pPr>
              <w:tabs>
                <w:tab w:val="left" w:pos="288"/>
                <w:tab w:val="left" w:pos="576"/>
                <w:tab w:val="left" w:pos="864"/>
                <w:tab w:val="left" w:pos="1152"/>
              </w:tabs>
              <w:suppressAutoHyphens/>
              <w:spacing w:before="40" w:after="40" w:line="210" w:lineRule="exact"/>
              <w:ind w:right="40"/>
              <w:rPr>
                <w:spacing w:val="0"/>
                <w:w w:val="100"/>
                <w:kern w:val="0"/>
                <w:szCs w:val="20"/>
              </w:rPr>
            </w:pPr>
            <w:hyperlink r:id="rId133" w:history="1">
              <w:r w:rsidR="00DF51DA" w:rsidRPr="00185DA7">
                <w:rPr>
                  <w:rStyle w:val="Hyperlink"/>
                  <w:szCs w:val="20"/>
                </w:rPr>
                <w:t>CEDAW/C/69/3</w:t>
              </w:r>
            </w:hyperlink>
          </w:p>
        </w:tc>
        <w:tc>
          <w:tcPr>
            <w:tcW w:w="4440" w:type="dxa"/>
            <w:shd w:val="clear" w:color="auto" w:fill="auto"/>
            <w:vAlign w:val="bottom"/>
          </w:tcPr>
          <w:p w14:paraId="3507B1CF" w14:textId="77777777" w:rsidR="00DF51DA" w:rsidRPr="00567612" w:rsidRDefault="00DF51DA" w:rsidP="00DF51DA">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rPr>
              <w:t>Rapport de l’Organisation internationale du Travail</w:t>
            </w:r>
          </w:p>
        </w:tc>
      </w:tr>
      <w:tr w:rsidR="00DF51DA" w:rsidRPr="00DF51DA" w14:paraId="33DA2B51" w14:textId="77777777" w:rsidTr="00DF51DA">
        <w:trPr>
          <w:cantSplit/>
          <w:trHeight w:val="432"/>
        </w:trPr>
        <w:tc>
          <w:tcPr>
            <w:tcW w:w="2880" w:type="dxa"/>
            <w:shd w:val="clear" w:color="auto" w:fill="auto"/>
          </w:tcPr>
          <w:p w14:paraId="5AD843EF" w14:textId="27C4B075" w:rsidR="00DF51DA" w:rsidRPr="00DF51DA" w:rsidRDefault="00DF51DA" w:rsidP="00DF51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b/>
                <w:bCs/>
                <w:szCs w:val="20"/>
                <w:lang w:val="en-GB"/>
              </w:rPr>
            </w:pPr>
            <w:r w:rsidRPr="00DF51DA">
              <w:rPr>
                <w:b/>
                <w:bCs/>
                <w:szCs w:val="20"/>
                <w:lang w:val="en-GB"/>
              </w:rPr>
              <w:t>Rapports des États parties</w:t>
            </w:r>
          </w:p>
        </w:tc>
        <w:tc>
          <w:tcPr>
            <w:tcW w:w="4440" w:type="dxa"/>
            <w:shd w:val="clear" w:color="auto" w:fill="auto"/>
            <w:vAlign w:val="bottom"/>
          </w:tcPr>
          <w:p w14:paraId="35B31FDD" w14:textId="77777777" w:rsidR="00DF51DA" w:rsidRPr="00DF51DA" w:rsidRDefault="00DF51DA" w:rsidP="00DF51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b/>
                <w:bCs/>
                <w:szCs w:val="20"/>
                <w:lang w:val="en-GB"/>
              </w:rPr>
            </w:pPr>
          </w:p>
        </w:tc>
      </w:tr>
      <w:tr w:rsidR="00DF51DA" w:rsidRPr="00567612" w14:paraId="5B1B4871" w14:textId="77777777" w:rsidTr="00DF51DA">
        <w:trPr>
          <w:cantSplit/>
        </w:trPr>
        <w:tc>
          <w:tcPr>
            <w:tcW w:w="2880" w:type="dxa"/>
            <w:shd w:val="clear" w:color="auto" w:fill="auto"/>
          </w:tcPr>
          <w:p w14:paraId="53BC8795" w14:textId="75C26893" w:rsidR="00DF51DA" w:rsidRPr="00567612" w:rsidRDefault="002D427A" w:rsidP="00DF51DA">
            <w:pPr>
              <w:tabs>
                <w:tab w:val="left" w:pos="288"/>
                <w:tab w:val="left" w:pos="576"/>
                <w:tab w:val="left" w:pos="864"/>
                <w:tab w:val="left" w:pos="1152"/>
              </w:tabs>
              <w:suppressAutoHyphens/>
              <w:spacing w:before="40" w:after="40" w:line="210" w:lineRule="exact"/>
              <w:ind w:right="40"/>
              <w:rPr>
                <w:spacing w:val="0"/>
                <w:w w:val="100"/>
                <w:kern w:val="0"/>
                <w:szCs w:val="20"/>
              </w:rPr>
            </w:pPr>
            <w:hyperlink r:id="rId134" w:history="1">
              <w:r w:rsidR="00DF51DA" w:rsidRPr="00185DA7">
                <w:rPr>
                  <w:rStyle w:val="Hyperlink"/>
                  <w:szCs w:val="20"/>
                </w:rPr>
                <w:t>CEDAW/C/CHL/7</w:t>
              </w:r>
            </w:hyperlink>
          </w:p>
        </w:tc>
        <w:tc>
          <w:tcPr>
            <w:tcW w:w="4440" w:type="dxa"/>
            <w:shd w:val="clear" w:color="auto" w:fill="auto"/>
            <w:vAlign w:val="bottom"/>
          </w:tcPr>
          <w:p w14:paraId="02AA5213" w14:textId="77777777" w:rsidR="00DF51DA" w:rsidRPr="00567612" w:rsidRDefault="00DF51DA" w:rsidP="00DF51DA">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rPr>
              <w:t xml:space="preserve">Septième rapport périodique du Chili </w:t>
            </w:r>
          </w:p>
        </w:tc>
      </w:tr>
      <w:tr w:rsidR="00DF51DA" w:rsidRPr="00567612" w14:paraId="5524E613" w14:textId="77777777" w:rsidTr="00DF51DA">
        <w:trPr>
          <w:cantSplit/>
        </w:trPr>
        <w:tc>
          <w:tcPr>
            <w:tcW w:w="2880" w:type="dxa"/>
            <w:shd w:val="clear" w:color="auto" w:fill="auto"/>
          </w:tcPr>
          <w:p w14:paraId="40B6F0F8" w14:textId="3E32CC88" w:rsidR="00DF51DA" w:rsidRPr="00567612" w:rsidRDefault="002D427A" w:rsidP="00DF51DA">
            <w:pPr>
              <w:tabs>
                <w:tab w:val="left" w:pos="288"/>
                <w:tab w:val="left" w:pos="576"/>
                <w:tab w:val="left" w:pos="864"/>
                <w:tab w:val="left" w:pos="1152"/>
              </w:tabs>
              <w:suppressAutoHyphens/>
              <w:spacing w:before="40" w:after="40" w:line="210" w:lineRule="exact"/>
              <w:ind w:right="40"/>
              <w:rPr>
                <w:spacing w:val="0"/>
                <w:w w:val="100"/>
                <w:kern w:val="0"/>
                <w:szCs w:val="20"/>
              </w:rPr>
            </w:pPr>
            <w:hyperlink r:id="rId135" w:history="1">
              <w:r w:rsidR="00DF51DA" w:rsidRPr="00185DA7">
                <w:rPr>
                  <w:rStyle w:val="Hyperlink"/>
                  <w:szCs w:val="20"/>
                </w:rPr>
                <w:t>CEDAW/C/FJI/5</w:t>
              </w:r>
            </w:hyperlink>
          </w:p>
        </w:tc>
        <w:tc>
          <w:tcPr>
            <w:tcW w:w="4440" w:type="dxa"/>
            <w:shd w:val="clear" w:color="auto" w:fill="auto"/>
            <w:vAlign w:val="bottom"/>
          </w:tcPr>
          <w:p w14:paraId="45472360" w14:textId="77777777" w:rsidR="00DF51DA" w:rsidRPr="00567612" w:rsidRDefault="00DF51DA" w:rsidP="00DF51DA">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rPr>
              <w:t>Cinquième rapport périodique des Fidji</w:t>
            </w:r>
          </w:p>
        </w:tc>
      </w:tr>
      <w:tr w:rsidR="00DF51DA" w:rsidRPr="00567612" w14:paraId="79E0F145" w14:textId="77777777" w:rsidTr="00DF51DA">
        <w:trPr>
          <w:cantSplit/>
        </w:trPr>
        <w:tc>
          <w:tcPr>
            <w:tcW w:w="2880" w:type="dxa"/>
            <w:shd w:val="clear" w:color="auto" w:fill="auto"/>
          </w:tcPr>
          <w:p w14:paraId="039B5CB2" w14:textId="3DDD646F" w:rsidR="00DF51DA" w:rsidRPr="00567612" w:rsidRDefault="002D427A" w:rsidP="00DF51DA">
            <w:pPr>
              <w:tabs>
                <w:tab w:val="left" w:pos="288"/>
                <w:tab w:val="left" w:pos="576"/>
                <w:tab w:val="left" w:pos="864"/>
                <w:tab w:val="left" w:pos="1152"/>
              </w:tabs>
              <w:suppressAutoHyphens/>
              <w:spacing w:before="40" w:after="40" w:line="210" w:lineRule="exact"/>
              <w:ind w:right="40"/>
              <w:rPr>
                <w:spacing w:val="0"/>
                <w:w w:val="100"/>
                <w:kern w:val="0"/>
                <w:szCs w:val="20"/>
              </w:rPr>
            </w:pPr>
            <w:hyperlink r:id="rId136" w:history="1">
              <w:r w:rsidR="00DF51DA" w:rsidRPr="00185DA7">
                <w:rPr>
                  <w:rStyle w:val="Hyperlink"/>
                  <w:szCs w:val="20"/>
                </w:rPr>
                <w:t>CEDAW/C/LUX/6-7</w:t>
              </w:r>
            </w:hyperlink>
          </w:p>
        </w:tc>
        <w:tc>
          <w:tcPr>
            <w:tcW w:w="4440" w:type="dxa"/>
            <w:shd w:val="clear" w:color="auto" w:fill="auto"/>
            <w:vAlign w:val="bottom"/>
          </w:tcPr>
          <w:p w14:paraId="7A3FBA74" w14:textId="77777777" w:rsidR="00DF51DA" w:rsidRPr="00567612" w:rsidRDefault="00DF51DA" w:rsidP="00DF51DA">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rPr>
              <w:t>Rapport unique valant sixième et septième rapports périodiques du Luxembourg</w:t>
            </w:r>
          </w:p>
        </w:tc>
      </w:tr>
      <w:tr w:rsidR="00DF51DA" w:rsidRPr="00567612" w14:paraId="50559CA8" w14:textId="77777777" w:rsidTr="00DF51DA">
        <w:trPr>
          <w:cantSplit/>
        </w:trPr>
        <w:tc>
          <w:tcPr>
            <w:tcW w:w="2880" w:type="dxa"/>
            <w:shd w:val="clear" w:color="auto" w:fill="auto"/>
          </w:tcPr>
          <w:p w14:paraId="4594CB18" w14:textId="7162C6CB" w:rsidR="00DF51DA" w:rsidRPr="00567612" w:rsidRDefault="002D427A" w:rsidP="00DF51DA">
            <w:pPr>
              <w:tabs>
                <w:tab w:val="left" w:pos="288"/>
                <w:tab w:val="left" w:pos="576"/>
                <w:tab w:val="left" w:pos="864"/>
                <w:tab w:val="left" w:pos="1152"/>
              </w:tabs>
              <w:suppressAutoHyphens/>
              <w:spacing w:before="40" w:after="40" w:line="210" w:lineRule="exact"/>
              <w:ind w:right="40"/>
              <w:rPr>
                <w:spacing w:val="0"/>
                <w:w w:val="100"/>
                <w:kern w:val="0"/>
                <w:szCs w:val="20"/>
              </w:rPr>
            </w:pPr>
            <w:hyperlink r:id="rId137" w:history="1">
              <w:r w:rsidR="00DF51DA" w:rsidRPr="00185DA7">
                <w:rPr>
                  <w:rStyle w:val="Hyperlink"/>
                  <w:szCs w:val="20"/>
                </w:rPr>
                <w:t>CEDAW/C/MAL/3-5</w:t>
              </w:r>
            </w:hyperlink>
          </w:p>
        </w:tc>
        <w:tc>
          <w:tcPr>
            <w:tcW w:w="4440" w:type="dxa"/>
            <w:shd w:val="clear" w:color="auto" w:fill="auto"/>
            <w:vAlign w:val="bottom"/>
          </w:tcPr>
          <w:p w14:paraId="78402843" w14:textId="77777777" w:rsidR="00DF51DA" w:rsidRPr="00567612" w:rsidRDefault="00DF51DA" w:rsidP="00DF51DA">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rPr>
              <w:t>Rapport unique valant troisième à cinquième rapports périodiques de la Malaisie</w:t>
            </w:r>
          </w:p>
        </w:tc>
      </w:tr>
      <w:tr w:rsidR="00DF51DA" w:rsidRPr="00567612" w14:paraId="28B1CF9F" w14:textId="77777777" w:rsidTr="00DF51DA">
        <w:trPr>
          <w:cantSplit/>
        </w:trPr>
        <w:tc>
          <w:tcPr>
            <w:tcW w:w="2880" w:type="dxa"/>
            <w:shd w:val="clear" w:color="auto" w:fill="auto"/>
          </w:tcPr>
          <w:p w14:paraId="7F67BEDB" w14:textId="75715D18" w:rsidR="00DF51DA" w:rsidRPr="00567612" w:rsidRDefault="002D427A" w:rsidP="00DF51DA">
            <w:pPr>
              <w:tabs>
                <w:tab w:val="left" w:pos="288"/>
                <w:tab w:val="left" w:pos="576"/>
                <w:tab w:val="left" w:pos="864"/>
                <w:tab w:val="left" w:pos="1152"/>
              </w:tabs>
              <w:suppressAutoHyphens/>
              <w:spacing w:before="40" w:after="40" w:line="210" w:lineRule="exact"/>
              <w:ind w:right="40"/>
              <w:rPr>
                <w:spacing w:val="0"/>
                <w:w w:val="100"/>
                <w:kern w:val="0"/>
                <w:szCs w:val="20"/>
              </w:rPr>
            </w:pPr>
            <w:hyperlink r:id="rId138" w:history="1">
              <w:r w:rsidR="00DF51DA" w:rsidRPr="00185DA7">
                <w:rPr>
                  <w:rStyle w:val="Hyperlink"/>
                  <w:szCs w:val="20"/>
                </w:rPr>
                <w:t>CEDAW/C/MHL/1-3</w:t>
              </w:r>
            </w:hyperlink>
          </w:p>
        </w:tc>
        <w:tc>
          <w:tcPr>
            <w:tcW w:w="4440" w:type="dxa"/>
            <w:shd w:val="clear" w:color="auto" w:fill="auto"/>
            <w:vAlign w:val="bottom"/>
          </w:tcPr>
          <w:p w14:paraId="4A11D1FE" w14:textId="77777777" w:rsidR="00DF51DA" w:rsidRPr="00567612" w:rsidRDefault="00DF51DA" w:rsidP="00DF51DA">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rPr>
              <w:t>Rapport unique valant rapport initial et deuxième et troisième rapports périodiques des Îles Marshall</w:t>
            </w:r>
          </w:p>
        </w:tc>
      </w:tr>
      <w:tr w:rsidR="00DF51DA" w:rsidRPr="00567612" w14:paraId="70CCC2E3" w14:textId="77777777" w:rsidTr="00DF51DA">
        <w:trPr>
          <w:cantSplit/>
        </w:trPr>
        <w:tc>
          <w:tcPr>
            <w:tcW w:w="2880" w:type="dxa"/>
            <w:shd w:val="clear" w:color="auto" w:fill="auto"/>
          </w:tcPr>
          <w:p w14:paraId="4876D224" w14:textId="190D4B98" w:rsidR="00DF51DA" w:rsidRPr="00567612" w:rsidRDefault="002D427A" w:rsidP="00DF51DA">
            <w:pPr>
              <w:tabs>
                <w:tab w:val="left" w:pos="288"/>
                <w:tab w:val="left" w:pos="576"/>
                <w:tab w:val="left" w:pos="864"/>
                <w:tab w:val="left" w:pos="1152"/>
              </w:tabs>
              <w:suppressAutoHyphens/>
              <w:spacing w:before="40" w:after="40" w:line="210" w:lineRule="exact"/>
              <w:ind w:right="40"/>
              <w:rPr>
                <w:spacing w:val="0"/>
                <w:w w:val="100"/>
                <w:kern w:val="0"/>
                <w:szCs w:val="20"/>
              </w:rPr>
            </w:pPr>
            <w:hyperlink r:id="rId139" w:history="1">
              <w:r w:rsidR="00DF51DA" w:rsidRPr="00185DA7">
                <w:rPr>
                  <w:rStyle w:val="Hyperlink"/>
                  <w:szCs w:val="20"/>
                </w:rPr>
                <w:t>CEDAW/C/KOR/8</w:t>
              </w:r>
            </w:hyperlink>
          </w:p>
        </w:tc>
        <w:tc>
          <w:tcPr>
            <w:tcW w:w="4440" w:type="dxa"/>
            <w:shd w:val="clear" w:color="auto" w:fill="auto"/>
            <w:vAlign w:val="bottom"/>
          </w:tcPr>
          <w:p w14:paraId="11687E95" w14:textId="77777777" w:rsidR="00DF51DA" w:rsidRPr="00567612" w:rsidRDefault="00DF51DA" w:rsidP="00DF51DA">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rPr>
              <w:t>Huitième rapport périodique de la République de Corée</w:t>
            </w:r>
          </w:p>
        </w:tc>
      </w:tr>
      <w:tr w:rsidR="00DF51DA" w:rsidRPr="00567612" w14:paraId="6DF16A93" w14:textId="77777777" w:rsidTr="00DF51DA">
        <w:trPr>
          <w:cantSplit/>
        </w:trPr>
        <w:tc>
          <w:tcPr>
            <w:tcW w:w="2880" w:type="dxa"/>
            <w:shd w:val="clear" w:color="auto" w:fill="auto"/>
          </w:tcPr>
          <w:p w14:paraId="7A5D7779" w14:textId="2E19D306" w:rsidR="00DF51DA" w:rsidRPr="00567612" w:rsidRDefault="002D427A" w:rsidP="00DF51DA">
            <w:pPr>
              <w:tabs>
                <w:tab w:val="left" w:pos="288"/>
                <w:tab w:val="left" w:pos="576"/>
                <w:tab w:val="left" w:pos="864"/>
                <w:tab w:val="left" w:pos="1152"/>
              </w:tabs>
              <w:suppressAutoHyphens/>
              <w:spacing w:before="40" w:after="40" w:line="210" w:lineRule="exact"/>
              <w:ind w:right="40"/>
              <w:rPr>
                <w:spacing w:val="0"/>
                <w:w w:val="100"/>
                <w:kern w:val="0"/>
                <w:szCs w:val="20"/>
              </w:rPr>
            </w:pPr>
            <w:hyperlink r:id="rId140" w:history="1">
              <w:r w:rsidR="00DF51DA" w:rsidRPr="00185DA7">
                <w:rPr>
                  <w:rStyle w:val="Hyperlink"/>
                  <w:szCs w:val="20"/>
                </w:rPr>
                <w:t>CEDAW/C/SAU/3-4</w:t>
              </w:r>
            </w:hyperlink>
          </w:p>
        </w:tc>
        <w:tc>
          <w:tcPr>
            <w:tcW w:w="4440" w:type="dxa"/>
            <w:shd w:val="clear" w:color="auto" w:fill="auto"/>
            <w:vAlign w:val="bottom"/>
          </w:tcPr>
          <w:p w14:paraId="6EBD4448" w14:textId="77777777" w:rsidR="00DF51DA" w:rsidRPr="00567612" w:rsidRDefault="00DF51DA" w:rsidP="00DF51DA">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rPr>
              <w:t>Rapport unique valant troisième et quatrième rapports périodiques de l’Arabie saoudite</w:t>
            </w:r>
          </w:p>
        </w:tc>
      </w:tr>
      <w:tr w:rsidR="00DF51DA" w:rsidRPr="00567612" w14:paraId="240727A1" w14:textId="77777777" w:rsidTr="00DF51DA">
        <w:trPr>
          <w:cantSplit/>
        </w:trPr>
        <w:tc>
          <w:tcPr>
            <w:tcW w:w="2880" w:type="dxa"/>
            <w:tcBorders>
              <w:bottom w:val="single" w:sz="12" w:space="0" w:color="auto"/>
            </w:tcBorders>
            <w:shd w:val="clear" w:color="auto" w:fill="auto"/>
          </w:tcPr>
          <w:p w14:paraId="6192834F" w14:textId="2FC147A0" w:rsidR="00DF51DA" w:rsidRPr="00567612" w:rsidRDefault="002D427A" w:rsidP="00DF51DA">
            <w:pPr>
              <w:tabs>
                <w:tab w:val="left" w:pos="288"/>
                <w:tab w:val="left" w:pos="576"/>
                <w:tab w:val="left" w:pos="864"/>
                <w:tab w:val="left" w:pos="1152"/>
              </w:tabs>
              <w:suppressAutoHyphens/>
              <w:spacing w:before="40" w:after="40" w:line="210" w:lineRule="exact"/>
              <w:ind w:right="40"/>
              <w:rPr>
                <w:spacing w:val="0"/>
                <w:w w:val="100"/>
                <w:kern w:val="0"/>
                <w:szCs w:val="20"/>
              </w:rPr>
            </w:pPr>
            <w:hyperlink r:id="rId141" w:history="1">
              <w:r w:rsidR="00DF51DA" w:rsidRPr="00185DA7">
                <w:rPr>
                  <w:rStyle w:val="Hyperlink"/>
                  <w:szCs w:val="20"/>
                </w:rPr>
                <w:t>CEDAW/C/SUR/4-6</w:t>
              </w:r>
            </w:hyperlink>
          </w:p>
        </w:tc>
        <w:tc>
          <w:tcPr>
            <w:tcW w:w="4440" w:type="dxa"/>
            <w:tcBorders>
              <w:bottom w:val="single" w:sz="12" w:space="0" w:color="auto"/>
            </w:tcBorders>
            <w:shd w:val="clear" w:color="auto" w:fill="auto"/>
            <w:vAlign w:val="bottom"/>
          </w:tcPr>
          <w:p w14:paraId="4CC45BEB" w14:textId="77777777" w:rsidR="00DF51DA" w:rsidRPr="00567612" w:rsidRDefault="00DF51DA" w:rsidP="00DF51DA">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rPr>
              <w:t>Rapport unique valant quatrième à sixième rapports périodiques du Suriname</w:t>
            </w:r>
          </w:p>
        </w:tc>
      </w:tr>
      <w:bookmarkEnd w:id="6"/>
    </w:tbl>
    <w:p w14:paraId="40D542DB" w14:textId="28D0E7EC" w:rsidR="00567612" w:rsidRDefault="00567612" w:rsidP="00567612">
      <w:pPr>
        <w:pStyle w:val="SingleTxt"/>
        <w:rPr>
          <w:lang w:val="fr-FR"/>
        </w:rPr>
      </w:pPr>
    </w:p>
    <w:p w14:paraId="715DFE75" w14:textId="0872C9D3" w:rsidR="00567612" w:rsidRDefault="00567612" w:rsidP="00567612">
      <w:pPr>
        <w:pStyle w:val="SingleTxt"/>
        <w:rPr>
          <w:lang w:val="fr-FR"/>
        </w:rPr>
      </w:pPr>
    </w:p>
    <w:p w14:paraId="36B56AE9" w14:textId="29277F28" w:rsidR="00567612" w:rsidRDefault="00567612" w:rsidP="00567612">
      <w:pPr>
        <w:pStyle w:val="SingleTxt"/>
        <w:rPr>
          <w:lang w:val="fr-FR"/>
        </w:rPr>
      </w:pPr>
    </w:p>
    <w:p w14:paraId="6B45F11A" w14:textId="4A4A98F6" w:rsidR="00567612" w:rsidRDefault="00567612">
      <w:pPr>
        <w:spacing w:after="200" w:line="276" w:lineRule="auto"/>
        <w:rPr>
          <w:lang w:val="fr-FR"/>
        </w:rPr>
      </w:pPr>
      <w:r>
        <w:rPr>
          <w:lang w:val="fr-FR"/>
        </w:rPr>
        <w:br w:type="page"/>
      </w:r>
    </w:p>
    <w:p w14:paraId="2F9CF707" w14:textId="71D1DF69" w:rsidR="00567612" w:rsidRPr="004A0E90" w:rsidRDefault="00567612" w:rsidP="00567612">
      <w:pPr>
        <w:pStyle w:val="HCh0"/>
        <w:tabs>
          <w:tab w:val="clear" w:pos="1742"/>
        </w:tabs>
        <w:rPr>
          <w:lang w:val="fr-FR"/>
        </w:rPr>
      </w:pPr>
      <w:r w:rsidRPr="004A0E90">
        <w:rPr>
          <w:lang w:val="fr-FR"/>
        </w:rPr>
        <w:lastRenderedPageBreak/>
        <w:t>Annexe II</w:t>
      </w:r>
    </w:p>
    <w:p w14:paraId="33BD9FF6" w14:textId="4CB468A0" w:rsidR="00567612" w:rsidRPr="004A0E90" w:rsidRDefault="00567612" w:rsidP="00567612">
      <w:pPr>
        <w:pStyle w:val="HCh0"/>
        <w:ind w:left="1267" w:right="1260" w:hanging="1267"/>
        <w:rPr>
          <w:lang w:val="fr-FR"/>
        </w:rPr>
      </w:pPr>
      <w:r w:rsidRPr="004A0E90">
        <w:rPr>
          <w:lang w:val="fr-FR"/>
        </w:rPr>
        <w:tab/>
      </w:r>
      <w:r w:rsidRPr="004A0E90">
        <w:rPr>
          <w:lang w:val="fr-FR"/>
        </w:rPr>
        <w:tab/>
        <w:t>Composition du Comité au 9 mars 2018</w:t>
      </w:r>
    </w:p>
    <w:p w14:paraId="401E9AC4" w14:textId="3E09EA80" w:rsidR="00567612" w:rsidRPr="004A0E90" w:rsidRDefault="00567612" w:rsidP="00567612">
      <w:pPr>
        <w:pStyle w:val="SingleTxt"/>
        <w:spacing w:after="0" w:line="120" w:lineRule="exact"/>
        <w:rPr>
          <w:sz w:val="10"/>
          <w:lang w:val="fr-FR"/>
        </w:rPr>
      </w:pPr>
    </w:p>
    <w:p w14:paraId="1D75F61C" w14:textId="69EE206F" w:rsidR="00567612" w:rsidRPr="004A0E90" w:rsidRDefault="00567612" w:rsidP="00567612">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4230"/>
        <w:gridCol w:w="1710"/>
        <w:gridCol w:w="1380"/>
      </w:tblGrid>
      <w:tr w:rsidR="00567612" w:rsidRPr="00567612" w14:paraId="396381B2" w14:textId="77777777" w:rsidTr="00C05A84">
        <w:trPr>
          <w:cantSplit/>
          <w:tblHeader/>
        </w:trPr>
        <w:tc>
          <w:tcPr>
            <w:tcW w:w="4230" w:type="dxa"/>
            <w:tcBorders>
              <w:top w:val="single" w:sz="4" w:space="0" w:color="auto"/>
              <w:bottom w:val="single" w:sz="12" w:space="0" w:color="auto"/>
            </w:tcBorders>
            <w:shd w:val="clear" w:color="auto" w:fill="auto"/>
            <w:vAlign w:val="bottom"/>
          </w:tcPr>
          <w:p w14:paraId="0CAE60BC" w14:textId="77777777" w:rsidR="00567612" w:rsidRPr="00567612" w:rsidRDefault="00567612" w:rsidP="00567612">
            <w:pPr>
              <w:suppressAutoHyphens/>
              <w:spacing w:before="81" w:after="81" w:line="160" w:lineRule="exact"/>
              <w:ind w:right="40"/>
              <w:rPr>
                <w:i/>
                <w:spacing w:val="0"/>
                <w:w w:val="100"/>
                <w:kern w:val="0"/>
                <w:sz w:val="14"/>
                <w:szCs w:val="14"/>
              </w:rPr>
            </w:pPr>
            <w:r w:rsidRPr="00567612">
              <w:rPr>
                <w:i/>
                <w:iCs/>
                <w:sz w:val="14"/>
                <w:szCs w:val="14"/>
                <w:lang w:val="fr-FR"/>
              </w:rPr>
              <w:t>Nom</w:t>
            </w:r>
          </w:p>
        </w:tc>
        <w:tc>
          <w:tcPr>
            <w:tcW w:w="1710" w:type="dxa"/>
            <w:tcBorders>
              <w:top w:val="single" w:sz="4" w:space="0" w:color="auto"/>
              <w:bottom w:val="single" w:sz="12" w:space="0" w:color="auto"/>
            </w:tcBorders>
            <w:shd w:val="clear" w:color="auto" w:fill="auto"/>
            <w:vAlign w:val="bottom"/>
          </w:tcPr>
          <w:p w14:paraId="18C1C0E6" w14:textId="77777777" w:rsidR="00567612" w:rsidRPr="00567612" w:rsidRDefault="00567612" w:rsidP="00567612">
            <w:pPr>
              <w:suppressAutoHyphens/>
              <w:spacing w:before="81" w:after="81" w:line="160" w:lineRule="exact"/>
              <w:ind w:left="144" w:right="43"/>
              <w:rPr>
                <w:i/>
                <w:spacing w:val="0"/>
                <w:w w:val="100"/>
                <w:kern w:val="0"/>
                <w:sz w:val="14"/>
                <w:szCs w:val="14"/>
              </w:rPr>
            </w:pPr>
            <w:r w:rsidRPr="00567612">
              <w:rPr>
                <w:i/>
                <w:iCs/>
                <w:sz w:val="14"/>
                <w:szCs w:val="14"/>
                <w:lang w:val="fr-FR"/>
              </w:rPr>
              <w:t>Pays de nationalité</w:t>
            </w:r>
          </w:p>
        </w:tc>
        <w:tc>
          <w:tcPr>
            <w:tcW w:w="1380" w:type="dxa"/>
            <w:tcBorders>
              <w:top w:val="single" w:sz="4" w:space="0" w:color="auto"/>
              <w:bottom w:val="single" w:sz="12" w:space="0" w:color="auto"/>
            </w:tcBorders>
            <w:shd w:val="clear" w:color="auto" w:fill="auto"/>
          </w:tcPr>
          <w:p w14:paraId="5C11FEA9" w14:textId="425F1669" w:rsidR="00567612" w:rsidRPr="00567612" w:rsidRDefault="00C05A84" w:rsidP="00C05A84">
            <w:pPr>
              <w:suppressAutoHyphens/>
              <w:spacing w:before="81" w:after="81" w:line="160" w:lineRule="exact"/>
              <w:ind w:left="144" w:right="43"/>
              <w:rPr>
                <w:i/>
                <w:spacing w:val="0"/>
                <w:w w:val="100"/>
                <w:kern w:val="0"/>
                <w:sz w:val="14"/>
                <w:szCs w:val="14"/>
              </w:rPr>
            </w:pPr>
            <w:r>
              <w:rPr>
                <w:i/>
                <w:iCs/>
                <w:sz w:val="14"/>
                <w:szCs w:val="14"/>
                <w:lang w:val="fr-FR"/>
              </w:rPr>
              <w:t>Mandat expirant</w:t>
            </w:r>
            <w:r>
              <w:rPr>
                <w:i/>
                <w:iCs/>
                <w:sz w:val="14"/>
                <w:szCs w:val="14"/>
                <w:lang w:val="fr-FR"/>
              </w:rPr>
              <w:br/>
            </w:r>
            <w:r w:rsidR="00567612" w:rsidRPr="00567612">
              <w:rPr>
                <w:i/>
                <w:iCs/>
                <w:sz w:val="14"/>
                <w:szCs w:val="14"/>
                <w:lang w:val="fr-FR"/>
              </w:rPr>
              <w:t>le 31 décembre</w:t>
            </w:r>
          </w:p>
        </w:tc>
      </w:tr>
      <w:tr w:rsidR="00567612" w:rsidRPr="00567612" w14:paraId="22A4E4E7" w14:textId="77777777" w:rsidTr="00C05A84">
        <w:trPr>
          <w:cantSplit/>
          <w:trHeight w:hRule="exact" w:val="113"/>
          <w:tblHeader/>
        </w:trPr>
        <w:tc>
          <w:tcPr>
            <w:tcW w:w="4230" w:type="dxa"/>
            <w:tcBorders>
              <w:top w:val="single" w:sz="12" w:space="0" w:color="auto"/>
            </w:tcBorders>
            <w:shd w:val="clear" w:color="auto" w:fill="auto"/>
            <w:vAlign w:val="bottom"/>
          </w:tcPr>
          <w:p w14:paraId="39735D82" w14:textId="77777777" w:rsidR="00567612" w:rsidRPr="00567612" w:rsidRDefault="00567612" w:rsidP="00567612">
            <w:pPr>
              <w:suppressAutoHyphens/>
              <w:spacing w:before="40" w:after="40" w:line="210" w:lineRule="exact"/>
              <w:ind w:right="40"/>
              <w:rPr>
                <w:spacing w:val="0"/>
                <w:w w:val="100"/>
                <w:kern w:val="0"/>
                <w:sz w:val="17"/>
              </w:rPr>
            </w:pPr>
          </w:p>
        </w:tc>
        <w:tc>
          <w:tcPr>
            <w:tcW w:w="1710" w:type="dxa"/>
            <w:tcBorders>
              <w:top w:val="single" w:sz="12" w:space="0" w:color="auto"/>
            </w:tcBorders>
            <w:shd w:val="clear" w:color="auto" w:fill="auto"/>
            <w:vAlign w:val="bottom"/>
          </w:tcPr>
          <w:p w14:paraId="19D727E2" w14:textId="77777777" w:rsidR="00567612" w:rsidRPr="00567612" w:rsidRDefault="00567612" w:rsidP="00567612">
            <w:pPr>
              <w:suppressAutoHyphens/>
              <w:spacing w:before="40" w:after="40" w:line="210" w:lineRule="exact"/>
              <w:ind w:left="144" w:right="43"/>
              <w:rPr>
                <w:spacing w:val="0"/>
                <w:w w:val="100"/>
                <w:kern w:val="0"/>
                <w:sz w:val="17"/>
              </w:rPr>
            </w:pPr>
          </w:p>
        </w:tc>
        <w:tc>
          <w:tcPr>
            <w:tcW w:w="1380" w:type="dxa"/>
            <w:tcBorders>
              <w:top w:val="single" w:sz="12" w:space="0" w:color="auto"/>
            </w:tcBorders>
            <w:shd w:val="clear" w:color="auto" w:fill="auto"/>
          </w:tcPr>
          <w:p w14:paraId="6E21D2E7" w14:textId="77777777" w:rsidR="00567612" w:rsidRPr="00567612" w:rsidRDefault="00567612" w:rsidP="00C05A84">
            <w:pPr>
              <w:suppressAutoHyphens/>
              <w:spacing w:before="40" w:after="40" w:line="210" w:lineRule="exact"/>
              <w:ind w:left="144" w:right="43"/>
              <w:rPr>
                <w:spacing w:val="0"/>
                <w:w w:val="100"/>
                <w:kern w:val="0"/>
                <w:sz w:val="17"/>
              </w:rPr>
            </w:pPr>
          </w:p>
        </w:tc>
      </w:tr>
      <w:tr w:rsidR="00567612" w:rsidRPr="00567612" w14:paraId="20B61C24" w14:textId="77777777" w:rsidTr="00C05A84">
        <w:trPr>
          <w:cantSplit/>
        </w:trPr>
        <w:tc>
          <w:tcPr>
            <w:tcW w:w="4230" w:type="dxa"/>
            <w:shd w:val="clear" w:color="auto" w:fill="auto"/>
            <w:vAlign w:val="bottom"/>
          </w:tcPr>
          <w:p w14:paraId="2AEE247F"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Ayse Feride Acar</w:t>
            </w:r>
          </w:p>
        </w:tc>
        <w:tc>
          <w:tcPr>
            <w:tcW w:w="1710" w:type="dxa"/>
            <w:shd w:val="clear" w:color="auto" w:fill="auto"/>
            <w:vAlign w:val="bottom"/>
          </w:tcPr>
          <w:p w14:paraId="0CFAE6EB"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Turquie</w:t>
            </w:r>
          </w:p>
        </w:tc>
        <w:tc>
          <w:tcPr>
            <w:tcW w:w="1380" w:type="dxa"/>
            <w:shd w:val="clear" w:color="auto" w:fill="auto"/>
          </w:tcPr>
          <w:p w14:paraId="1079837D"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2018</w:t>
            </w:r>
          </w:p>
        </w:tc>
      </w:tr>
      <w:tr w:rsidR="00567612" w:rsidRPr="00567612" w14:paraId="37C74E9D" w14:textId="77777777" w:rsidTr="00C05A84">
        <w:trPr>
          <w:cantSplit/>
        </w:trPr>
        <w:tc>
          <w:tcPr>
            <w:tcW w:w="4230" w:type="dxa"/>
            <w:shd w:val="clear" w:color="auto" w:fill="auto"/>
            <w:vAlign w:val="bottom"/>
          </w:tcPr>
          <w:p w14:paraId="056260BB"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Gladys Acosta Vargas</w:t>
            </w:r>
          </w:p>
        </w:tc>
        <w:tc>
          <w:tcPr>
            <w:tcW w:w="1710" w:type="dxa"/>
            <w:shd w:val="clear" w:color="auto" w:fill="auto"/>
            <w:vAlign w:val="bottom"/>
          </w:tcPr>
          <w:p w14:paraId="2A259CA2"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Pérou</w:t>
            </w:r>
          </w:p>
        </w:tc>
        <w:tc>
          <w:tcPr>
            <w:tcW w:w="1380" w:type="dxa"/>
            <w:shd w:val="clear" w:color="auto" w:fill="auto"/>
          </w:tcPr>
          <w:p w14:paraId="7FF6BD40"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2018</w:t>
            </w:r>
          </w:p>
        </w:tc>
      </w:tr>
      <w:tr w:rsidR="00567612" w:rsidRPr="00567612" w14:paraId="623359E2" w14:textId="77777777" w:rsidTr="00C05A84">
        <w:trPr>
          <w:cantSplit/>
        </w:trPr>
        <w:tc>
          <w:tcPr>
            <w:tcW w:w="4230" w:type="dxa"/>
            <w:shd w:val="clear" w:color="auto" w:fill="auto"/>
            <w:vAlign w:val="bottom"/>
          </w:tcPr>
          <w:p w14:paraId="741FBB5E"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Nicole Ameline</w:t>
            </w:r>
          </w:p>
        </w:tc>
        <w:tc>
          <w:tcPr>
            <w:tcW w:w="1710" w:type="dxa"/>
            <w:shd w:val="clear" w:color="auto" w:fill="auto"/>
            <w:vAlign w:val="bottom"/>
          </w:tcPr>
          <w:p w14:paraId="0063F94B"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France</w:t>
            </w:r>
          </w:p>
        </w:tc>
        <w:tc>
          <w:tcPr>
            <w:tcW w:w="1380" w:type="dxa"/>
            <w:shd w:val="clear" w:color="auto" w:fill="auto"/>
          </w:tcPr>
          <w:p w14:paraId="165F5457"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2020</w:t>
            </w:r>
          </w:p>
        </w:tc>
      </w:tr>
      <w:tr w:rsidR="00567612" w:rsidRPr="00567612" w14:paraId="166D0856" w14:textId="77777777" w:rsidTr="00C05A84">
        <w:trPr>
          <w:cantSplit/>
        </w:trPr>
        <w:tc>
          <w:tcPr>
            <w:tcW w:w="4230" w:type="dxa"/>
            <w:shd w:val="clear" w:color="auto" w:fill="auto"/>
            <w:vAlign w:val="bottom"/>
          </w:tcPr>
          <w:p w14:paraId="670C17DC"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lang w:val="fr-FR"/>
              </w:rPr>
            </w:pPr>
            <w:r w:rsidRPr="00567612">
              <w:rPr>
                <w:szCs w:val="20"/>
                <w:lang w:val="fr-FR"/>
              </w:rPr>
              <w:t>Magalys Arocha Domínguez (Vice-Présidente)</w:t>
            </w:r>
          </w:p>
        </w:tc>
        <w:tc>
          <w:tcPr>
            <w:tcW w:w="1710" w:type="dxa"/>
            <w:shd w:val="clear" w:color="auto" w:fill="auto"/>
            <w:vAlign w:val="bottom"/>
          </w:tcPr>
          <w:p w14:paraId="55FC4064"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Cuba</w:t>
            </w:r>
          </w:p>
        </w:tc>
        <w:tc>
          <w:tcPr>
            <w:tcW w:w="1380" w:type="dxa"/>
            <w:shd w:val="clear" w:color="auto" w:fill="auto"/>
          </w:tcPr>
          <w:p w14:paraId="493F24A1"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2018</w:t>
            </w:r>
          </w:p>
        </w:tc>
      </w:tr>
      <w:tr w:rsidR="00567612" w:rsidRPr="00567612" w14:paraId="12605FA1" w14:textId="77777777" w:rsidTr="00C05A84">
        <w:trPr>
          <w:cantSplit/>
        </w:trPr>
        <w:tc>
          <w:tcPr>
            <w:tcW w:w="4230" w:type="dxa"/>
            <w:shd w:val="clear" w:color="auto" w:fill="auto"/>
            <w:vAlign w:val="bottom"/>
          </w:tcPr>
          <w:p w14:paraId="6FE58888"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Gunnar Bergby</w:t>
            </w:r>
          </w:p>
        </w:tc>
        <w:tc>
          <w:tcPr>
            <w:tcW w:w="1710" w:type="dxa"/>
            <w:shd w:val="clear" w:color="auto" w:fill="auto"/>
            <w:vAlign w:val="bottom"/>
          </w:tcPr>
          <w:p w14:paraId="53B3B993"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Norvège</w:t>
            </w:r>
          </w:p>
        </w:tc>
        <w:tc>
          <w:tcPr>
            <w:tcW w:w="1380" w:type="dxa"/>
            <w:shd w:val="clear" w:color="auto" w:fill="auto"/>
          </w:tcPr>
          <w:p w14:paraId="30E31318"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2020</w:t>
            </w:r>
          </w:p>
        </w:tc>
      </w:tr>
      <w:tr w:rsidR="00567612" w:rsidRPr="00567612" w14:paraId="5F4A1A55" w14:textId="77777777" w:rsidTr="00C05A84">
        <w:trPr>
          <w:cantSplit/>
        </w:trPr>
        <w:tc>
          <w:tcPr>
            <w:tcW w:w="4230" w:type="dxa"/>
            <w:shd w:val="clear" w:color="auto" w:fill="auto"/>
            <w:vAlign w:val="bottom"/>
          </w:tcPr>
          <w:p w14:paraId="16416A26"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Marion Bethel</w:t>
            </w:r>
          </w:p>
        </w:tc>
        <w:tc>
          <w:tcPr>
            <w:tcW w:w="1710" w:type="dxa"/>
            <w:shd w:val="clear" w:color="auto" w:fill="auto"/>
            <w:vAlign w:val="bottom"/>
          </w:tcPr>
          <w:p w14:paraId="6691F24B"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Bahamas</w:t>
            </w:r>
          </w:p>
        </w:tc>
        <w:tc>
          <w:tcPr>
            <w:tcW w:w="1380" w:type="dxa"/>
            <w:shd w:val="clear" w:color="auto" w:fill="auto"/>
          </w:tcPr>
          <w:p w14:paraId="080913D2"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2020</w:t>
            </w:r>
          </w:p>
        </w:tc>
      </w:tr>
      <w:tr w:rsidR="00567612" w:rsidRPr="00567612" w14:paraId="714F74FB" w14:textId="77777777" w:rsidTr="00C05A84">
        <w:trPr>
          <w:cantSplit/>
        </w:trPr>
        <w:tc>
          <w:tcPr>
            <w:tcW w:w="4230" w:type="dxa"/>
            <w:shd w:val="clear" w:color="auto" w:fill="auto"/>
            <w:vAlign w:val="bottom"/>
          </w:tcPr>
          <w:p w14:paraId="38E10DD0"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Louiza Chalal</w:t>
            </w:r>
            <w:r w:rsidRPr="00C05A84">
              <w:rPr>
                <w:i/>
                <w:szCs w:val="20"/>
                <w:vertAlign w:val="superscript"/>
                <w:lang w:val="fr-FR"/>
              </w:rPr>
              <w:t>a</w:t>
            </w:r>
            <w:r w:rsidRPr="00567612">
              <w:rPr>
                <w:szCs w:val="20"/>
                <w:lang w:val="fr-FR"/>
              </w:rPr>
              <w:t xml:space="preserve"> (Vice-Présidente)</w:t>
            </w:r>
          </w:p>
        </w:tc>
        <w:tc>
          <w:tcPr>
            <w:tcW w:w="1710" w:type="dxa"/>
            <w:shd w:val="clear" w:color="auto" w:fill="auto"/>
            <w:vAlign w:val="bottom"/>
          </w:tcPr>
          <w:p w14:paraId="2CDBC3B9"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Algérie</w:t>
            </w:r>
          </w:p>
        </w:tc>
        <w:tc>
          <w:tcPr>
            <w:tcW w:w="1380" w:type="dxa"/>
            <w:shd w:val="clear" w:color="auto" w:fill="auto"/>
          </w:tcPr>
          <w:p w14:paraId="05F05DE9"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2018</w:t>
            </w:r>
          </w:p>
        </w:tc>
      </w:tr>
      <w:tr w:rsidR="00567612" w:rsidRPr="00567612" w14:paraId="2887052A" w14:textId="77777777" w:rsidTr="00C05A84">
        <w:trPr>
          <w:cantSplit/>
        </w:trPr>
        <w:tc>
          <w:tcPr>
            <w:tcW w:w="4230" w:type="dxa"/>
            <w:shd w:val="clear" w:color="auto" w:fill="auto"/>
            <w:vAlign w:val="bottom"/>
          </w:tcPr>
          <w:p w14:paraId="1047AA03"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Esther Eghobamien-Mshelia</w:t>
            </w:r>
            <w:r w:rsidRPr="00C05A84">
              <w:rPr>
                <w:i/>
                <w:szCs w:val="20"/>
                <w:vertAlign w:val="superscript"/>
                <w:lang w:val="fr-FR"/>
              </w:rPr>
              <w:t>b</w:t>
            </w:r>
          </w:p>
        </w:tc>
        <w:tc>
          <w:tcPr>
            <w:tcW w:w="1710" w:type="dxa"/>
            <w:shd w:val="clear" w:color="auto" w:fill="auto"/>
            <w:vAlign w:val="bottom"/>
          </w:tcPr>
          <w:p w14:paraId="2851ED10"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Nigéria</w:t>
            </w:r>
          </w:p>
        </w:tc>
        <w:tc>
          <w:tcPr>
            <w:tcW w:w="1380" w:type="dxa"/>
            <w:shd w:val="clear" w:color="auto" w:fill="auto"/>
          </w:tcPr>
          <w:p w14:paraId="6A004C96"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2020</w:t>
            </w:r>
          </w:p>
        </w:tc>
      </w:tr>
      <w:tr w:rsidR="00567612" w:rsidRPr="00567612" w14:paraId="60FA97AC" w14:textId="77777777" w:rsidTr="00C05A84">
        <w:trPr>
          <w:cantSplit/>
        </w:trPr>
        <w:tc>
          <w:tcPr>
            <w:tcW w:w="4230" w:type="dxa"/>
            <w:shd w:val="clear" w:color="auto" w:fill="auto"/>
            <w:vAlign w:val="bottom"/>
          </w:tcPr>
          <w:p w14:paraId="5EDDDA99"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Naéla Mohamed Gabr</w:t>
            </w:r>
          </w:p>
        </w:tc>
        <w:tc>
          <w:tcPr>
            <w:tcW w:w="1710" w:type="dxa"/>
            <w:shd w:val="clear" w:color="auto" w:fill="auto"/>
            <w:vAlign w:val="bottom"/>
          </w:tcPr>
          <w:p w14:paraId="0017FE38"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Égypte</w:t>
            </w:r>
          </w:p>
        </w:tc>
        <w:tc>
          <w:tcPr>
            <w:tcW w:w="1380" w:type="dxa"/>
            <w:shd w:val="clear" w:color="auto" w:fill="auto"/>
          </w:tcPr>
          <w:p w14:paraId="33806DA1"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2018</w:t>
            </w:r>
          </w:p>
        </w:tc>
      </w:tr>
      <w:tr w:rsidR="00567612" w:rsidRPr="00567612" w14:paraId="6B5F3294" w14:textId="77777777" w:rsidTr="00C05A84">
        <w:trPr>
          <w:cantSplit/>
        </w:trPr>
        <w:tc>
          <w:tcPr>
            <w:tcW w:w="4230" w:type="dxa"/>
            <w:shd w:val="clear" w:color="auto" w:fill="auto"/>
            <w:vAlign w:val="bottom"/>
          </w:tcPr>
          <w:p w14:paraId="08999554"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Hilary Gbedemah</w:t>
            </w:r>
          </w:p>
        </w:tc>
        <w:tc>
          <w:tcPr>
            <w:tcW w:w="1710" w:type="dxa"/>
            <w:shd w:val="clear" w:color="auto" w:fill="auto"/>
            <w:vAlign w:val="bottom"/>
          </w:tcPr>
          <w:p w14:paraId="070263F4"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Ghana</w:t>
            </w:r>
          </w:p>
        </w:tc>
        <w:tc>
          <w:tcPr>
            <w:tcW w:w="1380" w:type="dxa"/>
            <w:shd w:val="clear" w:color="auto" w:fill="auto"/>
          </w:tcPr>
          <w:p w14:paraId="01C1301B"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2020</w:t>
            </w:r>
          </w:p>
        </w:tc>
      </w:tr>
      <w:tr w:rsidR="00567612" w:rsidRPr="00567612" w14:paraId="4B0CB2DB" w14:textId="77777777" w:rsidTr="00C05A84">
        <w:trPr>
          <w:cantSplit/>
        </w:trPr>
        <w:tc>
          <w:tcPr>
            <w:tcW w:w="4230" w:type="dxa"/>
            <w:shd w:val="clear" w:color="auto" w:fill="auto"/>
            <w:vAlign w:val="bottom"/>
          </w:tcPr>
          <w:p w14:paraId="3E244F81"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Nahla Haidar</w:t>
            </w:r>
          </w:p>
        </w:tc>
        <w:tc>
          <w:tcPr>
            <w:tcW w:w="1710" w:type="dxa"/>
            <w:shd w:val="clear" w:color="auto" w:fill="auto"/>
            <w:vAlign w:val="bottom"/>
          </w:tcPr>
          <w:p w14:paraId="120ADC76"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Liban</w:t>
            </w:r>
          </w:p>
        </w:tc>
        <w:tc>
          <w:tcPr>
            <w:tcW w:w="1380" w:type="dxa"/>
            <w:shd w:val="clear" w:color="auto" w:fill="auto"/>
          </w:tcPr>
          <w:p w14:paraId="45B8511E"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2020</w:t>
            </w:r>
          </w:p>
        </w:tc>
      </w:tr>
      <w:tr w:rsidR="00567612" w:rsidRPr="00567612" w14:paraId="511CC803" w14:textId="77777777" w:rsidTr="00C05A84">
        <w:trPr>
          <w:cantSplit/>
        </w:trPr>
        <w:tc>
          <w:tcPr>
            <w:tcW w:w="4230" w:type="dxa"/>
            <w:shd w:val="clear" w:color="auto" w:fill="auto"/>
            <w:vAlign w:val="bottom"/>
          </w:tcPr>
          <w:p w14:paraId="413655EC"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Ruth Halperin-Kaddari (Vice-Présidente)</w:t>
            </w:r>
          </w:p>
        </w:tc>
        <w:tc>
          <w:tcPr>
            <w:tcW w:w="1710" w:type="dxa"/>
            <w:shd w:val="clear" w:color="auto" w:fill="auto"/>
            <w:vAlign w:val="bottom"/>
          </w:tcPr>
          <w:p w14:paraId="5C8B1AD2"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Israël</w:t>
            </w:r>
          </w:p>
        </w:tc>
        <w:tc>
          <w:tcPr>
            <w:tcW w:w="1380" w:type="dxa"/>
            <w:shd w:val="clear" w:color="auto" w:fill="auto"/>
          </w:tcPr>
          <w:p w14:paraId="5F90CD31"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2018</w:t>
            </w:r>
          </w:p>
        </w:tc>
      </w:tr>
      <w:tr w:rsidR="00567612" w:rsidRPr="00567612" w14:paraId="0E2D633D" w14:textId="77777777" w:rsidTr="00C05A84">
        <w:trPr>
          <w:cantSplit/>
        </w:trPr>
        <w:tc>
          <w:tcPr>
            <w:tcW w:w="4230" w:type="dxa"/>
            <w:shd w:val="clear" w:color="auto" w:fill="auto"/>
            <w:vAlign w:val="bottom"/>
          </w:tcPr>
          <w:p w14:paraId="5831F48E"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Yoko Hayashi</w:t>
            </w:r>
          </w:p>
        </w:tc>
        <w:tc>
          <w:tcPr>
            <w:tcW w:w="1710" w:type="dxa"/>
            <w:shd w:val="clear" w:color="auto" w:fill="auto"/>
            <w:vAlign w:val="bottom"/>
          </w:tcPr>
          <w:p w14:paraId="0F7FC0C8"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Japon</w:t>
            </w:r>
          </w:p>
        </w:tc>
        <w:tc>
          <w:tcPr>
            <w:tcW w:w="1380" w:type="dxa"/>
            <w:shd w:val="clear" w:color="auto" w:fill="auto"/>
          </w:tcPr>
          <w:p w14:paraId="3313804A"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2018</w:t>
            </w:r>
          </w:p>
        </w:tc>
      </w:tr>
      <w:tr w:rsidR="00567612" w:rsidRPr="00567612" w14:paraId="1E533630" w14:textId="77777777" w:rsidTr="00C05A84">
        <w:trPr>
          <w:cantSplit/>
        </w:trPr>
        <w:tc>
          <w:tcPr>
            <w:tcW w:w="4230" w:type="dxa"/>
            <w:shd w:val="clear" w:color="auto" w:fill="auto"/>
            <w:vAlign w:val="bottom"/>
          </w:tcPr>
          <w:p w14:paraId="7E44D227"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Lilian Hofmeister</w:t>
            </w:r>
          </w:p>
        </w:tc>
        <w:tc>
          <w:tcPr>
            <w:tcW w:w="1710" w:type="dxa"/>
            <w:shd w:val="clear" w:color="auto" w:fill="auto"/>
            <w:vAlign w:val="bottom"/>
          </w:tcPr>
          <w:p w14:paraId="313F2ECF"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Autriche</w:t>
            </w:r>
          </w:p>
        </w:tc>
        <w:tc>
          <w:tcPr>
            <w:tcW w:w="1380" w:type="dxa"/>
            <w:shd w:val="clear" w:color="auto" w:fill="auto"/>
          </w:tcPr>
          <w:p w14:paraId="5FF392CA"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2018</w:t>
            </w:r>
          </w:p>
        </w:tc>
      </w:tr>
      <w:tr w:rsidR="00567612" w:rsidRPr="00567612" w14:paraId="6E262FE2" w14:textId="77777777" w:rsidTr="00C05A84">
        <w:trPr>
          <w:cantSplit/>
        </w:trPr>
        <w:tc>
          <w:tcPr>
            <w:tcW w:w="4230" w:type="dxa"/>
            <w:shd w:val="clear" w:color="auto" w:fill="auto"/>
            <w:vAlign w:val="bottom"/>
          </w:tcPr>
          <w:p w14:paraId="79528B01"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Ismat Jahan</w:t>
            </w:r>
          </w:p>
        </w:tc>
        <w:tc>
          <w:tcPr>
            <w:tcW w:w="1710" w:type="dxa"/>
            <w:shd w:val="clear" w:color="auto" w:fill="auto"/>
            <w:vAlign w:val="bottom"/>
          </w:tcPr>
          <w:p w14:paraId="6EAB8EB6"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Bangladesh</w:t>
            </w:r>
          </w:p>
        </w:tc>
        <w:tc>
          <w:tcPr>
            <w:tcW w:w="1380" w:type="dxa"/>
            <w:shd w:val="clear" w:color="auto" w:fill="auto"/>
          </w:tcPr>
          <w:p w14:paraId="468EC4F1"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2018</w:t>
            </w:r>
          </w:p>
        </w:tc>
      </w:tr>
      <w:tr w:rsidR="00567612" w:rsidRPr="00567612" w14:paraId="51B24542" w14:textId="77777777" w:rsidTr="00C05A84">
        <w:trPr>
          <w:cantSplit/>
        </w:trPr>
        <w:tc>
          <w:tcPr>
            <w:tcW w:w="4230" w:type="dxa"/>
            <w:shd w:val="clear" w:color="auto" w:fill="auto"/>
            <w:vAlign w:val="bottom"/>
          </w:tcPr>
          <w:p w14:paraId="4A07E53D"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Dalia Leinarte (Présidente)</w:t>
            </w:r>
          </w:p>
        </w:tc>
        <w:tc>
          <w:tcPr>
            <w:tcW w:w="1710" w:type="dxa"/>
            <w:shd w:val="clear" w:color="auto" w:fill="auto"/>
            <w:vAlign w:val="bottom"/>
          </w:tcPr>
          <w:p w14:paraId="2BF243FB"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Lituanie</w:t>
            </w:r>
          </w:p>
        </w:tc>
        <w:tc>
          <w:tcPr>
            <w:tcW w:w="1380" w:type="dxa"/>
            <w:shd w:val="clear" w:color="auto" w:fill="auto"/>
          </w:tcPr>
          <w:p w14:paraId="0826C077"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2020</w:t>
            </w:r>
          </w:p>
        </w:tc>
      </w:tr>
      <w:tr w:rsidR="00567612" w:rsidRPr="00567612" w14:paraId="465BCA7E" w14:textId="77777777" w:rsidTr="00C05A84">
        <w:trPr>
          <w:cantSplit/>
        </w:trPr>
        <w:tc>
          <w:tcPr>
            <w:tcW w:w="4230" w:type="dxa"/>
            <w:shd w:val="clear" w:color="auto" w:fill="auto"/>
            <w:vAlign w:val="bottom"/>
          </w:tcPr>
          <w:p w14:paraId="3F17DF60"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Rosario G. Manalo (Rapporteuse)</w:t>
            </w:r>
          </w:p>
        </w:tc>
        <w:tc>
          <w:tcPr>
            <w:tcW w:w="1710" w:type="dxa"/>
            <w:shd w:val="clear" w:color="auto" w:fill="auto"/>
            <w:vAlign w:val="bottom"/>
          </w:tcPr>
          <w:p w14:paraId="11E13D05"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Philippines</w:t>
            </w:r>
          </w:p>
        </w:tc>
        <w:tc>
          <w:tcPr>
            <w:tcW w:w="1380" w:type="dxa"/>
            <w:shd w:val="clear" w:color="auto" w:fill="auto"/>
          </w:tcPr>
          <w:p w14:paraId="08EEA5D0"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2020</w:t>
            </w:r>
          </w:p>
        </w:tc>
      </w:tr>
      <w:tr w:rsidR="00567612" w:rsidRPr="00567612" w14:paraId="0DBEEB8F" w14:textId="77777777" w:rsidTr="00C05A84">
        <w:trPr>
          <w:cantSplit/>
        </w:trPr>
        <w:tc>
          <w:tcPr>
            <w:tcW w:w="4230" w:type="dxa"/>
            <w:shd w:val="clear" w:color="auto" w:fill="auto"/>
            <w:vAlign w:val="bottom"/>
          </w:tcPr>
          <w:p w14:paraId="4A742AE0"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Lia Nadaraia</w:t>
            </w:r>
          </w:p>
        </w:tc>
        <w:tc>
          <w:tcPr>
            <w:tcW w:w="1710" w:type="dxa"/>
            <w:shd w:val="clear" w:color="auto" w:fill="auto"/>
            <w:vAlign w:val="bottom"/>
          </w:tcPr>
          <w:p w14:paraId="659DAAD0"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Géorgie</w:t>
            </w:r>
          </w:p>
        </w:tc>
        <w:tc>
          <w:tcPr>
            <w:tcW w:w="1380" w:type="dxa"/>
            <w:shd w:val="clear" w:color="auto" w:fill="auto"/>
          </w:tcPr>
          <w:p w14:paraId="6CAEECCA"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2018</w:t>
            </w:r>
          </w:p>
        </w:tc>
      </w:tr>
      <w:tr w:rsidR="00567612" w:rsidRPr="00567612" w14:paraId="273CEDE1" w14:textId="77777777" w:rsidTr="00C05A84">
        <w:trPr>
          <w:cantSplit/>
        </w:trPr>
        <w:tc>
          <w:tcPr>
            <w:tcW w:w="4230" w:type="dxa"/>
            <w:shd w:val="clear" w:color="auto" w:fill="auto"/>
            <w:vAlign w:val="bottom"/>
          </w:tcPr>
          <w:p w14:paraId="705F8F42"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Aruna Devi Narain</w:t>
            </w:r>
            <w:r w:rsidRPr="00C05A84">
              <w:rPr>
                <w:i/>
                <w:szCs w:val="20"/>
                <w:vertAlign w:val="superscript"/>
                <w:lang w:val="fr-FR"/>
              </w:rPr>
              <w:t>c</w:t>
            </w:r>
          </w:p>
        </w:tc>
        <w:tc>
          <w:tcPr>
            <w:tcW w:w="1710" w:type="dxa"/>
            <w:shd w:val="clear" w:color="auto" w:fill="auto"/>
            <w:vAlign w:val="bottom"/>
          </w:tcPr>
          <w:p w14:paraId="1D07CDAA"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Maurice</w:t>
            </w:r>
          </w:p>
        </w:tc>
        <w:tc>
          <w:tcPr>
            <w:tcW w:w="1380" w:type="dxa"/>
            <w:shd w:val="clear" w:color="auto" w:fill="auto"/>
          </w:tcPr>
          <w:p w14:paraId="4F69C1CE"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2018</w:t>
            </w:r>
          </w:p>
        </w:tc>
      </w:tr>
      <w:tr w:rsidR="00567612" w:rsidRPr="00567612" w14:paraId="44071832" w14:textId="77777777" w:rsidTr="00C05A84">
        <w:trPr>
          <w:cantSplit/>
        </w:trPr>
        <w:tc>
          <w:tcPr>
            <w:tcW w:w="4230" w:type="dxa"/>
            <w:shd w:val="clear" w:color="auto" w:fill="auto"/>
            <w:vAlign w:val="bottom"/>
          </w:tcPr>
          <w:p w14:paraId="677E95BF"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Bandana Rana</w:t>
            </w:r>
          </w:p>
        </w:tc>
        <w:tc>
          <w:tcPr>
            <w:tcW w:w="1710" w:type="dxa"/>
            <w:shd w:val="clear" w:color="auto" w:fill="auto"/>
            <w:vAlign w:val="bottom"/>
          </w:tcPr>
          <w:p w14:paraId="7E43A563"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Népal</w:t>
            </w:r>
          </w:p>
        </w:tc>
        <w:tc>
          <w:tcPr>
            <w:tcW w:w="1380" w:type="dxa"/>
            <w:shd w:val="clear" w:color="auto" w:fill="auto"/>
          </w:tcPr>
          <w:p w14:paraId="042CC17A"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2020</w:t>
            </w:r>
          </w:p>
        </w:tc>
      </w:tr>
      <w:tr w:rsidR="00567612" w:rsidRPr="00567612" w14:paraId="6F92E64A" w14:textId="77777777" w:rsidTr="00C05A84">
        <w:trPr>
          <w:cantSplit/>
        </w:trPr>
        <w:tc>
          <w:tcPr>
            <w:tcW w:w="4230" w:type="dxa"/>
            <w:shd w:val="clear" w:color="auto" w:fill="auto"/>
            <w:vAlign w:val="bottom"/>
          </w:tcPr>
          <w:p w14:paraId="5F381CD0"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Patricia Schulz</w:t>
            </w:r>
          </w:p>
        </w:tc>
        <w:tc>
          <w:tcPr>
            <w:tcW w:w="1710" w:type="dxa"/>
            <w:shd w:val="clear" w:color="auto" w:fill="auto"/>
            <w:vAlign w:val="bottom"/>
          </w:tcPr>
          <w:p w14:paraId="06B651ED"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 xml:space="preserve">Suisse </w:t>
            </w:r>
          </w:p>
        </w:tc>
        <w:tc>
          <w:tcPr>
            <w:tcW w:w="1380" w:type="dxa"/>
            <w:shd w:val="clear" w:color="auto" w:fill="auto"/>
          </w:tcPr>
          <w:p w14:paraId="1B7195F7"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2018</w:t>
            </w:r>
          </w:p>
        </w:tc>
      </w:tr>
      <w:tr w:rsidR="00567612" w:rsidRPr="00567612" w14:paraId="200201FE" w14:textId="77777777" w:rsidTr="00C05A84">
        <w:trPr>
          <w:cantSplit/>
        </w:trPr>
        <w:tc>
          <w:tcPr>
            <w:tcW w:w="4230" w:type="dxa"/>
            <w:shd w:val="clear" w:color="auto" w:fill="auto"/>
            <w:vAlign w:val="bottom"/>
          </w:tcPr>
          <w:p w14:paraId="7199A29C"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Wenyan Song</w:t>
            </w:r>
          </w:p>
        </w:tc>
        <w:tc>
          <w:tcPr>
            <w:tcW w:w="1710" w:type="dxa"/>
            <w:shd w:val="clear" w:color="auto" w:fill="auto"/>
            <w:vAlign w:val="bottom"/>
          </w:tcPr>
          <w:p w14:paraId="2E003315"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Chine</w:t>
            </w:r>
          </w:p>
        </w:tc>
        <w:tc>
          <w:tcPr>
            <w:tcW w:w="1380" w:type="dxa"/>
            <w:shd w:val="clear" w:color="auto" w:fill="auto"/>
          </w:tcPr>
          <w:p w14:paraId="58B48292"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2020</w:t>
            </w:r>
          </w:p>
        </w:tc>
      </w:tr>
      <w:tr w:rsidR="00567612" w:rsidRPr="00567612" w14:paraId="3806FAF7" w14:textId="77777777" w:rsidTr="00C05A84">
        <w:trPr>
          <w:cantSplit/>
        </w:trPr>
        <w:tc>
          <w:tcPr>
            <w:tcW w:w="4230" w:type="dxa"/>
            <w:tcBorders>
              <w:bottom w:val="single" w:sz="12" w:space="0" w:color="auto"/>
            </w:tcBorders>
            <w:shd w:val="clear" w:color="auto" w:fill="auto"/>
            <w:vAlign w:val="bottom"/>
          </w:tcPr>
          <w:p w14:paraId="081336C8" w14:textId="77777777" w:rsidR="00567612" w:rsidRPr="00567612" w:rsidRDefault="00567612" w:rsidP="00567612">
            <w:pPr>
              <w:tabs>
                <w:tab w:val="left" w:pos="288"/>
                <w:tab w:val="left" w:pos="576"/>
                <w:tab w:val="left" w:pos="864"/>
                <w:tab w:val="left" w:pos="1152"/>
              </w:tabs>
              <w:suppressAutoHyphens/>
              <w:spacing w:before="40" w:after="40" w:line="210" w:lineRule="exact"/>
              <w:ind w:right="40"/>
              <w:rPr>
                <w:spacing w:val="0"/>
                <w:w w:val="100"/>
                <w:kern w:val="0"/>
                <w:szCs w:val="20"/>
              </w:rPr>
            </w:pPr>
            <w:r w:rsidRPr="00567612">
              <w:rPr>
                <w:szCs w:val="20"/>
                <w:lang w:val="fr-FR"/>
              </w:rPr>
              <w:t>Aicha Vall Verges</w:t>
            </w:r>
          </w:p>
        </w:tc>
        <w:tc>
          <w:tcPr>
            <w:tcW w:w="1710" w:type="dxa"/>
            <w:tcBorders>
              <w:bottom w:val="single" w:sz="12" w:space="0" w:color="auto"/>
            </w:tcBorders>
            <w:shd w:val="clear" w:color="auto" w:fill="auto"/>
            <w:vAlign w:val="bottom"/>
          </w:tcPr>
          <w:p w14:paraId="64295166" w14:textId="77777777" w:rsidR="00567612" w:rsidRPr="00567612" w:rsidRDefault="00567612" w:rsidP="00567612">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Mauritanie</w:t>
            </w:r>
          </w:p>
        </w:tc>
        <w:tc>
          <w:tcPr>
            <w:tcW w:w="1380" w:type="dxa"/>
            <w:tcBorders>
              <w:bottom w:val="single" w:sz="12" w:space="0" w:color="auto"/>
            </w:tcBorders>
            <w:shd w:val="clear" w:color="auto" w:fill="auto"/>
          </w:tcPr>
          <w:p w14:paraId="20249F7B" w14:textId="77777777" w:rsidR="00567612" w:rsidRPr="00567612" w:rsidRDefault="00567612" w:rsidP="00C05A84">
            <w:pPr>
              <w:tabs>
                <w:tab w:val="left" w:pos="288"/>
                <w:tab w:val="left" w:pos="576"/>
                <w:tab w:val="left" w:pos="864"/>
                <w:tab w:val="left" w:pos="1152"/>
              </w:tabs>
              <w:suppressAutoHyphens/>
              <w:spacing w:before="40" w:after="40" w:line="210" w:lineRule="exact"/>
              <w:ind w:left="144" w:right="43"/>
              <w:rPr>
                <w:spacing w:val="0"/>
                <w:w w:val="100"/>
                <w:kern w:val="0"/>
                <w:szCs w:val="20"/>
              </w:rPr>
            </w:pPr>
            <w:r w:rsidRPr="00567612">
              <w:rPr>
                <w:szCs w:val="20"/>
                <w:lang w:val="fr-FR"/>
              </w:rPr>
              <w:t>2020</w:t>
            </w:r>
          </w:p>
        </w:tc>
      </w:tr>
    </w:tbl>
    <w:p w14:paraId="7147DDE5" w14:textId="7BF02CE1" w:rsidR="00567612" w:rsidRPr="00567612" w:rsidRDefault="00567612" w:rsidP="00567612">
      <w:pPr>
        <w:pStyle w:val="FootnoteText"/>
        <w:tabs>
          <w:tab w:val="right" w:pos="1476"/>
          <w:tab w:val="left" w:pos="1548"/>
          <w:tab w:val="right" w:pos="1836"/>
          <w:tab w:val="left" w:pos="1908"/>
        </w:tabs>
        <w:spacing w:line="120" w:lineRule="exact"/>
        <w:ind w:left="1548" w:right="1267" w:hanging="288"/>
        <w:rPr>
          <w:i/>
          <w:iCs/>
          <w:sz w:val="10"/>
          <w:vertAlign w:val="superscript"/>
          <w:lang w:val="fr-FR"/>
        </w:rPr>
      </w:pPr>
    </w:p>
    <w:p w14:paraId="7ED6A1EE" w14:textId="1C5E5C9D" w:rsidR="00567612" w:rsidRPr="00885C06" w:rsidRDefault="00567612" w:rsidP="00567612">
      <w:pPr>
        <w:pStyle w:val="FootnoteText"/>
        <w:tabs>
          <w:tab w:val="right" w:pos="1476"/>
          <w:tab w:val="left" w:pos="1548"/>
          <w:tab w:val="right" w:pos="1836"/>
          <w:tab w:val="left" w:pos="1908"/>
        </w:tabs>
        <w:ind w:left="1548" w:right="1267" w:hanging="288"/>
        <w:rPr>
          <w:lang w:val="fr-FR"/>
        </w:rPr>
      </w:pPr>
      <w:r>
        <w:rPr>
          <w:i/>
          <w:iCs/>
          <w:vertAlign w:val="superscript"/>
          <w:lang w:val="fr-FR"/>
        </w:rPr>
        <w:tab/>
      </w:r>
      <w:r w:rsidRPr="002076AF">
        <w:rPr>
          <w:i/>
          <w:iCs/>
          <w:vertAlign w:val="superscript"/>
          <w:lang w:val="fr-FR"/>
        </w:rPr>
        <w:t>a</w:t>
      </w:r>
      <w:r>
        <w:rPr>
          <w:lang w:val="fr-FR"/>
        </w:rPr>
        <w:tab/>
        <w:t xml:space="preserve">Voir </w:t>
      </w:r>
      <w:hyperlink r:id="rId142" w:history="1">
        <w:r w:rsidRPr="008E2674">
          <w:rPr>
            <w:rStyle w:val="Hyperlink"/>
            <w:lang w:val="fr-FR"/>
          </w:rPr>
          <w:t>A/70/38</w:t>
        </w:r>
      </w:hyperlink>
      <w:r>
        <w:rPr>
          <w:lang w:val="fr-FR"/>
        </w:rPr>
        <w:t>, deuxième partie, par. 13.</w:t>
      </w:r>
    </w:p>
    <w:p w14:paraId="0B0F1D40" w14:textId="54233E00" w:rsidR="00567612" w:rsidRPr="00885C06" w:rsidRDefault="00567612" w:rsidP="00567612">
      <w:pPr>
        <w:pStyle w:val="FootnoteText"/>
        <w:tabs>
          <w:tab w:val="right" w:pos="1476"/>
          <w:tab w:val="left" w:pos="1548"/>
          <w:tab w:val="right" w:pos="1836"/>
          <w:tab w:val="left" w:pos="1908"/>
        </w:tabs>
        <w:ind w:left="1548" w:right="1267" w:hanging="288"/>
        <w:rPr>
          <w:noProof/>
          <w:w w:val="100"/>
          <w:lang w:val="fr-FR"/>
        </w:rPr>
      </w:pPr>
      <w:r>
        <w:rPr>
          <w:i/>
          <w:iCs/>
          <w:vertAlign w:val="superscript"/>
          <w:lang w:val="fr-FR"/>
        </w:rPr>
        <w:tab/>
      </w:r>
      <w:r w:rsidRPr="002076AF">
        <w:rPr>
          <w:i/>
          <w:iCs/>
          <w:vertAlign w:val="superscript"/>
          <w:lang w:val="fr-FR"/>
        </w:rPr>
        <w:t>b</w:t>
      </w:r>
      <w:r>
        <w:rPr>
          <w:lang w:val="fr-FR"/>
        </w:rPr>
        <w:tab/>
        <w:t>Voir le paragraphe 11 de la troisième partie du présent rapport.</w:t>
      </w:r>
    </w:p>
    <w:p w14:paraId="5DE1E868" w14:textId="177BE070" w:rsidR="00567612" w:rsidRPr="00885C06" w:rsidRDefault="00567612" w:rsidP="00567612">
      <w:pPr>
        <w:pStyle w:val="FootnoteText"/>
        <w:tabs>
          <w:tab w:val="right" w:pos="1476"/>
          <w:tab w:val="left" w:pos="1548"/>
          <w:tab w:val="right" w:pos="1836"/>
          <w:tab w:val="left" w:pos="1908"/>
        </w:tabs>
        <w:ind w:left="1548" w:right="1267" w:hanging="288"/>
        <w:rPr>
          <w:lang w:val="fr-FR"/>
        </w:rPr>
      </w:pPr>
      <w:r>
        <w:rPr>
          <w:i/>
          <w:iCs/>
          <w:vertAlign w:val="superscript"/>
          <w:lang w:val="fr-FR"/>
        </w:rPr>
        <w:tab/>
      </w:r>
      <w:r w:rsidRPr="002076AF">
        <w:rPr>
          <w:i/>
          <w:iCs/>
          <w:vertAlign w:val="superscript"/>
          <w:lang w:val="fr-FR"/>
        </w:rPr>
        <w:t>c</w:t>
      </w:r>
      <w:r>
        <w:rPr>
          <w:lang w:val="fr-FR"/>
        </w:rPr>
        <w:tab/>
        <w:t>Voir le paragraphe 14 de la première partie du présent rapport.</w:t>
      </w:r>
    </w:p>
    <w:p w14:paraId="4C53DF43" w14:textId="6C635BB3" w:rsidR="00E9596E" w:rsidRDefault="002D427A" w:rsidP="00E9596E">
      <w:pPr>
        <w:framePr w:w="4320" w:h="520" w:vSpace="240" w:wrap="around" w:vAnchor="page" w:hAnchor="margin" w:x="1" w:y="13896"/>
      </w:pPr>
      <w:r>
        <w:fldChar w:fldCharType="begin"/>
      </w:r>
      <w:r>
        <w:instrText xml:space="preserve"> DOCVARIABLE "jobn" \* MERGEFORMAT </w:instrText>
      </w:r>
      <w:r>
        <w:fldChar w:fldCharType="separate"/>
      </w:r>
      <w:r>
        <w:t>18-04972 (F)</w:t>
      </w:r>
      <w:r>
        <w:fldChar w:fldCharType="end"/>
      </w:r>
      <w:r w:rsidR="00E9596E">
        <w:t xml:space="preserve">   250418   300418</w:t>
      </w:r>
    </w:p>
    <w:p w14:paraId="1C34E0ED" w14:textId="37732CD3" w:rsidR="00E9596E" w:rsidRPr="00E9596E" w:rsidRDefault="00E9596E" w:rsidP="00E9596E">
      <w:pPr>
        <w:framePr w:w="4320" w:h="520" w:vSpace="240" w:wrap="around" w:vAnchor="page" w:hAnchor="margin" w:x="1" w:y="13896"/>
        <w:spacing w:before="120" w:line="240" w:lineRule="auto"/>
        <w:rPr>
          <w:rFonts w:ascii="Barcode 3 of 9 by request" w:hAnsi="Barcode 3 of 9 by request"/>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D427A">
        <w:rPr>
          <w:rFonts w:ascii="Barcode 3 of 9 by request" w:hAnsi="Barcode 3 of 9 by request"/>
          <w:spacing w:val="0"/>
          <w:w w:val="100"/>
          <w:sz w:val="24"/>
        </w:rPr>
        <w:t>*1804972*</w:t>
      </w:r>
      <w:r>
        <w:rPr>
          <w:rFonts w:ascii="Barcode 3 of 9 by request" w:hAnsi="Barcode 3 of 9 by request"/>
          <w:spacing w:val="0"/>
          <w:w w:val="100"/>
          <w:sz w:val="24"/>
        </w:rPr>
        <w:fldChar w:fldCharType="end"/>
      </w:r>
    </w:p>
    <w:p w14:paraId="69E941F3" w14:textId="763B5BFE" w:rsidR="00567612" w:rsidRPr="00567612" w:rsidRDefault="0089543A" w:rsidP="00567612">
      <w:pPr>
        <w:pStyle w:val="SingleTxt"/>
        <w:spacing w:after="0" w:line="240" w:lineRule="auto"/>
        <w:rPr>
          <w:lang w:val="fr-FR"/>
        </w:rPr>
      </w:pPr>
      <w:r w:rsidRPr="0089543A">
        <w:rPr>
          <w:noProof/>
          <w:lang w:val="fr-FR"/>
        </w:rPr>
        <mc:AlternateContent>
          <mc:Choice Requires="wps">
            <w:drawing>
              <wp:anchor distT="45720" distB="45720" distL="114300" distR="114300" simplePos="0" relativeHeight="251661312" behindDoc="0" locked="0" layoutInCell="1" allowOverlap="1" wp14:anchorId="5E451E93" wp14:editId="33EED52C">
                <wp:simplePos x="0" y="0"/>
                <wp:positionH relativeFrom="column">
                  <wp:posOffset>-31750</wp:posOffset>
                </wp:positionH>
                <wp:positionV relativeFrom="paragraph">
                  <wp:posOffset>2682240</wp:posOffset>
                </wp:positionV>
                <wp:extent cx="1397000" cy="4051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5130"/>
                        </a:xfrm>
                        <a:prstGeom prst="rect">
                          <a:avLst/>
                        </a:prstGeom>
                        <a:solidFill>
                          <a:srgbClr val="FFFFFF"/>
                        </a:solidFill>
                        <a:ln w="9525">
                          <a:noFill/>
                          <a:miter lim="800000"/>
                          <a:headEnd/>
                          <a:tailEnd/>
                        </a:ln>
                      </wps:spPr>
                      <wps:txbx>
                        <w:txbxContent>
                          <w:p w14:paraId="76C171E5" w14:textId="6CEF1700" w:rsidR="0089543A" w:rsidRPr="0089543A" w:rsidRDefault="0089543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51E93" id="_x0000_t202" coordsize="21600,21600" o:spt="202" path="m,l,21600r21600,l21600,xe">
                <v:stroke joinstyle="miter"/>
                <v:path gradientshapeok="t" o:connecttype="rect"/>
              </v:shapetype>
              <v:shape id="Text Box 2" o:spid="_x0000_s1026" type="#_x0000_t202" style="position:absolute;left:0;text-align:left;margin-left:-2.5pt;margin-top:211.2pt;width:110pt;height:3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" stroked="f">
                <v:textbox>
                  <w:txbxContent>
                    <w:p w14:paraId="76C171E5" w14:textId="6CEF1700" w:rsidR="0089543A" w:rsidRPr="0089543A" w:rsidRDefault="0089543A">
                      <w:pPr>
                        <w:rPr>
                          <w:lang w:val="en-US"/>
                        </w:rPr>
                      </w:pPr>
                    </w:p>
                  </w:txbxContent>
                </v:textbox>
              </v:shape>
            </w:pict>
          </mc:Fallback>
        </mc:AlternateContent>
      </w:r>
      <w:r w:rsidR="00567612">
        <w:rPr>
          <w:noProof/>
          <w:w w:val="100"/>
          <w:lang w:val="fr-FR"/>
        </w:rPr>
        <mc:AlternateContent>
          <mc:Choice Requires="wps">
            <w:drawing>
              <wp:anchor distT="0" distB="0" distL="114300" distR="114300" simplePos="0" relativeHeight="251659264" behindDoc="0" locked="0" layoutInCell="1" allowOverlap="1" wp14:anchorId="65E3F815" wp14:editId="1FAEC3A8">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6331A"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bookmarkStart w:id="7" w:name="EndPage"/>
      <w:bookmarkEnd w:id="7"/>
    </w:p>
    <w:sectPr w:rsidR="00567612" w:rsidRPr="00567612" w:rsidSect="00CA625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25T17:29:00Z" w:initials="Start">
    <w:p w14:paraId="345C719A" w14:textId="77777777" w:rsidR="00AA7D60" w:rsidRPr="00CA625D" w:rsidRDefault="00AA7D60">
      <w:pPr>
        <w:pStyle w:val="CommentText"/>
        <w:rPr>
          <w:lang w:val="en-US"/>
        </w:rPr>
      </w:pPr>
      <w:r>
        <w:fldChar w:fldCharType="begin"/>
      </w:r>
      <w:r w:rsidRPr="00CA625D">
        <w:rPr>
          <w:rStyle w:val="CommentReference"/>
          <w:lang w:val="en-US"/>
        </w:rPr>
        <w:instrText xml:space="preserve"> </w:instrText>
      </w:r>
      <w:r w:rsidRPr="00CA625D">
        <w:rPr>
          <w:lang w:val="en-US"/>
        </w:rPr>
        <w:instrText>PAGE \# "'Page: '#'</w:instrText>
      </w:r>
      <w:r w:rsidRPr="00CA625D">
        <w:rPr>
          <w:lang w:val="en-US"/>
        </w:rPr>
        <w:br/>
        <w:instrText>'"</w:instrText>
      </w:r>
      <w:r w:rsidRPr="00CA625D">
        <w:rPr>
          <w:rStyle w:val="CommentReference"/>
          <w:lang w:val="en-US"/>
        </w:rPr>
        <w:instrText xml:space="preserve"> </w:instrText>
      </w:r>
      <w:r>
        <w:fldChar w:fldCharType="end"/>
      </w:r>
      <w:r>
        <w:rPr>
          <w:rStyle w:val="CommentReference"/>
        </w:rPr>
        <w:annotationRef/>
      </w:r>
      <w:r w:rsidRPr="00CA625D">
        <w:rPr>
          <w:lang w:val="en-US"/>
        </w:rPr>
        <w:t>&lt;&lt;ODS JOB NO&gt;&gt;N1808921F&lt;&lt;ODS JOB NO&gt;&gt;</w:t>
      </w:r>
    </w:p>
    <w:p w14:paraId="597EE282" w14:textId="77777777" w:rsidR="00AA7D60" w:rsidRDefault="00AA7D60">
      <w:pPr>
        <w:pStyle w:val="CommentText"/>
      </w:pPr>
      <w:r>
        <w:t>&lt;&lt;ODS DOC SYMBOL1&gt;&gt;A/73/38&lt;&lt;ODS DOC SYMBOL1&gt;&gt;</w:t>
      </w:r>
    </w:p>
    <w:p w14:paraId="73C48398" w14:textId="77777777" w:rsidR="00AA7D60" w:rsidRDefault="00AA7D6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C4839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A0EE0" w14:textId="77777777" w:rsidR="00AA7D60" w:rsidRDefault="00AA7D60" w:rsidP="00101B18">
      <w:pPr>
        <w:spacing w:line="240" w:lineRule="auto"/>
      </w:pPr>
      <w:r>
        <w:separator/>
      </w:r>
    </w:p>
  </w:endnote>
  <w:endnote w:type="continuationSeparator" w:id="0">
    <w:p w14:paraId="4A2FE9BC" w14:textId="77777777" w:rsidR="00AA7D60" w:rsidRDefault="00AA7D6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44"/>
      <w:gridCol w:w="4915"/>
    </w:tblGrid>
    <w:tr w:rsidR="00AA7D60" w14:paraId="2FEECBD9" w14:textId="77777777" w:rsidTr="0083441A">
      <w:tc>
        <w:tcPr>
          <w:tcW w:w="3744" w:type="dxa"/>
          <w:shd w:val="clear" w:color="auto" w:fill="auto"/>
        </w:tcPr>
        <w:p w14:paraId="41CDEC30" w14:textId="77777777" w:rsidR="00AA7D60" w:rsidRDefault="00AA7D60">
          <w:pPr>
            <w:pStyle w:val="Footer"/>
          </w:pPr>
        </w:p>
      </w:tc>
      <w:tc>
        <w:tcPr>
          <w:tcW w:w="4915" w:type="dxa"/>
          <w:shd w:val="clear" w:color="auto" w:fill="auto"/>
        </w:tcPr>
        <w:p w14:paraId="13EAC0B0" w14:textId="77777777" w:rsidR="00AA7D60" w:rsidRDefault="00AA7D60" w:rsidP="0083441A">
          <w:pPr>
            <w:pStyle w:val="Footer"/>
            <w:spacing w:line="240" w:lineRule="auto"/>
            <w:jc w:val="right"/>
          </w:pPr>
          <w:r>
            <w:rPr>
              <w:noProof/>
            </w:rPr>
            <w:drawing>
              <wp:inline distT="0" distB="0" distL="0" distR="0" wp14:anchorId="4B8FBA1D" wp14:editId="63E3CD3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70F083D" w14:textId="77777777" w:rsidR="00AA7D60" w:rsidRDefault="00AA7D60" w:rsidP="0083441A">
    <w:pPr>
      <w:pStyle w:val="Footer"/>
      <w:spacing w:line="14" w:lineRule="atLeast"/>
    </w:pPr>
    <w:r>
      <w:rPr>
        <w:noProof/>
      </w:rPr>
      <w:drawing>
        <wp:anchor distT="0" distB="0" distL="114300" distR="114300" simplePos="0" relativeHeight="251658240" behindDoc="0" locked="0" layoutInCell="1" allowOverlap="1" wp14:anchorId="3544994A" wp14:editId="23B96B59">
          <wp:simplePos x="0" y="0"/>
          <wp:positionH relativeFrom="column">
            <wp:posOffset>5504180</wp:posOffset>
          </wp:positionH>
          <wp:positionV relativeFrom="paragraph">
            <wp:posOffset>-685800</wp:posOffset>
          </wp:positionV>
          <wp:extent cx="694690" cy="694690"/>
          <wp:effectExtent l="0" t="0" r="0" b="0"/>
          <wp:wrapNone/>
          <wp:docPr id="3" name="Picture 3" descr="https://undocs.org/m2/QRCode2.ashx?DS=A/73/38&amp;Size =1&amp;Lang = &amp; &quo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38&amp;Size =1&amp;Lang = &amp; &quot;S&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AA7D60" w:rsidRPr="0083441A" w14:paraId="07A19676" w14:textId="77777777" w:rsidTr="0083441A">
      <w:tc>
        <w:tcPr>
          <w:tcW w:w="4920" w:type="dxa"/>
          <w:shd w:val="clear" w:color="auto" w:fill="auto"/>
        </w:tcPr>
        <w:p w14:paraId="51C34AA0" w14:textId="62681F4D" w:rsidR="00AA7D60" w:rsidRPr="0083441A" w:rsidRDefault="0089543A" w:rsidP="0083441A">
          <w:pPr>
            <w:pStyle w:val="Footer"/>
            <w:rPr>
              <w:w w:val="103"/>
            </w:rPr>
          </w:pPr>
          <w:r>
            <w:rPr>
              <w:w w:val="103"/>
            </w:rPr>
            <w:fldChar w:fldCharType="begin"/>
          </w:r>
          <w:r>
            <w:rPr>
              <w:w w:val="103"/>
            </w:rPr>
            <w:instrText xml:space="preserve"> PAGE  \* Arabic  \* MERGEFORMAT </w:instrText>
          </w:r>
          <w:r>
            <w:rPr>
              <w:w w:val="103"/>
            </w:rPr>
            <w:fldChar w:fldCharType="separate"/>
          </w:r>
          <w:r w:rsidR="002D427A">
            <w:rPr>
              <w:noProof/>
              <w:w w:val="103"/>
            </w:rPr>
            <w:t>6</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2D427A">
            <w:rPr>
              <w:noProof/>
              <w:w w:val="103"/>
            </w:rPr>
            <w:t>55</w:t>
          </w:r>
          <w:r>
            <w:rPr>
              <w:w w:val="103"/>
            </w:rPr>
            <w:fldChar w:fldCharType="end"/>
          </w:r>
        </w:p>
      </w:tc>
      <w:tc>
        <w:tcPr>
          <w:tcW w:w="4920" w:type="dxa"/>
          <w:shd w:val="clear" w:color="auto" w:fill="auto"/>
        </w:tcPr>
        <w:p w14:paraId="4C12C879" w14:textId="21E31317" w:rsidR="00AA7D60" w:rsidRPr="0083441A" w:rsidRDefault="00AA7D60" w:rsidP="0083441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427A">
            <w:rPr>
              <w:b w:val="0"/>
              <w:w w:val="103"/>
              <w:sz w:val="14"/>
            </w:rPr>
            <w:t>18-04972</w:t>
          </w:r>
          <w:r>
            <w:rPr>
              <w:b w:val="0"/>
              <w:w w:val="103"/>
              <w:sz w:val="14"/>
            </w:rPr>
            <w:fldChar w:fldCharType="end"/>
          </w:r>
        </w:p>
      </w:tc>
    </w:tr>
  </w:tbl>
  <w:p w14:paraId="5D15F1CD" w14:textId="77777777" w:rsidR="00AA7D60" w:rsidRDefault="00AA7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AA7D60" w:rsidRPr="0083441A" w14:paraId="6BD7E384" w14:textId="77777777" w:rsidTr="0083441A">
      <w:tc>
        <w:tcPr>
          <w:tcW w:w="4920" w:type="dxa"/>
          <w:shd w:val="clear" w:color="auto" w:fill="auto"/>
        </w:tcPr>
        <w:p w14:paraId="0A610A7F" w14:textId="4368D296" w:rsidR="00AA7D60" w:rsidRPr="0083441A" w:rsidRDefault="00AA7D60" w:rsidP="0083441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427A">
            <w:rPr>
              <w:b w:val="0"/>
              <w:w w:val="103"/>
              <w:sz w:val="14"/>
            </w:rPr>
            <w:t>18-04972</w:t>
          </w:r>
          <w:r>
            <w:rPr>
              <w:b w:val="0"/>
              <w:w w:val="103"/>
              <w:sz w:val="14"/>
            </w:rPr>
            <w:fldChar w:fldCharType="end"/>
          </w:r>
        </w:p>
      </w:tc>
      <w:tc>
        <w:tcPr>
          <w:tcW w:w="4920" w:type="dxa"/>
          <w:shd w:val="clear" w:color="auto" w:fill="auto"/>
        </w:tcPr>
        <w:p w14:paraId="47DC5C90" w14:textId="07B67465" w:rsidR="00AA7D60" w:rsidRPr="0083441A" w:rsidRDefault="0089543A" w:rsidP="0083441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D427A">
            <w:rPr>
              <w:noProof/>
              <w:w w:val="103"/>
            </w:rPr>
            <w:t>5</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2D427A">
            <w:rPr>
              <w:noProof/>
              <w:w w:val="103"/>
            </w:rPr>
            <w:t>55</w:t>
          </w:r>
          <w:r>
            <w:rPr>
              <w:w w:val="103"/>
            </w:rPr>
            <w:fldChar w:fldCharType="end"/>
          </w:r>
        </w:p>
      </w:tc>
    </w:tr>
  </w:tbl>
  <w:p w14:paraId="54402BAC" w14:textId="77777777" w:rsidR="00AA7D60" w:rsidRDefault="00AA7D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AA7D60" w:rsidRPr="0083441A" w14:paraId="3C44E65F" w14:textId="77777777" w:rsidTr="0083441A">
      <w:tc>
        <w:tcPr>
          <w:tcW w:w="4920" w:type="dxa"/>
          <w:shd w:val="clear" w:color="auto" w:fill="auto"/>
        </w:tcPr>
        <w:p w14:paraId="54B9D89C" w14:textId="3AEA4A1E" w:rsidR="00AA7D60" w:rsidRPr="0083441A" w:rsidRDefault="0089543A" w:rsidP="0083441A">
          <w:pPr>
            <w:pStyle w:val="Footer"/>
            <w:rPr>
              <w:w w:val="103"/>
            </w:rPr>
          </w:pPr>
          <w:r>
            <w:rPr>
              <w:w w:val="103"/>
            </w:rPr>
            <w:fldChar w:fldCharType="begin"/>
          </w:r>
          <w:r>
            <w:rPr>
              <w:w w:val="103"/>
            </w:rPr>
            <w:instrText xml:space="preserve"> PAGE  \* Arabic  \* MERGEFORMAT </w:instrText>
          </w:r>
          <w:r>
            <w:rPr>
              <w:w w:val="103"/>
            </w:rPr>
            <w:fldChar w:fldCharType="separate"/>
          </w:r>
          <w:r w:rsidR="002D427A">
            <w:rPr>
              <w:noProof/>
              <w:w w:val="103"/>
            </w:rPr>
            <w:t>54</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2D427A">
            <w:rPr>
              <w:noProof/>
              <w:w w:val="103"/>
            </w:rPr>
            <w:t>55</w:t>
          </w:r>
          <w:r>
            <w:rPr>
              <w:w w:val="103"/>
            </w:rPr>
            <w:fldChar w:fldCharType="end"/>
          </w:r>
        </w:p>
      </w:tc>
      <w:tc>
        <w:tcPr>
          <w:tcW w:w="4920" w:type="dxa"/>
          <w:shd w:val="clear" w:color="auto" w:fill="auto"/>
        </w:tcPr>
        <w:p w14:paraId="78B7BFC5" w14:textId="780C77DB" w:rsidR="00AA7D60" w:rsidRPr="0083441A" w:rsidRDefault="00AA7D60" w:rsidP="0083441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427A">
            <w:rPr>
              <w:b w:val="0"/>
              <w:w w:val="103"/>
              <w:sz w:val="14"/>
            </w:rPr>
            <w:t>18-04972</w:t>
          </w:r>
          <w:r>
            <w:rPr>
              <w:b w:val="0"/>
              <w:w w:val="103"/>
              <w:sz w:val="14"/>
            </w:rPr>
            <w:fldChar w:fldCharType="end"/>
          </w:r>
        </w:p>
      </w:tc>
    </w:tr>
  </w:tbl>
  <w:p w14:paraId="3A46A374" w14:textId="77777777" w:rsidR="00AA7D60" w:rsidRDefault="00AA7D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AA7D60" w:rsidRPr="0083441A" w14:paraId="78D699BE" w14:textId="77777777" w:rsidTr="0083441A">
      <w:tc>
        <w:tcPr>
          <w:tcW w:w="4920" w:type="dxa"/>
          <w:shd w:val="clear" w:color="auto" w:fill="auto"/>
        </w:tcPr>
        <w:p w14:paraId="747B12D9" w14:textId="04C19A74" w:rsidR="00AA7D60" w:rsidRPr="0083441A" w:rsidRDefault="00AA7D60" w:rsidP="0083441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427A">
            <w:rPr>
              <w:b w:val="0"/>
              <w:w w:val="103"/>
              <w:sz w:val="14"/>
            </w:rPr>
            <w:t>18-04972</w:t>
          </w:r>
          <w:r>
            <w:rPr>
              <w:b w:val="0"/>
              <w:w w:val="103"/>
              <w:sz w:val="14"/>
            </w:rPr>
            <w:fldChar w:fldCharType="end"/>
          </w:r>
        </w:p>
      </w:tc>
      <w:tc>
        <w:tcPr>
          <w:tcW w:w="4920" w:type="dxa"/>
          <w:shd w:val="clear" w:color="auto" w:fill="auto"/>
        </w:tcPr>
        <w:p w14:paraId="308EFEED" w14:textId="3FEB4D98" w:rsidR="00AA7D60" w:rsidRPr="0083441A" w:rsidRDefault="0089543A" w:rsidP="0083441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D427A">
            <w:rPr>
              <w:noProof/>
              <w:w w:val="103"/>
            </w:rPr>
            <w:t>55</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2D427A">
            <w:rPr>
              <w:noProof/>
              <w:w w:val="103"/>
            </w:rPr>
            <w:t>55</w:t>
          </w:r>
          <w:r>
            <w:rPr>
              <w:w w:val="103"/>
            </w:rPr>
            <w:fldChar w:fldCharType="end"/>
          </w:r>
        </w:p>
      </w:tc>
    </w:tr>
  </w:tbl>
  <w:p w14:paraId="5BD51172" w14:textId="77777777" w:rsidR="00AA7D60" w:rsidRDefault="00AA7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BA443" w14:textId="683E1A9F" w:rsidR="00AA7D60" w:rsidRPr="00A11B8A" w:rsidRDefault="00AA7D60" w:rsidP="00A11B8A">
      <w:pPr>
        <w:pStyle w:val="Footer"/>
        <w:spacing w:after="80"/>
        <w:ind w:left="792"/>
        <w:rPr>
          <w:sz w:val="16"/>
        </w:rPr>
      </w:pPr>
      <w:r w:rsidRPr="00A11B8A">
        <w:rPr>
          <w:sz w:val="16"/>
        </w:rPr>
        <w:t>__________________</w:t>
      </w:r>
    </w:p>
  </w:footnote>
  <w:footnote w:type="continuationSeparator" w:id="0">
    <w:p w14:paraId="472955D5" w14:textId="1C82F576" w:rsidR="00AA7D60" w:rsidRPr="00A11B8A" w:rsidRDefault="00AA7D60" w:rsidP="00A11B8A">
      <w:pPr>
        <w:pStyle w:val="Footer"/>
        <w:spacing w:after="80"/>
        <w:ind w:left="792"/>
        <w:rPr>
          <w:sz w:val="16"/>
        </w:rPr>
      </w:pPr>
      <w:r w:rsidRPr="00A11B8A">
        <w:rPr>
          <w:sz w:val="16"/>
        </w:rPr>
        <w:t>__________________</w:t>
      </w:r>
    </w:p>
  </w:footnote>
  <w:footnote w:id="1">
    <w:p w14:paraId="5358B1B2" w14:textId="4E6E0FB5" w:rsidR="00AA7D60" w:rsidRPr="007A7D94" w:rsidRDefault="00AA7D60" w:rsidP="00A11B8A">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Les membres suivants du Comité ont pris part à l’adoption de la recommandation : Ayse Feride Acar, Gladys Acosta Vargas, Nicole Ameline, Magalys Arocha Dominguez, Gunnar Bergby, Marion Bethel, Louiza Chalal, Náela Mohamed Gabr, Hilary Gbedemah, Nahla Haidar, Ruth Halperin-Kaddari, Yoko Hayashi, Lilian Hofmeister, Ismat Jahan, Dalia Leinarte, Rosario G. Manalo, Lia Nadaraia, Bandana Rana, Patricia Schulz, Wenyan Song et Aicha Vall Verges.</w:t>
      </w:r>
    </w:p>
  </w:footnote>
  <w:footnote w:id="2">
    <w:p w14:paraId="5BB0AF8A" w14:textId="6CD70381" w:rsidR="00AA7D60" w:rsidRPr="00B30172" w:rsidRDefault="00AA7D60" w:rsidP="00B30172">
      <w:pPr>
        <w:pStyle w:val="FootnoteText"/>
        <w:widowControl w:val="0"/>
        <w:tabs>
          <w:tab w:val="right" w:pos="1195"/>
          <w:tab w:val="left" w:pos="1267"/>
          <w:tab w:val="left" w:pos="1742"/>
          <w:tab w:val="left" w:pos="2218"/>
          <w:tab w:val="left" w:pos="2693"/>
        </w:tabs>
        <w:ind w:left="1267" w:right="1267" w:hanging="432"/>
        <w:rPr>
          <w:szCs w:val="17"/>
          <w:lang w:val="fr-FR"/>
        </w:rPr>
      </w:pPr>
      <w:r w:rsidRPr="00B30172">
        <w:rPr>
          <w:szCs w:val="17"/>
          <w:lang w:val="fr-FR"/>
        </w:rPr>
        <w:tab/>
      </w:r>
      <w:r w:rsidRPr="00B30172">
        <w:rPr>
          <w:rStyle w:val="FootnoteReference"/>
          <w:spacing w:val="4"/>
          <w:szCs w:val="17"/>
          <w:lang w:val="fr-FR"/>
        </w:rPr>
        <w:footnoteRef/>
      </w:r>
      <w:r w:rsidRPr="00B30172">
        <w:rPr>
          <w:szCs w:val="17"/>
          <w:lang w:val="fr-FR"/>
        </w:rPr>
        <w:tab/>
        <w:t>Les membres du Comité ci-après ont pris part à l’adoption de la recommandation : Ayse Feride Acar, Gladys Acosta Vargas, Nicole Ameline, Magalys Arocha Dominguez, Gunnar Bergby, Marion Bethel, Louiza Chalal, Náela Mohamed Gabr, Hilary Gbedemah, Nahla Haidar, Ruth Halperin-Kaddari, Lilian Hofmeister, Ismat Jahan, Dalia Leinarte, Rosario G. Manalo, Lia Nadaraia, Aruna Devi Narain, Bandana Rana, Patricia Schulz, Wenyan Song et Aicha Vall Verges.</w:t>
      </w:r>
    </w:p>
  </w:footnote>
  <w:footnote w:id="3">
    <w:p w14:paraId="0DF4F5CE" w14:textId="2C72939A" w:rsidR="00AA7D60" w:rsidRPr="00491296" w:rsidRDefault="00AA7D60" w:rsidP="00A11B8A">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 xml:space="preserve">Les </w:t>
      </w:r>
      <w:r w:rsidRPr="00A241DA">
        <w:rPr>
          <w:lang w:val="fr-FR"/>
        </w:rPr>
        <w:t>membres du Comité dont les noms suivent étaient présent</w:t>
      </w:r>
      <w:r w:rsidRPr="00196C65">
        <w:rPr>
          <w:lang w:val="fr-FR"/>
        </w:rPr>
        <w:t>s lors de l</w:t>
      </w:r>
      <w:r>
        <w:rPr>
          <w:lang w:val="fr-FR"/>
        </w:rPr>
        <w:t>’</w:t>
      </w:r>
      <w:r w:rsidRPr="00196C65">
        <w:rPr>
          <w:lang w:val="fr-FR"/>
        </w:rPr>
        <w:t>adoption</w:t>
      </w:r>
      <w:r>
        <w:rPr>
          <w:lang w:val="fr-FR"/>
        </w:rPr>
        <w:t> : Ayse Feride Acar, Gladys Acosta Vargas, Nicole Ameline, Magalys Arocha Dominguez, Gunnar Bergby, Marion Bethel, Louiza Chalal, Náela Mohamed Gabr, Hilary Gbedemah, Nahla Haidar, Lilian Hofmeister, Ismat Jahan, Dalia Leinarte, Rosario G. Manalo, Lia Nadaraia, Aruna Devi Narain, Bandana Rana, Patricia Schulz, Wenyan Song et Aicha Vall Verges.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AA7D60" w:rsidRPr="0083441A" w14:paraId="01A406F2" w14:textId="77777777" w:rsidTr="0083441A">
      <w:trPr>
        <w:trHeight w:hRule="exact" w:val="1008"/>
      </w:trPr>
      <w:tc>
        <w:tcPr>
          <w:tcW w:w="9850" w:type="dxa"/>
          <w:shd w:val="clear" w:color="auto" w:fill="auto"/>
          <w:vAlign w:val="bottom"/>
        </w:tcPr>
        <w:p w14:paraId="08856C9A" w14:textId="77777777" w:rsidR="00AA7D60" w:rsidRPr="0083441A" w:rsidRDefault="00AA7D60" w:rsidP="0083441A">
          <w:pPr>
            <w:pStyle w:val="Header"/>
            <w:spacing w:after="80"/>
            <w:jc w:val="right"/>
            <w:rPr>
              <w:b/>
            </w:rPr>
          </w:pPr>
        </w:p>
      </w:tc>
    </w:tr>
  </w:tbl>
  <w:p w14:paraId="0CAB31D5" w14:textId="77777777" w:rsidR="00AA7D60" w:rsidRDefault="00AA7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71BD" w14:textId="77777777" w:rsidR="00AA7D60" w:rsidRDefault="00AA7D60" w:rsidP="0083441A">
    <w:pPr>
      <w:pStyle w:val="Header"/>
      <w:spacing w:before="340"/>
      <w:jc w:val="right"/>
      <w:rPr>
        <w:sz w:val="20"/>
      </w:rPr>
    </w:pPr>
    <w:r>
      <w:rPr>
        <w:sz w:val="20"/>
      </w:rPr>
      <w:t>A/73/38</w:t>
    </w:r>
  </w:p>
  <w:p w14:paraId="715C545C" w14:textId="77777777" w:rsidR="00AA7D60" w:rsidRPr="0083441A" w:rsidRDefault="00AA7D60" w:rsidP="0083441A">
    <w:pPr>
      <w:spacing w:before="1480"/>
      <w:ind w:left="1260"/>
    </w:pPr>
    <w:r>
      <w:rPr>
        <w:noProof/>
      </w:rPr>
      <w:drawing>
        <wp:inline distT="0" distB="0" distL="0" distR="0" wp14:anchorId="388878EC" wp14:editId="6693B4E6">
          <wp:extent cx="1193800" cy="101589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AA7D60" w:rsidRPr="0083441A" w14:paraId="4E2995F8" w14:textId="77777777" w:rsidTr="0083441A">
      <w:trPr>
        <w:trHeight w:hRule="exact" w:val="1008"/>
      </w:trPr>
      <w:tc>
        <w:tcPr>
          <w:tcW w:w="9850" w:type="dxa"/>
          <w:shd w:val="clear" w:color="auto" w:fill="auto"/>
          <w:vAlign w:val="bottom"/>
        </w:tcPr>
        <w:p w14:paraId="46448831" w14:textId="77777777" w:rsidR="00AA7D60" w:rsidRPr="0083441A" w:rsidRDefault="00AA7D60" w:rsidP="0083441A">
          <w:pPr>
            <w:pStyle w:val="Header"/>
            <w:spacing w:after="80"/>
            <w:rPr>
              <w:b/>
            </w:rPr>
          </w:pPr>
        </w:p>
      </w:tc>
    </w:tr>
  </w:tbl>
  <w:p w14:paraId="2C6B2097" w14:textId="77777777" w:rsidR="00AA7D60" w:rsidRDefault="00AA7D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AA7D60" w:rsidRPr="0083441A" w14:paraId="4ED28082" w14:textId="77777777" w:rsidTr="0083441A">
      <w:trPr>
        <w:trHeight w:hRule="exact" w:val="1008"/>
      </w:trPr>
      <w:tc>
        <w:tcPr>
          <w:tcW w:w="9850" w:type="dxa"/>
          <w:shd w:val="clear" w:color="auto" w:fill="auto"/>
          <w:vAlign w:val="bottom"/>
        </w:tcPr>
        <w:p w14:paraId="0D9601DF" w14:textId="77777777" w:rsidR="00AA7D60" w:rsidRPr="0083441A" w:rsidRDefault="00AA7D60" w:rsidP="0083441A">
          <w:pPr>
            <w:pStyle w:val="Header"/>
            <w:spacing w:after="80"/>
            <w:jc w:val="right"/>
            <w:rPr>
              <w:b/>
            </w:rPr>
          </w:pPr>
        </w:p>
      </w:tc>
    </w:tr>
  </w:tbl>
  <w:p w14:paraId="7C98D36A" w14:textId="77777777" w:rsidR="00AA7D60" w:rsidRDefault="00AA7D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A7D60" w14:paraId="43228A9E" w14:textId="77777777" w:rsidTr="0083441A">
      <w:trPr>
        <w:trHeight w:hRule="exact" w:val="864"/>
      </w:trPr>
      <w:tc>
        <w:tcPr>
          <w:tcW w:w="4920" w:type="dxa"/>
          <w:shd w:val="clear" w:color="auto" w:fill="auto"/>
          <w:vAlign w:val="bottom"/>
        </w:tcPr>
        <w:p w14:paraId="523DFF94" w14:textId="22780074" w:rsidR="00AA7D60" w:rsidRPr="0083441A" w:rsidRDefault="00AA7D60" w:rsidP="0083441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D427A">
            <w:rPr>
              <w:b/>
              <w:color w:val="000000"/>
            </w:rPr>
            <w:t>A/73/38</w:t>
          </w:r>
          <w:r>
            <w:rPr>
              <w:b/>
              <w:color w:val="000000"/>
            </w:rPr>
            <w:fldChar w:fldCharType="end"/>
          </w:r>
        </w:p>
      </w:tc>
      <w:tc>
        <w:tcPr>
          <w:tcW w:w="4920" w:type="dxa"/>
          <w:shd w:val="clear" w:color="auto" w:fill="auto"/>
          <w:vAlign w:val="bottom"/>
        </w:tcPr>
        <w:p w14:paraId="2F82AC8E" w14:textId="77777777" w:rsidR="00AA7D60" w:rsidRDefault="00AA7D60" w:rsidP="0083441A">
          <w:pPr>
            <w:pStyle w:val="Header"/>
          </w:pPr>
        </w:p>
      </w:tc>
    </w:tr>
  </w:tbl>
  <w:p w14:paraId="1F2CB0BC" w14:textId="77777777" w:rsidR="00AA7D60" w:rsidRPr="0083441A" w:rsidRDefault="00AA7D60" w:rsidP="0083441A">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A7D60" w14:paraId="20D62567" w14:textId="77777777" w:rsidTr="0083441A">
      <w:trPr>
        <w:trHeight w:hRule="exact" w:val="864"/>
      </w:trPr>
      <w:tc>
        <w:tcPr>
          <w:tcW w:w="4920" w:type="dxa"/>
          <w:shd w:val="clear" w:color="auto" w:fill="auto"/>
          <w:vAlign w:val="bottom"/>
        </w:tcPr>
        <w:p w14:paraId="51DBD3D5" w14:textId="77777777" w:rsidR="00AA7D60" w:rsidRDefault="00AA7D60" w:rsidP="0083441A">
          <w:pPr>
            <w:pStyle w:val="Header"/>
          </w:pPr>
        </w:p>
      </w:tc>
      <w:tc>
        <w:tcPr>
          <w:tcW w:w="4920" w:type="dxa"/>
          <w:shd w:val="clear" w:color="auto" w:fill="auto"/>
          <w:vAlign w:val="bottom"/>
        </w:tcPr>
        <w:p w14:paraId="795A8611" w14:textId="15E38F01" w:rsidR="00AA7D60" w:rsidRPr="0083441A" w:rsidRDefault="00AA7D60" w:rsidP="0083441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D427A">
            <w:rPr>
              <w:b/>
              <w:color w:val="000000"/>
            </w:rPr>
            <w:t>A/73/38</w:t>
          </w:r>
          <w:r>
            <w:rPr>
              <w:b/>
              <w:color w:val="000000"/>
            </w:rPr>
            <w:fldChar w:fldCharType="end"/>
          </w:r>
        </w:p>
      </w:tc>
    </w:tr>
  </w:tbl>
  <w:p w14:paraId="52659132" w14:textId="77777777" w:rsidR="00AA7D60" w:rsidRPr="0083441A" w:rsidRDefault="00AA7D60" w:rsidP="0083441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5290"/>
    <w:multiLevelType w:val="hybridMultilevel"/>
    <w:tmpl w:val="C746479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5430450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93F0F396"/>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65756"/>
    <w:multiLevelType w:val="multilevel"/>
    <w:tmpl w:val="E7740612"/>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5F63D2"/>
    <w:multiLevelType w:val="singleLevel"/>
    <w:tmpl w:val="7284BE82"/>
    <w:lvl w:ilvl="0">
      <w:start w:val="12"/>
      <w:numFmt w:val="decimal"/>
      <w:lvlRestart w:val="0"/>
      <w:lvlText w:val="%1."/>
      <w:lvlJc w:val="left"/>
      <w:pPr>
        <w:tabs>
          <w:tab w:val="num" w:pos="1742"/>
        </w:tabs>
        <w:ind w:left="1267" w:firstLine="0"/>
      </w:pPr>
      <w:rPr>
        <w:w w:val="100"/>
      </w:rPr>
    </w:lvl>
  </w:abstractNum>
  <w:abstractNum w:abstractNumId="6" w15:restartNumberingAfterBreak="0">
    <w:nsid w:val="1F751446"/>
    <w:multiLevelType w:val="hybridMultilevel"/>
    <w:tmpl w:val="C518D46A"/>
    <w:lvl w:ilvl="0" w:tplc="98D81C9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20CA1D64"/>
    <w:multiLevelType w:val="multilevel"/>
    <w:tmpl w:val="0E08B1C0"/>
    <w:name w:val="TOC"/>
    <w:lvl w:ilvl="0">
      <w:start w:val="1"/>
      <w:numFmt w:val="upperRoman"/>
      <w:lvlText w:val="%1."/>
      <w:lvlJc w:val="right"/>
      <w:pPr>
        <w:tabs>
          <w:tab w:val="num" w:pos="1296"/>
        </w:tabs>
        <w:ind w:left="1296" w:hanging="216"/>
      </w:pPr>
      <w:rPr>
        <w:b w:val="0"/>
        <w:bCs/>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6C80F24"/>
    <w:multiLevelType w:val="singleLevel"/>
    <w:tmpl w:val="4A32B9EE"/>
    <w:lvl w:ilvl="0">
      <w:start w:val="1"/>
      <w:numFmt w:val="decimal"/>
      <w:lvlRestart w:val="0"/>
      <w:lvlText w:val="%1."/>
      <w:lvlJc w:val="left"/>
      <w:pPr>
        <w:tabs>
          <w:tab w:val="num" w:pos="1742"/>
        </w:tabs>
        <w:ind w:left="1267" w:firstLine="0"/>
      </w:pPr>
      <w:rPr>
        <w:w w:val="100"/>
      </w:rPr>
    </w:lvl>
  </w:abstractNum>
  <w:abstractNum w:abstractNumId="9" w15:restartNumberingAfterBreak="0">
    <w:nsid w:val="333B2ADE"/>
    <w:multiLevelType w:val="hybridMultilevel"/>
    <w:tmpl w:val="57583D38"/>
    <w:lvl w:ilvl="0" w:tplc="BA90B3D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3A3C5502"/>
    <w:multiLevelType w:val="multilevel"/>
    <w:tmpl w:val="E774061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44E2664"/>
    <w:multiLevelType w:val="singleLevel"/>
    <w:tmpl w:val="F4169370"/>
    <w:lvl w:ilvl="0">
      <w:start w:val="1"/>
      <w:numFmt w:val="decimal"/>
      <w:lvlRestart w:val="0"/>
      <w:lvlText w:val="%1."/>
      <w:lvlJc w:val="left"/>
      <w:pPr>
        <w:tabs>
          <w:tab w:val="num" w:pos="475"/>
        </w:tabs>
        <w:ind w:left="0" w:firstLine="0"/>
      </w:pPr>
      <w:rPr>
        <w:w w:val="100"/>
      </w:rPr>
    </w:lvl>
  </w:abstractNum>
  <w:abstractNum w:abstractNumId="12" w15:restartNumberingAfterBreak="0">
    <w:nsid w:val="47B40547"/>
    <w:multiLevelType w:val="hybridMultilevel"/>
    <w:tmpl w:val="52FACC8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C140B"/>
    <w:multiLevelType w:val="singleLevel"/>
    <w:tmpl w:val="D6A06EB0"/>
    <w:lvl w:ilvl="0">
      <w:start w:val="1"/>
      <w:numFmt w:val="decimal"/>
      <w:lvlRestart w:val="0"/>
      <w:lvlText w:val="%1."/>
      <w:lvlJc w:val="left"/>
      <w:pPr>
        <w:tabs>
          <w:tab w:val="num" w:pos="1742"/>
        </w:tabs>
        <w:ind w:left="1267" w:firstLine="0"/>
      </w:pPr>
      <w:rPr>
        <w:w w:val="100"/>
      </w:rPr>
    </w:lvl>
  </w:abstractNum>
  <w:abstractNum w:abstractNumId="14" w15:restartNumberingAfterBreak="0">
    <w:nsid w:val="58421356"/>
    <w:multiLevelType w:val="singleLevel"/>
    <w:tmpl w:val="F4169370"/>
    <w:lvl w:ilvl="0">
      <w:start w:val="1"/>
      <w:numFmt w:val="decimal"/>
      <w:lvlRestart w:val="0"/>
      <w:lvlText w:val="%1."/>
      <w:lvlJc w:val="left"/>
      <w:pPr>
        <w:tabs>
          <w:tab w:val="num" w:pos="475"/>
        </w:tabs>
        <w:ind w:left="0" w:firstLine="0"/>
      </w:pPr>
      <w:rPr>
        <w:w w:val="100"/>
      </w:rPr>
    </w:lvl>
  </w:abstractNum>
  <w:abstractNum w:abstractNumId="15" w15:restartNumberingAfterBreak="0">
    <w:nsid w:val="59892CF0"/>
    <w:multiLevelType w:val="multilevel"/>
    <w:tmpl w:val="D018A5A0"/>
    <w:name w:val="TOC2"/>
    <w:lvl w:ilvl="0">
      <w:start w:val="1"/>
      <w:numFmt w:val="upperRoman"/>
      <w:lvlText w:val="%1."/>
      <w:lvlJc w:val="right"/>
      <w:pPr>
        <w:tabs>
          <w:tab w:val="num" w:pos="1296"/>
        </w:tabs>
        <w:ind w:left="1296" w:hanging="216"/>
      </w:pPr>
      <w:rPr>
        <w:b w:val="0"/>
        <w:bCs/>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18F02B9"/>
    <w:multiLevelType w:val="singleLevel"/>
    <w:tmpl w:val="09C89422"/>
    <w:lvl w:ilvl="0">
      <w:start w:val="1"/>
      <w:numFmt w:val="decimal"/>
      <w:lvlRestart w:val="0"/>
      <w:lvlText w:val="%1."/>
      <w:lvlJc w:val="left"/>
      <w:pPr>
        <w:tabs>
          <w:tab w:val="num" w:pos="1742"/>
        </w:tabs>
        <w:ind w:left="1267" w:firstLine="0"/>
      </w:pPr>
      <w:rPr>
        <w:b w:val="0"/>
        <w:bCs/>
        <w:w w:val="100"/>
      </w:rPr>
    </w:lvl>
  </w:abstractNum>
  <w:abstractNum w:abstractNumId="17" w15:restartNumberingAfterBreak="0">
    <w:nsid w:val="61973A84"/>
    <w:multiLevelType w:val="hybridMultilevel"/>
    <w:tmpl w:val="B2E21FF2"/>
    <w:lvl w:ilvl="0" w:tplc="1CB4A29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12"/>
  </w:num>
  <w:num w:numId="3">
    <w:abstractNumId w:val="1"/>
  </w:num>
  <w:num w:numId="4">
    <w:abstractNumId w:val="2"/>
  </w:num>
  <w:num w:numId="5">
    <w:abstractNumId w:val="14"/>
  </w:num>
  <w:num w:numId="6">
    <w:abstractNumId w:val="11"/>
  </w:num>
  <w:num w:numId="7">
    <w:abstractNumId w:val="6"/>
  </w:num>
  <w:num w:numId="8">
    <w:abstractNumId w:val="11"/>
    <w:lvlOverride w:ilvl="0">
      <w:lvl w:ilvl="0">
        <w:start w:val="1"/>
        <w:numFmt w:val="decimal"/>
        <w:lvlRestart w:val="0"/>
        <w:lvlText w:val="%1."/>
        <w:lvlJc w:val="left"/>
        <w:pPr>
          <w:tabs>
            <w:tab w:val="num" w:pos="475"/>
          </w:tabs>
          <w:ind w:left="0" w:firstLine="0"/>
        </w:pPr>
        <w:rPr>
          <w:w w:val="100"/>
        </w:rPr>
      </w:lvl>
    </w:lvlOverride>
  </w:num>
  <w:num w:numId="9">
    <w:abstractNumId w:val="9"/>
  </w:num>
  <w:num w:numId="10">
    <w:abstractNumId w:val="8"/>
  </w:num>
  <w:num w:numId="11">
    <w:abstractNumId w:val="8"/>
    <w:lvlOverride w:ilvl="0">
      <w:lvl w:ilvl="0">
        <w:start w:val="1"/>
        <w:numFmt w:val="decimal"/>
        <w:lvlRestart w:val="0"/>
        <w:lvlText w:val="%1."/>
        <w:lvlJc w:val="left"/>
        <w:pPr>
          <w:tabs>
            <w:tab w:val="num" w:pos="1742"/>
          </w:tabs>
          <w:ind w:left="1267" w:firstLine="0"/>
        </w:pPr>
        <w:rPr>
          <w:w w:val="100"/>
        </w:rPr>
      </w:lvl>
    </w:lvlOverride>
  </w:num>
  <w:num w:numId="12">
    <w:abstractNumId w:val="0"/>
  </w:num>
  <w:num w:numId="13">
    <w:abstractNumId w:val="17"/>
  </w:num>
  <w:num w:numId="14">
    <w:abstractNumId w:val="16"/>
  </w:num>
  <w:num w:numId="15">
    <w:abstractNumId w:val="13"/>
  </w:num>
  <w:num w:numId="16">
    <w:abstractNumId w:val="5"/>
  </w:num>
  <w:num w:numId="17">
    <w:abstractNumId w:val="5"/>
    <w:lvlOverride w:ilvl="0">
      <w:lvl w:ilvl="0">
        <w:start w:val="12"/>
        <w:numFmt w:val="decimal"/>
        <w:lvlRestart w:val="0"/>
        <w:lvlText w:val="%1."/>
        <w:lvlJc w:val="left"/>
        <w:pPr>
          <w:tabs>
            <w:tab w:val="num" w:pos="1742"/>
          </w:tabs>
          <w:ind w:left="1267" w:firstLine="0"/>
        </w:pPr>
        <w:rPr>
          <w:w w:val="100"/>
        </w:rPr>
      </w:lvl>
    </w:lvlOverride>
  </w:num>
  <w:num w:numId="18">
    <w:abstractNumId w:val="5"/>
    <w:lvlOverride w:ilvl="0">
      <w:lvl w:ilvl="0">
        <w:start w:val="12"/>
        <w:numFmt w:val="decimal"/>
        <w:lvlRestart w:val="0"/>
        <w:lvlText w:val="%1."/>
        <w:lvlJc w:val="left"/>
        <w:pPr>
          <w:tabs>
            <w:tab w:val="num" w:pos="1742"/>
          </w:tabs>
          <w:ind w:left="1267" w:firstLine="0"/>
        </w:pPr>
        <w:rPr>
          <w:w w:val="100"/>
        </w:rPr>
      </w:lvl>
    </w:lvlOverride>
  </w:num>
  <w:num w:numId="19">
    <w:abstractNumId w:val="7"/>
  </w:num>
  <w:num w:numId="20">
    <w:abstractNumId w:val="15"/>
  </w:num>
  <w:num w:numId="21">
    <w:abstractNumId w:val="4"/>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defaultTabStop w:val="475"/>
  <w:hyphenationZone w:val="425"/>
  <w:doNotHyphenateCaps/>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972*"/>
    <w:docVar w:name="CreationDt" w:val="25/04/2018 17:28:53"/>
    <w:docVar w:name="DocCategory" w:val="Supplements"/>
    <w:docVar w:name="DocType" w:val="Final"/>
    <w:docVar w:name="DutyStation" w:val="New York"/>
    <w:docVar w:name="FooterJN" w:val="18-04972"/>
    <w:docVar w:name="jobn" w:val="18-04972 (F)"/>
    <w:docVar w:name="jobnDT" w:val="18-04972 (F)   250418"/>
    <w:docVar w:name="jobnDTDT" w:val="18-04972 (F)   250418   250418"/>
    <w:docVar w:name="JobNo" w:val="1804972F"/>
    <w:docVar w:name="JobNo2" w:val="1808921F"/>
    <w:docVar w:name="LocalDrive" w:val="0"/>
    <w:docVar w:name="OandT" w:val="sbc"/>
    <w:docVar w:name="sss1" w:val="A/73/38"/>
    <w:docVar w:name="sss2" w:val="-"/>
    <w:docVar w:name="Symbol1" w:val="A/73/38"/>
    <w:docVar w:name="Symbol2" w:val="-"/>
  </w:docVars>
  <w:rsids>
    <w:rsidRoot w:val="00522685"/>
    <w:rsid w:val="00002584"/>
    <w:rsid w:val="00003F6C"/>
    <w:rsid w:val="0001121B"/>
    <w:rsid w:val="0001434D"/>
    <w:rsid w:val="00016015"/>
    <w:rsid w:val="00021826"/>
    <w:rsid w:val="00025ED9"/>
    <w:rsid w:val="00027C33"/>
    <w:rsid w:val="00037D05"/>
    <w:rsid w:val="000620BB"/>
    <w:rsid w:val="00071D43"/>
    <w:rsid w:val="000762DC"/>
    <w:rsid w:val="00081FE0"/>
    <w:rsid w:val="00082F22"/>
    <w:rsid w:val="00083925"/>
    <w:rsid w:val="00083B0F"/>
    <w:rsid w:val="000856C6"/>
    <w:rsid w:val="00090356"/>
    <w:rsid w:val="000A2F5F"/>
    <w:rsid w:val="000A657B"/>
    <w:rsid w:val="000B3135"/>
    <w:rsid w:val="000B3FCB"/>
    <w:rsid w:val="000B606E"/>
    <w:rsid w:val="000C0D95"/>
    <w:rsid w:val="000C10CC"/>
    <w:rsid w:val="000C3159"/>
    <w:rsid w:val="000C604D"/>
    <w:rsid w:val="000D20AD"/>
    <w:rsid w:val="000D2A50"/>
    <w:rsid w:val="000D3C5B"/>
    <w:rsid w:val="000D4204"/>
    <w:rsid w:val="000D633E"/>
    <w:rsid w:val="000E573C"/>
    <w:rsid w:val="000F00AD"/>
    <w:rsid w:val="000F2A13"/>
    <w:rsid w:val="000F4106"/>
    <w:rsid w:val="000F50DD"/>
    <w:rsid w:val="000F5C29"/>
    <w:rsid w:val="000F5C4B"/>
    <w:rsid w:val="000F70E3"/>
    <w:rsid w:val="00101B18"/>
    <w:rsid w:val="00120A96"/>
    <w:rsid w:val="001229E0"/>
    <w:rsid w:val="00122A32"/>
    <w:rsid w:val="00122A56"/>
    <w:rsid w:val="00131240"/>
    <w:rsid w:val="00134FEE"/>
    <w:rsid w:val="0014260A"/>
    <w:rsid w:val="001455E1"/>
    <w:rsid w:val="00146067"/>
    <w:rsid w:val="00146C6A"/>
    <w:rsid w:val="00150840"/>
    <w:rsid w:val="001563CB"/>
    <w:rsid w:val="00157F94"/>
    <w:rsid w:val="00163310"/>
    <w:rsid w:val="00163ABF"/>
    <w:rsid w:val="00164DDA"/>
    <w:rsid w:val="00164F82"/>
    <w:rsid w:val="00166A0D"/>
    <w:rsid w:val="001728C7"/>
    <w:rsid w:val="001732CB"/>
    <w:rsid w:val="0019114F"/>
    <w:rsid w:val="001916D0"/>
    <w:rsid w:val="001936F8"/>
    <w:rsid w:val="00196CD3"/>
    <w:rsid w:val="001B2614"/>
    <w:rsid w:val="001C0CDC"/>
    <w:rsid w:val="001D28AF"/>
    <w:rsid w:val="001D39CB"/>
    <w:rsid w:val="001E4B50"/>
    <w:rsid w:val="001E711C"/>
    <w:rsid w:val="001F2E59"/>
    <w:rsid w:val="00210FA7"/>
    <w:rsid w:val="002278A0"/>
    <w:rsid w:val="00241618"/>
    <w:rsid w:val="00246101"/>
    <w:rsid w:val="002462ED"/>
    <w:rsid w:val="002478A0"/>
    <w:rsid w:val="00251296"/>
    <w:rsid w:val="002543DD"/>
    <w:rsid w:val="00255CC1"/>
    <w:rsid w:val="002642C6"/>
    <w:rsid w:val="00264668"/>
    <w:rsid w:val="00265783"/>
    <w:rsid w:val="00275C2B"/>
    <w:rsid w:val="002802F8"/>
    <w:rsid w:val="0028552B"/>
    <w:rsid w:val="0028675A"/>
    <w:rsid w:val="00294084"/>
    <w:rsid w:val="002A5D84"/>
    <w:rsid w:val="002A5E20"/>
    <w:rsid w:val="002B0D73"/>
    <w:rsid w:val="002B17B1"/>
    <w:rsid w:val="002B1EEA"/>
    <w:rsid w:val="002B3A7A"/>
    <w:rsid w:val="002C0D09"/>
    <w:rsid w:val="002C17D9"/>
    <w:rsid w:val="002C451D"/>
    <w:rsid w:val="002C72F4"/>
    <w:rsid w:val="002D1C3F"/>
    <w:rsid w:val="002D427A"/>
    <w:rsid w:val="003062D5"/>
    <w:rsid w:val="00310758"/>
    <w:rsid w:val="0031101D"/>
    <w:rsid w:val="00312BD1"/>
    <w:rsid w:val="0032170C"/>
    <w:rsid w:val="00322ABD"/>
    <w:rsid w:val="00323A55"/>
    <w:rsid w:val="00323D1D"/>
    <w:rsid w:val="00332501"/>
    <w:rsid w:val="003363FF"/>
    <w:rsid w:val="003372B0"/>
    <w:rsid w:val="00337D1C"/>
    <w:rsid w:val="0034509F"/>
    <w:rsid w:val="003557E8"/>
    <w:rsid w:val="00366D21"/>
    <w:rsid w:val="00371BED"/>
    <w:rsid w:val="00374C25"/>
    <w:rsid w:val="003846BB"/>
    <w:rsid w:val="00384886"/>
    <w:rsid w:val="00390880"/>
    <w:rsid w:val="00397A42"/>
    <w:rsid w:val="003A1564"/>
    <w:rsid w:val="003A5EBF"/>
    <w:rsid w:val="003A7C2E"/>
    <w:rsid w:val="003C0696"/>
    <w:rsid w:val="003D0666"/>
    <w:rsid w:val="003D0C39"/>
    <w:rsid w:val="003F438E"/>
    <w:rsid w:val="003F46E3"/>
    <w:rsid w:val="003F61E1"/>
    <w:rsid w:val="00400D34"/>
    <w:rsid w:val="004142F4"/>
    <w:rsid w:val="00415863"/>
    <w:rsid w:val="00421C88"/>
    <w:rsid w:val="00432ED9"/>
    <w:rsid w:val="00440C93"/>
    <w:rsid w:val="00445093"/>
    <w:rsid w:val="00463502"/>
    <w:rsid w:val="004647F2"/>
    <w:rsid w:val="0048069E"/>
    <w:rsid w:val="00480B84"/>
    <w:rsid w:val="00483667"/>
    <w:rsid w:val="004862FE"/>
    <w:rsid w:val="00493CDC"/>
    <w:rsid w:val="004A0E90"/>
    <w:rsid w:val="004A333E"/>
    <w:rsid w:val="004A4D30"/>
    <w:rsid w:val="004C0C29"/>
    <w:rsid w:val="004C1A25"/>
    <w:rsid w:val="004C63DA"/>
    <w:rsid w:val="004D38FB"/>
    <w:rsid w:val="004E0F29"/>
    <w:rsid w:val="004E5153"/>
    <w:rsid w:val="004F33FE"/>
    <w:rsid w:val="00515991"/>
    <w:rsid w:val="005225EC"/>
    <w:rsid w:val="00522685"/>
    <w:rsid w:val="0052730D"/>
    <w:rsid w:val="00532BA5"/>
    <w:rsid w:val="0054460F"/>
    <w:rsid w:val="00566DAC"/>
    <w:rsid w:val="00567612"/>
    <w:rsid w:val="005704B8"/>
    <w:rsid w:val="005705C6"/>
    <w:rsid w:val="00570B3E"/>
    <w:rsid w:val="0057404E"/>
    <w:rsid w:val="00576382"/>
    <w:rsid w:val="00587702"/>
    <w:rsid w:val="0059128B"/>
    <w:rsid w:val="00592526"/>
    <w:rsid w:val="005A30DE"/>
    <w:rsid w:val="005A57AF"/>
    <w:rsid w:val="005B4DE7"/>
    <w:rsid w:val="005B7E2C"/>
    <w:rsid w:val="005C2366"/>
    <w:rsid w:val="005C2560"/>
    <w:rsid w:val="005C2D07"/>
    <w:rsid w:val="005C3B55"/>
    <w:rsid w:val="005C5C2E"/>
    <w:rsid w:val="005D57F4"/>
    <w:rsid w:val="005E2EB0"/>
    <w:rsid w:val="005E7608"/>
    <w:rsid w:val="005E76F5"/>
    <w:rsid w:val="005F1F5F"/>
    <w:rsid w:val="006137DD"/>
    <w:rsid w:val="0061668E"/>
    <w:rsid w:val="0062117D"/>
    <w:rsid w:val="00627114"/>
    <w:rsid w:val="00635601"/>
    <w:rsid w:val="00650D49"/>
    <w:rsid w:val="00661E83"/>
    <w:rsid w:val="00671389"/>
    <w:rsid w:val="00685D1F"/>
    <w:rsid w:val="006A0739"/>
    <w:rsid w:val="006B13D5"/>
    <w:rsid w:val="006B5A4C"/>
    <w:rsid w:val="006B7576"/>
    <w:rsid w:val="006C01CB"/>
    <w:rsid w:val="006C1B14"/>
    <w:rsid w:val="006C292A"/>
    <w:rsid w:val="006C56F9"/>
    <w:rsid w:val="006D0801"/>
    <w:rsid w:val="006D7D1F"/>
    <w:rsid w:val="006E2759"/>
    <w:rsid w:val="006E4884"/>
    <w:rsid w:val="006E50AD"/>
    <w:rsid w:val="006E6CA9"/>
    <w:rsid w:val="006F6EFE"/>
    <w:rsid w:val="007063FB"/>
    <w:rsid w:val="00712AF9"/>
    <w:rsid w:val="00731BD0"/>
    <w:rsid w:val="007459AE"/>
    <w:rsid w:val="00745E5A"/>
    <w:rsid w:val="00746E4B"/>
    <w:rsid w:val="007511D2"/>
    <w:rsid w:val="007531A5"/>
    <w:rsid w:val="0076148F"/>
    <w:rsid w:val="00761622"/>
    <w:rsid w:val="007637A0"/>
    <w:rsid w:val="00771C9E"/>
    <w:rsid w:val="007753FC"/>
    <w:rsid w:val="00780E87"/>
    <w:rsid w:val="007845F5"/>
    <w:rsid w:val="00787C61"/>
    <w:rsid w:val="0079213D"/>
    <w:rsid w:val="007A4C41"/>
    <w:rsid w:val="007C02CA"/>
    <w:rsid w:val="007C3F4E"/>
    <w:rsid w:val="007D0193"/>
    <w:rsid w:val="007D361B"/>
    <w:rsid w:val="007E1342"/>
    <w:rsid w:val="007E2E7A"/>
    <w:rsid w:val="0080393B"/>
    <w:rsid w:val="00803DE8"/>
    <w:rsid w:val="008053A8"/>
    <w:rsid w:val="008104AB"/>
    <w:rsid w:val="00816B27"/>
    <w:rsid w:val="0082045E"/>
    <w:rsid w:val="00821B40"/>
    <w:rsid w:val="008222A3"/>
    <w:rsid w:val="008236B4"/>
    <w:rsid w:val="00832E67"/>
    <w:rsid w:val="0083441A"/>
    <w:rsid w:val="00840B90"/>
    <w:rsid w:val="00842271"/>
    <w:rsid w:val="00844C5B"/>
    <w:rsid w:val="00852DD4"/>
    <w:rsid w:val="008549AE"/>
    <w:rsid w:val="00857DA0"/>
    <w:rsid w:val="008865DD"/>
    <w:rsid w:val="008866CD"/>
    <w:rsid w:val="008908E4"/>
    <w:rsid w:val="00893F52"/>
    <w:rsid w:val="008940CF"/>
    <w:rsid w:val="0089543A"/>
    <w:rsid w:val="008A5737"/>
    <w:rsid w:val="008B45F1"/>
    <w:rsid w:val="008B482A"/>
    <w:rsid w:val="008C1C05"/>
    <w:rsid w:val="008D0446"/>
    <w:rsid w:val="008D1386"/>
    <w:rsid w:val="008E2674"/>
    <w:rsid w:val="008E49DB"/>
    <w:rsid w:val="00913C01"/>
    <w:rsid w:val="00917DD1"/>
    <w:rsid w:val="00917F00"/>
    <w:rsid w:val="00926380"/>
    <w:rsid w:val="00935932"/>
    <w:rsid w:val="00946D44"/>
    <w:rsid w:val="00957937"/>
    <w:rsid w:val="009618B6"/>
    <w:rsid w:val="00967073"/>
    <w:rsid w:val="00986B7F"/>
    <w:rsid w:val="00986F08"/>
    <w:rsid w:val="00993CB7"/>
    <w:rsid w:val="00995032"/>
    <w:rsid w:val="0099677E"/>
    <w:rsid w:val="009A219F"/>
    <w:rsid w:val="009A4759"/>
    <w:rsid w:val="009B0BB4"/>
    <w:rsid w:val="009C4E47"/>
    <w:rsid w:val="009D00EA"/>
    <w:rsid w:val="009D0307"/>
    <w:rsid w:val="009D0552"/>
    <w:rsid w:val="009D6ABA"/>
    <w:rsid w:val="009D6E04"/>
    <w:rsid w:val="009D7D65"/>
    <w:rsid w:val="009E07E2"/>
    <w:rsid w:val="009E2760"/>
    <w:rsid w:val="009E5411"/>
    <w:rsid w:val="009E64AA"/>
    <w:rsid w:val="009F29F4"/>
    <w:rsid w:val="009F4E0F"/>
    <w:rsid w:val="009F5ECB"/>
    <w:rsid w:val="009F78C2"/>
    <w:rsid w:val="00A049C3"/>
    <w:rsid w:val="00A11B8A"/>
    <w:rsid w:val="00A14CB0"/>
    <w:rsid w:val="00A2494D"/>
    <w:rsid w:val="00A35951"/>
    <w:rsid w:val="00A35B15"/>
    <w:rsid w:val="00A370C1"/>
    <w:rsid w:val="00A372CF"/>
    <w:rsid w:val="00A37637"/>
    <w:rsid w:val="00A4023A"/>
    <w:rsid w:val="00A45E44"/>
    <w:rsid w:val="00A52745"/>
    <w:rsid w:val="00A548C1"/>
    <w:rsid w:val="00A57E6C"/>
    <w:rsid w:val="00A63BB5"/>
    <w:rsid w:val="00A6519A"/>
    <w:rsid w:val="00A664C3"/>
    <w:rsid w:val="00A67686"/>
    <w:rsid w:val="00A83A06"/>
    <w:rsid w:val="00A84FDA"/>
    <w:rsid w:val="00A92542"/>
    <w:rsid w:val="00AA2624"/>
    <w:rsid w:val="00AA7D60"/>
    <w:rsid w:val="00AB0B7D"/>
    <w:rsid w:val="00AB1859"/>
    <w:rsid w:val="00AC0D23"/>
    <w:rsid w:val="00AC6593"/>
    <w:rsid w:val="00AD061C"/>
    <w:rsid w:val="00AD2C01"/>
    <w:rsid w:val="00AD5F2F"/>
    <w:rsid w:val="00B001CA"/>
    <w:rsid w:val="00B101E5"/>
    <w:rsid w:val="00B20CB0"/>
    <w:rsid w:val="00B226A1"/>
    <w:rsid w:val="00B22810"/>
    <w:rsid w:val="00B30172"/>
    <w:rsid w:val="00B30271"/>
    <w:rsid w:val="00B3266D"/>
    <w:rsid w:val="00B343D4"/>
    <w:rsid w:val="00B354E8"/>
    <w:rsid w:val="00B4438C"/>
    <w:rsid w:val="00B452D4"/>
    <w:rsid w:val="00B508A8"/>
    <w:rsid w:val="00B571D3"/>
    <w:rsid w:val="00B57769"/>
    <w:rsid w:val="00B71F06"/>
    <w:rsid w:val="00B723AE"/>
    <w:rsid w:val="00B74A08"/>
    <w:rsid w:val="00B858D5"/>
    <w:rsid w:val="00B9556A"/>
    <w:rsid w:val="00BA07EC"/>
    <w:rsid w:val="00BA0E71"/>
    <w:rsid w:val="00BA6E7C"/>
    <w:rsid w:val="00BB39DE"/>
    <w:rsid w:val="00BB4D86"/>
    <w:rsid w:val="00BC3FAD"/>
    <w:rsid w:val="00BD46BA"/>
    <w:rsid w:val="00BE7523"/>
    <w:rsid w:val="00C03546"/>
    <w:rsid w:val="00C04F42"/>
    <w:rsid w:val="00C052E0"/>
    <w:rsid w:val="00C05A84"/>
    <w:rsid w:val="00C1138A"/>
    <w:rsid w:val="00C13A6D"/>
    <w:rsid w:val="00C22A65"/>
    <w:rsid w:val="00C30FB3"/>
    <w:rsid w:val="00C31137"/>
    <w:rsid w:val="00C428FE"/>
    <w:rsid w:val="00C4434C"/>
    <w:rsid w:val="00C47FE2"/>
    <w:rsid w:val="00C533ED"/>
    <w:rsid w:val="00C56B77"/>
    <w:rsid w:val="00C62193"/>
    <w:rsid w:val="00C629FB"/>
    <w:rsid w:val="00C65241"/>
    <w:rsid w:val="00C671B4"/>
    <w:rsid w:val="00C81704"/>
    <w:rsid w:val="00CA625D"/>
    <w:rsid w:val="00CA7F2F"/>
    <w:rsid w:val="00CB05CD"/>
    <w:rsid w:val="00CB06FB"/>
    <w:rsid w:val="00CB4A32"/>
    <w:rsid w:val="00CB53FE"/>
    <w:rsid w:val="00CB63C5"/>
    <w:rsid w:val="00CC03AD"/>
    <w:rsid w:val="00CC15CA"/>
    <w:rsid w:val="00CC400E"/>
    <w:rsid w:val="00CD67C7"/>
    <w:rsid w:val="00CF433D"/>
    <w:rsid w:val="00D06086"/>
    <w:rsid w:val="00D13884"/>
    <w:rsid w:val="00D13E9B"/>
    <w:rsid w:val="00D27642"/>
    <w:rsid w:val="00D30EED"/>
    <w:rsid w:val="00D44569"/>
    <w:rsid w:val="00D46FAA"/>
    <w:rsid w:val="00D5000A"/>
    <w:rsid w:val="00D5012E"/>
    <w:rsid w:val="00D50804"/>
    <w:rsid w:val="00D51ADF"/>
    <w:rsid w:val="00D51C04"/>
    <w:rsid w:val="00D55D6B"/>
    <w:rsid w:val="00D65DA0"/>
    <w:rsid w:val="00D70B84"/>
    <w:rsid w:val="00D73587"/>
    <w:rsid w:val="00D83EA9"/>
    <w:rsid w:val="00D91064"/>
    <w:rsid w:val="00D93664"/>
    <w:rsid w:val="00DA4742"/>
    <w:rsid w:val="00DB7CB6"/>
    <w:rsid w:val="00DC30FB"/>
    <w:rsid w:val="00DC6C35"/>
    <w:rsid w:val="00DE4FCA"/>
    <w:rsid w:val="00DE745E"/>
    <w:rsid w:val="00DF16F7"/>
    <w:rsid w:val="00DF51DA"/>
    <w:rsid w:val="00E00189"/>
    <w:rsid w:val="00E0264A"/>
    <w:rsid w:val="00E12A52"/>
    <w:rsid w:val="00E1370D"/>
    <w:rsid w:val="00E15296"/>
    <w:rsid w:val="00E23418"/>
    <w:rsid w:val="00E343A6"/>
    <w:rsid w:val="00E42AB8"/>
    <w:rsid w:val="00E55F44"/>
    <w:rsid w:val="00E57FAF"/>
    <w:rsid w:val="00E600F4"/>
    <w:rsid w:val="00E61ABD"/>
    <w:rsid w:val="00E67CFF"/>
    <w:rsid w:val="00E7006A"/>
    <w:rsid w:val="00E7105F"/>
    <w:rsid w:val="00E72702"/>
    <w:rsid w:val="00E734DA"/>
    <w:rsid w:val="00E74161"/>
    <w:rsid w:val="00E82792"/>
    <w:rsid w:val="00E85036"/>
    <w:rsid w:val="00E9596E"/>
    <w:rsid w:val="00E96638"/>
    <w:rsid w:val="00EA2D12"/>
    <w:rsid w:val="00EB0A48"/>
    <w:rsid w:val="00EB5643"/>
    <w:rsid w:val="00EB5782"/>
    <w:rsid w:val="00EC6C8B"/>
    <w:rsid w:val="00ED14EB"/>
    <w:rsid w:val="00ED4D49"/>
    <w:rsid w:val="00ED6ACC"/>
    <w:rsid w:val="00ED7BCD"/>
    <w:rsid w:val="00EE0E2C"/>
    <w:rsid w:val="00EE37EC"/>
    <w:rsid w:val="00EE6623"/>
    <w:rsid w:val="00EF0697"/>
    <w:rsid w:val="00EF2DFA"/>
    <w:rsid w:val="00F00F7A"/>
    <w:rsid w:val="00F015C3"/>
    <w:rsid w:val="00F04893"/>
    <w:rsid w:val="00F118A6"/>
    <w:rsid w:val="00F21FB4"/>
    <w:rsid w:val="00F33546"/>
    <w:rsid w:val="00F3677B"/>
    <w:rsid w:val="00F413E2"/>
    <w:rsid w:val="00F47023"/>
    <w:rsid w:val="00F47C4D"/>
    <w:rsid w:val="00F5012D"/>
    <w:rsid w:val="00F5170E"/>
    <w:rsid w:val="00F520F8"/>
    <w:rsid w:val="00F53F75"/>
    <w:rsid w:val="00F57D7B"/>
    <w:rsid w:val="00F60182"/>
    <w:rsid w:val="00F62371"/>
    <w:rsid w:val="00F62EE0"/>
    <w:rsid w:val="00F73093"/>
    <w:rsid w:val="00F75DDF"/>
    <w:rsid w:val="00F81642"/>
    <w:rsid w:val="00F85F3B"/>
    <w:rsid w:val="00F8717A"/>
    <w:rsid w:val="00F87654"/>
    <w:rsid w:val="00F87DAD"/>
    <w:rsid w:val="00F931D2"/>
    <w:rsid w:val="00F9687E"/>
    <w:rsid w:val="00FA26AB"/>
    <w:rsid w:val="00FA366F"/>
    <w:rsid w:val="00FA3D05"/>
    <w:rsid w:val="00FA5CC9"/>
    <w:rsid w:val="00FB0A2C"/>
    <w:rsid w:val="00FB2390"/>
    <w:rsid w:val="00FC59F1"/>
    <w:rsid w:val="00FC6583"/>
    <w:rsid w:val="00FD25FD"/>
    <w:rsid w:val="00FE0013"/>
    <w:rsid w:val="00FE0E21"/>
    <w:rsid w:val="00FE432B"/>
    <w:rsid w:val="00FE69E6"/>
    <w:rsid w:val="00FF5862"/>
    <w:rsid w:val="00FF7D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580967"/>
  <w15:chartTrackingRefBased/>
  <w15:docId w15:val="{B7965B33-13A5-4141-B6D7-3280C895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A0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74A0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74A0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74A0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74A0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74A0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74A0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74A0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74A0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74A0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74A08"/>
    <w:pPr>
      <w:keepNext/>
      <w:keepLines/>
      <w:suppressAutoHyphens/>
      <w:spacing w:line="270" w:lineRule="exact"/>
      <w:outlineLvl w:val="0"/>
    </w:pPr>
    <w:rPr>
      <w:b/>
      <w:sz w:val="24"/>
    </w:rPr>
  </w:style>
  <w:style w:type="paragraph" w:customStyle="1" w:styleId="HCH">
    <w:name w:val="_ H _CH"/>
    <w:basedOn w:val="H1"/>
    <w:next w:val="Normal"/>
    <w:qFormat/>
    <w:rsid w:val="00B74A08"/>
    <w:pPr>
      <w:spacing w:line="300" w:lineRule="exact"/>
    </w:pPr>
    <w:rPr>
      <w:spacing w:val="-2"/>
      <w:sz w:val="28"/>
    </w:rPr>
  </w:style>
  <w:style w:type="paragraph" w:customStyle="1" w:styleId="HM">
    <w:name w:val="_ H __M"/>
    <w:basedOn w:val="HCH"/>
    <w:next w:val="Normal"/>
    <w:qFormat/>
    <w:rsid w:val="00B74A08"/>
    <w:pPr>
      <w:spacing w:line="360" w:lineRule="exact"/>
    </w:pPr>
    <w:rPr>
      <w:spacing w:val="-3"/>
      <w:w w:val="99"/>
      <w:sz w:val="34"/>
    </w:rPr>
  </w:style>
  <w:style w:type="paragraph" w:customStyle="1" w:styleId="H23">
    <w:name w:val="_ H_2/3"/>
    <w:basedOn w:val="H1"/>
    <w:next w:val="SingleTxt"/>
    <w:qFormat/>
    <w:rsid w:val="00B74A08"/>
    <w:pPr>
      <w:spacing w:line="240" w:lineRule="exact"/>
      <w:outlineLvl w:val="1"/>
    </w:pPr>
    <w:rPr>
      <w:spacing w:val="2"/>
      <w:sz w:val="20"/>
    </w:rPr>
  </w:style>
  <w:style w:type="paragraph" w:customStyle="1" w:styleId="H4">
    <w:name w:val="_ H_4"/>
    <w:basedOn w:val="Normal"/>
    <w:next w:val="Normal"/>
    <w:qFormat/>
    <w:rsid w:val="00B74A08"/>
    <w:pPr>
      <w:keepNext/>
      <w:keepLines/>
      <w:tabs>
        <w:tab w:val="right" w:pos="360"/>
      </w:tabs>
      <w:suppressAutoHyphens/>
      <w:outlineLvl w:val="3"/>
    </w:pPr>
    <w:rPr>
      <w:i/>
      <w:spacing w:val="3"/>
    </w:rPr>
  </w:style>
  <w:style w:type="paragraph" w:customStyle="1" w:styleId="H56">
    <w:name w:val="_ H_5/6"/>
    <w:basedOn w:val="Normal"/>
    <w:next w:val="Normal"/>
    <w:qFormat/>
    <w:rsid w:val="00B74A0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74A0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74A0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74A08"/>
    <w:pPr>
      <w:spacing w:line="540" w:lineRule="exact"/>
    </w:pPr>
    <w:rPr>
      <w:spacing w:val="-8"/>
      <w:w w:val="96"/>
      <w:sz w:val="57"/>
    </w:rPr>
  </w:style>
  <w:style w:type="paragraph" w:customStyle="1" w:styleId="SS">
    <w:name w:val="__S_S"/>
    <w:basedOn w:val="HCH"/>
    <w:next w:val="Normal"/>
    <w:qFormat/>
    <w:rsid w:val="00B74A08"/>
    <w:pPr>
      <w:ind w:left="1267" w:right="1267"/>
    </w:pPr>
  </w:style>
  <w:style w:type="paragraph" w:customStyle="1" w:styleId="SingleTxt">
    <w:name w:val="__Single Txt"/>
    <w:basedOn w:val="Normal"/>
    <w:link w:val="SingleTxtChar"/>
    <w:qFormat/>
    <w:rsid w:val="00B74A0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74A0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B74A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74A0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74A0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4A0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74A08"/>
    <w:pPr>
      <w:numPr>
        <w:numId w:val="1"/>
      </w:numPr>
      <w:spacing w:after="120"/>
      <w:ind w:right="1267"/>
      <w:jc w:val="both"/>
    </w:pPr>
  </w:style>
  <w:style w:type="paragraph" w:customStyle="1" w:styleId="Bullet2">
    <w:name w:val="Bullet 2"/>
    <w:basedOn w:val="Normal"/>
    <w:qFormat/>
    <w:rsid w:val="00B74A08"/>
    <w:pPr>
      <w:numPr>
        <w:numId w:val="2"/>
      </w:numPr>
      <w:spacing w:after="120"/>
      <w:ind w:right="1264"/>
      <w:jc w:val="both"/>
    </w:pPr>
  </w:style>
  <w:style w:type="paragraph" w:customStyle="1" w:styleId="Bullet3">
    <w:name w:val="Bullet 3"/>
    <w:basedOn w:val="SingleTxt"/>
    <w:qFormat/>
    <w:rsid w:val="00B74A0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74A0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74A0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74A08"/>
    <w:pPr>
      <w:spacing w:line="210" w:lineRule="exact"/>
    </w:pPr>
    <w:rPr>
      <w:sz w:val="17"/>
      <w:szCs w:val="20"/>
    </w:rPr>
  </w:style>
  <w:style w:type="character" w:customStyle="1" w:styleId="EndnoteTextChar">
    <w:name w:val="Endnote Text Char"/>
    <w:link w:val="EndnoteText"/>
    <w:uiPriority w:val="99"/>
    <w:semiHidden/>
    <w:rsid w:val="00B74A0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74A0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74A0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B74A0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74A08"/>
    <w:pPr>
      <w:spacing w:line="210" w:lineRule="exact"/>
    </w:pPr>
    <w:rPr>
      <w:sz w:val="17"/>
      <w:szCs w:val="20"/>
    </w:rPr>
  </w:style>
  <w:style w:type="character" w:customStyle="1" w:styleId="FootnoteTextChar">
    <w:name w:val="Footnote Text Char"/>
    <w:link w:val="FootnoteText"/>
    <w:uiPriority w:val="99"/>
    <w:rsid w:val="00B74A0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74A0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74A0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74A0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74A0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74A0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74A0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74A0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74A0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74A0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74A0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74A0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74A08"/>
    <w:rPr>
      <w:sz w:val="14"/>
    </w:rPr>
  </w:style>
  <w:style w:type="paragraph" w:styleId="ListParagraph">
    <w:name w:val="List Paragraph"/>
    <w:basedOn w:val="Normal"/>
    <w:uiPriority w:val="34"/>
    <w:qFormat/>
    <w:rsid w:val="00B74A08"/>
    <w:pPr>
      <w:ind w:left="720"/>
      <w:contextualSpacing/>
    </w:pPr>
  </w:style>
  <w:style w:type="paragraph" w:styleId="NoSpacing">
    <w:name w:val="No Spacing"/>
    <w:uiPriority w:val="1"/>
    <w:rsid w:val="00B74A0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74A0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74A0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74A0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74A08"/>
    <w:pPr>
      <w:tabs>
        <w:tab w:val="right" w:pos="9965"/>
      </w:tabs>
      <w:spacing w:line="210" w:lineRule="exact"/>
    </w:pPr>
    <w:rPr>
      <w:spacing w:val="5"/>
      <w:w w:val="104"/>
      <w:sz w:val="17"/>
    </w:rPr>
  </w:style>
  <w:style w:type="paragraph" w:customStyle="1" w:styleId="SmallX">
    <w:name w:val="SmallX"/>
    <w:basedOn w:val="Small"/>
    <w:next w:val="Normal"/>
    <w:qFormat/>
    <w:rsid w:val="00B74A08"/>
    <w:pPr>
      <w:spacing w:line="180" w:lineRule="exact"/>
      <w:jc w:val="right"/>
    </w:pPr>
    <w:rPr>
      <w:spacing w:val="6"/>
      <w:w w:val="106"/>
      <w:sz w:val="14"/>
    </w:rPr>
  </w:style>
  <w:style w:type="character" w:styleId="Strong">
    <w:name w:val="Strong"/>
    <w:uiPriority w:val="22"/>
    <w:rsid w:val="00B74A08"/>
    <w:rPr>
      <w:b/>
      <w:bCs/>
    </w:rPr>
  </w:style>
  <w:style w:type="paragraph" w:customStyle="1" w:styleId="Style1">
    <w:name w:val="Style1"/>
    <w:basedOn w:val="Normal"/>
    <w:qFormat/>
    <w:rsid w:val="00B74A08"/>
  </w:style>
  <w:style w:type="paragraph" w:customStyle="1" w:styleId="Style2">
    <w:name w:val="Style2"/>
    <w:basedOn w:val="Normal"/>
    <w:autoRedefine/>
    <w:qFormat/>
    <w:rsid w:val="00B74A08"/>
  </w:style>
  <w:style w:type="paragraph" w:customStyle="1" w:styleId="TitleHCH">
    <w:name w:val="Title_H_CH"/>
    <w:basedOn w:val="H1"/>
    <w:next w:val="Normal"/>
    <w:qFormat/>
    <w:rsid w:val="00B74A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74A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74A0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table" w:styleId="TableGrid">
    <w:name w:val="Table Grid"/>
    <w:basedOn w:val="TableNormal"/>
    <w:rsid w:val="0083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41A"/>
    <w:rPr>
      <w:sz w:val="16"/>
      <w:szCs w:val="16"/>
    </w:rPr>
  </w:style>
  <w:style w:type="paragraph" w:styleId="CommentText">
    <w:name w:val="annotation text"/>
    <w:basedOn w:val="Normal"/>
    <w:link w:val="CommentTextChar"/>
    <w:uiPriority w:val="99"/>
    <w:semiHidden/>
    <w:unhideWhenUsed/>
    <w:rsid w:val="0083441A"/>
    <w:pPr>
      <w:spacing w:line="240" w:lineRule="auto"/>
    </w:pPr>
    <w:rPr>
      <w:szCs w:val="20"/>
    </w:rPr>
  </w:style>
  <w:style w:type="character" w:customStyle="1" w:styleId="CommentTextChar">
    <w:name w:val="Comment Text Char"/>
    <w:basedOn w:val="DefaultParagraphFont"/>
    <w:link w:val="CommentText"/>
    <w:uiPriority w:val="99"/>
    <w:semiHidden/>
    <w:rsid w:val="0083441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3441A"/>
    <w:rPr>
      <w:b/>
      <w:bCs/>
    </w:rPr>
  </w:style>
  <w:style w:type="character" w:customStyle="1" w:styleId="CommentSubjectChar">
    <w:name w:val="Comment Subject Char"/>
    <w:basedOn w:val="CommentTextChar"/>
    <w:link w:val="CommentSubject"/>
    <w:uiPriority w:val="99"/>
    <w:semiHidden/>
    <w:rsid w:val="0083441A"/>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Normal"/>
    <w:next w:val="SingleTxt"/>
    <w:rsid w:val="00CA62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sz w:val="28"/>
      <w:szCs w:val="20"/>
      <w:lang w:val="en-GB"/>
    </w:rPr>
  </w:style>
  <w:style w:type="character" w:customStyle="1" w:styleId="SingleTxtChar">
    <w:name w:val="__Single Txt Char"/>
    <w:link w:val="SingleTxt"/>
    <w:rsid w:val="006E6CA9"/>
    <w:rPr>
      <w:rFonts w:ascii="Times New Roman" w:eastAsiaTheme="minorHAnsi" w:hAnsi="Times New Roman" w:cs="Times New Roman"/>
      <w:spacing w:val="4"/>
      <w:w w:val="103"/>
      <w:kern w:val="14"/>
      <w:sz w:val="20"/>
      <w:lang w:val="fr-CA" w:eastAsia="en-US"/>
    </w:rPr>
  </w:style>
  <w:style w:type="paragraph" w:customStyle="1" w:styleId="HChG">
    <w:name w:val="_ H _Ch_G"/>
    <w:basedOn w:val="Normal"/>
    <w:next w:val="Normal"/>
    <w:qFormat/>
    <w:rsid w:val="000D2A50"/>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H1G">
    <w:name w:val="_ H_1_G"/>
    <w:basedOn w:val="Normal"/>
    <w:next w:val="Normal"/>
    <w:qFormat/>
    <w:rsid w:val="000D2A50"/>
    <w:pPr>
      <w:keepNext/>
      <w:keepLines/>
      <w:tabs>
        <w:tab w:val="right" w:pos="851"/>
      </w:tabs>
      <w:suppressAutoHyphens/>
      <w:spacing w:before="360" w:after="240" w:line="270" w:lineRule="exact"/>
      <w:ind w:left="1134" w:right="1134" w:hanging="1134"/>
    </w:pPr>
    <w:rPr>
      <w:b/>
      <w:sz w:val="24"/>
      <w:szCs w:val="20"/>
      <w:lang w:val="en-GB"/>
    </w:rPr>
  </w:style>
  <w:style w:type="paragraph" w:customStyle="1" w:styleId="SingleTxtG">
    <w:name w:val="_ Single Txt_G"/>
    <w:basedOn w:val="Normal"/>
    <w:link w:val="SingleTxtGChar"/>
    <w:qFormat/>
    <w:rsid w:val="000D2A50"/>
    <w:pPr>
      <w:suppressAutoHyphens/>
      <w:spacing w:after="120"/>
      <w:ind w:left="1134" w:right="1134"/>
      <w:jc w:val="both"/>
    </w:pPr>
    <w:rPr>
      <w:szCs w:val="20"/>
      <w:lang w:val="en-GB"/>
    </w:rPr>
  </w:style>
  <w:style w:type="paragraph" w:customStyle="1" w:styleId="H23G">
    <w:name w:val="_ H_2/3_G"/>
    <w:basedOn w:val="Normal"/>
    <w:next w:val="Normal"/>
    <w:qFormat/>
    <w:rsid w:val="000D2A50"/>
    <w:pPr>
      <w:keepNext/>
      <w:keepLines/>
      <w:tabs>
        <w:tab w:val="right" w:pos="851"/>
      </w:tabs>
      <w:suppressAutoHyphens/>
      <w:spacing w:before="240" w:after="120"/>
      <w:ind w:left="1134" w:right="1134" w:hanging="1134"/>
    </w:pPr>
    <w:rPr>
      <w:b/>
      <w:szCs w:val="20"/>
      <w:lang w:val="en-GB"/>
    </w:rPr>
  </w:style>
  <w:style w:type="character" w:customStyle="1" w:styleId="SingleTxtGChar">
    <w:name w:val="_ Single Txt_G Char"/>
    <w:link w:val="SingleTxtG"/>
    <w:locked/>
    <w:rsid w:val="000D2A50"/>
    <w:rPr>
      <w:rFonts w:ascii="Times New Roman" w:eastAsiaTheme="minorHAnsi" w:hAnsi="Times New Roman" w:cs="Times New Roman"/>
      <w:spacing w:val="4"/>
      <w:w w:val="103"/>
      <w:kern w:val="14"/>
      <w:sz w:val="20"/>
      <w:szCs w:val="20"/>
      <w:lang w:eastAsia="en-US"/>
    </w:rPr>
  </w:style>
  <w:style w:type="character" w:styleId="Hyperlink">
    <w:name w:val="Hyperlink"/>
    <w:basedOn w:val="DefaultParagraphFont"/>
    <w:uiPriority w:val="99"/>
    <w:unhideWhenUsed/>
    <w:rsid w:val="004C0C29"/>
    <w:rPr>
      <w:color w:val="0000FF" w:themeColor="hyperlink"/>
      <w:u w:val="none"/>
    </w:rPr>
  </w:style>
  <w:style w:type="paragraph" w:customStyle="1" w:styleId="Bullet1G">
    <w:name w:val="_Bullet 1_G"/>
    <w:basedOn w:val="Normal"/>
    <w:qFormat/>
    <w:rsid w:val="00A372CF"/>
    <w:pPr>
      <w:numPr>
        <w:numId w:val="12"/>
      </w:numPr>
      <w:suppressAutoHyphens/>
      <w:spacing w:after="120"/>
      <w:ind w:right="1134"/>
      <w:jc w:val="both"/>
    </w:pPr>
    <w:rPr>
      <w:szCs w:val="20"/>
      <w:lang w:val="en-GB"/>
    </w:rPr>
  </w:style>
  <w:style w:type="character" w:customStyle="1" w:styleId="preferred">
    <w:name w:val="preferred"/>
    <w:basedOn w:val="DefaultParagraphFont"/>
    <w:rsid w:val="00A372CF"/>
  </w:style>
  <w:style w:type="character" w:styleId="Emphasis">
    <w:name w:val="Emphasis"/>
    <w:basedOn w:val="DefaultParagraphFont"/>
    <w:uiPriority w:val="20"/>
    <w:qFormat/>
    <w:rsid w:val="00A372CF"/>
    <w:rPr>
      <w:i/>
      <w:iCs/>
    </w:rPr>
  </w:style>
  <w:style w:type="character" w:styleId="UnresolvedMention">
    <w:name w:val="Unresolved Mention"/>
    <w:basedOn w:val="DefaultParagraphFont"/>
    <w:uiPriority w:val="99"/>
    <w:semiHidden/>
    <w:unhideWhenUsed/>
    <w:rsid w:val="00A372CF"/>
    <w:rPr>
      <w:color w:val="808080"/>
      <w:shd w:val="clear" w:color="auto" w:fill="E6E6E6"/>
    </w:rPr>
  </w:style>
  <w:style w:type="character" w:styleId="FollowedHyperlink">
    <w:name w:val="FollowedHyperlink"/>
    <w:basedOn w:val="DefaultParagraphFont"/>
    <w:uiPriority w:val="99"/>
    <w:semiHidden/>
    <w:unhideWhenUsed/>
    <w:rsid w:val="008E2674"/>
    <w:rPr>
      <w:color w:val="0000FF"/>
      <w:u w:val="none"/>
    </w:rPr>
  </w:style>
  <w:style w:type="paragraph" w:styleId="Revision">
    <w:name w:val="Revision"/>
    <w:hidden/>
    <w:uiPriority w:val="99"/>
    <w:semiHidden/>
    <w:rsid w:val="007845F5"/>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fr/CEDAW/C/PSWG/67/1" TargetMode="External"/><Relationship Id="rId117" Type="http://schemas.openxmlformats.org/officeDocument/2006/relationships/hyperlink" Target="https://undocs.org/fr/CEDAW/C/HRV/CO/4-5/Add.1" TargetMode="External"/><Relationship Id="rId21" Type="http://schemas.openxmlformats.org/officeDocument/2006/relationships/footer" Target="footer4.xml"/><Relationship Id="rId42" Type="http://schemas.openxmlformats.org/officeDocument/2006/relationships/hyperlink" Target="https://undocs.org/fr/CEDAW/C/SLB/CO/1-3/Add.1" TargetMode="External"/><Relationship Id="rId47" Type="http://schemas.openxmlformats.org/officeDocument/2006/relationships/hyperlink" Target="https://undocs.org/fr/CEDAW/C/67/D/78/2014" TargetMode="External"/><Relationship Id="rId63" Type="http://schemas.openxmlformats.org/officeDocument/2006/relationships/hyperlink" Target="https://undocs.org/fr/A/68/38" TargetMode="External"/><Relationship Id="rId68" Type="http://schemas.openxmlformats.org/officeDocument/2006/relationships/hyperlink" Target="https://undocs.org/fr/CEDAW/C/GTM/CO/8-9" TargetMode="External"/><Relationship Id="rId84" Type="http://schemas.openxmlformats.org/officeDocument/2006/relationships/hyperlink" Target="https://undocs.org/fr/CEDAW/C/68/D/95/2015" TargetMode="External"/><Relationship Id="rId89" Type="http://schemas.openxmlformats.org/officeDocument/2006/relationships/hyperlink" Target="https://undocs.org/fr/CEDAW/C/68/3" TargetMode="External"/><Relationship Id="rId112" Type="http://schemas.openxmlformats.org/officeDocument/2006/relationships/hyperlink" Target="https://undocs.org/fr/CEDAW/C/MHL/CO/1-3" TargetMode="External"/><Relationship Id="rId133" Type="http://schemas.openxmlformats.org/officeDocument/2006/relationships/hyperlink" Target="https://undocs.org/fr/CEDAW/C/69/3" TargetMode="External"/><Relationship Id="rId138" Type="http://schemas.openxmlformats.org/officeDocument/2006/relationships/hyperlink" Target="https://undocs.org/fr/CEDAW/C/MHL/1-3" TargetMode="External"/><Relationship Id="rId16" Type="http://schemas.openxmlformats.org/officeDocument/2006/relationships/header" Target="header4.xml"/><Relationship Id="rId107" Type="http://schemas.openxmlformats.org/officeDocument/2006/relationships/hyperlink" Target="https://undocs.org/fr/CEDAW/C/69/1" TargetMode="External"/><Relationship Id="rId11" Type="http://schemas.microsoft.com/office/2011/relationships/commentsExtended" Target="commentsExtended.xml"/><Relationship Id="rId32" Type="http://schemas.openxmlformats.org/officeDocument/2006/relationships/hyperlink" Target="https://undocs.org/fr/CEDAW/C/NGA/CO/7-8" TargetMode="External"/><Relationship Id="rId37" Type="http://schemas.openxmlformats.org/officeDocument/2006/relationships/hyperlink" Target="https://undocs.org/fr/CEDAW/C/DEN/CO/8/Add.1" TargetMode="External"/><Relationship Id="rId53" Type="http://schemas.openxmlformats.org/officeDocument/2006/relationships/hyperlink" Target="https://undocs.org/fr/CEDAW/C/CRI/7" TargetMode="External"/><Relationship Id="rId58" Type="http://schemas.openxmlformats.org/officeDocument/2006/relationships/hyperlink" Target="https://undocs.org/fr/CEDAW/C/ROU/7" TargetMode="External"/><Relationship Id="rId74" Type="http://schemas.openxmlformats.org/officeDocument/2006/relationships/hyperlink" Target="https://undocs.org/fr/CEDAW/C/NOR/CO/9" TargetMode="External"/><Relationship Id="rId79" Type="http://schemas.openxmlformats.org/officeDocument/2006/relationships/hyperlink" Target="https://undocs.org/fr/CEDAW/C/BRN/CO/1-2/Add.1" TargetMode="External"/><Relationship Id="rId102" Type="http://schemas.openxmlformats.org/officeDocument/2006/relationships/hyperlink" Target="https://undocs.org/fr/CEDAW/C/GC/37" TargetMode="External"/><Relationship Id="rId123" Type="http://schemas.openxmlformats.org/officeDocument/2006/relationships/hyperlink" Target="https://undocs.org/fr/CEDAW/C/POL/CO/7-8/Add.1" TargetMode="External"/><Relationship Id="rId128" Type="http://schemas.openxmlformats.org/officeDocument/2006/relationships/hyperlink" Target="https://undocs.org/fr/CEDAW/C/69/D/85/2015"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undocs.org/fr/CEDAW/C/BFA/7" TargetMode="External"/><Relationship Id="rId95" Type="http://schemas.openxmlformats.org/officeDocument/2006/relationships/hyperlink" Target="https://undocs.org/fr/CEDAW/C/KWT/5" TargetMode="External"/><Relationship Id="rId22" Type="http://schemas.openxmlformats.org/officeDocument/2006/relationships/footer" Target="footer5.xml"/><Relationship Id="rId27" Type="http://schemas.openxmlformats.org/officeDocument/2006/relationships/hyperlink" Target="https://undocs.org/fr/CEDAW/C/BRB/CO/5-8" TargetMode="External"/><Relationship Id="rId43" Type="http://schemas.openxmlformats.org/officeDocument/2006/relationships/hyperlink" Target="https://undocs.org/fr/CEDAW/C/SWZ/CO/1-2/Add.1" TargetMode="External"/><Relationship Id="rId48" Type="http://schemas.openxmlformats.org/officeDocument/2006/relationships/hyperlink" Target="https://undocs.org/fr/CEDAW/C/GC/35" TargetMode="External"/><Relationship Id="rId64" Type="http://schemas.openxmlformats.org/officeDocument/2006/relationships/hyperlink" Target="https://undocs.org/fr/CEDAW/C/68/1" TargetMode="External"/><Relationship Id="rId69" Type="http://schemas.openxmlformats.org/officeDocument/2006/relationships/hyperlink" Target="https://undocs.org/fr/CEDAW/C/ISR/CO/6" TargetMode="External"/><Relationship Id="rId113" Type="http://schemas.openxmlformats.org/officeDocument/2006/relationships/hyperlink" Target="https://undocs.org/fr/CEDAW/C/LUX/CO/6-7" TargetMode="External"/><Relationship Id="rId118" Type="http://schemas.openxmlformats.org/officeDocument/2006/relationships/hyperlink" Target="https://undocs.org/fr/CEDAW/C/BOL/CO/5-6/Add.1" TargetMode="External"/><Relationship Id="rId134" Type="http://schemas.openxmlformats.org/officeDocument/2006/relationships/hyperlink" Target="https://undocs.org/fr/CEDAW/C/CHL/7" TargetMode="External"/><Relationship Id="rId139" Type="http://schemas.openxmlformats.org/officeDocument/2006/relationships/hyperlink" Target="https://undocs.org/fr/CEDAW/C/KOR/8" TargetMode="External"/><Relationship Id="rId8" Type="http://schemas.openxmlformats.org/officeDocument/2006/relationships/hyperlink" Target="https://undocs.org/fr/A/73/38" TargetMode="External"/><Relationship Id="rId51" Type="http://schemas.openxmlformats.org/officeDocument/2006/relationships/hyperlink" Target="https://undocs.org/fr/CEDAW/C/67/3" TargetMode="External"/><Relationship Id="rId72" Type="http://schemas.openxmlformats.org/officeDocument/2006/relationships/hyperlink" Target="https://undocs.org/fr/CEDAW/C/MCO/CO/1-3" TargetMode="External"/><Relationship Id="rId80" Type="http://schemas.openxmlformats.org/officeDocument/2006/relationships/hyperlink" Target="https://undocs.org/fr/CEDAW/C/SVN/CO/5-6/Add.1" TargetMode="External"/><Relationship Id="rId85" Type="http://schemas.openxmlformats.org/officeDocument/2006/relationships/hyperlink" Target="https://undocs.org/fr/CEDAW/C/GC/36" TargetMode="External"/><Relationship Id="rId93" Type="http://schemas.openxmlformats.org/officeDocument/2006/relationships/hyperlink" Target="https://undocs.org/fr/CEDAW/C/ISR/6" TargetMode="External"/><Relationship Id="rId98" Type="http://schemas.openxmlformats.org/officeDocument/2006/relationships/hyperlink" Target="https://undocs.org/fr/CEDAW/C/NOR/9" TargetMode="External"/><Relationship Id="rId121" Type="http://schemas.openxmlformats.org/officeDocument/2006/relationships/hyperlink" Target="https://undocs.org/fr/CEDAW/C/NAM/CO/4" TargetMode="External"/><Relationship Id="rId142" Type="http://schemas.openxmlformats.org/officeDocument/2006/relationships/hyperlink" Target="https://undocs.org/fr/A/70/38"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undocs.org/fr/CEDAW/C/67/1" TargetMode="External"/><Relationship Id="rId33" Type="http://schemas.openxmlformats.org/officeDocument/2006/relationships/hyperlink" Target="https://undocs.org/fr/CEDAW/C/ROU/CO/7-8" TargetMode="External"/><Relationship Id="rId38" Type="http://schemas.openxmlformats.org/officeDocument/2006/relationships/hyperlink" Target="https://undocs.org/fr/CEDAW/C/ECU/CO/8-9/Add.1" TargetMode="External"/><Relationship Id="rId46" Type="http://schemas.openxmlformats.org/officeDocument/2006/relationships/hyperlink" Target="https://undocs.org/fr/CEDAW/C/67/D/77/2014" TargetMode="External"/><Relationship Id="rId59" Type="http://schemas.openxmlformats.org/officeDocument/2006/relationships/hyperlink" Target="https://undocs.org/fr/CEDAW/C/THA/6" TargetMode="External"/><Relationship Id="rId67" Type="http://schemas.openxmlformats.org/officeDocument/2006/relationships/hyperlink" Target="https://undocs.org/fr/CEDAW/C/ARM/PRK/2-4" TargetMode="External"/><Relationship Id="rId103" Type="http://schemas.openxmlformats.org/officeDocument/2006/relationships/hyperlink" Target="http://goo.gl/5AEcJT" TargetMode="External"/><Relationship Id="rId108" Type="http://schemas.openxmlformats.org/officeDocument/2006/relationships/hyperlink" Target="https://undocs.org/fr/CEDAW/C/PSWG/69/1" TargetMode="External"/><Relationship Id="rId116" Type="http://schemas.openxmlformats.org/officeDocument/2006/relationships/hyperlink" Target="https://undocs.org/fr/CEDAW/C/SUR/CO/4-6" TargetMode="External"/><Relationship Id="rId124" Type="http://schemas.openxmlformats.org/officeDocument/2006/relationships/hyperlink" Target="https://undocs.org/fr/CEDAW/C/PRT/CO/8-9/Add.1" TargetMode="External"/><Relationship Id="rId129" Type="http://schemas.openxmlformats.org/officeDocument/2006/relationships/hyperlink" Target="https://undocs.org/fr/CEDAW/C/GC/37" TargetMode="External"/><Relationship Id="rId137" Type="http://schemas.openxmlformats.org/officeDocument/2006/relationships/hyperlink" Target="https://undocs.org/fr/CEDAW/C/MAL/3-5" TargetMode="External"/><Relationship Id="rId20" Type="http://schemas.openxmlformats.org/officeDocument/2006/relationships/header" Target="header6.xml"/><Relationship Id="rId41" Type="http://schemas.openxmlformats.org/officeDocument/2006/relationships/hyperlink" Target="https://undocs.org/fr/CEDAW/C/OMN/CO/1/Add.1" TargetMode="External"/><Relationship Id="rId54" Type="http://schemas.openxmlformats.org/officeDocument/2006/relationships/hyperlink" Target="https://undocs.org/fr/CEDAW/C/ITA/7" TargetMode="External"/><Relationship Id="rId62" Type="http://schemas.openxmlformats.org/officeDocument/2006/relationships/hyperlink" Target="https://undocs.org/fr/A/68/38" TargetMode="External"/><Relationship Id="rId70" Type="http://schemas.openxmlformats.org/officeDocument/2006/relationships/hyperlink" Target="https://undocs.org/fr/CEDAW/C/KEN/CO/8" TargetMode="External"/><Relationship Id="rId75" Type="http://schemas.openxmlformats.org/officeDocument/2006/relationships/hyperlink" Target="https://undocs.org/fr/CEDAW/C/OMN/CO/2-3" TargetMode="External"/><Relationship Id="rId83" Type="http://schemas.openxmlformats.org/officeDocument/2006/relationships/hyperlink" Target="https://undocs.org/fr/CEDAW/C/68/D/79/2014" TargetMode="External"/><Relationship Id="rId88" Type="http://schemas.openxmlformats.org/officeDocument/2006/relationships/hyperlink" Target="http://undocs.org/CEDAW/C/62/2" TargetMode="External"/><Relationship Id="rId91" Type="http://schemas.openxmlformats.org/officeDocument/2006/relationships/hyperlink" Target="https://undocs.org/fr/CEDAW/C/PRK/2-4" TargetMode="External"/><Relationship Id="rId96" Type="http://schemas.openxmlformats.org/officeDocument/2006/relationships/hyperlink" Target="https://undocs.org/fr/CEDAW/C/MCO/1-3" TargetMode="External"/><Relationship Id="rId111" Type="http://schemas.openxmlformats.org/officeDocument/2006/relationships/hyperlink" Target="https://undocs.org/fr/CEDAW/C/FJI/CO/5" TargetMode="External"/><Relationship Id="rId132" Type="http://schemas.openxmlformats.org/officeDocument/2006/relationships/hyperlink" Target="https://undocs.org/fr/CEDAW/C/69/2" TargetMode="External"/><Relationship Id="rId140" Type="http://schemas.openxmlformats.org/officeDocument/2006/relationships/hyperlink" Target="https://undocs.org/fr/CEDAW/C/SAU/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undocs.org/fr/CEDAW/C/GC/35" TargetMode="External"/><Relationship Id="rId28" Type="http://schemas.openxmlformats.org/officeDocument/2006/relationships/hyperlink" Target="https://undocs.org/fr/CEDAW/C/CRI/CO/7" TargetMode="External"/><Relationship Id="rId36" Type="http://schemas.openxmlformats.org/officeDocument/2006/relationships/hyperlink" Target="https://undocs.org/fr/CEDAW/C/CHN/CO/7-8/Add.1" TargetMode="External"/><Relationship Id="rId49" Type="http://schemas.openxmlformats.org/officeDocument/2006/relationships/hyperlink" Target="https://undocs.org/fr/CEDAW/C/67/1" TargetMode="External"/><Relationship Id="rId57" Type="http://schemas.openxmlformats.org/officeDocument/2006/relationships/hyperlink" Target="https://undocs.org/fr/CEDAW/C/NGA/7" TargetMode="External"/><Relationship Id="rId106" Type="http://schemas.openxmlformats.org/officeDocument/2006/relationships/hyperlink" Target="https://undocs.org/fr/A/68/38" TargetMode="External"/><Relationship Id="rId114" Type="http://schemas.openxmlformats.org/officeDocument/2006/relationships/hyperlink" Target="https://undocs.org/fr/CEDAW/C/MAL/CO/3-5" TargetMode="External"/><Relationship Id="rId119" Type="http://schemas.openxmlformats.org/officeDocument/2006/relationships/hyperlink" Target="https://undocs.org/fr/CEDAW/C/MDV/CO/4-5/Add.1" TargetMode="External"/><Relationship Id="rId127" Type="http://schemas.openxmlformats.org/officeDocument/2006/relationships/hyperlink" Target="https://undocs.org/fr/CEDAW/C/69/D/80/2015" TargetMode="External"/><Relationship Id="rId10" Type="http://schemas.openxmlformats.org/officeDocument/2006/relationships/comments" Target="comments.xml"/><Relationship Id="rId31" Type="http://schemas.openxmlformats.org/officeDocument/2006/relationships/hyperlink" Target="https://undocs.org/fr/CEDAW/C/NER/CO/3-4" TargetMode="External"/><Relationship Id="rId44" Type="http://schemas.openxmlformats.org/officeDocument/2006/relationships/hyperlink" Target="https://undocs.org/fr/CEDAW/C/67/D/75/2014" TargetMode="External"/><Relationship Id="rId52" Type="http://schemas.openxmlformats.org/officeDocument/2006/relationships/hyperlink" Target="https://undocs.org/fr/CEDAW/C/BRB/5" TargetMode="External"/><Relationship Id="rId60" Type="http://schemas.openxmlformats.org/officeDocument/2006/relationships/hyperlink" Target="https://undocs.org/fr/CEDAW/C/GC/36" TargetMode="External"/><Relationship Id="rId65" Type="http://schemas.openxmlformats.org/officeDocument/2006/relationships/hyperlink" Target="https://undocs.org/fr/CEDAW/C/PSWG/68/1" TargetMode="External"/><Relationship Id="rId73" Type="http://schemas.openxmlformats.org/officeDocument/2006/relationships/hyperlink" Target="https://undocs.org/fr/CEDAW/C/NRU/CO/1-2" TargetMode="External"/><Relationship Id="rId78" Type="http://schemas.openxmlformats.org/officeDocument/2006/relationships/hyperlink" Target="https://undocs.org/fr/CEDAW/C/BEN/CO/4/Add.1" TargetMode="External"/><Relationship Id="rId81" Type="http://schemas.openxmlformats.org/officeDocument/2006/relationships/hyperlink" Target="https://undocs.org/fr/CEDAW/C/ESP/CO/7-8/Add.1" TargetMode="External"/><Relationship Id="rId86" Type="http://schemas.openxmlformats.org/officeDocument/2006/relationships/hyperlink" Target="https://undocs.org/fr/CEDAW/C/68/1" TargetMode="External"/><Relationship Id="rId94" Type="http://schemas.openxmlformats.org/officeDocument/2006/relationships/hyperlink" Target="https://undocs.org/fr/CEDAW/C/KEN/8" TargetMode="External"/><Relationship Id="rId99" Type="http://schemas.openxmlformats.org/officeDocument/2006/relationships/hyperlink" Target="https://undocs.org/fr/CEDAW/C/OMN/2-3" TargetMode="External"/><Relationship Id="rId101" Type="http://schemas.openxmlformats.org/officeDocument/2006/relationships/hyperlink" Target="https://undocs.org/fr/CEDAW/C/SGP/5" TargetMode="External"/><Relationship Id="rId122" Type="http://schemas.openxmlformats.org/officeDocument/2006/relationships/hyperlink" Target="https://undocs.org/fr/CEDAW/C/UZB/CO/5/Add.1" TargetMode="External"/><Relationship Id="rId130" Type="http://schemas.openxmlformats.org/officeDocument/2006/relationships/hyperlink" Target="https://undocs.org/fr/HRI/GEN/2/Rev.6" TargetMode="External"/><Relationship Id="rId135" Type="http://schemas.openxmlformats.org/officeDocument/2006/relationships/hyperlink" Target="https://undocs.org/fr/CEDAW/C/FJI/5"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hyperlink" Target="https://undocs.org/fr/CEDAW/C/EGY/CO/7/Add.1" TargetMode="External"/><Relationship Id="rId109" Type="http://schemas.openxmlformats.org/officeDocument/2006/relationships/hyperlink" Target="https://undocs.org/fr/CEDAW/C/SAU/CO/3-4" TargetMode="External"/><Relationship Id="rId34" Type="http://schemas.openxmlformats.org/officeDocument/2006/relationships/hyperlink" Target="https://undocs.org/fr/CEDAW/C/THA/CO/6-7" TargetMode="External"/><Relationship Id="rId50" Type="http://schemas.openxmlformats.org/officeDocument/2006/relationships/hyperlink" Target="https://undocs.org/fr/CEDAW/C/67/2" TargetMode="External"/><Relationship Id="rId55" Type="http://schemas.openxmlformats.org/officeDocument/2006/relationships/hyperlink" Target="https://undocs.org/fr/CEDAW/C/MNE/2" TargetMode="External"/><Relationship Id="rId76" Type="http://schemas.openxmlformats.org/officeDocument/2006/relationships/hyperlink" Target="https://undocs.org/fr/CEDAW/C/PRY/CO/7" TargetMode="External"/><Relationship Id="rId97" Type="http://schemas.openxmlformats.org/officeDocument/2006/relationships/hyperlink" Target="https://undocs.org/fr/CEDAW/C/NRU/1-2" TargetMode="External"/><Relationship Id="rId104" Type="http://schemas.openxmlformats.org/officeDocument/2006/relationships/hyperlink" Target="http://goo.gl/5AEcJT" TargetMode="External"/><Relationship Id="rId120" Type="http://schemas.openxmlformats.org/officeDocument/2006/relationships/hyperlink" Target="https://undocs.org/fr/CEDAW/C/MRT/CO/2-3/Add.1" TargetMode="External"/><Relationship Id="rId125" Type="http://schemas.openxmlformats.org/officeDocument/2006/relationships/hyperlink" Target="https://undocs.org/fr/CEDAW/C/69/D/88/2015" TargetMode="External"/><Relationship Id="rId141" Type="http://schemas.openxmlformats.org/officeDocument/2006/relationships/hyperlink" Target="https://undocs.org/fr/CEDAW/C/SUR/4-6" TargetMode="External"/><Relationship Id="rId7" Type="http://schemas.openxmlformats.org/officeDocument/2006/relationships/endnotes" Target="endnotes.xml"/><Relationship Id="rId71" Type="http://schemas.openxmlformats.org/officeDocument/2006/relationships/hyperlink" Target="https://undocs.org/fr/CEDAW/C/KWT/CO/5" TargetMode="External"/><Relationship Id="rId92" Type="http://schemas.openxmlformats.org/officeDocument/2006/relationships/hyperlink" Target="https://undocs.org/fr/CEDAW/C/GTM/8-9" TargetMode="External"/><Relationship Id="rId2" Type="http://schemas.openxmlformats.org/officeDocument/2006/relationships/numbering" Target="numbering.xml"/><Relationship Id="rId29" Type="http://schemas.openxmlformats.org/officeDocument/2006/relationships/hyperlink" Target="https://undocs.org/fr/CEDAW/C/ITA/CO/7" TargetMode="External"/><Relationship Id="rId24" Type="http://schemas.openxmlformats.org/officeDocument/2006/relationships/hyperlink" Target="https://undocs.org/fr/A/RES/68/268" TargetMode="External"/><Relationship Id="rId40" Type="http://schemas.openxmlformats.org/officeDocument/2006/relationships/hyperlink" Target="https://undocs.org/fr/CEDAW/C/KAZ/CO/3-4/Add.1" TargetMode="External"/><Relationship Id="rId45" Type="http://schemas.openxmlformats.org/officeDocument/2006/relationships/hyperlink" Target="https://undocs.org/fr/CEDAW/C/67/D/70/2014" TargetMode="External"/><Relationship Id="rId66" Type="http://schemas.openxmlformats.org/officeDocument/2006/relationships/hyperlink" Target="https://undocs.org/fr/CEDAW/C/BFA/CO/7" TargetMode="External"/><Relationship Id="rId87" Type="http://schemas.openxmlformats.org/officeDocument/2006/relationships/hyperlink" Target="https://undocs.org/fr/CEDAW/C/68/2" TargetMode="External"/><Relationship Id="rId110" Type="http://schemas.openxmlformats.org/officeDocument/2006/relationships/hyperlink" Target="https://undocs.org/fr/CEDAW/C/CHL/CO/7" TargetMode="External"/><Relationship Id="rId115" Type="http://schemas.openxmlformats.org/officeDocument/2006/relationships/hyperlink" Target="https://undocs.org/fr/CEDAW/C/KOR/CO/8" TargetMode="External"/><Relationship Id="rId131" Type="http://schemas.openxmlformats.org/officeDocument/2006/relationships/hyperlink" Target="https://undocs.org/fr/CEDAW/C/69/1" TargetMode="External"/><Relationship Id="rId136" Type="http://schemas.openxmlformats.org/officeDocument/2006/relationships/hyperlink" Target="https://undocs.org/fr/CEDAW/C/LUX/6-7" TargetMode="External"/><Relationship Id="rId61" Type="http://schemas.openxmlformats.org/officeDocument/2006/relationships/hyperlink" Target="https://undocs.org/fr/CEDAW/C/YEM/7-8" TargetMode="External"/><Relationship Id="rId82" Type="http://schemas.openxmlformats.org/officeDocument/2006/relationships/hyperlink" Target="https://undocs.org/fr/CEDAW/C/68/D/91/2015" TargetMode="Externa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yperlink" Target="https://undocs.org/fr/CEDAW/C/MNE/CO/2" TargetMode="External"/><Relationship Id="rId35" Type="http://schemas.openxmlformats.org/officeDocument/2006/relationships/hyperlink" Target="https://undocs.org/fr/CEDAW/C/BEL/CO/7/Add.1" TargetMode="External"/><Relationship Id="rId56" Type="http://schemas.openxmlformats.org/officeDocument/2006/relationships/hyperlink" Target="https://undocs.org/fr/CEDAW/C/NER/3" TargetMode="External"/><Relationship Id="rId77" Type="http://schemas.openxmlformats.org/officeDocument/2006/relationships/hyperlink" Target="https://undocs.org/fr/CEDAW/C/SGP/CO/5" TargetMode="External"/><Relationship Id="rId100" Type="http://schemas.openxmlformats.org/officeDocument/2006/relationships/hyperlink" Target="https://undocs.org/fr/CEDAW/C/PRY/7" TargetMode="External"/><Relationship Id="rId105" Type="http://schemas.openxmlformats.org/officeDocument/2006/relationships/hyperlink" Target="https://undocs.org/fr/HRI/GEN/2/Rev.6" TargetMode="External"/><Relationship Id="rId126" Type="http://schemas.openxmlformats.org/officeDocument/2006/relationships/hyperlink" Target="https://undocs.org/fr/CEDAW/C/69/D/103/201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A9F3-DB0D-4159-99C6-EF4CD3B7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13221</Words>
  <Characters>71530</Characters>
  <Application>Microsoft Office Word</Application>
  <DocSecurity>0</DocSecurity>
  <Lines>2167</Lines>
  <Paragraphs>1021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Bonnevialle</dc:creator>
  <cp:keywords/>
  <dc:description/>
  <cp:lastModifiedBy>Marieme Gueye</cp:lastModifiedBy>
  <cp:revision>3</cp:revision>
  <cp:lastPrinted>2018-04-30T20:20:00Z</cp:lastPrinted>
  <dcterms:created xsi:type="dcterms:W3CDTF">2018-04-30T20:20:00Z</dcterms:created>
  <dcterms:modified xsi:type="dcterms:W3CDTF">2018-04-30T20:20:00Z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1804972F</vt:lpwstr>
  </property>
  <property fmtid="{D5CDD505-2E9C-101B-9397-08002B2CF9AE}" pid="3" name="ODSRefJobNo">
    <vt:lpwstr>1808921F</vt:lpwstr>
  </property>
  <property fmtid="{D5CDD505-2E9C-101B-9397-08002B2CF9AE}" pid="4" name="Symbol1">
    <vt:lpwstr>A/73/38</vt:lpwstr>
  </property>
  <property fmtid="{D5CDD505-2E9C-101B-9397-08002B2CF9AE}" pid="5" name="Symbol2">
    <vt:lpwstr/>
  </property>
  <property fmtid="{D5CDD505-2E9C-101B-9397-08002B2CF9AE}" pid="6" name="Translator">
    <vt:lpwstr/>
  </property>
  <property fmtid="{D5CDD505-2E9C-101B-9397-08002B2CF9AE}" pid="7" name="Category">
    <vt:lpwstr>Supplements</vt:lpwstr>
  </property>
  <property fmtid="{D5CDD505-2E9C-101B-9397-08002B2CF9AE}" pid="8" name="Comment">
    <vt:lpwstr/>
  </property>
  <property fmtid="{D5CDD505-2E9C-101B-9397-08002B2CF9AE}" pid="9" name="DraftPages">
    <vt:lpwstr> </vt:lpwstr>
  </property>
  <property fmtid="{D5CDD505-2E9C-101B-9397-08002B2CF9AE}" pid="10" name="Operator">
    <vt:lpwstr>sbc</vt:lpwstr>
  </property>
</Properties>
</file>