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02"/>
        <w:gridCol w:w="5002"/>
      </w:tblGrid>
      <w:tr w:rsidR="00D036F5" w:rsidRPr="00D036F5" w:rsidTr="00D036F5">
        <w:tc>
          <w:tcPr>
            <w:tcW w:w="5002" w:type="dxa"/>
            <w:shd w:val="clear" w:color="auto" w:fill="auto"/>
          </w:tcPr>
          <w:p w:rsidR="00D036F5" w:rsidRDefault="00D036F5" w:rsidP="002F117D">
            <w:pPr>
              <w:framePr w:hSpace="141" w:wrap="around" w:vAnchor="page" w:hAnchor="page" w:x="1210" w:y="1599" w:anchorLock="1"/>
              <w:spacing w:line="270" w:lineRule="exact"/>
              <w:rPr>
                <w:sz w:val="24"/>
              </w:rPr>
            </w:pPr>
            <w:r>
              <w:rPr>
                <w:b/>
                <w:sz w:val="24"/>
              </w:rPr>
              <w:t>Assemblée générale</w:t>
            </w:r>
            <w:r>
              <w:rPr>
                <w:b/>
                <w:sz w:val="24"/>
              </w:rPr>
              <w:br/>
            </w:r>
            <w:r>
              <w:rPr>
                <w:sz w:val="24"/>
              </w:rPr>
              <w:t>Documents officiels</w:t>
            </w:r>
            <w:r>
              <w:rPr>
                <w:sz w:val="24"/>
              </w:rPr>
              <w:br/>
              <w:t>Soixante-douzième session</w:t>
            </w:r>
            <w:r>
              <w:rPr>
                <w:sz w:val="24"/>
              </w:rPr>
              <w:br/>
              <w:t>Supplément nº</w:t>
            </w:r>
            <w:r w:rsidR="002F117D">
              <w:rPr>
                <w:sz w:val="24"/>
              </w:rPr>
              <w:t> </w:t>
            </w:r>
            <w:r>
              <w:rPr>
                <w:sz w:val="24"/>
              </w:rPr>
              <w:t>38</w:t>
            </w:r>
          </w:p>
          <w:p w:rsidR="00D036F5" w:rsidRPr="00D036F5" w:rsidRDefault="00D036F5" w:rsidP="00D036F5">
            <w:pPr>
              <w:framePr w:hSpace="141" w:wrap="around" w:vAnchor="page" w:hAnchor="page" w:x="1210" w:y="1599" w:anchorLock="1"/>
              <w:spacing w:line="270" w:lineRule="exact"/>
              <w:rPr>
                <w:sz w:val="24"/>
              </w:rPr>
            </w:pPr>
          </w:p>
        </w:tc>
        <w:tc>
          <w:tcPr>
            <w:tcW w:w="5002" w:type="dxa"/>
            <w:shd w:val="clear" w:color="auto" w:fill="auto"/>
          </w:tcPr>
          <w:p w:rsidR="00D036F5" w:rsidRPr="00D036F5" w:rsidRDefault="00030BF8" w:rsidP="00D036F5">
            <w:pPr>
              <w:framePr w:hSpace="141" w:wrap="around" w:vAnchor="page" w:hAnchor="page" w:x="1210" w:y="1599" w:anchorLock="1"/>
              <w:spacing w:line="270" w:lineRule="exact"/>
              <w:jc w:val="right"/>
            </w:pPr>
            <w:hyperlink r:id="rId9" w:history="1">
              <w:r w:rsidR="00D036F5" w:rsidRPr="007D2830">
                <w:rPr>
                  <w:rStyle w:val="Hyperlink"/>
                </w:rPr>
                <w:t>A/72/38</w:t>
              </w:r>
            </w:hyperlink>
          </w:p>
        </w:tc>
      </w:tr>
    </w:tbl>
    <w:p w:rsidR="00D036F5" w:rsidRPr="00D036F5" w:rsidRDefault="00D036F5" w:rsidP="00D036F5">
      <w:pPr>
        <w:framePr w:w="9864" w:h="1440" w:hSpace="141" w:wrap="around" w:vAnchor="page" w:hAnchor="page" w:x="1210" w:y="11808" w:anchorLock="1"/>
        <w:spacing w:before="600"/>
        <w:ind w:left="1267"/>
        <w:rPr>
          <w:sz w:val="28"/>
        </w:rPr>
      </w:pPr>
      <w:r>
        <w:rPr>
          <w:noProof/>
          <w:lang w:val="en-GB" w:eastAsia="en-GB"/>
        </w:rPr>
        <w:drawing>
          <wp:inline distT="0" distB="0" distL="0" distR="0">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3400" cy="431800"/>
                    </a:xfrm>
                    <a:prstGeom prst="rect">
                      <a:avLst/>
                    </a:prstGeom>
                  </pic:spPr>
                </pic:pic>
              </a:graphicData>
            </a:graphic>
          </wp:inline>
        </w:drawing>
      </w:r>
      <w:r>
        <w:br/>
      </w:r>
      <w:r>
        <w:rPr>
          <w:sz w:val="28"/>
        </w:rPr>
        <w:t xml:space="preserve">Nations Unies </w:t>
      </w:r>
      <w:r>
        <w:rPr>
          <w:sz w:val="28"/>
        </w:rPr>
        <w:sym w:font="Symbol" w:char="F0B7"/>
      </w:r>
      <w:r>
        <w:rPr>
          <w:sz w:val="28"/>
        </w:rPr>
        <w:t xml:space="preserve"> New York, 2017</w:t>
      </w:r>
    </w:p>
    <w:p w:rsidR="00993CB7" w:rsidRDefault="00D036F5" w:rsidP="00D036F5">
      <w:pPr>
        <w:spacing w:after="800"/>
      </w:pPr>
      <w:r>
        <w:rPr>
          <w:rStyle w:val="CommentReference"/>
        </w:rPr>
        <w:commentReference w:id="0"/>
      </w:r>
    </w:p>
    <w:p w:rsidR="00D036F5" w:rsidRDefault="007A3D87" w:rsidP="002F117D">
      <w:pPr>
        <w:pStyle w:val="SM"/>
      </w:pPr>
      <w:r>
        <w:t>Rapport du Comité</w:t>
      </w:r>
      <w:r>
        <w:br/>
      </w:r>
      <w:r w:rsidR="00974CA8" w:rsidRPr="00974CA8">
        <w:t xml:space="preserve">pour l’élimination </w:t>
      </w:r>
      <w:r w:rsidR="00AD5B45">
        <w:br/>
      </w:r>
      <w:r>
        <w:t>de la discrimination</w:t>
      </w:r>
      <w:r>
        <w:br/>
      </w:r>
      <w:r w:rsidR="00974CA8" w:rsidRPr="00974CA8">
        <w:t>à l’égard des femmes</w:t>
      </w:r>
    </w:p>
    <w:p w:rsidR="00D036F5" w:rsidRDefault="00D036F5" w:rsidP="00D036F5">
      <w:pPr>
        <w:spacing w:line="240" w:lineRule="auto"/>
        <w:ind w:left="1260"/>
        <w:rPr>
          <w:sz w:val="12"/>
        </w:rPr>
      </w:pPr>
    </w:p>
    <w:p w:rsidR="00D036F5" w:rsidRDefault="00D036F5" w:rsidP="00D036F5">
      <w:pPr>
        <w:spacing w:line="240" w:lineRule="auto"/>
        <w:ind w:left="1260"/>
        <w:rPr>
          <w:sz w:val="12"/>
        </w:rPr>
      </w:pPr>
    </w:p>
    <w:p w:rsidR="00D036F5" w:rsidRDefault="00D036F5" w:rsidP="00D036F5">
      <w:pPr>
        <w:spacing w:line="240" w:lineRule="auto"/>
        <w:ind w:left="1260"/>
        <w:rPr>
          <w:sz w:val="12"/>
        </w:rPr>
      </w:pPr>
    </w:p>
    <w:p w:rsidR="00974CA8" w:rsidRDefault="00974CA8" w:rsidP="002F117D">
      <w:pPr>
        <w:pStyle w:val="SS"/>
      </w:pPr>
      <w:r>
        <w:t xml:space="preserve">Soixante-quatrième session </w:t>
      </w:r>
    </w:p>
    <w:p w:rsidR="00974CA8" w:rsidRDefault="00974CA8" w:rsidP="002F117D">
      <w:pPr>
        <w:pStyle w:val="SS"/>
      </w:pPr>
      <w:r>
        <w:t>(4-22</w:t>
      </w:r>
      <w:r w:rsidR="00D944D7">
        <w:t> juillet</w:t>
      </w:r>
      <w:r>
        <w:t xml:space="preserve"> 2016) </w:t>
      </w:r>
    </w:p>
    <w:p w:rsidR="00974CA8" w:rsidRDefault="00974CA8" w:rsidP="00974CA8">
      <w:pPr>
        <w:spacing w:line="240" w:lineRule="auto"/>
        <w:ind w:left="1260"/>
      </w:pPr>
    </w:p>
    <w:p w:rsidR="00974CA8" w:rsidRDefault="00974CA8" w:rsidP="002F117D">
      <w:pPr>
        <w:pStyle w:val="SS"/>
      </w:pPr>
      <w:r>
        <w:t xml:space="preserve">Soixante-cinquième session </w:t>
      </w:r>
    </w:p>
    <w:p w:rsidR="00974CA8" w:rsidRDefault="00974CA8" w:rsidP="002F117D">
      <w:pPr>
        <w:pStyle w:val="SS"/>
      </w:pPr>
      <w:r>
        <w:t>(24</w:t>
      </w:r>
      <w:r w:rsidR="002F117D">
        <w:t> </w:t>
      </w:r>
      <w:r>
        <w:t>octobre-18</w:t>
      </w:r>
      <w:r w:rsidR="002F117D">
        <w:t> </w:t>
      </w:r>
      <w:r>
        <w:t>novembre 2016)</w:t>
      </w:r>
    </w:p>
    <w:p w:rsidR="00974CA8" w:rsidRDefault="00974CA8" w:rsidP="00974CA8">
      <w:pPr>
        <w:spacing w:line="240" w:lineRule="auto"/>
        <w:ind w:left="1260"/>
      </w:pPr>
    </w:p>
    <w:p w:rsidR="00974CA8" w:rsidRDefault="00974CA8" w:rsidP="002F117D">
      <w:pPr>
        <w:pStyle w:val="SS"/>
      </w:pPr>
      <w:r>
        <w:t xml:space="preserve">Soixante-sixième session </w:t>
      </w:r>
    </w:p>
    <w:p w:rsidR="00D036F5" w:rsidRDefault="00974CA8" w:rsidP="002F117D">
      <w:pPr>
        <w:pStyle w:val="SS"/>
      </w:pPr>
      <w:r>
        <w:t>(13</w:t>
      </w:r>
      <w:r w:rsidR="00D944D7">
        <w:t> février</w:t>
      </w:r>
      <w:r>
        <w:t>-3</w:t>
      </w:r>
      <w:r w:rsidR="00D944D7">
        <w:t> mars</w:t>
      </w:r>
      <w:r>
        <w:t xml:space="preserve"> 2017)</w:t>
      </w:r>
    </w:p>
    <w:p w:rsidR="00D036F5" w:rsidRDefault="00D036F5" w:rsidP="00D036F5">
      <w:pPr>
        <w:spacing w:line="240" w:lineRule="auto"/>
        <w:ind w:left="1260"/>
        <w:rPr>
          <w:sz w:val="12"/>
        </w:rPr>
      </w:pPr>
    </w:p>
    <w:p w:rsidR="00D036F5" w:rsidRDefault="00D036F5" w:rsidP="00D036F5">
      <w:pPr>
        <w:spacing w:line="240" w:lineRule="auto"/>
        <w:ind w:left="1260"/>
        <w:rPr>
          <w:sz w:val="12"/>
        </w:rPr>
      </w:pPr>
    </w:p>
    <w:p w:rsidR="00D036F5" w:rsidRDefault="00D036F5" w:rsidP="00D036F5">
      <w:pPr>
        <w:spacing w:line="240" w:lineRule="auto"/>
        <w:ind w:left="1260"/>
        <w:rPr>
          <w:sz w:val="12"/>
        </w:rPr>
      </w:pPr>
    </w:p>
    <w:p w:rsidR="00D036F5" w:rsidRDefault="00D036F5">
      <w:pPr>
        <w:spacing w:after="200" w:line="276" w:lineRule="auto"/>
      </w:pPr>
      <w:r>
        <w:br w:type="page"/>
      </w:r>
    </w:p>
    <w:p w:rsidR="00D036F5" w:rsidRDefault="00D036F5" w:rsidP="00D036F5">
      <w:pPr>
        <w:spacing w:line="240" w:lineRule="auto"/>
        <w:ind w:left="1260"/>
      </w:pPr>
    </w:p>
    <w:p w:rsidR="00D036F5" w:rsidRPr="00D036F5" w:rsidRDefault="00D036F5" w:rsidP="00D036F5">
      <w:pPr>
        <w:framePr w:w="2880" w:h="288" w:hSpace="141" w:wrap="notBeside" w:vAnchor="page" w:hAnchor="margin" w:x="1268" w:y="13393" w:anchorLock="1"/>
      </w:pPr>
      <w:r>
        <w:t>ISSN 0255-0989</w:t>
      </w:r>
    </w:p>
    <w:p w:rsidR="00D036F5" w:rsidRDefault="00D036F5" w:rsidP="00D036F5">
      <w:pPr>
        <w:spacing w:before="1400" w:line="240" w:lineRule="auto"/>
        <w:ind w:left="1260"/>
        <w:rPr>
          <w:i/>
        </w:rPr>
      </w:pPr>
      <w:r>
        <w:rPr>
          <w:i/>
        </w:rPr>
        <w:t>Note</w:t>
      </w:r>
    </w:p>
    <w:p w:rsidR="00D036F5" w:rsidRDefault="00D036F5" w:rsidP="00D036F5">
      <w:pPr>
        <w:spacing w:before="240" w:line="240" w:lineRule="auto"/>
        <w:ind w:left="1260" w:right="1260" w:firstLine="475"/>
        <w:jc w:val="both"/>
        <w:sectPr w:rsidR="00D036F5" w:rsidSect="00194784">
          <w:headerReference w:type="default" r:id="rId12"/>
          <w:footerReference w:type="default" r:id="rId13"/>
          <w:pgSz w:w="12240" w:h="15840"/>
          <w:pgMar w:top="1440" w:right="1200" w:bottom="1152" w:left="1200" w:header="432" w:footer="576" w:gutter="0"/>
          <w:cols w:space="720"/>
          <w:docGrid w:linePitch="360"/>
        </w:sectPr>
      </w:pPr>
      <w:r>
        <w:t>Les cotes des documents de l’Organisation des Nations Unies se composent de lettres et de chiffres. La simple mention d’une cote renvoie à un document de l’Organisation.</w:t>
      </w:r>
    </w:p>
    <w:p w:rsidR="00D036F5" w:rsidRDefault="00D036F5" w:rsidP="00D036F5">
      <w:pPr>
        <w:spacing w:before="240" w:line="240" w:lineRule="auto"/>
        <w:ind w:left="1260" w:right="1260" w:firstLine="475"/>
        <w:jc w:val="both"/>
      </w:pPr>
    </w:p>
    <w:p w:rsidR="00D036F5" w:rsidRDefault="00D036F5" w:rsidP="00D036F5">
      <w:pPr>
        <w:spacing w:before="240" w:line="240" w:lineRule="auto"/>
        <w:ind w:left="1260" w:right="1260" w:firstLine="475"/>
        <w:jc w:val="both"/>
      </w:pPr>
    </w:p>
    <w:p w:rsidR="00D036F5" w:rsidRDefault="00D036F5" w:rsidP="002F117D">
      <w:pPr>
        <w:jc w:val="right"/>
      </w:pPr>
      <w:r>
        <w:t>[</w:t>
      </w:r>
      <w:r w:rsidR="002F117D" w:rsidRPr="002F117D">
        <w:rPr>
          <w:lang w:val="fr-FR"/>
        </w:rPr>
        <w:t>30</w:t>
      </w:r>
      <w:r w:rsidR="00D944D7">
        <w:rPr>
          <w:lang w:val="fr-FR"/>
        </w:rPr>
        <w:t> mars</w:t>
      </w:r>
      <w:r w:rsidR="002F117D" w:rsidRPr="002F117D">
        <w:rPr>
          <w:lang w:val="fr-FR"/>
        </w:rPr>
        <w:t xml:space="preserve"> 2017</w:t>
      </w:r>
      <w:r>
        <w:t>]</w:t>
      </w:r>
    </w:p>
    <w:p w:rsidR="00D036F5" w:rsidRDefault="00D036F5" w:rsidP="00D036F5">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036F5" w:rsidRPr="00D036F5" w:rsidTr="00D036F5">
        <w:tc>
          <w:tcPr>
            <w:tcW w:w="1060" w:type="dxa"/>
            <w:shd w:val="clear" w:color="auto" w:fill="auto"/>
          </w:tcPr>
          <w:p w:rsidR="00D036F5" w:rsidRPr="00D036F5" w:rsidRDefault="00D036F5" w:rsidP="00D036F5">
            <w:pPr>
              <w:spacing w:after="120"/>
              <w:jc w:val="right"/>
              <w:rPr>
                <w:i/>
                <w:sz w:val="14"/>
              </w:rPr>
            </w:pPr>
            <w:r>
              <w:rPr>
                <w:i/>
                <w:sz w:val="14"/>
              </w:rPr>
              <w:t>Chapitre</w:t>
            </w:r>
          </w:p>
        </w:tc>
        <w:tc>
          <w:tcPr>
            <w:tcW w:w="7315" w:type="dxa"/>
            <w:shd w:val="clear" w:color="auto" w:fill="auto"/>
          </w:tcPr>
          <w:p w:rsidR="00D036F5" w:rsidRPr="00D036F5" w:rsidRDefault="00D036F5" w:rsidP="00D036F5">
            <w:pPr>
              <w:spacing w:after="120"/>
              <w:rPr>
                <w:i/>
                <w:sz w:val="14"/>
              </w:rPr>
            </w:pPr>
          </w:p>
        </w:tc>
        <w:tc>
          <w:tcPr>
            <w:tcW w:w="994" w:type="dxa"/>
            <w:shd w:val="clear" w:color="auto" w:fill="auto"/>
          </w:tcPr>
          <w:p w:rsidR="00D036F5" w:rsidRPr="00D036F5" w:rsidRDefault="00D036F5" w:rsidP="00D036F5">
            <w:pPr>
              <w:spacing w:after="120"/>
              <w:ind w:right="40"/>
              <w:jc w:val="right"/>
              <w:rPr>
                <w:i/>
                <w:sz w:val="14"/>
              </w:rPr>
            </w:pPr>
          </w:p>
        </w:tc>
        <w:tc>
          <w:tcPr>
            <w:tcW w:w="533" w:type="dxa"/>
            <w:shd w:val="clear" w:color="auto" w:fill="auto"/>
          </w:tcPr>
          <w:p w:rsidR="00D036F5" w:rsidRPr="00D036F5" w:rsidRDefault="00D036F5" w:rsidP="00D036F5">
            <w:pPr>
              <w:spacing w:after="120"/>
              <w:ind w:right="40"/>
              <w:jc w:val="right"/>
              <w:rPr>
                <w:i/>
                <w:sz w:val="14"/>
              </w:rPr>
            </w:pPr>
            <w:r>
              <w:rPr>
                <w:i/>
                <w:sz w:val="14"/>
              </w:rPr>
              <w:t>Page</w:t>
            </w:r>
          </w:p>
        </w:tc>
      </w:tr>
      <w:tr w:rsidR="002F117D" w:rsidRPr="00D036F5" w:rsidTr="002F117D">
        <w:tc>
          <w:tcPr>
            <w:tcW w:w="9369" w:type="dxa"/>
            <w:gridSpan w:val="3"/>
            <w:shd w:val="clear" w:color="auto" w:fill="auto"/>
          </w:tcPr>
          <w:p w:rsidR="002F117D" w:rsidRPr="00B01951" w:rsidRDefault="00B01951" w:rsidP="00B01951">
            <w:pPr>
              <w:pStyle w:val="ListParagraph"/>
              <w:tabs>
                <w:tab w:val="left" w:pos="1296"/>
                <w:tab w:val="left" w:pos="1728"/>
                <w:tab w:val="left" w:pos="2160"/>
                <w:tab w:val="right" w:leader="dot" w:pos="9360"/>
              </w:tabs>
              <w:suppressAutoHyphens/>
              <w:spacing w:after="120"/>
              <w:ind w:left="1296"/>
              <w:rPr>
                <w:spacing w:val="60"/>
                <w:sz w:val="17"/>
              </w:rPr>
            </w:pPr>
            <w:r w:rsidRPr="00B01951">
              <w:t xml:space="preserve">Lettre d’envoi </w:t>
            </w:r>
            <w:r>
              <w:rPr>
                <w:spacing w:val="60"/>
                <w:sz w:val="17"/>
              </w:rPr>
              <w:tab/>
            </w:r>
          </w:p>
        </w:tc>
        <w:tc>
          <w:tcPr>
            <w:tcW w:w="533" w:type="dxa"/>
            <w:shd w:val="clear" w:color="auto" w:fill="auto"/>
            <w:vAlign w:val="bottom"/>
          </w:tcPr>
          <w:p w:rsidR="002F117D" w:rsidRDefault="00762DD4" w:rsidP="002F117D">
            <w:pPr>
              <w:spacing w:after="120"/>
              <w:ind w:right="40"/>
              <w:jc w:val="right"/>
            </w:pPr>
            <w:r>
              <w:t>6</w:t>
            </w:r>
          </w:p>
        </w:tc>
      </w:tr>
      <w:tr w:rsidR="002F117D" w:rsidRPr="00D036F5" w:rsidTr="002F117D">
        <w:tc>
          <w:tcPr>
            <w:tcW w:w="9369" w:type="dxa"/>
            <w:gridSpan w:val="3"/>
            <w:shd w:val="clear" w:color="auto" w:fill="auto"/>
          </w:tcPr>
          <w:p w:rsidR="002F117D" w:rsidRPr="00B01951" w:rsidRDefault="00B01951" w:rsidP="00B0195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hanging="216"/>
              <w:rPr>
                <w:spacing w:val="60"/>
                <w:sz w:val="17"/>
                <w:lang w:val="fr-FR"/>
              </w:rPr>
            </w:pPr>
            <w:r>
              <w:rPr>
                <w:b/>
                <w:szCs w:val="20"/>
                <w:lang w:val="fr-FR"/>
              </w:rPr>
              <w:tab/>
            </w:r>
            <w:r w:rsidRPr="00B01951">
              <w:rPr>
                <w:b/>
                <w:szCs w:val="20"/>
                <w:lang w:val="fr-FR"/>
              </w:rPr>
              <w:t>Première partie</w:t>
            </w:r>
            <w:r w:rsidRPr="00B01951">
              <w:rPr>
                <w:b/>
                <w:szCs w:val="20"/>
                <w:lang w:val="fr-FR"/>
              </w:rPr>
              <w:br/>
              <w:t>Rapport du Comité pour l’élimination de la discrimination à l’égard des femmes</w:t>
            </w:r>
            <w:r>
              <w:rPr>
                <w:b/>
                <w:szCs w:val="20"/>
                <w:lang w:val="fr-FR"/>
              </w:rPr>
              <w:br/>
            </w:r>
            <w:r w:rsidRPr="00B01951">
              <w:rPr>
                <w:b/>
                <w:szCs w:val="20"/>
                <w:lang w:val="fr-FR"/>
              </w:rPr>
              <w:t>sur les travaux de sa soixante-quatrième session</w:t>
            </w:r>
            <w:r w:rsidRPr="00B01951">
              <w:rPr>
                <w:bCs/>
                <w:spacing w:val="60"/>
                <w:sz w:val="17"/>
                <w:szCs w:val="20"/>
                <w:lang w:val="fr-FR"/>
              </w:rPr>
              <w:tab/>
            </w:r>
          </w:p>
        </w:tc>
        <w:tc>
          <w:tcPr>
            <w:tcW w:w="533" w:type="dxa"/>
            <w:shd w:val="clear" w:color="auto" w:fill="auto"/>
            <w:vAlign w:val="bottom"/>
          </w:tcPr>
          <w:p w:rsidR="002F117D" w:rsidRDefault="00762DD4" w:rsidP="002F117D">
            <w:pPr>
              <w:spacing w:after="120"/>
              <w:ind w:right="40"/>
              <w:jc w:val="right"/>
            </w:pPr>
            <w:r>
              <w:t>7</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right" w:leader="dot" w:pos="9360"/>
              </w:tabs>
              <w:suppressAutoHyphens/>
              <w:spacing w:after="120"/>
            </w:pPr>
            <w:r w:rsidRPr="009317AE">
              <w:rPr>
                <w:lang w:val="fr-FR"/>
              </w:rPr>
              <w:t>Décisions prises par le Comité</w:t>
            </w:r>
            <w:r>
              <w:rPr>
                <w:spacing w:val="60"/>
                <w:sz w:val="17"/>
                <w:lang w:val="fr-FR"/>
              </w:rPr>
              <w:tab/>
            </w:r>
          </w:p>
        </w:tc>
        <w:tc>
          <w:tcPr>
            <w:tcW w:w="533" w:type="dxa"/>
            <w:shd w:val="clear" w:color="auto" w:fill="auto"/>
            <w:vAlign w:val="bottom"/>
          </w:tcPr>
          <w:p w:rsidR="00BB6059" w:rsidRPr="00BB6059" w:rsidRDefault="00BB6059" w:rsidP="00BB6059">
            <w:pPr>
              <w:spacing w:after="120"/>
              <w:ind w:right="40"/>
              <w:jc w:val="right"/>
            </w:pPr>
            <w:r>
              <w:t>8</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CC3940">
              <w:rPr>
                <w:szCs w:val="20"/>
                <w:lang w:val="fr-FR"/>
              </w:rPr>
              <w:t>Questions</w:t>
            </w:r>
            <w:r w:rsidRPr="007D2830">
              <w:rPr>
                <w:lang w:val="fr-FR"/>
              </w:rPr>
              <w:t xml:space="preserve"> d’organisation et autres questions</w:t>
            </w:r>
            <w:r>
              <w:rPr>
                <w:spacing w:val="60"/>
                <w:sz w:val="17"/>
                <w:lang w:val="fr-FR"/>
              </w:rPr>
              <w:tab/>
            </w:r>
          </w:p>
        </w:tc>
        <w:tc>
          <w:tcPr>
            <w:tcW w:w="533" w:type="dxa"/>
            <w:shd w:val="clear" w:color="auto" w:fill="auto"/>
            <w:vAlign w:val="bottom"/>
          </w:tcPr>
          <w:p w:rsidR="00BB6059" w:rsidRP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BB6059" w:rsidRDefault="00BB6059" w:rsidP="00BB6059">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BB6059">
              <w:rPr>
                <w:lang w:val="fr-FR"/>
              </w:rPr>
              <w:t>États parties à la Convention et au Protocole facultatif</w:t>
            </w:r>
            <w:r>
              <w:rPr>
                <w:spacing w:val="60"/>
                <w:sz w:val="17"/>
                <w:lang w:val="fr-FR"/>
              </w:rPr>
              <w:tab/>
            </w:r>
          </w:p>
        </w:tc>
        <w:tc>
          <w:tcPr>
            <w:tcW w:w="533" w:type="dxa"/>
            <w:shd w:val="clear" w:color="auto" w:fill="auto"/>
            <w:vAlign w:val="bottom"/>
          </w:tcPr>
          <w:p w:rsidR="00BB6059" w:rsidRP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BB6059" w:rsidRDefault="00BB6059" w:rsidP="00BB6059">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sidRPr="00CC3940">
              <w:rPr>
                <w:lang w:val="fr-FR"/>
              </w:rPr>
              <w:t>Ouverture de la session</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CC3940" w:rsidRDefault="00BB6059" w:rsidP="00BB6059">
            <w:pPr>
              <w:pStyle w:val="ListParagraph"/>
              <w:numPr>
                <w:ilvl w:val="1"/>
                <w:numId w:val="21"/>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CC3940">
              <w:rPr>
                <w:lang w:val="fr-FR"/>
              </w:rPr>
              <w:t>Adoption de l’ordre du jour</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CC3940" w:rsidRDefault="00BB6059" w:rsidP="00BB6059">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BB6059">
              <w:rPr>
                <w:lang w:val="fr-FR"/>
              </w:rPr>
              <w:t>Rapport du groupe de travail d’avant-session</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BB6059" w:rsidRDefault="00BB6059" w:rsidP="00BB6059">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sidRPr="00CC3940">
              <w:rPr>
                <w:lang w:val="fr-FR"/>
              </w:rPr>
              <w:t>Organisation des travaux</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10</w:t>
            </w:r>
          </w:p>
        </w:tc>
      </w:tr>
      <w:tr w:rsidR="00BB6059" w:rsidRPr="00BB6059" w:rsidTr="00BB6059">
        <w:tc>
          <w:tcPr>
            <w:tcW w:w="9369" w:type="dxa"/>
            <w:gridSpan w:val="3"/>
            <w:shd w:val="clear" w:color="auto" w:fill="auto"/>
          </w:tcPr>
          <w:p w:rsidR="00BB6059" w:rsidRPr="00CC3940" w:rsidRDefault="00BB6059" w:rsidP="00BB6059">
            <w:pPr>
              <w:pStyle w:val="ListParagraph"/>
              <w:numPr>
                <w:ilvl w:val="1"/>
                <w:numId w:val="21"/>
              </w:numPr>
              <w:tabs>
                <w:tab w:val="left" w:pos="1296"/>
                <w:tab w:val="left" w:pos="1728"/>
                <w:tab w:val="left" w:pos="2160"/>
                <w:tab w:val="left" w:pos="2592"/>
                <w:tab w:val="left" w:pos="3024"/>
                <w:tab w:val="left" w:pos="3456"/>
                <w:tab w:val="right" w:leader="dot" w:pos="9360"/>
              </w:tabs>
              <w:suppressAutoHyphens/>
              <w:spacing w:after="120"/>
              <w:rPr>
                <w:lang w:val="fr-FR"/>
              </w:rPr>
            </w:pPr>
            <w:r w:rsidRPr="00BB6059">
              <w:rPr>
                <w:lang w:val="fr-FR"/>
              </w:rPr>
              <w:t>Composition du Comité</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11</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BB6059">
              <w:rPr>
                <w:lang w:val="fr-FR"/>
              </w:rPr>
              <w:t>Rapport de la Présidente sur les activités intersessions</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12</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right" w:leader="dot" w:pos="9360"/>
              </w:tabs>
              <w:suppressAutoHyphens/>
              <w:spacing w:after="120"/>
              <w:rPr>
                <w:lang w:val="fr-FR"/>
              </w:rPr>
            </w:pPr>
            <w:r w:rsidRPr="00BB6059">
              <w:rPr>
                <w:lang w:val="fr-FR"/>
              </w:rPr>
              <w:t>Examen des rapports soumis par les États parties en</w:t>
            </w:r>
            <w:r w:rsidR="007A3D87">
              <w:rPr>
                <w:lang w:val="fr-FR"/>
              </w:rPr>
              <w:t xml:space="preserve"> application de l’article 18 de la </w:t>
            </w:r>
            <w:r w:rsidRPr="00BB6059">
              <w:rPr>
                <w:lang w:val="fr-FR"/>
              </w:rPr>
              <w:t>Convention</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13</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7D2830">
              <w:rPr>
                <w:lang w:val="fr-FR"/>
              </w:rPr>
              <w:t>Activités menées au titre du Protocole facultatif</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14</w:t>
            </w:r>
          </w:p>
        </w:tc>
      </w:tr>
      <w:tr w:rsidR="00BB6059" w:rsidRPr="00BB6059" w:rsidTr="00BB6059">
        <w:tc>
          <w:tcPr>
            <w:tcW w:w="9369" w:type="dxa"/>
            <w:gridSpan w:val="3"/>
            <w:shd w:val="clear" w:color="auto" w:fill="auto"/>
          </w:tcPr>
          <w:p w:rsidR="00BB6059" w:rsidRPr="007D2830" w:rsidRDefault="00BB6059" w:rsidP="00BB6059">
            <w:pPr>
              <w:pStyle w:val="ListParagraph"/>
              <w:numPr>
                <w:ilvl w:val="1"/>
                <w:numId w:val="21"/>
              </w:numPr>
              <w:tabs>
                <w:tab w:val="left" w:pos="1296"/>
                <w:tab w:val="left" w:pos="1728"/>
                <w:tab w:val="left" w:pos="2160"/>
                <w:tab w:val="right" w:leader="dot" w:pos="9360"/>
              </w:tabs>
              <w:suppressAutoHyphens/>
              <w:spacing w:after="120"/>
              <w:rPr>
                <w:lang w:val="fr-FR"/>
              </w:rPr>
            </w:pPr>
            <w:r w:rsidRPr="00BB6059">
              <w:rPr>
                <w:szCs w:val="20"/>
                <w:lang w:val="fr-FR"/>
              </w:rPr>
              <w:t>Mesures</w:t>
            </w:r>
            <w:r w:rsidRPr="00495ABF">
              <w:rPr>
                <w:lang w:val="fr-FR"/>
              </w:rPr>
              <w:t xml:space="preserve"> prises par le Comité sur les questions relevant</w:t>
            </w:r>
            <w:r>
              <w:rPr>
                <w:lang w:val="fr-FR"/>
              </w:rPr>
              <w:t xml:space="preserve"> </w:t>
            </w:r>
            <w:r w:rsidRPr="00495ABF">
              <w:rPr>
                <w:lang w:val="fr-FR"/>
              </w:rPr>
              <w:t>de l’article</w:t>
            </w:r>
            <w:r>
              <w:rPr>
                <w:lang w:val="fr-FR"/>
              </w:rPr>
              <w:t> </w:t>
            </w:r>
            <w:r w:rsidRPr="00495ABF">
              <w:rPr>
                <w:lang w:val="fr-FR"/>
              </w:rPr>
              <w:t>2 du Protocole facultatif</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14</w:t>
            </w:r>
          </w:p>
        </w:tc>
      </w:tr>
      <w:tr w:rsidR="00BB6059" w:rsidRPr="00BB6059" w:rsidTr="00BB6059">
        <w:tc>
          <w:tcPr>
            <w:tcW w:w="9369" w:type="dxa"/>
            <w:gridSpan w:val="3"/>
            <w:shd w:val="clear" w:color="auto" w:fill="auto"/>
          </w:tcPr>
          <w:p w:rsidR="00BB6059" w:rsidRPr="00BB6059" w:rsidRDefault="00BB6059" w:rsidP="007A3D87">
            <w:pPr>
              <w:pStyle w:val="ListParagraph"/>
              <w:numPr>
                <w:ilvl w:val="1"/>
                <w:numId w:val="21"/>
              </w:numPr>
              <w:tabs>
                <w:tab w:val="left" w:pos="1296"/>
                <w:tab w:val="left" w:pos="1728"/>
                <w:tab w:val="left" w:pos="2160"/>
                <w:tab w:val="left" w:pos="2592"/>
                <w:tab w:val="right" w:leader="dot" w:pos="9360"/>
              </w:tabs>
              <w:suppressAutoHyphens/>
              <w:spacing w:after="120"/>
              <w:rPr>
                <w:szCs w:val="20"/>
                <w:lang w:val="fr-FR"/>
              </w:rPr>
            </w:pPr>
            <w:r w:rsidRPr="00BB6059">
              <w:rPr>
                <w:szCs w:val="20"/>
                <w:lang w:val="fr-FR"/>
              </w:rPr>
              <w:t>Suite</w:t>
            </w:r>
            <w:r w:rsidRPr="00CC3940">
              <w:rPr>
                <w:lang w:val="fr-FR"/>
              </w:rPr>
              <w:t xml:space="preserve"> donnée aux constatations du Comité sur les communications émanant de</w:t>
            </w:r>
            <w:r w:rsidR="007A3D87">
              <w:rPr>
                <w:lang w:val="fr-FR"/>
              </w:rPr>
              <w:t> </w:t>
            </w:r>
            <w:r w:rsidRPr="00CC3940">
              <w:rPr>
                <w:lang w:val="fr-FR"/>
              </w:rPr>
              <w:t>particuliers</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14</w:t>
            </w:r>
          </w:p>
        </w:tc>
      </w:tr>
      <w:tr w:rsidR="00BB6059" w:rsidRPr="00BB6059" w:rsidTr="00BB6059">
        <w:tc>
          <w:tcPr>
            <w:tcW w:w="9369" w:type="dxa"/>
            <w:gridSpan w:val="3"/>
            <w:shd w:val="clear" w:color="auto" w:fill="auto"/>
          </w:tcPr>
          <w:p w:rsidR="00BB6059" w:rsidRPr="00BB6059" w:rsidRDefault="00BB6059" w:rsidP="00BB6059">
            <w:pPr>
              <w:pStyle w:val="ListParagraph"/>
              <w:numPr>
                <w:ilvl w:val="1"/>
                <w:numId w:val="21"/>
              </w:numPr>
              <w:tabs>
                <w:tab w:val="left" w:pos="1296"/>
                <w:tab w:val="left" w:pos="1728"/>
                <w:tab w:val="left" w:pos="2160"/>
                <w:tab w:val="right" w:leader="dot" w:pos="9360"/>
              </w:tabs>
              <w:suppressAutoHyphens/>
              <w:spacing w:after="120"/>
              <w:rPr>
                <w:szCs w:val="20"/>
                <w:lang w:val="fr-FR"/>
              </w:rPr>
            </w:pPr>
            <w:r w:rsidRPr="00BB6059">
              <w:rPr>
                <w:szCs w:val="20"/>
                <w:lang w:val="fr-FR"/>
              </w:rPr>
              <w:t>Mesures</w:t>
            </w:r>
            <w:r w:rsidRPr="00CC3940">
              <w:rPr>
                <w:lang w:val="fr-FR"/>
              </w:rPr>
              <w:t xml:space="preserve"> prises par le Comité sur les questions relevant</w:t>
            </w:r>
            <w:r>
              <w:rPr>
                <w:lang w:val="fr-FR"/>
              </w:rPr>
              <w:t xml:space="preserve"> </w:t>
            </w:r>
            <w:r w:rsidRPr="00CC3940">
              <w:rPr>
                <w:lang w:val="fr-FR"/>
              </w:rPr>
              <w:t>de l’article 8 du Protocole facultatif</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14</w:t>
            </w:r>
          </w:p>
        </w:tc>
      </w:tr>
      <w:tr w:rsidR="00BB6059" w:rsidRPr="00BB6059" w:rsidTr="00BB6059">
        <w:tc>
          <w:tcPr>
            <w:tcW w:w="9369" w:type="dxa"/>
            <w:gridSpan w:val="3"/>
            <w:shd w:val="clear" w:color="auto" w:fill="auto"/>
          </w:tcPr>
          <w:p w:rsidR="00BB6059" w:rsidRPr="00BB6059"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lang w:val="fr-FR"/>
              </w:rPr>
            </w:pPr>
            <w:r w:rsidRPr="00DF580C">
              <w:rPr>
                <w:lang w:val="fr-FR"/>
              </w:rPr>
              <w:t>Moyens d’accélérer les travaux du Comité</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16</w:t>
            </w:r>
          </w:p>
        </w:tc>
      </w:tr>
      <w:tr w:rsidR="00BB6059" w:rsidRPr="00BB6059" w:rsidTr="00BB6059">
        <w:tc>
          <w:tcPr>
            <w:tcW w:w="9369" w:type="dxa"/>
            <w:gridSpan w:val="3"/>
            <w:shd w:val="clear" w:color="auto" w:fill="auto"/>
          </w:tcPr>
          <w:p w:rsidR="00BB6059" w:rsidRPr="00DF580C"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362053">
              <w:rPr>
                <w:lang w:val="fr-FR"/>
              </w:rPr>
              <w:t>Application de l’article 21 de la Convention</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18</w:t>
            </w:r>
          </w:p>
        </w:tc>
      </w:tr>
      <w:tr w:rsidR="00BB6059" w:rsidRPr="00BB6059" w:rsidTr="00BB6059">
        <w:tc>
          <w:tcPr>
            <w:tcW w:w="9369" w:type="dxa"/>
            <w:gridSpan w:val="3"/>
            <w:shd w:val="clear" w:color="auto" w:fill="auto"/>
          </w:tcPr>
          <w:p w:rsidR="00BB6059" w:rsidRPr="00362053" w:rsidRDefault="00BB6059" w:rsidP="00BB6059">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CC3940">
              <w:rPr>
                <w:lang w:val="fr-FR"/>
              </w:rPr>
              <w:t>Ordre du jour provisoire de la soixante-cinquième session</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19</w:t>
            </w:r>
          </w:p>
        </w:tc>
      </w:tr>
      <w:tr w:rsidR="00BB6059" w:rsidRPr="00BB6059" w:rsidTr="00BB6059">
        <w:tc>
          <w:tcPr>
            <w:tcW w:w="9369" w:type="dxa"/>
            <w:gridSpan w:val="3"/>
            <w:shd w:val="clear" w:color="auto" w:fill="auto"/>
          </w:tcPr>
          <w:p w:rsidR="00BB6059" w:rsidRPr="00CC3940" w:rsidRDefault="00BB6059" w:rsidP="00BB6059">
            <w:pPr>
              <w:pStyle w:val="ListParagraph"/>
              <w:numPr>
                <w:ilvl w:val="0"/>
                <w:numId w:val="21"/>
              </w:numPr>
              <w:tabs>
                <w:tab w:val="left" w:pos="1296"/>
                <w:tab w:val="left" w:pos="1728"/>
                <w:tab w:val="left" w:pos="2160"/>
                <w:tab w:val="left" w:pos="2592"/>
                <w:tab w:val="left" w:pos="3024"/>
                <w:tab w:val="right" w:leader="dot" w:pos="9360"/>
              </w:tabs>
              <w:suppressAutoHyphens/>
              <w:spacing w:after="120"/>
              <w:rPr>
                <w:lang w:val="fr-FR"/>
              </w:rPr>
            </w:pPr>
            <w:r w:rsidRPr="00F70447">
              <w:rPr>
                <w:lang w:val="fr-FR"/>
              </w:rPr>
              <w:t>Adoption du rapport</w:t>
            </w:r>
            <w:r>
              <w:rPr>
                <w:spacing w:val="60"/>
                <w:sz w:val="17"/>
                <w:lang w:val="fr-FR"/>
              </w:rPr>
              <w:tab/>
            </w:r>
          </w:p>
        </w:tc>
        <w:tc>
          <w:tcPr>
            <w:tcW w:w="533" w:type="dxa"/>
            <w:shd w:val="clear" w:color="auto" w:fill="auto"/>
            <w:vAlign w:val="bottom"/>
          </w:tcPr>
          <w:p w:rsidR="00BB6059" w:rsidRDefault="00BB6059" w:rsidP="00BB6059">
            <w:pPr>
              <w:spacing w:after="120"/>
              <w:ind w:right="40"/>
              <w:jc w:val="right"/>
            </w:pPr>
            <w:r>
              <w:t>20</w:t>
            </w:r>
          </w:p>
        </w:tc>
      </w:tr>
    </w:tbl>
    <w:p w:rsidR="00CC0E70" w:rsidRDefault="00CC0E70">
      <w:r>
        <w:br w:type="page"/>
      </w:r>
    </w:p>
    <w:tbl>
      <w:tblPr>
        <w:tblW w:w="9902" w:type="dxa"/>
        <w:tblLayout w:type="fixed"/>
        <w:tblCellMar>
          <w:left w:w="0" w:type="dxa"/>
          <w:right w:w="0" w:type="dxa"/>
        </w:tblCellMar>
        <w:tblLook w:val="0000" w:firstRow="0" w:lastRow="0" w:firstColumn="0" w:lastColumn="0" w:noHBand="0" w:noVBand="0"/>
      </w:tblPr>
      <w:tblGrid>
        <w:gridCol w:w="9369"/>
        <w:gridCol w:w="533"/>
      </w:tblGrid>
      <w:tr w:rsidR="00BB6059" w:rsidRPr="00BB6059" w:rsidTr="00BB6059">
        <w:tc>
          <w:tcPr>
            <w:tcW w:w="9369" w:type="dxa"/>
            <w:shd w:val="clear" w:color="auto" w:fill="auto"/>
          </w:tcPr>
          <w:p w:rsidR="00BB6059" w:rsidRPr="00F70447" w:rsidRDefault="00CC0E70" w:rsidP="00CC0E70">
            <w:pPr>
              <w:pStyle w:val="ListParagraph"/>
              <w:tabs>
                <w:tab w:val="left" w:pos="1728"/>
                <w:tab w:val="left" w:pos="2160"/>
                <w:tab w:val="left" w:pos="2592"/>
                <w:tab w:val="left" w:pos="3024"/>
                <w:tab w:val="right" w:leader="dot" w:pos="9360"/>
              </w:tabs>
              <w:suppressAutoHyphens/>
              <w:spacing w:after="120"/>
              <w:ind w:left="180"/>
              <w:rPr>
                <w:lang w:val="fr-FR"/>
              </w:rPr>
            </w:pPr>
            <w:r w:rsidRPr="00CC0E70">
              <w:rPr>
                <w:lang w:val="fr-FR"/>
              </w:rPr>
              <w:lastRenderedPageBreak/>
              <w:t>Annexe</w:t>
            </w:r>
          </w:p>
        </w:tc>
        <w:tc>
          <w:tcPr>
            <w:tcW w:w="533" w:type="dxa"/>
            <w:shd w:val="clear" w:color="auto" w:fill="auto"/>
            <w:vAlign w:val="bottom"/>
          </w:tcPr>
          <w:p w:rsidR="00BB6059" w:rsidRDefault="00BB6059" w:rsidP="00BB6059">
            <w:pPr>
              <w:spacing w:after="120"/>
              <w:ind w:right="40"/>
              <w:jc w:val="right"/>
            </w:pPr>
          </w:p>
        </w:tc>
      </w:tr>
      <w:tr w:rsidR="00BB6059" w:rsidRPr="00BB6059" w:rsidTr="00BB6059">
        <w:tc>
          <w:tcPr>
            <w:tcW w:w="9369" w:type="dxa"/>
            <w:shd w:val="clear" w:color="auto" w:fill="auto"/>
          </w:tcPr>
          <w:p w:rsidR="00BB6059" w:rsidRPr="00CC0E70" w:rsidRDefault="00CC0E70" w:rsidP="00CC0E70">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lang w:val="fr-FR"/>
              </w:rPr>
            </w:pPr>
            <w:r w:rsidRPr="004D3268">
              <w:rPr>
                <w:lang w:val="fr-FR"/>
              </w:rPr>
              <w:t xml:space="preserve">Liste des documents dont le </w:t>
            </w:r>
            <w:r w:rsidRPr="00CC3940">
              <w:rPr>
                <w:szCs w:val="20"/>
                <w:lang w:val="fr-FR"/>
              </w:rPr>
              <w:t>Comité</w:t>
            </w:r>
            <w:r w:rsidRPr="004D3268">
              <w:rPr>
                <w:lang w:val="fr-FR"/>
              </w:rPr>
              <w:t xml:space="preserve"> était saisi à sa soixante-quatrième session</w:t>
            </w:r>
            <w:r>
              <w:rPr>
                <w:spacing w:val="60"/>
                <w:sz w:val="17"/>
                <w:lang w:val="fr-FR"/>
              </w:rPr>
              <w:tab/>
            </w:r>
          </w:p>
        </w:tc>
        <w:tc>
          <w:tcPr>
            <w:tcW w:w="533" w:type="dxa"/>
            <w:shd w:val="clear" w:color="auto" w:fill="auto"/>
            <w:vAlign w:val="bottom"/>
          </w:tcPr>
          <w:p w:rsidR="00BB6059" w:rsidRDefault="00CC0E70" w:rsidP="00BB6059">
            <w:pPr>
              <w:spacing w:after="120"/>
              <w:ind w:right="40"/>
              <w:jc w:val="right"/>
            </w:pPr>
            <w:r>
              <w:t>21</w:t>
            </w:r>
          </w:p>
        </w:tc>
      </w:tr>
      <w:tr w:rsidR="00BB6059" w:rsidRPr="00BB6059" w:rsidTr="00BB6059">
        <w:tc>
          <w:tcPr>
            <w:tcW w:w="9369" w:type="dxa"/>
            <w:shd w:val="clear" w:color="auto" w:fill="auto"/>
          </w:tcPr>
          <w:p w:rsidR="00BB6059" w:rsidRPr="00CC0E70" w:rsidRDefault="00CC0E70" w:rsidP="00CC0E70">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lang w:val="fr-FR"/>
              </w:rPr>
            </w:pPr>
            <w:r w:rsidRPr="00C23FA4">
              <w:rPr>
                <w:b/>
                <w:szCs w:val="20"/>
                <w:lang w:val="fr-FR"/>
              </w:rPr>
              <w:t>Deuxième partie</w:t>
            </w:r>
            <w:r>
              <w:rPr>
                <w:b/>
                <w:szCs w:val="20"/>
                <w:lang w:val="fr-FR"/>
              </w:rPr>
              <w:br/>
            </w:r>
            <w:r w:rsidRPr="00C23FA4">
              <w:rPr>
                <w:b/>
                <w:szCs w:val="20"/>
                <w:lang w:val="fr-FR"/>
              </w:rPr>
              <w:t>Rapport du Comité pour l’élimination de la discrimination à l’égard des femmes</w:t>
            </w:r>
            <w:r>
              <w:rPr>
                <w:b/>
                <w:szCs w:val="20"/>
                <w:lang w:val="fr-FR"/>
              </w:rPr>
              <w:br/>
            </w:r>
            <w:r w:rsidRPr="00C23FA4">
              <w:rPr>
                <w:b/>
                <w:szCs w:val="20"/>
                <w:lang w:val="fr-FR"/>
              </w:rPr>
              <w:t>sur les travaux de sa soixante-cinquième session</w:t>
            </w:r>
            <w:r w:rsidRPr="00CC0E70">
              <w:rPr>
                <w:bCs/>
                <w:spacing w:val="60"/>
                <w:sz w:val="17"/>
                <w:szCs w:val="20"/>
                <w:lang w:val="fr-FR"/>
              </w:rPr>
              <w:tab/>
            </w:r>
          </w:p>
        </w:tc>
        <w:tc>
          <w:tcPr>
            <w:tcW w:w="533" w:type="dxa"/>
            <w:shd w:val="clear" w:color="auto" w:fill="auto"/>
            <w:vAlign w:val="bottom"/>
          </w:tcPr>
          <w:p w:rsidR="00BB6059" w:rsidRDefault="00CC0E70" w:rsidP="00BB6059">
            <w:pPr>
              <w:spacing w:after="120"/>
              <w:ind w:right="40"/>
              <w:jc w:val="right"/>
            </w:pPr>
            <w:r>
              <w:t>22</w:t>
            </w:r>
          </w:p>
        </w:tc>
      </w:tr>
      <w:tr w:rsidR="00CC0E70" w:rsidRPr="00BB6059" w:rsidTr="00BB6059">
        <w:tc>
          <w:tcPr>
            <w:tcW w:w="9369" w:type="dxa"/>
            <w:shd w:val="clear" w:color="auto" w:fill="auto"/>
          </w:tcPr>
          <w:p w:rsidR="00CC0E70" w:rsidRPr="00E0101D"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CD1B01">
              <w:rPr>
                <w:lang w:val="fr-FR"/>
              </w:rPr>
              <w:t>Décisions prises par le Comité</w:t>
            </w:r>
            <w:r>
              <w:rPr>
                <w:spacing w:val="60"/>
                <w:sz w:val="17"/>
                <w:lang w:val="fr-FR"/>
              </w:rPr>
              <w:tab/>
            </w:r>
          </w:p>
        </w:tc>
        <w:tc>
          <w:tcPr>
            <w:tcW w:w="533" w:type="dxa"/>
            <w:shd w:val="clear" w:color="auto" w:fill="auto"/>
            <w:vAlign w:val="bottom"/>
          </w:tcPr>
          <w:p w:rsidR="00CC0E70" w:rsidRDefault="00CD1B01" w:rsidP="00BB6059">
            <w:pPr>
              <w:spacing w:after="120"/>
              <w:ind w:right="40"/>
              <w:jc w:val="right"/>
            </w:pPr>
            <w:r>
              <w:t>23</w:t>
            </w:r>
          </w:p>
        </w:tc>
      </w:tr>
      <w:tr w:rsidR="00CC0E70" w:rsidRPr="00BB6059" w:rsidTr="00BB6059">
        <w:tc>
          <w:tcPr>
            <w:tcW w:w="9369" w:type="dxa"/>
            <w:shd w:val="clear" w:color="auto" w:fill="auto"/>
          </w:tcPr>
          <w:p w:rsidR="00CC0E70" w:rsidRPr="00E0101D"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45552F">
              <w:rPr>
                <w:lang w:val="fr-FR"/>
              </w:rPr>
              <w:t>Questions d’organisation et autres questions</w:t>
            </w:r>
            <w:r>
              <w:rPr>
                <w:spacing w:val="60"/>
                <w:sz w:val="17"/>
                <w:lang w:val="fr-FR"/>
              </w:rPr>
              <w:tab/>
            </w:r>
          </w:p>
        </w:tc>
        <w:tc>
          <w:tcPr>
            <w:tcW w:w="533" w:type="dxa"/>
            <w:shd w:val="clear" w:color="auto" w:fill="auto"/>
            <w:vAlign w:val="bottom"/>
          </w:tcPr>
          <w:p w:rsidR="00CC0E70" w:rsidRDefault="00CD1B01" w:rsidP="00BB6059">
            <w:pPr>
              <w:spacing w:after="120"/>
              <w:ind w:right="40"/>
              <w:jc w:val="right"/>
            </w:pPr>
            <w:r>
              <w:t>25</w:t>
            </w:r>
          </w:p>
        </w:tc>
      </w:tr>
      <w:tr w:rsidR="00CC0E70" w:rsidRPr="00BB6059" w:rsidTr="00BB6059">
        <w:tc>
          <w:tcPr>
            <w:tcW w:w="9369" w:type="dxa"/>
            <w:shd w:val="clear" w:color="auto" w:fill="auto"/>
          </w:tcPr>
          <w:p w:rsidR="00CC0E70" w:rsidRPr="00E0101D" w:rsidRDefault="00CD1B01" w:rsidP="00CD1B01">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C23FA4">
              <w:rPr>
                <w:lang w:val="fr-FR"/>
              </w:rPr>
              <w:t>États parties à la Convention et au Protocole facultatif</w:t>
            </w:r>
            <w:r>
              <w:rPr>
                <w:spacing w:val="60"/>
                <w:sz w:val="17"/>
                <w:lang w:val="fr-FR"/>
              </w:rPr>
              <w:tab/>
            </w:r>
          </w:p>
        </w:tc>
        <w:tc>
          <w:tcPr>
            <w:tcW w:w="533" w:type="dxa"/>
            <w:shd w:val="clear" w:color="auto" w:fill="auto"/>
            <w:vAlign w:val="bottom"/>
          </w:tcPr>
          <w:p w:rsidR="00CC0E70" w:rsidRDefault="00CD1B01" w:rsidP="00BB6059">
            <w:pPr>
              <w:spacing w:after="120"/>
              <w:ind w:right="40"/>
              <w:jc w:val="right"/>
            </w:pPr>
            <w:r>
              <w:t>25</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left" w:pos="2592"/>
                <w:tab w:val="left" w:pos="3024"/>
                <w:tab w:val="left" w:pos="3456"/>
                <w:tab w:val="right" w:leader="dot" w:pos="9360"/>
              </w:tabs>
              <w:suppressAutoHyphens/>
              <w:spacing w:after="120"/>
              <w:rPr>
                <w:lang w:val="fr-FR"/>
              </w:rPr>
            </w:pPr>
            <w:r w:rsidRPr="00C23FA4">
              <w:rPr>
                <w:lang w:val="fr-FR"/>
              </w:rPr>
              <w:t>Ouverture de la session</w:t>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25</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45552F">
              <w:rPr>
                <w:lang w:val="fr-FR"/>
              </w:rPr>
              <w:t>Adoption de l’ordre du jour</w:t>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25</w:t>
            </w:r>
          </w:p>
        </w:tc>
      </w:tr>
      <w:tr w:rsidR="00CD1B01" w:rsidRPr="00BB6059" w:rsidTr="00BB6059">
        <w:tc>
          <w:tcPr>
            <w:tcW w:w="9369" w:type="dxa"/>
            <w:shd w:val="clear" w:color="auto" w:fill="auto"/>
          </w:tcPr>
          <w:p w:rsidR="00CD1B01" w:rsidRPr="0045552F" w:rsidRDefault="00CD1B01" w:rsidP="00CD1B01">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45552F">
              <w:rPr>
                <w:lang w:val="fr-FR"/>
              </w:rPr>
              <w:t>Rappo</w:t>
            </w:r>
            <w:r>
              <w:rPr>
                <w:lang w:val="fr-FR"/>
              </w:rPr>
              <w:t>rt du groupe de travail d’avant-</w:t>
            </w:r>
            <w:r w:rsidRPr="0045552F">
              <w:rPr>
                <w:lang w:val="fr-FR"/>
              </w:rPr>
              <w:t>session</w:t>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25</w:t>
            </w:r>
          </w:p>
        </w:tc>
      </w:tr>
      <w:tr w:rsidR="00CD1B01" w:rsidRPr="00BB6059" w:rsidTr="00BB6059">
        <w:tc>
          <w:tcPr>
            <w:tcW w:w="9369" w:type="dxa"/>
            <w:shd w:val="clear" w:color="auto" w:fill="auto"/>
          </w:tcPr>
          <w:p w:rsidR="00CD1B01" w:rsidRPr="0045552F" w:rsidRDefault="00CD1B01" w:rsidP="00CD1B01">
            <w:pPr>
              <w:pStyle w:val="ListParagraph"/>
              <w:numPr>
                <w:ilvl w:val="1"/>
                <w:numId w:val="22"/>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C23FA4">
              <w:rPr>
                <w:lang w:val="fr-FR"/>
              </w:rPr>
              <w:t>Organisation des travaux</w:t>
            </w:r>
            <w:r>
              <w:rPr>
                <w:spacing w:val="60"/>
                <w:sz w:val="17"/>
                <w:lang w:val="fr-FR"/>
              </w:rPr>
              <w:tab/>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25</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left" w:pos="2592"/>
                <w:tab w:val="left" w:pos="3024"/>
                <w:tab w:val="left" w:pos="3456"/>
                <w:tab w:val="right" w:leader="dot" w:pos="9360"/>
              </w:tabs>
              <w:suppressAutoHyphens/>
              <w:spacing w:after="120"/>
              <w:rPr>
                <w:lang w:val="fr-FR"/>
              </w:rPr>
            </w:pPr>
            <w:r w:rsidRPr="004A424E">
              <w:rPr>
                <w:lang w:val="fr-FR"/>
              </w:rPr>
              <w:t>Composition du Comité</w:t>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26</w:t>
            </w:r>
          </w:p>
        </w:tc>
      </w:tr>
      <w:tr w:rsidR="00CD1B01" w:rsidRPr="00BB6059" w:rsidTr="00BB6059">
        <w:tc>
          <w:tcPr>
            <w:tcW w:w="9369" w:type="dxa"/>
            <w:shd w:val="clear" w:color="auto" w:fill="auto"/>
          </w:tcPr>
          <w:p w:rsidR="00CD1B01" w:rsidRPr="004A424E"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C23FA4">
              <w:rPr>
                <w:lang w:val="fr-FR"/>
              </w:rPr>
              <w:t>Rapport de la Présidente sur les activités intersessions</w:t>
            </w:r>
            <w:r>
              <w:rPr>
                <w:spacing w:val="60"/>
                <w:sz w:val="17"/>
                <w:lang w:val="fr-FR"/>
              </w:rPr>
              <w:tab/>
            </w:r>
          </w:p>
        </w:tc>
        <w:tc>
          <w:tcPr>
            <w:tcW w:w="533" w:type="dxa"/>
            <w:shd w:val="clear" w:color="auto" w:fill="auto"/>
            <w:vAlign w:val="bottom"/>
          </w:tcPr>
          <w:p w:rsidR="00CD1B01" w:rsidRDefault="00CD1B01" w:rsidP="00BB6059">
            <w:pPr>
              <w:spacing w:after="120"/>
              <w:ind w:right="40"/>
              <w:jc w:val="right"/>
            </w:pPr>
            <w:r>
              <w:t>27</w:t>
            </w:r>
          </w:p>
        </w:tc>
      </w:tr>
      <w:tr w:rsidR="00CD1B01" w:rsidRPr="00BB6059" w:rsidTr="00BB6059">
        <w:tc>
          <w:tcPr>
            <w:tcW w:w="9369" w:type="dxa"/>
            <w:shd w:val="clear" w:color="auto" w:fill="auto"/>
          </w:tcPr>
          <w:p w:rsidR="00CD1B01" w:rsidRPr="00C23FA4" w:rsidRDefault="00CD1B01" w:rsidP="00CD1B01">
            <w:pPr>
              <w:pStyle w:val="ListParagraph"/>
              <w:numPr>
                <w:ilvl w:val="0"/>
                <w:numId w:val="22"/>
              </w:numPr>
              <w:tabs>
                <w:tab w:val="left" w:pos="1296"/>
                <w:tab w:val="left" w:pos="1728"/>
                <w:tab w:val="left" w:pos="2160"/>
                <w:tab w:val="right" w:leader="dot" w:pos="9360"/>
              </w:tabs>
              <w:suppressAutoHyphens/>
              <w:spacing w:after="120"/>
              <w:rPr>
                <w:lang w:val="fr-FR"/>
              </w:rPr>
            </w:pPr>
            <w:r w:rsidRPr="00C23FA4">
              <w:t>Examen des rapports présentés par les États parties</w:t>
            </w:r>
            <w:r w:rsidR="00D944D7">
              <w:t xml:space="preserve"> en </w:t>
            </w:r>
            <w:r w:rsidRPr="00C23FA4">
              <w:t>application de l’article 18 de la Convention</w:t>
            </w:r>
            <w:r>
              <w:rPr>
                <w:spacing w:val="60"/>
                <w:sz w:val="17"/>
              </w:rPr>
              <w:tab/>
            </w:r>
          </w:p>
        </w:tc>
        <w:tc>
          <w:tcPr>
            <w:tcW w:w="533" w:type="dxa"/>
            <w:shd w:val="clear" w:color="auto" w:fill="auto"/>
            <w:vAlign w:val="bottom"/>
          </w:tcPr>
          <w:p w:rsidR="00CD1B01" w:rsidRDefault="00CD1B01" w:rsidP="00BB6059">
            <w:pPr>
              <w:spacing w:after="120"/>
              <w:ind w:right="40"/>
              <w:jc w:val="right"/>
            </w:pPr>
            <w:r>
              <w:t>28</w:t>
            </w:r>
          </w:p>
        </w:tc>
      </w:tr>
      <w:tr w:rsidR="00CD1B01" w:rsidRPr="00BB6059" w:rsidTr="00BB6059">
        <w:tc>
          <w:tcPr>
            <w:tcW w:w="9369" w:type="dxa"/>
            <w:shd w:val="clear" w:color="auto" w:fill="auto"/>
          </w:tcPr>
          <w:p w:rsidR="00CD1B01" w:rsidRPr="00C23FA4"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C23FA4">
              <w:t>Activités menées au titre du Protocole facultatif</w:t>
            </w:r>
            <w:r>
              <w:rPr>
                <w:spacing w:val="60"/>
                <w:sz w:val="17"/>
              </w:rPr>
              <w:tab/>
            </w:r>
          </w:p>
        </w:tc>
        <w:tc>
          <w:tcPr>
            <w:tcW w:w="533" w:type="dxa"/>
            <w:shd w:val="clear" w:color="auto" w:fill="auto"/>
            <w:vAlign w:val="bottom"/>
          </w:tcPr>
          <w:p w:rsidR="00CD1B01" w:rsidRDefault="00CD1B01" w:rsidP="00BB6059">
            <w:pPr>
              <w:spacing w:after="120"/>
              <w:ind w:right="40"/>
              <w:jc w:val="right"/>
            </w:pPr>
            <w:r>
              <w:t>30</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right" w:leader="dot" w:pos="9360"/>
              </w:tabs>
              <w:suppressAutoHyphens/>
              <w:spacing w:after="120"/>
            </w:pPr>
            <w:r w:rsidRPr="00C23FA4">
              <w:rPr>
                <w:lang w:val="fr-FR"/>
              </w:rPr>
              <w:t>Mesures</w:t>
            </w:r>
            <w:r w:rsidRPr="00D32FED">
              <w:t xml:space="preserve"> prises par le Comité sur les questions relevant</w:t>
            </w:r>
            <w:r>
              <w:t xml:space="preserve"> </w:t>
            </w:r>
            <w:r w:rsidRPr="00D32FED">
              <w:t>de l’article</w:t>
            </w:r>
            <w:r>
              <w:t> </w:t>
            </w:r>
            <w:r w:rsidRPr="00D32FED">
              <w:t>2 du Protocole facultatif</w:t>
            </w:r>
            <w:r>
              <w:rPr>
                <w:spacing w:val="60"/>
                <w:sz w:val="17"/>
              </w:rPr>
              <w:tab/>
            </w:r>
          </w:p>
        </w:tc>
        <w:tc>
          <w:tcPr>
            <w:tcW w:w="533" w:type="dxa"/>
            <w:shd w:val="clear" w:color="auto" w:fill="auto"/>
            <w:vAlign w:val="bottom"/>
          </w:tcPr>
          <w:p w:rsidR="00CD1B01" w:rsidRDefault="00CD1B01" w:rsidP="00BB6059">
            <w:pPr>
              <w:spacing w:after="120"/>
              <w:ind w:right="40"/>
              <w:jc w:val="right"/>
            </w:pPr>
            <w:r>
              <w:t>30</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left" w:pos="2592"/>
                <w:tab w:val="right" w:leader="dot" w:pos="9360"/>
              </w:tabs>
              <w:suppressAutoHyphens/>
              <w:spacing w:after="120"/>
              <w:rPr>
                <w:lang w:val="fr-FR"/>
              </w:rPr>
            </w:pPr>
            <w:r w:rsidRPr="00C23FA4">
              <w:t>Suite donnée aux constatations du Comité sur les communications émanant de particuliers</w:t>
            </w:r>
            <w:r>
              <w:rPr>
                <w:spacing w:val="60"/>
                <w:sz w:val="17"/>
              </w:rPr>
              <w:tab/>
            </w:r>
          </w:p>
        </w:tc>
        <w:tc>
          <w:tcPr>
            <w:tcW w:w="533" w:type="dxa"/>
            <w:shd w:val="clear" w:color="auto" w:fill="auto"/>
            <w:vAlign w:val="bottom"/>
          </w:tcPr>
          <w:p w:rsidR="00CD1B01" w:rsidRDefault="00CD1B01" w:rsidP="00BB6059">
            <w:pPr>
              <w:spacing w:after="120"/>
              <w:ind w:right="40"/>
              <w:jc w:val="right"/>
            </w:pPr>
            <w:r>
              <w:t>30</w:t>
            </w:r>
          </w:p>
        </w:tc>
      </w:tr>
      <w:tr w:rsidR="00CD1B01" w:rsidRPr="00BB6059" w:rsidTr="00BB6059">
        <w:tc>
          <w:tcPr>
            <w:tcW w:w="9369" w:type="dxa"/>
            <w:shd w:val="clear" w:color="auto" w:fill="auto"/>
          </w:tcPr>
          <w:p w:rsidR="00CD1B01" w:rsidRPr="00C23FA4" w:rsidRDefault="00CD1B01" w:rsidP="00CD1B01">
            <w:pPr>
              <w:pStyle w:val="ListParagraph"/>
              <w:numPr>
                <w:ilvl w:val="1"/>
                <w:numId w:val="22"/>
              </w:numPr>
              <w:tabs>
                <w:tab w:val="left" w:pos="1296"/>
                <w:tab w:val="left" w:pos="1728"/>
                <w:tab w:val="left" w:pos="2160"/>
                <w:tab w:val="right" w:leader="dot" w:pos="9360"/>
              </w:tabs>
              <w:suppressAutoHyphens/>
              <w:spacing w:after="120"/>
            </w:pPr>
            <w:r w:rsidRPr="00C23FA4">
              <w:t>Mesures prises par le Comité sur les questions relevant</w:t>
            </w:r>
            <w:r>
              <w:t xml:space="preserve"> </w:t>
            </w:r>
            <w:r w:rsidRPr="00C23FA4">
              <w:t>de l’article 8 du Protocole facultatif</w:t>
            </w:r>
            <w:r>
              <w:rPr>
                <w:spacing w:val="60"/>
                <w:sz w:val="17"/>
              </w:rPr>
              <w:tab/>
            </w:r>
          </w:p>
        </w:tc>
        <w:tc>
          <w:tcPr>
            <w:tcW w:w="533" w:type="dxa"/>
            <w:shd w:val="clear" w:color="auto" w:fill="auto"/>
            <w:vAlign w:val="bottom"/>
          </w:tcPr>
          <w:p w:rsidR="00CD1B01" w:rsidRDefault="00CD1B01" w:rsidP="00BB6059">
            <w:pPr>
              <w:spacing w:after="120"/>
              <w:ind w:right="40"/>
              <w:jc w:val="right"/>
            </w:pPr>
            <w:r>
              <w:t>30</w:t>
            </w:r>
          </w:p>
        </w:tc>
      </w:tr>
      <w:tr w:rsidR="00CD1B01" w:rsidRPr="00BB6059" w:rsidTr="00CD1B01">
        <w:trPr>
          <w:trHeight w:val="414"/>
        </w:trPr>
        <w:tc>
          <w:tcPr>
            <w:tcW w:w="9369" w:type="dxa"/>
            <w:shd w:val="clear" w:color="auto" w:fill="auto"/>
          </w:tcPr>
          <w:p w:rsidR="00CD1B01" w:rsidRPr="00C23FA4"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C23FA4">
              <w:t>Moyens d’accélérer les travaux du Comité</w:t>
            </w:r>
            <w:r>
              <w:rPr>
                <w:spacing w:val="60"/>
                <w:sz w:val="17"/>
              </w:rPr>
              <w:tab/>
            </w:r>
          </w:p>
        </w:tc>
        <w:tc>
          <w:tcPr>
            <w:tcW w:w="533" w:type="dxa"/>
            <w:shd w:val="clear" w:color="auto" w:fill="auto"/>
            <w:vAlign w:val="bottom"/>
          </w:tcPr>
          <w:p w:rsidR="00CD1B01" w:rsidRDefault="00CD1B01" w:rsidP="00BB6059">
            <w:pPr>
              <w:spacing w:after="120"/>
              <w:ind w:right="40"/>
              <w:jc w:val="right"/>
            </w:pPr>
            <w:r>
              <w:t>32</w:t>
            </w:r>
          </w:p>
        </w:tc>
      </w:tr>
      <w:tr w:rsidR="00CD1B01" w:rsidRPr="00BB6059" w:rsidTr="00BB6059">
        <w:tc>
          <w:tcPr>
            <w:tcW w:w="9369" w:type="dxa"/>
            <w:shd w:val="clear" w:color="auto" w:fill="auto"/>
          </w:tcPr>
          <w:p w:rsidR="00CD1B01" w:rsidRPr="00C23FA4"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F3381D">
              <w:t>Application de l’article 21 de la Convention</w:t>
            </w:r>
            <w:r>
              <w:rPr>
                <w:spacing w:val="60"/>
                <w:sz w:val="17"/>
              </w:rPr>
              <w:tab/>
            </w:r>
          </w:p>
        </w:tc>
        <w:tc>
          <w:tcPr>
            <w:tcW w:w="533" w:type="dxa"/>
            <w:shd w:val="clear" w:color="auto" w:fill="auto"/>
            <w:vAlign w:val="bottom"/>
          </w:tcPr>
          <w:p w:rsidR="00CD1B01" w:rsidRDefault="00CD1B01" w:rsidP="00BB6059">
            <w:pPr>
              <w:spacing w:after="120"/>
              <w:ind w:right="40"/>
              <w:jc w:val="right"/>
            </w:pPr>
            <w:r>
              <w:t>33</w:t>
            </w:r>
          </w:p>
        </w:tc>
      </w:tr>
      <w:tr w:rsidR="00CD1B01" w:rsidRPr="00BB6059" w:rsidTr="00BB6059">
        <w:tc>
          <w:tcPr>
            <w:tcW w:w="9369" w:type="dxa"/>
            <w:shd w:val="clear" w:color="auto" w:fill="auto"/>
          </w:tcPr>
          <w:p w:rsidR="00CD1B01" w:rsidRPr="00F3381D" w:rsidRDefault="00CD1B01" w:rsidP="00CD1B01">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F3381D">
              <w:t>Ordre du jour provisoire de la soixante-sixième session</w:t>
            </w:r>
            <w:r>
              <w:rPr>
                <w:spacing w:val="60"/>
                <w:sz w:val="17"/>
              </w:rPr>
              <w:tab/>
            </w:r>
          </w:p>
        </w:tc>
        <w:tc>
          <w:tcPr>
            <w:tcW w:w="533" w:type="dxa"/>
            <w:shd w:val="clear" w:color="auto" w:fill="auto"/>
            <w:vAlign w:val="bottom"/>
          </w:tcPr>
          <w:p w:rsidR="00CD1B01" w:rsidRDefault="00CD1B01" w:rsidP="00BB6059">
            <w:pPr>
              <w:spacing w:after="120"/>
              <w:ind w:right="40"/>
              <w:jc w:val="right"/>
            </w:pPr>
            <w:r>
              <w:t>35</w:t>
            </w:r>
          </w:p>
        </w:tc>
      </w:tr>
      <w:tr w:rsidR="00CD1B01" w:rsidRPr="00BB6059" w:rsidTr="00BB6059">
        <w:tc>
          <w:tcPr>
            <w:tcW w:w="9369" w:type="dxa"/>
            <w:shd w:val="clear" w:color="auto" w:fill="auto"/>
          </w:tcPr>
          <w:p w:rsidR="00CD1B01" w:rsidRPr="00F3381D" w:rsidRDefault="00CD1B01" w:rsidP="00CD1B01">
            <w:pPr>
              <w:pStyle w:val="ListParagraph"/>
              <w:numPr>
                <w:ilvl w:val="0"/>
                <w:numId w:val="22"/>
              </w:numPr>
              <w:tabs>
                <w:tab w:val="left" w:pos="1296"/>
                <w:tab w:val="left" w:pos="1728"/>
                <w:tab w:val="left" w:pos="2160"/>
                <w:tab w:val="left" w:pos="2592"/>
                <w:tab w:val="left" w:pos="3024"/>
                <w:tab w:val="right" w:leader="dot" w:pos="9360"/>
              </w:tabs>
              <w:suppressAutoHyphens/>
              <w:spacing w:after="120"/>
            </w:pPr>
            <w:r w:rsidRPr="00F3381D">
              <w:t>Adoption du rapport</w:t>
            </w:r>
            <w:r>
              <w:rPr>
                <w:spacing w:val="60"/>
                <w:sz w:val="17"/>
              </w:rPr>
              <w:tab/>
            </w:r>
          </w:p>
        </w:tc>
        <w:tc>
          <w:tcPr>
            <w:tcW w:w="533" w:type="dxa"/>
            <w:shd w:val="clear" w:color="auto" w:fill="auto"/>
            <w:vAlign w:val="bottom"/>
          </w:tcPr>
          <w:p w:rsidR="00CD1B01" w:rsidRDefault="00CD1B01" w:rsidP="00BB6059">
            <w:pPr>
              <w:spacing w:after="120"/>
              <w:ind w:right="40"/>
              <w:jc w:val="right"/>
            </w:pPr>
            <w:r>
              <w:t>36</w:t>
            </w:r>
          </w:p>
        </w:tc>
      </w:tr>
      <w:tr w:rsidR="00CD1B01" w:rsidRPr="00BB6059" w:rsidTr="00BB6059">
        <w:tc>
          <w:tcPr>
            <w:tcW w:w="9369" w:type="dxa"/>
            <w:shd w:val="clear" w:color="auto" w:fill="auto"/>
          </w:tcPr>
          <w:p w:rsidR="00CD1B01" w:rsidRPr="00F3381D" w:rsidRDefault="00CD1B01" w:rsidP="00CD1B01">
            <w:pPr>
              <w:pStyle w:val="ListParagraph"/>
              <w:tabs>
                <w:tab w:val="left" w:pos="1728"/>
                <w:tab w:val="left" w:pos="2160"/>
                <w:tab w:val="left" w:pos="2592"/>
                <w:tab w:val="left" w:pos="3024"/>
                <w:tab w:val="right" w:leader="dot" w:pos="9360"/>
              </w:tabs>
              <w:suppressAutoHyphens/>
              <w:spacing w:after="120"/>
              <w:ind w:left="180"/>
            </w:pPr>
            <w:r>
              <w:t>Annexes</w:t>
            </w:r>
          </w:p>
        </w:tc>
        <w:tc>
          <w:tcPr>
            <w:tcW w:w="533" w:type="dxa"/>
            <w:shd w:val="clear" w:color="auto" w:fill="auto"/>
            <w:vAlign w:val="bottom"/>
          </w:tcPr>
          <w:p w:rsidR="00CD1B01" w:rsidRDefault="00CD1B01" w:rsidP="00BB6059">
            <w:pPr>
              <w:spacing w:after="120"/>
              <w:ind w:right="40"/>
              <w:jc w:val="right"/>
            </w:pPr>
          </w:p>
        </w:tc>
      </w:tr>
      <w:tr w:rsidR="00CD1B01" w:rsidRPr="00BB6059" w:rsidTr="00BB6059">
        <w:tc>
          <w:tcPr>
            <w:tcW w:w="9369" w:type="dxa"/>
            <w:shd w:val="clear" w:color="auto" w:fill="auto"/>
          </w:tcPr>
          <w:p w:rsidR="00CD1B01" w:rsidRPr="00F3381D" w:rsidRDefault="00CD1B01" w:rsidP="00CD1B01">
            <w:pPr>
              <w:pStyle w:val="ListParagraph"/>
              <w:numPr>
                <w:ilvl w:val="0"/>
                <w:numId w:val="2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F3381D">
              <w:t>Liste</w:t>
            </w:r>
            <w:r w:rsidRPr="00F3381D">
              <w:rPr>
                <w:szCs w:val="20"/>
                <w:lang w:val="fr-FR"/>
              </w:rPr>
              <w:t xml:space="preserve"> des documents dont le Comité était saisi à sa soixante-cinquième session</w:t>
            </w:r>
            <w:r>
              <w:rPr>
                <w:spacing w:val="60"/>
                <w:sz w:val="17"/>
                <w:szCs w:val="20"/>
                <w:lang w:val="fr-FR"/>
              </w:rPr>
              <w:tab/>
            </w:r>
          </w:p>
        </w:tc>
        <w:tc>
          <w:tcPr>
            <w:tcW w:w="533" w:type="dxa"/>
            <w:shd w:val="clear" w:color="auto" w:fill="auto"/>
            <w:vAlign w:val="bottom"/>
          </w:tcPr>
          <w:p w:rsidR="00CD1B01" w:rsidRDefault="00CD1B01" w:rsidP="00BB6059">
            <w:pPr>
              <w:spacing w:after="120"/>
              <w:ind w:right="40"/>
              <w:jc w:val="right"/>
            </w:pPr>
            <w:r>
              <w:t>37</w:t>
            </w:r>
          </w:p>
        </w:tc>
      </w:tr>
      <w:tr w:rsidR="00CD1B01" w:rsidRPr="00BB6059" w:rsidTr="00BB6059">
        <w:tc>
          <w:tcPr>
            <w:tcW w:w="9369" w:type="dxa"/>
            <w:shd w:val="clear" w:color="auto" w:fill="auto"/>
          </w:tcPr>
          <w:p w:rsidR="00CD1B01" w:rsidRPr="00F3381D" w:rsidRDefault="00CD1B01" w:rsidP="00CD1B01">
            <w:pPr>
              <w:pStyle w:val="ListParagraph"/>
              <w:numPr>
                <w:ilvl w:val="0"/>
                <w:numId w:val="23"/>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F3381D">
              <w:rPr>
                <w:bCs/>
                <w:lang w:val="fr-FR"/>
              </w:rPr>
              <w:t>Composition du Comité au 18</w:t>
            </w:r>
            <w:r w:rsidR="00D944D7">
              <w:rPr>
                <w:bCs/>
                <w:lang w:val="fr-FR"/>
              </w:rPr>
              <w:t> novembre</w:t>
            </w:r>
            <w:r w:rsidRPr="00F3381D">
              <w:rPr>
                <w:bCs/>
                <w:lang w:val="fr-FR"/>
              </w:rPr>
              <w:t xml:space="preserve"> 2016</w:t>
            </w:r>
            <w:r>
              <w:rPr>
                <w:bCs/>
                <w:spacing w:val="60"/>
                <w:sz w:val="17"/>
                <w:lang w:val="fr-FR"/>
              </w:rPr>
              <w:tab/>
            </w:r>
          </w:p>
        </w:tc>
        <w:tc>
          <w:tcPr>
            <w:tcW w:w="533" w:type="dxa"/>
            <w:shd w:val="clear" w:color="auto" w:fill="auto"/>
            <w:vAlign w:val="bottom"/>
          </w:tcPr>
          <w:p w:rsidR="00CD1B01" w:rsidRDefault="00CD1B01" w:rsidP="00BB6059">
            <w:pPr>
              <w:spacing w:after="120"/>
              <w:ind w:right="40"/>
              <w:jc w:val="right"/>
            </w:pPr>
            <w:r>
              <w:t>38</w:t>
            </w:r>
          </w:p>
        </w:tc>
      </w:tr>
      <w:tr w:rsidR="00CD1B01" w:rsidRPr="00BB6059" w:rsidTr="00BB6059">
        <w:tc>
          <w:tcPr>
            <w:tcW w:w="9369" w:type="dxa"/>
            <w:shd w:val="clear" w:color="auto" w:fill="auto"/>
          </w:tcPr>
          <w:p w:rsidR="00CD1B01" w:rsidRPr="00F3381D" w:rsidRDefault="00CD1B01" w:rsidP="00CD1B0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bCs/>
                <w:lang w:val="fr-FR"/>
              </w:rPr>
            </w:pPr>
            <w:r w:rsidRPr="00F3381D">
              <w:rPr>
                <w:b/>
                <w:szCs w:val="20"/>
                <w:lang w:val="fr-FR"/>
              </w:rPr>
              <w:t>Troisième partie</w:t>
            </w:r>
            <w:r w:rsidRPr="00F3381D">
              <w:rPr>
                <w:b/>
                <w:szCs w:val="20"/>
                <w:lang w:val="fr-FR"/>
              </w:rPr>
              <w:br/>
              <w:t>Rapport du Comité pour l’élimination de la discrimination à l’égard des femmes</w:t>
            </w:r>
            <w:r>
              <w:rPr>
                <w:b/>
                <w:szCs w:val="20"/>
                <w:lang w:val="fr-FR"/>
              </w:rPr>
              <w:br/>
            </w:r>
            <w:r w:rsidRPr="00F3381D">
              <w:rPr>
                <w:b/>
                <w:szCs w:val="20"/>
                <w:lang w:val="fr-FR"/>
              </w:rPr>
              <w:t>sur les travaux de sa soixante-sixième session</w:t>
            </w:r>
          </w:p>
        </w:tc>
        <w:tc>
          <w:tcPr>
            <w:tcW w:w="533" w:type="dxa"/>
            <w:shd w:val="clear" w:color="auto" w:fill="auto"/>
            <w:vAlign w:val="bottom"/>
          </w:tcPr>
          <w:p w:rsidR="00CD1B01" w:rsidRDefault="00CD1B01" w:rsidP="00BB6059">
            <w:pPr>
              <w:spacing w:after="120"/>
              <w:ind w:right="40"/>
              <w:jc w:val="right"/>
            </w:pPr>
            <w:r>
              <w:t>39</w:t>
            </w:r>
          </w:p>
        </w:tc>
      </w:tr>
      <w:tr w:rsidR="00CD1B01" w:rsidRPr="00BB6059" w:rsidTr="00BB6059">
        <w:tc>
          <w:tcPr>
            <w:tcW w:w="9369" w:type="dxa"/>
            <w:shd w:val="clear" w:color="auto" w:fill="auto"/>
          </w:tcPr>
          <w:p w:rsidR="00CD1B01" w:rsidRPr="00CD1B01"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right" w:leader="dot" w:pos="9360"/>
              </w:tabs>
              <w:suppressAutoHyphens/>
              <w:spacing w:after="120"/>
              <w:rPr>
                <w:bCs/>
                <w:szCs w:val="20"/>
                <w:lang w:val="fr-FR"/>
              </w:rPr>
            </w:pPr>
            <w:r w:rsidRPr="00F3381D">
              <w:t>Décisions</w:t>
            </w:r>
            <w:r w:rsidRPr="00F3381D">
              <w:rPr>
                <w:bCs/>
                <w:szCs w:val="20"/>
              </w:rPr>
              <w:t xml:space="preserve"> prises par le Comité</w:t>
            </w:r>
            <w:r>
              <w:rPr>
                <w:bCs/>
                <w:spacing w:val="60"/>
                <w:sz w:val="17"/>
                <w:szCs w:val="20"/>
              </w:rPr>
              <w:tab/>
            </w:r>
          </w:p>
        </w:tc>
        <w:tc>
          <w:tcPr>
            <w:tcW w:w="533" w:type="dxa"/>
            <w:shd w:val="clear" w:color="auto" w:fill="auto"/>
            <w:vAlign w:val="bottom"/>
          </w:tcPr>
          <w:p w:rsidR="00CD1B01" w:rsidRDefault="00CD1B01" w:rsidP="00BB6059">
            <w:pPr>
              <w:spacing w:after="120"/>
              <w:ind w:right="40"/>
              <w:jc w:val="right"/>
            </w:pPr>
            <w:r>
              <w:t>40</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F3381D">
              <w:rPr>
                <w:szCs w:val="20"/>
              </w:rPr>
              <w:t>Questions d’organisation et questions diverses</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F3381D" w:rsidRDefault="00CD1B01" w:rsidP="00CD1B01">
            <w:pPr>
              <w:pStyle w:val="ListParagraph"/>
              <w:numPr>
                <w:ilvl w:val="1"/>
                <w:numId w:val="2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zCs w:val="20"/>
              </w:rPr>
            </w:pPr>
            <w:r w:rsidRPr="00D32FED">
              <w:t>États parties à la Convention et au Protocole facultatif</w:t>
            </w:r>
            <w:r>
              <w:rPr>
                <w:spacing w:val="60"/>
                <w:sz w:val="17"/>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left" w:pos="2592"/>
                <w:tab w:val="left" w:pos="3024"/>
                <w:tab w:val="left" w:pos="3456"/>
                <w:tab w:val="right" w:leader="dot" w:pos="9360"/>
              </w:tabs>
              <w:suppressAutoHyphens/>
              <w:spacing w:after="120"/>
            </w:pPr>
            <w:r w:rsidRPr="00D32FED">
              <w:t>Ouverture de la session</w:t>
            </w:r>
            <w:r>
              <w:rPr>
                <w:spacing w:val="60"/>
                <w:sz w:val="17"/>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left" w:pos="2592"/>
                <w:tab w:val="left" w:pos="3024"/>
                <w:tab w:val="left" w:pos="3456"/>
                <w:tab w:val="left" w:pos="3888"/>
                <w:tab w:val="right" w:leader="dot" w:pos="9360"/>
              </w:tabs>
              <w:suppressAutoHyphens/>
              <w:spacing w:after="120"/>
            </w:pPr>
            <w:r w:rsidRPr="00D32FED">
              <w:t>Adoption de l’ordre du jour</w:t>
            </w:r>
            <w:r>
              <w:rPr>
                <w:spacing w:val="60"/>
                <w:sz w:val="17"/>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D32FED">
              <w:lastRenderedPageBreak/>
              <w:t>Rapport du groupe de travail d’avant</w:t>
            </w:r>
            <w:r>
              <w:t>-</w:t>
            </w:r>
            <w:r w:rsidRPr="00D32FED">
              <w:t>session</w:t>
            </w:r>
            <w:r>
              <w:rPr>
                <w:spacing w:val="60"/>
                <w:sz w:val="17"/>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left" w:pos="2592"/>
                <w:tab w:val="left" w:pos="3024"/>
                <w:tab w:val="left" w:pos="3456"/>
                <w:tab w:val="left" w:pos="3888"/>
                <w:tab w:val="right" w:leader="dot" w:pos="9360"/>
              </w:tabs>
              <w:suppressAutoHyphens/>
              <w:spacing w:after="120"/>
            </w:pPr>
            <w:r w:rsidRPr="00D32FED">
              <w:t>Organisation des travaux</w:t>
            </w:r>
            <w:r>
              <w:rPr>
                <w:spacing w:val="60"/>
                <w:sz w:val="17"/>
              </w:rPr>
              <w:tab/>
            </w:r>
            <w:r>
              <w:rPr>
                <w:spacing w:val="60"/>
                <w:sz w:val="17"/>
              </w:rPr>
              <w:tab/>
            </w:r>
          </w:p>
        </w:tc>
        <w:tc>
          <w:tcPr>
            <w:tcW w:w="533" w:type="dxa"/>
            <w:shd w:val="clear" w:color="auto" w:fill="auto"/>
            <w:vAlign w:val="bottom"/>
          </w:tcPr>
          <w:p w:rsidR="00CD1B01" w:rsidRDefault="00CD1B01" w:rsidP="00BB6059">
            <w:pPr>
              <w:spacing w:after="120"/>
              <w:ind w:right="40"/>
              <w:jc w:val="right"/>
            </w:pPr>
            <w:r>
              <w:t>42</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left" w:pos="2592"/>
                <w:tab w:val="left" w:pos="3024"/>
                <w:tab w:val="left" w:pos="3456"/>
                <w:tab w:val="right" w:leader="dot" w:pos="9360"/>
              </w:tabs>
              <w:suppressAutoHyphens/>
              <w:spacing w:after="120"/>
            </w:pPr>
            <w:r w:rsidRPr="00D32FED">
              <w:t>Composition du Comité</w:t>
            </w:r>
            <w:r>
              <w:rPr>
                <w:spacing w:val="60"/>
                <w:sz w:val="17"/>
              </w:rPr>
              <w:tab/>
            </w:r>
          </w:p>
        </w:tc>
        <w:tc>
          <w:tcPr>
            <w:tcW w:w="533" w:type="dxa"/>
            <w:shd w:val="clear" w:color="auto" w:fill="auto"/>
            <w:vAlign w:val="bottom"/>
          </w:tcPr>
          <w:p w:rsidR="00CD1B01" w:rsidRDefault="00CD1B01" w:rsidP="00BB6059">
            <w:pPr>
              <w:spacing w:after="120"/>
              <w:ind w:right="40"/>
              <w:jc w:val="right"/>
            </w:pPr>
            <w:r>
              <w:t>43</w:t>
            </w:r>
          </w:p>
        </w:tc>
      </w:tr>
      <w:tr w:rsidR="00CD1B01" w:rsidRPr="00BB6059" w:rsidTr="00BB6059">
        <w:tc>
          <w:tcPr>
            <w:tcW w:w="9369" w:type="dxa"/>
            <w:shd w:val="clear" w:color="auto" w:fill="auto"/>
          </w:tcPr>
          <w:p w:rsidR="00CD1B01" w:rsidRPr="00D32FE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F3381D">
              <w:rPr>
                <w:szCs w:val="20"/>
              </w:rPr>
              <w:t>Rapport de la Présidente sur les activités intersessions</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44</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right" w:leader="dot" w:pos="9360"/>
              </w:tabs>
              <w:suppressAutoHyphens/>
              <w:spacing w:after="120"/>
              <w:rPr>
                <w:szCs w:val="20"/>
              </w:rPr>
            </w:pPr>
            <w:r w:rsidRPr="00F3381D">
              <w:rPr>
                <w:szCs w:val="20"/>
              </w:rPr>
              <w:t>Examen des rapports présentés par les États parties</w:t>
            </w:r>
            <w:r w:rsidR="00D944D7">
              <w:rPr>
                <w:szCs w:val="20"/>
              </w:rPr>
              <w:t xml:space="preserve"> en </w:t>
            </w:r>
            <w:r w:rsidRPr="00F3381D">
              <w:rPr>
                <w:szCs w:val="20"/>
              </w:rPr>
              <w:t>application de l’article 18 de la Convention</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45</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zCs w:val="20"/>
              </w:rPr>
            </w:pPr>
            <w:r w:rsidRPr="00F3381D">
              <w:rPr>
                <w:szCs w:val="20"/>
              </w:rPr>
              <w:t>Activités menées au titre du Protocole facultatif</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46</w:t>
            </w:r>
          </w:p>
        </w:tc>
      </w:tr>
      <w:tr w:rsidR="00CD1B01" w:rsidRPr="00BB6059" w:rsidTr="00BB6059">
        <w:tc>
          <w:tcPr>
            <w:tcW w:w="9369" w:type="dxa"/>
            <w:shd w:val="clear" w:color="auto" w:fill="auto"/>
          </w:tcPr>
          <w:p w:rsidR="00CD1B01" w:rsidRPr="00F3381D" w:rsidRDefault="00CD1B01" w:rsidP="00CD1B01">
            <w:pPr>
              <w:pStyle w:val="ListParagraph"/>
              <w:numPr>
                <w:ilvl w:val="1"/>
                <w:numId w:val="24"/>
              </w:numPr>
              <w:tabs>
                <w:tab w:val="left" w:pos="1296"/>
                <w:tab w:val="left" w:pos="1728"/>
                <w:tab w:val="left" w:pos="2160"/>
                <w:tab w:val="right" w:leader="dot" w:pos="9360"/>
              </w:tabs>
              <w:suppressAutoHyphens/>
              <w:spacing w:after="120"/>
              <w:rPr>
                <w:szCs w:val="20"/>
              </w:rPr>
            </w:pPr>
            <w:r w:rsidRPr="00F3381D">
              <w:rPr>
                <w:szCs w:val="20"/>
              </w:rPr>
              <w:t>Mesures prises par le Comité sur les questions relevant</w:t>
            </w:r>
            <w:r>
              <w:rPr>
                <w:szCs w:val="20"/>
              </w:rPr>
              <w:t xml:space="preserve"> </w:t>
            </w:r>
            <w:r w:rsidRPr="00F3381D">
              <w:rPr>
                <w:szCs w:val="20"/>
              </w:rPr>
              <w:t xml:space="preserve">de </w:t>
            </w:r>
            <w:r w:rsidRPr="00F3381D">
              <w:t>l’article</w:t>
            </w:r>
            <w:r w:rsidRPr="00F3381D">
              <w:rPr>
                <w:szCs w:val="20"/>
              </w:rPr>
              <w:t> 2 du Protocole facultatif</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46</w:t>
            </w:r>
          </w:p>
        </w:tc>
      </w:tr>
      <w:tr w:rsidR="00CD1B01" w:rsidRPr="00BB6059" w:rsidTr="00BB6059">
        <w:tc>
          <w:tcPr>
            <w:tcW w:w="9369" w:type="dxa"/>
            <w:shd w:val="clear" w:color="auto" w:fill="auto"/>
          </w:tcPr>
          <w:p w:rsidR="00CD1B01" w:rsidRPr="00F3381D" w:rsidRDefault="00CD1B01" w:rsidP="00CD1B01">
            <w:pPr>
              <w:pStyle w:val="ListParagraph"/>
              <w:numPr>
                <w:ilvl w:val="1"/>
                <w:numId w:val="24"/>
              </w:numPr>
              <w:tabs>
                <w:tab w:val="left" w:pos="1296"/>
                <w:tab w:val="left" w:pos="1728"/>
                <w:tab w:val="left" w:pos="2160"/>
                <w:tab w:val="left" w:pos="2592"/>
                <w:tab w:val="right" w:leader="dot" w:pos="9360"/>
              </w:tabs>
              <w:suppressAutoHyphens/>
              <w:spacing w:after="120"/>
              <w:rPr>
                <w:szCs w:val="20"/>
              </w:rPr>
            </w:pPr>
            <w:r w:rsidRPr="00D32FED">
              <w:t>Suite donnée aux constatations du Comité sur les communications émanant de particuliers</w:t>
            </w:r>
            <w:r>
              <w:rPr>
                <w:spacing w:val="60"/>
                <w:sz w:val="17"/>
              </w:rPr>
              <w:tab/>
            </w:r>
          </w:p>
        </w:tc>
        <w:tc>
          <w:tcPr>
            <w:tcW w:w="533" w:type="dxa"/>
            <w:shd w:val="clear" w:color="auto" w:fill="auto"/>
            <w:vAlign w:val="bottom"/>
          </w:tcPr>
          <w:p w:rsidR="00CD1B01" w:rsidRDefault="00CD1B01" w:rsidP="00BB6059">
            <w:pPr>
              <w:spacing w:after="120"/>
              <w:ind w:right="40"/>
              <w:jc w:val="right"/>
            </w:pPr>
            <w:r>
              <w:t>46</w:t>
            </w:r>
          </w:p>
        </w:tc>
      </w:tr>
      <w:tr w:rsidR="00CD1B01" w:rsidRPr="00BB6059" w:rsidTr="00BB6059">
        <w:tc>
          <w:tcPr>
            <w:tcW w:w="9369" w:type="dxa"/>
            <w:shd w:val="clear" w:color="auto" w:fill="auto"/>
          </w:tcPr>
          <w:p w:rsidR="00CD1B01" w:rsidRPr="00D32FED" w:rsidRDefault="00CD1B01" w:rsidP="00CD1B01">
            <w:pPr>
              <w:pStyle w:val="ListParagraph"/>
              <w:numPr>
                <w:ilvl w:val="1"/>
                <w:numId w:val="24"/>
              </w:numPr>
              <w:tabs>
                <w:tab w:val="left" w:pos="1296"/>
                <w:tab w:val="left" w:pos="1728"/>
                <w:tab w:val="left" w:pos="2160"/>
                <w:tab w:val="right" w:leader="dot" w:pos="9360"/>
              </w:tabs>
              <w:suppressAutoHyphens/>
              <w:spacing w:after="120"/>
            </w:pPr>
            <w:r w:rsidRPr="00D32FED">
              <w:t>Mesures prises par le Comité sur les questions relevant de l’article 8 du Protocole facultatif</w:t>
            </w:r>
            <w:r>
              <w:rPr>
                <w:spacing w:val="60"/>
                <w:sz w:val="17"/>
              </w:rPr>
              <w:tab/>
            </w:r>
          </w:p>
        </w:tc>
        <w:tc>
          <w:tcPr>
            <w:tcW w:w="533" w:type="dxa"/>
            <w:shd w:val="clear" w:color="auto" w:fill="auto"/>
            <w:vAlign w:val="bottom"/>
          </w:tcPr>
          <w:p w:rsidR="00CD1B01" w:rsidRDefault="00CD1B01" w:rsidP="00BB6059">
            <w:pPr>
              <w:spacing w:after="120"/>
              <w:ind w:right="40"/>
              <w:jc w:val="right"/>
            </w:pPr>
            <w:r>
              <w:t>46</w:t>
            </w:r>
          </w:p>
        </w:tc>
      </w:tr>
      <w:tr w:rsidR="00CD1B01" w:rsidRPr="00BB6059" w:rsidTr="00BB6059">
        <w:tc>
          <w:tcPr>
            <w:tcW w:w="9369" w:type="dxa"/>
            <w:shd w:val="clear" w:color="auto" w:fill="auto"/>
          </w:tcPr>
          <w:p w:rsidR="00CD1B01" w:rsidRPr="00D32FE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F3381D">
              <w:rPr>
                <w:szCs w:val="20"/>
              </w:rPr>
              <w:t>Moyens d’accélérer les travaux du Comité</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48</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rPr>
            </w:pPr>
            <w:r w:rsidRPr="00F3381D">
              <w:rPr>
                <w:szCs w:val="20"/>
              </w:rPr>
              <w:t>Application de l’article 21 de la Convention</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49</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zCs w:val="20"/>
              </w:rPr>
            </w:pPr>
            <w:r w:rsidRPr="00F3381D">
              <w:rPr>
                <w:szCs w:val="20"/>
              </w:rPr>
              <w:t>Ordre du jour provisoire de la soixante-septième session</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50</w:t>
            </w:r>
          </w:p>
        </w:tc>
      </w:tr>
      <w:tr w:rsidR="00CD1B01" w:rsidRPr="00BB6059" w:rsidTr="00BB6059">
        <w:tc>
          <w:tcPr>
            <w:tcW w:w="9369" w:type="dxa"/>
            <w:shd w:val="clear" w:color="auto" w:fill="auto"/>
          </w:tcPr>
          <w:p w:rsidR="00CD1B01" w:rsidRPr="00F3381D" w:rsidRDefault="00CD1B01" w:rsidP="00CD1B01">
            <w:pPr>
              <w:pStyle w:val="ListParagraph"/>
              <w:numPr>
                <w:ilvl w:val="0"/>
                <w:numId w:val="24"/>
              </w:numPr>
              <w:tabs>
                <w:tab w:val="left" w:pos="1296"/>
                <w:tab w:val="left" w:pos="1728"/>
                <w:tab w:val="left" w:pos="2160"/>
                <w:tab w:val="left" w:pos="2592"/>
                <w:tab w:val="left" w:pos="3024"/>
                <w:tab w:val="right" w:leader="dot" w:pos="9360"/>
              </w:tabs>
              <w:suppressAutoHyphens/>
              <w:spacing w:after="120"/>
              <w:rPr>
                <w:szCs w:val="20"/>
              </w:rPr>
            </w:pPr>
            <w:r w:rsidRPr="00A41EA7">
              <w:rPr>
                <w:szCs w:val="20"/>
              </w:rPr>
              <w:t>Adoption du rapport</w:t>
            </w:r>
            <w:r>
              <w:rPr>
                <w:spacing w:val="60"/>
                <w:sz w:val="17"/>
                <w:szCs w:val="20"/>
              </w:rPr>
              <w:tab/>
            </w:r>
          </w:p>
        </w:tc>
        <w:tc>
          <w:tcPr>
            <w:tcW w:w="533" w:type="dxa"/>
            <w:shd w:val="clear" w:color="auto" w:fill="auto"/>
            <w:vAlign w:val="bottom"/>
          </w:tcPr>
          <w:p w:rsidR="00CD1B01" w:rsidRDefault="00CD1B01" w:rsidP="00BB6059">
            <w:pPr>
              <w:spacing w:after="120"/>
              <w:ind w:right="40"/>
              <w:jc w:val="right"/>
            </w:pPr>
            <w:r>
              <w:t>51</w:t>
            </w:r>
          </w:p>
        </w:tc>
      </w:tr>
      <w:tr w:rsidR="00CD1B01" w:rsidRPr="00BB6059" w:rsidTr="00BB6059">
        <w:tc>
          <w:tcPr>
            <w:tcW w:w="9369" w:type="dxa"/>
            <w:shd w:val="clear" w:color="auto" w:fill="auto"/>
          </w:tcPr>
          <w:p w:rsidR="00D944D7" w:rsidRPr="00A41EA7" w:rsidRDefault="00D944D7" w:rsidP="00D944D7">
            <w:pPr>
              <w:pStyle w:val="ListParagraph"/>
              <w:tabs>
                <w:tab w:val="left" w:pos="1728"/>
                <w:tab w:val="left" w:pos="2160"/>
                <w:tab w:val="left" w:pos="2592"/>
                <w:tab w:val="left" w:pos="3024"/>
                <w:tab w:val="right" w:leader="dot" w:pos="9360"/>
              </w:tabs>
              <w:suppressAutoHyphens/>
              <w:spacing w:after="120"/>
              <w:ind w:left="180"/>
              <w:rPr>
                <w:szCs w:val="20"/>
              </w:rPr>
            </w:pPr>
            <w:r>
              <w:rPr>
                <w:szCs w:val="20"/>
              </w:rPr>
              <w:t>Annexes</w:t>
            </w:r>
          </w:p>
        </w:tc>
        <w:tc>
          <w:tcPr>
            <w:tcW w:w="533" w:type="dxa"/>
            <w:shd w:val="clear" w:color="auto" w:fill="auto"/>
            <w:vAlign w:val="bottom"/>
          </w:tcPr>
          <w:p w:rsidR="00CD1B01" w:rsidRDefault="00CD1B01" w:rsidP="00BB6059">
            <w:pPr>
              <w:spacing w:after="120"/>
              <w:ind w:right="40"/>
              <w:jc w:val="right"/>
            </w:pPr>
          </w:p>
        </w:tc>
      </w:tr>
      <w:tr w:rsidR="00D944D7" w:rsidRPr="00BB6059" w:rsidTr="00BB6059">
        <w:tc>
          <w:tcPr>
            <w:tcW w:w="9369" w:type="dxa"/>
            <w:shd w:val="clear" w:color="auto" w:fill="auto"/>
          </w:tcPr>
          <w:p w:rsidR="00D944D7" w:rsidRDefault="00D944D7" w:rsidP="00D944D7">
            <w:pPr>
              <w:pStyle w:val="ListParagraph"/>
              <w:numPr>
                <w:ilvl w:val="0"/>
                <w:numId w:val="2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szCs w:val="20"/>
              </w:rPr>
            </w:pPr>
            <w:r w:rsidRPr="007D2830">
              <w:rPr>
                <w:lang w:val="fr-FR"/>
              </w:rPr>
              <w:t>Liste des documents dont le Comité était saisi à sa soixante-sixième session</w:t>
            </w:r>
            <w:r>
              <w:rPr>
                <w:spacing w:val="60"/>
                <w:sz w:val="17"/>
                <w:lang w:val="fr-FR"/>
              </w:rPr>
              <w:tab/>
            </w:r>
          </w:p>
        </w:tc>
        <w:tc>
          <w:tcPr>
            <w:tcW w:w="533" w:type="dxa"/>
            <w:shd w:val="clear" w:color="auto" w:fill="auto"/>
            <w:vAlign w:val="bottom"/>
          </w:tcPr>
          <w:p w:rsidR="00D944D7" w:rsidRDefault="00D944D7" w:rsidP="00BB6059">
            <w:pPr>
              <w:spacing w:after="120"/>
              <w:ind w:right="40"/>
              <w:jc w:val="right"/>
            </w:pPr>
            <w:r>
              <w:t>52</w:t>
            </w:r>
          </w:p>
        </w:tc>
      </w:tr>
      <w:tr w:rsidR="00D944D7" w:rsidRPr="00BB6059" w:rsidTr="00BB6059">
        <w:tc>
          <w:tcPr>
            <w:tcW w:w="9369" w:type="dxa"/>
            <w:shd w:val="clear" w:color="auto" w:fill="auto"/>
          </w:tcPr>
          <w:p w:rsidR="00D944D7" w:rsidRPr="007D2830" w:rsidRDefault="00D944D7" w:rsidP="00D944D7">
            <w:pPr>
              <w:pStyle w:val="ListParagraph"/>
              <w:numPr>
                <w:ilvl w:val="0"/>
                <w:numId w:val="25"/>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A41EA7">
              <w:rPr>
                <w:szCs w:val="20"/>
              </w:rPr>
              <w:t>Composition du Comité au 3</w:t>
            </w:r>
            <w:r>
              <w:rPr>
                <w:szCs w:val="20"/>
              </w:rPr>
              <w:t> mars</w:t>
            </w:r>
            <w:r w:rsidRPr="00A41EA7">
              <w:rPr>
                <w:szCs w:val="20"/>
              </w:rPr>
              <w:t xml:space="preserve"> 2017</w:t>
            </w:r>
            <w:r>
              <w:rPr>
                <w:spacing w:val="60"/>
                <w:sz w:val="17"/>
                <w:szCs w:val="20"/>
              </w:rPr>
              <w:tab/>
            </w:r>
          </w:p>
        </w:tc>
        <w:tc>
          <w:tcPr>
            <w:tcW w:w="533" w:type="dxa"/>
            <w:shd w:val="clear" w:color="auto" w:fill="auto"/>
            <w:vAlign w:val="bottom"/>
          </w:tcPr>
          <w:p w:rsidR="00D944D7" w:rsidRDefault="00D944D7" w:rsidP="00BB6059">
            <w:pPr>
              <w:spacing w:after="120"/>
              <w:ind w:right="40"/>
              <w:jc w:val="right"/>
            </w:pPr>
            <w:r>
              <w:t>53</w:t>
            </w:r>
          </w:p>
        </w:tc>
      </w:tr>
    </w:tbl>
    <w:p w:rsidR="00D036F5" w:rsidRDefault="00D036F5" w:rsidP="00C23FA4">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hanging="459"/>
      </w:pPr>
    </w:p>
    <w:p w:rsidR="00D036F5" w:rsidRDefault="00D036F5">
      <w:pPr>
        <w:spacing w:after="200" w:line="276" w:lineRule="auto"/>
      </w:pPr>
      <w:r>
        <w:br w:type="page"/>
      </w:r>
    </w:p>
    <w:p w:rsidR="00D036F5" w:rsidRDefault="00D036F5" w:rsidP="00D036F5"/>
    <w:p w:rsidR="002F117D" w:rsidRPr="009317AE" w:rsidRDefault="002F117D" w:rsidP="002F117D">
      <w:pPr>
        <w:spacing w:before="1360" w:after="240"/>
        <w:rPr>
          <w:sz w:val="28"/>
        </w:rPr>
      </w:pPr>
      <w:r w:rsidRPr="009317AE">
        <w:rPr>
          <w:sz w:val="28"/>
        </w:rPr>
        <w:t>Lettre d</w:t>
      </w:r>
      <w:r w:rsidR="007D2830">
        <w:rPr>
          <w:sz w:val="28"/>
        </w:rPr>
        <w:t>’</w:t>
      </w:r>
      <w:r w:rsidRPr="009317AE">
        <w:rPr>
          <w:sz w:val="28"/>
        </w:rPr>
        <w:t xml:space="preserve">envoi </w:t>
      </w:r>
    </w:p>
    <w:p w:rsidR="002F117D" w:rsidRPr="009317AE" w:rsidRDefault="002F117D" w:rsidP="00BB6059">
      <w:pPr>
        <w:pStyle w:val="SingleTxt"/>
        <w:spacing w:after="240"/>
        <w:jc w:val="right"/>
        <w:rPr>
          <w:lang w:val="fr-FR"/>
        </w:rPr>
      </w:pPr>
      <w:r w:rsidRPr="009317AE">
        <w:rPr>
          <w:lang w:val="fr-FR"/>
        </w:rPr>
        <w:t>[31</w:t>
      </w:r>
      <w:r w:rsidR="00D944D7">
        <w:rPr>
          <w:lang w:val="fr-FR"/>
        </w:rPr>
        <w:t> mars</w:t>
      </w:r>
      <w:r w:rsidRPr="009317AE">
        <w:rPr>
          <w:lang w:val="fr-FR"/>
        </w:rPr>
        <w:t xml:space="preserve"> 2017]</w:t>
      </w:r>
    </w:p>
    <w:p w:rsidR="002F117D" w:rsidRPr="009317AE" w:rsidRDefault="002F117D" w:rsidP="00BB6059">
      <w:pPr>
        <w:pStyle w:val="SingleTxt"/>
        <w:rPr>
          <w:lang w:val="fr-FR"/>
        </w:rPr>
      </w:pPr>
      <w:r w:rsidRPr="009317AE">
        <w:rPr>
          <w:lang w:val="fr-FR"/>
        </w:rPr>
        <w:tab/>
      </w:r>
      <w:r w:rsidRPr="00DA729D">
        <w:rPr>
          <w:lang w:val="fr-FR"/>
        </w:rPr>
        <w:t>J’ai l’honneur de me référer à l’article</w:t>
      </w:r>
      <w:r w:rsidR="00BB6059">
        <w:rPr>
          <w:lang w:val="fr-FR"/>
        </w:rPr>
        <w:t> </w:t>
      </w:r>
      <w:r w:rsidRPr="00DA729D">
        <w:rPr>
          <w:lang w:val="fr-FR"/>
        </w:rPr>
        <w:t>21 de la Convention sur l’élimination de toutes les formes de discrimination à l’égard des femmes, qui dispose que le Comité pour l’élimination de la discrimination à l’égard des femmes, créé en application de la Convention, rend compte chaque année à l’Assemblée générale de l’Organisation des Nations Unies</w:t>
      </w:r>
      <w:r>
        <w:rPr>
          <w:lang w:val="fr-FR"/>
        </w:rPr>
        <w:t>,</w:t>
      </w:r>
      <w:r w:rsidRPr="00DA729D">
        <w:rPr>
          <w:lang w:val="fr-FR"/>
        </w:rPr>
        <w:t xml:space="preserve"> par l’intermédiaire du Conseil économ</w:t>
      </w:r>
      <w:r>
        <w:rPr>
          <w:lang w:val="fr-FR"/>
        </w:rPr>
        <w:t>ique et social, de ses activités</w:t>
      </w:r>
      <w:r w:rsidRPr="009317AE">
        <w:rPr>
          <w:lang w:val="fr-FR"/>
        </w:rPr>
        <w:t>.</w:t>
      </w:r>
    </w:p>
    <w:p w:rsidR="002F117D" w:rsidRPr="009317AE" w:rsidRDefault="002F117D" w:rsidP="00D461B4">
      <w:pPr>
        <w:pStyle w:val="SingleTxt"/>
        <w:rPr>
          <w:lang w:val="fr-FR"/>
        </w:rPr>
      </w:pPr>
      <w:r w:rsidRPr="009317AE">
        <w:rPr>
          <w:lang w:val="fr-FR"/>
        </w:rPr>
        <w:tab/>
        <w:t xml:space="preserve">Le Comité </w:t>
      </w:r>
      <w:r w:rsidRPr="00DA729D">
        <w:rPr>
          <w:lang w:val="fr-FR"/>
        </w:rPr>
        <w:t xml:space="preserve">pour l’élimination de la discrimination à l’égard des femmes </w:t>
      </w:r>
      <w:r w:rsidRPr="009317AE">
        <w:rPr>
          <w:lang w:val="fr-FR"/>
        </w:rPr>
        <w:t>a tenu sa soixante-quatrième session du 4 au 22</w:t>
      </w:r>
      <w:r w:rsidR="00D944D7">
        <w:rPr>
          <w:lang w:val="fr-FR"/>
        </w:rPr>
        <w:t> juillet</w:t>
      </w:r>
      <w:r w:rsidRPr="009317AE">
        <w:rPr>
          <w:lang w:val="fr-FR"/>
        </w:rPr>
        <w:t xml:space="preserve"> 2016, sa soixante-cinquième session du 24</w:t>
      </w:r>
      <w:r w:rsidR="00D944D7">
        <w:rPr>
          <w:lang w:val="fr-FR"/>
        </w:rPr>
        <w:t> octobre</w:t>
      </w:r>
      <w:r w:rsidRPr="009317AE">
        <w:rPr>
          <w:lang w:val="fr-FR"/>
        </w:rPr>
        <w:t xml:space="preserve"> au 18</w:t>
      </w:r>
      <w:r w:rsidR="00D944D7">
        <w:rPr>
          <w:lang w:val="fr-FR"/>
        </w:rPr>
        <w:t> novembre</w:t>
      </w:r>
      <w:r w:rsidRPr="009317AE">
        <w:rPr>
          <w:lang w:val="fr-FR"/>
        </w:rPr>
        <w:t xml:space="preserve"> 2016 et sa soixante-sixième session du 13</w:t>
      </w:r>
      <w:r w:rsidR="00D944D7">
        <w:rPr>
          <w:lang w:val="fr-FR"/>
        </w:rPr>
        <w:t> février</w:t>
      </w:r>
      <w:r w:rsidRPr="009317AE">
        <w:rPr>
          <w:lang w:val="fr-FR"/>
        </w:rPr>
        <w:t xml:space="preserve"> au 3</w:t>
      </w:r>
      <w:r w:rsidR="00D944D7">
        <w:rPr>
          <w:lang w:val="fr-FR"/>
        </w:rPr>
        <w:t> mars</w:t>
      </w:r>
      <w:r w:rsidRPr="009317AE">
        <w:rPr>
          <w:lang w:val="fr-FR"/>
        </w:rPr>
        <w:t xml:space="preserve"> 2017 à l’Office des Nations Unies à Genève. Il a adopté les rapports sur ces sessions à sa 1430</w:t>
      </w:r>
      <w:r w:rsidRPr="009317AE">
        <w:rPr>
          <w:vertAlign w:val="superscript"/>
          <w:lang w:val="fr-FR"/>
        </w:rPr>
        <w:t>e</w:t>
      </w:r>
      <w:r w:rsidR="00D461B4">
        <w:rPr>
          <w:lang w:val="fr-FR"/>
        </w:rPr>
        <w:t> </w:t>
      </w:r>
      <w:r w:rsidRPr="009317AE">
        <w:rPr>
          <w:lang w:val="fr-FR"/>
        </w:rPr>
        <w:t>séance, le 22</w:t>
      </w:r>
      <w:r w:rsidR="00D944D7">
        <w:rPr>
          <w:lang w:val="fr-FR"/>
        </w:rPr>
        <w:t> juillet</w:t>
      </w:r>
      <w:r w:rsidRPr="009317AE">
        <w:rPr>
          <w:lang w:val="fr-FR"/>
        </w:rPr>
        <w:t xml:space="preserve"> 2016, à sa 1469</w:t>
      </w:r>
      <w:r w:rsidRPr="009317AE">
        <w:rPr>
          <w:vertAlign w:val="superscript"/>
          <w:lang w:val="fr-FR"/>
        </w:rPr>
        <w:t>e</w:t>
      </w:r>
      <w:r w:rsidR="00D461B4">
        <w:rPr>
          <w:lang w:val="fr-FR"/>
        </w:rPr>
        <w:t> </w:t>
      </w:r>
      <w:r w:rsidRPr="009317AE">
        <w:rPr>
          <w:lang w:val="fr-FR"/>
        </w:rPr>
        <w:t>séance, le 18</w:t>
      </w:r>
      <w:r w:rsidR="00D944D7">
        <w:rPr>
          <w:lang w:val="fr-FR"/>
        </w:rPr>
        <w:t> novembre</w:t>
      </w:r>
      <w:r w:rsidRPr="009317AE">
        <w:rPr>
          <w:lang w:val="fr-FR"/>
        </w:rPr>
        <w:t xml:space="preserve"> 2016, et à sa 1499</w:t>
      </w:r>
      <w:r w:rsidRPr="009317AE">
        <w:rPr>
          <w:vertAlign w:val="superscript"/>
          <w:lang w:val="fr-FR"/>
        </w:rPr>
        <w:t>e</w:t>
      </w:r>
      <w:r w:rsidR="00D461B4">
        <w:rPr>
          <w:lang w:val="fr-FR"/>
        </w:rPr>
        <w:t> </w:t>
      </w:r>
      <w:r w:rsidRPr="009317AE">
        <w:rPr>
          <w:lang w:val="fr-FR"/>
        </w:rPr>
        <w:t>séance, le 3</w:t>
      </w:r>
      <w:r w:rsidR="00D944D7">
        <w:rPr>
          <w:lang w:val="fr-FR"/>
        </w:rPr>
        <w:t> mars</w:t>
      </w:r>
      <w:r w:rsidRPr="009317AE">
        <w:rPr>
          <w:lang w:val="fr-FR"/>
        </w:rPr>
        <w:t xml:space="preserve"> 2017. Je vous serais obligée de bien vouloir transmettre ces rapports, que vous trouverez ci-joint</w:t>
      </w:r>
      <w:r>
        <w:rPr>
          <w:lang w:val="fr-FR"/>
        </w:rPr>
        <w:t>s</w:t>
      </w:r>
      <w:r w:rsidRPr="009317AE">
        <w:rPr>
          <w:lang w:val="fr-FR"/>
        </w:rPr>
        <w:t>, à l</w:t>
      </w:r>
      <w:r w:rsidR="007D2830">
        <w:rPr>
          <w:lang w:val="fr-FR"/>
        </w:rPr>
        <w:t>’</w:t>
      </w:r>
      <w:r w:rsidRPr="009317AE">
        <w:rPr>
          <w:lang w:val="fr-FR"/>
        </w:rPr>
        <w:t>Assemblée générale à sa soixante-douzième session.</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7A3D87" w:rsidP="002F117D">
      <w:pPr>
        <w:pStyle w:val="SingleTxt"/>
        <w:spacing w:after="0"/>
        <w:jc w:val="right"/>
        <w:rPr>
          <w:lang w:val="fr-FR"/>
        </w:rPr>
      </w:pPr>
      <w:r w:rsidRPr="009317AE">
        <w:rPr>
          <w:lang w:val="fr-FR"/>
        </w:rPr>
        <w:t>La Présidente</w:t>
      </w:r>
      <w:r>
        <w:rPr>
          <w:lang w:val="fr-FR"/>
        </w:rPr>
        <w:br/>
      </w:r>
      <w:r w:rsidR="00110E1C" w:rsidRPr="009317AE">
        <w:rPr>
          <w:lang w:val="fr-FR"/>
        </w:rPr>
        <w:t>(</w:t>
      </w:r>
      <w:r w:rsidR="00110E1C" w:rsidRPr="009317AE">
        <w:rPr>
          <w:i/>
          <w:lang w:val="fr-FR"/>
        </w:rPr>
        <w:t>Signé</w:t>
      </w:r>
      <w:r w:rsidR="00110E1C" w:rsidRPr="009317AE">
        <w:rPr>
          <w:lang w:val="fr-FR"/>
        </w:rPr>
        <w:t xml:space="preserve">) Dalia </w:t>
      </w:r>
      <w:r w:rsidR="00110E1C" w:rsidRPr="009317AE">
        <w:rPr>
          <w:b/>
          <w:lang w:val="fr-FR"/>
        </w:rPr>
        <w:t>Leinarte</w:t>
      </w:r>
    </w:p>
    <w:p w:rsidR="00D036F5" w:rsidRDefault="00D036F5" w:rsidP="00D036F5">
      <w:pPr>
        <w:sectPr w:rsidR="00D036F5" w:rsidSect="00D036F5">
          <w:headerReference w:type="even" r:id="rId14"/>
          <w:headerReference w:type="default" r:id="rId15"/>
          <w:footerReference w:type="even" r:id="rId16"/>
          <w:footerReference w:type="default" r:id="rId17"/>
          <w:pgSz w:w="12240" w:h="15840"/>
          <w:pgMar w:top="1440" w:right="1200" w:bottom="1152" w:left="1200" w:header="432" w:footer="576" w:gutter="0"/>
          <w:cols w:space="720"/>
          <w:docGrid w:linePitch="360"/>
        </w:sectPr>
      </w:pPr>
    </w:p>
    <w:p w:rsidR="00D036F5" w:rsidRDefault="00D036F5" w:rsidP="00D036F5">
      <w:pPr>
        <w:spacing w:line="20" w:lineRule="exact"/>
        <w:ind w:left="1267" w:right="1267"/>
        <w:jc w:val="both"/>
        <w:sectPr w:rsidR="00D036F5" w:rsidSect="00274587">
          <w:headerReference w:type="even" r:id="rId18"/>
          <w:headerReference w:type="default" r:id="rId19"/>
          <w:footerReference w:type="even" r:id="rId20"/>
          <w:footerReference w:type="default" r:id="rId21"/>
          <w:pgSz w:w="12240" w:h="15840"/>
          <w:pgMar w:top="1440" w:right="1200" w:bottom="1728" w:left="1200" w:header="432" w:footer="576" w:gutter="0"/>
          <w:cols w:space="720"/>
          <w:noEndnote/>
          <w:docGrid w:linePitch="360"/>
        </w:sectPr>
      </w:pPr>
    </w:p>
    <w:p w:rsidR="002F117D" w:rsidRPr="009317AE" w:rsidRDefault="002F117D" w:rsidP="002F117D">
      <w:pPr>
        <w:pStyle w:val="HCh0"/>
        <w:ind w:left="1267" w:right="1260" w:hanging="1267"/>
        <w:rPr>
          <w:lang w:val="fr-FR"/>
        </w:rPr>
      </w:pPr>
      <w:r w:rsidRPr="009317AE">
        <w:rPr>
          <w:lang w:val="fr-FR"/>
        </w:rPr>
        <w:lastRenderedPageBreak/>
        <w:tab/>
      </w:r>
      <w:r w:rsidRPr="009317AE">
        <w:rPr>
          <w:lang w:val="fr-FR"/>
        </w:rPr>
        <w:tab/>
        <w:t xml:space="preserve">Première partie </w:t>
      </w:r>
    </w:p>
    <w:p w:rsidR="002F117D" w:rsidRPr="009317AE" w:rsidRDefault="002F117D" w:rsidP="002F117D">
      <w:pPr>
        <w:pStyle w:val="HCh0"/>
        <w:ind w:left="1267" w:right="1260" w:hanging="1267"/>
        <w:rPr>
          <w:lang w:val="fr-FR"/>
        </w:rPr>
      </w:pPr>
      <w:r w:rsidRPr="009317AE">
        <w:rPr>
          <w:lang w:val="fr-FR"/>
        </w:rPr>
        <w:tab/>
      </w:r>
      <w:r w:rsidRPr="009317AE">
        <w:rPr>
          <w:lang w:val="fr-FR"/>
        </w:rPr>
        <w:tab/>
        <w:t xml:space="preserve">Rapport du Comité pour l’élimination de la discrimination à l’égard des femmes sur les travaux de sa soixante-quatrième session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BB6059">
      <w:pPr>
        <w:pStyle w:val="HCh0"/>
        <w:ind w:left="1267" w:right="1260" w:hanging="1267"/>
        <w:rPr>
          <w:lang w:val="fr-FR"/>
        </w:rPr>
      </w:pPr>
      <w:r w:rsidRPr="009317AE">
        <w:rPr>
          <w:lang w:val="fr-FR"/>
        </w:rPr>
        <w:tab/>
      </w:r>
      <w:r w:rsidRPr="009317AE">
        <w:rPr>
          <w:lang w:val="fr-FR"/>
        </w:rPr>
        <w:tab/>
        <w:t>4-22</w:t>
      </w:r>
      <w:r w:rsidR="00D944D7">
        <w:rPr>
          <w:lang w:val="fr-FR"/>
        </w:rPr>
        <w:t> juillet</w:t>
      </w:r>
      <w:r w:rsidRPr="009317AE">
        <w:rPr>
          <w:lang w:val="fr-FR"/>
        </w:rPr>
        <w:t xml:space="preserve"> 2016</w:t>
      </w:r>
    </w:p>
    <w:p w:rsidR="002F117D" w:rsidRDefault="002F117D">
      <w:pPr>
        <w:spacing w:after="200" w:line="276" w:lineRule="auto"/>
      </w:pPr>
      <w:r>
        <w:br w:type="page"/>
      </w:r>
    </w:p>
    <w:p w:rsidR="002F117D" w:rsidRPr="009317AE" w:rsidRDefault="002F117D" w:rsidP="002F117D">
      <w:pPr>
        <w:pStyle w:val="HCh0"/>
        <w:ind w:left="1267" w:right="1260" w:hanging="1267"/>
        <w:rPr>
          <w:lang w:val="fr-FR"/>
        </w:rPr>
      </w:pPr>
      <w:r w:rsidRPr="009317AE">
        <w:rPr>
          <w:lang w:val="fr-FR"/>
        </w:rPr>
        <w:lastRenderedPageBreak/>
        <w:t xml:space="preserve">Chapitre </w:t>
      </w:r>
      <w:r>
        <w:rPr>
          <w:lang w:val="fr-FR"/>
        </w:rPr>
        <w:t>I</w:t>
      </w:r>
    </w:p>
    <w:p w:rsidR="002F117D" w:rsidRPr="009317AE" w:rsidRDefault="002F117D" w:rsidP="002F117D">
      <w:pPr>
        <w:pStyle w:val="HCh0"/>
        <w:ind w:left="1267" w:right="1260" w:hanging="1267"/>
        <w:rPr>
          <w:lang w:val="fr-FR"/>
        </w:rPr>
      </w:pPr>
      <w:r w:rsidRPr="009317AE">
        <w:rPr>
          <w:lang w:val="fr-FR"/>
        </w:rPr>
        <w:tab/>
      </w:r>
      <w:r w:rsidRPr="009317AE">
        <w:rPr>
          <w:lang w:val="fr-FR"/>
        </w:rPr>
        <w:tab/>
        <w:t xml:space="preserve">Décisions prises par le Comité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r>
      <w:r w:rsidRPr="009317AE">
        <w:rPr>
          <w:lang w:val="fr-FR"/>
        </w:rPr>
        <w:tab/>
        <w:t xml:space="preserve">Décision 64/I </w:t>
      </w:r>
    </w:p>
    <w:p w:rsidR="002F117D" w:rsidRPr="009317AE" w:rsidRDefault="002F117D" w:rsidP="002F117D">
      <w:pPr>
        <w:pStyle w:val="SingleTxt"/>
        <w:spacing w:after="0" w:line="120" w:lineRule="exact"/>
        <w:rPr>
          <w:sz w:val="10"/>
          <w:lang w:val="fr-FR"/>
        </w:rPr>
      </w:pPr>
    </w:p>
    <w:p w:rsidR="002F117D" w:rsidRPr="00A00A24" w:rsidRDefault="002F117D" w:rsidP="00110E1C">
      <w:pPr>
        <w:pStyle w:val="SingleTxt"/>
        <w:rPr>
          <w:lang w:val="fr-FR"/>
        </w:rPr>
      </w:pPr>
      <w:r w:rsidRPr="009317AE">
        <w:rPr>
          <w:lang w:val="fr-FR"/>
        </w:rPr>
        <w:tab/>
      </w:r>
      <w:r w:rsidRPr="00A00A24">
        <w:rPr>
          <w:lang w:val="fr-FR"/>
        </w:rPr>
        <w:t>Le Comité a décidé de confirmer le délai imparti pour la présentation des informations relatives au suivi par les États parties</w:t>
      </w:r>
      <w:r>
        <w:rPr>
          <w:lang w:val="fr-FR"/>
        </w:rPr>
        <w:t xml:space="preserve"> – de deux ans, et exceptionnellement de un an – à compter de la date de l’</w:t>
      </w:r>
      <w:r w:rsidRPr="00A00A24">
        <w:rPr>
          <w:lang w:val="fr-FR"/>
        </w:rPr>
        <w:t xml:space="preserve">adoption </w:t>
      </w:r>
      <w:r>
        <w:rPr>
          <w:lang w:val="fr-FR"/>
        </w:rPr>
        <w:t xml:space="preserve">des </w:t>
      </w:r>
      <w:r w:rsidRPr="008D2551">
        <w:rPr>
          <w:lang w:val="fr-FR"/>
        </w:rPr>
        <w:t>observations finales concernées</w:t>
      </w:r>
      <w:r w:rsidRPr="00A00A24">
        <w:rPr>
          <w:lang w:val="fr-FR"/>
        </w:rPr>
        <w:t xml:space="preserve">, et de modifier la décision 54/IX </w:t>
      </w:r>
      <w:r>
        <w:rPr>
          <w:lang w:val="fr-FR"/>
        </w:rPr>
        <w:t xml:space="preserve">de façon à </w:t>
      </w:r>
      <w:r w:rsidRPr="00A00A24">
        <w:rPr>
          <w:lang w:val="fr-FR"/>
        </w:rPr>
        <w:t>limiter à quatre le nomb</w:t>
      </w:r>
      <w:r>
        <w:rPr>
          <w:lang w:val="fr-FR"/>
        </w:rPr>
        <w:t xml:space="preserve">re de questions </w:t>
      </w:r>
      <w:r w:rsidRPr="00A00A24">
        <w:rPr>
          <w:lang w:val="fr-FR"/>
        </w:rPr>
        <w:t xml:space="preserve">ou </w:t>
      </w:r>
      <w:r>
        <w:rPr>
          <w:lang w:val="fr-FR"/>
        </w:rPr>
        <w:t>d’alinéas inscrit</w:t>
      </w:r>
      <w:r w:rsidRPr="00A00A24">
        <w:rPr>
          <w:lang w:val="fr-FR"/>
        </w:rPr>
        <w:t xml:space="preserve">s dans ses </w:t>
      </w:r>
      <w:r>
        <w:rPr>
          <w:lang w:val="fr-FR"/>
        </w:rPr>
        <w:t>observations finales et désigné</w:t>
      </w:r>
      <w:r w:rsidRPr="00A00A24">
        <w:rPr>
          <w:lang w:val="fr-FR"/>
        </w:rPr>
        <w:t>s pour faire l’objet d’un suivi.</w:t>
      </w:r>
    </w:p>
    <w:p w:rsidR="002F117D" w:rsidRPr="00A00A24" w:rsidRDefault="002F117D" w:rsidP="002F117D">
      <w:pPr>
        <w:pStyle w:val="SingleTxt"/>
        <w:spacing w:after="0" w:line="120" w:lineRule="exact"/>
        <w:rPr>
          <w:sz w:val="10"/>
          <w:lang w:val="fr-FR"/>
        </w:rPr>
      </w:pPr>
    </w:p>
    <w:p w:rsidR="002F117D" w:rsidRPr="009317AE"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00A24">
        <w:rPr>
          <w:lang w:val="fr-FR"/>
        </w:rPr>
        <w:tab/>
      </w:r>
      <w:r w:rsidRPr="00A00A24">
        <w:rPr>
          <w:lang w:val="fr-FR"/>
        </w:rPr>
        <w:tab/>
      </w:r>
      <w:r w:rsidRPr="009317AE">
        <w:rPr>
          <w:lang w:val="fr-FR"/>
        </w:rPr>
        <w:t>Décision 64/II</w:t>
      </w:r>
    </w:p>
    <w:p w:rsidR="002F117D" w:rsidRPr="009317AE" w:rsidRDefault="002F117D" w:rsidP="002F117D">
      <w:pPr>
        <w:pStyle w:val="SingleTxt"/>
        <w:spacing w:after="0" w:line="120" w:lineRule="exact"/>
        <w:rPr>
          <w:sz w:val="10"/>
          <w:lang w:val="fr-FR"/>
        </w:rPr>
      </w:pPr>
    </w:p>
    <w:p w:rsidR="002F117D" w:rsidRPr="00110E1C" w:rsidRDefault="002F117D" w:rsidP="00110E1C">
      <w:pPr>
        <w:pStyle w:val="SingleTxt"/>
        <w:rPr>
          <w:lang w:val="fr-FR"/>
        </w:rPr>
      </w:pPr>
      <w:r w:rsidRPr="009317AE">
        <w:rPr>
          <w:lang w:val="fr-FR"/>
        </w:rPr>
        <w:tab/>
      </w:r>
      <w:r w:rsidRPr="002D5FF6">
        <w:rPr>
          <w:lang w:val="fr-FR"/>
        </w:rPr>
        <w:t xml:space="preserve">Le Comité a pris la décision, à lire conjointement avec la décision 59/IV, </w:t>
      </w:r>
      <w:r>
        <w:rPr>
          <w:lang w:val="fr-FR"/>
        </w:rPr>
        <w:t xml:space="preserve">de n’autoriser que </w:t>
      </w:r>
      <w:r w:rsidRPr="002D5FF6">
        <w:rPr>
          <w:lang w:val="fr-FR"/>
        </w:rPr>
        <w:t>les membres ayant présenté des observations par écrit dans les dix jours suivant la réception – au début d’une session – de projets de listes de points à traiter avant la soumission des rapports établies au titre de la procédure simp</w:t>
      </w:r>
      <w:r>
        <w:rPr>
          <w:lang w:val="fr-FR"/>
        </w:rPr>
        <w:t>lifiée (décision 58/II) par le g</w:t>
      </w:r>
      <w:r w:rsidRPr="002D5FF6">
        <w:rPr>
          <w:lang w:val="fr-FR"/>
        </w:rPr>
        <w:t xml:space="preserve">roupe de travail d’avant-session, qui se réunit après chaque session ordinaire, à proposer des amendements pour examen lors de l’adoption de ces listes en séance plénière à sa prochaine session ordinaire. </w:t>
      </w:r>
      <w:r w:rsidRPr="00CC7DDE">
        <w:rPr>
          <w:lang w:val="fr-FR"/>
        </w:rPr>
        <w:t>Il a également décidé de limiter les listes de points établies avant la soumission des rapports à un maximum de 25 paragraphes, dont un paragraphe type priant les États parties de communiquer des renseignements sur les mesures prises en vue de mettre en œuvre ses précédentes observati</w:t>
      </w:r>
      <w:r>
        <w:rPr>
          <w:lang w:val="fr-FR"/>
        </w:rPr>
        <w:t>ons finales, et de 75 questions</w:t>
      </w:r>
      <w:r w:rsidR="00110E1C">
        <w:rPr>
          <w:lang w:val="fr-FR"/>
        </w:rPr>
        <w:t>.</w:t>
      </w:r>
    </w:p>
    <w:p w:rsidR="00110E1C" w:rsidRPr="00110E1C" w:rsidRDefault="00110E1C"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2F117D" w:rsidRPr="00110E1C"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r>
      <w:r w:rsidRPr="009317AE">
        <w:rPr>
          <w:lang w:val="fr-FR"/>
        </w:rPr>
        <w:tab/>
        <w:t>Décision 64/III</w:t>
      </w:r>
    </w:p>
    <w:p w:rsidR="00110E1C" w:rsidRPr="00110E1C" w:rsidRDefault="00110E1C" w:rsidP="00110E1C">
      <w:pPr>
        <w:pStyle w:val="SingleTxt"/>
        <w:spacing w:after="0" w:line="120" w:lineRule="exact"/>
        <w:rPr>
          <w:sz w:val="10"/>
          <w:lang w:val="fr-FR"/>
        </w:rPr>
      </w:pPr>
    </w:p>
    <w:p w:rsidR="002F117D" w:rsidRDefault="002F117D" w:rsidP="00110E1C">
      <w:pPr>
        <w:pStyle w:val="SingleTxt"/>
        <w:rPr>
          <w:lang w:val="fr-FR"/>
        </w:rPr>
      </w:pPr>
      <w:r w:rsidRPr="009317AE">
        <w:rPr>
          <w:lang w:val="fr-FR"/>
        </w:rPr>
        <w:tab/>
      </w:r>
      <w:r w:rsidRPr="002D5FF6">
        <w:rPr>
          <w:lang w:val="fr-FR"/>
        </w:rPr>
        <w:t>Le Comité, ayant qualifié de positives les incidences de la mise en place d</w:t>
      </w:r>
      <w:r w:rsidR="007D2830">
        <w:rPr>
          <w:lang w:val="fr-FR"/>
        </w:rPr>
        <w:t>’</w:t>
      </w:r>
      <w:r w:rsidRPr="002D5FF6">
        <w:rPr>
          <w:lang w:val="fr-FR"/>
        </w:rPr>
        <w:t xml:space="preserve">équipes spéciales de pays pour </w:t>
      </w:r>
      <w:r>
        <w:rPr>
          <w:lang w:val="fr-FR"/>
        </w:rPr>
        <w:t xml:space="preserve">un </w:t>
      </w:r>
      <w:r w:rsidRPr="002D5FF6">
        <w:rPr>
          <w:lang w:val="fr-FR"/>
        </w:rPr>
        <w:t>dialogue constructif avec les États parties, conformément à sa décision 50/I, a décidé de continuer à opérer dans le cadre d</w:t>
      </w:r>
      <w:r>
        <w:rPr>
          <w:lang w:val="fr-FR"/>
        </w:rPr>
        <w:t>e telles équipes, à titre permanent</w:t>
      </w:r>
      <w:r w:rsidRPr="002D5FF6">
        <w:rPr>
          <w:lang w:val="fr-FR"/>
        </w:rPr>
        <w:t>.</w:t>
      </w:r>
    </w:p>
    <w:p w:rsidR="00110E1C" w:rsidRPr="00110E1C" w:rsidRDefault="00110E1C" w:rsidP="00110E1C">
      <w:pPr>
        <w:pStyle w:val="SingleTxt"/>
        <w:spacing w:after="0" w:line="120" w:lineRule="exact"/>
        <w:rPr>
          <w:sz w:val="10"/>
          <w:lang w:val="fr-FR"/>
        </w:rPr>
      </w:pPr>
    </w:p>
    <w:p w:rsidR="002F117D" w:rsidRPr="00110E1C"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D5FF6">
        <w:rPr>
          <w:lang w:val="fr-FR"/>
        </w:rPr>
        <w:tab/>
      </w:r>
      <w:r w:rsidRPr="002D5FF6">
        <w:rPr>
          <w:lang w:val="fr-FR"/>
        </w:rPr>
        <w:tab/>
      </w:r>
      <w:r w:rsidRPr="00E0101D">
        <w:rPr>
          <w:lang w:val="fr-FR"/>
        </w:rPr>
        <w:t>Décision 64/IV</w:t>
      </w:r>
    </w:p>
    <w:p w:rsidR="00110E1C" w:rsidRPr="00110E1C" w:rsidRDefault="00110E1C" w:rsidP="00110E1C">
      <w:pPr>
        <w:pStyle w:val="SingleTxt"/>
        <w:spacing w:after="0" w:line="120" w:lineRule="exact"/>
        <w:rPr>
          <w:sz w:val="10"/>
          <w:lang w:val="fr-FR"/>
        </w:rPr>
      </w:pPr>
    </w:p>
    <w:p w:rsidR="002F117D" w:rsidRDefault="002F117D" w:rsidP="00BB6059">
      <w:pPr>
        <w:pStyle w:val="SingleTxt"/>
        <w:rPr>
          <w:lang w:val="fr-FR"/>
        </w:rPr>
      </w:pPr>
      <w:r w:rsidRPr="00E0101D">
        <w:rPr>
          <w:lang w:val="fr-FR"/>
        </w:rPr>
        <w:tab/>
      </w:r>
      <w:r w:rsidRPr="000523DB">
        <w:rPr>
          <w:lang w:val="fr-FR"/>
        </w:rPr>
        <w:t>Le Comité a décidé de demander à son secrétaria</w:t>
      </w:r>
      <w:r>
        <w:rPr>
          <w:lang w:val="fr-FR"/>
        </w:rPr>
        <w:t>t de créer un dossier intitulé « </w:t>
      </w:r>
      <w:r w:rsidRPr="000523DB">
        <w:rPr>
          <w:lang w:val="fr-FR"/>
        </w:rPr>
        <w:t>Documents relatifs au dialogue constructif</w:t>
      </w:r>
      <w:r>
        <w:rPr>
          <w:lang w:val="fr-FR"/>
        </w:rPr>
        <w:t> »</w:t>
      </w:r>
      <w:r w:rsidRPr="000523DB">
        <w:rPr>
          <w:lang w:val="fr-FR"/>
        </w:rPr>
        <w:t xml:space="preserve"> </w:t>
      </w:r>
      <w:r>
        <w:rPr>
          <w:lang w:val="fr-FR"/>
        </w:rPr>
        <w:t xml:space="preserve">à </w:t>
      </w:r>
      <w:r w:rsidRPr="000523DB">
        <w:rPr>
          <w:lang w:val="fr-FR"/>
        </w:rPr>
        <w:t xml:space="preserve">la rubrique </w:t>
      </w:r>
      <w:r>
        <w:rPr>
          <w:lang w:val="fr-FR"/>
        </w:rPr>
        <w:t>« </w:t>
      </w:r>
      <w:r w:rsidRPr="000523DB">
        <w:rPr>
          <w:lang w:val="fr-FR"/>
        </w:rPr>
        <w:t>Informations générales</w:t>
      </w:r>
      <w:r>
        <w:rPr>
          <w:lang w:val="fr-FR"/>
        </w:rPr>
        <w:t> »</w:t>
      </w:r>
      <w:r w:rsidRPr="000523DB">
        <w:rPr>
          <w:lang w:val="fr-FR"/>
        </w:rPr>
        <w:t xml:space="preserve"> de son extranet, </w:t>
      </w:r>
      <w:r>
        <w:rPr>
          <w:lang w:val="fr-FR"/>
        </w:rPr>
        <w:t xml:space="preserve">où </w:t>
      </w:r>
      <w:r w:rsidRPr="000523DB">
        <w:rPr>
          <w:lang w:val="fr-FR"/>
        </w:rPr>
        <w:t xml:space="preserve">les membres sont invités à </w:t>
      </w:r>
      <w:r>
        <w:rPr>
          <w:lang w:val="fr-FR"/>
        </w:rPr>
        <w:t xml:space="preserve">publier </w:t>
      </w:r>
      <w:r w:rsidRPr="000523DB">
        <w:rPr>
          <w:lang w:val="fr-FR"/>
        </w:rPr>
        <w:t>régulièrement des questions à examiner lors des dialogues constructifs</w:t>
      </w:r>
      <w:r>
        <w:rPr>
          <w:lang w:val="fr-FR"/>
        </w:rPr>
        <w:t>,</w:t>
      </w:r>
      <w:r w:rsidRPr="000523DB">
        <w:rPr>
          <w:lang w:val="fr-FR"/>
        </w:rPr>
        <w:t xml:space="preserve"> et </w:t>
      </w:r>
      <w:r>
        <w:rPr>
          <w:lang w:val="fr-FR"/>
        </w:rPr>
        <w:t xml:space="preserve">à y faire figurer </w:t>
      </w:r>
      <w:r w:rsidRPr="000523DB">
        <w:rPr>
          <w:lang w:val="fr-FR"/>
        </w:rPr>
        <w:t xml:space="preserve">les questions </w:t>
      </w:r>
      <w:r>
        <w:rPr>
          <w:lang w:val="fr-FR"/>
        </w:rPr>
        <w:t xml:space="preserve">recueillies </w:t>
      </w:r>
      <w:r w:rsidRPr="000523DB">
        <w:rPr>
          <w:lang w:val="fr-FR"/>
        </w:rPr>
        <w:t>dans le document d</w:t>
      </w:r>
      <w:r w:rsidR="007D2830">
        <w:rPr>
          <w:lang w:val="fr-FR"/>
        </w:rPr>
        <w:t>’</w:t>
      </w:r>
      <w:r w:rsidRPr="000523DB">
        <w:rPr>
          <w:lang w:val="fr-FR"/>
        </w:rPr>
        <w:t>analyse sur les sous-dimensions de l</w:t>
      </w:r>
      <w:r w:rsidR="007D2830">
        <w:rPr>
          <w:lang w:val="fr-FR"/>
        </w:rPr>
        <w:t>’</w:t>
      </w:r>
      <w:r w:rsidRPr="000523DB">
        <w:rPr>
          <w:lang w:val="fr-FR"/>
        </w:rPr>
        <w:t xml:space="preserve">indicateur 5.1.1 des objectifs de développement durable et la liste des questions à soumettre aux États parties présentant des rapports au Comité, </w:t>
      </w:r>
      <w:r>
        <w:rPr>
          <w:lang w:val="fr-FR"/>
        </w:rPr>
        <w:t xml:space="preserve">dressée </w:t>
      </w:r>
      <w:r w:rsidRPr="000523DB">
        <w:rPr>
          <w:lang w:val="fr-FR"/>
        </w:rPr>
        <w:t>au tableau C du Guide su</w:t>
      </w:r>
      <w:r>
        <w:rPr>
          <w:lang w:val="fr-FR"/>
        </w:rPr>
        <w:t>r la recommandation générale n</w:t>
      </w:r>
      <w:r w:rsidR="00BB6059" w:rsidRPr="00BB6059">
        <w:rPr>
          <w:vertAlign w:val="superscript"/>
          <w:lang w:val="fr-FR"/>
        </w:rPr>
        <w:t>o</w:t>
      </w:r>
      <w:r>
        <w:rPr>
          <w:lang w:val="fr-FR"/>
        </w:rPr>
        <w:t> </w:t>
      </w:r>
      <w:r w:rsidRPr="000523DB">
        <w:rPr>
          <w:lang w:val="fr-FR"/>
        </w:rPr>
        <w:t>30 (2013) sur les femmes dans la prévention des conflits, les conflits et les situations d’après-conflit et dans les résolutions du Conseil de sécurité sur les femmes et la paix et la sécurité, établie par l</w:t>
      </w:r>
      <w:r w:rsidR="007D2830">
        <w:rPr>
          <w:lang w:val="fr-FR"/>
        </w:rPr>
        <w:t>’</w:t>
      </w:r>
      <w:r w:rsidRPr="000523DB">
        <w:rPr>
          <w:lang w:val="fr-FR"/>
        </w:rPr>
        <w:t>Entité des Nations Unies pour l</w:t>
      </w:r>
      <w:r w:rsidR="007D2830">
        <w:rPr>
          <w:lang w:val="fr-FR"/>
        </w:rPr>
        <w:t>’</w:t>
      </w:r>
      <w:r w:rsidRPr="000523DB">
        <w:rPr>
          <w:lang w:val="fr-FR"/>
        </w:rPr>
        <w:t>égalité des sexes et l</w:t>
      </w:r>
      <w:r w:rsidR="007D2830">
        <w:rPr>
          <w:lang w:val="fr-FR"/>
        </w:rPr>
        <w:t>’</w:t>
      </w:r>
      <w:r w:rsidRPr="000523DB">
        <w:rPr>
          <w:lang w:val="fr-FR"/>
        </w:rPr>
        <w:t>autonomisation des femmes (ONU-Femmes).</w:t>
      </w:r>
    </w:p>
    <w:p w:rsidR="00110E1C" w:rsidRPr="00110E1C" w:rsidRDefault="00110E1C" w:rsidP="00110E1C">
      <w:pPr>
        <w:pStyle w:val="SingleTxt"/>
        <w:spacing w:after="0" w:line="120" w:lineRule="exact"/>
        <w:rPr>
          <w:sz w:val="10"/>
          <w:lang w:val="fr-FR"/>
        </w:rPr>
      </w:pPr>
    </w:p>
    <w:p w:rsidR="002F117D"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523DB">
        <w:rPr>
          <w:lang w:val="fr-FR"/>
        </w:rPr>
        <w:tab/>
      </w:r>
      <w:r w:rsidRPr="000523DB">
        <w:rPr>
          <w:lang w:val="fr-FR"/>
        </w:rPr>
        <w:tab/>
      </w:r>
      <w:r w:rsidRPr="00E0101D">
        <w:rPr>
          <w:lang w:val="fr-FR"/>
        </w:rPr>
        <w:t>Décision 64/V</w:t>
      </w:r>
    </w:p>
    <w:p w:rsidR="00110E1C" w:rsidRPr="00110E1C" w:rsidRDefault="00110E1C" w:rsidP="00110E1C">
      <w:pPr>
        <w:spacing w:line="120" w:lineRule="exact"/>
        <w:rPr>
          <w:sz w:val="10"/>
          <w:lang w:val="fr-FR"/>
        </w:rPr>
      </w:pPr>
    </w:p>
    <w:p w:rsidR="002F117D" w:rsidRDefault="002F117D" w:rsidP="00110E1C">
      <w:pPr>
        <w:pStyle w:val="SingleTxt"/>
        <w:rPr>
          <w:lang w:val="fr-FR"/>
        </w:rPr>
      </w:pPr>
      <w:r w:rsidRPr="00E0101D">
        <w:rPr>
          <w:lang w:val="fr-FR"/>
        </w:rPr>
        <w:tab/>
      </w:r>
      <w:r w:rsidRPr="000523DB">
        <w:rPr>
          <w:lang w:val="fr-FR"/>
        </w:rPr>
        <w:t>Le Comité a décidé de tenir une séance informelle avec les États parties à la Convention le 17</w:t>
      </w:r>
      <w:r w:rsidR="00D944D7">
        <w:rPr>
          <w:lang w:val="fr-FR"/>
        </w:rPr>
        <w:t> novembre</w:t>
      </w:r>
      <w:r w:rsidRPr="000523DB">
        <w:rPr>
          <w:lang w:val="fr-FR"/>
        </w:rPr>
        <w:t xml:space="preserve"> 2016, durant sa soixante-cinquième session, afin de les informer de ses méthodes de travail </w:t>
      </w:r>
      <w:r>
        <w:rPr>
          <w:lang w:val="fr-FR"/>
        </w:rPr>
        <w:t>et de ses priorités thématiques</w:t>
      </w:r>
      <w:r w:rsidRPr="000523DB">
        <w:rPr>
          <w:lang w:val="fr-FR"/>
        </w:rPr>
        <w:t>.</w:t>
      </w:r>
    </w:p>
    <w:p w:rsidR="00110E1C" w:rsidRPr="00110E1C" w:rsidRDefault="00110E1C" w:rsidP="00110E1C">
      <w:pPr>
        <w:pStyle w:val="SingleTxt"/>
        <w:spacing w:after="0" w:line="120" w:lineRule="exact"/>
        <w:rPr>
          <w:sz w:val="10"/>
          <w:lang w:val="fr-FR"/>
        </w:rPr>
      </w:pPr>
    </w:p>
    <w:p w:rsidR="00110E1C" w:rsidRDefault="00110E1C">
      <w:pPr>
        <w:spacing w:after="200" w:line="276" w:lineRule="auto"/>
        <w:rPr>
          <w:b/>
          <w:spacing w:val="2"/>
          <w:lang w:val="fr-FR"/>
        </w:rPr>
      </w:pPr>
      <w:r>
        <w:rPr>
          <w:lang w:val="fr-FR"/>
        </w:rPr>
        <w:br w:type="page"/>
      </w:r>
    </w:p>
    <w:p w:rsidR="00110E1C" w:rsidRPr="00110E1C" w:rsidRDefault="002F117D" w:rsidP="00110E1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523DB">
        <w:rPr>
          <w:lang w:val="fr-FR"/>
        </w:rPr>
        <w:lastRenderedPageBreak/>
        <w:tab/>
      </w:r>
      <w:r w:rsidRPr="000523DB">
        <w:rPr>
          <w:lang w:val="fr-FR"/>
        </w:rPr>
        <w:tab/>
      </w:r>
      <w:r w:rsidRPr="009317AE">
        <w:rPr>
          <w:lang w:val="fr-FR"/>
        </w:rPr>
        <w:t>Décision 64/VI</w:t>
      </w:r>
    </w:p>
    <w:p w:rsidR="00110E1C" w:rsidRPr="00110E1C" w:rsidRDefault="00110E1C" w:rsidP="00110E1C">
      <w:pPr>
        <w:pStyle w:val="SingleTxt"/>
        <w:spacing w:after="0" w:line="120" w:lineRule="exact"/>
        <w:rPr>
          <w:sz w:val="10"/>
          <w:lang w:val="fr-FR"/>
        </w:rPr>
      </w:pPr>
    </w:p>
    <w:p w:rsidR="002F117D" w:rsidRPr="006A3DC0" w:rsidRDefault="002F117D" w:rsidP="00110E1C">
      <w:pPr>
        <w:pStyle w:val="SingleTxt"/>
        <w:rPr>
          <w:lang w:val="fr-FR"/>
        </w:rPr>
      </w:pPr>
      <w:r w:rsidRPr="009317AE">
        <w:rPr>
          <w:lang w:val="fr-FR"/>
        </w:rPr>
        <w:tab/>
      </w:r>
      <w:r w:rsidRPr="006A3DC0">
        <w:rPr>
          <w:lang w:val="fr-FR"/>
        </w:rPr>
        <w:t>Le Comité a approuvé la composition d</w:t>
      </w:r>
      <w:r>
        <w:rPr>
          <w:lang w:val="fr-FR"/>
        </w:rPr>
        <w:t>e son g</w:t>
      </w:r>
      <w:r w:rsidRPr="006A3DC0">
        <w:rPr>
          <w:lang w:val="fr-FR"/>
        </w:rPr>
        <w:t xml:space="preserve">roupe de travail </w:t>
      </w:r>
      <w:r>
        <w:rPr>
          <w:lang w:val="fr-FR"/>
        </w:rPr>
        <w:t>d’avant-session pour la soixante-sixième</w:t>
      </w:r>
      <w:r w:rsidRPr="006A3DC0">
        <w:rPr>
          <w:lang w:val="fr-FR"/>
        </w:rPr>
        <w:t xml:space="preserve"> session</w:t>
      </w:r>
      <w:r>
        <w:rPr>
          <w:lang w:val="fr-FR"/>
        </w:rPr>
        <w:t>,</w:t>
      </w:r>
      <w:r w:rsidR="007A3D87">
        <w:rPr>
          <w:lang w:val="fr-FR"/>
        </w:rPr>
        <w:t xml:space="preserve"> </w:t>
      </w:r>
      <w:r>
        <w:rPr>
          <w:lang w:val="fr-FR"/>
        </w:rPr>
        <w:t>à savoir</w:t>
      </w:r>
      <w:r w:rsidR="007D2830">
        <w:rPr>
          <w:lang w:val="fr-FR"/>
        </w:rPr>
        <w:t> :</w:t>
      </w:r>
      <w:r w:rsidRPr="006A3DC0">
        <w:rPr>
          <w:lang w:val="fr-FR"/>
        </w:rPr>
        <w:t xml:space="preserve"> Gladys Acosta Vargas, Hilary Gbedemah, Nahla Haidar, Lia Nadaraia </w:t>
      </w:r>
      <w:r>
        <w:rPr>
          <w:lang w:val="fr-FR"/>
        </w:rPr>
        <w:t xml:space="preserve">et </w:t>
      </w:r>
      <w:r w:rsidRPr="006A3DC0">
        <w:rPr>
          <w:lang w:val="fr-FR"/>
        </w:rPr>
        <w:t>Biancamaria Pomeranzi.</w:t>
      </w:r>
    </w:p>
    <w:p w:rsidR="002F117D" w:rsidRPr="006A3DC0" w:rsidRDefault="002F117D" w:rsidP="002F117D">
      <w:pPr>
        <w:spacing w:line="240" w:lineRule="auto"/>
      </w:pPr>
      <w:r w:rsidRPr="006A3DC0">
        <w:br w:type="page"/>
      </w:r>
    </w:p>
    <w:p w:rsidR="002F117D" w:rsidRPr="009317AE" w:rsidRDefault="002F117D" w:rsidP="002F117D">
      <w:pPr>
        <w:pStyle w:val="HCh0"/>
        <w:ind w:left="1267" w:right="1260" w:hanging="1267"/>
        <w:rPr>
          <w:lang w:val="fr-FR"/>
        </w:rPr>
      </w:pPr>
      <w:r w:rsidRPr="009317AE">
        <w:rPr>
          <w:lang w:val="fr-FR"/>
        </w:rPr>
        <w:lastRenderedPageBreak/>
        <w:t>Chapitre II</w:t>
      </w:r>
    </w:p>
    <w:p w:rsidR="002F117D" w:rsidRPr="007D2830" w:rsidRDefault="002F117D" w:rsidP="00110E1C">
      <w:pPr>
        <w:pStyle w:val="HCh0"/>
        <w:ind w:left="1267" w:right="1260" w:hanging="1267"/>
        <w:rPr>
          <w:lang w:val="fr-FR"/>
        </w:rPr>
      </w:pPr>
      <w:r w:rsidRPr="007D2830">
        <w:rPr>
          <w:lang w:val="fr-FR"/>
        </w:rPr>
        <w:tab/>
      </w:r>
      <w:r w:rsidRPr="007D2830">
        <w:rPr>
          <w:lang w:val="fr-FR"/>
        </w:rPr>
        <w:tab/>
        <w:t xml:space="preserve">Questions d’organisation et autres questions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317AE">
        <w:rPr>
          <w:lang w:val="fr-FR"/>
        </w:rPr>
        <w:tab/>
        <w:t>A.</w:t>
      </w:r>
      <w:r w:rsidRPr="009317AE">
        <w:rPr>
          <w:lang w:val="fr-FR"/>
        </w:rPr>
        <w:tab/>
      </w:r>
      <w:r w:rsidRPr="006A3DC0">
        <w:rPr>
          <w:lang w:val="fr-FR"/>
        </w:rPr>
        <w:t xml:space="preserve">États parties à la Convention et au Protocole facultatif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AF74A3">
      <w:pPr>
        <w:pStyle w:val="SingleTxt"/>
        <w:numPr>
          <w:ilvl w:val="0"/>
          <w:numId w:val="5"/>
        </w:numPr>
        <w:spacing w:line="240" w:lineRule="exact"/>
        <w:ind w:left="1267"/>
        <w:rPr>
          <w:lang w:val="fr-FR"/>
        </w:rPr>
      </w:pPr>
      <w:r w:rsidRPr="006A3DC0">
        <w:rPr>
          <w:lang w:val="fr-FR"/>
        </w:rPr>
        <w:t>Au 22</w:t>
      </w:r>
      <w:r w:rsidR="00D944D7">
        <w:rPr>
          <w:lang w:val="fr-FR"/>
        </w:rPr>
        <w:t> juillet</w:t>
      </w:r>
      <w:r w:rsidRPr="006A3DC0">
        <w:rPr>
          <w:lang w:val="fr-FR"/>
        </w:rPr>
        <w:t xml:space="preserve"> 2016, date de clôture de la soixante-quatrième session du Comité, 189 États </w:t>
      </w:r>
      <w:r>
        <w:rPr>
          <w:lang w:val="fr-FR"/>
        </w:rPr>
        <w:t>étaient parties à la Convention</w:t>
      </w:r>
      <w:r w:rsidRPr="009317AE">
        <w:rPr>
          <w:lang w:val="fr-FR"/>
        </w:rPr>
        <w:t xml:space="preserve">. </w:t>
      </w:r>
      <w:r w:rsidRPr="006A3DC0">
        <w:rPr>
          <w:lang w:val="fr-FR"/>
        </w:rPr>
        <w:t>En outre, 70 États parties avaient accepté l’amendement au</w:t>
      </w:r>
      <w:r w:rsidR="00D944D7">
        <w:rPr>
          <w:lang w:val="fr-FR"/>
        </w:rPr>
        <w:t xml:space="preserve"> paragraphe </w:t>
      </w:r>
      <w:r w:rsidRPr="006A3DC0">
        <w:rPr>
          <w:lang w:val="fr-FR"/>
        </w:rPr>
        <w:t>1 de l’article 20 de la Convention concernant le ca</w:t>
      </w:r>
      <w:r>
        <w:rPr>
          <w:lang w:val="fr-FR"/>
        </w:rPr>
        <w:t>lendrier des réunions du Comité</w:t>
      </w:r>
      <w:r w:rsidRPr="009317AE">
        <w:rPr>
          <w:lang w:val="fr-FR"/>
        </w:rPr>
        <w:t xml:space="preserve">. </w:t>
      </w:r>
      <w:r w:rsidRPr="006A3DC0">
        <w:rPr>
          <w:lang w:val="fr-FR"/>
        </w:rPr>
        <w:t>L’amendement entrera en vigueur lorsqu’il aura été accepté par 12</w:t>
      </w:r>
      <w:r>
        <w:rPr>
          <w:lang w:val="fr-FR"/>
        </w:rPr>
        <w:t>6 États parties à la Convention</w:t>
      </w:r>
      <w:r w:rsidRPr="009317AE">
        <w:rPr>
          <w:lang w:val="fr-FR"/>
        </w:rPr>
        <w:t>.</w:t>
      </w:r>
    </w:p>
    <w:p w:rsidR="002F117D" w:rsidRPr="009317AE" w:rsidRDefault="002F117D" w:rsidP="00AF74A3">
      <w:pPr>
        <w:pStyle w:val="SingleTxt"/>
        <w:numPr>
          <w:ilvl w:val="0"/>
          <w:numId w:val="5"/>
        </w:numPr>
        <w:spacing w:line="240" w:lineRule="exact"/>
        <w:ind w:left="1267"/>
        <w:rPr>
          <w:lang w:val="fr-FR"/>
        </w:rPr>
      </w:pPr>
      <w:r w:rsidRPr="006A3DC0">
        <w:rPr>
          <w:lang w:val="fr-FR"/>
        </w:rPr>
        <w:t xml:space="preserve">À la même date, 107 États étaient parties au Protocole facultatif </w:t>
      </w:r>
      <w:r>
        <w:rPr>
          <w:lang w:val="fr-FR"/>
        </w:rPr>
        <w:t xml:space="preserve">se rapportant </w:t>
      </w:r>
      <w:r w:rsidRPr="006A3DC0">
        <w:rPr>
          <w:lang w:val="fr-FR"/>
        </w:rPr>
        <w:t>à la Convention</w:t>
      </w:r>
      <w:r w:rsidRPr="009317AE">
        <w:rPr>
          <w:lang w:val="fr-FR"/>
        </w:rPr>
        <w:t>.</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317AE">
        <w:rPr>
          <w:lang w:val="fr-FR"/>
        </w:rPr>
        <w:tab/>
        <w:t>B.</w:t>
      </w:r>
      <w:r w:rsidRPr="009317AE">
        <w:rPr>
          <w:lang w:val="fr-FR"/>
        </w:rPr>
        <w:tab/>
      </w:r>
      <w:r w:rsidRPr="007F4B3E">
        <w:rPr>
          <w:lang w:val="fr-FR"/>
        </w:rPr>
        <w:t xml:space="preserve">Ouverture de la session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AF74A3">
      <w:pPr>
        <w:pStyle w:val="SingleTxt"/>
        <w:numPr>
          <w:ilvl w:val="0"/>
          <w:numId w:val="5"/>
        </w:numPr>
        <w:spacing w:line="240" w:lineRule="exact"/>
        <w:ind w:left="1267"/>
        <w:rPr>
          <w:lang w:val="fr-FR"/>
        </w:rPr>
      </w:pPr>
      <w:r w:rsidRPr="007F4B3E">
        <w:rPr>
          <w:lang w:val="fr-FR"/>
        </w:rPr>
        <w:t xml:space="preserve">Le Comité a tenu sa soixante-quatrième session à l’Office des Nations Unies à </w:t>
      </w:r>
      <w:r>
        <w:rPr>
          <w:lang w:val="fr-FR"/>
        </w:rPr>
        <w:t>Genève, du 4 au 22</w:t>
      </w:r>
      <w:r w:rsidR="00D944D7">
        <w:rPr>
          <w:lang w:val="fr-FR"/>
        </w:rPr>
        <w:t> juillet</w:t>
      </w:r>
      <w:r>
        <w:rPr>
          <w:lang w:val="fr-FR"/>
        </w:rPr>
        <w:t xml:space="preserve"> 2016</w:t>
      </w:r>
      <w:r w:rsidRPr="009317AE">
        <w:rPr>
          <w:lang w:val="fr-FR"/>
        </w:rPr>
        <w:t xml:space="preserve">. </w:t>
      </w:r>
      <w:r w:rsidRPr="001F32EE">
        <w:rPr>
          <w:lang w:val="fr-FR"/>
        </w:rPr>
        <w:t>Il a tenu 20 séances plénières et huit autres séances pour examiner les points 5 à 8 d</w:t>
      </w:r>
      <w:r>
        <w:rPr>
          <w:lang w:val="fr-FR"/>
        </w:rPr>
        <w:t>e l’ordre du jour</w:t>
      </w:r>
      <w:r w:rsidRPr="009317AE">
        <w:rPr>
          <w:lang w:val="fr-FR"/>
        </w:rPr>
        <w:t xml:space="preserve">. </w:t>
      </w:r>
      <w:r w:rsidRPr="001F32EE">
        <w:rPr>
          <w:lang w:val="fr-FR"/>
        </w:rPr>
        <w:t xml:space="preserve">La liste des documents dont il était saisi se trouve à l’annexe </w:t>
      </w:r>
      <w:r>
        <w:rPr>
          <w:lang w:val="fr-FR"/>
        </w:rPr>
        <w:t xml:space="preserve">de </w:t>
      </w:r>
      <w:r w:rsidRPr="001F32EE">
        <w:rPr>
          <w:lang w:val="fr-FR"/>
        </w:rPr>
        <w:t>la pre</w:t>
      </w:r>
      <w:r>
        <w:rPr>
          <w:lang w:val="fr-FR"/>
        </w:rPr>
        <w:t>mière partie du présent rapport</w:t>
      </w:r>
      <w:r w:rsidRPr="009317AE">
        <w:rPr>
          <w:lang w:val="fr-FR"/>
        </w:rPr>
        <w:t>.</w:t>
      </w:r>
    </w:p>
    <w:p w:rsidR="002F117D" w:rsidRPr="009317AE" w:rsidRDefault="002F117D" w:rsidP="00AF74A3">
      <w:pPr>
        <w:pStyle w:val="SingleTxt"/>
        <w:numPr>
          <w:ilvl w:val="0"/>
          <w:numId w:val="5"/>
        </w:numPr>
        <w:spacing w:line="240" w:lineRule="exact"/>
        <w:ind w:left="1267"/>
        <w:rPr>
          <w:lang w:val="fr-FR"/>
        </w:rPr>
      </w:pPr>
      <w:r w:rsidRPr="001F32EE">
        <w:rPr>
          <w:lang w:val="fr-FR"/>
        </w:rPr>
        <w:t>À la 1403</w:t>
      </w:r>
      <w:r w:rsidRPr="001F32EE">
        <w:rPr>
          <w:vertAlign w:val="superscript"/>
          <w:lang w:val="fr-FR"/>
        </w:rPr>
        <w:t>e</w:t>
      </w:r>
      <w:r w:rsidR="00D461B4">
        <w:rPr>
          <w:lang w:val="fr-FR"/>
        </w:rPr>
        <w:t> séance</w:t>
      </w:r>
      <w:r w:rsidRPr="001F32EE">
        <w:rPr>
          <w:lang w:val="fr-FR"/>
        </w:rPr>
        <w:t>, le 4</w:t>
      </w:r>
      <w:r w:rsidR="00D944D7">
        <w:rPr>
          <w:lang w:val="fr-FR"/>
        </w:rPr>
        <w:t> juillet</w:t>
      </w:r>
      <w:r w:rsidRPr="001F32EE">
        <w:rPr>
          <w:lang w:val="fr-FR"/>
        </w:rPr>
        <w:t xml:space="preserve"> 2016, la session </w:t>
      </w:r>
      <w:r>
        <w:rPr>
          <w:lang w:val="fr-FR"/>
        </w:rPr>
        <w:t>a été ouverte par la Présidente</w:t>
      </w:r>
      <w:r w:rsidRPr="009317AE">
        <w:rPr>
          <w:lang w:val="fr-FR"/>
        </w:rPr>
        <w:t>.</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t>C.</w:t>
      </w:r>
      <w:r w:rsidRPr="009317AE">
        <w:rPr>
          <w:lang w:val="fr-FR"/>
        </w:rPr>
        <w:tab/>
      </w:r>
      <w:r w:rsidRPr="001F32EE">
        <w:rPr>
          <w:lang w:val="fr-FR"/>
        </w:rPr>
        <w:t xml:space="preserve">Adoption de l’ordre du jour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AF74A3">
      <w:pPr>
        <w:pStyle w:val="SingleTxt"/>
        <w:numPr>
          <w:ilvl w:val="0"/>
          <w:numId w:val="5"/>
        </w:numPr>
        <w:spacing w:line="240" w:lineRule="exact"/>
        <w:ind w:left="1267"/>
        <w:rPr>
          <w:lang w:val="fr-FR"/>
        </w:rPr>
      </w:pPr>
      <w:r>
        <w:rPr>
          <w:lang w:val="fr-FR"/>
        </w:rPr>
        <w:t>À sa 1403</w:t>
      </w:r>
      <w:r w:rsidRPr="001F32EE">
        <w:rPr>
          <w:vertAlign w:val="superscript"/>
          <w:lang w:val="fr-FR"/>
        </w:rPr>
        <w:t>e</w:t>
      </w:r>
      <w:r w:rsidR="00110E1C">
        <w:rPr>
          <w:lang w:val="fr-FR"/>
        </w:rPr>
        <w:t> </w:t>
      </w:r>
      <w:r w:rsidRPr="001F32EE">
        <w:rPr>
          <w:lang w:val="fr-FR"/>
        </w:rPr>
        <w:t>séance, le 4</w:t>
      </w:r>
      <w:r w:rsidR="00D944D7">
        <w:rPr>
          <w:lang w:val="fr-FR"/>
        </w:rPr>
        <w:t> juillet</w:t>
      </w:r>
      <w:r w:rsidRPr="001F32EE">
        <w:rPr>
          <w:lang w:val="fr-FR"/>
        </w:rPr>
        <w:t xml:space="preserve"> 2016, le Comité a adopté l’ordre du jour provisoire de sa session </w:t>
      </w:r>
      <w:r w:rsidRPr="009317AE">
        <w:rPr>
          <w:lang w:val="fr-FR"/>
        </w:rPr>
        <w:t>(</w:t>
      </w:r>
      <w:hyperlink r:id="rId22" w:history="1">
        <w:r w:rsidRPr="009317AE">
          <w:rPr>
            <w:rStyle w:val="Hyperlink"/>
            <w:lang w:val="fr-FR"/>
          </w:rPr>
          <w:t>CEDAW/C/64/1</w:t>
        </w:r>
      </w:hyperlink>
      <w:r w:rsidRPr="009317AE">
        <w:rPr>
          <w:lang w:val="fr-FR"/>
        </w:rPr>
        <w:t>).</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t>D.</w:t>
      </w:r>
      <w:r w:rsidRPr="009317AE">
        <w:rPr>
          <w:lang w:val="fr-FR"/>
        </w:rPr>
        <w:tab/>
      </w:r>
      <w:r w:rsidRPr="00D41A15">
        <w:rPr>
          <w:lang w:val="fr-FR"/>
        </w:rPr>
        <w:t>Rappo</w:t>
      </w:r>
      <w:r>
        <w:rPr>
          <w:lang w:val="fr-FR"/>
        </w:rPr>
        <w:t>rt du groupe de travail d’avant-</w:t>
      </w:r>
      <w:r w:rsidRPr="00D41A15">
        <w:rPr>
          <w:lang w:val="fr-FR"/>
        </w:rPr>
        <w:t xml:space="preserve">session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AF74A3">
      <w:pPr>
        <w:pStyle w:val="SingleTxt"/>
        <w:numPr>
          <w:ilvl w:val="0"/>
          <w:numId w:val="5"/>
        </w:numPr>
        <w:spacing w:line="240" w:lineRule="exact"/>
        <w:ind w:left="1267"/>
        <w:rPr>
          <w:lang w:val="fr-FR"/>
        </w:rPr>
      </w:pPr>
      <w:r w:rsidRPr="00D41A15">
        <w:rPr>
          <w:lang w:val="fr-FR"/>
        </w:rPr>
        <w:t xml:space="preserve">Le rapport du groupe de travail d’avant-session </w:t>
      </w:r>
      <w:r w:rsidRPr="009317AE">
        <w:rPr>
          <w:lang w:val="fr-FR"/>
        </w:rPr>
        <w:t>(</w:t>
      </w:r>
      <w:hyperlink r:id="rId23" w:history="1">
        <w:r w:rsidRPr="009317AE">
          <w:rPr>
            <w:rStyle w:val="Hyperlink"/>
            <w:lang w:val="fr-FR"/>
          </w:rPr>
          <w:t>CEDAW/C/PSWG/64/1</w:t>
        </w:r>
      </w:hyperlink>
      <w:r w:rsidRPr="009317AE">
        <w:rPr>
          <w:lang w:val="fr-FR"/>
        </w:rPr>
        <w:t xml:space="preserve">), </w:t>
      </w:r>
      <w:r w:rsidRPr="00D41A15">
        <w:rPr>
          <w:lang w:val="fr-FR"/>
        </w:rPr>
        <w:t xml:space="preserve">qui s’était réuni du </w:t>
      </w:r>
      <w:r w:rsidRPr="009317AE">
        <w:rPr>
          <w:lang w:val="fr-FR"/>
        </w:rPr>
        <w:t xml:space="preserve">23 </w:t>
      </w:r>
      <w:r>
        <w:rPr>
          <w:lang w:val="fr-FR"/>
        </w:rPr>
        <w:t>au</w:t>
      </w:r>
      <w:r w:rsidRPr="009317AE">
        <w:rPr>
          <w:lang w:val="fr-FR"/>
        </w:rPr>
        <w:t xml:space="preserve"> 27</w:t>
      </w:r>
      <w:r w:rsidR="00D944D7">
        <w:rPr>
          <w:lang w:val="fr-FR"/>
        </w:rPr>
        <w:t> novembre</w:t>
      </w:r>
      <w:r w:rsidRPr="009317AE">
        <w:rPr>
          <w:lang w:val="fr-FR"/>
        </w:rPr>
        <w:t xml:space="preserve"> 2015, </w:t>
      </w:r>
      <w:r w:rsidRPr="00D41A15">
        <w:rPr>
          <w:lang w:val="fr-FR"/>
        </w:rPr>
        <w:t xml:space="preserve">a été présenté par </w:t>
      </w:r>
      <w:r w:rsidRPr="009317AE">
        <w:rPr>
          <w:lang w:val="fr-FR"/>
        </w:rPr>
        <w:t xml:space="preserve">Theodora Oby Nwankwo </w:t>
      </w:r>
      <w:r>
        <w:rPr>
          <w:lang w:val="fr-FR"/>
        </w:rPr>
        <w:t>à la 1403</w:t>
      </w:r>
      <w:r w:rsidRPr="00D41A15">
        <w:rPr>
          <w:vertAlign w:val="superscript"/>
          <w:lang w:val="fr-FR"/>
        </w:rPr>
        <w:t>e</w:t>
      </w:r>
      <w:r w:rsidR="00D461B4">
        <w:rPr>
          <w:lang w:val="fr-FR"/>
        </w:rPr>
        <w:t> séance</w:t>
      </w:r>
      <w:r w:rsidRPr="009317AE">
        <w:rPr>
          <w:lang w:val="fr-FR"/>
        </w:rPr>
        <w:t xml:space="preserve">, </w:t>
      </w:r>
      <w:r>
        <w:rPr>
          <w:lang w:val="fr-FR"/>
        </w:rPr>
        <w:t xml:space="preserve">le </w:t>
      </w:r>
      <w:r w:rsidRPr="009317AE">
        <w:rPr>
          <w:lang w:val="fr-FR"/>
        </w:rPr>
        <w:t>4</w:t>
      </w:r>
      <w:r w:rsidR="00D944D7">
        <w:rPr>
          <w:lang w:val="fr-FR"/>
        </w:rPr>
        <w:t> juillet</w:t>
      </w:r>
      <w:r>
        <w:rPr>
          <w:lang w:val="fr-FR"/>
        </w:rPr>
        <w:t xml:space="preserve"> </w:t>
      </w:r>
      <w:r w:rsidRPr="009317AE">
        <w:rPr>
          <w:lang w:val="fr-FR"/>
        </w:rPr>
        <w:t>2016.</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110E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t>E.</w:t>
      </w:r>
      <w:r w:rsidRPr="009317AE">
        <w:rPr>
          <w:lang w:val="fr-FR"/>
        </w:rPr>
        <w:tab/>
      </w:r>
      <w:r w:rsidRPr="00D41A15">
        <w:rPr>
          <w:lang w:val="fr-FR"/>
        </w:rPr>
        <w:t>Organisation des travaux</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9317AE" w:rsidRDefault="002F117D" w:rsidP="00AF74A3">
      <w:pPr>
        <w:pStyle w:val="SingleTxt"/>
        <w:numPr>
          <w:ilvl w:val="0"/>
          <w:numId w:val="5"/>
        </w:numPr>
        <w:spacing w:line="240" w:lineRule="exact"/>
        <w:ind w:left="1267"/>
        <w:rPr>
          <w:lang w:val="fr-FR"/>
        </w:rPr>
      </w:pPr>
      <w:r w:rsidRPr="00AC2176">
        <w:rPr>
          <w:lang w:val="fr-FR"/>
        </w:rPr>
        <w:t>Les 4 et 11</w:t>
      </w:r>
      <w:r w:rsidR="00D944D7">
        <w:rPr>
          <w:lang w:val="fr-FR"/>
        </w:rPr>
        <w:t> juillet</w:t>
      </w:r>
      <w:r w:rsidRPr="00AC2176">
        <w:rPr>
          <w:lang w:val="fr-FR"/>
        </w:rPr>
        <w:t xml:space="preserve"> 2016, le Comité a tenu des séances privées avec des représentants d’institutions spécialisées et de fonds et programmes des Nations Unies ainsi que d’autres organisations intergouvernementales qui lui ont communiqué des informations concernant certains pays </w:t>
      </w:r>
      <w:r>
        <w:rPr>
          <w:lang w:val="fr-FR"/>
        </w:rPr>
        <w:t>et</w:t>
      </w:r>
      <w:r w:rsidRPr="00AC2176">
        <w:rPr>
          <w:lang w:val="fr-FR"/>
        </w:rPr>
        <w:t xml:space="preserve"> des renseignements sur l’action qu’ils menaient pour promouvoir</w:t>
      </w:r>
      <w:r>
        <w:rPr>
          <w:lang w:val="fr-FR"/>
        </w:rPr>
        <w:t xml:space="preserve"> l’application de la Convention</w:t>
      </w:r>
      <w:r w:rsidRPr="009317AE">
        <w:rPr>
          <w:lang w:val="fr-FR"/>
        </w:rPr>
        <w:t>.</w:t>
      </w:r>
    </w:p>
    <w:p w:rsidR="002F117D" w:rsidRPr="009317AE" w:rsidRDefault="002F117D" w:rsidP="00AF74A3">
      <w:pPr>
        <w:pStyle w:val="SingleTxt"/>
        <w:numPr>
          <w:ilvl w:val="0"/>
          <w:numId w:val="5"/>
        </w:numPr>
        <w:spacing w:line="240" w:lineRule="exact"/>
        <w:ind w:left="1267"/>
        <w:rPr>
          <w:lang w:val="fr-FR"/>
        </w:rPr>
      </w:pPr>
      <w:r w:rsidRPr="00AC2176">
        <w:rPr>
          <w:lang w:val="fr-FR"/>
        </w:rPr>
        <w:t xml:space="preserve">En outre, </w:t>
      </w:r>
      <w:r>
        <w:rPr>
          <w:lang w:val="fr-FR"/>
        </w:rPr>
        <w:t>il</w:t>
      </w:r>
      <w:r w:rsidRPr="00AC2176">
        <w:rPr>
          <w:lang w:val="fr-FR"/>
        </w:rPr>
        <w:t xml:space="preserve"> a tenu des séances publiques informelles avec des représentants d’organisations non gouvernementales et d’institutions nationales de défense des droits de l’homme, qui lui ont communiqué des renseignements sur l’application de la Convention par les États parties dont le Comité avait prévu d’examiner les rapports à sa </w:t>
      </w:r>
      <w:r>
        <w:rPr>
          <w:lang w:val="fr-FR"/>
        </w:rPr>
        <w:t xml:space="preserve">soixante-quatrième </w:t>
      </w:r>
      <w:r w:rsidRPr="00AC2176">
        <w:rPr>
          <w:lang w:val="fr-FR"/>
        </w:rPr>
        <w:t>session</w:t>
      </w:r>
      <w:r w:rsidRPr="009317AE">
        <w:rPr>
          <w:lang w:val="fr-FR"/>
        </w:rPr>
        <w:t>.</w:t>
      </w:r>
    </w:p>
    <w:p w:rsidR="002F117D" w:rsidRPr="009317AE" w:rsidRDefault="002F117D" w:rsidP="00AF74A3">
      <w:pPr>
        <w:pStyle w:val="SingleTxt"/>
        <w:numPr>
          <w:ilvl w:val="0"/>
          <w:numId w:val="5"/>
        </w:numPr>
        <w:spacing w:line="240" w:lineRule="exact"/>
        <w:ind w:left="1267"/>
        <w:rPr>
          <w:lang w:val="fr-FR"/>
        </w:rPr>
      </w:pPr>
      <w:r w:rsidRPr="00896FF3">
        <w:rPr>
          <w:lang w:val="fr-FR"/>
        </w:rPr>
        <w:t>Le 8</w:t>
      </w:r>
      <w:r w:rsidR="00D944D7">
        <w:rPr>
          <w:lang w:val="fr-FR"/>
        </w:rPr>
        <w:t> juillet</w:t>
      </w:r>
      <w:r w:rsidRPr="00896FF3">
        <w:rPr>
          <w:lang w:val="fr-FR"/>
        </w:rPr>
        <w:t xml:space="preserve"> 2016, un représentant d</w:t>
      </w:r>
      <w:r w:rsidR="007D2830">
        <w:rPr>
          <w:lang w:val="fr-FR"/>
        </w:rPr>
        <w:t>’</w:t>
      </w:r>
      <w:r w:rsidRPr="00896FF3">
        <w:rPr>
          <w:lang w:val="fr-FR"/>
        </w:rPr>
        <w:t>Amnesty International a fait un exposé, en séance privée, sur la nouvelle politique de l</w:t>
      </w:r>
      <w:r w:rsidR="007D2830">
        <w:rPr>
          <w:lang w:val="fr-FR"/>
        </w:rPr>
        <w:t>’</w:t>
      </w:r>
      <w:r w:rsidRPr="00896FF3">
        <w:rPr>
          <w:lang w:val="fr-FR"/>
        </w:rPr>
        <w:t>organisation conc</w:t>
      </w:r>
      <w:r>
        <w:rPr>
          <w:lang w:val="fr-FR"/>
        </w:rPr>
        <w:t>ernant les travailleurs du sexe</w:t>
      </w:r>
      <w:r w:rsidRPr="009317AE">
        <w:rPr>
          <w:lang w:val="fr-FR"/>
        </w:rPr>
        <w:t>.</w:t>
      </w:r>
    </w:p>
    <w:p w:rsidR="002F117D" w:rsidRPr="00896FF3" w:rsidRDefault="002F117D" w:rsidP="00AF74A3">
      <w:pPr>
        <w:pStyle w:val="SingleTxt"/>
        <w:numPr>
          <w:ilvl w:val="0"/>
          <w:numId w:val="5"/>
        </w:numPr>
        <w:spacing w:line="240" w:lineRule="exact"/>
        <w:ind w:left="1267"/>
        <w:rPr>
          <w:lang w:val="fr-FR"/>
        </w:rPr>
      </w:pPr>
      <w:r w:rsidRPr="00896FF3">
        <w:rPr>
          <w:lang w:val="fr-FR"/>
        </w:rPr>
        <w:t>Le 21</w:t>
      </w:r>
      <w:r w:rsidR="00D944D7">
        <w:rPr>
          <w:lang w:val="fr-FR"/>
        </w:rPr>
        <w:t> juillet</w:t>
      </w:r>
      <w:r w:rsidRPr="00896FF3">
        <w:rPr>
          <w:lang w:val="fr-FR"/>
        </w:rPr>
        <w:t xml:space="preserve"> 2016, </w:t>
      </w:r>
      <w:r>
        <w:rPr>
          <w:lang w:val="fr-FR"/>
        </w:rPr>
        <w:t xml:space="preserve">le Comité a tenu une manifestation parallèle, en collaboration avec </w:t>
      </w:r>
      <w:r w:rsidRPr="00896FF3">
        <w:rPr>
          <w:lang w:val="fr-FR"/>
        </w:rPr>
        <w:t xml:space="preserve">le Comité pour la protection des droits de tous les travailleurs </w:t>
      </w:r>
      <w:r w:rsidRPr="00896FF3">
        <w:rPr>
          <w:lang w:val="fr-FR"/>
        </w:rPr>
        <w:lastRenderedPageBreak/>
        <w:t>migrants et des membres de leur famille</w:t>
      </w:r>
      <w:r>
        <w:rPr>
          <w:lang w:val="fr-FR"/>
        </w:rPr>
        <w:t xml:space="preserve">, </w:t>
      </w:r>
      <w:r w:rsidRPr="00896FF3">
        <w:rPr>
          <w:lang w:val="fr-FR"/>
        </w:rPr>
        <w:t xml:space="preserve">sur la promotion et la </w:t>
      </w:r>
      <w:r>
        <w:rPr>
          <w:lang w:val="fr-FR"/>
        </w:rPr>
        <w:t xml:space="preserve">défense du droit </w:t>
      </w:r>
      <w:r w:rsidRPr="00896FF3">
        <w:rPr>
          <w:lang w:val="fr-FR"/>
        </w:rPr>
        <w:t>du travail et des droits fondamentaux des travailleuses migrantes dans le cadre de la Convention</w:t>
      </w:r>
      <w:r>
        <w:rPr>
          <w:lang w:val="fr-FR"/>
        </w:rPr>
        <w:t>, co</w:t>
      </w:r>
      <w:r w:rsidRPr="00896FF3">
        <w:rPr>
          <w:lang w:val="fr-FR"/>
        </w:rPr>
        <w:t>organisée par le Haut-Commissariat aux droits de l’homme et ONU-Femmes.</w:t>
      </w:r>
    </w:p>
    <w:p w:rsidR="002F117D" w:rsidRPr="00896FF3" w:rsidRDefault="002F117D" w:rsidP="002F117D">
      <w:pPr>
        <w:pStyle w:val="SingleTxt"/>
        <w:spacing w:after="0" w:line="120" w:lineRule="exact"/>
        <w:rPr>
          <w:sz w:val="10"/>
          <w:lang w:val="fr-FR"/>
        </w:rPr>
      </w:pPr>
    </w:p>
    <w:p w:rsidR="002F117D" w:rsidRPr="00896FF3" w:rsidRDefault="002F117D" w:rsidP="002F117D">
      <w:pPr>
        <w:pStyle w:val="SingleTxt"/>
        <w:spacing w:after="0" w:line="120" w:lineRule="exact"/>
        <w:rPr>
          <w:sz w:val="10"/>
          <w:lang w:val="fr-FR"/>
        </w:rPr>
      </w:pPr>
    </w:p>
    <w:p w:rsidR="002F117D" w:rsidRPr="00896FF3" w:rsidRDefault="002F117D" w:rsidP="00110E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96FF3">
        <w:rPr>
          <w:lang w:val="fr-FR"/>
        </w:rPr>
        <w:tab/>
        <w:t>F.</w:t>
      </w:r>
      <w:r w:rsidRPr="00896FF3">
        <w:rPr>
          <w:lang w:val="fr-FR"/>
        </w:rPr>
        <w:tab/>
        <w:t>Composition du Comité</w:t>
      </w:r>
    </w:p>
    <w:p w:rsidR="002F117D" w:rsidRPr="00896FF3" w:rsidRDefault="002F117D" w:rsidP="002F117D">
      <w:pPr>
        <w:pStyle w:val="SingleTxt"/>
        <w:spacing w:after="0" w:line="120" w:lineRule="exact"/>
        <w:rPr>
          <w:sz w:val="10"/>
          <w:lang w:val="fr-FR"/>
        </w:rPr>
      </w:pPr>
    </w:p>
    <w:p w:rsidR="002F117D" w:rsidRPr="00896FF3" w:rsidRDefault="002F117D" w:rsidP="002F117D">
      <w:pPr>
        <w:pStyle w:val="SingleTxt"/>
        <w:spacing w:after="0" w:line="120" w:lineRule="exact"/>
        <w:rPr>
          <w:sz w:val="10"/>
          <w:lang w:val="fr-FR"/>
        </w:rPr>
      </w:pPr>
    </w:p>
    <w:p w:rsidR="002F117D" w:rsidRPr="00896FF3" w:rsidRDefault="002F117D" w:rsidP="00AF74A3">
      <w:pPr>
        <w:pStyle w:val="SingleTxt"/>
        <w:numPr>
          <w:ilvl w:val="0"/>
          <w:numId w:val="5"/>
        </w:numPr>
        <w:spacing w:line="240" w:lineRule="exact"/>
        <w:ind w:left="1267"/>
        <w:rPr>
          <w:lang w:val="fr-FR"/>
        </w:rPr>
      </w:pPr>
      <w:r w:rsidRPr="00896FF3">
        <w:rPr>
          <w:lang w:val="fr-FR"/>
        </w:rPr>
        <w:t>Tous les membres, à l</w:t>
      </w:r>
      <w:r w:rsidR="007D2830">
        <w:rPr>
          <w:lang w:val="fr-FR"/>
        </w:rPr>
        <w:t>’</w:t>
      </w:r>
      <w:r w:rsidRPr="00896FF3">
        <w:rPr>
          <w:lang w:val="fr-FR"/>
        </w:rPr>
        <w:t xml:space="preserve">exception de Lilian Hofmeister, ont assisté </w:t>
      </w:r>
      <w:r>
        <w:rPr>
          <w:lang w:val="fr-FR"/>
        </w:rPr>
        <w:t>à la soixante-quatrième session</w:t>
      </w:r>
      <w:r w:rsidRPr="00896FF3">
        <w:rPr>
          <w:lang w:val="fr-FR"/>
        </w:rPr>
        <w:t>. Les membres ci-après n</w:t>
      </w:r>
      <w:r w:rsidR="007D2830">
        <w:rPr>
          <w:lang w:val="fr-FR"/>
        </w:rPr>
        <w:t>’</w:t>
      </w:r>
      <w:r w:rsidRPr="00896FF3">
        <w:rPr>
          <w:lang w:val="fr-FR"/>
        </w:rPr>
        <w:t xml:space="preserve">ont </w:t>
      </w:r>
      <w:r>
        <w:rPr>
          <w:lang w:val="fr-FR"/>
        </w:rPr>
        <w:t>pas assisté aux dates indiquées</w:t>
      </w:r>
      <w:r w:rsidR="007D2830">
        <w:rPr>
          <w:lang w:val="fr-FR"/>
        </w:rPr>
        <w:t> :</w:t>
      </w:r>
      <w:r w:rsidRPr="00896FF3">
        <w:rPr>
          <w:lang w:val="fr-FR"/>
        </w:rPr>
        <w:t xml:space="preserve"> Ayse Feride Acar, les 4, 11 et 12 et du 18 au 22</w:t>
      </w:r>
      <w:r w:rsidR="00D944D7">
        <w:rPr>
          <w:lang w:val="fr-FR"/>
        </w:rPr>
        <w:t> juillet</w:t>
      </w:r>
      <w:r w:rsidR="007D2830">
        <w:rPr>
          <w:lang w:val="fr-FR"/>
        </w:rPr>
        <w:t>;</w:t>
      </w:r>
      <w:r w:rsidRPr="00896FF3">
        <w:rPr>
          <w:lang w:val="fr-FR"/>
        </w:rPr>
        <w:t xml:space="preserve"> Nicole Ameline, du 20 au 22</w:t>
      </w:r>
      <w:r w:rsidR="00D944D7">
        <w:rPr>
          <w:lang w:val="fr-FR"/>
        </w:rPr>
        <w:t> juillet</w:t>
      </w:r>
      <w:r w:rsidR="007D2830">
        <w:rPr>
          <w:lang w:val="fr-FR"/>
        </w:rPr>
        <w:t>;</w:t>
      </w:r>
      <w:r w:rsidRPr="00896FF3">
        <w:rPr>
          <w:lang w:val="fr-FR"/>
        </w:rPr>
        <w:t xml:space="preserve"> Niklas Bruun, les 21 et 22</w:t>
      </w:r>
      <w:r w:rsidR="00D944D7">
        <w:rPr>
          <w:lang w:val="fr-FR"/>
        </w:rPr>
        <w:t> juillet</w:t>
      </w:r>
      <w:r w:rsidR="007D2830">
        <w:rPr>
          <w:lang w:val="fr-FR"/>
        </w:rPr>
        <w:t>;</w:t>
      </w:r>
      <w:r w:rsidRPr="00896FF3">
        <w:rPr>
          <w:lang w:val="fr-FR"/>
        </w:rPr>
        <w:t xml:space="preserve"> Ruth Halper</w:t>
      </w:r>
      <w:r>
        <w:rPr>
          <w:lang w:val="fr-FR"/>
        </w:rPr>
        <w:t>in-Kaddari, les 8 et 22</w:t>
      </w:r>
      <w:r w:rsidR="00D944D7">
        <w:rPr>
          <w:lang w:val="fr-FR"/>
        </w:rPr>
        <w:t> juillet</w:t>
      </w:r>
      <w:r w:rsidR="007D2830">
        <w:rPr>
          <w:lang w:val="fr-FR"/>
        </w:rPr>
        <w:t>;</w:t>
      </w:r>
      <w:r w:rsidRPr="00896FF3">
        <w:rPr>
          <w:lang w:val="fr-FR"/>
        </w:rPr>
        <w:t xml:space="preserve"> Ismat </w:t>
      </w:r>
      <w:r>
        <w:rPr>
          <w:lang w:val="fr-FR"/>
        </w:rPr>
        <w:t>Jahan, les 11, 14 et 15</w:t>
      </w:r>
      <w:r w:rsidR="00D944D7">
        <w:rPr>
          <w:lang w:val="fr-FR"/>
        </w:rPr>
        <w:t> juillet</w:t>
      </w:r>
      <w:r>
        <w:rPr>
          <w:lang w:val="fr-FR"/>
        </w:rPr>
        <w:t xml:space="preserve">, et </w:t>
      </w:r>
      <w:r w:rsidRPr="00896FF3">
        <w:rPr>
          <w:lang w:val="fr-FR"/>
        </w:rPr>
        <w:t xml:space="preserve">Lia Nadaraia, </w:t>
      </w:r>
      <w:r>
        <w:rPr>
          <w:lang w:val="fr-FR"/>
        </w:rPr>
        <w:t xml:space="preserve">le </w:t>
      </w:r>
      <w:r w:rsidRPr="00896FF3">
        <w:rPr>
          <w:lang w:val="fr-FR"/>
        </w:rPr>
        <w:t>20</w:t>
      </w:r>
      <w:r w:rsidR="00D944D7">
        <w:rPr>
          <w:lang w:val="fr-FR"/>
        </w:rPr>
        <w:t> juillet</w:t>
      </w:r>
      <w:r w:rsidRPr="00896FF3">
        <w:rPr>
          <w:lang w:val="fr-FR"/>
        </w:rPr>
        <w:t>.</w:t>
      </w:r>
      <w:r>
        <w:rPr>
          <w:lang w:val="fr-FR"/>
        </w:rPr>
        <w:t xml:space="preserve"> </w:t>
      </w:r>
      <w:r w:rsidRPr="00896FF3">
        <w:rPr>
          <w:lang w:val="fr-FR"/>
        </w:rPr>
        <w:t>On trouvera à l’annexe II à la deuxième partie du présent rapport la liste des membres du Comité, asso</w:t>
      </w:r>
      <w:r>
        <w:rPr>
          <w:lang w:val="fr-FR"/>
        </w:rPr>
        <w:t>rtie de la durée de leur mandat</w:t>
      </w:r>
      <w:r w:rsidRPr="00896FF3">
        <w:rPr>
          <w:lang w:val="fr-FR"/>
        </w:rPr>
        <w:t>.</w:t>
      </w:r>
    </w:p>
    <w:p w:rsidR="002F117D" w:rsidRPr="00896FF3" w:rsidRDefault="002F117D" w:rsidP="002F117D">
      <w:pPr>
        <w:spacing w:line="240" w:lineRule="auto"/>
      </w:pPr>
      <w:r w:rsidRPr="00896FF3">
        <w:br w:type="page"/>
      </w:r>
    </w:p>
    <w:p w:rsidR="002F117D" w:rsidRPr="00E0101D" w:rsidRDefault="002F117D" w:rsidP="002F117D">
      <w:pPr>
        <w:pStyle w:val="HCh0"/>
        <w:ind w:left="1267" w:right="1260" w:hanging="1267"/>
        <w:rPr>
          <w:lang w:val="fr-FR"/>
        </w:rPr>
      </w:pPr>
      <w:r w:rsidRPr="00E0101D">
        <w:rPr>
          <w:lang w:val="fr-FR"/>
        </w:rPr>
        <w:lastRenderedPageBreak/>
        <w:t>Chapitre III</w:t>
      </w:r>
    </w:p>
    <w:p w:rsidR="002F117D" w:rsidRPr="007D2830" w:rsidRDefault="002F117D" w:rsidP="00110E1C">
      <w:pPr>
        <w:pStyle w:val="HCh0"/>
        <w:ind w:left="1267" w:right="1260" w:hanging="1267"/>
        <w:rPr>
          <w:lang w:val="fr-FR"/>
        </w:rPr>
      </w:pPr>
      <w:r w:rsidRPr="007D2830">
        <w:rPr>
          <w:lang w:val="fr-FR"/>
        </w:rPr>
        <w:tab/>
      </w:r>
      <w:r w:rsidRPr="007D2830">
        <w:rPr>
          <w:lang w:val="fr-FR"/>
        </w:rPr>
        <w:tab/>
        <w:t>Rapport de la Présidente sur les activités intersessions</w:t>
      </w:r>
    </w:p>
    <w:p w:rsidR="002F117D" w:rsidRPr="0022379C" w:rsidRDefault="002F117D" w:rsidP="002F117D">
      <w:pPr>
        <w:pStyle w:val="SingleTxt"/>
        <w:spacing w:after="0" w:line="120" w:lineRule="exact"/>
        <w:rPr>
          <w:sz w:val="10"/>
          <w:lang w:val="fr-FR"/>
        </w:rPr>
      </w:pPr>
    </w:p>
    <w:p w:rsidR="002F117D" w:rsidRPr="0022379C" w:rsidRDefault="002F117D" w:rsidP="002F117D">
      <w:pPr>
        <w:pStyle w:val="SingleTxt"/>
        <w:spacing w:after="0" w:line="120" w:lineRule="exact"/>
        <w:rPr>
          <w:sz w:val="10"/>
          <w:lang w:val="fr-FR"/>
        </w:rPr>
      </w:pPr>
    </w:p>
    <w:p w:rsidR="002F117D" w:rsidRPr="00B11C8E" w:rsidRDefault="002F117D" w:rsidP="00AF74A3">
      <w:pPr>
        <w:pStyle w:val="SingleTxt"/>
        <w:numPr>
          <w:ilvl w:val="0"/>
          <w:numId w:val="5"/>
        </w:numPr>
        <w:spacing w:line="240" w:lineRule="exact"/>
        <w:ind w:left="1267"/>
        <w:rPr>
          <w:lang w:val="fr-FR"/>
        </w:rPr>
      </w:pPr>
      <w:r w:rsidRPr="00B11C8E">
        <w:rPr>
          <w:lang w:val="fr-FR"/>
        </w:rPr>
        <w:t>À la 1403</w:t>
      </w:r>
      <w:r w:rsidRPr="00B11C8E">
        <w:rPr>
          <w:vertAlign w:val="superscript"/>
          <w:lang w:val="fr-FR"/>
        </w:rPr>
        <w:t>e</w:t>
      </w:r>
      <w:r w:rsidR="00110E1C">
        <w:rPr>
          <w:lang w:val="fr-FR"/>
        </w:rPr>
        <w:t> </w:t>
      </w:r>
      <w:r w:rsidRPr="00B11C8E">
        <w:rPr>
          <w:lang w:val="fr-FR"/>
        </w:rPr>
        <w:t>séance, le 4</w:t>
      </w:r>
      <w:r w:rsidR="00D944D7">
        <w:rPr>
          <w:lang w:val="fr-FR"/>
        </w:rPr>
        <w:t> juillet</w:t>
      </w:r>
      <w:r w:rsidRPr="00B11C8E">
        <w:rPr>
          <w:lang w:val="fr-FR"/>
        </w:rPr>
        <w:t xml:space="preserve"> 2016, la Présidente a rendu compte des activités </w:t>
      </w:r>
      <w:r>
        <w:rPr>
          <w:lang w:val="fr-FR"/>
        </w:rPr>
        <w:t xml:space="preserve">qu’elle a menées </w:t>
      </w:r>
      <w:r w:rsidRPr="00B11C8E">
        <w:rPr>
          <w:lang w:val="fr-FR"/>
        </w:rPr>
        <w:t>depuis la soixante-troisième</w:t>
      </w:r>
      <w:r>
        <w:rPr>
          <w:lang w:val="fr-FR"/>
        </w:rPr>
        <w:t xml:space="preserve"> session</w:t>
      </w:r>
      <w:r w:rsidRPr="00B11C8E">
        <w:rPr>
          <w:lang w:val="fr-FR"/>
        </w:rPr>
        <w:t>.</w:t>
      </w:r>
    </w:p>
    <w:p w:rsidR="002F117D" w:rsidRPr="00B11C8E" w:rsidRDefault="002F117D" w:rsidP="002F117D">
      <w:pPr>
        <w:spacing w:line="240" w:lineRule="auto"/>
      </w:pPr>
      <w:r w:rsidRPr="00B11C8E">
        <w:br w:type="page"/>
      </w:r>
    </w:p>
    <w:p w:rsidR="002F117D" w:rsidRPr="00E0101D" w:rsidRDefault="002F117D" w:rsidP="002F117D">
      <w:pPr>
        <w:pStyle w:val="HCh0"/>
        <w:ind w:left="1267" w:right="1260" w:hanging="1267"/>
        <w:rPr>
          <w:lang w:val="fr-FR"/>
        </w:rPr>
      </w:pPr>
      <w:r w:rsidRPr="00E0101D">
        <w:rPr>
          <w:lang w:val="fr-FR"/>
        </w:rPr>
        <w:lastRenderedPageBreak/>
        <w:t>Chapitre IV</w:t>
      </w:r>
    </w:p>
    <w:p w:rsidR="002F117D" w:rsidRPr="00B11C8E" w:rsidRDefault="002F117D" w:rsidP="002F117D">
      <w:pPr>
        <w:pStyle w:val="HCh0"/>
        <w:ind w:left="1267" w:right="1260" w:hanging="1267"/>
        <w:rPr>
          <w:lang w:val="fr-FR"/>
        </w:rPr>
      </w:pPr>
      <w:r w:rsidRPr="00E0101D">
        <w:rPr>
          <w:lang w:val="fr-FR"/>
        </w:rPr>
        <w:tab/>
      </w:r>
      <w:r w:rsidRPr="00E0101D">
        <w:rPr>
          <w:lang w:val="fr-FR"/>
        </w:rPr>
        <w:tab/>
      </w:r>
      <w:r w:rsidRPr="00B11C8E">
        <w:rPr>
          <w:lang w:val="fr-FR"/>
        </w:rPr>
        <w:t xml:space="preserve">Examen des rapports soumis par les États parties en application de l’article 18 de la Convention </w:t>
      </w:r>
    </w:p>
    <w:p w:rsidR="002F117D" w:rsidRPr="00B11C8E" w:rsidRDefault="002F117D" w:rsidP="002F117D">
      <w:pPr>
        <w:pStyle w:val="SingleTxt"/>
        <w:spacing w:after="0" w:line="120" w:lineRule="exact"/>
        <w:rPr>
          <w:sz w:val="10"/>
          <w:lang w:val="fr-FR"/>
        </w:rPr>
      </w:pPr>
    </w:p>
    <w:p w:rsidR="002F117D" w:rsidRPr="00B11C8E" w:rsidRDefault="002F117D" w:rsidP="002F117D">
      <w:pPr>
        <w:pStyle w:val="SingleTxt"/>
        <w:spacing w:after="0" w:line="120" w:lineRule="exact"/>
        <w:rPr>
          <w:sz w:val="10"/>
          <w:lang w:val="fr-FR"/>
        </w:rPr>
      </w:pPr>
    </w:p>
    <w:p w:rsidR="00D036F5" w:rsidRDefault="002F117D" w:rsidP="00AF74A3">
      <w:pPr>
        <w:pStyle w:val="SingleTxt"/>
        <w:numPr>
          <w:ilvl w:val="0"/>
          <w:numId w:val="5"/>
        </w:numPr>
        <w:spacing w:line="240" w:lineRule="exact"/>
        <w:ind w:left="1267"/>
        <w:rPr>
          <w:lang w:val="fr-FR"/>
        </w:rPr>
      </w:pPr>
      <w:r w:rsidRPr="00B11C8E">
        <w:rPr>
          <w:lang w:val="fr-FR"/>
        </w:rPr>
        <w:t>Le Comité a examiné les rapports que huit États parties lui avaient présentés en application de l’article 18 de la Convention et a établi les</w:t>
      </w:r>
      <w:r>
        <w:rPr>
          <w:lang w:val="fr-FR"/>
        </w:rPr>
        <w:t xml:space="preserve"> observations finales </w:t>
      </w:r>
      <w:r w:rsidR="00110E1C">
        <w:rPr>
          <w:lang w:val="fr-FR"/>
        </w:rPr>
        <w:br/>
      </w:r>
      <w:r>
        <w:rPr>
          <w:lang w:val="fr-FR"/>
        </w:rPr>
        <w:t>ci-après</w:t>
      </w:r>
      <w:r w:rsidR="007D2830">
        <w:rPr>
          <w:lang w:val="fr-FR"/>
        </w:rPr>
        <w:t> :</w:t>
      </w:r>
    </w:p>
    <w:p w:rsidR="002F117D" w:rsidRPr="002F117D" w:rsidRDefault="002F117D" w:rsidP="002F117D">
      <w:pPr>
        <w:pStyle w:val="SingleTxt"/>
        <w:spacing w:after="0" w:line="120" w:lineRule="exact"/>
        <w:rPr>
          <w:sz w:val="10"/>
          <w:lang w:val="fr-FR"/>
        </w:rPr>
      </w:pPr>
    </w:p>
    <w:tbl>
      <w:tblPr>
        <w:tblW w:w="0" w:type="auto"/>
        <w:tblInd w:w="1800" w:type="dxa"/>
        <w:tblCellMar>
          <w:left w:w="0" w:type="dxa"/>
          <w:right w:w="0" w:type="dxa"/>
        </w:tblCellMar>
        <w:tblLook w:val="04A0" w:firstRow="1" w:lastRow="0" w:firstColumn="1" w:lastColumn="0" w:noHBand="0" w:noVBand="1"/>
      </w:tblPr>
      <w:tblGrid>
        <w:gridCol w:w="3060"/>
        <w:gridCol w:w="3240"/>
      </w:tblGrid>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Albanie</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4" w:history="1">
              <w:r w:rsidRPr="009317AE">
                <w:rPr>
                  <w:rStyle w:val="Hyperlink"/>
                  <w:lang w:val="fr-FR"/>
                </w:rPr>
                <w:t>CEDAW/C/ALB/CO/4</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France</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5" w:history="1">
              <w:r w:rsidRPr="009317AE">
                <w:rPr>
                  <w:rStyle w:val="Hyperlink"/>
                  <w:lang w:val="fr-FR"/>
                </w:rPr>
                <w:t>CEDAW/C/FRA/CO/7-8</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Mali</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6" w:history="1">
              <w:r w:rsidRPr="009317AE">
                <w:rPr>
                  <w:rStyle w:val="Hyperlink"/>
                  <w:lang w:val="fr-FR"/>
                </w:rPr>
                <w:t>CEDAW/C/MLI/CO/6-7</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Myanmar</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7" w:history="1">
              <w:r w:rsidRPr="009317AE">
                <w:rPr>
                  <w:rStyle w:val="Hyperlink"/>
                  <w:lang w:val="fr-FR"/>
                </w:rPr>
                <w:t>CEDAW/C/MMR/CO/4-5</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Philippines</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8" w:history="1">
              <w:r w:rsidRPr="009317AE">
                <w:rPr>
                  <w:rStyle w:val="Hyperlink"/>
                  <w:lang w:val="fr-FR"/>
                </w:rPr>
                <w:t>CEDAW/C/PHL/CO/7-8</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B11C8E">
              <w:rPr>
                <w:lang w:val="fr-FR"/>
              </w:rPr>
              <w:t>Trinité-et-Tobago</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29" w:history="1">
              <w:r w:rsidRPr="009317AE">
                <w:rPr>
                  <w:rStyle w:val="Hyperlink"/>
                  <w:lang w:val="fr-FR"/>
                </w:rPr>
                <w:t>CEDAW/C/TTO/CO/4-7</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B11C8E">
              <w:rPr>
                <w:lang w:val="fr-FR"/>
              </w:rPr>
              <w:t>Turquie</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30" w:history="1">
              <w:r w:rsidRPr="009317AE">
                <w:rPr>
                  <w:rStyle w:val="Hyperlink"/>
                  <w:lang w:val="fr-FR"/>
                </w:rPr>
                <w:t>CEDAW/C/TUR/CO/7</w:t>
              </w:r>
            </w:hyperlink>
            <w:r w:rsidRPr="009317AE">
              <w:rPr>
                <w:lang w:val="fr-FR"/>
              </w:rPr>
              <w:t>)</w:t>
            </w:r>
          </w:p>
        </w:tc>
      </w:tr>
      <w:tr w:rsidR="002F117D" w:rsidRPr="009317AE" w:rsidTr="002F117D">
        <w:trPr>
          <w:cantSplit/>
        </w:trPr>
        <w:tc>
          <w:tcPr>
            <w:tcW w:w="306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Uruguay</w:t>
            </w:r>
          </w:p>
        </w:tc>
        <w:tc>
          <w:tcPr>
            <w:tcW w:w="3240"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fr-FR"/>
              </w:rPr>
            </w:pPr>
            <w:r w:rsidRPr="009317AE">
              <w:rPr>
                <w:lang w:val="fr-FR"/>
              </w:rPr>
              <w:t>(</w:t>
            </w:r>
            <w:hyperlink r:id="rId31" w:history="1">
              <w:r w:rsidRPr="009317AE">
                <w:rPr>
                  <w:rStyle w:val="Hyperlink"/>
                  <w:lang w:val="fr-FR"/>
                </w:rPr>
                <w:t>CEDAW/C/URY/CO/8</w:t>
              </w:r>
            </w:hyperlink>
            <w:r w:rsidRPr="009317AE">
              <w:rPr>
                <w:rStyle w:val="Hyperlink"/>
                <w:lang w:val="fr-FR"/>
              </w:rPr>
              <w:t>-9</w:t>
            </w:r>
            <w:r w:rsidRPr="009317AE">
              <w:rPr>
                <w:lang w:val="fr-FR"/>
              </w:rPr>
              <w:t>)</w:t>
            </w:r>
          </w:p>
        </w:tc>
      </w:tr>
    </w:tbl>
    <w:p w:rsidR="002F117D" w:rsidRPr="002F117D" w:rsidRDefault="002F117D" w:rsidP="002F117D">
      <w:pPr>
        <w:pStyle w:val="SingleTxt"/>
        <w:spacing w:after="0" w:line="120" w:lineRule="exact"/>
        <w:rPr>
          <w:sz w:val="10"/>
        </w:rPr>
      </w:pPr>
    </w:p>
    <w:p w:rsidR="002F117D" w:rsidRPr="00B11C8E" w:rsidRDefault="002F117D" w:rsidP="00110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101D">
        <w:rPr>
          <w:lang w:val="fr-FR"/>
        </w:rPr>
        <w:tab/>
      </w:r>
      <w:r w:rsidRPr="00E0101D">
        <w:rPr>
          <w:lang w:val="fr-FR"/>
        </w:rPr>
        <w:tab/>
      </w:r>
      <w:r w:rsidRPr="00B11C8E">
        <w:rPr>
          <w:lang w:val="fr-FR"/>
        </w:rPr>
        <w:t xml:space="preserve">Procédure de suivi des observations finales </w:t>
      </w:r>
    </w:p>
    <w:p w:rsidR="002F117D" w:rsidRPr="00B11C8E" w:rsidRDefault="002F117D" w:rsidP="002F117D">
      <w:pPr>
        <w:pStyle w:val="SingleTxt"/>
        <w:spacing w:after="0" w:line="120" w:lineRule="exact"/>
        <w:rPr>
          <w:sz w:val="10"/>
          <w:lang w:val="fr-FR"/>
        </w:rPr>
      </w:pPr>
    </w:p>
    <w:p w:rsidR="002F117D" w:rsidRPr="00B11C8E" w:rsidRDefault="002F117D" w:rsidP="00AF74A3">
      <w:pPr>
        <w:pStyle w:val="SingleTxt"/>
        <w:numPr>
          <w:ilvl w:val="0"/>
          <w:numId w:val="5"/>
        </w:numPr>
        <w:spacing w:line="240" w:lineRule="exact"/>
        <w:ind w:left="1267"/>
        <w:rPr>
          <w:lang w:val="fr-FR"/>
        </w:rPr>
      </w:pPr>
      <w:r w:rsidRPr="00B11C8E">
        <w:rPr>
          <w:lang w:val="fr-FR"/>
        </w:rPr>
        <w:t xml:space="preserve">Le Comité a examiné les rapports de suivi présentés </w:t>
      </w:r>
      <w:r>
        <w:rPr>
          <w:lang w:val="fr-FR"/>
        </w:rPr>
        <w:t>par les États parties</w:t>
      </w:r>
      <w:r w:rsidR="00110E1C">
        <w:rPr>
          <w:lang w:val="fr-FR"/>
        </w:rPr>
        <w:br/>
      </w:r>
      <w:r>
        <w:rPr>
          <w:lang w:val="fr-FR"/>
        </w:rPr>
        <w:t>ci-après</w:t>
      </w:r>
      <w:r w:rsidR="007D2830">
        <w:rPr>
          <w:lang w:val="fr-FR"/>
        </w:rPr>
        <w:t> :</w:t>
      </w:r>
      <w:r w:rsidRPr="00B11C8E">
        <w:rPr>
          <w:lang w:val="fr-FR"/>
        </w:rPr>
        <w:t xml:space="preserve"> </w:t>
      </w:r>
    </w:p>
    <w:p w:rsidR="002F117D" w:rsidRPr="002F117D" w:rsidRDefault="002F117D" w:rsidP="002F117D">
      <w:pPr>
        <w:pStyle w:val="SingleTxt"/>
        <w:spacing w:after="0" w:line="120" w:lineRule="exact"/>
        <w:rPr>
          <w:sz w:val="10"/>
          <w:lang w:val="fr-FR"/>
        </w:rPr>
      </w:pPr>
    </w:p>
    <w:tbl>
      <w:tblPr>
        <w:tblW w:w="0" w:type="auto"/>
        <w:tblInd w:w="1800" w:type="dxa"/>
        <w:tblCellMar>
          <w:left w:w="0" w:type="dxa"/>
          <w:right w:w="0" w:type="dxa"/>
        </w:tblCellMar>
        <w:tblLook w:val="04A0" w:firstRow="1" w:lastRow="0" w:firstColumn="1" w:lastColumn="0" w:noHBand="0" w:noVBand="1"/>
      </w:tblPr>
      <w:tblGrid>
        <w:gridCol w:w="3078"/>
        <w:gridCol w:w="3222"/>
      </w:tblGrid>
      <w:tr w:rsidR="002F117D" w:rsidRPr="004C41DB" w:rsidTr="002F117D">
        <w:trPr>
          <w:cantSplit/>
        </w:trPr>
        <w:tc>
          <w:tcPr>
            <w:tcW w:w="3078"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B11C8E">
              <w:rPr>
                <w:lang w:val="fr-FR"/>
              </w:rPr>
              <w:t>Cambodge</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2" w:history="1">
              <w:r w:rsidRPr="002F117D">
                <w:rPr>
                  <w:rStyle w:val="Hyperlink"/>
                  <w:lang w:val="en-US"/>
                </w:rPr>
                <w:t>CEDAW/C/KHM/CO/4-5/Add.1</w:t>
              </w:r>
            </w:hyperlink>
            <w:r w:rsidRPr="002F117D">
              <w:rPr>
                <w:lang w:val="en-US"/>
              </w:rPr>
              <w:t>)</w:t>
            </w:r>
          </w:p>
        </w:tc>
      </w:tr>
      <w:tr w:rsidR="002F117D" w:rsidRPr="004C41DB" w:rsidTr="002F117D">
        <w:trPr>
          <w:cantSplit/>
        </w:trPr>
        <w:tc>
          <w:tcPr>
            <w:tcW w:w="3078"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Finlande</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3" w:history="1">
              <w:r w:rsidRPr="002F117D">
                <w:rPr>
                  <w:rStyle w:val="Hyperlink"/>
                  <w:lang w:val="en-US"/>
                </w:rPr>
                <w:t>CEDAW/C/FIN/CO/7/Add.1</w:t>
              </w:r>
            </w:hyperlink>
            <w:r w:rsidRPr="002F117D">
              <w:rPr>
                <w:lang w:val="en-US"/>
              </w:rPr>
              <w:t>)</w:t>
            </w:r>
          </w:p>
        </w:tc>
      </w:tr>
      <w:tr w:rsidR="002F117D" w:rsidRPr="004C41DB" w:rsidTr="002F117D">
        <w:trPr>
          <w:cantSplit/>
        </w:trPr>
        <w:tc>
          <w:tcPr>
            <w:tcW w:w="3078"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Guyana</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4" w:history="1">
              <w:r w:rsidRPr="002F117D">
                <w:rPr>
                  <w:rStyle w:val="Hyperlink"/>
                  <w:lang w:val="en-US"/>
                </w:rPr>
                <w:t>CEDAW/C/GUY/CO/7-8/Add.1</w:t>
              </w:r>
            </w:hyperlink>
            <w:r w:rsidRPr="002F117D">
              <w:rPr>
                <w:lang w:val="en-US"/>
              </w:rPr>
              <w:t>)</w:t>
            </w:r>
          </w:p>
        </w:tc>
      </w:tr>
      <w:tr w:rsidR="002F117D" w:rsidRPr="004C41DB" w:rsidTr="002F117D">
        <w:trPr>
          <w:cantSplit/>
        </w:trPr>
        <w:tc>
          <w:tcPr>
            <w:tcW w:w="3078" w:type="dxa"/>
            <w:shd w:val="clear" w:color="auto" w:fill="auto"/>
          </w:tcPr>
          <w:p w:rsidR="002F117D" w:rsidRPr="009317AE" w:rsidRDefault="008217C9"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Pr>
                <w:lang w:val="fr-FR"/>
              </w:rPr>
              <w:t xml:space="preserve">République de </w:t>
            </w:r>
            <w:r w:rsidR="002F117D" w:rsidRPr="009317AE">
              <w:rPr>
                <w:lang w:val="fr-FR"/>
              </w:rPr>
              <w:t>Moldova</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5" w:history="1">
              <w:r w:rsidRPr="002F117D">
                <w:rPr>
                  <w:rStyle w:val="Hyperlink"/>
                  <w:lang w:val="en-US"/>
                </w:rPr>
                <w:t>CEDAW/C/MDA/CO/4-5/Add.1</w:t>
              </w:r>
            </w:hyperlink>
            <w:r w:rsidRPr="002F117D">
              <w:rPr>
                <w:lang w:val="en-US"/>
              </w:rPr>
              <w:t>)</w:t>
            </w:r>
          </w:p>
        </w:tc>
      </w:tr>
      <w:tr w:rsidR="002F117D" w:rsidRPr="004C41DB" w:rsidTr="002F117D">
        <w:trPr>
          <w:cantSplit/>
        </w:trPr>
        <w:tc>
          <w:tcPr>
            <w:tcW w:w="3078"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9317AE">
              <w:rPr>
                <w:lang w:val="fr-FR"/>
              </w:rPr>
              <w:t>Pakistan</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6" w:history="1">
              <w:r w:rsidRPr="002F117D">
                <w:rPr>
                  <w:rStyle w:val="Hyperlink"/>
                  <w:lang w:val="en-US"/>
                </w:rPr>
                <w:t>CEDAW/C/PAK/CO/4/Add.1</w:t>
              </w:r>
            </w:hyperlink>
            <w:r w:rsidRPr="002F117D">
              <w:rPr>
                <w:lang w:val="en-US"/>
              </w:rPr>
              <w:t>)</w:t>
            </w:r>
          </w:p>
        </w:tc>
      </w:tr>
      <w:tr w:rsidR="002F117D" w:rsidRPr="004C41DB" w:rsidTr="002F117D">
        <w:trPr>
          <w:cantSplit/>
        </w:trPr>
        <w:tc>
          <w:tcPr>
            <w:tcW w:w="3078" w:type="dxa"/>
            <w:shd w:val="clear" w:color="auto" w:fill="auto"/>
          </w:tcPr>
          <w:p w:rsidR="002F117D" w:rsidRPr="009317A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B11C8E">
              <w:rPr>
                <w:lang w:val="fr-FR"/>
              </w:rPr>
              <w:t>République arabe syrienne</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7" w:history="1">
              <w:r w:rsidRPr="002F117D">
                <w:rPr>
                  <w:rStyle w:val="Hyperlink"/>
                  <w:lang w:val="en-US"/>
                </w:rPr>
                <w:t>CEDAW/C/SYR/CO/2/Add.1</w:t>
              </w:r>
            </w:hyperlink>
            <w:r w:rsidRPr="002F117D">
              <w:rPr>
                <w:lang w:val="en-US"/>
              </w:rPr>
              <w:t>)</w:t>
            </w:r>
          </w:p>
        </w:tc>
      </w:tr>
      <w:tr w:rsidR="002F117D" w:rsidRPr="004C41DB" w:rsidTr="002F117D">
        <w:trPr>
          <w:cantSplit/>
        </w:trPr>
        <w:tc>
          <w:tcPr>
            <w:tcW w:w="3078" w:type="dxa"/>
            <w:shd w:val="clear" w:color="auto" w:fill="auto"/>
          </w:tcPr>
          <w:p w:rsidR="002F117D" w:rsidRPr="00B11C8E"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fr-FR"/>
              </w:rPr>
            </w:pPr>
            <w:r w:rsidRPr="00B11C8E">
              <w:rPr>
                <w:lang w:val="fr-FR"/>
              </w:rPr>
              <w:t>Royaume-Uni de Grande-Bretagne et d</w:t>
            </w:r>
            <w:r w:rsidR="007D2830">
              <w:rPr>
                <w:lang w:val="fr-FR"/>
              </w:rPr>
              <w:t>’</w:t>
            </w:r>
            <w:r w:rsidRPr="00B11C8E">
              <w:rPr>
                <w:lang w:val="fr-FR"/>
              </w:rPr>
              <w:t>Irlande du Nord</w:t>
            </w:r>
          </w:p>
        </w:tc>
        <w:tc>
          <w:tcPr>
            <w:tcW w:w="3222" w:type="dxa"/>
            <w:shd w:val="clear" w:color="auto" w:fill="auto"/>
          </w:tcPr>
          <w:p w:rsidR="002F117D" w:rsidRPr="002F117D" w:rsidRDefault="002F117D" w:rsidP="00110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n-US"/>
              </w:rPr>
            </w:pPr>
            <w:r w:rsidRPr="002F117D">
              <w:rPr>
                <w:lang w:val="en-US"/>
              </w:rPr>
              <w:t>(</w:t>
            </w:r>
            <w:hyperlink r:id="rId38" w:history="1">
              <w:r w:rsidRPr="002F117D">
                <w:rPr>
                  <w:rStyle w:val="Hyperlink"/>
                  <w:lang w:val="en-US"/>
                </w:rPr>
                <w:t>CEDAW/C/GBR/CO/7/Add.1</w:t>
              </w:r>
            </w:hyperlink>
            <w:r w:rsidRPr="002F117D">
              <w:rPr>
                <w:lang w:val="en-US"/>
              </w:rPr>
              <w:t>)</w:t>
            </w:r>
          </w:p>
        </w:tc>
      </w:tr>
    </w:tbl>
    <w:p w:rsidR="002F117D" w:rsidRPr="002F117D" w:rsidRDefault="002F117D" w:rsidP="002F117D">
      <w:pPr>
        <w:pStyle w:val="SingleTxt"/>
        <w:spacing w:after="0" w:line="120" w:lineRule="exact"/>
        <w:rPr>
          <w:sz w:val="10"/>
          <w:lang w:val="en-US"/>
        </w:rPr>
      </w:pPr>
    </w:p>
    <w:p w:rsidR="002F117D" w:rsidRPr="002F117D" w:rsidRDefault="002F117D" w:rsidP="002F117D">
      <w:pPr>
        <w:pStyle w:val="SingleTxt"/>
        <w:spacing w:after="0" w:line="120" w:lineRule="exact"/>
        <w:rPr>
          <w:sz w:val="10"/>
          <w:lang w:val="en-US"/>
        </w:rPr>
      </w:pPr>
    </w:p>
    <w:p w:rsidR="002F117D" w:rsidRPr="00B11C8E" w:rsidRDefault="002F117D" w:rsidP="00AF74A3">
      <w:pPr>
        <w:pStyle w:val="SingleTxt"/>
        <w:numPr>
          <w:ilvl w:val="0"/>
          <w:numId w:val="5"/>
        </w:numPr>
        <w:spacing w:line="240" w:lineRule="exact"/>
        <w:ind w:left="1267"/>
        <w:rPr>
          <w:lang w:val="fr-FR"/>
        </w:rPr>
      </w:pPr>
      <w:r w:rsidRPr="00B11C8E">
        <w:rPr>
          <w:lang w:val="fr-FR"/>
        </w:rPr>
        <w:t xml:space="preserve">Le Comité a adressé un premier rappel </w:t>
      </w:r>
      <w:r>
        <w:rPr>
          <w:lang w:val="fr-FR"/>
        </w:rPr>
        <w:t xml:space="preserve">au </w:t>
      </w:r>
      <w:r w:rsidRPr="00B11C8E">
        <w:rPr>
          <w:lang w:val="fr-FR"/>
        </w:rPr>
        <w:t>Camero</w:t>
      </w:r>
      <w:r>
        <w:rPr>
          <w:lang w:val="fr-FR"/>
        </w:rPr>
        <w:t>un, au Kazakhstan et à la Sierra Leone, et</w:t>
      </w:r>
      <w:r w:rsidRPr="00B11C8E">
        <w:rPr>
          <w:lang w:val="fr-FR"/>
        </w:rPr>
        <w:t xml:space="preserve"> un </w:t>
      </w:r>
      <w:r w:rsidRPr="000462C4">
        <w:rPr>
          <w:lang w:val="fr-FR"/>
        </w:rPr>
        <w:t xml:space="preserve">deuxième </w:t>
      </w:r>
      <w:r w:rsidRPr="00B11C8E">
        <w:rPr>
          <w:lang w:val="fr-FR"/>
        </w:rPr>
        <w:t xml:space="preserve">rappel </w:t>
      </w:r>
      <w:r>
        <w:rPr>
          <w:lang w:val="fr-FR"/>
        </w:rPr>
        <w:t>à</w:t>
      </w:r>
      <w:r w:rsidRPr="00B11C8E">
        <w:rPr>
          <w:lang w:val="fr-FR"/>
        </w:rPr>
        <w:t xml:space="preserve"> Cabo Verde, </w:t>
      </w:r>
      <w:r>
        <w:rPr>
          <w:lang w:val="fr-FR"/>
        </w:rPr>
        <w:t>à la République centrafricaine</w:t>
      </w:r>
      <w:r w:rsidRPr="00B11C8E">
        <w:rPr>
          <w:lang w:val="fr-FR"/>
        </w:rPr>
        <w:t xml:space="preserve">, </w:t>
      </w:r>
      <w:r>
        <w:rPr>
          <w:lang w:val="fr-FR"/>
        </w:rPr>
        <w:t xml:space="preserve">à la </w:t>
      </w:r>
      <w:r w:rsidRPr="00B11C8E">
        <w:rPr>
          <w:lang w:val="fr-FR"/>
        </w:rPr>
        <w:t xml:space="preserve">République </w:t>
      </w:r>
      <w:r>
        <w:rPr>
          <w:lang w:val="fr-FR"/>
        </w:rPr>
        <w:t xml:space="preserve">démocratique du </w:t>
      </w:r>
      <w:r w:rsidRPr="00B11C8E">
        <w:rPr>
          <w:lang w:val="fr-FR"/>
        </w:rPr>
        <w:t>C</w:t>
      </w:r>
      <w:r>
        <w:rPr>
          <w:lang w:val="fr-FR"/>
        </w:rPr>
        <w:t xml:space="preserve">ongo et à la République dominicaine, qui </w:t>
      </w:r>
      <w:r w:rsidRPr="00B11C8E">
        <w:rPr>
          <w:lang w:val="fr-FR"/>
        </w:rPr>
        <w:t>auraient déjà dû présenter leur rapport de suivi.</w:t>
      </w:r>
    </w:p>
    <w:p w:rsidR="002F117D" w:rsidRPr="00B11C8E" w:rsidRDefault="002F117D" w:rsidP="00AF74A3">
      <w:pPr>
        <w:pStyle w:val="SingleTxt"/>
        <w:numPr>
          <w:ilvl w:val="0"/>
          <w:numId w:val="5"/>
        </w:numPr>
        <w:spacing w:line="240" w:lineRule="exact"/>
        <w:ind w:left="1267"/>
        <w:rPr>
          <w:lang w:val="fr-FR"/>
        </w:rPr>
      </w:pPr>
      <w:r w:rsidRPr="00B11C8E">
        <w:rPr>
          <w:lang w:val="fr-FR"/>
        </w:rPr>
        <w:t>Le Rapporteur chargé du suivi s’est entretenu avec des représentants de la Guinée équatoriale, État partie qui aurait déjà dû</w:t>
      </w:r>
      <w:r>
        <w:rPr>
          <w:lang w:val="fr-FR"/>
        </w:rPr>
        <w:t xml:space="preserve"> présenter son rapport de suivi</w:t>
      </w:r>
      <w:r w:rsidRPr="00B11C8E">
        <w:rPr>
          <w:lang w:val="fr-FR"/>
        </w:rPr>
        <w:t>.</w:t>
      </w:r>
    </w:p>
    <w:p w:rsidR="002F117D" w:rsidRPr="00B11C8E" w:rsidRDefault="002F117D" w:rsidP="002F117D">
      <w:pPr>
        <w:spacing w:line="240" w:lineRule="auto"/>
      </w:pPr>
      <w:r w:rsidRPr="00B11C8E">
        <w:br w:type="page"/>
      </w:r>
    </w:p>
    <w:p w:rsidR="002F117D" w:rsidRPr="00E0101D" w:rsidRDefault="002F117D" w:rsidP="002F117D">
      <w:pPr>
        <w:pStyle w:val="HCh0"/>
        <w:ind w:left="1267" w:right="1260" w:hanging="1267"/>
        <w:rPr>
          <w:lang w:val="fr-FR"/>
        </w:rPr>
      </w:pPr>
      <w:r w:rsidRPr="00E0101D">
        <w:rPr>
          <w:lang w:val="fr-FR"/>
        </w:rPr>
        <w:lastRenderedPageBreak/>
        <w:t>Chapitre V</w:t>
      </w:r>
    </w:p>
    <w:p w:rsidR="002F117D" w:rsidRPr="007D2830" w:rsidRDefault="002F117D" w:rsidP="00110E1C">
      <w:pPr>
        <w:pStyle w:val="HCh0"/>
        <w:ind w:left="1267" w:right="1260" w:hanging="1267"/>
        <w:rPr>
          <w:lang w:val="fr-FR"/>
        </w:rPr>
      </w:pPr>
      <w:r w:rsidRPr="007D2830">
        <w:rPr>
          <w:lang w:val="fr-FR"/>
        </w:rPr>
        <w:tab/>
      </w:r>
      <w:r w:rsidRPr="007D2830">
        <w:rPr>
          <w:lang w:val="fr-FR"/>
        </w:rPr>
        <w:tab/>
        <w:t>Activités menées au titre du Protocole facultatif</w:t>
      </w:r>
    </w:p>
    <w:p w:rsidR="002F117D" w:rsidRPr="00495ABF" w:rsidRDefault="002F117D" w:rsidP="002F117D">
      <w:pPr>
        <w:pStyle w:val="SingleTxt"/>
        <w:spacing w:after="0" w:line="120" w:lineRule="exact"/>
        <w:rPr>
          <w:sz w:val="10"/>
          <w:lang w:val="fr-FR"/>
        </w:rPr>
      </w:pPr>
    </w:p>
    <w:p w:rsidR="002F117D" w:rsidRPr="00495ABF" w:rsidRDefault="002F117D" w:rsidP="002F117D">
      <w:pPr>
        <w:pStyle w:val="SingleTxt"/>
        <w:spacing w:after="0" w:line="120" w:lineRule="exact"/>
        <w:rPr>
          <w:sz w:val="10"/>
          <w:lang w:val="fr-FR"/>
        </w:rPr>
      </w:pPr>
    </w:p>
    <w:p w:rsidR="002F117D" w:rsidRPr="00495ABF" w:rsidRDefault="002F117D" w:rsidP="00AF74A3">
      <w:pPr>
        <w:pStyle w:val="SingleTxt"/>
        <w:numPr>
          <w:ilvl w:val="0"/>
          <w:numId w:val="5"/>
        </w:numPr>
        <w:spacing w:line="240" w:lineRule="exact"/>
        <w:ind w:left="1267"/>
        <w:rPr>
          <w:lang w:val="fr-FR"/>
        </w:rPr>
      </w:pPr>
      <w:r w:rsidRPr="00495ABF">
        <w:rPr>
          <w:lang w:val="fr-FR"/>
        </w:rPr>
        <w:t>L’article 12 du Protocole facultatif dispose que le Comité résume dans son rapport annuel les activités qu’il a menées a</w:t>
      </w:r>
      <w:r>
        <w:rPr>
          <w:lang w:val="fr-FR"/>
        </w:rPr>
        <w:t>u titre du Protocole facultatif</w:t>
      </w:r>
      <w:r w:rsidRPr="00495ABF">
        <w:rPr>
          <w:lang w:val="fr-FR"/>
        </w:rPr>
        <w:t>.</w:t>
      </w:r>
    </w:p>
    <w:p w:rsidR="002F117D" w:rsidRPr="00495ABF" w:rsidRDefault="002F117D" w:rsidP="002F117D">
      <w:pPr>
        <w:pStyle w:val="SingleTxt"/>
        <w:spacing w:after="0" w:line="120" w:lineRule="exact"/>
        <w:rPr>
          <w:sz w:val="10"/>
          <w:lang w:val="fr-FR"/>
        </w:rPr>
      </w:pPr>
    </w:p>
    <w:p w:rsidR="002F117D" w:rsidRPr="00495ABF" w:rsidRDefault="002F117D" w:rsidP="002F117D">
      <w:pPr>
        <w:pStyle w:val="SingleTxt"/>
        <w:spacing w:after="0" w:line="120" w:lineRule="exact"/>
        <w:rPr>
          <w:sz w:val="10"/>
          <w:lang w:val="fr-FR"/>
        </w:rPr>
      </w:pPr>
    </w:p>
    <w:p w:rsidR="002F117D" w:rsidRPr="00495ABF" w:rsidRDefault="002F117D" w:rsidP="00110E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95ABF">
        <w:rPr>
          <w:lang w:val="fr-FR"/>
        </w:rPr>
        <w:tab/>
        <w:t>A.</w:t>
      </w:r>
      <w:r w:rsidRPr="00495ABF">
        <w:rPr>
          <w:lang w:val="fr-FR"/>
        </w:rPr>
        <w:tab/>
        <w:t>Mesures prises par le Comité sur les questions relevant</w:t>
      </w:r>
      <w:r w:rsidR="00110E1C">
        <w:rPr>
          <w:lang w:val="fr-FR"/>
        </w:rPr>
        <w:br/>
      </w:r>
      <w:r w:rsidRPr="00495ABF">
        <w:rPr>
          <w:lang w:val="fr-FR"/>
        </w:rPr>
        <w:t>de l’article</w:t>
      </w:r>
      <w:r w:rsidR="00110E1C">
        <w:rPr>
          <w:lang w:val="fr-FR"/>
        </w:rPr>
        <w:t> </w:t>
      </w:r>
      <w:r w:rsidRPr="00495ABF">
        <w:rPr>
          <w:lang w:val="fr-FR"/>
        </w:rPr>
        <w:t xml:space="preserve">2 du Protocole facultatif </w:t>
      </w:r>
    </w:p>
    <w:p w:rsidR="002F117D" w:rsidRPr="00495ABF" w:rsidRDefault="002F117D" w:rsidP="002F117D">
      <w:pPr>
        <w:pStyle w:val="SingleTxt"/>
        <w:spacing w:after="0" w:line="120" w:lineRule="exact"/>
        <w:rPr>
          <w:sz w:val="10"/>
          <w:lang w:val="fr-FR"/>
        </w:rPr>
      </w:pPr>
    </w:p>
    <w:p w:rsidR="002F117D" w:rsidRPr="00495ABF" w:rsidRDefault="002F117D" w:rsidP="002F117D">
      <w:pPr>
        <w:pStyle w:val="SingleTxt"/>
        <w:spacing w:after="0" w:line="120" w:lineRule="exact"/>
        <w:rPr>
          <w:sz w:val="10"/>
          <w:lang w:val="fr-FR"/>
        </w:rPr>
      </w:pPr>
    </w:p>
    <w:p w:rsidR="002F117D" w:rsidRPr="001C339B" w:rsidRDefault="002F117D" w:rsidP="00AF74A3">
      <w:pPr>
        <w:pStyle w:val="SingleTxt"/>
        <w:numPr>
          <w:ilvl w:val="0"/>
          <w:numId w:val="5"/>
        </w:numPr>
        <w:spacing w:line="240" w:lineRule="exact"/>
        <w:ind w:left="1267"/>
        <w:rPr>
          <w:lang w:val="fr-FR"/>
        </w:rPr>
      </w:pPr>
      <w:r w:rsidRPr="001C339B">
        <w:rPr>
          <w:lang w:val="fr-FR"/>
        </w:rPr>
        <w:t>Les 11 et 19</w:t>
      </w:r>
      <w:r w:rsidR="00D944D7">
        <w:rPr>
          <w:lang w:val="fr-FR"/>
        </w:rPr>
        <w:t> juillet</w:t>
      </w:r>
      <w:r w:rsidRPr="001C339B">
        <w:rPr>
          <w:lang w:val="fr-FR"/>
        </w:rPr>
        <w:t xml:space="preserve"> 2016, le Comité a examiné les activités menées au titre de l’article 2 du Protocole facultatif.</w:t>
      </w:r>
    </w:p>
    <w:p w:rsidR="002F117D" w:rsidRPr="001C339B" w:rsidRDefault="002F117D" w:rsidP="00AF74A3">
      <w:pPr>
        <w:pStyle w:val="SingleTxt"/>
        <w:numPr>
          <w:ilvl w:val="0"/>
          <w:numId w:val="5"/>
        </w:numPr>
        <w:spacing w:line="240" w:lineRule="exact"/>
        <w:ind w:left="1267"/>
        <w:rPr>
          <w:lang w:val="fr-FR"/>
        </w:rPr>
      </w:pPr>
      <w:r>
        <w:rPr>
          <w:lang w:val="fr-FR"/>
        </w:rPr>
        <w:t xml:space="preserve">Il </w:t>
      </w:r>
      <w:r w:rsidRPr="001C339B">
        <w:rPr>
          <w:lang w:val="fr-FR"/>
        </w:rPr>
        <w:t xml:space="preserve">a approuvé le rapport du Groupe de travail sur les communications présentées conformément au Protocole facultatif sur les travaux de sa trente-cinquième session </w:t>
      </w:r>
      <w:r>
        <w:rPr>
          <w:lang w:val="fr-FR"/>
        </w:rPr>
        <w:t>(</w:t>
      </w:r>
      <w:r w:rsidRPr="00110E1C">
        <w:rPr>
          <w:lang w:val="fr-FR"/>
        </w:rPr>
        <w:t xml:space="preserve">voir </w:t>
      </w:r>
      <w:hyperlink r:id="rId39" w:history="1">
        <w:r w:rsidR="008217C9" w:rsidRPr="000013C6">
          <w:rPr>
            <w:rStyle w:val="Hyperlink"/>
          </w:rPr>
          <w:t>https://goo.gl/5lBTPP</w:t>
        </w:r>
      </w:hyperlink>
      <w:r w:rsidRPr="001C339B">
        <w:rPr>
          <w:lang w:val="fr-FR"/>
        </w:rPr>
        <w:t>).</w:t>
      </w:r>
    </w:p>
    <w:p w:rsidR="002F117D" w:rsidRPr="00BA1CBA" w:rsidRDefault="002F117D" w:rsidP="00AF74A3">
      <w:pPr>
        <w:pStyle w:val="SingleTxt"/>
        <w:numPr>
          <w:ilvl w:val="0"/>
          <w:numId w:val="6"/>
        </w:numPr>
        <w:spacing w:line="240" w:lineRule="exact"/>
        <w:ind w:left="1267"/>
        <w:rPr>
          <w:w w:val="100"/>
          <w:lang w:val="fr-FR"/>
        </w:rPr>
      </w:pPr>
      <w:r w:rsidRPr="00BA1CBA">
        <w:rPr>
          <w:spacing w:val="2"/>
          <w:w w:val="100"/>
          <w:lang w:val="fr-FR"/>
        </w:rPr>
        <w:t>Le Comité a adopté des décisions finales concernant trois communications émanant de particuliers présentées conformément à l’article 2 du Protocole facultatif.</w:t>
      </w:r>
      <w:r w:rsidR="00BA1CBA">
        <w:rPr>
          <w:spacing w:val="2"/>
          <w:w w:val="100"/>
          <w:lang w:val="fr-FR"/>
        </w:rPr>
        <w:t xml:space="preserve"> </w:t>
      </w:r>
      <w:r w:rsidRPr="00BA1CBA">
        <w:rPr>
          <w:spacing w:val="2"/>
          <w:w w:val="100"/>
          <w:lang w:val="fr-FR"/>
        </w:rPr>
        <w:t>Concernant les communications n° 57/2013 (</w:t>
      </w:r>
      <w:r w:rsidRPr="00BA1CBA">
        <w:rPr>
          <w:i/>
          <w:spacing w:val="2"/>
          <w:w w:val="100"/>
          <w:lang w:val="fr-FR"/>
        </w:rPr>
        <w:t>V. c. Danemark</w:t>
      </w:r>
      <w:r w:rsidRPr="00BA1CBA">
        <w:rPr>
          <w:spacing w:val="2"/>
          <w:w w:val="100"/>
          <w:lang w:val="fr-FR"/>
        </w:rPr>
        <w:t>) (</w:t>
      </w:r>
      <w:hyperlink r:id="rId40" w:history="1">
        <w:r w:rsidRPr="00BA1CBA">
          <w:rPr>
            <w:rStyle w:val="Hyperlink"/>
            <w:spacing w:val="2"/>
            <w:w w:val="100"/>
            <w:lang w:val="fr-FR"/>
          </w:rPr>
          <w:t>CEDAW/C/64/D/57/2013</w:t>
        </w:r>
      </w:hyperlink>
      <w:r w:rsidRPr="00BA1CBA">
        <w:rPr>
          <w:spacing w:val="2"/>
          <w:w w:val="100"/>
          <w:lang w:val="fr-FR"/>
        </w:rPr>
        <w:t>), n° 64/2013 (</w:t>
      </w:r>
      <w:r w:rsidRPr="00BA1CBA">
        <w:rPr>
          <w:i/>
          <w:spacing w:val="2"/>
          <w:w w:val="100"/>
          <w:lang w:val="fr-FR"/>
        </w:rPr>
        <w:t>K. S. c. Danemark</w:t>
      </w:r>
      <w:r w:rsidRPr="00BA1CBA">
        <w:rPr>
          <w:spacing w:val="2"/>
          <w:w w:val="100"/>
          <w:lang w:val="fr-FR"/>
        </w:rPr>
        <w:t>) (</w:t>
      </w:r>
      <w:hyperlink r:id="rId41" w:history="1">
        <w:r w:rsidRPr="00BA1CBA">
          <w:rPr>
            <w:rStyle w:val="Hyperlink"/>
            <w:spacing w:val="2"/>
            <w:w w:val="100"/>
            <w:lang w:val="fr-FR"/>
          </w:rPr>
          <w:t>CEDAW/C/64/D/64/2013</w:t>
        </w:r>
      </w:hyperlink>
      <w:r w:rsidRPr="00BA1CBA">
        <w:rPr>
          <w:spacing w:val="2"/>
          <w:w w:val="100"/>
          <w:lang w:val="fr-FR"/>
        </w:rPr>
        <w:t>) et n° 67/2014 (</w:t>
      </w:r>
      <w:r w:rsidRPr="00BA1CBA">
        <w:rPr>
          <w:i/>
          <w:spacing w:val="2"/>
          <w:w w:val="100"/>
          <w:lang w:val="fr-FR"/>
        </w:rPr>
        <w:t>X. c. Autriche</w:t>
      </w:r>
      <w:r w:rsidRPr="00BA1CBA">
        <w:rPr>
          <w:spacing w:val="2"/>
          <w:w w:val="100"/>
          <w:lang w:val="fr-FR"/>
        </w:rPr>
        <w:t>) (</w:t>
      </w:r>
      <w:hyperlink r:id="rId42" w:history="1">
        <w:r w:rsidRPr="007D2830">
          <w:rPr>
            <w:rStyle w:val="Hyperlink"/>
            <w:spacing w:val="2"/>
            <w:w w:val="100"/>
            <w:lang w:val="fr-FR"/>
          </w:rPr>
          <w:t>CEDAW/C/64/D/67/2014</w:t>
        </w:r>
      </w:hyperlink>
      <w:r w:rsidRPr="00BA1CBA">
        <w:rPr>
          <w:spacing w:val="2"/>
          <w:w w:val="100"/>
          <w:lang w:val="fr-FR"/>
        </w:rPr>
        <w:t>), il a adopté des décisions d’irrecevabilité. Toutes les décisions ont été adoptées par consensus.</w:t>
      </w:r>
    </w:p>
    <w:p w:rsidR="002F117D" w:rsidRPr="001C339B" w:rsidRDefault="002F117D" w:rsidP="002F117D">
      <w:pPr>
        <w:pStyle w:val="SingleTxt"/>
        <w:spacing w:after="0" w:line="120" w:lineRule="exact"/>
        <w:rPr>
          <w:sz w:val="10"/>
          <w:lang w:val="fr-FR"/>
        </w:rPr>
      </w:pPr>
    </w:p>
    <w:p w:rsidR="002F117D" w:rsidRPr="001C339B" w:rsidRDefault="002F117D" w:rsidP="002F117D">
      <w:pPr>
        <w:pStyle w:val="SingleTxt"/>
        <w:spacing w:after="0" w:line="120" w:lineRule="exact"/>
        <w:rPr>
          <w:sz w:val="10"/>
          <w:lang w:val="fr-FR"/>
        </w:rPr>
      </w:pPr>
    </w:p>
    <w:p w:rsidR="002F117D" w:rsidRPr="001C339B" w:rsidRDefault="002F117D" w:rsidP="00BA1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39B">
        <w:rPr>
          <w:lang w:val="fr-FR"/>
        </w:rPr>
        <w:tab/>
        <w:t>B.</w:t>
      </w:r>
      <w:r w:rsidRPr="001C339B">
        <w:rPr>
          <w:lang w:val="fr-FR"/>
        </w:rPr>
        <w:tab/>
        <w:t xml:space="preserve">Suite donnée aux constatations du Comité sur les communications émanant de particuliers </w:t>
      </w:r>
    </w:p>
    <w:p w:rsidR="002F117D" w:rsidRPr="001C339B" w:rsidRDefault="002F117D" w:rsidP="002F117D">
      <w:pPr>
        <w:pStyle w:val="SingleTxt"/>
        <w:spacing w:after="0" w:line="120" w:lineRule="exact"/>
        <w:rPr>
          <w:sz w:val="10"/>
          <w:lang w:val="fr-FR"/>
        </w:rPr>
      </w:pPr>
    </w:p>
    <w:p w:rsidR="002F117D" w:rsidRPr="001C339B" w:rsidRDefault="002F117D" w:rsidP="002F117D">
      <w:pPr>
        <w:pStyle w:val="SingleTxt"/>
        <w:spacing w:after="0" w:line="120" w:lineRule="exact"/>
        <w:rPr>
          <w:sz w:val="10"/>
          <w:lang w:val="fr-FR"/>
        </w:rPr>
      </w:pPr>
    </w:p>
    <w:p w:rsidR="002F117D" w:rsidRPr="00E612AC" w:rsidRDefault="002F117D" w:rsidP="00AF74A3">
      <w:pPr>
        <w:pStyle w:val="SingleTxt"/>
        <w:numPr>
          <w:ilvl w:val="0"/>
          <w:numId w:val="6"/>
        </w:numPr>
        <w:spacing w:line="240" w:lineRule="exact"/>
        <w:ind w:left="1267"/>
        <w:rPr>
          <w:lang w:val="fr-FR"/>
        </w:rPr>
      </w:pPr>
      <w:r w:rsidRPr="00E612AC">
        <w:rPr>
          <w:lang w:val="fr-FR"/>
        </w:rPr>
        <w:t xml:space="preserve">Le Comité a été informé que, à sa trente-cinquième session, le Groupe de travail s’était penché sur l’état du suivi de chaque affaire pour laquelle un dialogue était en cours et s’était prononcé sur les mesures à prendre. Sur les 10 affaires en cours d’examen, une concernait le Brésil, une le Canada, une le Danemark, une l’Espagne, une la Géorgie, une le Kazakhstan, une les Pays-Bas, une le Pérou, une les Philippines et une la République-Unie de Tanzanie. Dans une autre affaire (n° 53/2013, </w:t>
      </w:r>
      <w:r w:rsidRPr="00E612AC">
        <w:rPr>
          <w:i/>
          <w:lang w:val="fr-FR"/>
        </w:rPr>
        <w:t>A. S. c. Danemark</w:t>
      </w:r>
      <w:r w:rsidRPr="00E612AC">
        <w:rPr>
          <w:lang w:val="fr-FR"/>
        </w:rPr>
        <w:t>), le Comité a décidé de mettre un terme au dialogue, ayant constaté que ses recommandations avaient été appliquées.</w:t>
      </w:r>
    </w:p>
    <w:p w:rsidR="002F117D" w:rsidRPr="00E612AC" w:rsidRDefault="002F117D" w:rsidP="002F117D">
      <w:pPr>
        <w:pStyle w:val="SingleTxt"/>
        <w:spacing w:after="0" w:line="120" w:lineRule="exact"/>
        <w:rPr>
          <w:sz w:val="10"/>
          <w:lang w:val="fr-FR"/>
        </w:rPr>
      </w:pPr>
    </w:p>
    <w:p w:rsidR="002F117D" w:rsidRPr="00E612AC" w:rsidRDefault="002F117D" w:rsidP="002F117D">
      <w:pPr>
        <w:pStyle w:val="SingleTxt"/>
        <w:spacing w:after="0" w:line="120" w:lineRule="exact"/>
        <w:rPr>
          <w:sz w:val="10"/>
          <w:lang w:val="fr-FR"/>
        </w:rPr>
      </w:pPr>
    </w:p>
    <w:p w:rsidR="002F117D" w:rsidRPr="00E612AC" w:rsidRDefault="002F117D" w:rsidP="00BA1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2AC">
        <w:rPr>
          <w:lang w:val="fr-FR"/>
        </w:rPr>
        <w:tab/>
        <w:t>C.</w:t>
      </w:r>
      <w:r w:rsidRPr="00E612AC">
        <w:rPr>
          <w:lang w:val="fr-FR"/>
        </w:rPr>
        <w:tab/>
        <w:t>Mesures prises par le Comité sur les questions relevant</w:t>
      </w:r>
      <w:r w:rsidR="00BA1CBA">
        <w:rPr>
          <w:lang w:val="fr-FR"/>
        </w:rPr>
        <w:br/>
      </w:r>
      <w:r w:rsidRPr="00E612AC">
        <w:rPr>
          <w:lang w:val="fr-FR"/>
        </w:rPr>
        <w:t>de l’article</w:t>
      </w:r>
      <w:r w:rsidR="00BA1CBA">
        <w:rPr>
          <w:lang w:val="fr-FR"/>
        </w:rPr>
        <w:t> </w:t>
      </w:r>
      <w:r w:rsidRPr="00E612AC">
        <w:rPr>
          <w:lang w:val="fr-FR"/>
        </w:rPr>
        <w:t xml:space="preserve">8 du Protocole facultatif </w:t>
      </w:r>
    </w:p>
    <w:p w:rsidR="002F117D" w:rsidRPr="00E612AC" w:rsidRDefault="002F117D" w:rsidP="002F117D">
      <w:pPr>
        <w:pStyle w:val="SingleTxt"/>
        <w:spacing w:after="0" w:line="120" w:lineRule="exact"/>
        <w:rPr>
          <w:sz w:val="10"/>
          <w:lang w:val="fr-FR"/>
        </w:rPr>
      </w:pPr>
    </w:p>
    <w:p w:rsidR="002F117D" w:rsidRPr="00E612AC" w:rsidRDefault="002F117D" w:rsidP="002F117D">
      <w:pPr>
        <w:pStyle w:val="SingleTxt"/>
        <w:spacing w:after="0" w:line="120" w:lineRule="exact"/>
        <w:rPr>
          <w:sz w:val="10"/>
          <w:lang w:val="fr-FR"/>
        </w:rPr>
      </w:pPr>
    </w:p>
    <w:p w:rsidR="002F117D" w:rsidRPr="00E02D92" w:rsidRDefault="002F117D" w:rsidP="00AF74A3">
      <w:pPr>
        <w:pStyle w:val="SingleTxt"/>
        <w:numPr>
          <w:ilvl w:val="0"/>
          <w:numId w:val="6"/>
        </w:numPr>
        <w:spacing w:line="240" w:lineRule="exact"/>
        <w:ind w:left="1267"/>
        <w:rPr>
          <w:lang w:val="fr-FR"/>
        </w:rPr>
      </w:pPr>
      <w:r w:rsidRPr="00E612AC">
        <w:rPr>
          <w:lang w:val="fr-FR"/>
        </w:rPr>
        <w:t>Les 20 et 21</w:t>
      </w:r>
      <w:r w:rsidR="00D944D7">
        <w:rPr>
          <w:lang w:val="fr-FR"/>
        </w:rPr>
        <w:t> juillet</w:t>
      </w:r>
      <w:r w:rsidRPr="00E612AC">
        <w:rPr>
          <w:lang w:val="fr-FR"/>
        </w:rPr>
        <w:t xml:space="preserve"> 2016, le Comité a examiné les activités menées au titre de l’ar</w:t>
      </w:r>
      <w:r>
        <w:rPr>
          <w:lang w:val="fr-FR"/>
        </w:rPr>
        <w:t>ticle 8 du Protocole facultatif</w:t>
      </w:r>
      <w:r w:rsidRPr="00E612AC">
        <w:rPr>
          <w:lang w:val="fr-FR"/>
        </w:rPr>
        <w:t xml:space="preserve">. </w:t>
      </w:r>
      <w:r w:rsidRPr="007E61E3">
        <w:rPr>
          <w:lang w:val="fr-FR"/>
        </w:rPr>
        <w:t xml:space="preserve">Il a approuvé le rapport du Groupe de travail chargé des enquêtes menées au titre du Protocole facultatif sur les travaux de sa quatrième session (voir </w:t>
      </w:r>
      <w:hyperlink r:id="rId43" w:history="1">
        <w:r w:rsidR="007A3D87" w:rsidRPr="000013C6">
          <w:rPr>
            <w:rStyle w:val="Hyperlink"/>
            <w:lang w:val="fr-FR"/>
          </w:rPr>
          <w:t>https://</w:t>
        </w:r>
        <w:r w:rsidR="007A3D87" w:rsidRPr="000013C6">
          <w:rPr>
            <w:rStyle w:val="Hyperlink"/>
            <w:rFonts w:ascii="Roboto" w:hAnsi="Roboto"/>
            <w:lang w:val="fr-FR"/>
          </w:rPr>
          <w:t>goo.gl/5lBTPP</w:t>
        </w:r>
      </w:hyperlink>
      <w:r w:rsidRPr="00E02D92">
        <w:rPr>
          <w:rStyle w:val="short-url"/>
          <w:rFonts w:ascii="Roboto" w:hAnsi="Roboto"/>
          <w:color w:val="444444"/>
          <w:lang w:val="fr-FR"/>
        </w:rPr>
        <w:t>).</w:t>
      </w:r>
    </w:p>
    <w:p w:rsidR="002F117D" w:rsidRPr="00E02D92" w:rsidRDefault="002F117D" w:rsidP="00AF74A3">
      <w:pPr>
        <w:pStyle w:val="SingleTxt"/>
        <w:numPr>
          <w:ilvl w:val="0"/>
          <w:numId w:val="6"/>
        </w:numPr>
        <w:spacing w:line="240" w:lineRule="exact"/>
        <w:ind w:left="1267"/>
        <w:rPr>
          <w:lang w:val="fr-FR"/>
        </w:rPr>
      </w:pPr>
      <w:r w:rsidRPr="00E02D92">
        <w:rPr>
          <w:lang w:val="fr-FR"/>
        </w:rPr>
        <w:t>Le Comité a adopté les recommandations que le Groupe de trav</w:t>
      </w:r>
      <w:r>
        <w:rPr>
          <w:lang w:val="fr-FR"/>
        </w:rPr>
        <w:t>ail lui avait faites, à savoir</w:t>
      </w:r>
      <w:r w:rsidR="007D2830">
        <w:rPr>
          <w:lang w:val="fr-FR"/>
        </w:rPr>
        <w:t> :</w:t>
      </w:r>
    </w:p>
    <w:p w:rsidR="002F117D" w:rsidRPr="00E02D92" w:rsidRDefault="002F117D" w:rsidP="002F117D">
      <w:pPr>
        <w:pStyle w:val="SingleTxt"/>
        <w:rPr>
          <w:lang w:val="fr-FR"/>
        </w:rPr>
      </w:pPr>
      <w:r w:rsidRPr="00E02D92">
        <w:rPr>
          <w:lang w:val="fr-FR"/>
        </w:rPr>
        <w:tab/>
        <w:t>a)</w:t>
      </w:r>
      <w:r w:rsidRPr="00E02D92">
        <w:rPr>
          <w:lang w:val="fr-FR"/>
        </w:rPr>
        <w:tab/>
      </w:r>
      <w:r>
        <w:rPr>
          <w:lang w:val="fr-FR"/>
        </w:rPr>
        <w:t>A</w:t>
      </w:r>
      <w:r w:rsidRPr="00E02D92">
        <w:rPr>
          <w:lang w:val="fr-FR"/>
        </w:rPr>
        <w:t xml:space="preserve">pprouver </w:t>
      </w:r>
      <w:r w:rsidRPr="00A80BA5">
        <w:rPr>
          <w:lang w:val="fr-FR"/>
        </w:rPr>
        <w:t xml:space="preserve">certains amendements aux </w:t>
      </w:r>
      <w:r w:rsidRPr="00E02D92">
        <w:rPr>
          <w:lang w:val="fr-FR"/>
        </w:rPr>
        <w:t>procédures opérationnelles standard concernant les enquêtes en vue de les adapter au mandat du Groupe de travail et de tenir compte des nouvelles pratiques du Comité s</w:t>
      </w:r>
      <w:r w:rsidR="007D2830">
        <w:rPr>
          <w:lang w:val="fr-FR"/>
        </w:rPr>
        <w:t>’</w:t>
      </w:r>
      <w:r w:rsidRPr="00E02D92">
        <w:rPr>
          <w:lang w:val="fr-FR"/>
        </w:rPr>
        <w:t>agissant d</w:t>
      </w:r>
      <w:r w:rsidR="007D2830">
        <w:rPr>
          <w:lang w:val="fr-FR"/>
        </w:rPr>
        <w:t>’</w:t>
      </w:r>
      <w:r w:rsidRPr="00E02D92">
        <w:rPr>
          <w:lang w:val="fr-FR"/>
        </w:rPr>
        <w:t>examiner les informations reçues en application de l</w:t>
      </w:r>
      <w:r w:rsidR="007D2830">
        <w:rPr>
          <w:lang w:val="fr-FR"/>
        </w:rPr>
        <w:t>’</w:t>
      </w:r>
      <w:r w:rsidRPr="00E02D92">
        <w:rPr>
          <w:lang w:val="fr-FR"/>
        </w:rPr>
        <w:t>article 8 du Protocole facultatif</w:t>
      </w:r>
      <w:r w:rsidR="007D2830">
        <w:rPr>
          <w:lang w:val="fr-FR"/>
        </w:rPr>
        <w:t>;</w:t>
      </w:r>
    </w:p>
    <w:p w:rsidR="002F117D" w:rsidRPr="00E02D92" w:rsidRDefault="002F117D" w:rsidP="002F117D">
      <w:pPr>
        <w:pStyle w:val="SingleTxt"/>
        <w:rPr>
          <w:lang w:val="fr-FR"/>
        </w:rPr>
      </w:pPr>
      <w:r w:rsidRPr="00E02D92">
        <w:rPr>
          <w:lang w:val="fr-FR"/>
        </w:rPr>
        <w:tab/>
        <w:t>b)</w:t>
      </w:r>
      <w:r w:rsidRPr="00E02D92">
        <w:rPr>
          <w:lang w:val="fr-FR"/>
        </w:rPr>
        <w:tab/>
      </w:r>
      <w:r>
        <w:rPr>
          <w:lang w:val="fr-FR"/>
        </w:rPr>
        <w:t>En ce qui concerne l</w:t>
      </w:r>
      <w:r w:rsidR="007D2830">
        <w:rPr>
          <w:lang w:val="fr-FR"/>
        </w:rPr>
        <w:t>’</w:t>
      </w:r>
      <w:r>
        <w:rPr>
          <w:lang w:val="fr-FR"/>
        </w:rPr>
        <w:t>enquête n° </w:t>
      </w:r>
      <w:r w:rsidRPr="00E02D92">
        <w:rPr>
          <w:lang w:val="fr-FR"/>
        </w:rPr>
        <w:t>2014/2, désigner les membres chargés d</w:t>
      </w:r>
      <w:r w:rsidR="007D2830">
        <w:rPr>
          <w:lang w:val="fr-FR"/>
        </w:rPr>
        <w:t>’</w:t>
      </w:r>
      <w:r w:rsidRPr="00E02D92">
        <w:rPr>
          <w:lang w:val="fr-FR"/>
        </w:rPr>
        <w:t>effectuer une enquête et demander à l</w:t>
      </w:r>
      <w:r w:rsidR="007D2830">
        <w:rPr>
          <w:lang w:val="fr-FR"/>
        </w:rPr>
        <w:t>’</w:t>
      </w:r>
      <w:r w:rsidRPr="00E02D92">
        <w:rPr>
          <w:lang w:val="fr-FR"/>
        </w:rPr>
        <w:t>État partie concerné d</w:t>
      </w:r>
      <w:r w:rsidR="007D2830">
        <w:rPr>
          <w:lang w:val="fr-FR"/>
        </w:rPr>
        <w:t>’</w:t>
      </w:r>
      <w:r w:rsidRPr="00E02D92">
        <w:rPr>
          <w:lang w:val="fr-FR"/>
        </w:rPr>
        <w:t>autoriser une visite sur son territoire.</w:t>
      </w:r>
    </w:p>
    <w:p w:rsidR="002F117D" w:rsidRPr="00E02D92" w:rsidRDefault="002F117D" w:rsidP="00AF74A3">
      <w:pPr>
        <w:pStyle w:val="SingleTxt"/>
        <w:numPr>
          <w:ilvl w:val="0"/>
          <w:numId w:val="6"/>
        </w:numPr>
        <w:spacing w:line="240" w:lineRule="exact"/>
        <w:ind w:left="1267"/>
        <w:rPr>
          <w:lang w:val="fr-FR"/>
        </w:rPr>
      </w:pPr>
      <w:r w:rsidRPr="00E02D92">
        <w:rPr>
          <w:lang w:val="fr-FR"/>
        </w:rPr>
        <w:lastRenderedPageBreak/>
        <w:t>Le Comité a ratifié les décisions ci-après, qui avaient été p</w:t>
      </w:r>
      <w:r>
        <w:rPr>
          <w:lang w:val="fr-FR"/>
        </w:rPr>
        <w:t>rises par le Groupe de travail</w:t>
      </w:r>
      <w:r w:rsidR="007D2830">
        <w:rPr>
          <w:lang w:val="fr-FR"/>
        </w:rPr>
        <w:t> :</w:t>
      </w:r>
    </w:p>
    <w:p w:rsidR="002F117D" w:rsidRPr="00E02D92" w:rsidRDefault="002F117D" w:rsidP="002F117D">
      <w:pPr>
        <w:pStyle w:val="SingleTxt"/>
        <w:rPr>
          <w:lang w:val="fr-FR"/>
        </w:rPr>
      </w:pPr>
      <w:r w:rsidRPr="00E02D92">
        <w:rPr>
          <w:lang w:val="fr-FR"/>
        </w:rPr>
        <w:tab/>
        <w:t>a)</w:t>
      </w:r>
      <w:r w:rsidRPr="00E02D92">
        <w:rPr>
          <w:lang w:val="fr-FR"/>
        </w:rPr>
        <w:tab/>
        <w:t>S</w:t>
      </w:r>
      <w:r w:rsidR="007D2830">
        <w:rPr>
          <w:lang w:val="fr-FR"/>
        </w:rPr>
        <w:t>’</w:t>
      </w:r>
      <w:r w:rsidRPr="00E02D92">
        <w:rPr>
          <w:lang w:val="fr-FR"/>
        </w:rPr>
        <w:t xml:space="preserve">agissant de la requête n° 2011/4, demander à la Présidente et </w:t>
      </w:r>
      <w:r>
        <w:rPr>
          <w:lang w:val="fr-FR"/>
        </w:rPr>
        <w:t xml:space="preserve">à la </w:t>
      </w:r>
      <w:r w:rsidRPr="00E02D92">
        <w:rPr>
          <w:lang w:val="fr-FR"/>
        </w:rPr>
        <w:t>Vice-P</w:t>
      </w:r>
      <w:r>
        <w:rPr>
          <w:lang w:val="fr-FR"/>
        </w:rPr>
        <w:t xml:space="preserve">résidente </w:t>
      </w:r>
      <w:r w:rsidRPr="00E02D92">
        <w:rPr>
          <w:lang w:val="fr-FR"/>
        </w:rPr>
        <w:t xml:space="preserve">du Groupe de travail de rencontrer des représentants de </w:t>
      </w:r>
      <w:r>
        <w:rPr>
          <w:lang w:val="fr-FR"/>
        </w:rPr>
        <w:t xml:space="preserve">l’État partie concerné, en marge de l’examen de son rapport périodique, pour examiner la question des </w:t>
      </w:r>
      <w:r w:rsidRPr="00947CDA">
        <w:rPr>
          <w:lang w:val="fr-FR"/>
        </w:rPr>
        <w:t>observations que cet État doit présenter sur les informations reçues par le Comité au titre de l’article 8 du Protocole facultatif</w:t>
      </w:r>
      <w:r w:rsidR="007D2830">
        <w:rPr>
          <w:lang w:val="fr-FR"/>
        </w:rPr>
        <w:t>;</w:t>
      </w:r>
    </w:p>
    <w:p w:rsidR="002F117D" w:rsidRPr="006233BE" w:rsidRDefault="002F117D" w:rsidP="002F117D">
      <w:pPr>
        <w:pStyle w:val="SingleTxt"/>
        <w:rPr>
          <w:lang w:val="fr-FR"/>
        </w:rPr>
      </w:pPr>
      <w:r w:rsidRPr="00E02D92">
        <w:rPr>
          <w:lang w:val="fr-FR"/>
        </w:rPr>
        <w:tab/>
      </w:r>
      <w:r w:rsidRPr="006233BE">
        <w:rPr>
          <w:lang w:val="fr-FR"/>
        </w:rPr>
        <w:t>b)</w:t>
      </w:r>
      <w:r w:rsidRPr="006233BE">
        <w:rPr>
          <w:lang w:val="fr-FR"/>
        </w:rPr>
        <w:tab/>
        <w:t>S</w:t>
      </w:r>
      <w:r w:rsidR="007D2830">
        <w:rPr>
          <w:lang w:val="fr-FR"/>
        </w:rPr>
        <w:t>’</w:t>
      </w:r>
      <w:r w:rsidRPr="006233BE">
        <w:rPr>
          <w:lang w:val="fr-FR"/>
        </w:rPr>
        <w:t>agissant de la requête n° 2012/1, demander à trois membres du Comité de l</w:t>
      </w:r>
      <w:r w:rsidR="007D2830">
        <w:rPr>
          <w:lang w:val="fr-FR"/>
        </w:rPr>
        <w:t>’</w:t>
      </w:r>
      <w:r w:rsidRPr="006233BE">
        <w:rPr>
          <w:lang w:val="fr-FR"/>
        </w:rPr>
        <w:t>aider à examiner les informations reçues au titre de l</w:t>
      </w:r>
      <w:r w:rsidR="007D2830">
        <w:rPr>
          <w:lang w:val="fr-FR"/>
        </w:rPr>
        <w:t>’</w:t>
      </w:r>
      <w:r w:rsidRPr="006233BE">
        <w:rPr>
          <w:lang w:val="fr-FR"/>
        </w:rPr>
        <w:t xml:space="preserve">article 8 du Protocole facultatif et faire une recommandation au Groupe de travail, pour examen à sa cinquième session, en octobre </w:t>
      </w:r>
      <w:r>
        <w:rPr>
          <w:lang w:val="fr-FR"/>
        </w:rPr>
        <w:t>2016, sur les mesures à prendre</w:t>
      </w:r>
      <w:r w:rsidR="007D2830">
        <w:rPr>
          <w:lang w:val="fr-FR"/>
        </w:rPr>
        <w:t>;</w:t>
      </w:r>
    </w:p>
    <w:p w:rsidR="002F117D" w:rsidRPr="006233BE" w:rsidRDefault="002F117D" w:rsidP="00D944D7">
      <w:pPr>
        <w:pStyle w:val="SingleTxt"/>
        <w:rPr>
          <w:lang w:val="fr-FR"/>
        </w:rPr>
      </w:pPr>
      <w:r w:rsidRPr="006233BE">
        <w:rPr>
          <w:lang w:val="fr-FR"/>
        </w:rPr>
        <w:tab/>
        <w:t>c)</w:t>
      </w:r>
      <w:r w:rsidRPr="006233BE">
        <w:rPr>
          <w:lang w:val="fr-FR"/>
        </w:rPr>
        <w:tab/>
        <w:t>S</w:t>
      </w:r>
      <w:r w:rsidR="007D2830">
        <w:rPr>
          <w:lang w:val="fr-FR"/>
        </w:rPr>
        <w:t>’</w:t>
      </w:r>
      <w:r w:rsidRPr="006233BE">
        <w:rPr>
          <w:lang w:val="fr-FR"/>
        </w:rPr>
        <w:t>agissant de la requête n° 2014/1, organiser une réunion à la soixante-quatrième session avec des représentants de la Mission permanente de l’État partie concerné auprès de l’Office des Nations Unies et d</w:t>
      </w:r>
      <w:r>
        <w:rPr>
          <w:lang w:val="fr-FR"/>
        </w:rPr>
        <w:t>es autres organisations internationales</w:t>
      </w:r>
      <w:r w:rsidRPr="006233BE">
        <w:rPr>
          <w:lang w:val="fr-FR"/>
        </w:rPr>
        <w:t xml:space="preserve"> à Genève pour donner suite à la requête du Comité, qui avait demandé à se rendre sur le territoire de l</w:t>
      </w:r>
      <w:r w:rsidR="007D2830">
        <w:rPr>
          <w:lang w:val="fr-FR"/>
        </w:rPr>
        <w:t>’</w:t>
      </w:r>
      <w:r w:rsidRPr="006233BE">
        <w:rPr>
          <w:lang w:val="fr-FR"/>
        </w:rPr>
        <w:t>État partie en</w:t>
      </w:r>
      <w:r w:rsidR="00D944D7">
        <w:rPr>
          <w:lang w:val="fr-FR"/>
        </w:rPr>
        <w:t xml:space="preserve"> septembre</w:t>
      </w:r>
      <w:r w:rsidRPr="006233BE">
        <w:rPr>
          <w:lang w:val="fr-FR"/>
        </w:rPr>
        <w:t xml:space="preserve"> 2016</w:t>
      </w:r>
      <w:r w:rsidR="007D2830">
        <w:rPr>
          <w:lang w:val="fr-FR"/>
        </w:rPr>
        <w:t>;</w:t>
      </w:r>
    </w:p>
    <w:p w:rsidR="002F117D" w:rsidRPr="000E4E23" w:rsidRDefault="002F117D" w:rsidP="00D944D7">
      <w:pPr>
        <w:pStyle w:val="SingleTxt"/>
        <w:rPr>
          <w:lang w:val="fr-FR"/>
        </w:rPr>
      </w:pPr>
      <w:r w:rsidRPr="006233BE">
        <w:rPr>
          <w:lang w:val="fr-FR"/>
        </w:rPr>
        <w:tab/>
      </w:r>
      <w:r w:rsidRPr="000E4E23">
        <w:rPr>
          <w:lang w:val="fr-FR"/>
        </w:rPr>
        <w:t>d)</w:t>
      </w:r>
      <w:r w:rsidRPr="000E4E23">
        <w:rPr>
          <w:lang w:val="fr-FR"/>
        </w:rPr>
        <w:tab/>
        <w:t>S</w:t>
      </w:r>
      <w:r w:rsidR="007D2830">
        <w:rPr>
          <w:lang w:val="fr-FR"/>
        </w:rPr>
        <w:t>’</w:t>
      </w:r>
      <w:r w:rsidRPr="000E4E23">
        <w:rPr>
          <w:lang w:val="fr-FR"/>
        </w:rPr>
        <w:t>agissant de la requête n</w:t>
      </w:r>
      <w:r w:rsidR="00D944D7" w:rsidRPr="00D944D7">
        <w:rPr>
          <w:vertAlign w:val="superscript"/>
          <w:lang w:val="fr-FR"/>
        </w:rPr>
        <w:t>o</w:t>
      </w:r>
      <w:r w:rsidRPr="000E4E23">
        <w:rPr>
          <w:lang w:val="fr-FR"/>
        </w:rPr>
        <w:t> 2016/1, demander des renseignements complémentaires à la source d</w:t>
      </w:r>
      <w:r w:rsidR="007D2830">
        <w:rPr>
          <w:lang w:val="fr-FR"/>
        </w:rPr>
        <w:t>’</w:t>
      </w:r>
      <w:r w:rsidRPr="000E4E23">
        <w:rPr>
          <w:lang w:val="fr-FR"/>
        </w:rPr>
        <w:t>information et aux représentants du Haut-Commissariat aux droits de l</w:t>
      </w:r>
      <w:r w:rsidR="007D2830">
        <w:rPr>
          <w:lang w:val="fr-FR"/>
        </w:rPr>
        <w:t>’</w:t>
      </w:r>
      <w:r w:rsidRPr="000E4E23">
        <w:rPr>
          <w:lang w:val="fr-FR"/>
        </w:rPr>
        <w:t>homme et d</w:t>
      </w:r>
      <w:r w:rsidR="007D2830">
        <w:rPr>
          <w:lang w:val="fr-FR"/>
        </w:rPr>
        <w:t>’</w:t>
      </w:r>
      <w:r w:rsidRPr="000E4E23">
        <w:rPr>
          <w:lang w:val="fr-FR"/>
        </w:rPr>
        <w:t>autres entités des Nations Unies prése</w:t>
      </w:r>
      <w:r>
        <w:rPr>
          <w:lang w:val="fr-FR"/>
        </w:rPr>
        <w:t>nts dans l</w:t>
      </w:r>
      <w:r w:rsidR="007D2830">
        <w:rPr>
          <w:lang w:val="fr-FR"/>
        </w:rPr>
        <w:t>’</w:t>
      </w:r>
      <w:r>
        <w:rPr>
          <w:lang w:val="fr-FR"/>
        </w:rPr>
        <w:t>État partie concerné</w:t>
      </w:r>
      <w:r w:rsidRPr="000E4E23">
        <w:rPr>
          <w:lang w:val="fr-FR"/>
        </w:rPr>
        <w:t>.</w:t>
      </w:r>
    </w:p>
    <w:p w:rsidR="002F117D" w:rsidRPr="00494431" w:rsidRDefault="002F117D" w:rsidP="00D944D7">
      <w:pPr>
        <w:pStyle w:val="SingleTxt"/>
        <w:numPr>
          <w:ilvl w:val="0"/>
          <w:numId w:val="6"/>
        </w:numPr>
        <w:spacing w:line="240" w:lineRule="exact"/>
        <w:ind w:left="1267"/>
        <w:rPr>
          <w:lang w:val="fr-FR"/>
        </w:rPr>
      </w:pPr>
      <w:r w:rsidRPr="00494431">
        <w:rPr>
          <w:lang w:val="fr-FR"/>
        </w:rPr>
        <w:t>S</w:t>
      </w:r>
      <w:r w:rsidR="007D2830">
        <w:rPr>
          <w:lang w:val="fr-FR"/>
        </w:rPr>
        <w:t>’</w:t>
      </w:r>
      <w:r w:rsidRPr="00494431">
        <w:rPr>
          <w:lang w:val="fr-FR"/>
        </w:rPr>
        <w:t>agissant de l’enquête n</w:t>
      </w:r>
      <w:r w:rsidR="00D944D7" w:rsidRPr="00D944D7">
        <w:rPr>
          <w:vertAlign w:val="superscript"/>
          <w:lang w:val="fr-FR"/>
        </w:rPr>
        <w:t>o</w:t>
      </w:r>
      <w:r w:rsidRPr="00494431">
        <w:rPr>
          <w:lang w:val="fr-FR"/>
        </w:rPr>
        <w:t> 2011/1 concernant le Canada, l</w:t>
      </w:r>
      <w:r>
        <w:rPr>
          <w:lang w:val="fr-FR"/>
        </w:rPr>
        <w:t>e Comité</w:t>
      </w:r>
      <w:r w:rsidRPr="00494431">
        <w:rPr>
          <w:lang w:val="fr-FR"/>
        </w:rPr>
        <w:t xml:space="preserve"> a décidé de charger les membres désignés d’évaluer les informations reçues de la part de l’État partie au titre du</w:t>
      </w:r>
      <w:r w:rsidR="00D944D7">
        <w:rPr>
          <w:lang w:val="fr-FR"/>
        </w:rPr>
        <w:t xml:space="preserve"> paragraphe </w:t>
      </w:r>
      <w:r w:rsidRPr="00494431">
        <w:rPr>
          <w:lang w:val="fr-FR"/>
        </w:rPr>
        <w:t>2 de l’article 9 du Protocole facultatif sur les mesures adoptées en réponse à l’enquête réalisée pendant l’intersession et de lui faire une recommandation lors de la soixante-cinquième session.</w:t>
      </w:r>
    </w:p>
    <w:p w:rsidR="002F117D" w:rsidRPr="00494431" w:rsidRDefault="002F117D" w:rsidP="002F117D">
      <w:pPr>
        <w:spacing w:line="240" w:lineRule="auto"/>
      </w:pPr>
      <w:r w:rsidRPr="00494431">
        <w:br w:type="page"/>
      </w:r>
    </w:p>
    <w:p w:rsidR="002F117D" w:rsidRPr="00E0101D" w:rsidRDefault="002F117D" w:rsidP="002F117D">
      <w:pPr>
        <w:pStyle w:val="HCh0"/>
        <w:ind w:left="1267" w:right="1260" w:hanging="1267"/>
        <w:rPr>
          <w:lang w:val="fr-FR"/>
        </w:rPr>
      </w:pPr>
      <w:r w:rsidRPr="00E0101D">
        <w:rPr>
          <w:lang w:val="fr-FR"/>
        </w:rPr>
        <w:lastRenderedPageBreak/>
        <w:t>Chapitre VI</w:t>
      </w:r>
    </w:p>
    <w:p w:rsidR="002F117D" w:rsidRPr="00DF580C" w:rsidRDefault="002F117D" w:rsidP="002F117D">
      <w:pPr>
        <w:pStyle w:val="HCh0"/>
        <w:ind w:left="1267" w:right="1260" w:hanging="1267"/>
        <w:rPr>
          <w:lang w:val="fr-FR"/>
        </w:rPr>
      </w:pPr>
      <w:r w:rsidRPr="00E0101D">
        <w:rPr>
          <w:lang w:val="fr-FR"/>
        </w:rPr>
        <w:tab/>
      </w:r>
      <w:r w:rsidRPr="00E0101D">
        <w:rPr>
          <w:lang w:val="fr-FR"/>
        </w:rPr>
        <w:tab/>
      </w:r>
      <w:r w:rsidRPr="00DF580C">
        <w:rPr>
          <w:lang w:val="fr-FR"/>
        </w:rPr>
        <w:t>Moyens d’accélérer les travaux du Comité</w:t>
      </w:r>
    </w:p>
    <w:p w:rsidR="002F117D" w:rsidRPr="00DF580C" w:rsidRDefault="002F117D" w:rsidP="002F117D">
      <w:pPr>
        <w:pStyle w:val="SingleTxt"/>
        <w:spacing w:after="0" w:line="120" w:lineRule="exact"/>
        <w:rPr>
          <w:sz w:val="10"/>
          <w:lang w:val="fr-FR"/>
        </w:rPr>
      </w:pPr>
    </w:p>
    <w:p w:rsidR="002F117D" w:rsidRPr="00DF580C" w:rsidRDefault="002F117D" w:rsidP="002F117D">
      <w:pPr>
        <w:pStyle w:val="SingleTxt"/>
        <w:spacing w:after="0" w:line="120" w:lineRule="exact"/>
        <w:rPr>
          <w:sz w:val="10"/>
          <w:lang w:val="fr-FR"/>
        </w:rPr>
      </w:pPr>
    </w:p>
    <w:p w:rsidR="002F117D" w:rsidRPr="00DF580C" w:rsidRDefault="002F117D" w:rsidP="00AF74A3">
      <w:pPr>
        <w:pStyle w:val="SingleTxt"/>
        <w:numPr>
          <w:ilvl w:val="0"/>
          <w:numId w:val="6"/>
        </w:numPr>
        <w:spacing w:line="240" w:lineRule="exact"/>
        <w:ind w:left="1267"/>
        <w:rPr>
          <w:lang w:val="fr-FR"/>
        </w:rPr>
      </w:pPr>
      <w:r w:rsidRPr="00DF580C">
        <w:rPr>
          <w:lang w:val="fr-FR"/>
        </w:rPr>
        <w:t>Le secrétariat a indiqué au Comité ce qu’il en était des rapports qui auraient dû être présentés par les États parties en application de l’article</w:t>
      </w:r>
      <w:r w:rsidR="00BA1CBA">
        <w:rPr>
          <w:lang w:val="fr-FR"/>
        </w:rPr>
        <w:t> </w:t>
      </w:r>
      <w:r w:rsidRPr="00DF580C">
        <w:rPr>
          <w:lang w:val="fr-FR"/>
        </w:rPr>
        <w:t>18 d</w:t>
      </w:r>
      <w:r>
        <w:rPr>
          <w:lang w:val="fr-FR"/>
        </w:rPr>
        <w:t>e la Convention</w:t>
      </w:r>
      <w:r w:rsidRPr="00DF580C">
        <w:rPr>
          <w:lang w:val="fr-FR"/>
        </w:rPr>
        <w:t>.</w:t>
      </w:r>
    </w:p>
    <w:p w:rsidR="002F117D" w:rsidRPr="00DF580C" w:rsidRDefault="002F117D" w:rsidP="00AF74A3">
      <w:pPr>
        <w:pStyle w:val="SingleTxt"/>
        <w:numPr>
          <w:ilvl w:val="0"/>
          <w:numId w:val="6"/>
        </w:numPr>
        <w:spacing w:line="240" w:lineRule="exact"/>
        <w:ind w:left="1267"/>
        <w:rPr>
          <w:lang w:val="fr-FR"/>
        </w:rPr>
      </w:pPr>
      <w:r w:rsidRPr="00DF580C">
        <w:rPr>
          <w:lang w:val="fr-FR"/>
        </w:rPr>
        <w:t>Le 4</w:t>
      </w:r>
      <w:r w:rsidR="00D944D7">
        <w:rPr>
          <w:lang w:val="fr-FR"/>
        </w:rPr>
        <w:t> juillet</w:t>
      </w:r>
      <w:r w:rsidRPr="00DF580C">
        <w:rPr>
          <w:lang w:val="fr-FR"/>
        </w:rPr>
        <w:t xml:space="preserve"> 2016, la Présidente a fait rapport au Comité sur la vingt-huitième Réunion annuelle des présidents des organes créés en vertu d’instruments internationaux relatifs aux droits de l’homme, tenue à New York du 30</w:t>
      </w:r>
      <w:r w:rsidR="00BA1CBA">
        <w:rPr>
          <w:lang w:val="fr-FR"/>
        </w:rPr>
        <w:t> </w:t>
      </w:r>
      <w:r w:rsidRPr="00DF580C">
        <w:rPr>
          <w:lang w:val="fr-FR"/>
        </w:rPr>
        <w:t>mai au 2</w:t>
      </w:r>
      <w:r w:rsidR="00D944D7">
        <w:rPr>
          <w:lang w:val="fr-FR"/>
        </w:rPr>
        <w:t> juin</w:t>
      </w:r>
      <w:r w:rsidRPr="00DF580C">
        <w:rPr>
          <w:lang w:val="fr-FR"/>
        </w:rPr>
        <w:t xml:space="preserve"> 20</w:t>
      </w:r>
      <w:r>
        <w:rPr>
          <w:lang w:val="fr-FR"/>
        </w:rPr>
        <w:t>16</w:t>
      </w:r>
      <w:r w:rsidRPr="00DF580C">
        <w:rPr>
          <w:lang w:val="fr-FR"/>
        </w:rPr>
        <w:t xml:space="preserve">. </w:t>
      </w:r>
    </w:p>
    <w:p w:rsidR="002F117D" w:rsidRPr="00DF580C" w:rsidRDefault="002F117D" w:rsidP="002F117D">
      <w:pPr>
        <w:pStyle w:val="SingleTxt"/>
        <w:spacing w:after="0" w:line="120" w:lineRule="exact"/>
        <w:rPr>
          <w:sz w:val="10"/>
          <w:lang w:val="fr-FR"/>
        </w:rPr>
      </w:pPr>
    </w:p>
    <w:p w:rsidR="002F117D" w:rsidRPr="00DF580C" w:rsidRDefault="002F117D" w:rsidP="002F117D">
      <w:pPr>
        <w:pStyle w:val="SingleTxt"/>
        <w:spacing w:after="0" w:line="120" w:lineRule="exact"/>
        <w:rPr>
          <w:sz w:val="10"/>
          <w:lang w:val="fr-FR"/>
        </w:rPr>
      </w:pPr>
    </w:p>
    <w:p w:rsidR="002F117D" w:rsidRPr="00DF580C" w:rsidRDefault="002F117D" w:rsidP="00BA1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580C">
        <w:rPr>
          <w:lang w:val="fr-FR"/>
        </w:rPr>
        <w:tab/>
      </w:r>
      <w:r w:rsidRPr="00DF580C">
        <w:rPr>
          <w:lang w:val="fr-FR"/>
        </w:rPr>
        <w:tab/>
        <w:t xml:space="preserve">Mesures prises par le Comité au titre du point 7 de l’ordre du jour </w:t>
      </w:r>
    </w:p>
    <w:p w:rsidR="002F117D" w:rsidRPr="00DF580C" w:rsidRDefault="002F117D" w:rsidP="002F117D">
      <w:pPr>
        <w:pStyle w:val="SingleTxt"/>
        <w:spacing w:after="0" w:line="120" w:lineRule="exact"/>
        <w:rPr>
          <w:sz w:val="10"/>
          <w:lang w:val="fr-FR"/>
        </w:rPr>
      </w:pPr>
    </w:p>
    <w:p w:rsidR="002F117D" w:rsidRPr="00DF580C" w:rsidRDefault="002F117D" w:rsidP="002F117D">
      <w:pPr>
        <w:pStyle w:val="SingleTxt"/>
        <w:spacing w:after="0" w:line="120" w:lineRule="exact"/>
        <w:rPr>
          <w:sz w:val="10"/>
          <w:lang w:val="fr-FR"/>
        </w:rPr>
      </w:pPr>
    </w:p>
    <w:p w:rsidR="002F117D" w:rsidRPr="00B65ED6"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580C">
        <w:rPr>
          <w:lang w:val="fr-FR"/>
        </w:rPr>
        <w:tab/>
      </w:r>
      <w:r w:rsidRPr="00DF580C">
        <w:rPr>
          <w:lang w:val="fr-FR"/>
        </w:rPr>
        <w:tab/>
      </w:r>
      <w:r w:rsidRPr="00B65ED6">
        <w:rPr>
          <w:lang w:val="fr-FR"/>
        </w:rPr>
        <w:t xml:space="preserve">Dates des prochaines sessions </w:t>
      </w:r>
    </w:p>
    <w:p w:rsidR="002F117D" w:rsidRPr="00B65ED6" w:rsidRDefault="002F117D" w:rsidP="002F117D">
      <w:pPr>
        <w:pStyle w:val="SingleTxt"/>
        <w:spacing w:after="0" w:line="120" w:lineRule="exact"/>
        <w:rPr>
          <w:sz w:val="10"/>
          <w:lang w:val="fr-FR"/>
        </w:rPr>
      </w:pPr>
    </w:p>
    <w:p w:rsidR="002F117D" w:rsidRPr="00D54493" w:rsidRDefault="002F117D" w:rsidP="00AF74A3">
      <w:pPr>
        <w:pStyle w:val="SingleTxt"/>
        <w:numPr>
          <w:ilvl w:val="0"/>
          <w:numId w:val="6"/>
        </w:numPr>
        <w:spacing w:line="240" w:lineRule="exact"/>
        <w:ind w:left="1267"/>
        <w:rPr>
          <w:lang w:val="fr-FR"/>
        </w:rPr>
      </w:pPr>
      <w:r w:rsidRPr="00B65ED6">
        <w:rPr>
          <w:lang w:val="fr-FR"/>
        </w:rPr>
        <w:t xml:space="preserve">Conformément au calendrier des conférences, les dates et lieux de réunion </w:t>
      </w:r>
      <w:r w:rsidRPr="00D54493">
        <w:rPr>
          <w:lang w:val="fr-FR"/>
        </w:rPr>
        <w:t>suivants ont été confirmés pour les soixante-cinquième et soixante-sixième sessions et autres réunions connexes du Comité</w:t>
      </w:r>
      <w:r w:rsidR="007D2830">
        <w:rPr>
          <w:lang w:val="fr-FR"/>
        </w:rPr>
        <w:t> :</w:t>
      </w:r>
    </w:p>
    <w:p w:rsidR="002F117D" w:rsidRPr="00D54493" w:rsidRDefault="002F117D" w:rsidP="002F117D">
      <w:pPr>
        <w:pStyle w:val="SingleTxt"/>
        <w:rPr>
          <w:lang w:val="fr-FR"/>
        </w:rPr>
      </w:pPr>
      <w:r w:rsidRPr="00D54493">
        <w:rPr>
          <w:lang w:val="fr-FR"/>
        </w:rPr>
        <w:t>Soixante-cinquième session (Genève)</w:t>
      </w:r>
    </w:p>
    <w:p w:rsidR="002F117D" w:rsidRPr="00D54493" w:rsidRDefault="002F117D" w:rsidP="002F117D">
      <w:pPr>
        <w:pStyle w:val="SingleTxt"/>
        <w:ind w:left="2218" w:hanging="951"/>
        <w:rPr>
          <w:lang w:val="fr-FR"/>
        </w:rPr>
      </w:pPr>
      <w:r w:rsidRPr="00D54493">
        <w:rPr>
          <w:lang w:val="fr-FR"/>
        </w:rPr>
        <w:tab/>
        <w:t>a)</w:t>
      </w:r>
      <w:r w:rsidRPr="00D54493">
        <w:rPr>
          <w:lang w:val="fr-FR"/>
        </w:rPr>
        <w:tab/>
        <w:t>Trente-sixième session du Groupe de travail sur les communications présentées conformément au Protocole facultatif</w:t>
      </w:r>
      <w:r w:rsidR="007D2830">
        <w:rPr>
          <w:lang w:val="fr-FR"/>
        </w:rPr>
        <w:t> :</w:t>
      </w:r>
      <w:r w:rsidRPr="00D54493">
        <w:rPr>
          <w:lang w:val="fr-FR"/>
        </w:rPr>
        <w:t xml:space="preserve"> du 19 au 21</w:t>
      </w:r>
      <w:r w:rsidR="00D944D7">
        <w:rPr>
          <w:lang w:val="fr-FR"/>
        </w:rPr>
        <w:t> octobre</w:t>
      </w:r>
      <w:r w:rsidRPr="00D54493">
        <w:rPr>
          <w:lang w:val="fr-FR"/>
        </w:rPr>
        <w:t xml:space="preserve"> 2016</w:t>
      </w:r>
      <w:r w:rsidR="007D2830">
        <w:rPr>
          <w:lang w:val="fr-FR"/>
        </w:rPr>
        <w:t>;</w:t>
      </w:r>
    </w:p>
    <w:p w:rsidR="002F117D" w:rsidRPr="00811CA9" w:rsidRDefault="002F117D" w:rsidP="002F117D">
      <w:pPr>
        <w:pStyle w:val="SingleTxt"/>
        <w:ind w:left="2218" w:hanging="951"/>
        <w:rPr>
          <w:lang w:val="fr-FR"/>
        </w:rPr>
      </w:pPr>
      <w:r w:rsidRPr="00811CA9">
        <w:rPr>
          <w:lang w:val="fr-FR"/>
        </w:rPr>
        <w:tab/>
        <w:t>b)</w:t>
      </w:r>
      <w:r w:rsidRPr="00811CA9">
        <w:rPr>
          <w:lang w:val="fr-FR"/>
        </w:rPr>
        <w:tab/>
        <w:t>Cinquième session du Groupe de travail chargé des enquêtes menées au titre du Protocole fac</w:t>
      </w:r>
      <w:r>
        <w:rPr>
          <w:lang w:val="fr-FR"/>
        </w:rPr>
        <w:t>ultatif</w:t>
      </w:r>
      <w:r w:rsidR="007D2830">
        <w:rPr>
          <w:lang w:val="fr-FR"/>
        </w:rPr>
        <w:t> :</w:t>
      </w:r>
      <w:r>
        <w:rPr>
          <w:lang w:val="fr-FR"/>
        </w:rPr>
        <w:t xml:space="preserve"> 20 et 21</w:t>
      </w:r>
      <w:r w:rsidR="00D944D7">
        <w:rPr>
          <w:lang w:val="fr-FR"/>
        </w:rPr>
        <w:t> octobre</w:t>
      </w:r>
      <w:r>
        <w:rPr>
          <w:lang w:val="fr-FR"/>
        </w:rPr>
        <w:t xml:space="preserve"> 2016</w:t>
      </w:r>
      <w:r w:rsidR="007D2830">
        <w:rPr>
          <w:lang w:val="fr-FR"/>
        </w:rPr>
        <w:t>;</w:t>
      </w:r>
    </w:p>
    <w:p w:rsidR="002F117D" w:rsidRPr="00A44B30" w:rsidRDefault="002F117D" w:rsidP="002F117D">
      <w:pPr>
        <w:pStyle w:val="SingleTxt"/>
        <w:rPr>
          <w:lang w:val="fr-FR"/>
        </w:rPr>
      </w:pPr>
      <w:r w:rsidRPr="00811CA9">
        <w:rPr>
          <w:lang w:val="fr-FR"/>
        </w:rPr>
        <w:tab/>
      </w:r>
      <w:r w:rsidRPr="00A44B30">
        <w:rPr>
          <w:lang w:val="fr-FR"/>
        </w:rPr>
        <w:t>c)</w:t>
      </w:r>
      <w:r w:rsidRPr="00A44B30">
        <w:rPr>
          <w:lang w:val="fr-FR"/>
        </w:rPr>
        <w:tab/>
        <w:t>Soixante-cinquième session</w:t>
      </w:r>
      <w:r w:rsidR="007D2830">
        <w:rPr>
          <w:lang w:val="fr-FR"/>
        </w:rPr>
        <w:t> :</w:t>
      </w:r>
      <w:r w:rsidRPr="00A44B30">
        <w:rPr>
          <w:lang w:val="fr-FR"/>
        </w:rPr>
        <w:t xml:space="preserve"> du 24</w:t>
      </w:r>
      <w:r w:rsidR="00D944D7">
        <w:rPr>
          <w:lang w:val="fr-FR"/>
        </w:rPr>
        <w:t> octobre</w:t>
      </w:r>
      <w:r w:rsidRPr="00A44B30">
        <w:rPr>
          <w:lang w:val="fr-FR"/>
        </w:rPr>
        <w:t xml:space="preserve"> au 18</w:t>
      </w:r>
      <w:r w:rsidR="00D944D7">
        <w:rPr>
          <w:lang w:val="fr-FR"/>
        </w:rPr>
        <w:t> novembre</w:t>
      </w:r>
      <w:r w:rsidRPr="00A44B30">
        <w:rPr>
          <w:lang w:val="fr-FR"/>
        </w:rPr>
        <w:t xml:space="preserve"> 2016</w:t>
      </w:r>
      <w:r w:rsidR="007D2830">
        <w:rPr>
          <w:lang w:val="fr-FR"/>
        </w:rPr>
        <w:t>;</w:t>
      </w:r>
    </w:p>
    <w:p w:rsidR="002F117D" w:rsidRPr="00A44B30" w:rsidRDefault="002F117D" w:rsidP="002F117D">
      <w:pPr>
        <w:pStyle w:val="SingleTxt"/>
        <w:ind w:left="2218" w:hanging="951"/>
        <w:rPr>
          <w:lang w:val="fr-FR"/>
        </w:rPr>
      </w:pPr>
      <w:r w:rsidRPr="00A44B30">
        <w:rPr>
          <w:lang w:val="fr-FR"/>
        </w:rPr>
        <w:tab/>
        <w:t>d)</w:t>
      </w:r>
      <w:r w:rsidRPr="00A44B30">
        <w:rPr>
          <w:lang w:val="fr-FR"/>
        </w:rPr>
        <w:tab/>
        <w:t>Réuni</w:t>
      </w:r>
      <w:r>
        <w:rPr>
          <w:lang w:val="fr-FR"/>
        </w:rPr>
        <w:t>on du groupe de travail d’avant-</w:t>
      </w:r>
      <w:r w:rsidRPr="00A44B30">
        <w:rPr>
          <w:lang w:val="fr-FR"/>
        </w:rPr>
        <w:t>session po</w:t>
      </w:r>
      <w:r>
        <w:rPr>
          <w:lang w:val="fr-FR"/>
        </w:rPr>
        <w:t>ur la soixante-septième session</w:t>
      </w:r>
      <w:r w:rsidR="007D2830">
        <w:rPr>
          <w:lang w:val="fr-FR"/>
        </w:rPr>
        <w:t> :</w:t>
      </w:r>
      <w:r w:rsidRPr="00A44B30">
        <w:rPr>
          <w:lang w:val="fr-FR"/>
        </w:rPr>
        <w:t xml:space="preserve"> du 21 au 25</w:t>
      </w:r>
      <w:r w:rsidR="00D944D7">
        <w:rPr>
          <w:lang w:val="fr-FR"/>
        </w:rPr>
        <w:t> novembre</w:t>
      </w:r>
      <w:r w:rsidRPr="00A44B30">
        <w:rPr>
          <w:lang w:val="fr-FR"/>
        </w:rPr>
        <w:t xml:space="preserve"> 2</w:t>
      </w:r>
      <w:r>
        <w:rPr>
          <w:lang w:val="fr-FR"/>
        </w:rPr>
        <w:t>016</w:t>
      </w:r>
      <w:r w:rsidR="007D2830">
        <w:rPr>
          <w:lang w:val="fr-FR"/>
        </w:rPr>
        <w:t>;</w:t>
      </w:r>
    </w:p>
    <w:p w:rsidR="002F117D" w:rsidRPr="00A44B30" w:rsidRDefault="002F117D" w:rsidP="002F117D">
      <w:pPr>
        <w:pStyle w:val="SingleTxt"/>
        <w:rPr>
          <w:lang w:val="fr-FR"/>
        </w:rPr>
      </w:pPr>
      <w:r w:rsidRPr="00A44B30">
        <w:rPr>
          <w:lang w:val="fr-FR"/>
        </w:rPr>
        <w:t>Soixante-sixième session (Genève)</w:t>
      </w:r>
    </w:p>
    <w:p w:rsidR="002F117D" w:rsidRPr="00A44B30" w:rsidRDefault="002F117D" w:rsidP="002F117D">
      <w:pPr>
        <w:pStyle w:val="SingleTxt"/>
        <w:ind w:left="2218" w:hanging="951"/>
        <w:rPr>
          <w:lang w:val="fr-FR"/>
        </w:rPr>
      </w:pPr>
      <w:r w:rsidRPr="00A44B30">
        <w:rPr>
          <w:lang w:val="fr-FR"/>
        </w:rPr>
        <w:tab/>
        <w:t>e)</w:t>
      </w:r>
      <w:r w:rsidRPr="00A44B30">
        <w:rPr>
          <w:lang w:val="fr-FR"/>
        </w:rPr>
        <w:tab/>
        <w:t>Trente-septième session du Groupe de travail sur les communications présentées confo</w:t>
      </w:r>
      <w:r>
        <w:rPr>
          <w:lang w:val="fr-FR"/>
        </w:rPr>
        <w:t>rmément au Protocole facultatif</w:t>
      </w:r>
      <w:r w:rsidR="007D2830">
        <w:rPr>
          <w:lang w:val="fr-FR"/>
        </w:rPr>
        <w:t> :</w:t>
      </w:r>
      <w:r w:rsidR="008217C9">
        <w:rPr>
          <w:lang w:val="fr-FR"/>
        </w:rPr>
        <w:t xml:space="preserve"> 7 au</w:t>
      </w:r>
      <w:r w:rsidRPr="00A44B30">
        <w:rPr>
          <w:lang w:val="fr-FR"/>
        </w:rPr>
        <w:t>10</w:t>
      </w:r>
      <w:r w:rsidR="00D944D7">
        <w:rPr>
          <w:lang w:val="fr-FR"/>
        </w:rPr>
        <w:t> février</w:t>
      </w:r>
      <w:r w:rsidRPr="00A44B30">
        <w:rPr>
          <w:lang w:val="fr-FR"/>
        </w:rPr>
        <w:t xml:space="preserve"> 2017</w:t>
      </w:r>
      <w:r w:rsidR="007D2830">
        <w:rPr>
          <w:lang w:val="fr-FR"/>
        </w:rPr>
        <w:t>;</w:t>
      </w:r>
    </w:p>
    <w:p w:rsidR="002F117D" w:rsidRPr="00A44B30" w:rsidRDefault="002F117D" w:rsidP="002F117D">
      <w:pPr>
        <w:pStyle w:val="SingleTxt"/>
        <w:ind w:left="2218" w:hanging="951"/>
        <w:rPr>
          <w:lang w:val="fr-FR"/>
        </w:rPr>
      </w:pPr>
      <w:r w:rsidRPr="00A44B30">
        <w:rPr>
          <w:lang w:val="fr-FR"/>
        </w:rPr>
        <w:tab/>
        <w:t>f)</w:t>
      </w:r>
      <w:r w:rsidRPr="00A44B30">
        <w:rPr>
          <w:lang w:val="fr-FR"/>
        </w:rPr>
        <w:tab/>
        <w:t>Sixième session du Groupe de travail chargé des enquêtes menées au titre du Protoco</w:t>
      </w:r>
      <w:r>
        <w:rPr>
          <w:lang w:val="fr-FR"/>
        </w:rPr>
        <w:t>le facultatif</w:t>
      </w:r>
      <w:r w:rsidR="007D2830">
        <w:rPr>
          <w:lang w:val="fr-FR"/>
        </w:rPr>
        <w:t> :</w:t>
      </w:r>
      <w:r w:rsidRPr="00A44B30">
        <w:rPr>
          <w:lang w:val="fr-FR"/>
        </w:rPr>
        <w:t xml:space="preserve"> 9 et 10</w:t>
      </w:r>
      <w:r w:rsidR="00D944D7">
        <w:rPr>
          <w:lang w:val="fr-FR"/>
        </w:rPr>
        <w:t> février</w:t>
      </w:r>
      <w:r w:rsidRPr="00A44B30">
        <w:rPr>
          <w:lang w:val="fr-FR"/>
        </w:rPr>
        <w:t xml:space="preserve"> 2017</w:t>
      </w:r>
      <w:r w:rsidR="007D2830">
        <w:rPr>
          <w:lang w:val="fr-FR"/>
        </w:rPr>
        <w:t>;</w:t>
      </w:r>
    </w:p>
    <w:p w:rsidR="002F117D" w:rsidRPr="00A44B30" w:rsidRDefault="002F117D" w:rsidP="002F117D">
      <w:pPr>
        <w:pStyle w:val="SingleTxt"/>
        <w:rPr>
          <w:lang w:val="fr-FR"/>
        </w:rPr>
      </w:pPr>
      <w:r w:rsidRPr="00A44B30">
        <w:rPr>
          <w:lang w:val="fr-FR"/>
        </w:rPr>
        <w:tab/>
        <w:t>g)</w:t>
      </w:r>
      <w:r w:rsidRPr="00A44B30">
        <w:rPr>
          <w:lang w:val="fr-FR"/>
        </w:rPr>
        <w:tab/>
        <w:t>Soixante-sixième session</w:t>
      </w:r>
      <w:r w:rsidR="007D2830">
        <w:rPr>
          <w:lang w:val="fr-FR"/>
        </w:rPr>
        <w:t> :</w:t>
      </w:r>
      <w:r w:rsidRPr="00A44B30">
        <w:rPr>
          <w:lang w:val="fr-FR"/>
        </w:rPr>
        <w:t xml:space="preserve"> du 13</w:t>
      </w:r>
      <w:r w:rsidR="00D944D7">
        <w:rPr>
          <w:lang w:val="fr-FR"/>
        </w:rPr>
        <w:t> février</w:t>
      </w:r>
      <w:r w:rsidRPr="00A44B30">
        <w:rPr>
          <w:lang w:val="fr-FR"/>
        </w:rPr>
        <w:t xml:space="preserve"> au 3</w:t>
      </w:r>
      <w:r w:rsidR="00D944D7">
        <w:rPr>
          <w:lang w:val="fr-FR"/>
        </w:rPr>
        <w:t> mars</w:t>
      </w:r>
      <w:r w:rsidRPr="00A44B30">
        <w:rPr>
          <w:lang w:val="fr-FR"/>
        </w:rPr>
        <w:t xml:space="preserve"> 2017</w:t>
      </w:r>
      <w:r w:rsidR="007D2830">
        <w:rPr>
          <w:lang w:val="fr-FR"/>
        </w:rPr>
        <w:t>;</w:t>
      </w:r>
    </w:p>
    <w:p w:rsidR="002F117D" w:rsidRPr="00A44B30" w:rsidRDefault="002F117D" w:rsidP="008217C9">
      <w:pPr>
        <w:pStyle w:val="SingleTxt"/>
        <w:ind w:left="2218" w:hanging="951"/>
        <w:rPr>
          <w:lang w:val="fr-FR"/>
        </w:rPr>
      </w:pPr>
      <w:r w:rsidRPr="00A44B30">
        <w:rPr>
          <w:lang w:val="fr-FR"/>
        </w:rPr>
        <w:tab/>
        <w:t>h)</w:t>
      </w:r>
      <w:r w:rsidRPr="00A44B30">
        <w:rPr>
          <w:lang w:val="fr-FR"/>
        </w:rPr>
        <w:tab/>
        <w:t>Réuni</w:t>
      </w:r>
      <w:r>
        <w:rPr>
          <w:lang w:val="fr-FR"/>
        </w:rPr>
        <w:t>on du groupe de travail d’avant-</w:t>
      </w:r>
      <w:r w:rsidRPr="00A44B30">
        <w:rPr>
          <w:lang w:val="fr-FR"/>
        </w:rPr>
        <w:t>session po</w:t>
      </w:r>
      <w:r>
        <w:rPr>
          <w:lang w:val="fr-FR"/>
        </w:rPr>
        <w:t>ur la soixante-huitième session</w:t>
      </w:r>
      <w:r w:rsidR="007D2830">
        <w:rPr>
          <w:lang w:val="fr-FR"/>
        </w:rPr>
        <w:t> :</w:t>
      </w:r>
      <w:r w:rsidRPr="00A44B30">
        <w:rPr>
          <w:lang w:val="fr-FR"/>
        </w:rPr>
        <w:t xml:space="preserve"> du 6 au 10</w:t>
      </w:r>
      <w:r w:rsidR="00D944D7">
        <w:rPr>
          <w:lang w:val="fr-FR"/>
        </w:rPr>
        <w:t> mars</w:t>
      </w:r>
      <w:r w:rsidRPr="00A44B30">
        <w:rPr>
          <w:lang w:val="fr-FR"/>
        </w:rPr>
        <w:t xml:space="preserve"> 2017.</w:t>
      </w:r>
    </w:p>
    <w:p w:rsidR="002F117D" w:rsidRPr="00A44B30" w:rsidRDefault="002F117D" w:rsidP="002F117D">
      <w:pPr>
        <w:pStyle w:val="SingleTxt"/>
        <w:spacing w:after="0" w:line="120" w:lineRule="exact"/>
        <w:rPr>
          <w:sz w:val="10"/>
          <w:lang w:val="fr-FR"/>
        </w:rPr>
      </w:pPr>
    </w:p>
    <w:p w:rsidR="002F117D" w:rsidRPr="00A44B30"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44B30">
        <w:rPr>
          <w:lang w:val="fr-FR"/>
        </w:rPr>
        <w:tab/>
      </w:r>
      <w:r w:rsidRPr="00A44B30">
        <w:rPr>
          <w:lang w:val="fr-FR"/>
        </w:rPr>
        <w:tab/>
        <w:t xml:space="preserve">Rapports </w:t>
      </w:r>
      <w:r w:rsidRPr="00A80BA5">
        <w:rPr>
          <w:lang w:val="fr-FR"/>
        </w:rPr>
        <w:t>à examiner aux</w:t>
      </w:r>
      <w:r>
        <w:rPr>
          <w:lang w:val="fr-FR"/>
        </w:rPr>
        <w:t xml:space="preserve"> prochaines sessions du Comité </w:t>
      </w:r>
    </w:p>
    <w:p w:rsidR="002F117D" w:rsidRPr="00A44B30" w:rsidRDefault="002F117D" w:rsidP="002F117D">
      <w:pPr>
        <w:pStyle w:val="SingleTxt"/>
        <w:spacing w:after="0" w:line="120" w:lineRule="exact"/>
        <w:rPr>
          <w:sz w:val="10"/>
          <w:lang w:val="fr-FR"/>
        </w:rPr>
      </w:pPr>
    </w:p>
    <w:p w:rsidR="002F117D" w:rsidRPr="00D54493" w:rsidRDefault="002F117D" w:rsidP="00AF74A3">
      <w:pPr>
        <w:pStyle w:val="SingleTxt"/>
        <w:numPr>
          <w:ilvl w:val="0"/>
          <w:numId w:val="6"/>
        </w:numPr>
        <w:spacing w:line="240" w:lineRule="exact"/>
        <w:ind w:left="1267"/>
        <w:rPr>
          <w:lang w:val="fr-FR"/>
        </w:rPr>
      </w:pPr>
      <w:r w:rsidRPr="00D54493">
        <w:rPr>
          <w:lang w:val="fr-FR"/>
        </w:rPr>
        <w:t>Le Comité a confirmé qu’il examinerait les rapports des États parties ci-après à ses soixante-cinquième et soixante-sixième sessions</w:t>
      </w:r>
      <w:r w:rsidR="007D2830">
        <w:rPr>
          <w:lang w:val="fr-FR"/>
        </w:rPr>
        <w:t> :</w:t>
      </w:r>
    </w:p>
    <w:p w:rsidR="002F117D" w:rsidRPr="00D54493" w:rsidRDefault="002F117D" w:rsidP="002F117D">
      <w:pPr>
        <w:pStyle w:val="SingleTxt"/>
        <w:rPr>
          <w:lang w:val="fr-FR"/>
        </w:rPr>
      </w:pPr>
      <w:r w:rsidRPr="00D54493">
        <w:rPr>
          <w:lang w:val="fr-FR"/>
        </w:rPr>
        <w:t>Soixante-cinquième session</w:t>
      </w:r>
      <w:r w:rsidR="007D2830">
        <w:rPr>
          <w:lang w:val="fr-FR"/>
        </w:rPr>
        <w:t> :</w:t>
      </w:r>
    </w:p>
    <w:p w:rsidR="002F117D" w:rsidRPr="00D54493" w:rsidRDefault="002F117D" w:rsidP="002F117D">
      <w:pPr>
        <w:pStyle w:val="SingleTxt"/>
        <w:spacing w:after="0"/>
        <w:rPr>
          <w:lang w:val="fr-FR"/>
        </w:rPr>
      </w:pPr>
      <w:r w:rsidRPr="00D54493">
        <w:rPr>
          <w:lang w:val="fr-FR"/>
        </w:rPr>
        <w:tab/>
        <w:t>Antigua-et-B</w:t>
      </w:r>
      <w:r>
        <w:rPr>
          <w:lang w:val="fr-FR"/>
        </w:rPr>
        <w:t>arbuda (en l</w:t>
      </w:r>
      <w:r w:rsidR="007D2830">
        <w:rPr>
          <w:lang w:val="fr-FR"/>
        </w:rPr>
        <w:t>’</w:t>
      </w:r>
      <w:r>
        <w:rPr>
          <w:lang w:val="fr-FR"/>
        </w:rPr>
        <w:t>absence de rapport</w:t>
      </w:r>
      <w:r w:rsidRPr="00D54493">
        <w:rPr>
          <w:lang w:val="fr-FR"/>
        </w:rPr>
        <w:t>)</w:t>
      </w:r>
    </w:p>
    <w:p w:rsidR="002F117D" w:rsidRPr="00D54493" w:rsidRDefault="002F117D" w:rsidP="002F117D">
      <w:pPr>
        <w:pStyle w:val="SingleTxt"/>
        <w:spacing w:after="0"/>
        <w:rPr>
          <w:lang w:val="fr-FR"/>
        </w:rPr>
      </w:pPr>
      <w:r w:rsidRPr="00D54493">
        <w:rPr>
          <w:lang w:val="fr-FR"/>
        </w:rPr>
        <w:tab/>
        <w:t>Argentine</w:t>
      </w:r>
    </w:p>
    <w:p w:rsidR="002F117D" w:rsidRPr="00D54493" w:rsidRDefault="002F117D" w:rsidP="002F117D">
      <w:pPr>
        <w:pStyle w:val="SingleTxt"/>
        <w:spacing w:after="0"/>
        <w:rPr>
          <w:lang w:val="fr-FR"/>
        </w:rPr>
      </w:pPr>
      <w:r w:rsidRPr="00D54493">
        <w:rPr>
          <w:lang w:val="fr-FR"/>
        </w:rPr>
        <w:tab/>
        <w:t>Arménie</w:t>
      </w:r>
    </w:p>
    <w:p w:rsidR="002F117D" w:rsidRPr="00D54493" w:rsidRDefault="002F117D" w:rsidP="002F117D">
      <w:pPr>
        <w:pStyle w:val="SingleTxt"/>
        <w:spacing w:after="0"/>
        <w:rPr>
          <w:lang w:val="fr-FR"/>
        </w:rPr>
      </w:pPr>
      <w:r w:rsidRPr="00D54493">
        <w:rPr>
          <w:lang w:val="fr-FR"/>
        </w:rPr>
        <w:tab/>
        <w:t>Bangladesh</w:t>
      </w:r>
    </w:p>
    <w:p w:rsidR="002F117D" w:rsidRPr="00D54493" w:rsidRDefault="002F117D" w:rsidP="002F117D">
      <w:pPr>
        <w:pStyle w:val="SingleTxt"/>
        <w:spacing w:after="0"/>
        <w:rPr>
          <w:lang w:val="fr-FR"/>
        </w:rPr>
      </w:pPr>
      <w:r w:rsidRPr="00D54493">
        <w:rPr>
          <w:lang w:val="fr-FR"/>
        </w:rPr>
        <w:tab/>
        <w:t xml:space="preserve">Bélarus (au titre de la procédure </w:t>
      </w:r>
      <w:r w:rsidRPr="00AD12FD">
        <w:rPr>
          <w:lang w:val="fr-FR"/>
        </w:rPr>
        <w:t>simplifiée de présentation des rapports</w:t>
      </w:r>
      <w:r w:rsidRPr="00D54493">
        <w:rPr>
          <w:lang w:val="fr-FR"/>
        </w:rPr>
        <w:t>)</w:t>
      </w:r>
    </w:p>
    <w:p w:rsidR="002F117D" w:rsidRPr="00D54493" w:rsidRDefault="002F117D" w:rsidP="002F117D">
      <w:pPr>
        <w:pStyle w:val="SingleTxt"/>
        <w:spacing w:after="0"/>
        <w:rPr>
          <w:lang w:val="fr-FR"/>
        </w:rPr>
      </w:pPr>
      <w:r w:rsidRPr="00D54493">
        <w:rPr>
          <w:lang w:val="fr-FR"/>
        </w:rPr>
        <w:tab/>
        <w:t>Bhoutan</w:t>
      </w:r>
    </w:p>
    <w:p w:rsidR="002F117D" w:rsidRPr="00D54493" w:rsidRDefault="002F117D" w:rsidP="002F117D">
      <w:pPr>
        <w:pStyle w:val="SingleTxt"/>
        <w:spacing w:after="0"/>
        <w:rPr>
          <w:lang w:val="fr-FR"/>
        </w:rPr>
      </w:pPr>
      <w:r w:rsidRPr="00D54493">
        <w:rPr>
          <w:lang w:val="fr-FR"/>
        </w:rPr>
        <w:tab/>
        <w:t>Burundi</w:t>
      </w:r>
    </w:p>
    <w:p w:rsidR="002F117D" w:rsidRPr="00D54493" w:rsidRDefault="002F117D" w:rsidP="002F117D">
      <w:pPr>
        <w:pStyle w:val="SingleTxt"/>
        <w:spacing w:after="0"/>
        <w:rPr>
          <w:lang w:val="fr-FR"/>
        </w:rPr>
      </w:pPr>
      <w:r w:rsidRPr="00D54493">
        <w:rPr>
          <w:lang w:val="fr-FR"/>
        </w:rPr>
        <w:tab/>
        <w:t>Canada</w:t>
      </w:r>
    </w:p>
    <w:p w:rsidR="002F117D" w:rsidRPr="00D54493" w:rsidRDefault="002F117D" w:rsidP="002F117D">
      <w:pPr>
        <w:pStyle w:val="SingleTxt"/>
        <w:spacing w:after="0"/>
        <w:rPr>
          <w:lang w:val="fr-FR"/>
        </w:rPr>
      </w:pPr>
      <w:r w:rsidRPr="00D54493">
        <w:rPr>
          <w:lang w:val="fr-FR"/>
        </w:rPr>
        <w:lastRenderedPageBreak/>
        <w:tab/>
        <w:t>Estonie</w:t>
      </w:r>
    </w:p>
    <w:p w:rsidR="002F117D" w:rsidRPr="00D54493" w:rsidRDefault="002F117D" w:rsidP="002F117D">
      <w:pPr>
        <w:pStyle w:val="SingleTxt"/>
        <w:spacing w:after="0"/>
        <w:rPr>
          <w:lang w:val="fr-FR"/>
        </w:rPr>
      </w:pPr>
      <w:r w:rsidRPr="00D54493">
        <w:rPr>
          <w:lang w:val="fr-FR"/>
        </w:rPr>
        <w:tab/>
        <w:t>Honduras</w:t>
      </w:r>
    </w:p>
    <w:p w:rsidR="002F117D" w:rsidRPr="00362053" w:rsidRDefault="002F117D" w:rsidP="002F117D">
      <w:pPr>
        <w:pStyle w:val="SingleTxt"/>
        <w:spacing w:after="0"/>
        <w:rPr>
          <w:lang w:val="fr-FR"/>
        </w:rPr>
      </w:pPr>
      <w:r w:rsidRPr="00E0101D">
        <w:rPr>
          <w:lang w:val="fr-FR"/>
        </w:rPr>
        <w:tab/>
      </w:r>
      <w:r w:rsidRPr="00362053">
        <w:rPr>
          <w:lang w:val="fr-FR"/>
        </w:rPr>
        <w:t>Pays-Bas</w:t>
      </w:r>
    </w:p>
    <w:p w:rsidR="002F117D" w:rsidRPr="00362053" w:rsidRDefault="002F117D" w:rsidP="002F117D">
      <w:pPr>
        <w:pStyle w:val="SingleTxt"/>
      </w:pPr>
      <w:r w:rsidRPr="00362053">
        <w:rPr>
          <w:lang w:val="fr-FR"/>
        </w:rPr>
        <w:tab/>
      </w:r>
      <w:r w:rsidRPr="00362053">
        <w:t>Suisse</w:t>
      </w:r>
    </w:p>
    <w:p w:rsidR="002F117D" w:rsidRPr="00362053" w:rsidRDefault="002F117D" w:rsidP="002F117D">
      <w:pPr>
        <w:pStyle w:val="SingleTxt"/>
      </w:pPr>
      <w:r w:rsidRPr="00362053">
        <w:t>Soixante-sixième session</w:t>
      </w:r>
      <w:r w:rsidR="007D2830">
        <w:t> :</w:t>
      </w:r>
    </w:p>
    <w:p w:rsidR="002F117D" w:rsidRPr="00362053" w:rsidRDefault="002F117D" w:rsidP="002F117D">
      <w:pPr>
        <w:pStyle w:val="SingleTxt"/>
        <w:spacing w:after="0"/>
      </w:pPr>
      <w:r w:rsidRPr="00362053">
        <w:tab/>
        <w:t xml:space="preserve">Allemagne </w:t>
      </w:r>
    </w:p>
    <w:p w:rsidR="002F117D" w:rsidRPr="00362053" w:rsidRDefault="002F117D" w:rsidP="002F117D">
      <w:pPr>
        <w:pStyle w:val="SingleTxt"/>
        <w:spacing w:after="0"/>
      </w:pPr>
      <w:r w:rsidRPr="00362053">
        <w:tab/>
        <w:t>El Salvador</w:t>
      </w:r>
    </w:p>
    <w:p w:rsidR="002F117D" w:rsidRPr="00362053" w:rsidRDefault="002F117D" w:rsidP="002F117D">
      <w:pPr>
        <w:pStyle w:val="SingleTxt"/>
        <w:spacing w:after="0"/>
        <w:rPr>
          <w:lang w:val="fr-FR"/>
        </w:rPr>
      </w:pPr>
      <w:r w:rsidRPr="00362053">
        <w:tab/>
        <w:t>Irlande (</w:t>
      </w:r>
      <w:r w:rsidRPr="00AD12FD">
        <w:rPr>
          <w:lang w:val="fr-FR"/>
        </w:rPr>
        <w:t>au titre de la procédure simplifiée de présentation des rapports</w:t>
      </w:r>
      <w:r w:rsidRPr="00362053">
        <w:rPr>
          <w:lang w:val="fr-FR"/>
        </w:rPr>
        <w:t>)</w:t>
      </w:r>
    </w:p>
    <w:p w:rsidR="002F117D" w:rsidRPr="00362053" w:rsidRDefault="002F117D" w:rsidP="002F117D">
      <w:pPr>
        <w:pStyle w:val="SingleTxt"/>
        <w:spacing w:after="0"/>
        <w:rPr>
          <w:lang w:val="fr-FR"/>
        </w:rPr>
      </w:pPr>
      <w:r w:rsidRPr="00362053">
        <w:rPr>
          <w:lang w:val="fr-FR"/>
        </w:rPr>
        <w:tab/>
        <w:t>Jordanie</w:t>
      </w:r>
    </w:p>
    <w:p w:rsidR="002F117D" w:rsidRPr="00362053" w:rsidRDefault="002F117D" w:rsidP="002F117D">
      <w:pPr>
        <w:pStyle w:val="SingleTxt"/>
        <w:spacing w:after="0"/>
        <w:rPr>
          <w:lang w:val="fr-FR"/>
        </w:rPr>
      </w:pPr>
      <w:r w:rsidRPr="00362053">
        <w:rPr>
          <w:lang w:val="fr-FR"/>
        </w:rPr>
        <w:tab/>
        <w:t>Micronésie (États fédérés de)</w:t>
      </w:r>
    </w:p>
    <w:p w:rsidR="002F117D" w:rsidRPr="009317AE" w:rsidRDefault="002F117D" w:rsidP="002F117D">
      <w:pPr>
        <w:pStyle w:val="SingleTxt"/>
        <w:spacing w:after="0"/>
        <w:rPr>
          <w:lang w:val="fr-FR"/>
        </w:rPr>
      </w:pPr>
      <w:r w:rsidRPr="00362053">
        <w:rPr>
          <w:lang w:val="fr-FR"/>
        </w:rPr>
        <w:tab/>
      </w:r>
      <w:r w:rsidRPr="009317AE">
        <w:rPr>
          <w:lang w:val="fr-FR"/>
        </w:rPr>
        <w:t>Rwanda</w:t>
      </w:r>
    </w:p>
    <w:p w:rsidR="002F117D" w:rsidRPr="009317AE" w:rsidRDefault="002F117D" w:rsidP="002F117D">
      <w:pPr>
        <w:pStyle w:val="SingleTxt"/>
        <w:spacing w:after="0"/>
        <w:rPr>
          <w:lang w:val="fr-FR"/>
        </w:rPr>
      </w:pPr>
      <w:r w:rsidRPr="009317AE">
        <w:rPr>
          <w:lang w:val="fr-FR"/>
        </w:rPr>
        <w:tab/>
        <w:t>Sri Lanka</w:t>
      </w:r>
    </w:p>
    <w:p w:rsidR="002F117D" w:rsidRPr="009317AE" w:rsidRDefault="002F117D" w:rsidP="002F117D">
      <w:pPr>
        <w:pStyle w:val="SingleTxt"/>
        <w:spacing w:after="0"/>
        <w:rPr>
          <w:lang w:val="fr-FR"/>
        </w:rPr>
      </w:pPr>
      <w:r w:rsidRPr="009317AE">
        <w:rPr>
          <w:lang w:val="fr-FR"/>
        </w:rPr>
        <w:tab/>
        <w:t>Ukraine</w:t>
      </w:r>
    </w:p>
    <w:p w:rsidR="002F117D" w:rsidRPr="009317AE" w:rsidRDefault="002F117D" w:rsidP="002F117D">
      <w:pPr>
        <w:spacing w:line="240" w:lineRule="auto"/>
      </w:pPr>
      <w:r w:rsidRPr="009317AE">
        <w:br w:type="page"/>
      </w:r>
    </w:p>
    <w:p w:rsidR="002F117D" w:rsidRPr="009317AE" w:rsidRDefault="002F117D" w:rsidP="002F117D">
      <w:pPr>
        <w:pStyle w:val="HCh0"/>
        <w:ind w:left="1267" w:right="1260" w:hanging="1267"/>
        <w:rPr>
          <w:lang w:val="fr-FR"/>
        </w:rPr>
      </w:pPr>
      <w:r w:rsidRPr="009317AE">
        <w:rPr>
          <w:lang w:val="fr-FR"/>
        </w:rPr>
        <w:lastRenderedPageBreak/>
        <w:t>Chapitre VII</w:t>
      </w:r>
    </w:p>
    <w:p w:rsidR="002F117D" w:rsidRPr="00362053" w:rsidRDefault="002F117D" w:rsidP="002F117D">
      <w:pPr>
        <w:pStyle w:val="HCh0"/>
        <w:ind w:left="1267" w:right="1260" w:hanging="1267"/>
        <w:rPr>
          <w:lang w:val="fr-FR"/>
        </w:rPr>
      </w:pPr>
      <w:r w:rsidRPr="009317AE">
        <w:rPr>
          <w:lang w:val="fr-FR"/>
        </w:rPr>
        <w:tab/>
      </w:r>
      <w:r w:rsidRPr="009317AE">
        <w:rPr>
          <w:lang w:val="fr-FR"/>
        </w:rPr>
        <w:tab/>
      </w:r>
      <w:r w:rsidRPr="00362053">
        <w:rPr>
          <w:lang w:val="fr-FR"/>
        </w:rPr>
        <w:t>Application de l’article 21 de la Convention</w:t>
      </w:r>
    </w:p>
    <w:p w:rsidR="002F117D" w:rsidRPr="00362053" w:rsidRDefault="002F117D" w:rsidP="002F117D">
      <w:pPr>
        <w:pStyle w:val="SingleTxt"/>
        <w:spacing w:after="0" w:line="120" w:lineRule="exact"/>
        <w:rPr>
          <w:sz w:val="10"/>
          <w:lang w:val="fr-FR"/>
        </w:rPr>
      </w:pPr>
    </w:p>
    <w:p w:rsidR="002F117D" w:rsidRPr="00362053" w:rsidRDefault="002F117D" w:rsidP="002F117D">
      <w:pPr>
        <w:pStyle w:val="SingleTxt"/>
        <w:spacing w:after="0" w:line="120" w:lineRule="exact"/>
        <w:rPr>
          <w:sz w:val="10"/>
          <w:lang w:val="fr-FR"/>
        </w:rPr>
      </w:pPr>
    </w:p>
    <w:p w:rsidR="002F117D" w:rsidRPr="00362053"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2053">
        <w:rPr>
          <w:lang w:val="fr-FR"/>
        </w:rPr>
        <w:tab/>
      </w:r>
      <w:r w:rsidRPr="00362053">
        <w:rPr>
          <w:lang w:val="fr-FR"/>
        </w:rPr>
        <w:tab/>
        <w:t>Groupe de travail sur les aspects de la réduction des risques de catastrophe</w:t>
      </w:r>
      <w:r w:rsidR="00BA1CBA">
        <w:rPr>
          <w:lang w:val="fr-FR"/>
        </w:rPr>
        <w:br/>
      </w:r>
      <w:r w:rsidRPr="00362053">
        <w:rPr>
          <w:lang w:val="fr-FR"/>
        </w:rPr>
        <w:t>et des changements climatiques ayant trait à la problématique hommes-femmes</w:t>
      </w:r>
    </w:p>
    <w:p w:rsidR="002F117D" w:rsidRPr="00362053" w:rsidRDefault="002F117D" w:rsidP="002F117D">
      <w:pPr>
        <w:pStyle w:val="SingleTxt"/>
        <w:spacing w:after="0" w:line="120" w:lineRule="exact"/>
        <w:rPr>
          <w:sz w:val="10"/>
          <w:lang w:val="fr-FR"/>
        </w:rPr>
      </w:pPr>
    </w:p>
    <w:p w:rsidR="002F117D" w:rsidRPr="00056916" w:rsidRDefault="002F117D" w:rsidP="00AF74A3">
      <w:pPr>
        <w:pStyle w:val="SingleTxt"/>
        <w:numPr>
          <w:ilvl w:val="0"/>
          <w:numId w:val="6"/>
        </w:numPr>
        <w:spacing w:line="240" w:lineRule="exact"/>
        <w:ind w:left="1267"/>
        <w:rPr>
          <w:lang w:val="fr-FR"/>
        </w:rPr>
      </w:pPr>
      <w:r w:rsidRPr="00056916">
        <w:rPr>
          <w:lang w:val="fr-FR"/>
        </w:rPr>
        <w:t>Le Groupe de travail s</w:t>
      </w:r>
      <w:r w:rsidR="007D2830">
        <w:rPr>
          <w:lang w:val="fr-FR"/>
        </w:rPr>
        <w:t>’</w:t>
      </w:r>
      <w:r w:rsidRPr="00056916">
        <w:rPr>
          <w:lang w:val="fr-FR"/>
        </w:rPr>
        <w:t>est réuni durant la session et a examiné un avant-projet de recommandation générale sur les aspects de la réduction des risques de catastrophe et des changements climatiques ayant trait à la problématique hommes-femmes, qui a été présenté au Comité le 22</w:t>
      </w:r>
      <w:r w:rsidR="00D944D7">
        <w:rPr>
          <w:lang w:val="fr-FR"/>
        </w:rPr>
        <w:t> juillet</w:t>
      </w:r>
      <w:r w:rsidRPr="00056916">
        <w:rPr>
          <w:lang w:val="fr-FR"/>
        </w:rPr>
        <w:t xml:space="preserve"> 2016 et sera diffusé en ligne auprès des parties prenantes entre les sessions.</w:t>
      </w:r>
    </w:p>
    <w:p w:rsidR="002F117D" w:rsidRPr="00056916" w:rsidRDefault="002F117D" w:rsidP="00AF74A3">
      <w:pPr>
        <w:pStyle w:val="SingleTxt"/>
        <w:numPr>
          <w:ilvl w:val="0"/>
          <w:numId w:val="6"/>
        </w:numPr>
        <w:spacing w:line="240" w:lineRule="exact"/>
        <w:ind w:left="1267"/>
        <w:rPr>
          <w:lang w:val="fr-FR"/>
        </w:rPr>
      </w:pPr>
      <w:r w:rsidRPr="00056916">
        <w:rPr>
          <w:lang w:val="fr-FR"/>
        </w:rPr>
        <w:t>Le Groupe de travail a demandé au Comité de reporter la première lecture du projet de recommandation général</w:t>
      </w:r>
      <w:r>
        <w:rPr>
          <w:lang w:val="fr-FR"/>
        </w:rPr>
        <w:t>e à la soixante-sixième session</w:t>
      </w:r>
      <w:r w:rsidRPr="00056916">
        <w:rPr>
          <w:lang w:val="fr-FR"/>
        </w:rPr>
        <w:t>.</w:t>
      </w:r>
    </w:p>
    <w:p w:rsidR="002F117D" w:rsidRPr="00056916" w:rsidRDefault="002F117D" w:rsidP="002F117D">
      <w:pPr>
        <w:pStyle w:val="SingleTxt"/>
        <w:spacing w:after="0" w:line="120" w:lineRule="exact"/>
        <w:rPr>
          <w:sz w:val="10"/>
          <w:lang w:val="fr-FR"/>
        </w:rPr>
      </w:pPr>
    </w:p>
    <w:p w:rsidR="002F117D" w:rsidRPr="00056916"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56916">
        <w:rPr>
          <w:lang w:val="fr-FR"/>
        </w:rPr>
        <w:tab/>
      </w:r>
      <w:r w:rsidRPr="00056916">
        <w:rPr>
          <w:lang w:val="fr-FR"/>
        </w:rPr>
        <w:tab/>
        <w:t>Groupe de travail sur le droit à l</w:t>
      </w:r>
      <w:r w:rsidR="007D2830">
        <w:rPr>
          <w:lang w:val="fr-FR"/>
        </w:rPr>
        <w:t>’</w:t>
      </w:r>
      <w:r w:rsidRPr="00056916">
        <w:rPr>
          <w:lang w:val="fr-FR"/>
        </w:rPr>
        <w:t>éducation</w:t>
      </w:r>
    </w:p>
    <w:p w:rsidR="002F117D" w:rsidRPr="00056916" w:rsidRDefault="002F117D" w:rsidP="002F117D">
      <w:pPr>
        <w:pStyle w:val="SingleTxt"/>
        <w:spacing w:after="0" w:line="120" w:lineRule="exact"/>
        <w:rPr>
          <w:sz w:val="10"/>
          <w:lang w:val="fr-FR"/>
        </w:rPr>
      </w:pPr>
    </w:p>
    <w:p w:rsidR="002F117D" w:rsidRDefault="002F117D" w:rsidP="00AF74A3">
      <w:pPr>
        <w:pStyle w:val="SingleTxt"/>
        <w:numPr>
          <w:ilvl w:val="0"/>
          <w:numId w:val="6"/>
        </w:numPr>
        <w:spacing w:line="240" w:lineRule="exact"/>
        <w:ind w:left="1267"/>
        <w:rPr>
          <w:lang w:val="fr-FR"/>
        </w:rPr>
      </w:pPr>
      <w:r w:rsidRPr="00056916">
        <w:rPr>
          <w:lang w:val="fr-FR"/>
        </w:rPr>
        <w:t xml:space="preserve">Le </w:t>
      </w:r>
      <w:r w:rsidRPr="00C86413">
        <w:rPr>
          <w:lang w:val="fr-FR"/>
        </w:rPr>
        <w:t xml:space="preserve">Groupe </w:t>
      </w:r>
      <w:r w:rsidRPr="00056916">
        <w:rPr>
          <w:lang w:val="fr-FR"/>
        </w:rPr>
        <w:t>de travail s’est réuni durant la session et a examiné le projet de recommandation générale sur le droit des filles et des femmes à l’éducati</w:t>
      </w:r>
      <w:r>
        <w:rPr>
          <w:lang w:val="fr-FR"/>
        </w:rPr>
        <w:t>on</w:t>
      </w:r>
      <w:r w:rsidRPr="00056916">
        <w:rPr>
          <w:lang w:val="fr-FR"/>
        </w:rPr>
        <w:t>.</w:t>
      </w:r>
    </w:p>
    <w:p w:rsidR="00BA1CBA" w:rsidRPr="00BA1CBA" w:rsidRDefault="00BA1CBA" w:rsidP="00BA1CBA">
      <w:pPr>
        <w:pStyle w:val="SingleTxt"/>
        <w:spacing w:after="0" w:line="120" w:lineRule="exact"/>
        <w:rPr>
          <w:sz w:val="10"/>
          <w:lang w:val="fr-FR"/>
        </w:rPr>
      </w:pPr>
    </w:p>
    <w:p w:rsidR="002F117D" w:rsidRPr="00056916"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56916">
        <w:rPr>
          <w:lang w:val="fr-FR"/>
        </w:rPr>
        <w:tab/>
      </w:r>
      <w:r w:rsidRPr="00056916">
        <w:rPr>
          <w:lang w:val="fr-FR"/>
        </w:rPr>
        <w:tab/>
        <w:t>Groupe de travail sur les méthodes de travail</w:t>
      </w:r>
    </w:p>
    <w:p w:rsidR="002F117D" w:rsidRPr="00056916" w:rsidRDefault="002F117D" w:rsidP="002F117D">
      <w:pPr>
        <w:pStyle w:val="SingleTxt"/>
        <w:spacing w:after="0" w:line="120" w:lineRule="exact"/>
        <w:rPr>
          <w:sz w:val="10"/>
          <w:lang w:val="fr-FR"/>
        </w:rPr>
      </w:pPr>
    </w:p>
    <w:p w:rsidR="002F117D" w:rsidRPr="00D54493" w:rsidRDefault="002F117D" w:rsidP="00AF74A3">
      <w:pPr>
        <w:pStyle w:val="SingleTxt"/>
        <w:numPr>
          <w:ilvl w:val="0"/>
          <w:numId w:val="6"/>
        </w:numPr>
        <w:spacing w:line="240" w:lineRule="exact"/>
        <w:ind w:left="1267"/>
        <w:rPr>
          <w:lang w:val="fr-FR"/>
        </w:rPr>
      </w:pPr>
      <w:r w:rsidRPr="00D54493">
        <w:rPr>
          <w:lang w:val="fr-FR"/>
        </w:rPr>
        <w:t>Le Groupe de travail s</w:t>
      </w:r>
      <w:r w:rsidR="007D2830">
        <w:rPr>
          <w:lang w:val="fr-FR"/>
        </w:rPr>
        <w:t>’</w:t>
      </w:r>
      <w:r w:rsidRPr="00D54493">
        <w:rPr>
          <w:lang w:val="fr-FR"/>
        </w:rPr>
        <w:t xml:space="preserve">est réuni </w:t>
      </w:r>
      <w:r w:rsidRPr="003D3B00">
        <w:rPr>
          <w:lang w:val="fr-FR"/>
        </w:rPr>
        <w:t xml:space="preserve">durant </w:t>
      </w:r>
      <w:r w:rsidRPr="00D54493">
        <w:rPr>
          <w:lang w:val="fr-FR"/>
        </w:rPr>
        <w:t xml:space="preserve">la session et a examiné et soumis au Comité des projets de décision sur le délai imparti pour la présentation des informations relatives au suivi et le nombre maximum de questions de suivi, l’adoption de listes de points et de questions avant la présentation des rapports au titre de la procédure simplifiée </w:t>
      </w:r>
      <w:r>
        <w:rPr>
          <w:lang w:val="fr-FR"/>
        </w:rPr>
        <w:t xml:space="preserve">et </w:t>
      </w:r>
      <w:r w:rsidRPr="00D54493">
        <w:rPr>
          <w:lang w:val="fr-FR"/>
        </w:rPr>
        <w:t>la poursuite des opérations des équipes spéciales de pays, ainsi qu’une liste de questions types pour le dialogue constructif (voir décisions 64/I à 64/IV).</w:t>
      </w:r>
    </w:p>
    <w:p w:rsidR="002F117D" w:rsidRPr="00D54493" w:rsidRDefault="002F117D" w:rsidP="002F117D">
      <w:pPr>
        <w:pStyle w:val="SingleTxt"/>
        <w:spacing w:after="0" w:line="120" w:lineRule="exact"/>
        <w:rPr>
          <w:sz w:val="10"/>
          <w:lang w:val="fr-FR"/>
        </w:rPr>
      </w:pPr>
    </w:p>
    <w:p w:rsidR="002F117D" w:rsidRPr="00BE34BE"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4493">
        <w:rPr>
          <w:lang w:val="fr-FR"/>
        </w:rPr>
        <w:tab/>
      </w:r>
      <w:r w:rsidRPr="00D54493">
        <w:rPr>
          <w:lang w:val="fr-FR"/>
        </w:rPr>
        <w:tab/>
      </w:r>
      <w:r w:rsidRPr="00BE34BE">
        <w:rPr>
          <w:lang w:val="fr-FR"/>
        </w:rPr>
        <w:t>Groupe de travail chargé de la coordination avec l</w:t>
      </w:r>
      <w:r w:rsidR="007D2830">
        <w:rPr>
          <w:lang w:val="fr-FR"/>
        </w:rPr>
        <w:t>’</w:t>
      </w:r>
      <w:r w:rsidRPr="00BE34BE">
        <w:rPr>
          <w:lang w:val="fr-FR"/>
        </w:rPr>
        <w:t>Union interparlementaire</w:t>
      </w:r>
    </w:p>
    <w:p w:rsidR="002F117D" w:rsidRPr="00BE34BE" w:rsidRDefault="002F117D" w:rsidP="002F117D">
      <w:pPr>
        <w:pStyle w:val="SingleTxt"/>
        <w:spacing w:after="0" w:line="120" w:lineRule="exact"/>
        <w:rPr>
          <w:sz w:val="10"/>
          <w:lang w:val="fr-FR"/>
        </w:rPr>
      </w:pPr>
    </w:p>
    <w:p w:rsidR="002F117D" w:rsidRPr="00EA00AB" w:rsidRDefault="002F117D" w:rsidP="00AF74A3">
      <w:pPr>
        <w:pStyle w:val="SingleTxt"/>
        <w:numPr>
          <w:ilvl w:val="0"/>
          <w:numId w:val="6"/>
        </w:numPr>
        <w:spacing w:line="240" w:lineRule="exact"/>
        <w:ind w:left="1267"/>
        <w:rPr>
          <w:lang w:val="fr-FR"/>
        </w:rPr>
      </w:pPr>
      <w:r w:rsidRPr="00EA00AB">
        <w:rPr>
          <w:lang w:val="fr-FR"/>
        </w:rPr>
        <w:t>Le Groupe de travail s</w:t>
      </w:r>
      <w:r w:rsidR="007D2830">
        <w:rPr>
          <w:lang w:val="fr-FR"/>
        </w:rPr>
        <w:t>’</w:t>
      </w:r>
      <w:r w:rsidRPr="00EA00AB">
        <w:rPr>
          <w:lang w:val="fr-FR"/>
        </w:rPr>
        <w:t xml:space="preserve">est réuni </w:t>
      </w:r>
      <w:r w:rsidRPr="003D3B00">
        <w:rPr>
          <w:lang w:val="fr-FR"/>
        </w:rPr>
        <w:t xml:space="preserve">durant </w:t>
      </w:r>
      <w:r w:rsidRPr="00EA00AB">
        <w:rPr>
          <w:lang w:val="fr-FR"/>
        </w:rPr>
        <w:t>la session et a examiné les priorités de sa coopération avec l</w:t>
      </w:r>
      <w:r w:rsidR="007D2830">
        <w:rPr>
          <w:lang w:val="fr-FR"/>
        </w:rPr>
        <w:t>’</w:t>
      </w:r>
      <w:r w:rsidRPr="00EA00AB">
        <w:rPr>
          <w:lang w:val="fr-FR"/>
        </w:rPr>
        <w:t>Union interparlementaire, notamment en ce qui concerne l</w:t>
      </w:r>
      <w:r w:rsidR="007D2830">
        <w:rPr>
          <w:lang w:val="fr-FR"/>
        </w:rPr>
        <w:t>’</w:t>
      </w:r>
      <w:r w:rsidRPr="00EA00AB">
        <w:rPr>
          <w:lang w:val="fr-FR"/>
        </w:rPr>
        <w:t>a</w:t>
      </w:r>
      <w:r>
        <w:rPr>
          <w:lang w:val="fr-FR"/>
        </w:rPr>
        <w:t xml:space="preserve">ccroissement </w:t>
      </w:r>
      <w:r w:rsidRPr="00EA00AB">
        <w:rPr>
          <w:lang w:val="fr-FR"/>
        </w:rPr>
        <w:t xml:space="preserve">de la représentation des femmes dans la vie politique et publique </w:t>
      </w:r>
      <w:r>
        <w:rPr>
          <w:lang w:val="fr-FR"/>
        </w:rPr>
        <w:t>par les moyens suivants</w:t>
      </w:r>
      <w:r w:rsidR="007D2830">
        <w:rPr>
          <w:lang w:val="fr-FR"/>
        </w:rPr>
        <w:t> :</w:t>
      </w:r>
      <w:r w:rsidRPr="003D3B00">
        <w:rPr>
          <w:lang w:val="fr-FR"/>
        </w:rPr>
        <w:t xml:space="preserve"> </w:t>
      </w:r>
      <w:r>
        <w:rPr>
          <w:lang w:val="fr-FR"/>
        </w:rPr>
        <w:t xml:space="preserve">réalisation des </w:t>
      </w:r>
      <w:r w:rsidRPr="00EA00AB">
        <w:rPr>
          <w:lang w:val="fr-FR"/>
        </w:rPr>
        <w:t xml:space="preserve">objectifs de développement durable, </w:t>
      </w:r>
      <w:r w:rsidRPr="003D3B00">
        <w:rPr>
          <w:lang w:val="fr-FR"/>
        </w:rPr>
        <w:t xml:space="preserve">notamment en ce qui concerne l’évaluation </w:t>
      </w:r>
      <w:r>
        <w:rPr>
          <w:lang w:val="fr-FR"/>
        </w:rPr>
        <w:t xml:space="preserve">de </w:t>
      </w:r>
      <w:r w:rsidRPr="003D3B00">
        <w:rPr>
          <w:lang w:val="fr-FR"/>
        </w:rPr>
        <w:t xml:space="preserve">l’indicateur </w:t>
      </w:r>
      <w:r w:rsidRPr="00EA00AB">
        <w:rPr>
          <w:lang w:val="fr-FR"/>
        </w:rPr>
        <w:t>5.1.1</w:t>
      </w:r>
      <w:r w:rsidR="007D2830">
        <w:rPr>
          <w:lang w:val="fr-FR"/>
        </w:rPr>
        <w:t>;</w:t>
      </w:r>
      <w:r w:rsidRPr="00EA00AB">
        <w:rPr>
          <w:lang w:val="fr-FR"/>
        </w:rPr>
        <w:t xml:space="preserve"> mise en place de dispositifs de responsabilisation nationaux indépendants pour la supervision des élections</w:t>
      </w:r>
      <w:r w:rsidR="007D2830">
        <w:rPr>
          <w:lang w:val="fr-FR"/>
        </w:rPr>
        <w:t>;</w:t>
      </w:r>
      <w:r w:rsidRPr="00EA00AB">
        <w:rPr>
          <w:lang w:val="fr-FR"/>
        </w:rPr>
        <w:t xml:space="preserve"> fourniture d’une assistance technique aux pays pour les aider à mieux comprendre le lien entre dév</w:t>
      </w:r>
      <w:r w:rsidR="008217C9">
        <w:rPr>
          <w:lang w:val="fr-FR"/>
        </w:rPr>
        <w:t>eloppement et droits de l’homme;</w:t>
      </w:r>
      <w:r>
        <w:rPr>
          <w:lang w:val="fr-FR"/>
        </w:rPr>
        <w:t xml:space="preserve"> </w:t>
      </w:r>
      <w:r w:rsidRPr="00EA00AB">
        <w:rPr>
          <w:lang w:val="fr-FR"/>
        </w:rPr>
        <w:t>et recommandations sur les qu</w:t>
      </w:r>
      <w:r>
        <w:rPr>
          <w:lang w:val="fr-FR"/>
        </w:rPr>
        <w:t>otas pour les partis politiques</w:t>
      </w:r>
      <w:r w:rsidRPr="00EA00AB">
        <w:rPr>
          <w:lang w:val="fr-FR"/>
        </w:rPr>
        <w:t>.</w:t>
      </w:r>
    </w:p>
    <w:p w:rsidR="002F117D" w:rsidRPr="00EA00AB" w:rsidRDefault="002F117D" w:rsidP="002F117D">
      <w:pPr>
        <w:pStyle w:val="SingleTxt"/>
        <w:spacing w:after="0" w:line="120" w:lineRule="exact"/>
        <w:rPr>
          <w:sz w:val="10"/>
          <w:lang w:val="fr-FR"/>
        </w:rPr>
      </w:pPr>
    </w:p>
    <w:p w:rsidR="002F117D" w:rsidRPr="00282E97"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A00AB">
        <w:rPr>
          <w:lang w:val="fr-FR"/>
        </w:rPr>
        <w:tab/>
      </w:r>
      <w:r w:rsidRPr="00EA00AB">
        <w:rPr>
          <w:lang w:val="fr-FR"/>
        </w:rPr>
        <w:tab/>
      </w:r>
      <w:r w:rsidRPr="00282E97">
        <w:rPr>
          <w:lang w:val="fr-FR"/>
        </w:rPr>
        <w:t>Groupe de travail sur la Convention,</w:t>
      </w:r>
      <w:r w:rsidR="004C41DB">
        <w:rPr>
          <w:lang w:val="fr-FR"/>
        </w:rPr>
        <w:t xml:space="preserve"> ONU-Femmes et les objectifs de </w:t>
      </w:r>
      <w:r w:rsidRPr="00282E97">
        <w:rPr>
          <w:lang w:val="fr-FR"/>
        </w:rPr>
        <w:t>développement durable</w:t>
      </w:r>
    </w:p>
    <w:p w:rsidR="002F117D" w:rsidRPr="00282E97" w:rsidRDefault="002F117D" w:rsidP="002F117D">
      <w:pPr>
        <w:pStyle w:val="SingleTxt"/>
        <w:spacing w:after="0" w:line="120" w:lineRule="exact"/>
        <w:rPr>
          <w:sz w:val="10"/>
          <w:lang w:val="fr-FR"/>
        </w:rPr>
      </w:pPr>
    </w:p>
    <w:p w:rsidR="002F117D" w:rsidRPr="00282E97" w:rsidRDefault="002F117D" w:rsidP="00AF74A3">
      <w:pPr>
        <w:pStyle w:val="SingleTxt"/>
        <w:numPr>
          <w:ilvl w:val="0"/>
          <w:numId w:val="6"/>
        </w:numPr>
        <w:spacing w:line="240" w:lineRule="exact"/>
        <w:ind w:left="1267"/>
        <w:rPr>
          <w:lang w:val="fr-FR"/>
        </w:rPr>
      </w:pPr>
      <w:r w:rsidRPr="00282E97">
        <w:rPr>
          <w:lang w:val="fr-FR"/>
        </w:rPr>
        <w:t>Le groupe de travail s’est réuni durant la session. Il a examiné les résultats de l</w:t>
      </w:r>
      <w:r w:rsidR="007D2830">
        <w:rPr>
          <w:lang w:val="fr-FR"/>
        </w:rPr>
        <w:t>’</w:t>
      </w:r>
      <w:r w:rsidRPr="00282E97">
        <w:rPr>
          <w:lang w:val="fr-FR"/>
        </w:rPr>
        <w:t>atelier sur le suivi de l</w:t>
      </w:r>
      <w:r w:rsidR="007D2830">
        <w:rPr>
          <w:lang w:val="fr-FR"/>
        </w:rPr>
        <w:t>’</w:t>
      </w:r>
      <w:r w:rsidRPr="00282E97">
        <w:rPr>
          <w:lang w:val="fr-FR"/>
        </w:rPr>
        <w:t>indicateur 5.1.1 des objectifs de développement durable relatif aux cadres législatifs visant à mettre fin à la discrimination à l’égard des femmes, organisé par ONU-femmes les 14 et 15</w:t>
      </w:r>
      <w:r w:rsidR="00D944D7">
        <w:rPr>
          <w:lang w:val="fr-FR"/>
        </w:rPr>
        <w:t> juin</w:t>
      </w:r>
      <w:r w:rsidRPr="00282E97">
        <w:rPr>
          <w:lang w:val="fr-FR"/>
        </w:rPr>
        <w:t xml:space="preserve"> 2016 à New York, et a décidé de poursuivre sa coopération sur la question av</w:t>
      </w:r>
      <w:r>
        <w:rPr>
          <w:lang w:val="fr-FR"/>
        </w:rPr>
        <w:t>ec l</w:t>
      </w:r>
      <w:r w:rsidR="007D2830">
        <w:rPr>
          <w:lang w:val="fr-FR"/>
        </w:rPr>
        <w:t>’</w:t>
      </w:r>
      <w:r>
        <w:rPr>
          <w:lang w:val="fr-FR"/>
        </w:rPr>
        <w:t>Entité, entre les sessions</w:t>
      </w:r>
      <w:r w:rsidRPr="00282E97">
        <w:rPr>
          <w:lang w:val="fr-FR"/>
        </w:rPr>
        <w:t>.</w:t>
      </w:r>
    </w:p>
    <w:p w:rsidR="002F117D" w:rsidRPr="00282E97" w:rsidRDefault="002F117D" w:rsidP="002F117D">
      <w:pPr>
        <w:pStyle w:val="SingleTxt"/>
        <w:spacing w:after="0" w:line="120" w:lineRule="exact"/>
        <w:rPr>
          <w:sz w:val="10"/>
          <w:lang w:val="fr-FR"/>
        </w:rPr>
      </w:pPr>
    </w:p>
    <w:p w:rsidR="002F117D" w:rsidRPr="00E63411"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2E97">
        <w:rPr>
          <w:lang w:val="fr-FR"/>
        </w:rPr>
        <w:tab/>
      </w:r>
      <w:r w:rsidRPr="00282E97">
        <w:rPr>
          <w:lang w:val="fr-FR"/>
        </w:rPr>
        <w:tab/>
      </w:r>
      <w:r w:rsidRPr="00E63411">
        <w:rPr>
          <w:lang w:val="fr-FR"/>
        </w:rPr>
        <w:t>Groupe de travail sur la violence sexiste contre les femmes</w:t>
      </w:r>
    </w:p>
    <w:p w:rsidR="002F117D" w:rsidRPr="00E63411" w:rsidRDefault="002F117D" w:rsidP="002F117D">
      <w:pPr>
        <w:pStyle w:val="SingleTxt"/>
        <w:keepNext/>
        <w:keepLines/>
        <w:spacing w:after="0" w:line="120" w:lineRule="exact"/>
        <w:rPr>
          <w:sz w:val="10"/>
          <w:lang w:val="fr-FR"/>
        </w:rPr>
      </w:pPr>
    </w:p>
    <w:p w:rsidR="002F117D" w:rsidRPr="00E63411" w:rsidRDefault="002F117D" w:rsidP="00AF74A3">
      <w:pPr>
        <w:pStyle w:val="SingleTxt"/>
        <w:numPr>
          <w:ilvl w:val="0"/>
          <w:numId w:val="6"/>
        </w:numPr>
        <w:spacing w:line="240" w:lineRule="auto"/>
        <w:ind w:left="1267"/>
      </w:pPr>
      <w:r w:rsidRPr="00BA1CBA">
        <w:rPr>
          <w:lang w:val="fr-FR"/>
        </w:rPr>
        <w:t>Le Groupe de travail s</w:t>
      </w:r>
      <w:r w:rsidR="007D2830">
        <w:rPr>
          <w:lang w:val="fr-FR"/>
        </w:rPr>
        <w:t>’</w:t>
      </w:r>
      <w:r w:rsidRPr="00BA1CBA">
        <w:rPr>
          <w:lang w:val="fr-FR"/>
        </w:rPr>
        <w:t>est réuni durant la session et a mis la dernière main à l</w:t>
      </w:r>
      <w:r w:rsidR="007D2830">
        <w:rPr>
          <w:lang w:val="fr-FR"/>
        </w:rPr>
        <w:t>’</w:t>
      </w:r>
      <w:r w:rsidRPr="00BA1CBA">
        <w:rPr>
          <w:lang w:val="fr-FR"/>
        </w:rPr>
        <w:t>avant-projet de recommandation générale sur la violence sexiste à l’égard des femmes (mise à jour de la recommandation générale n° 19 (1992) sur la violence à l’égard des femmes), qui a été présenté au Comité le 15</w:t>
      </w:r>
      <w:r w:rsidR="00D944D7">
        <w:rPr>
          <w:lang w:val="fr-FR"/>
        </w:rPr>
        <w:t> juillet</w:t>
      </w:r>
      <w:r w:rsidRPr="00BA1CBA">
        <w:rPr>
          <w:lang w:val="fr-FR"/>
        </w:rPr>
        <w:t xml:space="preserve"> 2016 et transmis en ligne aux parties prenantes entre les sessions.</w:t>
      </w:r>
      <w:r w:rsidRPr="00E63411">
        <w:br w:type="page"/>
      </w:r>
    </w:p>
    <w:p w:rsidR="002F117D" w:rsidRPr="00E0101D" w:rsidRDefault="002F117D" w:rsidP="002F117D">
      <w:pPr>
        <w:pStyle w:val="HCh0"/>
        <w:ind w:left="1267" w:right="1260" w:hanging="1267"/>
        <w:rPr>
          <w:lang w:val="fr-FR"/>
        </w:rPr>
      </w:pPr>
      <w:r w:rsidRPr="00E0101D">
        <w:rPr>
          <w:lang w:val="fr-FR"/>
        </w:rPr>
        <w:lastRenderedPageBreak/>
        <w:t>Chapitre VIII</w:t>
      </w:r>
    </w:p>
    <w:p w:rsidR="002F117D" w:rsidRPr="00E63411" w:rsidRDefault="002F117D" w:rsidP="002F117D">
      <w:pPr>
        <w:pStyle w:val="HCh0"/>
        <w:ind w:left="1267" w:right="1260" w:hanging="1267"/>
        <w:rPr>
          <w:lang w:val="fr-FR"/>
        </w:rPr>
      </w:pPr>
      <w:r w:rsidRPr="00E0101D">
        <w:rPr>
          <w:lang w:val="fr-FR"/>
        </w:rPr>
        <w:tab/>
      </w:r>
      <w:r w:rsidRPr="00E0101D">
        <w:rPr>
          <w:lang w:val="fr-FR"/>
        </w:rPr>
        <w:tab/>
      </w:r>
      <w:r w:rsidRPr="00E63411">
        <w:rPr>
          <w:lang w:val="fr-FR"/>
        </w:rPr>
        <w:t>Ordre du jour provisoire de la soixante-cinquième session</w:t>
      </w:r>
    </w:p>
    <w:p w:rsidR="002F117D" w:rsidRPr="00E63411" w:rsidRDefault="002F117D" w:rsidP="002F117D">
      <w:pPr>
        <w:pStyle w:val="SingleTxt"/>
        <w:keepNext/>
        <w:keepLines/>
        <w:spacing w:after="0" w:line="120" w:lineRule="exact"/>
        <w:rPr>
          <w:sz w:val="10"/>
          <w:lang w:val="fr-FR"/>
        </w:rPr>
      </w:pPr>
    </w:p>
    <w:p w:rsidR="002F117D" w:rsidRPr="00E63411" w:rsidRDefault="002F117D" w:rsidP="002F117D">
      <w:pPr>
        <w:pStyle w:val="SingleTxt"/>
        <w:keepNext/>
        <w:keepLines/>
        <w:spacing w:after="0" w:line="120" w:lineRule="exact"/>
        <w:rPr>
          <w:sz w:val="10"/>
          <w:lang w:val="fr-FR"/>
        </w:rPr>
      </w:pPr>
    </w:p>
    <w:p w:rsidR="002F117D" w:rsidRPr="00E63411" w:rsidRDefault="002F117D" w:rsidP="00AF74A3">
      <w:pPr>
        <w:pStyle w:val="SingleTxt"/>
        <w:numPr>
          <w:ilvl w:val="0"/>
          <w:numId w:val="6"/>
        </w:numPr>
        <w:spacing w:line="240" w:lineRule="exact"/>
        <w:ind w:left="1267"/>
        <w:rPr>
          <w:lang w:val="fr-FR"/>
        </w:rPr>
      </w:pPr>
      <w:r>
        <w:rPr>
          <w:lang w:val="fr-FR"/>
        </w:rPr>
        <w:t>À sa 1430</w:t>
      </w:r>
      <w:r w:rsidRPr="00E63411">
        <w:rPr>
          <w:vertAlign w:val="superscript"/>
          <w:lang w:val="fr-FR"/>
        </w:rPr>
        <w:t>e</w:t>
      </w:r>
      <w:r w:rsidR="00BA1CBA">
        <w:rPr>
          <w:lang w:val="fr-FR"/>
        </w:rPr>
        <w:t> </w:t>
      </w:r>
      <w:r w:rsidRPr="00E63411">
        <w:rPr>
          <w:lang w:val="fr-FR"/>
        </w:rPr>
        <w:t>séance, le 22</w:t>
      </w:r>
      <w:r w:rsidR="00D944D7">
        <w:rPr>
          <w:lang w:val="fr-FR"/>
        </w:rPr>
        <w:t> juillet</w:t>
      </w:r>
      <w:r w:rsidRPr="00E63411">
        <w:rPr>
          <w:lang w:val="fr-FR"/>
        </w:rPr>
        <w:t xml:space="preserve"> 2016, le Comité a examiné et approuvé le projet d’ordre du j</w:t>
      </w:r>
      <w:r>
        <w:rPr>
          <w:lang w:val="fr-FR"/>
        </w:rPr>
        <w:t>o</w:t>
      </w:r>
      <w:r w:rsidRPr="00E63411">
        <w:rPr>
          <w:lang w:val="fr-FR"/>
        </w:rPr>
        <w:t>ur provisoire de sa soixante-cinquième session.</w:t>
      </w:r>
    </w:p>
    <w:p w:rsidR="002F117D" w:rsidRPr="00E63411" w:rsidRDefault="002F117D" w:rsidP="002F117D">
      <w:pPr>
        <w:spacing w:line="240" w:lineRule="auto"/>
      </w:pPr>
      <w:r w:rsidRPr="00E63411">
        <w:br w:type="page"/>
      </w:r>
    </w:p>
    <w:p w:rsidR="002F117D" w:rsidRPr="00E0101D" w:rsidRDefault="002F117D" w:rsidP="002F117D">
      <w:pPr>
        <w:pStyle w:val="HCh0"/>
        <w:ind w:left="1267" w:right="1260" w:hanging="1267"/>
        <w:rPr>
          <w:lang w:val="fr-FR"/>
        </w:rPr>
      </w:pPr>
      <w:r w:rsidRPr="00E0101D">
        <w:rPr>
          <w:lang w:val="fr-FR"/>
        </w:rPr>
        <w:lastRenderedPageBreak/>
        <w:t>Chapitre IX</w:t>
      </w:r>
    </w:p>
    <w:p w:rsidR="002F117D" w:rsidRPr="00F70447" w:rsidRDefault="002F117D" w:rsidP="002F117D">
      <w:pPr>
        <w:pStyle w:val="HCh0"/>
        <w:ind w:left="1267" w:right="1260" w:hanging="1267"/>
        <w:rPr>
          <w:lang w:val="fr-FR"/>
        </w:rPr>
      </w:pPr>
      <w:r w:rsidRPr="00E0101D">
        <w:rPr>
          <w:lang w:val="fr-FR"/>
        </w:rPr>
        <w:tab/>
      </w:r>
      <w:r w:rsidRPr="00E0101D">
        <w:rPr>
          <w:lang w:val="fr-FR"/>
        </w:rPr>
        <w:tab/>
      </w:r>
      <w:r w:rsidRPr="00F70447">
        <w:rPr>
          <w:lang w:val="fr-FR"/>
        </w:rPr>
        <w:t>Adoption du rapport</w:t>
      </w:r>
    </w:p>
    <w:p w:rsidR="002F117D" w:rsidRPr="00F70447" w:rsidRDefault="002F117D" w:rsidP="002F117D">
      <w:pPr>
        <w:pStyle w:val="SingleTxt"/>
        <w:keepNext/>
        <w:keepLines/>
        <w:spacing w:after="0" w:line="120" w:lineRule="exact"/>
        <w:rPr>
          <w:sz w:val="10"/>
          <w:lang w:val="fr-FR"/>
        </w:rPr>
      </w:pPr>
    </w:p>
    <w:p w:rsidR="002F117D" w:rsidRPr="00F70447" w:rsidRDefault="002F117D" w:rsidP="002F117D">
      <w:pPr>
        <w:pStyle w:val="SingleTxt"/>
        <w:keepNext/>
        <w:keepLines/>
        <w:spacing w:after="0" w:line="120" w:lineRule="exact"/>
        <w:rPr>
          <w:sz w:val="10"/>
          <w:lang w:val="fr-FR"/>
        </w:rPr>
      </w:pPr>
    </w:p>
    <w:p w:rsidR="002F117D" w:rsidRPr="00F70447" w:rsidRDefault="002F117D" w:rsidP="00AF74A3">
      <w:pPr>
        <w:pStyle w:val="SingleTxt"/>
        <w:numPr>
          <w:ilvl w:val="0"/>
          <w:numId w:val="6"/>
        </w:numPr>
        <w:spacing w:line="240" w:lineRule="exact"/>
        <w:ind w:left="1267"/>
        <w:rPr>
          <w:lang w:val="fr-FR"/>
        </w:rPr>
      </w:pPr>
      <w:r>
        <w:rPr>
          <w:lang w:val="fr-FR"/>
        </w:rPr>
        <w:t>À sa 1430</w:t>
      </w:r>
      <w:r w:rsidRPr="00F16C8E">
        <w:rPr>
          <w:vertAlign w:val="superscript"/>
          <w:lang w:val="fr-FR"/>
        </w:rPr>
        <w:t>e</w:t>
      </w:r>
      <w:r w:rsidR="00BA1CBA">
        <w:rPr>
          <w:lang w:val="fr-FR"/>
        </w:rPr>
        <w:t> </w:t>
      </w:r>
      <w:r w:rsidRPr="00F70447">
        <w:rPr>
          <w:lang w:val="fr-FR"/>
        </w:rPr>
        <w:t>séance, le 22</w:t>
      </w:r>
      <w:r w:rsidR="00D944D7">
        <w:rPr>
          <w:lang w:val="fr-FR"/>
        </w:rPr>
        <w:t> juillet</w:t>
      </w:r>
      <w:r w:rsidRPr="00F70447">
        <w:rPr>
          <w:lang w:val="fr-FR"/>
        </w:rPr>
        <w:t xml:space="preserve"> 2016, le Comité a examiné et adopté, tel que modifié oralement, le projet de rapport sur les travaux de sa soixante-quatrième session.</w:t>
      </w:r>
    </w:p>
    <w:p w:rsidR="002F117D" w:rsidRPr="00F70447" w:rsidRDefault="002F117D" w:rsidP="002F117D">
      <w:pPr>
        <w:spacing w:line="240" w:lineRule="auto"/>
      </w:pPr>
      <w:r w:rsidRPr="00F70447">
        <w:br w:type="page"/>
      </w:r>
    </w:p>
    <w:p w:rsidR="002F117D" w:rsidRPr="00E0101D" w:rsidRDefault="002F117D" w:rsidP="002F117D">
      <w:pPr>
        <w:pStyle w:val="HCh0"/>
        <w:ind w:left="1267" w:right="1260" w:hanging="1267"/>
        <w:rPr>
          <w:lang w:val="fr-FR"/>
        </w:rPr>
      </w:pPr>
      <w:r w:rsidRPr="00E0101D">
        <w:rPr>
          <w:lang w:val="fr-FR"/>
        </w:rPr>
        <w:lastRenderedPageBreak/>
        <w:t>Annexe</w:t>
      </w:r>
    </w:p>
    <w:p w:rsidR="002F117D" w:rsidRPr="00E0101D" w:rsidRDefault="002F117D" w:rsidP="002F117D">
      <w:pPr>
        <w:pStyle w:val="SingleTxt"/>
        <w:spacing w:after="0" w:line="120" w:lineRule="exact"/>
        <w:rPr>
          <w:sz w:val="10"/>
          <w:lang w:val="fr-FR"/>
        </w:rPr>
      </w:pPr>
    </w:p>
    <w:p w:rsidR="002F117D" w:rsidRDefault="002F117D" w:rsidP="002F117D">
      <w:pPr>
        <w:pStyle w:val="HCh0"/>
        <w:ind w:left="1267" w:right="1260" w:hanging="1267"/>
        <w:rPr>
          <w:lang w:val="fr-FR"/>
        </w:rPr>
      </w:pPr>
      <w:r w:rsidRPr="00E0101D">
        <w:rPr>
          <w:lang w:val="fr-FR"/>
        </w:rPr>
        <w:tab/>
      </w:r>
      <w:r w:rsidRPr="00E0101D">
        <w:rPr>
          <w:lang w:val="fr-FR"/>
        </w:rPr>
        <w:tab/>
      </w:r>
      <w:r w:rsidRPr="004D3268">
        <w:rPr>
          <w:lang w:val="fr-FR"/>
        </w:rPr>
        <w:t>Liste des documents dont le Comité était saisi à sa soixante-quatrième session</w:t>
      </w:r>
    </w:p>
    <w:p w:rsidR="002F117D" w:rsidRPr="002F117D" w:rsidRDefault="002F117D" w:rsidP="002F117D">
      <w:pPr>
        <w:pStyle w:val="SingleTxt"/>
        <w:spacing w:after="0" w:line="120" w:lineRule="exact"/>
        <w:rPr>
          <w:sz w:val="10"/>
          <w:lang w:val="fr-FR"/>
        </w:rPr>
      </w:pPr>
    </w:p>
    <w:p w:rsidR="002F117D" w:rsidRPr="002F117D" w:rsidRDefault="002F117D" w:rsidP="002F117D">
      <w:pPr>
        <w:pStyle w:val="SingleTxt"/>
        <w:spacing w:after="0" w:line="120" w:lineRule="exact"/>
        <w:rPr>
          <w:sz w:val="10"/>
          <w:lang w:val="fr-FR"/>
        </w:rPr>
      </w:pPr>
    </w:p>
    <w:tbl>
      <w:tblPr>
        <w:tblW w:w="8611" w:type="dxa"/>
        <w:tblInd w:w="1267" w:type="dxa"/>
        <w:tblCellMar>
          <w:left w:w="0" w:type="dxa"/>
          <w:right w:w="0" w:type="dxa"/>
        </w:tblCellMar>
        <w:tblLook w:val="04A0" w:firstRow="1" w:lastRow="0" w:firstColumn="1" w:lastColumn="0" w:noHBand="0" w:noVBand="1"/>
      </w:tblPr>
      <w:tblGrid>
        <w:gridCol w:w="2603"/>
        <w:gridCol w:w="6008"/>
      </w:tblGrid>
      <w:tr w:rsidR="002F117D" w:rsidRPr="009317AE" w:rsidTr="002F117D">
        <w:trPr>
          <w:cantSplit/>
          <w:tblHeader/>
        </w:trPr>
        <w:tc>
          <w:tcPr>
            <w:tcW w:w="2603" w:type="dxa"/>
            <w:tcBorders>
              <w:top w:val="single" w:sz="4" w:space="0" w:color="auto"/>
              <w:bottom w:val="single" w:sz="12" w:space="0" w:color="auto"/>
            </w:tcBorders>
            <w:shd w:val="clear" w:color="auto" w:fill="auto"/>
            <w:vAlign w:val="bottom"/>
          </w:tcPr>
          <w:p w:rsidR="002F117D" w:rsidRPr="009317AE"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fr-FR"/>
              </w:rPr>
            </w:pPr>
            <w:r w:rsidRPr="004D3268">
              <w:rPr>
                <w:i/>
                <w:sz w:val="14"/>
                <w:lang w:val="fr-FR"/>
              </w:rPr>
              <w:t>Cote du document</w:t>
            </w:r>
          </w:p>
        </w:tc>
        <w:tc>
          <w:tcPr>
            <w:tcW w:w="6008" w:type="dxa"/>
            <w:tcBorders>
              <w:top w:val="single" w:sz="4" w:space="0" w:color="auto"/>
              <w:bottom w:val="single" w:sz="12" w:space="0" w:color="auto"/>
            </w:tcBorders>
            <w:shd w:val="clear" w:color="auto" w:fill="auto"/>
            <w:vAlign w:val="bottom"/>
          </w:tcPr>
          <w:p w:rsidR="002F117D" w:rsidRPr="009317AE"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lang w:val="fr-FR"/>
              </w:rPr>
            </w:pPr>
            <w:r w:rsidRPr="004D3268">
              <w:rPr>
                <w:i/>
                <w:sz w:val="14"/>
                <w:lang w:val="fr-FR"/>
              </w:rPr>
              <w:t>Titre ou description</w:t>
            </w:r>
          </w:p>
        </w:tc>
      </w:tr>
      <w:tr w:rsidR="002F117D" w:rsidRPr="009317AE" w:rsidTr="002F117D">
        <w:trPr>
          <w:cantSplit/>
          <w:trHeight w:hRule="exact" w:val="115"/>
          <w:tblHeader/>
        </w:trPr>
        <w:tc>
          <w:tcPr>
            <w:tcW w:w="2603" w:type="dxa"/>
            <w:tcBorders>
              <w:top w:val="single" w:sz="12" w:space="0" w:color="auto"/>
            </w:tcBorders>
            <w:shd w:val="clear" w:color="auto" w:fill="auto"/>
            <w:vAlign w:val="bottom"/>
          </w:tcPr>
          <w:p w:rsidR="002F117D" w:rsidRPr="009317AE" w:rsidRDefault="002F117D" w:rsidP="002F117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lang w:val="fr-FR"/>
              </w:rPr>
            </w:pPr>
          </w:p>
        </w:tc>
        <w:tc>
          <w:tcPr>
            <w:tcW w:w="6008" w:type="dxa"/>
            <w:tcBorders>
              <w:top w:val="single" w:sz="12" w:space="0" w:color="auto"/>
            </w:tcBorders>
            <w:shd w:val="clear" w:color="auto" w:fill="auto"/>
            <w:vAlign w:val="bottom"/>
          </w:tcPr>
          <w:p w:rsidR="002F117D" w:rsidRPr="009317AE" w:rsidRDefault="002F117D" w:rsidP="002F117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lang w:val="fr-FR"/>
              </w:rPr>
            </w:pPr>
          </w:p>
        </w:tc>
      </w:tr>
      <w:tr w:rsidR="002F117D" w:rsidRPr="009317AE"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4" w:history="1">
              <w:r w:rsidR="002F117D" w:rsidRPr="009317AE">
                <w:rPr>
                  <w:rStyle w:val="Hyperlink"/>
                  <w:lang w:val="fr-FR"/>
                </w:rPr>
                <w:t>CEDAW/C/64/1</w:t>
              </w:r>
            </w:hyperlink>
          </w:p>
        </w:tc>
        <w:tc>
          <w:tcPr>
            <w:tcW w:w="6008" w:type="dxa"/>
            <w:shd w:val="clear" w:color="auto" w:fill="auto"/>
          </w:tcPr>
          <w:p w:rsidR="002F117D" w:rsidRPr="009317AE"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Ordre du jour provisoire annoté</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5" w:history="1">
              <w:r w:rsidR="002F117D" w:rsidRPr="009317AE">
                <w:rPr>
                  <w:rStyle w:val="Hyperlink"/>
                  <w:lang w:val="fr-FR"/>
                </w:rPr>
                <w:t>CEDAW/C/64/2</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de l’Organisation des Nations Unies pour l’éducation, la science et la culture</w:t>
            </w:r>
          </w:p>
        </w:tc>
      </w:tr>
      <w:tr w:rsidR="002F117D" w:rsidRPr="009317AE" w:rsidTr="002F117D">
        <w:trPr>
          <w:cantSplit/>
        </w:trPr>
        <w:tc>
          <w:tcPr>
            <w:tcW w:w="2603" w:type="dxa"/>
            <w:shd w:val="clear" w:color="auto" w:fill="auto"/>
          </w:tcPr>
          <w:p w:rsidR="002F117D" w:rsidRPr="009317AE"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lang w:val="fr-FR"/>
              </w:rPr>
            </w:pPr>
            <w:r w:rsidRPr="004D3268">
              <w:rPr>
                <w:b/>
                <w:lang w:val="fr-FR"/>
              </w:rPr>
              <w:t>Rapports des États parties</w:t>
            </w:r>
          </w:p>
        </w:tc>
        <w:tc>
          <w:tcPr>
            <w:tcW w:w="6008" w:type="dxa"/>
            <w:shd w:val="clear" w:color="auto" w:fill="auto"/>
          </w:tcPr>
          <w:p w:rsidR="002F117D" w:rsidRPr="009317AE"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6" w:history="1">
              <w:r w:rsidR="002F117D" w:rsidRPr="009317AE">
                <w:rPr>
                  <w:rStyle w:val="Hyperlink"/>
                  <w:lang w:val="fr-FR"/>
                </w:rPr>
                <w:t>CEDAW/C/ALB/4</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Quatrième rapport périodique de l’Albanie</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7" w:history="1">
              <w:r w:rsidR="002F117D" w:rsidRPr="009317AE">
                <w:rPr>
                  <w:rStyle w:val="Hyperlink"/>
                  <w:lang w:val="fr-FR"/>
                </w:rPr>
                <w:t>CEDAW/C/FRA/7-8</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septième et huitième rapports périodiques de la France</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8" w:history="1">
              <w:r w:rsidR="002F117D" w:rsidRPr="009317AE">
                <w:rPr>
                  <w:rStyle w:val="Hyperlink"/>
                  <w:lang w:val="fr-FR"/>
                </w:rPr>
                <w:t>CEDAW/C/MLI/6-7</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sixième et septième rapports périodiques du Mali</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49" w:history="1">
              <w:r w:rsidR="002F117D" w:rsidRPr="009317AE">
                <w:rPr>
                  <w:rStyle w:val="Hyperlink"/>
                  <w:lang w:val="fr-FR"/>
                </w:rPr>
                <w:t>CEDAW/C/MMR/4-5</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quatrième et cinqui</w:t>
            </w:r>
            <w:r w:rsidR="00910DE2">
              <w:rPr>
                <w:lang w:val="fr-FR"/>
              </w:rPr>
              <w:t>ème rapports périodiques du</w:t>
            </w:r>
            <w:r w:rsidRPr="004D3268">
              <w:rPr>
                <w:lang w:val="fr-FR"/>
              </w:rPr>
              <w:t xml:space="preserve"> Myanmar</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50" w:history="1">
              <w:r w:rsidR="002F117D" w:rsidRPr="009317AE">
                <w:rPr>
                  <w:rStyle w:val="Hyperlink"/>
                  <w:lang w:val="fr-FR"/>
                </w:rPr>
                <w:t>CEDAW/C/PHL/7-8</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septième et huitième rapports périodiques des Philippines</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51" w:history="1">
              <w:r w:rsidR="002F117D" w:rsidRPr="009317AE">
                <w:rPr>
                  <w:rStyle w:val="Hyperlink"/>
                  <w:lang w:val="fr-FR"/>
                </w:rPr>
                <w:t>CEDAW/C/TTO/4-7</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quatrième, cinquième, sixième et septième rapports périodiques de Trinité-et-Tobago</w:t>
            </w:r>
          </w:p>
        </w:tc>
      </w:tr>
      <w:tr w:rsidR="002F117D" w:rsidRPr="004D3268" w:rsidTr="002F117D">
        <w:trPr>
          <w:cantSplit/>
        </w:trPr>
        <w:tc>
          <w:tcPr>
            <w:tcW w:w="2603" w:type="dxa"/>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52" w:history="1">
              <w:r w:rsidR="002F117D" w:rsidRPr="009317AE">
                <w:rPr>
                  <w:rStyle w:val="Hyperlink"/>
                  <w:lang w:val="fr-FR"/>
                </w:rPr>
                <w:t>CEDAW/C/TUR/7</w:t>
              </w:r>
            </w:hyperlink>
          </w:p>
        </w:tc>
        <w:tc>
          <w:tcPr>
            <w:tcW w:w="6008" w:type="dxa"/>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Septième rapport périodique de la Turquie</w:t>
            </w:r>
          </w:p>
        </w:tc>
      </w:tr>
      <w:tr w:rsidR="002F117D" w:rsidRPr="004D3268" w:rsidTr="002F117D">
        <w:trPr>
          <w:cantSplit/>
        </w:trPr>
        <w:tc>
          <w:tcPr>
            <w:tcW w:w="2603" w:type="dxa"/>
            <w:tcBorders>
              <w:bottom w:val="single" w:sz="12" w:space="0" w:color="auto"/>
            </w:tcBorders>
            <w:shd w:val="clear" w:color="auto" w:fill="auto"/>
          </w:tcPr>
          <w:p w:rsidR="002F117D" w:rsidRPr="009317AE" w:rsidRDefault="00030BF8"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hyperlink r:id="rId53" w:history="1">
              <w:r w:rsidR="002F117D" w:rsidRPr="009317AE">
                <w:rPr>
                  <w:rStyle w:val="Hyperlink"/>
                  <w:lang w:val="fr-FR"/>
                </w:rPr>
                <w:t>CEDAW/C/URY/8</w:t>
              </w:r>
            </w:hyperlink>
            <w:r w:rsidR="002F117D" w:rsidRPr="009317AE">
              <w:rPr>
                <w:rStyle w:val="Hyperlink"/>
                <w:lang w:val="fr-FR"/>
              </w:rPr>
              <w:t>-9</w:t>
            </w:r>
          </w:p>
        </w:tc>
        <w:tc>
          <w:tcPr>
            <w:tcW w:w="6008" w:type="dxa"/>
            <w:tcBorders>
              <w:bottom w:val="single" w:sz="12" w:space="0" w:color="auto"/>
            </w:tcBorders>
            <w:shd w:val="clear" w:color="auto" w:fill="auto"/>
          </w:tcPr>
          <w:p w:rsidR="002F117D" w:rsidRPr="004D3268" w:rsidRDefault="002F117D" w:rsidP="00BA1C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4D3268">
              <w:rPr>
                <w:lang w:val="fr-FR"/>
              </w:rPr>
              <w:t>Rapport unique valant huitième et neuvième rapports périodiques de l’Uruguay</w:t>
            </w:r>
          </w:p>
        </w:tc>
      </w:tr>
    </w:tbl>
    <w:p w:rsidR="002F117D" w:rsidRPr="002F117D" w:rsidRDefault="002F117D" w:rsidP="002F117D">
      <w:pPr>
        <w:pStyle w:val="SingleTxt"/>
        <w:spacing w:after="0" w:line="120" w:lineRule="exact"/>
        <w:rPr>
          <w:sz w:val="10"/>
        </w:rPr>
      </w:pPr>
    </w:p>
    <w:p w:rsidR="002F117D" w:rsidRPr="002F117D" w:rsidRDefault="002F117D" w:rsidP="002F117D">
      <w:pPr>
        <w:pStyle w:val="SingleTxt"/>
        <w:spacing w:after="0" w:line="120" w:lineRule="exact"/>
        <w:rPr>
          <w:sz w:val="10"/>
        </w:rPr>
      </w:pPr>
    </w:p>
    <w:p w:rsidR="002F117D" w:rsidRDefault="002F117D">
      <w:pPr>
        <w:spacing w:after="200" w:line="276" w:lineRule="auto"/>
      </w:pPr>
      <w:r>
        <w:br w:type="page"/>
      </w:r>
    </w:p>
    <w:p w:rsidR="002F117D" w:rsidRPr="009317AE" w:rsidRDefault="002F117D" w:rsidP="002F117D">
      <w:pPr>
        <w:pStyle w:val="HCh0"/>
        <w:ind w:left="1267" w:right="1260" w:hanging="1267"/>
        <w:rPr>
          <w:lang w:val="fr-FR"/>
        </w:rPr>
      </w:pPr>
      <w:r w:rsidRPr="004D3268">
        <w:rPr>
          <w:lang w:val="fr-FR"/>
        </w:rPr>
        <w:lastRenderedPageBreak/>
        <w:tab/>
      </w:r>
      <w:r w:rsidRPr="004D3268">
        <w:rPr>
          <w:lang w:val="fr-FR"/>
        </w:rPr>
        <w:tab/>
      </w:r>
      <w:r w:rsidRPr="009317AE">
        <w:rPr>
          <w:lang w:val="fr-FR"/>
        </w:rPr>
        <w:t>Deuxième partie</w:t>
      </w:r>
    </w:p>
    <w:p w:rsidR="002F117D" w:rsidRPr="009317AE" w:rsidRDefault="002F117D" w:rsidP="002F117D">
      <w:pPr>
        <w:pStyle w:val="HCh0"/>
        <w:ind w:left="1267" w:right="1260" w:hanging="1267"/>
        <w:rPr>
          <w:lang w:val="fr-FR"/>
        </w:rPr>
      </w:pPr>
      <w:r w:rsidRPr="009317AE">
        <w:rPr>
          <w:lang w:val="fr-FR"/>
        </w:rPr>
        <w:tab/>
      </w:r>
      <w:r w:rsidRPr="009317AE">
        <w:rPr>
          <w:lang w:val="fr-FR"/>
        </w:rPr>
        <w:tab/>
      </w:r>
      <w:r w:rsidRPr="002611A5">
        <w:rPr>
          <w:lang w:val="fr-FR"/>
        </w:rPr>
        <w:t>Rapport du Comité pour l’élimination de la discrimination à l’égard des femmes sur les travaux de sa soixante-</w:t>
      </w:r>
      <w:r>
        <w:rPr>
          <w:lang w:val="fr-FR"/>
        </w:rPr>
        <w:t>cinquième</w:t>
      </w:r>
      <w:r w:rsidRPr="002611A5">
        <w:rPr>
          <w:lang w:val="fr-FR"/>
        </w:rPr>
        <w:t xml:space="preserve"> session </w:t>
      </w:r>
    </w:p>
    <w:p w:rsidR="002F117D" w:rsidRPr="009317AE" w:rsidRDefault="002F117D" w:rsidP="002F117D">
      <w:pPr>
        <w:pStyle w:val="SingleTxt"/>
        <w:spacing w:after="0" w:line="120" w:lineRule="exact"/>
        <w:rPr>
          <w:sz w:val="10"/>
          <w:lang w:val="fr-FR"/>
        </w:rPr>
      </w:pPr>
    </w:p>
    <w:p w:rsidR="002F117D" w:rsidRPr="009317AE" w:rsidRDefault="002F117D" w:rsidP="002F117D">
      <w:pPr>
        <w:pStyle w:val="SingleTxt"/>
        <w:spacing w:after="0" w:line="120" w:lineRule="exact"/>
        <w:rPr>
          <w:sz w:val="10"/>
          <w:lang w:val="fr-FR"/>
        </w:rPr>
      </w:pPr>
    </w:p>
    <w:p w:rsidR="002F117D" w:rsidRPr="00E0101D"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17AE">
        <w:rPr>
          <w:lang w:val="fr-FR"/>
        </w:rPr>
        <w:tab/>
      </w:r>
      <w:r w:rsidRPr="009317AE">
        <w:rPr>
          <w:lang w:val="fr-FR"/>
        </w:rPr>
        <w:tab/>
      </w:r>
      <w:r w:rsidRPr="00E0101D">
        <w:rPr>
          <w:lang w:val="fr-FR"/>
        </w:rPr>
        <w:t>24</w:t>
      </w:r>
      <w:r w:rsidR="00BA1CBA">
        <w:rPr>
          <w:lang w:val="fr-FR"/>
        </w:rPr>
        <w:t> </w:t>
      </w:r>
      <w:r w:rsidRPr="00E0101D">
        <w:rPr>
          <w:lang w:val="fr-FR"/>
        </w:rPr>
        <w:t>octobre</w:t>
      </w:r>
      <w:r w:rsidR="00910DE2">
        <w:noBreakHyphen/>
      </w:r>
      <w:r w:rsidRPr="00E0101D">
        <w:rPr>
          <w:lang w:val="fr-FR"/>
        </w:rPr>
        <w:t>18</w:t>
      </w:r>
      <w:r w:rsidR="00BA1CBA">
        <w:rPr>
          <w:lang w:val="fr-FR"/>
        </w:rPr>
        <w:t> </w:t>
      </w:r>
      <w:r w:rsidRPr="00E0101D">
        <w:rPr>
          <w:lang w:val="fr-FR"/>
        </w:rPr>
        <w:t xml:space="preserve">novembre 2016 </w:t>
      </w:r>
    </w:p>
    <w:p w:rsidR="002F117D" w:rsidRPr="00E0101D" w:rsidRDefault="002F117D" w:rsidP="002F117D">
      <w:pPr>
        <w:pStyle w:val="SingleTxt"/>
        <w:rPr>
          <w:lang w:val="fr-FR"/>
        </w:rPr>
      </w:pPr>
    </w:p>
    <w:p w:rsidR="002F117D" w:rsidRPr="00E0101D" w:rsidRDefault="002F117D" w:rsidP="002F117D">
      <w:pPr>
        <w:spacing w:line="240" w:lineRule="auto"/>
      </w:pPr>
      <w:r w:rsidRPr="00E0101D">
        <w:br w:type="page"/>
      </w:r>
    </w:p>
    <w:p w:rsidR="002F117D" w:rsidRPr="00E0101D" w:rsidRDefault="002F117D" w:rsidP="002F117D">
      <w:pPr>
        <w:pStyle w:val="HCh0"/>
        <w:ind w:left="1267" w:right="1260" w:hanging="1267"/>
        <w:rPr>
          <w:lang w:val="fr-FR"/>
        </w:rPr>
      </w:pPr>
      <w:r w:rsidRPr="00E0101D">
        <w:rPr>
          <w:lang w:val="fr-FR"/>
        </w:rPr>
        <w:lastRenderedPageBreak/>
        <w:t xml:space="preserve">Chapitre </w:t>
      </w:r>
      <w:r>
        <w:rPr>
          <w:lang w:val="fr-FR"/>
        </w:rPr>
        <w:t>I</w:t>
      </w:r>
    </w:p>
    <w:p w:rsidR="002F117D" w:rsidRPr="00E0101D" w:rsidRDefault="002F117D" w:rsidP="002F117D">
      <w:pPr>
        <w:pStyle w:val="HCh0"/>
        <w:ind w:left="1267" w:right="1260" w:hanging="1267"/>
        <w:rPr>
          <w:lang w:val="fr-FR"/>
        </w:rPr>
      </w:pPr>
      <w:r w:rsidRPr="00E0101D">
        <w:rPr>
          <w:lang w:val="fr-FR"/>
        </w:rPr>
        <w:tab/>
      </w:r>
      <w:r w:rsidRPr="00E0101D">
        <w:rPr>
          <w:lang w:val="fr-FR"/>
        </w:rPr>
        <w:tab/>
        <w:t xml:space="preserve">Décisions prises par le Comité </w:t>
      </w:r>
    </w:p>
    <w:p w:rsidR="002F117D" w:rsidRPr="00E0101D" w:rsidRDefault="002F117D" w:rsidP="002F117D">
      <w:pPr>
        <w:pStyle w:val="SingleTxt"/>
        <w:spacing w:after="0" w:line="120" w:lineRule="exact"/>
        <w:rPr>
          <w:sz w:val="10"/>
          <w:lang w:val="fr-FR"/>
        </w:rPr>
      </w:pPr>
    </w:p>
    <w:p w:rsidR="002F117D" w:rsidRPr="00E0101D"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0101D">
        <w:rPr>
          <w:lang w:val="fr-FR"/>
        </w:rPr>
        <w:tab/>
      </w:r>
      <w:r w:rsidRPr="00E0101D">
        <w:rPr>
          <w:lang w:val="fr-FR"/>
        </w:rPr>
        <w:tab/>
        <w:t>Décision 65/I</w:t>
      </w:r>
    </w:p>
    <w:p w:rsidR="002F117D" w:rsidRPr="00E0101D" w:rsidRDefault="002F117D" w:rsidP="002F117D">
      <w:pPr>
        <w:pStyle w:val="SingleTxt"/>
        <w:spacing w:after="0" w:line="120" w:lineRule="exact"/>
        <w:rPr>
          <w:sz w:val="10"/>
          <w:lang w:val="fr-FR"/>
        </w:rPr>
      </w:pPr>
    </w:p>
    <w:p w:rsidR="002F117D" w:rsidRPr="00626A60" w:rsidRDefault="002F117D" w:rsidP="002F117D">
      <w:pPr>
        <w:pStyle w:val="SingleTxt"/>
        <w:rPr>
          <w:lang w:val="fr-FR"/>
        </w:rPr>
      </w:pPr>
      <w:r w:rsidRPr="00E0101D">
        <w:rPr>
          <w:lang w:val="fr-FR"/>
        </w:rPr>
        <w:tab/>
      </w:r>
      <w:r w:rsidRPr="00626A60">
        <w:rPr>
          <w:lang w:val="fr-FR"/>
        </w:rPr>
        <w:t xml:space="preserve">Le Comité a décidé de suspendre, à titre expérimental à sa soixante-sixième session, la présentation de la </w:t>
      </w:r>
      <w:r>
        <w:rPr>
          <w:lang w:val="fr-FR"/>
        </w:rPr>
        <w:t>note d</w:t>
      </w:r>
      <w:r w:rsidR="007D2830">
        <w:rPr>
          <w:lang w:val="fr-FR"/>
        </w:rPr>
        <w:t>’</w:t>
      </w:r>
      <w:r>
        <w:rPr>
          <w:lang w:val="fr-FR"/>
        </w:rPr>
        <w:t xml:space="preserve">information établie </w:t>
      </w:r>
      <w:r w:rsidRPr="00626A60">
        <w:rPr>
          <w:lang w:val="fr-FR"/>
        </w:rPr>
        <w:t>par le rapporteur de pays</w:t>
      </w:r>
      <w:r>
        <w:rPr>
          <w:lang w:val="fr-FR"/>
        </w:rPr>
        <w:t xml:space="preserve"> – à </w:t>
      </w:r>
      <w:r w:rsidRPr="00626A60">
        <w:rPr>
          <w:lang w:val="fr-FR"/>
        </w:rPr>
        <w:t>moins qu</w:t>
      </w:r>
      <w:r w:rsidR="007D2830">
        <w:rPr>
          <w:lang w:val="fr-FR"/>
        </w:rPr>
        <w:t>’</w:t>
      </w:r>
      <w:r w:rsidRPr="00626A60">
        <w:rPr>
          <w:lang w:val="fr-FR"/>
        </w:rPr>
        <w:t>il n</w:t>
      </w:r>
      <w:r w:rsidR="007D2830">
        <w:rPr>
          <w:lang w:val="fr-FR"/>
        </w:rPr>
        <w:t>’</w:t>
      </w:r>
      <w:r w:rsidRPr="00626A60">
        <w:rPr>
          <w:lang w:val="fr-FR"/>
        </w:rPr>
        <w:t>ait à connaître des faits nouveaux ayant été portés à l</w:t>
      </w:r>
      <w:r w:rsidR="007D2830">
        <w:rPr>
          <w:lang w:val="fr-FR"/>
        </w:rPr>
        <w:t>’</w:t>
      </w:r>
      <w:r w:rsidRPr="00626A60">
        <w:rPr>
          <w:lang w:val="fr-FR"/>
        </w:rPr>
        <w:t>attention du rapporteur après l</w:t>
      </w:r>
      <w:r w:rsidR="007D2830">
        <w:rPr>
          <w:lang w:val="fr-FR"/>
        </w:rPr>
        <w:t>’</w:t>
      </w:r>
      <w:r w:rsidRPr="00626A60">
        <w:rPr>
          <w:lang w:val="fr-FR"/>
        </w:rPr>
        <w:t>établissemen</w:t>
      </w:r>
      <w:r>
        <w:rPr>
          <w:lang w:val="fr-FR"/>
        </w:rPr>
        <w:t>t de la note d</w:t>
      </w:r>
      <w:r w:rsidR="007D2830">
        <w:rPr>
          <w:lang w:val="fr-FR"/>
        </w:rPr>
        <w:t>’</w:t>
      </w:r>
      <w:r>
        <w:rPr>
          <w:lang w:val="fr-FR"/>
        </w:rPr>
        <w:t xml:space="preserve">information – et </w:t>
      </w:r>
      <w:r w:rsidRPr="00626A60">
        <w:rPr>
          <w:lang w:val="fr-FR"/>
        </w:rPr>
        <w:t>de la remplacer par une réunion de coordination de 15 minutes de l</w:t>
      </w:r>
      <w:r w:rsidR="007D2830">
        <w:rPr>
          <w:lang w:val="fr-FR"/>
        </w:rPr>
        <w:t>’</w:t>
      </w:r>
      <w:r w:rsidRPr="00626A60">
        <w:rPr>
          <w:lang w:val="fr-FR"/>
        </w:rPr>
        <w:t>équipe spéciale, qui aura lieu, en fin de journée, la veille du jour où se tiendra le dialogue construc</w:t>
      </w:r>
      <w:r>
        <w:rPr>
          <w:lang w:val="fr-FR"/>
        </w:rPr>
        <w:t>tif avec l</w:t>
      </w:r>
      <w:r w:rsidR="007D2830">
        <w:rPr>
          <w:lang w:val="fr-FR"/>
        </w:rPr>
        <w:t>’</w:t>
      </w:r>
      <w:r>
        <w:rPr>
          <w:lang w:val="fr-FR"/>
        </w:rPr>
        <w:t>État partie concerné</w:t>
      </w:r>
      <w:r w:rsidRPr="00626A60">
        <w:rPr>
          <w:lang w:val="fr-FR"/>
        </w:rPr>
        <w:t>.</w:t>
      </w:r>
    </w:p>
    <w:p w:rsidR="002F117D" w:rsidRPr="00626A60"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26A60">
        <w:rPr>
          <w:lang w:val="fr-FR"/>
        </w:rPr>
        <w:tab/>
      </w:r>
      <w:r w:rsidRPr="00626A60">
        <w:rPr>
          <w:lang w:val="fr-FR"/>
        </w:rPr>
        <w:tab/>
      </w:r>
      <w:r w:rsidRPr="00E0101D">
        <w:rPr>
          <w:lang w:val="fr-FR"/>
        </w:rPr>
        <w:t>Décision 65/II</w:t>
      </w:r>
    </w:p>
    <w:p w:rsidR="002F117D" w:rsidRPr="00E0101D" w:rsidRDefault="002F117D" w:rsidP="002F117D">
      <w:pPr>
        <w:pStyle w:val="SingleTxt"/>
        <w:spacing w:after="0" w:line="120" w:lineRule="exact"/>
        <w:rPr>
          <w:sz w:val="10"/>
          <w:lang w:val="fr-FR"/>
        </w:rPr>
      </w:pPr>
    </w:p>
    <w:p w:rsidR="002F117D" w:rsidRPr="00626A60" w:rsidRDefault="002F117D" w:rsidP="002F117D">
      <w:pPr>
        <w:pStyle w:val="SingleTxt"/>
        <w:rPr>
          <w:lang w:val="fr-FR"/>
        </w:rPr>
      </w:pPr>
      <w:r w:rsidRPr="00E0101D">
        <w:rPr>
          <w:lang w:val="fr-FR"/>
        </w:rPr>
        <w:tab/>
      </w:r>
      <w:r w:rsidRPr="00626A60">
        <w:rPr>
          <w:lang w:val="fr-FR"/>
        </w:rPr>
        <w:t>Le Comité a décidé de modifier, dans ses observations finales, le paragraphe type sur la date de présentation du prochain rapport périodique de l</w:t>
      </w:r>
      <w:r w:rsidR="007D2830">
        <w:rPr>
          <w:lang w:val="fr-FR"/>
        </w:rPr>
        <w:t>’</w:t>
      </w:r>
      <w:r w:rsidRPr="00626A60">
        <w:rPr>
          <w:lang w:val="fr-FR"/>
        </w:rPr>
        <w:t>État partie concerné en</w:t>
      </w:r>
      <w:r>
        <w:rPr>
          <w:lang w:val="fr-FR"/>
        </w:rPr>
        <w:t xml:space="preserve"> ajoutant la phrase suivante</w:t>
      </w:r>
      <w:r w:rsidR="007D2830">
        <w:rPr>
          <w:lang w:val="fr-FR"/>
        </w:rPr>
        <w:t> :</w:t>
      </w:r>
      <w:r>
        <w:rPr>
          <w:lang w:val="fr-FR"/>
        </w:rPr>
        <w:t xml:space="preserve"> « </w:t>
      </w:r>
      <w:r w:rsidRPr="00626A60">
        <w:rPr>
          <w:lang w:val="fr-FR"/>
        </w:rPr>
        <w:t>En cas de retard, le rapport couvrira toute la période prenant f</w:t>
      </w:r>
      <w:r>
        <w:rPr>
          <w:lang w:val="fr-FR"/>
        </w:rPr>
        <w:t>in au moment de sa présentation »</w:t>
      </w:r>
      <w:r w:rsidRPr="00626A60">
        <w:rPr>
          <w:lang w:val="fr-FR"/>
        </w:rPr>
        <w:t>.</w:t>
      </w:r>
    </w:p>
    <w:p w:rsidR="002F117D" w:rsidRPr="00626A60"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26A60">
        <w:rPr>
          <w:lang w:val="fr-FR"/>
        </w:rPr>
        <w:tab/>
      </w:r>
      <w:r w:rsidRPr="00626A60">
        <w:rPr>
          <w:lang w:val="fr-FR"/>
        </w:rPr>
        <w:tab/>
      </w:r>
      <w:r w:rsidRPr="00E0101D">
        <w:rPr>
          <w:lang w:val="fr-FR"/>
        </w:rPr>
        <w:t>Décision 65/III</w:t>
      </w:r>
    </w:p>
    <w:p w:rsidR="002F117D" w:rsidRPr="00E0101D" w:rsidRDefault="002F117D" w:rsidP="002F117D">
      <w:pPr>
        <w:pStyle w:val="SingleTxt"/>
        <w:spacing w:after="0" w:line="120" w:lineRule="exact"/>
        <w:rPr>
          <w:sz w:val="10"/>
          <w:lang w:val="fr-FR"/>
        </w:rPr>
      </w:pPr>
    </w:p>
    <w:p w:rsidR="002F117D" w:rsidRPr="00973828" w:rsidRDefault="002F117D" w:rsidP="002F117D">
      <w:pPr>
        <w:pStyle w:val="SingleTxt"/>
        <w:rPr>
          <w:lang w:val="fr-FR"/>
        </w:rPr>
      </w:pPr>
      <w:r w:rsidRPr="00E0101D">
        <w:rPr>
          <w:lang w:val="fr-FR"/>
        </w:rPr>
        <w:tab/>
      </w:r>
      <w:r w:rsidRPr="00973828">
        <w:rPr>
          <w:lang w:val="fr-FR"/>
        </w:rPr>
        <w:t>Le Comité a décidé, dans ses observations finales, de faire du paragraphe type sur le rôle du parlement une</w:t>
      </w:r>
      <w:r>
        <w:rPr>
          <w:lang w:val="fr-FR"/>
        </w:rPr>
        <w:t xml:space="preserve"> nouvelle section C, intitulée « </w:t>
      </w:r>
      <w:r w:rsidRPr="00973828">
        <w:rPr>
          <w:lang w:val="fr-FR"/>
        </w:rPr>
        <w:t>Parlement</w:t>
      </w:r>
      <w:r>
        <w:rPr>
          <w:lang w:val="fr-FR"/>
        </w:rPr>
        <w:t> »</w:t>
      </w:r>
      <w:r w:rsidRPr="00973828">
        <w:rPr>
          <w:lang w:val="fr-FR"/>
        </w:rPr>
        <w:t>, si bien que la sec</w:t>
      </w:r>
      <w:r>
        <w:rPr>
          <w:lang w:val="fr-FR"/>
        </w:rPr>
        <w:t>tion intitulée « </w:t>
      </w:r>
      <w:r w:rsidRPr="00973828">
        <w:rPr>
          <w:lang w:val="fr-FR"/>
        </w:rPr>
        <w:t>Principaux sujets de préoccupation et recomman</w:t>
      </w:r>
      <w:r>
        <w:rPr>
          <w:lang w:val="fr-FR"/>
        </w:rPr>
        <w:t>dations » deviendra la section D</w:t>
      </w:r>
      <w:r w:rsidRPr="00973828">
        <w:rPr>
          <w:lang w:val="fr-FR"/>
        </w:rPr>
        <w:t>.</w:t>
      </w:r>
    </w:p>
    <w:p w:rsidR="002F117D" w:rsidRPr="00973828"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3828">
        <w:rPr>
          <w:lang w:val="fr-FR"/>
        </w:rPr>
        <w:tab/>
      </w:r>
      <w:r w:rsidRPr="00973828">
        <w:rPr>
          <w:lang w:val="fr-FR"/>
        </w:rPr>
        <w:tab/>
      </w:r>
      <w:r w:rsidRPr="00E0101D">
        <w:rPr>
          <w:lang w:val="fr-FR"/>
        </w:rPr>
        <w:t>Décision 65/IV</w:t>
      </w:r>
    </w:p>
    <w:p w:rsidR="002F117D" w:rsidRPr="00E0101D" w:rsidRDefault="002F117D" w:rsidP="002F117D">
      <w:pPr>
        <w:pStyle w:val="SingleTxt"/>
        <w:spacing w:after="0" w:line="120" w:lineRule="exact"/>
        <w:rPr>
          <w:sz w:val="10"/>
          <w:lang w:val="fr-FR"/>
        </w:rPr>
      </w:pPr>
    </w:p>
    <w:p w:rsidR="002F117D" w:rsidRPr="00D4391D" w:rsidRDefault="002F117D" w:rsidP="002F117D">
      <w:pPr>
        <w:pStyle w:val="SingleTxt"/>
        <w:rPr>
          <w:lang w:val="fr-FR"/>
        </w:rPr>
      </w:pPr>
      <w:r w:rsidRPr="00E0101D">
        <w:rPr>
          <w:lang w:val="fr-FR"/>
        </w:rPr>
        <w:tab/>
      </w:r>
      <w:r w:rsidRPr="00D4391D">
        <w:rPr>
          <w:lang w:val="fr-FR"/>
        </w:rPr>
        <w:t>Le Comité a décidé de poursuivre sa coopération avec la Rapporteuse spéciale sur la violence contre les femmes, ses causes et ses conséquences dans ses travaux concernant la mise à jour d</w:t>
      </w:r>
      <w:r>
        <w:rPr>
          <w:lang w:val="fr-FR"/>
        </w:rPr>
        <w:t>e la recommandation générale n° </w:t>
      </w:r>
      <w:r w:rsidRPr="00D4391D">
        <w:rPr>
          <w:lang w:val="fr-FR"/>
        </w:rPr>
        <w:t>19 (1992) sur la violence à l</w:t>
      </w:r>
      <w:r w:rsidR="007D2830">
        <w:rPr>
          <w:lang w:val="fr-FR"/>
        </w:rPr>
        <w:t>’</w:t>
      </w:r>
      <w:r w:rsidRPr="00D4391D">
        <w:rPr>
          <w:lang w:val="fr-FR"/>
        </w:rPr>
        <w:t>égard des femmes et d</w:t>
      </w:r>
      <w:r w:rsidR="007D2830">
        <w:rPr>
          <w:lang w:val="fr-FR"/>
        </w:rPr>
        <w:t>’</w:t>
      </w:r>
      <w:r w:rsidRPr="00D4391D">
        <w:rPr>
          <w:lang w:val="fr-FR"/>
        </w:rPr>
        <w:t>en reconnaître la contribution dans le préambule du document final.</w:t>
      </w:r>
    </w:p>
    <w:p w:rsidR="002F117D" w:rsidRPr="00D4391D"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391D">
        <w:rPr>
          <w:lang w:val="fr-FR"/>
        </w:rPr>
        <w:tab/>
      </w:r>
      <w:r w:rsidRPr="00D4391D">
        <w:rPr>
          <w:lang w:val="fr-FR"/>
        </w:rPr>
        <w:tab/>
      </w:r>
      <w:r w:rsidRPr="00E0101D">
        <w:rPr>
          <w:lang w:val="fr-FR"/>
        </w:rPr>
        <w:t>Décision 65/V</w:t>
      </w:r>
    </w:p>
    <w:p w:rsidR="002F117D" w:rsidRPr="00E0101D" w:rsidRDefault="002F117D" w:rsidP="002F117D">
      <w:pPr>
        <w:pStyle w:val="SingleTxt"/>
        <w:keepNext/>
        <w:keepLines/>
        <w:spacing w:after="0" w:line="120" w:lineRule="exact"/>
        <w:rPr>
          <w:sz w:val="10"/>
          <w:lang w:val="fr-FR"/>
        </w:rPr>
      </w:pPr>
    </w:p>
    <w:p w:rsidR="002F117D" w:rsidRPr="00D4391D" w:rsidRDefault="002F117D" w:rsidP="002F117D">
      <w:pPr>
        <w:pStyle w:val="SingleTxt"/>
        <w:keepNext/>
        <w:keepLines/>
        <w:rPr>
          <w:lang w:val="fr-FR"/>
        </w:rPr>
      </w:pPr>
      <w:r w:rsidRPr="00E0101D">
        <w:rPr>
          <w:lang w:val="fr-FR"/>
        </w:rPr>
        <w:tab/>
      </w:r>
      <w:r w:rsidRPr="00D4391D">
        <w:rPr>
          <w:lang w:val="fr-FR"/>
        </w:rPr>
        <w:t xml:space="preserve">Le Comité a décidé que les rapports périodiques des États parties supplémentaires ci-après seraient examinés au titre de la procédure simplifiée, les pays concernés en ayant fait la demande et remplissant les conditions nécessaires énoncées dans les décisions </w:t>
      </w:r>
      <w:hyperlink r:id="rId54" w:history="1">
        <w:r w:rsidRPr="00D944D7">
          <w:rPr>
            <w:rStyle w:val="Hyperlink"/>
            <w:lang w:val="fr-FR"/>
          </w:rPr>
          <w:t>58/2</w:t>
        </w:r>
      </w:hyperlink>
      <w:r w:rsidRPr="00D4391D">
        <w:rPr>
          <w:lang w:val="fr-FR"/>
        </w:rPr>
        <w:t xml:space="preserve"> </w:t>
      </w:r>
      <w:r>
        <w:rPr>
          <w:lang w:val="fr-FR"/>
        </w:rPr>
        <w:t xml:space="preserve">et </w:t>
      </w:r>
      <w:hyperlink r:id="rId55" w:history="1">
        <w:r w:rsidRPr="00D944D7">
          <w:rPr>
            <w:rStyle w:val="Hyperlink"/>
            <w:lang w:val="fr-FR"/>
          </w:rPr>
          <w:t>59/4</w:t>
        </w:r>
      </w:hyperlink>
      <w:r w:rsidR="007D2830">
        <w:rPr>
          <w:lang w:val="fr-FR"/>
        </w:rPr>
        <w:t> :</w:t>
      </w:r>
      <w:r>
        <w:rPr>
          <w:lang w:val="fr-FR"/>
        </w:rPr>
        <w:t xml:space="preserve"> Maurice</w:t>
      </w:r>
      <w:r w:rsidRPr="00D4391D">
        <w:rPr>
          <w:lang w:val="fr-FR"/>
        </w:rPr>
        <w:t xml:space="preserve"> (huitième rapport périodique) </w:t>
      </w:r>
      <w:r>
        <w:rPr>
          <w:lang w:val="fr-FR"/>
        </w:rPr>
        <w:t>et</w:t>
      </w:r>
      <w:r w:rsidRPr="00D4391D">
        <w:rPr>
          <w:lang w:val="fr-FR"/>
        </w:rPr>
        <w:t xml:space="preserve"> Bulgarie (huitième rapport périodique). Il a également décidé de ne plus accepter de nouvelles demandes d’États parties pour examen au titre de la procédure simplifiée de présentation des rapports avant d’avoir évalué l’efficacité de cette procédur</w:t>
      </w:r>
      <w:r>
        <w:rPr>
          <w:lang w:val="fr-FR"/>
        </w:rPr>
        <w:t>e</w:t>
      </w:r>
      <w:r w:rsidRPr="00D4391D">
        <w:rPr>
          <w:lang w:val="fr-FR"/>
        </w:rPr>
        <w:t>.</w:t>
      </w:r>
    </w:p>
    <w:p w:rsidR="002F117D" w:rsidRPr="00D4391D" w:rsidRDefault="002F117D" w:rsidP="002F117D">
      <w:pPr>
        <w:pStyle w:val="SingleTxt"/>
        <w:spacing w:after="0" w:line="120" w:lineRule="exact"/>
        <w:rPr>
          <w:sz w:val="10"/>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391D">
        <w:rPr>
          <w:lang w:val="fr-FR"/>
        </w:rPr>
        <w:tab/>
      </w:r>
      <w:r w:rsidRPr="00D4391D">
        <w:rPr>
          <w:lang w:val="fr-FR"/>
        </w:rPr>
        <w:tab/>
      </w:r>
      <w:r w:rsidRPr="00E0101D">
        <w:rPr>
          <w:lang w:val="fr-FR"/>
        </w:rPr>
        <w:t>Décision 65/VI</w:t>
      </w:r>
    </w:p>
    <w:p w:rsidR="002F117D" w:rsidRPr="00E0101D" w:rsidRDefault="002F117D" w:rsidP="002F117D">
      <w:pPr>
        <w:pStyle w:val="SingleTxt"/>
        <w:spacing w:after="0" w:line="120" w:lineRule="exact"/>
        <w:rPr>
          <w:sz w:val="10"/>
          <w:lang w:val="fr-FR"/>
        </w:rPr>
      </w:pPr>
    </w:p>
    <w:p w:rsidR="002F117D" w:rsidRPr="00D4391D" w:rsidRDefault="002F117D" w:rsidP="00D944D7">
      <w:pPr>
        <w:pStyle w:val="SingleTxt"/>
        <w:rPr>
          <w:lang w:val="fr-FR"/>
        </w:rPr>
      </w:pPr>
      <w:r w:rsidRPr="00E0101D">
        <w:rPr>
          <w:lang w:val="fr-FR"/>
        </w:rPr>
        <w:tab/>
      </w:r>
      <w:r w:rsidRPr="00D4391D">
        <w:rPr>
          <w:lang w:val="fr-FR"/>
        </w:rPr>
        <w:t>Le Comité a décidé de nommer Hilary Gbedemah Rapporteuse chargée du suivi et Lia Nadaraia Rapporteuse suppléante, toutes deux pour une pé</w:t>
      </w:r>
      <w:r>
        <w:rPr>
          <w:lang w:val="fr-FR"/>
        </w:rPr>
        <w:t>riode de deux ans allant du 1</w:t>
      </w:r>
      <w:r w:rsidRPr="003F0169">
        <w:rPr>
          <w:vertAlign w:val="superscript"/>
          <w:lang w:val="fr-FR"/>
        </w:rPr>
        <w:t>er</w:t>
      </w:r>
      <w:r w:rsidR="00D944D7">
        <w:rPr>
          <w:lang w:val="fr-FR"/>
        </w:rPr>
        <w:t> </w:t>
      </w:r>
      <w:r w:rsidRPr="00D4391D">
        <w:rPr>
          <w:lang w:val="fr-FR"/>
        </w:rPr>
        <w:t>j</w:t>
      </w:r>
      <w:r>
        <w:rPr>
          <w:lang w:val="fr-FR"/>
        </w:rPr>
        <w:t>anvier 2017 au 31</w:t>
      </w:r>
      <w:r w:rsidR="00D944D7">
        <w:rPr>
          <w:lang w:val="fr-FR"/>
        </w:rPr>
        <w:t> décembre</w:t>
      </w:r>
      <w:r>
        <w:rPr>
          <w:lang w:val="fr-FR"/>
        </w:rPr>
        <w:t xml:space="preserve"> 2018</w:t>
      </w:r>
      <w:r w:rsidRPr="00D4391D">
        <w:rPr>
          <w:lang w:val="fr-FR"/>
        </w:rPr>
        <w:t>.</w:t>
      </w:r>
    </w:p>
    <w:p w:rsidR="002F117D" w:rsidRPr="00D4391D" w:rsidRDefault="002F117D" w:rsidP="002F117D">
      <w:pPr>
        <w:pStyle w:val="SingleTxt"/>
        <w:spacing w:after="0" w:line="120" w:lineRule="exact"/>
        <w:rPr>
          <w:sz w:val="10"/>
          <w:lang w:val="fr-FR"/>
        </w:rPr>
      </w:pPr>
    </w:p>
    <w:p w:rsidR="002F117D" w:rsidRPr="009317AE"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391D">
        <w:rPr>
          <w:lang w:val="fr-FR"/>
        </w:rPr>
        <w:tab/>
      </w:r>
      <w:r w:rsidRPr="00D4391D">
        <w:rPr>
          <w:lang w:val="fr-FR"/>
        </w:rPr>
        <w:tab/>
      </w:r>
      <w:r w:rsidRPr="009317AE">
        <w:rPr>
          <w:lang w:val="fr-FR"/>
        </w:rPr>
        <w:t>Décision 65/VII</w:t>
      </w:r>
    </w:p>
    <w:p w:rsidR="002F117D" w:rsidRPr="009317AE" w:rsidRDefault="002F117D" w:rsidP="002F117D">
      <w:pPr>
        <w:pStyle w:val="SingleTxt"/>
        <w:spacing w:after="0" w:line="120" w:lineRule="exact"/>
        <w:rPr>
          <w:sz w:val="10"/>
          <w:lang w:val="fr-FR"/>
        </w:rPr>
      </w:pPr>
    </w:p>
    <w:p w:rsidR="002F117D" w:rsidRDefault="002F117D" w:rsidP="002F117D">
      <w:pPr>
        <w:pStyle w:val="SingleTxt"/>
        <w:rPr>
          <w:lang w:val="fr-FR"/>
        </w:rPr>
      </w:pPr>
      <w:r w:rsidRPr="009317AE">
        <w:rPr>
          <w:lang w:val="fr-FR"/>
        </w:rPr>
        <w:tab/>
      </w:r>
      <w:r w:rsidRPr="00D4391D">
        <w:rPr>
          <w:lang w:val="fr-FR"/>
        </w:rPr>
        <w:t>Le 16</w:t>
      </w:r>
      <w:r w:rsidR="00D944D7">
        <w:rPr>
          <w:lang w:val="fr-FR"/>
        </w:rPr>
        <w:t> novembre</w:t>
      </w:r>
      <w:r w:rsidRPr="00D4391D">
        <w:rPr>
          <w:lang w:val="fr-FR"/>
        </w:rPr>
        <w:t xml:space="preserve"> 2016, le Comité a décidé, avec effet immédiat, de rendre publiques ses réunions informelles biennales avec les États parties à la Convention en les diffusant en direct sur le Web, en plus de la publication des comptes rendus analytiques de séance.</w:t>
      </w:r>
    </w:p>
    <w:p w:rsidR="002F117D" w:rsidRPr="00D4391D" w:rsidRDefault="002F117D" w:rsidP="002F117D">
      <w:pPr>
        <w:pStyle w:val="SingleTxt"/>
        <w:spacing w:after="0" w:line="120" w:lineRule="exact"/>
        <w:rPr>
          <w:lang w:val="fr-FR"/>
        </w:rPr>
      </w:pPr>
    </w:p>
    <w:p w:rsidR="002F117D" w:rsidRPr="00E0101D" w:rsidRDefault="002F117D" w:rsidP="00BA1C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391D">
        <w:rPr>
          <w:lang w:val="fr-FR"/>
        </w:rPr>
        <w:lastRenderedPageBreak/>
        <w:tab/>
      </w:r>
      <w:r w:rsidRPr="00D4391D">
        <w:rPr>
          <w:lang w:val="fr-FR"/>
        </w:rPr>
        <w:tab/>
      </w:r>
      <w:r w:rsidRPr="00E0101D">
        <w:rPr>
          <w:lang w:val="fr-FR"/>
        </w:rPr>
        <w:t>Décision 65/VIII</w:t>
      </w:r>
    </w:p>
    <w:p w:rsidR="002F117D" w:rsidRPr="00E0101D" w:rsidRDefault="002F117D" w:rsidP="002F117D">
      <w:pPr>
        <w:pStyle w:val="SingleTxt"/>
        <w:spacing w:after="0" w:line="120" w:lineRule="exact"/>
        <w:rPr>
          <w:sz w:val="10"/>
          <w:lang w:val="fr-FR"/>
        </w:rPr>
      </w:pPr>
    </w:p>
    <w:p w:rsidR="002F117D" w:rsidRPr="00167626" w:rsidRDefault="002F117D" w:rsidP="00BA1CBA">
      <w:pPr>
        <w:pStyle w:val="SingleTxt"/>
        <w:rPr>
          <w:lang w:val="fr-FR"/>
        </w:rPr>
      </w:pPr>
      <w:r w:rsidRPr="00E0101D">
        <w:rPr>
          <w:lang w:val="fr-FR"/>
        </w:rPr>
        <w:tab/>
      </w:r>
      <w:r w:rsidRPr="00167626">
        <w:rPr>
          <w:lang w:val="fr-FR"/>
        </w:rPr>
        <w:t>Le Com</w:t>
      </w:r>
      <w:r>
        <w:rPr>
          <w:lang w:val="fr-FR"/>
        </w:rPr>
        <w:t>ité a approuvé la composition de son g</w:t>
      </w:r>
      <w:r w:rsidRPr="00167626">
        <w:rPr>
          <w:lang w:val="fr-FR"/>
        </w:rPr>
        <w:t>roupe</w:t>
      </w:r>
      <w:r>
        <w:rPr>
          <w:lang w:val="fr-FR"/>
        </w:rPr>
        <w:t xml:space="preserve"> de travail d’avant-</w:t>
      </w:r>
      <w:r w:rsidRPr="00167626">
        <w:rPr>
          <w:lang w:val="fr-FR"/>
        </w:rPr>
        <w:t xml:space="preserve">session </w:t>
      </w:r>
      <w:r>
        <w:rPr>
          <w:lang w:val="fr-FR"/>
        </w:rPr>
        <w:t xml:space="preserve">pour </w:t>
      </w:r>
      <w:r w:rsidRPr="00167626">
        <w:rPr>
          <w:lang w:val="fr-FR"/>
        </w:rPr>
        <w:t>la soixante-septième session</w:t>
      </w:r>
      <w:r>
        <w:rPr>
          <w:lang w:val="fr-FR"/>
        </w:rPr>
        <w:t>, à savoir</w:t>
      </w:r>
      <w:r w:rsidR="007D2830">
        <w:rPr>
          <w:lang w:val="fr-FR"/>
        </w:rPr>
        <w:t> :</w:t>
      </w:r>
      <w:r w:rsidRPr="00167626">
        <w:rPr>
          <w:lang w:val="fr-FR"/>
        </w:rPr>
        <w:t xml:space="preserve"> Barbara Bailey, Louiza Chalal, Dalia Leinarte, </w:t>
      </w:r>
      <w:r>
        <w:rPr>
          <w:lang w:val="fr-FR"/>
        </w:rPr>
        <w:t>Patricia Schulz et Xiaoqiao Zou</w:t>
      </w:r>
      <w:r w:rsidRPr="00167626">
        <w:rPr>
          <w:lang w:val="fr-FR"/>
        </w:rPr>
        <w:t>.</w:t>
      </w:r>
    </w:p>
    <w:p w:rsidR="002F117D" w:rsidRPr="00167626" w:rsidRDefault="002F117D" w:rsidP="002F117D">
      <w:pPr>
        <w:spacing w:line="240" w:lineRule="auto"/>
      </w:pPr>
      <w:r w:rsidRPr="00167626">
        <w:br w:type="page"/>
      </w:r>
    </w:p>
    <w:p w:rsidR="002F117D" w:rsidRPr="00E0101D" w:rsidRDefault="002F117D" w:rsidP="002F117D">
      <w:pPr>
        <w:pStyle w:val="HCh0"/>
        <w:ind w:left="1267" w:right="1260" w:hanging="1267"/>
        <w:rPr>
          <w:lang w:val="fr-FR"/>
        </w:rPr>
      </w:pPr>
      <w:r w:rsidRPr="00E0101D">
        <w:rPr>
          <w:lang w:val="fr-FR"/>
        </w:rPr>
        <w:lastRenderedPageBreak/>
        <w:t>Chapitre II</w:t>
      </w:r>
    </w:p>
    <w:p w:rsidR="002F117D" w:rsidRPr="0045552F" w:rsidRDefault="002F117D" w:rsidP="002F117D">
      <w:pPr>
        <w:pStyle w:val="HCh0"/>
        <w:ind w:left="1267" w:right="1260" w:hanging="1267"/>
        <w:rPr>
          <w:lang w:val="fr-FR"/>
        </w:rPr>
      </w:pPr>
      <w:r w:rsidRPr="00E0101D">
        <w:rPr>
          <w:lang w:val="fr-FR"/>
        </w:rPr>
        <w:tab/>
      </w:r>
      <w:r w:rsidRPr="00E0101D">
        <w:rPr>
          <w:lang w:val="fr-FR"/>
        </w:rPr>
        <w:tab/>
      </w:r>
      <w:r w:rsidRPr="0045552F">
        <w:rPr>
          <w:lang w:val="fr-FR"/>
        </w:rPr>
        <w:t xml:space="preserve">Questions d’organisation et autres questions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5552F">
        <w:rPr>
          <w:lang w:val="fr-FR"/>
        </w:rPr>
        <w:tab/>
        <w:t>A.</w:t>
      </w:r>
      <w:r w:rsidRPr="0045552F">
        <w:rPr>
          <w:lang w:val="fr-FR"/>
        </w:rPr>
        <w:tab/>
        <w:t>États parties à la Convention et au Protocole facultatif</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AF74A3">
      <w:pPr>
        <w:pStyle w:val="SingleTxt"/>
        <w:numPr>
          <w:ilvl w:val="0"/>
          <w:numId w:val="7"/>
        </w:numPr>
        <w:spacing w:line="240" w:lineRule="exact"/>
        <w:rPr>
          <w:lang w:val="fr-FR"/>
        </w:rPr>
      </w:pPr>
      <w:r>
        <w:rPr>
          <w:lang w:val="fr-FR"/>
        </w:rPr>
        <w:t>Au</w:t>
      </w:r>
      <w:r w:rsidRPr="0045552F">
        <w:rPr>
          <w:lang w:val="fr-FR"/>
        </w:rPr>
        <w:t xml:space="preserve"> 18</w:t>
      </w:r>
      <w:r w:rsidR="00BA1CBA">
        <w:rPr>
          <w:lang w:val="fr-FR"/>
        </w:rPr>
        <w:t> </w:t>
      </w:r>
      <w:r w:rsidRPr="0045552F">
        <w:rPr>
          <w:lang w:val="fr-FR"/>
        </w:rPr>
        <w:t xml:space="preserve">novembre 2016, date de la clôture de la soixante-cinquième session du Comité, </w:t>
      </w:r>
      <w:r w:rsidRPr="00FE4DAE">
        <w:rPr>
          <w:lang w:val="fr-FR"/>
        </w:rPr>
        <w:t xml:space="preserve">le nombre d’États ayant ratifié la Convention (189) </w:t>
      </w:r>
      <w:r w:rsidRPr="0045552F">
        <w:rPr>
          <w:lang w:val="fr-FR"/>
        </w:rPr>
        <w:t>était le même qu</w:t>
      </w:r>
      <w:r w:rsidR="007D2830">
        <w:rPr>
          <w:lang w:val="fr-FR"/>
        </w:rPr>
        <w:t>’</w:t>
      </w:r>
      <w:r w:rsidRPr="0045552F">
        <w:rPr>
          <w:lang w:val="fr-FR"/>
        </w:rPr>
        <w:t>au 22</w:t>
      </w:r>
      <w:r w:rsidR="00D944D7">
        <w:rPr>
          <w:lang w:val="fr-FR"/>
        </w:rPr>
        <w:t> juillet</w:t>
      </w:r>
      <w:r w:rsidRPr="0045552F">
        <w:rPr>
          <w:lang w:val="fr-FR"/>
        </w:rPr>
        <w:t xml:space="preserve"> 2016, date de la clôture d</w:t>
      </w:r>
      <w:r>
        <w:rPr>
          <w:lang w:val="fr-FR"/>
        </w:rPr>
        <w:t>e la soixante-quatrième session</w:t>
      </w:r>
      <w:r w:rsidRPr="0045552F">
        <w:rPr>
          <w:lang w:val="fr-FR"/>
        </w:rPr>
        <w:t>. Un nouvel État partie a accepté la modification du paragraphe</w:t>
      </w:r>
      <w:r w:rsidR="00BA1CBA">
        <w:rPr>
          <w:lang w:val="fr-FR"/>
        </w:rPr>
        <w:t> </w:t>
      </w:r>
      <w:r w:rsidRPr="0045552F">
        <w:rPr>
          <w:lang w:val="fr-FR"/>
        </w:rPr>
        <w:t>1 de l’article</w:t>
      </w:r>
      <w:r w:rsidR="00BA1CBA">
        <w:rPr>
          <w:lang w:val="fr-FR"/>
        </w:rPr>
        <w:t> </w:t>
      </w:r>
      <w:r w:rsidRPr="0045552F">
        <w:rPr>
          <w:lang w:val="fr-FR"/>
        </w:rPr>
        <w:t xml:space="preserve">20 de la Convention relatif à la période de réunion du Comité, </w:t>
      </w:r>
      <w:r>
        <w:rPr>
          <w:lang w:val="fr-FR"/>
        </w:rPr>
        <w:t>ce qui porte</w:t>
      </w:r>
      <w:r w:rsidRPr="0045552F">
        <w:rPr>
          <w:lang w:val="fr-FR"/>
        </w:rPr>
        <w:t xml:space="preserve"> à 71 le nombre total des</w:t>
      </w:r>
      <w:r>
        <w:rPr>
          <w:lang w:val="fr-FR"/>
        </w:rPr>
        <w:t xml:space="preserve"> États parties l</w:t>
      </w:r>
      <w:r w:rsidR="007D2830">
        <w:rPr>
          <w:lang w:val="fr-FR"/>
        </w:rPr>
        <w:t>’</w:t>
      </w:r>
      <w:r>
        <w:rPr>
          <w:lang w:val="fr-FR"/>
        </w:rPr>
        <w:t>ayant acceptée</w:t>
      </w:r>
      <w:r w:rsidRPr="0045552F">
        <w:rPr>
          <w:lang w:val="fr-FR"/>
        </w:rPr>
        <w:t>.</w:t>
      </w:r>
    </w:p>
    <w:p w:rsidR="002F117D" w:rsidRPr="0045552F" w:rsidRDefault="002F117D" w:rsidP="00AF74A3">
      <w:pPr>
        <w:pStyle w:val="SingleTxt"/>
        <w:numPr>
          <w:ilvl w:val="0"/>
          <w:numId w:val="7"/>
        </w:numPr>
        <w:spacing w:line="240" w:lineRule="exact"/>
        <w:rPr>
          <w:lang w:val="fr-FR"/>
        </w:rPr>
      </w:pPr>
      <w:r w:rsidRPr="0045552F">
        <w:rPr>
          <w:lang w:val="fr-FR"/>
        </w:rPr>
        <w:t>Au cours de la même période, un État supplémentaire a adhéré au Protocole facultatif se rapportant à la Convention, ce qui porte à 108 le nombre total d</w:t>
      </w:r>
      <w:r w:rsidR="007D2830">
        <w:rPr>
          <w:lang w:val="fr-FR"/>
        </w:rPr>
        <w:t>’</w:t>
      </w:r>
      <w:r w:rsidRPr="0045552F">
        <w:rPr>
          <w:lang w:val="fr-FR"/>
        </w:rPr>
        <w:t xml:space="preserve">États parties au Protocole facultatif.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5552F">
        <w:rPr>
          <w:lang w:val="fr-FR"/>
        </w:rPr>
        <w:tab/>
        <w:t>B.</w:t>
      </w:r>
      <w:r w:rsidRPr="0045552F">
        <w:rPr>
          <w:lang w:val="fr-FR"/>
        </w:rPr>
        <w:tab/>
        <w:t xml:space="preserve">Ouverture de la session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AF74A3">
      <w:pPr>
        <w:pStyle w:val="SingleTxt"/>
        <w:numPr>
          <w:ilvl w:val="0"/>
          <w:numId w:val="7"/>
        </w:numPr>
        <w:spacing w:line="240" w:lineRule="exact"/>
        <w:rPr>
          <w:lang w:val="fr-FR"/>
        </w:rPr>
      </w:pPr>
      <w:r w:rsidRPr="0045552F">
        <w:rPr>
          <w:lang w:val="fr-FR"/>
        </w:rPr>
        <w:t>Le Comité a tenu sa soixante-cinquième session à l’Office des Nations Unies à Genève, du</w:t>
      </w:r>
      <w:r>
        <w:rPr>
          <w:lang w:val="fr-FR"/>
        </w:rPr>
        <w:t xml:space="preserve"> 24</w:t>
      </w:r>
      <w:r w:rsidR="00BA1CBA">
        <w:rPr>
          <w:lang w:val="fr-FR"/>
        </w:rPr>
        <w:t> </w:t>
      </w:r>
      <w:r>
        <w:rPr>
          <w:lang w:val="fr-FR"/>
        </w:rPr>
        <w:t>octobre au 18</w:t>
      </w:r>
      <w:r w:rsidR="00BA1CBA">
        <w:rPr>
          <w:lang w:val="fr-FR"/>
        </w:rPr>
        <w:t> </w:t>
      </w:r>
      <w:r>
        <w:rPr>
          <w:lang w:val="fr-FR"/>
        </w:rPr>
        <w:t>novembre 2016</w:t>
      </w:r>
      <w:r w:rsidRPr="0045552F">
        <w:rPr>
          <w:lang w:val="fr-FR"/>
        </w:rPr>
        <w:t>. Il a tenu 27</w:t>
      </w:r>
      <w:r w:rsidR="00BA1CBA">
        <w:rPr>
          <w:lang w:val="fr-FR"/>
        </w:rPr>
        <w:t> </w:t>
      </w:r>
      <w:r w:rsidRPr="0045552F">
        <w:rPr>
          <w:lang w:val="fr-FR"/>
        </w:rPr>
        <w:t>séances plénières et 12</w:t>
      </w:r>
      <w:r w:rsidR="00BA1CBA">
        <w:rPr>
          <w:lang w:val="fr-FR"/>
        </w:rPr>
        <w:t> </w:t>
      </w:r>
      <w:r w:rsidRPr="0045552F">
        <w:rPr>
          <w:lang w:val="fr-FR"/>
        </w:rPr>
        <w:t xml:space="preserve">autres séances pour examiner les </w:t>
      </w:r>
      <w:r>
        <w:rPr>
          <w:lang w:val="fr-FR"/>
        </w:rPr>
        <w:t>points 5 à 8 de l’ordre du jour</w:t>
      </w:r>
      <w:r w:rsidRPr="0045552F">
        <w:rPr>
          <w:lang w:val="fr-FR"/>
        </w:rPr>
        <w:t>. La liste des documents dont il était saisi se trouve à l’annexe I à la deu</w:t>
      </w:r>
      <w:r>
        <w:rPr>
          <w:lang w:val="fr-FR"/>
        </w:rPr>
        <w:t>xième partie du présent rapport</w:t>
      </w:r>
      <w:r w:rsidRPr="0045552F">
        <w:rPr>
          <w:lang w:val="fr-FR"/>
        </w:rPr>
        <w:t xml:space="preserve">. </w:t>
      </w:r>
    </w:p>
    <w:p w:rsidR="002F117D" w:rsidRPr="0045552F" w:rsidRDefault="002F117D" w:rsidP="00AF74A3">
      <w:pPr>
        <w:pStyle w:val="SingleTxt"/>
        <w:numPr>
          <w:ilvl w:val="0"/>
          <w:numId w:val="7"/>
        </w:numPr>
        <w:spacing w:line="240" w:lineRule="exact"/>
        <w:rPr>
          <w:lang w:val="fr-FR"/>
        </w:rPr>
      </w:pPr>
      <w:r>
        <w:rPr>
          <w:lang w:val="fr-FR"/>
        </w:rPr>
        <w:t>À la 1431</w:t>
      </w:r>
      <w:r w:rsidRPr="0045552F">
        <w:rPr>
          <w:vertAlign w:val="superscript"/>
          <w:lang w:val="fr-FR"/>
        </w:rPr>
        <w:t>e</w:t>
      </w:r>
      <w:r w:rsidR="00BA1CBA">
        <w:rPr>
          <w:lang w:val="fr-FR"/>
        </w:rPr>
        <w:t> </w:t>
      </w:r>
      <w:r w:rsidRPr="0045552F">
        <w:rPr>
          <w:lang w:val="fr-FR"/>
        </w:rPr>
        <w:t>séance, le 24</w:t>
      </w:r>
      <w:r w:rsidR="00BA1CBA">
        <w:rPr>
          <w:lang w:val="fr-FR"/>
        </w:rPr>
        <w:t> </w:t>
      </w:r>
      <w:r w:rsidRPr="0045552F">
        <w:rPr>
          <w:lang w:val="fr-FR"/>
        </w:rPr>
        <w:t xml:space="preserve">octobre 2016, la session </w:t>
      </w:r>
      <w:r>
        <w:rPr>
          <w:lang w:val="fr-FR"/>
        </w:rPr>
        <w:t>a été ouverte par la Présidente</w:t>
      </w:r>
      <w:r w:rsidRPr="0045552F">
        <w:rPr>
          <w:lang w:val="fr-FR"/>
        </w:rPr>
        <w:t>.</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5552F">
        <w:rPr>
          <w:lang w:val="fr-FR"/>
        </w:rPr>
        <w:tab/>
        <w:t>C.</w:t>
      </w:r>
      <w:r w:rsidRPr="0045552F">
        <w:rPr>
          <w:lang w:val="fr-FR"/>
        </w:rPr>
        <w:tab/>
        <w:t xml:space="preserve">Adoption de l’ordre du jour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AF74A3">
      <w:pPr>
        <w:pStyle w:val="SingleTxt"/>
        <w:numPr>
          <w:ilvl w:val="0"/>
          <w:numId w:val="7"/>
        </w:numPr>
        <w:spacing w:line="240" w:lineRule="exact"/>
        <w:rPr>
          <w:lang w:val="fr-FR"/>
        </w:rPr>
      </w:pPr>
      <w:r>
        <w:rPr>
          <w:lang w:val="fr-FR"/>
        </w:rPr>
        <w:t>À sa 1431</w:t>
      </w:r>
      <w:r w:rsidRPr="0045552F">
        <w:rPr>
          <w:vertAlign w:val="superscript"/>
          <w:lang w:val="fr-FR"/>
        </w:rPr>
        <w:t>e</w:t>
      </w:r>
      <w:r w:rsidR="00BA1CBA">
        <w:rPr>
          <w:lang w:val="fr-FR"/>
        </w:rPr>
        <w:t> </w:t>
      </w:r>
      <w:r w:rsidRPr="0045552F">
        <w:rPr>
          <w:lang w:val="fr-FR"/>
        </w:rPr>
        <w:t>séance, le 24</w:t>
      </w:r>
      <w:r w:rsidR="00BA1CBA">
        <w:rPr>
          <w:lang w:val="fr-FR"/>
        </w:rPr>
        <w:t> </w:t>
      </w:r>
      <w:r w:rsidRPr="0045552F">
        <w:rPr>
          <w:lang w:val="fr-FR"/>
        </w:rPr>
        <w:t>octobre 2016, le Comité a adopté l’ordre du</w:t>
      </w:r>
      <w:r>
        <w:rPr>
          <w:lang w:val="fr-FR"/>
        </w:rPr>
        <w:t xml:space="preserve"> jour provisoire de sa session </w:t>
      </w:r>
      <w:r w:rsidRPr="0045552F">
        <w:rPr>
          <w:lang w:val="fr-FR"/>
        </w:rPr>
        <w:t>(</w:t>
      </w:r>
      <w:hyperlink r:id="rId56" w:history="1">
        <w:r w:rsidRPr="0045552F">
          <w:rPr>
            <w:rStyle w:val="Hyperlink"/>
            <w:lang w:val="fr-FR"/>
          </w:rPr>
          <w:t>CEDAW/C/65/1</w:t>
        </w:r>
      </w:hyperlink>
      <w:r w:rsidRPr="0045552F">
        <w:rPr>
          <w:lang w:val="fr-FR"/>
        </w:rPr>
        <w:t xml:space="preserve">).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45552F"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5552F">
        <w:rPr>
          <w:lang w:val="fr-FR"/>
        </w:rPr>
        <w:tab/>
      </w:r>
      <w:r w:rsidR="00BA1CBA">
        <w:rPr>
          <w:lang w:val="fr-FR"/>
        </w:rPr>
        <w:t>D.</w:t>
      </w:r>
      <w:r w:rsidR="00BA1CBA">
        <w:rPr>
          <w:lang w:val="fr-FR"/>
        </w:rPr>
        <w:tab/>
      </w:r>
      <w:r w:rsidRPr="0045552F">
        <w:rPr>
          <w:lang w:val="fr-FR"/>
        </w:rPr>
        <w:t>Rappo</w:t>
      </w:r>
      <w:r>
        <w:rPr>
          <w:lang w:val="fr-FR"/>
        </w:rPr>
        <w:t>rt du groupe de travail d’avant-</w:t>
      </w:r>
      <w:r w:rsidRPr="0045552F">
        <w:rPr>
          <w:lang w:val="fr-FR"/>
        </w:rPr>
        <w:t xml:space="preserve">session </w:t>
      </w:r>
    </w:p>
    <w:p w:rsidR="002F117D" w:rsidRPr="0045552F" w:rsidRDefault="002F117D" w:rsidP="002F117D">
      <w:pPr>
        <w:pStyle w:val="SingleTxt"/>
        <w:spacing w:after="0" w:line="120" w:lineRule="exact"/>
        <w:rPr>
          <w:sz w:val="10"/>
          <w:lang w:val="fr-FR"/>
        </w:rPr>
      </w:pPr>
    </w:p>
    <w:p w:rsidR="002F117D" w:rsidRPr="0045552F" w:rsidRDefault="002F117D" w:rsidP="002F117D">
      <w:pPr>
        <w:pStyle w:val="SingleTxt"/>
        <w:spacing w:after="0" w:line="120" w:lineRule="exact"/>
        <w:rPr>
          <w:sz w:val="10"/>
          <w:lang w:val="fr-FR"/>
        </w:rPr>
      </w:pPr>
    </w:p>
    <w:p w:rsidR="002F117D" w:rsidRPr="00A55AAB" w:rsidRDefault="002F117D" w:rsidP="00AF74A3">
      <w:pPr>
        <w:pStyle w:val="SingleTxt"/>
        <w:numPr>
          <w:ilvl w:val="0"/>
          <w:numId w:val="7"/>
        </w:numPr>
        <w:spacing w:line="240" w:lineRule="exact"/>
        <w:rPr>
          <w:lang w:val="fr-FR"/>
        </w:rPr>
      </w:pPr>
      <w:r w:rsidRPr="00A55AAB">
        <w:rPr>
          <w:lang w:val="fr-FR"/>
        </w:rPr>
        <w:t>Le rapport du groupe de travail d’ava</w:t>
      </w:r>
      <w:r>
        <w:rPr>
          <w:lang w:val="fr-FR"/>
        </w:rPr>
        <w:t>nt-</w:t>
      </w:r>
      <w:r w:rsidRPr="00A55AAB">
        <w:rPr>
          <w:lang w:val="fr-FR"/>
        </w:rPr>
        <w:t>session (</w:t>
      </w:r>
      <w:hyperlink r:id="rId57" w:history="1">
        <w:r w:rsidRPr="00A55AAB">
          <w:rPr>
            <w:rStyle w:val="Hyperlink"/>
            <w:lang w:val="fr-FR"/>
          </w:rPr>
          <w:t>CEDAW/C/PSWG/65/1</w:t>
        </w:r>
      </w:hyperlink>
      <w:r w:rsidRPr="00A55AAB">
        <w:rPr>
          <w:lang w:val="fr-FR"/>
        </w:rPr>
        <w:t>), qui s’était réuni du 7 au 11</w:t>
      </w:r>
      <w:r w:rsidR="00D944D7">
        <w:rPr>
          <w:lang w:val="fr-FR"/>
        </w:rPr>
        <w:t> mars</w:t>
      </w:r>
      <w:r w:rsidRPr="00A55AAB">
        <w:rPr>
          <w:lang w:val="fr-FR"/>
        </w:rPr>
        <w:t xml:space="preserve"> 2016, a été présenté par Ismat Jahan à la 1431</w:t>
      </w:r>
      <w:r w:rsidRPr="00A55AAB">
        <w:rPr>
          <w:vertAlign w:val="superscript"/>
          <w:lang w:val="fr-FR"/>
        </w:rPr>
        <w:t>e</w:t>
      </w:r>
      <w:r w:rsidR="00BA1CBA">
        <w:rPr>
          <w:lang w:val="fr-FR"/>
        </w:rPr>
        <w:t> </w:t>
      </w:r>
      <w:r>
        <w:rPr>
          <w:lang w:val="fr-FR"/>
        </w:rPr>
        <w:t>séance, le 24</w:t>
      </w:r>
      <w:r w:rsidR="00D944D7">
        <w:rPr>
          <w:lang w:val="fr-FR"/>
        </w:rPr>
        <w:t> octobre</w:t>
      </w:r>
      <w:r>
        <w:rPr>
          <w:lang w:val="fr-FR"/>
        </w:rPr>
        <w:t xml:space="preserve"> 2016</w:t>
      </w:r>
      <w:r w:rsidRPr="00A55AAB">
        <w:rPr>
          <w:lang w:val="fr-FR"/>
        </w:rPr>
        <w:t xml:space="preserve">. </w:t>
      </w:r>
    </w:p>
    <w:p w:rsidR="002F117D" w:rsidRPr="00A55AAB" w:rsidRDefault="002F117D" w:rsidP="002F117D">
      <w:pPr>
        <w:pStyle w:val="SingleTxt"/>
        <w:spacing w:after="0" w:line="120" w:lineRule="exact"/>
        <w:rPr>
          <w:sz w:val="10"/>
          <w:lang w:val="fr-FR"/>
        </w:rPr>
      </w:pPr>
    </w:p>
    <w:p w:rsidR="002F117D" w:rsidRPr="00A55AAB" w:rsidRDefault="002F117D" w:rsidP="002F117D">
      <w:pPr>
        <w:pStyle w:val="SingleTxt"/>
        <w:spacing w:after="0" w:line="120" w:lineRule="exact"/>
        <w:rPr>
          <w:sz w:val="10"/>
          <w:lang w:val="fr-FR"/>
        </w:rPr>
      </w:pPr>
    </w:p>
    <w:p w:rsidR="002F117D" w:rsidRPr="00770465"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55AAB">
        <w:rPr>
          <w:lang w:val="fr-FR"/>
        </w:rPr>
        <w:tab/>
      </w:r>
      <w:r w:rsidRPr="00770465">
        <w:rPr>
          <w:lang w:val="fr-FR"/>
        </w:rPr>
        <w:t>E.</w:t>
      </w:r>
      <w:r w:rsidRPr="00770465">
        <w:rPr>
          <w:lang w:val="fr-FR"/>
        </w:rPr>
        <w:tab/>
        <w:t xml:space="preserve">Organisation des travaux </w:t>
      </w:r>
    </w:p>
    <w:p w:rsidR="002F117D" w:rsidRPr="00770465" w:rsidRDefault="002F117D" w:rsidP="002F117D">
      <w:pPr>
        <w:pStyle w:val="SingleTxt"/>
        <w:spacing w:after="0" w:line="120" w:lineRule="exact"/>
        <w:rPr>
          <w:sz w:val="10"/>
          <w:lang w:val="fr-FR"/>
        </w:rPr>
      </w:pPr>
    </w:p>
    <w:p w:rsidR="002F117D" w:rsidRPr="00770465" w:rsidRDefault="002F117D" w:rsidP="002F117D">
      <w:pPr>
        <w:pStyle w:val="SingleTxt"/>
        <w:spacing w:after="0" w:line="120" w:lineRule="exact"/>
        <w:rPr>
          <w:sz w:val="10"/>
          <w:lang w:val="fr-FR"/>
        </w:rPr>
      </w:pPr>
    </w:p>
    <w:p w:rsidR="002F117D" w:rsidRPr="00770465" w:rsidRDefault="002F117D" w:rsidP="00AF74A3">
      <w:pPr>
        <w:pStyle w:val="SingleTxt"/>
        <w:numPr>
          <w:ilvl w:val="0"/>
          <w:numId w:val="7"/>
        </w:numPr>
        <w:spacing w:line="240" w:lineRule="exact"/>
        <w:rPr>
          <w:lang w:val="fr-FR"/>
        </w:rPr>
      </w:pPr>
      <w:r w:rsidRPr="00770465">
        <w:rPr>
          <w:lang w:val="fr-FR"/>
        </w:rPr>
        <w:t>Les 24 et 31</w:t>
      </w:r>
      <w:r w:rsidR="00BA1CBA">
        <w:rPr>
          <w:lang w:val="fr-FR"/>
        </w:rPr>
        <w:t> </w:t>
      </w:r>
      <w:r w:rsidRPr="00770465">
        <w:rPr>
          <w:lang w:val="fr-FR"/>
        </w:rPr>
        <w:t>octobre et le 7</w:t>
      </w:r>
      <w:r w:rsidR="00BA1CBA">
        <w:rPr>
          <w:lang w:val="fr-FR"/>
        </w:rPr>
        <w:t> </w:t>
      </w:r>
      <w:r w:rsidRPr="00770465">
        <w:rPr>
          <w:lang w:val="fr-FR"/>
        </w:rPr>
        <w:t>novembre 2016, le Comité a tenu des séances privées avec des représentants d’institutions spécialisées et de fonds et programmes des Nations Unies, ainsi que d’autres organisations intergouvernementales, qui lui ont communiqué des informations concernant certains pays ainsi que des renseignements sur l’action qu’ils menaient pour promouvoir</w:t>
      </w:r>
      <w:r>
        <w:rPr>
          <w:lang w:val="fr-FR"/>
        </w:rPr>
        <w:t xml:space="preserve"> l’application de la Convention</w:t>
      </w:r>
      <w:r w:rsidRPr="00770465">
        <w:rPr>
          <w:lang w:val="fr-FR"/>
        </w:rPr>
        <w:t xml:space="preserve">. </w:t>
      </w:r>
    </w:p>
    <w:p w:rsidR="002F117D" w:rsidRPr="00770465" w:rsidRDefault="002F117D" w:rsidP="00AF74A3">
      <w:pPr>
        <w:pStyle w:val="SingleTxt"/>
        <w:numPr>
          <w:ilvl w:val="0"/>
          <w:numId w:val="7"/>
        </w:numPr>
        <w:spacing w:line="240" w:lineRule="exact"/>
        <w:rPr>
          <w:lang w:val="fr-FR"/>
        </w:rPr>
      </w:pPr>
      <w:r w:rsidRPr="00770465">
        <w:rPr>
          <w:lang w:val="fr-FR"/>
        </w:rPr>
        <w:t xml:space="preserve">En outre, </w:t>
      </w:r>
      <w:r>
        <w:rPr>
          <w:lang w:val="fr-FR"/>
        </w:rPr>
        <w:t xml:space="preserve">le Comité </w:t>
      </w:r>
      <w:r w:rsidRPr="00770465">
        <w:rPr>
          <w:lang w:val="fr-FR"/>
        </w:rPr>
        <w:t>a tenu des séances publiques informelles avec des représentants d’organisations non gouvernementales et d’institutions nationales de défense des droits de l’homme, qui lui ont communiqué des renseignements sur l’application de la Convention par les États parties dont le Comité avait prévu d’examiner les rapports à sa soixante-cinquième session.</w:t>
      </w:r>
    </w:p>
    <w:p w:rsidR="002F117D" w:rsidRPr="00770465" w:rsidRDefault="002F117D" w:rsidP="00AF74A3">
      <w:pPr>
        <w:pStyle w:val="SingleTxt"/>
        <w:numPr>
          <w:ilvl w:val="0"/>
          <w:numId w:val="7"/>
        </w:numPr>
        <w:spacing w:line="240" w:lineRule="exact"/>
        <w:rPr>
          <w:lang w:val="fr-FR"/>
        </w:rPr>
      </w:pPr>
      <w:r w:rsidRPr="00770465">
        <w:rPr>
          <w:lang w:val="fr-FR"/>
        </w:rPr>
        <w:lastRenderedPageBreak/>
        <w:t>Le 24</w:t>
      </w:r>
      <w:r w:rsidR="00D944D7">
        <w:rPr>
          <w:lang w:val="fr-FR"/>
        </w:rPr>
        <w:t> octobre</w:t>
      </w:r>
      <w:r w:rsidRPr="00770465">
        <w:rPr>
          <w:lang w:val="fr-FR"/>
        </w:rPr>
        <w:t xml:space="preserve"> 2016, Clemencia Muñoz-Tamayo, du Centre de formation d</w:t>
      </w:r>
      <w:r>
        <w:rPr>
          <w:lang w:val="fr-FR"/>
        </w:rPr>
        <w:t>’</w:t>
      </w:r>
      <w:r w:rsidRPr="00770465">
        <w:rPr>
          <w:lang w:val="fr-FR"/>
        </w:rPr>
        <w:t>ONU-Femmes à Saint-Domingue, a fait un exposé par visioconférence concernant le nouvel outil de formation en ligne sur la Convent</w:t>
      </w:r>
      <w:r>
        <w:rPr>
          <w:lang w:val="fr-FR"/>
        </w:rPr>
        <w:t>ion mis en place par ONU-Femmes</w:t>
      </w:r>
      <w:r w:rsidRPr="00770465">
        <w:rPr>
          <w:lang w:val="fr-FR"/>
        </w:rPr>
        <w:t>.</w:t>
      </w:r>
    </w:p>
    <w:p w:rsidR="002F117D" w:rsidRPr="00770465" w:rsidRDefault="002F117D" w:rsidP="00AF74A3">
      <w:pPr>
        <w:pStyle w:val="SingleTxt"/>
        <w:numPr>
          <w:ilvl w:val="0"/>
          <w:numId w:val="7"/>
        </w:numPr>
        <w:spacing w:line="240" w:lineRule="exact"/>
        <w:rPr>
          <w:lang w:val="fr-FR"/>
        </w:rPr>
      </w:pPr>
      <w:r w:rsidRPr="00770465">
        <w:rPr>
          <w:lang w:val="fr-FR"/>
        </w:rPr>
        <w:t>Le 28</w:t>
      </w:r>
      <w:r w:rsidR="00D944D7">
        <w:rPr>
          <w:lang w:val="fr-FR"/>
        </w:rPr>
        <w:t> octobre</w:t>
      </w:r>
      <w:r w:rsidRPr="00770465">
        <w:rPr>
          <w:lang w:val="fr-FR"/>
        </w:rPr>
        <w:t xml:space="preserve"> 2016, le Comité </w:t>
      </w:r>
      <w:r>
        <w:rPr>
          <w:lang w:val="fr-FR"/>
        </w:rPr>
        <w:t>s’est entretenu en privé</w:t>
      </w:r>
      <w:r w:rsidRPr="00770465">
        <w:rPr>
          <w:lang w:val="fr-FR"/>
        </w:rPr>
        <w:t xml:space="preserve"> avec des parlementaires </w:t>
      </w:r>
      <w:r>
        <w:rPr>
          <w:lang w:val="fr-FR"/>
        </w:rPr>
        <w:t>qui avaient participé à la 135</w:t>
      </w:r>
      <w:r w:rsidRPr="00191CEE">
        <w:rPr>
          <w:vertAlign w:val="superscript"/>
          <w:lang w:val="fr-FR"/>
        </w:rPr>
        <w:t>e</w:t>
      </w:r>
      <w:r>
        <w:rPr>
          <w:lang w:val="fr-FR"/>
        </w:rPr>
        <w:t xml:space="preserve"> </w:t>
      </w:r>
      <w:r w:rsidRPr="00770465">
        <w:rPr>
          <w:lang w:val="fr-FR"/>
        </w:rPr>
        <w:t>Assemblée de l</w:t>
      </w:r>
      <w:r w:rsidR="007D2830">
        <w:rPr>
          <w:lang w:val="fr-FR"/>
        </w:rPr>
        <w:t>’</w:t>
      </w:r>
      <w:r w:rsidRPr="00770465">
        <w:rPr>
          <w:lang w:val="fr-FR"/>
        </w:rPr>
        <w:t xml:space="preserve">Union interparlementaire à </w:t>
      </w:r>
      <w:r>
        <w:rPr>
          <w:lang w:val="fr-FR"/>
        </w:rPr>
        <w:t>Genève du 23 au 27</w:t>
      </w:r>
      <w:r w:rsidR="00D944D7">
        <w:rPr>
          <w:lang w:val="fr-FR"/>
        </w:rPr>
        <w:t> octobre</w:t>
      </w:r>
      <w:r>
        <w:rPr>
          <w:lang w:val="fr-FR"/>
        </w:rPr>
        <w:t xml:space="preserve"> 2016</w:t>
      </w:r>
      <w:r w:rsidRPr="00770465">
        <w:rPr>
          <w:lang w:val="fr-FR"/>
        </w:rPr>
        <w:t>.</w:t>
      </w:r>
    </w:p>
    <w:p w:rsidR="002F117D" w:rsidRPr="00770465" w:rsidRDefault="002F117D" w:rsidP="00AF74A3">
      <w:pPr>
        <w:pStyle w:val="SingleTxt"/>
        <w:numPr>
          <w:ilvl w:val="0"/>
          <w:numId w:val="7"/>
        </w:numPr>
        <w:spacing w:line="240" w:lineRule="exact"/>
        <w:rPr>
          <w:lang w:val="fr-FR"/>
        </w:rPr>
      </w:pPr>
      <w:r w:rsidRPr="00770465">
        <w:rPr>
          <w:lang w:val="fr-FR"/>
        </w:rPr>
        <w:t>Le 28</w:t>
      </w:r>
      <w:r w:rsidR="00D944D7">
        <w:rPr>
          <w:lang w:val="fr-FR"/>
        </w:rPr>
        <w:t> octobre</w:t>
      </w:r>
      <w:r w:rsidR="00910DE2">
        <w:rPr>
          <w:lang w:val="fr-FR"/>
        </w:rPr>
        <w:t xml:space="preserve"> 2016, la C</w:t>
      </w:r>
      <w:r w:rsidRPr="00770465">
        <w:rPr>
          <w:lang w:val="fr-FR"/>
        </w:rPr>
        <w:t>heffe du Service des services statistiques de la Division de statistique a fait un exposé par visioconférence sur la mise au point d</w:t>
      </w:r>
      <w:r w:rsidR="007D2830">
        <w:rPr>
          <w:lang w:val="fr-FR"/>
        </w:rPr>
        <w:t>’</w:t>
      </w:r>
      <w:r w:rsidRPr="00770465">
        <w:rPr>
          <w:lang w:val="fr-FR"/>
        </w:rPr>
        <w:t>indicateurs pour le suivi des objectifs de développement durable, en particulier l</w:t>
      </w:r>
      <w:r w:rsidR="007D2830">
        <w:rPr>
          <w:lang w:val="fr-FR"/>
        </w:rPr>
        <w:t>’</w:t>
      </w:r>
      <w:r w:rsidRPr="00770465">
        <w:rPr>
          <w:lang w:val="fr-FR"/>
        </w:rPr>
        <w:t>indicateur 5.1.1 relatif aux cadres législatifs visant à mettre fin à la disc</w:t>
      </w:r>
      <w:r>
        <w:rPr>
          <w:lang w:val="fr-FR"/>
        </w:rPr>
        <w:t>rimination à l</w:t>
      </w:r>
      <w:r w:rsidR="007D2830">
        <w:rPr>
          <w:lang w:val="fr-FR"/>
        </w:rPr>
        <w:t>’</w:t>
      </w:r>
      <w:r>
        <w:rPr>
          <w:lang w:val="fr-FR"/>
        </w:rPr>
        <w:t>égard des femmes</w:t>
      </w:r>
      <w:r w:rsidRPr="00770465">
        <w:rPr>
          <w:lang w:val="fr-FR"/>
        </w:rPr>
        <w:t>.</w:t>
      </w:r>
    </w:p>
    <w:p w:rsidR="002F117D" w:rsidRPr="00770465" w:rsidRDefault="002F117D" w:rsidP="00AF74A3">
      <w:pPr>
        <w:pStyle w:val="SingleTxt"/>
        <w:numPr>
          <w:ilvl w:val="0"/>
          <w:numId w:val="7"/>
        </w:numPr>
        <w:spacing w:line="240" w:lineRule="exact"/>
        <w:rPr>
          <w:spacing w:val="2"/>
          <w:lang w:val="fr-FR"/>
        </w:rPr>
      </w:pPr>
      <w:r w:rsidRPr="00770465">
        <w:rPr>
          <w:spacing w:val="2"/>
          <w:lang w:val="fr-FR"/>
        </w:rPr>
        <w:t>Le 31</w:t>
      </w:r>
      <w:r w:rsidR="00D944D7">
        <w:rPr>
          <w:spacing w:val="2"/>
          <w:lang w:val="fr-FR"/>
        </w:rPr>
        <w:t> octobre</w:t>
      </w:r>
      <w:r w:rsidRPr="00770465">
        <w:rPr>
          <w:spacing w:val="2"/>
          <w:lang w:val="fr-FR"/>
        </w:rPr>
        <w:t xml:space="preserve"> 2016, le Comité a rencontré la Rapporteuse spéciale sur la violence contre les femmes, ses causes et ses conséquences, Dubravka Šimonović, pour discuter du renforcement de la coopération, notamment en ce qui concerne son projet de recommandation générale sur l</w:t>
      </w:r>
      <w:r>
        <w:rPr>
          <w:spacing w:val="2"/>
          <w:lang w:val="fr-FR"/>
        </w:rPr>
        <w:t>a violence à l’égard des femmes</w:t>
      </w:r>
      <w:r w:rsidRPr="00770465">
        <w:rPr>
          <w:lang w:val="fr-FR" w:eastAsia="en-GB"/>
        </w:rPr>
        <w:t>.</w:t>
      </w:r>
    </w:p>
    <w:p w:rsidR="002F117D" w:rsidRPr="004A424E" w:rsidRDefault="002F117D" w:rsidP="00AF74A3">
      <w:pPr>
        <w:pStyle w:val="SingleTxt"/>
        <w:numPr>
          <w:ilvl w:val="0"/>
          <w:numId w:val="7"/>
        </w:numPr>
        <w:spacing w:line="240" w:lineRule="exact"/>
        <w:rPr>
          <w:lang w:val="fr-FR"/>
        </w:rPr>
      </w:pPr>
      <w:r w:rsidRPr="004A424E">
        <w:rPr>
          <w:lang w:val="fr-FR"/>
        </w:rPr>
        <w:t>Le 11</w:t>
      </w:r>
      <w:r w:rsidR="00D944D7">
        <w:rPr>
          <w:lang w:val="fr-FR"/>
        </w:rPr>
        <w:t> novembre</w:t>
      </w:r>
      <w:r w:rsidRPr="004A424E">
        <w:rPr>
          <w:lang w:val="fr-FR"/>
        </w:rPr>
        <w:t xml:space="preserve"> 2016, le Comité a tenu une </w:t>
      </w:r>
      <w:r>
        <w:rPr>
          <w:lang w:val="fr-FR"/>
        </w:rPr>
        <w:t>séance</w:t>
      </w:r>
      <w:r w:rsidRPr="004A424E">
        <w:rPr>
          <w:lang w:val="fr-FR"/>
        </w:rPr>
        <w:t xml:space="preserve"> informelle avec le Comité contre la torture pour examiner des questions liées à la violen</w:t>
      </w:r>
      <w:r>
        <w:rPr>
          <w:lang w:val="fr-FR"/>
        </w:rPr>
        <w:t>ce sexiste à l</w:t>
      </w:r>
      <w:r w:rsidR="007D2830">
        <w:rPr>
          <w:lang w:val="fr-FR"/>
        </w:rPr>
        <w:t>’</w:t>
      </w:r>
      <w:r>
        <w:rPr>
          <w:lang w:val="fr-FR"/>
        </w:rPr>
        <w:t>égard des femmes</w:t>
      </w:r>
      <w:r w:rsidRPr="004A424E">
        <w:rPr>
          <w:lang w:val="fr-FR"/>
        </w:rPr>
        <w:t>.</w:t>
      </w:r>
    </w:p>
    <w:p w:rsidR="002F117D" w:rsidRPr="004A424E" w:rsidRDefault="002F117D" w:rsidP="00AF74A3">
      <w:pPr>
        <w:pStyle w:val="SingleTxt"/>
        <w:numPr>
          <w:ilvl w:val="0"/>
          <w:numId w:val="7"/>
        </w:numPr>
        <w:spacing w:line="240" w:lineRule="exact"/>
        <w:rPr>
          <w:lang w:val="fr-FR"/>
        </w:rPr>
      </w:pPr>
      <w:r w:rsidRPr="004A424E">
        <w:rPr>
          <w:lang w:val="fr-FR"/>
        </w:rPr>
        <w:t>Le 17</w:t>
      </w:r>
      <w:r w:rsidR="00D944D7">
        <w:rPr>
          <w:lang w:val="fr-FR"/>
        </w:rPr>
        <w:t> novembre</w:t>
      </w:r>
      <w:r w:rsidRPr="004A424E">
        <w:rPr>
          <w:lang w:val="fr-FR"/>
        </w:rPr>
        <w:t xml:space="preserve"> 2016, le Comité a tenu une séance informelle avec les États parties à la Convention, à laquelle 71 États parties ont </w:t>
      </w:r>
      <w:r>
        <w:rPr>
          <w:lang w:val="fr-FR"/>
        </w:rPr>
        <w:t>participé</w:t>
      </w:r>
      <w:r w:rsidRPr="004A424E">
        <w:rPr>
          <w:lang w:val="fr-FR"/>
        </w:rPr>
        <w:t xml:space="preserve">. Il a fourni aux États parties des informations au sujet de la mise en œuvre de la Convention et du Protocole facultatif, conformément à la résolution </w:t>
      </w:r>
      <w:hyperlink r:id="rId58" w:history="1">
        <w:r w:rsidRPr="00D944D7">
          <w:rPr>
            <w:rStyle w:val="Hyperlink"/>
            <w:lang w:val="fr-FR"/>
          </w:rPr>
          <w:t>68/268</w:t>
        </w:r>
      </w:hyperlink>
      <w:r w:rsidRPr="004A424E">
        <w:rPr>
          <w:lang w:val="fr-FR"/>
        </w:rPr>
        <w:t xml:space="preserve"> de l’Assemblée générale sur le renforcement et l’amélioration du fonctionnement de l’ensemble des organes conventionnels des droits de l’homme, de sa collaboration avec ONU-Femmes sur l’indicateur 5.1.1 des objectifs de développement durable et de ses travaux récents sur les proje</w:t>
      </w:r>
      <w:r>
        <w:rPr>
          <w:lang w:val="fr-FR"/>
        </w:rPr>
        <w:t>ts de recommandations générale</w:t>
      </w:r>
      <w:r w:rsidRPr="004A424E">
        <w:rPr>
          <w:lang w:val="fr-FR"/>
        </w:rPr>
        <w:t>s.</w:t>
      </w:r>
    </w:p>
    <w:p w:rsidR="002F117D" w:rsidRPr="004A424E" w:rsidRDefault="002F117D" w:rsidP="002F117D">
      <w:pPr>
        <w:pStyle w:val="SingleTxt"/>
        <w:spacing w:after="0" w:line="120" w:lineRule="exact"/>
        <w:rPr>
          <w:sz w:val="10"/>
          <w:lang w:val="fr-FR"/>
        </w:rPr>
      </w:pPr>
    </w:p>
    <w:p w:rsidR="002F117D" w:rsidRPr="004A424E" w:rsidRDefault="002F117D" w:rsidP="002F117D">
      <w:pPr>
        <w:pStyle w:val="SingleTxt"/>
        <w:spacing w:after="0" w:line="120" w:lineRule="exact"/>
        <w:rPr>
          <w:sz w:val="10"/>
          <w:lang w:val="fr-FR"/>
        </w:rPr>
      </w:pPr>
    </w:p>
    <w:p w:rsidR="002F117D" w:rsidRPr="004A424E" w:rsidRDefault="002F117D" w:rsidP="00BA1C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A424E">
        <w:rPr>
          <w:lang w:val="fr-FR"/>
        </w:rPr>
        <w:tab/>
        <w:t>F.</w:t>
      </w:r>
      <w:r w:rsidRPr="004A424E">
        <w:rPr>
          <w:lang w:val="fr-FR"/>
        </w:rPr>
        <w:tab/>
        <w:t xml:space="preserve">Composition du Comité </w:t>
      </w:r>
    </w:p>
    <w:p w:rsidR="002F117D" w:rsidRPr="004A424E" w:rsidRDefault="002F117D" w:rsidP="002F117D">
      <w:pPr>
        <w:pStyle w:val="SingleTxt"/>
        <w:spacing w:after="0" w:line="120" w:lineRule="exact"/>
        <w:rPr>
          <w:sz w:val="10"/>
          <w:lang w:val="fr-FR"/>
        </w:rPr>
      </w:pPr>
    </w:p>
    <w:p w:rsidR="002F117D" w:rsidRPr="004A424E" w:rsidRDefault="002F117D" w:rsidP="002F117D">
      <w:pPr>
        <w:pStyle w:val="SingleTxt"/>
        <w:spacing w:after="0" w:line="120" w:lineRule="exact"/>
        <w:rPr>
          <w:sz w:val="10"/>
          <w:lang w:val="fr-FR"/>
        </w:rPr>
      </w:pPr>
    </w:p>
    <w:p w:rsidR="002F117D" w:rsidRDefault="002F117D" w:rsidP="00AF74A3">
      <w:pPr>
        <w:pStyle w:val="SingleTxt"/>
        <w:numPr>
          <w:ilvl w:val="0"/>
          <w:numId w:val="7"/>
        </w:numPr>
        <w:spacing w:line="240" w:lineRule="exact"/>
        <w:rPr>
          <w:lang w:val="fr-FR"/>
        </w:rPr>
      </w:pPr>
      <w:r w:rsidRPr="004A424E">
        <w:rPr>
          <w:lang w:val="fr-FR"/>
        </w:rPr>
        <w:t>Tous les membres, à l</w:t>
      </w:r>
      <w:r w:rsidR="007D2830">
        <w:rPr>
          <w:lang w:val="fr-FR"/>
        </w:rPr>
        <w:t>’</w:t>
      </w:r>
      <w:r w:rsidRPr="004A424E">
        <w:rPr>
          <w:lang w:val="fr-FR"/>
        </w:rPr>
        <w:t>exception de Bakhita Al-Dosari et de Nicole Ameline, ont assisté à la soixante-cinquième session. Les membres ci-après n</w:t>
      </w:r>
      <w:r w:rsidR="007D2830">
        <w:rPr>
          <w:lang w:val="fr-FR"/>
        </w:rPr>
        <w:t>’</w:t>
      </w:r>
      <w:r w:rsidRPr="004A424E">
        <w:rPr>
          <w:lang w:val="fr-FR"/>
        </w:rPr>
        <w:t>ont pas assisté aux dates indiquées</w:t>
      </w:r>
      <w:r w:rsidR="007D2830">
        <w:rPr>
          <w:lang w:val="fr-FR"/>
        </w:rPr>
        <w:t> :</w:t>
      </w:r>
      <w:r w:rsidRPr="004A424E">
        <w:rPr>
          <w:lang w:val="fr-FR"/>
        </w:rPr>
        <w:t xml:space="preserve"> Ayse Feride Acar, le 25</w:t>
      </w:r>
      <w:r w:rsidR="00D944D7">
        <w:rPr>
          <w:lang w:val="fr-FR"/>
        </w:rPr>
        <w:t> octobre</w:t>
      </w:r>
      <w:r w:rsidRPr="004A424E">
        <w:rPr>
          <w:lang w:val="fr-FR"/>
        </w:rPr>
        <w:t>, les 2 et 3</w:t>
      </w:r>
      <w:r w:rsidR="00D944D7">
        <w:rPr>
          <w:lang w:val="fr-FR"/>
        </w:rPr>
        <w:t> novembre</w:t>
      </w:r>
      <w:r w:rsidRPr="004A424E">
        <w:rPr>
          <w:lang w:val="fr-FR"/>
        </w:rPr>
        <w:t xml:space="preserve"> et du 7 au 10 et du 14 </w:t>
      </w:r>
      <w:r>
        <w:rPr>
          <w:lang w:val="fr-FR"/>
        </w:rPr>
        <w:t xml:space="preserve">au </w:t>
      </w:r>
      <w:r w:rsidRPr="004A424E">
        <w:rPr>
          <w:lang w:val="fr-FR"/>
        </w:rPr>
        <w:t>18</w:t>
      </w:r>
      <w:r w:rsidR="00D944D7">
        <w:rPr>
          <w:lang w:val="fr-FR"/>
        </w:rPr>
        <w:t> novembre</w:t>
      </w:r>
      <w:r w:rsidR="007D2830">
        <w:rPr>
          <w:lang w:val="fr-FR"/>
        </w:rPr>
        <w:t>;</w:t>
      </w:r>
      <w:r w:rsidRPr="004A424E">
        <w:rPr>
          <w:lang w:val="fr-FR"/>
        </w:rPr>
        <w:t xml:space="preserve"> Barbara Bailey, </w:t>
      </w:r>
      <w:r>
        <w:rPr>
          <w:lang w:val="fr-FR"/>
        </w:rPr>
        <w:t>du</w:t>
      </w:r>
      <w:r w:rsidRPr="004A424E">
        <w:rPr>
          <w:lang w:val="fr-FR"/>
        </w:rPr>
        <w:t xml:space="preserve"> 24 </w:t>
      </w:r>
      <w:r>
        <w:rPr>
          <w:lang w:val="fr-FR"/>
        </w:rPr>
        <w:t xml:space="preserve">au </w:t>
      </w:r>
      <w:r w:rsidRPr="004A424E">
        <w:rPr>
          <w:lang w:val="fr-FR"/>
        </w:rPr>
        <w:t>28</w:t>
      </w:r>
      <w:r w:rsidR="00D944D7">
        <w:rPr>
          <w:lang w:val="fr-FR"/>
        </w:rPr>
        <w:t> octobre</w:t>
      </w:r>
      <w:r w:rsidR="007D2830">
        <w:rPr>
          <w:lang w:val="fr-FR"/>
        </w:rPr>
        <w:t>;</w:t>
      </w:r>
      <w:r w:rsidRPr="004A424E">
        <w:rPr>
          <w:lang w:val="fr-FR"/>
        </w:rPr>
        <w:t xml:space="preserve"> Niklas Bruun, </w:t>
      </w:r>
      <w:r>
        <w:rPr>
          <w:lang w:val="fr-FR"/>
        </w:rPr>
        <w:t xml:space="preserve">les </w:t>
      </w:r>
      <w:r w:rsidRPr="004A424E">
        <w:rPr>
          <w:lang w:val="fr-FR"/>
        </w:rPr>
        <w:t xml:space="preserve">2 </w:t>
      </w:r>
      <w:r>
        <w:rPr>
          <w:lang w:val="fr-FR"/>
        </w:rPr>
        <w:t xml:space="preserve">et </w:t>
      </w:r>
      <w:r w:rsidRPr="004A424E">
        <w:rPr>
          <w:lang w:val="fr-FR"/>
        </w:rPr>
        <w:t>3</w:t>
      </w:r>
      <w:r w:rsidR="00D944D7">
        <w:rPr>
          <w:lang w:val="fr-FR"/>
        </w:rPr>
        <w:t> novembre</w:t>
      </w:r>
      <w:r w:rsidR="007D2830">
        <w:rPr>
          <w:lang w:val="fr-FR"/>
        </w:rPr>
        <w:t>;</w:t>
      </w:r>
      <w:r w:rsidRPr="004A424E">
        <w:rPr>
          <w:lang w:val="fr-FR"/>
        </w:rPr>
        <w:t xml:space="preserve"> Ruth Halperin-Kaddari, </w:t>
      </w:r>
      <w:r>
        <w:rPr>
          <w:lang w:val="fr-FR"/>
        </w:rPr>
        <w:t xml:space="preserve">le </w:t>
      </w:r>
      <w:r w:rsidRPr="004A424E">
        <w:rPr>
          <w:lang w:val="fr-FR"/>
        </w:rPr>
        <w:t>24</w:t>
      </w:r>
      <w:r w:rsidR="00D944D7">
        <w:rPr>
          <w:lang w:val="fr-FR"/>
        </w:rPr>
        <w:t> octobre</w:t>
      </w:r>
      <w:r w:rsidRPr="004A424E">
        <w:rPr>
          <w:lang w:val="fr-FR"/>
        </w:rPr>
        <w:t xml:space="preserve">, </w:t>
      </w:r>
      <w:r>
        <w:rPr>
          <w:lang w:val="fr-FR"/>
        </w:rPr>
        <w:t xml:space="preserve">le </w:t>
      </w:r>
      <w:r w:rsidRPr="004A424E">
        <w:rPr>
          <w:lang w:val="fr-FR"/>
        </w:rPr>
        <w:t>4</w:t>
      </w:r>
      <w:r w:rsidR="00D944D7">
        <w:rPr>
          <w:lang w:val="fr-FR"/>
        </w:rPr>
        <w:t> novembre</w:t>
      </w:r>
      <w:r w:rsidRPr="004A424E">
        <w:rPr>
          <w:lang w:val="fr-FR"/>
        </w:rPr>
        <w:t xml:space="preserve"> </w:t>
      </w:r>
      <w:r>
        <w:rPr>
          <w:lang w:val="fr-FR"/>
        </w:rPr>
        <w:t>et du</w:t>
      </w:r>
      <w:r w:rsidRPr="004A424E">
        <w:rPr>
          <w:lang w:val="fr-FR"/>
        </w:rPr>
        <w:t xml:space="preserve"> 11 </w:t>
      </w:r>
      <w:r>
        <w:rPr>
          <w:lang w:val="fr-FR"/>
        </w:rPr>
        <w:t xml:space="preserve">au </w:t>
      </w:r>
      <w:r w:rsidRPr="004A424E">
        <w:rPr>
          <w:lang w:val="fr-FR"/>
        </w:rPr>
        <w:t>18</w:t>
      </w:r>
      <w:r w:rsidR="00D944D7">
        <w:rPr>
          <w:lang w:val="fr-FR"/>
        </w:rPr>
        <w:t> novembre</w:t>
      </w:r>
      <w:r w:rsidR="007D2830">
        <w:rPr>
          <w:lang w:val="fr-FR"/>
        </w:rPr>
        <w:t>;</w:t>
      </w:r>
      <w:r w:rsidRPr="004A424E">
        <w:rPr>
          <w:lang w:val="fr-FR"/>
        </w:rPr>
        <w:t xml:space="preserve"> Ismat Jahan, </w:t>
      </w:r>
      <w:r>
        <w:rPr>
          <w:lang w:val="fr-FR"/>
        </w:rPr>
        <w:t xml:space="preserve">les </w:t>
      </w:r>
      <w:r w:rsidRPr="004A424E">
        <w:rPr>
          <w:lang w:val="fr-FR"/>
        </w:rPr>
        <w:t xml:space="preserve">3, 4, 7, 17 </w:t>
      </w:r>
      <w:r>
        <w:rPr>
          <w:lang w:val="fr-FR"/>
        </w:rPr>
        <w:t xml:space="preserve">et </w:t>
      </w:r>
      <w:r w:rsidRPr="004A424E">
        <w:rPr>
          <w:lang w:val="fr-FR"/>
        </w:rPr>
        <w:t>18</w:t>
      </w:r>
      <w:r w:rsidR="00D944D7">
        <w:rPr>
          <w:lang w:val="fr-FR"/>
        </w:rPr>
        <w:t> novembre</w:t>
      </w:r>
      <w:r w:rsidR="007D2830">
        <w:rPr>
          <w:lang w:val="fr-FR"/>
        </w:rPr>
        <w:t>;</w:t>
      </w:r>
      <w:r w:rsidRPr="004A424E">
        <w:rPr>
          <w:lang w:val="fr-FR"/>
        </w:rPr>
        <w:t xml:space="preserve"> Theodora Oby Nwankwo, </w:t>
      </w:r>
      <w:r>
        <w:rPr>
          <w:lang w:val="fr-FR"/>
        </w:rPr>
        <w:t xml:space="preserve">du </w:t>
      </w:r>
      <w:r w:rsidRPr="004A424E">
        <w:rPr>
          <w:lang w:val="fr-FR"/>
        </w:rPr>
        <w:t xml:space="preserve">24 </w:t>
      </w:r>
      <w:r>
        <w:rPr>
          <w:lang w:val="fr-FR"/>
        </w:rPr>
        <w:t xml:space="preserve">au </w:t>
      </w:r>
      <w:r w:rsidRPr="004A424E">
        <w:rPr>
          <w:lang w:val="fr-FR"/>
        </w:rPr>
        <w:t>28</w:t>
      </w:r>
      <w:r w:rsidR="00D944D7">
        <w:rPr>
          <w:lang w:val="fr-FR"/>
        </w:rPr>
        <w:t> octobre</w:t>
      </w:r>
      <w:r>
        <w:rPr>
          <w:lang w:val="fr-FR"/>
        </w:rPr>
        <w:t xml:space="preserve">, et </w:t>
      </w:r>
      <w:r w:rsidRPr="004A424E">
        <w:rPr>
          <w:lang w:val="fr-FR"/>
        </w:rPr>
        <w:t xml:space="preserve">Silvia Pimentel, </w:t>
      </w:r>
      <w:r>
        <w:rPr>
          <w:lang w:val="fr-FR"/>
        </w:rPr>
        <w:t xml:space="preserve">du </w:t>
      </w:r>
      <w:r w:rsidRPr="004A424E">
        <w:rPr>
          <w:lang w:val="fr-FR"/>
        </w:rPr>
        <w:t xml:space="preserve">14 </w:t>
      </w:r>
      <w:r>
        <w:rPr>
          <w:lang w:val="fr-FR"/>
        </w:rPr>
        <w:t xml:space="preserve">au </w:t>
      </w:r>
      <w:r w:rsidRPr="004A424E">
        <w:rPr>
          <w:lang w:val="fr-FR"/>
        </w:rPr>
        <w:t>18</w:t>
      </w:r>
      <w:r w:rsidR="00D944D7">
        <w:rPr>
          <w:lang w:val="fr-FR"/>
        </w:rPr>
        <w:t> novembre</w:t>
      </w:r>
      <w:r w:rsidRPr="004A424E">
        <w:rPr>
          <w:lang w:val="fr-FR"/>
        </w:rPr>
        <w:t>. On trouvera à l’annexe II à la deuxième partie du présent rapport la liste des membres du Comité, asso</w:t>
      </w:r>
      <w:r>
        <w:rPr>
          <w:lang w:val="fr-FR"/>
        </w:rPr>
        <w:t>rtie de la durée de leur mandat</w:t>
      </w:r>
      <w:r w:rsidRPr="004A424E">
        <w:rPr>
          <w:lang w:val="fr-FR"/>
        </w:rPr>
        <w:t>.</w:t>
      </w:r>
    </w:p>
    <w:p w:rsidR="002F117D" w:rsidRDefault="002F117D">
      <w:pPr>
        <w:spacing w:after="200" w:line="276" w:lineRule="auto"/>
      </w:pPr>
      <w: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III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t>Rapport de la Présidente sur les activités intersessions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BA1CBA" w:rsidRDefault="002F117D" w:rsidP="00AF74A3">
      <w:pPr>
        <w:pStyle w:val="ListParagraph"/>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BA1CBA">
        <w:rPr>
          <w:szCs w:val="20"/>
        </w:rPr>
        <w:t>À la 1431</w:t>
      </w:r>
      <w:r w:rsidRPr="00BA1CBA">
        <w:rPr>
          <w:szCs w:val="20"/>
          <w:vertAlign w:val="superscript"/>
        </w:rPr>
        <w:t>e</w:t>
      </w:r>
      <w:r w:rsidR="00BA1CBA">
        <w:rPr>
          <w:szCs w:val="20"/>
        </w:rPr>
        <w:t> </w:t>
      </w:r>
      <w:r w:rsidRPr="00BA1CBA">
        <w:rPr>
          <w:szCs w:val="20"/>
        </w:rPr>
        <w:t>séance, le 24</w:t>
      </w:r>
      <w:r w:rsidR="00BA1CBA">
        <w:rPr>
          <w:szCs w:val="20"/>
        </w:rPr>
        <w:t> </w:t>
      </w:r>
      <w:r w:rsidRPr="00BA1CBA">
        <w:rPr>
          <w:szCs w:val="20"/>
        </w:rPr>
        <w:t>octobre 2016, la Présidente a rendu compte des activités qu’elle a menées depuis la soixante-quatrième session.</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IV</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Examen des rapports présentés par les États parties</w:t>
      </w:r>
      <w:r w:rsidR="00D944D7">
        <w:rPr>
          <w:b/>
          <w:bCs/>
          <w:spacing w:val="-2"/>
          <w:sz w:val="28"/>
          <w:szCs w:val="20"/>
        </w:rPr>
        <w:t xml:space="preserve"> en </w:t>
      </w:r>
      <w:r w:rsidRPr="00D32FED">
        <w:rPr>
          <w:b/>
          <w:bCs/>
          <w:spacing w:val="-2"/>
          <w:sz w:val="28"/>
          <w:szCs w:val="20"/>
        </w:rPr>
        <w:t>application de l’article 18 de la Convention</w:t>
      </w:r>
      <w:r w:rsidRPr="00D32FED">
        <w:rPr>
          <w:b/>
          <w:spacing w:val="-2"/>
          <w:sz w:val="28"/>
          <w:szCs w:val="20"/>
        </w:rPr>
        <w:t xml:space="preserve">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BA1CBA" w:rsidRDefault="002F117D" w:rsidP="00AF74A3">
      <w:pPr>
        <w:pStyle w:val="ListParagraph"/>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BA1CBA">
        <w:rPr>
          <w:szCs w:val="20"/>
        </w:rPr>
        <w:t>Le Comité a examiné les rapports que 11 États parties lui avaient présentés en application de l’article 18 de la Convention et a ado</w:t>
      </w:r>
      <w:r w:rsidR="00910DE2">
        <w:rPr>
          <w:szCs w:val="20"/>
        </w:rPr>
        <w:t>pté les observations finales ci</w:t>
      </w:r>
      <w:r w:rsidR="00910DE2">
        <w:rPr>
          <w:szCs w:val="20"/>
        </w:rPr>
        <w:noBreakHyphen/>
      </w:r>
      <w:r w:rsidRPr="00BA1CBA">
        <w:rPr>
          <w:szCs w:val="20"/>
        </w:rPr>
        <w:t>après</w:t>
      </w:r>
      <w:r w:rsidR="007D2830">
        <w:rPr>
          <w:szCs w:val="20"/>
        </w:rPr>
        <w:t> :</w:t>
      </w:r>
      <w:r w:rsidRPr="00BA1CBA">
        <w:rPr>
          <w:szCs w:val="20"/>
        </w:rPr>
        <w:t xml:space="preserve"> </w:t>
      </w:r>
    </w:p>
    <w:p w:rsidR="002F117D" w:rsidRPr="002F117D" w:rsidRDefault="002F117D" w:rsidP="002F117D">
      <w:pPr>
        <w:pStyle w:val="SingleTxt"/>
        <w:spacing w:after="0" w:line="120" w:lineRule="exact"/>
        <w:rPr>
          <w:sz w:val="10"/>
        </w:rPr>
      </w:pPr>
    </w:p>
    <w:tbl>
      <w:tblPr>
        <w:tblStyle w:val="TableGrid1"/>
        <w:tblW w:w="0" w:type="auto"/>
        <w:tblInd w:w="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4"/>
        <w:gridCol w:w="3321"/>
      </w:tblGrid>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Argentine</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59" w:history="1">
              <w:r w:rsidRPr="007D2830">
                <w:rPr>
                  <w:rStyle w:val="Hyperlink"/>
                </w:rPr>
                <w:t>CEDAW/C/ARG/CO/7</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Arménie</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0" w:history="1">
              <w:r w:rsidRPr="007D2830">
                <w:rPr>
                  <w:rStyle w:val="Hyperlink"/>
                </w:rPr>
                <w:t>CEDAW/C/ARM/CO/5-6</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Bangladesh</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1" w:history="1">
              <w:r w:rsidRPr="007D2830">
                <w:rPr>
                  <w:rStyle w:val="Hyperlink"/>
                </w:rPr>
                <w:t>CEDAW/C/BGD/CO/8</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Bélarus</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2" w:history="1">
              <w:r w:rsidRPr="007D2830">
                <w:rPr>
                  <w:rStyle w:val="Hyperlink"/>
                </w:rPr>
                <w:t>CEDAW/C/BLR/CO/8</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Bhoutan</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3" w:history="1">
              <w:r w:rsidRPr="007D2830">
                <w:rPr>
                  <w:rStyle w:val="Hyperlink"/>
                </w:rPr>
                <w:t>CEDAW/C/BTN/CO/8-9</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Burundi</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4" w:history="1">
              <w:r w:rsidRPr="007D2830">
                <w:rPr>
                  <w:rStyle w:val="Hyperlink"/>
                </w:rPr>
                <w:t>CEDAW/C/BDI/CO/5-6</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Canada</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5" w:history="1">
              <w:r w:rsidRPr="007D2830">
                <w:rPr>
                  <w:rStyle w:val="Hyperlink"/>
                </w:rPr>
                <w:t>CEDAW/C/CAN/CO/8-9</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Estonie</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6" w:history="1">
              <w:r w:rsidRPr="007D2830">
                <w:rPr>
                  <w:rStyle w:val="Hyperlink"/>
                </w:rPr>
                <w:t>CEDAW/C/EST/CO/5-6</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Honduras</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7" w:history="1">
              <w:r w:rsidRPr="007D2830">
                <w:rPr>
                  <w:rStyle w:val="Hyperlink"/>
                </w:rPr>
                <w:t>CEDAW/C/HND/CO/7-8</w:t>
              </w:r>
            </w:hyperlink>
            <w:r w:rsidRPr="00D32FED">
              <w:t>)</w:t>
            </w:r>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Pays-Bas</w:t>
            </w:r>
          </w:p>
        </w:tc>
        <w:tc>
          <w:tcPr>
            <w:tcW w:w="3321" w:type="dxa"/>
            <w:shd w:val="clear" w:color="auto" w:fill="auto"/>
          </w:tcPr>
          <w:p w:rsidR="002F117D" w:rsidRPr="00D32FED" w:rsidRDefault="00030BF8" w:rsidP="00BA1CBA">
            <w:pPr>
              <w:tabs>
                <w:tab w:val="left" w:pos="288"/>
                <w:tab w:val="left" w:pos="576"/>
                <w:tab w:val="left" w:pos="864"/>
                <w:tab w:val="left" w:pos="1152"/>
              </w:tabs>
              <w:spacing w:before="40" w:after="80"/>
              <w:ind w:left="144" w:right="43"/>
              <w:rPr>
                <w:lang w:val="en-GB"/>
              </w:rPr>
            </w:pPr>
            <w:hyperlink r:id="rId68" w:history="1">
              <w:r w:rsidR="002F117D" w:rsidRPr="00D32FED">
                <w:rPr>
                  <w:lang w:val="en-GB"/>
                </w:rPr>
                <w:t>CEDAW/C/NLD/CO/6)</w:t>
              </w:r>
            </w:hyperlink>
          </w:p>
        </w:tc>
      </w:tr>
      <w:tr w:rsidR="002F117D" w:rsidRPr="00D32FED"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rPr>
                <w:lang w:val="en-GB"/>
              </w:rPr>
            </w:pPr>
            <w:r w:rsidRPr="00D32FED">
              <w:t>Suisse</w:t>
            </w:r>
          </w:p>
        </w:tc>
        <w:tc>
          <w:tcPr>
            <w:tcW w:w="3321"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t>(</w:t>
            </w:r>
            <w:hyperlink r:id="rId69" w:history="1">
              <w:r w:rsidRPr="007D2830">
                <w:rPr>
                  <w:rStyle w:val="Hyperlink"/>
                </w:rPr>
                <w:t>CEDAW/C/CHE/CO/4-5</w:t>
              </w:r>
            </w:hyperlink>
            <w:r w:rsidRPr="00D32FED">
              <w:t>)</w:t>
            </w:r>
          </w:p>
        </w:tc>
      </w:tr>
    </w:tbl>
    <w:p w:rsidR="002F117D" w:rsidRPr="002F117D" w:rsidRDefault="002F117D" w:rsidP="002F117D">
      <w:pPr>
        <w:pStyle w:val="SingleTxt"/>
        <w:spacing w:after="0" w:line="120" w:lineRule="exact"/>
        <w:rPr>
          <w:sz w:val="10"/>
        </w:rPr>
      </w:pPr>
    </w:p>
    <w:p w:rsidR="002F117D" w:rsidRPr="002F117D" w:rsidRDefault="002F117D" w:rsidP="002F117D">
      <w:pPr>
        <w:pStyle w:val="SingleTxt"/>
        <w:spacing w:after="0" w:line="120" w:lineRule="exact"/>
        <w:rPr>
          <w:sz w:val="10"/>
        </w:rPr>
      </w:pPr>
    </w:p>
    <w:p w:rsidR="002F117D" w:rsidRPr="00D32FED"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Procédure de suivi des observations finales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Default="002F117D" w:rsidP="00AF74A3">
      <w:pPr>
        <w:pStyle w:val="SingleTxt"/>
        <w:numPr>
          <w:ilvl w:val="0"/>
          <w:numId w:val="7"/>
        </w:numPr>
        <w:spacing w:line="240" w:lineRule="exact"/>
        <w:rPr>
          <w:szCs w:val="20"/>
        </w:rPr>
      </w:pPr>
      <w:r w:rsidRPr="00D32FED">
        <w:rPr>
          <w:szCs w:val="20"/>
        </w:rPr>
        <w:t>Le Comité a examiné les rapports de suivi pré</w:t>
      </w:r>
      <w:r w:rsidR="00910DE2">
        <w:rPr>
          <w:szCs w:val="20"/>
        </w:rPr>
        <w:t>sentés par les États parties ci</w:t>
      </w:r>
      <w:r w:rsidR="00910DE2">
        <w:rPr>
          <w:szCs w:val="20"/>
        </w:rPr>
        <w:noBreakHyphen/>
      </w:r>
      <w:r w:rsidRPr="00D32FED">
        <w:rPr>
          <w:szCs w:val="20"/>
        </w:rPr>
        <w:t>après</w:t>
      </w:r>
      <w:r w:rsidR="007D2830">
        <w:rPr>
          <w:szCs w:val="20"/>
        </w:rPr>
        <w:t> :</w:t>
      </w:r>
    </w:p>
    <w:p w:rsidR="002F117D" w:rsidRPr="002F117D" w:rsidRDefault="002F117D" w:rsidP="002F117D">
      <w:pPr>
        <w:pStyle w:val="SingleTxt"/>
        <w:spacing w:after="0" w:line="120" w:lineRule="exact"/>
        <w:rPr>
          <w:sz w:val="10"/>
          <w:szCs w:val="20"/>
        </w:rPr>
      </w:pPr>
    </w:p>
    <w:tbl>
      <w:tblPr>
        <w:tblStyle w:val="TableGrid1"/>
        <w:tblW w:w="0" w:type="auto"/>
        <w:tblInd w:w="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4"/>
        <w:gridCol w:w="3465"/>
      </w:tblGrid>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Afghanistan</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0" w:history="1">
              <w:r w:rsidRPr="007D2830">
                <w:rPr>
                  <w:rStyle w:val="Hyperlink"/>
                  <w:lang w:val="en-GB"/>
                </w:rPr>
                <w:t>CEDAW/C/AFG/CO/1-2/Add.1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Bahreïn</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1" w:history="1">
              <w:r w:rsidRPr="007D2830">
                <w:rPr>
                  <w:rStyle w:val="Hyperlink"/>
                  <w:lang w:val="en-GB"/>
                </w:rPr>
                <w:t>CEDAW/C/BHR/CO/3/Add.1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Burkina Faso</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2" w:history="1">
              <w:r w:rsidRPr="007D2830">
                <w:rPr>
                  <w:rStyle w:val="Hyperlink"/>
                  <w:lang w:val="en-GB"/>
                </w:rPr>
                <w:t>CEDAW/C/BFA/CO/6/Add.1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Colombie</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3" w:history="1">
              <w:r w:rsidRPr="007D2830">
                <w:rPr>
                  <w:rStyle w:val="Hyperlink"/>
                  <w:lang w:val="en-GB"/>
                </w:rPr>
                <w:t>CEDAW/C/COL/CO/7-8/Add.1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Qatar</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4" w:history="1">
              <w:r w:rsidRPr="007D2830">
                <w:rPr>
                  <w:rStyle w:val="Hyperlink"/>
                  <w:lang w:val="en-GB"/>
                </w:rPr>
                <w:t>CEDAW/C/QAT/CO/1/Add.1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Serbie</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5" w:history="1">
              <w:r w:rsidRPr="007D2830">
                <w:rPr>
                  <w:rStyle w:val="Hyperlink"/>
                  <w:lang w:val="en-GB"/>
                </w:rPr>
                <w:t>CEDAW/C/SRB/CO/2-3/Add.1</w:t>
              </w:r>
            </w:hyperlink>
            <w:r w:rsidRPr="00D32FED">
              <w:rPr>
                <w:lang w:val="en-GB"/>
              </w:rPr>
              <w:t>)</w:t>
            </w:r>
          </w:p>
        </w:tc>
      </w:tr>
      <w:tr w:rsidR="002F117D" w:rsidRPr="004C41DB" w:rsidTr="002F117D">
        <w:trPr>
          <w:cantSplit/>
        </w:trPr>
        <w:tc>
          <w:tcPr>
            <w:tcW w:w="2934" w:type="dxa"/>
            <w:shd w:val="clear" w:color="auto" w:fill="auto"/>
          </w:tcPr>
          <w:p w:rsidR="002F117D" w:rsidRPr="00D32FED" w:rsidRDefault="002F117D" w:rsidP="00BA1CBA">
            <w:pPr>
              <w:tabs>
                <w:tab w:val="left" w:pos="288"/>
                <w:tab w:val="left" w:pos="576"/>
                <w:tab w:val="left" w:pos="864"/>
                <w:tab w:val="left" w:pos="1152"/>
              </w:tabs>
              <w:spacing w:before="40" w:after="80"/>
              <w:ind w:right="43"/>
              <w:jc w:val="both"/>
              <w:rPr>
                <w:lang w:val="en-GB"/>
              </w:rPr>
            </w:pPr>
            <w:r w:rsidRPr="00D32FED">
              <w:t>Zimbabwe</w:t>
            </w:r>
          </w:p>
        </w:tc>
        <w:tc>
          <w:tcPr>
            <w:tcW w:w="3465" w:type="dxa"/>
            <w:shd w:val="clear" w:color="auto" w:fill="auto"/>
          </w:tcPr>
          <w:p w:rsidR="002F117D" w:rsidRPr="00D32FED" w:rsidRDefault="002F117D" w:rsidP="00BA1CBA">
            <w:pPr>
              <w:tabs>
                <w:tab w:val="left" w:pos="288"/>
                <w:tab w:val="left" w:pos="576"/>
                <w:tab w:val="left" w:pos="864"/>
                <w:tab w:val="left" w:pos="1152"/>
              </w:tabs>
              <w:spacing w:before="40" w:after="80"/>
              <w:ind w:left="144" w:right="43"/>
              <w:rPr>
                <w:lang w:val="en-GB"/>
              </w:rPr>
            </w:pPr>
            <w:r w:rsidRPr="00D32FED">
              <w:rPr>
                <w:lang w:val="en-GB"/>
              </w:rPr>
              <w:t>(</w:t>
            </w:r>
            <w:hyperlink r:id="rId76" w:history="1">
              <w:r w:rsidRPr="007D2830">
                <w:rPr>
                  <w:rStyle w:val="Hyperlink"/>
                  <w:lang w:val="en-GB"/>
                </w:rPr>
                <w:t>CEDAW/C/ZWE/CO/2-5/Add.1</w:t>
              </w:r>
            </w:hyperlink>
            <w:r w:rsidRPr="00D32FED">
              <w:rPr>
                <w:lang w:val="en-GB"/>
              </w:rPr>
              <w:t>)</w:t>
            </w:r>
          </w:p>
        </w:tc>
      </w:tr>
    </w:tbl>
    <w:p w:rsidR="002F117D" w:rsidRPr="002F117D" w:rsidRDefault="002F117D" w:rsidP="002F117D">
      <w:pPr>
        <w:pStyle w:val="SingleTxt"/>
        <w:spacing w:after="0" w:line="120" w:lineRule="exact"/>
        <w:rPr>
          <w:sz w:val="10"/>
          <w:lang w:val="en-US"/>
        </w:rPr>
      </w:pPr>
    </w:p>
    <w:p w:rsidR="002F117D" w:rsidRPr="002F117D" w:rsidRDefault="002F117D" w:rsidP="002F117D">
      <w:pPr>
        <w:pStyle w:val="SingleTxt"/>
        <w:spacing w:after="0" w:line="120" w:lineRule="exact"/>
        <w:rPr>
          <w:sz w:val="10"/>
          <w:lang w:val="en-US"/>
        </w:rPr>
      </w:pPr>
    </w:p>
    <w:p w:rsidR="00BA1CBA" w:rsidRPr="00BA1CBA" w:rsidRDefault="002F117D" w:rsidP="00AF74A3">
      <w:pPr>
        <w:pStyle w:val="ListParagraph"/>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BA1CBA">
        <w:rPr>
          <w:szCs w:val="20"/>
        </w:rPr>
        <w:t>Le Comité a adressé un premier rappel à l</w:t>
      </w:r>
      <w:r w:rsidR="007D2830">
        <w:rPr>
          <w:szCs w:val="20"/>
        </w:rPr>
        <w:t>’</w:t>
      </w:r>
      <w:r w:rsidRPr="00BA1CBA">
        <w:rPr>
          <w:szCs w:val="20"/>
        </w:rPr>
        <w:t>Inde, à la Lituanie, à la Mauritanie, à l</w:t>
      </w:r>
      <w:r w:rsidR="007D2830">
        <w:rPr>
          <w:szCs w:val="20"/>
        </w:rPr>
        <w:t>’</w:t>
      </w:r>
      <w:r w:rsidRPr="00BA1CBA">
        <w:rPr>
          <w:szCs w:val="20"/>
        </w:rPr>
        <w:t xml:space="preserve">Ouganda et au Swaziland et un deuxième rappel au Bénin, qui auraient déjà dû présenter leur rapport de suivi. </w:t>
      </w:r>
    </w:p>
    <w:p w:rsidR="00BA1CBA" w:rsidRPr="00BA1CBA" w:rsidRDefault="00BA1CBA" w:rsidP="00BA1C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b/>
          <w:spacing w:val="2"/>
          <w:sz w:val="10"/>
          <w:szCs w:val="20"/>
        </w:rPr>
      </w:pPr>
    </w:p>
    <w:p w:rsidR="00BA1CBA" w:rsidRPr="00BA1CBA" w:rsidRDefault="00BA1CBA"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F117D" w:rsidRPr="00D32FED" w:rsidRDefault="002F117D" w:rsidP="00BA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Évaluation de la procédure de suivi des observations finales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BA1CBA" w:rsidRDefault="002F117D" w:rsidP="00AF74A3">
      <w:pPr>
        <w:pStyle w:val="SingleTxt"/>
        <w:numPr>
          <w:ilvl w:val="0"/>
          <w:numId w:val="8"/>
        </w:numPr>
        <w:spacing w:line="240" w:lineRule="exact"/>
      </w:pPr>
      <w:r w:rsidRPr="00BA1CBA">
        <w:t xml:space="preserve">Le Comité a avalisé l’évaluation de la procédure de suivi (voir </w:t>
      </w:r>
      <w:hyperlink r:id="rId77" w:history="1">
        <w:r w:rsidRPr="00BA1CBA">
          <w:rPr>
            <w:rStyle w:val="Hyperlink"/>
            <w:szCs w:val="20"/>
          </w:rPr>
          <w:t>https</w:t>
        </w:r>
        <w:r w:rsidR="007D2830">
          <w:rPr>
            <w:rStyle w:val="Hyperlink"/>
            <w:szCs w:val="20"/>
          </w:rPr>
          <w:t> :</w:t>
        </w:r>
        <w:r w:rsidRPr="00BA1CBA">
          <w:rPr>
            <w:rStyle w:val="Hyperlink"/>
            <w:szCs w:val="20"/>
          </w:rPr>
          <w:t>//goo.gl/kT2xJl</w:t>
        </w:r>
      </w:hyperlink>
      <w:r w:rsidRPr="00BA1CBA">
        <w:t>) présentée par la Rapporteuse chargée du suivi, conformément à la recommandation formulée dans l</w:t>
      </w:r>
      <w:r w:rsidR="007D2830">
        <w:t>’</w:t>
      </w:r>
      <w:r w:rsidRPr="00BA1CBA">
        <w:t xml:space="preserve">évaluation précédente de la procédure de suivi, adoptée par le Comité à sa cinquante-sixième session (voir </w:t>
      </w:r>
      <w:hyperlink r:id="rId78" w:history="1">
        <w:r w:rsidRPr="007D2830">
          <w:rPr>
            <w:rStyle w:val="Hyperlink"/>
          </w:rPr>
          <w:t>A/69/38</w:t>
        </w:r>
      </w:hyperlink>
      <w:r w:rsidRPr="00BA1CBA">
        <w:t xml:space="preserve">, deuxième partie, annexe VI). La Rapporteuse chargée du suivi a recommandé de continuer </w:t>
      </w:r>
      <w:r w:rsidRPr="00BA1CBA">
        <w:lastRenderedPageBreak/>
        <w:t>d</w:t>
      </w:r>
      <w:r w:rsidR="007D2830">
        <w:t>’</w:t>
      </w:r>
      <w:r w:rsidRPr="00BA1CBA">
        <w:t>utiliser la procédure de suivi et de réaliser la prochaine évaluation au cours de la soixante et onzième session du Comité, qui se tiendra en octobre et novembre 2018.</w:t>
      </w:r>
    </w:p>
    <w:p w:rsidR="00BA1CBA" w:rsidRPr="00BA1CBA" w:rsidRDefault="00BA1CBA" w:rsidP="00BA1C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b/>
          <w:spacing w:val="2"/>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t xml:space="preserve">Nomination d’un nouveau rapporteur chargé du suivi et de son suppléant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BA1CBA" w:rsidRDefault="002F117D" w:rsidP="00D944D7">
      <w:pPr>
        <w:pStyle w:val="ListParagraph"/>
        <w:numPr>
          <w:ilvl w:val="0"/>
          <w:numId w:val="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BA1CBA">
        <w:rPr>
          <w:szCs w:val="20"/>
        </w:rPr>
        <w:t>Le mandat de Barbara Bailey, Rapporteuse chargée du suivi, et celui de Hilary Gbedemah, Rapporteuse suppléante, arriveront à expiration le 31</w:t>
      </w:r>
      <w:r w:rsidR="00D944D7">
        <w:rPr>
          <w:szCs w:val="20"/>
        </w:rPr>
        <w:t> décembre</w:t>
      </w:r>
      <w:r w:rsidRPr="00BA1CBA">
        <w:rPr>
          <w:szCs w:val="20"/>
        </w:rPr>
        <w:t xml:space="preserve"> 2016. Le Comité a décidé de nommer M</w:t>
      </w:r>
      <w:r w:rsidRPr="008217C9">
        <w:rPr>
          <w:szCs w:val="20"/>
          <w:vertAlign w:val="superscript"/>
        </w:rPr>
        <w:t>me</w:t>
      </w:r>
      <w:r w:rsidRPr="00BA1CBA">
        <w:rPr>
          <w:szCs w:val="20"/>
        </w:rPr>
        <w:t xml:space="preserve"> Gbedemah Rapporteuse chargée du suivi et Lia Nadaraia Rapporteuse suppléante, toutes deux pour une période de deux ans allant du 1</w:t>
      </w:r>
      <w:r w:rsidRPr="00BA1CBA">
        <w:rPr>
          <w:szCs w:val="20"/>
          <w:vertAlign w:val="superscript"/>
        </w:rPr>
        <w:t>er</w:t>
      </w:r>
      <w:r w:rsidR="00D944D7">
        <w:rPr>
          <w:szCs w:val="20"/>
        </w:rPr>
        <w:t> </w:t>
      </w:r>
      <w:r w:rsidRPr="00BA1CBA">
        <w:rPr>
          <w:szCs w:val="20"/>
        </w:rPr>
        <w:t>janvier 2017 au 31</w:t>
      </w:r>
      <w:r w:rsidR="00D944D7">
        <w:rPr>
          <w:szCs w:val="20"/>
        </w:rPr>
        <w:t> décembre</w:t>
      </w:r>
      <w:r w:rsidRPr="00BA1CBA">
        <w:rPr>
          <w:szCs w:val="20"/>
        </w:rPr>
        <w:t xml:space="preserve"> 2018.</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Activités menées au titre du Protocole facultatif</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BA1CBA" w:rsidRDefault="002F117D" w:rsidP="00AF74A3">
      <w:pPr>
        <w:pStyle w:val="ListParagraph"/>
        <w:numPr>
          <w:ilvl w:val="0"/>
          <w:numId w:val="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BA1CBA">
        <w:rPr>
          <w:szCs w:val="20"/>
        </w:rPr>
        <w:t>L’article 12 du Protocole facultatif dispose que le Comité résume dans son rapport annuel les activités qu’il a menées au titre du Protocole facultatif.</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BA1CBA" w:rsidP="00AF74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A.</w:t>
      </w:r>
      <w:r w:rsidR="002F117D" w:rsidRPr="00D32FED">
        <w:tab/>
        <w:t>Mesures prises par le Comité sur les questions relevant</w:t>
      </w:r>
      <w:r w:rsidR="00AF74A3">
        <w:br/>
      </w:r>
      <w:r w:rsidR="002F117D" w:rsidRPr="00D32FED">
        <w:t>de l’article</w:t>
      </w:r>
      <w:r w:rsidR="00AF74A3">
        <w:t> </w:t>
      </w:r>
      <w:r w:rsidR="002F117D" w:rsidRPr="00D32FED">
        <w:t>2 du Protocole facultatif</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Default="002F117D" w:rsidP="00910DE2">
      <w:pPr>
        <w:pStyle w:val="SingleTxt"/>
        <w:numPr>
          <w:ilvl w:val="0"/>
          <w:numId w:val="27"/>
        </w:numPr>
        <w:spacing w:line="240" w:lineRule="exact"/>
      </w:pPr>
      <w:r w:rsidRPr="00AF74A3">
        <w:t>Les 7 et 11</w:t>
      </w:r>
      <w:r w:rsidR="00AF74A3" w:rsidRPr="00AF74A3">
        <w:t> </w:t>
      </w:r>
      <w:r w:rsidRPr="00AF74A3">
        <w:t xml:space="preserve">novembre 2016, le Comité a examiné les activités menées au titre de l’article 2 du Protocole facultatif. </w:t>
      </w:r>
    </w:p>
    <w:p w:rsidR="002F117D" w:rsidRPr="00AF74A3" w:rsidRDefault="002F117D" w:rsidP="00910DE2">
      <w:pPr>
        <w:pStyle w:val="ListParagraph"/>
        <w:numPr>
          <w:ilvl w:val="0"/>
          <w:numId w:val="2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AF74A3">
        <w:rPr>
          <w:szCs w:val="20"/>
        </w:rPr>
        <w:t xml:space="preserve">Le Comité a approuvé le rapport du Groupe de travail sur les communications présentées conformément au Protocole facultatif sur les travaux de sa trente-sixième session (voir </w:t>
      </w:r>
      <w:hyperlink r:id="rId79" w:history="1">
        <w:r w:rsidRPr="00AF74A3">
          <w:rPr>
            <w:rStyle w:val="Hyperlink"/>
            <w:szCs w:val="20"/>
          </w:rPr>
          <w:t>https</w:t>
        </w:r>
        <w:r w:rsidR="007D2830">
          <w:rPr>
            <w:rStyle w:val="Hyperlink"/>
            <w:szCs w:val="20"/>
          </w:rPr>
          <w:t> :</w:t>
        </w:r>
        <w:r w:rsidRPr="00AF74A3">
          <w:rPr>
            <w:rStyle w:val="Hyperlink"/>
            <w:szCs w:val="20"/>
          </w:rPr>
          <w:t>//goo.gl/XhmGoS</w:t>
        </w:r>
      </w:hyperlink>
      <w:r w:rsidRPr="00AF74A3">
        <w:rPr>
          <w:szCs w:val="20"/>
        </w:rPr>
        <w:t>).</w:t>
      </w:r>
    </w:p>
    <w:p w:rsidR="002F117D" w:rsidRPr="00AF74A3" w:rsidRDefault="002F117D" w:rsidP="00910DE2">
      <w:pPr>
        <w:pStyle w:val="SingleTxt"/>
        <w:numPr>
          <w:ilvl w:val="0"/>
          <w:numId w:val="29"/>
        </w:numPr>
        <w:spacing w:line="240" w:lineRule="exact"/>
      </w:pPr>
      <w:r w:rsidRPr="00AF74A3">
        <w:t>Le Comité a adopté des décisions finales concernant quatre communications émanant de particuliers présentées conformément à l’article 2 du Protocole facultatif. Dans les constatations qu’il a adoptées concernant la communication n° 66/2014 (</w:t>
      </w:r>
      <w:r w:rsidRPr="00AF74A3">
        <w:rPr>
          <w:i/>
        </w:rPr>
        <w:t>D.S. c. Slovaquie</w:t>
      </w:r>
      <w:r w:rsidRPr="00AF74A3">
        <w:t>) (</w:t>
      </w:r>
      <w:hyperlink r:id="rId80" w:history="1">
        <w:r w:rsidRPr="007D2830">
          <w:rPr>
            <w:rStyle w:val="Hyperlink"/>
            <w:szCs w:val="20"/>
          </w:rPr>
          <w:t>CEDAW/C/65/D/66/2014</w:t>
        </w:r>
      </w:hyperlink>
      <w:r w:rsidRPr="00AF74A3">
        <w:t>), il a conclu à une violation des droits de l’intéressée. Concernant les communications n° 61/2013 (</w:t>
      </w:r>
      <w:r w:rsidRPr="00AF74A3">
        <w:rPr>
          <w:i/>
        </w:rPr>
        <w:t>P.H.A. c. Danemark</w:t>
      </w:r>
      <w:r w:rsidRPr="00AF74A3">
        <w:t>) (</w:t>
      </w:r>
      <w:hyperlink r:id="rId81" w:history="1">
        <w:r w:rsidRPr="007D2830">
          <w:rPr>
            <w:rStyle w:val="Hyperlink"/>
            <w:szCs w:val="20"/>
          </w:rPr>
          <w:t>CEDAW/C/65/D/61/2013</w:t>
        </w:r>
      </w:hyperlink>
      <w:r w:rsidRPr="00AF74A3">
        <w:t>), n° 71/2014 (</w:t>
      </w:r>
      <w:r w:rsidRPr="00AF74A3">
        <w:rPr>
          <w:i/>
        </w:rPr>
        <w:t>K.S. c. Danemark</w:t>
      </w:r>
      <w:r w:rsidRPr="00AF74A3">
        <w:t>) (</w:t>
      </w:r>
      <w:hyperlink r:id="rId82" w:history="1">
        <w:r w:rsidRPr="007D2830">
          <w:rPr>
            <w:rStyle w:val="Hyperlink"/>
            <w:szCs w:val="20"/>
          </w:rPr>
          <w:t>CEDAW/C/65/D/71/2014</w:t>
        </w:r>
      </w:hyperlink>
      <w:r w:rsidRPr="00AF74A3">
        <w:t xml:space="preserve">) et n° 74/2014 </w:t>
      </w:r>
      <w:r w:rsidRPr="00AF74A3">
        <w:rPr>
          <w:i/>
        </w:rPr>
        <w:t>(N.K. c. Norvège</w:t>
      </w:r>
      <w:r w:rsidRPr="00AF74A3">
        <w:t>) (</w:t>
      </w:r>
      <w:hyperlink r:id="rId83" w:history="1">
        <w:r w:rsidRPr="007D2830">
          <w:rPr>
            <w:rStyle w:val="Hyperlink"/>
            <w:szCs w:val="20"/>
          </w:rPr>
          <w:t>CEDAW/C/65/D/74/2014</w:t>
        </w:r>
      </w:hyperlink>
      <w:r w:rsidRPr="00AF74A3">
        <w:t xml:space="preserve">), il a adopté des décisions d’irrecevabilité. Toutes les décisions ont été adoptées par consensus.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AF74A3" w:rsidP="00AF74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2"/>
        </w:rPr>
      </w:pPr>
      <w:r>
        <w:tab/>
      </w:r>
      <w:r w:rsidR="002F117D" w:rsidRPr="00D32FED">
        <w:t>B.</w:t>
      </w:r>
      <w:r w:rsidR="002F117D" w:rsidRPr="00D32FED">
        <w:tab/>
        <w:t>Suite donnée aux constatations du Comité sur les communications émanant de particuliers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910DE2">
      <w:pPr>
        <w:pStyle w:val="ListParagraph"/>
        <w:numPr>
          <w:ilvl w:val="0"/>
          <w:numId w:val="2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AF74A3">
        <w:rPr>
          <w:szCs w:val="20"/>
        </w:rPr>
        <w:t>Le Comité a été informé que, à sa trente-sixième session, le Groupe de travail s’était penché sur l’état du suivi de chaque affaire pour laquelle un dialogue était en cours et s’était prononcé sur les mesures à prendre. Sur les 11 affaires en cours d’examen, une concernait le Brésil, une le Canada, une le Danemark, une l’Espagne, une la Fédération de Russie, une la Géorgie, une le Kazakhstan, une les Pays-Bas, une le Pérou, une les Philippines et une la République-Unie de Tanzanie. Au cours de la soixante-cinquième session, le Comité a rencontré un représentant de la Mission permanente du Danemark auprès de l</w:t>
      </w:r>
      <w:r w:rsidR="007D2830">
        <w:rPr>
          <w:szCs w:val="20"/>
        </w:rPr>
        <w:t>’</w:t>
      </w:r>
      <w:r w:rsidRPr="00AF74A3">
        <w:rPr>
          <w:szCs w:val="20"/>
        </w:rPr>
        <w:t>Office des Nations Unies et des autres organisations internationales à Genève en vue de discuter des questions de suivi.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AF74A3" w:rsidP="00AF74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C.</w:t>
      </w:r>
      <w:r w:rsidR="002F117D" w:rsidRPr="00D32FED">
        <w:tab/>
        <w:t>Mesures prises par le Comité sur les questions relevant</w:t>
      </w:r>
      <w:r>
        <w:br/>
      </w:r>
      <w:r w:rsidR="002F117D" w:rsidRPr="00D32FED">
        <w:t>de l’article</w:t>
      </w:r>
      <w:r>
        <w:t> </w:t>
      </w:r>
      <w:r w:rsidR="002F117D" w:rsidRPr="00D32FED">
        <w:t>8 du Protocole facultatif</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910DE2">
      <w:pPr>
        <w:pStyle w:val="SingleTxt"/>
        <w:numPr>
          <w:ilvl w:val="0"/>
          <w:numId w:val="29"/>
        </w:numPr>
        <w:spacing w:line="240" w:lineRule="exact"/>
      </w:pPr>
      <w:r w:rsidRPr="00AF74A3">
        <w:t>Les 15 et 17</w:t>
      </w:r>
      <w:r w:rsidR="00D944D7">
        <w:t> novembre</w:t>
      </w:r>
      <w:r w:rsidRPr="00AF74A3">
        <w:t xml:space="preserve"> 2016, le Comité a examiné les activités menées au titre de l’article 8 du Protocole facultatif. Il a approuvé le rapport du Groupe de travail chargé des enquêtes menées au titre du Protocole facultatif sur les travaux de sa cinquième session (voir </w:t>
      </w:r>
      <w:hyperlink r:id="rId84" w:history="1">
        <w:r w:rsidRPr="00AF74A3">
          <w:rPr>
            <w:rStyle w:val="Hyperlink"/>
            <w:szCs w:val="20"/>
          </w:rPr>
          <w:t>https</w:t>
        </w:r>
        <w:r w:rsidR="007D2830">
          <w:rPr>
            <w:rStyle w:val="Hyperlink"/>
            <w:szCs w:val="20"/>
          </w:rPr>
          <w:t> :</w:t>
        </w:r>
        <w:r w:rsidRPr="00AF74A3">
          <w:rPr>
            <w:rStyle w:val="Hyperlink"/>
            <w:szCs w:val="20"/>
          </w:rPr>
          <w:t>//goo.gl/XhmGoS</w:t>
        </w:r>
      </w:hyperlink>
      <w:r w:rsidRPr="00AF74A3">
        <w:t>).</w:t>
      </w:r>
    </w:p>
    <w:p w:rsidR="002F117D" w:rsidRPr="00AF74A3" w:rsidRDefault="002F117D" w:rsidP="00910DE2">
      <w:pPr>
        <w:pStyle w:val="SingleTxt"/>
        <w:numPr>
          <w:ilvl w:val="0"/>
          <w:numId w:val="29"/>
        </w:numPr>
        <w:spacing w:line="240" w:lineRule="exact"/>
      </w:pPr>
      <w:r w:rsidRPr="00AF74A3">
        <w:t>Le Comité a adopté les recommandations que le Groupe de travail lui avait faites, à savoir</w:t>
      </w:r>
      <w:r w:rsidR="007D2830">
        <w:t> :</w:t>
      </w:r>
    </w:p>
    <w:p w:rsidR="002F117D" w:rsidRPr="00D32FED" w:rsidRDefault="002F117D" w:rsidP="00AF74A3">
      <w:pPr>
        <w:pStyle w:val="SingleTxt"/>
      </w:pPr>
      <w:r w:rsidRPr="00D32FED">
        <w:tab/>
        <w:t>a)</w:t>
      </w:r>
      <w:r w:rsidRPr="00D32FED">
        <w:tab/>
        <w:t xml:space="preserve">Approuver certains amendements aux procédures opérationnelles standard concernant les enquêtes en vue de les adapter au mandat du Groupe de </w:t>
      </w:r>
      <w:r w:rsidRPr="00D32FED">
        <w:lastRenderedPageBreak/>
        <w:t>travail et de tenir compte des nouvelles pratiques du Comité s</w:t>
      </w:r>
      <w:r w:rsidR="007D2830">
        <w:t>’</w:t>
      </w:r>
      <w:r w:rsidRPr="00D32FED">
        <w:t>agissant d</w:t>
      </w:r>
      <w:r w:rsidR="007D2830">
        <w:t>’</w:t>
      </w:r>
      <w:r w:rsidRPr="00D32FED">
        <w:t>examiner les informations reçues en application de l</w:t>
      </w:r>
      <w:r w:rsidR="007D2830">
        <w:t>’</w:t>
      </w:r>
      <w:r w:rsidRPr="00D32FED">
        <w:t>article 8 du Protocole facultatif</w:t>
      </w:r>
      <w:r w:rsidR="007D2830">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b)</w:t>
      </w:r>
      <w:r w:rsidRPr="00D32FED">
        <w:rPr>
          <w:szCs w:val="20"/>
        </w:rPr>
        <w:tab/>
        <w:t>En ce qui concerne l’enquête n</w:t>
      </w:r>
      <w:r>
        <w:rPr>
          <w:szCs w:val="20"/>
        </w:rPr>
        <w:t>° </w:t>
      </w:r>
      <w:r w:rsidRPr="00D32FED">
        <w:rPr>
          <w:szCs w:val="20"/>
        </w:rPr>
        <w:t>2010/1 concernant les Philippines, adresser une note verbale avisant l’État partie que les informations de suivi demandées dans ses observations finales (</w:t>
      </w:r>
      <w:hyperlink r:id="rId85" w:history="1">
        <w:r w:rsidRPr="007D2830">
          <w:rPr>
            <w:rStyle w:val="Hyperlink"/>
            <w:szCs w:val="20"/>
          </w:rPr>
          <w:t>CEDAW/C/PHL/CO/7-8</w:t>
        </w:r>
      </w:hyperlink>
      <w:r w:rsidRPr="00D32FED">
        <w:rPr>
          <w:szCs w:val="20"/>
        </w:rPr>
        <w:t xml:space="preserve">, </w:t>
      </w:r>
      <w:r w:rsidR="007D2830">
        <w:rPr>
          <w:szCs w:val="20"/>
        </w:rPr>
        <w:t>par. </w:t>
      </w:r>
      <w:r w:rsidRPr="00D32FED">
        <w:rPr>
          <w:szCs w:val="20"/>
        </w:rPr>
        <w:t>56) et ayant trait à la mise en œuvre des recommandations figurant dans le rapport d’enquête le concernant (</w:t>
      </w:r>
      <w:hyperlink r:id="rId86" w:history="1">
        <w:r w:rsidRPr="007D2830">
          <w:rPr>
            <w:rStyle w:val="Hyperlink"/>
            <w:szCs w:val="20"/>
          </w:rPr>
          <w:t>CEDAW/C/OP.8/PHL/1</w:t>
        </w:r>
      </w:hyperlink>
      <w:r w:rsidRPr="00D32FED">
        <w:rPr>
          <w:szCs w:val="20"/>
        </w:rPr>
        <w:t xml:space="preserve">, </w:t>
      </w:r>
      <w:r w:rsidR="007D2830">
        <w:rPr>
          <w:szCs w:val="20"/>
        </w:rPr>
        <w:t>par. </w:t>
      </w:r>
      <w:r w:rsidRPr="00D32FED">
        <w:rPr>
          <w:szCs w:val="20"/>
        </w:rPr>
        <w:t>49 à 52) seraient considérées comme répondant à l’obligation découlant du</w:t>
      </w:r>
      <w:r w:rsidR="00D944D7">
        <w:rPr>
          <w:szCs w:val="20"/>
        </w:rPr>
        <w:t xml:space="preserve"> paragraphe </w:t>
      </w:r>
      <w:r w:rsidRPr="00D32FED">
        <w:rPr>
          <w:szCs w:val="20"/>
        </w:rPr>
        <w:t>2 de l’article 9 du Protocole facultatif quant aux renseignements à fournir</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c)</w:t>
      </w:r>
      <w:r w:rsidRPr="00D32FED">
        <w:rPr>
          <w:szCs w:val="20"/>
        </w:rPr>
        <w:tab/>
        <w:t>Pour ce qui est de l’enquête n</w:t>
      </w:r>
      <w:r>
        <w:rPr>
          <w:szCs w:val="20"/>
        </w:rPr>
        <w:t>° </w:t>
      </w:r>
      <w:r w:rsidRPr="00D32FED">
        <w:rPr>
          <w:szCs w:val="20"/>
        </w:rPr>
        <w:t>2011/1 concernant le Canada, demander à l’État partie de présenter un rapport d’étape en novembre 2018 et un rapport de suivi complet en novembre 2020 sur les mesures prises pour l’application des recommandations qu’il a formulées dans son rapport d’enquête</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d)</w:t>
      </w:r>
      <w:r w:rsidRPr="00D32FED">
        <w:rPr>
          <w:szCs w:val="20"/>
        </w:rPr>
        <w:tab/>
        <w:t>S</w:t>
      </w:r>
      <w:r w:rsidR="007D2830">
        <w:rPr>
          <w:szCs w:val="20"/>
        </w:rPr>
        <w:t>’</w:t>
      </w:r>
      <w:r w:rsidRPr="00D32FED">
        <w:rPr>
          <w:szCs w:val="20"/>
        </w:rPr>
        <w:t>agissant de l</w:t>
      </w:r>
      <w:r w:rsidR="007D2830">
        <w:rPr>
          <w:szCs w:val="20"/>
        </w:rPr>
        <w:t>’</w:t>
      </w:r>
      <w:r w:rsidRPr="00D32FED">
        <w:rPr>
          <w:szCs w:val="20"/>
        </w:rPr>
        <w:t>enquête n</w:t>
      </w:r>
      <w:r>
        <w:rPr>
          <w:szCs w:val="20"/>
        </w:rPr>
        <w:t>° </w:t>
      </w:r>
      <w:r w:rsidRPr="00D32FED">
        <w:rPr>
          <w:szCs w:val="20"/>
        </w:rPr>
        <w:t>2014/2, charger Pramila Patten et un autre membre</w:t>
      </w:r>
      <w:r>
        <w:rPr>
          <w:szCs w:val="20"/>
        </w:rPr>
        <w:t>,</w:t>
      </w:r>
      <w:r w:rsidRPr="00D32FED">
        <w:rPr>
          <w:szCs w:val="20"/>
        </w:rPr>
        <w:t xml:space="preserve"> qui sera prochainement désigné par le Groupe de travail chargé des enquêtes à sa sixième session</w:t>
      </w:r>
      <w:r>
        <w:rPr>
          <w:szCs w:val="20"/>
        </w:rPr>
        <w:t xml:space="preserve"> (février 2017),</w:t>
      </w:r>
      <w:r w:rsidRPr="00D32FED">
        <w:rPr>
          <w:szCs w:val="20"/>
        </w:rPr>
        <w:t xml:space="preserve"> de </w:t>
      </w:r>
      <w:r>
        <w:rPr>
          <w:szCs w:val="20"/>
        </w:rPr>
        <w:t>procéder aux</w:t>
      </w:r>
      <w:r w:rsidRPr="00D32FED">
        <w:rPr>
          <w:szCs w:val="20"/>
        </w:rPr>
        <w:t xml:space="preserve"> enquêtes à ce titre.</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29.</w:t>
      </w:r>
      <w:r w:rsidRPr="00D32FED">
        <w:rPr>
          <w:szCs w:val="20"/>
        </w:rPr>
        <w:tab/>
        <w:t>Le Comité a ratifié les décisions ci-après, qui avaient été prises par le Groupe de travail</w:t>
      </w:r>
      <w:r w:rsidR="007D2830">
        <w:rPr>
          <w:szCs w:val="20"/>
        </w:rPr>
        <w:t>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a)</w:t>
      </w:r>
      <w:r w:rsidRPr="00D32FED">
        <w:rPr>
          <w:szCs w:val="20"/>
        </w:rPr>
        <w:tab/>
        <w:t>S</w:t>
      </w:r>
      <w:r w:rsidR="007D2830">
        <w:rPr>
          <w:szCs w:val="20"/>
        </w:rPr>
        <w:t>’</w:t>
      </w:r>
      <w:r w:rsidRPr="00D32FED">
        <w:rPr>
          <w:szCs w:val="20"/>
        </w:rPr>
        <w:t>agissant de la requête n</w:t>
      </w:r>
      <w:r>
        <w:rPr>
          <w:szCs w:val="20"/>
        </w:rPr>
        <w:t>° </w:t>
      </w:r>
      <w:r w:rsidRPr="00D32FED">
        <w:rPr>
          <w:szCs w:val="20"/>
        </w:rPr>
        <w:t>2011/4, demander à la Présidente et à un membre du Groupe de travail de se réunir avec des représentants de la Mission permanente de l</w:t>
      </w:r>
      <w:r w:rsidR="007D2830">
        <w:rPr>
          <w:szCs w:val="20"/>
        </w:rPr>
        <w:t>’</w:t>
      </w:r>
      <w:r w:rsidRPr="00D32FED">
        <w:rPr>
          <w:szCs w:val="20"/>
        </w:rPr>
        <w:t xml:space="preserve">État partie concerné pour discuter du retard dans la présentation </w:t>
      </w:r>
      <w:r w:rsidR="0064018E">
        <w:rPr>
          <w:szCs w:val="20"/>
        </w:rPr>
        <w:t xml:space="preserve">de </w:t>
      </w:r>
      <w:r w:rsidRPr="00D32FED">
        <w:rPr>
          <w:szCs w:val="20"/>
        </w:rPr>
        <w:t>ses observations concernant les informations reçues au titre de l’article 8 du Protocole facultatif</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b)</w:t>
      </w:r>
      <w:r w:rsidRPr="00D32FED">
        <w:rPr>
          <w:szCs w:val="20"/>
        </w:rPr>
        <w:tab/>
        <w:t>En ce qui concerne la requête n</w:t>
      </w:r>
      <w:r>
        <w:rPr>
          <w:szCs w:val="20"/>
        </w:rPr>
        <w:t>° </w:t>
      </w:r>
      <w:r w:rsidRPr="00D32FED">
        <w:rPr>
          <w:szCs w:val="20"/>
        </w:rPr>
        <w:t xml:space="preserve">2012/1, </w:t>
      </w:r>
      <w:r>
        <w:rPr>
          <w:szCs w:val="20"/>
        </w:rPr>
        <w:t xml:space="preserve">charger </w:t>
      </w:r>
      <w:r w:rsidRPr="00D32FED">
        <w:rPr>
          <w:szCs w:val="20"/>
        </w:rPr>
        <w:t xml:space="preserve">le Groupe de travail </w:t>
      </w:r>
      <w:r>
        <w:rPr>
          <w:szCs w:val="20"/>
        </w:rPr>
        <w:t xml:space="preserve">de </w:t>
      </w:r>
      <w:r w:rsidRPr="00D32FED">
        <w:rPr>
          <w:szCs w:val="20"/>
        </w:rPr>
        <w:t>détermine</w:t>
      </w:r>
      <w:r>
        <w:rPr>
          <w:szCs w:val="20"/>
        </w:rPr>
        <w:t>r</w:t>
      </w:r>
      <w:r w:rsidRPr="00D32FED">
        <w:rPr>
          <w:szCs w:val="20"/>
        </w:rPr>
        <w:t>, avec le concours d</w:t>
      </w:r>
      <w:r w:rsidR="007D2830">
        <w:rPr>
          <w:szCs w:val="20"/>
        </w:rPr>
        <w:t>’</w:t>
      </w:r>
      <w:r w:rsidRPr="00D32FED">
        <w:rPr>
          <w:szCs w:val="20"/>
        </w:rPr>
        <w:t>autres membres du Comité, si les informations reçues sont conformes aux conditions énoncées à l</w:t>
      </w:r>
      <w:r w:rsidR="007D2830">
        <w:rPr>
          <w:szCs w:val="20"/>
        </w:rPr>
        <w:t>’</w:t>
      </w:r>
      <w:r w:rsidRPr="00D32FED">
        <w:rPr>
          <w:szCs w:val="20"/>
        </w:rPr>
        <w:t xml:space="preserve">article 8 du Protocole facultatif, et </w:t>
      </w:r>
      <w:r>
        <w:rPr>
          <w:szCs w:val="20"/>
        </w:rPr>
        <w:t xml:space="preserve">de </w:t>
      </w:r>
      <w:r w:rsidRPr="00D32FED">
        <w:rPr>
          <w:szCs w:val="20"/>
        </w:rPr>
        <w:t>demande</w:t>
      </w:r>
      <w:r>
        <w:rPr>
          <w:szCs w:val="20"/>
        </w:rPr>
        <w:t>r</w:t>
      </w:r>
      <w:r w:rsidRPr="00D32FED">
        <w:rPr>
          <w:szCs w:val="20"/>
        </w:rPr>
        <w:t xml:space="preserve"> de plus amples informations sur l</w:t>
      </w:r>
      <w:r w:rsidR="007D2830">
        <w:rPr>
          <w:szCs w:val="20"/>
        </w:rPr>
        <w:t>’</w:t>
      </w:r>
      <w:r w:rsidRPr="00D32FED">
        <w:rPr>
          <w:szCs w:val="20"/>
        </w:rPr>
        <w:t>étendue des violations qui auraient été commises sur l</w:t>
      </w:r>
      <w:r w:rsidR="007D2830">
        <w:rPr>
          <w:szCs w:val="20"/>
        </w:rPr>
        <w:t>’</w:t>
      </w:r>
      <w:r w:rsidRPr="00D32FED">
        <w:rPr>
          <w:szCs w:val="20"/>
        </w:rPr>
        <w:t>ensemble du territoire de l</w:t>
      </w:r>
      <w:r w:rsidR="007D2830">
        <w:rPr>
          <w:szCs w:val="20"/>
        </w:rPr>
        <w:t>’</w:t>
      </w:r>
      <w:r w:rsidRPr="00D32FED">
        <w:rPr>
          <w:szCs w:val="20"/>
        </w:rPr>
        <w:t>État partie</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Pr>
          <w:szCs w:val="20"/>
        </w:rPr>
        <w:tab/>
      </w:r>
      <w:r w:rsidR="0064018E">
        <w:rPr>
          <w:szCs w:val="20"/>
        </w:rPr>
        <w:t>c)</w:t>
      </w:r>
      <w:r w:rsidR="0064018E">
        <w:rPr>
          <w:szCs w:val="20"/>
        </w:rPr>
        <w:tab/>
      </w:r>
      <w:r w:rsidRPr="00D32FED">
        <w:rPr>
          <w:szCs w:val="20"/>
        </w:rPr>
        <w:t>Pour ce qui est de l</w:t>
      </w:r>
      <w:r w:rsidR="007D2830">
        <w:rPr>
          <w:szCs w:val="20"/>
        </w:rPr>
        <w:t>’</w:t>
      </w:r>
      <w:r w:rsidRPr="00D32FED">
        <w:rPr>
          <w:szCs w:val="20"/>
        </w:rPr>
        <w:t>enquête n</w:t>
      </w:r>
      <w:r>
        <w:rPr>
          <w:szCs w:val="20"/>
        </w:rPr>
        <w:t>° </w:t>
      </w:r>
      <w:r w:rsidRPr="00D32FED">
        <w:rPr>
          <w:szCs w:val="20"/>
        </w:rPr>
        <w:t xml:space="preserve">2016/1, </w:t>
      </w:r>
      <w:r>
        <w:rPr>
          <w:szCs w:val="20"/>
        </w:rPr>
        <w:t xml:space="preserve">charger </w:t>
      </w:r>
      <w:r w:rsidRPr="00D32FED">
        <w:rPr>
          <w:szCs w:val="20"/>
        </w:rPr>
        <w:t xml:space="preserve">son secrétariat </w:t>
      </w:r>
      <w:r>
        <w:rPr>
          <w:szCs w:val="20"/>
        </w:rPr>
        <w:t>d’</w:t>
      </w:r>
      <w:r w:rsidRPr="00D32FED">
        <w:rPr>
          <w:szCs w:val="20"/>
        </w:rPr>
        <w:t>adresse</w:t>
      </w:r>
      <w:r>
        <w:rPr>
          <w:szCs w:val="20"/>
        </w:rPr>
        <w:t>r</w:t>
      </w:r>
      <w:r w:rsidRPr="00D32FED">
        <w:rPr>
          <w:szCs w:val="20"/>
        </w:rPr>
        <w:t xml:space="preserve"> un rappel aux organismes des Nations Unies, qui ont été priés de présenter des renseignements relatifs aux informations qu</w:t>
      </w:r>
      <w:r w:rsidR="007D2830">
        <w:rPr>
          <w:szCs w:val="20"/>
        </w:rPr>
        <w:t>’</w:t>
      </w:r>
      <w:r w:rsidRPr="00D32FED">
        <w:rPr>
          <w:szCs w:val="20"/>
        </w:rPr>
        <w:t>il a reçues en application de l</w:t>
      </w:r>
      <w:r w:rsidR="007D2830">
        <w:rPr>
          <w:szCs w:val="20"/>
        </w:rPr>
        <w:t>’</w:t>
      </w:r>
      <w:r w:rsidRPr="00D32FED">
        <w:rPr>
          <w:szCs w:val="20"/>
        </w:rPr>
        <w:t xml:space="preserve">article 8 du Protocole facultatif, et </w:t>
      </w:r>
      <w:r>
        <w:rPr>
          <w:szCs w:val="20"/>
        </w:rPr>
        <w:t xml:space="preserve">de </w:t>
      </w:r>
      <w:r w:rsidRPr="00D32FED">
        <w:rPr>
          <w:szCs w:val="20"/>
        </w:rPr>
        <w:t>reporte</w:t>
      </w:r>
      <w:r>
        <w:rPr>
          <w:szCs w:val="20"/>
        </w:rPr>
        <w:t>r</w:t>
      </w:r>
      <w:r w:rsidRPr="00D32FED">
        <w:rPr>
          <w:szCs w:val="20"/>
        </w:rPr>
        <w:t xml:space="preserve"> l</w:t>
      </w:r>
      <w:r w:rsidR="007D2830">
        <w:rPr>
          <w:szCs w:val="20"/>
        </w:rPr>
        <w:t>’</w:t>
      </w:r>
      <w:r w:rsidRPr="00D32FED">
        <w:rPr>
          <w:szCs w:val="20"/>
        </w:rPr>
        <w:t>évaluation préliminaire de ces informations à la soixante-sixième session du Comité.</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Moyens d’accélérer les travaux du Comité</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AF74A3">
      <w:pPr>
        <w:pStyle w:val="SingleTxt"/>
        <w:numPr>
          <w:ilvl w:val="0"/>
          <w:numId w:val="9"/>
        </w:numPr>
        <w:spacing w:line="240" w:lineRule="exact"/>
      </w:pPr>
      <w:r w:rsidRPr="00AF74A3">
        <w:t xml:space="preserve">Le secrétariat a indiqué au Comité ce qu’il en était des rapports qui auraient dû être présentés par les États parties en application de l’article 18 de la Convention. </w:t>
      </w:r>
    </w:p>
    <w:p w:rsidR="002F117D" w:rsidRPr="00AF74A3" w:rsidRDefault="002F117D" w:rsidP="00AF74A3">
      <w:pPr>
        <w:pStyle w:val="SingleTxt"/>
        <w:numPr>
          <w:ilvl w:val="0"/>
          <w:numId w:val="10"/>
        </w:numPr>
        <w:spacing w:line="240" w:lineRule="exact"/>
      </w:pPr>
      <w:r w:rsidRPr="00AF74A3">
        <w:t>Le 24</w:t>
      </w:r>
      <w:r w:rsidR="00D944D7">
        <w:t> octobre</w:t>
      </w:r>
      <w:r w:rsidRPr="00AF74A3">
        <w:t xml:space="preserve"> 2016, la Présidente a informé le Comité qu’elle avait présenté le rapport du Comité sur les travaux de ses soixante et unième, soixante-deuxième et soixante-troisième sessions à la Troisième Commission, le 10</w:t>
      </w:r>
      <w:r w:rsidR="00D944D7">
        <w:t> octobre</w:t>
      </w:r>
      <w:r w:rsidRPr="00AF74A3">
        <w:t xml:space="preserve"> 2016.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Mesures prises par le Comité au titre du point 7 de l’ordre du jour</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Dates des prochaines sessions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AF74A3">
      <w:pPr>
        <w:pStyle w:val="SingleTxt"/>
        <w:numPr>
          <w:ilvl w:val="0"/>
          <w:numId w:val="11"/>
        </w:numPr>
        <w:spacing w:line="240" w:lineRule="exact"/>
      </w:pPr>
      <w:r w:rsidRPr="00AF74A3">
        <w:t>Conformément au calendrier des conférences, les dates et lieux de réunion suivants ont été confirmés pour les soixante-sixième et soixante-septième sessions et autres réunions connexes du Comité</w:t>
      </w:r>
      <w:r w:rsidR="007D2830">
        <w:t> :</w:t>
      </w:r>
      <w:r w:rsidRPr="00AF74A3">
        <w:t xml:space="preserve">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Soixante-sixième session (Genève)</w:t>
      </w:r>
    </w:p>
    <w:p w:rsidR="002F117D" w:rsidRPr="00D32FED" w:rsidRDefault="002F117D" w:rsidP="00AF74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a)</w:t>
      </w:r>
      <w:r w:rsidRPr="00D32FED">
        <w:rPr>
          <w:szCs w:val="20"/>
        </w:rPr>
        <w:tab/>
        <w:t>Comme indiqué au paragraphe</w:t>
      </w:r>
      <w:r w:rsidR="00AF74A3">
        <w:rPr>
          <w:szCs w:val="20"/>
        </w:rPr>
        <w:t> </w:t>
      </w:r>
      <w:r w:rsidRPr="00D32FED">
        <w:rPr>
          <w:szCs w:val="20"/>
        </w:rPr>
        <w:t>28 de la première partie du présent rapport</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Soixante-septième session (Genève)</w:t>
      </w:r>
    </w:p>
    <w:p w:rsidR="002F117D" w:rsidRPr="00D32FED" w:rsidRDefault="002F117D"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b)</w:t>
      </w:r>
      <w:r w:rsidRPr="00D32FED">
        <w:rPr>
          <w:szCs w:val="20"/>
        </w:rPr>
        <w:tab/>
        <w:t>Trente-huitième session du Groupe de travail sur les communications présentées conformément au Protocole facultatif</w:t>
      </w:r>
      <w:r w:rsidR="007D2830">
        <w:rPr>
          <w:szCs w:val="20"/>
        </w:rPr>
        <w:t> :</w:t>
      </w:r>
      <w:r w:rsidRPr="00D32FED">
        <w:rPr>
          <w:szCs w:val="20"/>
        </w:rPr>
        <w:t xml:space="preserve"> du 28 au 30</w:t>
      </w:r>
      <w:r w:rsidR="00D944D7">
        <w:rPr>
          <w:szCs w:val="20"/>
        </w:rPr>
        <w:t> juin</w:t>
      </w:r>
      <w:r w:rsidRPr="00D32FED">
        <w:rPr>
          <w:szCs w:val="20"/>
        </w:rPr>
        <w:t xml:space="preserve"> 2017</w:t>
      </w:r>
      <w:r w:rsidR="007D2830">
        <w:rPr>
          <w:szCs w:val="20"/>
        </w:rPr>
        <w:t>;</w:t>
      </w:r>
    </w:p>
    <w:p w:rsidR="002F117D" w:rsidRPr="00D32FED" w:rsidRDefault="002F117D"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c)</w:t>
      </w:r>
      <w:r w:rsidRPr="00D32FED">
        <w:rPr>
          <w:szCs w:val="20"/>
        </w:rPr>
        <w:tab/>
        <w:t>Septième session du Groupe de travail chargé des enquêtes menées au titre du Protocole facultatif</w:t>
      </w:r>
      <w:r w:rsidR="007D2830">
        <w:rPr>
          <w:szCs w:val="20"/>
        </w:rPr>
        <w:t> :</w:t>
      </w:r>
      <w:r w:rsidRPr="00D32FED">
        <w:rPr>
          <w:szCs w:val="20"/>
        </w:rPr>
        <w:t xml:space="preserve"> 29 et 30</w:t>
      </w:r>
      <w:r w:rsidR="00D944D7">
        <w:rPr>
          <w:szCs w:val="20"/>
        </w:rPr>
        <w:t> juin</w:t>
      </w:r>
      <w:r w:rsidRPr="00D32FED">
        <w:rPr>
          <w:szCs w:val="20"/>
        </w:rPr>
        <w:t xml:space="preserve"> 2017</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d)</w:t>
      </w:r>
      <w:r w:rsidRPr="00D32FED">
        <w:rPr>
          <w:szCs w:val="20"/>
        </w:rPr>
        <w:tab/>
        <w:t>Soixante-septième session</w:t>
      </w:r>
      <w:r w:rsidR="007D2830">
        <w:rPr>
          <w:szCs w:val="20"/>
        </w:rPr>
        <w:t> :</w:t>
      </w:r>
      <w:r w:rsidRPr="00D32FED">
        <w:rPr>
          <w:szCs w:val="20"/>
        </w:rPr>
        <w:t xml:space="preserve"> du 3 au 21</w:t>
      </w:r>
      <w:r w:rsidR="00D944D7">
        <w:rPr>
          <w:szCs w:val="20"/>
        </w:rPr>
        <w:t> juillet</w:t>
      </w:r>
      <w:r w:rsidRPr="00D32FED">
        <w:rPr>
          <w:szCs w:val="20"/>
        </w:rPr>
        <w:t xml:space="preserve"> 2017</w:t>
      </w:r>
      <w:r w:rsidR="007D2830">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e)</w:t>
      </w:r>
      <w:r w:rsidRPr="00D32FED">
        <w:rPr>
          <w:szCs w:val="20"/>
        </w:rPr>
        <w:tab/>
        <w:t>Réunion du groupe de travail d’avant</w:t>
      </w:r>
      <w:r>
        <w:rPr>
          <w:szCs w:val="20"/>
        </w:rPr>
        <w:t>-</w:t>
      </w:r>
      <w:r w:rsidRPr="00D32FED">
        <w:rPr>
          <w:szCs w:val="20"/>
        </w:rPr>
        <w:t>session pour la soixante-neuvième session</w:t>
      </w:r>
      <w:r w:rsidR="007D2830">
        <w:rPr>
          <w:szCs w:val="20"/>
        </w:rPr>
        <w:t> :</w:t>
      </w:r>
      <w:r w:rsidRPr="00D32FED">
        <w:rPr>
          <w:szCs w:val="20"/>
        </w:rPr>
        <w:t xml:space="preserve"> du 24 au 28</w:t>
      </w:r>
      <w:r w:rsidR="00D944D7">
        <w:rPr>
          <w:szCs w:val="20"/>
        </w:rPr>
        <w:t> juillet</w:t>
      </w:r>
      <w:r w:rsidRPr="00D32FED">
        <w:rPr>
          <w:szCs w:val="20"/>
        </w:rPr>
        <w:t xml:space="preserve"> 2017.</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Rapports à examiner aux prochaines sessions du Comité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762DD4">
      <w:pPr>
        <w:pStyle w:val="SingleTxt"/>
        <w:numPr>
          <w:ilvl w:val="0"/>
          <w:numId w:val="20"/>
        </w:numPr>
        <w:spacing w:line="240" w:lineRule="exact"/>
      </w:pPr>
      <w:r w:rsidRPr="00AF74A3">
        <w:t>Le Comité a confirmé qu’à sa soixante-sixième session. il examinerait les rapports des États parties énumérés au</w:t>
      </w:r>
      <w:r w:rsidR="00D944D7">
        <w:t xml:space="preserve"> paragraphe </w:t>
      </w:r>
      <w:r w:rsidRPr="00AF74A3">
        <w:t>29 de la première partie du présent rapport, et qu’à sa soixante-septième session. il examinerait ceux de la Barbade, du Costa Rica, de l</w:t>
      </w:r>
      <w:r w:rsidR="007D2830">
        <w:t>’</w:t>
      </w:r>
      <w:r w:rsidRPr="00AF74A3">
        <w:t>Italie, du Monténégro, du Niger, du Nigéria, de la Roumanie (au titre de la procédure simplifiée de présentation des rapports) et de la Thaïlande.</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Application de l’article 21 de la Convention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 xml:space="preserve"> </w:t>
      </w:r>
      <w:r>
        <w:tab/>
      </w:r>
      <w:r>
        <w:tab/>
      </w:r>
      <w:r w:rsidRPr="00D32FED">
        <w:t>Groupe de travail sur les aspects de la réduction des risques de catastrophe</w:t>
      </w:r>
      <w:r w:rsidR="00AF74A3">
        <w:br/>
      </w:r>
      <w:r w:rsidRPr="00D32FED">
        <w:t>et des changements climatiques ayant trait à la problématique</w:t>
      </w:r>
      <w:r w:rsidR="00AF74A3">
        <w:br/>
      </w:r>
      <w:r w:rsidRPr="00D32FED">
        <w:t>hommes-femmes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2F117D" w:rsidP="00D944D7">
      <w:pPr>
        <w:pStyle w:val="SingleTxt"/>
        <w:numPr>
          <w:ilvl w:val="0"/>
          <w:numId w:val="11"/>
        </w:numPr>
        <w:spacing w:line="240" w:lineRule="exact"/>
      </w:pPr>
      <w:r w:rsidRPr="00AF74A3">
        <w:t>Le Groupe de travail s’est réuni durant la session et a examiné un calendrier en vue de la finalisation et de l</w:t>
      </w:r>
      <w:r w:rsidR="007D2830">
        <w:t>’</w:t>
      </w:r>
      <w:r w:rsidRPr="00AF74A3">
        <w:t>adoption du projet de recommandation générale sur les aspects de la réduction des risques de catastrophe et des changements climatiques ayant trait à la problématique hommes-femmes. Il a décidé d</w:t>
      </w:r>
      <w:r w:rsidR="007D2830">
        <w:t>’</w:t>
      </w:r>
      <w:r w:rsidRPr="00AF74A3">
        <w:t>examiner et de regrouper les observations sur le projet que les diverses parties prenantes ont présentées entre les sessions. Le Groupe de travail a également décidé d</w:t>
      </w:r>
      <w:r w:rsidR="007D2830">
        <w:t>’</w:t>
      </w:r>
      <w:r w:rsidRPr="00AF74A3">
        <w:t>organiser un séminaire-retraite d</w:t>
      </w:r>
      <w:r w:rsidR="007D2830">
        <w:t>’</w:t>
      </w:r>
      <w:r w:rsidRPr="00AF74A3">
        <w:t>une demi-journée au cours de la soixante-septième session du Comité, en vue d</w:t>
      </w:r>
      <w:r w:rsidR="007D2830">
        <w:t>’</w:t>
      </w:r>
      <w:r w:rsidRPr="00AF74A3">
        <w:t>affiner encore le projet. Il a en outre décidé d</w:t>
      </w:r>
      <w:r w:rsidR="007D2830">
        <w:t>’</w:t>
      </w:r>
      <w:r w:rsidRPr="00AF74A3">
        <w:t>adresser une note verbale invitant les États parties à soumettre leurs observations concernant le projet de recommandation, et de proroger au 31</w:t>
      </w:r>
      <w:r w:rsidR="00D944D7">
        <w:t> </w:t>
      </w:r>
      <w:r w:rsidRPr="00AF74A3">
        <w:t>janvier 2017 la date limite pour la présentation d’observations par les parties prenantes.</w:t>
      </w:r>
    </w:p>
    <w:p w:rsidR="002F117D" w:rsidRPr="00AF74A3" w:rsidRDefault="002F117D" w:rsidP="00AF74A3">
      <w:pPr>
        <w:pStyle w:val="ListParagraph"/>
        <w:numPr>
          <w:ilvl w:val="0"/>
          <w:numId w:val="1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760"/>
        <w:jc w:val="both"/>
        <w:rPr>
          <w:szCs w:val="20"/>
        </w:rPr>
      </w:pPr>
      <w:r w:rsidRPr="00AF74A3">
        <w:rPr>
          <w:szCs w:val="20"/>
        </w:rPr>
        <w:t xml:space="preserve">Le </w:t>
      </w:r>
      <w:r w:rsidRPr="00AF74A3">
        <w:t>G</w:t>
      </w:r>
      <w:r w:rsidRPr="00AF74A3">
        <w:rPr>
          <w:szCs w:val="20"/>
        </w:rPr>
        <w:t>roupe de travail est convenu de reporter la première lecture du projet de recommandation générale à la soixante-huitième session du Comité.</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le droit à l</w:t>
      </w:r>
      <w:r w:rsidR="007D2830">
        <w:t>’</w:t>
      </w:r>
      <w:r w:rsidRPr="00D32FED">
        <w:t>éducation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2"/>
        </w:numPr>
        <w:spacing w:line="240" w:lineRule="exact"/>
      </w:pPr>
      <w:r w:rsidRPr="00D32FED">
        <w:t xml:space="preserve">Le </w:t>
      </w:r>
      <w:r>
        <w:t>G</w:t>
      </w:r>
      <w:r w:rsidRPr="00D32FED">
        <w:t>roupe de travail s’est réuni durant la session et a examiné un calendrier en vue de la finalisation et de l</w:t>
      </w:r>
      <w:r w:rsidR="007D2830">
        <w:t>’</w:t>
      </w:r>
      <w:r w:rsidRPr="00D32FED">
        <w:t>adoption du projet de recommandation générale sur le droit des filles et des femmes à l</w:t>
      </w:r>
      <w:r w:rsidR="007D2830">
        <w:t>’</w:t>
      </w:r>
      <w:r w:rsidRPr="00D32FED">
        <w:t>éducation.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les méthodes de travail</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2"/>
        </w:numPr>
        <w:spacing w:line="240" w:lineRule="exact"/>
      </w:pPr>
      <w:r w:rsidRPr="00D32FED">
        <w:t>Le Groupe de travail s</w:t>
      </w:r>
      <w:r w:rsidR="007D2830">
        <w:t>’</w:t>
      </w:r>
      <w:r w:rsidRPr="00D32FED">
        <w:t>est réuni durant la session et a examiné et soumis au Comité des projets de décision sur les réunions de coordination des équipes spéciales de pays, et révisé les paragraphes standard des observations finales du Comité (voir décisions 65/I et 65/II). Il a également révisé une note d’orientation à l’intention des rapporteurs de pays.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chargé de la coordination avec l</w:t>
      </w:r>
      <w:r w:rsidR="007D2830">
        <w:t>’</w:t>
      </w:r>
      <w:r w:rsidRPr="00D32FED">
        <w:t>Union interparlementaire</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2"/>
        </w:numPr>
        <w:spacing w:line="240" w:lineRule="exact"/>
      </w:pPr>
      <w:r w:rsidRPr="00D32FED">
        <w:t>Le Groupe de travail s</w:t>
      </w:r>
      <w:r w:rsidR="007D2830">
        <w:t>’</w:t>
      </w:r>
      <w:r w:rsidRPr="00D32FED">
        <w:t xml:space="preserve">est réuni durant la session et a examiné les priorités </w:t>
      </w:r>
      <w:r>
        <w:t xml:space="preserve">de </w:t>
      </w:r>
      <w:r w:rsidRPr="00D32FED">
        <w:t>la coopération entre le Comité et l</w:t>
      </w:r>
      <w:r w:rsidR="007D2830">
        <w:t>’</w:t>
      </w:r>
      <w:r w:rsidRPr="00D32FED">
        <w:t>Union interparlementaire. L</w:t>
      </w:r>
      <w:r w:rsidR="007D2830">
        <w:t>’</w:t>
      </w:r>
      <w:r w:rsidRPr="00D32FED">
        <w:t>objectif était plus précisément d</w:t>
      </w:r>
      <w:r w:rsidR="007D2830">
        <w:t>’</w:t>
      </w:r>
      <w:r w:rsidRPr="00D32FED">
        <w:t>organiser tous les ans une réunion conjointe entre le Comité et l</w:t>
      </w:r>
      <w:r w:rsidR="007D2830">
        <w:t>’</w:t>
      </w:r>
      <w:r w:rsidRPr="00D32FED">
        <w:t>U</w:t>
      </w:r>
      <w:r>
        <w:t>nion,</w:t>
      </w:r>
      <w:r w:rsidRPr="00D32FED">
        <w:t xml:space="preserve"> de renforcer les capacités des </w:t>
      </w:r>
      <w:r>
        <w:t>p</w:t>
      </w:r>
      <w:r w:rsidRPr="00D32FED">
        <w:t>arlements d’évaluer leur propre sensibilisation aux questions de disparités entre les sexes et de renforcer la collaboration sur les questions des migrations et des flux de réfugiés, du suivi de la mise en œuvre des objectifs de développement durable, et des femmes et la paix et la sécurité.</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la Convention, ONU-Femmes et les objectifs de développement durable</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2"/>
        </w:numPr>
        <w:spacing w:line="240" w:lineRule="exact"/>
      </w:pPr>
      <w:r w:rsidRPr="00D32FED">
        <w:t>Le Groupe de travail s</w:t>
      </w:r>
      <w:r w:rsidR="007D2830">
        <w:t>’</w:t>
      </w:r>
      <w:r w:rsidRPr="00D32FED">
        <w:t xml:space="preserve">est réuni </w:t>
      </w:r>
      <w:r>
        <w:t xml:space="preserve">durant </w:t>
      </w:r>
      <w:r w:rsidRPr="00D32FED">
        <w:t>la session pour examiner le projet de liste de questions par ONU-Femmes, de la mise au point de l’index Institutions sociales et Égalité homme-femme par l’Organisation de coopération et de développement économiques et du lancement par la Banque mondiale de la base de données «</w:t>
      </w:r>
      <w:r w:rsidR="00AF74A3">
        <w:t> </w:t>
      </w:r>
      <w:r w:rsidRPr="00D32FED">
        <w:t>Les femmes, l’entreprise et le droit</w:t>
      </w:r>
      <w:r w:rsidR="00AF74A3">
        <w:t> </w:t>
      </w:r>
      <w:r w:rsidRPr="00D32FED">
        <w:t xml:space="preserve">» visant à tester l’indicateur 5.1.1 des objectifs de développement durable relatif aux cadres </w:t>
      </w:r>
      <w:r>
        <w:t xml:space="preserve">législatifs visant </w:t>
      </w:r>
      <w:r w:rsidRPr="00D32FED">
        <w:t>à mettre fin à la discrimination à l</w:t>
      </w:r>
      <w:r w:rsidR="007D2830">
        <w:t>’</w:t>
      </w:r>
      <w:r w:rsidRPr="00D32FED">
        <w:t xml:space="preserve">égard des femmes. Le Groupe de travail a recommandé au </w:t>
      </w:r>
      <w:r w:rsidRPr="00D32FED">
        <w:lastRenderedPageBreak/>
        <w:t>Comité de mettre les questions à l’essai par l</w:t>
      </w:r>
      <w:r w:rsidR="007D2830">
        <w:t>’</w:t>
      </w:r>
      <w:r w:rsidRPr="00D32FED">
        <w:t>intermédiaire de ses processus réguliers, notamment en les intégrant à ses listes de points et de questions et à ses dialogues constructifs avec les États parties, à compter de 2017. Il a par conséquent recommandé de revoir la note d</w:t>
      </w:r>
      <w:r w:rsidR="007D2830">
        <w:t>’</w:t>
      </w:r>
      <w:r w:rsidRPr="00D32FED">
        <w:t xml:space="preserve">information </w:t>
      </w:r>
      <w:r>
        <w:t>établie</w:t>
      </w:r>
      <w:r w:rsidRPr="00D32FED">
        <w:t xml:space="preserve"> par les rapporteurs de pays ainsi que les directives du Comité concernant la présentation de rapports. Il a également décidé de fournir au Comité, à sa soixante-sixième session, un premie</w:t>
      </w:r>
      <w:r>
        <w:t>r projet de contribution de fond, qui sera présenté</w:t>
      </w:r>
      <w:r w:rsidRPr="00D32FED">
        <w:t xml:space="preserve"> au Forum politique de haut niveau pour le développement durable de 2017.</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la violence sexiste contre les femmes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AF74A3" w:rsidRDefault="0064018E" w:rsidP="00AF74A3">
      <w:pPr>
        <w:pStyle w:val="SingleTxt"/>
        <w:numPr>
          <w:ilvl w:val="0"/>
          <w:numId w:val="12"/>
        </w:numPr>
        <w:spacing w:line="240" w:lineRule="exact"/>
      </w:pPr>
      <w:r>
        <w:t>Le G</w:t>
      </w:r>
      <w:r w:rsidR="002F117D" w:rsidRPr="00AF74A3">
        <w:t>roupe de travail s’est réuni durant la session et a examiné un calendrier en vue de la finalisation et de l</w:t>
      </w:r>
      <w:r w:rsidR="007D2830">
        <w:t>’</w:t>
      </w:r>
      <w:r w:rsidR="002F117D" w:rsidRPr="00AF74A3">
        <w:t>adoption du projet de recommandation générale sur la violence sexiste à l’égard des femmes, qui actualisera la recommandation générale n° 19. En outre, il a examiné les observations transmises par de nombreuses parties prenantes concernant le projet de recommandation et décidé d’en poursuivre l’examen entre les sessions.</w:t>
      </w:r>
    </w:p>
    <w:p w:rsidR="002F117D" w:rsidRPr="00AF74A3" w:rsidRDefault="002F117D" w:rsidP="00AF74A3">
      <w:pPr>
        <w:pStyle w:val="SingleTxt"/>
        <w:numPr>
          <w:ilvl w:val="0"/>
          <w:numId w:val="13"/>
        </w:numPr>
        <w:spacing w:line="240" w:lineRule="exact"/>
      </w:pPr>
      <w:r w:rsidRPr="00AF74A3">
        <w:t>Le Comité a approuvé la proposition du Groupe de travail visant à poursuivre sa collaboration étroite avec la Rapporteuse spéciale sur la violence contre les femmes, ses causes et ses conséquences, dans le cadre des travaux qu’il continuera de mener sur le projet de recommandation générale jusqu’à son adoption.</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VIII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t>Ordre du jour provisoire de la soixante-sixième session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3"/>
        </w:numPr>
        <w:spacing w:line="240" w:lineRule="exact"/>
      </w:pPr>
      <w:r w:rsidRPr="00D32FED">
        <w:t>À sa 1469</w:t>
      </w:r>
      <w:r w:rsidRPr="00CA4657">
        <w:rPr>
          <w:vertAlign w:val="superscript"/>
        </w:rPr>
        <w:t>e</w:t>
      </w:r>
      <w:r w:rsidR="00AF74A3">
        <w:t> </w:t>
      </w:r>
      <w:r w:rsidRPr="00D32FED">
        <w:t>séance, le 18</w:t>
      </w:r>
      <w:r w:rsidR="00AF74A3">
        <w:t> </w:t>
      </w:r>
      <w:r w:rsidRPr="00D32FED">
        <w:t xml:space="preserve">novembre 2016, le Comité a examiné et approuvé le projet d’ordre du jour provisoire de sa soixante-sixième session. </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IX</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Adoption du rapport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SingleTxt"/>
        <w:numPr>
          <w:ilvl w:val="0"/>
          <w:numId w:val="13"/>
        </w:numPr>
        <w:spacing w:line="240" w:lineRule="exact"/>
      </w:pPr>
      <w:r w:rsidRPr="00D32FED">
        <w:t>À sa 1469</w:t>
      </w:r>
      <w:r w:rsidRPr="00CA4657">
        <w:rPr>
          <w:vertAlign w:val="superscript"/>
        </w:rPr>
        <w:t>e</w:t>
      </w:r>
      <w:r w:rsidR="00AF74A3">
        <w:t> </w:t>
      </w:r>
      <w:r w:rsidRPr="00D32FED">
        <w:t>séance, le 18</w:t>
      </w:r>
      <w:r w:rsidR="00AF74A3">
        <w:t> </w:t>
      </w:r>
      <w:r w:rsidRPr="00D32FED">
        <w:t>novembre 2016, le Comité a examiné et adopté, tel que modifié oralement, le projet de rapport sur les travaux de sa soixante-cinquième session.</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Annexe 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7D2830" w:rsidRDefault="002F117D" w:rsidP="00AF74A3">
      <w:pPr>
        <w:pStyle w:val="HCh0"/>
        <w:ind w:left="1267" w:right="1260" w:hanging="1267"/>
        <w:rPr>
          <w:lang w:val="fr-FR"/>
        </w:rPr>
      </w:pPr>
      <w:r w:rsidRPr="007D2830">
        <w:rPr>
          <w:lang w:val="fr-FR"/>
        </w:rPr>
        <w:tab/>
      </w:r>
      <w:r w:rsidRPr="007D2830">
        <w:rPr>
          <w:lang w:val="fr-FR"/>
        </w:rPr>
        <w:tab/>
        <w:t>Liste des documents dont le Comité était saisi à sa soixante-cinquième session</w:t>
      </w:r>
    </w:p>
    <w:p w:rsidR="002F117D" w:rsidRPr="002F117D" w:rsidRDefault="002F117D" w:rsidP="002F117D">
      <w:pPr>
        <w:pStyle w:val="SingleTxt"/>
        <w:spacing w:after="0" w:line="120" w:lineRule="exact"/>
        <w:rPr>
          <w:sz w:val="10"/>
        </w:rPr>
      </w:pPr>
    </w:p>
    <w:tbl>
      <w:tblPr>
        <w:tblW w:w="8612" w:type="dxa"/>
        <w:tblInd w:w="1267" w:type="dxa"/>
        <w:tblLayout w:type="fixed"/>
        <w:tblCellMar>
          <w:left w:w="0" w:type="dxa"/>
          <w:right w:w="0" w:type="dxa"/>
        </w:tblCellMar>
        <w:tblLook w:val="04A0" w:firstRow="1" w:lastRow="0" w:firstColumn="1" w:lastColumn="0" w:noHBand="0" w:noVBand="1"/>
      </w:tblPr>
      <w:tblGrid>
        <w:gridCol w:w="2513"/>
        <w:gridCol w:w="6099"/>
      </w:tblGrid>
      <w:tr w:rsidR="002F117D" w:rsidRPr="00D32FED" w:rsidTr="002F117D">
        <w:trPr>
          <w:cantSplit/>
          <w:tblHeader/>
        </w:trPr>
        <w:tc>
          <w:tcPr>
            <w:tcW w:w="2513" w:type="dxa"/>
            <w:tcBorders>
              <w:top w:val="single" w:sz="4" w:space="0" w:color="auto"/>
              <w:bottom w:val="single" w:sz="12" w:space="0" w:color="auto"/>
            </w:tcBorders>
            <w:shd w:val="clear" w:color="auto" w:fill="auto"/>
            <w:vAlign w:val="bottom"/>
          </w:tcPr>
          <w:p w:rsidR="002F117D" w:rsidRPr="00D32FED" w:rsidRDefault="002F117D" w:rsidP="00AF74A3">
            <w:pPr>
              <w:suppressAutoHyphens/>
              <w:spacing w:before="81" w:after="81" w:line="160" w:lineRule="exact"/>
              <w:ind w:right="43"/>
              <w:rPr>
                <w:i/>
                <w:sz w:val="14"/>
                <w:szCs w:val="20"/>
                <w:lang w:val="en-GB"/>
              </w:rPr>
            </w:pPr>
            <w:r w:rsidRPr="00AF74A3">
              <w:rPr>
                <w:i/>
                <w:sz w:val="14"/>
                <w:szCs w:val="20"/>
                <w:lang w:val="en-GB"/>
              </w:rPr>
              <w:t>Cote du document</w:t>
            </w:r>
          </w:p>
        </w:tc>
        <w:tc>
          <w:tcPr>
            <w:tcW w:w="6099" w:type="dxa"/>
            <w:tcBorders>
              <w:top w:val="single" w:sz="4" w:space="0" w:color="auto"/>
              <w:bottom w:val="single" w:sz="12" w:space="0" w:color="auto"/>
            </w:tcBorders>
            <w:shd w:val="clear" w:color="auto" w:fill="auto"/>
            <w:vAlign w:val="bottom"/>
          </w:tcPr>
          <w:p w:rsidR="002F117D" w:rsidRPr="00D32FED" w:rsidRDefault="002F117D" w:rsidP="00AF74A3">
            <w:pPr>
              <w:suppressAutoHyphens/>
              <w:spacing w:before="81" w:after="81" w:line="160" w:lineRule="exact"/>
              <w:ind w:left="144" w:right="43"/>
              <w:rPr>
                <w:i/>
                <w:sz w:val="14"/>
                <w:szCs w:val="20"/>
                <w:lang w:val="en-GB"/>
              </w:rPr>
            </w:pPr>
            <w:r w:rsidRPr="00AF74A3">
              <w:rPr>
                <w:i/>
                <w:sz w:val="14"/>
                <w:szCs w:val="20"/>
                <w:lang w:val="en-GB"/>
              </w:rPr>
              <w:t>Titre ou description</w:t>
            </w:r>
          </w:p>
        </w:tc>
      </w:tr>
      <w:tr w:rsidR="002F117D" w:rsidRPr="00D32FED" w:rsidTr="002F117D">
        <w:trPr>
          <w:cantSplit/>
          <w:trHeight w:hRule="exact" w:val="115"/>
          <w:tblHeader/>
        </w:trPr>
        <w:tc>
          <w:tcPr>
            <w:tcW w:w="2513" w:type="dxa"/>
            <w:tcBorders>
              <w:top w:val="single" w:sz="12" w:space="0" w:color="auto"/>
            </w:tcBorders>
            <w:shd w:val="clear" w:color="auto" w:fill="auto"/>
            <w:vAlign w:val="bottom"/>
          </w:tcPr>
          <w:p w:rsidR="002F117D" w:rsidRPr="00D32FED" w:rsidRDefault="002F117D" w:rsidP="002F117D">
            <w:pPr>
              <w:suppressAutoHyphens/>
              <w:spacing w:before="40" w:after="120"/>
              <w:ind w:right="40"/>
              <w:rPr>
                <w:szCs w:val="20"/>
                <w:lang w:val="en-GB"/>
              </w:rPr>
            </w:pPr>
          </w:p>
        </w:tc>
        <w:tc>
          <w:tcPr>
            <w:tcW w:w="6099" w:type="dxa"/>
            <w:tcBorders>
              <w:top w:val="single" w:sz="12" w:space="0" w:color="auto"/>
            </w:tcBorders>
            <w:shd w:val="clear" w:color="auto" w:fill="auto"/>
            <w:vAlign w:val="bottom"/>
          </w:tcPr>
          <w:p w:rsidR="002F117D" w:rsidRPr="00D32FED" w:rsidRDefault="002F117D" w:rsidP="002F117D">
            <w:pPr>
              <w:suppressAutoHyphens/>
              <w:spacing w:before="40" w:after="120"/>
              <w:ind w:left="144" w:right="40"/>
              <w:rPr>
                <w:szCs w:val="20"/>
                <w:lang w:val="en-GB"/>
              </w:rPr>
            </w:pP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87" w:history="1">
              <w:r w:rsidR="002F117D" w:rsidRPr="00D32FED">
                <w:rPr>
                  <w:szCs w:val="20"/>
                  <w:lang w:val="en-GB"/>
                </w:rPr>
                <w:t>CEDAW/C/65/1</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 xml:space="preserve">Ordre du jour provisoire annoté </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88" w:history="1">
              <w:r w:rsidR="002F117D" w:rsidRPr="00D32FED">
                <w:rPr>
                  <w:szCs w:val="20"/>
                  <w:lang w:val="en-GB"/>
                </w:rPr>
                <w:t>CEDAW/C/65/2</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de l’Organisation des Nations Unies pour l’éducation, la science et la culture</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89" w:history="1">
              <w:r w:rsidR="002F117D" w:rsidRPr="00D32FED">
                <w:rPr>
                  <w:szCs w:val="20"/>
                  <w:lang w:val="en-GB"/>
                </w:rPr>
                <w:t>CEDAW/C/65/3</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de l’Organisation internationale du Travail</w:t>
            </w:r>
          </w:p>
        </w:tc>
      </w:tr>
      <w:tr w:rsidR="002F117D" w:rsidRPr="00D32FED" w:rsidTr="002F117D">
        <w:trPr>
          <w:cantSplit/>
        </w:trPr>
        <w:tc>
          <w:tcPr>
            <w:tcW w:w="2513"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right="43"/>
              <w:rPr>
                <w:b/>
                <w:szCs w:val="20"/>
                <w:lang w:val="en-GB"/>
              </w:rPr>
            </w:pPr>
            <w:r w:rsidRPr="00D32FED">
              <w:rPr>
                <w:b/>
                <w:bCs/>
                <w:szCs w:val="20"/>
              </w:rPr>
              <w:t>Rapports des États parties</w:t>
            </w:r>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lang w:val="en-GB"/>
              </w:rPr>
            </w:pP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0" w:history="1">
              <w:r w:rsidR="002F117D" w:rsidRPr="00D32FED">
                <w:rPr>
                  <w:szCs w:val="20"/>
                  <w:lang w:val="en-GB"/>
                </w:rPr>
                <w:t>CEDAW/C/ARG/7</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Septième rapport périodique de l</w:t>
            </w:r>
            <w:r w:rsidR="007D2830">
              <w:rPr>
                <w:szCs w:val="20"/>
              </w:rPr>
              <w:t>’</w:t>
            </w:r>
            <w:r w:rsidRPr="00D32FED">
              <w:rPr>
                <w:szCs w:val="20"/>
              </w:rPr>
              <w:t>Argentine</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1" w:history="1">
              <w:r w:rsidR="002F117D" w:rsidRPr="00D32FED">
                <w:rPr>
                  <w:szCs w:val="20"/>
                  <w:lang w:val="en-GB"/>
                </w:rPr>
                <w:t>CEDAW/C/ARM/5-6</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cinquième et sixième rapports périodiques de l’Arménie</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2" w:history="1">
              <w:r w:rsidR="002F117D" w:rsidRPr="00D32FED">
                <w:rPr>
                  <w:szCs w:val="20"/>
                  <w:lang w:val="en-GB"/>
                </w:rPr>
                <w:t>CEDAW/C/BGD/8</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Huitième rapport périodique du Bangladesh</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3" w:history="1">
              <w:r w:rsidR="002F117D" w:rsidRPr="00D32FED">
                <w:rPr>
                  <w:szCs w:val="20"/>
                  <w:lang w:val="en-GB"/>
                </w:rPr>
                <w:t>CEDAW/C/BLR/8</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Huitième rapport périodique du Bélarus</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4" w:history="1">
              <w:r w:rsidR="002F117D" w:rsidRPr="00D32FED">
                <w:rPr>
                  <w:szCs w:val="20"/>
                  <w:lang w:val="en-GB"/>
                </w:rPr>
                <w:t>CEDAW/C/BTN/8-9</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huitième et neuvième rapports périodiques du Bhoutan</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5" w:history="1">
              <w:r w:rsidR="002F117D" w:rsidRPr="00D32FED">
                <w:rPr>
                  <w:szCs w:val="20"/>
                  <w:lang w:val="en-GB"/>
                </w:rPr>
                <w:t>CEDAW/C/BDI/5-6</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cinquième et sixième rapports périodiques du Burundi</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6" w:history="1">
              <w:r w:rsidR="002F117D" w:rsidRPr="00D32FED">
                <w:rPr>
                  <w:szCs w:val="20"/>
                  <w:lang w:val="en-GB"/>
                </w:rPr>
                <w:t>CEDAW/C/CAN/8-9</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huitième et neuvième rapports périodiques du Canada</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7" w:history="1">
              <w:r w:rsidR="002F117D" w:rsidRPr="00D32FED">
                <w:rPr>
                  <w:szCs w:val="20"/>
                  <w:lang w:val="en-GB"/>
                </w:rPr>
                <w:t>CEDAW/C/EST/5-6</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cinquième et sixième rapports périodiques de l</w:t>
            </w:r>
            <w:r w:rsidR="007D2830">
              <w:rPr>
                <w:szCs w:val="20"/>
              </w:rPr>
              <w:t>’</w:t>
            </w:r>
            <w:r w:rsidRPr="00D32FED">
              <w:rPr>
                <w:szCs w:val="20"/>
              </w:rPr>
              <w:t>Estonie</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8" w:history="1">
              <w:r w:rsidR="002F117D" w:rsidRPr="00D32FED">
                <w:rPr>
                  <w:szCs w:val="20"/>
                  <w:lang w:val="en-GB"/>
                </w:rPr>
                <w:t>CEDAW/C/HND/7-8</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septième et huitième rapports périodiques du Honduras</w:t>
            </w:r>
          </w:p>
        </w:tc>
      </w:tr>
      <w:tr w:rsidR="002F117D" w:rsidRPr="00D32FED" w:rsidTr="002F117D">
        <w:trPr>
          <w:cantSplit/>
        </w:trPr>
        <w:tc>
          <w:tcPr>
            <w:tcW w:w="2513" w:type="dxa"/>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99" w:history="1">
              <w:r w:rsidR="002F117D" w:rsidRPr="00D32FED">
                <w:rPr>
                  <w:szCs w:val="20"/>
                  <w:lang w:val="en-GB"/>
                </w:rPr>
                <w:t>CEDAW/C/NLD/6</w:t>
              </w:r>
            </w:hyperlink>
          </w:p>
        </w:tc>
        <w:tc>
          <w:tcPr>
            <w:tcW w:w="6099" w:type="dxa"/>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Sixième rapport périodique des Pays-Bas</w:t>
            </w:r>
          </w:p>
        </w:tc>
      </w:tr>
      <w:tr w:rsidR="002F117D" w:rsidRPr="00D32FED" w:rsidTr="002F117D">
        <w:trPr>
          <w:cantSplit/>
        </w:trPr>
        <w:tc>
          <w:tcPr>
            <w:tcW w:w="2513" w:type="dxa"/>
            <w:tcBorders>
              <w:bottom w:val="single" w:sz="12" w:space="0" w:color="auto"/>
            </w:tcBorders>
            <w:shd w:val="clear" w:color="auto" w:fill="auto"/>
          </w:tcPr>
          <w:p w:rsidR="002F117D" w:rsidRPr="00D32FED" w:rsidRDefault="00030BF8" w:rsidP="00AF74A3">
            <w:pPr>
              <w:tabs>
                <w:tab w:val="left" w:pos="288"/>
                <w:tab w:val="left" w:pos="576"/>
                <w:tab w:val="left" w:pos="864"/>
                <w:tab w:val="left" w:pos="1152"/>
              </w:tabs>
              <w:suppressAutoHyphens/>
              <w:spacing w:before="40" w:after="80"/>
              <w:ind w:right="43"/>
              <w:rPr>
                <w:szCs w:val="20"/>
                <w:lang w:val="en-GB"/>
              </w:rPr>
            </w:pPr>
            <w:hyperlink r:id="rId100" w:history="1">
              <w:r w:rsidR="002F117D" w:rsidRPr="00D32FED">
                <w:rPr>
                  <w:szCs w:val="20"/>
                  <w:lang w:val="en-GB"/>
                </w:rPr>
                <w:t>CEDAW/C/CHE/4-5</w:t>
              </w:r>
            </w:hyperlink>
          </w:p>
        </w:tc>
        <w:tc>
          <w:tcPr>
            <w:tcW w:w="6099" w:type="dxa"/>
            <w:tcBorders>
              <w:bottom w:val="single" w:sz="12" w:space="0" w:color="auto"/>
            </w:tcBorders>
            <w:shd w:val="clear" w:color="auto" w:fill="auto"/>
          </w:tcPr>
          <w:p w:rsidR="002F117D" w:rsidRPr="00D32FED" w:rsidRDefault="002F117D" w:rsidP="00AF74A3">
            <w:pPr>
              <w:tabs>
                <w:tab w:val="left" w:pos="288"/>
                <w:tab w:val="left" w:pos="576"/>
                <w:tab w:val="left" w:pos="864"/>
                <w:tab w:val="left" w:pos="1152"/>
              </w:tabs>
              <w:suppressAutoHyphens/>
              <w:spacing w:before="40" w:after="80"/>
              <w:ind w:left="144" w:right="43"/>
              <w:rPr>
                <w:szCs w:val="20"/>
              </w:rPr>
            </w:pPr>
            <w:r w:rsidRPr="00D32FED">
              <w:rPr>
                <w:szCs w:val="20"/>
              </w:rPr>
              <w:t>Rapport unique valant quatrième et cinquième rapports périodiques de la Suisse</w:t>
            </w:r>
          </w:p>
        </w:tc>
      </w:tr>
    </w:tbl>
    <w:p w:rsidR="002F117D" w:rsidRPr="002F117D" w:rsidRDefault="002F117D" w:rsidP="002F117D">
      <w:pPr>
        <w:pStyle w:val="SingleTxt"/>
        <w:spacing w:after="0" w:line="120" w:lineRule="exact"/>
        <w:rPr>
          <w:sz w:val="10"/>
        </w:rPr>
      </w:pPr>
    </w:p>
    <w:p w:rsidR="002F117D" w:rsidRPr="002F117D" w:rsidRDefault="002F117D" w:rsidP="002F117D">
      <w:pPr>
        <w:pStyle w:val="SingleTxt"/>
        <w:spacing w:after="0" w:line="120" w:lineRule="exact"/>
        <w:rPr>
          <w:sz w:val="10"/>
        </w:rPr>
      </w:pPr>
    </w:p>
    <w:p w:rsidR="002F117D" w:rsidRDefault="002F117D">
      <w:pPr>
        <w:spacing w:after="200" w:line="276" w:lineRule="auto"/>
      </w:pPr>
      <w: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Annexe II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7D2830" w:rsidRDefault="002F117D" w:rsidP="00AF74A3">
      <w:pPr>
        <w:pStyle w:val="HCh0"/>
        <w:ind w:left="1267" w:right="1260" w:hanging="1267"/>
        <w:rPr>
          <w:lang w:val="fr-FR"/>
        </w:rPr>
      </w:pPr>
      <w:r w:rsidRPr="007D2830">
        <w:rPr>
          <w:lang w:val="fr-FR"/>
        </w:rPr>
        <w:tab/>
      </w:r>
      <w:r w:rsidRPr="007D2830">
        <w:rPr>
          <w:lang w:val="fr-FR"/>
        </w:rPr>
        <w:tab/>
        <w:t>Composition du Comité au 18</w:t>
      </w:r>
      <w:r w:rsidR="00D944D7">
        <w:rPr>
          <w:lang w:val="fr-FR"/>
        </w:rPr>
        <w:t> novembre</w:t>
      </w:r>
      <w:r w:rsidRPr="007D2830">
        <w:rPr>
          <w:lang w:val="fr-FR"/>
        </w:rPr>
        <w:t xml:space="preserve"> 2016</w:t>
      </w:r>
    </w:p>
    <w:p w:rsidR="002F117D" w:rsidRPr="002F117D" w:rsidRDefault="002F117D" w:rsidP="002F117D">
      <w:pPr>
        <w:pStyle w:val="SingleTxt"/>
        <w:spacing w:after="0" w:line="120" w:lineRule="exact"/>
        <w:rPr>
          <w:b/>
          <w:spacing w:val="-2"/>
          <w:sz w:val="10"/>
          <w:szCs w:val="20"/>
        </w:rPr>
      </w:pPr>
    </w:p>
    <w:tbl>
      <w:tblPr>
        <w:tblW w:w="7320" w:type="dxa"/>
        <w:tblInd w:w="1260" w:type="dxa"/>
        <w:tblLayout w:type="fixed"/>
        <w:tblCellMar>
          <w:left w:w="0" w:type="dxa"/>
          <w:right w:w="0" w:type="dxa"/>
        </w:tblCellMar>
        <w:tblLook w:val="04A0" w:firstRow="1" w:lastRow="0" w:firstColumn="1" w:lastColumn="0" w:noHBand="0" w:noVBand="1"/>
      </w:tblPr>
      <w:tblGrid>
        <w:gridCol w:w="3360"/>
        <w:gridCol w:w="1710"/>
        <w:gridCol w:w="2250"/>
      </w:tblGrid>
      <w:tr w:rsidR="007D2830" w:rsidRPr="007D2830" w:rsidTr="007D2830">
        <w:trPr>
          <w:cantSplit/>
          <w:tblHeader/>
        </w:trPr>
        <w:tc>
          <w:tcPr>
            <w:tcW w:w="3360" w:type="dxa"/>
            <w:tcBorders>
              <w:top w:val="single" w:sz="4" w:space="0" w:color="auto"/>
              <w:bottom w:val="single" w:sz="12" w:space="0" w:color="auto"/>
            </w:tcBorders>
            <w:shd w:val="clear" w:color="auto" w:fill="auto"/>
            <w:vAlign w:val="bottom"/>
          </w:tcPr>
          <w:p w:rsidR="002F117D" w:rsidRPr="007D2830" w:rsidRDefault="002F117D" w:rsidP="007D2830">
            <w:pPr>
              <w:suppressAutoHyphens/>
              <w:spacing w:before="81" w:after="81" w:line="160" w:lineRule="exact"/>
              <w:ind w:right="40"/>
              <w:rPr>
                <w:i/>
                <w:sz w:val="14"/>
              </w:rPr>
            </w:pPr>
            <w:r w:rsidRPr="007D2830">
              <w:rPr>
                <w:i/>
                <w:sz w:val="14"/>
              </w:rPr>
              <w:t>Membre</w:t>
            </w:r>
          </w:p>
        </w:tc>
        <w:tc>
          <w:tcPr>
            <w:tcW w:w="1710" w:type="dxa"/>
            <w:tcBorders>
              <w:top w:val="single" w:sz="4" w:space="0" w:color="auto"/>
              <w:bottom w:val="single" w:sz="12" w:space="0" w:color="auto"/>
            </w:tcBorders>
            <w:shd w:val="clear" w:color="auto" w:fill="auto"/>
            <w:vAlign w:val="bottom"/>
          </w:tcPr>
          <w:p w:rsidR="002F117D" w:rsidRPr="007D2830" w:rsidRDefault="002F117D" w:rsidP="007D2830">
            <w:pPr>
              <w:tabs>
                <w:tab w:val="left" w:pos="288"/>
                <w:tab w:val="left" w:pos="576"/>
                <w:tab w:val="left" w:pos="864"/>
                <w:tab w:val="left" w:pos="1152"/>
              </w:tabs>
              <w:suppressAutoHyphens/>
              <w:spacing w:before="81" w:after="81" w:line="160" w:lineRule="exact"/>
              <w:ind w:left="144" w:right="43"/>
              <w:rPr>
                <w:i/>
                <w:sz w:val="14"/>
              </w:rPr>
            </w:pPr>
            <w:r w:rsidRPr="007D2830">
              <w:rPr>
                <w:i/>
                <w:sz w:val="14"/>
              </w:rPr>
              <w:t>Pays de nationalité</w:t>
            </w:r>
          </w:p>
        </w:tc>
        <w:tc>
          <w:tcPr>
            <w:tcW w:w="2250" w:type="dxa"/>
            <w:tcBorders>
              <w:top w:val="single" w:sz="4" w:space="0" w:color="auto"/>
              <w:bottom w:val="single" w:sz="12" w:space="0" w:color="auto"/>
            </w:tcBorders>
            <w:shd w:val="clear" w:color="auto" w:fill="auto"/>
            <w:vAlign w:val="bottom"/>
          </w:tcPr>
          <w:p w:rsidR="002F117D" w:rsidRPr="007D2830" w:rsidRDefault="002F117D" w:rsidP="007D2830">
            <w:pPr>
              <w:suppressAutoHyphens/>
              <w:spacing w:before="81" w:after="81" w:line="160" w:lineRule="exact"/>
              <w:ind w:left="144" w:right="43"/>
              <w:jc w:val="right"/>
              <w:rPr>
                <w:i/>
                <w:sz w:val="14"/>
              </w:rPr>
            </w:pPr>
            <w:r w:rsidRPr="007D2830">
              <w:rPr>
                <w:i/>
                <w:sz w:val="14"/>
              </w:rPr>
              <w:t>Mandat expirant le 31</w:t>
            </w:r>
            <w:r w:rsidR="00D944D7">
              <w:rPr>
                <w:i/>
                <w:sz w:val="14"/>
              </w:rPr>
              <w:t> décembre</w:t>
            </w:r>
          </w:p>
        </w:tc>
      </w:tr>
      <w:tr w:rsidR="007D2830" w:rsidRPr="007D2830" w:rsidTr="007D2830">
        <w:trPr>
          <w:cantSplit/>
          <w:trHeight w:hRule="exact" w:val="115"/>
          <w:tblHeader/>
        </w:trPr>
        <w:tc>
          <w:tcPr>
            <w:tcW w:w="3360" w:type="dxa"/>
            <w:tcBorders>
              <w:top w:val="single" w:sz="12" w:space="0" w:color="auto"/>
            </w:tcBorders>
            <w:shd w:val="clear" w:color="auto" w:fill="auto"/>
            <w:vAlign w:val="bottom"/>
          </w:tcPr>
          <w:p w:rsidR="002F117D" w:rsidRPr="007D2830" w:rsidRDefault="002F117D" w:rsidP="007D2830">
            <w:pPr>
              <w:suppressAutoHyphens/>
              <w:spacing w:before="40" w:after="40" w:line="210" w:lineRule="exact"/>
              <w:ind w:right="40"/>
              <w:rPr>
                <w:sz w:val="17"/>
              </w:rPr>
            </w:pPr>
          </w:p>
        </w:tc>
        <w:tc>
          <w:tcPr>
            <w:tcW w:w="1710" w:type="dxa"/>
            <w:tcBorders>
              <w:top w:val="single" w:sz="12" w:space="0" w:color="auto"/>
            </w:tcBorders>
            <w:shd w:val="clear" w:color="auto" w:fill="auto"/>
            <w:vAlign w:val="bottom"/>
          </w:tcPr>
          <w:p w:rsidR="002F117D" w:rsidRPr="007D2830" w:rsidRDefault="002F117D" w:rsidP="007D2830">
            <w:pPr>
              <w:suppressAutoHyphens/>
              <w:spacing w:before="40" w:after="40" w:line="210" w:lineRule="exact"/>
              <w:ind w:left="144" w:right="43"/>
              <w:rPr>
                <w:sz w:val="17"/>
              </w:rPr>
            </w:pPr>
          </w:p>
        </w:tc>
        <w:tc>
          <w:tcPr>
            <w:tcW w:w="2250" w:type="dxa"/>
            <w:tcBorders>
              <w:top w:val="single" w:sz="12" w:space="0" w:color="auto"/>
            </w:tcBorders>
            <w:shd w:val="clear" w:color="auto" w:fill="auto"/>
            <w:vAlign w:val="bottom"/>
          </w:tcPr>
          <w:p w:rsidR="002F117D" w:rsidRPr="007D2830" w:rsidRDefault="002F117D" w:rsidP="007D2830">
            <w:pPr>
              <w:suppressAutoHyphens/>
              <w:spacing w:before="40" w:after="40" w:line="210" w:lineRule="exact"/>
              <w:ind w:left="144" w:right="43"/>
              <w:jc w:val="right"/>
              <w:rPr>
                <w:sz w:val="17"/>
              </w:rPr>
            </w:pP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Ayse Feride Acar</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Turquie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Gladys Acosta Vargas</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Pérou</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Bakhita Al-Dosaria</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Qatar</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Nicole Ameline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France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Magalys Arocha Domínguez</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Cuba</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Barbara Evelyn Bailey (Vice-Présidente)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Jamaïque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Niklas Bruun</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Finlande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Louiza Chalalb</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Algérie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Naéla Mohamed Gabr (Vice-Présidente)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Égypte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Hilary Gbedemah</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Ghana</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Nahla Haidar</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Liban</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Ruth Halperin-Kaddari</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Israël</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Yoko Hayashi (Présidente)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Japon</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Lilian Hofmeister</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Autriche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Ismat Jahan</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Bangladesh</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Dalia Leinarte (Vice-Présidente)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Lituanie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Lia Nadaraia</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Géorgie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Theodora Oby Nwankwo</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Nigéria</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Pramila Patten</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Maurice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Silvia Pimentel</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Brésil</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Biancamaria Pomeranzi</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Italie</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r w:rsidR="002F117D" w:rsidRPr="007D2830" w:rsidTr="007D2830">
        <w:trPr>
          <w:cantSplit/>
        </w:trPr>
        <w:tc>
          <w:tcPr>
            <w:tcW w:w="336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Patricia Schulz (Rapporteuse)</w:t>
            </w:r>
          </w:p>
        </w:tc>
        <w:tc>
          <w:tcPr>
            <w:tcW w:w="171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 xml:space="preserve">Suisse </w:t>
            </w:r>
          </w:p>
        </w:tc>
        <w:tc>
          <w:tcPr>
            <w:tcW w:w="2250" w:type="dxa"/>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2018</w:t>
            </w:r>
          </w:p>
        </w:tc>
      </w:tr>
      <w:tr w:rsidR="007D2830" w:rsidRPr="007D2830" w:rsidTr="007D2830">
        <w:trPr>
          <w:cantSplit/>
        </w:trPr>
        <w:tc>
          <w:tcPr>
            <w:tcW w:w="3360" w:type="dxa"/>
            <w:tcBorders>
              <w:bottom w:val="single" w:sz="12" w:space="0" w:color="auto"/>
            </w:tcBorders>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right="40"/>
              <w:rPr>
                <w:sz w:val="17"/>
              </w:rPr>
            </w:pPr>
            <w:r w:rsidRPr="007D2830">
              <w:rPr>
                <w:sz w:val="17"/>
              </w:rPr>
              <w:t>Xiaoqiao Zou</w:t>
            </w:r>
          </w:p>
        </w:tc>
        <w:tc>
          <w:tcPr>
            <w:tcW w:w="1710" w:type="dxa"/>
            <w:tcBorders>
              <w:bottom w:val="single" w:sz="12" w:space="0" w:color="auto"/>
            </w:tcBorders>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rPr>
                <w:sz w:val="17"/>
              </w:rPr>
            </w:pPr>
            <w:r w:rsidRPr="007D2830">
              <w:rPr>
                <w:sz w:val="17"/>
              </w:rPr>
              <w:t>Chine</w:t>
            </w:r>
          </w:p>
        </w:tc>
        <w:tc>
          <w:tcPr>
            <w:tcW w:w="2250" w:type="dxa"/>
            <w:tcBorders>
              <w:bottom w:val="single" w:sz="12" w:space="0" w:color="auto"/>
            </w:tcBorders>
            <w:shd w:val="clear" w:color="auto" w:fill="auto"/>
            <w:vAlign w:val="bottom"/>
          </w:tcPr>
          <w:p w:rsidR="002F117D" w:rsidRPr="007D2830" w:rsidRDefault="002F117D" w:rsidP="007D2830">
            <w:pPr>
              <w:tabs>
                <w:tab w:val="left" w:pos="288"/>
                <w:tab w:val="left" w:pos="576"/>
                <w:tab w:val="left" w:pos="864"/>
                <w:tab w:val="left" w:pos="1152"/>
              </w:tabs>
              <w:suppressAutoHyphens/>
              <w:spacing w:before="40" w:after="40" w:line="210" w:lineRule="exact"/>
              <w:ind w:left="144" w:right="43"/>
              <w:jc w:val="right"/>
              <w:rPr>
                <w:sz w:val="17"/>
              </w:rPr>
            </w:pPr>
            <w:r w:rsidRPr="007D2830">
              <w:rPr>
                <w:sz w:val="17"/>
              </w:rPr>
              <w:t>2016</w:t>
            </w:r>
          </w:p>
        </w:tc>
      </w:tr>
    </w:tbl>
    <w:p w:rsidR="002F117D" w:rsidRPr="002F117D" w:rsidRDefault="002F117D" w:rsidP="002F117D">
      <w:pPr>
        <w:pStyle w:val="SingleTxt"/>
        <w:spacing w:after="0" w:line="120" w:lineRule="exact"/>
        <w:rPr>
          <w:sz w:val="10"/>
        </w:rPr>
      </w:pPr>
    </w:p>
    <w:p w:rsidR="002F117D" w:rsidRPr="00AF74A3" w:rsidRDefault="002F117D" w:rsidP="007D2830">
      <w:pPr>
        <w:pStyle w:val="FootnoteText"/>
        <w:tabs>
          <w:tab w:val="right" w:pos="1476"/>
          <w:tab w:val="left" w:pos="1548"/>
          <w:tab w:val="right" w:pos="1836"/>
          <w:tab w:val="left" w:pos="1908"/>
        </w:tabs>
        <w:ind w:left="1548" w:right="1267" w:hanging="288"/>
      </w:pPr>
      <w:r w:rsidRPr="00AF74A3">
        <w:tab/>
      </w:r>
      <w:r w:rsidRPr="00AF74A3">
        <w:rPr>
          <w:i/>
          <w:vertAlign w:val="superscript"/>
        </w:rPr>
        <w:t>a</w:t>
      </w:r>
      <w:r w:rsidRPr="00AF74A3">
        <w:tab/>
        <w:t>Le 4</w:t>
      </w:r>
      <w:r w:rsidR="00AF74A3">
        <w:t> </w:t>
      </w:r>
      <w:r w:rsidRPr="00AF74A3">
        <w:t>novembre 2014, Bakhita Mohammed Al-Dosari a été nommée pour occuper le siège de Noor Al-Jehani, qui a démissionné du Comité le 2</w:t>
      </w:r>
      <w:r w:rsidR="00D944D7">
        <w:t> septembre</w:t>
      </w:r>
      <w:r w:rsidRPr="00AF74A3">
        <w:t xml:space="preserve"> 2014, jusqu’à la date d’expiration du mandat de celle-ci.</w:t>
      </w:r>
    </w:p>
    <w:p w:rsidR="002F117D" w:rsidRPr="00AF74A3" w:rsidRDefault="002F117D" w:rsidP="00D944D7">
      <w:pPr>
        <w:pStyle w:val="FootnoteText"/>
        <w:tabs>
          <w:tab w:val="right" w:pos="1476"/>
          <w:tab w:val="left" w:pos="1548"/>
          <w:tab w:val="right" w:pos="1836"/>
          <w:tab w:val="left" w:pos="1908"/>
        </w:tabs>
        <w:ind w:left="1548" w:right="1267" w:hanging="288"/>
      </w:pPr>
      <w:r w:rsidRPr="00AF74A3">
        <w:tab/>
      </w:r>
      <w:r w:rsidRPr="00AF74A3">
        <w:rPr>
          <w:i/>
          <w:vertAlign w:val="superscript"/>
        </w:rPr>
        <w:t>b</w:t>
      </w:r>
      <w:r w:rsidRPr="00AF74A3">
        <w:tab/>
        <w:t>Le 6</w:t>
      </w:r>
      <w:r w:rsidR="00D944D7">
        <w:t> novembre</w:t>
      </w:r>
      <w:r w:rsidRPr="00AF74A3">
        <w:t xml:space="preserve"> 2014, M</w:t>
      </w:r>
      <w:r w:rsidRPr="008217C9">
        <w:rPr>
          <w:vertAlign w:val="superscript"/>
        </w:rPr>
        <w:t>me</w:t>
      </w:r>
      <w:r w:rsidRPr="00AF74A3">
        <w:t xml:space="preserve"> Chalal a été nommée pour occuper le siège de Kheira Mahdjoub-Ouiguini (mandat allant du 1</w:t>
      </w:r>
      <w:r w:rsidRPr="00D944D7">
        <w:rPr>
          <w:vertAlign w:val="superscript"/>
        </w:rPr>
        <w:t>er</w:t>
      </w:r>
      <w:r w:rsidR="00D944D7">
        <w:t> </w:t>
      </w:r>
      <w:r w:rsidRPr="00AF74A3">
        <w:t>janvier 2015 au 31</w:t>
      </w:r>
      <w:r w:rsidR="00D944D7">
        <w:t> décembre</w:t>
      </w:r>
      <w:r w:rsidRPr="00AF74A3">
        <w:t xml:space="preserve"> 2018), qui avait été élue membre du Comité le 26</w:t>
      </w:r>
      <w:r w:rsidR="00D944D7">
        <w:t> juin</w:t>
      </w:r>
      <w:r w:rsidRPr="00AF74A3">
        <w:t xml:space="preserve"> 2014 et est décédée le 6</w:t>
      </w:r>
      <w:r w:rsidR="00D944D7">
        <w:t> septembre</w:t>
      </w:r>
      <w:r w:rsidRPr="00AF74A3">
        <w:t xml:space="preserve"> 2014.</w:t>
      </w:r>
    </w:p>
    <w:p w:rsidR="002F117D" w:rsidRPr="00AF74A3" w:rsidRDefault="002F117D" w:rsidP="00AF74A3">
      <w:pPr>
        <w:pStyle w:val="FootnoteText"/>
        <w:tabs>
          <w:tab w:val="right" w:pos="1476"/>
          <w:tab w:val="left" w:pos="1548"/>
          <w:tab w:val="right" w:pos="1836"/>
          <w:tab w:val="left" w:pos="1908"/>
        </w:tabs>
        <w:ind w:left="1548" w:hanging="288"/>
      </w:pPr>
    </w:p>
    <w:p w:rsidR="002F117D" w:rsidRDefault="002F117D">
      <w:pPr>
        <w:spacing w:after="200" w:line="276" w:lineRule="auto"/>
      </w:pPr>
      <w:r>
        <w:br w:type="page"/>
      </w:r>
    </w:p>
    <w:p w:rsidR="002F117D" w:rsidRPr="00D32FED" w:rsidRDefault="002F117D" w:rsidP="002F117D">
      <w:pPr>
        <w:widowControl w:val="0"/>
        <w:tabs>
          <w:tab w:val="right" w:pos="1476"/>
          <w:tab w:val="left" w:pos="1548"/>
          <w:tab w:val="right" w:pos="1836"/>
          <w:tab w:val="left" w:pos="1908"/>
        </w:tabs>
        <w:suppressAutoHyphens/>
        <w:spacing w:line="120" w:lineRule="exact"/>
        <w:ind w:left="1548" w:right="1267" w:hanging="288"/>
        <w:rPr>
          <w:spacing w:val="5"/>
          <w:sz w:val="10"/>
          <w:szCs w:val="20"/>
        </w:rPr>
      </w:pPr>
    </w:p>
    <w:p w:rsidR="002F117D" w:rsidRPr="00D32FED" w:rsidRDefault="002F117D" w:rsidP="002F117D">
      <w:pPr>
        <w:widowControl w:val="0"/>
        <w:tabs>
          <w:tab w:val="right" w:pos="1476"/>
          <w:tab w:val="left" w:pos="1548"/>
          <w:tab w:val="right" w:pos="1836"/>
          <w:tab w:val="left" w:pos="1908"/>
        </w:tabs>
        <w:suppressAutoHyphens/>
        <w:spacing w:line="120" w:lineRule="exact"/>
        <w:ind w:left="1548" w:right="1267" w:hanging="288"/>
        <w:rPr>
          <w:spacing w:val="5"/>
          <w:sz w:val="10"/>
          <w:szCs w:val="20"/>
        </w:rPr>
      </w:pPr>
    </w:p>
    <w:p w:rsidR="002F117D" w:rsidRPr="007D2830" w:rsidRDefault="002F117D" w:rsidP="00AF74A3">
      <w:pPr>
        <w:pStyle w:val="HCh0"/>
        <w:ind w:left="1267" w:right="1260" w:hanging="1267"/>
        <w:rPr>
          <w:lang w:val="fr-FR"/>
        </w:rPr>
      </w:pPr>
      <w:r w:rsidRPr="007D2830">
        <w:rPr>
          <w:lang w:val="fr-FR"/>
        </w:rPr>
        <w:tab/>
      </w:r>
      <w:r w:rsidRPr="007D2830">
        <w:rPr>
          <w:lang w:val="fr-FR"/>
        </w:rPr>
        <w:tab/>
        <w:t>Troisième partie</w:t>
      </w:r>
    </w:p>
    <w:p w:rsidR="002F117D" w:rsidRPr="007D2830" w:rsidRDefault="002F117D" w:rsidP="00AF74A3">
      <w:pPr>
        <w:pStyle w:val="HCh0"/>
        <w:ind w:left="1267" w:right="1260" w:hanging="1267"/>
        <w:rPr>
          <w:lang w:val="fr-FR"/>
        </w:rPr>
      </w:pPr>
      <w:r w:rsidRPr="007D2830">
        <w:rPr>
          <w:lang w:val="fr-FR"/>
        </w:rPr>
        <w:tab/>
      </w:r>
      <w:r w:rsidRPr="007D2830">
        <w:rPr>
          <w:lang w:val="fr-FR"/>
        </w:rPr>
        <w:tab/>
        <w:t>Rapport du Comité pour l’élimination de la discrimination à l’égard des femmes sur les travaux de sa soixante-sixième session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13</w:t>
      </w:r>
      <w:r w:rsidR="00AF74A3">
        <w:t> </w:t>
      </w:r>
      <w:r w:rsidRPr="00D32FED">
        <w:t>février</w:t>
      </w:r>
      <w:r w:rsidR="0064018E">
        <w:noBreakHyphen/>
      </w:r>
      <w:r w:rsidRPr="00D32FED">
        <w:t>3</w:t>
      </w:r>
      <w:r w:rsidR="00D944D7">
        <w:t> mars</w:t>
      </w:r>
      <w:r w:rsidRPr="00D32FED">
        <w:t xml:space="preserve"> 2017</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Décisions prises par le Comité</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Décision 66/I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D944D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Le 13</w:t>
      </w:r>
      <w:r w:rsidR="00D944D7">
        <w:rPr>
          <w:szCs w:val="20"/>
        </w:rPr>
        <w:t> </w:t>
      </w:r>
      <w:r w:rsidRPr="00D32FED">
        <w:rPr>
          <w:szCs w:val="20"/>
        </w:rPr>
        <w:t>février 2017, le Comité a élu Dalia Leinarte Présidente du Comité pour une durée de deux ans.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66/II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Le 13</w:t>
      </w:r>
      <w:r w:rsidR="00D944D7">
        <w:rPr>
          <w:szCs w:val="20"/>
        </w:rPr>
        <w:t> février</w:t>
      </w:r>
      <w:r w:rsidRPr="00D32FED">
        <w:rPr>
          <w:szCs w:val="20"/>
        </w:rPr>
        <w:t xml:space="preserve"> 2017, il a élu les personnes ci-après membres du Comité, pour une durée de deux ans</w:t>
      </w:r>
      <w:r w:rsidR="007D2830">
        <w:rPr>
          <w:szCs w:val="20"/>
        </w:rPr>
        <w:t> :</w:t>
      </w:r>
      <w:r w:rsidRPr="00D32FED">
        <w:rPr>
          <w:szCs w:val="20"/>
        </w:rPr>
        <w:t xml:space="preserve"> Magalys Arocha Domínguez, Vice-Présidente</w:t>
      </w:r>
      <w:r w:rsidR="007D2830">
        <w:rPr>
          <w:szCs w:val="20"/>
        </w:rPr>
        <w:t>;</w:t>
      </w:r>
      <w:r w:rsidRPr="00D32FED">
        <w:rPr>
          <w:szCs w:val="20"/>
        </w:rPr>
        <w:t xml:space="preserve"> Ruth Halperin-Kaddari, Vice-Présidente</w:t>
      </w:r>
      <w:r w:rsidR="007D2830">
        <w:rPr>
          <w:szCs w:val="20"/>
        </w:rPr>
        <w:t>;</w:t>
      </w:r>
      <w:r w:rsidRPr="00D32FED">
        <w:rPr>
          <w:szCs w:val="20"/>
        </w:rPr>
        <w:t xml:space="preserve"> Theodora Oby Nwankwo, Vice-Présidente</w:t>
      </w:r>
      <w:r>
        <w:rPr>
          <w:szCs w:val="20"/>
        </w:rPr>
        <w:t>,</w:t>
      </w:r>
      <w:r w:rsidRPr="00D32FED">
        <w:rPr>
          <w:szCs w:val="20"/>
        </w:rPr>
        <w:t xml:space="preserve"> et Rosario Manalo, Rapporteuse.</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66/III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10"/>
          <w:szCs w:val="20"/>
        </w:rPr>
      </w:pPr>
      <w:r w:rsidRPr="00D32FED">
        <w:rPr>
          <w:szCs w:val="20"/>
        </w:rPr>
        <w:tab/>
        <w:t>Le Comité a élu les personnes ci-après membres du Groupe de travail sur les communications, pour une durée de deux ans</w:t>
      </w:r>
      <w:r w:rsidR="007D2830">
        <w:rPr>
          <w:szCs w:val="20"/>
        </w:rPr>
        <w:t> :</w:t>
      </w:r>
      <w:r w:rsidRPr="00D32FED">
        <w:rPr>
          <w:szCs w:val="20"/>
        </w:rPr>
        <w:t xml:space="preserve"> Gladys Acosta Vargas, Yoko Hayashi, Lia Nadaraia, Pramila Patten (Présidente) et Patricia Schulz (Vice-Présidente).</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66/IV</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Le Comité a élu les personnes ci-après membres du Groupe de travail sur les enquêtes</w:t>
      </w:r>
      <w:r>
        <w:rPr>
          <w:szCs w:val="20"/>
        </w:rPr>
        <w:t>,</w:t>
      </w:r>
      <w:r w:rsidRPr="00D32FED">
        <w:rPr>
          <w:szCs w:val="20"/>
        </w:rPr>
        <w:t xml:space="preserve"> pour une durée de deux ans</w:t>
      </w:r>
      <w:r w:rsidR="007D2830">
        <w:rPr>
          <w:szCs w:val="20"/>
        </w:rPr>
        <w:t> :</w:t>
      </w:r>
      <w:r w:rsidRPr="00D32FED">
        <w:rPr>
          <w:szCs w:val="20"/>
        </w:rPr>
        <w:t xml:space="preserve"> Marion Bethel (Vice-Présidente), Gunnar Bergby, Hilary Gbedemah (Présidente), Nahla Haidar et Theodora Oby Nwankwo.</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66/V</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7D28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Pr>
          <w:szCs w:val="20"/>
        </w:rPr>
        <w:tab/>
      </w:r>
      <w:r w:rsidRPr="00D32FED">
        <w:rPr>
          <w:szCs w:val="20"/>
        </w:rPr>
        <w:t xml:space="preserve"> Le 3</w:t>
      </w:r>
      <w:r w:rsidR="00D944D7">
        <w:rPr>
          <w:szCs w:val="20"/>
        </w:rPr>
        <w:t> mars</w:t>
      </w:r>
      <w:r w:rsidRPr="00D32FED">
        <w:rPr>
          <w:szCs w:val="20"/>
        </w:rPr>
        <w:t xml:space="preserve"> 2017, le Comité a adopté, en collaboration avec le Groupe de travail chargé de la question de la discrimination à l</w:t>
      </w:r>
      <w:r w:rsidR="007D2830">
        <w:rPr>
          <w:szCs w:val="20"/>
        </w:rPr>
        <w:t>’</w:t>
      </w:r>
      <w:r w:rsidRPr="00D32FED">
        <w:rPr>
          <w:szCs w:val="20"/>
        </w:rPr>
        <w:t xml:space="preserve">égard des femmes dans la législation et dans la pratique et avec la Rapporteuse spéciale sur la violence contre les femmes, ses causes et ses conséquences, une déclaration conjointe intitulée </w:t>
      </w:r>
      <w:r w:rsidR="007D2830">
        <w:rPr>
          <w:szCs w:val="20"/>
        </w:rPr>
        <w:t>« </w:t>
      </w:r>
      <w:r w:rsidRPr="00D32FED">
        <w:rPr>
          <w:szCs w:val="20"/>
        </w:rPr>
        <w:t xml:space="preserve">Elimination of discrimination against women </w:t>
      </w:r>
      <w:r w:rsidR="007D2830">
        <w:rPr>
          <w:szCs w:val="20"/>
        </w:rPr>
        <w:t>–</w:t>
      </w:r>
      <w:r w:rsidRPr="00D32FED">
        <w:rPr>
          <w:szCs w:val="20"/>
        </w:rPr>
        <w:t xml:space="preserve"> an unfinished agenda</w:t>
      </w:r>
      <w:r w:rsidR="007D2830">
        <w:rPr>
          <w:szCs w:val="20"/>
        </w:rPr>
        <w:t> »</w:t>
      </w:r>
      <w:r w:rsidRPr="00D32FED">
        <w:rPr>
          <w:szCs w:val="20"/>
        </w:rPr>
        <w:t xml:space="preserve"> (Élimination de la discrimination à l</w:t>
      </w:r>
      <w:r w:rsidR="007D2830">
        <w:rPr>
          <w:szCs w:val="20"/>
        </w:rPr>
        <w:t>’</w:t>
      </w:r>
      <w:r w:rsidRPr="00D32FED">
        <w:rPr>
          <w:szCs w:val="20"/>
        </w:rPr>
        <w:t xml:space="preserve">égard des femmes </w:t>
      </w:r>
      <w:r w:rsidR="007D2830">
        <w:rPr>
          <w:szCs w:val="20"/>
        </w:rPr>
        <w:t>–</w:t>
      </w:r>
      <w:r w:rsidRPr="00D32FED">
        <w:rPr>
          <w:szCs w:val="20"/>
        </w:rPr>
        <w:t xml:space="preserve"> ce qu</w:t>
      </w:r>
      <w:r w:rsidR="007D2830">
        <w:rPr>
          <w:szCs w:val="20"/>
        </w:rPr>
        <w:t>’</w:t>
      </w:r>
      <w:r w:rsidRPr="00D32FED">
        <w:rPr>
          <w:szCs w:val="20"/>
        </w:rPr>
        <w:t>il reste à faire), à l</w:t>
      </w:r>
      <w:r w:rsidR="007D2830">
        <w:rPr>
          <w:szCs w:val="20"/>
        </w:rPr>
        <w:t>’</w:t>
      </w:r>
      <w:r w:rsidRPr="00D32FED">
        <w:rPr>
          <w:szCs w:val="20"/>
        </w:rPr>
        <w:t xml:space="preserve">occasion de la Journée internationale de la femme (voir </w:t>
      </w:r>
      <w:hyperlink r:id="rId101" w:history="1">
        <w:r w:rsidRPr="00DD60B5">
          <w:rPr>
            <w:rStyle w:val="Hyperlink"/>
            <w:szCs w:val="20"/>
          </w:rPr>
          <w:t>https</w:t>
        </w:r>
        <w:r w:rsidR="007D2830">
          <w:rPr>
            <w:rStyle w:val="Hyperlink"/>
            <w:szCs w:val="20"/>
          </w:rPr>
          <w:t> :</w:t>
        </w:r>
        <w:r w:rsidRPr="00DD60B5">
          <w:rPr>
            <w:rStyle w:val="Hyperlink"/>
            <w:szCs w:val="20"/>
          </w:rPr>
          <w:t>//goo.gl/5M9mLJ</w:t>
        </w:r>
      </w:hyperlink>
      <w:r w:rsidRPr="00D32FED">
        <w:rPr>
          <w:szCs w:val="20"/>
        </w:rPr>
        <w:t xml:space="preserve">).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66/VI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7D28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 xml:space="preserve"> </w:t>
      </w:r>
      <w:r>
        <w:rPr>
          <w:szCs w:val="20"/>
        </w:rPr>
        <w:tab/>
      </w:r>
      <w:r w:rsidRPr="00D32FED">
        <w:rPr>
          <w:szCs w:val="20"/>
        </w:rPr>
        <w:t>Le 1</w:t>
      </w:r>
      <w:r w:rsidRPr="00CA4657">
        <w:rPr>
          <w:szCs w:val="20"/>
          <w:vertAlign w:val="superscript"/>
        </w:rPr>
        <w:t>er</w:t>
      </w:r>
      <w:r w:rsidR="00D944D7">
        <w:rPr>
          <w:szCs w:val="20"/>
        </w:rPr>
        <w:t> mars</w:t>
      </w:r>
      <w:r w:rsidRPr="00D32FED">
        <w:rPr>
          <w:szCs w:val="20"/>
        </w:rPr>
        <w:t xml:space="preserve"> 2017, le Comité a </w:t>
      </w:r>
      <w:r>
        <w:rPr>
          <w:szCs w:val="20"/>
        </w:rPr>
        <w:t>adopté</w:t>
      </w:r>
      <w:r w:rsidRPr="00D32FED">
        <w:rPr>
          <w:szCs w:val="20"/>
        </w:rPr>
        <w:t xml:space="preserve"> sa</w:t>
      </w:r>
      <w:r>
        <w:rPr>
          <w:szCs w:val="20"/>
        </w:rPr>
        <w:t xml:space="preserve"> contribution</w:t>
      </w:r>
      <w:r w:rsidRPr="00D32FED">
        <w:rPr>
          <w:szCs w:val="20"/>
        </w:rPr>
        <w:t>, qu</w:t>
      </w:r>
      <w:r w:rsidR="007D2830">
        <w:rPr>
          <w:szCs w:val="20"/>
        </w:rPr>
        <w:t>’</w:t>
      </w:r>
      <w:r>
        <w:rPr>
          <w:szCs w:val="20"/>
        </w:rPr>
        <w:t>il</w:t>
      </w:r>
      <w:r w:rsidRPr="00D32FED">
        <w:rPr>
          <w:szCs w:val="20"/>
        </w:rPr>
        <w:t xml:space="preserve"> présentera au Forum politique de haut niveau pour le développement durable, </w:t>
      </w:r>
      <w:r>
        <w:rPr>
          <w:szCs w:val="20"/>
        </w:rPr>
        <w:t>organisé du</w:t>
      </w:r>
      <w:r w:rsidRPr="00D32FED">
        <w:rPr>
          <w:szCs w:val="20"/>
        </w:rPr>
        <w:t xml:space="preserve"> 10 au 19</w:t>
      </w:r>
      <w:r w:rsidR="00D944D7">
        <w:rPr>
          <w:szCs w:val="20"/>
        </w:rPr>
        <w:t> juillet</w:t>
      </w:r>
      <w:r w:rsidRPr="00D32FED">
        <w:rPr>
          <w:szCs w:val="20"/>
        </w:rPr>
        <w:t xml:space="preserve"> 2017 à New York, sur le thème </w:t>
      </w:r>
      <w:r w:rsidR="007D2830">
        <w:rPr>
          <w:szCs w:val="20"/>
        </w:rPr>
        <w:t>« </w:t>
      </w:r>
      <w:r w:rsidRPr="00D32FED">
        <w:rPr>
          <w:szCs w:val="20"/>
        </w:rPr>
        <w:t>Éliminer la pauvreté et promouvoir la prospérité dans un monde en mutation</w:t>
      </w:r>
      <w:r w:rsidR="007D2830">
        <w:rPr>
          <w:szCs w:val="20"/>
        </w:rPr>
        <w:t> »</w:t>
      </w:r>
      <w:r w:rsidRPr="00D32FED">
        <w:rPr>
          <w:szCs w:val="20"/>
        </w:rPr>
        <w:t xml:space="preserve">, sous réserve des observations que </w:t>
      </w:r>
      <w:r>
        <w:rPr>
          <w:szCs w:val="20"/>
        </w:rPr>
        <w:t>s</w:t>
      </w:r>
      <w:r w:rsidRPr="00D32FED">
        <w:rPr>
          <w:szCs w:val="20"/>
        </w:rPr>
        <w:t xml:space="preserve">es membres </w:t>
      </w:r>
      <w:r>
        <w:rPr>
          <w:szCs w:val="20"/>
        </w:rPr>
        <w:t xml:space="preserve">lui </w:t>
      </w:r>
      <w:r w:rsidRPr="00D32FED">
        <w:rPr>
          <w:szCs w:val="20"/>
        </w:rPr>
        <w:t>auront envoyées avant le 15</w:t>
      </w:r>
      <w:r w:rsidR="00D944D7">
        <w:rPr>
          <w:szCs w:val="20"/>
        </w:rPr>
        <w:t> mars</w:t>
      </w:r>
      <w:r w:rsidRPr="00D32FED">
        <w:rPr>
          <w:szCs w:val="20"/>
        </w:rPr>
        <w:t xml:space="preserve"> 2017.</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66/VII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7D28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Le Comité a décidé de réviser ses directives concernant l’établissement de rapports spécifiques (</w:t>
      </w:r>
      <w:hyperlink r:id="rId102" w:history="1">
        <w:r w:rsidRPr="007D2830">
          <w:rPr>
            <w:rStyle w:val="Hyperlink"/>
            <w:szCs w:val="20"/>
          </w:rPr>
          <w:t>HRI/GEN/2/Rev.6</w:t>
        </w:r>
      </w:hyperlink>
      <w:r w:rsidRPr="00D32FED">
        <w:rPr>
          <w:szCs w:val="20"/>
        </w:rPr>
        <w:t>, chap.</w:t>
      </w:r>
      <w:r w:rsidR="007D2830">
        <w:rPr>
          <w:szCs w:val="20"/>
        </w:rPr>
        <w:t> </w:t>
      </w:r>
      <w:r w:rsidRPr="00D32FED">
        <w:rPr>
          <w:szCs w:val="20"/>
        </w:rPr>
        <w:t>V) de manière à tenir compte des objectifs de développement durable et a chargé Gladys Acosta Vargas, Nicole Ameline et Nahla Haidar de recenser les domaines devant être révisés.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66/VIII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AF74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Le Comité a décidé d</w:t>
      </w:r>
      <w:r w:rsidR="007D2830">
        <w:rPr>
          <w:szCs w:val="20"/>
        </w:rPr>
        <w:t>’</w:t>
      </w:r>
      <w:r w:rsidRPr="00D32FED">
        <w:rPr>
          <w:szCs w:val="20"/>
        </w:rPr>
        <w:t>informer les États parties à la Convention que les annexes à la documentation qu</w:t>
      </w:r>
      <w:r w:rsidR="007D2830">
        <w:rPr>
          <w:szCs w:val="20"/>
        </w:rPr>
        <w:t>’</w:t>
      </w:r>
      <w:r w:rsidRPr="00D32FED">
        <w:rPr>
          <w:szCs w:val="20"/>
        </w:rPr>
        <w:t>ils soumettent au Comité ne doivent pas dépasser 8</w:t>
      </w:r>
      <w:r w:rsidR="00AF74A3">
        <w:rPr>
          <w:szCs w:val="20"/>
        </w:rPr>
        <w:t> </w:t>
      </w:r>
      <w:r w:rsidR="00AF74A3" w:rsidRPr="00D32FED">
        <w:rPr>
          <w:szCs w:val="20"/>
        </w:rPr>
        <w:t>000</w:t>
      </w:r>
      <w:r w:rsidR="00AF74A3">
        <w:rPr>
          <w:szCs w:val="20"/>
        </w:rPr>
        <w:t xml:space="preserve"> </w:t>
      </w:r>
      <w:r w:rsidRPr="00D32FED">
        <w:rPr>
          <w:szCs w:val="20"/>
        </w:rPr>
        <w:t>mots dans le cas d</w:t>
      </w:r>
      <w:r w:rsidR="007D2830">
        <w:rPr>
          <w:szCs w:val="20"/>
        </w:rPr>
        <w:t>’</w:t>
      </w:r>
      <w:r w:rsidRPr="00D32FED">
        <w:rPr>
          <w:szCs w:val="20"/>
        </w:rPr>
        <w:t>un document de base commun, 6</w:t>
      </w:r>
      <w:r w:rsidR="00AF74A3">
        <w:rPr>
          <w:szCs w:val="20"/>
        </w:rPr>
        <w:t> </w:t>
      </w:r>
      <w:r w:rsidR="00AF74A3" w:rsidRPr="00D32FED">
        <w:rPr>
          <w:szCs w:val="20"/>
        </w:rPr>
        <w:t>000</w:t>
      </w:r>
      <w:r w:rsidR="00AF74A3">
        <w:rPr>
          <w:szCs w:val="20"/>
        </w:rPr>
        <w:t xml:space="preserve"> </w:t>
      </w:r>
      <w:r w:rsidRPr="00D32FED">
        <w:rPr>
          <w:szCs w:val="20"/>
        </w:rPr>
        <w:t xml:space="preserve">pour les rapports </w:t>
      </w:r>
      <w:r w:rsidRPr="00D32FED">
        <w:rPr>
          <w:szCs w:val="20"/>
        </w:rPr>
        <w:lastRenderedPageBreak/>
        <w:t>initiaux, 4</w:t>
      </w:r>
      <w:r w:rsidR="00AF74A3">
        <w:rPr>
          <w:szCs w:val="20"/>
        </w:rPr>
        <w:t> </w:t>
      </w:r>
      <w:r w:rsidR="00AF74A3" w:rsidRPr="00D32FED">
        <w:rPr>
          <w:szCs w:val="20"/>
        </w:rPr>
        <w:t>000</w:t>
      </w:r>
      <w:r w:rsidR="00AF74A3">
        <w:rPr>
          <w:szCs w:val="20"/>
        </w:rPr>
        <w:t xml:space="preserve"> </w:t>
      </w:r>
      <w:r w:rsidRPr="00D32FED">
        <w:rPr>
          <w:szCs w:val="20"/>
        </w:rPr>
        <w:t>pour les rapports périodiques et 2</w:t>
      </w:r>
      <w:r w:rsidR="00AF74A3">
        <w:rPr>
          <w:szCs w:val="20"/>
        </w:rPr>
        <w:t> </w:t>
      </w:r>
      <w:r w:rsidR="00AF74A3" w:rsidRPr="00D32FED">
        <w:rPr>
          <w:szCs w:val="20"/>
        </w:rPr>
        <w:t>000</w:t>
      </w:r>
      <w:r w:rsidR="00AF74A3">
        <w:rPr>
          <w:szCs w:val="20"/>
        </w:rPr>
        <w:t xml:space="preserve"> </w:t>
      </w:r>
      <w:r w:rsidRPr="00D32FED">
        <w:rPr>
          <w:szCs w:val="20"/>
        </w:rPr>
        <w:t>pour les réponses écrites aux listes de points et de questions.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66/IX</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Comme suite à la décision 65/IV, le Comité a décidé d</w:t>
      </w:r>
      <w:r w:rsidR="007D2830">
        <w:rPr>
          <w:szCs w:val="20"/>
        </w:rPr>
        <w:t>’</w:t>
      </w:r>
      <w:r w:rsidRPr="00D32FED">
        <w:rPr>
          <w:szCs w:val="20"/>
        </w:rPr>
        <w:t>inviter la Rapporteuse spéciale sur la violence à l</w:t>
      </w:r>
      <w:r w:rsidR="007D2830">
        <w:rPr>
          <w:szCs w:val="20"/>
        </w:rPr>
        <w:t>’</w:t>
      </w:r>
      <w:r w:rsidRPr="00D32FED">
        <w:rPr>
          <w:szCs w:val="20"/>
        </w:rPr>
        <w:t>égard des femmes, ses causes et ses conséquences à participer à la soixante-septième session du Comité, à l</w:t>
      </w:r>
      <w:r w:rsidR="007D2830">
        <w:rPr>
          <w:szCs w:val="20"/>
        </w:rPr>
        <w:t>’</w:t>
      </w:r>
      <w:r w:rsidRPr="00D32FED">
        <w:rPr>
          <w:szCs w:val="20"/>
        </w:rPr>
        <w:t>occasion de la deuxième lecture et de l</w:t>
      </w:r>
      <w:r w:rsidR="007D2830">
        <w:rPr>
          <w:szCs w:val="20"/>
        </w:rPr>
        <w:t>’</w:t>
      </w:r>
      <w:r w:rsidRPr="00D32FED">
        <w:rPr>
          <w:szCs w:val="20"/>
        </w:rPr>
        <w:t>adoption de son projet de recommandation générale sur la violence sexiste à l</w:t>
      </w:r>
      <w:r w:rsidR="007D2830">
        <w:rPr>
          <w:szCs w:val="20"/>
        </w:rPr>
        <w:t>’</w:t>
      </w:r>
      <w:r w:rsidRPr="00D32FED">
        <w:rPr>
          <w:szCs w:val="20"/>
        </w:rPr>
        <w:t xml:space="preserve">égard des femmes, </w:t>
      </w:r>
      <w:r>
        <w:rPr>
          <w:szCs w:val="20"/>
        </w:rPr>
        <w:t>qui actualise</w:t>
      </w:r>
      <w:r w:rsidRPr="00D32FED">
        <w:rPr>
          <w:szCs w:val="20"/>
        </w:rPr>
        <w:t xml:space="preserve"> la recommandation générale n</w:t>
      </w:r>
      <w:r>
        <w:rPr>
          <w:szCs w:val="20"/>
        </w:rPr>
        <w:t>° </w:t>
      </w:r>
      <w:r w:rsidRPr="00D32FED">
        <w:rPr>
          <w:szCs w:val="20"/>
        </w:rPr>
        <w:t>19.</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D32FED">
        <w:rPr>
          <w:b/>
          <w:spacing w:val="2"/>
          <w:szCs w:val="20"/>
        </w:rPr>
        <w:tab/>
      </w:r>
      <w:r w:rsidRPr="00D32FED">
        <w:rPr>
          <w:b/>
          <w:spacing w:val="2"/>
          <w:szCs w:val="20"/>
        </w:rPr>
        <w:tab/>
      </w:r>
      <w:r w:rsidRPr="00D32FED">
        <w:rPr>
          <w:b/>
          <w:bCs/>
          <w:spacing w:val="2"/>
          <w:szCs w:val="20"/>
        </w:rPr>
        <w:t>Décision 66/X</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 xml:space="preserve">Le Comité a confirmé la composition de son groupe de travail </w:t>
      </w:r>
      <w:r>
        <w:rPr>
          <w:szCs w:val="20"/>
        </w:rPr>
        <w:t>d’avant-session</w:t>
      </w:r>
      <w:r w:rsidRPr="00D32FED">
        <w:rPr>
          <w:szCs w:val="20"/>
        </w:rPr>
        <w:t xml:space="preserve"> pour la soixante-huitième session, à savoir</w:t>
      </w:r>
      <w:r w:rsidR="007D2830">
        <w:rPr>
          <w:szCs w:val="20"/>
        </w:rPr>
        <w:t> :</w:t>
      </w:r>
      <w:r w:rsidRPr="00D32FED">
        <w:rPr>
          <w:szCs w:val="20"/>
        </w:rPr>
        <w:t xml:space="preserve"> Magalys Arocha Domínguez</w:t>
      </w:r>
      <w:r>
        <w:rPr>
          <w:szCs w:val="20"/>
        </w:rPr>
        <w:t>,</w:t>
      </w:r>
      <w:r w:rsidRPr="00D32FED">
        <w:rPr>
          <w:szCs w:val="20"/>
        </w:rPr>
        <w:t xml:space="preserve"> Nicole Ameline</w:t>
      </w:r>
      <w:r>
        <w:rPr>
          <w:szCs w:val="20"/>
        </w:rPr>
        <w:t>,</w:t>
      </w:r>
      <w:r w:rsidRPr="00D32FED">
        <w:rPr>
          <w:szCs w:val="20"/>
        </w:rPr>
        <w:t xml:space="preserve"> Naéla Mohamed Gabr</w:t>
      </w:r>
      <w:r>
        <w:rPr>
          <w:szCs w:val="20"/>
        </w:rPr>
        <w:t>,</w:t>
      </w:r>
      <w:r w:rsidRPr="00D32FED">
        <w:rPr>
          <w:szCs w:val="20"/>
        </w:rPr>
        <w:t xml:space="preserve"> Ismat Jahan et Pramila Patten </w:t>
      </w:r>
      <w:r>
        <w:rPr>
          <w:szCs w:val="20"/>
        </w:rPr>
        <w:t>(</w:t>
      </w:r>
      <w:r w:rsidRPr="00D32FED">
        <w:rPr>
          <w:szCs w:val="20"/>
        </w:rPr>
        <w:t>remplaçant Lia Nadaraia</w:t>
      </w:r>
      <w:r>
        <w:rPr>
          <w:szCs w:val="20"/>
        </w:rPr>
        <w:t>)</w:t>
      </w:r>
      <w:r w:rsidRPr="00D32FED">
        <w:rPr>
          <w:szCs w:val="20"/>
        </w:rPr>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Questions d’organisation et questions diverses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A.</w:t>
      </w:r>
      <w:r w:rsidR="002F117D" w:rsidRPr="00D32FED">
        <w:tab/>
        <w:t>États parties à la Convention et au Protocole facultatif</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582BF2" w:rsidRDefault="002F117D" w:rsidP="00582BF2">
      <w:pPr>
        <w:pStyle w:val="ListParagraph"/>
        <w:numPr>
          <w:ilvl w:val="0"/>
          <w:numId w:val="1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szCs w:val="20"/>
        </w:rPr>
      </w:pPr>
      <w:r w:rsidRPr="00582BF2">
        <w:rPr>
          <w:szCs w:val="20"/>
        </w:rPr>
        <w:t>Au 3</w:t>
      </w:r>
      <w:r w:rsidR="00D944D7">
        <w:rPr>
          <w:szCs w:val="20"/>
        </w:rPr>
        <w:t> mars</w:t>
      </w:r>
      <w:r w:rsidRPr="00582BF2">
        <w:rPr>
          <w:szCs w:val="20"/>
        </w:rPr>
        <w:t xml:space="preserve"> 2017, date de clôture de la soixante-sixième session du Comité, le nombre d’États ayant ratifié la Convention (189) et le nombre d’États parties (71) ayant accepté l’amendement au paragraphe</w:t>
      </w:r>
      <w:r w:rsidR="00582BF2" w:rsidRPr="00582BF2">
        <w:rPr>
          <w:szCs w:val="20"/>
        </w:rPr>
        <w:t> </w:t>
      </w:r>
      <w:r w:rsidRPr="00582BF2">
        <w:rPr>
          <w:szCs w:val="20"/>
        </w:rPr>
        <w:t>1 de l’article 20 de la Convention concernant le calendrier des réunions du Comité étaient les mêmes qu’au 18</w:t>
      </w:r>
      <w:r w:rsidR="00D944D7">
        <w:rPr>
          <w:szCs w:val="20"/>
        </w:rPr>
        <w:t> novembre</w:t>
      </w:r>
      <w:r w:rsidRPr="00582BF2">
        <w:rPr>
          <w:szCs w:val="20"/>
        </w:rPr>
        <w:t xml:space="preserve"> 2016, date de clôture de la soixante-cinquième session. </w:t>
      </w:r>
    </w:p>
    <w:p w:rsidR="002F117D" w:rsidRPr="00582BF2" w:rsidRDefault="002F117D" w:rsidP="00582BF2">
      <w:pPr>
        <w:pStyle w:val="SingleTxt"/>
        <w:numPr>
          <w:ilvl w:val="0"/>
          <w:numId w:val="15"/>
        </w:numPr>
        <w:spacing w:line="240" w:lineRule="exact"/>
      </w:pPr>
      <w:r w:rsidRPr="00582BF2">
        <w:t>Au cours de la même période, un État supplémentaire a adhéré au Protocole facultatif se rapportant à la Convention, ce qui porte à 108 le nombre total d</w:t>
      </w:r>
      <w:r w:rsidR="007D2830">
        <w:t>’</w:t>
      </w:r>
      <w:r w:rsidRPr="00582BF2">
        <w:t xml:space="preserve">États parties au Protocole facultatif.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B.</w:t>
      </w:r>
      <w:r w:rsidR="002F117D" w:rsidRPr="00D32FED">
        <w:tab/>
        <w:t>Ouverture de la session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582BF2">
      <w:pPr>
        <w:pStyle w:val="SingleTxt"/>
        <w:numPr>
          <w:ilvl w:val="0"/>
          <w:numId w:val="15"/>
        </w:numPr>
        <w:spacing w:line="240" w:lineRule="exact"/>
      </w:pPr>
      <w:r w:rsidRPr="00D32FED">
        <w:t>Le Comité a tenu sa soixante-sixième session à l’Office des Nations Unies à Genève, du 13</w:t>
      </w:r>
      <w:r w:rsidR="00D944D7">
        <w:t> février</w:t>
      </w:r>
      <w:r w:rsidRPr="00D32FED">
        <w:t xml:space="preserve"> au 3</w:t>
      </w:r>
      <w:r w:rsidR="00D944D7">
        <w:t> mars</w:t>
      </w:r>
      <w:r w:rsidRPr="00D32FED">
        <w:t xml:space="preserve"> 2017. Il a tenu 20 séances plénières et 10 autres séances pour examiner les points 5 à 8 de l’ordre du jour. La liste des documents dont il était saisi se trouve à l’annexe I à la troisième partie du présent rapport.</w:t>
      </w:r>
    </w:p>
    <w:p w:rsidR="002F117D" w:rsidRPr="00D32FED" w:rsidRDefault="002F117D" w:rsidP="00D461B4">
      <w:pPr>
        <w:pStyle w:val="SingleTxt"/>
        <w:numPr>
          <w:ilvl w:val="0"/>
          <w:numId w:val="15"/>
        </w:numPr>
      </w:pPr>
      <w:r w:rsidRPr="00D32FED">
        <w:t>À la 1470</w:t>
      </w:r>
      <w:r w:rsidRPr="00CA4657">
        <w:rPr>
          <w:vertAlign w:val="superscript"/>
        </w:rPr>
        <w:t>e</w:t>
      </w:r>
      <w:r w:rsidR="00D461B4">
        <w:rPr>
          <w:vertAlign w:val="superscript"/>
        </w:rPr>
        <w:t> </w:t>
      </w:r>
      <w:r w:rsidRPr="00D32FED">
        <w:t>séance, le 13</w:t>
      </w:r>
      <w:r w:rsidR="00D944D7">
        <w:t> février</w:t>
      </w:r>
      <w:r w:rsidRPr="00D32FED">
        <w:t xml:space="preserve"> 2017, la session a été ouverte par la Présidente sortante, Yoko Hayashi.</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C.</w:t>
      </w:r>
      <w:r w:rsidR="002F117D" w:rsidRPr="00D32FED">
        <w:tab/>
        <w:t>Adoption de l’ordre du jour</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D461B4">
      <w:pPr>
        <w:pStyle w:val="SingleTxt"/>
        <w:numPr>
          <w:ilvl w:val="0"/>
          <w:numId w:val="15"/>
        </w:numPr>
        <w:spacing w:line="240" w:lineRule="exact"/>
      </w:pPr>
      <w:r w:rsidRPr="00D32FED">
        <w:t>À sa 1470</w:t>
      </w:r>
      <w:r w:rsidRPr="00CA4657">
        <w:rPr>
          <w:vertAlign w:val="superscript"/>
        </w:rPr>
        <w:t>e</w:t>
      </w:r>
      <w:r w:rsidR="00D461B4">
        <w:t> </w:t>
      </w:r>
      <w:r w:rsidRPr="00D32FED">
        <w:t>séance, le 13</w:t>
      </w:r>
      <w:r w:rsidR="00D944D7">
        <w:t> février</w:t>
      </w:r>
      <w:r w:rsidRPr="00D32FED">
        <w:t xml:space="preserve"> 2017, le Comité a adopté l’ordre du jour provisoire de sa session (</w:t>
      </w:r>
      <w:hyperlink r:id="rId103" w:history="1">
        <w:r w:rsidRPr="007D2830">
          <w:rPr>
            <w:rStyle w:val="Hyperlink"/>
          </w:rPr>
          <w:t>CEDAW/C/66/1</w:t>
        </w:r>
      </w:hyperlink>
      <w:r w:rsidRPr="00D32FED">
        <w:t>).</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D.</w:t>
      </w:r>
      <w:r w:rsidR="002F117D" w:rsidRPr="00D32FED">
        <w:tab/>
        <w:t>Rapport du groupe de travail d’avant</w:t>
      </w:r>
      <w:r w:rsidR="002F117D">
        <w:t>-</w:t>
      </w:r>
      <w:r w:rsidR="002F117D" w:rsidRPr="00D32FED">
        <w:t>session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582BF2">
      <w:pPr>
        <w:pStyle w:val="SingleTxt"/>
        <w:numPr>
          <w:ilvl w:val="0"/>
          <w:numId w:val="15"/>
        </w:numPr>
        <w:spacing w:line="240" w:lineRule="exact"/>
      </w:pPr>
      <w:r w:rsidRPr="00D32FED">
        <w:t>Le rapport du groupe de travail d’avant</w:t>
      </w:r>
      <w:r>
        <w:t>-</w:t>
      </w:r>
      <w:r w:rsidRPr="00D32FED">
        <w:t>session (</w:t>
      </w:r>
      <w:hyperlink r:id="rId104" w:history="1">
        <w:r w:rsidRPr="007D2830">
          <w:rPr>
            <w:rStyle w:val="Hyperlink"/>
          </w:rPr>
          <w:t>CEDAW/C/PSWG/66/1</w:t>
        </w:r>
      </w:hyperlink>
      <w:r w:rsidRPr="00D32FED">
        <w:t>), qui s’était réuni du 25 au 29</w:t>
      </w:r>
      <w:r w:rsidR="00D944D7">
        <w:t> juillet</w:t>
      </w:r>
      <w:r w:rsidRPr="00D32FED">
        <w:t xml:space="preserve"> 2016, a été présenté par Hilary Gbedemah à la 1470</w:t>
      </w:r>
      <w:r w:rsidRPr="00CA4657">
        <w:rPr>
          <w:vertAlign w:val="superscript"/>
        </w:rPr>
        <w:t>e</w:t>
      </w:r>
      <w:r w:rsidR="00D461B4">
        <w:t> séance</w:t>
      </w:r>
      <w:r w:rsidRPr="00D32FED">
        <w:t>, le 13</w:t>
      </w:r>
      <w:r w:rsidR="00D944D7">
        <w:t> février</w:t>
      </w:r>
      <w:r w:rsidRPr="00D32FED">
        <w:t xml:space="preserve"> 2017.</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E.</w:t>
      </w:r>
      <w:r w:rsidR="002F117D" w:rsidRPr="00D32FED">
        <w:tab/>
        <w:t>Organisation des travaux</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582BF2" w:rsidRDefault="002F117D" w:rsidP="00582BF2">
      <w:pPr>
        <w:pStyle w:val="SingleTxt"/>
        <w:numPr>
          <w:ilvl w:val="0"/>
          <w:numId w:val="15"/>
        </w:numPr>
        <w:spacing w:line="240" w:lineRule="exact"/>
      </w:pPr>
      <w:r w:rsidRPr="00582BF2">
        <w:t>Le 13</w:t>
      </w:r>
      <w:r w:rsidR="00D944D7">
        <w:t> février</w:t>
      </w:r>
      <w:r w:rsidRPr="00582BF2">
        <w:t xml:space="preserve"> 2017, le Comité a élu Dalia Leinarte Présidente du Comité pour une durée de deux ans, conformément à son règlement intérieur. Il a également élu les personnes ci-après membres du Comité pour une durée de deux ans</w:t>
      </w:r>
      <w:r w:rsidR="007D2830">
        <w:t> :</w:t>
      </w:r>
      <w:r w:rsidRPr="00582BF2">
        <w:t xml:space="preserve"> Magalys Arocha Domínguez, Vice-Présidente</w:t>
      </w:r>
      <w:r w:rsidR="007D2830">
        <w:t>;</w:t>
      </w:r>
      <w:r w:rsidRPr="00582BF2">
        <w:t xml:space="preserve"> Ruth Halperin-Kaddari, Vice-Présidente</w:t>
      </w:r>
      <w:r w:rsidR="007D2830">
        <w:t>;</w:t>
      </w:r>
      <w:r w:rsidRPr="00582BF2">
        <w:t xml:space="preserve"> Theodora Oby Nwankwo, Vice-Présidente, et Rosario Manalo, Rapporteuse.</w:t>
      </w:r>
    </w:p>
    <w:p w:rsidR="002F117D" w:rsidRPr="00D32FED" w:rsidRDefault="002F117D" w:rsidP="00582BF2">
      <w:pPr>
        <w:pStyle w:val="SingleTxt"/>
        <w:numPr>
          <w:ilvl w:val="0"/>
          <w:numId w:val="15"/>
        </w:numPr>
        <w:spacing w:line="240" w:lineRule="exact"/>
      </w:pPr>
      <w:r w:rsidRPr="00D32FED">
        <w:t>Les nouveaux membres élus par le Comité, dont les noms suivent, ont pris leurs fonctions et fait leur déclaration solennelle, comme prévu à l’article 15 du Règlement intérieur du Comité, le 13</w:t>
      </w:r>
      <w:r w:rsidR="00D944D7">
        <w:t> février</w:t>
      </w:r>
      <w:r w:rsidR="007D2830">
        <w:t xml:space="preserve"> : </w:t>
      </w:r>
      <w:r w:rsidRPr="00D32FED">
        <w:t>Gunnar Bergby, Marion Bethel, Rosario Manalo, Bandana Rana, Wenyan Song et Aicha Vall Verges.</w:t>
      </w:r>
    </w:p>
    <w:p w:rsidR="002F117D" w:rsidRPr="00D32FED" w:rsidRDefault="002F117D" w:rsidP="00582BF2">
      <w:pPr>
        <w:pStyle w:val="SingleTxt"/>
        <w:numPr>
          <w:ilvl w:val="0"/>
          <w:numId w:val="15"/>
        </w:numPr>
        <w:spacing w:line="240" w:lineRule="exact"/>
      </w:pPr>
      <w:r w:rsidRPr="00D32FED">
        <w:t>Les 13 et 20</w:t>
      </w:r>
      <w:r w:rsidR="00D944D7">
        <w:t> février</w:t>
      </w:r>
      <w:r w:rsidRPr="00D32FED">
        <w:t>, le Comité a tenu des séances privées, notamment par vi</w:t>
      </w:r>
      <w:r>
        <w:t>si</w:t>
      </w:r>
      <w:r w:rsidRPr="00D32FED">
        <w:t xml:space="preserve">oconférence, avec des représentants d’institutions spécialisées et de fonds et programmes des Nations Unies ainsi que d’autres organisations intergouvernementales qui lui ont communiqué des informations concernant certains </w:t>
      </w:r>
      <w:r w:rsidRPr="00D32FED">
        <w:lastRenderedPageBreak/>
        <w:t xml:space="preserve">pays </w:t>
      </w:r>
      <w:r>
        <w:t>et</w:t>
      </w:r>
      <w:r w:rsidRPr="00D32FED">
        <w:t xml:space="preserve"> des renseignements sur l’action qu’ils menaient pour promouvoir l’application de la Convention.</w:t>
      </w:r>
    </w:p>
    <w:p w:rsidR="002F117D" w:rsidRPr="00D32FED" w:rsidRDefault="002F117D" w:rsidP="00582BF2">
      <w:pPr>
        <w:pStyle w:val="SingleTxt"/>
        <w:numPr>
          <w:ilvl w:val="0"/>
          <w:numId w:val="15"/>
        </w:numPr>
        <w:spacing w:line="240" w:lineRule="exact"/>
      </w:pPr>
      <w:r w:rsidRPr="00D32FED">
        <w:t>En outre, il a tenu des séances publiques informelles avec des représentants d’organisations non gouvernementales et d’institutions nationales de défense des droits de l’homme, qui lui ont communiqué des renseignements sur l’application de la Convention par les États parties dont le Comité avait prévu d’examiner les rapports à sa soixante-sixième session.</w:t>
      </w:r>
    </w:p>
    <w:p w:rsidR="002F117D" w:rsidRPr="00D32FED" w:rsidRDefault="002F117D" w:rsidP="00582BF2">
      <w:pPr>
        <w:pStyle w:val="SingleTxt"/>
        <w:numPr>
          <w:ilvl w:val="0"/>
          <w:numId w:val="15"/>
        </w:numPr>
        <w:spacing w:line="240" w:lineRule="exact"/>
      </w:pPr>
      <w:r w:rsidRPr="00D32FED">
        <w:t>Le 20</w:t>
      </w:r>
      <w:r w:rsidR="00D944D7">
        <w:t> février</w:t>
      </w:r>
      <w:r w:rsidRPr="00D32FED">
        <w:t>, le Comité a tenu une séance privée avec la Directrice de l</w:t>
      </w:r>
      <w:r w:rsidR="007D2830">
        <w:t>’</w:t>
      </w:r>
      <w:r w:rsidRPr="00D32FED">
        <w:t>Institut allemand pour les droits de l</w:t>
      </w:r>
      <w:r w:rsidR="007D2830">
        <w:t>’</w:t>
      </w:r>
      <w:r w:rsidRPr="00D32FED">
        <w:t>homme et Présidente de l</w:t>
      </w:r>
      <w:r w:rsidR="007D2830">
        <w:t>’</w:t>
      </w:r>
      <w:r w:rsidRPr="00D32FED">
        <w:t>Alliance mondiale des institutions nationales des droits de l</w:t>
      </w:r>
      <w:r w:rsidR="007D2830">
        <w:t>’</w:t>
      </w:r>
      <w:r w:rsidRPr="00D32FED">
        <w:t>homme, Beate Rudolf, en vue d</w:t>
      </w:r>
      <w:r w:rsidR="007D2830">
        <w:t>’</w:t>
      </w:r>
      <w:r w:rsidRPr="00D32FED">
        <w:t>examiner la question du renforcement de la coopération avec les institutions nationales de défense des droits de l</w:t>
      </w:r>
      <w:r w:rsidR="007D2830">
        <w:t>’</w:t>
      </w:r>
      <w:r w:rsidRPr="00D32FED">
        <w:t xml:space="preserve">homme. </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117D" w:rsidRPr="00D32FED">
        <w:t>F.</w:t>
      </w:r>
      <w:r w:rsidR="002F117D" w:rsidRPr="00D32FED">
        <w:tab/>
        <w:t>Composition du Comité</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582BF2">
      <w:pPr>
        <w:pStyle w:val="SingleTxt"/>
        <w:numPr>
          <w:ilvl w:val="0"/>
          <w:numId w:val="15"/>
        </w:numPr>
        <w:spacing w:line="240" w:lineRule="exact"/>
      </w:pPr>
      <w:r w:rsidRPr="00D32FED">
        <w:t>Tous les membres, à l</w:t>
      </w:r>
      <w:r w:rsidR="007D2830">
        <w:t>’</w:t>
      </w:r>
      <w:r w:rsidRPr="00D32FED">
        <w:t>exception de Lilian Hofmeister, ont assisté à la soixante-sixième session. Les membres ci-après n</w:t>
      </w:r>
      <w:r w:rsidR="007D2830">
        <w:t>’</w:t>
      </w:r>
      <w:r w:rsidRPr="00D32FED">
        <w:t>y ont pas assisté aux dates indiquées</w:t>
      </w:r>
      <w:r w:rsidR="007D2830">
        <w:t> :</w:t>
      </w:r>
      <w:r w:rsidRPr="00D32FED">
        <w:t xml:space="preserve"> Ayse Feride Acar, du 14 au 17</w:t>
      </w:r>
      <w:r w:rsidR="00D944D7">
        <w:t> février</w:t>
      </w:r>
      <w:r w:rsidR="007D2830">
        <w:t>;</w:t>
      </w:r>
      <w:r w:rsidRPr="00D32FED">
        <w:t xml:space="preserve"> Nicole Ameline, les 2 et 3</w:t>
      </w:r>
      <w:r w:rsidR="00D944D7">
        <w:t> mars</w:t>
      </w:r>
      <w:r w:rsidR="007D2830">
        <w:t>;</w:t>
      </w:r>
      <w:r w:rsidRPr="00D32FED">
        <w:t xml:space="preserve"> Ruth Halperin-Kaddari, les 17 et 24</w:t>
      </w:r>
      <w:r w:rsidR="00D944D7">
        <w:t> février</w:t>
      </w:r>
      <w:r w:rsidRPr="00D32FED">
        <w:t xml:space="preserve"> et le 3</w:t>
      </w:r>
      <w:r w:rsidR="00D944D7">
        <w:t> mars</w:t>
      </w:r>
      <w:r>
        <w:t>,</w:t>
      </w:r>
      <w:r w:rsidRPr="00D32FED">
        <w:t xml:space="preserve"> et Ismat Jahan, du 13 au 17</w:t>
      </w:r>
      <w:r w:rsidR="00D944D7">
        <w:t> février</w:t>
      </w:r>
      <w:r w:rsidRPr="00D32FED">
        <w:t>. On trouvera à l’annexe II à la troisième partie du présent rapport la liste des membres du Comité, assortie de la durée de leur mandat.</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III</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Rapport de la Présidente sur les activités intersessions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582BF2">
      <w:pPr>
        <w:pStyle w:val="SingleTxt"/>
        <w:numPr>
          <w:ilvl w:val="0"/>
          <w:numId w:val="15"/>
        </w:numPr>
        <w:spacing w:line="240" w:lineRule="exact"/>
      </w:pPr>
      <w:r w:rsidRPr="00D32FED">
        <w:t>À la 1470</w:t>
      </w:r>
      <w:r w:rsidRPr="00CA4657">
        <w:rPr>
          <w:vertAlign w:val="superscript"/>
        </w:rPr>
        <w:t>e</w:t>
      </w:r>
      <w:r w:rsidR="00D461B4">
        <w:t> séance</w:t>
      </w:r>
      <w:r w:rsidRPr="00D32FED">
        <w:t>, le 13</w:t>
      </w:r>
      <w:r w:rsidR="00D944D7">
        <w:t> février</w:t>
      </w:r>
      <w:r w:rsidRPr="00D32FED">
        <w:t xml:space="preserve"> 2017, la Présidente sortante, Yoko Hayashi, a rendu compte de</w:t>
      </w:r>
      <w:r>
        <w:t>s</w:t>
      </w:r>
      <w:r w:rsidRPr="00D32FED">
        <w:t xml:space="preserve"> activités </w:t>
      </w:r>
      <w:r>
        <w:t xml:space="preserve">qu’elle a menées </w:t>
      </w:r>
      <w:r w:rsidRPr="00D32FED">
        <w:t>depuis la soixante-cinquième session.</w:t>
      </w:r>
    </w:p>
    <w:p w:rsidR="002F117D" w:rsidRPr="00D32FED" w:rsidRDefault="002F117D" w:rsidP="002F117D">
      <w:pPr>
        <w:spacing w:line="240" w:lineRule="auto"/>
        <w:rPr>
          <w:szCs w:val="20"/>
        </w:rPr>
      </w:pPr>
      <w:r w:rsidRPr="00D32FED">
        <w:rPr>
          <w:szCs w:val="20"/>
        </w:rPr>
        <w:br w:type="page"/>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IV</w:t>
      </w:r>
      <w:r w:rsidRPr="00D32FED">
        <w:rPr>
          <w:b/>
          <w:spacing w:val="-2"/>
          <w:sz w:val="28"/>
          <w:szCs w:val="20"/>
        </w:rPr>
        <w:t xml:space="preserve"> </w:t>
      </w:r>
    </w:p>
    <w:p w:rsidR="002F117D" w:rsidRPr="00D32FED" w:rsidRDefault="002F117D" w:rsidP="002F11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Examen des rapports présentés par les États parties</w:t>
      </w:r>
      <w:r w:rsidR="00D944D7">
        <w:rPr>
          <w:b/>
          <w:bCs/>
          <w:spacing w:val="-2"/>
          <w:sz w:val="28"/>
          <w:szCs w:val="20"/>
        </w:rPr>
        <w:t xml:space="preserve"> en </w:t>
      </w:r>
      <w:r w:rsidRPr="00D32FED">
        <w:rPr>
          <w:b/>
          <w:bCs/>
          <w:spacing w:val="-2"/>
          <w:sz w:val="28"/>
          <w:szCs w:val="20"/>
        </w:rPr>
        <w:t>application de l’article 18 de la Convention</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Default="002F117D" w:rsidP="00582BF2">
      <w:pPr>
        <w:pStyle w:val="SingleTxt"/>
        <w:numPr>
          <w:ilvl w:val="0"/>
          <w:numId w:val="15"/>
        </w:numPr>
        <w:spacing w:line="240" w:lineRule="exact"/>
      </w:pPr>
      <w:r w:rsidRPr="00D32FED">
        <w:t>Le Comité a examiné les rapports que huit États parties lui avaient présentés en application de l’article 18 de la Convention et a éta</w:t>
      </w:r>
      <w:r w:rsidR="0064018E">
        <w:t>bli les observations finales ci</w:t>
      </w:r>
      <w:r w:rsidR="0064018E">
        <w:noBreakHyphen/>
      </w:r>
      <w:r w:rsidRPr="00D32FED">
        <w:t>après</w:t>
      </w:r>
      <w:r w:rsidR="007D2830">
        <w:t> :</w:t>
      </w:r>
    </w:p>
    <w:p w:rsidR="002F117D" w:rsidRPr="002F117D" w:rsidRDefault="002F117D" w:rsidP="002F117D">
      <w:pPr>
        <w:pStyle w:val="SingleTxt"/>
        <w:spacing w:after="0" w:line="120" w:lineRule="exact"/>
        <w:rPr>
          <w:sz w:val="10"/>
          <w:szCs w:val="20"/>
        </w:rPr>
      </w:pPr>
    </w:p>
    <w:tbl>
      <w:tblPr>
        <w:tblW w:w="0" w:type="auto"/>
        <w:tblInd w:w="1764" w:type="dxa"/>
        <w:tblLayout w:type="fixed"/>
        <w:tblCellMar>
          <w:left w:w="0" w:type="dxa"/>
          <w:right w:w="0" w:type="dxa"/>
        </w:tblCellMar>
        <w:tblLook w:val="04A0" w:firstRow="1" w:lastRow="0" w:firstColumn="1" w:lastColumn="0" w:noHBand="0" w:noVBand="1"/>
      </w:tblPr>
      <w:tblGrid>
        <w:gridCol w:w="2968"/>
        <w:gridCol w:w="3510"/>
      </w:tblGrid>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El Salvador</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05" w:history="1">
              <w:r w:rsidRPr="007D2830">
                <w:rPr>
                  <w:rStyle w:val="Hyperlink"/>
                  <w:szCs w:val="20"/>
                </w:rPr>
                <w:t>CEDAW/C/SLV/CO/8-9</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Allemagne</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06" w:history="1">
              <w:r w:rsidRPr="007D2830">
                <w:rPr>
                  <w:rStyle w:val="Hyperlink"/>
                  <w:szCs w:val="20"/>
                </w:rPr>
                <w:t>CEDAW/C/DEU/CO/7-8</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Irlande</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07" w:history="1">
              <w:r w:rsidRPr="007D2830">
                <w:rPr>
                  <w:rStyle w:val="Hyperlink"/>
                  <w:szCs w:val="20"/>
                </w:rPr>
                <w:t>CEDAW/C/IRL/CO/6-7</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Jordanie</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08" w:history="1">
              <w:r w:rsidRPr="007D2830">
                <w:rPr>
                  <w:rStyle w:val="Hyperlink"/>
                  <w:szCs w:val="20"/>
                </w:rPr>
                <w:t>CEDAW/C/JOR/CO/6</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Micronésie (États fédérés de)</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09" w:history="1">
              <w:r w:rsidRPr="007D2830">
                <w:rPr>
                  <w:rStyle w:val="Hyperlink"/>
                  <w:szCs w:val="20"/>
                </w:rPr>
                <w:t>CEDAW/C/FSM/CO/1-3</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Rwanda</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10" w:history="1">
              <w:r w:rsidRPr="007D2830">
                <w:rPr>
                  <w:rStyle w:val="Hyperlink"/>
                  <w:szCs w:val="20"/>
                </w:rPr>
                <w:t>CEDAW/C/RWA/CO/7-9</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Sri Lanka</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11" w:history="1">
              <w:r w:rsidRPr="007D2830">
                <w:rPr>
                  <w:rStyle w:val="Hyperlink"/>
                  <w:szCs w:val="20"/>
                </w:rPr>
                <w:t>CEDAW/C/LKA/CO/8</w:t>
              </w:r>
            </w:hyperlink>
            <w:r w:rsidRPr="00D32FED">
              <w:rPr>
                <w:szCs w:val="20"/>
              </w:rPr>
              <w:t>)</w:t>
            </w:r>
          </w:p>
        </w:tc>
      </w:tr>
      <w:tr w:rsidR="002F117D" w:rsidRPr="00D32FED" w:rsidTr="002F117D">
        <w:trPr>
          <w:cantSplit/>
        </w:trPr>
        <w:tc>
          <w:tcPr>
            <w:tcW w:w="2968"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right="40"/>
              <w:jc w:val="both"/>
              <w:rPr>
                <w:rFonts w:eastAsia="Times New Roman"/>
                <w:szCs w:val="20"/>
                <w:lang w:val="en-GB"/>
              </w:rPr>
            </w:pPr>
            <w:r w:rsidRPr="00D32FED">
              <w:rPr>
                <w:szCs w:val="20"/>
              </w:rPr>
              <w:t>Ukraine</w:t>
            </w:r>
          </w:p>
        </w:tc>
        <w:tc>
          <w:tcPr>
            <w:tcW w:w="3510" w:type="dxa"/>
            <w:shd w:val="clear" w:color="auto" w:fill="auto"/>
          </w:tcPr>
          <w:p w:rsidR="002F117D" w:rsidRPr="00D32FED" w:rsidRDefault="002F117D"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rPr>
              <w:t>(</w:t>
            </w:r>
            <w:hyperlink r:id="rId112" w:history="1">
              <w:r w:rsidRPr="007D2830">
                <w:rPr>
                  <w:rStyle w:val="Hyperlink"/>
                  <w:szCs w:val="20"/>
                </w:rPr>
                <w:t>CEDAW/C/UKR/CO/8</w:t>
              </w:r>
            </w:hyperlink>
            <w:r w:rsidRPr="00D32FED">
              <w:rPr>
                <w:szCs w:val="20"/>
              </w:rPr>
              <w:t>)</w:t>
            </w:r>
          </w:p>
        </w:tc>
      </w:tr>
    </w:tbl>
    <w:p w:rsidR="002F117D" w:rsidRPr="002F117D" w:rsidRDefault="002F117D" w:rsidP="002F117D">
      <w:pPr>
        <w:pStyle w:val="SingleTxt"/>
        <w:spacing w:after="0" w:line="120" w:lineRule="exact"/>
        <w:rPr>
          <w:sz w:val="10"/>
        </w:rPr>
      </w:pPr>
    </w:p>
    <w:p w:rsidR="002F117D" w:rsidRPr="002F117D" w:rsidRDefault="002F117D" w:rsidP="002F117D">
      <w:pPr>
        <w:pStyle w:val="SingleTxt"/>
        <w:spacing w:after="0" w:line="120" w:lineRule="exact"/>
        <w:rPr>
          <w:sz w:val="10"/>
        </w:rPr>
      </w:pPr>
    </w:p>
    <w:p w:rsidR="002F117D" w:rsidRPr="00D32FED" w:rsidRDefault="002F117D"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Procédure de suivi des observations finales</w:t>
      </w:r>
    </w:p>
    <w:p w:rsidR="002F117D" w:rsidRPr="00D32FED" w:rsidRDefault="002F117D" w:rsidP="002F11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F117D" w:rsidRPr="002F117D" w:rsidRDefault="002F117D" w:rsidP="00582BF2">
      <w:pPr>
        <w:pStyle w:val="SingleTxt"/>
        <w:numPr>
          <w:ilvl w:val="0"/>
          <w:numId w:val="15"/>
        </w:numPr>
        <w:spacing w:line="240" w:lineRule="exact"/>
      </w:pPr>
      <w:r w:rsidRPr="00D32FED">
        <w:t>Le Comité a examiné les rapports de suivi pré</w:t>
      </w:r>
      <w:r w:rsidR="0064018E">
        <w:t>sentés par les États parties ci</w:t>
      </w:r>
      <w:r w:rsidR="0064018E">
        <w:noBreakHyphen/>
      </w:r>
      <w:r w:rsidRPr="00D32FED">
        <w:t>après</w:t>
      </w:r>
      <w:r w:rsidR="007D2830">
        <w:t> :</w:t>
      </w:r>
    </w:p>
    <w:p w:rsidR="002F117D" w:rsidRPr="00050F2A" w:rsidRDefault="002F117D" w:rsidP="00050F2A">
      <w:pPr>
        <w:pStyle w:val="SingleTxt"/>
        <w:spacing w:after="0" w:line="120" w:lineRule="exact"/>
        <w:rPr>
          <w:sz w:val="10"/>
        </w:rPr>
      </w:pPr>
    </w:p>
    <w:tbl>
      <w:tblPr>
        <w:tblW w:w="0" w:type="auto"/>
        <w:tblInd w:w="1764" w:type="dxa"/>
        <w:tblLayout w:type="fixed"/>
        <w:tblCellMar>
          <w:left w:w="0" w:type="dxa"/>
          <w:right w:w="0" w:type="dxa"/>
        </w:tblCellMar>
        <w:tblLook w:val="04A0" w:firstRow="1" w:lastRow="0" w:firstColumn="1" w:lastColumn="0" w:noHBand="0" w:noVBand="1"/>
      </w:tblPr>
      <w:tblGrid>
        <w:gridCol w:w="2736"/>
        <w:gridCol w:w="3510"/>
      </w:tblGrid>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Andorre</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3" w:history="1">
              <w:r w:rsidRPr="007D2830">
                <w:rPr>
                  <w:rStyle w:val="Hyperlink"/>
                  <w:szCs w:val="20"/>
                  <w:lang w:val="en-GB"/>
                </w:rPr>
                <w:t>CEDAW/C/AND/CO/2-3/Add.1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Cameroun</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4" w:history="1">
              <w:r w:rsidRPr="007D2830">
                <w:rPr>
                  <w:rStyle w:val="Hyperlink"/>
                  <w:szCs w:val="20"/>
                  <w:lang w:val="en-GB"/>
                </w:rPr>
                <w:t>CEDAW/C/CMR/CO/4-5/Add.1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République dominicaine</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5" w:history="1">
              <w:r w:rsidRPr="007D2830">
                <w:rPr>
                  <w:rStyle w:val="Hyperlink"/>
                  <w:szCs w:val="20"/>
                  <w:lang w:val="en-GB"/>
                </w:rPr>
                <w:t>CEDAW/C/DOM/CO/6-7/Add.1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Géorgie</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6" w:history="1">
              <w:r w:rsidRPr="007D2830">
                <w:rPr>
                  <w:rStyle w:val="Hyperlink"/>
                  <w:szCs w:val="20"/>
                  <w:lang w:val="en-GB"/>
                </w:rPr>
                <w:t>CEDAW/C/GEO/CO/4-5/Add.1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Iraq</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7" w:history="1">
              <w:r w:rsidRPr="007D2830">
                <w:rPr>
                  <w:rStyle w:val="Hyperlink"/>
                  <w:szCs w:val="20"/>
                  <w:lang w:val="en-GB"/>
                </w:rPr>
                <w:t>CEDAW/C/IRQ/CO/4-6/Add.1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Jamaïque</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8" w:history="1">
              <w:r w:rsidRPr="007D2830">
                <w:rPr>
                  <w:rStyle w:val="Hyperlink"/>
                  <w:szCs w:val="20"/>
                  <w:lang w:val="en-GB"/>
                </w:rPr>
                <w:t>CEDAW/C/JAM/CO/6-7/Add.1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rFonts w:eastAsia="Times New Roman"/>
                <w:szCs w:val="20"/>
                <w:lang w:val="en-GB"/>
              </w:rPr>
            </w:pPr>
            <w:r w:rsidRPr="00D32FED">
              <w:rPr>
                <w:szCs w:val="20"/>
              </w:rPr>
              <w:t>Lituanie</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rFonts w:eastAsia="Times New Roman"/>
                <w:szCs w:val="20"/>
                <w:lang w:val="en-GB"/>
              </w:rPr>
            </w:pPr>
            <w:r w:rsidRPr="00D32FED">
              <w:rPr>
                <w:szCs w:val="20"/>
                <w:lang w:val="en-GB"/>
              </w:rPr>
              <w:t>(</w:t>
            </w:r>
            <w:hyperlink r:id="rId119" w:history="1">
              <w:r w:rsidRPr="007D2830">
                <w:rPr>
                  <w:rStyle w:val="Hyperlink"/>
                  <w:szCs w:val="20"/>
                  <w:lang w:val="en-GB"/>
                </w:rPr>
                <w:t>CEDAW/C/LTU/CO/5/Add.1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szCs w:val="20"/>
                <w:lang w:val="en-GB"/>
              </w:rPr>
            </w:pPr>
            <w:r w:rsidRPr="00D32FED">
              <w:rPr>
                <w:szCs w:val="20"/>
              </w:rPr>
              <w:t>Pérou</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szCs w:val="20"/>
                <w:lang w:val="en-GB"/>
              </w:rPr>
            </w:pPr>
            <w:r w:rsidRPr="00D32FED">
              <w:rPr>
                <w:szCs w:val="20"/>
                <w:lang w:val="en-GB"/>
              </w:rPr>
              <w:t>(</w:t>
            </w:r>
            <w:hyperlink r:id="rId120" w:history="1">
              <w:r w:rsidRPr="007D2830">
                <w:rPr>
                  <w:rStyle w:val="Hyperlink"/>
                  <w:szCs w:val="20"/>
                  <w:lang w:val="en-GB"/>
                </w:rPr>
                <w:t>CEDAW/C/PER/CO/7-8/Add.1</w:t>
              </w:r>
            </w:hyperlink>
            <w:r w:rsidRPr="00D32FED">
              <w:rPr>
                <w:szCs w:val="20"/>
                <w:lang w:val="en-GB"/>
              </w:rPr>
              <w:t>)</w:t>
            </w:r>
          </w:p>
        </w:tc>
      </w:tr>
      <w:tr w:rsidR="00050F2A" w:rsidRPr="004C41DB" w:rsidTr="00BA1CBA">
        <w:trPr>
          <w:cantSplit/>
        </w:trPr>
        <w:tc>
          <w:tcPr>
            <w:tcW w:w="2736"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right="40"/>
              <w:rPr>
                <w:szCs w:val="20"/>
                <w:lang w:val="en-GB"/>
              </w:rPr>
            </w:pPr>
            <w:r w:rsidRPr="00D32FED">
              <w:rPr>
                <w:szCs w:val="20"/>
              </w:rPr>
              <w:t>Seychelles</w:t>
            </w:r>
          </w:p>
        </w:tc>
        <w:tc>
          <w:tcPr>
            <w:tcW w:w="3510" w:type="dxa"/>
            <w:shd w:val="clear" w:color="auto" w:fill="auto"/>
          </w:tcPr>
          <w:p w:rsidR="00050F2A" w:rsidRPr="00D32FED" w:rsidRDefault="00050F2A" w:rsidP="00582BF2">
            <w:pPr>
              <w:tabs>
                <w:tab w:val="left" w:pos="288"/>
                <w:tab w:val="left" w:pos="576"/>
                <w:tab w:val="left" w:pos="864"/>
                <w:tab w:val="left" w:pos="1152"/>
              </w:tabs>
              <w:suppressAutoHyphens/>
              <w:spacing w:before="40" w:after="80"/>
              <w:ind w:left="144" w:right="43"/>
              <w:rPr>
                <w:szCs w:val="20"/>
                <w:lang w:val="en-GB"/>
              </w:rPr>
            </w:pPr>
            <w:r w:rsidRPr="00D32FED">
              <w:rPr>
                <w:szCs w:val="20"/>
                <w:lang w:val="en-GB"/>
              </w:rPr>
              <w:t>(</w:t>
            </w:r>
            <w:hyperlink r:id="rId121" w:history="1">
              <w:r w:rsidRPr="007D2830">
                <w:rPr>
                  <w:rStyle w:val="Hyperlink"/>
                  <w:szCs w:val="20"/>
                  <w:lang w:val="en-GB"/>
                </w:rPr>
                <w:t>CEDAW/C/SYC/CO/1-5/Add.1</w:t>
              </w:r>
            </w:hyperlink>
            <w:r w:rsidRPr="00D32FED">
              <w:rPr>
                <w:szCs w:val="20"/>
                <w:lang w:val="en-GB"/>
              </w:rPr>
              <w:t>)</w:t>
            </w:r>
          </w:p>
        </w:tc>
      </w:tr>
    </w:tbl>
    <w:p w:rsidR="00050F2A" w:rsidRPr="00050F2A" w:rsidRDefault="00050F2A" w:rsidP="00050F2A">
      <w:pPr>
        <w:pStyle w:val="SingleTxt"/>
        <w:spacing w:after="0" w:line="120" w:lineRule="exact"/>
        <w:rPr>
          <w:sz w:val="10"/>
          <w:lang w:val="en-US"/>
        </w:rPr>
      </w:pPr>
    </w:p>
    <w:p w:rsidR="00050F2A" w:rsidRPr="00050F2A" w:rsidRDefault="00050F2A" w:rsidP="00050F2A">
      <w:pPr>
        <w:pStyle w:val="SingleTxt"/>
        <w:spacing w:after="0" w:line="120" w:lineRule="exact"/>
        <w:rPr>
          <w:sz w:val="10"/>
          <w:lang w:val="en-US"/>
        </w:rPr>
      </w:pPr>
    </w:p>
    <w:p w:rsidR="00050F2A" w:rsidRPr="00D32FED" w:rsidRDefault="00050F2A" w:rsidP="00582BF2">
      <w:pPr>
        <w:pStyle w:val="SingleTxt"/>
        <w:numPr>
          <w:ilvl w:val="0"/>
          <w:numId w:val="15"/>
        </w:numPr>
        <w:spacing w:line="240" w:lineRule="exact"/>
      </w:pPr>
      <w:r w:rsidRPr="00D32FED">
        <w:t>Le Comité a adressé un premier rappel au Brunéi Darussalam, au Ghana, à la Guinée, à la Pologne et au Venezuela (République bolivarienne du) et un deuxième rappel à la Sierra Leone, qui auraient déjà dû présenter leur rapport de suivi.</w:t>
      </w:r>
    </w:p>
    <w:p w:rsidR="00050F2A" w:rsidRPr="00D32FED" w:rsidRDefault="00050F2A" w:rsidP="00582BF2">
      <w:pPr>
        <w:pStyle w:val="SingleTxt"/>
        <w:numPr>
          <w:ilvl w:val="0"/>
          <w:numId w:val="15"/>
        </w:numPr>
        <w:spacing w:line="240" w:lineRule="exact"/>
      </w:pPr>
      <w:r w:rsidRPr="00D32FED">
        <w:t>La Rapporteuse chargée du suivi s’est entretenue avec des représentants de Cabo Verde, du Congo et de la République centrafricaine, États parties qui auraient déjà dû présenter leur rapport de suivi.</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w:t>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Activités menées au titre du Protocole facultatif</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5"/>
        </w:numPr>
        <w:spacing w:line="240" w:lineRule="exact"/>
      </w:pPr>
      <w:r w:rsidRPr="00D32FED">
        <w:t>L’article 12 du Protocole facultatif dispose que le Comité résume dans son rapport annuel les activités qu’il a menées au titre du Protocole facultatif.</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50F2A" w:rsidRPr="00D32FED">
        <w:t>A.</w:t>
      </w:r>
      <w:r w:rsidR="00050F2A" w:rsidRPr="00D32FED">
        <w:tab/>
        <w:t>Mesures prises par le Comité sur les questions relevant</w:t>
      </w:r>
      <w:r>
        <w:br/>
      </w:r>
      <w:r w:rsidR="00050F2A" w:rsidRPr="00D32FED">
        <w:t>de l’article</w:t>
      </w:r>
      <w:r>
        <w:t> </w:t>
      </w:r>
      <w:r w:rsidR="00050F2A" w:rsidRPr="00D32FED">
        <w:t>2 du Protocole facultatif</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5"/>
        </w:numPr>
        <w:spacing w:line="240" w:lineRule="exact"/>
      </w:pPr>
      <w:r w:rsidRPr="00D32FED">
        <w:t>Les 7 et 10</w:t>
      </w:r>
      <w:r w:rsidR="00D944D7">
        <w:t> mars</w:t>
      </w:r>
      <w:r w:rsidRPr="00D32FED">
        <w:t xml:space="preserve"> 2017, le Comité a examiné les activités menées au titre de l’article 2 du Protocole facultatif. </w:t>
      </w:r>
    </w:p>
    <w:p w:rsidR="00050F2A" w:rsidRPr="00D32FED" w:rsidRDefault="00050F2A" w:rsidP="00582BF2">
      <w:pPr>
        <w:pStyle w:val="SingleTxt"/>
        <w:numPr>
          <w:ilvl w:val="0"/>
          <w:numId w:val="15"/>
        </w:numPr>
        <w:spacing w:line="240" w:lineRule="exact"/>
      </w:pPr>
      <w:r w:rsidRPr="00D32FED">
        <w:t xml:space="preserve">Le Comité a approuvé le rapport du Groupe de travail sur les communications présentées conformément au Protocole facultatif sur les travaux de sa trente-septième session (voir </w:t>
      </w:r>
      <w:hyperlink r:id="rId122" w:history="1">
        <w:r w:rsidRPr="00DD60B5">
          <w:rPr>
            <w:rStyle w:val="Hyperlink"/>
            <w:szCs w:val="20"/>
          </w:rPr>
          <w:t>https</w:t>
        </w:r>
        <w:r w:rsidR="007D2830">
          <w:rPr>
            <w:rStyle w:val="Hyperlink"/>
            <w:szCs w:val="20"/>
          </w:rPr>
          <w:t> :</w:t>
        </w:r>
        <w:r w:rsidRPr="00DD60B5">
          <w:rPr>
            <w:rStyle w:val="Hyperlink"/>
            <w:szCs w:val="20"/>
          </w:rPr>
          <w:t>//goo.gl/73AdSF</w:t>
        </w:r>
      </w:hyperlink>
      <w:r w:rsidRPr="00D32FED">
        <w:t xml:space="preserve">). </w:t>
      </w:r>
    </w:p>
    <w:p w:rsidR="00050F2A" w:rsidRPr="00D32FED" w:rsidRDefault="00050F2A" w:rsidP="00582BF2">
      <w:pPr>
        <w:pStyle w:val="SingleTxt"/>
        <w:numPr>
          <w:ilvl w:val="0"/>
          <w:numId w:val="15"/>
        </w:numPr>
        <w:spacing w:line="240" w:lineRule="exact"/>
      </w:pPr>
      <w:r w:rsidRPr="00D32FED">
        <w:t>Le Comité a adopté des décisions finales concernant trois communications émanant de particuliers présentées conformément à l’article 2 du Protocole facultatif. Dans les constatations qu’il a adoptées concernant la communication n</w:t>
      </w:r>
      <w:r>
        <w:t>° </w:t>
      </w:r>
      <w:r w:rsidRPr="00D32FED">
        <w:t>58/2013 (</w:t>
      </w:r>
      <w:r w:rsidRPr="00CA4657">
        <w:rPr>
          <w:i/>
        </w:rPr>
        <w:t>L.R. c. Moldova</w:t>
      </w:r>
      <w:r w:rsidRPr="00D32FED">
        <w:t>) (</w:t>
      </w:r>
      <w:hyperlink r:id="rId123" w:history="1">
        <w:r w:rsidRPr="007D2830">
          <w:rPr>
            <w:rStyle w:val="Hyperlink"/>
          </w:rPr>
          <w:t>CEDAW/C/66/D/58/2013</w:t>
        </w:r>
      </w:hyperlink>
      <w:r w:rsidRPr="00D32FED">
        <w:t>), il a conclu à une violation des droits de l’intéressée. Concernant les communications n</w:t>
      </w:r>
      <w:r>
        <w:t>° </w:t>
      </w:r>
      <w:r w:rsidRPr="00D32FED">
        <w:t>54/2013 (</w:t>
      </w:r>
      <w:r w:rsidRPr="00CA4657">
        <w:rPr>
          <w:i/>
        </w:rPr>
        <w:t>E.W. c. Danemark</w:t>
      </w:r>
      <w:r w:rsidRPr="00D32FED">
        <w:t>) (</w:t>
      </w:r>
      <w:hyperlink r:id="rId124" w:history="1">
        <w:r w:rsidRPr="007D2830">
          <w:rPr>
            <w:rStyle w:val="Hyperlink"/>
          </w:rPr>
          <w:t>CEDAW/C/66/D/54/2013</w:t>
        </w:r>
      </w:hyperlink>
      <w:r w:rsidRPr="00D32FED">
        <w:t>) et n</w:t>
      </w:r>
      <w:r>
        <w:t>° </w:t>
      </w:r>
      <w:r w:rsidRPr="00D32FED">
        <w:t>69/2014 (</w:t>
      </w:r>
      <w:r w:rsidRPr="00CA4657">
        <w:rPr>
          <w:i/>
        </w:rPr>
        <w:t>T.S. c. Fédération de Russie</w:t>
      </w:r>
      <w:r w:rsidRPr="00D32FED">
        <w:t>) (</w:t>
      </w:r>
      <w:hyperlink r:id="rId125" w:history="1">
        <w:r w:rsidRPr="007D2830">
          <w:rPr>
            <w:rStyle w:val="Hyperlink"/>
          </w:rPr>
          <w:t>CEDAW/C/66/D/69/2014</w:t>
        </w:r>
      </w:hyperlink>
      <w:r w:rsidRPr="00D32FED">
        <w:t>), il a adopté des décisions d’irrecevabilité. Toutes les décisions ont été adoptées par consensus. En outre, le Comité a clos l</w:t>
      </w:r>
      <w:r w:rsidR="007D2830">
        <w:t>’</w:t>
      </w:r>
      <w:r w:rsidRPr="00D32FED">
        <w:t>examen de la communication n</w:t>
      </w:r>
      <w:r>
        <w:t>° </w:t>
      </w:r>
      <w:r w:rsidRPr="00D32FED">
        <w:t>72/2014 (</w:t>
      </w:r>
      <w:r w:rsidRPr="00CA4657">
        <w:rPr>
          <w:i/>
        </w:rPr>
        <w:t>M.E.N. c. Danemark</w:t>
      </w:r>
      <w:r w:rsidRPr="00D32FED">
        <w:t>), étant donné que l</w:t>
      </w:r>
      <w:r w:rsidR="007D2830">
        <w:t>’</w:t>
      </w:r>
      <w:r w:rsidRPr="00D32FED">
        <w:t>auteur avait obtenu</w:t>
      </w:r>
      <w:r>
        <w:t>, dans l’intervalle,</w:t>
      </w:r>
      <w:r w:rsidRPr="00D32FED">
        <w:t xml:space="preserve"> une carte de résident.</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50F2A" w:rsidRPr="00D32FED">
        <w:t>B.</w:t>
      </w:r>
      <w:r w:rsidR="00050F2A" w:rsidRPr="00D32FED">
        <w:tab/>
        <w:t>Suite donnée aux constatations du Comité sur les communications émanant de particuliers</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5"/>
        </w:numPr>
        <w:spacing w:line="240" w:lineRule="exact"/>
      </w:pPr>
      <w:r w:rsidRPr="00D32FED">
        <w:t>Le Comité a été informé que, à sa trente-septième session, le Groupe de travail s’était penché sur l’état du suivi de chaque affaire pour laquelle un dialogue était en cours et s’était prononcé sur les mesures à prendre. Sur les 12 affaires en cours d’examen, une concernait le Brésil, une le Canada, une le Danemark, une l</w:t>
      </w:r>
      <w:r w:rsidR="007D2830">
        <w:t>’</w:t>
      </w:r>
      <w:r w:rsidRPr="00D32FED">
        <w:t>Espagne, une la Fédération de Russie, une la Géorgie, une le Kazakhstan, une les Pays-Bas, une le Pérou, une les Philippines, une la République-Unie de Tanzanie et une la Slovaquie.</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582BF2"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50F2A" w:rsidRPr="00D32FED">
        <w:t>C.</w:t>
      </w:r>
      <w:r w:rsidR="00050F2A" w:rsidRPr="00D32FED">
        <w:tab/>
        <w:t>Mesures prises par le Comit</w:t>
      </w:r>
      <w:r w:rsidR="00B1337A">
        <w:t>é sur les questions relevant de </w:t>
      </w:r>
      <w:r w:rsidR="00050F2A" w:rsidRPr="00D32FED">
        <w:t>l’article</w:t>
      </w:r>
      <w:r w:rsidR="0064018E">
        <w:t> </w:t>
      </w:r>
      <w:r w:rsidR="00050F2A" w:rsidRPr="00D32FED">
        <w:t>8 du Protocole facultatif</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5"/>
        </w:numPr>
        <w:spacing w:line="240" w:lineRule="exact"/>
      </w:pPr>
      <w:r w:rsidRPr="00D32FED">
        <w:t>Le 1</w:t>
      </w:r>
      <w:r w:rsidRPr="00CA4657">
        <w:rPr>
          <w:vertAlign w:val="superscript"/>
        </w:rPr>
        <w:t>er</w:t>
      </w:r>
      <w:r w:rsidR="00D944D7">
        <w:t> mars</w:t>
      </w:r>
      <w:r w:rsidRPr="00D32FED">
        <w:t xml:space="preserve"> 2017, le Comité a examiné les activités menées au titre de l’article</w:t>
      </w:r>
      <w:r w:rsidR="0064018E">
        <w:t> </w:t>
      </w:r>
      <w:r w:rsidRPr="00D32FED">
        <w:t xml:space="preserve">8 du Protocole facultatif. Il a approuvé le rapport du Groupe de travail chargé des enquêtes menées au titre du Protocole facultatif sur les travaux de sa sixième session (voir </w:t>
      </w:r>
      <w:hyperlink r:id="rId126" w:history="1">
        <w:r w:rsidRPr="00DD60B5">
          <w:rPr>
            <w:rStyle w:val="Hyperlink"/>
            <w:szCs w:val="20"/>
          </w:rPr>
          <w:t>https</w:t>
        </w:r>
        <w:r w:rsidR="007D2830">
          <w:rPr>
            <w:rStyle w:val="Hyperlink"/>
            <w:szCs w:val="20"/>
          </w:rPr>
          <w:t> :</w:t>
        </w:r>
        <w:r w:rsidRPr="00DD60B5">
          <w:rPr>
            <w:rStyle w:val="Hyperlink"/>
            <w:szCs w:val="20"/>
          </w:rPr>
          <w:t>//goo.gl/73AdSF</w:t>
        </w:r>
      </w:hyperlink>
      <w:r w:rsidRPr="00D32FED">
        <w:t>).</w:t>
      </w:r>
    </w:p>
    <w:p w:rsidR="00050F2A" w:rsidRPr="00D32FED" w:rsidRDefault="00050F2A" w:rsidP="00582BF2">
      <w:pPr>
        <w:pStyle w:val="SingleTxt"/>
        <w:numPr>
          <w:ilvl w:val="0"/>
          <w:numId w:val="15"/>
        </w:numPr>
      </w:pPr>
      <w:r w:rsidRPr="00D32FED">
        <w:t>Le Comité a adopté les recommandations que le Groupe de travail lui avait faites, à savoir</w:t>
      </w:r>
      <w:r w:rsidR="007D2830">
        <w:t> :</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a)</w:t>
      </w:r>
      <w:r w:rsidRPr="00D32FED">
        <w:rPr>
          <w:szCs w:val="20"/>
        </w:rPr>
        <w:tab/>
        <w:t>S’agissant de la requête n</w:t>
      </w:r>
      <w:r>
        <w:rPr>
          <w:szCs w:val="20"/>
        </w:rPr>
        <w:t>° </w:t>
      </w:r>
      <w:r w:rsidRPr="00D32FED">
        <w:rPr>
          <w:szCs w:val="20"/>
        </w:rPr>
        <w:t>2012/1, demander à l’État partie concerné de présenter ses observations relatives à l</w:t>
      </w:r>
      <w:r w:rsidR="007D2830">
        <w:rPr>
          <w:szCs w:val="20"/>
        </w:rPr>
        <w:t>’</w:t>
      </w:r>
      <w:r w:rsidRPr="00D32FED">
        <w:rPr>
          <w:szCs w:val="20"/>
        </w:rPr>
        <w:t>ensemble de son territoire concernant les informations reçues au titre de l’article 8 du Protocole facultatif</w:t>
      </w:r>
      <w:r w:rsidR="007D2830">
        <w:rPr>
          <w:szCs w:val="20"/>
        </w:rPr>
        <w:t>;</w:t>
      </w:r>
      <w:r w:rsidRPr="00D32FED">
        <w:rPr>
          <w:szCs w:val="20"/>
        </w:rPr>
        <w:t xml:space="preserve"> </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lastRenderedPageBreak/>
        <w:tab/>
        <w:t>b)</w:t>
      </w:r>
      <w:r w:rsidRPr="00D32FED">
        <w:rPr>
          <w:szCs w:val="20"/>
        </w:rPr>
        <w:tab/>
        <w:t>S</w:t>
      </w:r>
      <w:r w:rsidR="007D2830">
        <w:rPr>
          <w:szCs w:val="20"/>
        </w:rPr>
        <w:t>’</w:t>
      </w:r>
      <w:r w:rsidRPr="00D32FED">
        <w:rPr>
          <w:szCs w:val="20"/>
        </w:rPr>
        <w:t>agissant de la requête n</w:t>
      </w:r>
      <w:r>
        <w:rPr>
          <w:szCs w:val="20"/>
        </w:rPr>
        <w:t>° </w:t>
      </w:r>
      <w:r w:rsidRPr="00D32FED">
        <w:rPr>
          <w:szCs w:val="20"/>
        </w:rPr>
        <w:t>2013/1, désigner M</w:t>
      </w:r>
      <w:r w:rsidRPr="0064018E">
        <w:rPr>
          <w:szCs w:val="20"/>
          <w:vertAlign w:val="superscript"/>
        </w:rPr>
        <w:t>me</w:t>
      </w:r>
      <w:r w:rsidRPr="00D32FED">
        <w:rPr>
          <w:szCs w:val="20"/>
        </w:rPr>
        <w:t xml:space="preserve"> Pramila Patten </w:t>
      </w:r>
      <w:r>
        <w:rPr>
          <w:szCs w:val="20"/>
        </w:rPr>
        <w:t>pour occuper le poste</w:t>
      </w:r>
      <w:r w:rsidRPr="00D32FED">
        <w:rPr>
          <w:szCs w:val="20"/>
        </w:rPr>
        <w:t xml:space="preserve"> de Ruth Halperin-Kaddari, qui </w:t>
      </w:r>
      <w:r>
        <w:rPr>
          <w:szCs w:val="20"/>
        </w:rPr>
        <w:t>avait décidé de ne plus faire partie de l’équipe chargée</w:t>
      </w:r>
      <w:r w:rsidRPr="00D32FED">
        <w:rPr>
          <w:szCs w:val="20"/>
        </w:rPr>
        <w:t xml:space="preserve"> de l</w:t>
      </w:r>
      <w:r w:rsidR="007D2830">
        <w:rPr>
          <w:szCs w:val="20"/>
        </w:rPr>
        <w:t>’</w:t>
      </w:r>
      <w:r w:rsidRPr="00D32FED">
        <w:rPr>
          <w:szCs w:val="20"/>
        </w:rPr>
        <w:t>enquête</w:t>
      </w:r>
      <w:r w:rsidR="007D2830">
        <w:rPr>
          <w:szCs w:val="20"/>
        </w:rPr>
        <w:t>;</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c)</w:t>
      </w:r>
      <w:r w:rsidRPr="00D32FED">
        <w:rPr>
          <w:szCs w:val="20"/>
        </w:rPr>
        <w:tab/>
        <w:t>Pour ce qui est de l</w:t>
      </w:r>
      <w:r w:rsidR="007D2830">
        <w:rPr>
          <w:szCs w:val="20"/>
        </w:rPr>
        <w:t>’</w:t>
      </w:r>
      <w:r w:rsidRPr="00D32FED">
        <w:rPr>
          <w:szCs w:val="20"/>
        </w:rPr>
        <w:t>enquête n</w:t>
      </w:r>
      <w:r>
        <w:rPr>
          <w:szCs w:val="20"/>
        </w:rPr>
        <w:t>° </w:t>
      </w:r>
      <w:r w:rsidRPr="00D32FED">
        <w:rPr>
          <w:szCs w:val="20"/>
        </w:rPr>
        <w:t>2014/2, charger le</w:t>
      </w:r>
      <w:r>
        <w:rPr>
          <w:szCs w:val="20"/>
        </w:rPr>
        <w:t xml:space="preserve"> nouveau</w:t>
      </w:r>
      <w:r w:rsidRPr="00D32FED">
        <w:rPr>
          <w:szCs w:val="20"/>
        </w:rPr>
        <w:t xml:space="preserve"> Groupe de travail sur les enquêtes de nommer un autre membre désigné, qui sera chargé de procéder à l</w:t>
      </w:r>
      <w:r w:rsidR="007D2830">
        <w:rPr>
          <w:szCs w:val="20"/>
        </w:rPr>
        <w:t>’</w:t>
      </w:r>
      <w:r w:rsidRPr="00D32FED">
        <w:rPr>
          <w:szCs w:val="20"/>
        </w:rPr>
        <w:t>enquête aux côtés de M</w:t>
      </w:r>
      <w:r w:rsidRPr="0064018E">
        <w:rPr>
          <w:szCs w:val="20"/>
          <w:vertAlign w:val="superscript"/>
        </w:rPr>
        <w:t>me</w:t>
      </w:r>
      <w:r w:rsidRPr="00D32FED">
        <w:rPr>
          <w:szCs w:val="20"/>
        </w:rPr>
        <w:t xml:space="preserve"> Patten.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25. Toujours en ce qui concerne l</w:t>
      </w:r>
      <w:r w:rsidR="007D2830">
        <w:rPr>
          <w:szCs w:val="20"/>
        </w:rPr>
        <w:t>’</w:t>
      </w:r>
      <w:r w:rsidRPr="00D32FED">
        <w:rPr>
          <w:szCs w:val="20"/>
        </w:rPr>
        <w:t>enquête n</w:t>
      </w:r>
      <w:r>
        <w:rPr>
          <w:szCs w:val="20"/>
        </w:rPr>
        <w:t>° </w:t>
      </w:r>
      <w:r w:rsidRPr="00D32FED">
        <w:rPr>
          <w:szCs w:val="20"/>
        </w:rPr>
        <w:t>2014/2, le Comité a adopté la recommandation du Groupe de travail sur les enquêtes, qui a tenu une réunion le 23</w:t>
      </w:r>
      <w:r w:rsidR="00D944D7">
        <w:rPr>
          <w:szCs w:val="20"/>
        </w:rPr>
        <w:t> février</w:t>
      </w:r>
      <w:r w:rsidRPr="00D32FED">
        <w:rPr>
          <w:szCs w:val="20"/>
        </w:rPr>
        <w:t xml:space="preserve"> 2017 pour nommer Nahla Haidar nouveau membre désigné pour mener l</w:t>
      </w:r>
      <w:r w:rsidR="007D2830">
        <w:rPr>
          <w:szCs w:val="20"/>
        </w:rPr>
        <w:t>’</w:t>
      </w:r>
      <w:r w:rsidRPr="00D32FED">
        <w:rPr>
          <w:szCs w:val="20"/>
        </w:rPr>
        <w:t>enquête.</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w:t>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Moyens d’accélérer les travaux du Comité</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secrétariat a indiqué au Comité ce qu’il en était des rapports qui auraient dû être présentés par les États parties en application de l’article 18 de la Convention.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Mesures prises par le Comité au titre du point</w:t>
      </w:r>
      <w:r w:rsidR="00582BF2">
        <w:t> </w:t>
      </w:r>
      <w:r w:rsidRPr="00D32FED">
        <w:t>7 de l’ordre du jour</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Dates des prochaines sessions </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Conformément au calendrier des conférences, les dates et lieux de réunion suivants ont été confirmés pour les soixante-septième et soixante-huitième sessions et autres réunions connexes du Comité</w:t>
      </w:r>
      <w:r w:rsidR="007D2830">
        <w:t> :</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Soixante-septième session (Genève)</w:t>
      </w:r>
    </w:p>
    <w:p w:rsidR="00050F2A" w:rsidRPr="00D32FED" w:rsidRDefault="00050F2A"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a)</w:t>
      </w:r>
      <w:r w:rsidRPr="00D32FED">
        <w:rPr>
          <w:szCs w:val="20"/>
        </w:rPr>
        <w:tab/>
        <w:t>Comme indiqué au paragraphe</w:t>
      </w:r>
      <w:r w:rsidR="00582BF2">
        <w:rPr>
          <w:szCs w:val="20"/>
        </w:rPr>
        <w:t> </w:t>
      </w:r>
      <w:r w:rsidRPr="00D32FED">
        <w:rPr>
          <w:szCs w:val="20"/>
        </w:rPr>
        <w:t>32 de la deuxième partie du présent rapport</w:t>
      </w:r>
      <w:r w:rsidR="007D2830">
        <w:rPr>
          <w:szCs w:val="20"/>
        </w:rPr>
        <w:t>;</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Soixante-huitième session (Genève)</w:t>
      </w:r>
    </w:p>
    <w:p w:rsidR="00050F2A" w:rsidRPr="00D32FED" w:rsidRDefault="00050F2A"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b)</w:t>
      </w:r>
      <w:r w:rsidRPr="00D32FED">
        <w:rPr>
          <w:szCs w:val="20"/>
        </w:rPr>
        <w:tab/>
        <w:t>Trente-neuvième session du Groupe de travail sur les communications présentées conformément au Protocole facultatif</w:t>
      </w:r>
      <w:r w:rsidR="007D2830">
        <w:rPr>
          <w:szCs w:val="20"/>
        </w:rPr>
        <w:t> :</w:t>
      </w:r>
      <w:r w:rsidRPr="00D32FED">
        <w:rPr>
          <w:szCs w:val="20"/>
        </w:rPr>
        <w:t xml:space="preserve"> du 18 au 20</w:t>
      </w:r>
      <w:r w:rsidR="00582BF2">
        <w:rPr>
          <w:szCs w:val="20"/>
        </w:rPr>
        <w:t> </w:t>
      </w:r>
      <w:r w:rsidRPr="00D32FED">
        <w:rPr>
          <w:szCs w:val="20"/>
        </w:rPr>
        <w:t>octobre 2017</w:t>
      </w:r>
      <w:r w:rsidR="007D2830">
        <w:rPr>
          <w:szCs w:val="20"/>
        </w:rPr>
        <w:t>;</w:t>
      </w:r>
    </w:p>
    <w:p w:rsidR="00050F2A" w:rsidRPr="00D32FED" w:rsidRDefault="00050F2A"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c)</w:t>
      </w:r>
      <w:r w:rsidRPr="00D32FED">
        <w:rPr>
          <w:szCs w:val="20"/>
        </w:rPr>
        <w:tab/>
        <w:t>Huitième session du Groupe de travail chargé des enquêtes menées au titre du Protocol</w:t>
      </w:r>
      <w:r w:rsidR="00582BF2">
        <w:rPr>
          <w:szCs w:val="20"/>
        </w:rPr>
        <w:t>e facultatif</w:t>
      </w:r>
      <w:r w:rsidR="007D2830">
        <w:rPr>
          <w:szCs w:val="20"/>
        </w:rPr>
        <w:t> :</w:t>
      </w:r>
      <w:r w:rsidR="00582BF2">
        <w:rPr>
          <w:szCs w:val="20"/>
        </w:rPr>
        <w:t xml:space="preserve"> 19 et 20 </w:t>
      </w:r>
      <w:r w:rsidRPr="00D32FED">
        <w:rPr>
          <w:szCs w:val="20"/>
        </w:rPr>
        <w:t>octobre 2017</w:t>
      </w:r>
      <w:r w:rsidR="007D2830">
        <w:rPr>
          <w:szCs w:val="20"/>
        </w:rPr>
        <w:t>;</w:t>
      </w:r>
    </w:p>
    <w:p w:rsidR="00050F2A" w:rsidRPr="00D32FED" w:rsidRDefault="00050F2A" w:rsidP="00582B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d)</w:t>
      </w:r>
      <w:r w:rsidRPr="00D32FED">
        <w:rPr>
          <w:szCs w:val="20"/>
        </w:rPr>
        <w:tab/>
        <w:t>Soixante-huitième session</w:t>
      </w:r>
      <w:r w:rsidR="007D2830">
        <w:rPr>
          <w:szCs w:val="20"/>
        </w:rPr>
        <w:t> :</w:t>
      </w:r>
      <w:r w:rsidRPr="00D32FED">
        <w:rPr>
          <w:szCs w:val="20"/>
        </w:rPr>
        <w:t xml:space="preserve"> du 23</w:t>
      </w:r>
      <w:r w:rsidR="00582BF2">
        <w:rPr>
          <w:szCs w:val="20"/>
        </w:rPr>
        <w:t> </w:t>
      </w:r>
      <w:r w:rsidRPr="00D32FED">
        <w:rPr>
          <w:szCs w:val="20"/>
        </w:rPr>
        <w:t>octobre au 17</w:t>
      </w:r>
      <w:r w:rsidR="00582BF2">
        <w:rPr>
          <w:szCs w:val="20"/>
        </w:rPr>
        <w:t> </w:t>
      </w:r>
      <w:r w:rsidRPr="00D32FED">
        <w:rPr>
          <w:szCs w:val="20"/>
        </w:rPr>
        <w:t>novembre 2017</w:t>
      </w:r>
      <w:r w:rsidR="007D2830">
        <w:rPr>
          <w:szCs w:val="20"/>
        </w:rPr>
        <w:t>;</w:t>
      </w:r>
      <w:r w:rsidRPr="00D32FED">
        <w:rPr>
          <w:szCs w:val="20"/>
        </w:rPr>
        <w:t xml:space="preserve"> </w:t>
      </w:r>
    </w:p>
    <w:p w:rsidR="00050F2A" w:rsidRPr="00D32FED" w:rsidRDefault="00050F2A" w:rsidP="006401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rPr>
      </w:pPr>
      <w:r w:rsidRPr="00D32FED">
        <w:rPr>
          <w:szCs w:val="20"/>
        </w:rPr>
        <w:tab/>
        <w:t>e)</w:t>
      </w:r>
      <w:r w:rsidRPr="00D32FED">
        <w:rPr>
          <w:szCs w:val="20"/>
        </w:rPr>
        <w:tab/>
        <w:t xml:space="preserve">Réunion du </w:t>
      </w:r>
      <w:r>
        <w:rPr>
          <w:szCs w:val="20"/>
        </w:rPr>
        <w:t>g</w:t>
      </w:r>
      <w:r w:rsidRPr="00D32FED">
        <w:rPr>
          <w:szCs w:val="20"/>
        </w:rPr>
        <w:t>roupe de travail d’avant-session au titre de la soixante-dixième session</w:t>
      </w:r>
      <w:r w:rsidR="007D2830">
        <w:rPr>
          <w:szCs w:val="20"/>
        </w:rPr>
        <w:t> :</w:t>
      </w:r>
      <w:r w:rsidRPr="00D32FED">
        <w:rPr>
          <w:szCs w:val="20"/>
        </w:rPr>
        <w:t xml:space="preserve"> 20-24</w:t>
      </w:r>
      <w:r w:rsidR="00582BF2">
        <w:rPr>
          <w:szCs w:val="20"/>
        </w:rPr>
        <w:t> </w:t>
      </w:r>
      <w:r w:rsidRPr="00D32FED">
        <w:rPr>
          <w:szCs w:val="20"/>
        </w:rPr>
        <w:t>novembre 2017.</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 xml:space="preserve">Rapports à examiner aux prochaines sessions du Comité </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Comité a confirmé qu’à sa soixante-septième session</w:t>
      </w:r>
      <w:r>
        <w:t>,</w:t>
      </w:r>
      <w:r w:rsidRPr="00D32FED">
        <w:t xml:space="preserve"> il examinerait les rapports des États parties énumérés au</w:t>
      </w:r>
      <w:r w:rsidR="00D944D7">
        <w:t xml:space="preserve"> paragraphe </w:t>
      </w:r>
      <w:r w:rsidRPr="00D32FED">
        <w:t>33 de la deuxième partie du présent rapport, et qu’à sa soixante-huitième session</w:t>
      </w:r>
      <w:r>
        <w:t>,</w:t>
      </w:r>
      <w:r w:rsidRPr="00D32FED">
        <w:t xml:space="preserve"> il examinerait ceux du Burkina Faso, du Guatemala, d’Israël (au titre de la procédure simplifiée de présentation des rapports), du Kenya, du Koweït, de Monaco, de Nauru, de la Norvège, d</w:t>
      </w:r>
      <w:r w:rsidR="007D2830">
        <w:t>’</w:t>
      </w:r>
      <w:r w:rsidRPr="00D32FED">
        <w:t>Oman, du Paraguay, de la République populaire démocratique de Corée et de Singapour.</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VII</w:t>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Application de l’article 21 de la Convention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les aspects de la réduction des risques de catastrophe et des changements climatiques ayant trait à la problématique hommes-femmes</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Groupe de travail s</w:t>
      </w:r>
      <w:r w:rsidR="007D2830">
        <w:t>’</w:t>
      </w:r>
      <w:r w:rsidRPr="00D32FED">
        <w:t>est réuni durant la session en vue d</w:t>
      </w:r>
      <w:r w:rsidR="007D2830">
        <w:t>’</w:t>
      </w:r>
      <w:r w:rsidRPr="00D32FED">
        <w:t xml:space="preserve">examiner et de regrouper les observations concernant le projet de recommandation générale que de nombreuses parties prenantes </w:t>
      </w:r>
      <w:r>
        <w:t xml:space="preserve">lui avaient </w:t>
      </w:r>
      <w:r w:rsidRPr="00D32FED">
        <w:t>adressées entre les sessions.</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r>
      <w:r w:rsidRPr="00582BF2">
        <w:t>Groupe</w:t>
      </w:r>
      <w:r w:rsidRPr="00D32FED">
        <w:t xml:space="preserve"> de travail sur le droit à l</w:t>
      </w:r>
      <w:r w:rsidR="007D2830">
        <w:t>’</w:t>
      </w:r>
      <w:r w:rsidRPr="00D32FED">
        <w:t>éducation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Groupe de travail s</w:t>
      </w:r>
      <w:r w:rsidR="007D2830">
        <w:t>’</w:t>
      </w:r>
      <w:r w:rsidRPr="00D32FED">
        <w:t>est réuni pendant la session et a examiné un avant-projet de recommandation générale.</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Cs w:val="20"/>
        </w:rPr>
      </w:pPr>
      <w:r w:rsidRPr="00D32FED">
        <w:rPr>
          <w:b w:val="0"/>
          <w:szCs w:val="20"/>
        </w:rPr>
        <w:tab/>
      </w:r>
      <w:r w:rsidRPr="00D32FED">
        <w:rPr>
          <w:b w:val="0"/>
          <w:szCs w:val="20"/>
        </w:rPr>
        <w:tab/>
      </w:r>
      <w:r w:rsidRPr="00582BF2">
        <w:t>Groupe</w:t>
      </w:r>
      <w:r w:rsidRPr="00D32FED">
        <w:rPr>
          <w:b w:val="0"/>
          <w:bCs/>
          <w:szCs w:val="20"/>
        </w:rPr>
        <w:t xml:space="preserve"> </w:t>
      </w:r>
      <w:r w:rsidRPr="006E1567">
        <w:rPr>
          <w:bCs/>
          <w:szCs w:val="20"/>
        </w:rPr>
        <w:t>de travail sur les méthodes de travail</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Groupe de travail s</w:t>
      </w:r>
      <w:r w:rsidR="007D2830">
        <w:t>’</w:t>
      </w:r>
      <w:r w:rsidRPr="00D32FED">
        <w:t xml:space="preserve">est réuni durant la session et a présenté au Comité des projets de décision concernant la révision de ses directives </w:t>
      </w:r>
      <w:r>
        <w:t xml:space="preserve">sur </w:t>
      </w:r>
      <w:r w:rsidRPr="00D32FED">
        <w:t>l’établissement</w:t>
      </w:r>
      <w:r>
        <w:t xml:space="preserve"> de rapports spécifiques et l</w:t>
      </w:r>
      <w:r w:rsidRPr="00D32FED">
        <w:t>a limite en termes de mots de la longueur des annexes aux documents que les États parties soumettent au Comité (voir décisions 66/VII et 66/VIII).</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r>
      <w:r w:rsidRPr="00582BF2">
        <w:t>Groupe</w:t>
      </w:r>
      <w:r w:rsidRPr="00D32FED">
        <w:t xml:space="preserve"> de travail chargé de la coordination avec l</w:t>
      </w:r>
      <w:r w:rsidR="007D2830">
        <w:t>’</w:t>
      </w:r>
      <w:r w:rsidRPr="00D32FED">
        <w:t>Union interparlementaire</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Groupe de travail s</w:t>
      </w:r>
      <w:r w:rsidR="007D2830">
        <w:t>’</w:t>
      </w:r>
      <w:r w:rsidRPr="00D32FED">
        <w:t>est réuni durant la session et a poursuivi ses débats sur les priorités concernant sa coopération avec l</w:t>
      </w:r>
      <w:r w:rsidR="007D2830">
        <w:t>’</w:t>
      </w:r>
      <w:r w:rsidRPr="0013322C">
        <w:t>Union interparlementaire</w:t>
      </w:r>
      <w:r w:rsidRPr="00D32FED">
        <w:t>, notamment eu égard au suivi et à la mise en œuvre des objectifs de développement durable.</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r>
      <w:r w:rsidRPr="00582BF2">
        <w:t>Groupe</w:t>
      </w:r>
      <w:r w:rsidRPr="00D32FED">
        <w:t xml:space="preserve"> de travail sur la Convention, ONU-Femmes et les objectifs de développement durable</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Le Groupe de travail s</w:t>
      </w:r>
      <w:r w:rsidR="007D2830">
        <w:t>’</w:t>
      </w:r>
      <w:r w:rsidRPr="00D32FED">
        <w:t xml:space="preserve">est réuni pendant la session et a préparé une contribution sur le thème </w:t>
      </w:r>
      <w:r w:rsidR="00582BF2">
        <w:t>« </w:t>
      </w:r>
      <w:r w:rsidRPr="00D32FED">
        <w:t>Éliminer la pauvreté et promouvoir la prospérité dans un monde en mutation</w:t>
      </w:r>
      <w:r w:rsidR="00582BF2">
        <w:t> »</w:t>
      </w:r>
      <w:r w:rsidRPr="00D32FED">
        <w:t>, qu</w:t>
      </w:r>
      <w:r w:rsidR="007D2830">
        <w:t>’</w:t>
      </w:r>
      <w:r w:rsidRPr="00D32FED">
        <w:t>il présentera au Forum politique de haut niveau pour le développement durable, prévu pour 2017. Il a également établi des questions sur l</w:t>
      </w:r>
      <w:r w:rsidR="007D2830">
        <w:t>’</w:t>
      </w:r>
      <w:r w:rsidRPr="00D32FED">
        <w:t>indicateur 5.1.1 des objectifs de développement durable, qu</w:t>
      </w:r>
      <w:r w:rsidR="007D2830">
        <w:t>’</w:t>
      </w:r>
      <w:r w:rsidRPr="00D32FED">
        <w:t>il ajoutera à la liste de points et de questions de son groupe de travail d’avant</w:t>
      </w:r>
      <w:r>
        <w:t>-</w:t>
      </w:r>
      <w:r w:rsidRPr="00D32FED">
        <w:t>session.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FED">
        <w:tab/>
      </w:r>
      <w:r w:rsidRPr="00D32FED">
        <w:tab/>
        <w:t>Groupe de travail sur la violence sexiste contre les femmes</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 xml:space="preserve">Le </w:t>
      </w:r>
      <w:r>
        <w:t>G</w:t>
      </w:r>
      <w:r w:rsidRPr="00D32FED">
        <w:t>roupe de travail s’est réuni durant la session. La Présidente a donné des informations sur la deuxième réunion du Groupe d</w:t>
      </w:r>
      <w:r w:rsidR="007D2830">
        <w:t>’</w:t>
      </w:r>
      <w:r w:rsidRPr="00D32FED">
        <w:t>experts, organisée par le Centre for Women, Peace and Security de la London School of Economics</w:t>
      </w:r>
      <w:r>
        <w:t xml:space="preserve"> and Political Science</w:t>
      </w:r>
      <w:r w:rsidRPr="00D32FED">
        <w:t xml:space="preserve">, à laquelle </w:t>
      </w:r>
      <w:r>
        <w:t>avaient</w:t>
      </w:r>
      <w:r w:rsidRPr="00D32FED">
        <w:t xml:space="preserve"> assisté M</w:t>
      </w:r>
      <w:r w:rsidRPr="006E1567">
        <w:rPr>
          <w:vertAlign w:val="superscript"/>
        </w:rPr>
        <w:t>mes</w:t>
      </w:r>
      <w:r w:rsidRPr="00D32FED">
        <w:t xml:space="preserve"> Acar, Gabr, Haidar, Hayashi </w:t>
      </w:r>
      <w:r>
        <w:t xml:space="preserve">et </w:t>
      </w:r>
      <w:r w:rsidRPr="00D32FED">
        <w:t xml:space="preserve">Leinarte </w:t>
      </w:r>
      <w:r>
        <w:t xml:space="preserve">et </w:t>
      </w:r>
      <w:r w:rsidRPr="00D32FED">
        <w:t>la Rapporteuse spéciale sur la violence contre les femmes, ses causes et ses conséquences, M</w:t>
      </w:r>
      <w:r w:rsidRPr="006E1567">
        <w:rPr>
          <w:vertAlign w:val="superscript"/>
        </w:rPr>
        <w:t>me</w:t>
      </w:r>
      <w:r w:rsidRPr="00D32FED">
        <w:t xml:space="preserve"> Šimonović, ainsi que des experts extérieurs. Le Groupe de travail a examiné la version finale du projet de recommandation générale sur la violence sexiste à l</w:t>
      </w:r>
      <w:r w:rsidR="007D2830">
        <w:t>’</w:t>
      </w:r>
      <w:r w:rsidRPr="00D32FED">
        <w:t xml:space="preserve">égard des femmes, </w:t>
      </w:r>
      <w:r>
        <w:t>actualisant</w:t>
      </w:r>
      <w:r w:rsidRPr="00D32FED">
        <w:t xml:space="preserve"> la recommandation générale n</w:t>
      </w:r>
      <w:r>
        <w:t>° </w:t>
      </w:r>
      <w:r w:rsidRPr="00D32FED">
        <w:t>19, qui avait été affinée à la réunion du Groupe d</w:t>
      </w:r>
      <w:r w:rsidR="007D2830">
        <w:t>’</w:t>
      </w:r>
      <w:r w:rsidRPr="00D32FED">
        <w:t>experts.</w:t>
      </w:r>
    </w:p>
    <w:p w:rsidR="00050F2A" w:rsidRPr="00D32FED" w:rsidRDefault="00050F2A" w:rsidP="00582BF2">
      <w:pPr>
        <w:pStyle w:val="SingleTxt"/>
        <w:numPr>
          <w:ilvl w:val="0"/>
          <w:numId w:val="17"/>
        </w:numPr>
        <w:spacing w:line="240" w:lineRule="exact"/>
      </w:pPr>
      <w:r w:rsidRPr="00D32FED">
        <w:t>Le 27</w:t>
      </w:r>
      <w:r w:rsidR="00D944D7">
        <w:t> février</w:t>
      </w:r>
      <w:r w:rsidRPr="00D32FED">
        <w:t xml:space="preserve"> 2017, le Comité a achevé sa première lecture du projet de recommandation générale.</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VIII</w:t>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Ordre du jour provisoire de la soixante-septième session</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À sa 1499</w:t>
      </w:r>
      <w:r w:rsidRPr="00CA4657">
        <w:rPr>
          <w:vertAlign w:val="superscript"/>
        </w:rPr>
        <w:t>e</w:t>
      </w:r>
      <w:r w:rsidR="00582BF2">
        <w:t> </w:t>
      </w:r>
      <w:r w:rsidRPr="00D32FED">
        <w:t>séance, le 3</w:t>
      </w:r>
      <w:r w:rsidR="00D944D7">
        <w:t> mars</w:t>
      </w:r>
      <w:r w:rsidRPr="00D32FED">
        <w:t xml:space="preserve"> 2017, le Comité a examiné et approuvé le projet d’ordre du jour provisoire de sa soixante-septième session.</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Chapitre IX</w:t>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Adoption du rapport</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pStyle w:val="SingleTxt"/>
        <w:numPr>
          <w:ilvl w:val="0"/>
          <w:numId w:val="17"/>
        </w:numPr>
        <w:spacing w:line="240" w:lineRule="exact"/>
      </w:pPr>
      <w:r w:rsidRPr="00D32FED">
        <w:t>À sa 1499</w:t>
      </w:r>
      <w:r w:rsidRPr="00CA4657">
        <w:rPr>
          <w:vertAlign w:val="superscript"/>
        </w:rPr>
        <w:t>e</w:t>
      </w:r>
      <w:r w:rsidR="00582BF2">
        <w:t> </w:t>
      </w:r>
      <w:r w:rsidRPr="00D32FED">
        <w:t>séance, le 3</w:t>
      </w:r>
      <w:r w:rsidR="00582BF2">
        <w:t> </w:t>
      </w:r>
      <w:r w:rsidRPr="00D32FED">
        <w:t>novembre 2017, le Comité a examiné et adopté, tel que modifié oralement, le projet de rapport sur les travaux de sa soixante-sixième session.</w:t>
      </w:r>
    </w:p>
    <w:p w:rsidR="00050F2A" w:rsidRPr="00D32FED" w:rsidRDefault="00050F2A" w:rsidP="00050F2A">
      <w:pPr>
        <w:spacing w:line="240" w:lineRule="auto"/>
        <w:rPr>
          <w:szCs w:val="20"/>
        </w:rPr>
      </w:pPr>
      <w:r w:rsidRPr="00D32FED">
        <w:rPr>
          <w:szCs w:val="20"/>
        </w:rP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Annexe I</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7D2830" w:rsidRDefault="00050F2A" w:rsidP="00582BF2">
      <w:pPr>
        <w:pStyle w:val="HCh0"/>
        <w:ind w:left="1267" w:right="1260" w:hanging="1267"/>
        <w:rPr>
          <w:lang w:val="fr-FR"/>
        </w:rPr>
      </w:pPr>
      <w:r w:rsidRPr="007D2830">
        <w:rPr>
          <w:lang w:val="fr-FR"/>
        </w:rPr>
        <w:tab/>
      </w:r>
      <w:r w:rsidRPr="007D2830">
        <w:rPr>
          <w:lang w:val="fr-FR"/>
        </w:rPr>
        <w:tab/>
        <w:t>Liste des documents dont le Comité était saisi à sa soixante-sixième session</w:t>
      </w:r>
    </w:p>
    <w:p w:rsidR="00050F2A" w:rsidRPr="00050F2A" w:rsidRDefault="00050F2A" w:rsidP="00050F2A">
      <w:pPr>
        <w:pStyle w:val="SingleTxt"/>
        <w:spacing w:after="0" w:line="120" w:lineRule="exact"/>
        <w:rPr>
          <w:b/>
          <w:bCs/>
          <w:spacing w:val="-2"/>
          <w:sz w:val="10"/>
          <w:szCs w:val="20"/>
        </w:rPr>
      </w:pPr>
    </w:p>
    <w:tbl>
      <w:tblPr>
        <w:tblStyle w:val="TableGrid1"/>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3"/>
        <w:gridCol w:w="6008"/>
      </w:tblGrid>
      <w:tr w:rsidR="00050F2A" w:rsidRPr="00D32FED" w:rsidTr="00BA1CBA">
        <w:trPr>
          <w:cantSplit/>
          <w:tblHeader/>
        </w:trPr>
        <w:tc>
          <w:tcPr>
            <w:tcW w:w="2603" w:type="dxa"/>
            <w:tcBorders>
              <w:top w:val="single" w:sz="4" w:space="0" w:color="auto"/>
              <w:bottom w:val="single" w:sz="12" w:space="0" w:color="auto"/>
            </w:tcBorders>
            <w:shd w:val="clear" w:color="auto" w:fill="auto"/>
            <w:vAlign w:val="bottom"/>
          </w:tcPr>
          <w:p w:rsidR="00050F2A" w:rsidRPr="00582BF2" w:rsidRDefault="00050F2A" w:rsidP="00582B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en-GB"/>
              </w:rPr>
            </w:pPr>
            <w:r w:rsidRPr="00582BF2">
              <w:rPr>
                <w:rFonts w:eastAsia="Times New Roman"/>
                <w:i/>
                <w:sz w:val="14"/>
                <w:lang w:val="en-GB"/>
              </w:rPr>
              <w:t>Cote du document</w:t>
            </w:r>
          </w:p>
        </w:tc>
        <w:tc>
          <w:tcPr>
            <w:tcW w:w="6008" w:type="dxa"/>
            <w:tcBorders>
              <w:top w:val="single" w:sz="4" w:space="0" w:color="auto"/>
              <w:bottom w:val="single" w:sz="12" w:space="0" w:color="auto"/>
            </w:tcBorders>
            <w:shd w:val="clear" w:color="auto" w:fill="auto"/>
            <w:vAlign w:val="bottom"/>
          </w:tcPr>
          <w:p w:rsidR="00050F2A" w:rsidRPr="00582BF2" w:rsidRDefault="00050F2A" w:rsidP="00582B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en-GB"/>
              </w:rPr>
            </w:pPr>
            <w:r w:rsidRPr="00582BF2">
              <w:rPr>
                <w:rFonts w:eastAsia="Times New Roman"/>
                <w:i/>
                <w:sz w:val="14"/>
                <w:lang w:val="en-GB"/>
              </w:rPr>
              <w:t>Titre ou description</w:t>
            </w:r>
          </w:p>
        </w:tc>
      </w:tr>
      <w:tr w:rsidR="00050F2A" w:rsidRPr="00D32FED" w:rsidTr="00BA1CBA">
        <w:trPr>
          <w:cantSplit/>
          <w:trHeight w:hRule="exact" w:val="115"/>
          <w:tblHeader/>
        </w:trPr>
        <w:tc>
          <w:tcPr>
            <w:tcW w:w="2603" w:type="dxa"/>
            <w:tcBorders>
              <w:top w:val="single" w:sz="12" w:space="0" w:color="auto"/>
            </w:tcBorders>
            <w:shd w:val="clear" w:color="auto" w:fill="auto"/>
            <w:vAlign w:val="bottom"/>
          </w:tcPr>
          <w:p w:rsidR="00050F2A" w:rsidRPr="00D32FED" w:rsidRDefault="00050F2A" w:rsidP="00BA1CBA">
            <w:pPr>
              <w:spacing w:before="40" w:after="120"/>
              <w:ind w:right="40"/>
              <w:jc w:val="both"/>
              <w:rPr>
                <w:lang w:val="en-GB"/>
              </w:rPr>
            </w:pPr>
          </w:p>
        </w:tc>
        <w:tc>
          <w:tcPr>
            <w:tcW w:w="6008" w:type="dxa"/>
            <w:tcBorders>
              <w:top w:val="single" w:sz="12" w:space="0" w:color="auto"/>
            </w:tcBorders>
            <w:shd w:val="clear" w:color="auto" w:fill="auto"/>
            <w:vAlign w:val="bottom"/>
          </w:tcPr>
          <w:p w:rsidR="00050F2A" w:rsidRPr="00D32FED" w:rsidRDefault="00050F2A" w:rsidP="00BA1CBA">
            <w:pPr>
              <w:spacing w:before="40" w:after="120"/>
              <w:ind w:left="144" w:right="40"/>
              <w:rPr>
                <w:lang w:val="en-GB"/>
              </w:rPr>
            </w:pP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27" w:history="1">
              <w:r w:rsidR="00050F2A" w:rsidRPr="00D32FED">
                <w:rPr>
                  <w:lang w:val="en-GB"/>
                </w:rPr>
                <w:t>CEDAW/C/66/1</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 xml:space="preserve">Ordre du jour provisoire annoté </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28" w:history="1">
              <w:r w:rsidR="00050F2A" w:rsidRPr="00D32FED">
                <w:rPr>
                  <w:lang w:val="en-GB"/>
                </w:rPr>
                <w:t>CEDAW/C/66/2</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de l’Organisation des Nations Unies pour l’éducation, la science et la culture</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29" w:history="1">
              <w:r w:rsidR="00050F2A" w:rsidRPr="00D32FED">
                <w:rPr>
                  <w:lang w:val="en-GB"/>
                </w:rPr>
                <w:t>CEDAW/C/66/3</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de l’Organisation internationale du Travail</w:t>
            </w:r>
          </w:p>
        </w:tc>
      </w:tr>
      <w:tr w:rsidR="00050F2A" w:rsidRPr="00D32FED" w:rsidTr="00BA1CBA">
        <w:trPr>
          <w:cantSplit/>
        </w:trPr>
        <w:tc>
          <w:tcPr>
            <w:tcW w:w="2603" w:type="dxa"/>
            <w:shd w:val="clear" w:color="auto" w:fill="auto"/>
          </w:tcPr>
          <w:p w:rsidR="00050F2A" w:rsidRPr="00D32FED" w:rsidRDefault="00050F2A" w:rsidP="00582BF2">
            <w:pPr>
              <w:tabs>
                <w:tab w:val="left" w:pos="288"/>
                <w:tab w:val="left" w:pos="576"/>
                <w:tab w:val="left" w:pos="864"/>
                <w:tab w:val="left" w:pos="1152"/>
              </w:tabs>
              <w:spacing w:before="40" w:after="80"/>
              <w:ind w:right="43"/>
              <w:jc w:val="both"/>
              <w:rPr>
                <w:b/>
                <w:lang w:val="en-GB"/>
              </w:rPr>
            </w:pPr>
            <w:r w:rsidRPr="00D32FED">
              <w:rPr>
                <w:b/>
                <w:bCs/>
              </w:rPr>
              <w:t>Rapports des États parties</w:t>
            </w:r>
          </w:p>
        </w:tc>
        <w:tc>
          <w:tcPr>
            <w:tcW w:w="6008" w:type="dxa"/>
            <w:shd w:val="clear" w:color="auto" w:fill="auto"/>
          </w:tcPr>
          <w:p w:rsidR="00050F2A" w:rsidRPr="00D32FED" w:rsidRDefault="00050F2A" w:rsidP="00582BF2">
            <w:pPr>
              <w:tabs>
                <w:tab w:val="left" w:pos="288"/>
                <w:tab w:val="left" w:pos="576"/>
                <w:tab w:val="left" w:pos="864"/>
                <w:tab w:val="left" w:pos="1152"/>
              </w:tabs>
              <w:spacing w:before="40" w:after="80"/>
              <w:ind w:left="144" w:right="43"/>
              <w:rPr>
                <w:lang w:val="en-GB"/>
              </w:rPr>
            </w:pP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0" w:history="1">
              <w:r w:rsidR="00050F2A" w:rsidRPr="00D32FED">
                <w:rPr>
                  <w:lang w:val="en-GB"/>
                </w:rPr>
                <w:t>CEDAW/C/SLV/8-9</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unique valant huitième et neuvième rapports périodiques d’El Salvador</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1" w:history="1">
              <w:r w:rsidR="00050F2A" w:rsidRPr="00D32FED">
                <w:rPr>
                  <w:lang w:val="en-GB"/>
                </w:rPr>
                <w:t>CEDAW/C/DEU/7-8</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unique valant septième et huitième rapports périodiques de l’Allemagne</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2" w:history="1">
              <w:r w:rsidR="00050F2A" w:rsidRPr="00D32FED">
                <w:rPr>
                  <w:lang w:val="en-GB"/>
                </w:rPr>
                <w:t>CEDAW/C/IRL/6-7</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unique valant sixième et septième rapports périodiques de l’Irlande</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3" w:history="1">
              <w:r w:rsidR="00050F2A" w:rsidRPr="00D32FED">
                <w:rPr>
                  <w:lang w:val="en-GB"/>
                </w:rPr>
                <w:t>CEDAW/C/JOR/6</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Sixième rapport périodique de la Jordanie</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4" w:history="1">
              <w:r w:rsidR="00050F2A" w:rsidRPr="00D32FED">
                <w:rPr>
                  <w:lang w:val="en-GB"/>
                </w:rPr>
                <w:t>CEDAW/C/FSM/1-3</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unique valant rapport initial, deuxième et troisième rapports périodiques des États fédérés de Micronésie</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5" w:history="1">
              <w:r w:rsidR="00050F2A" w:rsidRPr="00D32FED">
                <w:rPr>
                  <w:lang w:val="en-GB"/>
                </w:rPr>
                <w:t>CEDAW/C/RWA/7-9</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Rapport unique valant septième, huitième et neuvième rapports périodiques du Rwanda</w:t>
            </w:r>
          </w:p>
        </w:tc>
      </w:tr>
      <w:tr w:rsidR="00050F2A" w:rsidRPr="00D32FED" w:rsidTr="00BA1CBA">
        <w:trPr>
          <w:cantSplit/>
        </w:trPr>
        <w:tc>
          <w:tcPr>
            <w:tcW w:w="2603" w:type="dxa"/>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6" w:history="1">
              <w:r w:rsidR="00050F2A" w:rsidRPr="00D32FED">
                <w:rPr>
                  <w:lang w:val="en-GB"/>
                </w:rPr>
                <w:t>CEDAW/C/LKA/8</w:t>
              </w:r>
            </w:hyperlink>
          </w:p>
        </w:tc>
        <w:tc>
          <w:tcPr>
            <w:tcW w:w="6008" w:type="dxa"/>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Huitième rapport périodique d</w:t>
            </w:r>
            <w:r>
              <w:rPr>
                <w:lang w:val="fr-FR"/>
              </w:rPr>
              <w:t>e</w:t>
            </w:r>
            <w:r w:rsidRPr="00E023EC">
              <w:rPr>
                <w:lang w:val="fr-FR"/>
              </w:rPr>
              <w:t xml:space="preserve"> Sri Lanka</w:t>
            </w:r>
          </w:p>
        </w:tc>
      </w:tr>
      <w:tr w:rsidR="00050F2A" w:rsidRPr="00D32FED" w:rsidTr="00BA1CBA">
        <w:trPr>
          <w:cantSplit/>
        </w:trPr>
        <w:tc>
          <w:tcPr>
            <w:tcW w:w="2603" w:type="dxa"/>
            <w:tcBorders>
              <w:bottom w:val="single" w:sz="12" w:space="0" w:color="auto"/>
            </w:tcBorders>
            <w:shd w:val="clear" w:color="auto" w:fill="auto"/>
          </w:tcPr>
          <w:p w:rsidR="00050F2A" w:rsidRPr="00D32FED" w:rsidRDefault="00030BF8" w:rsidP="00582BF2">
            <w:pPr>
              <w:tabs>
                <w:tab w:val="left" w:pos="288"/>
                <w:tab w:val="left" w:pos="576"/>
                <w:tab w:val="left" w:pos="864"/>
                <w:tab w:val="left" w:pos="1152"/>
              </w:tabs>
              <w:spacing w:before="40" w:after="80"/>
              <w:ind w:right="43"/>
              <w:jc w:val="both"/>
              <w:rPr>
                <w:lang w:val="en-GB"/>
              </w:rPr>
            </w:pPr>
            <w:hyperlink r:id="rId137" w:history="1">
              <w:r w:rsidR="00050F2A" w:rsidRPr="00D32FED">
                <w:rPr>
                  <w:lang w:val="en-GB"/>
                </w:rPr>
                <w:t>CEDAW/C/UKR/8</w:t>
              </w:r>
            </w:hyperlink>
          </w:p>
        </w:tc>
        <w:tc>
          <w:tcPr>
            <w:tcW w:w="6008" w:type="dxa"/>
            <w:tcBorders>
              <w:bottom w:val="single" w:sz="12" w:space="0" w:color="auto"/>
            </w:tcBorders>
            <w:shd w:val="clear" w:color="auto" w:fill="auto"/>
          </w:tcPr>
          <w:p w:rsidR="00050F2A" w:rsidRPr="00E023EC" w:rsidRDefault="00050F2A" w:rsidP="00582BF2">
            <w:pPr>
              <w:tabs>
                <w:tab w:val="left" w:pos="288"/>
                <w:tab w:val="left" w:pos="576"/>
                <w:tab w:val="left" w:pos="864"/>
                <w:tab w:val="left" w:pos="1152"/>
              </w:tabs>
              <w:spacing w:before="40" w:after="80"/>
              <w:ind w:left="144" w:right="43"/>
              <w:rPr>
                <w:lang w:val="fr-FR"/>
              </w:rPr>
            </w:pPr>
            <w:r w:rsidRPr="00E023EC">
              <w:rPr>
                <w:lang w:val="fr-FR"/>
              </w:rPr>
              <w:t>Huitième rapport périodique de l’Ukraine</w:t>
            </w:r>
          </w:p>
        </w:tc>
      </w:tr>
    </w:tbl>
    <w:p w:rsidR="00050F2A" w:rsidRPr="00050F2A" w:rsidRDefault="00050F2A" w:rsidP="00050F2A">
      <w:pPr>
        <w:pStyle w:val="SingleTxt"/>
        <w:spacing w:after="0" w:line="120" w:lineRule="exact"/>
        <w:rPr>
          <w:sz w:val="10"/>
        </w:rPr>
      </w:pPr>
    </w:p>
    <w:p w:rsidR="00050F2A" w:rsidRPr="00050F2A" w:rsidRDefault="00050F2A" w:rsidP="00050F2A">
      <w:pPr>
        <w:pStyle w:val="SingleTxt"/>
        <w:spacing w:after="0" w:line="120" w:lineRule="exact"/>
        <w:rPr>
          <w:sz w:val="10"/>
        </w:rPr>
      </w:pPr>
    </w:p>
    <w:p w:rsidR="00050F2A" w:rsidRDefault="00050F2A">
      <w:pPr>
        <w:spacing w:after="200" w:line="276" w:lineRule="auto"/>
      </w:pPr>
      <w:r>
        <w:br w:type="page"/>
      </w:r>
    </w:p>
    <w:p w:rsidR="00050F2A" w:rsidRPr="00D32FED" w:rsidRDefault="00050F2A" w:rsidP="00050F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bCs/>
          <w:spacing w:val="-2"/>
          <w:sz w:val="28"/>
          <w:szCs w:val="20"/>
        </w:rPr>
        <w:lastRenderedPageBreak/>
        <w:t>Annexe II</w:t>
      </w:r>
    </w:p>
    <w:p w:rsidR="00050F2A" w:rsidRPr="00D32FED" w:rsidRDefault="00050F2A" w:rsidP="00050F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0F2A" w:rsidRPr="00D32FED" w:rsidRDefault="00050F2A" w:rsidP="00582B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rPr>
      </w:pPr>
      <w:r w:rsidRPr="00D32FED">
        <w:rPr>
          <w:b/>
          <w:spacing w:val="-2"/>
          <w:sz w:val="28"/>
          <w:szCs w:val="20"/>
        </w:rPr>
        <w:tab/>
      </w:r>
      <w:r w:rsidRPr="00D32FED">
        <w:rPr>
          <w:b/>
          <w:spacing w:val="-2"/>
          <w:sz w:val="28"/>
          <w:szCs w:val="20"/>
        </w:rPr>
        <w:tab/>
      </w:r>
      <w:r w:rsidRPr="00D32FED">
        <w:rPr>
          <w:b/>
          <w:bCs/>
          <w:spacing w:val="-2"/>
          <w:sz w:val="28"/>
          <w:szCs w:val="20"/>
        </w:rPr>
        <w:t>Composition du Comité au 3</w:t>
      </w:r>
      <w:r w:rsidR="00D944D7">
        <w:rPr>
          <w:b/>
          <w:bCs/>
          <w:spacing w:val="-2"/>
          <w:sz w:val="28"/>
          <w:szCs w:val="20"/>
        </w:rPr>
        <w:t> mars</w:t>
      </w:r>
      <w:r w:rsidRPr="00D32FED">
        <w:rPr>
          <w:b/>
          <w:bCs/>
          <w:spacing w:val="-2"/>
          <w:sz w:val="28"/>
          <w:szCs w:val="20"/>
        </w:rPr>
        <w:t xml:space="preserve"> 2017</w:t>
      </w:r>
    </w:p>
    <w:p w:rsidR="00050F2A" w:rsidRPr="00050F2A" w:rsidRDefault="00050F2A" w:rsidP="00050F2A">
      <w:pPr>
        <w:pStyle w:val="SingleTxt"/>
        <w:spacing w:after="0" w:line="120" w:lineRule="exact"/>
        <w:rPr>
          <w:sz w:val="10"/>
        </w:rPr>
      </w:pPr>
    </w:p>
    <w:p w:rsidR="00050F2A" w:rsidRPr="00050F2A" w:rsidRDefault="00050F2A" w:rsidP="00050F2A">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3600"/>
        <w:gridCol w:w="1530"/>
        <w:gridCol w:w="2190"/>
      </w:tblGrid>
      <w:tr w:rsidR="00050F2A" w:rsidRPr="00582BF2" w:rsidTr="00582BF2">
        <w:trPr>
          <w:cantSplit/>
          <w:tblHeader/>
        </w:trPr>
        <w:tc>
          <w:tcPr>
            <w:tcW w:w="3600" w:type="dxa"/>
            <w:tcBorders>
              <w:top w:val="single" w:sz="4" w:space="0" w:color="auto"/>
              <w:bottom w:val="single" w:sz="12" w:space="0" w:color="auto"/>
            </w:tcBorders>
            <w:shd w:val="clear" w:color="auto" w:fill="auto"/>
            <w:vAlign w:val="bottom"/>
          </w:tcPr>
          <w:p w:rsidR="00050F2A" w:rsidRPr="00582BF2" w:rsidRDefault="00050F2A" w:rsidP="00582BF2">
            <w:pPr>
              <w:suppressAutoHyphens/>
              <w:spacing w:before="81" w:after="81" w:line="160" w:lineRule="exact"/>
              <w:ind w:right="40"/>
              <w:rPr>
                <w:i/>
                <w:sz w:val="14"/>
                <w:szCs w:val="20"/>
                <w:lang w:val="en-GB"/>
              </w:rPr>
            </w:pPr>
            <w:r w:rsidRPr="00582BF2">
              <w:rPr>
                <w:i/>
                <w:iCs/>
                <w:sz w:val="14"/>
                <w:szCs w:val="20"/>
              </w:rPr>
              <w:t>Membre</w:t>
            </w:r>
          </w:p>
        </w:tc>
        <w:tc>
          <w:tcPr>
            <w:tcW w:w="1530" w:type="dxa"/>
            <w:tcBorders>
              <w:top w:val="single" w:sz="4" w:space="0" w:color="auto"/>
              <w:bottom w:val="single" w:sz="12" w:space="0" w:color="auto"/>
            </w:tcBorders>
            <w:shd w:val="clear" w:color="auto" w:fill="auto"/>
            <w:vAlign w:val="bottom"/>
          </w:tcPr>
          <w:p w:rsidR="00050F2A" w:rsidRPr="00582BF2" w:rsidRDefault="00050F2A" w:rsidP="00582BF2">
            <w:pPr>
              <w:suppressAutoHyphens/>
              <w:spacing w:before="81" w:after="81" w:line="160" w:lineRule="exact"/>
              <w:ind w:left="144" w:right="43"/>
              <w:rPr>
                <w:i/>
                <w:sz w:val="14"/>
                <w:szCs w:val="20"/>
                <w:lang w:val="en-GB"/>
              </w:rPr>
            </w:pPr>
            <w:r w:rsidRPr="00582BF2">
              <w:rPr>
                <w:i/>
                <w:iCs/>
                <w:sz w:val="14"/>
                <w:szCs w:val="20"/>
              </w:rPr>
              <w:t>Pays de nationalité</w:t>
            </w:r>
          </w:p>
        </w:tc>
        <w:tc>
          <w:tcPr>
            <w:tcW w:w="2190" w:type="dxa"/>
            <w:tcBorders>
              <w:top w:val="single" w:sz="4" w:space="0" w:color="auto"/>
              <w:bottom w:val="single" w:sz="12" w:space="0" w:color="auto"/>
            </w:tcBorders>
            <w:shd w:val="clear" w:color="auto" w:fill="auto"/>
            <w:vAlign w:val="bottom"/>
          </w:tcPr>
          <w:p w:rsidR="00050F2A" w:rsidRPr="00582BF2" w:rsidRDefault="00050F2A" w:rsidP="00582BF2">
            <w:pPr>
              <w:suppressAutoHyphens/>
              <w:spacing w:before="81" w:after="81" w:line="160" w:lineRule="exact"/>
              <w:ind w:left="144" w:right="43"/>
              <w:jc w:val="right"/>
              <w:rPr>
                <w:i/>
                <w:sz w:val="14"/>
                <w:szCs w:val="20"/>
                <w:lang w:val="en-GB"/>
              </w:rPr>
            </w:pPr>
            <w:r w:rsidRPr="00582BF2">
              <w:rPr>
                <w:i/>
                <w:iCs/>
                <w:sz w:val="14"/>
                <w:szCs w:val="20"/>
              </w:rPr>
              <w:t>Mandat expirant le 31</w:t>
            </w:r>
            <w:r w:rsidR="00D944D7">
              <w:rPr>
                <w:i/>
                <w:iCs/>
                <w:sz w:val="14"/>
                <w:szCs w:val="20"/>
              </w:rPr>
              <w:t> décembre</w:t>
            </w:r>
          </w:p>
        </w:tc>
      </w:tr>
      <w:tr w:rsidR="00050F2A" w:rsidRPr="00582BF2" w:rsidTr="00582BF2">
        <w:trPr>
          <w:cantSplit/>
          <w:trHeight w:hRule="exact" w:val="115"/>
          <w:tblHeader/>
        </w:trPr>
        <w:tc>
          <w:tcPr>
            <w:tcW w:w="3600" w:type="dxa"/>
            <w:tcBorders>
              <w:top w:val="single" w:sz="12" w:space="0" w:color="auto"/>
            </w:tcBorders>
            <w:shd w:val="clear" w:color="auto" w:fill="auto"/>
            <w:vAlign w:val="bottom"/>
          </w:tcPr>
          <w:p w:rsidR="00050F2A" w:rsidRPr="00582BF2" w:rsidRDefault="00050F2A" w:rsidP="00582BF2">
            <w:pPr>
              <w:suppressAutoHyphens/>
              <w:spacing w:before="40" w:after="40" w:line="210" w:lineRule="exact"/>
              <w:ind w:right="40"/>
              <w:rPr>
                <w:sz w:val="17"/>
                <w:szCs w:val="20"/>
                <w:lang w:val="en-GB"/>
              </w:rPr>
            </w:pPr>
          </w:p>
        </w:tc>
        <w:tc>
          <w:tcPr>
            <w:tcW w:w="1530" w:type="dxa"/>
            <w:tcBorders>
              <w:top w:val="single" w:sz="12" w:space="0" w:color="auto"/>
            </w:tcBorders>
            <w:shd w:val="clear" w:color="auto" w:fill="auto"/>
            <w:vAlign w:val="bottom"/>
          </w:tcPr>
          <w:p w:rsidR="00050F2A" w:rsidRPr="00582BF2" w:rsidRDefault="00050F2A" w:rsidP="00582BF2">
            <w:pPr>
              <w:suppressAutoHyphens/>
              <w:spacing w:before="40" w:after="40" w:line="210" w:lineRule="exact"/>
              <w:ind w:left="144" w:right="43"/>
              <w:jc w:val="right"/>
              <w:rPr>
                <w:sz w:val="17"/>
                <w:szCs w:val="20"/>
                <w:lang w:val="en-GB"/>
              </w:rPr>
            </w:pPr>
          </w:p>
        </w:tc>
        <w:tc>
          <w:tcPr>
            <w:tcW w:w="2190" w:type="dxa"/>
            <w:tcBorders>
              <w:top w:val="single" w:sz="12" w:space="0" w:color="auto"/>
            </w:tcBorders>
            <w:shd w:val="clear" w:color="auto" w:fill="auto"/>
            <w:vAlign w:val="bottom"/>
          </w:tcPr>
          <w:p w:rsidR="00050F2A" w:rsidRPr="00582BF2" w:rsidRDefault="00050F2A" w:rsidP="00582BF2">
            <w:pPr>
              <w:suppressAutoHyphens/>
              <w:spacing w:before="40" w:after="40" w:line="210" w:lineRule="exact"/>
              <w:ind w:left="144" w:right="43"/>
              <w:jc w:val="right"/>
              <w:rPr>
                <w:sz w:val="17"/>
                <w:szCs w:val="20"/>
                <w:lang w:val="en-GB"/>
              </w:rPr>
            </w:pP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Ayse Feride Acar</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Turquie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Gladys Acosta Vargas</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Pérou</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Nicole Ameline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France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rPr>
            </w:pPr>
            <w:r w:rsidRPr="00582BF2">
              <w:rPr>
                <w:sz w:val="17"/>
                <w:szCs w:val="17"/>
              </w:rPr>
              <w:t>Magalys Arocha Domínguez (Vice-Présidente)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Cuba</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Gunnar Bergby</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Norvège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Marion Bethel</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Bahamas</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Louiza Chalal</w:t>
            </w:r>
            <w:r w:rsidRPr="00582BF2">
              <w:rPr>
                <w:sz w:val="17"/>
                <w:szCs w:val="17"/>
                <w:vertAlign w:val="superscript"/>
              </w:rPr>
              <w:t>a</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Algérie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Naéla Mohamed Gabr</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Égypte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Hilary Gbedemah</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Ghana</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Nahla Haidar</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Liban</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Ruth Halperin-Kaddari (Vice-Présidente)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Israël</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Yoko Hayashi</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Japon</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Lilian Hofmeister</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Autriche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Ismat Jahan</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Bangladesh</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Dalia Leinarte (Présidente)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Lituanie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Rosario Manalo (Rapporteuse)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Philippines</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Lia Nadaraia</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Géorgie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Theodora Oby Nwankwo (Vice-Présidente)</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Nigéria</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Pramila Patten</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Maurice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Bandana Rana</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Népal</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Patricia Schulz</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 xml:space="preserve">Suisse </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2018</w:t>
            </w:r>
          </w:p>
        </w:tc>
      </w:tr>
      <w:tr w:rsidR="00050F2A" w:rsidRPr="00582BF2" w:rsidTr="00582BF2">
        <w:trPr>
          <w:cantSplit/>
        </w:trPr>
        <w:tc>
          <w:tcPr>
            <w:tcW w:w="360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Wenyan Song</w:t>
            </w:r>
          </w:p>
        </w:tc>
        <w:tc>
          <w:tcPr>
            <w:tcW w:w="153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Chine</w:t>
            </w:r>
          </w:p>
        </w:tc>
        <w:tc>
          <w:tcPr>
            <w:tcW w:w="2190" w:type="dxa"/>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r w:rsidR="00050F2A" w:rsidRPr="00582BF2" w:rsidTr="00582BF2">
        <w:trPr>
          <w:cantSplit/>
        </w:trPr>
        <w:tc>
          <w:tcPr>
            <w:tcW w:w="3600" w:type="dxa"/>
            <w:tcBorders>
              <w:bottom w:val="single" w:sz="12" w:space="0" w:color="auto"/>
            </w:tcBorders>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right="40"/>
              <w:rPr>
                <w:sz w:val="17"/>
                <w:szCs w:val="17"/>
                <w:lang w:val="en-GB"/>
              </w:rPr>
            </w:pPr>
            <w:r w:rsidRPr="00582BF2">
              <w:rPr>
                <w:sz w:val="17"/>
                <w:szCs w:val="17"/>
              </w:rPr>
              <w:t>Aicha Vall Verges</w:t>
            </w:r>
          </w:p>
        </w:tc>
        <w:tc>
          <w:tcPr>
            <w:tcW w:w="1530" w:type="dxa"/>
            <w:tcBorders>
              <w:bottom w:val="single" w:sz="12" w:space="0" w:color="auto"/>
            </w:tcBorders>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rPr>
                <w:sz w:val="17"/>
                <w:szCs w:val="17"/>
                <w:lang w:val="en-GB"/>
              </w:rPr>
            </w:pPr>
            <w:r w:rsidRPr="00582BF2">
              <w:rPr>
                <w:sz w:val="17"/>
                <w:szCs w:val="17"/>
              </w:rPr>
              <w:t>Mauritanie</w:t>
            </w:r>
          </w:p>
        </w:tc>
        <w:tc>
          <w:tcPr>
            <w:tcW w:w="2190" w:type="dxa"/>
            <w:tcBorders>
              <w:bottom w:val="single" w:sz="12" w:space="0" w:color="auto"/>
            </w:tcBorders>
            <w:shd w:val="clear" w:color="auto" w:fill="auto"/>
            <w:vAlign w:val="bottom"/>
          </w:tcPr>
          <w:p w:rsidR="00050F2A" w:rsidRPr="00582BF2" w:rsidRDefault="00050F2A" w:rsidP="00582BF2">
            <w:pPr>
              <w:tabs>
                <w:tab w:val="left" w:pos="288"/>
                <w:tab w:val="left" w:pos="576"/>
                <w:tab w:val="left" w:pos="864"/>
                <w:tab w:val="left" w:pos="1152"/>
              </w:tabs>
              <w:suppressAutoHyphens/>
              <w:spacing w:before="40" w:after="40" w:line="210" w:lineRule="exact"/>
              <w:ind w:left="144" w:right="43"/>
              <w:jc w:val="right"/>
              <w:rPr>
                <w:sz w:val="17"/>
                <w:szCs w:val="17"/>
                <w:lang w:val="en-GB"/>
              </w:rPr>
            </w:pPr>
            <w:r w:rsidRPr="00582BF2">
              <w:rPr>
                <w:sz w:val="17"/>
                <w:szCs w:val="17"/>
              </w:rPr>
              <w:t>2020</w:t>
            </w:r>
          </w:p>
        </w:tc>
      </w:tr>
    </w:tbl>
    <w:p w:rsidR="00050F2A" w:rsidRPr="00050F2A" w:rsidRDefault="00050F2A" w:rsidP="00050F2A">
      <w:pPr>
        <w:pStyle w:val="FootnoteText"/>
        <w:tabs>
          <w:tab w:val="right" w:pos="1476"/>
          <w:tab w:val="left" w:pos="1548"/>
          <w:tab w:val="right" w:pos="1836"/>
          <w:tab w:val="left" w:pos="1908"/>
        </w:tabs>
        <w:spacing w:line="120" w:lineRule="exact"/>
        <w:ind w:left="1548" w:hanging="288"/>
        <w:rPr>
          <w:sz w:val="10"/>
        </w:rPr>
      </w:pPr>
    </w:p>
    <w:p w:rsidR="00050F2A" w:rsidRPr="00050F2A" w:rsidRDefault="00050F2A" w:rsidP="00D944D7">
      <w:pPr>
        <w:pStyle w:val="FootnoteText"/>
        <w:tabs>
          <w:tab w:val="right" w:pos="1476"/>
          <w:tab w:val="left" w:pos="1548"/>
          <w:tab w:val="right" w:pos="1836"/>
          <w:tab w:val="left" w:pos="1908"/>
        </w:tabs>
        <w:ind w:left="1548" w:right="1267" w:hanging="288"/>
      </w:pPr>
      <w:r>
        <w:rPr>
          <w:vertAlign w:val="subscript"/>
        </w:rPr>
        <w:tab/>
      </w:r>
      <w:r w:rsidRPr="00050F2A">
        <w:rPr>
          <w:i/>
          <w:iCs/>
          <w:vertAlign w:val="superscript"/>
        </w:rPr>
        <w:t>a</w:t>
      </w:r>
      <w:r>
        <w:rPr>
          <w:vertAlign w:val="subscript"/>
        </w:rPr>
        <w:tab/>
      </w:r>
      <w:r w:rsidRPr="00050F2A">
        <w:t>Le 6</w:t>
      </w:r>
      <w:r w:rsidR="00D944D7">
        <w:t> novembre</w:t>
      </w:r>
      <w:r w:rsidRPr="00050F2A">
        <w:t xml:space="preserve"> 2014, M</w:t>
      </w:r>
      <w:r w:rsidRPr="00910DE2">
        <w:rPr>
          <w:vertAlign w:val="superscript"/>
        </w:rPr>
        <w:t>me</w:t>
      </w:r>
      <w:r w:rsidRPr="00050F2A">
        <w:t xml:space="preserve"> Chalal a été nommée pour occuper le siège de Kheira Mahdjoub-Ouiguini (mandat allant du 1</w:t>
      </w:r>
      <w:r w:rsidRPr="00D944D7">
        <w:rPr>
          <w:vertAlign w:val="superscript"/>
        </w:rPr>
        <w:t>er</w:t>
      </w:r>
      <w:r w:rsidR="00D944D7">
        <w:t> </w:t>
      </w:r>
      <w:r w:rsidRPr="00050F2A">
        <w:t>janvier 2015 au 31</w:t>
      </w:r>
      <w:r w:rsidR="00D944D7">
        <w:t> décembre</w:t>
      </w:r>
      <w:r w:rsidRPr="00050F2A">
        <w:t xml:space="preserve"> 2018), qui avait été élue membre du Comité le 26</w:t>
      </w:r>
      <w:r w:rsidR="00D944D7">
        <w:t> juin</w:t>
      </w:r>
      <w:r w:rsidRPr="00050F2A">
        <w:t xml:space="preserve"> 2014 et est décédée le 6</w:t>
      </w:r>
      <w:r w:rsidR="00D944D7">
        <w:t> septembre</w:t>
      </w:r>
      <w:r w:rsidRPr="00050F2A">
        <w:t xml:space="preserve"> 2014.</w:t>
      </w:r>
    </w:p>
    <w:p w:rsidR="002F117D" w:rsidRPr="00050F2A" w:rsidRDefault="00D944D7" w:rsidP="00D944D7">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1312" behindDoc="0" locked="0" layoutInCell="1" allowOverlap="1" wp14:anchorId="3FAEBDF7" wp14:editId="2DBA8E4A">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274587" w:rsidRDefault="00030BF8" w:rsidP="00D944D7">
      <w:pPr>
        <w:framePr w:w="4320" w:h="520" w:vSpace="240" w:wrap="around" w:vAnchor="page" w:hAnchor="margin" w:x="1" w:y="13321"/>
      </w:pPr>
      <w:r>
        <w:fldChar w:fldCharType="begin"/>
      </w:r>
      <w:r>
        <w:instrText xml:space="preserve"> DOCVARIABLE "jobn" \* MERGEFORMAT</w:instrText>
      </w:r>
      <w:r>
        <w:instrText xml:space="preserve"> </w:instrText>
      </w:r>
      <w:r>
        <w:fldChar w:fldCharType="separate"/>
      </w:r>
      <w:r>
        <w:t>17-05100 (F)</w:t>
      </w:r>
      <w:r>
        <w:fldChar w:fldCharType="end"/>
      </w:r>
      <w:r w:rsidR="007D2830">
        <w:t xml:space="preserve"> </w:t>
      </w:r>
      <w:r w:rsidR="0019459D">
        <w:t xml:space="preserve">  </w:t>
      </w:r>
      <w:r w:rsidR="00274587">
        <w:t xml:space="preserve"> 080617</w:t>
      </w:r>
      <w:r w:rsidR="007D2830">
        <w:t xml:space="preserve"> </w:t>
      </w:r>
      <w:r w:rsidR="0019459D">
        <w:t xml:space="preserve">  </w:t>
      </w:r>
      <w:r w:rsidR="00274587">
        <w:t xml:space="preserve"> 0</w:t>
      </w:r>
      <w:r w:rsidR="00D944D7">
        <w:t>9</w:t>
      </w:r>
      <w:r w:rsidR="00274587">
        <w:t>0617</w:t>
      </w:r>
    </w:p>
    <w:p w:rsidR="00274587" w:rsidRPr="00274587" w:rsidRDefault="00274587" w:rsidP="00274587">
      <w:pPr>
        <w:framePr w:w="4320" w:h="520" w:vSpace="240" w:wrap="around" w:vAnchor="page" w:hAnchor="margin" w:x="1" w:y="13321"/>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30BF8">
        <w:rPr>
          <w:rFonts w:ascii="Barcode 3 of 9 by request" w:hAnsi="Barcode 3 of 9 by request"/>
          <w:spacing w:val="0"/>
          <w:w w:val="100"/>
          <w:sz w:val="24"/>
        </w:rPr>
        <w:t>*1705100*</w:t>
      </w:r>
      <w:r>
        <w:rPr>
          <w:rFonts w:ascii="Barcode 3 of 9 by request" w:hAnsi="Barcode 3 of 9 by request"/>
          <w:spacing w:val="0"/>
          <w:w w:val="100"/>
          <w:sz w:val="24"/>
        </w:rPr>
        <w:fldChar w:fldCharType="end"/>
      </w:r>
    </w:p>
    <w:p w:rsidR="00274587" w:rsidRPr="00274587" w:rsidRDefault="00051ED3" w:rsidP="00274587">
      <w:pPr>
        <w:pStyle w:val="SingleTxt"/>
        <w:spacing w:after="0" w:line="240" w:lineRule="auto"/>
      </w:pPr>
      <w:bookmarkStart w:id="1" w:name="_GoBack"/>
      <w:bookmarkEnd w:id="1"/>
      <w:r>
        <w:rPr>
          <w:noProof/>
          <w:w w:val="100"/>
          <w:lang w:val="en-GB" w:eastAsia="en-GB"/>
        </w:rPr>
        <mc:AlternateContent>
          <mc:Choice Requires="wps">
            <w:drawing>
              <wp:anchor distT="0" distB="0" distL="114300" distR="114300" simplePos="0" relativeHeight="251662336" behindDoc="0" locked="0" layoutInCell="1" allowOverlap="1" wp14:anchorId="03349DC8" wp14:editId="1495BF1A">
                <wp:simplePos x="0" y="0"/>
                <wp:positionH relativeFrom="column">
                  <wp:posOffset>-114300</wp:posOffset>
                </wp:positionH>
                <wp:positionV relativeFrom="paragraph">
                  <wp:posOffset>2677795</wp:posOffset>
                </wp:positionV>
                <wp:extent cx="603885" cy="396875"/>
                <wp:effectExtent l="0" t="0" r="5715" b="3175"/>
                <wp:wrapNone/>
                <wp:docPr id="7" name="Oval 7"/>
                <wp:cNvGraphicFramePr/>
                <a:graphic xmlns:a="http://schemas.openxmlformats.org/drawingml/2006/main">
                  <a:graphicData uri="http://schemas.microsoft.com/office/word/2010/wordprocessingShape">
                    <wps:wsp>
                      <wps:cNvSpPr/>
                      <wps:spPr>
                        <a:xfrm>
                          <a:off x="0" y="0"/>
                          <a:ext cx="603885" cy="3968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9pt;margin-top:210.85pt;width:47.55pt;height:3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" fillcolor="white [3212]" stroked="f" strokeweight="2pt"/>
            </w:pict>
          </mc:Fallback>
        </mc:AlternateContent>
      </w:r>
      <w:r w:rsidR="00274587">
        <w:rPr>
          <w:noProof/>
          <w:w w:val="100"/>
          <w:lang w:val="en-GB" w:eastAsia="en-GB"/>
        </w:rPr>
        <w:drawing>
          <wp:anchor distT="0" distB="0" distL="114300" distR="114300" simplePos="0" relativeHeight="251660288" behindDoc="0" locked="0" layoutInCell="1" allowOverlap="1">
            <wp:simplePos x="0" y="0"/>
            <wp:positionH relativeFrom="margin">
              <wp:posOffset>5043170</wp:posOffset>
            </wp:positionH>
            <wp:positionV relativeFrom="margin">
              <wp:posOffset>7510145</wp:posOffset>
            </wp:positionV>
            <wp:extent cx="1109345" cy="2311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1109345" cy="231140"/>
                    </a:xfrm>
                    <a:prstGeom prst="rect">
                      <a:avLst/>
                    </a:prstGeom>
                  </pic:spPr>
                </pic:pic>
              </a:graphicData>
            </a:graphic>
          </wp:anchor>
        </w:drawing>
      </w:r>
    </w:p>
    <w:sectPr w:rsidR="00274587" w:rsidRPr="00274587" w:rsidSect="0027458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8T11:17:00Z" w:initials="Start">
    <w:p w:rsidR="00926D0D" w:rsidRPr="00274587" w:rsidRDefault="00926D0D">
      <w:pPr>
        <w:pStyle w:val="CommentText"/>
        <w:rPr>
          <w:lang w:val="en-GB"/>
        </w:rPr>
      </w:pPr>
      <w:r>
        <w:fldChar w:fldCharType="begin"/>
      </w:r>
      <w:r w:rsidRPr="00274587">
        <w:rPr>
          <w:rStyle w:val="CommentReference"/>
          <w:lang w:val="en-GB"/>
        </w:rPr>
        <w:instrText xml:space="preserve"> </w:instrText>
      </w:r>
      <w:r w:rsidRPr="00274587">
        <w:rPr>
          <w:lang w:val="en-GB"/>
        </w:rPr>
        <w:instrText>PAGE \# "'Page: '#'</w:instrText>
      </w:r>
      <w:r w:rsidRPr="00274587">
        <w:rPr>
          <w:lang w:val="en-GB"/>
        </w:rPr>
        <w:br/>
        <w:instrText>'"</w:instrText>
      </w:r>
      <w:r w:rsidRPr="00274587">
        <w:rPr>
          <w:rStyle w:val="CommentReference"/>
          <w:lang w:val="en-GB"/>
        </w:rPr>
        <w:instrText xml:space="preserve"> </w:instrText>
      </w:r>
      <w:r>
        <w:fldChar w:fldCharType="end"/>
      </w:r>
      <w:r>
        <w:rPr>
          <w:rStyle w:val="CommentReference"/>
        </w:rPr>
        <w:annotationRef/>
      </w:r>
      <w:r w:rsidRPr="00274587">
        <w:rPr>
          <w:lang w:val="en-GB"/>
        </w:rPr>
        <w:t>&lt;&lt;ODS JOB NO&gt;&gt;N1708468F&lt;&lt;ODS JOB NO&gt;&gt;</w:t>
      </w:r>
    </w:p>
    <w:p w:rsidR="00926D0D" w:rsidRDefault="00926D0D">
      <w:pPr>
        <w:pStyle w:val="CommentText"/>
      </w:pPr>
      <w:r>
        <w:t>&lt;&lt;ODS DOC SYMBOL1&gt;&gt;A/72/38&lt;&lt;ODS DOC SYMBOL1&gt;&gt;</w:t>
      </w:r>
    </w:p>
    <w:p w:rsidR="00926D0D" w:rsidRDefault="00926D0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0D" w:rsidRDefault="00926D0D" w:rsidP="00D81206">
      <w:pPr>
        <w:spacing w:line="240" w:lineRule="auto"/>
      </w:pPr>
      <w:r>
        <w:separator/>
      </w:r>
    </w:p>
  </w:endnote>
  <w:endnote w:type="continuationSeparator" w:id="0">
    <w:p w:rsidR="00926D0D" w:rsidRDefault="00926D0D" w:rsidP="00D8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4990"/>
    </w:tblGrid>
    <w:tr w:rsidR="00926D0D" w:rsidTr="00D036F5">
      <w:tc>
        <w:tcPr>
          <w:tcW w:w="3744" w:type="dxa"/>
          <w:shd w:val="clear" w:color="auto" w:fill="auto"/>
        </w:tcPr>
        <w:p w:rsidR="00926D0D" w:rsidRDefault="00926D0D">
          <w:pPr>
            <w:pStyle w:val="Footer"/>
          </w:pPr>
        </w:p>
      </w:tc>
      <w:tc>
        <w:tcPr>
          <w:tcW w:w="4990" w:type="dxa"/>
          <w:shd w:val="clear" w:color="auto" w:fill="auto"/>
        </w:tcPr>
        <w:p w:rsidR="00926D0D" w:rsidRDefault="00926D0D" w:rsidP="00D036F5">
          <w:pPr>
            <w:pStyle w:val="Footer"/>
            <w:spacing w:line="240" w:lineRule="auto"/>
            <w:jc w:val="right"/>
          </w:pPr>
          <w:r>
            <w:rPr>
              <w:noProof/>
              <w:lang w:val="en-GB" w:eastAsia="en-GB"/>
            </w:rPr>
            <w:drawing>
              <wp:inline distT="0" distB="0" distL="0" distR="0" wp14:anchorId="039F1FEF" wp14:editId="0A98BFA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926D0D" w:rsidRDefault="00926D0D" w:rsidP="00D036F5">
    <w:pPr>
      <w:pStyle w:val="Footer"/>
      <w:spacing w:line="14" w:lineRule="atLeast"/>
    </w:pPr>
    <w:r>
      <w:rPr>
        <w:noProof/>
        <w:lang w:val="en-GB" w:eastAsia="en-GB"/>
      </w:rPr>
      <w:drawing>
        <wp:anchor distT="0" distB="0" distL="114300" distR="114300" simplePos="0" relativeHeight="251658240" behindDoc="0" locked="0" layoutInCell="1" allowOverlap="1" wp14:anchorId="20FD73D7" wp14:editId="3651B07C">
          <wp:simplePos x="0" y="0"/>
          <wp:positionH relativeFrom="column">
            <wp:posOffset>5504180</wp:posOffset>
          </wp:positionH>
          <wp:positionV relativeFrom="paragraph">
            <wp:posOffset>-685800</wp:posOffset>
          </wp:positionV>
          <wp:extent cx="694690" cy="694690"/>
          <wp:effectExtent l="0" t="0" r="0" b="0"/>
          <wp:wrapNone/>
          <wp:docPr id="3" name="Picture 3" descr="https://undocs.org/m2/QRCode2.ashx?DS=A/72/38&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38&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26D0D" w:rsidRPr="00D036F5" w:rsidTr="00D036F5">
      <w:tc>
        <w:tcPr>
          <w:tcW w:w="4990" w:type="dxa"/>
          <w:shd w:val="clear" w:color="auto" w:fill="auto"/>
        </w:tcPr>
        <w:p w:rsidR="00926D0D" w:rsidRPr="00D036F5" w:rsidRDefault="00926D0D" w:rsidP="00D036F5">
          <w:pPr>
            <w:pStyle w:val="Footer"/>
            <w:rPr>
              <w:w w:val="103"/>
            </w:rPr>
          </w:pPr>
          <w:r>
            <w:rPr>
              <w:w w:val="103"/>
            </w:rPr>
            <w:fldChar w:fldCharType="begin"/>
          </w:r>
          <w:r>
            <w:rPr>
              <w:w w:val="103"/>
            </w:rPr>
            <w:instrText xml:space="preserve"> PAGE  \* Arabic  \* MERGEFORMAT </w:instrText>
          </w:r>
          <w:r>
            <w:rPr>
              <w:w w:val="103"/>
            </w:rPr>
            <w:fldChar w:fldCharType="separate"/>
          </w:r>
          <w:r w:rsidR="00030BF8">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0BF8">
            <w:rPr>
              <w:noProof/>
              <w:w w:val="103"/>
            </w:rPr>
            <w:t>53</w:t>
          </w:r>
          <w:r>
            <w:rPr>
              <w:w w:val="103"/>
            </w:rPr>
            <w:fldChar w:fldCharType="end"/>
          </w:r>
        </w:p>
      </w:tc>
      <w:tc>
        <w:tcPr>
          <w:tcW w:w="4990" w:type="dxa"/>
          <w:shd w:val="clear" w:color="auto" w:fill="auto"/>
        </w:tcPr>
        <w:p w:rsidR="00926D0D" w:rsidRPr="00D036F5" w:rsidRDefault="00926D0D" w:rsidP="00D036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0BF8">
            <w:rPr>
              <w:b w:val="0"/>
              <w:w w:val="103"/>
              <w:sz w:val="14"/>
            </w:rPr>
            <w:t>17-05100</w:t>
          </w:r>
          <w:r>
            <w:rPr>
              <w:b w:val="0"/>
              <w:w w:val="103"/>
              <w:sz w:val="14"/>
            </w:rPr>
            <w:fldChar w:fldCharType="end"/>
          </w:r>
        </w:p>
      </w:tc>
    </w:tr>
  </w:tbl>
  <w:p w:rsidR="00926D0D" w:rsidRDefault="00926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26D0D" w:rsidRPr="00D036F5" w:rsidTr="00D036F5">
      <w:tc>
        <w:tcPr>
          <w:tcW w:w="4990" w:type="dxa"/>
          <w:shd w:val="clear" w:color="auto" w:fill="auto"/>
        </w:tcPr>
        <w:p w:rsidR="00926D0D" w:rsidRPr="00D036F5" w:rsidRDefault="00926D0D" w:rsidP="00D036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0BF8">
            <w:rPr>
              <w:b w:val="0"/>
              <w:w w:val="103"/>
              <w:sz w:val="14"/>
            </w:rPr>
            <w:t>17-05100</w:t>
          </w:r>
          <w:r>
            <w:rPr>
              <w:b w:val="0"/>
              <w:w w:val="103"/>
              <w:sz w:val="14"/>
            </w:rPr>
            <w:fldChar w:fldCharType="end"/>
          </w:r>
        </w:p>
      </w:tc>
      <w:tc>
        <w:tcPr>
          <w:tcW w:w="4990" w:type="dxa"/>
          <w:shd w:val="clear" w:color="auto" w:fill="auto"/>
        </w:tcPr>
        <w:p w:rsidR="00926D0D" w:rsidRPr="00D036F5" w:rsidRDefault="00926D0D" w:rsidP="00D036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0BF8">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0BF8">
            <w:rPr>
              <w:noProof/>
              <w:w w:val="103"/>
            </w:rPr>
            <w:t>53</w:t>
          </w:r>
          <w:r>
            <w:rPr>
              <w:w w:val="103"/>
            </w:rPr>
            <w:fldChar w:fldCharType="end"/>
          </w:r>
        </w:p>
      </w:tc>
    </w:tr>
  </w:tbl>
  <w:p w:rsidR="00926D0D" w:rsidRDefault="00926D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26D0D" w:rsidRPr="00D036F5" w:rsidTr="00D036F5">
      <w:tc>
        <w:tcPr>
          <w:tcW w:w="4990" w:type="dxa"/>
          <w:shd w:val="clear" w:color="auto" w:fill="auto"/>
        </w:tcPr>
        <w:p w:rsidR="00926D0D" w:rsidRPr="00D036F5" w:rsidRDefault="00926D0D" w:rsidP="00D036F5">
          <w:pPr>
            <w:pStyle w:val="Footer"/>
            <w:rPr>
              <w:w w:val="103"/>
            </w:rPr>
          </w:pPr>
          <w:r>
            <w:rPr>
              <w:w w:val="103"/>
            </w:rPr>
            <w:fldChar w:fldCharType="begin"/>
          </w:r>
          <w:r>
            <w:rPr>
              <w:w w:val="103"/>
            </w:rPr>
            <w:instrText xml:space="preserve"> PAGE  \* Arabic  \* MERGEFORMAT </w:instrText>
          </w:r>
          <w:r>
            <w:rPr>
              <w:w w:val="103"/>
            </w:rPr>
            <w:fldChar w:fldCharType="separate"/>
          </w:r>
          <w:r w:rsidR="00030BF8">
            <w:rPr>
              <w:noProof/>
              <w:w w:val="103"/>
            </w:rPr>
            <w:t>52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0BF8">
            <w:rPr>
              <w:noProof/>
              <w:w w:val="103"/>
            </w:rPr>
            <w:t>53</w:t>
          </w:r>
          <w:r>
            <w:rPr>
              <w:w w:val="103"/>
            </w:rPr>
            <w:fldChar w:fldCharType="end"/>
          </w:r>
        </w:p>
      </w:tc>
      <w:tc>
        <w:tcPr>
          <w:tcW w:w="4990" w:type="dxa"/>
          <w:shd w:val="clear" w:color="auto" w:fill="auto"/>
        </w:tcPr>
        <w:p w:rsidR="00926D0D" w:rsidRPr="00D036F5" w:rsidRDefault="00926D0D" w:rsidP="00D036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0BF8">
            <w:rPr>
              <w:b w:val="0"/>
              <w:w w:val="103"/>
              <w:sz w:val="14"/>
            </w:rPr>
            <w:t>17-05100</w:t>
          </w:r>
          <w:r>
            <w:rPr>
              <w:b w:val="0"/>
              <w:w w:val="103"/>
              <w:sz w:val="14"/>
            </w:rPr>
            <w:fldChar w:fldCharType="end"/>
          </w:r>
        </w:p>
      </w:tc>
    </w:tr>
  </w:tbl>
  <w:p w:rsidR="00926D0D" w:rsidRDefault="00926D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26D0D" w:rsidRPr="00D036F5" w:rsidTr="00D036F5">
      <w:tc>
        <w:tcPr>
          <w:tcW w:w="4990" w:type="dxa"/>
          <w:shd w:val="clear" w:color="auto" w:fill="auto"/>
        </w:tcPr>
        <w:p w:rsidR="00926D0D" w:rsidRPr="00D036F5" w:rsidRDefault="00926D0D" w:rsidP="00D036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0BF8">
            <w:rPr>
              <w:b w:val="0"/>
              <w:w w:val="103"/>
              <w:sz w:val="14"/>
            </w:rPr>
            <w:t>17-05100</w:t>
          </w:r>
          <w:r>
            <w:rPr>
              <w:b w:val="0"/>
              <w:w w:val="103"/>
              <w:sz w:val="14"/>
            </w:rPr>
            <w:fldChar w:fldCharType="end"/>
          </w:r>
        </w:p>
      </w:tc>
      <w:tc>
        <w:tcPr>
          <w:tcW w:w="4990" w:type="dxa"/>
          <w:shd w:val="clear" w:color="auto" w:fill="auto"/>
        </w:tcPr>
        <w:p w:rsidR="00926D0D" w:rsidRPr="00D036F5" w:rsidRDefault="00926D0D" w:rsidP="00D036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0BF8">
            <w:rPr>
              <w:noProof/>
              <w:w w:val="103"/>
            </w:rPr>
            <w:t>53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0BF8">
            <w:rPr>
              <w:noProof/>
              <w:w w:val="103"/>
            </w:rPr>
            <w:t>53</w:t>
          </w:r>
          <w:r>
            <w:rPr>
              <w:w w:val="103"/>
            </w:rPr>
            <w:fldChar w:fldCharType="end"/>
          </w:r>
        </w:p>
      </w:tc>
    </w:tr>
  </w:tbl>
  <w:p w:rsidR="00926D0D" w:rsidRDefault="00926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0D" w:rsidRDefault="00926D0D" w:rsidP="00D81206">
      <w:pPr>
        <w:spacing w:line="240" w:lineRule="auto"/>
      </w:pPr>
      <w:r>
        <w:separator/>
      </w:r>
    </w:p>
  </w:footnote>
  <w:footnote w:type="continuationSeparator" w:id="0">
    <w:p w:rsidR="00926D0D" w:rsidRDefault="00926D0D" w:rsidP="00D812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26D0D" w:rsidRPr="00D036F5" w:rsidTr="00D036F5">
      <w:trPr>
        <w:trHeight w:hRule="exact" w:val="1008"/>
      </w:trPr>
      <w:tc>
        <w:tcPr>
          <w:tcW w:w="9850" w:type="dxa"/>
          <w:tcBorders>
            <w:bottom w:val="nil"/>
          </w:tcBorders>
          <w:shd w:val="clear" w:color="auto" w:fill="auto"/>
          <w:vAlign w:val="bottom"/>
        </w:tcPr>
        <w:p w:rsidR="00926D0D" w:rsidRPr="00D036F5" w:rsidRDefault="00926D0D" w:rsidP="00D036F5">
          <w:pPr>
            <w:pStyle w:val="Header"/>
            <w:spacing w:after="80"/>
            <w:jc w:val="right"/>
            <w:rPr>
              <w:b/>
            </w:rPr>
          </w:pPr>
        </w:p>
      </w:tc>
    </w:tr>
  </w:tbl>
  <w:p w:rsidR="00926D0D" w:rsidRDefault="00926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26D0D" w:rsidRPr="00D036F5" w:rsidTr="00D036F5">
      <w:trPr>
        <w:trHeight w:hRule="exact" w:val="1008"/>
      </w:trPr>
      <w:tc>
        <w:tcPr>
          <w:tcW w:w="9850" w:type="dxa"/>
          <w:shd w:val="clear" w:color="auto" w:fill="auto"/>
          <w:vAlign w:val="bottom"/>
        </w:tcPr>
        <w:p w:rsidR="00926D0D" w:rsidRPr="00D036F5" w:rsidRDefault="00926D0D" w:rsidP="00D036F5">
          <w:pPr>
            <w:pStyle w:val="Header"/>
            <w:spacing w:after="80"/>
            <w:rPr>
              <w:b/>
            </w:rPr>
          </w:pPr>
        </w:p>
      </w:tc>
    </w:tr>
  </w:tbl>
  <w:p w:rsidR="00926D0D" w:rsidRDefault="00926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26D0D" w:rsidRPr="00D036F5" w:rsidTr="00D036F5">
      <w:trPr>
        <w:trHeight w:hRule="exact" w:val="1008"/>
      </w:trPr>
      <w:tc>
        <w:tcPr>
          <w:tcW w:w="9850" w:type="dxa"/>
          <w:shd w:val="clear" w:color="auto" w:fill="auto"/>
          <w:vAlign w:val="bottom"/>
        </w:tcPr>
        <w:p w:rsidR="00926D0D" w:rsidRPr="00D036F5" w:rsidRDefault="00926D0D" w:rsidP="00D036F5">
          <w:pPr>
            <w:pStyle w:val="Header"/>
            <w:spacing w:after="80"/>
            <w:jc w:val="right"/>
            <w:rPr>
              <w:b/>
            </w:rPr>
          </w:pPr>
        </w:p>
      </w:tc>
    </w:tr>
  </w:tbl>
  <w:p w:rsidR="00926D0D" w:rsidRDefault="00926D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26D0D" w:rsidTr="00D036F5">
      <w:trPr>
        <w:trHeight w:hRule="exact" w:val="864"/>
      </w:trPr>
      <w:tc>
        <w:tcPr>
          <w:tcW w:w="4838" w:type="dxa"/>
          <w:shd w:val="clear" w:color="auto" w:fill="auto"/>
          <w:vAlign w:val="bottom"/>
        </w:tcPr>
        <w:p w:rsidR="00926D0D" w:rsidRPr="00D036F5" w:rsidRDefault="00926D0D" w:rsidP="00D036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0BF8">
            <w:rPr>
              <w:b/>
              <w:color w:val="000000"/>
            </w:rPr>
            <w:t>A/72/38</w:t>
          </w:r>
          <w:r>
            <w:rPr>
              <w:b/>
              <w:color w:val="000000"/>
            </w:rPr>
            <w:fldChar w:fldCharType="end"/>
          </w:r>
        </w:p>
      </w:tc>
      <w:tc>
        <w:tcPr>
          <w:tcW w:w="4990" w:type="dxa"/>
          <w:shd w:val="clear" w:color="auto" w:fill="auto"/>
          <w:vAlign w:val="bottom"/>
        </w:tcPr>
        <w:p w:rsidR="00926D0D" w:rsidRDefault="00926D0D" w:rsidP="00D036F5">
          <w:pPr>
            <w:pStyle w:val="Header"/>
          </w:pPr>
        </w:p>
      </w:tc>
    </w:tr>
  </w:tbl>
  <w:p w:rsidR="00926D0D" w:rsidRPr="00D036F5" w:rsidRDefault="00926D0D" w:rsidP="00D036F5">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26D0D" w:rsidTr="00D036F5">
      <w:trPr>
        <w:trHeight w:hRule="exact" w:val="864"/>
      </w:trPr>
      <w:tc>
        <w:tcPr>
          <w:tcW w:w="4838" w:type="dxa"/>
          <w:shd w:val="clear" w:color="auto" w:fill="auto"/>
          <w:vAlign w:val="bottom"/>
        </w:tcPr>
        <w:p w:rsidR="00926D0D" w:rsidRDefault="00926D0D" w:rsidP="00D036F5">
          <w:pPr>
            <w:pStyle w:val="Header"/>
          </w:pPr>
        </w:p>
      </w:tc>
      <w:tc>
        <w:tcPr>
          <w:tcW w:w="4990" w:type="dxa"/>
          <w:shd w:val="clear" w:color="auto" w:fill="auto"/>
          <w:vAlign w:val="bottom"/>
        </w:tcPr>
        <w:p w:rsidR="00926D0D" w:rsidRPr="00D036F5" w:rsidRDefault="00926D0D" w:rsidP="00D036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0BF8">
            <w:rPr>
              <w:b/>
              <w:color w:val="000000"/>
            </w:rPr>
            <w:t>A/72/38</w:t>
          </w:r>
          <w:r>
            <w:rPr>
              <w:b/>
              <w:color w:val="000000"/>
            </w:rPr>
            <w:fldChar w:fldCharType="end"/>
          </w:r>
        </w:p>
      </w:tc>
    </w:tr>
  </w:tbl>
  <w:p w:rsidR="00926D0D" w:rsidRPr="00D036F5" w:rsidRDefault="00926D0D" w:rsidP="00D036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C87B40"/>
    <w:multiLevelType w:val="multilevel"/>
    <w:tmpl w:val="713A279A"/>
    <w:name w:val="TOC2"/>
    <w:lvl w:ilvl="0">
      <w:start w:val="1"/>
      <w:numFmt w:val="upperRoman"/>
      <w:lvlText w:val="%1."/>
      <w:lvlJc w:val="right"/>
      <w:pPr>
        <w:tabs>
          <w:tab w:val="num" w:pos="1296"/>
        </w:tabs>
        <w:ind w:left="1296" w:hanging="216"/>
      </w:pPr>
      <w:rPr>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2E4763"/>
    <w:multiLevelType w:val="singleLevel"/>
    <w:tmpl w:val="A25C1AE4"/>
    <w:lvl w:ilvl="0">
      <w:start w:val="23"/>
      <w:numFmt w:val="decimal"/>
      <w:lvlRestart w:val="0"/>
      <w:lvlText w:val="%1."/>
      <w:lvlJc w:val="left"/>
      <w:pPr>
        <w:tabs>
          <w:tab w:val="num" w:pos="1742"/>
        </w:tabs>
        <w:ind w:left="1267" w:firstLine="0"/>
      </w:pPr>
      <w:rPr>
        <w:w w:val="100"/>
      </w:rPr>
    </w:lvl>
  </w:abstractNum>
  <w:abstractNum w:abstractNumId="3">
    <w:nsid w:val="07D34B71"/>
    <w:multiLevelType w:val="singleLevel"/>
    <w:tmpl w:val="C4207FAA"/>
    <w:lvl w:ilvl="0">
      <w:start w:val="31"/>
      <w:numFmt w:val="decimal"/>
      <w:lvlRestart w:val="0"/>
      <w:lvlText w:val="%1."/>
      <w:lvlJc w:val="left"/>
      <w:pPr>
        <w:tabs>
          <w:tab w:val="num" w:pos="1742"/>
        </w:tabs>
        <w:ind w:left="1267" w:firstLine="0"/>
      </w:pPr>
      <w:rPr>
        <w:w w:val="100"/>
      </w:rPr>
    </w:lvl>
  </w:abstractNum>
  <w:abstractNum w:abstractNumId="4">
    <w:nsid w:val="10681BB0"/>
    <w:multiLevelType w:val="multilevel"/>
    <w:tmpl w:val="713A279A"/>
    <w:lvl w:ilvl="0">
      <w:start w:val="1"/>
      <w:numFmt w:val="upperRoman"/>
      <w:lvlText w:val="%1."/>
      <w:lvlJc w:val="right"/>
      <w:pPr>
        <w:tabs>
          <w:tab w:val="num" w:pos="1296"/>
        </w:tabs>
        <w:ind w:left="1296" w:hanging="216"/>
      </w:pPr>
      <w:rPr>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87878"/>
    <w:multiLevelType w:val="singleLevel"/>
    <w:tmpl w:val="0809000F"/>
    <w:lvl w:ilvl="0">
      <w:start w:val="1"/>
      <w:numFmt w:val="decimal"/>
      <w:lvlText w:val="%1."/>
      <w:lvlJc w:val="left"/>
      <w:pPr>
        <w:ind w:left="720" w:hanging="360"/>
      </w:pPr>
    </w:lvl>
  </w:abstractNum>
  <w:abstractNum w:abstractNumId="8">
    <w:nsid w:val="25B0179C"/>
    <w:multiLevelType w:val="multilevel"/>
    <w:tmpl w:val="713A279A"/>
    <w:lvl w:ilvl="0">
      <w:start w:val="1"/>
      <w:numFmt w:val="upperRoman"/>
      <w:lvlText w:val="%1."/>
      <w:lvlJc w:val="right"/>
      <w:pPr>
        <w:tabs>
          <w:tab w:val="num" w:pos="1296"/>
        </w:tabs>
        <w:ind w:left="1296" w:hanging="216"/>
      </w:pPr>
      <w:rPr>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BA6F49"/>
    <w:multiLevelType w:val="singleLevel"/>
    <w:tmpl w:val="F526335A"/>
    <w:lvl w:ilvl="0">
      <w:start w:val="1"/>
      <w:numFmt w:val="decimal"/>
      <w:lvlRestart w:val="0"/>
      <w:lvlText w:val="%1."/>
      <w:lvlJc w:val="left"/>
      <w:pPr>
        <w:tabs>
          <w:tab w:val="num" w:pos="1742"/>
        </w:tabs>
        <w:ind w:left="1267" w:firstLine="0"/>
      </w:pPr>
      <w:rPr>
        <w:w w:val="100"/>
      </w:rPr>
    </w:lvl>
  </w:abstractNum>
  <w:abstractNum w:abstractNumId="10">
    <w:nsid w:val="2E3862A7"/>
    <w:multiLevelType w:val="hybridMultilevel"/>
    <w:tmpl w:val="76A0328A"/>
    <w:lvl w:ilvl="0" w:tplc="3718048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2E397267"/>
    <w:multiLevelType w:val="singleLevel"/>
    <w:tmpl w:val="13FE7210"/>
    <w:lvl w:ilvl="0">
      <w:start w:val="1"/>
      <w:numFmt w:val="decimal"/>
      <w:lvlRestart w:val="0"/>
      <w:lvlText w:val="%1."/>
      <w:lvlJc w:val="left"/>
      <w:pPr>
        <w:tabs>
          <w:tab w:val="num" w:pos="1742"/>
        </w:tabs>
        <w:ind w:left="1267" w:firstLine="0"/>
      </w:pPr>
      <w:rPr>
        <w:w w:val="100"/>
      </w:rPr>
    </w:lvl>
  </w:abstractNum>
  <w:abstractNum w:abstractNumId="12">
    <w:nsid w:val="2F5B78A5"/>
    <w:multiLevelType w:val="singleLevel"/>
    <w:tmpl w:val="0409000F"/>
    <w:lvl w:ilvl="0">
      <w:start w:val="1"/>
      <w:numFmt w:val="decimal"/>
      <w:lvlText w:val="%1."/>
      <w:lvlJc w:val="left"/>
      <w:pPr>
        <w:ind w:left="720" w:hanging="360"/>
      </w:pPr>
    </w:lvl>
  </w:abstractNum>
  <w:abstractNum w:abstractNumId="13">
    <w:nsid w:val="47A96A4E"/>
    <w:multiLevelType w:val="singleLevel"/>
    <w:tmpl w:val="23502D92"/>
    <w:lvl w:ilvl="0">
      <w:start w:val="30"/>
      <w:numFmt w:val="decimal"/>
      <w:lvlRestart w:val="0"/>
      <w:lvlText w:val="%1."/>
      <w:lvlJc w:val="left"/>
      <w:pPr>
        <w:tabs>
          <w:tab w:val="num" w:pos="1742"/>
        </w:tabs>
        <w:ind w:left="1267" w:firstLine="0"/>
      </w:pPr>
      <w:rPr>
        <w:w w:val="100"/>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C40D7"/>
    <w:multiLevelType w:val="singleLevel"/>
    <w:tmpl w:val="633A1C8E"/>
    <w:lvl w:ilvl="0">
      <w:start w:val="1"/>
      <w:numFmt w:val="decimal"/>
      <w:lvlRestart w:val="0"/>
      <w:lvlText w:val="%1."/>
      <w:lvlJc w:val="left"/>
      <w:pPr>
        <w:tabs>
          <w:tab w:val="num" w:pos="475"/>
        </w:tabs>
        <w:ind w:left="0" w:firstLine="0"/>
      </w:pPr>
      <w:rPr>
        <w:w w:val="100"/>
      </w:rPr>
    </w:lvl>
  </w:abstractNum>
  <w:abstractNum w:abstractNumId="16">
    <w:nsid w:val="50D23E03"/>
    <w:multiLevelType w:val="singleLevel"/>
    <w:tmpl w:val="31D645A8"/>
    <w:lvl w:ilvl="0">
      <w:start w:val="24"/>
      <w:numFmt w:val="decimal"/>
      <w:lvlRestart w:val="0"/>
      <w:lvlText w:val="%1."/>
      <w:lvlJc w:val="left"/>
      <w:pPr>
        <w:tabs>
          <w:tab w:val="num" w:pos="1742"/>
        </w:tabs>
        <w:ind w:left="1267" w:firstLine="0"/>
      </w:pPr>
      <w:rPr>
        <w:w w:val="100"/>
      </w:rPr>
    </w:lvl>
  </w:abstractNum>
  <w:abstractNum w:abstractNumId="17">
    <w:nsid w:val="52F368B5"/>
    <w:multiLevelType w:val="multilevel"/>
    <w:tmpl w:val="713A279A"/>
    <w:lvl w:ilvl="0">
      <w:start w:val="1"/>
      <w:numFmt w:val="upperRoman"/>
      <w:lvlText w:val="%1."/>
      <w:lvlJc w:val="right"/>
      <w:pPr>
        <w:tabs>
          <w:tab w:val="num" w:pos="1296"/>
        </w:tabs>
        <w:ind w:left="1296" w:hanging="216"/>
      </w:pPr>
      <w:rPr>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3307D8F"/>
    <w:multiLevelType w:val="multilevel"/>
    <w:tmpl w:val="713A279A"/>
    <w:lvl w:ilvl="0">
      <w:start w:val="1"/>
      <w:numFmt w:val="upperRoman"/>
      <w:lvlText w:val="%1."/>
      <w:lvlJc w:val="right"/>
      <w:pPr>
        <w:tabs>
          <w:tab w:val="num" w:pos="1296"/>
        </w:tabs>
        <w:ind w:left="1296" w:hanging="216"/>
      </w:pPr>
      <w:rPr>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9342B4F"/>
    <w:multiLevelType w:val="singleLevel"/>
    <w:tmpl w:val="F3BC3D36"/>
    <w:lvl w:ilvl="0">
      <w:start w:val="33"/>
      <w:numFmt w:val="decimal"/>
      <w:lvlRestart w:val="0"/>
      <w:lvlText w:val="%1."/>
      <w:lvlJc w:val="left"/>
      <w:pPr>
        <w:tabs>
          <w:tab w:val="num" w:pos="1742"/>
        </w:tabs>
        <w:ind w:left="1267" w:firstLine="0"/>
      </w:pPr>
      <w:rPr>
        <w:w w:val="100"/>
      </w:rPr>
    </w:lvl>
  </w:abstractNum>
  <w:abstractNum w:abstractNumId="20">
    <w:nsid w:val="6ECE23C3"/>
    <w:multiLevelType w:val="multilevel"/>
    <w:tmpl w:val="B8648CE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6557423"/>
    <w:multiLevelType w:val="singleLevel"/>
    <w:tmpl w:val="41EEABF2"/>
    <w:lvl w:ilvl="0">
      <w:start w:val="26"/>
      <w:numFmt w:val="decimal"/>
      <w:lvlRestart w:val="0"/>
      <w:lvlText w:val="%1."/>
      <w:lvlJc w:val="left"/>
      <w:pPr>
        <w:tabs>
          <w:tab w:val="num" w:pos="1742"/>
        </w:tabs>
        <w:ind w:left="1267" w:firstLine="0"/>
      </w:pPr>
      <w:rPr>
        <w:w w:val="100"/>
      </w:rPr>
    </w:lvl>
  </w:abstractNum>
  <w:num w:numId="1">
    <w:abstractNumId w:val="6"/>
  </w:num>
  <w:num w:numId="2">
    <w:abstractNumId w:val="14"/>
  </w:num>
  <w:num w:numId="3">
    <w:abstractNumId w:val="0"/>
  </w:num>
  <w:num w:numId="4">
    <w:abstractNumId w:val="5"/>
  </w:num>
  <w:num w:numId="5">
    <w:abstractNumId w:val="15"/>
  </w:num>
  <w:num w:numId="6">
    <w:abstractNumId w:val="15"/>
    <w:lvlOverride w:ilvl="0">
      <w:lvl w:ilvl="0">
        <w:start w:val="1"/>
        <w:numFmt w:val="decimal"/>
        <w:lvlRestart w:val="0"/>
        <w:lvlText w:val="%1."/>
        <w:lvlJc w:val="left"/>
        <w:pPr>
          <w:tabs>
            <w:tab w:val="num" w:pos="475"/>
          </w:tabs>
          <w:ind w:left="0" w:firstLine="0"/>
        </w:pPr>
        <w:rPr>
          <w:w w:val="100"/>
        </w:rPr>
      </w:lvl>
    </w:lvlOverride>
  </w:num>
  <w:num w:numId="7">
    <w:abstractNumId w:val="9"/>
  </w:num>
  <w:num w:numId="8">
    <w:abstractNumId w:val="9"/>
    <w:lvlOverride w:ilvl="0">
      <w:lvl w:ilvl="0">
        <w:start w:val="1"/>
        <w:numFmt w:val="decimal"/>
        <w:lvlRestart w:val="0"/>
        <w:lvlText w:val="%1."/>
        <w:lvlJc w:val="left"/>
        <w:pPr>
          <w:tabs>
            <w:tab w:val="num" w:pos="1742"/>
          </w:tabs>
          <w:ind w:left="1267" w:firstLine="0"/>
        </w:pPr>
        <w:rPr>
          <w:w w:val="100"/>
        </w:rPr>
      </w:lvl>
    </w:lvlOverride>
  </w:num>
  <w:num w:numId="9">
    <w:abstractNumId w:val="13"/>
  </w:num>
  <w:num w:numId="10">
    <w:abstractNumId w:val="3"/>
  </w:num>
  <w:num w:numId="11">
    <w:abstractNumId w:val="3"/>
    <w:lvlOverride w:ilvl="0">
      <w:lvl w:ilvl="0">
        <w:start w:val="31"/>
        <w:numFmt w:val="decimal"/>
        <w:lvlRestart w:val="0"/>
        <w:lvlText w:val="%1."/>
        <w:lvlJc w:val="left"/>
        <w:pPr>
          <w:tabs>
            <w:tab w:val="num" w:pos="1742"/>
          </w:tabs>
          <w:ind w:left="1267" w:firstLine="0"/>
        </w:pPr>
        <w:rPr>
          <w:w w:val="100"/>
        </w:rPr>
      </w:lvl>
    </w:lvlOverride>
  </w:num>
  <w:num w:numId="12">
    <w:abstractNumId w:val="3"/>
    <w:lvlOverride w:ilvl="0">
      <w:lvl w:ilvl="0">
        <w:start w:val="31"/>
        <w:numFmt w:val="decimal"/>
        <w:lvlRestart w:val="0"/>
        <w:lvlText w:val="%1."/>
        <w:lvlJc w:val="left"/>
        <w:pPr>
          <w:tabs>
            <w:tab w:val="num" w:pos="1742"/>
          </w:tabs>
          <w:ind w:left="1267" w:firstLine="0"/>
        </w:pPr>
        <w:rPr>
          <w:w w:val="100"/>
        </w:rPr>
      </w:lvl>
    </w:lvlOverride>
  </w:num>
  <w:num w:numId="13">
    <w:abstractNumId w:val="3"/>
    <w:lvlOverride w:ilvl="0">
      <w:lvl w:ilvl="0">
        <w:start w:val="31"/>
        <w:numFmt w:val="decimal"/>
        <w:lvlRestart w:val="0"/>
        <w:lvlText w:val="%1."/>
        <w:lvlJc w:val="left"/>
        <w:pPr>
          <w:tabs>
            <w:tab w:val="num" w:pos="1742"/>
          </w:tabs>
          <w:ind w:left="1267" w:firstLine="0"/>
        </w:pPr>
        <w:rPr>
          <w:w w:val="100"/>
        </w:rPr>
      </w:lvl>
    </w:lvlOverride>
  </w:num>
  <w:num w:numId="14">
    <w:abstractNumId w:val="10"/>
  </w:num>
  <w:num w:numId="15">
    <w:abstractNumId w:val="11"/>
  </w:num>
  <w:num w:numId="16">
    <w:abstractNumId w:val="11"/>
    <w:lvlOverride w:ilvl="0">
      <w:lvl w:ilvl="0">
        <w:start w:val="1"/>
        <w:numFmt w:val="decimal"/>
        <w:lvlRestart w:val="0"/>
        <w:lvlText w:val="%1."/>
        <w:lvlJc w:val="left"/>
        <w:pPr>
          <w:tabs>
            <w:tab w:val="num" w:pos="1742"/>
          </w:tabs>
          <w:ind w:left="1267" w:firstLine="0"/>
        </w:pPr>
        <w:rPr>
          <w:w w:val="100"/>
        </w:rPr>
      </w:lvl>
    </w:lvlOverride>
  </w:num>
  <w:num w:numId="17">
    <w:abstractNumId w:val="21"/>
  </w:num>
  <w:num w:numId="18">
    <w:abstractNumId w:val="21"/>
    <w:lvlOverride w:ilvl="0">
      <w:lvl w:ilvl="0">
        <w:start w:val="26"/>
        <w:numFmt w:val="decimal"/>
        <w:lvlRestart w:val="0"/>
        <w:lvlText w:val="%1."/>
        <w:lvlJc w:val="left"/>
        <w:pPr>
          <w:tabs>
            <w:tab w:val="num" w:pos="1742"/>
          </w:tabs>
          <w:ind w:left="1267" w:firstLine="0"/>
        </w:pPr>
        <w:rPr>
          <w:w w:val="100"/>
        </w:rPr>
      </w:lvl>
    </w:lvlOverride>
  </w:num>
  <w:num w:numId="19">
    <w:abstractNumId w:val="12"/>
  </w:num>
  <w:num w:numId="20">
    <w:abstractNumId w:val="19"/>
  </w:num>
  <w:num w:numId="21">
    <w:abstractNumId w:val="1"/>
  </w:num>
  <w:num w:numId="22">
    <w:abstractNumId w:val="17"/>
  </w:num>
  <w:num w:numId="23">
    <w:abstractNumId w:val="8"/>
  </w:num>
  <w:num w:numId="24">
    <w:abstractNumId w:val="18"/>
  </w:num>
  <w:num w:numId="25">
    <w:abstractNumId w:val="4"/>
  </w:num>
  <w:num w:numId="26">
    <w:abstractNumId w:val="7"/>
  </w:num>
  <w:num w:numId="27">
    <w:abstractNumId w:val="2"/>
  </w:num>
  <w:num w:numId="28">
    <w:abstractNumId w:val="9"/>
    <w:lvlOverride w:ilvl="0">
      <w:lvl w:ilvl="0">
        <w:start w:val="23"/>
        <w:numFmt w:val="decimal"/>
        <w:lvlRestart w:val="0"/>
        <w:lvlText w:val="%1."/>
        <w:lvlJc w:val="left"/>
        <w:pPr>
          <w:tabs>
            <w:tab w:val="num" w:pos="1742"/>
          </w:tabs>
          <w:ind w:left="1267" w:firstLine="0"/>
        </w:pPr>
        <w:rPr>
          <w:w w:val="100"/>
        </w:rPr>
      </w:lvl>
    </w:lvlOverride>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revisionView w:markup="0"/>
  <w:defaultTabStop w:val="475"/>
  <w:autoHyphenation/>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100*"/>
    <w:docVar w:name="CreationDt" w:val="08/06/2017 11:17 AM"/>
    <w:docVar w:name="DocCategory" w:val="Supplements"/>
    <w:docVar w:name="DocType" w:val="Final"/>
    <w:docVar w:name="DutyStation" w:val="New York"/>
    <w:docVar w:name="FooterJN" w:val="17-05100"/>
    <w:docVar w:name="jobn" w:val="17-05100 (F)"/>
    <w:docVar w:name="jobnDT" w:val="17-05100 (F)   080617"/>
    <w:docVar w:name="jobnDTDT" w:val="17-05100 (F)   080617   080617"/>
    <w:docVar w:name="JobNo" w:val="1705100F"/>
    <w:docVar w:name="JobNo2" w:val="1708468F"/>
    <w:docVar w:name="LocalDrive" w:val="0"/>
    <w:docVar w:name="OandT" w:val=" "/>
    <w:docVar w:name="sss1" w:val="A/72/38"/>
    <w:docVar w:name="sss2" w:val="-"/>
    <w:docVar w:name="Symbol1" w:val="A/72/38"/>
    <w:docVar w:name="Symbol2" w:val="-"/>
  </w:docVars>
  <w:rsids>
    <w:rsidRoot w:val="00194784"/>
    <w:rsid w:val="00030BF8"/>
    <w:rsid w:val="0003432F"/>
    <w:rsid w:val="00050F2A"/>
    <w:rsid w:val="00051ED3"/>
    <w:rsid w:val="000C25A8"/>
    <w:rsid w:val="00110E1C"/>
    <w:rsid w:val="001362E3"/>
    <w:rsid w:val="0019459D"/>
    <w:rsid w:val="00194784"/>
    <w:rsid w:val="00274587"/>
    <w:rsid w:val="002F117D"/>
    <w:rsid w:val="003A0530"/>
    <w:rsid w:val="003C1755"/>
    <w:rsid w:val="00420295"/>
    <w:rsid w:val="0046718E"/>
    <w:rsid w:val="00490563"/>
    <w:rsid w:val="004C1A25"/>
    <w:rsid w:val="004C41DB"/>
    <w:rsid w:val="00582BF2"/>
    <w:rsid w:val="00620718"/>
    <w:rsid w:val="00632DF4"/>
    <w:rsid w:val="0064018E"/>
    <w:rsid w:val="00661B5D"/>
    <w:rsid w:val="006B5631"/>
    <w:rsid w:val="006E1567"/>
    <w:rsid w:val="006F4CF6"/>
    <w:rsid w:val="00762DD4"/>
    <w:rsid w:val="0076520D"/>
    <w:rsid w:val="00771C9E"/>
    <w:rsid w:val="007A3D87"/>
    <w:rsid w:val="007D2830"/>
    <w:rsid w:val="00803622"/>
    <w:rsid w:val="008217C9"/>
    <w:rsid w:val="0089404F"/>
    <w:rsid w:val="00910DE2"/>
    <w:rsid w:val="00926D0D"/>
    <w:rsid w:val="00972989"/>
    <w:rsid w:val="00974CA8"/>
    <w:rsid w:val="00980496"/>
    <w:rsid w:val="00993CB7"/>
    <w:rsid w:val="00A41EA7"/>
    <w:rsid w:val="00A52BD0"/>
    <w:rsid w:val="00A645FF"/>
    <w:rsid w:val="00A8648F"/>
    <w:rsid w:val="00AD5B45"/>
    <w:rsid w:val="00AD5F2F"/>
    <w:rsid w:val="00AF74A3"/>
    <w:rsid w:val="00B01951"/>
    <w:rsid w:val="00B122A1"/>
    <w:rsid w:val="00B1337A"/>
    <w:rsid w:val="00B3590B"/>
    <w:rsid w:val="00B84F2A"/>
    <w:rsid w:val="00BA1CBA"/>
    <w:rsid w:val="00BB6059"/>
    <w:rsid w:val="00BC0F24"/>
    <w:rsid w:val="00C16C7C"/>
    <w:rsid w:val="00C23FA4"/>
    <w:rsid w:val="00C544B3"/>
    <w:rsid w:val="00CB06FB"/>
    <w:rsid w:val="00CC0E70"/>
    <w:rsid w:val="00CC3940"/>
    <w:rsid w:val="00CD17D8"/>
    <w:rsid w:val="00CD1B01"/>
    <w:rsid w:val="00D036F5"/>
    <w:rsid w:val="00D461B4"/>
    <w:rsid w:val="00D81206"/>
    <w:rsid w:val="00D944D7"/>
    <w:rsid w:val="00E07970"/>
    <w:rsid w:val="00E343A6"/>
    <w:rsid w:val="00E41AA9"/>
    <w:rsid w:val="00E7105F"/>
    <w:rsid w:val="00E81DB0"/>
    <w:rsid w:val="00E92525"/>
    <w:rsid w:val="00EF2DFA"/>
    <w:rsid w:val="00F3381D"/>
    <w:rsid w:val="00F73093"/>
    <w:rsid w:val="00F93FD5"/>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C25A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C25A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C25A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C25A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C25A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C25A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C25A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C25A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C25A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C25A8"/>
    <w:pPr>
      <w:keepNext/>
      <w:keepLines/>
      <w:suppressAutoHyphens/>
      <w:spacing w:line="270" w:lineRule="exact"/>
      <w:outlineLvl w:val="0"/>
    </w:pPr>
    <w:rPr>
      <w:b/>
      <w:sz w:val="24"/>
    </w:rPr>
  </w:style>
  <w:style w:type="paragraph" w:customStyle="1" w:styleId="HCH">
    <w:name w:val="_ H _CH"/>
    <w:basedOn w:val="H1"/>
    <w:next w:val="Normal"/>
    <w:qFormat/>
    <w:rsid w:val="000C25A8"/>
    <w:pPr>
      <w:spacing w:line="300" w:lineRule="exact"/>
    </w:pPr>
    <w:rPr>
      <w:spacing w:val="-2"/>
      <w:sz w:val="28"/>
    </w:rPr>
  </w:style>
  <w:style w:type="paragraph" w:customStyle="1" w:styleId="HM">
    <w:name w:val="_ H __M"/>
    <w:basedOn w:val="HCH"/>
    <w:next w:val="Normal"/>
    <w:qFormat/>
    <w:rsid w:val="000C25A8"/>
    <w:pPr>
      <w:spacing w:line="360" w:lineRule="exact"/>
    </w:pPr>
    <w:rPr>
      <w:spacing w:val="-3"/>
      <w:w w:val="99"/>
      <w:sz w:val="34"/>
    </w:rPr>
  </w:style>
  <w:style w:type="paragraph" w:customStyle="1" w:styleId="H23">
    <w:name w:val="_ H_2/3"/>
    <w:basedOn w:val="H1"/>
    <w:next w:val="SingleTxt"/>
    <w:qFormat/>
    <w:rsid w:val="000C25A8"/>
    <w:pPr>
      <w:spacing w:line="240" w:lineRule="exact"/>
      <w:outlineLvl w:val="1"/>
    </w:pPr>
    <w:rPr>
      <w:spacing w:val="2"/>
      <w:sz w:val="20"/>
    </w:rPr>
  </w:style>
  <w:style w:type="paragraph" w:customStyle="1" w:styleId="H4">
    <w:name w:val="_ H_4"/>
    <w:basedOn w:val="Normal"/>
    <w:next w:val="Normal"/>
    <w:qFormat/>
    <w:rsid w:val="000C25A8"/>
    <w:pPr>
      <w:keepNext/>
      <w:keepLines/>
      <w:tabs>
        <w:tab w:val="right" w:pos="360"/>
      </w:tabs>
      <w:suppressAutoHyphens/>
      <w:outlineLvl w:val="3"/>
    </w:pPr>
    <w:rPr>
      <w:i/>
      <w:spacing w:val="3"/>
    </w:rPr>
  </w:style>
  <w:style w:type="paragraph" w:customStyle="1" w:styleId="H56">
    <w:name w:val="_ H_5/6"/>
    <w:basedOn w:val="Normal"/>
    <w:next w:val="Normal"/>
    <w:qFormat/>
    <w:rsid w:val="000C25A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C25A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C25A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C25A8"/>
    <w:pPr>
      <w:spacing w:line="540" w:lineRule="exact"/>
    </w:pPr>
    <w:rPr>
      <w:spacing w:val="-8"/>
      <w:w w:val="96"/>
      <w:sz w:val="57"/>
    </w:rPr>
  </w:style>
  <w:style w:type="paragraph" w:customStyle="1" w:styleId="SS">
    <w:name w:val="__S_S"/>
    <w:basedOn w:val="HCH"/>
    <w:next w:val="Normal"/>
    <w:qFormat/>
    <w:rsid w:val="000C25A8"/>
    <w:pPr>
      <w:ind w:left="1267" w:right="1267"/>
    </w:pPr>
  </w:style>
  <w:style w:type="paragraph" w:customStyle="1" w:styleId="SingleTxt">
    <w:name w:val="__Single Txt"/>
    <w:basedOn w:val="Normal"/>
    <w:link w:val="SingleTxtChar"/>
    <w:qFormat/>
    <w:rsid w:val="000C25A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C25A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0C25A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0C25A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0C25A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C25A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C25A8"/>
    <w:pPr>
      <w:numPr>
        <w:numId w:val="1"/>
      </w:numPr>
      <w:spacing w:after="120"/>
      <w:ind w:right="1267"/>
      <w:jc w:val="both"/>
    </w:pPr>
  </w:style>
  <w:style w:type="paragraph" w:customStyle="1" w:styleId="Bullet2">
    <w:name w:val="Bullet 2"/>
    <w:basedOn w:val="Normal"/>
    <w:qFormat/>
    <w:rsid w:val="000C25A8"/>
    <w:pPr>
      <w:numPr>
        <w:numId w:val="2"/>
      </w:numPr>
      <w:spacing w:after="120"/>
      <w:ind w:right="1264"/>
      <w:jc w:val="both"/>
    </w:pPr>
  </w:style>
  <w:style w:type="paragraph" w:customStyle="1" w:styleId="Bullet3">
    <w:name w:val="Bullet 3"/>
    <w:basedOn w:val="SingleTxt"/>
    <w:qFormat/>
    <w:rsid w:val="000C25A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C25A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C25A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C25A8"/>
    <w:pPr>
      <w:spacing w:line="210" w:lineRule="exact"/>
    </w:pPr>
    <w:rPr>
      <w:sz w:val="17"/>
      <w:szCs w:val="20"/>
    </w:rPr>
  </w:style>
  <w:style w:type="character" w:customStyle="1" w:styleId="EndnoteTextChar">
    <w:name w:val="Endnote Text Char"/>
    <w:link w:val="EndnoteText"/>
    <w:uiPriority w:val="99"/>
    <w:semiHidden/>
    <w:rsid w:val="000C25A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C25A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C25A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C25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C25A8"/>
    <w:pPr>
      <w:spacing w:line="210" w:lineRule="exact"/>
    </w:pPr>
    <w:rPr>
      <w:sz w:val="17"/>
      <w:szCs w:val="20"/>
    </w:rPr>
  </w:style>
  <w:style w:type="character" w:customStyle="1" w:styleId="FootnoteTextChar">
    <w:name w:val="Footnote Text Char"/>
    <w:link w:val="FootnoteText"/>
    <w:uiPriority w:val="99"/>
    <w:rsid w:val="000C25A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C25A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C25A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C25A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C25A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C25A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C25A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C25A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C25A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C25A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C25A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C25A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C25A8"/>
    <w:rPr>
      <w:sz w:val="14"/>
    </w:rPr>
  </w:style>
  <w:style w:type="paragraph" w:styleId="ListParagraph">
    <w:name w:val="List Paragraph"/>
    <w:basedOn w:val="Normal"/>
    <w:uiPriority w:val="34"/>
    <w:qFormat/>
    <w:rsid w:val="000C25A8"/>
    <w:pPr>
      <w:ind w:left="720"/>
      <w:contextualSpacing/>
    </w:pPr>
  </w:style>
  <w:style w:type="paragraph" w:styleId="NoSpacing">
    <w:name w:val="No Spacing"/>
    <w:uiPriority w:val="1"/>
    <w:rsid w:val="000C25A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C25A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C25A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C25A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C25A8"/>
    <w:pPr>
      <w:tabs>
        <w:tab w:val="right" w:pos="9965"/>
      </w:tabs>
      <w:spacing w:line="210" w:lineRule="exact"/>
    </w:pPr>
    <w:rPr>
      <w:spacing w:val="5"/>
      <w:w w:val="104"/>
      <w:sz w:val="17"/>
    </w:rPr>
  </w:style>
  <w:style w:type="paragraph" w:customStyle="1" w:styleId="SmallX">
    <w:name w:val="SmallX"/>
    <w:basedOn w:val="Small"/>
    <w:next w:val="Normal"/>
    <w:qFormat/>
    <w:rsid w:val="000C25A8"/>
    <w:pPr>
      <w:spacing w:line="180" w:lineRule="exact"/>
      <w:jc w:val="right"/>
    </w:pPr>
    <w:rPr>
      <w:spacing w:val="6"/>
      <w:w w:val="106"/>
      <w:sz w:val="14"/>
    </w:rPr>
  </w:style>
  <w:style w:type="character" w:styleId="Strong">
    <w:name w:val="Strong"/>
    <w:uiPriority w:val="22"/>
    <w:rsid w:val="000C25A8"/>
    <w:rPr>
      <w:b/>
      <w:bCs/>
    </w:rPr>
  </w:style>
  <w:style w:type="paragraph" w:customStyle="1" w:styleId="Style1">
    <w:name w:val="Style1"/>
    <w:basedOn w:val="Normal"/>
    <w:qFormat/>
    <w:rsid w:val="000C25A8"/>
  </w:style>
  <w:style w:type="paragraph" w:customStyle="1" w:styleId="Style2">
    <w:name w:val="Style2"/>
    <w:basedOn w:val="Normal"/>
    <w:autoRedefine/>
    <w:qFormat/>
    <w:rsid w:val="000C25A8"/>
  </w:style>
  <w:style w:type="paragraph" w:customStyle="1" w:styleId="TitleHCH">
    <w:name w:val="Title_H_CH"/>
    <w:basedOn w:val="HCH"/>
    <w:next w:val="SingleTxt"/>
    <w:qFormat/>
    <w:rsid w:val="000C25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C25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C25A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036F5"/>
    <w:rPr>
      <w:sz w:val="16"/>
      <w:szCs w:val="16"/>
    </w:rPr>
  </w:style>
  <w:style w:type="paragraph" w:styleId="CommentText">
    <w:name w:val="annotation text"/>
    <w:basedOn w:val="Normal"/>
    <w:link w:val="CommentTextChar"/>
    <w:uiPriority w:val="99"/>
    <w:semiHidden/>
    <w:unhideWhenUsed/>
    <w:rsid w:val="00D036F5"/>
    <w:pPr>
      <w:spacing w:line="240" w:lineRule="auto"/>
    </w:pPr>
    <w:rPr>
      <w:szCs w:val="20"/>
    </w:rPr>
  </w:style>
  <w:style w:type="character" w:customStyle="1" w:styleId="CommentTextChar">
    <w:name w:val="Comment Text Char"/>
    <w:basedOn w:val="DefaultParagraphFont"/>
    <w:link w:val="CommentText"/>
    <w:uiPriority w:val="99"/>
    <w:semiHidden/>
    <w:rsid w:val="00D036F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036F5"/>
    <w:rPr>
      <w:b/>
      <w:bCs/>
    </w:rPr>
  </w:style>
  <w:style w:type="character" w:customStyle="1" w:styleId="CommentSubjectChar">
    <w:name w:val="Comment Subject Char"/>
    <w:basedOn w:val="CommentTextChar"/>
    <w:link w:val="CommentSubject"/>
    <w:uiPriority w:val="99"/>
    <w:semiHidden/>
    <w:rsid w:val="00D036F5"/>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D0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2F117D"/>
    <w:rPr>
      <w:rFonts w:ascii="Times New Roman" w:eastAsiaTheme="minorHAnsi" w:hAnsi="Times New Roman" w:cs="Times New Roman"/>
      <w:spacing w:val="4"/>
      <w:w w:val="103"/>
      <w:kern w:val="14"/>
      <w:sz w:val="20"/>
      <w:lang w:val="fr-CA" w:eastAsia="en-US"/>
    </w:rPr>
  </w:style>
  <w:style w:type="paragraph" w:customStyle="1" w:styleId="HCh0">
    <w:name w:val="_ H _Ch"/>
    <w:basedOn w:val="H1"/>
    <w:next w:val="SingleTxt"/>
    <w:rsid w:val="002F11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uiPriority w:val="99"/>
    <w:rsid w:val="002F117D"/>
    <w:rPr>
      <w:color w:val="0000FF"/>
      <w:u w:val="none"/>
    </w:rPr>
  </w:style>
  <w:style w:type="character" w:customStyle="1" w:styleId="short-url">
    <w:name w:val="short-url"/>
    <w:basedOn w:val="DefaultParagraphFont"/>
    <w:rsid w:val="002F117D"/>
  </w:style>
  <w:style w:type="table" w:customStyle="1" w:styleId="TableGrid1">
    <w:name w:val="Table Grid1"/>
    <w:basedOn w:val="TableNormal"/>
    <w:next w:val="TableGrid"/>
    <w:rsid w:val="002F117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F117D"/>
  </w:style>
  <w:style w:type="character" w:styleId="FollowedHyperlink">
    <w:name w:val="FollowedHyperlink"/>
    <w:basedOn w:val="DefaultParagraphFont"/>
    <w:uiPriority w:val="99"/>
    <w:semiHidden/>
    <w:unhideWhenUsed/>
    <w:rsid w:val="007D283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C25A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C25A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C25A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C25A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C25A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C25A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C25A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C25A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C25A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C25A8"/>
    <w:pPr>
      <w:keepNext/>
      <w:keepLines/>
      <w:suppressAutoHyphens/>
      <w:spacing w:line="270" w:lineRule="exact"/>
      <w:outlineLvl w:val="0"/>
    </w:pPr>
    <w:rPr>
      <w:b/>
      <w:sz w:val="24"/>
    </w:rPr>
  </w:style>
  <w:style w:type="paragraph" w:customStyle="1" w:styleId="HCH">
    <w:name w:val="_ H _CH"/>
    <w:basedOn w:val="H1"/>
    <w:next w:val="Normal"/>
    <w:qFormat/>
    <w:rsid w:val="000C25A8"/>
    <w:pPr>
      <w:spacing w:line="300" w:lineRule="exact"/>
    </w:pPr>
    <w:rPr>
      <w:spacing w:val="-2"/>
      <w:sz w:val="28"/>
    </w:rPr>
  </w:style>
  <w:style w:type="paragraph" w:customStyle="1" w:styleId="HM">
    <w:name w:val="_ H __M"/>
    <w:basedOn w:val="HCH"/>
    <w:next w:val="Normal"/>
    <w:qFormat/>
    <w:rsid w:val="000C25A8"/>
    <w:pPr>
      <w:spacing w:line="360" w:lineRule="exact"/>
    </w:pPr>
    <w:rPr>
      <w:spacing w:val="-3"/>
      <w:w w:val="99"/>
      <w:sz w:val="34"/>
    </w:rPr>
  </w:style>
  <w:style w:type="paragraph" w:customStyle="1" w:styleId="H23">
    <w:name w:val="_ H_2/3"/>
    <w:basedOn w:val="H1"/>
    <w:next w:val="SingleTxt"/>
    <w:qFormat/>
    <w:rsid w:val="000C25A8"/>
    <w:pPr>
      <w:spacing w:line="240" w:lineRule="exact"/>
      <w:outlineLvl w:val="1"/>
    </w:pPr>
    <w:rPr>
      <w:spacing w:val="2"/>
      <w:sz w:val="20"/>
    </w:rPr>
  </w:style>
  <w:style w:type="paragraph" w:customStyle="1" w:styleId="H4">
    <w:name w:val="_ H_4"/>
    <w:basedOn w:val="Normal"/>
    <w:next w:val="Normal"/>
    <w:qFormat/>
    <w:rsid w:val="000C25A8"/>
    <w:pPr>
      <w:keepNext/>
      <w:keepLines/>
      <w:tabs>
        <w:tab w:val="right" w:pos="360"/>
      </w:tabs>
      <w:suppressAutoHyphens/>
      <w:outlineLvl w:val="3"/>
    </w:pPr>
    <w:rPr>
      <w:i/>
      <w:spacing w:val="3"/>
    </w:rPr>
  </w:style>
  <w:style w:type="paragraph" w:customStyle="1" w:styleId="H56">
    <w:name w:val="_ H_5/6"/>
    <w:basedOn w:val="Normal"/>
    <w:next w:val="Normal"/>
    <w:qFormat/>
    <w:rsid w:val="000C25A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C25A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C25A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C25A8"/>
    <w:pPr>
      <w:spacing w:line="540" w:lineRule="exact"/>
    </w:pPr>
    <w:rPr>
      <w:spacing w:val="-8"/>
      <w:w w:val="96"/>
      <w:sz w:val="57"/>
    </w:rPr>
  </w:style>
  <w:style w:type="paragraph" w:customStyle="1" w:styleId="SS">
    <w:name w:val="__S_S"/>
    <w:basedOn w:val="HCH"/>
    <w:next w:val="Normal"/>
    <w:qFormat/>
    <w:rsid w:val="000C25A8"/>
    <w:pPr>
      <w:ind w:left="1267" w:right="1267"/>
    </w:pPr>
  </w:style>
  <w:style w:type="paragraph" w:customStyle="1" w:styleId="SingleTxt">
    <w:name w:val="__Single Txt"/>
    <w:basedOn w:val="Normal"/>
    <w:link w:val="SingleTxtChar"/>
    <w:qFormat/>
    <w:rsid w:val="000C25A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C25A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0C25A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0C25A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0C25A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C25A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C25A8"/>
    <w:pPr>
      <w:numPr>
        <w:numId w:val="1"/>
      </w:numPr>
      <w:spacing w:after="120"/>
      <w:ind w:right="1267"/>
      <w:jc w:val="both"/>
    </w:pPr>
  </w:style>
  <w:style w:type="paragraph" w:customStyle="1" w:styleId="Bullet2">
    <w:name w:val="Bullet 2"/>
    <w:basedOn w:val="Normal"/>
    <w:qFormat/>
    <w:rsid w:val="000C25A8"/>
    <w:pPr>
      <w:numPr>
        <w:numId w:val="2"/>
      </w:numPr>
      <w:spacing w:after="120"/>
      <w:ind w:right="1264"/>
      <w:jc w:val="both"/>
    </w:pPr>
  </w:style>
  <w:style w:type="paragraph" w:customStyle="1" w:styleId="Bullet3">
    <w:name w:val="Bullet 3"/>
    <w:basedOn w:val="SingleTxt"/>
    <w:qFormat/>
    <w:rsid w:val="000C25A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C25A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C25A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C25A8"/>
    <w:pPr>
      <w:spacing w:line="210" w:lineRule="exact"/>
    </w:pPr>
    <w:rPr>
      <w:sz w:val="17"/>
      <w:szCs w:val="20"/>
    </w:rPr>
  </w:style>
  <w:style w:type="character" w:customStyle="1" w:styleId="EndnoteTextChar">
    <w:name w:val="Endnote Text Char"/>
    <w:link w:val="EndnoteText"/>
    <w:uiPriority w:val="99"/>
    <w:semiHidden/>
    <w:rsid w:val="000C25A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C25A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C25A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C25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C25A8"/>
    <w:pPr>
      <w:spacing w:line="210" w:lineRule="exact"/>
    </w:pPr>
    <w:rPr>
      <w:sz w:val="17"/>
      <w:szCs w:val="20"/>
    </w:rPr>
  </w:style>
  <w:style w:type="character" w:customStyle="1" w:styleId="FootnoteTextChar">
    <w:name w:val="Footnote Text Char"/>
    <w:link w:val="FootnoteText"/>
    <w:uiPriority w:val="99"/>
    <w:rsid w:val="000C25A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C25A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C25A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C25A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C25A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C25A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C25A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C25A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C25A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C25A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C25A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C25A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C25A8"/>
    <w:rPr>
      <w:sz w:val="14"/>
    </w:rPr>
  </w:style>
  <w:style w:type="paragraph" w:styleId="ListParagraph">
    <w:name w:val="List Paragraph"/>
    <w:basedOn w:val="Normal"/>
    <w:uiPriority w:val="34"/>
    <w:qFormat/>
    <w:rsid w:val="000C25A8"/>
    <w:pPr>
      <w:ind w:left="720"/>
      <w:contextualSpacing/>
    </w:pPr>
  </w:style>
  <w:style w:type="paragraph" w:styleId="NoSpacing">
    <w:name w:val="No Spacing"/>
    <w:uiPriority w:val="1"/>
    <w:rsid w:val="000C25A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C25A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C25A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C25A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C25A8"/>
    <w:pPr>
      <w:tabs>
        <w:tab w:val="right" w:pos="9965"/>
      </w:tabs>
      <w:spacing w:line="210" w:lineRule="exact"/>
    </w:pPr>
    <w:rPr>
      <w:spacing w:val="5"/>
      <w:w w:val="104"/>
      <w:sz w:val="17"/>
    </w:rPr>
  </w:style>
  <w:style w:type="paragraph" w:customStyle="1" w:styleId="SmallX">
    <w:name w:val="SmallX"/>
    <w:basedOn w:val="Small"/>
    <w:next w:val="Normal"/>
    <w:qFormat/>
    <w:rsid w:val="000C25A8"/>
    <w:pPr>
      <w:spacing w:line="180" w:lineRule="exact"/>
      <w:jc w:val="right"/>
    </w:pPr>
    <w:rPr>
      <w:spacing w:val="6"/>
      <w:w w:val="106"/>
      <w:sz w:val="14"/>
    </w:rPr>
  </w:style>
  <w:style w:type="character" w:styleId="Strong">
    <w:name w:val="Strong"/>
    <w:uiPriority w:val="22"/>
    <w:rsid w:val="000C25A8"/>
    <w:rPr>
      <w:b/>
      <w:bCs/>
    </w:rPr>
  </w:style>
  <w:style w:type="paragraph" w:customStyle="1" w:styleId="Style1">
    <w:name w:val="Style1"/>
    <w:basedOn w:val="Normal"/>
    <w:qFormat/>
    <w:rsid w:val="000C25A8"/>
  </w:style>
  <w:style w:type="paragraph" w:customStyle="1" w:styleId="Style2">
    <w:name w:val="Style2"/>
    <w:basedOn w:val="Normal"/>
    <w:autoRedefine/>
    <w:qFormat/>
    <w:rsid w:val="000C25A8"/>
  </w:style>
  <w:style w:type="paragraph" w:customStyle="1" w:styleId="TitleHCH">
    <w:name w:val="Title_H_CH"/>
    <w:basedOn w:val="HCH"/>
    <w:next w:val="SingleTxt"/>
    <w:qFormat/>
    <w:rsid w:val="000C25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C25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C25A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036F5"/>
    <w:rPr>
      <w:sz w:val="16"/>
      <w:szCs w:val="16"/>
    </w:rPr>
  </w:style>
  <w:style w:type="paragraph" w:styleId="CommentText">
    <w:name w:val="annotation text"/>
    <w:basedOn w:val="Normal"/>
    <w:link w:val="CommentTextChar"/>
    <w:uiPriority w:val="99"/>
    <w:semiHidden/>
    <w:unhideWhenUsed/>
    <w:rsid w:val="00D036F5"/>
    <w:pPr>
      <w:spacing w:line="240" w:lineRule="auto"/>
    </w:pPr>
    <w:rPr>
      <w:szCs w:val="20"/>
    </w:rPr>
  </w:style>
  <w:style w:type="character" w:customStyle="1" w:styleId="CommentTextChar">
    <w:name w:val="Comment Text Char"/>
    <w:basedOn w:val="DefaultParagraphFont"/>
    <w:link w:val="CommentText"/>
    <w:uiPriority w:val="99"/>
    <w:semiHidden/>
    <w:rsid w:val="00D036F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036F5"/>
    <w:rPr>
      <w:b/>
      <w:bCs/>
    </w:rPr>
  </w:style>
  <w:style w:type="character" w:customStyle="1" w:styleId="CommentSubjectChar">
    <w:name w:val="Comment Subject Char"/>
    <w:basedOn w:val="CommentTextChar"/>
    <w:link w:val="CommentSubject"/>
    <w:uiPriority w:val="99"/>
    <w:semiHidden/>
    <w:rsid w:val="00D036F5"/>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D0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2F117D"/>
    <w:rPr>
      <w:rFonts w:ascii="Times New Roman" w:eastAsiaTheme="minorHAnsi" w:hAnsi="Times New Roman" w:cs="Times New Roman"/>
      <w:spacing w:val="4"/>
      <w:w w:val="103"/>
      <w:kern w:val="14"/>
      <w:sz w:val="20"/>
      <w:lang w:val="fr-CA" w:eastAsia="en-US"/>
    </w:rPr>
  </w:style>
  <w:style w:type="paragraph" w:customStyle="1" w:styleId="HCh0">
    <w:name w:val="_ H _Ch"/>
    <w:basedOn w:val="H1"/>
    <w:next w:val="SingleTxt"/>
    <w:rsid w:val="002F11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uiPriority w:val="99"/>
    <w:rsid w:val="002F117D"/>
    <w:rPr>
      <w:color w:val="0000FF"/>
      <w:u w:val="none"/>
    </w:rPr>
  </w:style>
  <w:style w:type="character" w:customStyle="1" w:styleId="short-url">
    <w:name w:val="short-url"/>
    <w:basedOn w:val="DefaultParagraphFont"/>
    <w:rsid w:val="002F117D"/>
  </w:style>
  <w:style w:type="table" w:customStyle="1" w:styleId="TableGrid1">
    <w:name w:val="Table Grid1"/>
    <w:basedOn w:val="TableNormal"/>
    <w:next w:val="TableGrid"/>
    <w:rsid w:val="002F117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F117D"/>
  </w:style>
  <w:style w:type="character" w:styleId="FollowedHyperlink">
    <w:name w:val="FollowedHyperlink"/>
    <w:basedOn w:val="DefaultParagraphFont"/>
    <w:uiPriority w:val="99"/>
    <w:semiHidden/>
    <w:unhideWhenUsed/>
    <w:rsid w:val="007D283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CEDAW/C/GMB/CO/4" TargetMode="External"/><Relationship Id="rId117" Type="http://schemas.openxmlformats.org/officeDocument/2006/relationships/hyperlink" Target="https://undocs.org/fr/CEDAW/C/IRQ/CO/4-6/Add.1" TargetMode="External"/><Relationship Id="rId21" Type="http://schemas.openxmlformats.org/officeDocument/2006/relationships/footer" Target="footer5.xml"/><Relationship Id="rId42" Type="http://schemas.openxmlformats.org/officeDocument/2006/relationships/hyperlink" Target="https://undocs.org/fr/CEDAW/C/64/D/67/2014" TargetMode="External"/><Relationship Id="rId47" Type="http://schemas.openxmlformats.org/officeDocument/2006/relationships/hyperlink" Target="http://undocs.org/CEDAW/C/HRV/4-5" TargetMode="External"/><Relationship Id="rId63" Type="http://schemas.openxmlformats.org/officeDocument/2006/relationships/hyperlink" Target="https://undocs.org/fr/CEDAW/C/BTN/CO/8-9" TargetMode="External"/><Relationship Id="rId68" Type="http://schemas.openxmlformats.org/officeDocument/2006/relationships/hyperlink" Target="http://undocs.org/CEDAW/C/ARE/CO/2" TargetMode="External"/><Relationship Id="rId84" Type="http://schemas.openxmlformats.org/officeDocument/2006/relationships/hyperlink" Target="https://goo.gl/XhmGoS" TargetMode="External"/><Relationship Id="rId89" Type="http://schemas.openxmlformats.org/officeDocument/2006/relationships/hyperlink" Target="http://undocs.org/CEDAW/C/62/2" TargetMode="External"/><Relationship Id="rId112" Type="http://schemas.openxmlformats.org/officeDocument/2006/relationships/hyperlink" Target="https://undocs.org/fr/CEDAW/C/UKR/CO/8" TargetMode="External"/><Relationship Id="rId133" Type="http://schemas.openxmlformats.org/officeDocument/2006/relationships/hyperlink" Target="http://undocs.org/CEDAW/C/JPN/7-8" TargetMode="External"/><Relationship Id="rId138" Type="http://schemas.openxmlformats.org/officeDocument/2006/relationships/image" Target="media/image2.png"/><Relationship Id="rId16" Type="http://schemas.openxmlformats.org/officeDocument/2006/relationships/footer" Target="footer2.xml"/><Relationship Id="rId107" Type="http://schemas.openxmlformats.org/officeDocument/2006/relationships/hyperlink" Target="https://undocs.org/fr/CEDAW/C/IRL/CO/6-7" TargetMode="External"/><Relationship Id="rId11" Type="http://schemas.openxmlformats.org/officeDocument/2006/relationships/comments" Target="comments.xml"/><Relationship Id="rId32" Type="http://schemas.openxmlformats.org/officeDocument/2006/relationships/hyperlink" Target="http://undocs.org/CEDAW/C/CHL/CO/5" TargetMode="External"/><Relationship Id="rId37" Type="http://schemas.openxmlformats.org/officeDocument/2006/relationships/hyperlink" Target="http://undocs.org/CEDAW/C/MEX/CO/7" TargetMode="External"/><Relationship Id="rId53" Type="http://schemas.openxmlformats.org/officeDocument/2006/relationships/hyperlink" Target="http://undocs.org/CEDAW/C/VNM/7-8" TargetMode="External"/><Relationship Id="rId58" Type="http://schemas.openxmlformats.org/officeDocument/2006/relationships/hyperlink" Target="https://undocs.org/fr/A/RES/68/268" TargetMode="External"/><Relationship Id="rId74" Type="http://schemas.openxmlformats.org/officeDocument/2006/relationships/hyperlink" Target="https://undocs.org/fr/CEDAW/C/QAT/CO/1/Add.1" TargetMode="External"/><Relationship Id="rId79" Type="http://schemas.openxmlformats.org/officeDocument/2006/relationships/hyperlink" Target="https://goo.gl/XhmGoS" TargetMode="External"/><Relationship Id="rId102" Type="http://schemas.openxmlformats.org/officeDocument/2006/relationships/hyperlink" Target="https://undocs.org/fr/HRI/GEN/2/Rev.6" TargetMode="External"/><Relationship Id="rId123" Type="http://schemas.openxmlformats.org/officeDocument/2006/relationships/hyperlink" Target="https://undocs.org/fr/CEDAW/C/66/D/58/2013" TargetMode="External"/><Relationship Id="rId128" Type="http://schemas.openxmlformats.org/officeDocument/2006/relationships/hyperlink" Target="http://undocs.org/CEDAW/C/63/2" TargetMode="External"/><Relationship Id="rId5" Type="http://schemas.openxmlformats.org/officeDocument/2006/relationships/settings" Target="settings.xml"/><Relationship Id="rId90" Type="http://schemas.openxmlformats.org/officeDocument/2006/relationships/hyperlink" Target="http://undocs.org/CEDAW/C/LBN/4-5" TargetMode="External"/><Relationship Id="rId95" Type="http://schemas.openxmlformats.org/officeDocument/2006/relationships/hyperlink" Target="http://undocs.org/CEDAW/C/RUS/8" TargetMode="External"/><Relationship Id="rId22" Type="http://schemas.openxmlformats.org/officeDocument/2006/relationships/hyperlink" Target="http://undocs.org/CEDAW/C/61/1" TargetMode="External"/><Relationship Id="rId27" Type="http://schemas.openxmlformats.org/officeDocument/2006/relationships/hyperlink" Target="http://undocs.org/CEDAW/C/NAM/CO/4" TargetMode="External"/><Relationship Id="rId43" Type="http://schemas.openxmlformats.org/officeDocument/2006/relationships/hyperlink" Target="https://goo.gl/5lBTPP" TargetMode="External"/><Relationship Id="rId48" Type="http://schemas.openxmlformats.org/officeDocument/2006/relationships/hyperlink" Target="http://undocs.org/CEDAW/C/GMB/4-5" TargetMode="External"/><Relationship Id="rId64" Type="http://schemas.openxmlformats.org/officeDocument/2006/relationships/hyperlink" Target="https://undocs.org/fr/CEDAW/C/BDI/CO/5-6" TargetMode="External"/><Relationship Id="rId69" Type="http://schemas.openxmlformats.org/officeDocument/2006/relationships/hyperlink" Target="https://undocs.org/fr/CEDAW/C/CHE/CO/4-5" TargetMode="External"/><Relationship Id="rId113" Type="http://schemas.openxmlformats.org/officeDocument/2006/relationships/hyperlink" Target="https://undocs.org/fr/CEDAW/C/AND/CO/2-3/Add.1" TargetMode="External"/><Relationship Id="rId118" Type="http://schemas.openxmlformats.org/officeDocument/2006/relationships/hyperlink" Target="https://undocs.org/fr/CEDAW/C/JAM/CO/6-7/Add.1" TargetMode="External"/><Relationship Id="rId134" Type="http://schemas.openxmlformats.org/officeDocument/2006/relationships/hyperlink" Target="http://undocs.org/CEDAW/C/MNG/8-9"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ndocs.org/CEDAW/C/SEN/3-7" TargetMode="External"/><Relationship Id="rId72" Type="http://schemas.openxmlformats.org/officeDocument/2006/relationships/hyperlink" Target="https://undocs.org/fr/CEDAW/C/BFA/CO/6/Add.1" TargetMode="External"/><Relationship Id="rId80" Type="http://schemas.openxmlformats.org/officeDocument/2006/relationships/hyperlink" Target="https://undocs.org/fr/CEDAW/C/65/D/66/2014" TargetMode="External"/><Relationship Id="rId85" Type="http://schemas.openxmlformats.org/officeDocument/2006/relationships/hyperlink" Target="https://undocs.org/fr/CEDAW/C/PHL/CO/7-8" TargetMode="External"/><Relationship Id="rId93" Type="http://schemas.openxmlformats.org/officeDocument/2006/relationships/hyperlink" Target="http://undocs.org/CEDAW/C/MWI/7" TargetMode="External"/><Relationship Id="rId98" Type="http://schemas.openxmlformats.org/officeDocument/2006/relationships/hyperlink" Target="http://undocs.org/CEDAW/C/TLS/2-3" TargetMode="External"/><Relationship Id="rId121" Type="http://schemas.openxmlformats.org/officeDocument/2006/relationships/hyperlink" Target="https://undocs.org/fr/CEDAW/C/SYC/CO/1-5/Add.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ndocs.org/CEDAW/C/HRV/CO/4" TargetMode="External"/><Relationship Id="rId33" Type="http://schemas.openxmlformats.org/officeDocument/2006/relationships/hyperlink" Target="http://undocs.org/CEDAW/C/CYP/CO/6" TargetMode="External"/><Relationship Id="rId38" Type="http://schemas.openxmlformats.org/officeDocument/2006/relationships/hyperlink" Target="http://undocs.org/CEDAW/C/MKD/CO/4" TargetMode="External"/><Relationship Id="rId46" Type="http://schemas.openxmlformats.org/officeDocument/2006/relationships/hyperlink" Target="http://undocs.org/CEDAW/C/BOL/5-6" TargetMode="External"/><Relationship Id="rId59" Type="http://schemas.openxmlformats.org/officeDocument/2006/relationships/hyperlink" Target="https://undocs.org/fr/CEDAW/C/ARG/CO/7" TargetMode="External"/><Relationship Id="rId67" Type="http://schemas.openxmlformats.org/officeDocument/2006/relationships/hyperlink" Target="https://undocs.org/fr/CEDAW/C/HND/CO/7-8" TargetMode="External"/><Relationship Id="rId103" Type="http://schemas.openxmlformats.org/officeDocument/2006/relationships/hyperlink" Target="https://undocs.org/fr/CEDAW/C/66/1" TargetMode="External"/><Relationship Id="rId108" Type="http://schemas.openxmlformats.org/officeDocument/2006/relationships/hyperlink" Target="https://undocs.org/fr/CEDAW/C/JOR/CO/6" TargetMode="External"/><Relationship Id="rId116" Type="http://schemas.openxmlformats.org/officeDocument/2006/relationships/hyperlink" Target="https://undocs.org/fr/CEDAW/C/GEO/CO/4-5/Add.1" TargetMode="External"/><Relationship Id="rId124" Type="http://schemas.openxmlformats.org/officeDocument/2006/relationships/hyperlink" Target="https://undocs.org/fr/CEDAW/C/66/D/54/2013" TargetMode="External"/><Relationship Id="rId129" Type="http://schemas.openxmlformats.org/officeDocument/2006/relationships/hyperlink" Target="http://undocs.org/CEDAW/C/63/3" TargetMode="External"/><Relationship Id="rId137" Type="http://schemas.openxmlformats.org/officeDocument/2006/relationships/hyperlink" Target="http://undocs.org/CEDAW/C/VUT/4-5" TargetMode="External"/><Relationship Id="rId20" Type="http://schemas.openxmlformats.org/officeDocument/2006/relationships/footer" Target="footer4.xml"/><Relationship Id="rId41" Type="http://schemas.openxmlformats.org/officeDocument/2006/relationships/hyperlink" Target="http://undocs.org/CEDAW/C/61/D/52/2013" TargetMode="External"/><Relationship Id="rId54" Type="http://schemas.openxmlformats.org/officeDocument/2006/relationships/hyperlink" Target="https://undocs.org/fr/A/RES/58/2" TargetMode="External"/><Relationship Id="rId62" Type="http://schemas.openxmlformats.org/officeDocument/2006/relationships/hyperlink" Target="https://undocs.org/fr/CEDAW/C/BLR/CO/8" TargetMode="External"/><Relationship Id="rId70" Type="http://schemas.openxmlformats.org/officeDocument/2006/relationships/hyperlink" Target="https://undocs.org/fr/CEDAW/C/AFG/CO/1-2/Add.1" TargetMode="External"/><Relationship Id="rId75" Type="http://schemas.openxmlformats.org/officeDocument/2006/relationships/hyperlink" Target="https://undocs.org/fr/CEDAW/C/SRB/CO/2-3/Add.1" TargetMode="External"/><Relationship Id="rId83" Type="http://schemas.openxmlformats.org/officeDocument/2006/relationships/hyperlink" Target="https://undocs.org/fr/CEDAW/C/65/D/74/2014" TargetMode="External"/><Relationship Id="rId88" Type="http://schemas.openxmlformats.org/officeDocument/2006/relationships/hyperlink" Target="http://undocs.org/CEDAW/C/62/2" TargetMode="External"/><Relationship Id="rId91" Type="http://schemas.openxmlformats.org/officeDocument/2006/relationships/hyperlink" Target="http://undocs.org/CEDAW/C/LBR/7-8" TargetMode="External"/><Relationship Id="rId96" Type="http://schemas.openxmlformats.org/officeDocument/2006/relationships/hyperlink" Target="http://undocs.org/CEDAW/C/SVK/5-6" TargetMode="External"/><Relationship Id="rId111" Type="http://schemas.openxmlformats.org/officeDocument/2006/relationships/hyperlink" Target="https://undocs.org/fr/CEDAW/C/LKA/CO/8" TargetMode="External"/><Relationship Id="rId132" Type="http://schemas.openxmlformats.org/officeDocument/2006/relationships/hyperlink" Target="http://undocs.org/CEDAW/C/ISL/7-8"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undocs.org/CEDAW/C/PSWG/61/1" TargetMode="External"/><Relationship Id="rId28" Type="http://schemas.openxmlformats.org/officeDocument/2006/relationships/hyperlink" Target="http://undocs.org/CEDAW/C/VCT/CO/4" TargetMode="External"/><Relationship Id="rId36" Type="http://schemas.openxmlformats.org/officeDocument/2006/relationships/hyperlink" Target="http://undocs.org/CEDAW/C/MLT/CO/4/Add.1" TargetMode="External"/><Relationship Id="rId49" Type="http://schemas.openxmlformats.org/officeDocument/2006/relationships/hyperlink" Target="http://undocs.org/CEDAW/C/NAM/4-5" TargetMode="External"/><Relationship Id="rId57" Type="http://schemas.openxmlformats.org/officeDocument/2006/relationships/hyperlink" Target="http://undocs.org/CEDAW/C/PSWG/62/1" TargetMode="External"/><Relationship Id="rId106" Type="http://schemas.openxmlformats.org/officeDocument/2006/relationships/hyperlink" Target="https://undocs.org/fr/CEDAW/C/DEU/CO/7-8" TargetMode="External"/><Relationship Id="rId114" Type="http://schemas.openxmlformats.org/officeDocument/2006/relationships/hyperlink" Target="https://undocs.org/fr/CEDAW/C/CMR/CO/4-5/Add.1" TargetMode="External"/><Relationship Id="rId119" Type="http://schemas.openxmlformats.org/officeDocument/2006/relationships/hyperlink" Target="https://undocs.org/fr/CEDAW/C/LTU/CO/5/Add.1" TargetMode="External"/><Relationship Id="rId127" Type="http://schemas.openxmlformats.org/officeDocument/2006/relationships/hyperlink" Target="http://undocs.org/CEDAW/C/63/1" TargetMode="External"/><Relationship Id="rId10" Type="http://schemas.openxmlformats.org/officeDocument/2006/relationships/image" Target="media/image1.jpg"/><Relationship Id="rId31" Type="http://schemas.openxmlformats.org/officeDocument/2006/relationships/hyperlink" Target="http://undocs.org/CEDAW/C/VNM/CO/7" TargetMode="External"/><Relationship Id="rId44" Type="http://schemas.openxmlformats.org/officeDocument/2006/relationships/hyperlink" Target="http://undocs.org/CEDAW/C/61/1" TargetMode="External"/><Relationship Id="rId52" Type="http://schemas.openxmlformats.org/officeDocument/2006/relationships/hyperlink" Target="http://undocs.org/CEDAW/C/ESP/7-8" TargetMode="External"/><Relationship Id="rId60" Type="http://schemas.openxmlformats.org/officeDocument/2006/relationships/hyperlink" Target="https://undocs.org/fr/CEDAW/C/ARM/CO/5-6" TargetMode="External"/><Relationship Id="rId65" Type="http://schemas.openxmlformats.org/officeDocument/2006/relationships/hyperlink" Target="https://undocs.org/fr/CEDAW/C/CAN/CO/8-9" TargetMode="External"/><Relationship Id="rId73" Type="http://schemas.openxmlformats.org/officeDocument/2006/relationships/hyperlink" Target="https://undocs.org/fr/CEDAW/C/COL/CO/7-8/Add.1" TargetMode="External"/><Relationship Id="rId78" Type="http://schemas.openxmlformats.org/officeDocument/2006/relationships/hyperlink" Target="https://undocs.org/fr/A/69/38" TargetMode="External"/><Relationship Id="rId81" Type="http://schemas.openxmlformats.org/officeDocument/2006/relationships/hyperlink" Target="https://undocs.org/fr/CEDAW/C/65/D/61/2013" TargetMode="External"/><Relationship Id="rId86" Type="http://schemas.openxmlformats.org/officeDocument/2006/relationships/hyperlink" Target="https://undocs.org/fr/CEDAW/C/OP.8/PHL/1" TargetMode="External"/><Relationship Id="rId94" Type="http://schemas.openxmlformats.org/officeDocument/2006/relationships/hyperlink" Target="http://undocs.org/CEDAW/C/PRT/8-9" TargetMode="External"/><Relationship Id="rId99" Type="http://schemas.openxmlformats.org/officeDocument/2006/relationships/hyperlink" Target="http://undocs.org/CEDAW/C/ARE/2-3" TargetMode="External"/><Relationship Id="rId101" Type="http://schemas.openxmlformats.org/officeDocument/2006/relationships/hyperlink" Target="https://goo.gl/5M9mLJ" TargetMode="External"/><Relationship Id="rId122" Type="http://schemas.openxmlformats.org/officeDocument/2006/relationships/hyperlink" Target="https://goo.gl/73AdSF" TargetMode="External"/><Relationship Id="rId130" Type="http://schemas.openxmlformats.org/officeDocument/2006/relationships/hyperlink" Target="http://undocs.org/CEDAW/C/CZE/6" TargetMode="External"/><Relationship Id="rId135" Type="http://schemas.openxmlformats.org/officeDocument/2006/relationships/hyperlink" Target="http://undocs.org/CEDAW/C/SWE/8-9" TargetMode="External"/><Relationship Id="rId4" Type="http://schemas.microsoft.com/office/2007/relationships/stylesWithEffects" Target="stylesWithEffects.xml"/><Relationship Id="rId9" Type="http://schemas.openxmlformats.org/officeDocument/2006/relationships/hyperlink" Target="https://undocs.org/fr/A/72/38" TargetMode="Externa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goo.gl/5lBTPP" TargetMode="External"/><Relationship Id="rId109" Type="http://schemas.openxmlformats.org/officeDocument/2006/relationships/hyperlink" Target="https://undocs.org/fr/CEDAW/C/FSM/CO/1-3" TargetMode="External"/><Relationship Id="rId34" Type="http://schemas.openxmlformats.org/officeDocument/2006/relationships/hyperlink" Target="http://undocs.org/CEDAW/C/HUN/CO/7" TargetMode="External"/><Relationship Id="rId50" Type="http://schemas.openxmlformats.org/officeDocument/2006/relationships/hyperlink" Target="http://undocs.org/CEDAW/C/VCT/4-8" TargetMode="External"/><Relationship Id="rId55" Type="http://schemas.openxmlformats.org/officeDocument/2006/relationships/hyperlink" Target="https://undocs.org/fr/A/RES/59/4" TargetMode="External"/><Relationship Id="rId76" Type="http://schemas.openxmlformats.org/officeDocument/2006/relationships/hyperlink" Target="https://undocs.org/fr/CEDAW/C/ZWE/CO/2-5/Add.1" TargetMode="External"/><Relationship Id="rId97" Type="http://schemas.openxmlformats.org/officeDocument/2006/relationships/hyperlink" Target="http://undocs.org/CEDAW/C/SVN/5-6" TargetMode="External"/><Relationship Id="rId104" Type="http://schemas.openxmlformats.org/officeDocument/2006/relationships/hyperlink" Target="https://undocs.org/fr/CEDAW/C/PSWG/66/1" TargetMode="External"/><Relationship Id="rId120" Type="http://schemas.openxmlformats.org/officeDocument/2006/relationships/hyperlink" Target="https://undocs.org/fr/CEDAW/C/PER/CO/7-8/Add.1" TargetMode="External"/><Relationship Id="rId125" Type="http://schemas.openxmlformats.org/officeDocument/2006/relationships/hyperlink" Target="https://undocs.org/fr/CEDAW/C/66/D/69/2014" TargetMode="External"/><Relationship Id="rId7" Type="http://schemas.openxmlformats.org/officeDocument/2006/relationships/footnotes" Target="footnotes.xml"/><Relationship Id="rId71" Type="http://schemas.openxmlformats.org/officeDocument/2006/relationships/hyperlink" Target="https://undocs.org/fr/CEDAW/C/BHR/CO/3/Add.1" TargetMode="External"/><Relationship Id="rId92" Type="http://schemas.openxmlformats.org/officeDocument/2006/relationships/hyperlink" Target="http://undocs.org/CEDAW/C/MDG/6-7" TargetMode="External"/><Relationship Id="rId2" Type="http://schemas.openxmlformats.org/officeDocument/2006/relationships/numbering" Target="numbering.xml"/><Relationship Id="rId29" Type="http://schemas.openxmlformats.org/officeDocument/2006/relationships/hyperlink" Target="http://undocs.org/CEDAW/C/SEN/CO/3" TargetMode="External"/><Relationship Id="rId24" Type="http://schemas.openxmlformats.org/officeDocument/2006/relationships/hyperlink" Target="http://undocs.org/CEDAW/C/BOL/CO/5" TargetMode="External"/><Relationship Id="rId40" Type="http://schemas.openxmlformats.org/officeDocument/2006/relationships/hyperlink" Target="http://undocs.org/CEDAW/C/61/D/50/2013" TargetMode="External"/><Relationship Id="rId45" Type="http://schemas.openxmlformats.org/officeDocument/2006/relationships/hyperlink" Target="http://undocs.org/CEDAW/C/61/3" TargetMode="External"/><Relationship Id="rId66" Type="http://schemas.openxmlformats.org/officeDocument/2006/relationships/hyperlink" Target="https://undocs.org/fr/CEDAW/C/EST/CO/5-6" TargetMode="External"/><Relationship Id="rId87" Type="http://schemas.openxmlformats.org/officeDocument/2006/relationships/hyperlink" Target="http://undocs.org/CEDAW/C/62/1" TargetMode="External"/><Relationship Id="rId110" Type="http://schemas.openxmlformats.org/officeDocument/2006/relationships/hyperlink" Target="https://undocs.org/fr/CEDAW/C/RWA/CO/7-9" TargetMode="External"/><Relationship Id="rId115" Type="http://schemas.openxmlformats.org/officeDocument/2006/relationships/hyperlink" Target="https://undocs.org/fr/CEDAW/C/DOM/CO/6-7/Add.1" TargetMode="External"/><Relationship Id="rId131" Type="http://schemas.openxmlformats.org/officeDocument/2006/relationships/hyperlink" Target="http://undocs.org/CEDAW/C/HTI/8-9" TargetMode="External"/><Relationship Id="rId136" Type="http://schemas.openxmlformats.org/officeDocument/2006/relationships/hyperlink" Target="http://undocs.org/CEDAW/C/TZA/7-8" TargetMode="External"/><Relationship Id="rId61" Type="http://schemas.openxmlformats.org/officeDocument/2006/relationships/hyperlink" Target="https://undocs.org/fr/CEDAW/C/BGD/CO/8" TargetMode="External"/><Relationship Id="rId82" Type="http://schemas.openxmlformats.org/officeDocument/2006/relationships/hyperlink" Target="https://undocs.org/fr/CEDAW/C/65/D/71/2014" TargetMode="Externa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hyperlink" Target="http://undocs.org/CEDAW/C/ESP/CO/7" TargetMode="External"/><Relationship Id="rId35" Type="http://schemas.openxmlformats.org/officeDocument/2006/relationships/hyperlink" Target="http://undocs.org/CEDAW/C/KWT/CO/3" TargetMode="External"/><Relationship Id="rId56" Type="http://schemas.openxmlformats.org/officeDocument/2006/relationships/hyperlink" Target="http://undocs.org/CEDAW/C/62/1" TargetMode="External"/><Relationship Id="rId77" Type="http://schemas.openxmlformats.org/officeDocument/2006/relationships/hyperlink" Target="https://goo.gl/kT2xJl" TargetMode="External"/><Relationship Id="rId100" Type="http://schemas.openxmlformats.org/officeDocument/2006/relationships/hyperlink" Target="http://undocs.org/CEDAW/C/UZB/5" TargetMode="External"/><Relationship Id="rId105" Type="http://schemas.openxmlformats.org/officeDocument/2006/relationships/hyperlink" Target="https://undocs.org/fr/CEDAW/C/SLV/CO/8-9" TargetMode="External"/><Relationship Id="rId126" Type="http://schemas.openxmlformats.org/officeDocument/2006/relationships/hyperlink" Target="https://goo.gl/73AdS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46DA-5905-4680-A11C-2011852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53</Pages>
  <Words>11402</Words>
  <Characters>64994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FTPU.FrontDesk1-by Window</cp:lastModifiedBy>
  <cp:revision>23</cp:revision>
  <cp:lastPrinted>2017-06-09T22:43:00Z</cp:lastPrinted>
  <dcterms:created xsi:type="dcterms:W3CDTF">2017-06-08T23:34:00Z</dcterms:created>
  <dcterms:modified xsi:type="dcterms:W3CDTF">2017-06-09T22:44:00Z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1705100F</vt:lpwstr>
  </property>
  <property fmtid="{D5CDD505-2E9C-101B-9397-08002B2CF9AE}" pid="3" name="ODSRefJobNo">
    <vt:lpwstr>1708468F</vt:lpwstr>
  </property>
  <property fmtid="{D5CDD505-2E9C-101B-9397-08002B2CF9AE}" pid="4" name="Symbol1">
    <vt:lpwstr>A/72/38</vt:lpwstr>
  </property>
  <property fmtid="{D5CDD505-2E9C-101B-9397-08002B2CF9AE}" pid="5" name="Symbol2">
    <vt:lpwstr/>
  </property>
  <property fmtid="{D5CDD505-2E9C-101B-9397-08002B2CF9AE}" pid="6" name="Translator">
    <vt:lpwstr/>
  </property>
  <property fmtid="{D5CDD505-2E9C-101B-9397-08002B2CF9AE}" pid="7" name="Supplement Title 1">
    <vt:lpwstr/>
  </property>
  <property fmtid="{D5CDD505-2E9C-101B-9397-08002B2CF9AE}" pid="8" name="Supplement Title 3">
    <vt:lpwstr/>
  </property>
  <property fmtid="{D5CDD505-2E9C-101B-9397-08002B2CF9AE}" pid="9" name="Comment">
    <vt:lpwstr/>
  </property>
  <property fmtid="{D5CDD505-2E9C-101B-9397-08002B2CF9AE}" pid="10" name="DraftPages">
    <vt:lpwstr>53 </vt:lpwstr>
  </property>
  <property fmtid="{D5CDD505-2E9C-101B-9397-08002B2CF9AE}" pid="11" name="Operator">
    <vt:lpwstr>Fatima/MKC</vt:lpwstr>
  </property>
</Properties>
</file>