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83E94" w:rsidRPr="00FA3966" w:rsidRDefault="00390349" w:rsidP="00483E94">
      <w:pPr>
        <w:spacing w:after="360"/>
        <w:jc w:val="right"/>
        <w:outlineLvl w:val="0"/>
        <w:rPr>
          <w:b/>
          <w:lang w:val="fr-FR"/>
        </w:rPr>
      </w:pPr>
      <w:r>
        <w:fldChar w:fldCharType="begin"/>
      </w:r>
      <w:r>
        <w:instrText xml:space="preserve"> HYPERLINK "https://undocs.org/fr/A/72/44" </w:instrText>
      </w:r>
      <w:r>
        <w:fldChar w:fldCharType="separate"/>
      </w:r>
      <w:r w:rsidR="00483E94" w:rsidRPr="00E204E6">
        <w:rPr>
          <w:rStyle w:val="Lienhypertexte"/>
          <w:b/>
          <w:lang w:val="fr-FR"/>
        </w:rPr>
        <w:t>A/</w:t>
      </w:r>
      <w:r w:rsidR="00697B7C" w:rsidRPr="00E204E6">
        <w:rPr>
          <w:rStyle w:val="Lienhypertexte"/>
          <w:b/>
          <w:lang w:val="fr-FR"/>
        </w:rPr>
        <w:t>72</w:t>
      </w:r>
      <w:r w:rsidR="00483E94" w:rsidRPr="00E204E6">
        <w:rPr>
          <w:rStyle w:val="Lienhypertexte"/>
          <w:b/>
          <w:lang w:val="fr-FR"/>
        </w:rPr>
        <w:t>/</w:t>
      </w:r>
      <w:r w:rsidR="00697B7C" w:rsidRPr="00E204E6">
        <w:rPr>
          <w:rStyle w:val="Lienhypertexte"/>
          <w:b/>
          <w:lang w:val="fr-FR"/>
        </w:rPr>
        <w:t>44</w:t>
      </w:r>
      <w:r>
        <w:rPr>
          <w:rStyle w:val="Lienhypertexte"/>
          <w:b/>
          <w:lang w:val="fr-FR"/>
        </w:rPr>
        <w:fldChar w:fldCharType="end"/>
      </w:r>
    </w:p>
    <w:p w:rsidR="00483E94" w:rsidRPr="00FA3966" w:rsidRDefault="001D12EC" w:rsidP="00483E94">
      <w:pPr>
        <w:ind w:left="1134"/>
        <w:rPr>
          <w:lang w:val="fr-FR"/>
        </w:rPr>
      </w:pPr>
      <w:r>
        <w:rPr>
          <w:noProof/>
          <w:lang w:eastAsia="fr-CH"/>
        </w:rPr>
        <w:drawing>
          <wp:inline distT="0" distB="0" distL="0" distR="0">
            <wp:extent cx="1190625" cy="1019175"/>
            <wp:effectExtent l="0" t="0" r="9525" b="952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inline>
        </w:drawing>
      </w:r>
    </w:p>
    <w:p w:rsidR="00483E94" w:rsidRPr="00FA3966" w:rsidRDefault="00483E94" w:rsidP="00483E94">
      <w:pPr>
        <w:pStyle w:val="SMG"/>
        <w:spacing w:before="0" w:after="1080"/>
        <w:rPr>
          <w:lang w:val="fr-FR"/>
        </w:rPr>
      </w:pPr>
      <w:r w:rsidRPr="00FA3966">
        <w:rPr>
          <w:lang w:val="fr-FR"/>
        </w:rPr>
        <w:t>Nations Unies</w:t>
      </w:r>
    </w:p>
    <w:p w:rsidR="00483E94" w:rsidRPr="00FA3966" w:rsidRDefault="00483E94" w:rsidP="00483E94">
      <w:pPr>
        <w:pStyle w:val="SLG"/>
        <w:spacing w:after="960"/>
        <w:rPr>
          <w:lang w:val="fr-FR"/>
        </w:rPr>
      </w:pPr>
      <w:r w:rsidRPr="00FA3966">
        <w:rPr>
          <w:lang w:val="fr-FR"/>
        </w:rPr>
        <w:t xml:space="preserve">Rapport du </w:t>
      </w:r>
      <w:r w:rsidR="00697B7C">
        <w:rPr>
          <w:lang w:val="fr-FR"/>
        </w:rPr>
        <w:t xml:space="preserve">Comité </w:t>
      </w:r>
      <w:r w:rsidR="00697B7C">
        <w:rPr>
          <w:lang w:val="fr-FR"/>
        </w:rPr>
        <w:br/>
        <w:t>contre la torture</w:t>
      </w:r>
    </w:p>
    <w:p w:rsidR="00E204E6" w:rsidRPr="00E204E6" w:rsidRDefault="00E204E6" w:rsidP="00E204E6">
      <w:pPr>
        <w:spacing w:after="240"/>
        <w:ind w:left="1134"/>
        <w:rPr>
          <w:b/>
          <w:sz w:val="36"/>
          <w:szCs w:val="36"/>
        </w:rPr>
      </w:pPr>
      <w:r w:rsidRPr="00E204E6">
        <w:rPr>
          <w:b/>
          <w:sz w:val="36"/>
          <w:szCs w:val="36"/>
        </w:rPr>
        <w:t>Cinquante</w:t>
      </w:r>
      <w:r w:rsidRPr="00E204E6">
        <w:rPr>
          <w:b/>
          <w:sz w:val="36"/>
          <w:szCs w:val="36"/>
        </w:rPr>
        <w:noBreakHyphen/>
        <w:t>huitième session</w:t>
      </w:r>
      <w:r w:rsidRPr="00E204E6">
        <w:rPr>
          <w:b/>
          <w:sz w:val="36"/>
          <w:szCs w:val="36"/>
        </w:rPr>
        <w:br/>
        <w:t>(25 juillet-12 août 2016)</w:t>
      </w:r>
    </w:p>
    <w:p w:rsidR="00E204E6" w:rsidRPr="00E204E6" w:rsidRDefault="00E204E6" w:rsidP="00E204E6">
      <w:pPr>
        <w:spacing w:after="240"/>
        <w:ind w:left="1134"/>
        <w:rPr>
          <w:b/>
          <w:sz w:val="36"/>
          <w:szCs w:val="36"/>
        </w:rPr>
      </w:pPr>
      <w:r w:rsidRPr="00E204E6">
        <w:rPr>
          <w:b/>
          <w:sz w:val="36"/>
          <w:szCs w:val="36"/>
        </w:rPr>
        <w:t>Cinquante</w:t>
      </w:r>
      <w:r w:rsidRPr="00E204E6">
        <w:rPr>
          <w:b/>
          <w:sz w:val="36"/>
          <w:szCs w:val="36"/>
        </w:rPr>
        <w:noBreakHyphen/>
        <w:t>neuvième session</w:t>
      </w:r>
      <w:r w:rsidRPr="00E204E6">
        <w:rPr>
          <w:b/>
          <w:sz w:val="36"/>
          <w:szCs w:val="36"/>
        </w:rPr>
        <w:br/>
        <w:t>(7 novembre-7 décembre 2016)</w:t>
      </w:r>
    </w:p>
    <w:p w:rsidR="00483E94" w:rsidRPr="00FA3966" w:rsidRDefault="00E204E6" w:rsidP="00E204E6">
      <w:pPr>
        <w:spacing w:after="240"/>
        <w:ind w:left="1134"/>
        <w:rPr>
          <w:b/>
          <w:sz w:val="36"/>
          <w:szCs w:val="36"/>
          <w:lang w:val="fr-FR"/>
        </w:rPr>
      </w:pPr>
      <w:r>
        <w:rPr>
          <w:b/>
          <w:sz w:val="36"/>
          <w:szCs w:val="36"/>
        </w:rPr>
        <w:t>Soixantième session</w:t>
      </w:r>
      <w:r>
        <w:rPr>
          <w:b/>
          <w:sz w:val="36"/>
          <w:szCs w:val="36"/>
        </w:rPr>
        <w:br/>
        <w:t>(18 avril</w:t>
      </w:r>
      <w:r w:rsidRPr="00E204E6">
        <w:rPr>
          <w:b/>
          <w:sz w:val="36"/>
          <w:szCs w:val="36"/>
        </w:rPr>
        <w:t>-12 mai 2017)</w:t>
      </w:r>
    </w:p>
    <w:p w:rsidR="00483E94" w:rsidRPr="00FA3966" w:rsidRDefault="00483E94" w:rsidP="00E204E6">
      <w:pPr>
        <w:pStyle w:val="SMG"/>
        <w:keepNext w:val="0"/>
        <w:keepLines w:val="0"/>
        <w:spacing w:before="1920" w:after="0"/>
        <w:ind w:right="0"/>
        <w:rPr>
          <w:lang w:val="fr-FR"/>
        </w:rPr>
      </w:pPr>
      <w:r w:rsidRPr="00FA3966">
        <w:rPr>
          <w:lang w:val="fr-FR"/>
        </w:rPr>
        <w:t>Assemblée générale</w:t>
      </w:r>
    </w:p>
    <w:p w:rsidR="00483E94" w:rsidRPr="00FA3966" w:rsidRDefault="00483E94" w:rsidP="00483E94">
      <w:pPr>
        <w:ind w:left="1134"/>
        <w:rPr>
          <w:b/>
          <w:sz w:val="28"/>
          <w:szCs w:val="28"/>
          <w:lang w:val="fr-FR"/>
        </w:rPr>
      </w:pPr>
      <w:r w:rsidRPr="00FA3966">
        <w:rPr>
          <w:b/>
          <w:sz w:val="28"/>
          <w:szCs w:val="28"/>
          <w:lang w:val="fr-FR"/>
        </w:rPr>
        <w:t>Documents officiels</w:t>
      </w:r>
    </w:p>
    <w:p w:rsidR="00483E94" w:rsidRPr="00FA3966" w:rsidRDefault="00E204E6" w:rsidP="00483E94">
      <w:pPr>
        <w:ind w:left="1134" w:right="1134"/>
        <w:rPr>
          <w:b/>
          <w:sz w:val="28"/>
          <w:szCs w:val="28"/>
          <w:lang w:val="fr-FR"/>
        </w:rPr>
      </w:pPr>
      <w:r>
        <w:rPr>
          <w:b/>
          <w:sz w:val="28"/>
          <w:szCs w:val="28"/>
          <w:lang w:val="fr-FR"/>
        </w:rPr>
        <w:t>Soixante-douzième</w:t>
      </w:r>
      <w:r w:rsidR="00483E94">
        <w:rPr>
          <w:b/>
          <w:sz w:val="28"/>
          <w:szCs w:val="28"/>
          <w:lang w:val="fr-FR"/>
        </w:rPr>
        <w:t xml:space="preserve"> </w:t>
      </w:r>
      <w:r w:rsidR="00483E94" w:rsidRPr="00FA3966">
        <w:rPr>
          <w:b/>
          <w:sz w:val="28"/>
          <w:szCs w:val="28"/>
          <w:lang w:val="fr-FR"/>
        </w:rPr>
        <w:t>session</w:t>
      </w:r>
    </w:p>
    <w:p w:rsidR="00483E94" w:rsidRDefault="00483E94" w:rsidP="00483E94">
      <w:pPr>
        <w:ind w:left="1134" w:right="1134"/>
        <w:rPr>
          <w:b/>
          <w:sz w:val="28"/>
          <w:szCs w:val="28"/>
          <w:lang w:val="fr-FR"/>
        </w:rPr>
      </w:pPr>
      <w:r w:rsidRPr="00FA3966">
        <w:rPr>
          <w:b/>
          <w:sz w:val="28"/>
          <w:szCs w:val="28"/>
          <w:lang w:val="fr-FR"/>
        </w:rPr>
        <w:t>Supplément n</w:t>
      </w:r>
      <w:r w:rsidRPr="00FA3966">
        <w:rPr>
          <w:b/>
          <w:sz w:val="28"/>
          <w:szCs w:val="28"/>
          <w:vertAlign w:val="superscript"/>
          <w:lang w:val="fr-FR"/>
        </w:rPr>
        <w:t>o</w:t>
      </w:r>
      <w:r w:rsidRPr="00FA3966">
        <w:rPr>
          <w:b/>
          <w:sz w:val="28"/>
          <w:szCs w:val="28"/>
          <w:lang w:val="fr-FR"/>
        </w:rPr>
        <w:t xml:space="preserve"> </w:t>
      </w:r>
      <w:r w:rsidR="00E204E6">
        <w:rPr>
          <w:b/>
          <w:sz w:val="28"/>
          <w:szCs w:val="28"/>
          <w:lang w:val="fr-FR"/>
        </w:rPr>
        <w:t>44</w:t>
      </w:r>
      <w:r w:rsidR="00D651E4">
        <w:rPr>
          <w:b/>
          <w:sz w:val="28"/>
          <w:szCs w:val="28"/>
          <w:lang w:val="fr-FR"/>
        </w:rPr>
        <w:t xml:space="preserve"> (</w:t>
      </w:r>
      <w:hyperlink r:id="rId9" w:history="1">
        <w:r w:rsidR="00D651E4" w:rsidRPr="00D651E4">
          <w:rPr>
            <w:rStyle w:val="Lienhypertexte"/>
            <w:b/>
            <w:sz w:val="28"/>
            <w:szCs w:val="28"/>
            <w:lang w:val="fr-FR"/>
          </w:rPr>
          <w:t>A/72/44</w:t>
        </w:r>
      </w:hyperlink>
      <w:r w:rsidR="00D651E4">
        <w:rPr>
          <w:b/>
          <w:sz w:val="28"/>
          <w:szCs w:val="28"/>
          <w:lang w:val="fr-FR"/>
        </w:rPr>
        <w:t>)</w:t>
      </w:r>
    </w:p>
    <w:p w:rsidR="0074280A" w:rsidRDefault="0074280A" w:rsidP="0074280A">
      <w:pPr>
        <w:spacing w:after="240"/>
        <w:jc w:val="right"/>
        <w:outlineLvl w:val="0"/>
        <w:rPr>
          <w:b/>
          <w:lang w:val="fr-FR"/>
        </w:rPr>
      </w:pPr>
    </w:p>
    <w:p w:rsidR="0074280A" w:rsidRDefault="0074280A" w:rsidP="0074280A">
      <w:pPr>
        <w:spacing w:after="1200"/>
        <w:outlineLvl w:val="0"/>
        <w:rPr>
          <w:b/>
          <w:lang w:val="fr-FR"/>
        </w:rPr>
      </w:pPr>
    </w:p>
    <w:p w:rsidR="0074280A" w:rsidRDefault="0074280A" w:rsidP="0074280A">
      <w:pPr>
        <w:spacing w:after="1200"/>
        <w:outlineLvl w:val="0"/>
        <w:rPr>
          <w:b/>
          <w:lang w:val="fr-FR"/>
        </w:rPr>
        <w:sectPr w:rsidR="0074280A" w:rsidSect="00F013B7">
          <w:headerReference w:type="even" r:id="rId10"/>
          <w:headerReference w:type="default" r:id="rId11"/>
          <w:footerReference w:type="even" r:id="rId12"/>
          <w:headerReference w:type="first" r:id="rId13"/>
          <w:endnotePr>
            <w:numFmt w:val="decimal"/>
          </w:endnotePr>
          <w:pgSz w:w="11907" w:h="16840" w:code="9"/>
          <w:pgMar w:top="1417" w:right="1134" w:bottom="1134" w:left="1134" w:header="850" w:footer="567" w:gutter="0"/>
          <w:cols w:space="720"/>
          <w:titlePg/>
          <w:docGrid w:linePitch="272"/>
        </w:sectPr>
      </w:pPr>
    </w:p>
    <w:p w:rsidR="00541BE4" w:rsidRPr="00FA3966" w:rsidRDefault="00390349" w:rsidP="00541BE4">
      <w:pPr>
        <w:spacing w:after="1200"/>
        <w:jc w:val="right"/>
        <w:outlineLvl w:val="0"/>
        <w:rPr>
          <w:b/>
          <w:lang w:val="fr-FR"/>
        </w:rPr>
      </w:pPr>
      <w:hyperlink r:id="rId14" w:history="1">
        <w:r w:rsidR="00541BE4" w:rsidRPr="00A87EFE">
          <w:rPr>
            <w:rStyle w:val="Lienhypertexte"/>
            <w:b/>
            <w:lang w:val="fr-FR"/>
          </w:rPr>
          <w:t>A/</w:t>
        </w:r>
        <w:r w:rsidR="00E204E6" w:rsidRPr="00A87EFE">
          <w:rPr>
            <w:rStyle w:val="Lienhypertexte"/>
            <w:b/>
            <w:lang w:val="fr-FR"/>
          </w:rPr>
          <w:t>72</w:t>
        </w:r>
        <w:r w:rsidR="00541BE4" w:rsidRPr="00A87EFE">
          <w:rPr>
            <w:rStyle w:val="Lienhypertexte"/>
            <w:b/>
            <w:lang w:val="fr-FR"/>
          </w:rPr>
          <w:t>/</w:t>
        </w:r>
        <w:r w:rsidR="00E204E6" w:rsidRPr="00A87EFE">
          <w:rPr>
            <w:rStyle w:val="Lienhypertexte"/>
            <w:b/>
            <w:lang w:val="fr-FR"/>
          </w:rPr>
          <w:t>44</w:t>
        </w:r>
      </w:hyperlink>
    </w:p>
    <w:p w:rsidR="00541BE4" w:rsidRPr="00FA3966" w:rsidRDefault="00541BE4" w:rsidP="00541BE4">
      <w:pPr>
        <w:rPr>
          <w:b/>
          <w:sz w:val="24"/>
          <w:szCs w:val="24"/>
          <w:lang w:val="fr-FR"/>
        </w:rPr>
      </w:pPr>
      <w:r w:rsidRPr="00FA3966">
        <w:rPr>
          <w:b/>
          <w:sz w:val="24"/>
          <w:szCs w:val="24"/>
          <w:lang w:val="fr-FR"/>
        </w:rPr>
        <w:t>Assemblée générale</w:t>
      </w:r>
    </w:p>
    <w:p w:rsidR="00541BE4" w:rsidRPr="00FA3966" w:rsidRDefault="00541BE4" w:rsidP="00541BE4">
      <w:pPr>
        <w:rPr>
          <w:sz w:val="24"/>
          <w:szCs w:val="24"/>
          <w:lang w:val="fr-FR"/>
        </w:rPr>
      </w:pPr>
      <w:r w:rsidRPr="00FA3966">
        <w:rPr>
          <w:sz w:val="24"/>
          <w:szCs w:val="24"/>
          <w:lang w:val="fr-FR"/>
        </w:rPr>
        <w:t>Documents officiels</w:t>
      </w:r>
    </w:p>
    <w:p w:rsidR="00541BE4" w:rsidRPr="00FA3966" w:rsidRDefault="00E204E6" w:rsidP="00541BE4">
      <w:pPr>
        <w:rPr>
          <w:sz w:val="24"/>
          <w:szCs w:val="24"/>
          <w:lang w:val="fr-FR"/>
        </w:rPr>
      </w:pPr>
      <w:r>
        <w:rPr>
          <w:sz w:val="24"/>
          <w:szCs w:val="24"/>
          <w:lang w:val="fr-FR"/>
        </w:rPr>
        <w:t>Soixante-douzième</w:t>
      </w:r>
      <w:r w:rsidR="00541BE4">
        <w:rPr>
          <w:sz w:val="24"/>
          <w:szCs w:val="24"/>
          <w:lang w:val="fr-FR"/>
        </w:rPr>
        <w:t xml:space="preserve"> </w:t>
      </w:r>
      <w:r w:rsidR="00541BE4" w:rsidRPr="00FA3966">
        <w:rPr>
          <w:sz w:val="24"/>
          <w:szCs w:val="24"/>
          <w:lang w:val="fr-FR"/>
        </w:rPr>
        <w:t>session</w:t>
      </w:r>
    </w:p>
    <w:p w:rsidR="00541BE4" w:rsidRPr="00FA3966" w:rsidRDefault="00541BE4" w:rsidP="00541BE4">
      <w:pPr>
        <w:spacing w:after="1080"/>
        <w:rPr>
          <w:b/>
          <w:sz w:val="24"/>
          <w:szCs w:val="24"/>
          <w:lang w:val="fr-FR"/>
        </w:rPr>
      </w:pPr>
      <w:r w:rsidRPr="00FA3966">
        <w:rPr>
          <w:sz w:val="24"/>
          <w:szCs w:val="24"/>
          <w:lang w:val="fr-FR"/>
        </w:rPr>
        <w:t>Supplément n</w:t>
      </w:r>
      <w:r w:rsidRPr="00FA3966">
        <w:rPr>
          <w:sz w:val="24"/>
          <w:szCs w:val="24"/>
          <w:vertAlign w:val="superscript"/>
          <w:lang w:val="fr-FR"/>
        </w:rPr>
        <w:t>o</w:t>
      </w:r>
      <w:r w:rsidRPr="00FA3966">
        <w:rPr>
          <w:sz w:val="24"/>
          <w:szCs w:val="24"/>
          <w:lang w:val="fr-FR"/>
        </w:rPr>
        <w:t xml:space="preserve"> </w:t>
      </w:r>
      <w:r w:rsidR="00E204E6">
        <w:rPr>
          <w:sz w:val="24"/>
          <w:szCs w:val="24"/>
          <w:lang w:val="fr-FR"/>
        </w:rPr>
        <w:t>44</w:t>
      </w:r>
      <w:r w:rsidR="00FB1C8F">
        <w:rPr>
          <w:sz w:val="24"/>
          <w:szCs w:val="24"/>
          <w:lang w:val="fr-FR"/>
        </w:rPr>
        <w:t xml:space="preserve"> </w:t>
      </w:r>
    </w:p>
    <w:p w:rsidR="00541BE4" w:rsidRPr="00FA3966" w:rsidRDefault="00541BE4" w:rsidP="00DF4D0D">
      <w:pPr>
        <w:pStyle w:val="SMG"/>
        <w:spacing w:before="0" w:after="960"/>
        <w:rPr>
          <w:szCs w:val="40"/>
          <w:lang w:val="fr-FR"/>
        </w:rPr>
      </w:pPr>
      <w:r w:rsidRPr="00FA3966">
        <w:rPr>
          <w:lang w:val="fr-FR"/>
        </w:rPr>
        <w:t xml:space="preserve">Rapport du </w:t>
      </w:r>
      <w:r w:rsidR="00E204E6">
        <w:rPr>
          <w:lang w:val="fr-FR"/>
        </w:rPr>
        <w:t>Comité contre la torture</w:t>
      </w:r>
    </w:p>
    <w:p w:rsidR="00E204E6" w:rsidRPr="00E204E6" w:rsidRDefault="00E204E6" w:rsidP="00E204E6">
      <w:pPr>
        <w:spacing w:after="120"/>
        <w:ind w:left="1134"/>
        <w:rPr>
          <w:b/>
          <w:sz w:val="28"/>
          <w:szCs w:val="28"/>
        </w:rPr>
      </w:pPr>
      <w:r w:rsidRPr="00E204E6">
        <w:rPr>
          <w:b/>
          <w:sz w:val="28"/>
          <w:szCs w:val="28"/>
        </w:rPr>
        <w:t>Cinquante</w:t>
      </w:r>
      <w:r w:rsidRPr="00E204E6">
        <w:rPr>
          <w:b/>
          <w:sz w:val="28"/>
          <w:szCs w:val="28"/>
        </w:rPr>
        <w:noBreakHyphen/>
        <w:t>huitième session</w:t>
      </w:r>
      <w:r w:rsidRPr="00E204E6">
        <w:rPr>
          <w:b/>
          <w:sz w:val="28"/>
          <w:szCs w:val="28"/>
        </w:rPr>
        <w:br/>
        <w:t>(25 juillet-12 août 2016)</w:t>
      </w:r>
    </w:p>
    <w:p w:rsidR="00E204E6" w:rsidRPr="00E204E6" w:rsidRDefault="00E204E6" w:rsidP="00E204E6">
      <w:pPr>
        <w:spacing w:after="120"/>
        <w:ind w:left="1134"/>
        <w:rPr>
          <w:b/>
          <w:sz w:val="28"/>
          <w:szCs w:val="28"/>
        </w:rPr>
      </w:pPr>
      <w:r w:rsidRPr="00E204E6">
        <w:rPr>
          <w:b/>
          <w:sz w:val="28"/>
          <w:szCs w:val="28"/>
        </w:rPr>
        <w:t>Cinquante</w:t>
      </w:r>
      <w:r w:rsidRPr="00E204E6">
        <w:rPr>
          <w:b/>
          <w:sz w:val="28"/>
          <w:szCs w:val="28"/>
        </w:rPr>
        <w:noBreakHyphen/>
        <w:t>neuvième session</w:t>
      </w:r>
      <w:r w:rsidRPr="00E204E6">
        <w:rPr>
          <w:b/>
          <w:sz w:val="28"/>
          <w:szCs w:val="28"/>
        </w:rPr>
        <w:br/>
        <w:t>(7 novembre-7 décembre 2016)</w:t>
      </w:r>
    </w:p>
    <w:p w:rsidR="00541BE4" w:rsidRPr="00FA3966" w:rsidRDefault="00E204E6" w:rsidP="00E204E6">
      <w:pPr>
        <w:spacing w:after="120"/>
        <w:ind w:left="1134"/>
        <w:rPr>
          <w:b/>
          <w:sz w:val="28"/>
          <w:szCs w:val="28"/>
          <w:lang w:val="fr-FR"/>
        </w:rPr>
      </w:pPr>
      <w:r w:rsidRPr="00E204E6">
        <w:rPr>
          <w:b/>
          <w:sz w:val="28"/>
          <w:szCs w:val="28"/>
        </w:rPr>
        <w:t>Soixantième session</w:t>
      </w:r>
      <w:r w:rsidRPr="00E204E6">
        <w:rPr>
          <w:b/>
          <w:sz w:val="28"/>
          <w:szCs w:val="28"/>
        </w:rPr>
        <w:br/>
        <w:t>(18 avril-12 mai 2017)</w:t>
      </w:r>
    </w:p>
    <w:p w:rsidR="00DF4D0D" w:rsidRDefault="001D12EC" w:rsidP="00DF4D0D">
      <w:pPr>
        <w:spacing w:before="5200"/>
        <w:ind w:left="1134"/>
        <w:outlineLvl w:val="0"/>
      </w:pPr>
      <w:r>
        <w:rPr>
          <w:noProof/>
          <w:lang w:eastAsia="fr-CH"/>
        </w:rPr>
        <w:drawing>
          <wp:inline distT="0" distB="0" distL="0" distR="0" wp14:anchorId="2099E800" wp14:editId="4B6600B8">
            <wp:extent cx="533400" cy="49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25" t="-133" r="-125" b="-133"/>
                    <a:stretch>
                      <a:fillRect/>
                    </a:stretch>
                  </pic:blipFill>
                  <pic:spPr bwMode="auto">
                    <a:xfrm>
                      <a:off x="0" y="0"/>
                      <a:ext cx="533400" cy="495300"/>
                    </a:xfrm>
                    <a:prstGeom prst="rect">
                      <a:avLst/>
                    </a:prstGeom>
                    <a:noFill/>
                    <a:ln>
                      <a:noFill/>
                    </a:ln>
                  </pic:spPr>
                </pic:pic>
              </a:graphicData>
            </a:graphic>
          </wp:inline>
        </w:drawing>
      </w:r>
      <w:r w:rsidR="00DF4D0D">
        <w:t xml:space="preserve"> </w:t>
      </w:r>
    </w:p>
    <w:p w:rsidR="00541BE4" w:rsidRPr="00FA3966" w:rsidRDefault="00541BE4" w:rsidP="00541BE4">
      <w:pPr>
        <w:ind w:left="1134"/>
        <w:outlineLvl w:val="0"/>
        <w:rPr>
          <w:b/>
          <w:sz w:val="24"/>
          <w:szCs w:val="24"/>
          <w:lang w:val="fr-FR"/>
        </w:rPr>
      </w:pPr>
      <w:r w:rsidRPr="00FA3966">
        <w:rPr>
          <w:b/>
          <w:noProof/>
          <w:sz w:val="28"/>
          <w:lang w:val="fr-FR"/>
        </w:rPr>
        <w:t>Nations Unies</w:t>
      </w:r>
      <w:r w:rsidRPr="00FA3966">
        <w:rPr>
          <w:b/>
          <w:sz w:val="28"/>
          <w:lang w:val="fr-FR"/>
        </w:rPr>
        <w:t xml:space="preserve"> • New York, </w:t>
      </w:r>
      <w:r w:rsidR="00A87EFE">
        <w:rPr>
          <w:b/>
          <w:sz w:val="28"/>
          <w:lang w:val="fr-FR"/>
        </w:rPr>
        <w:t>2017</w:t>
      </w:r>
    </w:p>
    <w:p w:rsidR="00541BE4" w:rsidRPr="00FA3966" w:rsidRDefault="00541BE4" w:rsidP="00541BE4">
      <w:pPr>
        <w:spacing w:before="4800" w:after="120"/>
        <w:ind w:left="1134"/>
        <w:rPr>
          <w:i/>
          <w:lang w:val="fr-FR"/>
        </w:rPr>
      </w:pPr>
      <w:r w:rsidRPr="00FA3966">
        <w:rPr>
          <w:lang w:val="fr-FR"/>
        </w:rPr>
        <w:br w:type="page"/>
      </w:r>
      <w:r w:rsidRPr="00FA3966">
        <w:rPr>
          <w:i/>
          <w:lang w:val="fr-FR"/>
        </w:rPr>
        <w:lastRenderedPageBreak/>
        <w:t>Note</w:t>
      </w:r>
    </w:p>
    <w:p w:rsidR="00541BE4" w:rsidRPr="00FA3966" w:rsidRDefault="00541BE4" w:rsidP="00270821">
      <w:pPr>
        <w:pStyle w:val="SingleTxtG"/>
        <w:ind w:firstLine="567"/>
        <w:rPr>
          <w:lang w:val="fr-FR"/>
        </w:rPr>
      </w:pPr>
      <w:r w:rsidRPr="00FA3966">
        <w:rPr>
          <w:bCs/>
          <w:lang w:val="fr-FR"/>
        </w:rPr>
        <w:t>Les cotes des documents de l</w:t>
      </w:r>
      <w:r w:rsidR="00993CE3">
        <w:rPr>
          <w:bCs/>
          <w:lang w:val="fr-FR"/>
        </w:rPr>
        <w:t>’</w:t>
      </w:r>
      <w:r w:rsidRPr="00FA3966">
        <w:rPr>
          <w:bCs/>
          <w:lang w:val="fr-FR"/>
        </w:rPr>
        <w:t>Organisation des Nations Unies se composent de lettres majuscules et de chiffres. La simple mention d</w:t>
      </w:r>
      <w:r w:rsidR="00993CE3">
        <w:rPr>
          <w:bCs/>
          <w:lang w:val="fr-FR"/>
        </w:rPr>
        <w:t>’</w:t>
      </w:r>
      <w:r w:rsidRPr="00FA3966">
        <w:rPr>
          <w:bCs/>
          <w:lang w:val="fr-FR"/>
        </w:rPr>
        <w:t>une cote dans un texte signifie qu</w:t>
      </w:r>
      <w:r w:rsidR="00993CE3">
        <w:rPr>
          <w:bCs/>
          <w:lang w:val="fr-FR"/>
        </w:rPr>
        <w:t>’</w:t>
      </w:r>
      <w:r w:rsidRPr="00FA3966">
        <w:rPr>
          <w:bCs/>
          <w:lang w:val="fr-FR"/>
        </w:rPr>
        <w:t>il s</w:t>
      </w:r>
      <w:r w:rsidR="00993CE3">
        <w:rPr>
          <w:bCs/>
          <w:lang w:val="fr-FR"/>
        </w:rPr>
        <w:t>’</w:t>
      </w:r>
      <w:r w:rsidRPr="00FA3966">
        <w:rPr>
          <w:bCs/>
          <w:lang w:val="fr-FR"/>
        </w:rPr>
        <w:t>agit d</w:t>
      </w:r>
      <w:r w:rsidR="00993CE3">
        <w:rPr>
          <w:bCs/>
          <w:lang w:val="fr-FR"/>
        </w:rPr>
        <w:t>’</w:t>
      </w:r>
      <w:r w:rsidRPr="00FA3966">
        <w:rPr>
          <w:bCs/>
          <w:lang w:val="fr-FR"/>
        </w:rPr>
        <w:t>un document de l</w:t>
      </w:r>
      <w:r w:rsidR="00993CE3">
        <w:rPr>
          <w:bCs/>
          <w:lang w:val="fr-FR"/>
        </w:rPr>
        <w:t>’</w:t>
      </w:r>
      <w:r w:rsidRPr="00FA3966">
        <w:rPr>
          <w:bCs/>
          <w:lang w:val="fr-FR"/>
        </w:rPr>
        <w:t>Organisation.</w:t>
      </w:r>
    </w:p>
    <w:p w:rsidR="00541BE4" w:rsidRDefault="00541BE4" w:rsidP="00C451B9">
      <w:pPr>
        <w:sectPr w:rsidR="00541BE4" w:rsidSect="006D5DD3">
          <w:headerReference w:type="even" r:id="rId16"/>
          <w:footerReference w:type="even" r:id="rId17"/>
          <w:endnotePr>
            <w:numFmt w:val="decimal"/>
          </w:endnotePr>
          <w:type w:val="oddPage"/>
          <w:pgSz w:w="11907" w:h="16840" w:code="9"/>
          <w:pgMar w:top="1417" w:right="1134" w:bottom="1134" w:left="1134" w:header="850" w:footer="567" w:gutter="0"/>
          <w:cols w:space="720"/>
          <w:docGrid w:linePitch="272"/>
        </w:sectPr>
      </w:pP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8A4007" w:rsidTr="00786702">
        <w:trPr>
          <w:jc w:val="center"/>
        </w:trPr>
        <w:tc>
          <w:tcPr>
            <w:tcW w:w="9637" w:type="dxa"/>
            <w:shd w:val="clear" w:color="auto" w:fill="auto"/>
          </w:tcPr>
          <w:p w:rsidR="008A4007" w:rsidRPr="000001E7" w:rsidRDefault="008A4007" w:rsidP="00786702">
            <w:pPr>
              <w:spacing w:before="240" w:after="120"/>
              <w:ind w:left="255"/>
              <w:rPr>
                <w:i/>
                <w:sz w:val="24"/>
              </w:rPr>
            </w:pPr>
            <w:r w:rsidRPr="000001E7">
              <w:rPr>
                <w:i/>
                <w:sz w:val="24"/>
              </w:rPr>
              <w:lastRenderedPageBreak/>
              <w:t>Résumé</w:t>
            </w:r>
          </w:p>
        </w:tc>
      </w:tr>
      <w:tr w:rsidR="008A4007" w:rsidTr="00786702">
        <w:trPr>
          <w:jc w:val="center"/>
        </w:trPr>
        <w:tc>
          <w:tcPr>
            <w:tcW w:w="9637" w:type="dxa"/>
            <w:shd w:val="clear" w:color="auto" w:fill="auto"/>
          </w:tcPr>
          <w:p w:rsidR="008A4007" w:rsidRDefault="002724B6" w:rsidP="00786702">
            <w:pPr>
              <w:pStyle w:val="SingleTxtG"/>
            </w:pPr>
            <w:r>
              <w:tab/>
            </w:r>
            <w:r w:rsidRPr="00943639">
              <w:t>Le présent rapport annuel porte sur la période allant du 14 mai 2016 au 12 mai 2017, pendant laquelle le Comité contre la torture a tenu ses cinquante-huitième, cinquante-neuvième et soixantième sessions. Au 12 mai 2017, 161 États étaient parties à la Convention contre la torture et autres peines ou traitements cruels, inhumains ou dégradants</w:t>
            </w:r>
            <w:r w:rsidRPr="0078026A">
              <w:rPr>
                <w:lang w:val="fr-FR"/>
              </w:rPr>
              <w:t>.</w:t>
            </w:r>
          </w:p>
        </w:tc>
      </w:tr>
      <w:tr w:rsidR="002724B6" w:rsidTr="00786702">
        <w:trPr>
          <w:jc w:val="center"/>
        </w:trPr>
        <w:tc>
          <w:tcPr>
            <w:tcW w:w="9637" w:type="dxa"/>
            <w:shd w:val="clear" w:color="auto" w:fill="auto"/>
          </w:tcPr>
          <w:p w:rsidR="002724B6" w:rsidRDefault="002724B6" w:rsidP="00B97A07">
            <w:pPr>
              <w:pStyle w:val="SingleTxtG"/>
            </w:pPr>
            <w:r>
              <w:tab/>
            </w:r>
            <w:r w:rsidR="00786702" w:rsidRPr="002724B6">
              <w:t>Pendant la période considérée, le Comité a examiné 17 rapports soumis par des États parties en application de l</w:t>
            </w:r>
            <w:r w:rsidR="00993CE3">
              <w:t>’</w:t>
            </w:r>
            <w:r w:rsidR="00786702" w:rsidRPr="002724B6">
              <w:t>article 19 de la Convention (voir chap. III) et adopté des observations finales à leur sujet. À sa cinquante</w:t>
            </w:r>
            <w:r w:rsidR="00786702" w:rsidRPr="002724B6">
              <w:noBreakHyphen/>
              <w:t>huitième</w:t>
            </w:r>
            <w:r w:rsidR="00B97A07">
              <w:t xml:space="preserve"> </w:t>
            </w:r>
            <w:r w:rsidR="00786702" w:rsidRPr="002724B6">
              <w:t>session, il a examiné les rapports du Burundi, du Honduras, du Koweït et de la Mongolie. À sa cinquante</w:t>
            </w:r>
            <w:r w:rsidR="00786702" w:rsidRPr="002724B6">
              <w:noBreakHyphen/>
              <w:t>neuvième session, il a examiné les rapports de l</w:t>
            </w:r>
            <w:r w:rsidR="00993CE3">
              <w:t>’</w:t>
            </w:r>
            <w:r w:rsidR="00786702" w:rsidRPr="002724B6">
              <w:t>Arménie, de l</w:t>
            </w:r>
            <w:r w:rsidR="00993CE3">
              <w:t>’</w:t>
            </w:r>
            <w:r w:rsidR="00786702" w:rsidRPr="002724B6">
              <w:t>Équateur, de la Finlande, de Monaco, de la Namibie, de Sri Lanka et du Turkménistan ainsi que la situation de Cabo Verde en l</w:t>
            </w:r>
            <w:r w:rsidR="00993CE3">
              <w:t>’</w:t>
            </w:r>
            <w:r w:rsidR="00786702" w:rsidRPr="002724B6">
              <w:t>absence de rapport. À sa soixantième session, il a examiné les rapports de l</w:t>
            </w:r>
            <w:r w:rsidR="00993CE3">
              <w:t>’</w:t>
            </w:r>
            <w:r w:rsidR="00786702" w:rsidRPr="002724B6">
              <w:t>Afghanistan, de l</w:t>
            </w:r>
            <w:r w:rsidR="00993CE3">
              <w:t>’</w:t>
            </w:r>
            <w:r w:rsidR="00786702" w:rsidRPr="002724B6">
              <w:t>Argentine, du Bahreïn, du Liban, du Pakistan et de la République de Corée</w:t>
            </w:r>
            <w:r w:rsidR="00786702" w:rsidRPr="002724B6">
              <w:rPr>
                <w:lang w:val="fr-FR"/>
              </w:rPr>
              <w:t>.</w:t>
            </w:r>
          </w:p>
        </w:tc>
      </w:tr>
      <w:tr w:rsidR="002724B6" w:rsidTr="00786702">
        <w:trPr>
          <w:jc w:val="center"/>
        </w:trPr>
        <w:tc>
          <w:tcPr>
            <w:tcW w:w="9637" w:type="dxa"/>
            <w:shd w:val="clear" w:color="auto" w:fill="auto"/>
          </w:tcPr>
          <w:p w:rsidR="002724B6" w:rsidRDefault="002724B6" w:rsidP="00786702">
            <w:pPr>
              <w:pStyle w:val="SingleTxtG"/>
            </w:pPr>
            <w:r>
              <w:tab/>
            </w:r>
            <w:r w:rsidRPr="00943639">
              <w:t>Le Comité regrette que certains États parties ne s</w:t>
            </w:r>
            <w:r w:rsidR="00993CE3">
              <w:t>’</w:t>
            </w:r>
            <w:r w:rsidRPr="00943639">
              <w:t>acquittent pas de leur obligation de soumettre des rapports en application de l</w:t>
            </w:r>
            <w:r w:rsidR="00993CE3">
              <w:t>’</w:t>
            </w:r>
            <w:r w:rsidRPr="00943639">
              <w:t>article 19 de la Convention. Au moment de l</w:t>
            </w:r>
            <w:r w:rsidR="00993CE3">
              <w:t>’</w:t>
            </w:r>
            <w:r w:rsidRPr="00943639">
              <w:t>établissement du présent rapport, 27 rapports initiaux et 38 rapports périodiques étaient en retard (voir chap. </w:t>
            </w:r>
            <w:r w:rsidRPr="0078026A">
              <w:t>II)</w:t>
            </w:r>
            <w:r w:rsidRPr="0078026A">
              <w:rPr>
                <w:lang w:val="fr-FR"/>
              </w:rPr>
              <w:t>.</w:t>
            </w:r>
          </w:p>
        </w:tc>
      </w:tr>
      <w:tr w:rsidR="002724B6" w:rsidTr="00786702">
        <w:trPr>
          <w:jc w:val="center"/>
        </w:trPr>
        <w:tc>
          <w:tcPr>
            <w:tcW w:w="9637" w:type="dxa"/>
            <w:shd w:val="clear" w:color="auto" w:fill="auto"/>
          </w:tcPr>
          <w:p w:rsidR="002724B6" w:rsidRDefault="002724B6" w:rsidP="00786702">
            <w:pPr>
              <w:pStyle w:val="SingleTxtG"/>
            </w:pPr>
            <w:r>
              <w:tab/>
            </w:r>
            <w:r w:rsidRPr="00943639">
              <w:t>La procédure instaurée par le Comité pour suivre l</w:t>
            </w:r>
            <w:r w:rsidR="00993CE3">
              <w:t>’</w:t>
            </w:r>
            <w:r w:rsidRPr="00943639">
              <w:t xml:space="preserve">application des observations finales a continué de se développer au cours de la période considérée (voir chap. IV). Le Comité remercie les États parties qui ont fait parvenir </w:t>
            </w:r>
            <w:r w:rsidRPr="00943639">
              <w:rPr>
                <w:rFonts w:eastAsia="Calibri"/>
              </w:rPr>
              <w:t>un complément d</w:t>
            </w:r>
            <w:r w:rsidR="00993CE3">
              <w:rPr>
                <w:rFonts w:eastAsia="Calibri"/>
              </w:rPr>
              <w:t>’</w:t>
            </w:r>
            <w:r w:rsidRPr="00943639">
              <w:rPr>
                <w:rFonts w:eastAsia="Calibri"/>
              </w:rPr>
              <w:t>information détaillé dans les délais impartis</w:t>
            </w:r>
            <w:r w:rsidRPr="00943639">
              <w:t xml:space="preserve"> au Rapporteur</w:t>
            </w:r>
            <w:r w:rsidRPr="00943639">
              <w:rPr>
                <w:rFonts w:eastAsia="Calibri"/>
              </w:rPr>
              <w:t xml:space="preserve"> </w:t>
            </w:r>
            <w:r w:rsidRPr="00943639">
              <w:t>chargé du suivi au titre de l</w:t>
            </w:r>
            <w:r w:rsidR="00993CE3">
              <w:t>’</w:t>
            </w:r>
            <w:r w:rsidRPr="00943639">
              <w:t>article 19</w:t>
            </w:r>
            <w:r w:rsidRPr="0078026A">
              <w:rPr>
                <w:lang w:val="fr-FR"/>
              </w:rPr>
              <w:t>.</w:t>
            </w:r>
          </w:p>
        </w:tc>
      </w:tr>
      <w:tr w:rsidR="002724B6" w:rsidTr="00786702">
        <w:trPr>
          <w:jc w:val="center"/>
        </w:trPr>
        <w:tc>
          <w:tcPr>
            <w:tcW w:w="9637" w:type="dxa"/>
            <w:shd w:val="clear" w:color="auto" w:fill="auto"/>
          </w:tcPr>
          <w:p w:rsidR="002724B6" w:rsidRDefault="002724B6" w:rsidP="00786702">
            <w:pPr>
              <w:pStyle w:val="SingleTxtG"/>
            </w:pPr>
            <w:r>
              <w:tab/>
            </w:r>
            <w:r w:rsidRPr="00943639">
              <w:t>Les activités menées par le Comité dans le cadre de la procédure prévue à l</w:t>
            </w:r>
            <w:r w:rsidR="00993CE3">
              <w:t>’</w:t>
            </w:r>
            <w:r w:rsidRPr="00943639">
              <w:t>article 20 de la Convention se sont poursuivies pendant la période couverte par le rapport, et une enquête a été menée concernant l</w:t>
            </w:r>
            <w:r w:rsidR="00993CE3">
              <w:t>’</w:t>
            </w:r>
            <w:r w:rsidRPr="00943639">
              <w:t>Égypte (voir chap. </w:t>
            </w:r>
            <w:r w:rsidRPr="0078026A">
              <w:t>V</w:t>
            </w:r>
            <w:r w:rsidRPr="0078026A">
              <w:rPr>
                <w:lang w:val="fr-FR"/>
              </w:rPr>
              <w:t>).</w:t>
            </w:r>
          </w:p>
        </w:tc>
      </w:tr>
      <w:tr w:rsidR="002724B6" w:rsidTr="00786702">
        <w:trPr>
          <w:jc w:val="center"/>
        </w:trPr>
        <w:tc>
          <w:tcPr>
            <w:tcW w:w="9637" w:type="dxa"/>
            <w:shd w:val="clear" w:color="auto" w:fill="auto"/>
          </w:tcPr>
          <w:p w:rsidR="002724B6" w:rsidRPr="00943639" w:rsidRDefault="002724B6" w:rsidP="00786702">
            <w:pPr>
              <w:pStyle w:val="SingleTxtG"/>
            </w:pPr>
            <w:r>
              <w:tab/>
            </w:r>
            <w:r w:rsidRPr="00943639">
              <w:t>Le Comité a adopté 35 décisions au titre de l</w:t>
            </w:r>
            <w:r w:rsidR="00993CE3">
              <w:t>’</w:t>
            </w:r>
            <w:r w:rsidRPr="00943639">
              <w:t>article 22 de la Convention et a déclaré trois communications recevables et six communications irrecevables. Il a mis fin à l</w:t>
            </w:r>
            <w:r w:rsidR="00993CE3">
              <w:t>’</w:t>
            </w:r>
            <w:r w:rsidRPr="00943639">
              <w:t>examen de 18 requêtes (voir chap. VI). À ce jour, 825 requêtes ont été enregistrées depuis l</w:t>
            </w:r>
            <w:r w:rsidR="00993CE3">
              <w:t>’</w:t>
            </w:r>
            <w:r w:rsidRPr="00943639">
              <w:t>entrée en vigueur de la Convention, dont 75 depuis l</w:t>
            </w:r>
            <w:r w:rsidR="00993CE3">
              <w:t>’</w:t>
            </w:r>
            <w:r w:rsidRPr="00943639">
              <w:t>établissement du précédent rapport</w:t>
            </w:r>
            <w:r w:rsidRPr="0078026A">
              <w:rPr>
                <w:lang w:val="fr-FR"/>
              </w:rPr>
              <w:t>.</w:t>
            </w:r>
          </w:p>
        </w:tc>
      </w:tr>
      <w:tr w:rsidR="002724B6" w:rsidTr="00786702">
        <w:trPr>
          <w:jc w:val="center"/>
        </w:trPr>
        <w:tc>
          <w:tcPr>
            <w:tcW w:w="9637" w:type="dxa"/>
            <w:shd w:val="clear" w:color="auto" w:fill="auto"/>
          </w:tcPr>
          <w:p w:rsidR="002724B6" w:rsidRPr="00943639" w:rsidRDefault="002724B6" w:rsidP="00786702">
            <w:pPr>
              <w:pStyle w:val="SingleTxtG"/>
            </w:pPr>
            <w:r>
              <w:tab/>
            </w:r>
            <w:r w:rsidRPr="00943639">
              <w:t>La charge de travail du Comité au titre de l</w:t>
            </w:r>
            <w:r w:rsidR="00993CE3">
              <w:t>’</w:t>
            </w:r>
            <w:r w:rsidRPr="00943639">
              <w:t>article 22 continue d</w:t>
            </w:r>
            <w:r w:rsidR="00993CE3">
              <w:t>’</w:t>
            </w:r>
            <w:r w:rsidRPr="00943639">
              <w:t>augmenter, comme l</w:t>
            </w:r>
            <w:r w:rsidR="00993CE3">
              <w:t>’</w:t>
            </w:r>
            <w:r w:rsidRPr="00943639">
              <w:t>atteste le grand nombre de requêtes enregistrées pendant la période couverte par le rapport. À la fin de la soixantième session, le Comité avait encore à examiner 175</w:t>
            </w:r>
            <w:r w:rsidRPr="00943639">
              <w:rPr>
                <w:rFonts w:eastAsia="Calibri"/>
              </w:rPr>
              <w:t xml:space="preserve"> requêtes (voir chap. </w:t>
            </w:r>
            <w:r w:rsidRPr="0078026A">
              <w:rPr>
                <w:rFonts w:eastAsia="Calibri"/>
              </w:rPr>
              <w:t>VI)</w:t>
            </w:r>
            <w:r w:rsidRPr="0078026A">
              <w:rPr>
                <w:lang w:val="fr-FR"/>
              </w:rPr>
              <w:t>.</w:t>
            </w:r>
          </w:p>
        </w:tc>
      </w:tr>
      <w:tr w:rsidR="002724B6" w:rsidTr="00786702">
        <w:trPr>
          <w:jc w:val="center"/>
        </w:trPr>
        <w:tc>
          <w:tcPr>
            <w:tcW w:w="9637" w:type="dxa"/>
            <w:shd w:val="clear" w:color="auto" w:fill="auto"/>
          </w:tcPr>
          <w:p w:rsidR="002724B6" w:rsidRPr="00943639" w:rsidRDefault="002724B6" w:rsidP="00786702">
            <w:pPr>
              <w:pStyle w:val="SingleTxtG"/>
            </w:pPr>
            <w:r>
              <w:tab/>
            </w:r>
            <w:r w:rsidRPr="00943639">
              <w:t>Le Comité note une fois de plus que certains États n</w:t>
            </w:r>
            <w:r w:rsidR="00993CE3">
              <w:t>’</w:t>
            </w:r>
            <w:r w:rsidRPr="00943639">
              <w:t>ont pas donné suite aux décisions qu</w:t>
            </w:r>
            <w:r w:rsidR="00993CE3">
              <w:t>’</w:t>
            </w:r>
            <w:r w:rsidRPr="00943639">
              <w:t>il avait rendues sur des requêtes les concernant. Il a continué de s</w:t>
            </w:r>
            <w:r w:rsidR="00993CE3">
              <w:t>’</w:t>
            </w:r>
            <w:r w:rsidRPr="00943639">
              <w:t>efforcer d</w:t>
            </w:r>
            <w:r w:rsidR="00993CE3">
              <w:t>’</w:t>
            </w:r>
            <w:r w:rsidRPr="00943639">
              <w:t>obtenir l</w:t>
            </w:r>
            <w:r w:rsidR="00993CE3">
              <w:t>’</w:t>
            </w:r>
            <w:r w:rsidRPr="00943639">
              <w:t>application de ses décisions par l</w:t>
            </w:r>
            <w:r w:rsidR="00993CE3">
              <w:t>’</w:t>
            </w:r>
            <w:r w:rsidRPr="00943639">
              <w:t>intermédiaire de son rapporteur chargé du suivi des décisions adoptées au titre de l</w:t>
            </w:r>
            <w:r w:rsidR="00993CE3">
              <w:t>’</w:t>
            </w:r>
            <w:r w:rsidRPr="00943639">
              <w:t>article 22 de la Convention (voir chap. </w:t>
            </w:r>
            <w:r w:rsidRPr="0078026A">
              <w:t>VI</w:t>
            </w:r>
            <w:r w:rsidRPr="0078026A">
              <w:rPr>
                <w:lang w:val="fr-FR"/>
              </w:rPr>
              <w:t>).</w:t>
            </w:r>
          </w:p>
        </w:tc>
      </w:tr>
      <w:tr w:rsidR="002724B6" w:rsidTr="00786702">
        <w:trPr>
          <w:jc w:val="center"/>
        </w:trPr>
        <w:tc>
          <w:tcPr>
            <w:tcW w:w="9637" w:type="dxa"/>
            <w:shd w:val="clear" w:color="auto" w:fill="auto"/>
          </w:tcPr>
          <w:p w:rsidR="002724B6" w:rsidRPr="00943639" w:rsidRDefault="002724B6" w:rsidP="00B230DC">
            <w:pPr>
              <w:pStyle w:val="SingleTxtG"/>
            </w:pPr>
            <w:r>
              <w:tab/>
            </w:r>
            <w:r w:rsidRPr="001C1DB9">
              <w:rPr>
                <w:lang w:val="fr-FR"/>
              </w:rPr>
              <w:t>Le Comité a tenu une consultation publique sur un projet d</w:t>
            </w:r>
            <w:r w:rsidR="00993CE3">
              <w:rPr>
                <w:lang w:val="fr-FR"/>
              </w:rPr>
              <w:t>’</w:t>
            </w:r>
            <w:r w:rsidRPr="001C1DB9">
              <w:rPr>
                <w:lang w:val="fr-FR"/>
              </w:rPr>
              <w:t>observation générale révisée concernant l</w:t>
            </w:r>
            <w:r w:rsidR="00993CE3">
              <w:rPr>
                <w:lang w:val="fr-FR"/>
              </w:rPr>
              <w:t>’</w:t>
            </w:r>
            <w:r w:rsidRPr="001C1DB9">
              <w:rPr>
                <w:lang w:val="fr-FR"/>
              </w:rPr>
              <w:t>article</w:t>
            </w:r>
            <w:r w:rsidR="00B230DC">
              <w:rPr>
                <w:lang w:val="fr-FR"/>
              </w:rPr>
              <w:t xml:space="preserve"> 3 de la Convention (voir chap. </w:t>
            </w:r>
            <w:r w:rsidRPr="001C1DB9">
              <w:rPr>
                <w:lang w:val="fr-FR"/>
              </w:rPr>
              <w:t>I). Il a également accordé une attention particulière à la question des représailles et a demandé un rapport spécial au Burundi (voir chap.</w:t>
            </w:r>
            <w:r w:rsidR="00B230DC">
              <w:rPr>
                <w:lang w:val="fr-FR"/>
              </w:rPr>
              <w:t> </w:t>
            </w:r>
            <w:r w:rsidRPr="001C1DB9">
              <w:rPr>
                <w:lang w:val="fr-FR"/>
              </w:rPr>
              <w:t>I et II).</w:t>
            </w:r>
          </w:p>
        </w:tc>
      </w:tr>
      <w:tr w:rsidR="008A4007" w:rsidTr="00786702">
        <w:trPr>
          <w:jc w:val="center"/>
        </w:trPr>
        <w:tc>
          <w:tcPr>
            <w:tcW w:w="9637" w:type="dxa"/>
            <w:shd w:val="clear" w:color="auto" w:fill="auto"/>
          </w:tcPr>
          <w:p w:rsidR="008A4007" w:rsidRDefault="008A4007" w:rsidP="00786702"/>
        </w:tc>
      </w:tr>
    </w:tbl>
    <w:p w:rsidR="008A4007" w:rsidRDefault="008A4007" w:rsidP="008A4007">
      <w:pPr>
        <w:spacing w:after="120"/>
        <w:sectPr w:rsidR="008A4007" w:rsidSect="008A4007">
          <w:headerReference w:type="default" r:id="rId18"/>
          <w:footerReference w:type="default" r:id="rId19"/>
          <w:headerReference w:type="first" r:id="rId20"/>
          <w:footerReference w:type="first" r:id="rId21"/>
          <w:endnotePr>
            <w:numFmt w:val="decimal"/>
          </w:endnotePr>
          <w:pgSz w:w="11907" w:h="16840" w:code="9"/>
          <w:pgMar w:top="1417" w:right="1134" w:bottom="1134" w:left="1134" w:header="850" w:footer="567" w:gutter="0"/>
          <w:pgNumType w:fmt="lowerRoman" w:start="3"/>
          <w:cols w:space="720"/>
          <w:titlePg/>
          <w:docGrid w:linePitch="272"/>
        </w:sectPr>
      </w:pPr>
    </w:p>
    <w:p w:rsidR="00EF7D1D" w:rsidRPr="00F25F04" w:rsidRDefault="00F25F04" w:rsidP="00F25F04">
      <w:pPr>
        <w:spacing w:after="120"/>
        <w:rPr>
          <w:sz w:val="28"/>
        </w:rPr>
      </w:pPr>
      <w:r w:rsidRPr="00F25F04">
        <w:rPr>
          <w:sz w:val="28"/>
        </w:rPr>
        <w:lastRenderedPageBreak/>
        <w:t>Table des matières</w:t>
      </w:r>
    </w:p>
    <w:p w:rsidR="00F25F04" w:rsidRPr="00F25F04" w:rsidRDefault="00F25F04" w:rsidP="00F25F04">
      <w:pPr>
        <w:tabs>
          <w:tab w:val="right" w:pos="9638"/>
        </w:tabs>
        <w:spacing w:after="120"/>
        <w:ind w:left="283"/>
        <w:rPr>
          <w:i/>
          <w:sz w:val="18"/>
        </w:rPr>
      </w:pPr>
      <w:r w:rsidRPr="00F25F04">
        <w:rPr>
          <w:i/>
          <w:sz w:val="18"/>
        </w:rPr>
        <w:tab/>
        <w:t>Page</w:t>
      </w:r>
    </w:p>
    <w:p w:rsidR="00F25F04" w:rsidRDefault="00F25F04" w:rsidP="00F25F04">
      <w:pPr>
        <w:tabs>
          <w:tab w:val="right" w:pos="850"/>
          <w:tab w:val="right" w:leader="dot" w:pos="8787"/>
          <w:tab w:val="right" w:pos="9638"/>
        </w:tabs>
        <w:spacing w:after="120"/>
        <w:ind w:left="1134" w:hanging="1134"/>
      </w:pPr>
      <w:r>
        <w:tab/>
        <w:t>I.</w:t>
      </w:r>
      <w:r>
        <w:tab/>
      </w:r>
      <w:r w:rsidR="00270ECC" w:rsidRPr="00786702">
        <w:rPr>
          <w:lang w:val="fr-FR"/>
        </w:rPr>
        <w:t>Questions d</w:t>
      </w:r>
      <w:r w:rsidR="00270ECC">
        <w:rPr>
          <w:lang w:val="fr-FR"/>
        </w:rPr>
        <w:t>’</w:t>
      </w:r>
      <w:r w:rsidR="00270ECC" w:rsidRPr="00786702">
        <w:rPr>
          <w:lang w:val="fr-FR"/>
        </w:rPr>
        <w:t>organisation et questions diverses</w:t>
      </w:r>
      <w:r>
        <w:tab/>
      </w:r>
      <w:r w:rsidR="00B97A07">
        <w:tab/>
      </w:r>
      <w:r w:rsidR="00D9682E">
        <w:t>1</w:t>
      </w:r>
    </w:p>
    <w:p w:rsidR="00F25F04" w:rsidRDefault="00F25F04" w:rsidP="00F25F04">
      <w:pPr>
        <w:tabs>
          <w:tab w:val="right" w:leader="dot" w:pos="8787"/>
          <w:tab w:val="right" w:pos="9638"/>
        </w:tabs>
        <w:spacing w:after="120"/>
        <w:ind w:left="1559" w:hanging="425"/>
      </w:pPr>
      <w:r>
        <w:t>A.</w:t>
      </w:r>
      <w:r>
        <w:tab/>
      </w:r>
      <w:r w:rsidR="00270ECC" w:rsidRPr="00786702">
        <w:rPr>
          <w:lang w:val="fr-FR"/>
        </w:rPr>
        <w:t>États parties à la Convention</w:t>
      </w:r>
      <w:r>
        <w:tab/>
      </w:r>
      <w:r w:rsidR="00B97A07">
        <w:tab/>
      </w:r>
      <w:r w:rsidR="00D9682E">
        <w:t>1</w:t>
      </w:r>
    </w:p>
    <w:p w:rsidR="00B97A07" w:rsidRDefault="00B97A07" w:rsidP="00B97A07">
      <w:pPr>
        <w:tabs>
          <w:tab w:val="right" w:leader="dot" w:pos="8787"/>
          <w:tab w:val="right" w:pos="9638"/>
        </w:tabs>
        <w:spacing w:after="120"/>
        <w:ind w:left="1559" w:hanging="425"/>
      </w:pPr>
      <w:r>
        <w:t>B.</w:t>
      </w:r>
      <w:r>
        <w:tab/>
      </w:r>
      <w:r w:rsidR="00270ECC" w:rsidRPr="00786702">
        <w:rPr>
          <w:lang w:val="fr-FR"/>
        </w:rPr>
        <w:t>Sessions et ordres du jour du Comité</w:t>
      </w:r>
      <w:r>
        <w:tab/>
      </w:r>
      <w:r>
        <w:tab/>
      </w:r>
      <w:r w:rsidR="00D9682E">
        <w:t>1</w:t>
      </w:r>
    </w:p>
    <w:p w:rsidR="00B97A07" w:rsidRDefault="00B97A07" w:rsidP="00B97A07">
      <w:pPr>
        <w:tabs>
          <w:tab w:val="right" w:leader="dot" w:pos="8787"/>
          <w:tab w:val="right" w:pos="9638"/>
        </w:tabs>
        <w:spacing w:after="120"/>
        <w:ind w:left="1559" w:hanging="425"/>
      </w:pPr>
      <w:r>
        <w:t>C.</w:t>
      </w:r>
      <w:r>
        <w:tab/>
      </w:r>
      <w:r w:rsidR="00270ECC" w:rsidRPr="00786702">
        <w:rPr>
          <w:lang w:val="fr-FR"/>
        </w:rPr>
        <w:t>Composition du Comité et du Bureau et mandats</w:t>
      </w:r>
      <w:r>
        <w:tab/>
      </w:r>
      <w:r>
        <w:tab/>
      </w:r>
      <w:r w:rsidR="00D9682E">
        <w:t>1</w:t>
      </w:r>
    </w:p>
    <w:p w:rsidR="00B97A07" w:rsidRDefault="00B97A07" w:rsidP="00B97A07">
      <w:pPr>
        <w:tabs>
          <w:tab w:val="right" w:leader="dot" w:pos="8787"/>
          <w:tab w:val="right" w:pos="9638"/>
        </w:tabs>
        <w:spacing w:after="120"/>
        <w:ind w:left="1559" w:hanging="425"/>
      </w:pPr>
      <w:r>
        <w:t>D.</w:t>
      </w:r>
      <w:r>
        <w:tab/>
      </w:r>
      <w:r w:rsidR="00270ECC" w:rsidRPr="00786702">
        <w:rPr>
          <w:lang w:val="fr-FR"/>
        </w:rPr>
        <w:t>Rapport oral du Président à l</w:t>
      </w:r>
      <w:r w:rsidR="00270ECC">
        <w:rPr>
          <w:lang w:val="fr-FR"/>
        </w:rPr>
        <w:t>’</w:t>
      </w:r>
      <w:r w:rsidR="00270ECC" w:rsidRPr="00786702">
        <w:rPr>
          <w:lang w:val="fr-FR"/>
        </w:rPr>
        <w:t>Assemblée générale</w:t>
      </w:r>
      <w:r>
        <w:tab/>
      </w:r>
      <w:r>
        <w:tab/>
      </w:r>
      <w:r w:rsidR="00D9682E">
        <w:t>1</w:t>
      </w:r>
    </w:p>
    <w:p w:rsidR="00B97A07" w:rsidRDefault="00B97A07" w:rsidP="00B97A07">
      <w:pPr>
        <w:tabs>
          <w:tab w:val="right" w:leader="dot" w:pos="8787"/>
          <w:tab w:val="right" w:pos="9638"/>
        </w:tabs>
        <w:spacing w:after="120"/>
        <w:ind w:left="1559" w:hanging="425"/>
      </w:pPr>
      <w:r>
        <w:t>E.</w:t>
      </w:r>
      <w:r>
        <w:tab/>
      </w:r>
      <w:r w:rsidR="00270ECC" w:rsidRPr="00786702">
        <w:rPr>
          <w:lang w:val="fr-FR"/>
        </w:rPr>
        <w:t>Activités du Comité relatives au Protocole facultatif se rapportant à la Convention</w:t>
      </w:r>
      <w:r>
        <w:tab/>
      </w:r>
      <w:r>
        <w:tab/>
      </w:r>
      <w:r w:rsidR="00D9682E">
        <w:t>2</w:t>
      </w:r>
    </w:p>
    <w:p w:rsidR="00B97A07" w:rsidRDefault="00B97A07" w:rsidP="00B97A07">
      <w:pPr>
        <w:tabs>
          <w:tab w:val="right" w:leader="dot" w:pos="8787"/>
          <w:tab w:val="right" w:pos="9638"/>
        </w:tabs>
        <w:spacing w:after="120"/>
        <w:ind w:left="1559" w:hanging="425"/>
      </w:pPr>
      <w:r>
        <w:t>F.</w:t>
      </w:r>
      <w:r>
        <w:tab/>
      </w:r>
      <w:r w:rsidR="00270ECC" w:rsidRPr="00786702">
        <w:rPr>
          <w:lang w:val="fr-FR"/>
        </w:rPr>
        <w:t>Déclaration commune à l</w:t>
      </w:r>
      <w:r w:rsidR="00270ECC">
        <w:rPr>
          <w:lang w:val="fr-FR"/>
        </w:rPr>
        <w:t>’</w:t>
      </w:r>
      <w:r w:rsidR="00270ECC" w:rsidRPr="00786702">
        <w:rPr>
          <w:lang w:val="fr-FR"/>
        </w:rPr>
        <w:t xml:space="preserve">occasion de la Journée internationale des Nations Unies </w:t>
      </w:r>
      <w:r w:rsidR="00270ECC">
        <w:rPr>
          <w:lang w:val="fr-FR"/>
        </w:rPr>
        <w:br/>
      </w:r>
      <w:r w:rsidR="00270ECC" w:rsidRPr="00786702">
        <w:rPr>
          <w:lang w:val="fr-FR"/>
        </w:rPr>
        <w:t xml:space="preserve">pour le soutien aux victimes de la torture et coopération avec le Conseil </w:t>
      </w:r>
      <w:r w:rsidR="00270ECC">
        <w:rPr>
          <w:lang w:val="fr-FR"/>
        </w:rPr>
        <w:br/>
      </w:r>
      <w:r w:rsidR="00270ECC" w:rsidRPr="00786702">
        <w:rPr>
          <w:lang w:val="fr-FR"/>
        </w:rPr>
        <w:t>d</w:t>
      </w:r>
      <w:r w:rsidR="00270ECC">
        <w:rPr>
          <w:lang w:val="fr-FR"/>
        </w:rPr>
        <w:t>’</w:t>
      </w:r>
      <w:r w:rsidR="00270ECC" w:rsidRPr="00786702">
        <w:rPr>
          <w:lang w:val="fr-FR"/>
        </w:rPr>
        <w:t xml:space="preserve">administration du Fonds de contributions volontaires </w:t>
      </w:r>
      <w:r w:rsidR="00270ECC">
        <w:rPr>
          <w:lang w:val="fr-FR"/>
        </w:rPr>
        <w:br/>
      </w:r>
      <w:r w:rsidR="00270ECC" w:rsidRPr="00786702">
        <w:rPr>
          <w:lang w:val="fr-FR"/>
        </w:rPr>
        <w:t>des Nations Unies pour les victimes de la torture</w:t>
      </w:r>
      <w:r>
        <w:tab/>
      </w:r>
      <w:r>
        <w:tab/>
      </w:r>
      <w:r w:rsidR="00D9682E">
        <w:t>2</w:t>
      </w:r>
    </w:p>
    <w:p w:rsidR="00B97A07" w:rsidRDefault="00B97A07" w:rsidP="00B97A07">
      <w:pPr>
        <w:tabs>
          <w:tab w:val="right" w:leader="dot" w:pos="8787"/>
          <w:tab w:val="right" w:pos="9638"/>
        </w:tabs>
        <w:spacing w:after="120"/>
        <w:ind w:left="1559" w:hanging="425"/>
      </w:pPr>
      <w:r>
        <w:t>G.</w:t>
      </w:r>
      <w:r>
        <w:tab/>
      </w:r>
      <w:r w:rsidR="00270ECC" w:rsidRPr="00786702">
        <w:rPr>
          <w:lang w:val="fr-FR"/>
        </w:rPr>
        <w:t>Observation générale révisée sur l</w:t>
      </w:r>
      <w:r w:rsidR="00270ECC">
        <w:rPr>
          <w:lang w:val="fr-FR"/>
        </w:rPr>
        <w:t>’</w:t>
      </w:r>
      <w:r w:rsidR="00270ECC" w:rsidRPr="00786702">
        <w:rPr>
          <w:lang w:val="fr-FR"/>
        </w:rPr>
        <w:t>article 3 de la Convention</w:t>
      </w:r>
      <w:r>
        <w:tab/>
      </w:r>
      <w:r>
        <w:tab/>
      </w:r>
      <w:r w:rsidR="00D9682E">
        <w:t>2</w:t>
      </w:r>
    </w:p>
    <w:p w:rsidR="00B97A07" w:rsidRDefault="00B97A07" w:rsidP="00B97A07">
      <w:pPr>
        <w:tabs>
          <w:tab w:val="right" w:leader="dot" w:pos="8787"/>
          <w:tab w:val="right" w:pos="9638"/>
        </w:tabs>
        <w:spacing w:after="120"/>
        <w:ind w:left="1559" w:hanging="425"/>
      </w:pPr>
      <w:r>
        <w:t>H.</w:t>
      </w:r>
      <w:r>
        <w:tab/>
      </w:r>
      <w:r w:rsidR="00270ECC" w:rsidRPr="00786702">
        <w:rPr>
          <w:lang w:val="fr-FR"/>
        </w:rPr>
        <w:t>Participation des organisations non gouvernementales</w:t>
      </w:r>
      <w:r>
        <w:tab/>
      </w:r>
      <w:r>
        <w:tab/>
      </w:r>
      <w:r w:rsidR="00D9682E">
        <w:t>3</w:t>
      </w:r>
    </w:p>
    <w:p w:rsidR="00B97A07" w:rsidRDefault="00B97A07" w:rsidP="00B97A07">
      <w:pPr>
        <w:tabs>
          <w:tab w:val="right" w:leader="dot" w:pos="8787"/>
          <w:tab w:val="right" w:pos="9638"/>
        </w:tabs>
        <w:spacing w:after="120"/>
        <w:ind w:left="1559" w:hanging="425"/>
      </w:pPr>
      <w:r>
        <w:t>I.</w:t>
      </w:r>
      <w:r>
        <w:tab/>
      </w:r>
      <w:r w:rsidR="00270ECC" w:rsidRPr="00786702">
        <w:rPr>
          <w:lang w:val="fr-FR"/>
        </w:rPr>
        <w:t>Participation des institutions nationales des droits de l</w:t>
      </w:r>
      <w:r w:rsidR="00270ECC">
        <w:rPr>
          <w:lang w:val="fr-FR"/>
        </w:rPr>
        <w:t>’</w:t>
      </w:r>
      <w:r w:rsidR="00270ECC" w:rsidRPr="00786702">
        <w:rPr>
          <w:lang w:val="fr-FR"/>
        </w:rPr>
        <w:t xml:space="preserve">homme </w:t>
      </w:r>
      <w:r w:rsidR="00270ECC">
        <w:rPr>
          <w:lang w:val="fr-FR"/>
        </w:rPr>
        <w:br/>
      </w:r>
      <w:r w:rsidR="00270ECC" w:rsidRPr="00786702">
        <w:rPr>
          <w:lang w:val="fr-FR"/>
        </w:rPr>
        <w:t>et des mécanismes nationaux de prévention</w:t>
      </w:r>
      <w:r>
        <w:tab/>
      </w:r>
      <w:r>
        <w:tab/>
      </w:r>
      <w:r w:rsidR="00D9682E">
        <w:t>3</w:t>
      </w:r>
    </w:p>
    <w:p w:rsidR="00B97A07" w:rsidRDefault="00B97A07" w:rsidP="00B97A07">
      <w:pPr>
        <w:tabs>
          <w:tab w:val="right" w:leader="dot" w:pos="8787"/>
          <w:tab w:val="right" w:pos="9638"/>
        </w:tabs>
        <w:spacing w:after="120"/>
        <w:ind w:left="1559" w:hanging="425"/>
      </w:pPr>
      <w:r>
        <w:t>J.</w:t>
      </w:r>
      <w:r>
        <w:tab/>
      </w:r>
      <w:r w:rsidR="00270ECC" w:rsidRPr="00786702">
        <w:rPr>
          <w:lang w:val="fr-FR"/>
        </w:rPr>
        <w:t>Rapporteurs chargés de la question des représailles</w:t>
      </w:r>
      <w:r>
        <w:tab/>
      </w:r>
      <w:r>
        <w:tab/>
      </w:r>
      <w:r w:rsidR="00D9682E">
        <w:t>3</w:t>
      </w:r>
    </w:p>
    <w:p w:rsidR="00B97A07" w:rsidRDefault="00B97A07" w:rsidP="00B97A07">
      <w:pPr>
        <w:tabs>
          <w:tab w:val="right" w:leader="dot" w:pos="8787"/>
          <w:tab w:val="right" w:pos="9638"/>
        </w:tabs>
        <w:spacing w:after="120"/>
        <w:ind w:left="1559" w:hanging="425"/>
      </w:pPr>
      <w:r>
        <w:t>K.</w:t>
      </w:r>
      <w:r>
        <w:tab/>
      </w:r>
      <w:r w:rsidR="00270ECC" w:rsidRPr="00786702">
        <w:rPr>
          <w:lang w:val="fr-FR"/>
        </w:rPr>
        <w:t>Processus de renforcement des organes conventionnels</w:t>
      </w:r>
      <w:r>
        <w:tab/>
      </w:r>
      <w:r>
        <w:tab/>
      </w:r>
      <w:r w:rsidR="00D9682E">
        <w:t>4</w:t>
      </w:r>
    </w:p>
    <w:p w:rsidR="00B97A07" w:rsidRDefault="00B97A07" w:rsidP="00B97A07">
      <w:pPr>
        <w:tabs>
          <w:tab w:val="right" w:leader="dot" w:pos="8787"/>
          <w:tab w:val="right" w:pos="9638"/>
        </w:tabs>
        <w:spacing w:after="120"/>
        <w:ind w:left="1559" w:hanging="425"/>
      </w:pPr>
      <w:r>
        <w:t>L.</w:t>
      </w:r>
      <w:r>
        <w:tab/>
      </w:r>
      <w:r w:rsidR="00270ECC" w:rsidRPr="00786702">
        <w:rPr>
          <w:lang w:val="fr-FR"/>
        </w:rPr>
        <w:t xml:space="preserve">Suite donnée aux décisions adoptées lors des journées de réflexion </w:t>
      </w:r>
      <w:r w:rsidR="00270ECC">
        <w:rPr>
          <w:lang w:val="fr-FR"/>
        </w:rPr>
        <w:br/>
      </w:r>
      <w:r w:rsidR="00270ECC" w:rsidRPr="00786702">
        <w:rPr>
          <w:lang w:val="fr-FR"/>
        </w:rPr>
        <w:t>sur les méthodes de travail du Comité</w:t>
      </w:r>
      <w:r>
        <w:tab/>
      </w:r>
      <w:r>
        <w:tab/>
      </w:r>
      <w:r w:rsidR="00D9682E">
        <w:t>4</w:t>
      </w:r>
    </w:p>
    <w:p w:rsidR="00B97A07" w:rsidRDefault="00B97A07" w:rsidP="00B97A07">
      <w:pPr>
        <w:tabs>
          <w:tab w:val="right" w:leader="dot" w:pos="8787"/>
          <w:tab w:val="right" w:pos="9638"/>
        </w:tabs>
        <w:spacing w:after="120"/>
        <w:ind w:left="1559" w:hanging="425"/>
      </w:pPr>
      <w:r>
        <w:t>M.</w:t>
      </w:r>
      <w:r>
        <w:tab/>
      </w:r>
      <w:r w:rsidR="00270ECC" w:rsidRPr="00786702">
        <w:rPr>
          <w:lang w:val="fr-FR"/>
        </w:rPr>
        <w:t>Participation des membres du Comité à d</w:t>
      </w:r>
      <w:r w:rsidR="00270ECC">
        <w:rPr>
          <w:lang w:val="fr-FR"/>
        </w:rPr>
        <w:t>’</w:t>
      </w:r>
      <w:r w:rsidR="00270ECC" w:rsidRPr="00786702">
        <w:rPr>
          <w:lang w:val="fr-FR"/>
        </w:rPr>
        <w:t>autres réunions</w:t>
      </w:r>
      <w:r>
        <w:tab/>
      </w:r>
      <w:r>
        <w:tab/>
      </w:r>
      <w:r w:rsidR="00D9682E">
        <w:t>5</w:t>
      </w:r>
    </w:p>
    <w:p w:rsidR="00B97A07" w:rsidRDefault="00B97A07" w:rsidP="00B97A07">
      <w:pPr>
        <w:tabs>
          <w:tab w:val="right" w:pos="850"/>
          <w:tab w:val="right" w:leader="dot" w:pos="8787"/>
          <w:tab w:val="right" w:pos="9638"/>
        </w:tabs>
        <w:spacing w:after="120"/>
        <w:ind w:left="1134" w:hanging="1134"/>
      </w:pPr>
      <w:r>
        <w:tab/>
        <w:t>II.</w:t>
      </w:r>
      <w:r>
        <w:tab/>
      </w:r>
      <w:r w:rsidR="00270ECC" w:rsidRPr="00786702">
        <w:rPr>
          <w:lang w:val="fr-FR"/>
        </w:rPr>
        <w:t>Soumission de rapports par les États parties en application de l</w:t>
      </w:r>
      <w:r w:rsidR="00270ECC">
        <w:rPr>
          <w:lang w:val="fr-FR"/>
        </w:rPr>
        <w:t>’</w:t>
      </w:r>
      <w:r w:rsidR="00270ECC" w:rsidRPr="00786702">
        <w:rPr>
          <w:lang w:val="fr-FR"/>
        </w:rPr>
        <w:t>article 19 de la Convention</w:t>
      </w:r>
      <w:r>
        <w:tab/>
      </w:r>
      <w:r>
        <w:tab/>
      </w:r>
      <w:r w:rsidR="00D9682E">
        <w:t>6</w:t>
      </w:r>
    </w:p>
    <w:p w:rsidR="00B97A07" w:rsidRDefault="00B97A07" w:rsidP="00B97A07">
      <w:pPr>
        <w:tabs>
          <w:tab w:val="right" w:leader="dot" w:pos="8787"/>
          <w:tab w:val="right" w:pos="9638"/>
        </w:tabs>
        <w:spacing w:after="120"/>
        <w:ind w:left="1559" w:hanging="425"/>
      </w:pPr>
      <w:r>
        <w:t>A.</w:t>
      </w:r>
      <w:r>
        <w:tab/>
      </w:r>
      <w:r w:rsidR="00270ECC" w:rsidRPr="00786702">
        <w:t>Invitation</w:t>
      </w:r>
      <w:r w:rsidR="00270ECC" w:rsidRPr="00786702">
        <w:rPr>
          <w:lang w:val="fr-FR"/>
        </w:rPr>
        <w:t xml:space="preserve"> à soumettre les rapports périodiques</w:t>
      </w:r>
      <w:r>
        <w:tab/>
      </w:r>
      <w:r>
        <w:tab/>
      </w:r>
      <w:r w:rsidR="00D9682E">
        <w:t>6</w:t>
      </w:r>
    </w:p>
    <w:p w:rsidR="00B97A07" w:rsidRDefault="00B97A07" w:rsidP="00B97A07">
      <w:pPr>
        <w:tabs>
          <w:tab w:val="right" w:leader="dot" w:pos="8787"/>
          <w:tab w:val="right" w:pos="9638"/>
        </w:tabs>
        <w:spacing w:after="120"/>
        <w:ind w:left="1559" w:hanging="425"/>
      </w:pPr>
      <w:r>
        <w:t>B.</w:t>
      </w:r>
      <w:r>
        <w:tab/>
      </w:r>
      <w:r w:rsidR="00270ECC" w:rsidRPr="00786702">
        <w:rPr>
          <w:lang w:val="fr-FR"/>
        </w:rPr>
        <w:t>Procédure simplifiée d</w:t>
      </w:r>
      <w:r w:rsidR="00270ECC">
        <w:rPr>
          <w:lang w:val="fr-FR"/>
        </w:rPr>
        <w:t>’</w:t>
      </w:r>
      <w:r w:rsidR="00270ECC" w:rsidRPr="00786702">
        <w:rPr>
          <w:lang w:val="fr-FR"/>
        </w:rPr>
        <w:t>établissement des rapports</w:t>
      </w:r>
      <w:r>
        <w:tab/>
      </w:r>
      <w:r>
        <w:tab/>
      </w:r>
      <w:r w:rsidR="00D9682E">
        <w:t>6</w:t>
      </w:r>
    </w:p>
    <w:p w:rsidR="00B97A07" w:rsidRDefault="00B97A07" w:rsidP="00B97A07">
      <w:pPr>
        <w:tabs>
          <w:tab w:val="right" w:leader="dot" w:pos="8787"/>
          <w:tab w:val="right" w:pos="9638"/>
        </w:tabs>
        <w:spacing w:after="120"/>
        <w:ind w:left="1559" w:hanging="425"/>
      </w:pPr>
      <w:r>
        <w:t>C.</w:t>
      </w:r>
      <w:r>
        <w:tab/>
      </w:r>
      <w:r w:rsidR="00270ECC" w:rsidRPr="00786702">
        <w:rPr>
          <w:lang w:val="fr-FR"/>
        </w:rPr>
        <w:t>Rappels pour les rapports initiaux et périodiques en retard</w:t>
      </w:r>
      <w:r>
        <w:tab/>
      </w:r>
      <w:r>
        <w:tab/>
      </w:r>
      <w:r w:rsidR="00D9682E">
        <w:t>7</w:t>
      </w:r>
    </w:p>
    <w:p w:rsidR="00B97A07" w:rsidRDefault="00B97A07" w:rsidP="00B97A07">
      <w:pPr>
        <w:tabs>
          <w:tab w:val="right" w:leader="dot" w:pos="8787"/>
          <w:tab w:val="right" w:pos="9638"/>
        </w:tabs>
        <w:spacing w:after="120"/>
        <w:ind w:left="1559" w:hanging="425"/>
      </w:pPr>
      <w:r>
        <w:t>D.</w:t>
      </w:r>
      <w:r>
        <w:tab/>
      </w:r>
      <w:r w:rsidR="00270ECC" w:rsidRPr="00786702">
        <w:rPr>
          <w:lang w:val="fr-FR"/>
        </w:rPr>
        <w:t>Examen des mesures prises par un État partie en l</w:t>
      </w:r>
      <w:r w:rsidR="00270ECC">
        <w:rPr>
          <w:lang w:val="fr-FR"/>
        </w:rPr>
        <w:t>’</w:t>
      </w:r>
      <w:r w:rsidR="00270ECC" w:rsidRPr="00786702">
        <w:rPr>
          <w:lang w:val="fr-FR"/>
        </w:rPr>
        <w:t>absence de rapport</w:t>
      </w:r>
      <w:r>
        <w:tab/>
      </w:r>
      <w:r>
        <w:tab/>
      </w:r>
      <w:r w:rsidR="00D9682E">
        <w:t>8</w:t>
      </w:r>
    </w:p>
    <w:p w:rsidR="00B97A07" w:rsidRDefault="00B97A07" w:rsidP="00B97A07">
      <w:pPr>
        <w:tabs>
          <w:tab w:val="right" w:leader="dot" w:pos="8787"/>
          <w:tab w:val="right" w:pos="9638"/>
        </w:tabs>
        <w:spacing w:after="120"/>
        <w:ind w:left="1559" w:hanging="425"/>
      </w:pPr>
      <w:r>
        <w:t>E.</w:t>
      </w:r>
      <w:r>
        <w:tab/>
      </w:r>
      <w:r w:rsidR="00270ECC" w:rsidRPr="00786702">
        <w:rPr>
          <w:lang w:val="fr-FR"/>
        </w:rPr>
        <w:t>Demande de rapport spécial</w:t>
      </w:r>
      <w:r>
        <w:tab/>
      </w:r>
      <w:r>
        <w:tab/>
      </w:r>
      <w:r w:rsidR="00D9682E">
        <w:t>8</w:t>
      </w:r>
    </w:p>
    <w:p w:rsidR="00B97A07" w:rsidRDefault="00B97A07" w:rsidP="00B97A07">
      <w:pPr>
        <w:tabs>
          <w:tab w:val="right" w:pos="850"/>
          <w:tab w:val="right" w:leader="dot" w:pos="8787"/>
          <w:tab w:val="right" w:pos="9638"/>
        </w:tabs>
        <w:spacing w:after="120"/>
        <w:ind w:left="1134" w:hanging="1134"/>
      </w:pPr>
      <w:r>
        <w:tab/>
        <w:t>III.</w:t>
      </w:r>
      <w:r>
        <w:tab/>
      </w:r>
      <w:r w:rsidR="00270ECC" w:rsidRPr="00786702">
        <w:rPr>
          <w:lang w:val="fr-FR"/>
        </w:rPr>
        <w:t xml:space="preserve">Examen des rapports soumis par les États parties en application </w:t>
      </w:r>
      <w:r w:rsidR="00270ECC">
        <w:rPr>
          <w:lang w:val="fr-FR"/>
        </w:rPr>
        <w:br/>
      </w:r>
      <w:r w:rsidR="00270ECC" w:rsidRPr="00786702">
        <w:rPr>
          <w:lang w:val="fr-FR"/>
        </w:rPr>
        <w:t>de l</w:t>
      </w:r>
      <w:r w:rsidR="00270ECC">
        <w:rPr>
          <w:lang w:val="fr-FR"/>
        </w:rPr>
        <w:t>’</w:t>
      </w:r>
      <w:r w:rsidR="00270ECC" w:rsidRPr="00786702">
        <w:rPr>
          <w:lang w:val="fr-FR"/>
        </w:rPr>
        <w:t>article 19 de la Convention</w:t>
      </w:r>
      <w:r>
        <w:tab/>
      </w:r>
      <w:r>
        <w:tab/>
      </w:r>
      <w:r w:rsidR="00D9682E">
        <w:t>9</w:t>
      </w:r>
    </w:p>
    <w:p w:rsidR="00B97A07" w:rsidRDefault="00B97A07" w:rsidP="00B97A07">
      <w:pPr>
        <w:tabs>
          <w:tab w:val="right" w:pos="850"/>
          <w:tab w:val="right" w:leader="dot" w:pos="8787"/>
          <w:tab w:val="right" w:pos="9638"/>
        </w:tabs>
        <w:spacing w:after="120"/>
        <w:ind w:left="1134" w:hanging="1134"/>
      </w:pPr>
      <w:r>
        <w:tab/>
        <w:t>IV.</w:t>
      </w:r>
      <w:r>
        <w:tab/>
      </w:r>
      <w:r w:rsidR="00270ECC" w:rsidRPr="00B9362A">
        <w:t xml:space="preserve">Suivi des </w:t>
      </w:r>
      <w:r w:rsidR="00270ECC" w:rsidRPr="00B9362A">
        <w:rPr>
          <w:lang w:val="fr-FR"/>
        </w:rPr>
        <w:t>observations</w:t>
      </w:r>
      <w:r w:rsidR="00270ECC" w:rsidRPr="00B9362A">
        <w:t xml:space="preserve"> finales relatives aux rapports des États parties</w:t>
      </w:r>
      <w:r>
        <w:tab/>
      </w:r>
      <w:r>
        <w:tab/>
      </w:r>
      <w:r w:rsidR="00D9682E">
        <w:t>11</w:t>
      </w:r>
    </w:p>
    <w:p w:rsidR="00B97A07" w:rsidRDefault="00B97A07" w:rsidP="00B97A07">
      <w:pPr>
        <w:tabs>
          <w:tab w:val="right" w:pos="850"/>
          <w:tab w:val="right" w:leader="dot" w:pos="8787"/>
          <w:tab w:val="right" w:pos="9638"/>
        </w:tabs>
        <w:spacing w:after="120"/>
        <w:ind w:left="1134" w:hanging="1134"/>
      </w:pPr>
      <w:r>
        <w:tab/>
        <w:t>V.</w:t>
      </w:r>
      <w:r>
        <w:tab/>
      </w:r>
      <w:r w:rsidR="00270ECC" w:rsidRPr="00B9362A">
        <w:t>Activités menées par le Comité en application de l</w:t>
      </w:r>
      <w:r w:rsidR="00270ECC">
        <w:t>’</w:t>
      </w:r>
      <w:r w:rsidR="00270ECC" w:rsidRPr="00B9362A">
        <w:t>article 20 de la Convention</w:t>
      </w:r>
      <w:r>
        <w:tab/>
      </w:r>
      <w:r>
        <w:tab/>
      </w:r>
      <w:r w:rsidR="00D9682E">
        <w:t>12</w:t>
      </w:r>
    </w:p>
    <w:p w:rsidR="00B97A07" w:rsidRDefault="00B97A07" w:rsidP="00B97A07">
      <w:pPr>
        <w:tabs>
          <w:tab w:val="right" w:pos="850"/>
          <w:tab w:val="right" w:leader="dot" w:pos="8787"/>
          <w:tab w:val="right" w:pos="9638"/>
        </w:tabs>
        <w:spacing w:after="120"/>
        <w:ind w:left="1134" w:hanging="1134"/>
      </w:pPr>
      <w:r>
        <w:tab/>
        <w:t>VI.</w:t>
      </w:r>
      <w:r>
        <w:tab/>
      </w:r>
      <w:r w:rsidR="00270ECC" w:rsidRPr="00B9362A">
        <w:rPr>
          <w:lang w:val="fr-FR"/>
        </w:rPr>
        <w:t>Examen de communications soumises en application de l</w:t>
      </w:r>
      <w:r w:rsidR="00270ECC">
        <w:rPr>
          <w:lang w:val="fr-FR"/>
        </w:rPr>
        <w:t>’</w:t>
      </w:r>
      <w:r w:rsidR="00270ECC" w:rsidRPr="00B9362A">
        <w:rPr>
          <w:lang w:val="fr-FR"/>
        </w:rPr>
        <w:t>article 22 de la Convention</w:t>
      </w:r>
      <w:r>
        <w:tab/>
      </w:r>
      <w:r>
        <w:tab/>
      </w:r>
      <w:r w:rsidR="00D9682E">
        <w:t>15</w:t>
      </w:r>
    </w:p>
    <w:p w:rsidR="00B97A07" w:rsidRDefault="00B97A07" w:rsidP="00B97A07">
      <w:pPr>
        <w:tabs>
          <w:tab w:val="right" w:leader="dot" w:pos="8787"/>
          <w:tab w:val="right" w:pos="9638"/>
        </w:tabs>
        <w:spacing w:after="120"/>
        <w:ind w:left="1559" w:hanging="425"/>
      </w:pPr>
      <w:r>
        <w:t>A.</w:t>
      </w:r>
      <w:r>
        <w:tab/>
      </w:r>
      <w:r w:rsidR="00270ECC" w:rsidRPr="00B9362A">
        <w:rPr>
          <w:lang w:val="fr-FR"/>
        </w:rPr>
        <w:t>Introduction</w:t>
      </w:r>
      <w:r>
        <w:tab/>
      </w:r>
      <w:r>
        <w:tab/>
      </w:r>
      <w:r w:rsidR="00D9682E">
        <w:t>15</w:t>
      </w:r>
    </w:p>
    <w:p w:rsidR="00B97A07" w:rsidRDefault="00B97A07" w:rsidP="00B97A07">
      <w:pPr>
        <w:tabs>
          <w:tab w:val="right" w:leader="dot" w:pos="8787"/>
          <w:tab w:val="right" w:pos="9638"/>
        </w:tabs>
        <w:spacing w:after="120"/>
        <w:ind w:left="1559" w:hanging="425"/>
      </w:pPr>
      <w:r>
        <w:t>B.</w:t>
      </w:r>
      <w:r>
        <w:tab/>
      </w:r>
      <w:r w:rsidR="00270ECC" w:rsidRPr="00B9362A">
        <w:rPr>
          <w:lang w:val="fr-FR"/>
        </w:rPr>
        <w:t>Mesures provisoires de protection</w:t>
      </w:r>
      <w:r>
        <w:tab/>
      </w:r>
      <w:r>
        <w:tab/>
      </w:r>
      <w:r w:rsidR="00D9682E">
        <w:t>16</w:t>
      </w:r>
    </w:p>
    <w:p w:rsidR="00B97A07" w:rsidRDefault="00B97A07" w:rsidP="00B97A07">
      <w:pPr>
        <w:tabs>
          <w:tab w:val="right" w:leader="dot" w:pos="8787"/>
          <w:tab w:val="right" w:pos="9638"/>
        </w:tabs>
        <w:spacing w:after="120"/>
        <w:ind w:left="1559" w:hanging="425"/>
      </w:pPr>
      <w:r>
        <w:t>C.</w:t>
      </w:r>
      <w:r>
        <w:tab/>
      </w:r>
      <w:r w:rsidR="00270ECC" w:rsidRPr="00B9362A">
        <w:rPr>
          <w:lang w:val="fr-FR"/>
        </w:rPr>
        <w:t>État des travaux</w:t>
      </w:r>
      <w:r>
        <w:tab/>
      </w:r>
      <w:r>
        <w:tab/>
      </w:r>
      <w:r w:rsidR="00D9682E">
        <w:t>16</w:t>
      </w:r>
    </w:p>
    <w:p w:rsidR="00B97A07" w:rsidRDefault="00B97A07" w:rsidP="00B97A07">
      <w:pPr>
        <w:tabs>
          <w:tab w:val="right" w:leader="dot" w:pos="8787"/>
          <w:tab w:val="right" w:pos="9638"/>
        </w:tabs>
        <w:spacing w:after="120"/>
        <w:ind w:left="1559" w:hanging="425"/>
      </w:pPr>
      <w:r>
        <w:t>D.</w:t>
      </w:r>
      <w:r>
        <w:tab/>
      </w:r>
      <w:r w:rsidR="00270ECC" w:rsidRPr="00B9362A">
        <w:rPr>
          <w:lang w:val="fr-FR"/>
        </w:rPr>
        <w:t>Activités de suivi</w:t>
      </w:r>
      <w:r>
        <w:tab/>
      </w:r>
      <w:r>
        <w:tab/>
      </w:r>
      <w:r w:rsidR="00D9682E">
        <w:t>18</w:t>
      </w:r>
    </w:p>
    <w:p w:rsidR="00B97A07" w:rsidRDefault="00B97A07" w:rsidP="00B97A07">
      <w:pPr>
        <w:tabs>
          <w:tab w:val="right" w:pos="850"/>
          <w:tab w:val="right" w:leader="dot" w:pos="8787"/>
          <w:tab w:val="right" w:pos="9638"/>
        </w:tabs>
        <w:spacing w:after="120"/>
        <w:ind w:left="1134" w:hanging="1134"/>
      </w:pPr>
      <w:r>
        <w:tab/>
        <w:t>VII.</w:t>
      </w:r>
      <w:r>
        <w:tab/>
      </w:r>
      <w:r w:rsidR="00270ECC" w:rsidRPr="00B9362A">
        <w:rPr>
          <w:lang w:val="fr-FR"/>
        </w:rPr>
        <w:t>Réunions du Comité en 2017</w:t>
      </w:r>
      <w:r>
        <w:tab/>
      </w:r>
      <w:r>
        <w:tab/>
      </w:r>
      <w:r w:rsidR="00D9682E">
        <w:t>18</w:t>
      </w:r>
    </w:p>
    <w:p w:rsidR="00B97A07" w:rsidRDefault="00B97A07" w:rsidP="00B97A07">
      <w:pPr>
        <w:tabs>
          <w:tab w:val="right" w:pos="850"/>
          <w:tab w:val="right" w:leader="dot" w:pos="8787"/>
          <w:tab w:val="right" w:pos="9638"/>
        </w:tabs>
        <w:spacing w:after="120"/>
        <w:ind w:left="1134" w:hanging="1134"/>
      </w:pPr>
      <w:r>
        <w:tab/>
        <w:t>VIII.</w:t>
      </w:r>
      <w:r>
        <w:tab/>
      </w:r>
      <w:r w:rsidR="00270ECC" w:rsidRPr="00B9362A">
        <w:rPr>
          <w:lang w:val="fr-FR"/>
        </w:rPr>
        <w:t>Adoption du rapport annuel du Comité sur ses activités</w:t>
      </w:r>
      <w:r>
        <w:tab/>
      </w:r>
      <w:r>
        <w:tab/>
      </w:r>
      <w:r w:rsidR="00D9682E">
        <w:t>18</w:t>
      </w:r>
    </w:p>
    <w:p w:rsidR="00F25F04" w:rsidRPr="00F25F04" w:rsidRDefault="00F25F04" w:rsidP="00F25F04">
      <w:pPr>
        <w:tabs>
          <w:tab w:val="right" w:pos="850"/>
        </w:tabs>
        <w:spacing w:after="120"/>
      </w:pPr>
      <w:r>
        <w:tab/>
      </w:r>
      <w:r w:rsidR="00B97A07">
        <w:t>Annexe</w:t>
      </w:r>
    </w:p>
    <w:p w:rsidR="006D2517" w:rsidRDefault="00F25F04" w:rsidP="00EC3402">
      <w:pPr>
        <w:tabs>
          <w:tab w:val="right" w:pos="850"/>
          <w:tab w:val="right" w:leader="dot" w:pos="8787"/>
          <w:tab w:val="right" w:pos="9638"/>
        </w:tabs>
        <w:spacing w:after="120"/>
        <w:ind w:left="1134" w:hanging="1134"/>
      </w:pPr>
      <w:r>
        <w:tab/>
      </w:r>
      <w:r>
        <w:tab/>
      </w:r>
      <w:r w:rsidR="00270ECC" w:rsidRPr="00B9362A">
        <w:rPr>
          <w:lang w:val="fr-FR"/>
        </w:rPr>
        <w:t>Composition du Comité et du Bureau et mandats au 12 mai 2017</w:t>
      </w:r>
      <w:r>
        <w:tab/>
      </w:r>
      <w:r w:rsidR="00EC3402">
        <w:tab/>
      </w:r>
      <w:r w:rsidR="00D9682E">
        <w:t>19</w:t>
      </w:r>
    </w:p>
    <w:p w:rsidR="006D2517" w:rsidRDefault="006D2517" w:rsidP="00F25F04"/>
    <w:p w:rsidR="00EC3402" w:rsidRDefault="00EC3402" w:rsidP="00F25F04">
      <w:pPr>
        <w:sectPr w:rsidR="00EC3402" w:rsidSect="006D5DD3">
          <w:headerReference w:type="even" r:id="rId22"/>
          <w:headerReference w:type="default" r:id="rId23"/>
          <w:footerReference w:type="even" r:id="rId24"/>
          <w:footerReference w:type="default" r:id="rId25"/>
          <w:footerReference w:type="first" r:id="rId26"/>
          <w:endnotePr>
            <w:numFmt w:val="decimal"/>
          </w:endnotePr>
          <w:pgSz w:w="11907" w:h="16840" w:code="9"/>
          <w:pgMar w:top="1417" w:right="1134" w:bottom="1134" w:left="1134" w:header="850" w:footer="567" w:gutter="0"/>
          <w:pgNumType w:fmt="lowerRoman" w:start="5"/>
          <w:cols w:space="720"/>
          <w:docGrid w:linePitch="272"/>
        </w:sectPr>
      </w:pPr>
    </w:p>
    <w:p w:rsidR="00786702" w:rsidRPr="00786702" w:rsidRDefault="00B230DC" w:rsidP="00B230DC">
      <w:pPr>
        <w:pStyle w:val="HChG"/>
        <w:rPr>
          <w:lang w:val="fr-FR"/>
        </w:rPr>
      </w:pPr>
      <w:r>
        <w:rPr>
          <w:lang w:val="fr-FR"/>
        </w:rPr>
        <w:lastRenderedPageBreak/>
        <w:tab/>
      </w:r>
      <w:r w:rsidR="00786702" w:rsidRPr="00786702">
        <w:rPr>
          <w:lang w:val="fr-FR"/>
        </w:rPr>
        <w:t>I.</w:t>
      </w:r>
      <w:r w:rsidR="00786702" w:rsidRPr="00786702">
        <w:rPr>
          <w:lang w:val="fr-FR"/>
        </w:rPr>
        <w:tab/>
        <w:t>Questions d</w:t>
      </w:r>
      <w:r w:rsidR="00993CE3">
        <w:rPr>
          <w:lang w:val="fr-FR"/>
        </w:rPr>
        <w:t>’</w:t>
      </w:r>
      <w:r w:rsidR="00786702" w:rsidRPr="00786702">
        <w:rPr>
          <w:lang w:val="fr-FR"/>
        </w:rPr>
        <w:t>organisation et questions diverses</w:t>
      </w:r>
    </w:p>
    <w:p w:rsidR="00786702" w:rsidRPr="00786702" w:rsidRDefault="00786702" w:rsidP="00B230DC">
      <w:pPr>
        <w:pStyle w:val="H1G"/>
        <w:rPr>
          <w:lang w:val="fr-FR"/>
        </w:rPr>
      </w:pPr>
      <w:r w:rsidRPr="00786702">
        <w:rPr>
          <w:lang w:val="fr-FR"/>
        </w:rPr>
        <w:tab/>
      </w:r>
      <w:bookmarkStart w:id="1" w:name="_Toc485738186"/>
      <w:r w:rsidRPr="00786702">
        <w:rPr>
          <w:lang w:val="fr-FR"/>
        </w:rPr>
        <w:t>A.</w:t>
      </w:r>
      <w:r w:rsidRPr="00786702">
        <w:rPr>
          <w:lang w:val="fr-FR"/>
        </w:rPr>
        <w:tab/>
        <w:t>États parties à la Convention</w:t>
      </w:r>
      <w:bookmarkEnd w:id="1"/>
    </w:p>
    <w:p w:rsidR="00786702" w:rsidRPr="00786702" w:rsidRDefault="00786702" w:rsidP="00786702">
      <w:pPr>
        <w:pStyle w:val="SingleTxtG"/>
        <w:rPr>
          <w:lang w:val="fr-FR"/>
        </w:rPr>
      </w:pPr>
      <w:r w:rsidRPr="00786702">
        <w:rPr>
          <w:lang w:val="fr-FR"/>
        </w:rPr>
        <w:t>1.</w:t>
      </w:r>
      <w:r w:rsidRPr="00786702">
        <w:rPr>
          <w:lang w:val="fr-FR"/>
        </w:rPr>
        <w:tab/>
        <w:t>Au 12 mai 2017, date de clôture de la soixantième session du Comité contre la torture, 161 États étaient parties à la Convention contre la torture et autres peines ou traitements cruels, inhumains ou dégradants. La Convention a été adoptée par l</w:t>
      </w:r>
      <w:r w:rsidR="00993CE3">
        <w:rPr>
          <w:lang w:val="fr-FR"/>
        </w:rPr>
        <w:t>’</w:t>
      </w:r>
      <w:r w:rsidRPr="00786702">
        <w:rPr>
          <w:lang w:val="fr-FR"/>
        </w:rPr>
        <w:t>Assemblée générale dans sa résolution 39/46 et est entrée en vigueur le 26 juin 1987.</w:t>
      </w:r>
    </w:p>
    <w:p w:rsidR="00786702" w:rsidRPr="00786702" w:rsidRDefault="00786702" w:rsidP="00786702">
      <w:pPr>
        <w:pStyle w:val="SingleTxtG"/>
        <w:rPr>
          <w:lang w:val="fr-FR"/>
        </w:rPr>
      </w:pPr>
      <w:r w:rsidRPr="00786702">
        <w:rPr>
          <w:lang w:val="fr-FR"/>
        </w:rPr>
        <w:t>2.</w:t>
      </w:r>
      <w:r w:rsidRPr="00786702">
        <w:rPr>
          <w:lang w:val="fr-FR"/>
        </w:rPr>
        <w:tab/>
        <w:t>Depuis le précédent rapport, la République centrafricaine et Sao Tomé</w:t>
      </w:r>
      <w:r w:rsidRPr="00786702">
        <w:rPr>
          <w:lang w:val="fr-FR"/>
        </w:rPr>
        <w:noBreakHyphen/>
        <w:t>et</w:t>
      </w:r>
      <w:r w:rsidRPr="00786702">
        <w:rPr>
          <w:lang w:val="fr-FR"/>
        </w:rPr>
        <w:noBreakHyphen/>
        <w:t>Principe ont ratifié la Convention, respectivement le 11 octobre 2016 et le 10 janvier 2017. Le Comité invite tous les États qui ne l</w:t>
      </w:r>
      <w:r w:rsidR="00993CE3">
        <w:rPr>
          <w:lang w:val="fr-FR"/>
        </w:rPr>
        <w:t>’</w:t>
      </w:r>
      <w:r w:rsidRPr="00786702">
        <w:rPr>
          <w:lang w:val="fr-FR"/>
        </w:rPr>
        <w:t>ont pas encore fait à ratifier la Convention et engage les États déjà parties à accepter toutes les procédures prévues par cet instrument afin de lui permettre de s</w:t>
      </w:r>
      <w:r w:rsidR="00993CE3">
        <w:rPr>
          <w:lang w:val="fr-FR"/>
        </w:rPr>
        <w:t>’</w:t>
      </w:r>
      <w:r w:rsidRPr="00786702">
        <w:rPr>
          <w:lang w:val="fr-FR"/>
        </w:rPr>
        <w:t>acquitter de tous les éléments de son mandat.</w:t>
      </w:r>
    </w:p>
    <w:p w:rsidR="00786702" w:rsidRPr="00786702" w:rsidRDefault="00786702" w:rsidP="00786702">
      <w:pPr>
        <w:pStyle w:val="SingleTxtG"/>
        <w:rPr>
          <w:lang w:val="fr-FR"/>
        </w:rPr>
      </w:pPr>
      <w:r w:rsidRPr="00786702">
        <w:rPr>
          <w:lang w:val="fr-FR"/>
        </w:rPr>
        <w:t>3.</w:t>
      </w:r>
      <w:r w:rsidRPr="00786702">
        <w:rPr>
          <w:lang w:val="fr-FR"/>
        </w:rPr>
        <w:tab/>
        <w:t>On trouvera toutes les informations concernant l</w:t>
      </w:r>
      <w:r w:rsidR="00993CE3">
        <w:rPr>
          <w:lang w:val="fr-FR"/>
        </w:rPr>
        <w:t>’</w:t>
      </w:r>
      <w:r w:rsidRPr="00786702">
        <w:rPr>
          <w:lang w:val="fr-FR"/>
        </w:rPr>
        <w:t>état de la Convention, y compris le texte des déclarations faites au titre des articles 20, 21 et 22 et celui des réserves et objections formulées par les États parties au sujet de la Convention, à l</w:t>
      </w:r>
      <w:r w:rsidR="00993CE3">
        <w:rPr>
          <w:lang w:val="fr-FR"/>
        </w:rPr>
        <w:t>’</w:t>
      </w:r>
      <w:r w:rsidRPr="00786702">
        <w:rPr>
          <w:lang w:val="fr-FR"/>
        </w:rPr>
        <w:t xml:space="preserve">adresse </w:t>
      </w:r>
      <w:hyperlink r:id="rId27" w:history="1">
        <w:r w:rsidRPr="00786702">
          <w:rPr>
            <w:rStyle w:val="Lienhypertexte"/>
            <w:lang w:val="fr-FR"/>
          </w:rPr>
          <w:t>http://treaties.un.org</w:t>
        </w:r>
      </w:hyperlink>
      <w:r w:rsidRPr="00786702">
        <w:rPr>
          <w:lang w:val="fr-FR"/>
        </w:rPr>
        <w:t>.</w:t>
      </w:r>
    </w:p>
    <w:p w:rsidR="00786702" w:rsidRPr="00786702" w:rsidRDefault="00786702" w:rsidP="00B230DC">
      <w:pPr>
        <w:pStyle w:val="H1G"/>
        <w:rPr>
          <w:lang w:val="fr-FR"/>
        </w:rPr>
      </w:pPr>
      <w:r w:rsidRPr="00786702">
        <w:rPr>
          <w:lang w:val="fr-FR"/>
        </w:rPr>
        <w:tab/>
      </w:r>
      <w:bookmarkStart w:id="2" w:name="_Toc485738187"/>
      <w:r w:rsidRPr="00786702">
        <w:rPr>
          <w:lang w:val="fr-FR"/>
        </w:rPr>
        <w:t>B.</w:t>
      </w:r>
      <w:r w:rsidRPr="00786702">
        <w:rPr>
          <w:lang w:val="fr-FR"/>
        </w:rPr>
        <w:tab/>
        <w:t xml:space="preserve">Sessions </w:t>
      </w:r>
      <w:bookmarkEnd w:id="2"/>
      <w:r w:rsidRPr="00786702">
        <w:rPr>
          <w:lang w:val="fr-FR"/>
        </w:rPr>
        <w:t>et ordres du jour du Comité</w:t>
      </w:r>
    </w:p>
    <w:p w:rsidR="00786702" w:rsidRPr="00786702" w:rsidRDefault="00786702" w:rsidP="00786702">
      <w:pPr>
        <w:pStyle w:val="SingleTxtG"/>
        <w:rPr>
          <w:lang w:val="fr-FR"/>
        </w:rPr>
      </w:pPr>
      <w:r w:rsidRPr="00786702">
        <w:rPr>
          <w:lang w:val="fr-FR"/>
        </w:rPr>
        <w:t>4.</w:t>
      </w:r>
      <w:r w:rsidRPr="00786702">
        <w:rPr>
          <w:lang w:val="fr-FR"/>
        </w:rPr>
        <w:tab/>
        <w:t>Le Comité a tenu trois sessions depuis l</w:t>
      </w:r>
      <w:r w:rsidR="00993CE3">
        <w:rPr>
          <w:lang w:val="fr-FR"/>
        </w:rPr>
        <w:t>’</w:t>
      </w:r>
      <w:r w:rsidRPr="00786702">
        <w:rPr>
          <w:lang w:val="fr-FR"/>
        </w:rPr>
        <w:t xml:space="preserve">adoption de son précédent rapport annuel. La </w:t>
      </w:r>
      <w:r w:rsidR="001130EA">
        <w:rPr>
          <w:lang w:val="fr-FR"/>
        </w:rPr>
        <w:t>cinquante</w:t>
      </w:r>
      <w:r w:rsidR="001130EA">
        <w:rPr>
          <w:lang w:val="fr-FR"/>
        </w:rPr>
        <w:noBreakHyphen/>
        <w:t>huitième session (1</w:t>
      </w:r>
      <w:r w:rsidRPr="00786702">
        <w:rPr>
          <w:lang w:val="fr-FR"/>
        </w:rPr>
        <w:t>432</w:t>
      </w:r>
      <w:r w:rsidRPr="00786702">
        <w:rPr>
          <w:vertAlign w:val="superscript"/>
          <w:lang w:val="fr-FR"/>
        </w:rPr>
        <w:t>e</w:t>
      </w:r>
      <w:r w:rsidR="001130EA">
        <w:rPr>
          <w:lang w:val="fr-FR"/>
        </w:rPr>
        <w:t xml:space="preserve"> à 1</w:t>
      </w:r>
      <w:r w:rsidRPr="00786702">
        <w:rPr>
          <w:lang w:val="fr-FR"/>
        </w:rPr>
        <w:t>459</w:t>
      </w:r>
      <w:r w:rsidRPr="00786702">
        <w:rPr>
          <w:vertAlign w:val="superscript"/>
          <w:lang w:val="fr-FR"/>
        </w:rPr>
        <w:t>e</w:t>
      </w:r>
      <w:r w:rsidRPr="00786702">
        <w:rPr>
          <w:lang w:val="fr-FR"/>
        </w:rPr>
        <w:t> séances) s</w:t>
      </w:r>
      <w:r w:rsidR="00993CE3">
        <w:rPr>
          <w:lang w:val="fr-FR"/>
        </w:rPr>
        <w:t>’</w:t>
      </w:r>
      <w:r w:rsidRPr="00786702">
        <w:rPr>
          <w:lang w:val="fr-FR"/>
        </w:rPr>
        <w:t>est tenue du 25 juillet au 12 août 2016, l</w:t>
      </w:r>
      <w:r w:rsidR="001130EA">
        <w:rPr>
          <w:lang w:val="fr-FR"/>
        </w:rPr>
        <w:t>a cinquante</w:t>
      </w:r>
      <w:r w:rsidR="001130EA">
        <w:rPr>
          <w:lang w:val="fr-FR"/>
        </w:rPr>
        <w:noBreakHyphen/>
        <w:t>neuvième session (1</w:t>
      </w:r>
      <w:r w:rsidRPr="00786702">
        <w:rPr>
          <w:lang w:val="fr-FR"/>
        </w:rPr>
        <w:t>460</w:t>
      </w:r>
      <w:r w:rsidRPr="00786702">
        <w:rPr>
          <w:vertAlign w:val="superscript"/>
          <w:lang w:val="fr-FR"/>
        </w:rPr>
        <w:t>e</w:t>
      </w:r>
      <w:r w:rsidR="001130EA">
        <w:rPr>
          <w:lang w:val="fr-FR"/>
        </w:rPr>
        <w:t xml:space="preserve"> à 1</w:t>
      </w:r>
      <w:r w:rsidRPr="00786702">
        <w:rPr>
          <w:lang w:val="fr-FR"/>
        </w:rPr>
        <w:t>504</w:t>
      </w:r>
      <w:r w:rsidRPr="00786702">
        <w:rPr>
          <w:vertAlign w:val="superscript"/>
          <w:lang w:val="fr-FR"/>
        </w:rPr>
        <w:t>e</w:t>
      </w:r>
      <w:r w:rsidRPr="00786702">
        <w:rPr>
          <w:lang w:val="fr-FR"/>
        </w:rPr>
        <w:t> séances) du 7 novembre au 7 décembre 201</w:t>
      </w:r>
      <w:r w:rsidR="001130EA">
        <w:rPr>
          <w:lang w:val="fr-FR"/>
        </w:rPr>
        <w:t>6, et la soixantième session (1</w:t>
      </w:r>
      <w:r w:rsidRPr="00786702">
        <w:rPr>
          <w:lang w:val="fr-FR"/>
        </w:rPr>
        <w:t>505</w:t>
      </w:r>
      <w:r w:rsidRPr="00786702">
        <w:rPr>
          <w:vertAlign w:val="superscript"/>
          <w:lang w:val="fr-FR"/>
        </w:rPr>
        <w:t>e</w:t>
      </w:r>
      <w:r w:rsidR="001130EA">
        <w:rPr>
          <w:lang w:val="fr-FR"/>
        </w:rPr>
        <w:t xml:space="preserve"> à 1</w:t>
      </w:r>
      <w:r w:rsidRPr="00786702">
        <w:rPr>
          <w:lang w:val="fr-FR"/>
        </w:rPr>
        <w:t>541</w:t>
      </w:r>
      <w:r w:rsidRPr="00786702">
        <w:rPr>
          <w:vertAlign w:val="superscript"/>
          <w:lang w:val="fr-FR"/>
        </w:rPr>
        <w:t>e</w:t>
      </w:r>
      <w:r w:rsidRPr="00786702">
        <w:rPr>
          <w:lang w:val="fr-FR"/>
        </w:rPr>
        <w:t> séances) du 18 avril au 12 mai 2017. Toutes trois ont eu lieu à l</w:t>
      </w:r>
      <w:r w:rsidR="00993CE3">
        <w:rPr>
          <w:lang w:val="fr-FR"/>
        </w:rPr>
        <w:t>’</w:t>
      </w:r>
      <w:r w:rsidRPr="00786702">
        <w:rPr>
          <w:lang w:val="fr-FR"/>
        </w:rPr>
        <w:t xml:space="preserve">Office des Nations Unies à Genève. </w:t>
      </w:r>
    </w:p>
    <w:p w:rsidR="00786702" w:rsidRPr="00786702" w:rsidRDefault="001130EA" w:rsidP="00786702">
      <w:pPr>
        <w:pStyle w:val="SingleTxtG"/>
        <w:rPr>
          <w:lang w:val="fr-FR"/>
        </w:rPr>
      </w:pPr>
      <w:r>
        <w:rPr>
          <w:lang w:val="fr-FR"/>
        </w:rPr>
        <w:t>5.</w:t>
      </w:r>
      <w:r>
        <w:rPr>
          <w:lang w:val="fr-FR"/>
        </w:rPr>
        <w:tab/>
        <w:t>À sa 1</w:t>
      </w:r>
      <w:r w:rsidR="00786702" w:rsidRPr="00786702">
        <w:rPr>
          <w:lang w:val="fr-FR"/>
        </w:rPr>
        <w:t>432</w:t>
      </w:r>
      <w:r w:rsidR="00786702" w:rsidRPr="00786702">
        <w:rPr>
          <w:vertAlign w:val="superscript"/>
          <w:lang w:val="fr-FR"/>
        </w:rPr>
        <w:t>e</w:t>
      </w:r>
      <w:r w:rsidR="00786702" w:rsidRPr="00786702">
        <w:rPr>
          <w:lang w:val="fr-FR"/>
        </w:rPr>
        <w:t xml:space="preserve"> séance, le 25 juillet 2016, le Comité a adopté en tant qu</w:t>
      </w:r>
      <w:r w:rsidR="00993CE3">
        <w:rPr>
          <w:lang w:val="fr-FR"/>
        </w:rPr>
        <w:t>’</w:t>
      </w:r>
      <w:r w:rsidR="00786702" w:rsidRPr="00786702">
        <w:rPr>
          <w:lang w:val="fr-FR"/>
        </w:rPr>
        <w:t>ordre du jour de sa cinquante</w:t>
      </w:r>
      <w:r w:rsidR="00786702" w:rsidRPr="00786702">
        <w:rPr>
          <w:lang w:val="fr-FR"/>
        </w:rPr>
        <w:noBreakHyphen/>
        <w:t>huitième session les points figurant dans l</w:t>
      </w:r>
      <w:r w:rsidR="00993CE3">
        <w:rPr>
          <w:lang w:val="fr-FR"/>
        </w:rPr>
        <w:t>’</w:t>
      </w:r>
      <w:r w:rsidR="00786702" w:rsidRPr="00786702">
        <w:rPr>
          <w:lang w:val="fr-FR"/>
        </w:rPr>
        <w:t>ordre du jour provisoire soumis par le Secrétaire général (</w:t>
      </w:r>
      <w:hyperlink r:id="rId28" w:history="1">
        <w:r w:rsidR="00786702" w:rsidRPr="00825B8D">
          <w:rPr>
            <w:rStyle w:val="Lienhypertexte"/>
            <w:lang w:val="fr-FR"/>
          </w:rPr>
          <w:t>CAT/C/58/1</w:t>
        </w:r>
      </w:hyperlink>
      <w:r w:rsidR="00786702" w:rsidRPr="00786702">
        <w:rPr>
          <w:lang w:val="fr-FR"/>
        </w:rPr>
        <w:t>).</w:t>
      </w:r>
    </w:p>
    <w:p w:rsidR="00786702" w:rsidRPr="00786702" w:rsidRDefault="001130EA" w:rsidP="00786702">
      <w:pPr>
        <w:pStyle w:val="SingleTxtG"/>
        <w:rPr>
          <w:lang w:val="fr-FR"/>
        </w:rPr>
      </w:pPr>
      <w:r>
        <w:rPr>
          <w:lang w:val="fr-FR"/>
        </w:rPr>
        <w:t>6.</w:t>
      </w:r>
      <w:r>
        <w:rPr>
          <w:lang w:val="fr-FR"/>
        </w:rPr>
        <w:tab/>
        <w:t>À sa 1</w:t>
      </w:r>
      <w:r w:rsidR="00786702" w:rsidRPr="00786702">
        <w:rPr>
          <w:lang w:val="fr-FR"/>
        </w:rPr>
        <w:t>460</w:t>
      </w:r>
      <w:r w:rsidR="00786702" w:rsidRPr="00786702">
        <w:rPr>
          <w:vertAlign w:val="superscript"/>
          <w:lang w:val="fr-FR"/>
        </w:rPr>
        <w:t>e</w:t>
      </w:r>
      <w:r w:rsidR="00786702" w:rsidRPr="00786702">
        <w:rPr>
          <w:lang w:val="fr-FR"/>
        </w:rPr>
        <w:t> séance, le 7 novembre 2016, le Comité a adopté en tant qu</w:t>
      </w:r>
      <w:r w:rsidR="00993CE3">
        <w:rPr>
          <w:lang w:val="fr-FR"/>
        </w:rPr>
        <w:t>’</w:t>
      </w:r>
      <w:r w:rsidR="00786702" w:rsidRPr="00786702">
        <w:rPr>
          <w:lang w:val="fr-FR"/>
        </w:rPr>
        <w:t>ordre du jour de sa cinquante</w:t>
      </w:r>
      <w:r w:rsidR="00786702" w:rsidRPr="00786702">
        <w:rPr>
          <w:lang w:val="fr-FR"/>
        </w:rPr>
        <w:noBreakHyphen/>
        <w:t>neuvième session les points figurant dans l</w:t>
      </w:r>
      <w:r w:rsidR="00993CE3">
        <w:rPr>
          <w:lang w:val="fr-FR"/>
        </w:rPr>
        <w:t>’</w:t>
      </w:r>
      <w:r w:rsidR="00786702" w:rsidRPr="00786702">
        <w:rPr>
          <w:lang w:val="fr-FR"/>
        </w:rPr>
        <w:t>ordre du jour provisoire soumis par le Secrétaire général (</w:t>
      </w:r>
      <w:hyperlink r:id="rId29" w:history="1">
        <w:r w:rsidR="00786702" w:rsidRPr="00825B8D">
          <w:rPr>
            <w:rStyle w:val="Lienhypertexte"/>
            <w:lang w:val="fr-FR"/>
          </w:rPr>
          <w:t>CAT/C/59/1</w:t>
        </w:r>
      </w:hyperlink>
      <w:r w:rsidR="00786702" w:rsidRPr="00786702">
        <w:rPr>
          <w:lang w:val="fr-FR"/>
        </w:rPr>
        <w:t>).</w:t>
      </w:r>
    </w:p>
    <w:p w:rsidR="00786702" w:rsidRPr="00786702" w:rsidRDefault="001130EA" w:rsidP="00786702">
      <w:pPr>
        <w:pStyle w:val="SingleTxtG"/>
        <w:rPr>
          <w:lang w:val="fr-FR"/>
        </w:rPr>
      </w:pPr>
      <w:r>
        <w:rPr>
          <w:lang w:val="fr-FR"/>
        </w:rPr>
        <w:t>7.</w:t>
      </w:r>
      <w:r>
        <w:rPr>
          <w:lang w:val="fr-FR"/>
        </w:rPr>
        <w:tab/>
        <w:t>À sa 1</w:t>
      </w:r>
      <w:r w:rsidR="00786702" w:rsidRPr="00786702">
        <w:rPr>
          <w:lang w:val="fr-FR"/>
        </w:rPr>
        <w:t>505</w:t>
      </w:r>
      <w:r w:rsidR="00786702" w:rsidRPr="00786702">
        <w:rPr>
          <w:vertAlign w:val="superscript"/>
          <w:lang w:val="fr-FR"/>
        </w:rPr>
        <w:t>e</w:t>
      </w:r>
      <w:r w:rsidR="00786702" w:rsidRPr="00786702">
        <w:rPr>
          <w:lang w:val="fr-FR"/>
        </w:rPr>
        <w:t> séance, le 18 avril 2017, le Comité a adopté en tant qu</w:t>
      </w:r>
      <w:r w:rsidR="00993CE3">
        <w:rPr>
          <w:lang w:val="fr-FR"/>
        </w:rPr>
        <w:t>’</w:t>
      </w:r>
      <w:r w:rsidR="00786702" w:rsidRPr="00786702">
        <w:rPr>
          <w:lang w:val="fr-FR"/>
        </w:rPr>
        <w:t>ordre du jour de sa soixantième session les points figurant dans l</w:t>
      </w:r>
      <w:r w:rsidR="00993CE3">
        <w:rPr>
          <w:lang w:val="fr-FR"/>
        </w:rPr>
        <w:t>’</w:t>
      </w:r>
      <w:r w:rsidR="00786702" w:rsidRPr="00786702">
        <w:rPr>
          <w:lang w:val="fr-FR"/>
        </w:rPr>
        <w:t>ordre du jour provisoire soumis par le Secrétaire général (</w:t>
      </w:r>
      <w:hyperlink r:id="rId30" w:history="1">
        <w:r w:rsidR="00786702" w:rsidRPr="00825B8D">
          <w:rPr>
            <w:rStyle w:val="Lienhypertexte"/>
            <w:lang w:val="fr-FR"/>
          </w:rPr>
          <w:t>CAT/C/60/1</w:t>
        </w:r>
      </w:hyperlink>
      <w:r w:rsidR="00786702" w:rsidRPr="00786702">
        <w:rPr>
          <w:lang w:val="fr-FR"/>
        </w:rPr>
        <w:t>).</w:t>
      </w:r>
    </w:p>
    <w:p w:rsidR="00786702" w:rsidRPr="00786702" w:rsidRDefault="00786702" w:rsidP="00786702">
      <w:pPr>
        <w:pStyle w:val="SingleTxtG"/>
        <w:rPr>
          <w:lang w:val="fr-FR"/>
        </w:rPr>
      </w:pPr>
      <w:r w:rsidRPr="00786702">
        <w:rPr>
          <w:lang w:val="fr-FR"/>
        </w:rPr>
        <w:t>8.</w:t>
      </w:r>
      <w:r w:rsidRPr="00786702">
        <w:rPr>
          <w:lang w:val="fr-FR"/>
        </w:rPr>
        <w:tab/>
        <w:t>Il est rendu compte des délibérations et des décisions du Comité à ces trois sessions dans les comptes rendus analytiques des séances correspondantes (</w:t>
      </w:r>
      <w:hyperlink r:id="rId31" w:history="1">
        <w:r w:rsidRPr="00825B8D">
          <w:rPr>
            <w:rStyle w:val="Lienhypertexte"/>
            <w:lang w:val="fr-FR"/>
          </w:rPr>
          <w:t>CAT/C/SR.1432</w:t>
        </w:r>
      </w:hyperlink>
      <w:r w:rsidRPr="00786702">
        <w:rPr>
          <w:lang w:val="fr-FR"/>
        </w:rPr>
        <w:t xml:space="preserve"> à </w:t>
      </w:r>
      <w:hyperlink r:id="rId32" w:history="1">
        <w:r w:rsidRPr="00825B8D">
          <w:rPr>
            <w:rStyle w:val="Lienhypertexte"/>
            <w:lang w:val="fr-FR"/>
          </w:rPr>
          <w:t>1541</w:t>
        </w:r>
      </w:hyperlink>
      <w:r w:rsidRPr="00786702">
        <w:rPr>
          <w:lang w:val="fr-FR"/>
        </w:rPr>
        <w:t>).</w:t>
      </w:r>
    </w:p>
    <w:p w:rsidR="00786702" w:rsidRPr="00786702" w:rsidRDefault="00786702" w:rsidP="00B230DC">
      <w:pPr>
        <w:pStyle w:val="H1G"/>
        <w:rPr>
          <w:lang w:val="fr-FR"/>
        </w:rPr>
      </w:pPr>
      <w:r w:rsidRPr="00786702">
        <w:rPr>
          <w:lang w:val="fr-FR"/>
        </w:rPr>
        <w:tab/>
      </w:r>
      <w:bookmarkStart w:id="3" w:name="_Toc485738188"/>
      <w:r w:rsidRPr="00786702">
        <w:rPr>
          <w:lang w:val="fr-FR"/>
        </w:rPr>
        <w:t>C.</w:t>
      </w:r>
      <w:r w:rsidRPr="00786702">
        <w:rPr>
          <w:lang w:val="fr-FR"/>
        </w:rPr>
        <w:tab/>
      </w:r>
      <w:bookmarkEnd w:id="3"/>
      <w:r w:rsidRPr="00786702">
        <w:rPr>
          <w:lang w:val="fr-FR"/>
        </w:rPr>
        <w:t>Composition du Comité et du Bureau et mandats</w:t>
      </w:r>
    </w:p>
    <w:p w:rsidR="00786702" w:rsidRPr="00786702" w:rsidRDefault="00786702" w:rsidP="00786702">
      <w:pPr>
        <w:pStyle w:val="SingleTxtG"/>
        <w:rPr>
          <w:lang w:val="fr-FR"/>
        </w:rPr>
      </w:pPr>
      <w:r w:rsidRPr="00786702">
        <w:rPr>
          <w:lang w:val="fr-FR"/>
        </w:rPr>
        <w:t>9.</w:t>
      </w:r>
      <w:r w:rsidRPr="00786702">
        <w:rPr>
          <w:lang w:val="fr-FR"/>
        </w:rPr>
        <w:tab/>
        <w:t>La composition du Comité n</w:t>
      </w:r>
      <w:r w:rsidR="00993CE3">
        <w:rPr>
          <w:lang w:val="fr-FR"/>
        </w:rPr>
        <w:t>’</w:t>
      </w:r>
      <w:r w:rsidRPr="00786702">
        <w:rPr>
          <w:lang w:val="fr-FR"/>
        </w:rPr>
        <w:t>a pas changé au cours de la période visée par le présent rapport. On trouvera à l</w:t>
      </w:r>
      <w:r w:rsidR="00993CE3">
        <w:rPr>
          <w:lang w:val="fr-FR"/>
        </w:rPr>
        <w:t>’</w:t>
      </w:r>
      <w:r w:rsidRPr="00786702">
        <w:rPr>
          <w:lang w:val="fr-FR"/>
        </w:rPr>
        <w:t xml:space="preserve">annexe la liste des membres du Comité et du Bureau, avec les dates de début et de fin de leur mandat. </w:t>
      </w:r>
    </w:p>
    <w:p w:rsidR="00786702" w:rsidRPr="00786702" w:rsidRDefault="00786702" w:rsidP="00B230DC">
      <w:pPr>
        <w:pStyle w:val="H1G"/>
        <w:rPr>
          <w:lang w:val="fr-FR"/>
        </w:rPr>
      </w:pPr>
      <w:r w:rsidRPr="00786702">
        <w:rPr>
          <w:lang w:val="fr-FR"/>
        </w:rPr>
        <w:tab/>
      </w:r>
      <w:bookmarkStart w:id="4" w:name="_Toc485738189"/>
      <w:r w:rsidRPr="00786702">
        <w:rPr>
          <w:lang w:val="fr-FR"/>
        </w:rPr>
        <w:t>D.</w:t>
      </w:r>
      <w:r w:rsidRPr="00786702">
        <w:rPr>
          <w:lang w:val="fr-FR"/>
        </w:rPr>
        <w:tab/>
      </w:r>
      <w:bookmarkEnd w:id="4"/>
      <w:r w:rsidRPr="00786702">
        <w:rPr>
          <w:lang w:val="fr-FR"/>
        </w:rPr>
        <w:t>Rapport oral du Président à l</w:t>
      </w:r>
      <w:r w:rsidR="00993CE3">
        <w:rPr>
          <w:lang w:val="fr-FR"/>
        </w:rPr>
        <w:t>’</w:t>
      </w:r>
      <w:r w:rsidRPr="00786702">
        <w:rPr>
          <w:lang w:val="fr-FR"/>
        </w:rPr>
        <w:t>Assemblée générale</w:t>
      </w:r>
      <w:r w:rsidRPr="00786702" w:rsidDel="00A82B7F">
        <w:rPr>
          <w:lang w:val="fr-FR"/>
        </w:rPr>
        <w:t xml:space="preserve"> </w:t>
      </w:r>
    </w:p>
    <w:p w:rsidR="00786702" w:rsidRPr="00786702" w:rsidRDefault="00786702" w:rsidP="00786702">
      <w:pPr>
        <w:pStyle w:val="SingleTxtG"/>
        <w:rPr>
          <w:lang w:val="fr-FR"/>
        </w:rPr>
      </w:pPr>
      <w:r w:rsidRPr="00786702">
        <w:rPr>
          <w:lang w:val="fr-FR"/>
        </w:rPr>
        <w:t>10.</w:t>
      </w:r>
      <w:r w:rsidRPr="00786702">
        <w:rPr>
          <w:lang w:val="fr-FR"/>
        </w:rPr>
        <w:tab/>
        <w:t>Conformément au paragraphe 35 de la résolution 68/156 de l</w:t>
      </w:r>
      <w:r w:rsidR="00993CE3">
        <w:rPr>
          <w:lang w:val="fr-FR"/>
        </w:rPr>
        <w:t>’</w:t>
      </w:r>
      <w:r w:rsidRPr="00786702">
        <w:rPr>
          <w:lang w:val="fr-FR"/>
        </w:rPr>
        <w:t>Assemblée générale, le 18 octobre 2016, le Président du Comité a présenté un rapport oral à l</w:t>
      </w:r>
      <w:r w:rsidR="00993CE3">
        <w:rPr>
          <w:lang w:val="fr-FR"/>
        </w:rPr>
        <w:t>’</w:t>
      </w:r>
      <w:r w:rsidRPr="00786702">
        <w:rPr>
          <w:lang w:val="fr-FR"/>
        </w:rPr>
        <w:t xml:space="preserve">Assemblée générale et a eu un dialogue avec elle à sa soixante et onzième session (voir la page Web du Comité, hébergée sur le site Web du </w:t>
      </w:r>
      <w:r w:rsidRPr="00786702">
        <w:t>Haut-Commissariat des Nations Unies aux droits de l</w:t>
      </w:r>
      <w:r w:rsidR="00993CE3">
        <w:t>’</w:t>
      </w:r>
      <w:r w:rsidRPr="00786702">
        <w:t>homme (</w:t>
      </w:r>
      <w:r w:rsidRPr="00786702">
        <w:rPr>
          <w:lang w:val="fr-FR"/>
        </w:rPr>
        <w:t>HCDH), à l</w:t>
      </w:r>
      <w:r w:rsidR="00993CE3">
        <w:rPr>
          <w:lang w:val="fr-FR"/>
        </w:rPr>
        <w:t>’</w:t>
      </w:r>
      <w:r w:rsidRPr="00786702">
        <w:rPr>
          <w:lang w:val="fr-FR"/>
        </w:rPr>
        <w:t xml:space="preserve">adresse </w:t>
      </w:r>
      <w:hyperlink r:id="rId33" w:history="1">
        <w:r w:rsidRPr="00825B8D">
          <w:rPr>
            <w:rStyle w:val="Lienhypertexte"/>
            <w:lang w:val="fr-FR"/>
          </w:rPr>
          <w:t>www.ohchr.org</w:t>
        </w:r>
      </w:hyperlink>
      <w:r w:rsidRPr="00786702">
        <w:rPr>
          <w:lang w:val="fr-FR"/>
        </w:rPr>
        <w:t>).</w:t>
      </w:r>
    </w:p>
    <w:p w:rsidR="00786702" w:rsidRPr="00786702" w:rsidRDefault="00786702" w:rsidP="00B230DC">
      <w:pPr>
        <w:pStyle w:val="H1G"/>
        <w:rPr>
          <w:lang w:val="fr-FR"/>
        </w:rPr>
      </w:pPr>
      <w:r w:rsidRPr="00786702">
        <w:rPr>
          <w:lang w:val="fr-FR"/>
        </w:rPr>
        <w:lastRenderedPageBreak/>
        <w:tab/>
      </w:r>
      <w:bookmarkStart w:id="5" w:name="_Toc485738190"/>
      <w:r w:rsidRPr="00786702">
        <w:rPr>
          <w:lang w:val="fr-FR"/>
        </w:rPr>
        <w:t>E.</w:t>
      </w:r>
      <w:r w:rsidRPr="00786702">
        <w:rPr>
          <w:lang w:val="fr-FR"/>
        </w:rPr>
        <w:tab/>
      </w:r>
      <w:bookmarkEnd w:id="5"/>
      <w:r w:rsidRPr="00786702">
        <w:rPr>
          <w:lang w:val="fr-FR"/>
        </w:rPr>
        <w:t xml:space="preserve">Activités du Comité relatives au Protocole facultatif </w:t>
      </w:r>
      <w:r w:rsidR="00B230DC">
        <w:rPr>
          <w:lang w:val="fr-FR"/>
        </w:rPr>
        <w:br/>
      </w:r>
      <w:r w:rsidRPr="00786702">
        <w:rPr>
          <w:lang w:val="fr-FR"/>
        </w:rPr>
        <w:t>se rapportant à la Convention</w:t>
      </w:r>
    </w:p>
    <w:p w:rsidR="00786702" w:rsidRPr="00786702" w:rsidRDefault="00786702" w:rsidP="00786702">
      <w:pPr>
        <w:pStyle w:val="SingleTxtG"/>
        <w:rPr>
          <w:lang w:val="fr-FR"/>
        </w:rPr>
      </w:pPr>
      <w:r w:rsidRPr="00786702">
        <w:rPr>
          <w:lang w:val="fr-FR"/>
        </w:rPr>
        <w:t>11.</w:t>
      </w:r>
      <w:r w:rsidRPr="00786702">
        <w:rPr>
          <w:lang w:val="fr-FR"/>
        </w:rPr>
        <w:tab/>
        <w:t xml:space="preserve">Au 12 mai 2017, les États parties au Protocole facultatif se rapportant à la Convention étaient au nombre de 83 (voir </w:t>
      </w:r>
      <w:hyperlink r:id="rId34" w:history="1">
        <w:r w:rsidRPr="00825B8D">
          <w:rPr>
            <w:rStyle w:val="Lienhypertexte"/>
            <w:lang w:val="fr-FR"/>
          </w:rPr>
          <w:t>http://treaties.un.org</w:t>
        </w:r>
      </w:hyperlink>
      <w:r w:rsidRPr="00786702">
        <w:rPr>
          <w:lang w:val="fr-FR"/>
        </w:rPr>
        <w:t>). Comme l</w:t>
      </w:r>
      <w:r w:rsidR="00993CE3">
        <w:rPr>
          <w:lang w:val="fr-FR"/>
        </w:rPr>
        <w:t>’</w:t>
      </w:r>
      <w:r w:rsidRPr="00786702">
        <w:rPr>
          <w:lang w:val="fr-FR"/>
        </w:rPr>
        <w:t>exige le Protocole facultatif, le Comité et le Sous</w:t>
      </w:r>
      <w:r w:rsidRPr="00786702">
        <w:rPr>
          <w:lang w:val="fr-FR"/>
        </w:rPr>
        <w:noBreakHyphen/>
        <w:t>Comité pour la prévention de la torture et autres peines ou traitements cruels, inhumains ou dégradants ont tenu une réunion conjointe, qui a eu lieu le 16 novembre 2016. Ils ont renforcé leur coopération par leur participation conjointe et active à un atelier sur la version révisée de l</w:t>
      </w:r>
      <w:r w:rsidR="00993CE3">
        <w:rPr>
          <w:lang w:val="fr-FR"/>
        </w:rPr>
        <w:t>’</w:t>
      </w:r>
      <w:r w:rsidRPr="00786702">
        <w:rPr>
          <w:lang w:val="fr-FR"/>
        </w:rPr>
        <w:t>Ensemble de règles minima des Nations Unies pour le traitement des détenus (« Règles Nelson Mandela »). Cet atelier a été organisé par l</w:t>
      </w:r>
      <w:r w:rsidR="00993CE3">
        <w:rPr>
          <w:lang w:val="fr-FR"/>
        </w:rPr>
        <w:t>’</w:t>
      </w:r>
      <w:r w:rsidRPr="00786702">
        <w:rPr>
          <w:lang w:val="fr-FR"/>
        </w:rPr>
        <w:t>Association pour la prévention de la torture et</w:t>
      </w:r>
      <w:r w:rsidR="00825B8D">
        <w:rPr>
          <w:lang w:val="fr-FR"/>
        </w:rPr>
        <w:t xml:space="preserve"> Penal </w:t>
      </w:r>
      <w:r w:rsidRPr="00786702">
        <w:rPr>
          <w:lang w:val="fr-FR"/>
        </w:rPr>
        <w:t>R</w:t>
      </w:r>
      <w:r w:rsidR="00825B8D">
        <w:rPr>
          <w:lang w:val="fr-FR"/>
        </w:rPr>
        <w:t xml:space="preserve">eform </w:t>
      </w:r>
      <w:r w:rsidRPr="00786702">
        <w:rPr>
          <w:lang w:val="fr-FR"/>
        </w:rPr>
        <w:t>International. Le</w:t>
      </w:r>
      <w:r w:rsidR="00825B8D">
        <w:rPr>
          <w:lang w:val="fr-FR"/>
        </w:rPr>
        <w:t xml:space="preserve"> </w:t>
      </w:r>
      <w:r w:rsidRPr="00786702">
        <w:rPr>
          <w:lang w:val="fr-FR"/>
        </w:rPr>
        <w:t>Président, M. Modvig, et la Vice</w:t>
      </w:r>
      <w:r w:rsidRPr="00786702">
        <w:rPr>
          <w:lang w:val="fr-FR"/>
        </w:rPr>
        <w:noBreakHyphen/>
        <w:t>Présidente, M</w:t>
      </w:r>
      <w:r w:rsidRPr="00786702">
        <w:rPr>
          <w:vertAlign w:val="superscript"/>
          <w:lang w:val="fr-FR"/>
        </w:rPr>
        <w:t>me</w:t>
      </w:r>
      <w:r w:rsidRPr="00786702">
        <w:rPr>
          <w:lang w:val="fr-FR"/>
        </w:rPr>
        <w:t> Gaer, ont aussi participé activement à la célébration du dixième anniversaire de l</w:t>
      </w:r>
      <w:r w:rsidR="00993CE3">
        <w:rPr>
          <w:lang w:val="fr-FR"/>
        </w:rPr>
        <w:t>’</w:t>
      </w:r>
      <w:r w:rsidRPr="00786702">
        <w:rPr>
          <w:lang w:val="fr-FR"/>
        </w:rPr>
        <w:t>entrée en vigueur du Protocole facultatif, qui a eu lieu le 17 novembre 2016 à Genève.</w:t>
      </w:r>
    </w:p>
    <w:p w:rsidR="00786702" w:rsidRPr="00786702" w:rsidRDefault="00786702" w:rsidP="00786702">
      <w:pPr>
        <w:pStyle w:val="SingleTxtG"/>
        <w:rPr>
          <w:lang w:val="fr-FR"/>
        </w:rPr>
      </w:pPr>
      <w:r w:rsidRPr="00786702">
        <w:rPr>
          <w:lang w:val="fr-FR"/>
        </w:rPr>
        <w:t>12.</w:t>
      </w:r>
      <w:r w:rsidRPr="00786702">
        <w:rPr>
          <w:lang w:val="fr-FR"/>
        </w:rPr>
        <w:tab/>
        <w:t>Une autre réunion a eu lieu le 5 mai 2017 entre le Comité et le Président du Sous</w:t>
      </w:r>
      <w:r w:rsidRPr="00786702">
        <w:rPr>
          <w:lang w:val="fr-FR"/>
        </w:rPr>
        <w:noBreakHyphen/>
        <w:t>Comité pour la prévention de la torture qui, à cette occasion, a présenté au Comité le dixième rapport annuel public du Sous</w:t>
      </w:r>
      <w:r w:rsidRPr="00786702">
        <w:rPr>
          <w:lang w:val="fr-FR"/>
        </w:rPr>
        <w:noBreakHyphen/>
        <w:t>Comité (</w:t>
      </w:r>
      <w:hyperlink r:id="rId35" w:history="1">
        <w:r w:rsidRPr="00786702">
          <w:rPr>
            <w:rStyle w:val="Lienhypertexte"/>
            <w:lang w:val="fr-FR"/>
          </w:rPr>
          <w:t>CAT/C/60/3</w:t>
        </w:r>
      </w:hyperlink>
      <w:r w:rsidRPr="00786702">
        <w:rPr>
          <w:lang w:val="fr-FR"/>
        </w:rPr>
        <w:t xml:space="preserve">). </w:t>
      </w:r>
    </w:p>
    <w:p w:rsidR="00786702" w:rsidRPr="00786702" w:rsidRDefault="00786702" w:rsidP="00B230DC">
      <w:pPr>
        <w:pStyle w:val="H1G"/>
        <w:rPr>
          <w:lang w:val="fr-FR"/>
        </w:rPr>
      </w:pPr>
      <w:r w:rsidRPr="00786702">
        <w:rPr>
          <w:lang w:val="fr-FR"/>
        </w:rPr>
        <w:tab/>
      </w:r>
      <w:bookmarkStart w:id="6" w:name="_Toc485738191"/>
      <w:r w:rsidRPr="00786702">
        <w:rPr>
          <w:lang w:val="fr-FR"/>
        </w:rPr>
        <w:t>F.</w:t>
      </w:r>
      <w:r w:rsidRPr="00786702">
        <w:rPr>
          <w:lang w:val="fr-FR"/>
        </w:rPr>
        <w:tab/>
      </w:r>
      <w:bookmarkEnd w:id="6"/>
      <w:r w:rsidRPr="00786702">
        <w:rPr>
          <w:lang w:val="fr-FR"/>
        </w:rPr>
        <w:t>Déclaration commune à l</w:t>
      </w:r>
      <w:r w:rsidR="00993CE3">
        <w:rPr>
          <w:lang w:val="fr-FR"/>
        </w:rPr>
        <w:t>’</w:t>
      </w:r>
      <w:r w:rsidRPr="00786702">
        <w:rPr>
          <w:lang w:val="fr-FR"/>
        </w:rPr>
        <w:t xml:space="preserve">occasion de la Journée internationale </w:t>
      </w:r>
      <w:r w:rsidR="00B230DC">
        <w:rPr>
          <w:lang w:val="fr-FR"/>
        </w:rPr>
        <w:br/>
      </w:r>
      <w:r w:rsidRPr="00786702">
        <w:rPr>
          <w:lang w:val="fr-FR"/>
        </w:rPr>
        <w:t>des Nations Unies pour le soutien aux victimes de la torture et coopération avec le Conseil d</w:t>
      </w:r>
      <w:r w:rsidR="00993CE3">
        <w:rPr>
          <w:lang w:val="fr-FR"/>
        </w:rPr>
        <w:t>’</w:t>
      </w:r>
      <w:r w:rsidRPr="00786702">
        <w:rPr>
          <w:lang w:val="fr-FR"/>
        </w:rPr>
        <w:t xml:space="preserve">administration du Fonds de </w:t>
      </w:r>
      <w:r w:rsidR="00B230DC">
        <w:rPr>
          <w:lang w:val="fr-FR"/>
        </w:rPr>
        <w:br/>
      </w:r>
      <w:r w:rsidRPr="00786702">
        <w:rPr>
          <w:lang w:val="fr-FR"/>
        </w:rPr>
        <w:t xml:space="preserve">contributions volontaires des Nations Unies pour </w:t>
      </w:r>
      <w:r w:rsidR="00B230DC">
        <w:rPr>
          <w:lang w:val="fr-FR"/>
        </w:rPr>
        <w:br/>
      </w:r>
      <w:r w:rsidRPr="00786702">
        <w:rPr>
          <w:lang w:val="fr-FR"/>
        </w:rPr>
        <w:t>les victimes de la torture</w:t>
      </w:r>
    </w:p>
    <w:p w:rsidR="00786702" w:rsidRPr="00786702" w:rsidRDefault="00786702" w:rsidP="00786702">
      <w:pPr>
        <w:pStyle w:val="SingleTxtG"/>
        <w:rPr>
          <w:lang w:val="fr-FR"/>
        </w:rPr>
      </w:pPr>
      <w:r w:rsidRPr="00786702">
        <w:rPr>
          <w:lang w:val="fr-FR"/>
        </w:rPr>
        <w:t>13.</w:t>
      </w:r>
      <w:r w:rsidRPr="00786702">
        <w:rPr>
          <w:lang w:val="fr-FR"/>
        </w:rPr>
        <w:tab/>
        <w:t>Le Comité, le Sous</w:t>
      </w:r>
      <w:r w:rsidRPr="00786702">
        <w:rPr>
          <w:lang w:val="fr-FR"/>
        </w:rPr>
        <w:noBreakHyphen/>
        <w:t>Comité pour la prévention de la torture, le Rapporteur spécial sur la question de la torture et le Conseil d</w:t>
      </w:r>
      <w:r w:rsidR="00993CE3">
        <w:rPr>
          <w:lang w:val="fr-FR"/>
        </w:rPr>
        <w:t>’</w:t>
      </w:r>
      <w:r w:rsidRPr="00786702">
        <w:rPr>
          <w:lang w:val="fr-FR"/>
        </w:rPr>
        <w:t>administration du Fonds de contributions volontaires des Nations Unies pour les victimes de la torture ont adopté une déclaration commune destinée à être publiée le 26 juin 2016, à l</w:t>
      </w:r>
      <w:r w:rsidR="00993CE3">
        <w:rPr>
          <w:lang w:val="fr-FR"/>
        </w:rPr>
        <w:t>’</w:t>
      </w:r>
      <w:r w:rsidRPr="00786702">
        <w:rPr>
          <w:lang w:val="fr-FR"/>
        </w:rPr>
        <w:t>occasion de la Journée internationale des Nations Unies pour le soutien aux victimes de la torture (voir la page Web du Fonds de contributions volontaires à l</w:t>
      </w:r>
      <w:r w:rsidR="00993CE3">
        <w:rPr>
          <w:lang w:val="fr-FR"/>
        </w:rPr>
        <w:t>’</w:t>
      </w:r>
      <w:r w:rsidRPr="00786702">
        <w:rPr>
          <w:lang w:val="fr-FR"/>
        </w:rPr>
        <w:t xml:space="preserve">adresse </w:t>
      </w:r>
      <w:hyperlink r:id="rId36" w:history="1">
        <w:r w:rsidRPr="007139ED">
          <w:rPr>
            <w:rStyle w:val="Lienhypertexte"/>
            <w:lang w:val="fr-FR"/>
          </w:rPr>
          <w:t>www.ohchr.org/EN/Issues/Torture/UNVFT/</w:t>
        </w:r>
        <w:r w:rsidR="00B230DC" w:rsidRPr="007139ED">
          <w:rPr>
            <w:rStyle w:val="Lienhypertexte"/>
            <w:lang w:val="fr-FR"/>
          </w:rPr>
          <w:t xml:space="preserve"> </w:t>
        </w:r>
        <w:r w:rsidRPr="007139ED">
          <w:rPr>
            <w:rStyle w:val="Lienhypertexte"/>
            <w:lang w:val="fr-FR"/>
          </w:rPr>
          <w:t>Pages/IntlDay.aspx</w:t>
        </w:r>
      </w:hyperlink>
      <w:r w:rsidRPr="00786702">
        <w:rPr>
          <w:lang w:val="fr-FR"/>
        </w:rPr>
        <w:t>). Le 6 octobre 2016, le Président du Comité et le Président du Sous</w:t>
      </w:r>
      <w:r w:rsidRPr="00786702">
        <w:rPr>
          <w:lang w:val="fr-FR"/>
        </w:rPr>
        <w:noBreakHyphen/>
        <w:t>Comité pour la prévention de la torture ont participé activement à la quarante</w:t>
      </w:r>
      <w:r w:rsidRPr="00786702">
        <w:rPr>
          <w:lang w:val="fr-FR"/>
        </w:rPr>
        <w:noBreakHyphen/>
        <w:t>quatrième session du Conseil d</w:t>
      </w:r>
      <w:r w:rsidR="00993CE3">
        <w:rPr>
          <w:lang w:val="fr-FR"/>
        </w:rPr>
        <w:t>’</w:t>
      </w:r>
      <w:r w:rsidRPr="00786702">
        <w:rPr>
          <w:lang w:val="fr-FR"/>
        </w:rPr>
        <w:t>administration du Fonds de contributions volontaires dans le but d</w:t>
      </w:r>
      <w:r w:rsidR="00993CE3">
        <w:rPr>
          <w:lang w:val="fr-FR"/>
        </w:rPr>
        <w:t>’</w:t>
      </w:r>
      <w:r w:rsidRPr="00786702">
        <w:rPr>
          <w:lang w:val="fr-FR"/>
        </w:rPr>
        <w:t>échanger des vues sur les questions présentant un intérêt commun et sur les domaines de coopération. À sa soixantième session, le Comité a participé à un atelier sur les victimes de torture dans le contexte de</w:t>
      </w:r>
      <w:r w:rsidR="00993CE3">
        <w:rPr>
          <w:lang w:val="fr-FR"/>
        </w:rPr>
        <w:t xml:space="preserve">s migrations organisé par le </w:t>
      </w:r>
      <w:r w:rsidRPr="00786702">
        <w:rPr>
          <w:lang w:val="fr-FR"/>
        </w:rPr>
        <w:t>Conseil d</w:t>
      </w:r>
      <w:r w:rsidR="00993CE3">
        <w:rPr>
          <w:lang w:val="fr-FR"/>
        </w:rPr>
        <w:t>’</w:t>
      </w:r>
      <w:r w:rsidRPr="00786702">
        <w:rPr>
          <w:lang w:val="fr-FR"/>
        </w:rPr>
        <w:t xml:space="preserve">administration du Fonds. </w:t>
      </w:r>
    </w:p>
    <w:p w:rsidR="00786702" w:rsidRPr="00786702" w:rsidRDefault="00786702" w:rsidP="00B230DC">
      <w:pPr>
        <w:pStyle w:val="H1G"/>
        <w:rPr>
          <w:lang w:val="fr-FR"/>
        </w:rPr>
      </w:pPr>
      <w:r w:rsidRPr="00786702">
        <w:rPr>
          <w:lang w:val="fr-FR"/>
        </w:rPr>
        <w:tab/>
      </w:r>
      <w:bookmarkStart w:id="7" w:name="_Toc485738192"/>
      <w:r w:rsidRPr="00786702">
        <w:rPr>
          <w:lang w:val="fr-FR"/>
        </w:rPr>
        <w:t>G.</w:t>
      </w:r>
      <w:r w:rsidRPr="00786702">
        <w:rPr>
          <w:lang w:val="fr-FR"/>
        </w:rPr>
        <w:tab/>
      </w:r>
      <w:bookmarkEnd w:id="7"/>
      <w:r w:rsidRPr="00786702">
        <w:rPr>
          <w:lang w:val="fr-FR"/>
        </w:rPr>
        <w:t>Observation générale révisée sur l</w:t>
      </w:r>
      <w:r w:rsidR="00993CE3">
        <w:rPr>
          <w:lang w:val="fr-FR"/>
        </w:rPr>
        <w:t>’</w:t>
      </w:r>
      <w:r w:rsidRPr="00786702">
        <w:rPr>
          <w:lang w:val="fr-FR"/>
        </w:rPr>
        <w:t>article 3 de la Convention</w:t>
      </w:r>
    </w:p>
    <w:p w:rsidR="00786702" w:rsidRPr="00786702" w:rsidRDefault="00786702" w:rsidP="00786702">
      <w:pPr>
        <w:pStyle w:val="SingleTxtG"/>
        <w:rPr>
          <w:lang w:val="fr-FR"/>
        </w:rPr>
      </w:pPr>
      <w:r w:rsidRPr="00786702">
        <w:rPr>
          <w:lang w:val="fr-FR"/>
        </w:rPr>
        <w:t>14.</w:t>
      </w:r>
      <w:r w:rsidRPr="00786702">
        <w:rPr>
          <w:lang w:val="fr-FR"/>
        </w:rPr>
        <w:tab/>
        <w:t>À sa cinquante</w:t>
      </w:r>
      <w:r w:rsidRPr="00786702">
        <w:rPr>
          <w:lang w:val="fr-FR"/>
        </w:rPr>
        <w:noBreakHyphen/>
        <w:t>cinquième session, le Comité a décidé de réviser son observation générale n</w:t>
      </w:r>
      <w:r w:rsidRPr="00786702">
        <w:rPr>
          <w:vertAlign w:val="superscript"/>
          <w:lang w:val="fr-FR"/>
        </w:rPr>
        <w:t>o</w:t>
      </w:r>
      <w:r w:rsidRPr="00786702">
        <w:rPr>
          <w:lang w:val="fr-FR"/>
        </w:rPr>
        <w:t> 1 (1997) sur l</w:t>
      </w:r>
      <w:r w:rsidR="00993CE3">
        <w:rPr>
          <w:lang w:val="fr-FR"/>
        </w:rPr>
        <w:t>’</w:t>
      </w:r>
      <w:r w:rsidRPr="00786702">
        <w:rPr>
          <w:lang w:val="fr-FR"/>
        </w:rPr>
        <w:t>application de l</w:t>
      </w:r>
      <w:r w:rsidR="00993CE3">
        <w:rPr>
          <w:lang w:val="fr-FR"/>
        </w:rPr>
        <w:t>’</w:t>
      </w:r>
      <w:r w:rsidRPr="00786702">
        <w:rPr>
          <w:lang w:val="fr-FR"/>
        </w:rPr>
        <w:t>article 3 de la Convention. À sa cinquante</w:t>
      </w:r>
      <w:r w:rsidRPr="00786702">
        <w:rPr>
          <w:lang w:val="fr-FR"/>
        </w:rPr>
        <w:noBreakHyphen/>
        <w:t>sixième session, il a eu une discussion préliminaire sur les principales questions à examiner dans le contexte de cette révision. À ses cinquante</w:t>
      </w:r>
      <w:r w:rsidRPr="00786702">
        <w:rPr>
          <w:lang w:val="fr-FR"/>
        </w:rPr>
        <w:noBreakHyphen/>
        <w:t>septième et cinquante</w:t>
      </w:r>
      <w:r w:rsidRPr="00786702">
        <w:rPr>
          <w:lang w:val="fr-FR"/>
        </w:rPr>
        <w:noBreakHyphen/>
        <w:t>huitième sessions, il a débattu d</w:t>
      </w:r>
      <w:r w:rsidR="00993CE3">
        <w:rPr>
          <w:lang w:val="fr-FR"/>
        </w:rPr>
        <w:t>’</w:t>
      </w:r>
      <w:r w:rsidRPr="00786702">
        <w:rPr>
          <w:lang w:val="fr-FR"/>
        </w:rPr>
        <w:t>une liste de thèmes qui devraient être abordés dans l</w:t>
      </w:r>
      <w:r w:rsidR="00993CE3">
        <w:rPr>
          <w:lang w:val="fr-FR"/>
        </w:rPr>
        <w:t>’</w:t>
      </w:r>
      <w:r w:rsidRPr="00786702">
        <w:rPr>
          <w:lang w:val="fr-FR"/>
        </w:rPr>
        <w:t>observation générale révisée. À sa cinquante</w:t>
      </w:r>
      <w:r w:rsidRPr="00786702">
        <w:rPr>
          <w:lang w:val="fr-FR"/>
        </w:rPr>
        <w:noBreakHyphen/>
        <w:t>neuvième session, il a terminé sa première lecture du projet d</w:t>
      </w:r>
      <w:r w:rsidR="00993CE3">
        <w:rPr>
          <w:lang w:val="fr-FR"/>
        </w:rPr>
        <w:t>’</w:t>
      </w:r>
      <w:r w:rsidRPr="00786702">
        <w:rPr>
          <w:lang w:val="fr-FR"/>
        </w:rPr>
        <w:t>observation générale révisée (</w:t>
      </w:r>
      <w:hyperlink r:id="rId37" w:history="1">
        <w:r w:rsidRPr="007139ED">
          <w:rPr>
            <w:rStyle w:val="Lienhypertexte"/>
            <w:lang w:val="fr-FR"/>
          </w:rPr>
          <w:t>CAT/C/60/R.2</w:t>
        </w:r>
      </w:hyperlink>
      <w:r w:rsidRPr="00786702">
        <w:rPr>
          <w:lang w:val="fr-FR"/>
        </w:rPr>
        <w:t>, disponible sur la page Web du Comité). À sa soixantième session, il a tenu une consultation publique, après avoir invité toutes les parties prenantes (notamment les États, les mécanismes des Nations Unies relatifs aux droits de l</w:t>
      </w:r>
      <w:r w:rsidR="00993CE3">
        <w:rPr>
          <w:lang w:val="fr-FR"/>
        </w:rPr>
        <w:t>’</w:t>
      </w:r>
      <w:r w:rsidRPr="00786702">
        <w:rPr>
          <w:lang w:val="fr-FR"/>
        </w:rPr>
        <w:t>homme, les autres instances internationales pertinentes, et les représentants de la société civile) à présenter des contributions écrites (voir la page Web du Comité). Un groupe de travail, composé de M. Bruni (Rapporteur), M</w:t>
      </w:r>
      <w:r w:rsidRPr="00786702">
        <w:rPr>
          <w:vertAlign w:val="superscript"/>
          <w:lang w:val="fr-FR"/>
        </w:rPr>
        <w:t>me</w:t>
      </w:r>
      <w:r w:rsidRPr="00786702">
        <w:rPr>
          <w:lang w:val="fr-FR"/>
        </w:rPr>
        <w:t> Gaer et M. Hani, a été chargé d</w:t>
      </w:r>
      <w:r w:rsidR="00993CE3">
        <w:rPr>
          <w:lang w:val="fr-FR"/>
        </w:rPr>
        <w:t>’</w:t>
      </w:r>
      <w:r w:rsidRPr="00786702">
        <w:rPr>
          <w:lang w:val="fr-FR"/>
        </w:rPr>
        <w:t>élaborer un projet. Le Comité procédera à la deuxième lecture du projet d</w:t>
      </w:r>
      <w:r w:rsidR="00993CE3">
        <w:rPr>
          <w:lang w:val="fr-FR"/>
        </w:rPr>
        <w:t>’</w:t>
      </w:r>
      <w:r w:rsidRPr="00786702">
        <w:rPr>
          <w:lang w:val="fr-FR"/>
        </w:rPr>
        <w:t>observation générale révisée à sa soixante et unième session.</w:t>
      </w:r>
    </w:p>
    <w:p w:rsidR="00786702" w:rsidRPr="00786702" w:rsidRDefault="00786702" w:rsidP="00B230DC">
      <w:pPr>
        <w:pStyle w:val="H1G"/>
        <w:rPr>
          <w:lang w:val="fr-FR"/>
        </w:rPr>
      </w:pPr>
      <w:r w:rsidRPr="00786702">
        <w:rPr>
          <w:lang w:val="fr-FR"/>
        </w:rPr>
        <w:lastRenderedPageBreak/>
        <w:tab/>
      </w:r>
      <w:bookmarkStart w:id="8" w:name="_Toc485738193"/>
      <w:r w:rsidRPr="00786702">
        <w:rPr>
          <w:lang w:val="fr-FR"/>
        </w:rPr>
        <w:t>H.</w:t>
      </w:r>
      <w:r w:rsidRPr="00786702">
        <w:rPr>
          <w:lang w:val="fr-FR"/>
        </w:rPr>
        <w:tab/>
        <w:t>Participation des organisations</w:t>
      </w:r>
      <w:bookmarkEnd w:id="8"/>
      <w:r w:rsidRPr="00786702">
        <w:rPr>
          <w:lang w:val="fr-FR"/>
        </w:rPr>
        <w:t xml:space="preserve"> non gouvernementales</w:t>
      </w:r>
    </w:p>
    <w:p w:rsidR="00786702" w:rsidRPr="00786702" w:rsidRDefault="00786702" w:rsidP="00786702">
      <w:pPr>
        <w:pStyle w:val="SingleTxtG"/>
        <w:rPr>
          <w:lang w:val="fr-FR"/>
        </w:rPr>
      </w:pPr>
      <w:r w:rsidRPr="00786702">
        <w:rPr>
          <w:lang w:val="fr-FR"/>
        </w:rPr>
        <w:t>15.</w:t>
      </w:r>
      <w:r w:rsidRPr="00786702">
        <w:rPr>
          <w:lang w:val="fr-FR"/>
        </w:rPr>
        <w:tab/>
        <w:t>Le Comité reconnaît depuis longtemps les travaux des organisations non gouvernementales (ONG) et rencontre celles-ci en séance privée, la veille du jour de l</w:t>
      </w:r>
      <w:r w:rsidR="00993CE3">
        <w:rPr>
          <w:lang w:val="fr-FR"/>
        </w:rPr>
        <w:t>’</w:t>
      </w:r>
      <w:r w:rsidRPr="00786702">
        <w:rPr>
          <w:lang w:val="fr-FR"/>
        </w:rPr>
        <w:t>examen de chacun des rapports soumis par les États parties en application de l</w:t>
      </w:r>
      <w:r w:rsidR="00993CE3">
        <w:rPr>
          <w:lang w:val="fr-FR"/>
        </w:rPr>
        <w:t>’</w:t>
      </w:r>
      <w:r w:rsidRPr="00786702">
        <w:rPr>
          <w:lang w:val="fr-FR"/>
        </w:rPr>
        <w:t>article 19 de la Convention. Le Comité sait gré aux ONG de leur participation à ces réunions et apprécie tout particulièrement la participation des ONG nationales, qui donnent, oralement et par écrit, des informations de première main sur les faits les plus récents. Le Comité remercie les ONG, et en particulier l</w:t>
      </w:r>
      <w:r w:rsidR="00993CE3">
        <w:rPr>
          <w:lang w:val="fr-FR"/>
        </w:rPr>
        <w:t>’</w:t>
      </w:r>
      <w:r w:rsidRPr="00786702">
        <w:rPr>
          <w:lang w:val="fr-FR"/>
        </w:rPr>
        <w:t>Organisation mondiale contre la torture (OMCT) pour son rôle essentiel dans la coordination de la participation des ONG aux travaux du Comité depuis la cinquante</w:t>
      </w:r>
      <w:r w:rsidRPr="00786702">
        <w:rPr>
          <w:lang w:val="fr-FR"/>
        </w:rPr>
        <w:noBreakHyphen/>
        <w:t>deuxième session. En outre, il tire profit des réunions d</w:t>
      </w:r>
      <w:r w:rsidR="00993CE3">
        <w:rPr>
          <w:lang w:val="fr-FR"/>
        </w:rPr>
        <w:t>’</w:t>
      </w:r>
      <w:r w:rsidRPr="00786702">
        <w:rPr>
          <w:lang w:val="fr-FR"/>
        </w:rPr>
        <w:t>information thématiques organisées par les ONG, parmi lesquelles, pendant la période considérée : a) la réunion d</w:t>
      </w:r>
      <w:r w:rsidR="00993CE3">
        <w:rPr>
          <w:lang w:val="fr-FR"/>
        </w:rPr>
        <w:t>’</w:t>
      </w:r>
      <w:r w:rsidRPr="00786702">
        <w:rPr>
          <w:lang w:val="fr-FR"/>
        </w:rPr>
        <w:t xml:space="preserve">information sur les réponses apportées par la société civile à la nécessité de mettre en place des systèmes efficaces de protection et de réparation pour les victimes, organisée par le </w:t>
      </w:r>
      <w:r w:rsidRPr="00786702">
        <w:t xml:space="preserve">Centre de recherche et de réadaptation pour les victimes de la </w:t>
      </w:r>
      <w:r w:rsidRPr="00786702">
        <w:rPr>
          <w:iCs/>
        </w:rPr>
        <w:t>torture</w:t>
      </w:r>
      <w:r w:rsidRPr="00786702">
        <w:rPr>
          <w:lang w:val="fr-FR"/>
        </w:rPr>
        <w:t xml:space="preserve"> et Redress, qui s</w:t>
      </w:r>
      <w:r w:rsidR="00993CE3">
        <w:rPr>
          <w:lang w:val="fr-FR"/>
        </w:rPr>
        <w:t>’</w:t>
      </w:r>
      <w:r w:rsidRPr="00786702">
        <w:rPr>
          <w:lang w:val="fr-FR"/>
        </w:rPr>
        <w:t>est tenue le 4 août 2016 ; b) la réunion d</w:t>
      </w:r>
      <w:r w:rsidR="00993CE3">
        <w:rPr>
          <w:lang w:val="fr-FR"/>
        </w:rPr>
        <w:t>’</w:t>
      </w:r>
      <w:r w:rsidRPr="00786702">
        <w:rPr>
          <w:lang w:val="fr-FR"/>
        </w:rPr>
        <w:t>information sur la collecte de données auprès des victimes de la torture et l</w:t>
      </w:r>
      <w:r w:rsidR="00993CE3">
        <w:rPr>
          <w:lang w:val="fr-FR"/>
        </w:rPr>
        <w:t>’</w:t>
      </w:r>
      <w:r w:rsidRPr="00786702">
        <w:rPr>
          <w:lang w:val="fr-FR"/>
        </w:rPr>
        <w:t>utilisation de ces données, organisée par le Conseil international pour la réadaptation des victimes de la torture et tenue le 17 novembre 2016 ; et c) la réunion de suivi sur le renforcement de la collaboration entre l</w:t>
      </w:r>
      <w:r w:rsidR="00993CE3">
        <w:rPr>
          <w:lang w:val="fr-FR"/>
        </w:rPr>
        <w:t>’</w:t>
      </w:r>
      <w:r w:rsidRPr="00786702">
        <w:rPr>
          <w:lang w:val="fr-FR"/>
        </w:rPr>
        <w:t xml:space="preserve">Organisation internationale de police criminelle (INTERPOL) et le Comité, organisée par Redress et Fair Trials et tenue le 2 décembre 2016. </w:t>
      </w:r>
    </w:p>
    <w:p w:rsidR="00786702" w:rsidRPr="00786702" w:rsidRDefault="00786702" w:rsidP="00B230DC">
      <w:pPr>
        <w:pStyle w:val="H1G"/>
        <w:rPr>
          <w:lang w:val="fr-FR"/>
        </w:rPr>
      </w:pPr>
      <w:r w:rsidRPr="00786702">
        <w:rPr>
          <w:lang w:val="fr-FR"/>
        </w:rPr>
        <w:tab/>
      </w:r>
      <w:bookmarkStart w:id="9" w:name="_Toc485738194"/>
      <w:r w:rsidRPr="00786702">
        <w:rPr>
          <w:lang w:val="fr-FR"/>
        </w:rPr>
        <w:t>I.</w:t>
      </w:r>
      <w:r w:rsidRPr="00786702">
        <w:rPr>
          <w:lang w:val="fr-FR"/>
        </w:rPr>
        <w:tab/>
      </w:r>
      <w:bookmarkEnd w:id="9"/>
      <w:r w:rsidRPr="00786702">
        <w:rPr>
          <w:lang w:val="fr-FR"/>
        </w:rPr>
        <w:t>Participation des institutions nationales des droits de l</w:t>
      </w:r>
      <w:r w:rsidR="00993CE3">
        <w:rPr>
          <w:lang w:val="fr-FR"/>
        </w:rPr>
        <w:t>’</w:t>
      </w:r>
      <w:r w:rsidRPr="00786702">
        <w:rPr>
          <w:lang w:val="fr-FR"/>
        </w:rPr>
        <w:t xml:space="preserve">homme </w:t>
      </w:r>
      <w:r w:rsidR="00B230DC">
        <w:rPr>
          <w:lang w:val="fr-FR"/>
        </w:rPr>
        <w:br/>
      </w:r>
      <w:r w:rsidRPr="00786702">
        <w:rPr>
          <w:lang w:val="fr-FR"/>
        </w:rPr>
        <w:t>et des mécanismes nationaux de prévention</w:t>
      </w:r>
    </w:p>
    <w:p w:rsidR="00786702" w:rsidRPr="00786702" w:rsidRDefault="00786702" w:rsidP="00786702">
      <w:pPr>
        <w:pStyle w:val="SingleTxtG"/>
        <w:rPr>
          <w:lang w:val="fr-FR"/>
        </w:rPr>
      </w:pPr>
      <w:r w:rsidRPr="00786702">
        <w:rPr>
          <w:lang w:val="fr-FR"/>
        </w:rPr>
        <w:t>16.</w:t>
      </w:r>
      <w:r w:rsidRPr="00786702">
        <w:rPr>
          <w:lang w:val="fr-FR"/>
        </w:rPr>
        <w:tab/>
        <w:t>De même, le Comité reconnaît à leur juste valeur les travaux des institutions nationales des droits de l</w:t>
      </w:r>
      <w:r w:rsidR="00993CE3">
        <w:rPr>
          <w:lang w:val="fr-FR"/>
        </w:rPr>
        <w:t>’</w:t>
      </w:r>
      <w:r w:rsidRPr="00786702">
        <w:rPr>
          <w:lang w:val="fr-FR"/>
        </w:rPr>
        <w:t>homme et des mécanismes nationaux de prévention qui ont été mis en place par les États parties en application des dispositions du Protocole facultatif se rapportant à la Convention. Depuis sa cinquante</w:t>
      </w:r>
      <w:r w:rsidRPr="00786702">
        <w:rPr>
          <w:lang w:val="fr-FR"/>
        </w:rPr>
        <w:noBreakHyphen/>
        <w:t>cinquième session, il offre aux représentants de ces institutions et de ces mécanismes la possibilité de se réunir en séance privée avec le Comité plénier. À sa cinquante</w:t>
      </w:r>
      <w:r w:rsidRPr="00786702">
        <w:rPr>
          <w:lang w:val="fr-FR"/>
        </w:rPr>
        <w:noBreakHyphen/>
        <w:t>huitième session, le Comité a ainsi rencontré les représentants des institutions nationales des droits de l</w:t>
      </w:r>
      <w:r w:rsidR="00993CE3">
        <w:rPr>
          <w:lang w:val="fr-FR"/>
        </w:rPr>
        <w:t>’</w:t>
      </w:r>
      <w:r w:rsidRPr="00786702">
        <w:rPr>
          <w:lang w:val="fr-FR"/>
        </w:rPr>
        <w:t>homme du Burundi et du Honduras ainsi que du mécanisme national de prévention du Honduras ; à sa cinquante</w:t>
      </w:r>
      <w:r w:rsidRPr="00786702">
        <w:rPr>
          <w:lang w:val="fr-FR"/>
        </w:rPr>
        <w:noBreakHyphen/>
        <w:t>neuvième session, il a rencontré les représentants des institutions nationales des droits de l</w:t>
      </w:r>
      <w:r w:rsidR="00993CE3">
        <w:rPr>
          <w:lang w:val="fr-FR"/>
        </w:rPr>
        <w:t>’</w:t>
      </w:r>
      <w:r w:rsidRPr="00786702">
        <w:rPr>
          <w:lang w:val="fr-FR"/>
        </w:rPr>
        <w:t>homme de Cabo Verde, de l</w:t>
      </w:r>
      <w:r w:rsidR="00993CE3">
        <w:rPr>
          <w:lang w:val="fr-FR"/>
        </w:rPr>
        <w:t>’</w:t>
      </w:r>
      <w:r w:rsidRPr="00786702">
        <w:rPr>
          <w:lang w:val="fr-FR"/>
        </w:rPr>
        <w:t>Équateur et de Sri Lanka, ainsi que des institutions nationales des droits de l</w:t>
      </w:r>
      <w:r w:rsidR="00993CE3">
        <w:rPr>
          <w:lang w:val="fr-FR"/>
        </w:rPr>
        <w:t>’</w:t>
      </w:r>
      <w:r w:rsidRPr="00786702">
        <w:rPr>
          <w:lang w:val="fr-FR"/>
        </w:rPr>
        <w:t>homme et des mécanismes nationaux de prévention de l</w:t>
      </w:r>
      <w:r w:rsidR="00993CE3">
        <w:rPr>
          <w:lang w:val="fr-FR"/>
        </w:rPr>
        <w:t>’</w:t>
      </w:r>
      <w:r w:rsidRPr="00786702">
        <w:rPr>
          <w:lang w:val="fr-FR"/>
        </w:rPr>
        <w:t>Arménie et de la Finlande ; et, à sa soixantième session, il a rencontré les représentants des institutions nationales des droits de l</w:t>
      </w:r>
      <w:r w:rsidR="00993CE3">
        <w:rPr>
          <w:lang w:val="fr-FR"/>
        </w:rPr>
        <w:t>’</w:t>
      </w:r>
      <w:r w:rsidRPr="00786702">
        <w:rPr>
          <w:lang w:val="fr-FR"/>
        </w:rPr>
        <w:t>homme de l</w:t>
      </w:r>
      <w:r w:rsidR="00993CE3">
        <w:rPr>
          <w:lang w:val="fr-FR"/>
        </w:rPr>
        <w:t>’</w:t>
      </w:r>
      <w:r w:rsidRPr="00786702">
        <w:rPr>
          <w:lang w:val="fr-FR"/>
        </w:rPr>
        <w:t>Afghanistan, de Bahreïn, du Pakistan et de la République de Corée, ainsi que de l</w:t>
      </w:r>
      <w:r w:rsidR="00993CE3">
        <w:rPr>
          <w:lang w:val="fr-FR"/>
        </w:rPr>
        <w:t>’</w:t>
      </w:r>
      <w:r w:rsidRPr="00786702">
        <w:rPr>
          <w:lang w:val="fr-FR"/>
        </w:rPr>
        <w:t>institution et du mécanisme de prévention de l</w:t>
      </w:r>
      <w:r w:rsidR="00993CE3">
        <w:rPr>
          <w:lang w:val="fr-FR"/>
        </w:rPr>
        <w:t>’</w:t>
      </w:r>
      <w:r w:rsidRPr="00786702">
        <w:rPr>
          <w:lang w:val="fr-FR"/>
        </w:rPr>
        <w:t>Argentine. Le Comité sait gré à ces institutions et à ces mécanismes des renseignements qu</w:t>
      </w:r>
      <w:r w:rsidR="00993CE3">
        <w:rPr>
          <w:lang w:val="fr-FR"/>
        </w:rPr>
        <w:t>’</w:t>
      </w:r>
      <w:r w:rsidRPr="00786702">
        <w:rPr>
          <w:lang w:val="fr-FR"/>
        </w:rPr>
        <w:t>ils lui communiquent et espère continuer de tirer profit de ces sources d</w:t>
      </w:r>
      <w:r w:rsidR="00993CE3">
        <w:rPr>
          <w:lang w:val="fr-FR"/>
        </w:rPr>
        <w:t>’</w:t>
      </w:r>
      <w:r w:rsidRPr="00786702">
        <w:rPr>
          <w:lang w:val="fr-FR"/>
        </w:rPr>
        <w:t>information, ces renseignements lui permettant de mieux comprendre les questions dont il est saisi.</w:t>
      </w:r>
    </w:p>
    <w:p w:rsidR="00786702" w:rsidRPr="00786702" w:rsidRDefault="00786702" w:rsidP="00B230DC">
      <w:pPr>
        <w:pStyle w:val="H1G"/>
        <w:rPr>
          <w:lang w:val="fr-FR"/>
        </w:rPr>
      </w:pPr>
      <w:r w:rsidRPr="00786702">
        <w:rPr>
          <w:lang w:val="fr-FR"/>
        </w:rPr>
        <w:tab/>
      </w:r>
      <w:bookmarkStart w:id="10" w:name="_Toc485738195"/>
      <w:r w:rsidRPr="00786702">
        <w:rPr>
          <w:lang w:val="fr-FR"/>
        </w:rPr>
        <w:t>J.</w:t>
      </w:r>
      <w:r w:rsidRPr="00786702">
        <w:rPr>
          <w:lang w:val="fr-FR"/>
        </w:rPr>
        <w:tab/>
      </w:r>
      <w:bookmarkEnd w:id="10"/>
      <w:r w:rsidRPr="00786702">
        <w:rPr>
          <w:lang w:val="fr-FR"/>
        </w:rPr>
        <w:t>Rapporteurs chargés de la question des représailles</w:t>
      </w:r>
    </w:p>
    <w:p w:rsidR="00786702" w:rsidRPr="00786702" w:rsidRDefault="00786702" w:rsidP="00786702">
      <w:pPr>
        <w:pStyle w:val="SingleTxtG"/>
        <w:rPr>
          <w:lang w:val="fr-FR"/>
        </w:rPr>
      </w:pPr>
      <w:r w:rsidRPr="00786702">
        <w:rPr>
          <w:lang w:val="fr-FR"/>
        </w:rPr>
        <w:t>17.</w:t>
      </w:r>
      <w:r w:rsidRPr="00786702">
        <w:rPr>
          <w:lang w:val="fr-FR"/>
        </w:rPr>
        <w:tab/>
        <w:t>À sa quarante</w:t>
      </w:r>
      <w:r w:rsidRPr="00786702">
        <w:rPr>
          <w:lang w:val="fr-FR"/>
        </w:rPr>
        <w:noBreakHyphen/>
        <w:t>neuvième session, le Comité a décidé de créer un mécanisme de prévention, de surveillance et de suivi des cas de représailles exercées contre les organisations de la société civile, les défenseurs des droits de l</w:t>
      </w:r>
      <w:r w:rsidR="00993CE3">
        <w:rPr>
          <w:lang w:val="fr-FR"/>
        </w:rPr>
        <w:t>’</w:t>
      </w:r>
      <w:r w:rsidRPr="00786702">
        <w:rPr>
          <w:lang w:val="fr-FR"/>
        </w:rPr>
        <w:t>homme, les victimes et les témoins ayant collaboré avec des organes conventionnels. Par la suite, il a nommé un rapporteur chargé de la question des représailles au titre de l</w:t>
      </w:r>
      <w:r w:rsidR="00993CE3">
        <w:rPr>
          <w:lang w:val="fr-FR"/>
        </w:rPr>
        <w:t>’</w:t>
      </w:r>
      <w:r w:rsidRPr="00786702">
        <w:rPr>
          <w:lang w:val="fr-FR"/>
        </w:rPr>
        <w:t>article 19 et un rapporteur chargé de la question des représailles au titre des articles 20 et 22. À sa cinquante</w:t>
      </w:r>
      <w:r w:rsidRPr="00786702">
        <w:rPr>
          <w:lang w:val="fr-FR"/>
        </w:rPr>
        <w:noBreakHyphen/>
        <w:t>cinquième session, le Comité a adopté des lignes directrices sur la réception et le traitement des allégations de représailles contre des personnes ou organisations ayant collaboré avec le Comité dans le contexte des articles 13, 19, 20 et 22 de la Convention (</w:t>
      </w:r>
      <w:hyperlink r:id="rId38" w:history="1">
        <w:r w:rsidRPr="007139ED">
          <w:rPr>
            <w:rStyle w:val="Lienhypertexte"/>
            <w:lang w:val="fr-FR"/>
          </w:rPr>
          <w:t>CAT/C/55/2</w:t>
        </w:r>
      </w:hyperlink>
      <w:r w:rsidRPr="00786702">
        <w:rPr>
          <w:lang w:val="fr-FR"/>
        </w:rPr>
        <w:t>). Ce document reconnaît clairement la valeur des Principes directeurs relatifs à la lutte contre l</w:t>
      </w:r>
      <w:r w:rsidR="00993CE3">
        <w:rPr>
          <w:lang w:val="fr-FR"/>
        </w:rPr>
        <w:t>’</w:t>
      </w:r>
      <w:r w:rsidRPr="00786702">
        <w:rPr>
          <w:lang w:val="fr-FR"/>
        </w:rPr>
        <w:t>intimidation ou les représailles (Principes directeurs de San José).</w:t>
      </w:r>
    </w:p>
    <w:p w:rsidR="00786702" w:rsidRPr="00786702" w:rsidRDefault="00786702" w:rsidP="00786702">
      <w:pPr>
        <w:pStyle w:val="SingleTxtG"/>
        <w:rPr>
          <w:lang w:val="fr-FR"/>
        </w:rPr>
      </w:pPr>
      <w:r w:rsidRPr="00786702">
        <w:rPr>
          <w:lang w:val="fr-FR"/>
        </w:rPr>
        <w:lastRenderedPageBreak/>
        <w:t>18.</w:t>
      </w:r>
      <w:r w:rsidRPr="00786702">
        <w:rPr>
          <w:lang w:val="fr-FR"/>
        </w:rPr>
        <w:tab/>
        <w:t>À sa cinquante</w:t>
      </w:r>
      <w:r w:rsidRPr="00786702">
        <w:rPr>
          <w:lang w:val="fr-FR"/>
        </w:rPr>
        <w:noBreakHyphen/>
        <w:t>septième session, le Comité a nommé M. Bruni Rapporteur chargé de la question des représailles au titre de l</w:t>
      </w:r>
      <w:r w:rsidR="00993CE3">
        <w:rPr>
          <w:lang w:val="fr-FR"/>
        </w:rPr>
        <w:t>’</w:t>
      </w:r>
      <w:r w:rsidRPr="00786702">
        <w:rPr>
          <w:lang w:val="fr-FR"/>
        </w:rPr>
        <w:t>article 19 et Rapporteur chargé de la question des représailles au titre des articles 20 et 22. Des informations sur les activités menées dans le cadre de ces deux mandats pendant la période couverte par le rapport sont disponibles sur la page Web du Comité. Le 26 septembre 2016, M. Bruni a participé à une réunion de haut niveau du Conseil des droits de l</w:t>
      </w:r>
      <w:r w:rsidR="00993CE3">
        <w:rPr>
          <w:lang w:val="fr-FR"/>
        </w:rPr>
        <w:t>’</w:t>
      </w:r>
      <w:r w:rsidRPr="00786702">
        <w:rPr>
          <w:lang w:val="fr-FR"/>
        </w:rPr>
        <w:t>homme sur le thème « Plan d</w:t>
      </w:r>
      <w:r w:rsidR="00993CE3">
        <w:rPr>
          <w:lang w:val="fr-FR"/>
        </w:rPr>
        <w:t>’</w:t>
      </w:r>
      <w:r w:rsidRPr="00786702">
        <w:rPr>
          <w:lang w:val="fr-FR"/>
        </w:rPr>
        <w:t>action global contre les actes d</w:t>
      </w:r>
      <w:r w:rsidR="00993CE3">
        <w:rPr>
          <w:lang w:val="fr-FR"/>
        </w:rPr>
        <w:t>’</w:t>
      </w:r>
      <w:r w:rsidRPr="00786702">
        <w:rPr>
          <w:lang w:val="fr-FR"/>
        </w:rPr>
        <w:t>intimidation et de représailles dans le domaine des droits de l</w:t>
      </w:r>
      <w:r w:rsidR="00993CE3">
        <w:rPr>
          <w:lang w:val="fr-FR"/>
        </w:rPr>
        <w:t>’</w:t>
      </w:r>
      <w:r w:rsidRPr="00786702">
        <w:rPr>
          <w:lang w:val="fr-FR"/>
        </w:rPr>
        <w:t>homme : état des lieux, pratiques existantes et nouvelles idées pour une meilleure application des dispositions », organisée par le Ghana</w:t>
      </w:r>
      <w:r w:rsidR="00F53D6A">
        <w:rPr>
          <w:lang w:val="fr-FR"/>
        </w:rPr>
        <w:t>,</w:t>
      </w:r>
      <w:r w:rsidRPr="00786702">
        <w:rPr>
          <w:lang w:val="fr-FR"/>
        </w:rPr>
        <w:t xml:space="preserve"> </w:t>
      </w:r>
      <w:r w:rsidR="00F53D6A" w:rsidRPr="00786702">
        <w:rPr>
          <w:lang w:val="fr-FR"/>
        </w:rPr>
        <w:t xml:space="preserve">la Hongrie </w:t>
      </w:r>
      <w:r w:rsidRPr="00786702">
        <w:rPr>
          <w:lang w:val="fr-FR"/>
        </w:rPr>
        <w:t>et l</w:t>
      </w:r>
      <w:r w:rsidR="00993CE3">
        <w:rPr>
          <w:lang w:val="fr-FR"/>
        </w:rPr>
        <w:t>’</w:t>
      </w:r>
      <w:r w:rsidRPr="00786702">
        <w:rPr>
          <w:lang w:val="fr-FR"/>
        </w:rPr>
        <w:t>Uruguay.</w:t>
      </w:r>
    </w:p>
    <w:p w:rsidR="00786702" w:rsidRPr="00786702" w:rsidRDefault="00786702" w:rsidP="00B230DC">
      <w:pPr>
        <w:pStyle w:val="H1G"/>
        <w:rPr>
          <w:lang w:val="fr-FR"/>
        </w:rPr>
      </w:pPr>
      <w:r w:rsidRPr="00786702">
        <w:rPr>
          <w:lang w:val="fr-FR"/>
        </w:rPr>
        <w:tab/>
      </w:r>
      <w:bookmarkStart w:id="11" w:name="_Toc485738196"/>
      <w:r w:rsidRPr="00786702">
        <w:rPr>
          <w:lang w:val="fr-FR"/>
        </w:rPr>
        <w:t>K.</w:t>
      </w:r>
      <w:r w:rsidRPr="00786702">
        <w:rPr>
          <w:lang w:val="fr-FR"/>
        </w:rPr>
        <w:tab/>
      </w:r>
      <w:bookmarkEnd w:id="11"/>
      <w:r w:rsidRPr="00786702">
        <w:rPr>
          <w:lang w:val="fr-FR"/>
        </w:rPr>
        <w:t>Processus de renforcement des organes conventionnels</w:t>
      </w:r>
    </w:p>
    <w:p w:rsidR="00786702" w:rsidRPr="00786702" w:rsidRDefault="00786702" w:rsidP="00786702">
      <w:pPr>
        <w:pStyle w:val="SingleTxtG"/>
        <w:rPr>
          <w:lang w:val="fr-FR"/>
        </w:rPr>
      </w:pPr>
      <w:r w:rsidRPr="00786702">
        <w:rPr>
          <w:lang w:val="fr-FR"/>
        </w:rPr>
        <w:t>19.</w:t>
      </w:r>
      <w:r w:rsidRPr="00786702">
        <w:rPr>
          <w:lang w:val="fr-FR"/>
        </w:rPr>
        <w:tab/>
        <w:t>À sa cinquante</w:t>
      </w:r>
      <w:r w:rsidRPr="00786702">
        <w:rPr>
          <w:lang w:val="fr-FR"/>
        </w:rPr>
        <w:noBreakHyphen/>
        <w:t>huitième session, le Comité a examiné les recommandations formulées à l</w:t>
      </w:r>
      <w:r w:rsidR="00993CE3">
        <w:rPr>
          <w:lang w:val="fr-FR"/>
        </w:rPr>
        <w:t>’</w:t>
      </w:r>
      <w:r w:rsidRPr="00786702">
        <w:rPr>
          <w:lang w:val="fr-FR"/>
        </w:rPr>
        <w:t>issue de la vingt</w:t>
      </w:r>
      <w:r w:rsidRPr="00786702">
        <w:rPr>
          <w:lang w:val="fr-FR"/>
        </w:rPr>
        <w:noBreakHyphen/>
        <w:t>huitième réunion des présidents des organes créés en vertu d</w:t>
      </w:r>
      <w:r w:rsidR="00993CE3">
        <w:rPr>
          <w:lang w:val="fr-FR"/>
        </w:rPr>
        <w:t>’</w:t>
      </w:r>
      <w:r w:rsidRPr="00786702">
        <w:rPr>
          <w:lang w:val="fr-FR"/>
        </w:rPr>
        <w:t>instruments internationaux relatifs aux droits de l</w:t>
      </w:r>
      <w:r w:rsidR="00993CE3">
        <w:rPr>
          <w:lang w:val="fr-FR"/>
        </w:rPr>
        <w:t>’</w:t>
      </w:r>
      <w:r w:rsidRPr="00786702">
        <w:rPr>
          <w:lang w:val="fr-FR"/>
        </w:rPr>
        <w:t>homme, qui s</w:t>
      </w:r>
      <w:r w:rsidR="00993CE3">
        <w:rPr>
          <w:lang w:val="fr-FR"/>
        </w:rPr>
        <w:t>’</w:t>
      </w:r>
      <w:r w:rsidRPr="00786702">
        <w:rPr>
          <w:lang w:val="fr-FR"/>
        </w:rPr>
        <w:t>était tenue du 30 mai au 3 juin 2016, à New York. Le Comité a réaffirmé sa volonté de faire aboutir le processus de renforcement des organes conventionnels, tout en soulignant une nouvelle fois que des ressources humaines suffisantes devaient être affectées au Groupe des requêtes afin que le Comité puisse rattraper le retard accumulé dans l</w:t>
      </w:r>
      <w:r w:rsidR="00993CE3">
        <w:rPr>
          <w:lang w:val="fr-FR"/>
        </w:rPr>
        <w:t>’</w:t>
      </w:r>
      <w:r w:rsidRPr="00786702">
        <w:rPr>
          <w:lang w:val="fr-FR"/>
        </w:rPr>
        <w:t>examen des communications émanant de particuliers et utiliser ainsi efficacement le temps de réunion supplémentaire accordé par l</w:t>
      </w:r>
      <w:r w:rsidR="00993CE3">
        <w:rPr>
          <w:lang w:val="fr-FR"/>
        </w:rPr>
        <w:t>’</w:t>
      </w:r>
      <w:r w:rsidRPr="00786702">
        <w:rPr>
          <w:lang w:val="fr-FR"/>
        </w:rPr>
        <w:t>Assemblée générale dans sa résolution 68/268. À la même session, le Comité contre la torture a tenu sa première réunion conjointe avec le Comité pour l</w:t>
      </w:r>
      <w:r w:rsidR="00993CE3">
        <w:rPr>
          <w:lang w:val="fr-FR"/>
        </w:rPr>
        <w:t>’</w:t>
      </w:r>
      <w:r w:rsidRPr="00786702">
        <w:rPr>
          <w:lang w:val="fr-FR"/>
        </w:rPr>
        <w:t>élimination de la discrimination raciale sur les questions présentant un intérêt commun et les domaines de coopération.</w:t>
      </w:r>
    </w:p>
    <w:p w:rsidR="00786702" w:rsidRPr="00786702" w:rsidRDefault="00786702" w:rsidP="00B230DC">
      <w:pPr>
        <w:pStyle w:val="H1G"/>
        <w:rPr>
          <w:lang w:val="fr-FR"/>
        </w:rPr>
      </w:pPr>
      <w:r w:rsidRPr="00786702">
        <w:rPr>
          <w:lang w:val="fr-FR"/>
        </w:rPr>
        <w:tab/>
      </w:r>
      <w:bookmarkStart w:id="12" w:name="_Toc485738197"/>
      <w:r w:rsidRPr="00786702">
        <w:rPr>
          <w:lang w:val="fr-FR"/>
        </w:rPr>
        <w:t>L.</w:t>
      </w:r>
      <w:r w:rsidRPr="00786702">
        <w:rPr>
          <w:lang w:val="fr-FR"/>
        </w:rPr>
        <w:tab/>
      </w:r>
      <w:bookmarkEnd w:id="12"/>
      <w:r w:rsidRPr="00786702">
        <w:rPr>
          <w:lang w:val="fr-FR"/>
        </w:rPr>
        <w:t xml:space="preserve">Suite donnée aux décisions adoptées lors des journées de réflexion </w:t>
      </w:r>
      <w:r w:rsidR="00B230DC">
        <w:rPr>
          <w:lang w:val="fr-FR"/>
        </w:rPr>
        <w:br/>
      </w:r>
      <w:r w:rsidRPr="00786702">
        <w:rPr>
          <w:lang w:val="fr-FR"/>
        </w:rPr>
        <w:t>sur les méthodes de travail du Comité</w:t>
      </w:r>
    </w:p>
    <w:p w:rsidR="00786702" w:rsidRPr="00786702" w:rsidRDefault="00786702" w:rsidP="00786702">
      <w:pPr>
        <w:pStyle w:val="SingleTxtG"/>
        <w:rPr>
          <w:lang w:val="fr-FR"/>
        </w:rPr>
      </w:pPr>
      <w:r w:rsidRPr="00786702">
        <w:rPr>
          <w:lang w:val="fr-FR"/>
        </w:rPr>
        <w:t>20.</w:t>
      </w:r>
      <w:r w:rsidRPr="00786702">
        <w:rPr>
          <w:lang w:val="fr-FR"/>
        </w:rPr>
        <w:tab/>
        <w:t>Comme suite aux décisions adoptées à l</w:t>
      </w:r>
      <w:r w:rsidR="00993CE3">
        <w:rPr>
          <w:lang w:val="fr-FR"/>
        </w:rPr>
        <w:t>’</w:t>
      </w:r>
      <w:r w:rsidRPr="00786702">
        <w:rPr>
          <w:lang w:val="fr-FR"/>
        </w:rPr>
        <w:t>issue de ses deux journées de réflexion sur ses méthodes de travail, qui ont eu lieu pendant sa cinquante</w:t>
      </w:r>
      <w:r w:rsidRPr="00786702">
        <w:rPr>
          <w:lang w:val="fr-FR"/>
        </w:rPr>
        <w:noBreakHyphen/>
        <w:t>troisième session, le Comité a :</w:t>
      </w:r>
    </w:p>
    <w:p w:rsidR="00786702" w:rsidRPr="00786702" w:rsidRDefault="00786702" w:rsidP="00786702">
      <w:pPr>
        <w:pStyle w:val="SingleTxtG"/>
        <w:rPr>
          <w:lang w:val="fr-FR"/>
        </w:rPr>
      </w:pPr>
      <w:r w:rsidRPr="00786702">
        <w:rPr>
          <w:lang w:val="fr-FR"/>
        </w:rPr>
        <w:tab/>
        <w:t>a)</w:t>
      </w:r>
      <w:r w:rsidRPr="00786702">
        <w:rPr>
          <w:lang w:val="fr-FR"/>
        </w:rPr>
        <w:tab/>
        <w:t>Proposé à six États (Antigua</w:t>
      </w:r>
      <w:r w:rsidRPr="00786702">
        <w:rPr>
          <w:lang w:val="fr-FR"/>
        </w:rPr>
        <w:noBreakHyphen/>
        <w:t>et</w:t>
      </w:r>
      <w:r w:rsidRPr="00786702">
        <w:rPr>
          <w:lang w:val="fr-FR"/>
        </w:rPr>
        <w:noBreakHyphen/>
        <w:t>Barbuda, Cabo Verde, Côte d</w:t>
      </w:r>
      <w:r w:rsidR="00993CE3">
        <w:rPr>
          <w:lang w:val="fr-FR"/>
        </w:rPr>
        <w:t>’</w:t>
      </w:r>
      <w:r w:rsidRPr="00786702">
        <w:rPr>
          <w:lang w:val="fr-FR"/>
        </w:rPr>
        <w:t>Ivoire, Malawi, Seychelles et Somalie), dont le rapport initial était très en retard, d</w:t>
      </w:r>
      <w:r w:rsidR="00993CE3">
        <w:rPr>
          <w:lang w:val="fr-FR"/>
        </w:rPr>
        <w:t>’</w:t>
      </w:r>
      <w:r w:rsidRPr="00786702">
        <w:rPr>
          <w:lang w:val="fr-FR"/>
        </w:rPr>
        <w:t>établir celui</w:t>
      </w:r>
      <w:r w:rsidRPr="00786702">
        <w:rPr>
          <w:lang w:val="fr-FR"/>
        </w:rPr>
        <w:noBreakHyphen/>
        <w:t>ci selon la procédure simplifiée (voir chap. II, sect. D)</w:t>
      </w:r>
      <w:r w:rsidR="00B33DE5">
        <w:rPr>
          <w:lang w:val="fr-FR"/>
        </w:rPr>
        <w:t> ;</w:t>
      </w:r>
    </w:p>
    <w:p w:rsidR="00786702" w:rsidRPr="00786702" w:rsidRDefault="00786702" w:rsidP="00786702">
      <w:pPr>
        <w:pStyle w:val="SingleTxtG"/>
        <w:rPr>
          <w:lang w:val="fr-FR"/>
        </w:rPr>
      </w:pPr>
      <w:r w:rsidRPr="00786702">
        <w:rPr>
          <w:lang w:val="fr-FR"/>
        </w:rPr>
        <w:tab/>
        <w:t>b)</w:t>
      </w:r>
      <w:r w:rsidRPr="00786702">
        <w:rPr>
          <w:lang w:val="fr-FR"/>
        </w:rPr>
        <w:tab/>
        <w:t>Entamé une évaluation de fond préliminaire de la procédure simplifiée d</w:t>
      </w:r>
      <w:r w:rsidR="00993CE3">
        <w:rPr>
          <w:lang w:val="fr-FR"/>
        </w:rPr>
        <w:t>’</w:t>
      </w:r>
      <w:r w:rsidRPr="00786702">
        <w:rPr>
          <w:lang w:val="fr-FR"/>
        </w:rPr>
        <w:t>établissement des rapports (voir chap. II, sect. B)</w:t>
      </w:r>
      <w:r w:rsidR="00B33DE5">
        <w:rPr>
          <w:lang w:val="fr-FR"/>
        </w:rPr>
        <w:t> ;</w:t>
      </w:r>
    </w:p>
    <w:p w:rsidR="00786702" w:rsidRPr="00786702" w:rsidRDefault="00786702" w:rsidP="00786702">
      <w:pPr>
        <w:pStyle w:val="SingleTxtG"/>
        <w:rPr>
          <w:lang w:val="fr-FR"/>
        </w:rPr>
      </w:pPr>
      <w:r w:rsidRPr="00786702">
        <w:rPr>
          <w:lang w:val="fr-FR"/>
        </w:rPr>
        <w:tab/>
        <w:t>c)</w:t>
      </w:r>
      <w:r w:rsidRPr="00786702">
        <w:rPr>
          <w:lang w:val="fr-FR"/>
        </w:rPr>
        <w:tab/>
        <w:t>Adopté des directives concernant le suivi des observations finales (</w:t>
      </w:r>
      <w:hyperlink r:id="rId39" w:history="1">
        <w:r w:rsidRPr="00786702">
          <w:rPr>
            <w:rStyle w:val="Lienhypertexte"/>
            <w:lang w:val="fr-FR"/>
          </w:rPr>
          <w:t>CAT/C/55/3</w:t>
        </w:r>
      </w:hyperlink>
      <w:r w:rsidRPr="00786702">
        <w:rPr>
          <w:lang w:val="fr-FR"/>
        </w:rPr>
        <w:t>)</w:t>
      </w:r>
      <w:r w:rsidR="00B33DE5">
        <w:rPr>
          <w:lang w:val="fr-FR"/>
        </w:rPr>
        <w:t> ;</w:t>
      </w:r>
    </w:p>
    <w:p w:rsidR="00786702" w:rsidRPr="00786702" w:rsidRDefault="00786702" w:rsidP="00786702">
      <w:pPr>
        <w:pStyle w:val="SingleTxtG"/>
        <w:rPr>
          <w:lang w:val="fr-FR"/>
        </w:rPr>
      </w:pPr>
      <w:r w:rsidRPr="00786702">
        <w:rPr>
          <w:lang w:val="fr-FR"/>
        </w:rPr>
        <w:tab/>
        <w:t>d)</w:t>
      </w:r>
      <w:r w:rsidRPr="00786702">
        <w:rPr>
          <w:lang w:val="fr-FR"/>
        </w:rPr>
        <w:tab/>
        <w:t>Facilité la contribution et la participation des institutions nationales des droits de l</w:t>
      </w:r>
      <w:r w:rsidR="00993CE3">
        <w:rPr>
          <w:lang w:val="fr-FR"/>
        </w:rPr>
        <w:t>’</w:t>
      </w:r>
      <w:r w:rsidRPr="00786702">
        <w:rPr>
          <w:lang w:val="fr-FR"/>
        </w:rPr>
        <w:t>homme et des mécanismes nationaux de prévention ainsi que des ONG à ses sessions (voir chap. I, sect. I), notamment en utilisant de nouvelles technologies de la communication telles que l</w:t>
      </w:r>
      <w:r w:rsidR="00993CE3">
        <w:rPr>
          <w:lang w:val="fr-FR"/>
        </w:rPr>
        <w:t>’</w:t>
      </w:r>
      <w:r w:rsidRPr="00786702">
        <w:rPr>
          <w:lang w:val="fr-FR"/>
        </w:rPr>
        <w:t>application Skype</w:t>
      </w:r>
      <w:r w:rsidR="00B33DE5">
        <w:rPr>
          <w:lang w:val="fr-FR"/>
        </w:rPr>
        <w:t> ;</w:t>
      </w:r>
    </w:p>
    <w:p w:rsidR="00786702" w:rsidRPr="00786702" w:rsidRDefault="00786702" w:rsidP="00786702">
      <w:pPr>
        <w:pStyle w:val="SingleTxtG"/>
        <w:rPr>
          <w:lang w:val="fr-FR"/>
        </w:rPr>
      </w:pPr>
      <w:r w:rsidRPr="00786702">
        <w:rPr>
          <w:lang w:val="fr-FR"/>
        </w:rPr>
        <w:tab/>
        <w:t>e)</w:t>
      </w:r>
      <w:r w:rsidRPr="00786702">
        <w:rPr>
          <w:lang w:val="fr-FR"/>
        </w:rPr>
        <w:tab/>
        <w:t>Créé un groupe de travail sur les requêtes émanant de particuliers, qui est chargé de lui donner une vue d</w:t>
      </w:r>
      <w:r w:rsidR="00993CE3">
        <w:rPr>
          <w:lang w:val="fr-FR"/>
        </w:rPr>
        <w:t>’</w:t>
      </w:r>
      <w:r w:rsidRPr="00786702">
        <w:rPr>
          <w:lang w:val="fr-FR"/>
        </w:rPr>
        <w:t>ensemble du fonctionnement interne de la procédure relative à ces requêtes ;</w:t>
      </w:r>
    </w:p>
    <w:p w:rsidR="00786702" w:rsidRPr="00786702" w:rsidRDefault="00786702" w:rsidP="00786702">
      <w:pPr>
        <w:pStyle w:val="SingleTxtG"/>
        <w:rPr>
          <w:lang w:val="fr-FR"/>
        </w:rPr>
      </w:pPr>
      <w:r w:rsidRPr="00786702">
        <w:rPr>
          <w:lang w:val="fr-FR"/>
        </w:rPr>
        <w:tab/>
        <w:t>f)</w:t>
      </w:r>
      <w:r w:rsidRPr="00786702">
        <w:rPr>
          <w:lang w:val="fr-FR"/>
        </w:rPr>
        <w:tab/>
        <w:t>Décidé d</w:t>
      </w:r>
      <w:r w:rsidR="00993CE3">
        <w:rPr>
          <w:lang w:val="fr-FR"/>
        </w:rPr>
        <w:t>’</w:t>
      </w:r>
      <w:r w:rsidRPr="00786702">
        <w:rPr>
          <w:lang w:val="fr-FR"/>
        </w:rPr>
        <w:t>élaborer un projet d</w:t>
      </w:r>
      <w:r w:rsidR="00993CE3">
        <w:rPr>
          <w:lang w:val="fr-FR"/>
        </w:rPr>
        <w:t>’</w:t>
      </w:r>
      <w:r w:rsidRPr="00786702">
        <w:rPr>
          <w:lang w:val="fr-FR"/>
        </w:rPr>
        <w:t>observation générale révisée sur l</w:t>
      </w:r>
      <w:r w:rsidR="00993CE3">
        <w:rPr>
          <w:lang w:val="fr-FR"/>
        </w:rPr>
        <w:t>’</w:t>
      </w:r>
      <w:r w:rsidRPr="00786702">
        <w:rPr>
          <w:lang w:val="fr-FR"/>
        </w:rPr>
        <w:t>application de l</w:t>
      </w:r>
      <w:r w:rsidR="00993CE3">
        <w:rPr>
          <w:lang w:val="fr-FR"/>
        </w:rPr>
        <w:t>’</w:t>
      </w:r>
      <w:r w:rsidRPr="00786702">
        <w:rPr>
          <w:lang w:val="fr-FR"/>
        </w:rPr>
        <w:t>article 3 de la Convention (voir chap. I, sect. G) ;</w:t>
      </w:r>
    </w:p>
    <w:p w:rsidR="00786702" w:rsidRPr="00786702" w:rsidRDefault="00786702" w:rsidP="00786702">
      <w:pPr>
        <w:pStyle w:val="SingleTxtG"/>
        <w:rPr>
          <w:lang w:val="fr-FR"/>
        </w:rPr>
      </w:pPr>
      <w:r w:rsidRPr="00786702">
        <w:rPr>
          <w:lang w:val="fr-FR"/>
        </w:rPr>
        <w:tab/>
        <w:t>g)</w:t>
      </w:r>
      <w:r w:rsidRPr="00786702">
        <w:rPr>
          <w:lang w:val="fr-FR"/>
        </w:rPr>
        <w:tab/>
        <w:t>Adopté des lignes directrices sur la réception et le traitement des allégations de représailles contre des personnes ou organisations ayant collaboré avec le Comité dans le contexte des articles 13, 19, 20 et 22 de la Convention (voir chap. I, sect. J).</w:t>
      </w:r>
    </w:p>
    <w:p w:rsidR="00786702" w:rsidRPr="00786702" w:rsidRDefault="00786702" w:rsidP="00B230DC">
      <w:pPr>
        <w:pStyle w:val="H1G"/>
        <w:rPr>
          <w:lang w:val="fr-FR"/>
        </w:rPr>
      </w:pPr>
      <w:r w:rsidRPr="00786702">
        <w:rPr>
          <w:lang w:val="fr-FR"/>
        </w:rPr>
        <w:lastRenderedPageBreak/>
        <w:tab/>
      </w:r>
      <w:bookmarkStart w:id="13" w:name="_Toc485738198"/>
      <w:r w:rsidRPr="00786702">
        <w:rPr>
          <w:lang w:val="fr-FR"/>
        </w:rPr>
        <w:t>M.</w:t>
      </w:r>
      <w:r w:rsidRPr="00786702">
        <w:rPr>
          <w:lang w:val="fr-FR"/>
        </w:rPr>
        <w:tab/>
      </w:r>
      <w:bookmarkEnd w:id="13"/>
      <w:r w:rsidRPr="00786702">
        <w:rPr>
          <w:lang w:val="fr-FR"/>
        </w:rPr>
        <w:t>Participation des membres du Comité à d</w:t>
      </w:r>
      <w:r w:rsidR="00993CE3">
        <w:rPr>
          <w:lang w:val="fr-FR"/>
        </w:rPr>
        <w:t>’</w:t>
      </w:r>
      <w:r w:rsidRPr="00786702">
        <w:rPr>
          <w:lang w:val="fr-FR"/>
        </w:rPr>
        <w:t>autres réunions</w:t>
      </w:r>
    </w:p>
    <w:p w:rsidR="00786702" w:rsidRPr="00786702" w:rsidRDefault="00786702" w:rsidP="00786702">
      <w:pPr>
        <w:pStyle w:val="SingleTxtG"/>
        <w:rPr>
          <w:lang w:val="fr-FR"/>
        </w:rPr>
      </w:pPr>
      <w:r w:rsidRPr="00786702">
        <w:rPr>
          <w:lang w:val="fr-FR"/>
        </w:rPr>
        <w:t>21.</w:t>
      </w:r>
      <w:r w:rsidRPr="00786702">
        <w:rPr>
          <w:lang w:val="fr-FR"/>
        </w:rPr>
        <w:tab/>
        <w:t>Au cours de la période considérée, des membres du Comité ont participé activement, oralement et par écrit, à différentes réunions</w:t>
      </w:r>
      <w:r w:rsidR="00B33DE5">
        <w:rPr>
          <w:lang w:val="fr-FR"/>
        </w:rPr>
        <w:t> :</w:t>
      </w:r>
    </w:p>
    <w:p w:rsidR="00786702" w:rsidRPr="00786702" w:rsidRDefault="00786702" w:rsidP="00786702">
      <w:pPr>
        <w:pStyle w:val="SingleTxtG"/>
        <w:rPr>
          <w:lang w:val="fr-FR"/>
        </w:rPr>
      </w:pPr>
      <w:r w:rsidRPr="00786702">
        <w:rPr>
          <w:lang w:val="fr-FR"/>
        </w:rPr>
        <w:tab/>
        <w:t>a)</w:t>
      </w:r>
      <w:r w:rsidRPr="00786702">
        <w:rPr>
          <w:lang w:val="fr-FR"/>
        </w:rPr>
        <w:tab/>
        <w:t>M</w:t>
      </w:r>
      <w:r w:rsidRPr="00786702">
        <w:rPr>
          <w:vertAlign w:val="superscript"/>
          <w:lang w:val="fr-FR"/>
        </w:rPr>
        <w:t>me</w:t>
      </w:r>
      <w:r w:rsidRPr="00786702">
        <w:rPr>
          <w:lang w:val="fr-FR"/>
        </w:rPr>
        <w:t> Gaer a participé à une réunion du Comité consultatif du Conseil des droits de l</w:t>
      </w:r>
      <w:r w:rsidR="00993CE3">
        <w:rPr>
          <w:lang w:val="fr-FR"/>
        </w:rPr>
        <w:t>’</w:t>
      </w:r>
      <w:r w:rsidRPr="00786702">
        <w:rPr>
          <w:lang w:val="fr-FR"/>
        </w:rPr>
        <w:t>homme sur les arrangements régionaux pour la promotion et la protection des droits de l</w:t>
      </w:r>
      <w:r w:rsidR="00993CE3">
        <w:rPr>
          <w:lang w:val="fr-FR"/>
        </w:rPr>
        <w:t>’</w:t>
      </w:r>
      <w:r w:rsidRPr="00786702">
        <w:rPr>
          <w:lang w:val="fr-FR"/>
        </w:rPr>
        <w:t>homme, qui s</w:t>
      </w:r>
      <w:r w:rsidR="00993CE3">
        <w:rPr>
          <w:lang w:val="fr-FR"/>
        </w:rPr>
        <w:t>’</w:t>
      </w:r>
      <w:r w:rsidRPr="00786702">
        <w:rPr>
          <w:lang w:val="fr-FR"/>
        </w:rPr>
        <w:t>est tenue le 10 août 2016 ;</w:t>
      </w:r>
    </w:p>
    <w:p w:rsidR="00786702" w:rsidRPr="00786702" w:rsidRDefault="00786702" w:rsidP="00786702">
      <w:pPr>
        <w:pStyle w:val="SingleTxtG"/>
        <w:rPr>
          <w:lang w:val="fr-FR"/>
        </w:rPr>
      </w:pPr>
      <w:r w:rsidRPr="00786702">
        <w:rPr>
          <w:lang w:val="fr-FR"/>
        </w:rPr>
        <w:tab/>
        <w:t>b)</w:t>
      </w:r>
      <w:r w:rsidRPr="00786702">
        <w:rPr>
          <w:lang w:val="fr-FR"/>
        </w:rPr>
        <w:tab/>
        <w:t>M. Modvig a participé à une conférence sur le thème « Mise en œuvre du Protocole d</w:t>
      </w:r>
      <w:r w:rsidR="00993CE3">
        <w:rPr>
          <w:lang w:val="fr-FR"/>
        </w:rPr>
        <w:t>’</w:t>
      </w:r>
      <w:r w:rsidRPr="00786702">
        <w:rPr>
          <w:lang w:val="fr-FR"/>
        </w:rPr>
        <w:t>Istanbul : Des expériences régionales à des normes internationales pour enquêter efficacement sur la torture et établir la réalité des faits » organisée par le Gouvernement kirghize, le Bureau du Procureur général de la République kirghize, le Centre national pour la prévention de la torture, la Fondation Soros pour le Kirghizistan, la Coalition des organisations non gouvernementales contre la torture du Kirghizistan et Médecins pour les droits de l</w:t>
      </w:r>
      <w:r w:rsidR="00993CE3">
        <w:rPr>
          <w:lang w:val="fr-FR"/>
        </w:rPr>
        <w:t>’</w:t>
      </w:r>
      <w:r w:rsidRPr="00786702">
        <w:rPr>
          <w:lang w:val="fr-FR"/>
        </w:rPr>
        <w:t>homme, qui s</w:t>
      </w:r>
      <w:r w:rsidR="00993CE3">
        <w:rPr>
          <w:lang w:val="fr-FR"/>
        </w:rPr>
        <w:t>’</w:t>
      </w:r>
      <w:r w:rsidRPr="00786702">
        <w:rPr>
          <w:lang w:val="fr-FR"/>
        </w:rPr>
        <w:t>est tenue les 21 et 22 septembre 2016 à Bichkek (Kirghizistan)</w:t>
      </w:r>
      <w:r w:rsidR="00B33DE5">
        <w:rPr>
          <w:lang w:val="fr-FR"/>
        </w:rPr>
        <w:t> ;</w:t>
      </w:r>
    </w:p>
    <w:p w:rsidR="00786702" w:rsidRPr="00786702" w:rsidRDefault="00786702" w:rsidP="00786702">
      <w:pPr>
        <w:pStyle w:val="SingleTxtG"/>
        <w:rPr>
          <w:lang w:val="fr-FR"/>
        </w:rPr>
      </w:pPr>
      <w:r w:rsidRPr="00786702">
        <w:rPr>
          <w:lang w:val="fr-FR"/>
        </w:rPr>
        <w:tab/>
        <w:t>c)</w:t>
      </w:r>
      <w:r w:rsidRPr="00786702">
        <w:rPr>
          <w:lang w:val="fr-FR"/>
        </w:rPr>
        <w:tab/>
        <w:t>M. Bruni et M. Heller ont participé à un atelier sur les procédures d</w:t>
      </w:r>
      <w:r w:rsidR="00993CE3">
        <w:rPr>
          <w:lang w:val="fr-FR"/>
        </w:rPr>
        <w:t>’</w:t>
      </w:r>
      <w:r w:rsidRPr="00786702">
        <w:rPr>
          <w:lang w:val="fr-FR"/>
        </w:rPr>
        <w:t>enquête du système des organes conventionnels organisé par le HCDH en collaboration avec l</w:t>
      </w:r>
      <w:r w:rsidR="00993CE3">
        <w:rPr>
          <w:lang w:val="fr-FR"/>
        </w:rPr>
        <w:t>’</w:t>
      </w:r>
      <w:r w:rsidRPr="00786702">
        <w:t xml:space="preserve">Académie de droit </w:t>
      </w:r>
      <w:r w:rsidRPr="00786702">
        <w:rPr>
          <w:iCs/>
        </w:rPr>
        <w:t>international</w:t>
      </w:r>
      <w:r w:rsidRPr="00786702">
        <w:t xml:space="preserve"> humanitaire et de droits humains à Genève</w:t>
      </w:r>
      <w:r w:rsidRPr="00786702">
        <w:rPr>
          <w:lang w:val="fr-FR"/>
        </w:rPr>
        <w:t>, qui s</w:t>
      </w:r>
      <w:r w:rsidR="00993CE3">
        <w:rPr>
          <w:lang w:val="fr-FR"/>
        </w:rPr>
        <w:t>’</w:t>
      </w:r>
      <w:r w:rsidRPr="00786702">
        <w:rPr>
          <w:lang w:val="fr-FR"/>
        </w:rPr>
        <w:t>est tenu les 6 et 7 octobre 2016 à Genève</w:t>
      </w:r>
      <w:r w:rsidR="00B33DE5">
        <w:rPr>
          <w:lang w:val="fr-FR"/>
        </w:rPr>
        <w:t> ;</w:t>
      </w:r>
    </w:p>
    <w:p w:rsidR="00786702" w:rsidRPr="00786702" w:rsidRDefault="00786702" w:rsidP="00786702">
      <w:pPr>
        <w:pStyle w:val="SingleTxtG"/>
        <w:rPr>
          <w:lang w:val="fr-FR"/>
        </w:rPr>
      </w:pPr>
      <w:r w:rsidRPr="00786702">
        <w:rPr>
          <w:lang w:val="fr-FR"/>
        </w:rPr>
        <w:tab/>
        <w:t>d)</w:t>
      </w:r>
      <w:r w:rsidRPr="00786702">
        <w:rPr>
          <w:lang w:val="fr-FR"/>
        </w:rPr>
        <w:tab/>
        <w:t>M. Modvig a participé à une manifestation concernant la réalisation de l</w:t>
      </w:r>
      <w:r w:rsidR="00993CE3">
        <w:rPr>
          <w:lang w:val="fr-FR"/>
        </w:rPr>
        <w:t>’</w:t>
      </w:r>
      <w:r w:rsidRPr="00786702">
        <w:rPr>
          <w:lang w:val="fr-FR"/>
        </w:rPr>
        <w:t>objectif de développement durable 16 et le rôle des initiatives contre la torture organisée en marge de l</w:t>
      </w:r>
      <w:r w:rsidR="00993CE3">
        <w:rPr>
          <w:lang w:val="fr-FR"/>
        </w:rPr>
        <w:t>’</w:t>
      </w:r>
      <w:r w:rsidRPr="00786702">
        <w:rPr>
          <w:lang w:val="fr-FR"/>
        </w:rPr>
        <w:t>Assemblée générale par l</w:t>
      </w:r>
      <w:r w:rsidR="00993CE3">
        <w:rPr>
          <w:lang w:val="fr-FR"/>
        </w:rPr>
        <w:t>’</w:t>
      </w:r>
      <w:r w:rsidRPr="00786702">
        <w:rPr>
          <w:lang w:val="fr-FR"/>
        </w:rPr>
        <w:t>Initiative</w:t>
      </w:r>
      <w:r w:rsidRPr="00786702">
        <w:t xml:space="preserve"> sur la </w:t>
      </w:r>
      <w:r w:rsidRPr="00786702">
        <w:rPr>
          <w:iCs/>
        </w:rPr>
        <w:t>Convention</w:t>
      </w:r>
      <w:r w:rsidRPr="00786702">
        <w:t xml:space="preserve"> contre la </w:t>
      </w:r>
      <w:r w:rsidRPr="00786702">
        <w:rPr>
          <w:iCs/>
        </w:rPr>
        <w:t>torture</w:t>
      </w:r>
      <w:r w:rsidRPr="00786702">
        <w:rPr>
          <w:lang w:val="fr-FR"/>
        </w:rPr>
        <w:t xml:space="preserve"> et l</w:t>
      </w:r>
      <w:r w:rsidR="00993CE3">
        <w:rPr>
          <w:lang w:val="fr-FR"/>
        </w:rPr>
        <w:t>’</w:t>
      </w:r>
      <w:r w:rsidRPr="00786702">
        <w:rPr>
          <w:iCs/>
        </w:rPr>
        <w:t>Association</w:t>
      </w:r>
      <w:r w:rsidRPr="00786702">
        <w:t xml:space="preserve"> pour la prévention de la </w:t>
      </w:r>
      <w:r w:rsidRPr="00786702">
        <w:rPr>
          <w:iCs/>
        </w:rPr>
        <w:t>torture</w:t>
      </w:r>
      <w:r w:rsidRPr="00786702">
        <w:rPr>
          <w:lang w:val="fr-FR"/>
        </w:rPr>
        <w:t>, qui s</w:t>
      </w:r>
      <w:r w:rsidR="00993CE3">
        <w:rPr>
          <w:lang w:val="fr-FR"/>
        </w:rPr>
        <w:t>’</w:t>
      </w:r>
      <w:r w:rsidRPr="00786702">
        <w:rPr>
          <w:lang w:val="fr-FR"/>
        </w:rPr>
        <w:t>est</w:t>
      </w:r>
      <w:r w:rsidR="00B230DC">
        <w:rPr>
          <w:lang w:val="fr-FR"/>
        </w:rPr>
        <w:t xml:space="preserve"> tenue le 18 octobre 2016 à New </w:t>
      </w:r>
      <w:r w:rsidRPr="00786702">
        <w:rPr>
          <w:lang w:val="fr-FR"/>
        </w:rPr>
        <w:t>York</w:t>
      </w:r>
      <w:r w:rsidR="00B33DE5">
        <w:rPr>
          <w:lang w:val="fr-FR"/>
        </w:rPr>
        <w:t> ;</w:t>
      </w:r>
    </w:p>
    <w:p w:rsidR="00786702" w:rsidRPr="00786702" w:rsidRDefault="00786702" w:rsidP="00786702">
      <w:pPr>
        <w:pStyle w:val="SingleTxtG"/>
        <w:rPr>
          <w:lang w:val="fr-FR"/>
        </w:rPr>
      </w:pPr>
      <w:r w:rsidRPr="00786702">
        <w:rPr>
          <w:lang w:val="fr-FR"/>
        </w:rPr>
        <w:tab/>
        <w:t>e)</w:t>
      </w:r>
      <w:r w:rsidRPr="00786702">
        <w:rPr>
          <w:lang w:val="fr-FR"/>
        </w:rPr>
        <w:tab/>
        <w:t>M. Heller a participé à une table ronde concernant la ratification de la Convention contre la torture par le Suriname, organisée par l</w:t>
      </w:r>
      <w:r w:rsidR="00993CE3">
        <w:rPr>
          <w:lang w:val="fr-FR"/>
        </w:rPr>
        <w:t>’</w:t>
      </w:r>
      <w:r w:rsidRPr="00786702">
        <w:rPr>
          <w:lang w:val="fr-FR"/>
        </w:rPr>
        <w:t>Initiative sur la Convention contre la torture et le HCDH, qui s</w:t>
      </w:r>
      <w:r w:rsidR="00993CE3">
        <w:rPr>
          <w:lang w:val="fr-FR"/>
        </w:rPr>
        <w:t>’</w:t>
      </w:r>
      <w:r w:rsidRPr="00786702">
        <w:rPr>
          <w:lang w:val="fr-FR"/>
        </w:rPr>
        <w:t>est tenue le 20 octobre 2016 au Suriname</w:t>
      </w:r>
      <w:r w:rsidR="00B33DE5">
        <w:rPr>
          <w:lang w:val="fr-FR"/>
        </w:rPr>
        <w:t> ;</w:t>
      </w:r>
    </w:p>
    <w:p w:rsidR="00786702" w:rsidRPr="00786702" w:rsidRDefault="00786702" w:rsidP="00786702">
      <w:pPr>
        <w:pStyle w:val="SingleTxtG"/>
        <w:rPr>
          <w:lang w:val="fr-FR"/>
        </w:rPr>
      </w:pPr>
      <w:r w:rsidRPr="00786702">
        <w:rPr>
          <w:lang w:val="fr-FR"/>
        </w:rPr>
        <w:tab/>
        <w:t>f)</w:t>
      </w:r>
      <w:r w:rsidRPr="00786702">
        <w:rPr>
          <w:lang w:val="fr-FR"/>
        </w:rPr>
        <w:tab/>
        <w:t>M. Hani a participé à un atelier régional sur le thème « Avantages et inconvénients de la ratification et de l</w:t>
      </w:r>
      <w:r w:rsidR="00993CE3">
        <w:rPr>
          <w:lang w:val="fr-FR"/>
        </w:rPr>
        <w:t>’</w:t>
      </w:r>
      <w:r w:rsidRPr="00786702">
        <w:rPr>
          <w:lang w:val="fr-FR"/>
        </w:rPr>
        <w:t xml:space="preserve">application de la Convention des Nations Unies contre la torture dans la région du Pacifique </w:t>
      </w:r>
      <w:r w:rsidR="00B230DC">
        <w:rPr>
          <w:lang w:val="fr-FR"/>
        </w:rPr>
        <w:t>−</w:t>
      </w:r>
      <w:r w:rsidRPr="00786702">
        <w:rPr>
          <w:lang w:val="fr-FR"/>
        </w:rPr>
        <w:t xml:space="preserve"> partage des expériences et renforcement des capacités » organisé par l</w:t>
      </w:r>
      <w:r w:rsidR="00993CE3">
        <w:rPr>
          <w:lang w:val="fr-FR"/>
        </w:rPr>
        <w:t>’</w:t>
      </w:r>
      <w:r w:rsidRPr="00786702">
        <w:rPr>
          <w:lang w:val="fr-FR"/>
        </w:rPr>
        <w:t>Initiative sur la Convention contre la torture avec le concours d</w:t>
      </w:r>
      <w:r w:rsidR="00993CE3">
        <w:rPr>
          <w:lang w:val="fr-FR"/>
        </w:rPr>
        <w:t>’</w:t>
      </w:r>
      <w:r w:rsidRPr="00786702">
        <w:rPr>
          <w:lang w:val="fr-FR"/>
        </w:rPr>
        <w:t>Universal</w:t>
      </w:r>
      <w:r w:rsidR="00993CE3">
        <w:rPr>
          <w:lang w:val="fr-FR"/>
        </w:rPr>
        <w:t xml:space="preserve"> </w:t>
      </w:r>
      <w:r w:rsidRPr="00786702">
        <w:rPr>
          <w:lang w:val="fr-FR"/>
        </w:rPr>
        <w:t>Rights</w:t>
      </w:r>
      <w:r w:rsidR="00993CE3">
        <w:rPr>
          <w:lang w:val="fr-FR"/>
        </w:rPr>
        <w:t xml:space="preserve"> </w:t>
      </w:r>
      <w:r w:rsidRPr="00786702">
        <w:rPr>
          <w:lang w:val="fr-FR"/>
        </w:rPr>
        <w:t>Group et de l</w:t>
      </w:r>
      <w:r w:rsidR="00993CE3">
        <w:rPr>
          <w:lang w:val="fr-FR"/>
        </w:rPr>
        <w:t>’</w:t>
      </w:r>
      <w:r w:rsidRPr="00786702">
        <w:rPr>
          <w:lang w:val="fr-FR"/>
        </w:rPr>
        <w:t>Association pour la prévention de la torture, qui s</w:t>
      </w:r>
      <w:r w:rsidR="00993CE3">
        <w:rPr>
          <w:lang w:val="fr-FR"/>
        </w:rPr>
        <w:t>’</w:t>
      </w:r>
      <w:r w:rsidRPr="00786702">
        <w:rPr>
          <w:lang w:val="fr-FR"/>
        </w:rPr>
        <w:t>est tenu les 27 et 28 octobre 2016 à Natadola (Îles Fidji)</w:t>
      </w:r>
      <w:r w:rsidR="00B33DE5">
        <w:rPr>
          <w:lang w:val="fr-FR"/>
        </w:rPr>
        <w:t> ;</w:t>
      </w:r>
    </w:p>
    <w:p w:rsidR="00786702" w:rsidRPr="00786702" w:rsidRDefault="00786702" w:rsidP="00786702">
      <w:pPr>
        <w:pStyle w:val="SingleTxtG"/>
        <w:rPr>
          <w:lang w:val="fr-FR"/>
        </w:rPr>
      </w:pPr>
      <w:r w:rsidRPr="00786702">
        <w:rPr>
          <w:lang w:val="fr-FR"/>
        </w:rPr>
        <w:tab/>
        <w:t>g)</w:t>
      </w:r>
      <w:r w:rsidRPr="00786702">
        <w:rPr>
          <w:lang w:val="fr-FR"/>
        </w:rPr>
        <w:tab/>
        <w:t>M. Hani a participé à un atelier consacré aux observations générales organisé par le HCDH en collaboration avec le Comité arabe des droits de l</w:t>
      </w:r>
      <w:r w:rsidR="00993CE3">
        <w:rPr>
          <w:lang w:val="fr-FR"/>
        </w:rPr>
        <w:t>’</w:t>
      </w:r>
      <w:r w:rsidRPr="00786702">
        <w:rPr>
          <w:lang w:val="fr-FR"/>
        </w:rPr>
        <w:t>homme, qui s</w:t>
      </w:r>
      <w:r w:rsidR="00993CE3">
        <w:rPr>
          <w:lang w:val="fr-FR"/>
        </w:rPr>
        <w:t>’</w:t>
      </w:r>
      <w:r w:rsidRPr="00786702">
        <w:rPr>
          <w:lang w:val="fr-FR"/>
        </w:rPr>
        <w:t>est tenu le 30 novembre 2016 au Caire</w:t>
      </w:r>
      <w:r w:rsidR="00B33DE5">
        <w:rPr>
          <w:lang w:val="fr-FR"/>
        </w:rPr>
        <w:t> ;</w:t>
      </w:r>
    </w:p>
    <w:p w:rsidR="00786702" w:rsidRPr="00786702" w:rsidRDefault="00B230DC" w:rsidP="00786702">
      <w:pPr>
        <w:pStyle w:val="SingleTxtG"/>
        <w:rPr>
          <w:lang w:val="fr-FR"/>
        </w:rPr>
      </w:pPr>
      <w:r>
        <w:rPr>
          <w:lang w:val="fr-FR"/>
        </w:rPr>
        <w:tab/>
        <w:t>h)</w:t>
      </w:r>
      <w:r>
        <w:rPr>
          <w:lang w:val="fr-FR"/>
        </w:rPr>
        <w:tab/>
        <w:t>M. </w:t>
      </w:r>
      <w:r w:rsidR="00786702" w:rsidRPr="00786702">
        <w:rPr>
          <w:lang w:val="fr-FR"/>
        </w:rPr>
        <w:t>Hani a participé à un colloque international sur la création d</w:t>
      </w:r>
      <w:r w:rsidR="00993CE3">
        <w:rPr>
          <w:lang w:val="fr-FR"/>
        </w:rPr>
        <w:t>’</w:t>
      </w:r>
      <w:r w:rsidR="00786702" w:rsidRPr="00786702">
        <w:rPr>
          <w:lang w:val="fr-FR"/>
        </w:rPr>
        <w:t>un mécanisme national de prévention en Tunisie organisé par l</w:t>
      </w:r>
      <w:r w:rsidR="00993CE3">
        <w:rPr>
          <w:lang w:val="fr-FR"/>
        </w:rPr>
        <w:t>’</w:t>
      </w:r>
      <w:r w:rsidR="00786702" w:rsidRPr="00786702">
        <w:rPr>
          <w:lang w:val="fr-FR"/>
        </w:rPr>
        <w:t>Autorité nationale pour la prévention de la torture en Tunisie avec l</w:t>
      </w:r>
      <w:r w:rsidR="00993CE3">
        <w:rPr>
          <w:lang w:val="fr-FR"/>
        </w:rPr>
        <w:t>’</w:t>
      </w:r>
      <w:r w:rsidR="00786702" w:rsidRPr="00786702">
        <w:rPr>
          <w:lang w:val="fr-FR"/>
        </w:rPr>
        <w:t>appui du Programme des Nations Unies pour le développement (PNUD), du HCDH, de l</w:t>
      </w:r>
      <w:r w:rsidR="00993CE3">
        <w:rPr>
          <w:lang w:val="fr-FR"/>
        </w:rPr>
        <w:t>’</w:t>
      </w:r>
      <w:r w:rsidR="00786702" w:rsidRPr="00786702">
        <w:rPr>
          <w:lang w:val="fr-FR"/>
        </w:rPr>
        <w:t>Association pour la prévention de la torture, du Conseil de l</w:t>
      </w:r>
      <w:r w:rsidR="00993CE3">
        <w:rPr>
          <w:lang w:val="fr-FR"/>
        </w:rPr>
        <w:t>’</w:t>
      </w:r>
      <w:r w:rsidR="00786702" w:rsidRPr="00786702">
        <w:rPr>
          <w:lang w:val="fr-FR"/>
        </w:rPr>
        <w:t>Europe, du Centre de Genève pour le contrôle</w:t>
      </w:r>
      <w:r>
        <w:rPr>
          <w:lang w:val="fr-FR"/>
        </w:rPr>
        <w:t xml:space="preserve"> démocratique des forces armées</w:t>
      </w:r>
      <w:r w:rsidR="00786702" w:rsidRPr="00786702">
        <w:rPr>
          <w:lang w:val="fr-FR"/>
        </w:rPr>
        <w:t xml:space="preserve">, </w:t>
      </w:r>
      <w:r w:rsidR="00786702" w:rsidRPr="00786702">
        <w:rPr>
          <w:iCs/>
        </w:rPr>
        <w:t xml:space="preserve">de </w:t>
      </w:r>
      <w:r w:rsidR="00786702" w:rsidRPr="00786702">
        <w:t>DIGNITY et de l</w:t>
      </w:r>
      <w:r w:rsidR="00993CE3">
        <w:t>’</w:t>
      </w:r>
      <w:r w:rsidR="00786702" w:rsidRPr="00786702">
        <w:t>OMCT</w:t>
      </w:r>
      <w:r w:rsidR="00786702" w:rsidRPr="00786702">
        <w:rPr>
          <w:lang w:val="fr-FR"/>
        </w:rPr>
        <w:t>, qui s</w:t>
      </w:r>
      <w:r w:rsidR="00993CE3">
        <w:rPr>
          <w:lang w:val="fr-FR"/>
        </w:rPr>
        <w:t>’</w:t>
      </w:r>
      <w:r w:rsidR="00786702" w:rsidRPr="00786702">
        <w:rPr>
          <w:lang w:val="fr-FR"/>
        </w:rPr>
        <w:t>est tenu les 19 et 20 décembre 2016, à Tunis. Ce colloque a été précédé d</w:t>
      </w:r>
      <w:r w:rsidR="00993CE3">
        <w:rPr>
          <w:lang w:val="fr-FR"/>
        </w:rPr>
        <w:t>’</w:t>
      </w:r>
      <w:r w:rsidR="00786702" w:rsidRPr="00786702">
        <w:rPr>
          <w:lang w:val="fr-FR"/>
        </w:rPr>
        <w:t>un séminaire sur la lutte contre la torture en Tunisie, organisé par DIGNITY</w:t>
      </w:r>
      <w:r w:rsidR="00786702" w:rsidRPr="00786702">
        <w:t xml:space="preserve"> le 8 décembre</w:t>
      </w:r>
      <w:r w:rsidR="00786702" w:rsidRPr="00786702">
        <w:rPr>
          <w:lang w:val="fr-FR"/>
        </w:rPr>
        <w:t xml:space="preserve"> 2016</w:t>
      </w:r>
      <w:r w:rsidR="00B33DE5">
        <w:rPr>
          <w:lang w:val="fr-FR"/>
        </w:rPr>
        <w:t> ;</w:t>
      </w:r>
    </w:p>
    <w:p w:rsidR="00786702" w:rsidRPr="00786702" w:rsidRDefault="00786702" w:rsidP="00786702">
      <w:pPr>
        <w:pStyle w:val="SingleTxtG"/>
        <w:rPr>
          <w:lang w:val="fr-FR"/>
        </w:rPr>
      </w:pPr>
      <w:r w:rsidRPr="00786702">
        <w:rPr>
          <w:lang w:val="fr-FR"/>
        </w:rPr>
        <w:tab/>
        <w:t>i)</w:t>
      </w:r>
      <w:r w:rsidRPr="00786702">
        <w:rPr>
          <w:lang w:val="fr-FR"/>
        </w:rPr>
        <w:tab/>
      </w:r>
      <w:r w:rsidR="00B230DC" w:rsidRPr="00B230DC">
        <w:rPr>
          <w:lang w:val="fr-FR"/>
        </w:rPr>
        <w:t>M</w:t>
      </w:r>
      <w:r w:rsidR="00B230DC" w:rsidRPr="00B230DC">
        <w:rPr>
          <w:vertAlign w:val="superscript"/>
          <w:lang w:val="fr-FR"/>
        </w:rPr>
        <w:t>me</w:t>
      </w:r>
      <w:r w:rsidR="00B230DC" w:rsidRPr="00B230DC">
        <w:rPr>
          <w:lang w:val="fr-FR"/>
        </w:rPr>
        <w:t> </w:t>
      </w:r>
      <w:r w:rsidRPr="00786702">
        <w:rPr>
          <w:lang w:val="fr-FR"/>
        </w:rPr>
        <w:t>Belmir et M. Hani ont participé à un atelier sur le mandat et le fonctionnement du futur mécanisme marocain de prévention de la torture organisé par le Conseil national des droits de l</w:t>
      </w:r>
      <w:r w:rsidR="00993CE3">
        <w:rPr>
          <w:lang w:val="fr-FR"/>
        </w:rPr>
        <w:t>’</w:t>
      </w:r>
      <w:r w:rsidRPr="00786702">
        <w:rPr>
          <w:lang w:val="fr-FR"/>
        </w:rPr>
        <w:t>homme, le Ministère des affaires étrangères et du Commonwealth et l</w:t>
      </w:r>
      <w:r w:rsidR="00993CE3">
        <w:rPr>
          <w:lang w:val="fr-FR"/>
        </w:rPr>
        <w:t>’</w:t>
      </w:r>
      <w:r w:rsidRPr="00786702">
        <w:rPr>
          <w:lang w:val="fr-FR"/>
        </w:rPr>
        <w:t>Association pour la prévention de la tort</w:t>
      </w:r>
      <w:r w:rsidR="00B230DC">
        <w:rPr>
          <w:lang w:val="fr-FR"/>
        </w:rPr>
        <w:t>ure, qui s</w:t>
      </w:r>
      <w:r w:rsidR="00993CE3">
        <w:rPr>
          <w:lang w:val="fr-FR"/>
        </w:rPr>
        <w:t>’</w:t>
      </w:r>
      <w:r w:rsidR="00B230DC">
        <w:rPr>
          <w:lang w:val="fr-FR"/>
        </w:rPr>
        <w:t>est tenu du 20 au 22 </w:t>
      </w:r>
      <w:r w:rsidRPr="00786702">
        <w:rPr>
          <w:lang w:val="fr-FR"/>
        </w:rPr>
        <w:t>décembre 2016 à Rabat</w:t>
      </w:r>
      <w:r w:rsidR="00B33DE5">
        <w:rPr>
          <w:lang w:val="fr-FR"/>
        </w:rPr>
        <w:t> ;</w:t>
      </w:r>
    </w:p>
    <w:p w:rsidR="00786702" w:rsidRPr="00786702" w:rsidRDefault="00786702" w:rsidP="00786702">
      <w:pPr>
        <w:pStyle w:val="SingleTxtG"/>
        <w:rPr>
          <w:lang w:val="fr-FR"/>
        </w:rPr>
      </w:pPr>
      <w:r w:rsidRPr="00786702">
        <w:rPr>
          <w:lang w:val="fr-FR"/>
        </w:rPr>
        <w:tab/>
        <w:t>j)</w:t>
      </w:r>
      <w:r w:rsidRPr="00786702">
        <w:rPr>
          <w:lang w:val="fr-FR"/>
        </w:rPr>
        <w:tab/>
        <w:t>M. Bruni, M</w:t>
      </w:r>
      <w:r w:rsidRPr="00786702">
        <w:rPr>
          <w:vertAlign w:val="superscript"/>
          <w:lang w:val="fr-FR"/>
        </w:rPr>
        <w:t>me</w:t>
      </w:r>
      <w:r w:rsidRPr="00786702">
        <w:rPr>
          <w:lang w:val="fr-FR"/>
        </w:rPr>
        <w:t> Gaer, M. Hani et M. Modvig ont participé à un forum d</w:t>
      </w:r>
      <w:r w:rsidR="00993CE3">
        <w:rPr>
          <w:lang w:val="fr-FR"/>
        </w:rPr>
        <w:t>’</w:t>
      </w:r>
      <w:r w:rsidRPr="00786702">
        <w:rPr>
          <w:lang w:val="fr-FR"/>
        </w:rPr>
        <w:t>experts du Comité sur le thème « Protéger les personnes déplacées de la torture et des mauvais traitements » organisé par l</w:t>
      </w:r>
      <w:r w:rsidR="00993CE3">
        <w:rPr>
          <w:lang w:val="fr-FR"/>
        </w:rPr>
        <w:t>’</w:t>
      </w:r>
      <w:r w:rsidRPr="00786702">
        <w:rPr>
          <w:lang w:val="fr-FR"/>
        </w:rPr>
        <w:t>OMCT, qui s</w:t>
      </w:r>
      <w:r w:rsidR="00993CE3">
        <w:rPr>
          <w:lang w:val="fr-FR"/>
        </w:rPr>
        <w:t>’</w:t>
      </w:r>
      <w:r w:rsidRPr="00786702">
        <w:rPr>
          <w:lang w:val="fr-FR"/>
        </w:rPr>
        <w:t>est tenu les 9 et 10 février 2017 à Genève</w:t>
      </w:r>
      <w:r w:rsidR="00B33DE5">
        <w:rPr>
          <w:lang w:val="fr-FR"/>
        </w:rPr>
        <w:t> ;</w:t>
      </w:r>
    </w:p>
    <w:p w:rsidR="00786702" w:rsidRPr="00786702" w:rsidRDefault="00786702" w:rsidP="00786702">
      <w:pPr>
        <w:pStyle w:val="SingleTxtG"/>
        <w:rPr>
          <w:lang w:val="fr-FR"/>
        </w:rPr>
      </w:pPr>
      <w:r w:rsidRPr="00786702">
        <w:rPr>
          <w:lang w:val="fr-FR"/>
        </w:rPr>
        <w:lastRenderedPageBreak/>
        <w:tab/>
        <w:t>k)</w:t>
      </w:r>
      <w:r w:rsidRPr="00786702">
        <w:rPr>
          <w:lang w:val="fr-FR"/>
        </w:rPr>
        <w:tab/>
        <w:t>M. Hani a participé à un atelier sur les organes conventionnels et les institutions nationales des droits de l</w:t>
      </w:r>
      <w:r w:rsidR="00993CE3">
        <w:rPr>
          <w:lang w:val="fr-FR"/>
        </w:rPr>
        <w:t>’</w:t>
      </w:r>
      <w:r w:rsidRPr="00786702">
        <w:rPr>
          <w:lang w:val="fr-FR"/>
        </w:rPr>
        <w:t>homme organisé par le HCDH en collaboration avec l</w:t>
      </w:r>
      <w:r w:rsidR="00993CE3">
        <w:rPr>
          <w:lang w:val="fr-FR"/>
        </w:rPr>
        <w:t>’</w:t>
      </w:r>
      <w:r w:rsidRPr="00786702">
        <w:rPr>
          <w:lang w:val="fr-FR"/>
        </w:rPr>
        <w:t>Alliance globale des institutions nationales des droits de l</w:t>
      </w:r>
      <w:r w:rsidR="00993CE3">
        <w:rPr>
          <w:lang w:val="fr-FR"/>
        </w:rPr>
        <w:t>’</w:t>
      </w:r>
      <w:r w:rsidRPr="00786702">
        <w:rPr>
          <w:lang w:val="fr-FR"/>
        </w:rPr>
        <w:t>homme et l</w:t>
      </w:r>
      <w:r w:rsidR="00993CE3">
        <w:rPr>
          <w:lang w:val="fr-FR"/>
        </w:rPr>
        <w:t>’</w:t>
      </w:r>
      <w:r w:rsidRPr="00786702">
        <w:rPr>
          <w:lang w:val="fr-FR"/>
        </w:rPr>
        <w:t>Académie de droit international humanitaire et de droits humains à Genève, qui s</w:t>
      </w:r>
      <w:r w:rsidR="00993CE3">
        <w:rPr>
          <w:lang w:val="fr-FR"/>
        </w:rPr>
        <w:t>’</w:t>
      </w:r>
      <w:r w:rsidRPr="00786702">
        <w:rPr>
          <w:lang w:val="fr-FR"/>
        </w:rPr>
        <w:t>est tenu les 9 et 10 mars 2017 à Genève.</w:t>
      </w:r>
    </w:p>
    <w:p w:rsidR="00786702" w:rsidRPr="00786702" w:rsidRDefault="00786702" w:rsidP="00B230DC">
      <w:pPr>
        <w:pStyle w:val="HChG"/>
        <w:rPr>
          <w:lang w:val="fr-FR"/>
        </w:rPr>
      </w:pPr>
      <w:r w:rsidRPr="00786702">
        <w:rPr>
          <w:lang w:val="fr-FR"/>
        </w:rPr>
        <w:tab/>
      </w:r>
      <w:bookmarkStart w:id="14" w:name="_Toc485738199"/>
      <w:r w:rsidRPr="00786702">
        <w:rPr>
          <w:lang w:val="fr-FR"/>
        </w:rPr>
        <w:t>II.</w:t>
      </w:r>
      <w:r w:rsidRPr="00786702">
        <w:rPr>
          <w:lang w:val="fr-FR"/>
        </w:rPr>
        <w:tab/>
      </w:r>
      <w:bookmarkEnd w:id="14"/>
      <w:r w:rsidRPr="00786702">
        <w:rPr>
          <w:lang w:val="fr-FR"/>
        </w:rPr>
        <w:t xml:space="preserve">Soumission de rapports par les États parties en </w:t>
      </w:r>
      <w:r w:rsidR="00B230DC">
        <w:rPr>
          <w:lang w:val="fr-FR"/>
        </w:rPr>
        <w:br/>
      </w:r>
      <w:r w:rsidRPr="00786702">
        <w:rPr>
          <w:lang w:val="fr-FR"/>
        </w:rPr>
        <w:t>application de l</w:t>
      </w:r>
      <w:r w:rsidR="00993CE3">
        <w:rPr>
          <w:lang w:val="fr-FR"/>
        </w:rPr>
        <w:t>’</w:t>
      </w:r>
      <w:r w:rsidRPr="00786702">
        <w:rPr>
          <w:lang w:val="fr-FR"/>
        </w:rPr>
        <w:t>article 19 de la Convention</w:t>
      </w:r>
    </w:p>
    <w:p w:rsidR="00786702" w:rsidRPr="00786702" w:rsidRDefault="00786702" w:rsidP="00786702">
      <w:pPr>
        <w:pStyle w:val="SingleTxtG"/>
        <w:rPr>
          <w:lang w:val="fr-FR"/>
        </w:rPr>
      </w:pPr>
      <w:r w:rsidRPr="00786702">
        <w:rPr>
          <w:lang w:val="fr-FR"/>
        </w:rPr>
        <w:t>22.</w:t>
      </w:r>
      <w:r w:rsidRPr="00786702">
        <w:rPr>
          <w:lang w:val="fr-FR"/>
        </w:rPr>
        <w:tab/>
        <w:t>Au cours de la période considérée, le secrétariat a reçu 13 rapports soumis en application de l</w:t>
      </w:r>
      <w:r w:rsidR="00993CE3">
        <w:rPr>
          <w:lang w:val="fr-FR"/>
        </w:rPr>
        <w:t>’</w:t>
      </w:r>
      <w:r w:rsidRPr="00786702">
        <w:rPr>
          <w:lang w:val="fr-FR"/>
        </w:rPr>
        <w:t>article 19 de la Convention. Le Timor</w:t>
      </w:r>
      <w:r w:rsidRPr="00786702">
        <w:rPr>
          <w:lang w:val="fr-FR"/>
        </w:rPr>
        <w:noBreakHyphen/>
        <w:t>Leste a soumis son rapport initial. La Mauritanie et le Rwanda ont soumis leur deuxième rapport périodique. La République de Moldova, le Qatar et le Tadjikistan ont soumis leur troisième rapport périodique. Le Sénégal a soumis son quatrième rapport périodique. Le Cameroun a soumis son cinquième rapport périodique. Le Chili, la République tchèque et la Fédération de Russie ont soumis leur sixième rapport périodique. Le Canada a soumis son septième rapport périodique. La Norvège a soumis son huitième rapport périodique.</w:t>
      </w:r>
    </w:p>
    <w:p w:rsidR="00786702" w:rsidRPr="00786702" w:rsidRDefault="00786702" w:rsidP="00786702">
      <w:pPr>
        <w:pStyle w:val="SingleTxtG"/>
        <w:rPr>
          <w:lang w:val="fr-FR"/>
        </w:rPr>
      </w:pPr>
      <w:r w:rsidRPr="00786702">
        <w:rPr>
          <w:lang w:val="fr-FR"/>
        </w:rPr>
        <w:t>23.</w:t>
      </w:r>
      <w:r w:rsidRPr="00786702">
        <w:rPr>
          <w:lang w:val="fr-FR"/>
        </w:rPr>
        <w:tab/>
        <w:t>Au 12 mai 2017, le Comité avait reçu au total 413 rapports et en avait examiné 393 ; 27 rapports initiaux et 38 rapports périodiques étaient en retard (voir la page Web du Comité).</w:t>
      </w:r>
    </w:p>
    <w:p w:rsidR="00786702" w:rsidRPr="00786702" w:rsidRDefault="00786702" w:rsidP="00B230DC">
      <w:pPr>
        <w:pStyle w:val="H1G"/>
        <w:rPr>
          <w:lang w:val="fr-FR"/>
        </w:rPr>
      </w:pPr>
      <w:r w:rsidRPr="00786702">
        <w:rPr>
          <w:lang w:val="fr-FR"/>
        </w:rPr>
        <w:tab/>
      </w:r>
      <w:bookmarkStart w:id="15" w:name="_Toc485738200"/>
      <w:r w:rsidRPr="00786702">
        <w:rPr>
          <w:lang w:val="fr-FR"/>
        </w:rPr>
        <w:t>A.</w:t>
      </w:r>
      <w:r w:rsidRPr="00786702">
        <w:rPr>
          <w:lang w:val="fr-FR"/>
        </w:rPr>
        <w:tab/>
      </w:r>
      <w:bookmarkEnd w:id="15"/>
      <w:r w:rsidRPr="00786702">
        <w:t>Invitation</w:t>
      </w:r>
      <w:r w:rsidRPr="00786702">
        <w:rPr>
          <w:lang w:val="fr-FR"/>
        </w:rPr>
        <w:t xml:space="preserve"> à soumettre les rapports périodiques</w:t>
      </w:r>
    </w:p>
    <w:p w:rsidR="00786702" w:rsidRPr="00786702" w:rsidRDefault="00786702" w:rsidP="00786702">
      <w:pPr>
        <w:pStyle w:val="SingleTxtG"/>
        <w:rPr>
          <w:lang w:val="fr-FR"/>
        </w:rPr>
      </w:pPr>
      <w:r w:rsidRPr="00786702">
        <w:rPr>
          <w:lang w:val="fr-FR"/>
        </w:rPr>
        <w:t>24.</w:t>
      </w:r>
      <w:r w:rsidRPr="00786702">
        <w:rPr>
          <w:lang w:val="fr-FR"/>
        </w:rPr>
        <w:tab/>
        <w:t>Comme suite à la décision qu</w:t>
      </w:r>
      <w:r w:rsidR="00993CE3">
        <w:rPr>
          <w:lang w:val="fr-FR"/>
        </w:rPr>
        <w:t>’</w:t>
      </w:r>
      <w:r w:rsidRPr="00786702">
        <w:rPr>
          <w:lang w:val="fr-FR"/>
        </w:rPr>
        <w:t>il avait prise à sa quarante et unième session</w:t>
      </w:r>
      <w:r w:rsidRPr="00786702">
        <w:rPr>
          <w:vertAlign w:val="superscript"/>
        </w:rPr>
        <w:footnoteReference w:id="2"/>
      </w:r>
      <w:r w:rsidRPr="00786702">
        <w:rPr>
          <w:lang w:val="fr-FR"/>
        </w:rPr>
        <w:t>, le</w:t>
      </w:r>
      <w:r w:rsidR="00DE4B74">
        <w:rPr>
          <w:lang w:val="fr-FR"/>
        </w:rPr>
        <w:t xml:space="preserve"> </w:t>
      </w:r>
      <w:r w:rsidRPr="00786702">
        <w:rPr>
          <w:lang w:val="fr-FR"/>
        </w:rPr>
        <w:t>Comité a continué, à ses cinquante</w:t>
      </w:r>
      <w:r w:rsidRPr="00786702">
        <w:rPr>
          <w:lang w:val="fr-FR"/>
        </w:rPr>
        <w:noBreakHyphen/>
        <w:t>huitième, cinquante</w:t>
      </w:r>
      <w:r w:rsidRPr="00786702">
        <w:rPr>
          <w:lang w:val="fr-FR"/>
        </w:rPr>
        <w:noBreakHyphen/>
        <w:t>neuvième et soixantième sessions, d</w:t>
      </w:r>
      <w:r w:rsidR="00993CE3">
        <w:rPr>
          <w:lang w:val="fr-FR"/>
        </w:rPr>
        <w:t>’</w:t>
      </w:r>
      <w:r w:rsidRPr="00786702">
        <w:rPr>
          <w:lang w:val="fr-FR"/>
        </w:rPr>
        <w:t>inviter les États parties, au dernier paragraphe de ses observations finales, à soumettre leur rapport périodique suivant dans un délai de quatre ans à compter de l</w:t>
      </w:r>
      <w:r w:rsidR="00993CE3">
        <w:rPr>
          <w:lang w:val="fr-FR"/>
        </w:rPr>
        <w:t>’</w:t>
      </w:r>
      <w:r w:rsidRPr="00786702">
        <w:rPr>
          <w:lang w:val="fr-FR"/>
        </w:rPr>
        <w:t>adoption des observations finales, et d</w:t>
      </w:r>
      <w:r w:rsidR="00993CE3">
        <w:rPr>
          <w:lang w:val="fr-FR"/>
        </w:rPr>
        <w:t>’</w:t>
      </w:r>
      <w:r w:rsidRPr="00786702">
        <w:rPr>
          <w:lang w:val="fr-FR"/>
        </w:rPr>
        <w:t>indiquer dans ce même paragraphe la date à laquelle ce rapport était attendu.</w:t>
      </w:r>
    </w:p>
    <w:p w:rsidR="00786702" w:rsidRPr="00786702" w:rsidRDefault="00786702" w:rsidP="00786702">
      <w:pPr>
        <w:pStyle w:val="SingleTxtG"/>
        <w:rPr>
          <w:lang w:val="fr-FR"/>
        </w:rPr>
      </w:pPr>
      <w:r w:rsidRPr="00786702">
        <w:rPr>
          <w:lang w:val="fr-FR"/>
        </w:rPr>
        <w:t>25.</w:t>
      </w:r>
      <w:r w:rsidRPr="00786702">
        <w:rPr>
          <w:lang w:val="fr-FR"/>
        </w:rPr>
        <w:tab/>
        <w:t>En outre, comme suite à la décision qu</w:t>
      </w:r>
      <w:r w:rsidR="00993CE3">
        <w:rPr>
          <w:lang w:val="fr-FR"/>
        </w:rPr>
        <w:t>’</w:t>
      </w:r>
      <w:r w:rsidRPr="00786702">
        <w:rPr>
          <w:lang w:val="fr-FR"/>
        </w:rPr>
        <w:t>il avait prise à sa quarante</w:t>
      </w:r>
      <w:r w:rsidRPr="00786702">
        <w:rPr>
          <w:lang w:val="fr-FR"/>
        </w:rPr>
        <w:noBreakHyphen/>
        <w:t>septième</w:t>
      </w:r>
      <w:r w:rsidR="002F1F9C">
        <w:rPr>
          <w:lang w:val="fr-FR"/>
        </w:rPr>
        <w:t xml:space="preserve"> </w:t>
      </w:r>
      <w:r w:rsidRPr="00786702">
        <w:rPr>
          <w:lang w:val="fr-FR"/>
        </w:rPr>
        <w:t>session</w:t>
      </w:r>
      <w:r w:rsidRPr="00786702">
        <w:rPr>
          <w:vertAlign w:val="superscript"/>
        </w:rPr>
        <w:footnoteReference w:id="3"/>
      </w:r>
      <w:r w:rsidRPr="00786702">
        <w:rPr>
          <w:lang w:val="fr-FR"/>
        </w:rPr>
        <w:t>, le Comité a continué, à ses cinquante</w:t>
      </w:r>
      <w:r w:rsidRPr="00786702">
        <w:rPr>
          <w:lang w:val="fr-FR"/>
        </w:rPr>
        <w:noBreakHyphen/>
        <w:t>huitième, ci</w:t>
      </w:r>
      <w:r w:rsidR="002F1F9C">
        <w:rPr>
          <w:lang w:val="fr-FR"/>
        </w:rPr>
        <w:t>nquante</w:t>
      </w:r>
      <w:r w:rsidR="002F1F9C">
        <w:rPr>
          <w:lang w:val="fr-FR"/>
        </w:rPr>
        <w:noBreakHyphen/>
        <w:t xml:space="preserve">neuvième et soixantième </w:t>
      </w:r>
      <w:r w:rsidRPr="00786702">
        <w:rPr>
          <w:lang w:val="fr-FR"/>
        </w:rPr>
        <w:t>sessions, d</w:t>
      </w:r>
      <w:r w:rsidR="00993CE3">
        <w:rPr>
          <w:lang w:val="fr-FR"/>
        </w:rPr>
        <w:t>’</w:t>
      </w:r>
      <w:r w:rsidRPr="00786702">
        <w:rPr>
          <w:lang w:val="fr-FR"/>
        </w:rPr>
        <w:t>inviter les États parties à accepter, dans un délai d</w:t>
      </w:r>
      <w:r w:rsidR="00993CE3">
        <w:rPr>
          <w:lang w:val="fr-FR"/>
        </w:rPr>
        <w:t>’</w:t>
      </w:r>
      <w:r w:rsidRPr="00786702">
        <w:rPr>
          <w:lang w:val="fr-FR"/>
        </w:rPr>
        <w:t>un an à compter de l</w:t>
      </w:r>
      <w:r w:rsidR="00993CE3">
        <w:rPr>
          <w:lang w:val="fr-FR"/>
        </w:rPr>
        <w:t>’</w:t>
      </w:r>
      <w:r w:rsidRPr="00786702">
        <w:rPr>
          <w:lang w:val="fr-FR"/>
        </w:rPr>
        <w:t>adoption des observations finales, d</w:t>
      </w:r>
      <w:r w:rsidR="00993CE3">
        <w:rPr>
          <w:lang w:val="fr-FR"/>
        </w:rPr>
        <w:t>’</w:t>
      </w:r>
      <w:r w:rsidRPr="00786702">
        <w:rPr>
          <w:lang w:val="fr-FR"/>
        </w:rPr>
        <w:t>établir leur rapport selon la procédure facultative ou, si l</w:t>
      </w:r>
      <w:r w:rsidR="00993CE3">
        <w:rPr>
          <w:lang w:val="fr-FR"/>
        </w:rPr>
        <w:t>’</w:t>
      </w:r>
      <w:r w:rsidRPr="00786702">
        <w:rPr>
          <w:lang w:val="fr-FR"/>
        </w:rPr>
        <w:t>État partie concerné avait déjà accepté cette procédure, de lui indiquer qu</w:t>
      </w:r>
      <w:r w:rsidR="00993CE3">
        <w:rPr>
          <w:lang w:val="fr-FR"/>
        </w:rPr>
        <w:t>’</w:t>
      </w:r>
      <w:r w:rsidRPr="00786702">
        <w:rPr>
          <w:lang w:val="fr-FR"/>
        </w:rPr>
        <w:t>il recevrait en temps voulu une liste de points à traiter avant la soumission de son prochain rapport périodique.</w:t>
      </w:r>
    </w:p>
    <w:p w:rsidR="00786702" w:rsidRPr="00786702" w:rsidRDefault="00786702" w:rsidP="00B230DC">
      <w:pPr>
        <w:pStyle w:val="H1G"/>
        <w:rPr>
          <w:lang w:val="fr-FR"/>
        </w:rPr>
      </w:pPr>
      <w:r w:rsidRPr="00786702">
        <w:rPr>
          <w:lang w:val="fr-FR"/>
        </w:rPr>
        <w:tab/>
      </w:r>
      <w:bookmarkStart w:id="16" w:name="_Toc485738201"/>
      <w:r w:rsidRPr="00786702">
        <w:rPr>
          <w:lang w:val="fr-FR"/>
        </w:rPr>
        <w:t>B.</w:t>
      </w:r>
      <w:r w:rsidRPr="00786702">
        <w:rPr>
          <w:lang w:val="fr-FR"/>
        </w:rPr>
        <w:tab/>
      </w:r>
      <w:bookmarkEnd w:id="16"/>
      <w:r w:rsidRPr="00786702">
        <w:rPr>
          <w:lang w:val="fr-FR"/>
        </w:rPr>
        <w:t>Procédure simplifiée d</w:t>
      </w:r>
      <w:r w:rsidR="00993CE3">
        <w:rPr>
          <w:lang w:val="fr-FR"/>
        </w:rPr>
        <w:t>’</w:t>
      </w:r>
      <w:r w:rsidRPr="00786702">
        <w:rPr>
          <w:lang w:val="fr-FR"/>
        </w:rPr>
        <w:t>établissement des rapports</w:t>
      </w:r>
    </w:p>
    <w:p w:rsidR="00786702" w:rsidRPr="00786702" w:rsidRDefault="00786702" w:rsidP="00786702">
      <w:pPr>
        <w:pStyle w:val="SingleTxtG"/>
        <w:rPr>
          <w:lang w:val="fr-FR"/>
        </w:rPr>
      </w:pPr>
      <w:r w:rsidRPr="00786702">
        <w:rPr>
          <w:lang w:val="fr-FR"/>
        </w:rPr>
        <w:t>26.</w:t>
      </w:r>
      <w:r w:rsidRPr="00786702">
        <w:rPr>
          <w:lang w:val="fr-FR"/>
        </w:rPr>
        <w:tab/>
        <w:t>Le Comité se félicite de ce que de nombreux États parties aient accepté la procédure simplifiée d</w:t>
      </w:r>
      <w:r w:rsidR="00993CE3">
        <w:rPr>
          <w:lang w:val="fr-FR"/>
        </w:rPr>
        <w:t>’</w:t>
      </w:r>
      <w:r w:rsidRPr="00786702">
        <w:rPr>
          <w:lang w:val="fr-FR"/>
        </w:rPr>
        <w:t>établissement des rapports, qui consiste à élaborer et à adopter une liste de points et à la transmettre aux États parties avant que ceux</w:t>
      </w:r>
      <w:r w:rsidRPr="00786702">
        <w:rPr>
          <w:lang w:val="fr-FR"/>
        </w:rPr>
        <w:noBreakHyphen/>
        <w:t>ci ne soumettent le rapport périodique attendu (ci</w:t>
      </w:r>
      <w:r w:rsidRPr="00786702">
        <w:rPr>
          <w:lang w:val="fr-FR"/>
        </w:rPr>
        <w:noBreakHyphen/>
        <w:t>après « liste préalable de points à traiter »). Cette procédure vise à aider les États parties à s</w:t>
      </w:r>
      <w:r w:rsidR="00993CE3">
        <w:rPr>
          <w:lang w:val="fr-FR"/>
        </w:rPr>
        <w:t>’</w:t>
      </w:r>
      <w:r w:rsidRPr="00786702">
        <w:rPr>
          <w:lang w:val="fr-FR"/>
        </w:rPr>
        <w:t>acquitter de leur obligation de soumettre des rapports en renforçant la collaboration entre eux et le Comité</w:t>
      </w:r>
      <w:r w:rsidRPr="00786702">
        <w:rPr>
          <w:vertAlign w:val="superscript"/>
        </w:rPr>
        <w:footnoteReference w:id="4"/>
      </w:r>
      <w:r w:rsidRPr="00786702">
        <w:rPr>
          <w:lang w:val="fr-FR"/>
        </w:rPr>
        <w:t>. Tout en reconnaissant que, depuis 2007, les listes préalables de points à traiter facilitent la tâche des États parties, le Comité tient à souligner qu</w:t>
      </w:r>
      <w:r w:rsidR="00993CE3">
        <w:rPr>
          <w:lang w:val="fr-FR"/>
        </w:rPr>
        <w:t>’</w:t>
      </w:r>
      <w:r w:rsidRPr="00786702">
        <w:rPr>
          <w:lang w:val="fr-FR"/>
        </w:rPr>
        <w:t>elles ont considérablement augmenté sa charge de travail, car leur élaboration est plus exigeante que celle des listes établies après la soumission des rapports périodiques. Les conséquences sont d</w:t>
      </w:r>
      <w:r w:rsidR="00993CE3">
        <w:rPr>
          <w:lang w:val="fr-FR"/>
        </w:rPr>
        <w:t>’</w:t>
      </w:r>
      <w:r w:rsidRPr="00786702">
        <w:rPr>
          <w:lang w:val="fr-FR"/>
        </w:rPr>
        <w:t>autant plus lourdes que le Comité compte peu de membres.</w:t>
      </w:r>
    </w:p>
    <w:p w:rsidR="00786702" w:rsidRPr="00786702" w:rsidRDefault="00786702" w:rsidP="002F1F9C">
      <w:pPr>
        <w:pStyle w:val="SingleTxtG"/>
        <w:keepNext/>
        <w:keepLines/>
        <w:rPr>
          <w:lang w:val="fr-FR"/>
        </w:rPr>
      </w:pPr>
      <w:r w:rsidRPr="00786702">
        <w:rPr>
          <w:lang w:val="fr-FR"/>
        </w:rPr>
        <w:lastRenderedPageBreak/>
        <w:t>27.</w:t>
      </w:r>
      <w:r w:rsidRPr="00786702">
        <w:rPr>
          <w:lang w:val="fr-FR"/>
        </w:rPr>
        <w:tab/>
        <w:t>À sa cinquante</w:t>
      </w:r>
      <w:r w:rsidRPr="00786702">
        <w:rPr>
          <w:lang w:val="fr-FR"/>
        </w:rPr>
        <w:noBreakHyphen/>
        <w:t>neuvième session, le Comité a adopté des listes préalables de points à traiter pour les États parties qui avaient accepté de soumettre leur prochain rapport, attendu pour 2018, selon cette procédure, à savoir l</w:t>
      </w:r>
      <w:r w:rsidR="00993CE3">
        <w:rPr>
          <w:lang w:val="fr-FR"/>
        </w:rPr>
        <w:t>’</w:t>
      </w:r>
      <w:r w:rsidRPr="00786702">
        <w:rPr>
          <w:lang w:val="fr-FR"/>
        </w:rPr>
        <w:t>Australie, la Croatie, les États</w:t>
      </w:r>
      <w:r w:rsidRPr="00786702">
        <w:rPr>
          <w:lang w:val="fr-FR"/>
        </w:rPr>
        <w:noBreakHyphen/>
        <w:t>Unis d</w:t>
      </w:r>
      <w:r w:rsidR="00993CE3">
        <w:rPr>
          <w:lang w:val="fr-FR"/>
        </w:rPr>
        <w:t>’</w:t>
      </w:r>
      <w:r w:rsidRPr="00786702">
        <w:rPr>
          <w:lang w:val="fr-FR"/>
        </w:rPr>
        <w:t>Amérique, le Monténégro, la Suède et l</w:t>
      </w:r>
      <w:r w:rsidR="00993CE3">
        <w:rPr>
          <w:lang w:val="fr-FR"/>
        </w:rPr>
        <w:t>’</w:t>
      </w:r>
      <w:r w:rsidRPr="00786702">
        <w:rPr>
          <w:lang w:val="fr-FR"/>
        </w:rPr>
        <w:t>Ukraine. Il a également adopté une liste préalable de points à traiter pour un État partie qui avait récemment accepté la procédure simplifiée : la Côte d</w:t>
      </w:r>
      <w:r w:rsidR="00993CE3">
        <w:rPr>
          <w:lang w:val="fr-FR"/>
        </w:rPr>
        <w:t>’</w:t>
      </w:r>
      <w:r w:rsidRPr="00786702">
        <w:rPr>
          <w:lang w:val="fr-FR"/>
        </w:rPr>
        <w:t>Ivoire. Ces listes ont été transmises aux États parties concernés.</w:t>
      </w:r>
    </w:p>
    <w:p w:rsidR="00786702" w:rsidRPr="00786702" w:rsidRDefault="00786702" w:rsidP="00786702">
      <w:pPr>
        <w:pStyle w:val="SingleTxtG"/>
        <w:rPr>
          <w:lang w:val="fr-FR"/>
        </w:rPr>
      </w:pPr>
      <w:r w:rsidRPr="00786702">
        <w:rPr>
          <w:lang w:val="fr-FR"/>
        </w:rPr>
        <w:t>28.</w:t>
      </w:r>
      <w:r w:rsidRPr="00786702">
        <w:rPr>
          <w:lang w:val="fr-FR"/>
        </w:rPr>
        <w:tab/>
        <w:t xml:space="preserve">À sa soixantième session, le Comité a adopté des listes préalables de points à traiter pour les États parties qui avaient accepté de soumettre leur prochain rapport, attendu pour 2019, selon cette procédure, à savoir la Colombie, </w:t>
      </w:r>
      <w:r w:rsidR="006F1BDA" w:rsidRPr="00786702">
        <w:rPr>
          <w:lang w:val="fr-FR"/>
        </w:rPr>
        <w:t>l</w:t>
      </w:r>
      <w:r w:rsidR="006F1BDA">
        <w:rPr>
          <w:lang w:val="fr-FR"/>
        </w:rPr>
        <w:t>’</w:t>
      </w:r>
      <w:r w:rsidR="006F1BDA" w:rsidRPr="00786702">
        <w:rPr>
          <w:lang w:val="fr-FR"/>
        </w:rPr>
        <w:t>ex</w:t>
      </w:r>
      <w:r w:rsidR="006F1BDA" w:rsidRPr="00786702">
        <w:rPr>
          <w:lang w:val="fr-FR"/>
        </w:rPr>
        <w:noBreakHyphen/>
        <w:t>République yougoslave de Macédoine,</w:t>
      </w:r>
      <w:r w:rsidR="006F1BDA">
        <w:rPr>
          <w:lang w:val="fr-FR"/>
        </w:rPr>
        <w:t xml:space="preserve"> </w:t>
      </w:r>
      <w:r w:rsidRPr="00786702">
        <w:rPr>
          <w:lang w:val="fr-FR"/>
        </w:rPr>
        <w:t>le Luxembourg, la Nouvelle</w:t>
      </w:r>
      <w:r w:rsidRPr="00786702">
        <w:rPr>
          <w:lang w:val="fr-FR"/>
        </w:rPr>
        <w:noBreakHyphen/>
        <w:t xml:space="preserve">Zélande et la Roumanie. </w:t>
      </w:r>
    </w:p>
    <w:p w:rsidR="00786702" w:rsidRPr="00786702" w:rsidRDefault="00786702" w:rsidP="00786702">
      <w:pPr>
        <w:pStyle w:val="SingleTxtG"/>
        <w:rPr>
          <w:lang w:val="fr-FR"/>
        </w:rPr>
      </w:pPr>
      <w:r w:rsidRPr="00786702">
        <w:rPr>
          <w:lang w:val="fr-FR"/>
        </w:rPr>
        <w:t>29.</w:t>
      </w:r>
      <w:r w:rsidRPr="00786702">
        <w:rPr>
          <w:lang w:val="fr-FR"/>
        </w:rPr>
        <w:tab/>
        <w:t>Lors de ses journées de réflexion sur ses méthodes de travail, le Comité a décidé de proposer aux États parties dont le rapport initial était attendu de longue date d</w:t>
      </w:r>
      <w:r w:rsidR="00993CE3">
        <w:rPr>
          <w:lang w:val="fr-FR"/>
        </w:rPr>
        <w:t>’</w:t>
      </w:r>
      <w:r w:rsidRPr="00786702">
        <w:rPr>
          <w:lang w:val="fr-FR"/>
        </w:rPr>
        <w:t>établir leur rapport selon la procédure simplifiée (à raison de deux États par an). Il a également décidé de créer un groupe de travail, qui contribuerait à une évaluation de fond de la procédure simplifiée d</w:t>
      </w:r>
      <w:r w:rsidR="00993CE3">
        <w:rPr>
          <w:lang w:val="fr-FR"/>
        </w:rPr>
        <w:t>’</w:t>
      </w:r>
      <w:r w:rsidRPr="00786702">
        <w:rPr>
          <w:lang w:val="fr-FR"/>
        </w:rPr>
        <w:t>établissement des rapports. Le Comité a pris note du rapport du secrétariat sur l</w:t>
      </w:r>
      <w:r w:rsidR="00993CE3">
        <w:rPr>
          <w:lang w:val="fr-FR"/>
        </w:rPr>
        <w:t>’</w:t>
      </w:r>
      <w:r w:rsidRPr="00786702">
        <w:rPr>
          <w:lang w:val="fr-FR"/>
        </w:rPr>
        <w:t>état de la procédure facultative pour l</w:t>
      </w:r>
      <w:r w:rsidR="00993CE3">
        <w:rPr>
          <w:lang w:val="fr-FR"/>
        </w:rPr>
        <w:t>’</w:t>
      </w:r>
      <w:r w:rsidRPr="00786702">
        <w:rPr>
          <w:lang w:val="fr-FR"/>
        </w:rPr>
        <w:t>établissement des rapports (</w:t>
      </w:r>
      <w:hyperlink r:id="rId40" w:history="1">
        <w:r w:rsidRPr="007139ED">
          <w:rPr>
            <w:rStyle w:val="Lienhypertexte"/>
            <w:lang w:val="fr-FR"/>
          </w:rPr>
          <w:t>CAT/C/47/2</w:t>
        </w:r>
      </w:hyperlink>
      <w:r w:rsidRPr="00786702">
        <w:rPr>
          <w:lang w:val="fr-FR"/>
        </w:rPr>
        <w:t>) et de la note du secrétariat sur la procédure simplifiée d</w:t>
      </w:r>
      <w:r w:rsidR="00993CE3">
        <w:rPr>
          <w:lang w:val="fr-FR"/>
        </w:rPr>
        <w:t>’</w:t>
      </w:r>
      <w:r w:rsidRPr="00786702">
        <w:rPr>
          <w:lang w:val="fr-FR"/>
        </w:rPr>
        <w:t>établissement des rapports (</w:t>
      </w:r>
      <w:hyperlink r:id="rId41" w:history="1">
        <w:r w:rsidRPr="007139ED">
          <w:rPr>
            <w:rStyle w:val="Lienhypertexte"/>
            <w:lang w:val="fr-FR"/>
          </w:rPr>
          <w:t>HRI/MC/2014/4</w:t>
        </w:r>
      </w:hyperlink>
      <w:r w:rsidRPr="00786702">
        <w:rPr>
          <w:lang w:val="fr-FR"/>
        </w:rPr>
        <w:t>), élaborée à la suite de l</w:t>
      </w:r>
      <w:r w:rsidR="00993CE3">
        <w:rPr>
          <w:lang w:val="fr-FR"/>
        </w:rPr>
        <w:t>’</w:t>
      </w:r>
      <w:r w:rsidRPr="00786702">
        <w:rPr>
          <w:lang w:val="fr-FR"/>
        </w:rPr>
        <w:t>adoption par l</w:t>
      </w:r>
      <w:r w:rsidR="00993CE3">
        <w:rPr>
          <w:lang w:val="fr-FR"/>
        </w:rPr>
        <w:t>’</w:t>
      </w:r>
      <w:r w:rsidRPr="00786702">
        <w:rPr>
          <w:lang w:val="fr-FR"/>
        </w:rPr>
        <w:t>Assemblée générale de sa résolution 68/268. À sa cinquante</w:t>
      </w:r>
      <w:r w:rsidRPr="00786702">
        <w:rPr>
          <w:lang w:val="fr-FR"/>
        </w:rPr>
        <w:noBreakHyphen/>
        <w:t>cinquième session, le Comité a débattu de la question de l</w:t>
      </w:r>
      <w:r w:rsidR="00993CE3">
        <w:rPr>
          <w:lang w:val="fr-FR"/>
        </w:rPr>
        <w:t>’</w:t>
      </w:r>
      <w:r w:rsidRPr="00786702">
        <w:rPr>
          <w:lang w:val="fr-FR"/>
        </w:rPr>
        <w:t>évaluation préliminaire de la procédure simplifiée.</w:t>
      </w:r>
    </w:p>
    <w:p w:rsidR="00786702" w:rsidRPr="00786702" w:rsidRDefault="00786702" w:rsidP="00786702">
      <w:pPr>
        <w:pStyle w:val="SingleTxtG"/>
        <w:rPr>
          <w:lang w:val="fr-FR"/>
        </w:rPr>
      </w:pPr>
      <w:r w:rsidRPr="00786702">
        <w:rPr>
          <w:lang w:val="fr-FR"/>
        </w:rPr>
        <w:t>30.</w:t>
      </w:r>
      <w:r w:rsidRPr="00786702">
        <w:rPr>
          <w:lang w:val="fr-FR"/>
        </w:rPr>
        <w:tab/>
        <w:t xml:space="preserve">Le Comité estime que le fait que seuls 4 des 128 États parties qui en sont au stade des </w:t>
      </w:r>
      <w:r w:rsidRPr="00786702">
        <w:t>rapports</w:t>
      </w:r>
      <w:r w:rsidRPr="00786702">
        <w:rPr>
          <w:lang w:val="fr-FR"/>
        </w:rPr>
        <w:t xml:space="preserve"> périodiques ne souhaitent pas établir leurs rapports selon la procédure simplifiée d</w:t>
      </w:r>
      <w:r w:rsidR="00993CE3">
        <w:rPr>
          <w:lang w:val="fr-FR"/>
        </w:rPr>
        <w:t>’</w:t>
      </w:r>
      <w:r w:rsidRPr="00786702">
        <w:rPr>
          <w:lang w:val="fr-FR"/>
        </w:rPr>
        <w:t>établissement des rapports témoigne du succès rencontré par celle</w:t>
      </w:r>
      <w:r w:rsidRPr="00786702">
        <w:rPr>
          <w:lang w:val="fr-FR"/>
        </w:rPr>
        <w:noBreakHyphen/>
        <w:t>ci ; 94 États parties ont expressément accepté d</w:t>
      </w:r>
      <w:r w:rsidR="00993CE3">
        <w:rPr>
          <w:lang w:val="fr-FR"/>
        </w:rPr>
        <w:t>’</w:t>
      </w:r>
      <w:r w:rsidRPr="00786702">
        <w:rPr>
          <w:lang w:val="fr-FR"/>
        </w:rPr>
        <w:t>établir leurs rapports selon cette procédure et les 30 États parties restants n</w:t>
      </w:r>
      <w:r w:rsidR="00993CE3">
        <w:rPr>
          <w:lang w:val="fr-FR"/>
        </w:rPr>
        <w:t>’</w:t>
      </w:r>
      <w:r w:rsidRPr="00786702">
        <w:rPr>
          <w:lang w:val="fr-FR"/>
        </w:rPr>
        <w:t>ont pas encore donné de réponse ou n</w:t>
      </w:r>
      <w:r w:rsidR="00993CE3">
        <w:rPr>
          <w:lang w:val="fr-FR"/>
        </w:rPr>
        <w:t>’</w:t>
      </w:r>
      <w:r w:rsidRPr="00786702">
        <w:rPr>
          <w:lang w:val="fr-FR"/>
        </w:rPr>
        <w:t>ont pas encore été invités à établir leur rapport selon cette méthode. En outre, le fait que d</w:t>
      </w:r>
      <w:r w:rsidR="00993CE3">
        <w:rPr>
          <w:lang w:val="fr-FR"/>
        </w:rPr>
        <w:t>’</w:t>
      </w:r>
      <w:r w:rsidRPr="00786702">
        <w:rPr>
          <w:lang w:val="fr-FR"/>
        </w:rPr>
        <w:t>autres organes conventionnels ont également adopté ou envisagent d</w:t>
      </w:r>
      <w:r w:rsidR="00993CE3">
        <w:rPr>
          <w:lang w:val="fr-FR"/>
        </w:rPr>
        <w:t>’</w:t>
      </w:r>
      <w:r w:rsidRPr="00786702">
        <w:rPr>
          <w:lang w:val="fr-FR"/>
        </w:rPr>
        <w:t>adopter cette procédure montre clairement qu</w:t>
      </w:r>
      <w:r w:rsidR="00993CE3">
        <w:rPr>
          <w:lang w:val="fr-FR"/>
        </w:rPr>
        <w:t>’</w:t>
      </w:r>
      <w:r w:rsidRPr="00786702">
        <w:rPr>
          <w:lang w:val="fr-FR"/>
        </w:rPr>
        <w:t>elle présente un intérêt pour le système d</w:t>
      </w:r>
      <w:r w:rsidR="00993CE3">
        <w:rPr>
          <w:lang w:val="fr-FR"/>
        </w:rPr>
        <w:t>’</w:t>
      </w:r>
      <w:r w:rsidRPr="00786702">
        <w:rPr>
          <w:lang w:val="fr-FR"/>
        </w:rPr>
        <w:t>établissement des rapports. Il convient également de noter que, pour la première fois, le 29 janvier 2016, un État partie dont le rapport initial était très en retard, à savoir la Côte d</w:t>
      </w:r>
      <w:r w:rsidR="00993CE3">
        <w:rPr>
          <w:lang w:val="fr-FR"/>
        </w:rPr>
        <w:t>’</w:t>
      </w:r>
      <w:r w:rsidRPr="00786702">
        <w:rPr>
          <w:lang w:val="fr-FR"/>
        </w:rPr>
        <w:t>Ivoire, a accepté de soumettre son rapport selon la procédure simplifiée. Le Malawi et la Somalie, dont les rapports initiaux étaient également très en retard, ont aussi accepté, respectivement en date du 8 décembre 2016 et du 2 février 2017, de soumettre leur rapport selon la procédure simplifiée (voir chap. II, sect. D).</w:t>
      </w:r>
    </w:p>
    <w:p w:rsidR="00786702" w:rsidRPr="00786702" w:rsidRDefault="00786702" w:rsidP="00786702">
      <w:pPr>
        <w:pStyle w:val="SingleTxtG"/>
        <w:rPr>
          <w:lang w:val="fr-FR"/>
        </w:rPr>
      </w:pPr>
      <w:r w:rsidRPr="00786702">
        <w:rPr>
          <w:lang w:val="fr-FR"/>
        </w:rPr>
        <w:t>31.</w:t>
      </w:r>
      <w:r w:rsidRPr="00786702">
        <w:rPr>
          <w:lang w:val="fr-FR"/>
        </w:rPr>
        <w:tab/>
        <w:t>On trouvera des renseignements actualisés sur cette procédure sur la page Web qui lui est consacrée (www.ohchr.org/EN/HRBodies/CAT/Pages/ReportingProcedures.aspx).</w:t>
      </w:r>
    </w:p>
    <w:p w:rsidR="00786702" w:rsidRPr="00786702" w:rsidRDefault="00786702" w:rsidP="00B230DC">
      <w:pPr>
        <w:pStyle w:val="H1G"/>
        <w:rPr>
          <w:lang w:val="fr-FR"/>
        </w:rPr>
      </w:pPr>
      <w:r w:rsidRPr="00786702">
        <w:rPr>
          <w:lang w:val="fr-FR"/>
        </w:rPr>
        <w:tab/>
      </w:r>
      <w:bookmarkStart w:id="17" w:name="_Toc485738202"/>
      <w:r w:rsidRPr="00786702">
        <w:rPr>
          <w:lang w:val="fr-FR"/>
        </w:rPr>
        <w:t>C.</w:t>
      </w:r>
      <w:r w:rsidRPr="00786702">
        <w:rPr>
          <w:lang w:val="fr-FR"/>
        </w:rPr>
        <w:tab/>
      </w:r>
      <w:bookmarkEnd w:id="17"/>
      <w:r w:rsidRPr="00786702">
        <w:rPr>
          <w:lang w:val="fr-FR"/>
        </w:rPr>
        <w:t>Rappels pour les rapports initiaux et périodiques en retard</w:t>
      </w:r>
    </w:p>
    <w:p w:rsidR="00786702" w:rsidRPr="00786702" w:rsidRDefault="00786702" w:rsidP="00786702">
      <w:pPr>
        <w:pStyle w:val="SingleTxtG"/>
        <w:rPr>
          <w:lang w:val="fr-FR"/>
        </w:rPr>
      </w:pPr>
      <w:r w:rsidRPr="00786702">
        <w:rPr>
          <w:lang w:val="fr-FR"/>
        </w:rPr>
        <w:t>32.</w:t>
      </w:r>
      <w:r w:rsidRPr="00786702">
        <w:rPr>
          <w:lang w:val="fr-FR"/>
        </w:rPr>
        <w:tab/>
        <w:t>À sa cinquante</w:t>
      </w:r>
      <w:r w:rsidRPr="00786702">
        <w:rPr>
          <w:lang w:val="fr-FR"/>
        </w:rPr>
        <w:noBreakHyphen/>
        <w:t>troisième session, le Comité a décidé d</w:t>
      </w:r>
      <w:r w:rsidR="00993CE3">
        <w:rPr>
          <w:lang w:val="fr-FR"/>
        </w:rPr>
        <w:t>’</w:t>
      </w:r>
      <w:r w:rsidRPr="00786702">
        <w:rPr>
          <w:lang w:val="fr-FR"/>
        </w:rPr>
        <w:t>envoyer des rappels à tous les États parties dont le rapport initial était en retard ainsi qu</w:t>
      </w:r>
      <w:r w:rsidR="00993CE3">
        <w:rPr>
          <w:lang w:val="fr-FR"/>
        </w:rPr>
        <w:t>’</w:t>
      </w:r>
      <w:r w:rsidRPr="00786702">
        <w:rPr>
          <w:lang w:val="fr-FR"/>
        </w:rPr>
        <w:t>à tous les États parties dont le rapport périodique était attendu depuis quatre ans ou davantage.</w:t>
      </w:r>
    </w:p>
    <w:p w:rsidR="00786702" w:rsidRPr="00786702" w:rsidRDefault="00786702" w:rsidP="00786702">
      <w:pPr>
        <w:pStyle w:val="SingleTxtG"/>
        <w:rPr>
          <w:lang w:val="fr-FR"/>
        </w:rPr>
      </w:pPr>
      <w:r w:rsidRPr="00786702">
        <w:rPr>
          <w:lang w:val="fr-FR"/>
        </w:rPr>
        <w:t>33.</w:t>
      </w:r>
      <w:r w:rsidRPr="00786702">
        <w:rPr>
          <w:lang w:val="fr-FR"/>
        </w:rPr>
        <w:tab/>
        <w:t>Le Comité a appelé l</w:t>
      </w:r>
      <w:r w:rsidR="00993CE3">
        <w:rPr>
          <w:lang w:val="fr-FR"/>
        </w:rPr>
        <w:t>’</w:t>
      </w:r>
      <w:r w:rsidRPr="00786702">
        <w:rPr>
          <w:lang w:val="fr-FR"/>
        </w:rPr>
        <w:t>attention de ces États parties sur le fait que les retards dans la soumission des rapports entravaient sérieusement la mise en application de la Convention dans les pays concernés et compromettaient la capacité du Comité d</w:t>
      </w:r>
      <w:r w:rsidR="00993CE3">
        <w:rPr>
          <w:lang w:val="fr-FR"/>
        </w:rPr>
        <w:t>’</w:t>
      </w:r>
      <w:r w:rsidRPr="00786702">
        <w:rPr>
          <w:lang w:val="fr-FR"/>
        </w:rPr>
        <w:t>exécuter sa propre fonction de surveillance de cette mise en application. Il les a priés de le tenir informé des progrès qu</w:t>
      </w:r>
      <w:r w:rsidR="00993CE3">
        <w:rPr>
          <w:lang w:val="fr-FR"/>
        </w:rPr>
        <w:t>’</w:t>
      </w:r>
      <w:r w:rsidRPr="00786702">
        <w:rPr>
          <w:lang w:val="fr-FR"/>
        </w:rPr>
        <w:t>ils avaient faits en vue de s</w:t>
      </w:r>
      <w:r w:rsidR="00993CE3">
        <w:rPr>
          <w:lang w:val="fr-FR"/>
        </w:rPr>
        <w:t>’</w:t>
      </w:r>
      <w:r w:rsidRPr="00786702">
        <w:rPr>
          <w:lang w:val="fr-FR"/>
        </w:rPr>
        <w:t>acquitter de leur obligation de soumettre des rapports et des obstacles qu</w:t>
      </w:r>
      <w:r w:rsidR="00993CE3">
        <w:rPr>
          <w:lang w:val="fr-FR"/>
        </w:rPr>
        <w:t>’</w:t>
      </w:r>
      <w:r w:rsidRPr="00786702">
        <w:rPr>
          <w:lang w:val="fr-FR"/>
        </w:rPr>
        <w:t>ils pouvaient rencontrer pour ce faire. Il les a en outre informés de ce que, conformément à l</w:t>
      </w:r>
      <w:r w:rsidR="00993CE3">
        <w:rPr>
          <w:lang w:val="fr-FR"/>
        </w:rPr>
        <w:t>’</w:t>
      </w:r>
      <w:r w:rsidRPr="00786702">
        <w:rPr>
          <w:lang w:val="fr-FR"/>
        </w:rPr>
        <w:t>article 67 de son règlement intérieur, il pouvait procéder à un examen de l</w:t>
      </w:r>
      <w:r w:rsidR="00993CE3">
        <w:rPr>
          <w:lang w:val="fr-FR"/>
        </w:rPr>
        <w:t>’</w:t>
      </w:r>
      <w:r w:rsidRPr="00786702">
        <w:rPr>
          <w:lang w:val="fr-FR"/>
        </w:rPr>
        <w:t>application de la Convention dans un État partie donné en l</w:t>
      </w:r>
      <w:r w:rsidR="00993CE3">
        <w:rPr>
          <w:lang w:val="fr-FR"/>
        </w:rPr>
        <w:t>’</w:t>
      </w:r>
      <w:r w:rsidRPr="00786702">
        <w:rPr>
          <w:lang w:val="fr-FR"/>
        </w:rPr>
        <w:t>absence de rapport, et que cet examen serait effectué sur la base des informations mises à sa disposition, y compris par des sources extérieures à l</w:t>
      </w:r>
      <w:r w:rsidR="00993CE3">
        <w:rPr>
          <w:lang w:val="fr-FR"/>
        </w:rPr>
        <w:t>’</w:t>
      </w:r>
      <w:r w:rsidRPr="00786702">
        <w:rPr>
          <w:lang w:val="fr-FR"/>
        </w:rPr>
        <w:t>Organisation des Nations Unies. Dans ses rapports annuels, le Comité rappelle également aux États parties l</w:t>
      </w:r>
      <w:r w:rsidR="00993CE3">
        <w:rPr>
          <w:lang w:val="fr-FR"/>
        </w:rPr>
        <w:t>’</w:t>
      </w:r>
      <w:r w:rsidRPr="00786702">
        <w:rPr>
          <w:lang w:val="fr-FR"/>
        </w:rPr>
        <w:t>obligation de soumettre des rapports qui leur incombe en vertu de la Convention. Le Comité tient à réaffirmer son soutien à l</w:t>
      </w:r>
      <w:r w:rsidR="00993CE3">
        <w:rPr>
          <w:lang w:val="fr-FR"/>
        </w:rPr>
        <w:t>’</w:t>
      </w:r>
      <w:r w:rsidRPr="00786702">
        <w:rPr>
          <w:lang w:val="fr-FR"/>
        </w:rPr>
        <w:t>Initiative sur la Convention contre la torture, qui s</w:t>
      </w:r>
      <w:r w:rsidR="00993CE3">
        <w:rPr>
          <w:lang w:val="fr-FR"/>
        </w:rPr>
        <w:t>’</w:t>
      </w:r>
      <w:r w:rsidRPr="00786702">
        <w:rPr>
          <w:lang w:val="fr-FR"/>
        </w:rPr>
        <w:t xml:space="preserve">emploie activement à obtenir la ratification universelle de la Convention et la mise en œuvre </w:t>
      </w:r>
      <w:r w:rsidRPr="00786702">
        <w:rPr>
          <w:lang w:val="fr-FR"/>
        </w:rPr>
        <w:lastRenderedPageBreak/>
        <w:t>intégrale de celle-ci, notamment quant au respect par les États de leur obligation de soumettre des rapports. Le Comité a participé à plusieurs des activités organisées dans le cadre de l</w:t>
      </w:r>
      <w:r w:rsidR="00993CE3">
        <w:rPr>
          <w:lang w:val="fr-FR"/>
        </w:rPr>
        <w:t>’</w:t>
      </w:r>
      <w:r w:rsidRPr="00786702">
        <w:rPr>
          <w:lang w:val="fr-FR"/>
        </w:rPr>
        <w:t xml:space="preserve">Initiative. </w:t>
      </w:r>
    </w:p>
    <w:p w:rsidR="00786702" w:rsidRPr="00786702" w:rsidRDefault="00786702" w:rsidP="00B230DC">
      <w:pPr>
        <w:pStyle w:val="H1G"/>
        <w:rPr>
          <w:lang w:val="fr-FR"/>
        </w:rPr>
      </w:pPr>
      <w:r w:rsidRPr="00786702">
        <w:rPr>
          <w:lang w:val="fr-FR"/>
        </w:rPr>
        <w:tab/>
      </w:r>
      <w:bookmarkStart w:id="18" w:name="_Toc485738203"/>
      <w:r w:rsidRPr="00786702">
        <w:rPr>
          <w:lang w:val="fr-FR"/>
        </w:rPr>
        <w:t>D.</w:t>
      </w:r>
      <w:r w:rsidRPr="00786702">
        <w:rPr>
          <w:lang w:val="fr-FR"/>
        </w:rPr>
        <w:tab/>
      </w:r>
      <w:bookmarkEnd w:id="18"/>
      <w:r w:rsidRPr="00786702">
        <w:rPr>
          <w:lang w:val="fr-FR"/>
        </w:rPr>
        <w:t xml:space="preserve">Examen des mesures prises par un État partie </w:t>
      </w:r>
      <w:r w:rsidR="00B230DC">
        <w:rPr>
          <w:lang w:val="fr-FR"/>
        </w:rPr>
        <w:br/>
      </w:r>
      <w:r w:rsidRPr="00786702">
        <w:rPr>
          <w:lang w:val="fr-FR"/>
        </w:rPr>
        <w:t>en l</w:t>
      </w:r>
      <w:r w:rsidR="00993CE3">
        <w:rPr>
          <w:lang w:val="fr-FR"/>
        </w:rPr>
        <w:t>’</w:t>
      </w:r>
      <w:r w:rsidRPr="00786702">
        <w:rPr>
          <w:lang w:val="fr-FR"/>
        </w:rPr>
        <w:t>absence de rapport</w:t>
      </w:r>
    </w:p>
    <w:p w:rsidR="00786702" w:rsidRPr="00786702" w:rsidRDefault="00786702" w:rsidP="00786702">
      <w:pPr>
        <w:pStyle w:val="SingleTxtG"/>
        <w:rPr>
          <w:lang w:val="fr-FR"/>
        </w:rPr>
      </w:pPr>
      <w:r w:rsidRPr="00786702">
        <w:rPr>
          <w:lang w:val="fr-FR"/>
        </w:rPr>
        <w:t>34.</w:t>
      </w:r>
      <w:r w:rsidRPr="00786702">
        <w:rPr>
          <w:lang w:val="fr-FR"/>
        </w:rPr>
        <w:tab/>
        <w:t>À sa cinquante</w:t>
      </w:r>
      <w:r w:rsidRPr="00786702">
        <w:rPr>
          <w:lang w:val="fr-FR"/>
        </w:rPr>
        <w:noBreakHyphen/>
        <w:t>deuxième session, le Comité a décidé de prendre des mesures à l</w:t>
      </w:r>
      <w:r w:rsidR="00993CE3">
        <w:rPr>
          <w:lang w:val="fr-FR"/>
        </w:rPr>
        <w:t>’</w:t>
      </w:r>
      <w:r w:rsidRPr="00786702">
        <w:rPr>
          <w:lang w:val="fr-FR"/>
        </w:rPr>
        <w:t>égard des États parties dont le rapport initial était attendu depuis longtemps. Notant que les rapports initiaux de Cabo Verde et des Seychelles étaient attendus depuis 1993, le Comité a décidé d</w:t>
      </w:r>
      <w:r w:rsidR="00993CE3">
        <w:rPr>
          <w:lang w:val="fr-FR"/>
        </w:rPr>
        <w:t>’</w:t>
      </w:r>
      <w:r w:rsidRPr="00786702">
        <w:rPr>
          <w:lang w:val="fr-FR"/>
        </w:rPr>
        <w:t>envoyer un rappel à ces États parties pour leur demander de soumettre leur rapport initial avant sa cinquante-quatrième session. À la fin de sa cinquante</w:t>
      </w:r>
      <w:r w:rsidRPr="00786702">
        <w:rPr>
          <w:lang w:val="fr-FR"/>
        </w:rPr>
        <w:noBreakHyphen/>
        <w:t>troisième session, il a décidé de proposer à ces États parties de soumettre leurs rapports selon la procédure simplifiée. Si ceux</w:t>
      </w:r>
      <w:r w:rsidRPr="00786702">
        <w:rPr>
          <w:lang w:val="fr-FR"/>
        </w:rPr>
        <w:noBreakHyphen/>
        <w:t>ci n</w:t>
      </w:r>
      <w:r w:rsidR="00993CE3">
        <w:rPr>
          <w:lang w:val="fr-FR"/>
        </w:rPr>
        <w:t>’</w:t>
      </w:r>
      <w:r w:rsidRPr="00786702">
        <w:rPr>
          <w:lang w:val="fr-FR"/>
        </w:rPr>
        <w:t>acceptaient pas la procédure simplifiée ou si leurs rapports établis selon la procédure traditionnelle n</w:t>
      </w:r>
      <w:r w:rsidR="00993CE3">
        <w:rPr>
          <w:lang w:val="fr-FR"/>
        </w:rPr>
        <w:t>’</w:t>
      </w:r>
      <w:r w:rsidRPr="00786702">
        <w:rPr>
          <w:lang w:val="fr-FR"/>
        </w:rPr>
        <w:t>avaient pas été reçus à la date fixée, à une session future, le Comité, agissant en vertu de l</w:t>
      </w:r>
      <w:r w:rsidR="00993CE3">
        <w:rPr>
          <w:lang w:val="fr-FR"/>
        </w:rPr>
        <w:t>’</w:t>
      </w:r>
      <w:r w:rsidRPr="00786702">
        <w:rPr>
          <w:lang w:val="fr-FR"/>
        </w:rPr>
        <w:t>article 67 de son règlement intérieur, procéderait à l</w:t>
      </w:r>
      <w:r w:rsidR="00993CE3">
        <w:rPr>
          <w:lang w:val="fr-FR"/>
        </w:rPr>
        <w:t>’</w:t>
      </w:r>
      <w:r w:rsidRPr="00786702">
        <w:rPr>
          <w:lang w:val="fr-FR"/>
        </w:rPr>
        <w:t>examen en l</w:t>
      </w:r>
      <w:r w:rsidR="00993CE3">
        <w:rPr>
          <w:lang w:val="fr-FR"/>
        </w:rPr>
        <w:t>’</w:t>
      </w:r>
      <w:r w:rsidRPr="00786702">
        <w:rPr>
          <w:lang w:val="fr-FR"/>
        </w:rPr>
        <w:t>absence de rapport des mesures prises par ces États parties pour mettre en œuvre les dispositions de la Convention sur leur territoire. Les Seychelles ont indiqué que leur rapport était en cours d</w:t>
      </w:r>
      <w:r w:rsidR="00993CE3">
        <w:rPr>
          <w:lang w:val="fr-FR"/>
        </w:rPr>
        <w:t>’</w:t>
      </w:r>
      <w:r w:rsidRPr="00786702">
        <w:rPr>
          <w:lang w:val="fr-FR"/>
        </w:rPr>
        <w:t>élaboration ; en revanche, Cabo Verde n</w:t>
      </w:r>
      <w:r w:rsidR="00993CE3">
        <w:rPr>
          <w:lang w:val="fr-FR"/>
        </w:rPr>
        <w:t>’</w:t>
      </w:r>
      <w:r w:rsidRPr="00786702">
        <w:rPr>
          <w:lang w:val="fr-FR"/>
        </w:rPr>
        <w:t>a pas répondu à la proposition du Comité. À sa cinquante</w:t>
      </w:r>
      <w:r w:rsidRPr="00786702">
        <w:rPr>
          <w:lang w:val="fr-FR"/>
        </w:rPr>
        <w:noBreakHyphen/>
        <w:t>sixième session, celui</w:t>
      </w:r>
      <w:r w:rsidRPr="00786702">
        <w:rPr>
          <w:lang w:val="fr-FR"/>
        </w:rPr>
        <w:noBreakHyphen/>
        <w:t>ci a décidé qu</w:t>
      </w:r>
      <w:r w:rsidR="00993CE3">
        <w:rPr>
          <w:lang w:val="fr-FR"/>
        </w:rPr>
        <w:t>’</w:t>
      </w:r>
      <w:r w:rsidRPr="00786702">
        <w:rPr>
          <w:lang w:val="fr-FR"/>
        </w:rPr>
        <w:t>il examinerait la situation de Cabo Verde en l</w:t>
      </w:r>
      <w:r w:rsidR="00993CE3">
        <w:rPr>
          <w:lang w:val="fr-FR"/>
        </w:rPr>
        <w:t>’</w:t>
      </w:r>
      <w:r w:rsidRPr="00786702">
        <w:rPr>
          <w:lang w:val="fr-FR"/>
        </w:rPr>
        <w:t>absence de rapport à la fin de l</w:t>
      </w:r>
      <w:r w:rsidR="00993CE3">
        <w:rPr>
          <w:lang w:val="fr-FR"/>
        </w:rPr>
        <w:t>’</w:t>
      </w:r>
      <w:r w:rsidRPr="00786702">
        <w:rPr>
          <w:lang w:val="fr-FR"/>
        </w:rPr>
        <w:t>année 2016. À la même session, il a décidé d</w:t>
      </w:r>
      <w:r w:rsidR="00993CE3">
        <w:rPr>
          <w:lang w:val="fr-FR"/>
        </w:rPr>
        <w:t>’</w:t>
      </w:r>
      <w:r w:rsidRPr="00786702">
        <w:rPr>
          <w:lang w:val="fr-FR"/>
        </w:rPr>
        <w:t>envoyer à Antigua</w:t>
      </w:r>
      <w:r w:rsidRPr="00786702">
        <w:rPr>
          <w:lang w:val="fr-FR"/>
        </w:rPr>
        <w:noBreakHyphen/>
        <w:t>et</w:t>
      </w:r>
      <w:r w:rsidRPr="00786702">
        <w:rPr>
          <w:lang w:val="fr-FR"/>
        </w:rPr>
        <w:noBreakHyphen/>
        <w:t>Barbuda et à la Côte d</w:t>
      </w:r>
      <w:r w:rsidR="00993CE3">
        <w:rPr>
          <w:lang w:val="fr-FR"/>
        </w:rPr>
        <w:t>’</w:t>
      </w:r>
      <w:r w:rsidRPr="00786702">
        <w:rPr>
          <w:lang w:val="fr-FR"/>
        </w:rPr>
        <w:t>Ivoire des rappels les invitant à soumettre leurs rapports initiaux respectifs, qui étaient très en retard, ou à accepter de les établir selon la procédure simplifiée. S</w:t>
      </w:r>
      <w:r w:rsidR="00993CE3">
        <w:rPr>
          <w:lang w:val="fr-FR"/>
        </w:rPr>
        <w:t>’</w:t>
      </w:r>
      <w:r w:rsidRPr="00786702">
        <w:rPr>
          <w:lang w:val="fr-FR"/>
        </w:rPr>
        <w:t>ils n</w:t>
      </w:r>
      <w:r w:rsidR="00993CE3">
        <w:rPr>
          <w:lang w:val="fr-FR"/>
        </w:rPr>
        <w:t>’</w:t>
      </w:r>
      <w:r w:rsidRPr="00786702">
        <w:rPr>
          <w:lang w:val="fr-FR"/>
        </w:rPr>
        <w:t>acceptaient pas de le faire ou si leurs rapports initiaux n</w:t>
      </w:r>
      <w:r w:rsidR="00993CE3">
        <w:rPr>
          <w:lang w:val="fr-FR"/>
        </w:rPr>
        <w:t>’</w:t>
      </w:r>
      <w:r w:rsidRPr="00786702">
        <w:rPr>
          <w:lang w:val="fr-FR"/>
        </w:rPr>
        <w:t>avaient pas été reçus à la date fixée, le Comité, agissant en vertu de l</w:t>
      </w:r>
      <w:r w:rsidR="00993CE3">
        <w:rPr>
          <w:lang w:val="fr-FR"/>
        </w:rPr>
        <w:t>’</w:t>
      </w:r>
      <w:r w:rsidRPr="00786702">
        <w:rPr>
          <w:lang w:val="fr-FR"/>
        </w:rPr>
        <w:t>article 67 de son règlement intérieur, procéderait à un examen en l</w:t>
      </w:r>
      <w:r w:rsidR="00993CE3">
        <w:rPr>
          <w:lang w:val="fr-FR"/>
        </w:rPr>
        <w:t>’</w:t>
      </w:r>
      <w:r w:rsidRPr="00786702">
        <w:rPr>
          <w:lang w:val="fr-FR"/>
        </w:rPr>
        <w:t>absence de rapport à une session future. À sa cinquante</w:t>
      </w:r>
      <w:r w:rsidRPr="00786702">
        <w:rPr>
          <w:lang w:val="fr-FR"/>
        </w:rPr>
        <w:noBreakHyphen/>
        <w:t>septième session, le Comité a décidé qu</w:t>
      </w:r>
      <w:r w:rsidR="00993CE3">
        <w:rPr>
          <w:lang w:val="fr-FR"/>
        </w:rPr>
        <w:t>’</w:t>
      </w:r>
      <w:r w:rsidRPr="00786702">
        <w:rPr>
          <w:lang w:val="fr-FR"/>
        </w:rPr>
        <w:t>il examinerait la situation de Cabo Verde en l</w:t>
      </w:r>
      <w:r w:rsidR="00993CE3">
        <w:rPr>
          <w:lang w:val="fr-FR"/>
        </w:rPr>
        <w:t>’</w:t>
      </w:r>
      <w:r w:rsidRPr="00786702">
        <w:rPr>
          <w:lang w:val="fr-FR"/>
        </w:rPr>
        <w:t>absence de rapport à sa cinquante</w:t>
      </w:r>
      <w:r w:rsidRPr="00786702">
        <w:rPr>
          <w:lang w:val="fr-FR"/>
        </w:rPr>
        <w:noBreakHyphen/>
        <w:t>neuvième session. Le 29 janvier 2016, la Côte d</w:t>
      </w:r>
      <w:r w:rsidR="00993CE3">
        <w:rPr>
          <w:lang w:val="fr-FR"/>
        </w:rPr>
        <w:t>’</w:t>
      </w:r>
      <w:r w:rsidRPr="00786702">
        <w:rPr>
          <w:lang w:val="fr-FR"/>
        </w:rPr>
        <w:t>Ivoire a accepté d</w:t>
      </w:r>
      <w:r w:rsidR="00993CE3">
        <w:rPr>
          <w:lang w:val="fr-FR"/>
        </w:rPr>
        <w:t>’</w:t>
      </w:r>
      <w:r w:rsidRPr="00786702">
        <w:rPr>
          <w:lang w:val="fr-FR"/>
        </w:rPr>
        <w:t>établir son rapport initial selon la procédure simplifiée et a reçu une liste préalable de points à traiter, qui avait été adoptée à la cinquante-neuvième session. À sa cinquante</w:t>
      </w:r>
      <w:r w:rsidRPr="00786702">
        <w:rPr>
          <w:lang w:val="fr-FR"/>
        </w:rPr>
        <w:noBreakHyphen/>
        <w:t>huitième session, n</w:t>
      </w:r>
      <w:r w:rsidR="00993CE3">
        <w:rPr>
          <w:lang w:val="fr-FR"/>
        </w:rPr>
        <w:t>’</w:t>
      </w:r>
      <w:r w:rsidRPr="00786702">
        <w:rPr>
          <w:lang w:val="fr-FR"/>
        </w:rPr>
        <w:t>ayant pas obtenu de réponse de la part d</w:t>
      </w:r>
      <w:r w:rsidR="00993CE3">
        <w:rPr>
          <w:lang w:val="fr-FR"/>
        </w:rPr>
        <w:t>’</w:t>
      </w:r>
      <w:r w:rsidRPr="00786702">
        <w:rPr>
          <w:lang w:val="fr-FR"/>
        </w:rPr>
        <w:t>Antigua</w:t>
      </w:r>
      <w:r w:rsidRPr="00786702">
        <w:rPr>
          <w:lang w:val="fr-FR"/>
        </w:rPr>
        <w:noBreakHyphen/>
        <w:t>et</w:t>
      </w:r>
      <w:r w:rsidRPr="00786702">
        <w:rPr>
          <w:lang w:val="fr-FR"/>
        </w:rPr>
        <w:noBreakHyphen/>
        <w:t>Barbuda, le Comité a indiqué à cet État partie qu</w:t>
      </w:r>
      <w:r w:rsidR="00993CE3">
        <w:rPr>
          <w:lang w:val="fr-FR"/>
        </w:rPr>
        <w:t>’</w:t>
      </w:r>
      <w:r w:rsidRPr="00786702">
        <w:rPr>
          <w:lang w:val="fr-FR"/>
        </w:rPr>
        <w:t>il examinerait sa situation à sa soixante et unième session. À sa cinquante</w:t>
      </w:r>
      <w:r w:rsidRPr="00786702">
        <w:rPr>
          <w:lang w:val="fr-FR"/>
        </w:rPr>
        <w:noBreakHyphen/>
        <w:t>neuvième session, le Comité a examiné la situation de Cabo Verde en l</w:t>
      </w:r>
      <w:r w:rsidR="00993CE3">
        <w:rPr>
          <w:lang w:val="fr-FR"/>
        </w:rPr>
        <w:t>’</w:t>
      </w:r>
      <w:r w:rsidRPr="00786702">
        <w:rPr>
          <w:lang w:val="fr-FR"/>
        </w:rPr>
        <w:t>absence de rapport. À la même session, il a décidé d</w:t>
      </w:r>
      <w:r w:rsidR="00993CE3">
        <w:rPr>
          <w:lang w:val="fr-FR"/>
        </w:rPr>
        <w:t>’</w:t>
      </w:r>
      <w:r w:rsidRPr="00786702">
        <w:rPr>
          <w:lang w:val="fr-FR"/>
        </w:rPr>
        <w:t>envoyer des rappels au Malawi et à la Somalie, dont les rapports initiaux étaient très en retard, et de leur proposer d</w:t>
      </w:r>
      <w:r w:rsidR="00993CE3">
        <w:rPr>
          <w:lang w:val="fr-FR"/>
        </w:rPr>
        <w:t>’</w:t>
      </w:r>
      <w:r w:rsidRPr="00786702">
        <w:rPr>
          <w:lang w:val="fr-FR"/>
        </w:rPr>
        <w:t>établir leurs rapports selon la procédure simplifiée. Si ces États n</w:t>
      </w:r>
      <w:r w:rsidR="00993CE3">
        <w:rPr>
          <w:lang w:val="fr-FR"/>
        </w:rPr>
        <w:t>’</w:t>
      </w:r>
      <w:r w:rsidRPr="00786702">
        <w:rPr>
          <w:lang w:val="fr-FR"/>
        </w:rPr>
        <w:t>acceptaient pas la procédure simplifiée ou si leurs rapports établis selon la procédure traditionnelle n</w:t>
      </w:r>
      <w:r w:rsidR="00993CE3">
        <w:rPr>
          <w:lang w:val="fr-FR"/>
        </w:rPr>
        <w:t>’</w:t>
      </w:r>
      <w:r w:rsidRPr="00786702">
        <w:rPr>
          <w:lang w:val="fr-FR"/>
        </w:rPr>
        <w:t xml:space="preserve">avaient pas été reçus à la date fixée, le Comité, agissant en vertu de </w:t>
      </w:r>
      <w:r w:rsidRPr="00786702">
        <w:t>l</w:t>
      </w:r>
      <w:r w:rsidR="00993CE3">
        <w:t>’</w:t>
      </w:r>
      <w:r w:rsidRPr="00786702">
        <w:t>article </w:t>
      </w:r>
      <w:r w:rsidRPr="00786702">
        <w:rPr>
          <w:lang w:val="fr-FR"/>
        </w:rPr>
        <w:t>67 de son règlement intérieur, procéderait à un examen en l</w:t>
      </w:r>
      <w:r w:rsidR="00993CE3">
        <w:rPr>
          <w:lang w:val="fr-FR"/>
        </w:rPr>
        <w:t>’</w:t>
      </w:r>
      <w:r w:rsidRPr="00786702">
        <w:rPr>
          <w:lang w:val="fr-FR"/>
        </w:rPr>
        <w:t>absence de rapport à une session future. Le Malawi et la Somalie ont accepté d</w:t>
      </w:r>
      <w:r w:rsidR="00993CE3">
        <w:rPr>
          <w:lang w:val="fr-FR"/>
        </w:rPr>
        <w:t>’</w:t>
      </w:r>
      <w:r w:rsidRPr="00786702">
        <w:rPr>
          <w:lang w:val="fr-FR"/>
        </w:rPr>
        <w:t>établir leurs rapports initiaux selon la procédure simplifiée, respectivement en date du 8 décembre 2016 et du 2 février 2017.</w:t>
      </w:r>
    </w:p>
    <w:p w:rsidR="00786702" w:rsidRPr="00786702" w:rsidRDefault="00786702" w:rsidP="00B230DC">
      <w:pPr>
        <w:pStyle w:val="H1G"/>
        <w:rPr>
          <w:lang w:val="fr-FR"/>
        </w:rPr>
      </w:pPr>
      <w:r w:rsidRPr="00786702">
        <w:rPr>
          <w:lang w:val="fr-FR"/>
        </w:rPr>
        <w:tab/>
      </w:r>
      <w:bookmarkStart w:id="19" w:name="_Toc485738204"/>
      <w:r w:rsidRPr="00786702">
        <w:rPr>
          <w:lang w:val="fr-FR"/>
        </w:rPr>
        <w:t>E.</w:t>
      </w:r>
      <w:r w:rsidRPr="00786702">
        <w:rPr>
          <w:lang w:val="fr-FR"/>
        </w:rPr>
        <w:tab/>
      </w:r>
      <w:bookmarkEnd w:id="19"/>
      <w:r w:rsidRPr="00786702">
        <w:rPr>
          <w:lang w:val="fr-FR"/>
        </w:rPr>
        <w:t>Demande de rapport spécial</w:t>
      </w:r>
    </w:p>
    <w:p w:rsidR="00786702" w:rsidRPr="00786702" w:rsidRDefault="00786702" w:rsidP="00786702">
      <w:pPr>
        <w:pStyle w:val="SingleTxtG"/>
        <w:rPr>
          <w:lang w:val="fr-FR"/>
        </w:rPr>
      </w:pPr>
      <w:r w:rsidRPr="00786702">
        <w:rPr>
          <w:lang w:val="fr-FR"/>
        </w:rPr>
        <w:t>35.</w:t>
      </w:r>
      <w:r w:rsidRPr="00786702">
        <w:rPr>
          <w:lang w:val="fr-FR"/>
        </w:rPr>
        <w:tab/>
        <w:t>À sa cinquante</w:t>
      </w:r>
      <w:r w:rsidRPr="00786702">
        <w:rPr>
          <w:lang w:val="fr-FR"/>
        </w:rPr>
        <w:noBreakHyphen/>
        <w:t>sixième session, en vertu du paragraphe 1 de l</w:t>
      </w:r>
      <w:r w:rsidR="00993CE3">
        <w:rPr>
          <w:lang w:val="fr-FR"/>
        </w:rPr>
        <w:t>’</w:t>
      </w:r>
      <w:r w:rsidRPr="00786702">
        <w:rPr>
          <w:lang w:val="fr-FR"/>
        </w:rPr>
        <w:t>article 19 de la</w:t>
      </w:r>
      <w:r w:rsidR="00252E31">
        <w:rPr>
          <w:lang w:val="fr-FR"/>
        </w:rPr>
        <w:t xml:space="preserve"> </w:t>
      </w:r>
      <w:r w:rsidRPr="00786702">
        <w:rPr>
          <w:lang w:val="fr-FR"/>
        </w:rPr>
        <w:t>Convention, et se fondant sur des informations émanant d</w:t>
      </w:r>
      <w:r w:rsidR="00993CE3">
        <w:rPr>
          <w:lang w:val="fr-FR"/>
        </w:rPr>
        <w:t>’</w:t>
      </w:r>
      <w:r w:rsidRPr="00786702">
        <w:rPr>
          <w:lang w:val="fr-FR"/>
        </w:rPr>
        <w:t>entités de l</w:t>
      </w:r>
      <w:r w:rsidR="00993CE3">
        <w:rPr>
          <w:lang w:val="fr-FR"/>
        </w:rPr>
        <w:t>’</w:t>
      </w:r>
      <w:r w:rsidRPr="00786702">
        <w:rPr>
          <w:lang w:val="fr-FR"/>
        </w:rPr>
        <w:t>ONU (dont les rapports du Haut</w:t>
      </w:r>
      <w:r w:rsidRPr="00786702">
        <w:rPr>
          <w:lang w:val="fr-FR"/>
        </w:rPr>
        <w:noBreakHyphen/>
        <w:t>Commissaire des Nations Unies aux droits de l</w:t>
      </w:r>
      <w:r w:rsidR="00993CE3">
        <w:rPr>
          <w:lang w:val="fr-FR"/>
        </w:rPr>
        <w:t>’</w:t>
      </w:r>
      <w:r w:rsidRPr="00786702">
        <w:rPr>
          <w:lang w:val="fr-FR"/>
        </w:rPr>
        <w:t>homme et du Conseiller spécial pour la prévention du génocide du Conseil de sécurité) et d</w:t>
      </w:r>
      <w:r w:rsidR="00993CE3">
        <w:rPr>
          <w:lang w:val="fr-FR"/>
        </w:rPr>
        <w:t>’</w:t>
      </w:r>
      <w:r w:rsidRPr="00786702">
        <w:rPr>
          <w:lang w:val="fr-FR"/>
        </w:rPr>
        <w:t>organisations de la société civile, le Comité a décidé de prier le Burundi de lui faire parvenir un rapport spécial afin d</w:t>
      </w:r>
      <w:r w:rsidR="00993CE3">
        <w:rPr>
          <w:lang w:val="fr-FR"/>
        </w:rPr>
        <w:t>’</w:t>
      </w:r>
      <w:r w:rsidRPr="00786702">
        <w:rPr>
          <w:lang w:val="fr-FR"/>
        </w:rPr>
        <w:t>obtenir des renseignements sur les points suivants : a) les mesures prises par l</w:t>
      </w:r>
      <w:r w:rsidR="00993CE3">
        <w:rPr>
          <w:lang w:val="fr-FR"/>
        </w:rPr>
        <w:t>’</w:t>
      </w:r>
      <w:r w:rsidRPr="00786702">
        <w:rPr>
          <w:lang w:val="fr-FR"/>
        </w:rPr>
        <w:t>État partie pour enquêter sur les informations fiables et nombreuses selon lesquelles des membres de l</w:t>
      </w:r>
      <w:r w:rsidR="00993CE3">
        <w:rPr>
          <w:lang w:val="fr-FR"/>
        </w:rPr>
        <w:t>’</w:t>
      </w:r>
      <w:r w:rsidRPr="00786702">
        <w:rPr>
          <w:lang w:val="fr-FR"/>
        </w:rPr>
        <w:t>opposition, des journalistes, des défenseurs des droits de l</w:t>
      </w:r>
      <w:r w:rsidR="00993CE3">
        <w:rPr>
          <w:lang w:val="fr-FR"/>
        </w:rPr>
        <w:t>’</w:t>
      </w:r>
      <w:r w:rsidRPr="00786702">
        <w:rPr>
          <w:lang w:val="fr-FR"/>
        </w:rPr>
        <w:t>homme et leurs proches, et des personnes considérées comme favorables à l</w:t>
      </w:r>
      <w:r w:rsidR="00993CE3">
        <w:rPr>
          <w:lang w:val="fr-FR"/>
        </w:rPr>
        <w:t>’</w:t>
      </w:r>
      <w:r w:rsidRPr="00786702">
        <w:rPr>
          <w:lang w:val="fr-FR"/>
        </w:rPr>
        <w:t>opposition ont été victimes d</w:t>
      </w:r>
      <w:r w:rsidR="00993CE3">
        <w:rPr>
          <w:lang w:val="fr-FR"/>
        </w:rPr>
        <w:t>’</w:t>
      </w:r>
      <w:r w:rsidRPr="00786702">
        <w:rPr>
          <w:lang w:val="fr-FR"/>
        </w:rPr>
        <w:t>exécutions sommaires, y compris d</w:t>
      </w:r>
      <w:r w:rsidR="00993CE3">
        <w:rPr>
          <w:lang w:val="fr-FR"/>
        </w:rPr>
        <w:t>’</w:t>
      </w:r>
      <w:r w:rsidRPr="00786702">
        <w:rPr>
          <w:lang w:val="fr-FR"/>
        </w:rPr>
        <w:t>assassinats à motivation politique, d</w:t>
      </w:r>
      <w:r w:rsidR="00993CE3">
        <w:rPr>
          <w:lang w:val="fr-FR"/>
        </w:rPr>
        <w:t>’</w:t>
      </w:r>
      <w:r w:rsidRPr="00786702">
        <w:rPr>
          <w:lang w:val="fr-FR"/>
        </w:rPr>
        <w:t>arrestations arbitraires, de mauvais traitements et d</w:t>
      </w:r>
      <w:r w:rsidR="00993CE3">
        <w:rPr>
          <w:lang w:val="fr-FR"/>
        </w:rPr>
        <w:t>’</w:t>
      </w:r>
      <w:r w:rsidRPr="00786702">
        <w:rPr>
          <w:lang w:val="fr-FR"/>
        </w:rPr>
        <w:t>actes de torture en 2015, les poursuites éventuellement intentées contre des membres des forces de sécurité, des agents de l</w:t>
      </w:r>
      <w:r w:rsidR="00993CE3">
        <w:rPr>
          <w:lang w:val="fr-FR"/>
        </w:rPr>
        <w:t>’</w:t>
      </w:r>
      <w:r w:rsidRPr="00786702">
        <w:rPr>
          <w:lang w:val="fr-FR"/>
        </w:rPr>
        <w:t>État ou d</w:t>
      </w:r>
      <w:r w:rsidR="00993CE3">
        <w:rPr>
          <w:lang w:val="fr-FR"/>
        </w:rPr>
        <w:t>’</w:t>
      </w:r>
      <w:r w:rsidRPr="00786702">
        <w:rPr>
          <w:lang w:val="fr-FR"/>
        </w:rPr>
        <w:t>autres personnes à la suite de ces enquêtes, et les résultats de ces poursuites ; b) l</w:t>
      </w:r>
      <w:r w:rsidR="00993CE3">
        <w:rPr>
          <w:lang w:val="fr-FR"/>
        </w:rPr>
        <w:t>’</w:t>
      </w:r>
      <w:r w:rsidRPr="00786702">
        <w:rPr>
          <w:lang w:val="fr-FR"/>
        </w:rPr>
        <w:t xml:space="preserve">état </w:t>
      </w:r>
      <w:r w:rsidRPr="00786702">
        <w:rPr>
          <w:lang w:val="fr-FR"/>
        </w:rPr>
        <w:lastRenderedPageBreak/>
        <w:t>d</w:t>
      </w:r>
      <w:r w:rsidR="00993CE3">
        <w:rPr>
          <w:lang w:val="fr-FR"/>
        </w:rPr>
        <w:t>’</w:t>
      </w:r>
      <w:r w:rsidRPr="00786702">
        <w:rPr>
          <w:lang w:val="fr-FR"/>
        </w:rPr>
        <w:t>avancement des enquêtes sur l</w:t>
      </w:r>
      <w:r w:rsidR="00993CE3">
        <w:rPr>
          <w:lang w:val="fr-FR"/>
        </w:rPr>
        <w:t>’</w:t>
      </w:r>
      <w:r w:rsidRPr="00786702">
        <w:rPr>
          <w:lang w:val="fr-FR"/>
        </w:rPr>
        <w:t>attaque à main armée contre Pierre Claver Mbonimpa, en août 2015, et sur l</w:t>
      </w:r>
      <w:r w:rsidR="00993CE3">
        <w:rPr>
          <w:lang w:val="fr-FR"/>
        </w:rPr>
        <w:t>’</w:t>
      </w:r>
      <w:r w:rsidRPr="00786702">
        <w:rPr>
          <w:lang w:val="fr-FR"/>
        </w:rPr>
        <w:t>enlèvement et le meurtre de son fils, Welly Nzitonda, en novembre 2015 ; c) les mesures prises pour enquêter sur les informations fiables et nombreuses faisant état d</w:t>
      </w:r>
      <w:r w:rsidR="00993CE3">
        <w:rPr>
          <w:lang w:val="fr-FR"/>
        </w:rPr>
        <w:t>’</w:t>
      </w:r>
      <w:r w:rsidRPr="00786702">
        <w:rPr>
          <w:lang w:val="fr-FR"/>
        </w:rPr>
        <w:t>actes de torture perpétrés par des membres du Service national de renseignement (SNR) dans les locaux du complexe du SNR situé à proximité de la cathédrale de Bujumbura, et les poursuites éventuellement intentées contre des membres du SNR à la suite de ces enquêtes, ainsi que leur issue ; d) les mesures prises pour enquêter sur les informations fiables et nombreuses selon lesquelles des membres du groupe de jeunes « Imbonerakure » ont tué ou torturé des personnes considérées comme favorables à l</w:t>
      </w:r>
      <w:r w:rsidR="00993CE3">
        <w:rPr>
          <w:lang w:val="fr-FR"/>
        </w:rPr>
        <w:t>’</w:t>
      </w:r>
      <w:r w:rsidRPr="00786702">
        <w:rPr>
          <w:lang w:val="fr-FR"/>
        </w:rPr>
        <w:t>opposition, notamment lors des événements survenus le 3 octobre 2015 à Cibitoke, les poursuites éventuellement intentées contre des Imbonerakure à la suite de ces enquêtes, et les résultats de ces poursuites ; et e) les mesures prises pour appliquer les recommandations identifiées aux fins du suivi par le Comité dans ses observations finales de 2014 (</w:t>
      </w:r>
      <w:hyperlink r:id="rId42" w:history="1">
        <w:r w:rsidRPr="007139ED">
          <w:rPr>
            <w:rStyle w:val="Lienhypertexte"/>
            <w:lang w:val="fr-FR"/>
          </w:rPr>
          <w:t>CAT/C/BDI/CO/2</w:t>
        </w:r>
      </w:hyperlink>
      <w:r w:rsidRPr="00786702">
        <w:rPr>
          <w:lang w:val="fr-FR"/>
        </w:rPr>
        <w:t xml:space="preserve">). </w:t>
      </w:r>
    </w:p>
    <w:p w:rsidR="00786702" w:rsidRPr="00786702" w:rsidRDefault="00786702" w:rsidP="00786702">
      <w:pPr>
        <w:pStyle w:val="SingleTxtG"/>
        <w:rPr>
          <w:lang w:val="fr-FR"/>
        </w:rPr>
      </w:pPr>
      <w:r w:rsidRPr="00786702">
        <w:rPr>
          <w:lang w:val="fr-FR"/>
        </w:rPr>
        <w:t>36.</w:t>
      </w:r>
      <w:r w:rsidRPr="00786702">
        <w:rPr>
          <w:lang w:val="fr-FR"/>
        </w:rPr>
        <w:tab/>
        <w:t>Le 30 juin 2016, le Burundi a soumis son rapport spécial, que le Comité a examiné à sa cinquante</w:t>
      </w:r>
      <w:r w:rsidRPr="00786702">
        <w:rPr>
          <w:lang w:val="fr-FR"/>
        </w:rPr>
        <w:noBreakHyphen/>
        <w:t>huitième session. Cependant, pour la première fois depuis la création du Comité, la délégation ne s</w:t>
      </w:r>
      <w:r w:rsidR="00993CE3">
        <w:rPr>
          <w:lang w:val="fr-FR"/>
        </w:rPr>
        <w:t>’</w:t>
      </w:r>
      <w:r w:rsidRPr="00786702">
        <w:rPr>
          <w:lang w:val="fr-FR"/>
        </w:rPr>
        <w:t>est pas présentée à la seconde partie du dialogue, faisant valoir que l</w:t>
      </w:r>
      <w:r w:rsidR="00993CE3">
        <w:rPr>
          <w:lang w:val="fr-FR"/>
        </w:rPr>
        <w:t>’</w:t>
      </w:r>
      <w:r w:rsidRPr="00786702">
        <w:rPr>
          <w:lang w:val="fr-FR"/>
        </w:rPr>
        <w:t>examen se fondait sur des rapports d</w:t>
      </w:r>
      <w:r w:rsidR="00993CE3">
        <w:rPr>
          <w:lang w:val="fr-FR"/>
        </w:rPr>
        <w:t>’</w:t>
      </w:r>
      <w:r w:rsidRPr="00786702">
        <w:rPr>
          <w:lang w:val="fr-FR"/>
        </w:rPr>
        <w:t>organisations non gouvernementales qui n</w:t>
      </w:r>
      <w:r w:rsidR="00993CE3">
        <w:rPr>
          <w:lang w:val="fr-FR"/>
        </w:rPr>
        <w:t>’</w:t>
      </w:r>
      <w:r w:rsidRPr="00786702">
        <w:rPr>
          <w:lang w:val="fr-FR"/>
        </w:rPr>
        <w:t>avaient pas été portés à sa connaissance et dépassait le cadre des questions relevant du rapport spécial et que le Comité ne lui accordait pas un temps suffisant pour répondre. Le Comité a rejeté ces accusations en donnant à l</w:t>
      </w:r>
      <w:r w:rsidR="00993CE3">
        <w:rPr>
          <w:lang w:val="fr-FR"/>
        </w:rPr>
        <w:t>’</w:t>
      </w:r>
      <w:r w:rsidRPr="00786702">
        <w:rPr>
          <w:lang w:val="fr-FR"/>
        </w:rPr>
        <w:t xml:space="preserve">État partie la possibilité de communiquer ses réponses par écrit et en insistant sur sa volonté de poursuivre le dialogue. Le 12 octobre 2016, le Burundi a soumis ses réponses de suivi (voir chap. IV). </w:t>
      </w:r>
    </w:p>
    <w:p w:rsidR="00786702" w:rsidRPr="00786702" w:rsidRDefault="00786702" w:rsidP="00B230DC">
      <w:pPr>
        <w:pStyle w:val="HChG"/>
        <w:rPr>
          <w:lang w:val="fr-FR"/>
        </w:rPr>
      </w:pPr>
      <w:r w:rsidRPr="00786702">
        <w:rPr>
          <w:lang w:val="fr-FR"/>
        </w:rPr>
        <w:tab/>
      </w:r>
      <w:bookmarkStart w:id="20" w:name="_Toc485738205"/>
      <w:r w:rsidRPr="00786702">
        <w:rPr>
          <w:lang w:val="fr-FR"/>
        </w:rPr>
        <w:t>III.</w:t>
      </w:r>
      <w:r w:rsidRPr="00786702">
        <w:rPr>
          <w:lang w:val="fr-FR"/>
        </w:rPr>
        <w:tab/>
      </w:r>
      <w:bookmarkEnd w:id="20"/>
      <w:r w:rsidRPr="00786702">
        <w:rPr>
          <w:lang w:val="fr-FR"/>
        </w:rPr>
        <w:t xml:space="preserve">Examen des rapports soumis par les États parties </w:t>
      </w:r>
      <w:r w:rsidR="00B230DC">
        <w:rPr>
          <w:lang w:val="fr-FR"/>
        </w:rPr>
        <w:br/>
      </w:r>
      <w:r w:rsidRPr="00786702">
        <w:rPr>
          <w:lang w:val="fr-FR"/>
        </w:rPr>
        <w:t>en application de l</w:t>
      </w:r>
      <w:r w:rsidR="00993CE3">
        <w:rPr>
          <w:lang w:val="fr-FR"/>
        </w:rPr>
        <w:t>’</w:t>
      </w:r>
      <w:r w:rsidRPr="00786702">
        <w:rPr>
          <w:lang w:val="fr-FR"/>
        </w:rPr>
        <w:t>article 19 de la Convention</w:t>
      </w:r>
    </w:p>
    <w:p w:rsidR="00786702" w:rsidRPr="00786702" w:rsidRDefault="00786702" w:rsidP="00786702">
      <w:pPr>
        <w:pStyle w:val="SingleTxtG"/>
        <w:rPr>
          <w:lang w:val="fr-FR"/>
        </w:rPr>
      </w:pPr>
      <w:r w:rsidRPr="00786702">
        <w:rPr>
          <w:lang w:val="fr-FR"/>
        </w:rPr>
        <w:t>37.</w:t>
      </w:r>
      <w:r w:rsidRPr="00786702">
        <w:rPr>
          <w:lang w:val="fr-FR"/>
        </w:rPr>
        <w:tab/>
        <w:t>À ses cinquante</w:t>
      </w:r>
      <w:r w:rsidRPr="00786702">
        <w:rPr>
          <w:lang w:val="fr-FR"/>
        </w:rPr>
        <w:noBreakHyphen/>
        <w:t>huitième, cinquante</w:t>
      </w:r>
      <w:r w:rsidRPr="00786702">
        <w:rPr>
          <w:lang w:val="fr-FR"/>
        </w:rPr>
        <w:noBreakHyphen/>
        <w:t>neuvième et soixantième sessions, le Comité a examiné les rapports soumis par 17 États parties en application du paragraphe 1 de l</w:t>
      </w:r>
      <w:r w:rsidR="00993CE3">
        <w:rPr>
          <w:lang w:val="fr-FR"/>
        </w:rPr>
        <w:t>’</w:t>
      </w:r>
      <w:r w:rsidRPr="00786702">
        <w:rPr>
          <w:lang w:val="fr-FR"/>
        </w:rPr>
        <w:t>article 19 de la Convention et a adopté des observations finales concernant ces</w:t>
      </w:r>
      <w:r w:rsidR="00252E31">
        <w:rPr>
          <w:lang w:val="fr-FR"/>
        </w:rPr>
        <w:t xml:space="preserve"> </w:t>
      </w:r>
      <w:r w:rsidRPr="00786702">
        <w:rPr>
          <w:lang w:val="fr-FR"/>
        </w:rPr>
        <w:t>17 États parties. De plus, à sa cinquante</w:t>
      </w:r>
      <w:r w:rsidRPr="00786702">
        <w:rPr>
          <w:lang w:val="fr-FR"/>
        </w:rPr>
        <w:noBreakHyphen/>
        <w:t>neuvième session, il a procédé à l</w:t>
      </w:r>
      <w:r w:rsidR="00993CE3">
        <w:rPr>
          <w:lang w:val="fr-FR"/>
        </w:rPr>
        <w:t>’</w:t>
      </w:r>
      <w:r w:rsidRPr="00786702">
        <w:rPr>
          <w:lang w:val="fr-FR"/>
        </w:rPr>
        <w:t>examen de la situation de Cabo Verde en l</w:t>
      </w:r>
      <w:r w:rsidR="00993CE3">
        <w:rPr>
          <w:lang w:val="fr-FR"/>
        </w:rPr>
        <w:t>’</w:t>
      </w:r>
      <w:r w:rsidRPr="00786702">
        <w:rPr>
          <w:lang w:val="fr-FR"/>
        </w:rPr>
        <w:t>absence de rapport et a adopté des observations finales sur cette base (voir chap. II, sect. D).</w:t>
      </w:r>
    </w:p>
    <w:p w:rsidR="00786702" w:rsidRPr="00786702" w:rsidRDefault="00786702" w:rsidP="00786702">
      <w:pPr>
        <w:pStyle w:val="SingleTxtG"/>
        <w:rPr>
          <w:lang w:val="fr-FR"/>
        </w:rPr>
      </w:pPr>
      <w:r w:rsidRPr="00786702">
        <w:rPr>
          <w:lang w:val="fr-FR"/>
        </w:rPr>
        <w:t>38.</w:t>
      </w:r>
      <w:r w:rsidRPr="00786702">
        <w:rPr>
          <w:lang w:val="fr-FR"/>
        </w:rPr>
        <w:tab/>
        <w:t>Les rapports examinés par le Comité à sa cinquante</w:t>
      </w:r>
      <w:r w:rsidRPr="00786702">
        <w:rPr>
          <w:lang w:val="fr-FR"/>
        </w:rPr>
        <w:noBreakHyphen/>
        <w:t>huitième session et les observations finales correspondantes peuvent être consultés au moyen du Système de diffusion électronique des documents de l</w:t>
      </w:r>
      <w:r w:rsidR="00993CE3">
        <w:rPr>
          <w:lang w:val="fr-FR"/>
        </w:rPr>
        <w:t>’</w:t>
      </w:r>
      <w:r w:rsidRPr="00786702">
        <w:rPr>
          <w:lang w:val="fr-FR"/>
        </w:rPr>
        <w:t>ONU (</w:t>
      </w:r>
      <w:hyperlink r:id="rId43" w:history="1">
        <w:r w:rsidRPr="00786702">
          <w:rPr>
            <w:rStyle w:val="Lienhypertexte"/>
            <w:lang w:val="fr-FR"/>
          </w:rPr>
          <w:t>http://documents.un.org</w:t>
        </w:r>
      </w:hyperlink>
      <w:r w:rsidRPr="00786702">
        <w:rPr>
          <w:lang w:val="fr-FR"/>
        </w:rPr>
        <w:t>), en précisant les cotes indiquées ci</w:t>
      </w:r>
      <w:r w:rsidRPr="00786702">
        <w:rPr>
          <w:lang w:val="fr-FR"/>
        </w:rPr>
        <w:noBreakHyphen/>
        <w:t>dessous</w:t>
      </w:r>
      <w:r w:rsidR="00B33DE5">
        <w:rPr>
          <w:lang w:val="fr-FR"/>
        </w:rPr>
        <w:t> :</w:t>
      </w:r>
    </w:p>
    <w:tbl>
      <w:tblPr>
        <w:tblW w:w="8505" w:type="dxa"/>
        <w:tblInd w:w="1134" w:type="dxa"/>
        <w:tblLayout w:type="fixed"/>
        <w:tblCellMar>
          <w:left w:w="0" w:type="dxa"/>
          <w:right w:w="0" w:type="dxa"/>
        </w:tblCellMar>
        <w:tblLook w:val="01E0" w:firstRow="1" w:lastRow="1" w:firstColumn="1" w:lastColumn="1" w:noHBand="0" w:noVBand="0"/>
      </w:tblPr>
      <w:tblGrid>
        <w:gridCol w:w="1146"/>
        <w:gridCol w:w="1963"/>
        <w:gridCol w:w="2780"/>
        <w:gridCol w:w="2616"/>
      </w:tblGrid>
      <w:tr w:rsidR="00786702" w:rsidRPr="00B230DC" w:rsidTr="007139ED">
        <w:trPr>
          <w:cantSplit/>
          <w:tblHeader/>
        </w:trPr>
        <w:tc>
          <w:tcPr>
            <w:tcW w:w="993" w:type="dxa"/>
            <w:tcBorders>
              <w:top w:val="single" w:sz="4" w:space="0" w:color="auto"/>
              <w:bottom w:val="single" w:sz="12" w:space="0" w:color="auto"/>
            </w:tcBorders>
            <w:shd w:val="clear" w:color="auto" w:fill="auto"/>
            <w:vAlign w:val="bottom"/>
          </w:tcPr>
          <w:p w:rsidR="00786702" w:rsidRPr="00B230DC" w:rsidRDefault="00786702" w:rsidP="00B230DC">
            <w:pPr>
              <w:spacing w:before="80" w:after="80" w:line="200" w:lineRule="exact"/>
              <w:ind w:right="113"/>
              <w:rPr>
                <w:i/>
                <w:sz w:val="16"/>
                <w:lang w:val="fr-FR"/>
              </w:rPr>
            </w:pPr>
            <w:r w:rsidRPr="00B230DC">
              <w:rPr>
                <w:i/>
                <w:sz w:val="16"/>
              </w:rPr>
              <w:t>État partie</w:t>
            </w:r>
          </w:p>
        </w:tc>
        <w:tc>
          <w:tcPr>
            <w:tcW w:w="1701" w:type="dxa"/>
            <w:tcBorders>
              <w:top w:val="single" w:sz="4" w:space="0" w:color="auto"/>
              <w:bottom w:val="single" w:sz="12" w:space="0" w:color="auto"/>
            </w:tcBorders>
            <w:shd w:val="clear" w:color="auto" w:fill="auto"/>
            <w:vAlign w:val="bottom"/>
          </w:tcPr>
          <w:p w:rsidR="00786702" w:rsidRPr="00B230DC" w:rsidRDefault="00786702" w:rsidP="00B230DC">
            <w:pPr>
              <w:spacing w:before="80" w:after="80" w:line="200" w:lineRule="exact"/>
              <w:ind w:right="113"/>
              <w:rPr>
                <w:i/>
                <w:sz w:val="16"/>
                <w:lang w:val="fr-FR"/>
              </w:rPr>
            </w:pPr>
            <w:r w:rsidRPr="00B230DC">
              <w:rPr>
                <w:i/>
                <w:sz w:val="16"/>
              </w:rPr>
              <w:t>Rapporteurs pour le pays</w:t>
            </w:r>
          </w:p>
        </w:tc>
        <w:tc>
          <w:tcPr>
            <w:tcW w:w="2409" w:type="dxa"/>
            <w:tcBorders>
              <w:top w:val="single" w:sz="4" w:space="0" w:color="auto"/>
              <w:bottom w:val="single" w:sz="12" w:space="0" w:color="auto"/>
            </w:tcBorders>
            <w:shd w:val="clear" w:color="auto" w:fill="auto"/>
            <w:vAlign w:val="bottom"/>
          </w:tcPr>
          <w:p w:rsidR="00786702" w:rsidRPr="00B230DC" w:rsidRDefault="00786702" w:rsidP="00B230DC">
            <w:pPr>
              <w:spacing w:before="80" w:after="80" w:line="200" w:lineRule="exact"/>
              <w:ind w:right="113"/>
              <w:rPr>
                <w:i/>
                <w:sz w:val="16"/>
                <w:lang w:val="fr-FR"/>
              </w:rPr>
            </w:pPr>
            <w:r w:rsidRPr="00B230DC">
              <w:rPr>
                <w:i/>
                <w:sz w:val="16"/>
              </w:rPr>
              <w:t>Rapport</w:t>
            </w:r>
          </w:p>
        </w:tc>
        <w:tc>
          <w:tcPr>
            <w:tcW w:w="2267" w:type="dxa"/>
            <w:tcBorders>
              <w:top w:val="single" w:sz="4" w:space="0" w:color="auto"/>
              <w:bottom w:val="single" w:sz="12" w:space="0" w:color="auto"/>
            </w:tcBorders>
            <w:shd w:val="clear" w:color="auto" w:fill="auto"/>
            <w:vAlign w:val="bottom"/>
          </w:tcPr>
          <w:p w:rsidR="00786702" w:rsidRPr="00B230DC" w:rsidRDefault="00786702" w:rsidP="00B230DC">
            <w:pPr>
              <w:spacing w:before="80" w:after="80" w:line="200" w:lineRule="exact"/>
              <w:ind w:right="113"/>
              <w:rPr>
                <w:i/>
                <w:sz w:val="16"/>
                <w:lang w:val="fr-FR"/>
              </w:rPr>
            </w:pPr>
            <w:r w:rsidRPr="00B230DC">
              <w:rPr>
                <w:i/>
                <w:sz w:val="16"/>
              </w:rPr>
              <w:t>Observations finales</w:t>
            </w:r>
          </w:p>
        </w:tc>
      </w:tr>
      <w:tr w:rsidR="00B230DC" w:rsidRPr="00B230DC" w:rsidTr="007139ED">
        <w:trPr>
          <w:cantSplit/>
          <w:trHeight w:hRule="exact" w:val="113"/>
          <w:tblHeader/>
        </w:trPr>
        <w:tc>
          <w:tcPr>
            <w:tcW w:w="993" w:type="dxa"/>
            <w:tcBorders>
              <w:top w:val="single" w:sz="12" w:space="0" w:color="auto"/>
            </w:tcBorders>
            <w:shd w:val="clear" w:color="auto" w:fill="auto"/>
          </w:tcPr>
          <w:p w:rsidR="00B230DC" w:rsidRPr="00B230DC" w:rsidRDefault="00B230DC" w:rsidP="00B230DC">
            <w:pPr>
              <w:spacing w:before="40" w:after="120"/>
              <w:ind w:right="113"/>
            </w:pPr>
          </w:p>
        </w:tc>
        <w:tc>
          <w:tcPr>
            <w:tcW w:w="1701" w:type="dxa"/>
            <w:tcBorders>
              <w:top w:val="single" w:sz="12" w:space="0" w:color="auto"/>
            </w:tcBorders>
            <w:shd w:val="clear" w:color="auto" w:fill="auto"/>
          </w:tcPr>
          <w:p w:rsidR="00B230DC" w:rsidRPr="00B230DC" w:rsidRDefault="00B230DC" w:rsidP="00B230DC">
            <w:pPr>
              <w:spacing w:before="40" w:after="120"/>
              <w:ind w:right="113"/>
            </w:pPr>
          </w:p>
        </w:tc>
        <w:tc>
          <w:tcPr>
            <w:tcW w:w="2409" w:type="dxa"/>
            <w:tcBorders>
              <w:top w:val="single" w:sz="12" w:space="0" w:color="auto"/>
            </w:tcBorders>
            <w:shd w:val="clear" w:color="auto" w:fill="auto"/>
          </w:tcPr>
          <w:p w:rsidR="00B230DC" w:rsidRPr="00B230DC" w:rsidRDefault="00B230DC" w:rsidP="00B230DC">
            <w:pPr>
              <w:spacing w:before="40" w:after="120"/>
              <w:ind w:right="113"/>
            </w:pPr>
          </w:p>
        </w:tc>
        <w:tc>
          <w:tcPr>
            <w:tcW w:w="2267" w:type="dxa"/>
            <w:tcBorders>
              <w:top w:val="single" w:sz="12" w:space="0" w:color="auto"/>
            </w:tcBorders>
            <w:shd w:val="clear" w:color="auto" w:fill="auto"/>
          </w:tcPr>
          <w:p w:rsidR="00B230DC" w:rsidRPr="00B230DC" w:rsidRDefault="00B230DC" w:rsidP="00B230DC">
            <w:pPr>
              <w:spacing w:before="40" w:after="120"/>
              <w:ind w:right="113"/>
            </w:pPr>
          </w:p>
        </w:tc>
      </w:tr>
      <w:tr w:rsidR="00786702" w:rsidRPr="00270ECC" w:rsidTr="007139ED">
        <w:trPr>
          <w:cantSplit/>
        </w:trPr>
        <w:tc>
          <w:tcPr>
            <w:tcW w:w="993" w:type="dxa"/>
            <w:shd w:val="clear" w:color="auto" w:fill="auto"/>
          </w:tcPr>
          <w:p w:rsidR="00786702" w:rsidRPr="00B230DC" w:rsidRDefault="00786702" w:rsidP="00B230DC">
            <w:pPr>
              <w:spacing w:before="40" w:after="120"/>
              <w:ind w:right="113"/>
              <w:rPr>
                <w:lang w:val="fr-FR"/>
              </w:rPr>
            </w:pPr>
            <w:r w:rsidRPr="00B230DC">
              <w:t>Burundi</w:t>
            </w:r>
          </w:p>
        </w:tc>
        <w:tc>
          <w:tcPr>
            <w:tcW w:w="1701" w:type="dxa"/>
            <w:shd w:val="clear" w:color="auto" w:fill="auto"/>
          </w:tcPr>
          <w:p w:rsidR="00786702" w:rsidRPr="00B230DC" w:rsidRDefault="00786702" w:rsidP="007139ED">
            <w:pPr>
              <w:spacing w:before="40" w:after="120"/>
              <w:ind w:right="113"/>
              <w:rPr>
                <w:lang w:val="fr-FR"/>
              </w:rPr>
            </w:pPr>
            <w:r w:rsidRPr="00B230DC">
              <w:t>Sébastien Touzé</w:t>
            </w:r>
            <w:r w:rsidR="007139ED">
              <w:t xml:space="preserve"> </w:t>
            </w:r>
            <w:r w:rsidR="007139ED">
              <w:br/>
            </w:r>
            <w:r w:rsidRPr="00B230DC">
              <w:t>Essadia Belmir</w:t>
            </w:r>
          </w:p>
        </w:tc>
        <w:tc>
          <w:tcPr>
            <w:tcW w:w="2409" w:type="dxa"/>
            <w:shd w:val="clear" w:color="auto" w:fill="auto"/>
          </w:tcPr>
          <w:p w:rsidR="00786702" w:rsidRPr="00B230DC" w:rsidRDefault="00786702" w:rsidP="00B230DC">
            <w:pPr>
              <w:spacing w:before="40" w:after="120"/>
              <w:ind w:right="113"/>
              <w:rPr>
                <w:lang w:val="fr-FR"/>
              </w:rPr>
            </w:pPr>
            <w:r w:rsidRPr="00B230DC">
              <w:t>Rapport spécial</w:t>
            </w:r>
            <w:r w:rsidRPr="00B230DC">
              <w:br/>
              <w:t>(</w:t>
            </w:r>
            <w:hyperlink r:id="rId44" w:history="1">
              <w:r w:rsidRPr="007139ED">
                <w:rPr>
                  <w:rStyle w:val="Lienhypertexte"/>
                </w:rPr>
                <w:t>CAT/C/BDI/2/Add.1</w:t>
              </w:r>
            </w:hyperlink>
            <w:r w:rsidRPr="00B230DC">
              <w:t>)</w:t>
            </w:r>
          </w:p>
        </w:tc>
        <w:tc>
          <w:tcPr>
            <w:tcW w:w="2267" w:type="dxa"/>
            <w:shd w:val="clear" w:color="auto" w:fill="auto"/>
          </w:tcPr>
          <w:p w:rsidR="00786702" w:rsidRPr="007139ED" w:rsidRDefault="00390349" w:rsidP="00B230DC">
            <w:pPr>
              <w:spacing w:before="40" w:after="120"/>
              <w:ind w:right="113"/>
              <w:rPr>
                <w:lang w:val="en-US"/>
              </w:rPr>
            </w:pPr>
            <w:hyperlink r:id="rId45" w:history="1">
              <w:r w:rsidR="007139ED" w:rsidRPr="007139ED">
                <w:rPr>
                  <w:rStyle w:val="Lienhypertexte"/>
                  <w:lang w:val="en-US"/>
                </w:rPr>
                <w:t>CAT/C/BDI/CO/2/Add.</w:t>
              </w:r>
              <w:r w:rsidR="00786702" w:rsidRPr="007139ED">
                <w:rPr>
                  <w:rStyle w:val="Lienhypertexte"/>
                  <w:lang w:val="en-US"/>
                </w:rPr>
                <w:t>1</w:t>
              </w:r>
            </w:hyperlink>
          </w:p>
        </w:tc>
      </w:tr>
      <w:tr w:rsidR="00786702" w:rsidRPr="00B230DC" w:rsidTr="007139ED">
        <w:trPr>
          <w:cantSplit/>
        </w:trPr>
        <w:tc>
          <w:tcPr>
            <w:tcW w:w="993" w:type="dxa"/>
            <w:shd w:val="clear" w:color="auto" w:fill="auto"/>
          </w:tcPr>
          <w:p w:rsidR="00786702" w:rsidRPr="00B230DC" w:rsidRDefault="00786702" w:rsidP="00B230DC">
            <w:pPr>
              <w:spacing w:before="40" w:after="120"/>
              <w:ind w:right="113"/>
              <w:rPr>
                <w:lang w:val="fr-FR"/>
              </w:rPr>
            </w:pPr>
            <w:r w:rsidRPr="00B230DC">
              <w:t>Honduras</w:t>
            </w:r>
          </w:p>
        </w:tc>
        <w:tc>
          <w:tcPr>
            <w:tcW w:w="1701" w:type="dxa"/>
            <w:shd w:val="clear" w:color="auto" w:fill="auto"/>
          </w:tcPr>
          <w:p w:rsidR="00786702" w:rsidRPr="00B230DC" w:rsidRDefault="00786702" w:rsidP="007139ED">
            <w:pPr>
              <w:spacing w:before="40" w:after="120"/>
              <w:ind w:right="113"/>
              <w:rPr>
                <w:lang w:val="fr-FR"/>
              </w:rPr>
            </w:pPr>
            <w:r w:rsidRPr="00B230DC">
              <w:t>Claude Heller</w:t>
            </w:r>
            <w:r w:rsidR="007139ED">
              <w:t xml:space="preserve"> </w:t>
            </w:r>
            <w:r w:rsidR="007139ED">
              <w:br/>
            </w:r>
            <w:r w:rsidRPr="00B230DC">
              <w:t>Jens Modvig</w:t>
            </w:r>
          </w:p>
        </w:tc>
        <w:tc>
          <w:tcPr>
            <w:tcW w:w="2409" w:type="dxa"/>
            <w:shd w:val="clear" w:color="auto" w:fill="auto"/>
          </w:tcPr>
          <w:p w:rsidR="00786702" w:rsidRPr="00B230DC" w:rsidRDefault="00786702" w:rsidP="00B230DC">
            <w:pPr>
              <w:spacing w:before="40" w:after="120"/>
              <w:ind w:right="113"/>
              <w:rPr>
                <w:lang w:val="fr-FR"/>
              </w:rPr>
            </w:pPr>
            <w:r w:rsidRPr="00B230DC">
              <w:t>Deuxième rapport périodique (</w:t>
            </w:r>
            <w:hyperlink r:id="rId46" w:history="1">
              <w:r w:rsidRPr="007139ED">
                <w:rPr>
                  <w:rStyle w:val="Lienhypertexte"/>
                </w:rPr>
                <w:t>CAT/C/HND/2</w:t>
              </w:r>
            </w:hyperlink>
            <w:r w:rsidRPr="00B230DC">
              <w:t>)</w:t>
            </w:r>
          </w:p>
        </w:tc>
        <w:tc>
          <w:tcPr>
            <w:tcW w:w="2267" w:type="dxa"/>
            <w:shd w:val="clear" w:color="auto" w:fill="auto"/>
          </w:tcPr>
          <w:p w:rsidR="00786702" w:rsidRPr="00B230DC" w:rsidRDefault="00390349" w:rsidP="00B230DC">
            <w:pPr>
              <w:spacing w:before="40" w:after="120"/>
              <w:ind w:right="113"/>
              <w:rPr>
                <w:lang w:val="fr-FR"/>
              </w:rPr>
            </w:pPr>
            <w:hyperlink r:id="rId47" w:history="1">
              <w:r w:rsidR="00786702" w:rsidRPr="007139ED">
                <w:rPr>
                  <w:rStyle w:val="Lienhypertexte"/>
                </w:rPr>
                <w:t>CAT/C/HND/CO/2</w:t>
              </w:r>
            </w:hyperlink>
          </w:p>
        </w:tc>
      </w:tr>
      <w:tr w:rsidR="00786702" w:rsidRPr="00B230DC" w:rsidTr="007139ED">
        <w:trPr>
          <w:cantSplit/>
        </w:trPr>
        <w:tc>
          <w:tcPr>
            <w:tcW w:w="993" w:type="dxa"/>
            <w:shd w:val="clear" w:color="auto" w:fill="auto"/>
          </w:tcPr>
          <w:p w:rsidR="00786702" w:rsidRPr="00B230DC" w:rsidRDefault="00786702" w:rsidP="00B230DC">
            <w:pPr>
              <w:spacing w:before="40" w:after="120"/>
              <w:ind w:right="113"/>
              <w:rPr>
                <w:lang w:val="fr-FR"/>
              </w:rPr>
            </w:pPr>
            <w:r w:rsidRPr="00B230DC">
              <w:t>Koweït</w:t>
            </w:r>
          </w:p>
        </w:tc>
        <w:tc>
          <w:tcPr>
            <w:tcW w:w="1701" w:type="dxa"/>
            <w:shd w:val="clear" w:color="auto" w:fill="auto"/>
          </w:tcPr>
          <w:p w:rsidR="00786702" w:rsidRPr="00B230DC" w:rsidRDefault="00786702" w:rsidP="007139ED">
            <w:pPr>
              <w:spacing w:before="40" w:after="120"/>
              <w:ind w:right="113"/>
              <w:rPr>
                <w:lang w:val="fr-FR"/>
              </w:rPr>
            </w:pPr>
            <w:r w:rsidRPr="00B230DC">
              <w:t>Alessio Bruni</w:t>
            </w:r>
            <w:r w:rsidR="007139ED">
              <w:t xml:space="preserve"> </w:t>
            </w:r>
            <w:r w:rsidR="007139ED">
              <w:br/>
            </w:r>
            <w:r w:rsidRPr="00B230DC">
              <w:t>Abdelwahab Hani</w:t>
            </w:r>
          </w:p>
        </w:tc>
        <w:tc>
          <w:tcPr>
            <w:tcW w:w="2409" w:type="dxa"/>
            <w:shd w:val="clear" w:color="auto" w:fill="auto"/>
          </w:tcPr>
          <w:p w:rsidR="00786702" w:rsidRPr="00B230DC" w:rsidRDefault="00786702" w:rsidP="00B230DC">
            <w:pPr>
              <w:spacing w:before="40" w:after="120"/>
              <w:ind w:right="113"/>
              <w:rPr>
                <w:lang w:val="fr-FR"/>
              </w:rPr>
            </w:pPr>
            <w:r w:rsidRPr="00B230DC">
              <w:t>Troisième rapport périodique (</w:t>
            </w:r>
            <w:hyperlink r:id="rId48" w:history="1">
              <w:r w:rsidRPr="007139ED">
                <w:rPr>
                  <w:rStyle w:val="Lienhypertexte"/>
                </w:rPr>
                <w:t>CAT/C/KWT/3</w:t>
              </w:r>
            </w:hyperlink>
            <w:r w:rsidRPr="00B230DC">
              <w:t>)</w:t>
            </w:r>
          </w:p>
        </w:tc>
        <w:tc>
          <w:tcPr>
            <w:tcW w:w="2267" w:type="dxa"/>
            <w:shd w:val="clear" w:color="auto" w:fill="auto"/>
          </w:tcPr>
          <w:p w:rsidR="00786702" w:rsidRPr="00B230DC" w:rsidRDefault="00390349" w:rsidP="00B230DC">
            <w:pPr>
              <w:spacing w:before="40" w:after="120"/>
              <w:ind w:right="113"/>
              <w:rPr>
                <w:lang w:val="fr-FR"/>
              </w:rPr>
            </w:pPr>
            <w:hyperlink r:id="rId49" w:history="1">
              <w:r w:rsidR="00786702" w:rsidRPr="007139ED">
                <w:rPr>
                  <w:rStyle w:val="Lienhypertexte"/>
                </w:rPr>
                <w:t>CAT/C/KWT/CO/3</w:t>
              </w:r>
            </w:hyperlink>
            <w:r w:rsidR="00786702" w:rsidRPr="00B230DC">
              <w:t xml:space="preserve"> et </w:t>
            </w:r>
            <w:r w:rsidR="007139ED">
              <w:br/>
            </w:r>
            <w:hyperlink r:id="rId50" w:history="1">
              <w:r w:rsidR="00786702" w:rsidRPr="00CB2B17">
                <w:rPr>
                  <w:rStyle w:val="Lienhypertexte"/>
                </w:rPr>
                <w:t>Corr.1</w:t>
              </w:r>
            </w:hyperlink>
            <w:r w:rsidR="00786702" w:rsidRPr="00B230DC">
              <w:t xml:space="preserve"> et </w:t>
            </w:r>
            <w:hyperlink r:id="rId51" w:history="1">
              <w:r w:rsidR="00786702" w:rsidRPr="00CB2B17">
                <w:rPr>
                  <w:rStyle w:val="Lienhypertexte"/>
                </w:rPr>
                <w:t>2</w:t>
              </w:r>
            </w:hyperlink>
          </w:p>
        </w:tc>
      </w:tr>
      <w:tr w:rsidR="00786702" w:rsidRPr="00B230DC" w:rsidTr="007139ED">
        <w:trPr>
          <w:cantSplit/>
        </w:trPr>
        <w:tc>
          <w:tcPr>
            <w:tcW w:w="993" w:type="dxa"/>
            <w:tcBorders>
              <w:bottom w:val="single" w:sz="12" w:space="0" w:color="auto"/>
            </w:tcBorders>
            <w:shd w:val="clear" w:color="auto" w:fill="auto"/>
          </w:tcPr>
          <w:p w:rsidR="00786702" w:rsidRPr="00B230DC" w:rsidRDefault="00786702" w:rsidP="00B230DC">
            <w:pPr>
              <w:spacing w:before="40" w:after="120"/>
              <w:ind w:right="113"/>
              <w:rPr>
                <w:lang w:val="fr-FR"/>
              </w:rPr>
            </w:pPr>
            <w:r w:rsidRPr="00B230DC">
              <w:t>Mongolie</w:t>
            </w:r>
          </w:p>
        </w:tc>
        <w:tc>
          <w:tcPr>
            <w:tcW w:w="1701" w:type="dxa"/>
            <w:tcBorders>
              <w:bottom w:val="single" w:sz="12" w:space="0" w:color="auto"/>
            </w:tcBorders>
            <w:shd w:val="clear" w:color="auto" w:fill="auto"/>
          </w:tcPr>
          <w:p w:rsidR="00786702" w:rsidRPr="00B230DC" w:rsidRDefault="00786702" w:rsidP="007139ED">
            <w:pPr>
              <w:spacing w:before="40" w:after="120"/>
              <w:ind w:right="113"/>
              <w:rPr>
                <w:lang w:val="fr-FR"/>
              </w:rPr>
            </w:pPr>
            <w:r w:rsidRPr="00B230DC">
              <w:t>Jens Modvig</w:t>
            </w:r>
            <w:r w:rsidR="007139ED">
              <w:t xml:space="preserve"> </w:t>
            </w:r>
            <w:r w:rsidR="007139ED">
              <w:br/>
            </w:r>
            <w:r w:rsidRPr="00B230DC">
              <w:t>Ana Racu</w:t>
            </w:r>
          </w:p>
        </w:tc>
        <w:tc>
          <w:tcPr>
            <w:tcW w:w="2409" w:type="dxa"/>
            <w:tcBorders>
              <w:bottom w:val="single" w:sz="12" w:space="0" w:color="auto"/>
            </w:tcBorders>
            <w:shd w:val="clear" w:color="auto" w:fill="auto"/>
          </w:tcPr>
          <w:p w:rsidR="00786702" w:rsidRPr="00B230DC" w:rsidRDefault="00786702" w:rsidP="00B230DC">
            <w:pPr>
              <w:spacing w:before="40" w:after="120"/>
              <w:ind w:right="113"/>
              <w:rPr>
                <w:lang w:val="fr-FR"/>
              </w:rPr>
            </w:pPr>
            <w:r w:rsidRPr="00B230DC">
              <w:t>Deuxième rapport périodique (</w:t>
            </w:r>
            <w:hyperlink r:id="rId52" w:history="1">
              <w:r w:rsidRPr="007139ED">
                <w:rPr>
                  <w:rStyle w:val="Lienhypertexte"/>
                </w:rPr>
                <w:t>CAT/C/MNG/2</w:t>
              </w:r>
            </w:hyperlink>
            <w:r w:rsidRPr="00B230DC">
              <w:t>)</w:t>
            </w:r>
          </w:p>
        </w:tc>
        <w:tc>
          <w:tcPr>
            <w:tcW w:w="2267" w:type="dxa"/>
            <w:tcBorders>
              <w:bottom w:val="single" w:sz="12" w:space="0" w:color="auto"/>
            </w:tcBorders>
            <w:shd w:val="clear" w:color="auto" w:fill="auto"/>
          </w:tcPr>
          <w:p w:rsidR="00786702" w:rsidRPr="00B230DC" w:rsidRDefault="00390349" w:rsidP="00B230DC">
            <w:pPr>
              <w:spacing w:before="40" w:after="120"/>
              <w:ind w:right="113"/>
              <w:rPr>
                <w:lang w:val="fr-FR"/>
              </w:rPr>
            </w:pPr>
            <w:hyperlink r:id="rId53" w:history="1">
              <w:r w:rsidR="00786702" w:rsidRPr="007139ED">
                <w:rPr>
                  <w:rStyle w:val="Lienhypertexte"/>
                </w:rPr>
                <w:t>CAT/C/MNG/CO/2</w:t>
              </w:r>
            </w:hyperlink>
          </w:p>
        </w:tc>
      </w:tr>
    </w:tbl>
    <w:p w:rsidR="00786702" w:rsidRPr="00786702" w:rsidRDefault="00786702" w:rsidP="007139ED">
      <w:pPr>
        <w:pStyle w:val="SingleTxtG"/>
        <w:spacing w:before="240"/>
        <w:rPr>
          <w:lang w:val="fr-FR"/>
        </w:rPr>
      </w:pPr>
      <w:r w:rsidRPr="00786702">
        <w:rPr>
          <w:lang w:val="fr-FR"/>
        </w:rPr>
        <w:t>39.</w:t>
      </w:r>
      <w:r w:rsidRPr="00786702">
        <w:rPr>
          <w:lang w:val="fr-FR"/>
        </w:rPr>
        <w:tab/>
        <w:t>Les rapports examinés par le Comité à sa cinquante</w:t>
      </w:r>
      <w:r w:rsidRPr="00786702">
        <w:rPr>
          <w:lang w:val="fr-FR"/>
        </w:rPr>
        <w:noBreakHyphen/>
        <w:t>neuvième session et les observations finales correspondantes peuvent être consultés au moyen du Système de diffusion électronique des documents de l</w:t>
      </w:r>
      <w:r w:rsidR="00993CE3">
        <w:rPr>
          <w:lang w:val="fr-FR"/>
        </w:rPr>
        <w:t>’</w:t>
      </w:r>
      <w:r w:rsidRPr="00786702">
        <w:rPr>
          <w:lang w:val="fr-FR"/>
        </w:rPr>
        <w:t>ONU (</w:t>
      </w:r>
      <w:hyperlink r:id="rId54" w:history="1">
        <w:r w:rsidRPr="007139ED">
          <w:rPr>
            <w:rStyle w:val="Lienhypertexte"/>
            <w:lang w:val="fr-FR"/>
          </w:rPr>
          <w:t>http://documents.un.org</w:t>
        </w:r>
      </w:hyperlink>
      <w:r w:rsidRPr="00786702">
        <w:rPr>
          <w:lang w:val="fr-FR"/>
        </w:rPr>
        <w:t>), en précisant les cotes indiquées ci</w:t>
      </w:r>
      <w:r w:rsidRPr="00786702">
        <w:rPr>
          <w:lang w:val="fr-FR"/>
        </w:rPr>
        <w:noBreakHyphen/>
        <w:t>dessous</w:t>
      </w:r>
      <w:r w:rsidR="00B33DE5">
        <w:rPr>
          <w:lang w:val="fr-FR"/>
        </w:rPr>
        <w:t> :</w:t>
      </w:r>
    </w:p>
    <w:tbl>
      <w:tblPr>
        <w:tblW w:w="8505" w:type="dxa"/>
        <w:tblInd w:w="1134" w:type="dxa"/>
        <w:tblLayout w:type="fixed"/>
        <w:tblCellMar>
          <w:left w:w="0" w:type="dxa"/>
          <w:right w:w="0" w:type="dxa"/>
        </w:tblCellMar>
        <w:tblLook w:val="04A0" w:firstRow="1" w:lastRow="0" w:firstColumn="1" w:lastColumn="0" w:noHBand="0" w:noVBand="1"/>
      </w:tblPr>
      <w:tblGrid>
        <w:gridCol w:w="1473"/>
        <w:gridCol w:w="2213"/>
        <w:gridCol w:w="2692"/>
        <w:gridCol w:w="2127"/>
      </w:tblGrid>
      <w:tr w:rsidR="00786702" w:rsidRPr="00B230DC" w:rsidTr="007139ED">
        <w:trPr>
          <w:tblHeader/>
        </w:trPr>
        <w:tc>
          <w:tcPr>
            <w:tcW w:w="1473" w:type="dxa"/>
            <w:tcBorders>
              <w:top w:val="single" w:sz="4" w:space="0" w:color="auto"/>
              <w:bottom w:val="single" w:sz="12" w:space="0" w:color="auto"/>
            </w:tcBorders>
            <w:shd w:val="clear" w:color="auto" w:fill="auto"/>
            <w:vAlign w:val="bottom"/>
          </w:tcPr>
          <w:p w:rsidR="00786702" w:rsidRPr="00B230DC" w:rsidRDefault="00786702" w:rsidP="007139ED">
            <w:pPr>
              <w:keepNext/>
              <w:spacing w:before="80" w:after="80" w:line="200" w:lineRule="exact"/>
              <w:ind w:right="113"/>
              <w:rPr>
                <w:i/>
                <w:sz w:val="16"/>
              </w:rPr>
            </w:pPr>
            <w:r w:rsidRPr="00B230DC">
              <w:rPr>
                <w:i/>
                <w:sz w:val="16"/>
              </w:rPr>
              <w:lastRenderedPageBreak/>
              <w:t>État partie</w:t>
            </w:r>
          </w:p>
        </w:tc>
        <w:tc>
          <w:tcPr>
            <w:tcW w:w="2213" w:type="dxa"/>
            <w:tcBorders>
              <w:top w:val="single" w:sz="4" w:space="0" w:color="auto"/>
              <w:bottom w:val="single" w:sz="12" w:space="0" w:color="auto"/>
            </w:tcBorders>
            <w:shd w:val="clear" w:color="auto" w:fill="auto"/>
            <w:vAlign w:val="bottom"/>
          </w:tcPr>
          <w:p w:rsidR="00786702" w:rsidRPr="00B230DC" w:rsidRDefault="00786702" w:rsidP="00B230DC">
            <w:pPr>
              <w:spacing w:before="80" w:after="80" w:line="200" w:lineRule="exact"/>
              <w:ind w:right="113"/>
              <w:rPr>
                <w:i/>
                <w:sz w:val="16"/>
              </w:rPr>
            </w:pPr>
            <w:r w:rsidRPr="00B230DC">
              <w:rPr>
                <w:i/>
                <w:sz w:val="16"/>
              </w:rPr>
              <w:t>Rapporteurs pour le pays</w:t>
            </w:r>
          </w:p>
        </w:tc>
        <w:tc>
          <w:tcPr>
            <w:tcW w:w="2692" w:type="dxa"/>
            <w:tcBorders>
              <w:top w:val="single" w:sz="4" w:space="0" w:color="auto"/>
              <w:bottom w:val="single" w:sz="12" w:space="0" w:color="auto"/>
            </w:tcBorders>
            <w:shd w:val="clear" w:color="auto" w:fill="auto"/>
            <w:vAlign w:val="bottom"/>
          </w:tcPr>
          <w:p w:rsidR="00786702" w:rsidRPr="00B230DC" w:rsidRDefault="00786702" w:rsidP="00B230DC">
            <w:pPr>
              <w:spacing w:before="80" w:after="80" w:line="200" w:lineRule="exact"/>
              <w:ind w:right="113"/>
              <w:rPr>
                <w:i/>
                <w:sz w:val="16"/>
              </w:rPr>
            </w:pPr>
            <w:r w:rsidRPr="00B230DC">
              <w:rPr>
                <w:i/>
                <w:sz w:val="16"/>
              </w:rPr>
              <w:t>Rapport</w:t>
            </w:r>
          </w:p>
        </w:tc>
        <w:tc>
          <w:tcPr>
            <w:tcW w:w="2127" w:type="dxa"/>
            <w:tcBorders>
              <w:top w:val="single" w:sz="4" w:space="0" w:color="auto"/>
              <w:bottom w:val="single" w:sz="12" w:space="0" w:color="auto"/>
            </w:tcBorders>
            <w:shd w:val="clear" w:color="auto" w:fill="auto"/>
            <w:vAlign w:val="bottom"/>
          </w:tcPr>
          <w:p w:rsidR="00786702" w:rsidRPr="00B230DC" w:rsidRDefault="00786702" w:rsidP="00B230DC">
            <w:pPr>
              <w:spacing w:before="80" w:after="80" w:line="200" w:lineRule="exact"/>
              <w:ind w:right="113"/>
              <w:rPr>
                <w:i/>
                <w:sz w:val="16"/>
              </w:rPr>
            </w:pPr>
            <w:r w:rsidRPr="00B230DC">
              <w:rPr>
                <w:i/>
                <w:sz w:val="16"/>
              </w:rPr>
              <w:t>Observations finales</w:t>
            </w:r>
          </w:p>
        </w:tc>
      </w:tr>
      <w:tr w:rsidR="00B230DC" w:rsidRPr="00B230DC" w:rsidTr="007139ED">
        <w:trPr>
          <w:trHeight w:hRule="exact" w:val="113"/>
        </w:trPr>
        <w:tc>
          <w:tcPr>
            <w:tcW w:w="1473" w:type="dxa"/>
            <w:tcBorders>
              <w:top w:val="single" w:sz="12" w:space="0" w:color="auto"/>
            </w:tcBorders>
            <w:shd w:val="clear" w:color="auto" w:fill="auto"/>
          </w:tcPr>
          <w:p w:rsidR="00B230DC" w:rsidRPr="00B230DC" w:rsidRDefault="00B230DC" w:rsidP="00B230DC">
            <w:pPr>
              <w:spacing w:before="40" w:after="120"/>
              <w:ind w:right="113"/>
            </w:pPr>
          </w:p>
        </w:tc>
        <w:tc>
          <w:tcPr>
            <w:tcW w:w="2213" w:type="dxa"/>
            <w:tcBorders>
              <w:top w:val="single" w:sz="12" w:space="0" w:color="auto"/>
            </w:tcBorders>
            <w:shd w:val="clear" w:color="auto" w:fill="auto"/>
          </w:tcPr>
          <w:p w:rsidR="00B230DC" w:rsidRPr="00B230DC" w:rsidRDefault="00B230DC" w:rsidP="00B230DC">
            <w:pPr>
              <w:spacing w:before="40" w:after="120"/>
              <w:ind w:right="113"/>
            </w:pPr>
          </w:p>
        </w:tc>
        <w:tc>
          <w:tcPr>
            <w:tcW w:w="2692" w:type="dxa"/>
            <w:tcBorders>
              <w:top w:val="single" w:sz="12" w:space="0" w:color="auto"/>
            </w:tcBorders>
            <w:shd w:val="clear" w:color="auto" w:fill="auto"/>
          </w:tcPr>
          <w:p w:rsidR="00B230DC" w:rsidRPr="00B230DC" w:rsidRDefault="00B230DC" w:rsidP="00B230DC">
            <w:pPr>
              <w:spacing w:before="40" w:after="120"/>
              <w:ind w:right="113"/>
            </w:pPr>
          </w:p>
        </w:tc>
        <w:tc>
          <w:tcPr>
            <w:tcW w:w="2127" w:type="dxa"/>
            <w:tcBorders>
              <w:top w:val="single" w:sz="12" w:space="0" w:color="auto"/>
            </w:tcBorders>
            <w:shd w:val="clear" w:color="auto" w:fill="auto"/>
          </w:tcPr>
          <w:p w:rsidR="00B230DC" w:rsidRPr="00B230DC" w:rsidRDefault="00B230DC" w:rsidP="00B230DC">
            <w:pPr>
              <w:spacing w:before="40" w:after="120"/>
              <w:ind w:right="113"/>
            </w:pPr>
          </w:p>
        </w:tc>
      </w:tr>
      <w:tr w:rsidR="00786702" w:rsidRPr="00B230DC" w:rsidTr="007139ED">
        <w:tc>
          <w:tcPr>
            <w:tcW w:w="1473" w:type="dxa"/>
            <w:shd w:val="clear" w:color="auto" w:fill="auto"/>
          </w:tcPr>
          <w:p w:rsidR="00786702" w:rsidRPr="00B230DC" w:rsidRDefault="00786702" w:rsidP="00B230DC">
            <w:pPr>
              <w:spacing w:before="40" w:after="120"/>
              <w:ind w:right="113"/>
            </w:pPr>
            <w:r w:rsidRPr="00B230DC">
              <w:rPr>
                <w:lang w:val="fr-FR"/>
              </w:rPr>
              <w:t>Arménie</w:t>
            </w:r>
          </w:p>
        </w:tc>
        <w:tc>
          <w:tcPr>
            <w:tcW w:w="2213" w:type="dxa"/>
            <w:shd w:val="clear" w:color="auto" w:fill="auto"/>
          </w:tcPr>
          <w:p w:rsidR="00786702" w:rsidRPr="00B230DC" w:rsidRDefault="00786702" w:rsidP="007139ED">
            <w:pPr>
              <w:spacing w:before="40" w:after="120"/>
              <w:ind w:right="113"/>
            </w:pPr>
            <w:r w:rsidRPr="00B230DC">
              <w:t xml:space="preserve">Sébastien Touzé </w:t>
            </w:r>
            <w:r w:rsidR="007139ED">
              <w:br/>
            </w:r>
            <w:r w:rsidRPr="00B230DC">
              <w:t>Ana Racu</w:t>
            </w:r>
          </w:p>
        </w:tc>
        <w:tc>
          <w:tcPr>
            <w:tcW w:w="2692" w:type="dxa"/>
            <w:shd w:val="clear" w:color="auto" w:fill="auto"/>
          </w:tcPr>
          <w:p w:rsidR="00786702" w:rsidRPr="00B230DC" w:rsidRDefault="00786702" w:rsidP="00B230DC">
            <w:pPr>
              <w:spacing w:before="40" w:after="120"/>
              <w:ind w:right="113"/>
            </w:pPr>
            <w:r w:rsidRPr="00B230DC">
              <w:t>Quatrième rapport périodique (</w:t>
            </w:r>
            <w:hyperlink r:id="rId55" w:history="1">
              <w:r w:rsidRPr="00CB2B17">
                <w:rPr>
                  <w:rStyle w:val="Lienhypertexte"/>
                </w:rPr>
                <w:t>CAT/C/ARM/4</w:t>
              </w:r>
            </w:hyperlink>
            <w:r w:rsidRPr="00B230DC">
              <w:t>)</w:t>
            </w:r>
          </w:p>
        </w:tc>
        <w:tc>
          <w:tcPr>
            <w:tcW w:w="2127" w:type="dxa"/>
            <w:shd w:val="clear" w:color="auto" w:fill="auto"/>
          </w:tcPr>
          <w:p w:rsidR="00786702" w:rsidRPr="00B230DC" w:rsidRDefault="00390349" w:rsidP="00B230DC">
            <w:pPr>
              <w:spacing w:before="40" w:after="120"/>
              <w:ind w:right="113"/>
            </w:pPr>
            <w:hyperlink r:id="rId56" w:history="1">
              <w:r w:rsidR="00786702" w:rsidRPr="00CB2B17">
                <w:rPr>
                  <w:rStyle w:val="Lienhypertexte"/>
                  <w:lang w:val="fr-FR"/>
                </w:rPr>
                <w:t>CAT/C/ARM/CO/</w:t>
              </w:r>
            </w:hyperlink>
            <w:hyperlink r:id="rId57" w:history="1">
              <w:r w:rsidR="00786702" w:rsidRPr="00CB2B17">
                <w:rPr>
                  <w:rStyle w:val="Lienhypertexte"/>
                  <w:lang w:val="fr-FR"/>
                </w:rPr>
                <w:t>4</w:t>
              </w:r>
            </w:hyperlink>
          </w:p>
        </w:tc>
      </w:tr>
      <w:tr w:rsidR="00786702" w:rsidRPr="00B230DC" w:rsidTr="007139ED">
        <w:tc>
          <w:tcPr>
            <w:tcW w:w="1473" w:type="dxa"/>
            <w:shd w:val="clear" w:color="auto" w:fill="auto"/>
          </w:tcPr>
          <w:p w:rsidR="00786702" w:rsidRPr="00B230DC" w:rsidRDefault="00786702" w:rsidP="00B230DC">
            <w:pPr>
              <w:spacing w:before="40" w:after="120"/>
              <w:ind w:right="113"/>
            </w:pPr>
            <w:r w:rsidRPr="00B230DC">
              <w:rPr>
                <w:lang w:val="fr-FR"/>
              </w:rPr>
              <w:t>Équateur</w:t>
            </w:r>
          </w:p>
        </w:tc>
        <w:tc>
          <w:tcPr>
            <w:tcW w:w="2213" w:type="dxa"/>
            <w:shd w:val="clear" w:color="auto" w:fill="auto"/>
          </w:tcPr>
          <w:p w:rsidR="00786702" w:rsidRPr="00B230DC" w:rsidRDefault="00786702" w:rsidP="007139ED">
            <w:pPr>
              <w:spacing w:before="40" w:after="120"/>
              <w:ind w:right="113"/>
            </w:pPr>
            <w:r w:rsidRPr="00B230DC">
              <w:t>Claude Heller</w:t>
            </w:r>
            <w:r w:rsidR="007139ED">
              <w:t xml:space="preserve"> </w:t>
            </w:r>
            <w:r w:rsidR="007139ED">
              <w:br/>
            </w:r>
            <w:r w:rsidRPr="00B230DC">
              <w:t>Jens Modvig</w:t>
            </w:r>
          </w:p>
        </w:tc>
        <w:tc>
          <w:tcPr>
            <w:tcW w:w="2692" w:type="dxa"/>
            <w:shd w:val="clear" w:color="auto" w:fill="auto"/>
          </w:tcPr>
          <w:p w:rsidR="00786702" w:rsidRPr="00B230DC" w:rsidRDefault="00786702" w:rsidP="00B230DC">
            <w:pPr>
              <w:spacing w:before="40" w:after="120"/>
              <w:ind w:right="113"/>
            </w:pPr>
            <w:r w:rsidRPr="00B230DC">
              <w:t>Septième rapport périodique (</w:t>
            </w:r>
            <w:hyperlink r:id="rId58" w:history="1">
              <w:r w:rsidRPr="00CB2B17">
                <w:rPr>
                  <w:rStyle w:val="Lienhypertexte"/>
                </w:rPr>
                <w:t>CAT/C/ECU/7</w:t>
              </w:r>
            </w:hyperlink>
            <w:r w:rsidRPr="00B230DC">
              <w:t>)</w:t>
            </w:r>
          </w:p>
        </w:tc>
        <w:tc>
          <w:tcPr>
            <w:tcW w:w="2127" w:type="dxa"/>
            <w:shd w:val="clear" w:color="auto" w:fill="auto"/>
          </w:tcPr>
          <w:p w:rsidR="00786702" w:rsidRPr="00B230DC" w:rsidRDefault="00390349" w:rsidP="00B230DC">
            <w:pPr>
              <w:spacing w:before="40" w:after="120"/>
              <w:ind w:right="113"/>
            </w:pPr>
            <w:hyperlink r:id="rId59" w:history="1">
              <w:r w:rsidR="00786702" w:rsidRPr="00CB2B17">
                <w:rPr>
                  <w:rStyle w:val="Lienhypertexte"/>
                  <w:lang w:val="fr-FR"/>
                </w:rPr>
                <w:t>CAT/C/ECU/CO/</w:t>
              </w:r>
            </w:hyperlink>
            <w:hyperlink r:id="rId60" w:history="1">
              <w:r w:rsidR="00786702" w:rsidRPr="00CB2B17">
                <w:rPr>
                  <w:rStyle w:val="Lienhypertexte"/>
                  <w:lang w:val="fr-FR"/>
                </w:rPr>
                <w:t>7</w:t>
              </w:r>
            </w:hyperlink>
          </w:p>
        </w:tc>
      </w:tr>
      <w:tr w:rsidR="00786702" w:rsidRPr="00B230DC" w:rsidTr="007139ED">
        <w:tc>
          <w:tcPr>
            <w:tcW w:w="1473" w:type="dxa"/>
            <w:shd w:val="clear" w:color="auto" w:fill="auto"/>
          </w:tcPr>
          <w:p w:rsidR="00786702" w:rsidRPr="00B230DC" w:rsidRDefault="00786702" w:rsidP="00B230DC">
            <w:pPr>
              <w:spacing w:before="40" w:after="120"/>
              <w:ind w:right="113"/>
            </w:pPr>
            <w:r w:rsidRPr="00B230DC">
              <w:rPr>
                <w:lang w:val="fr-FR"/>
              </w:rPr>
              <w:t>Finlande</w:t>
            </w:r>
          </w:p>
        </w:tc>
        <w:tc>
          <w:tcPr>
            <w:tcW w:w="2213" w:type="dxa"/>
            <w:shd w:val="clear" w:color="auto" w:fill="auto"/>
          </w:tcPr>
          <w:p w:rsidR="00786702" w:rsidRPr="00B230DC" w:rsidRDefault="00786702" w:rsidP="007139ED">
            <w:pPr>
              <w:spacing w:before="40" w:after="120"/>
              <w:ind w:right="113"/>
            </w:pPr>
            <w:r w:rsidRPr="00B230DC">
              <w:t>Ana Racu</w:t>
            </w:r>
            <w:r w:rsidR="007139ED">
              <w:t xml:space="preserve"> </w:t>
            </w:r>
            <w:r w:rsidR="007139ED">
              <w:br/>
            </w:r>
            <w:r w:rsidRPr="00B230DC">
              <w:t>Sapana Pradhan</w:t>
            </w:r>
            <w:r w:rsidRPr="00B230DC">
              <w:noBreakHyphen/>
              <w:t>Mallah</w:t>
            </w:r>
          </w:p>
        </w:tc>
        <w:tc>
          <w:tcPr>
            <w:tcW w:w="2692" w:type="dxa"/>
            <w:shd w:val="clear" w:color="auto" w:fill="auto"/>
          </w:tcPr>
          <w:p w:rsidR="00786702" w:rsidRPr="00B230DC" w:rsidRDefault="00786702" w:rsidP="00B230DC">
            <w:pPr>
              <w:spacing w:before="40" w:after="120"/>
              <w:ind w:right="113"/>
            </w:pPr>
            <w:r w:rsidRPr="00B230DC">
              <w:t>Septième rapport périodique (</w:t>
            </w:r>
            <w:hyperlink r:id="rId61" w:history="1">
              <w:r w:rsidRPr="00CB2B17">
                <w:rPr>
                  <w:rStyle w:val="Lienhypertexte"/>
                </w:rPr>
                <w:t>CAT/C/FIN/7</w:t>
              </w:r>
            </w:hyperlink>
            <w:r w:rsidRPr="00B230DC">
              <w:t>)</w:t>
            </w:r>
          </w:p>
        </w:tc>
        <w:tc>
          <w:tcPr>
            <w:tcW w:w="2127" w:type="dxa"/>
            <w:shd w:val="clear" w:color="auto" w:fill="auto"/>
          </w:tcPr>
          <w:p w:rsidR="00786702" w:rsidRPr="00B230DC" w:rsidRDefault="00390349" w:rsidP="00B230DC">
            <w:pPr>
              <w:spacing w:before="40" w:after="120"/>
              <w:ind w:right="113"/>
            </w:pPr>
            <w:hyperlink r:id="rId62" w:history="1">
              <w:r w:rsidR="00786702" w:rsidRPr="00CB2B17">
                <w:rPr>
                  <w:rStyle w:val="Lienhypertexte"/>
                  <w:lang w:val="fr-FR"/>
                </w:rPr>
                <w:t>CAT/C/FIN/CO/</w:t>
              </w:r>
            </w:hyperlink>
            <w:hyperlink r:id="rId63" w:history="1">
              <w:r w:rsidR="00786702" w:rsidRPr="00CB2B17">
                <w:rPr>
                  <w:rStyle w:val="Lienhypertexte"/>
                  <w:lang w:val="fr-FR"/>
                </w:rPr>
                <w:t>7</w:t>
              </w:r>
            </w:hyperlink>
          </w:p>
        </w:tc>
      </w:tr>
      <w:tr w:rsidR="00786702" w:rsidRPr="00B230DC" w:rsidTr="007139ED">
        <w:tc>
          <w:tcPr>
            <w:tcW w:w="1473" w:type="dxa"/>
            <w:shd w:val="clear" w:color="auto" w:fill="auto"/>
          </w:tcPr>
          <w:p w:rsidR="00786702" w:rsidRPr="00B230DC" w:rsidRDefault="00786702" w:rsidP="00B230DC">
            <w:pPr>
              <w:spacing w:before="40" w:after="120"/>
              <w:ind w:right="113"/>
            </w:pPr>
            <w:r w:rsidRPr="00B230DC">
              <w:rPr>
                <w:lang w:val="fr-FR"/>
              </w:rPr>
              <w:t>Monaco</w:t>
            </w:r>
          </w:p>
        </w:tc>
        <w:tc>
          <w:tcPr>
            <w:tcW w:w="2213" w:type="dxa"/>
            <w:shd w:val="clear" w:color="auto" w:fill="auto"/>
          </w:tcPr>
          <w:p w:rsidR="00786702" w:rsidRPr="00B230DC" w:rsidRDefault="00786702" w:rsidP="007139ED">
            <w:pPr>
              <w:spacing w:before="40" w:after="120"/>
              <w:ind w:right="113"/>
            </w:pPr>
            <w:r w:rsidRPr="00B230DC">
              <w:t xml:space="preserve">Sébastien Touzé </w:t>
            </w:r>
            <w:r w:rsidR="007139ED">
              <w:br/>
            </w:r>
            <w:r w:rsidRPr="00B230DC">
              <w:t>Essadia Belmir</w:t>
            </w:r>
          </w:p>
        </w:tc>
        <w:tc>
          <w:tcPr>
            <w:tcW w:w="2692" w:type="dxa"/>
            <w:shd w:val="clear" w:color="auto" w:fill="auto"/>
          </w:tcPr>
          <w:p w:rsidR="00786702" w:rsidRPr="00B230DC" w:rsidRDefault="00786702" w:rsidP="00B230DC">
            <w:pPr>
              <w:spacing w:before="40" w:after="120"/>
              <w:ind w:right="113"/>
            </w:pPr>
            <w:r w:rsidRPr="00B230DC">
              <w:t>Sixième rapport périodique (</w:t>
            </w:r>
            <w:hyperlink r:id="rId64" w:history="1">
              <w:r w:rsidRPr="00CB2B17">
                <w:rPr>
                  <w:rStyle w:val="Lienhypertexte"/>
                </w:rPr>
                <w:t>CAT/C/MCO/6</w:t>
              </w:r>
            </w:hyperlink>
            <w:r w:rsidRPr="00B230DC">
              <w:t>)</w:t>
            </w:r>
          </w:p>
        </w:tc>
        <w:tc>
          <w:tcPr>
            <w:tcW w:w="2127" w:type="dxa"/>
            <w:shd w:val="clear" w:color="auto" w:fill="auto"/>
          </w:tcPr>
          <w:p w:rsidR="00786702" w:rsidRPr="00B230DC" w:rsidRDefault="00390349" w:rsidP="00B230DC">
            <w:pPr>
              <w:spacing w:before="40" w:after="120"/>
              <w:ind w:right="113"/>
            </w:pPr>
            <w:hyperlink r:id="rId65" w:history="1">
              <w:r w:rsidR="00786702" w:rsidRPr="00CB2B17">
                <w:rPr>
                  <w:rStyle w:val="Lienhypertexte"/>
                  <w:lang w:val="fr-FR"/>
                </w:rPr>
                <w:t>CAT/C/MCO/CO/</w:t>
              </w:r>
            </w:hyperlink>
            <w:hyperlink r:id="rId66" w:history="1">
              <w:r w:rsidR="00786702" w:rsidRPr="00CB2B17">
                <w:rPr>
                  <w:rStyle w:val="Lienhypertexte"/>
                  <w:lang w:val="fr-FR"/>
                </w:rPr>
                <w:t>6</w:t>
              </w:r>
            </w:hyperlink>
          </w:p>
        </w:tc>
      </w:tr>
      <w:tr w:rsidR="00786702" w:rsidRPr="00B230DC" w:rsidTr="007139ED">
        <w:tc>
          <w:tcPr>
            <w:tcW w:w="1473" w:type="dxa"/>
            <w:shd w:val="clear" w:color="auto" w:fill="auto"/>
          </w:tcPr>
          <w:p w:rsidR="00786702" w:rsidRPr="00B230DC" w:rsidRDefault="00786702" w:rsidP="00B230DC">
            <w:pPr>
              <w:spacing w:before="40" w:after="120"/>
              <w:ind w:right="113"/>
              <w:rPr>
                <w:lang w:val="fr-FR"/>
              </w:rPr>
            </w:pPr>
            <w:r w:rsidRPr="00B230DC">
              <w:rPr>
                <w:lang w:val="fr-FR"/>
              </w:rPr>
              <w:t>Namibie</w:t>
            </w:r>
          </w:p>
        </w:tc>
        <w:tc>
          <w:tcPr>
            <w:tcW w:w="2213" w:type="dxa"/>
            <w:shd w:val="clear" w:color="auto" w:fill="auto"/>
          </w:tcPr>
          <w:p w:rsidR="00786702" w:rsidRPr="00993CE3" w:rsidRDefault="00786702" w:rsidP="007139ED">
            <w:pPr>
              <w:spacing w:before="40" w:after="120"/>
              <w:ind w:right="113"/>
              <w:rPr>
                <w:lang w:val="en-US"/>
              </w:rPr>
            </w:pPr>
            <w:r w:rsidRPr="00993CE3">
              <w:rPr>
                <w:lang w:val="en-US"/>
              </w:rPr>
              <w:t>Abdelwahab Hani</w:t>
            </w:r>
            <w:r w:rsidR="007139ED" w:rsidRPr="00993CE3">
              <w:rPr>
                <w:lang w:val="en-US"/>
              </w:rPr>
              <w:t xml:space="preserve"> </w:t>
            </w:r>
            <w:r w:rsidR="007139ED" w:rsidRPr="00993CE3">
              <w:rPr>
                <w:lang w:val="en-US"/>
              </w:rPr>
              <w:br/>
            </w:r>
            <w:r w:rsidRPr="00993CE3">
              <w:rPr>
                <w:lang w:val="en-US"/>
              </w:rPr>
              <w:t>Sapana Pradhan</w:t>
            </w:r>
            <w:r w:rsidRPr="00993CE3">
              <w:rPr>
                <w:lang w:val="en-US"/>
              </w:rPr>
              <w:noBreakHyphen/>
              <w:t>Mallah</w:t>
            </w:r>
          </w:p>
        </w:tc>
        <w:tc>
          <w:tcPr>
            <w:tcW w:w="2692" w:type="dxa"/>
            <w:shd w:val="clear" w:color="auto" w:fill="auto"/>
          </w:tcPr>
          <w:p w:rsidR="00786702" w:rsidRPr="00B230DC" w:rsidRDefault="00786702" w:rsidP="00B230DC">
            <w:pPr>
              <w:spacing w:before="40" w:after="120"/>
              <w:ind w:right="113"/>
            </w:pPr>
            <w:r w:rsidRPr="00B230DC">
              <w:t>Deuxième rapport périodique (</w:t>
            </w:r>
            <w:hyperlink r:id="rId67" w:history="1">
              <w:r w:rsidRPr="00CB2B17">
                <w:rPr>
                  <w:rStyle w:val="Lienhypertexte"/>
                </w:rPr>
                <w:t>CAT/C/NAM/2</w:t>
              </w:r>
            </w:hyperlink>
            <w:r w:rsidRPr="00B230DC">
              <w:t>)</w:t>
            </w:r>
          </w:p>
        </w:tc>
        <w:tc>
          <w:tcPr>
            <w:tcW w:w="2127" w:type="dxa"/>
            <w:shd w:val="clear" w:color="auto" w:fill="auto"/>
          </w:tcPr>
          <w:p w:rsidR="00786702" w:rsidRPr="00B230DC" w:rsidRDefault="00390349" w:rsidP="00B230DC">
            <w:pPr>
              <w:spacing w:before="40" w:after="120"/>
              <w:ind w:right="113"/>
            </w:pPr>
            <w:hyperlink r:id="rId68" w:history="1">
              <w:r w:rsidR="00786702" w:rsidRPr="00CB2B17">
                <w:rPr>
                  <w:rStyle w:val="Lienhypertexte"/>
                  <w:lang w:val="fr-FR"/>
                </w:rPr>
                <w:t>CAT/C/NAM/CO/</w:t>
              </w:r>
            </w:hyperlink>
            <w:hyperlink r:id="rId69" w:history="1">
              <w:r w:rsidR="00786702" w:rsidRPr="00CB2B17">
                <w:rPr>
                  <w:rStyle w:val="Lienhypertexte"/>
                  <w:lang w:val="fr-FR"/>
                </w:rPr>
                <w:t>2</w:t>
              </w:r>
            </w:hyperlink>
          </w:p>
        </w:tc>
      </w:tr>
      <w:tr w:rsidR="00786702" w:rsidRPr="00B230DC" w:rsidTr="007139ED">
        <w:tc>
          <w:tcPr>
            <w:tcW w:w="1473" w:type="dxa"/>
            <w:shd w:val="clear" w:color="auto" w:fill="auto"/>
          </w:tcPr>
          <w:p w:rsidR="00786702" w:rsidRPr="00B230DC" w:rsidRDefault="00786702" w:rsidP="00B230DC">
            <w:pPr>
              <w:spacing w:before="40" w:after="120"/>
              <w:ind w:right="113"/>
              <w:rPr>
                <w:lang w:val="fr-FR"/>
              </w:rPr>
            </w:pPr>
            <w:r w:rsidRPr="00B230DC">
              <w:rPr>
                <w:lang w:val="fr-FR"/>
              </w:rPr>
              <w:t>Sri Lanka</w:t>
            </w:r>
          </w:p>
        </w:tc>
        <w:tc>
          <w:tcPr>
            <w:tcW w:w="2213" w:type="dxa"/>
            <w:shd w:val="clear" w:color="auto" w:fill="auto"/>
          </w:tcPr>
          <w:p w:rsidR="00786702" w:rsidRPr="00B230DC" w:rsidRDefault="00786702" w:rsidP="007139ED">
            <w:pPr>
              <w:spacing w:before="40" w:after="120"/>
              <w:ind w:right="113"/>
            </w:pPr>
            <w:r w:rsidRPr="00B230DC">
              <w:t>Alessio Bruni</w:t>
            </w:r>
            <w:r w:rsidR="007139ED">
              <w:t xml:space="preserve"> </w:t>
            </w:r>
            <w:r w:rsidR="007139ED">
              <w:br/>
            </w:r>
            <w:r w:rsidRPr="00B230DC">
              <w:t>Felice Gaer</w:t>
            </w:r>
          </w:p>
        </w:tc>
        <w:tc>
          <w:tcPr>
            <w:tcW w:w="2692" w:type="dxa"/>
            <w:shd w:val="clear" w:color="auto" w:fill="auto"/>
          </w:tcPr>
          <w:p w:rsidR="00786702" w:rsidRPr="00B230DC" w:rsidRDefault="00786702" w:rsidP="00B230DC">
            <w:pPr>
              <w:spacing w:before="40" w:after="120"/>
              <w:ind w:right="113"/>
            </w:pPr>
            <w:r w:rsidRPr="00B230DC">
              <w:t>Cinquième rapport périodique (</w:t>
            </w:r>
            <w:hyperlink r:id="rId70" w:history="1">
              <w:r w:rsidRPr="00CB2B17">
                <w:rPr>
                  <w:rStyle w:val="Lienhypertexte"/>
                </w:rPr>
                <w:t>CAT/C/LKA/5</w:t>
              </w:r>
            </w:hyperlink>
            <w:r w:rsidRPr="00B230DC">
              <w:t>)</w:t>
            </w:r>
          </w:p>
        </w:tc>
        <w:tc>
          <w:tcPr>
            <w:tcW w:w="2127" w:type="dxa"/>
            <w:shd w:val="clear" w:color="auto" w:fill="auto"/>
          </w:tcPr>
          <w:p w:rsidR="00786702" w:rsidRPr="00B230DC" w:rsidRDefault="00390349" w:rsidP="00B230DC">
            <w:pPr>
              <w:spacing w:before="40" w:after="120"/>
              <w:ind w:right="113"/>
            </w:pPr>
            <w:hyperlink r:id="rId71" w:history="1">
              <w:r w:rsidR="00786702" w:rsidRPr="00CB2B17">
                <w:rPr>
                  <w:rStyle w:val="Lienhypertexte"/>
                </w:rPr>
                <w:t>CAT/C/LKA/CO/5</w:t>
              </w:r>
            </w:hyperlink>
          </w:p>
        </w:tc>
      </w:tr>
      <w:tr w:rsidR="00786702" w:rsidRPr="00B230DC" w:rsidTr="007139ED">
        <w:tc>
          <w:tcPr>
            <w:tcW w:w="1473" w:type="dxa"/>
            <w:tcBorders>
              <w:bottom w:val="single" w:sz="12" w:space="0" w:color="auto"/>
            </w:tcBorders>
            <w:shd w:val="clear" w:color="auto" w:fill="auto"/>
          </w:tcPr>
          <w:p w:rsidR="00786702" w:rsidRPr="00B230DC" w:rsidRDefault="00786702" w:rsidP="00B230DC">
            <w:pPr>
              <w:spacing w:before="40" w:after="120"/>
              <w:ind w:right="113"/>
              <w:rPr>
                <w:lang w:val="fr-FR"/>
              </w:rPr>
            </w:pPr>
            <w:r w:rsidRPr="00B230DC">
              <w:rPr>
                <w:lang w:val="fr-FR"/>
              </w:rPr>
              <w:t>Turkménistan</w:t>
            </w:r>
          </w:p>
        </w:tc>
        <w:tc>
          <w:tcPr>
            <w:tcW w:w="2213" w:type="dxa"/>
            <w:tcBorders>
              <w:bottom w:val="single" w:sz="12" w:space="0" w:color="auto"/>
            </w:tcBorders>
            <w:shd w:val="clear" w:color="auto" w:fill="auto"/>
          </w:tcPr>
          <w:p w:rsidR="00786702" w:rsidRPr="00B230DC" w:rsidRDefault="00786702" w:rsidP="007139ED">
            <w:pPr>
              <w:spacing w:before="40" w:after="120"/>
              <w:ind w:right="113"/>
            </w:pPr>
            <w:r w:rsidRPr="00B230DC">
              <w:t>Felice Gaer</w:t>
            </w:r>
            <w:r w:rsidR="007139ED">
              <w:t xml:space="preserve"> </w:t>
            </w:r>
            <w:r w:rsidR="007139ED">
              <w:br/>
            </w:r>
            <w:r w:rsidRPr="00B230DC">
              <w:t>Kening Zhang</w:t>
            </w:r>
          </w:p>
        </w:tc>
        <w:tc>
          <w:tcPr>
            <w:tcW w:w="2692" w:type="dxa"/>
            <w:tcBorders>
              <w:bottom w:val="single" w:sz="12" w:space="0" w:color="auto"/>
            </w:tcBorders>
            <w:shd w:val="clear" w:color="auto" w:fill="auto"/>
          </w:tcPr>
          <w:p w:rsidR="00786702" w:rsidRPr="00B230DC" w:rsidRDefault="00786702" w:rsidP="00B230DC">
            <w:pPr>
              <w:spacing w:before="40" w:after="120"/>
              <w:ind w:right="113"/>
            </w:pPr>
            <w:r w:rsidRPr="00B230DC">
              <w:t>Deuxième rapport périodique (</w:t>
            </w:r>
            <w:hyperlink r:id="rId72" w:history="1">
              <w:r w:rsidRPr="00CB2B17">
                <w:rPr>
                  <w:rStyle w:val="Lienhypertexte"/>
                </w:rPr>
                <w:t>CAT/C/TKM/2</w:t>
              </w:r>
            </w:hyperlink>
            <w:r w:rsidRPr="00B230DC">
              <w:t>)</w:t>
            </w:r>
          </w:p>
        </w:tc>
        <w:tc>
          <w:tcPr>
            <w:tcW w:w="2127" w:type="dxa"/>
            <w:tcBorders>
              <w:bottom w:val="single" w:sz="12" w:space="0" w:color="auto"/>
            </w:tcBorders>
            <w:shd w:val="clear" w:color="auto" w:fill="auto"/>
          </w:tcPr>
          <w:p w:rsidR="00786702" w:rsidRPr="00B230DC" w:rsidRDefault="00390349" w:rsidP="00B230DC">
            <w:pPr>
              <w:spacing w:before="40" w:after="120"/>
              <w:ind w:right="113"/>
            </w:pPr>
            <w:hyperlink r:id="rId73" w:history="1">
              <w:r w:rsidR="00786702" w:rsidRPr="00CB2B17">
                <w:rPr>
                  <w:rStyle w:val="Lienhypertexte"/>
                </w:rPr>
                <w:t>CAT/C/TKM/CO/2</w:t>
              </w:r>
            </w:hyperlink>
          </w:p>
        </w:tc>
      </w:tr>
    </w:tbl>
    <w:p w:rsidR="00786702" w:rsidRPr="00786702" w:rsidRDefault="00786702" w:rsidP="007139ED">
      <w:pPr>
        <w:pStyle w:val="SingleTxtG"/>
        <w:spacing w:before="240"/>
        <w:rPr>
          <w:lang w:val="fr-FR"/>
        </w:rPr>
      </w:pPr>
      <w:r w:rsidRPr="00786702">
        <w:rPr>
          <w:lang w:val="fr-FR"/>
        </w:rPr>
        <w:t>40.</w:t>
      </w:r>
      <w:r w:rsidRPr="00786702">
        <w:rPr>
          <w:lang w:val="fr-FR"/>
        </w:rPr>
        <w:tab/>
      </w:r>
      <w:r w:rsidRPr="00786702">
        <w:t>Les rapports examinés par le Comité à sa soixantième session et les observations finales correspondantes peuvent être consultés au moyen du Système de diffusion électronique des documents de l</w:t>
      </w:r>
      <w:r w:rsidR="00993CE3">
        <w:t>’</w:t>
      </w:r>
      <w:r w:rsidRPr="00786702">
        <w:t>ONU (</w:t>
      </w:r>
      <w:hyperlink r:id="rId74" w:history="1">
        <w:r w:rsidRPr="00CB2B17">
          <w:rPr>
            <w:rStyle w:val="Lienhypertexte"/>
          </w:rPr>
          <w:t>http://documents.un.org</w:t>
        </w:r>
      </w:hyperlink>
      <w:r w:rsidRPr="00786702">
        <w:t>), en précisant les cotes indiquées ci</w:t>
      </w:r>
      <w:r w:rsidRPr="00786702">
        <w:noBreakHyphen/>
        <w:t>dessous</w:t>
      </w:r>
      <w:r w:rsidR="00B33DE5">
        <w:rPr>
          <w:lang w:val="fr-FR"/>
        </w:rPr>
        <w:t> :</w:t>
      </w:r>
    </w:p>
    <w:tbl>
      <w:tblPr>
        <w:tblW w:w="8505" w:type="dxa"/>
        <w:tblInd w:w="1134" w:type="dxa"/>
        <w:tblLayout w:type="fixed"/>
        <w:tblCellMar>
          <w:left w:w="0" w:type="dxa"/>
          <w:right w:w="0" w:type="dxa"/>
        </w:tblCellMar>
        <w:tblLook w:val="04A0" w:firstRow="1" w:lastRow="0" w:firstColumn="1" w:lastColumn="0" w:noHBand="0" w:noVBand="1"/>
      </w:tblPr>
      <w:tblGrid>
        <w:gridCol w:w="1470"/>
        <w:gridCol w:w="2198"/>
        <w:gridCol w:w="2701"/>
        <w:gridCol w:w="2136"/>
      </w:tblGrid>
      <w:tr w:rsidR="00786702" w:rsidRPr="00B230DC" w:rsidTr="007D7D16">
        <w:trPr>
          <w:tblHeader/>
        </w:trPr>
        <w:tc>
          <w:tcPr>
            <w:tcW w:w="1470" w:type="dxa"/>
            <w:tcBorders>
              <w:top w:val="single" w:sz="4" w:space="0" w:color="auto"/>
              <w:bottom w:val="single" w:sz="12" w:space="0" w:color="auto"/>
            </w:tcBorders>
            <w:shd w:val="clear" w:color="auto" w:fill="auto"/>
            <w:vAlign w:val="bottom"/>
          </w:tcPr>
          <w:p w:rsidR="00786702" w:rsidRPr="00B230DC" w:rsidRDefault="00786702" w:rsidP="00B230DC">
            <w:pPr>
              <w:spacing w:before="80" w:after="80" w:line="200" w:lineRule="exact"/>
              <w:ind w:right="113"/>
              <w:rPr>
                <w:i/>
                <w:sz w:val="16"/>
              </w:rPr>
            </w:pPr>
            <w:r w:rsidRPr="00B230DC">
              <w:rPr>
                <w:i/>
                <w:sz w:val="16"/>
              </w:rPr>
              <w:t>État partie</w:t>
            </w:r>
          </w:p>
        </w:tc>
        <w:tc>
          <w:tcPr>
            <w:tcW w:w="2198" w:type="dxa"/>
            <w:tcBorders>
              <w:top w:val="single" w:sz="4" w:space="0" w:color="auto"/>
              <w:bottom w:val="single" w:sz="12" w:space="0" w:color="auto"/>
            </w:tcBorders>
            <w:shd w:val="clear" w:color="auto" w:fill="auto"/>
            <w:vAlign w:val="bottom"/>
          </w:tcPr>
          <w:p w:rsidR="00786702" w:rsidRPr="00B230DC" w:rsidRDefault="00786702" w:rsidP="00B230DC">
            <w:pPr>
              <w:spacing w:before="80" w:after="80" w:line="200" w:lineRule="exact"/>
              <w:ind w:right="113"/>
              <w:rPr>
                <w:i/>
                <w:sz w:val="16"/>
              </w:rPr>
            </w:pPr>
            <w:r w:rsidRPr="00B230DC">
              <w:rPr>
                <w:i/>
                <w:sz w:val="16"/>
              </w:rPr>
              <w:t>Rapporteurs pour le pays</w:t>
            </w:r>
          </w:p>
        </w:tc>
        <w:tc>
          <w:tcPr>
            <w:tcW w:w="2701" w:type="dxa"/>
            <w:tcBorders>
              <w:top w:val="single" w:sz="4" w:space="0" w:color="auto"/>
              <w:bottom w:val="single" w:sz="12" w:space="0" w:color="auto"/>
            </w:tcBorders>
            <w:shd w:val="clear" w:color="auto" w:fill="auto"/>
            <w:vAlign w:val="bottom"/>
          </w:tcPr>
          <w:p w:rsidR="00786702" w:rsidRPr="00B230DC" w:rsidRDefault="00786702" w:rsidP="00B230DC">
            <w:pPr>
              <w:spacing w:before="80" w:after="80" w:line="200" w:lineRule="exact"/>
              <w:ind w:right="113"/>
              <w:rPr>
                <w:i/>
                <w:sz w:val="16"/>
              </w:rPr>
            </w:pPr>
            <w:r w:rsidRPr="00B230DC">
              <w:rPr>
                <w:i/>
                <w:sz w:val="16"/>
              </w:rPr>
              <w:t>Rapport</w:t>
            </w:r>
          </w:p>
        </w:tc>
        <w:tc>
          <w:tcPr>
            <w:tcW w:w="2136" w:type="dxa"/>
            <w:tcBorders>
              <w:top w:val="single" w:sz="4" w:space="0" w:color="auto"/>
              <w:bottom w:val="single" w:sz="12" w:space="0" w:color="auto"/>
            </w:tcBorders>
            <w:shd w:val="clear" w:color="auto" w:fill="auto"/>
            <w:vAlign w:val="bottom"/>
          </w:tcPr>
          <w:p w:rsidR="00786702" w:rsidRPr="00B230DC" w:rsidRDefault="00786702" w:rsidP="00B230DC">
            <w:pPr>
              <w:spacing w:before="80" w:after="80" w:line="200" w:lineRule="exact"/>
              <w:ind w:right="113"/>
              <w:rPr>
                <w:i/>
                <w:sz w:val="16"/>
              </w:rPr>
            </w:pPr>
            <w:r w:rsidRPr="00B230DC">
              <w:rPr>
                <w:i/>
                <w:sz w:val="16"/>
              </w:rPr>
              <w:t>Observations finales</w:t>
            </w:r>
          </w:p>
        </w:tc>
      </w:tr>
      <w:tr w:rsidR="00B230DC" w:rsidRPr="00B230DC" w:rsidTr="007D7D16">
        <w:trPr>
          <w:trHeight w:hRule="exact" w:val="113"/>
        </w:trPr>
        <w:tc>
          <w:tcPr>
            <w:tcW w:w="1470" w:type="dxa"/>
            <w:tcBorders>
              <w:top w:val="single" w:sz="12" w:space="0" w:color="auto"/>
            </w:tcBorders>
            <w:shd w:val="clear" w:color="auto" w:fill="auto"/>
          </w:tcPr>
          <w:p w:rsidR="00B230DC" w:rsidRPr="00B230DC" w:rsidRDefault="00B230DC" w:rsidP="00B230DC">
            <w:pPr>
              <w:spacing w:before="40" w:after="120"/>
              <w:ind w:right="113"/>
            </w:pPr>
          </w:p>
        </w:tc>
        <w:tc>
          <w:tcPr>
            <w:tcW w:w="2198" w:type="dxa"/>
            <w:tcBorders>
              <w:top w:val="single" w:sz="12" w:space="0" w:color="auto"/>
            </w:tcBorders>
            <w:shd w:val="clear" w:color="auto" w:fill="auto"/>
          </w:tcPr>
          <w:p w:rsidR="00B230DC" w:rsidRPr="00B230DC" w:rsidRDefault="00B230DC" w:rsidP="00B230DC">
            <w:pPr>
              <w:spacing w:before="40" w:after="120"/>
              <w:ind w:right="113"/>
            </w:pPr>
          </w:p>
        </w:tc>
        <w:tc>
          <w:tcPr>
            <w:tcW w:w="2701" w:type="dxa"/>
            <w:tcBorders>
              <w:top w:val="single" w:sz="12" w:space="0" w:color="auto"/>
            </w:tcBorders>
            <w:shd w:val="clear" w:color="auto" w:fill="auto"/>
          </w:tcPr>
          <w:p w:rsidR="00B230DC" w:rsidRPr="00B230DC" w:rsidRDefault="00B230DC" w:rsidP="00B230DC">
            <w:pPr>
              <w:spacing w:before="40" w:after="120"/>
              <w:ind w:right="113"/>
            </w:pPr>
          </w:p>
        </w:tc>
        <w:tc>
          <w:tcPr>
            <w:tcW w:w="2136" w:type="dxa"/>
            <w:tcBorders>
              <w:top w:val="single" w:sz="12" w:space="0" w:color="auto"/>
            </w:tcBorders>
            <w:shd w:val="clear" w:color="auto" w:fill="auto"/>
          </w:tcPr>
          <w:p w:rsidR="00B230DC" w:rsidRPr="00B230DC" w:rsidRDefault="00B230DC" w:rsidP="00B230DC">
            <w:pPr>
              <w:spacing w:before="40" w:after="120"/>
              <w:ind w:right="113"/>
            </w:pPr>
          </w:p>
        </w:tc>
      </w:tr>
      <w:tr w:rsidR="00786702" w:rsidRPr="00B230DC" w:rsidTr="007D7D16">
        <w:tc>
          <w:tcPr>
            <w:tcW w:w="1470" w:type="dxa"/>
            <w:shd w:val="clear" w:color="auto" w:fill="auto"/>
          </w:tcPr>
          <w:p w:rsidR="00786702" w:rsidRPr="00B230DC" w:rsidRDefault="00786702" w:rsidP="00B230DC">
            <w:pPr>
              <w:spacing w:before="40" w:after="120"/>
              <w:ind w:right="113"/>
            </w:pPr>
            <w:r w:rsidRPr="00B230DC">
              <w:t>Afghanistan</w:t>
            </w:r>
          </w:p>
        </w:tc>
        <w:tc>
          <w:tcPr>
            <w:tcW w:w="2198" w:type="dxa"/>
            <w:shd w:val="clear" w:color="auto" w:fill="auto"/>
          </w:tcPr>
          <w:p w:rsidR="00786702" w:rsidRPr="00B230DC" w:rsidRDefault="00786702" w:rsidP="007139ED">
            <w:pPr>
              <w:spacing w:before="40" w:after="120"/>
              <w:ind w:right="113"/>
            </w:pPr>
            <w:r w:rsidRPr="00B230DC">
              <w:t>Jens Modvig</w:t>
            </w:r>
            <w:r w:rsidR="007139ED">
              <w:t xml:space="preserve"> </w:t>
            </w:r>
            <w:r w:rsidR="007139ED">
              <w:br/>
            </w:r>
            <w:r w:rsidRPr="00B230DC">
              <w:t>Abdelwahab Hani</w:t>
            </w:r>
          </w:p>
        </w:tc>
        <w:tc>
          <w:tcPr>
            <w:tcW w:w="2701" w:type="dxa"/>
            <w:shd w:val="clear" w:color="auto" w:fill="auto"/>
          </w:tcPr>
          <w:p w:rsidR="00786702" w:rsidRPr="00B230DC" w:rsidRDefault="00786702" w:rsidP="00B230DC">
            <w:pPr>
              <w:spacing w:before="40" w:after="120"/>
              <w:ind w:right="113"/>
            </w:pPr>
            <w:r w:rsidRPr="00B230DC">
              <w:rPr>
                <w:lang w:val="fr-FR"/>
              </w:rPr>
              <w:t xml:space="preserve">Deuxième </w:t>
            </w:r>
            <w:r w:rsidRPr="00B230DC">
              <w:t>rapport</w:t>
            </w:r>
            <w:r w:rsidRPr="00B230DC">
              <w:rPr>
                <w:lang w:val="fr-FR"/>
              </w:rPr>
              <w:t xml:space="preserve"> périodique (</w:t>
            </w:r>
            <w:hyperlink r:id="rId75" w:history="1">
              <w:r w:rsidRPr="00CB2B17">
                <w:rPr>
                  <w:rStyle w:val="Lienhypertexte"/>
                  <w:lang w:val="fr-FR"/>
                </w:rPr>
                <w:t>CAT/C/AFG/</w:t>
              </w:r>
            </w:hyperlink>
            <w:hyperlink r:id="rId76" w:history="1">
              <w:r w:rsidRPr="00CB2B17">
                <w:rPr>
                  <w:rStyle w:val="Lienhypertexte"/>
                  <w:lang w:val="fr-FR"/>
                </w:rPr>
                <w:t>2</w:t>
              </w:r>
            </w:hyperlink>
            <w:r w:rsidRPr="00B230DC">
              <w:rPr>
                <w:lang w:val="fr-FR"/>
              </w:rPr>
              <w:t>)</w:t>
            </w:r>
          </w:p>
        </w:tc>
        <w:tc>
          <w:tcPr>
            <w:tcW w:w="2136" w:type="dxa"/>
            <w:shd w:val="clear" w:color="auto" w:fill="auto"/>
          </w:tcPr>
          <w:p w:rsidR="00786702" w:rsidRPr="00B230DC" w:rsidRDefault="00390349" w:rsidP="00B230DC">
            <w:pPr>
              <w:spacing w:before="40" w:after="120"/>
              <w:ind w:right="113"/>
            </w:pPr>
            <w:hyperlink r:id="rId77" w:history="1">
              <w:r w:rsidR="00786702" w:rsidRPr="00CB2B17">
                <w:rPr>
                  <w:rStyle w:val="Lienhypertexte"/>
                  <w:lang w:val="fr-FR"/>
                </w:rPr>
                <w:t>CAT/C/AFG/CO/</w:t>
              </w:r>
            </w:hyperlink>
            <w:hyperlink r:id="rId78" w:history="1">
              <w:r w:rsidR="00786702" w:rsidRPr="00CB2B17">
                <w:rPr>
                  <w:rStyle w:val="Lienhypertexte"/>
                  <w:lang w:val="fr-FR"/>
                </w:rPr>
                <w:t>2</w:t>
              </w:r>
            </w:hyperlink>
          </w:p>
        </w:tc>
      </w:tr>
      <w:tr w:rsidR="00786702" w:rsidRPr="00B230DC" w:rsidTr="007D7D16">
        <w:tc>
          <w:tcPr>
            <w:tcW w:w="1470" w:type="dxa"/>
            <w:shd w:val="clear" w:color="auto" w:fill="auto"/>
          </w:tcPr>
          <w:p w:rsidR="00786702" w:rsidRPr="00B230DC" w:rsidRDefault="00786702" w:rsidP="00B230DC">
            <w:pPr>
              <w:spacing w:before="40" w:after="120"/>
              <w:ind w:right="113"/>
            </w:pPr>
            <w:r w:rsidRPr="00B230DC">
              <w:t>Argentine</w:t>
            </w:r>
          </w:p>
        </w:tc>
        <w:tc>
          <w:tcPr>
            <w:tcW w:w="2198" w:type="dxa"/>
            <w:shd w:val="clear" w:color="auto" w:fill="auto"/>
          </w:tcPr>
          <w:p w:rsidR="00786702" w:rsidRPr="00B230DC" w:rsidRDefault="00786702" w:rsidP="007139ED">
            <w:pPr>
              <w:spacing w:before="40" w:after="120"/>
              <w:ind w:right="113"/>
            </w:pPr>
            <w:r w:rsidRPr="00B230DC">
              <w:t>Claude Heller</w:t>
            </w:r>
            <w:r w:rsidR="007139ED">
              <w:t xml:space="preserve"> </w:t>
            </w:r>
            <w:r w:rsidR="007139ED">
              <w:br/>
            </w:r>
            <w:r w:rsidRPr="00B230DC">
              <w:t>Kening Zhang</w:t>
            </w:r>
          </w:p>
        </w:tc>
        <w:tc>
          <w:tcPr>
            <w:tcW w:w="2701" w:type="dxa"/>
            <w:shd w:val="clear" w:color="auto" w:fill="auto"/>
          </w:tcPr>
          <w:p w:rsidR="00786702" w:rsidRPr="00B230DC" w:rsidRDefault="00786702" w:rsidP="00B230DC">
            <w:pPr>
              <w:spacing w:before="40" w:after="120"/>
              <w:ind w:right="113"/>
            </w:pPr>
            <w:r w:rsidRPr="00B230DC">
              <w:rPr>
                <w:lang w:val="fr-FR"/>
              </w:rPr>
              <w:t xml:space="preserve">Rapport valant cinquième et sixième </w:t>
            </w:r>
            <w:r w:rsidRPr="00B230DC">
              <w:t>rapports</w:t>
            </w:r>
            <w:r w:rsidRPr="00B230DC">
              <w:rPr>
                <w:lang w:val="fr-FR"/>
              </w:rPr>
              <w:t xml:space="preserve"> périodiques (</w:t>
            </w:r>
            <w:hyperlink r:id="rId79" w:history="1">
              <w:r w:rsidRPr="00CB2B17">
                <w:rPr>
                  <w:rStyle w:val="Lienhypertexte"/>
                  <w:lang w:val="fr-FR"/>
                </w:rPr>
                <w:t>CAT/C/ARG/</w:t>
              </w:r>
            </w:hyperlink>
            <w:hyperlink r:id="rId80" w:history="1">
              <w:r w:rsidRPr="00CB2B17">
                <w:rPr>
                  <w:rStyle w:val="Lienhypertexte"/>
                  <w:lang w:val="fr-FR"/>
                </w:rPr>
                <w:t>5-6</w:t>
              </w:r>
            </w:hyperlink>
            <w:r w:rsidRPr="00B230DC">
              <w:rPr>
                <w:lang w:val="fr-FR"/>
              </w:rPr>
              <w:t>)</w:t>
            </w:r>
          </w:p>
        </w:tc>
        <w:tc>
          <w:tcPr>
            <w:tcW w:w="2136" w:type="dxa"/>
            <w:shd w:val="clear" w:color="auto" w:fill="auto"/>
          </w:tcPr>
          <w:p w:rsidR="00786702" w:rsidRPr="00B230DC" w:rsidRDefault="00390349" w:rsidP="00B230DC">
            <w:pPr>
              <w:spacing w:before="40" w:after="120"/>
              <w:ind w:right="113"/>
            </w:pPr>
            <w:hyperlink r:id="rId81" w:history="1">
              <w:r w:rsidR="00786702" w:rsidRPr="00CB2B17">
                <w:rPr>
                  <w:rStyle w:val="Lienhypertexte"/>
                  <w:lang w:val="fr-FR"/>
                </w:rPr>
                <w:t>CAT/C/ARG/CO/</w:t>
              </w:r>
            </w:hyperlink>
            <w:hyperlink r:id="rId82" w:history="1">
              <w:r w:rsidR="00786702" w:rsidRPr="00CB2B17">
                <w:rPr>
                  <w:rStyle w:val="Lienhypertexte"/>
                  <w:lang w:val="fr-FR"/>
                </w:rPr>
                <w:t>5-6</w:t>
              </w:r>
            </w:hyperlink>
          </w:p>
        </w:tc>
      </w:tr>
      <w:tr w:rsidR="00786702" w:rsidRPr="00B230DC" w:rsidTr="007D7D16">
        <w:tc>
          <w:tcPr>
            <w:tcW w:w="1470" w:type="dxa"/>
            <w:shd w:val="clear" w:color="auto" w:fill="auto"/>
          </w:tcPr>
          <w:p w:rsidR="00786702" w:rsidRPr="00B230DC" w:rsidRDefault="00786702" w:rsidP="00B230DC">
            <w:pPr>
              <w:spacing w:before="40" w:after="120"/>
              <w:ind w:right="113"/>
            </w:pPr>
            <w:r w:rsidRPr="00B230DC">
              <w:t>Bahreïn</w:t>
            </w:r>
          </w:p>
        </w:tc>
        <w:tc>
          <w:tcPr>
            <w:tcW w:w="2198" w:type="dxa"/>
            <w:shd w:val="clear" w:color="auto" w:fill="auto"/>
          </w:tcPr>
          <w:p w:rsidR="00786702" w:rsidRPr="00B230DC" w:rsidRDefault="00786702" w:rsidP="007139ED">
            <w:pPr>
              <w:spacing w:before="40" w:after="120"/>
              <w:ind w:right="113"/>
            </w:pPr>
            <w:r w:rsidRPr="00B230DC">
              <w:t>Alessio Bruni</w:t>
            </w:r>
            <w:r w:rsidR="007139ED">
              <w:t xml:space="preserve"> </w:t>
            </w:r>
            <w:r w:rsidR="007139ED">
              <w:br/>
            </w:r>
            <w:r w:rsidRPr="00B230DC">
              <w:t>Essadia Belmir</w:t>
            </w:r>
          </w:p>
        </w:tc>
        <w:tc>
          <w:tcPr>
            <w:tcW w:w="2701" w:type="dxa"/>
            <w:shd w:val="clear" w:color="auto" w:fill="auto"/>
          </w:tcPr>
          <w:p w:rsidR="00786702" w:rsidRPr="00B230DC" w:rsidRDefault="00786702" w:rsidP="00CB2B17">
            <w:pPr>
              <w:spacing w:before="40" w:after="120"/>
              <w:ind w:right="113"/>
            </w:pPr>
            <w:r w:rsidRPr="00B230DC">
              <w:t>Deuxième</w:t>
            </w:r>
            <w:r w:rsidRPr="00B230DC">
              <w:rPr>
                <w:lang w:val="fr-FR"/>
              </w:rPr>
              <w:t xml:space="preserve"> et troisième rapports périodiques </w:t>
            </w:r>
            <w:r w:rsidR="007D7D16">
              <w:rPr>
                <w:lang w:val="fr-FR"/>
              </w:rPr>
              <w:br/>
            </w:r>
            <w:r w:rsidRPr="00B230DC">
              <w:rPr>
                <w:lang w:val="fr-FR"/>
              </w:rPr>
              <w:t>(</w:t>
            </w:r>
            <w:hyperlink r:id="rId83" w:history="1">
              <w:r w:rsidRPr="00CB2B17">
                <w:rPr>
                  <w:rStyle w:val="Lienhypertexte"/>
                  <w:lang w:val="fr-FR"/>
                </w:rPr>
                <w:t>CAT/C/BHR/</w:t>
              </w:r>
            </w:hyperlink>
            <w:hyperlink r:id="rId84" w:history="1">
              <w:r w:rsidRPr="00CB2B17">
                <w:rPr>
                  <w:rStyle w:val="Lienhypertexte"/>
                  <w:lang w:val="fr-FR"/>
                </w:rPr>
                <w:t>2 et 3</w:t>
              </w:r>
            </w:hyperlink>
            <w:r w:rsidRPr="00B230DC">
              <w:rPr>
                <w:lang w:val="fr-FR"/>
              </w:rPr>
              <w:t>)</w:t>
            </w:r>
          </w:p>
        </w:tc>
        <w:tc>
          <w:tcPr>
            <w:tcW w:w="2136" w:type="dxa"/>
            <w:shd w:val="clear" w:color="auto" w:fill="auto"/>
          </w:tcPr>
          <w:p w:rsidR="00786702" w:rsidRPr="00B230DC" w:rsidRDefault="00390349" w:rsidP="00B230DC">
            <w:pPr>
              <w:spacing w:before="40" w:after="120"/>
              <w:ind w:right="113"/>
            </w:pPr>
            <w:hyperlink r:id="rId85" w:history="1">
              <w:r w:rsidR="00786702" w:rsidRPr="00CB2B17">
                <w:rPr>
                  <w:rStyle w:val="Lienhypertexte"/>
                  <w:lang w:val="fr-FR"/>
                </w:rPr>
                <w:t>CAT/C/BHR/CO/2-3</w:t>
              </w:r>
            </w:hyperlink>
          </w:p>
        </w:tc>
      </w:tr>
      <w:tr w:rsidR="00786702" w:rsidRPr="00B230DC" w:rsidTr="007D7D16">
        <w:tc>
          <w:tcPr>
            <w:tcW w:w="1470" w:type="dxa"/>
            <w:shd w:val="clear" w:color="auto" w:fill="auto"/>
          </w:tcPr>
          <w:p w:rsidR="00786702" w:rsidRPr="00B230DC" w:rsidRDefault="00786702" w:rsidP="00B230DC">
            <w:pPr>
              <w:spacing w:before="40" w:after="120"/>
              <w:ind w:right="113"/>
            </w:pPr>
            <w:r w:rsidRPr="00B230DC">
              <w:t>Liban</w:t>
            </w:r>
          </w:p>
        </w:tc>
        <w:tc>
          <w:tcPr>
            <w:tcW w:w="2198" w:type="dxa"/>
            <w:shd w:val="clear" w:color="auto" w:fill="auto"/>
          </w:tcPr>
          <w:p w:rsidR="00786702" w:rsidRPr="00B230DC" w:rsidRDefault="00786702" w:rsidP="007139ED">
            <w:pPr>
              <w:spacing w:before="40" w:after="120"/>
              <w:ind w:right="113"/>
            </w:pPr>
            <w:r w:rsidRPr="00B230DC">
              <w:t>Sébastien Touzé</w:t>
            </w:r>
            <w:r w:rsidR="007139ED">
              <w:t xml:space="preserve"> </w:t>
            </w:r>
            <w:r w:rsidR="007139ED">
              <w:br/>
            </w:r>
            <w:r w:rsidRPr="00B230DC">
              <w:t>Abdelwahab Hani</w:t>
            </w:r>
          </w:p>
        </w:tc>
        <w:tc>
          <w:tcPr>
            <w:tcW w:w="2701" w:type="dxa"/>
            <w:shd w:val="clear" w:color="auto" w:fill="auto"/>
          </w:tcPr>
          <w:p w:rsidR="00786702" w:rsidRPr="00B230DC" w:rsidRDefault="00786702" w:rsidP="00B230DC">
            <w:pPr>
              <w:spacing w:before="40" w:after="120"/>
              <w:ind w:right="113"/>
            </w:pPr>
            <w:r w:rsidRPr="00B230DC">
              <w:t>Rapport</w:t>
            </w:r>
            <w:r w:rsidRPr="00B230DC">
              <w:rPr>
                <w:lang w:val="fr-FR"/>
              </w:rPr>
              <w:t xml:space="preserve"> initial </w:t>
            </w:r>
            <w:r w:rsidR="007D7D16">
              <w:rPr>
                <w:lang w:val="fr-FR"/>
              </w:rPr>
              <w:br/>
            </w:r>
            <w:r w:rsidRPr="00B230DC">
              <w:rPr>
                <w:lang w:val="fr-FR"/>
              </w:rPr>
              <w:t>(</w:t>
            </w:r>
            <w:hyperlink r:id="rId86" w:history="1">
              <w:r w:rsidRPr="00CB2B17">
                <w:rPr>
                  <w:rStyle w:val="Lienhypertexte"/>
                  <w:lang w:val="fr-FR"/>
                </w:rPr>
                <w:t>CAT/C/LBN/</w:t>
              </w:r>
            </w:hyperlink>
            <w:hyperlink r:id="rId87" w:history="1">
              <w:r w:rsidRPr="00CB2B17">
                <w:rPr>
                  <w:rStyle w:val="Lienhypertexte"/>
                  <w:lang w:val="fr-FR"/>
                </w:rPr>
                <w:t>1</w:t>
              </w:r>
            </w:hyperlink>
            <w:r w:rsidRPr="00B230DC">
              <w:rPr>
                <w:lang w:val="fr-FR"/>
              </w:rPr>
              <w:t>)</w:t>
            </w:r>
          </w:p>
        </w:tc>
        <w:tc>
          <w:tcPr>
            <w:tcW w:w="2136" w:type="dxa"/>
            <w:shd w:val="clear" w:color="auto" w:fill="auto"/>
          </w:tcPr>
          <w:p w:rsidR="00786702" w:rsidRPr="00B230DC" w:rsidRDefault="00390349" w:rsidP="00B230DC">
            <w:pPr>
              <w:spacing w:before="40" w:after="120"/>
              <w:ind w:right="113"/>
            </w:pPr>
            <w:hyperlink r:id="rId88" w:history="1">
              <w:r w:rsidR="00786702" w:rsidRPr="00CB2B17">
                <w:rPr>
                  <w:rStyle w:val="Lienhypertexte"/>
                  <w:lang w:val="fr-FR"/>
                </w:rPr>
                <w:t>CAT/C/LBN/CO/</w:t>
              </w:r>
            </w:hyperlink>
            <w:hyperlink r:id="rId89" w:history="1">
              <w:r w:rsidR="00786702" w:rsidRPr="00CB2B17">
                <w:rPr>
                  <w:rStyle w:val="Lienhypertexte"/>
                  <w:lang w:val="fr-FR"/>
                </w:rPr>
                <w:t>1</w:t>
              </w:r>
            </w:hyperlink>
          </w:p>
        </w:tc>
      </w:tr>
      <w:tr w:rsidR="00786702" w:rsidRPr="00B230DC" w:rsidTr="007D7D16">
        <w:tc>
          <w:tcPr>
            <w:tcW w:w="1470" w:type="dxa"/>
            <w:shd w:val="clear" w:color="auto" w:fill="auto"/>
          </w:tcPr>
          <w:p w:rsidR="00786702" w:rsidRPr="00B230DC" w:rsidRDefault="00786702" w:rsidP="00B230DC">
            <w:pPr>
              <w:spacing w:before="40" w:after="120"/>
              <w:ind w:right="113"/>
            </w:pPr>
            <w:r w:rsidRPr="00B230DC">
              <w:t>République de Corée</w:t>
            </w:r>
          </w:p>
        </w:tc>
        <w:tc>
          <w:tcPr>
            <w:tcW w:w="2198" w:type="dxa"/>
            <w:shd w:val="clear" w:color="auto" w:fill="auto"/>
          </w:tcPr>
          <w:p w:rsidR="00786702" w:rsidRPr="00B230DC" w:rsidRDefault="00786702" w:rsidP="007139ED">
            <w:pPr>
              <w:spacing w:before="40" w:after="120"/>
              <w:ind w:right="113"/>
            </w:pPr>
            <w:r w:rsidRPr="00B230DC">
              <w:rPr>
                <w:lang w:val="fr-FR"/>
              </w:rPr>
              <w:t>Ana Racu</w:t>
            </w:r>
            <w:r w:rsidR="007139ED">
              <w:rPr>
                <w:lang w:val="fr-FR"/>
              </w:rPr>
              <w:t xml:space="preserve"> </w:t>
            </w:r>
            <w:r w:rsidR="007139ED">
              <w:rPr>
                <w:lang w:val="fr-FR"/>
              </w:rPr>
              <w:br/>
            </w:r>
            <w:r w:rsidRPr="00B230DC">
              <w:rPr>
                <w:lang w:val="fr-FR"/>
              </w:rPr>
              <w:t>Sapana Pradhan</w:t>
            </w:r>
            <w:r w:rsidRPr="00B230DC">
              <w:rPr>
                <w:lang w:val="fr-FR"/>
              </w:rPr>
              <w:noBreakHyphen/>
              <w:t>Mallah</w:t>
            </w:r>
          </w:p>
        </w:tc>
        <w:tc>
          <w:tcPr>
            <w:tcW w:w="2701" w:type="dxa"/>
            <w:shd w:val="clear" w:color="auto" w:fill="auto"/>
          </w:tcPr>
          <w:p w:rsidR="00786702" w:rsidRPr="00B230DC" w:rsidRDefault="00786702" w:rsidP="00B230DC">
            <w:pPr>
              <w:spacing w:before="40" w:after="120"/>
              <w:ind w:right="113"/>
            </w:pPr>
            <w:r w:rsidRPr="00B230DC">
              <w:rPr>
                <w:lang w:val="fr-FR"/>
              </w:rPr>
              <w:t xml:space="preserve">Rapport valant </w:t>
            </w:r>
            <w:r w:rsidRPr="00B230DC">
              <w:t>troisième</w:t>
            </w:r>
            <w:r w:rsidRPr="00B230DC">
              <w:rPr>
                <w:lang w:val="fr-FR"/>
              </w:rPr>
              <w:t xml:space="preserve"> à cinquième rapports périodiques (</w:t>
            </w:r>
            <w:hyperlink r:id="rId90" w:history="1">
              <w:r w:rsidRPr="00CB2B17">
                <w:rPr>
                  <w:rStyle w:val="Lienhypertexte"/>
                  <w:lang w:val="fr-FR"/>
                </w:rPr>
                <w:t>CAT/C/KOR/3</w:t>
              </w:r>
            </w:hyperlink>
            <w:hyperlink r:id="rId91" w:history="1">
              <w:r w:rsidRPr="00CB2B17">
                <w:rPr>
                  <w:rStyle w:val="Lienhypertexte"/>
                  <w:lang w:val="fr-FR"/>
                </w:rPr>
                <w:t>-5</w:t>
              </w:r>
            </w:hyperlink>
            <w:r w:rsidRPr="00B230DC">
              <w:rPr>
                <w:lang w:val="fr-FR"/>
              </w:rPr>
              <w:t>)</w:t>
            </w:r>
          </w:p>
        </w:tc>
        <w:tc>
          <w:tcPr>
            <w:tcW w:w="2136" w:type="dxa"/>
            <w:shd w:val="clear" w:color="auto" w:fill="auto"/>
          </w:tcPr>
          <w:p w:rsidR="00786702" w:rsidRPr="00B230DC" w:rsidRDefault="00390349" w:rsidP="00B230DC">
            <w:pPr>
              <w:spacing w:before="40" w:after="120"/>
              <w:ind w:right="113"/>
            </w:pPr>
            <w:hyperlink r:id="rId92" w:history="1">
              <w:r w:rsidR="00786702" w:rsidRPr="00CB2B17">
                <w:rPr>
                  <w:rStyle w:val="Lienhypertexte"/>
                  <w:lang w:val="fr-FR"/>
                </w:rPr>
                <w:t>CAT/C/KOR/CO/3</w:t>
              </w:r>
            </w:hyperlink>
            <w:hyperlink r:id="rId93" w:history="1">
              <w:r w:rsidR="00786702" w:rsidRPr="00CB2B17">
                <w:rPr>
                  <w:rStyle w:val="Lienhypertexte"/>
                  <w:lang w:val="fr-FR"/>
                </w:rPr>
                <w:t>-5</w:t>
              </w:r>
            </w:hyperlink>
          </w:p>
        </w:tc>
      </w:tr>
      <w:tr w:rsidR="00786702" w:rsidRPr="00B230DC" w:rsidTr="007D7D16">
        <w:tc>
          <w:tcPr>
            <w:tcW w:w="1470" w:type="dxa"/>
            <w:tcBorders>
              <w:bottom w:val="single" w:sz="12" w:space="0" w:color="auto"/>
            </w:tcBorders>
            <w:shd w:val="clear" w:color="auto" w:fill="auto"/>
          </w:tcPr>
          <w:p w:rsidR="00786702" w:rsidRPr="00B230DC" w:rsidRDefault="00786702" w:rsidP="00B230DC">
            <w:pPr>
              <w:spacing w:before="40" w:after="120"/>
              <w:ind w:right="113"/>
            </w:pPr>
            <w:r w:rsidRPr="00B230DC">
              <w:t>Pakistan</w:t>
            </w:r>
          </w:p>
        </w:tc>
        <w:tc>
          <w:tcPr>
            <w:tcW w:w="2198" w:type="dxa"/>
            <w:tcBorders>
              <w:bottom w:val="single" w:sz="12" w:space="0" w:color="auto"/>
            </w:tcBorders>
            <w:shd w:val="clear" w:color="auto" w:fill="auto"/>
          </w:tcPr>
          <w:p w:rsidR="00786702" w:rsidRPr="00B230DC" w:rsidRDefault="00786702" w:rsidP="007139ED">
            <w:pPr>
              <w:spacing w:before="40" w:after="120"/>
              <w:ind w:right="113"/>
            </w:pPr>
            <w:r w:rsidRPr="00B230DC">
              <w:rPr>
                <w:lang w:val="fr-FR"/>
              </w:rPr>
              <w:t>Felice Gaer</w:t>
            </w:r>
            <w:r w:rsidR="007139ED">
              <w:rPr>
                <w:lang w:val="fr-FR"/>
              </w:rPr>
              <w:t xml:space="preserve"> </w:t>
            </w:r>
            <w:r w:rsidR="007139ED">
              <w:rPr>
                <w:lang w:val="fr-FR"/>
              </w:rPr>
              <w:br/>
            </w:r>
            <w:r w:rsidRPr="00B230DC">
              <w:rPr>
                <w:lang w:val="fr-FR"/>
              </w:rPr>
              <w:t>Essadia Belmir</w:t>
            </w:r>
          </w:p>
        </w:tc>
        <w:tc>
          <w:tcPr>
            <w:tcW w:w="2701" w:type="dxa"/>
            <w:tcBorders>
              <w:bottom w:val="single" w:sz="12" w:space="0" w:color="auto"/>
            </w:tcBorders>
            <w:shd w:val="clear" w:color="auto" w:fill="auto"/>
          </w:tcPr>
          <w:p w:rsidR="00786702" w:rsidRPr="00B230DC" w:rsidRDefault="00786702" w:rsidP="00B230DC">
            <w:pPr>
              <w:spacing w:before="40" w:after="120"/>
              <w:ind w:right="113"/>
            </w:pPr>
            <w:r w:rsidRPr="00B230DC">
              <w:rPr>
                <w:lang w:val="fr-FR"/>
              </w:rPr>
              <w:t xml:space="preserve">Rapport initial </w:t>
            </w:r>
            <w:r w:rsidR="007D7D16">
              <w:rPr>
                <w:lang w:val="fr-FR"/>
              </w:rPr>
              <w:br/>
            </w:r>
            <w:r w:rsidRPr="00B230DC">
              <w:rPr>
                <w:lang w:val="fr-FR"/>
              </w:rPr>
              <w:t>(</w:t>
            </w:r>
            <w:hyperlink r:id="rId94" w:history="1">
              <w:r w:rsidRPr="00CB2B17">
                <w:rPr>
                  <w:rStyle w:val="Lienhypertexte"/>
                  <w:lang w:val="fr-FR"/>
                </w:rPr>
                <w:t>CAT/C/PAK/</w:t>
              </w:r>
            </w:hyperlink>
            <w:hyperlink r:id="rId95" w:history="1">
              <w:r w:rsidRPr="00CB2B17">
                <w:rPr>
                  <w:rStyle w:val="Lienhypertexte"/>
                  <w:lang w:val="fr-FR"/>
                </w:rPr>
                <w:t>1</w:t>
              </w:r>
            </w:hyperlink>
            <w:r w:rsidRPr="00B230DC">
              <w:rPr>
                <w:lang w:val="fr-FR"/>
              </w:rPr>
              <w:t>)</w:t>
            </w:r>
          </w:p>
        </w:tc>
        <w:tc>
          <w:tcPr>
            <w:tcW w:w="2136" w:type="dxa"/>
            <w:tcBorders>
              <w:bottom w:val="single" w:sz="12" w:space="0" w:color="auto"/>
            </w:tcBorders>
            <w:shd w:val="clear" w:color="auto" w:fill="auto"/>
          </w:tcPr>
          <w:p w:rsidR="00786702" w:rsidRPr="00B230DC" w:rsidRDefault="00390349" w:rsidP="00B230DC">
            <w:pPr>
              <w:spacing w:before="40" w:after="120"/>
              <w:ind w:right="113"/>
            </w:pPr>
            <w:hyperlink r:id="rId96" w:history="1">
              <w:r w:rsidR="00786702" w:rsidRPr="00CB2B17">
                <w:rPr>
                  <w:rStyle w:val="Lienhypertexte"/>
                  <w:lang w:val="fr-FR"/>
                </w:rPr>
                <w:t>CAT/C/PAK/CO/</w:t>
              </w:r>
            </w:hyperlink>
            <w:hyperlink r:id="rId97" w:history="1">
              <w:r w:rsidR="00786702" w:rsidRPr="00CB2B17">
                <w:rPr>
                  <w:rStyle w:val="Lienhypertexte"/>
                  <w:lang w:val="fr-FR"/>
                </w:rPr>
                <w:t>1</w:t>
              </w:r>
            </w:hyperlink>
          </w:p>
        </w:tc>
      </w:tr>
    </w:tbl>
    <w:p w:rsidR="00786702" w:rsidRPr="00786702" w:rsidRDefault="00786702" w:rsidP="007139ED">
      <w:pPr>
        <w:pStyle w:val="SingleTxtG"/>
        <w:spacing w:before="240"/>
        <w:rPr>
          <w:lang w:val="fr-FR"/>
        </w:rPr>
      </w:pPr>
      <w:r w:rsidRPr="00786702">
        <w:rPr>
          <w:lang w:val="fr-FR"/>
        </w:rPr>
        <w:t>41.</w:t>
      </w:r>
      <w:r w:rsidRPr="00786702">
        <w:rPr>
          <w:lang w:val="fr-FR"/>
        </w:rPr>
        <w:tab/>
      </w:r>
      <w:r w:rsidRPr="00786702">
        <w:t>Conformément à l</w:t>
      </w:r>
      <w:r w:rsidR="00993CE3">
        <w:t>’</w:t>
      </w:r>
      <w:r w:rsidRPr="00786702">
        <w:t>article 68 de son règlement intérieur, le Comité a invité des représentants de tous les États parties qui présentaient des rapports à assister aux séances au cours desquelles leur rapport allait être examiné. Tous les États parties concernés ont envoyé des représentants pour participer à l</w:t>
      </w:r>
      <w:r w:rsidR="00993CE3">
        <w:t>’</w:t>
      </w:r>
      <w:r w:rsidRPr="00786702">
        <w:t>examen de leur rapport. Le Comité les en a remerciés dans ses observations finales</w:t>
      </w:r>
      <w:r w:rsidRPr="00786702">
        <w:rPr>
          <w:lang w:val="fr-FR"/>
        </w:rPr>
        <w:t>.</w:t>
      </w:r>
    </w:p>
    <w:p w:rsidR="00786702" w:rsidRPr="00786702" w:rsidRDefault="00786702" w:rsidP="00786702">
      <w:pPr>
        <w:pStyle w:val="SingleTxtG"/>
        <w:rPr>
          <w:lang w:val="fr-FR"/>
        </w:rPr>
      </w:pPr>
      <w:r w:rsidRPr="00786702">
        <w:rPr>
          <w:lang w:val="fr-FR"/>
        </w:rPr>
        <w:t>42.</w:t>
      </w:r>
      <w:r w:rsidRPr="00786702">
        <w:rPr>
          <w:lang w:val="fr-FR"/>
        </w:rPr>
        <w:tab/>
      </w:r>
      <w:r w:rsidRPr="00786702">
        <w:t>Deux rapporteurs ont été désignés pour chacun des rapports examinés, comme indiqué dans les tableaux ci</w:t>
      </w:r>
      <w:r w:rsidRPr="00786702">
        <w:noBreakHyphen/>
        <w:t>dessus</w:t>
      </w:r>
      <w:r w:rsidRPr="00786702">
        <w:rPr>
          <w:lang w:val="fr-FR"/>
        </w:rPr>
        <w:t>.</w:t>
      </w:r>
    </w:p>
    <w:p w:rsidR="00825B8D" w:rsidRPr="00B9362A" w:rsidRDefault="00B9362A" w:rsidP="00B9362A">
      <w:pPr>
        <w:pStyle w:val="HChG"/>
      </w:pPr>
      <w:r>
        <w:lastRenderedPageBreak/>
        <w:tab/>
      </w:r>
      <w:r w:rsidR="00825B8D" w:rsidRPr="00B9362A">
        <w:t>IV.</w:t>
      </w:r>
      <w:r w:rsidR="00825B8D" w:rsidRPr="00B9362A">
        <w:tab/>
        <w:t xml:space="preserve">Suivi des </w:t>
      </w:r>
      <w:r w:rsidR="00825B8D" w:rsidRPr="00B9362A">
        <w:rPr>
          <w:lang w:val="fr-FR"/>
        </w:rPr>
        <w:t>observations</w:t>
      </w:r>
      <w:r w:rsidR="00825B8D" w:rsidRPr="00B9362A">
        <w:t xml:space="preserve"> finales relatives aux rapports </w:t>
      </w:r>
      <w:r w:rsidR="00825B8D" w:rsidRPr="00B9362A">
        <w:br/>
        <w:t>des États parties</w:t>
      </w:r>
    </w:p>
    <w:p w:rsidR="00825B8D" w:rsidRPr="00B9362A" w:rsidRDefault="00B9362A" w:rsidP="00B9362A">
      <w:pPr>
        <w:pStyle w:val="SingleTxtG"/>
      </w:pPr>
      <w:r>
        <w:t>43.</w:t>
      </w:r>
      <w:r>
        <w:tab/>
      </w:r>
      <w:r w:rsidR="00825B8D" w:rsidRPr="00B9362A">
        <w:t>À sa trentième session, en mai 2003, le Comité a mis en place une procédure pour assurer le suivi des observations finales adoptées à l</w:t>
      </w:r>
      <w:r w:rsidR="00993CE3">
        <w:t>’</w:t>
      </w:r>
      <w:r w:rsidR="00825B8D" w:rsidRPr="00B9362A">
        <w:t>issue de l</w:t>
      </w:r>
      <w:r w:rsidR="00993CE3">
        <w:t>’</w:t>
      </w:r>
      <w:r w:rsidR="00825B8D" w:rsidRPr="00B9362A">
        <w:t>examen des rapports soumis par les États parties en application de l</w:t>
      </w:r>
      <w:r w:rsidR="00993CE3">
        <w:t>’</w:t>
      </w:r>
      <w:r w:rsidR="00825B8D" w:rsidRPr="00B9362A">
        <w:t>article 19 de la Convention</w:t>
      </w:r>
      <w:r w:rsidR="00825B8D" w:rsidRPr="00B9362A">
        <w:rPr>
          <w:vertAlign w:val="superscript"/>
        </w:rPr>
        <w:footnoteReference w:id="5"/>
      </w:r>
      <w:r w:rsidR="00825B8D" w:rsidRPr="00B9362A">
        <w:t>. Depuis, il a fait figurer des informations sur le suivi dans chacun de ses rapports annuels, récapitulant les renseignements reçus concernant les mesures de suivi adoptées par les États parties et décrivant les tendances de fond ainsi que les modifications apportées ultérieurement à la procédure. On trouvera une description plus détaillée de la procédure dans les Directives concernant le suivi des observations finales, adoptées par le Comité à sa cinquante</w:t>
      </w:r>
      <w:r w:rsidR="00825B8D" w:rsidRPr="00B9362A">
        <w:noBreakHyphen/>
        <w:t>cinquième session (</w:t>
      </w:r>
      <w:hyperlink r:id="rId98" w:history="1">
        <w:r w:rsidR="00825B8D" w:rsidRPr="00AC1572">
          <w:rPr>
            <w:rStyle w:val="Lienhypertexte"/>
          </w:rPr>
          <w:t>CAT/C/55/3</w:t>
        </w:r>
      </w:hyperlink>
      <w:r w:rsidR="00825B8D" w:rsidRPr="00B9362A">
        <w:t>).</w:t>
      </w:r>
    </w:p>
    <w:p w:rsidR="00825B8D" w:rsidRPr="00B9362A" w:rsidRDefault="00B9362A" w:rsidP="00B9362A">
      <w:pPr>
        <w:pStyle w:val="SingleTxtG"/>
      </w:pPr>
      <w:r>
        <w:t>44.</w:t>
      </w:r>
      <w:r>
        <w:tab/>
      </w:r>
      <w:r w:rsidR="00825B8D" w:rsidRPr="00B9362A">
        <w:t>Conformément à son règlement intérieur, à sa cinquante</w:t>
      </w:r>
      <w:r w:rsidR="00825B8D" w:rsidRPr="00B9362A">
        <w:noBreakHyphen/>
        <w:t>septième session, qui s</w:t>
      </w:r>
      <w:r w:rsidR="00993CE3">
        <w:t>’</w:t>
      </w:r>
      <w:r w:rsidR="00825B8D" w:rsidRPr="00B9362A">
        <w:t>est tenue en avril</w:t>
      </w:r>
      <w:r w:rsidR="00825B8D" w:rsidRPr="00B9362A">
        <w:noBreakHyphen/>
        <w:t>mai 2016, le Comité a nommé M. Hani Rapporteur chargé du suivi des observations finales. À ses cinquante</w:t>
      </w:r>
      <w:r w:rsidR="00825B8D" w:rsidRPr="00B9362A">
        <w:noBreakHyphen/>
        <w:t>huitième, cinquante</w:t>
      </w:r>
      <w:r w:rsidR="00825B8D" w:rsidRPr="00B9362A">
        <w:noBreakHyphen/>
        <w:t>neuvième et soixantième</w:t>
      </w:r>
      <w:r w:rsidR="00E6687D">
        <w:t xml:space="preserve"> </w:t>
      </w:r>
      <w:r w:rsidR="00825B8D" w:rsidRPr="00B9362A">
        <w:t xml:space="preserve">sessions, le Rapporteur a présenté au Comité des rapports intérimaires sur la procédure. </w:t>
      </w:r>
    </w:p>
    <w:p w:rsidR="00825B8D" w:rsidRPr="00B9362A" w:rsidRDefault="00B9362A" w:rsidP="00B9362A">
      <w:pPr>
        <w:pStyle w:val="SingleTxtG"/>
      </w:pPr>
      <w:r>
        <w:t>45.</w:t>
      </w:r>
      <w:r>
        <w:tab/>
      </w:r>
      <w:r w:rsidR="00825B8D" w:rsidRPr="00B9362A">
        <w:t>Entre mai 2003 et la fin de la soixantième session, en mai 2017, le Comité a examiné 208 rapports d</w:t>
      </w:r>
      <w:r w:rsidR="00993CE3">
        <w:t>’</w:t>
      </w:r>
      <w:r w:rsidR="00825B8D" w:rsidRPr="00B9362A">
        <w:t>États parties, pour lesquels il a demandé des renseignements sur la suite donnée à ses recommandations. Sur les 184 États parties qui devaient envoyer des renseignements aux fins du suivi avant le 12 mai 2017, 138 l</w:t>
      </w:r>
      <w:r w:rsidR="00993CE3">
        <w:t>’</w:t>
      </w:r>
      <w:r w:rsidR="00825B8D" w:rsidRPr="00B9362A">
        <w:t>avaient fait au moment de l</w:t>
      </w:r>
      <w:r w:rsidR="00993CE3">
        <w:t>’</w:t>
      </w:r>
      <w:r w:rsidR="00825B8D" w:rsidRPr="00B9362A">
        <w:t>adoption du présent rapport, soit un taux de réponse de 75</w:t>
      </w:r>
      <w:r w:rsidR="00AB6C3B">
        <w:t> </w:t>
      </w:r>
      <w:r w:rsidR="00825B8D" w:rsidRPr="00B9362A">
        <w:t>%. L</w:t>
      </w:r>
      <w:r w:rsidR="00993CE3">
        <w:t>’</w:t>
      </w:r>
      <w:r w:rsidR="00825B8D" w:rsidRPr="00B9362A">
        <w:t>état des réponses attendues au titre du suivi est publié sous forme de tableau sur la page Web du Comité</w:t>
      </w:r>
      <w:r w:rsidR="00825B8D" w:rsidRPr="00B9362A">
        <w:rPr>
          <w:vertAlign w:val="superscript"/>
        </w:rPr>
        <w:footnoteReference w:id="6"/>
      </w:r>
      <w:r w:rsidR="00825B8D" w:rsidRPr="00B9362A">
        <w:t>. On trouve aussi sur cette page les renseignements reçus des États parties, les lettres envoyées aux États parties par le Rapporteur chargé du suivi, les réponses des États parties ainsi que les rapports reçus des institutions nationales des droits de l</w:t>
      </w:r>
      <w:r w:rsidR="00993CE3">
        <w:t>’</w:t>
      </w:r>
      <w:r w:rsidR="00825B8D" w:rsidRPr="00B9362A">
        <w:t>homme, des ONG et des autres acteurs de la société civile.</w:t>
      </w:r>
    </w:p>
    <w:p w:rsidR="00825B8D" w:rsidRPr="00B9362A" w:rsidRDefault="00B9362A" w:rsidP="00B9362A">
      <w:pPr>
        <w:pStyle w:val="SingleTxtG"/>
      </w:pPr>
      <w:r>
        <w:t>46.</w:t>
      </w:r>
      <w:r>
        <w:tab/>
      </w:r>
      <w:r w:rsidR="00825B8D" w:rsidRPr="00B9362A">
        <w:t>Au 12 mai 2017, les États ci</w:t>
      </w:r>
      <w:r w:rsidR="00825B8D" w:rsidRPr="00B9362A">
        <w:noBreakHyphen/>
        <w:t>après n</w:t>
      </w:r>
      <w:r w:rsidR="00993CE3">
        <w:t>’</w:t>
      </w:r>
      <w:r w:rsidR="00825B8D" w:rsidRPr="00B9362A">
        <w:t>avaient pas encore communiqué de renseignements au titre du suivi, alors que le délai était échu</w:t>
      </w:r>
      <w:r w:rsidR="00825B8D" w:rsidRPr="00B9362A">
        <w:rPr>
          <w:vertAlign w:val="superscript"/>
        </w:rPr>
        <w:footnoteReference w:id="7"/>
      </w:r>
      <w:r w:rsidR="00825B8D" w:rsidRPr="00B9362A">
        <w:t> : Afrique du Sud (trente</w:t>
      </w:r>
      <w:r w:rsidR="00825B8D" w:rsidRPr="00B9362A">
        <w:noBreakHyphen/>
        <w:t>septième session), Albanie (quarante</w:t>
      </w:r>
      <w:r w:rsidR="00825B8D" w:rsidRPr="00B9362A">
        <w:noBreakHyphen/>
        <w:t>huitième session), Bénin (trente</w:t>
      </w:r>
      <w:r w:rsidR="00825B8D" w:rsidRPr="00B9362A">
        <w:noBreakHyphen/>
        <w:t>neuvième session), Bolivie (État plurinational de) (cinquantième session), Burkina Faso (cinquante et unième session), Cambodge (quarante</w:t>
      </w:r>
      <w:r w:rsidR="00825B8D" w:rsidRPr="00B9362A">
        <w:noBreakHyphen/>
        <w:t>cinquième session), Congo (quarante</w:t>
      </w:r>
      <w:r w:rsidR="00825B8D" w:rsidRPr="00B9362A">
        <w:noBreakHyphen/>
        <w:t>quatrième session), Costa Rica (quarantième session), Cuba (quarante</w:t>
      </w:r>
      <w:r w:rsidR="00825B8D" w:rsidRPr="00B9362A">
        <w:noBreakHyphen/>
        <w:t>huitième session), Djibouti (quarante</w:t>
      </w:r>
      <w:r w:rsidR="00825B8D" w:rsidRPr="00B9362A">
        <w:noBreakHyphen/>
        <w:t>septième session), El Salvador (quarante</w:t>
      </w:r>
      <w:r w:rsidR="00825B8D" w:rsidRPr="00B9362A">
        <w:noBreakHyphen/>
        <w:t>troisième session), Éthiopie (quarante</w:t>
      </w:r>
      <w:r w:rsidR="00825B8D" w:rsidRPr="00B9362A">
        <w:noBreakHyphen/>
        <w:t>cinquième session), France (cinquante</w:t>
      </w:r>
      <w:r w:rsidR="00825B8D" w:rsidRPr="00B9362A">
        <w:noBreakHyphen/>
        <w:t>septième session), Gabon (quarante</w:t>
      </w:r>
      <w:r w:rsidR="00825B8D" w:rsidRPr="00B9362A">
        <w:noBreakHyphen/>
        <w:t>neuvième session), Ghana (quarante</w:t>
      </w:r>
      <w:r w:rsidR="00825B8D" w:rsidRPr="00B9362A">
        <w:noBreakHyphen/>
        <w:t>sixième session), Guinée (cinquante</w:t>
      </w:r>
      <w:r w:rsidR="00825B8D" w:rsidRPr="00B9362A">
        <w:noBreakHyphen/>
        <w:t>deuxième session), Indonésie (quarantième session), Iraq (cinquante</w:t>
      </w:r>
      <w:r w:rsidR="00825B8D" w:rsidRPr="00B9362A">
        <w:noBreakHyphen/>
        <w:t>cinquième session), Israël (cinquante</w:t>
      </w:r>
      <w:r w:rsidR="00825B8D" w:rsidRPr="00B9362A">
        <w:noBreakHyphen/>
        <w:t>septième session), Jordanie (cinquante</w:t>
      </w:r>
      <w:r w:rsidR="00825B8D" w:rsidRPr="00B9362A">
        <w:noBreakHyphen/>
        <w:t>sixième session), Kirghizistan (cinquante et unième session), Luxembourg (cinquante</w:t>
      </w:r>
      <w:r w:rsidR="00825B8D" w:rsidRPr="00B9362A">
        <w:noBreakHyphen/>
        <w:t>quatrième session), Madagascar (quarante</w:t>
      </w:r>
      <w:r w:rsidR="00825B8D" w:rsidRPr="00B9362A">
        <w:noBreakHyphen/>
        <w:t>septième session), Mozambique (cinquante et unième session), Nicaragua (quarante</w:t>
      </w:r>
      <w:r w:rsidR="00825B8D" w:rsidRPr="00B9362A">
        <w:noBreakHyphen/>
        <w:t>deuxième session), Ouganda (trente</w:t>
      </w:r>
      <w:r w:rsidR="00825B8D" w:rsidRPr="00B9362A">
        <w:noBreakHyphen/>
        <w:t>quatrième session), Philippines (cinquante</w:t>
      </w:r>
      <w:r w:rsidR="00825B8D" w:rsidRPr="00B9362A">
        <w:noBreakHyphen/>
        <w:t>septième session), République démocratique du Congo (trente</w:t>
      </w:r>
      <w:r w:rsidR="00825B8D" w:rsidRPr="00B9362A">
        <w:noBreakHyphen/>
        <w:t>cinquième session), République arabe syrienne (quarante</w:t>
      </w:r>
      <w:r w:rsidR="00825B8D" w:rsidRPr="00B9362A">
        <w:noBreakHyphen/>
        <w:t>huitième session), Sierra Leone (cinquante</w:t>
      </w:r>
      <w:r w:rsidR="00825B8D" w:rsidRPr="00B9362A">
        <w:noBreakHyphen/>
        <w:t>deuxième session), Tchad (quarante</w:t>
      </w:r>
      <w:r w:rsidR="00825B8D" w:rsidRPr="00B9362A">
        <w:noBreakHyphen/>
        <w:t>deuxième session), Venezuela (République bolivarienne du) (cinquante</w:t>
      </w:r>
      <w:r w:rsidR="00825B8D" w:rsidRPr="00B9362A">
        <w:noBreakHyphen/>
        <w:t>troisième session), Yémen (quarante</w:t>
      </w:r>
      <w:r w:rsidR="00825B8D" w:rsidRPr="00B9362A">
        <w:noBreakHyphen/>
        <w:t>quatrième session), Zambie (quarantième session) et Saint</w:t>
      </w:r>
      <w:r w:rsidR="00825B8D" w:rsidRPr="00B9362A">
        <w:noBreakHyphen/>
        <w:t>Siège (cinquante</w:t>
      </w:r>
      <w:r w:rsidR="00825B8D" w:rsidRPr="00B9362A">
        <w:noBreakHyphen/>
        <w:t>deuxième session).</w:t>
      </w:r>
    </w:p>
    <w:p w:rsidR="00825B8D" w:rsidRPr="00B9362A" w:rsidRDefault="00B9362A" w:rsidP="00B9362A">
      <w:pPr>
        <w:pStyle w:val="SingleTxtG"/>
      </w:pPr>
      <w:r>
        <w:t>47.</w:t>
      </w:r>
      <w:r>
        <w:tab/>
      </w:r>
      <w:r w:rsidR="00825B8D" w:rsidRPr="00B9362A">
        <w:t>Le Rapporteur envoie un rappel à chacun des pays qui n</w:t>
      </w:r>
      <w:r w:rsidR="00993CE3">
        <w:t>’</w:t>
      </w:r>
      <w:r w:rsidR="00825B8D" w:rsidRPr="00B9362A">
        <w:t xml:space="preserve">ont pas fourni les renseignements demandés sur la suite donnée aux recommandations. Pendant la période </w:t>
      </w:r>
      <w:r w:rsidR="00825B8D" w:rsidRPr="00B9362A">
        <w:lastRenderedPageBreak/>
        <w:t>couverte par le présent rapport, des rappels ont été adressés aux États parties suivants : Colombie, Congo, Iraq, Jordanie et Luxembourg</w:t>
      </w:r>
      <w:r w:rsidR="00825B8D" w:rsidRPr="00B9362A">
        <w:rPr>
          <w:vertAlign w:val="superscript"/>
        </w:rPr>
        <w:t xml:space="preserve"> </w:t>
      </w:r>
      <w:r w:rsidR="00825B8D" w:rsidRPr="00B9362A">
        <w:rPr>
          <w:vertAlign w:val="superscript"/>
        </w:rPr>
        <w:footnoteReference w:id="8"/>
      </w:r>
      <w:r w:rsidR="00825B8D" w:rsidRPr="00B9362A">
        <w:t>.</w:t>
      </w:r>
    </w:p>
    <w:p w:rsidR="00825B8D" w:rsidRPr="00E133A9" w:rsidRDefault="00B9362A" w:rsidP="00B9362A">
      <w:pPr>
        <w:pStyle w:val="SingleTxtG"/>
        <w:rPr>
          <w:spacing w:val="-6"/>
          <w:lang w:val="en-US"/>
        </w:rPr>
      </w:pPr>
      <w:r>
        <w:t>48.</w:t>
      </w:r>
      <w:r>
        <w:tab/>
      </w:r>
      <w:r w:rsidR="00825B8D" w:rsidRPr="00E133A9">
        <w:rPr>
          <w:spacing w:val="-6"/>
        </w:rPr>
        <w:t>Entre le 14 mai 2016 et le 12 mai 2017, des réponses au titre du suivi ont été reçues des États parties suivants</w:t>
      </w:r>
      <w:r w:rsidR="00825B8D" w:rsidRPr="00E133A9">
        <w:rPr>
          <w:spacing w:val="-6"/>
          <w:vertAlign w:val="superscript"/>
        </w:rPr>
        <w:footnoteReference w:id="9"/>
      </w:r>
      <w:r w:rsidR="00825B8D" w:rsidRPr="00E133A9">
        <w:rPr>
          <w:spacing w:val="-6"/>
        </w:rPr>
        <w:t xml:space="preserve"> (dans l</w:t>
      </w:r>
      <w:r w:rsidR="00993CE3" w:rsidRPr="00E133A9">
        <w:rPr>
          <w:spacing w:val="-6"/>
        </w:rPr>
        <w:t>’</w:t>
      </w:r>
      <w:r w:rsidR="00825B8D" w:rsidRPr="00E133A9">
        <w:rPr>
          <w:spacing w:val="-6"/>
        </w:rPr>
        <w:t>ordre chronologique) : Japon (</w:t>
      </w:r>
      <w:hyperlink r:id="rId99" w:history="1">
        <w:r w:rsidR="00825B8D" w:rsidRPr="00E133A9">
          <w:rPr>
            <w:rStyle w:val="Lienhypertexte"/>
            <w:spacing w:val="-6"/>
          </w:rPr>
          <w:t>CAT/C/JPN/CO/2/Add.2</w:t>
        </w:r>
      </w:hyperlink>
      <w:r w:rsidR="00825B8D" w:rsidRPr="00E133A9">
        <w:rPr>
          <w:spacing w:val="-6"/>
        </w:rPr>
        <w:t>) ; Espagne (</w:t>
      </w:r>
      <w:hyperlink r:id="rId100" w:history="1">
        <w:r w:rsidR="00825B8D" w:rsidRPr="00E133A9">
          <w:rPr>
            <w:rStyle w:val="Lienhypertexte"/>
            <w:spacing w:val="-6"/>
          </w:rPr>
          <w:t>CAT/C/ESP/CO/6/Add.1</w:t>
        </w:r>
      </w:hyperlink>
      <w:r w:rsidR="00825B8D" w:rsidRPr="00E133A9">
        <w:rPr>
          <w:spacing w:val="-6"/>
        </w:rPr>
        <w:t>) ; Roumanie (</w:t>
      </w:r>
      <w:hyperlink r:id="rId101" w:history="1">
        <w:r w:rsidR="00825B8D" w:rsidRPr="00E133A9">
          <w:rPr>
            <w:rStyle w:val="Lienhypertexte"/>
            <w:spacing w:val="-6"/>
          </w:rPr>
          <w:t>CAT/C/ROU/CO/2/Add.1</w:t>
        </w:r>
      </w:hyperlink>
      <w:r w:rsidR="002F0C4E" w:rsidRPr="00E133A9">
        <w:rPr>
          <w:spacing w:val="-6"/>
        </w:rPr>
        <w:t>) ; Nouvelle</w:t>
      </w:r>
      <w:r w:rsidR="002F0C4E" w:rsidRPr="00E133A9">
        <w:rPr>
          <w:spacing w:val="-6"/>
        </w:rPr>
        <w:noBreakHyphen/>
      </w:r>
      <w:r w:rsidR="00825B8D" w:rsidRPr="00E133A9">
        <w:rPr>
          <w:spacing w:val="-6"/>
        </w:rPr>
        <w:t>Zélande (</w:t>
      </w:r>
      <w:hyperlink r:id="rId102" w:history="1">
        <w:r w:rsidR="00825B8D" w:rsidRPr="00E133A9">
          <w:rPr>
            <w:rStyle w:val="Lienhypertexte"/>
            <w:spacing w:val="-6"/>
          </w:rPr>
          <w:t>CAT/C/NZL/CO/6/Add.1</w:t>
        </w:r>
      </w:hyperlink>
      <w:r w:rsidR="00825B8D" w:rsidRPr="00E133A9">
        <w:rPr>
          <w:spacing w:val="-6"/>
        </w:rPr>
        <w:t>) ; Serbie (</w:t>
      </w:r>
      <w:hyperlink r:id="rId103" w:history="1">
        <w:r w:rsidR="00825B8D" w:rsidRPr="00E133A9">
          <w:rPr>
            <w:rStyle w:val="Lienhypertexte"/>
            <w:spacing w:val="-6"/>
          </w:rPr>
          <w:t>CAT/C/SRB/CO/2/Add.1</w:t>
        </w:r>
      </w:hyperlink>
      <w:r w:rsidR="00825B8D" w:rsidRPr="00E133A9">
        <w:rPr>
          <w:spacing w:val="-6"/>
        </w:rPr>
        <w:t xml:space="preserve">) ; </w:t>
      </w:r>
      <w:r w:rsidR="00993CE3" w:rsidRPr="00E133A9">
        <w:rPr>
          <w:spacing w:val="-6"/>
        </w:rPr>
        <w:t>e</w:t>
      </w:r>
      <w:r w:rsidR="00825B8D" w:rsidRPr="00E133A9">
        <w:rPr>
          <w:spacing w:val="-6"/>
        </w:rPr>
        <w:t>x</w:t>
      </w:r>
      <w:r w:rsidR="00825B8D" w:rsidRPr="00E133A9">
        <w:rPr>
          <w:spacing w:val="-6"/>
        </w:rPr>
        <w:noBreakHyphen/>
        <w:t>République yougoslave de Macédoine (</w:t>
      </w:r>
      <w:hyperlink r:id="rId104" w:history="1">
        <w:r w:rsidR="00825B8D" w:rsidRPr="00E133A9">
          <w:rPr>
            <w:rStyle w:val="Lienhypertexte"/>
            <w:spacing w:val="-6"/>
          </w:rPr>
          <w:t>CAT/C/MKD/CO/3/Add.1</w:t>
        </w:r>
      </w:hyperlink>
      <w:r w:rsidR="00825B8D" w:rsidRPr="00E133A9">
        <w:rPr>
          <w:spacing w:val="-6"/>
        </w:rPr>
        <w:t>) ; République de Corée (sur le Japon) ; Suisse (</w:t>
      </w:r>
      <w:hyperlink r:id="rId105" w:history="1">
        <w:r w:rsidR="00825B8D" w:rsidRPr="00E133A9">
          <w:rPr>
            <w:rStyle w:val="Lienhypertexte"/>
            <w:spacing w:val="-6"/>
          </w:rPr>
          <w:t>CAT/C/CHE/CO/7/Add.1</w:t>
        </w:r>
      </w:hyperlink>
      <w:r w:rsidR="00825B8D" w:rsidRPr="00E133A9">
        <w:rPr>
          <w:spacing w:val="-6"/>
        </w:rPr>
        <w:t>) ; Slovaquie (</w:t>
      </w:r>
      <w:hyperlink r:id="rId106" w:history="1">
        <w:r w:rsidR="00825B8D" w:rsidRPr="00E133A9">
          <w:rPr>
            <w:rStyle w:val="Lienhypertexte"/>
            <w:spacing w:val="-6"/>
          </w:rPr>
          <w:t>CAT/C/SVK/CO/3/Add.1</w:t>
        </w:r>
      </w:hyperlink>
      <w:r w:rsidR="00825B8D" w:rsidRPr="00E133A9">
        <w:rPr>
          <w:spacing w:val="-6"/>
        </w:rPr>
        <w:t>) ; Colombie (</w:t>
      </w:r>
      <w:hyperlink r:id="rId107" w:history="1">
        <w:r w:rsidR="00825B8D" w:rsidRPr="00E133A9">
          <w:rPr>
            <w:rStyle w:val="Lienhypertexte"/>
            <w:spacing w:val="-6"/>
          </w:rPr>
          <w:t>CAT/C/COL/</w:t>
        </w:r>
        <w:r w:rsidR="00E133A9">
          <w:rPr>
            <w:rStyle w:val="Lienhypertexte"/>
            <w:spacing w:val="-6"/>
          </w:rPr>
          <w:t xml:space="preserve"> </w:t>
        </w:r>
        <w:r w:rsidR="00825B8D" w:rsidRPr="00E133A9">
          <w:rPr>
            <w:rStyle w:val="Lienhypertexte"/>
            <w:spacing w:val="-6"/>
          </w:rPr>
          <w:t>CO/5/Add.1</w:t>
        </w:r>
      </w:hyperlink>
      <w:r w:rsidR="00825B8D" w:rsidRPr="00E133A9">
        <w:rPr>
          <w:spacing w:val="-6"/>
        </w:rPr>
        <w:t>) ; Burundi (</w:t>
      </w:r>
      <w:hyperlink r:id="rId108" w:history="1">
        <w:r w:rsidR="00825B8D" w:rsidRPr="00E133A9">
          <w:rPr>
            <w:rStyle w:val="Lienhypertexte"/>
            <w:spacing w:val="-6"/>
          </w:rPr>
          <w:t>CAT/C/BDI/CO/2/Add.2</w:t>
        </w:r>
      </w:hyperlink>
      <w:r w:rsidR="00825B8D" w:rsidRPr="00E133A9">
        <w:rPr>
          <w:spacing w:val="-6"/>
        </w:rPr>
        <w:t>) ; Turquie (</w:t>
      </w:r>
      <w:hyperlink r:id="rId109" w:history="1">
        <w:r w:rsidR="00825B8D" w:rsidRPr="00E133A9">
          <w:rPr>
            <w:rStyle w:val="Lienhypertexte"/>
            <w:spacing w:val="-6"/>
          </w:rPr>
          <w:t>CAT/C/TUR/CO/4/Add.1</w:t>
        </w:r>
      </w:hyperlink>
      <w:r w:rsidR="00825B8D" w:rsidRPr="00E133A9">
        <w:rPr>
          <w:spacing w:val="-6"/>
        </w:rPr>
        <w:t xml:space="preserve"> et </w:t>
      </w:r>
      <w:hyperlink r:id="rId110" w:history="1">
        <w:r w:rsidR="00825B8D" w:rsidRPr="00E133A9">
          <w:rPr>
            <w:rStyle w:val="Lienhypertexte"/>
            <w:spacing w:val="-6"/>
          </w:rPr>
          <w:t>Add.2</w:t>
        </w:r>
      </w:hyperlink>
      <w:r w:rsidR="00825B8D" w:rsidRPr="00E133A9">
        <w:rPr>
          <w:spacing w:val="-6"/>
        </w:rPr>
        <w:t>) ; Azerbaïdjan (</w:t>
      </w:r>
      <w:hyperlink r:id="rId111" w:history="1">
        <w:r w:rsidR="00825B8D" w:rsidRPr="00E133A9">
          <w:rPr>
            <w:rStyle w:val="Lienhypertexte"/>
            <w:spacing w:val="-6"/>
          </w:rPr>
          <w:t>CAT/C/AZE/CO/4/Add.1</w:t>
        </w:r>
      </w:hyperlink>
      <w:r w:rsidR="00825B8D" w:rsidRPr="00E133A9">
        <w:rPr>
          <w:spacing w:val="-6"/>
        </w:rPr>
        <w:t>) ; Autriche (</w:t>
      </w:r>
      <w:hyperlink r:id="rId112" w:history="1">
        <w:r w:rsidR="00825B8D" w:rsidRPr="00E133A9">
          <w:rPr>
            <w:rStyle w:val="Lienhypertexte"/>
            <w:spacing w:val="-6"/>
          </w:rPr>
          <w:t>CAT/C/AUS/6/Add.1</w:t>
        </w:r>
      </w:hyperlink>
      <w:r w:rsidR="00825B8D" w:rsidRPr="00E133A9">
        <w:rPr>
          <w:spacing w:val="-6"/>
        </w:rPr>
        <w:t>) ; Danemark (</w:t>
      </w:r>
      <w:hyperlink r:id="rId113" w:history="1">
        <w:r w:rsidR="00825B8D" w:rsidRPr="00E133A9">
          <w:rPr>
            <w:rStyle w:val="Lienhypertexte"/>
            <w:spacing w:val="-6"/>
          </w:rPr>
          <w:t>CAT/C/DNK/6</w:t>
        </w:r>
        <w:r w:rsidR="002F0C4E" w:rsidRPr="00E133A9">
          <w:rPr>
            <w:rStyle w:val="Lienhypertexte"/>
            <w:spacing w:val="-6"/>
          </w:rPr>
          <w:t>-</w:t>
        </w:r>
        <w:r w:rsidR="00825B8D" w:rsidRPr="00E133A9">
          <w:rPr>
            <w:rStyle w:val="Lienhypertexte"/>
            <w:spacing w:val="-6"/>
          </w:rPr>
          <w:t>7/Add.1</w:t>
        </w:r>
      </w:hyperlink>
      <w:r w:rsidR="00825B8D" w:rsidRPr="00E133A9">
        <w:rPr>
          <w:spacing w:val="-6"/>
        </w:rPr>
        <w:t>) ; Liechtenstein (</w:t>
      </w:r>
      <w:hyperlink r:id="rId114" w:history="1">
        <w:r w:rsidR="00825B8D" w:rsidRPr="00E133A9">
          <w:rPr>
            <w:rStyle w:val="Lienhypertexte"/>
            <w:spacing w:val="-6"/>
          </w:rPr>
          <w:t>CAT/C/LIE/CO/4/Add.</w:t>
        </w:r>
      </w:hyperlink>
      <w:hyperlink r:id="rId115" w:history="1">
        <w:r w:rsidR="00825B8D" w:rsidRPr="00E133A9">
          <w:rPr>
            <w:rStyle w:val="Lienhypertexte"/>
            <w:spacing w:val="-6"/>
            <w:lang w:val="en-US"/>
          </w:rPr>
          <w:t>1</w:t>
        </w:r>
      </w:hyperlink>
      <w:r w:rsidR="00825B8D" w:rsidRPr="00E133A9">
        <w:rPr>
          <w:spacing w:val="-6"/>
          <w:lang w:val="en-US"/>
        </w:rPr>
        <w:t>) ; Kazakhstan (</w:t>
      </w:r>
      <w:hyperlink r:id="rId116" w:history="1">
        <w:r w:rsidR="00825B8D" w:rsidRPr="00E133A9">
          <w:rPr>
            <w:rStyle w:val="Lienhypertexte"/>
            <w:spacing w:val="-6"/>
            <w:lang w:val="en-US"/>
          </w:rPr>
          <w:t>CAT/C/KAZ/</w:t>
        </w:r>
        <w:r w:rsidR="00E133A9">
          <w:rPr>
            <w:rStyle w:val="Lienhypertexte"/>
            <w:spacing w:val="-6"/>
            <w:lang w:val="en-US"/>
          </w:rPr>
          <w:t xml:space="preserve"> </w:t>
        </w:r>
        <w:r w:rsidR="00825B8D" w:rsidRPr="00E133A9">
          <w:rPr>
            <w:rStyle w:val="Lienhypertexte"/>
            <w:spacing w:val="-6"/>
            <w:lang w:val="en-US"/>
          </w:rPr>
          <w:t>CO/3/Add.2</w:t>
        </w:r>
      </w:hyperlink>
      <w:r w:rsidR="00825B8D" w:rsidRPr="00E133A9">
        <w:rPr>
          <w:spacing w:val="-6"/>
          <w:lang w:val="en-US"/>
        </w:rPr>
        <w:t>) ; Chine (</w:t>
      </w:r>
      <w:hyperlink r:id="rId117" w:history="1">
        <w:r w:rsidR="00825B8D" w:rsidRPr="00E133A9">
          <w:rPr>
            <w:rStyle w:val="Lienhypertexte"/>
            <w:spacing w:val="-6"/>
            <w:lang w:val="en-US"/>
          </w:rPr>
          <w:t>CAT/C/CHN/CO/5/Add.1</w:t>
        </w:r>
      </w:hyperlink>
      <w:r w:rsidR="00825B8D" w:rsidRPr="00E133A9">
        <w:rPr>
          <w:spacing w:val="-6"/>
          <w:lang w:val="en-US"/>
        </w:rPr>
        <w:t>) ; Hong Kong (Chine) (</w:t>
      </w:r>
      <w:hyperlink r:id="rId118" w:history="1">
        <w:r w:rsidR="00825B8D" w:rsidRPr="00E133A9">
          <w:rPr>
            <w:rStyle w:val="Lienhypertexte"/>
            <w:spacing w:val="-6"/>
            <w:lang w:val="en-US"/>
          </w:rPr>
          <w:t>CAT/C/CHN-HNK/CO/5/Add.1</w:t>
        </w:r>
      </w:hyperlink>
      <w:r w:rsidR="00825B8D" w:rsidRPr="00E133A9">
        <w:rPr>
          <w:spacing w:val="-6"/>
          <w:lang w:val="en-US"/>
        </w:rPr>
        <w:t>),</w:t>
      </w:r>
      <w:r w:rsidR="00AC1572" w:rsidRPr="00E133A9">
        <w:rPr>
          <w:spacing w:val="-6"/>
          <w:lang w:val="en-US"/>
        </w:rPr>
        <w:t xml:space="preserve"> </w:t>
      </w:r>
      <w:r w:rsidR="00825B8D" w:rsidRPr="00E133A9">
        <w:rPr>
          <w:spacing w:val="-6"/>
          <w:lang w:val="en-US"/>
        </w:rPr>
        <w:t>Macao (Chine) (</w:t>
      </w:r>
      <w:hyperlink r:id="rId119" w:history="1">
        <w:r w:rsidR="00825B8D" w:rsidRPr="00E133A9">
          <w:rPr>
            <w:rStyle w:val="Lienhypertexte"/>
            <w:spacing w:val="-6"/>
            <w:lang w:val="en-US"/>
          </w:rPr>
          <w:t>CAT/C/CHN-MAC/CO/5/Add.1</w:t>
        </w:r>
      </w:hyperlink>
      <w:r w:rsidR="00825B8D" w:rsidRPr="00E133A9">
        <w:rPr>
          <w:spacing w:val="-6"/>
          <w:lang w:val="en-US"/>
        </w:rPr>
        <w:t>) ; Portugal (</w:t>
      </w:r>
      <w:hyperlink r:id="rId120" w:history="1">
        <w:r w:rsidR="00825B8D" w:rsidRPr="00E133A9">
          <w:rPr>
            <w:rStyle w:val="Lienhypertexte"/>
            <w:spacing w:val="-6"/>
            <w:lang w:val="en-US"/>
          </w:rPr>
          <w:t>CAT/C/PRT/</w:t>
        </w:r>
        <w:r w:rsidR="00E133A9">
          <w:rPr>
            <w:rStyle w:val="Lienhypertexte"/>
            <w:spacing w:val="-6"/>
            <w:lang w:val="en-US"/>
          </w:rPr>
          <w:t xml:space="preserve"> </w:t>
        </w:r>
        <w:r w:rsidR="00825B8D" w:rsidRPr="00E133A9">
          <w:rPr>
            <w:rStyle w:val="Lienhypertexte"/>
            <w:spacing w:val="-6"/>
            <w:lang w:val="en-US"/>
          </w:rPr>
          <w:t>CO/5-6/Add.3</w:t>
        </w:r>
      </w:hyperlink>
      <w:r w:rsidR="00825B8D" w:rsidRPr="00E133A9">
        <w:rPr>
          <w:spacing w:val="-6"/>
          <w:lang w:val="en-US"/>
        </w:rPr>
        <w:t>)</w:t>
      </w:r>
      <w:r w:rsidR="00B33DE5" w:rsidRPr="00E133A9">
        <w:rPr>
          <w:spacing w:val="-6"/>
          <w:lang w:val="en-US"/>
        </w:rPr>
        <w:t> ;</w:t>
      </w:r>
      <w:r w:rsidR="00825B8D" w:rsidRPr="00E133A9">
        <w:rPr>
          <w:spacing w:val="-6"/>
          <w:lang w:val="en-US"/>
        </w:rPr>
        <w:t xml:space="preserve"> Croatie (</w:t>
      </w:r>
      <w:hyperlink r:id="rId121" w:history="1">
        <w:r w:rsidR="00825B8D" w:rsidRPr="00E133A9">
          <w:rPr>
            <w:rStyle w:val="Lienhypertexte"/>
            <w:spacing w:val="-6"/>
            <w:lang w:val="en-US"/>
          </w:rPr>
          <w:t>CAT/C/HRV/CO/4-5/Add.3</w:t>
        </w:r>
      </w:hyperlink>
      <w:r w:rsidR="00825B8D" w:rsidRPr="00E133A9">
        <w:rPr>
          <w:spacing w:val="-6"/>
          <w:lang w:val="en-US"/>
        </w:rPr>
        <w:t>); Ukraine (</w:t>
      </w:r>
      <w:hyperlink r:id="rId122" w:history="1">
        <w:r w:rsidR="00825B8D" w:rsidRPr="00E133A9">
          <w:rPr>
            <w:rStyle w:val="Lienhypertexte"/>
            <w:spacing w:val="-6"/>
            <w:lang w:val="en-US"/>
          </w:rPr>
          <w:t>CAT/C/UKR/CO/6/Add.2</w:t>
        </w:r>
      </w:hyperlink>
      <w:r w:rsidR="00825B8D" w:rsidRPr="00E133A9">
        <w:rPr>
          <w:spacing w:val="-6"/>
          <w:lang w:val="en-US"/>
        </w:rPr>
        <w:t>)</w:t>
      </w:r>
      <w:r w:rsidR="00B33DE5" w:rsidRPr="00E133A9">
        <w:rPr>
          <w:spacing w:val="-6"/>
          <w:lang w:val="en-US"/>
        </w:rPr>
        <w:t> ;</w:t>
      </w:r>
      <w:r w:rsidR="00825B8D" w:rsidRPr="00E133A9">
        <w:rPr>
          <w:spacing w:val="-6"/>
          <w:lang w:val="en-US"/>
        </w:rPr>
        <w:t xml:space="preserve"> Koweït (</w:t>
      </w:r>
      <w:hyperlink r:id="rId123" w:history="1">
        <w:r w:rsidR="00825B8D" w:rsidRPr="00E133A9">
          <w:rPr>
            <w:rStyle w:val="Lienhypertexte"/>
            <w:spacing w:val="-6"/>
            <w:lang w:val="en-US"/>
          </w:rPr>
          <w:t>CAT/C/KWT/CO/3/Add.1</w:t>
        </w:r>
      </w:hyperlink>
      <w:r w:rsidR="00825B8D" w:rsidRPr="00E133A9">
        <w:rPr>
          <w:spacing w:val="-6"/>
          <w:lang w:val="en-US"/>
        </w:rPr>
        <w:t>)</w:t>
      </w:r>
      <w:r w:rsidR="00B33DE5" w:rsidRPr="00E133A9">
        <w:rPr>
          <w:spacing w:val="-6"/>
          <w:lang w:val="en-US"/>
        </w:rPr>
        <w:t> ;</w:t>
      </w:r>
      <w:r w:rsidR="00825B8D" w:rsidRPr="00E133A9">
        <w:rPr>
          <w:spacing w:val="-6"/>
          <w:lang w:val="en-US"/>
        </w:rPr>
        <w:t xml:space="preserve"> Arabie </w:t>
      </w:r>
      <w:r w:rsidR="00993CE3" w:rsidRPr="00E133A9">
        <w:rPr>
          <w:spacing w:val="-6"/>
          <w:lang w:val="en-US"/>
        </w:rPr>
        <w:t>s</w:t>
      </w:r>
      <w:r w:rsidR="00825B8D" w:rsidRPr="00E133A9">
        <w:rPr>
          <w:spacing w:val="-6"/>
          <w:lang w:val="en-US"/>
        </w:rPr>
        <w:t>aoudite (</w:t>
      </w:r>
      <w:hyperlink r:id="rId124" w:history="1">
        <w:r w:rsidR="00825B8D" w:rsidRPr="00E133A9">
          <w:rPr>
            <w:rStyle w:val="Lienhypertexte"/>
            <w:spacing w:val="-6"/>
            <w:lang w:val="en-US"/>
          </w:rPr>
          <w:t>CAT/C/SAU/CO/2/Add.1</w:t>
        </w:r>
      </w:hyperlink>
      <w:r w:rsidR="00825B8D" w:rsidRPr="00E133A9">
        <w:rPr>
          <w:spacing w:val="-6"/>
          <w:lang w:val="en-US"/>
        </w:rPr>
        <w:t>)</w:t>
      </w:r>
      <w:r w:rsidR="00B33DE5" w:rsidRPr="00E133A9">
        <w:rPr>
          <w:spacing w:val="-6"/>
          <w:lang w:val="en-US"/>
        </w:rPr>
        <w:t> ;</w:t>
      </w:r>
      <w:r w:rsidR="00825B8D" w:rsidRPr="00E133A9">
        <w:rPr>
          <w:spacing w:val="-6"/>
          <w:lang w:val="en-US"/>
        </w:rPr>
        <w:t xml:space="preserve"> France (</w:t>
      </w:r>
      <w:hyperlink r:id="rId125" w:history="1">
        <w:r w:rsidR="00825B8D" w:rsidRPr="00E133A9">
          <w:rPr>
            <w:rStyle w:val="Lienhypertexte"/>
            <w:spacing w:val="-6"/>
            <w:lang w:val="en-US"/>
          </w:rPr>
          <w:t>CAT/C/FRA/CO/7/Add.1</w:t>
        </w:r>
      </w:hyperlink>
      <w:r w:rsidR="00825B8D" w:rsidRPr="00E133A9">
        <w:rPr>
          <w:spacing w:val="-6"/>
          <w:lang w:val="en-US"/>
        </w:rPr>
        <w:t>)</w:t>
      </w:r>
      <w:r w:rsidR="00B33DE5" w:rsidRPr="00E133A9">
        <w:rPr>
          <w:spacing w:val="-6"/>
          <w:lang w:val="en-US"/>
        </w:rPr>
        <w:t> ;</w:t>
      </w:r>
      <w:r w:rsidR="00825B8D" w:rsidRPr="00E133A9">
        <w:rPr>
          <w:spacing w:val="-6"/>
          <w:lang w:val="en-US"/>
        </w:rPr>
        <w:t xml:space="preserve"> Tunisie (</w:t>
      </w:r>
      <w:hyperlink r:id="rId126" w:history="1">
        <w:r w:rsidR="00825B8D" w:rsidRPr="00E133A9">
          <w:rPr>
            <w:rStyle w:val="Lienhypertexte"/>
            <w:spacing w:val="-6"/>
            <w:lang w:val="en-US"/>
          </w:rPr>
          <w:t>CAT/C/TUN/CO/3/Add.1</w:t>
        </w:r>
      </w:hyperlink>
      <w:r w:rsidR="00825B8D" w:rsidRPr="00E133A9">
        <w:rPr>
          <w:spacing w:val="-6"/>
          <w:lang w:val="en-US"/>
        </w:rPr>
        <w:t>)</w:t>
      </w:r>
      <w:r w:rsidR="00825B8D" w:rsidRPr="00E133A9">
        <w:rPr>
          <w:spacing w:val="-6"/>
          <w:vertAlign w:val="superscript"/>
        </w:rPr>
        <w:footnoteReference w:id="10"/>
      </w:r>
      <w:r w:rsidR="00825B8D" w:rsidRPr="00E133A9">
        <w:rPr>
          <w:spacing w:val="-6"/>
          <w:lang w:val="en-US"/>
        </w:rPr>
        <w:t>.</w:t>
      </w:r>
    </w:p>
    <w:p w:rsidR="00825B8D" w:rsidRPr="00B9362A" w:rsidRDefault="00B9362A" w:rsidP="00B9362A">
      <w:pPr>
        <w:pStyle w:val="SingleTxtG"/>
      </w:pPr>
      <w:r>
        <w:t>49.</w:t>
      </w:r>
      <w:r>
        <w:tab/>
      </w:r>
      <w:r w:rsidR="00825B8D" w:rsidRPr="00B9362A">
        <w:t>Le Rapporteur accueille avec satisfaction les renseignements envoyés par les États parties concernant les mesures qu</w:t>
      </w:r>
      <w:r w:rsidR="00993CE3">
        <w:t>’</w:t>
      </w:r>
      <w:r w:rsidR="00825B8D" w:rsidRPr="00B9362A">
        <w:t>ils ont prises pour s</w:t>
      </w:r>
      <w:r w:rsidR="00993CE3">
        <w:t>’</w:t>
      </w:r>
      <w:r w:rsidR="00825B8D" w:rsidRPr="00B9362A">
        <w:t xml:space="preserve">acquitter de leurs obligations en vertu de la Convention. Il procède à une évaluation des réponses reçues pour déterminer si tous les points mentionnés par le Comité ont été traités et si les renseignements fournis répondent aux préoccupations du Comité. Le Rapporteur adresse des lettres aux États parties dans le cadre de la procédure de suivi, une fois reçus et évalués les rapports de suivi. Il y expose son analyse, signale les questions restées en suspens et précise le délai fixé pour répondre. </w:t>
      </w:r>
    </w:p>
    <w:p w:rsidR="00825B8D" w:rsidRPr="00B9362A" w:rsidRDefault="00B9362A" w:rsidP="00B9362A">
      <w:pPr>
        <w:pStyle w:val="SingleTxtG"/>
      </w:pPr>
      <w:r>
        <w:t>50.</w:t>
      </w:r>
      <w:r>
        <w:tab/>
      </w:r>
      <w:r w:rsidR="00825B8D" w:rsidRPr="00B9362A">
        <w:t>Le Rapporteur accueille également avec satisfaction les renseignements soumis par les institutions nationales des droits de l</w:t>
      </w:r>
      <w:r w:rsidR="00993CE3">
        <w:t>’</w:t>
      </w:r>
      <w:r w:rsidR="00825B8D" w:rsidRPr="00B9362A">
        <w:t>homme, les ONG de défense des droits de l</w:t>
      </w:r>
      <w:r w:rsidR="00993CE3">
        <w:t>’</w:t>
      </w:r>
      <w:r w:rsidR="00825B8D" w:rsidRPr="00B9362A">
        <w:t>homme et les autres groupes de la société civile dans le cadre de la procédure de suivi. Au 12 mai 2017, le Comité avait reçu de ces sources des rapports au titre du suivi concernant les États parties suivants (dans l</w:t>
      </w:r>
      <w:r w:rsidR="00993CE3">
        <w:t>’</w:t>
      </w:r>
      <w:r w:rsidR="00825B8D" w:rsidRPr="00B9362A">
        <w:t>ordre chronologique) : France, Ukraine, Colombie, Mozambique, Turquie, Macao (Chine), Hong Kong (Chine), Danemark, Venezuela (République bolivarienne du), Azerbaïdjan, ainsi que des éléments complémentaires concernant la France</w:t>
      </w:r>
      <w:r w:rsidR="00825B8D" w:rsidRPr="00B9362A">
        <w:rPr>
          <w:vertAlign w:val="superscript"/>
        </w:rPr>
        <w:footnoteReference w:id="11"/>
      </w:r>
      <w:r w:rsidR="00825B8D" w:rsidRPr="00B9362A">
        <w:t>.</w:t>
      </w:r>
    </w:p>
    <w:p w:rsidR="00825B8D" w:rsidRPr="00B9362A" w:rsidRDefault="00B9362A" w:rsidP="00B9362A">
      <w:pPr>
        <w:pStyle w:val="SingleTxtG"/>
      </w:pPr>
      <w:r>
        <w:t>51.</w:t>
      </w:r>
      <w:r>
        <w:tab/>
      </w:r>
      <w:r w:rsidR="00825B8D" w:rsidRPr="00B9362A">
        <w:t>Aux cinquante</w:t>
      </w:r>
      <w:r w:rsidR="00825B8D" w:rsidRPr="00B9362A">
        <w:noBreakHyphen/>
        <w:t>huitième, cinquante</w:t>
      </w:r>
      <w:r w:rsidR="00825B8D" w:rsidRPr="00B9362A">
        <w:noBreakHyphen/>
        <w:t xml:space="preserve">neuvième et soixantième sessions du Comité, le Rapporteur chargé du suivi des observations finales a soumis au Comité des rapports intermédiaires sur la procédure, comme cela avait été fait aux sessions précédentes. </w:t>
      </w:r>
    </w:p>
    <w:p w:rsidR="00825B8D" w:rsidRPr="00B9362A" w:rsidRDefault="00825B8D" w:rsidP="00B9362A">
      <w:pPr>
        <w:pStyle w:val="HChG"/>
      </w:pPr>
      <w:r w:rsidRPr="00B9362A">
        <w:tab/>
        <w:t>V.</w:t>
      </w:r>
      <w:r w:rsidRPr="00B9362A">
        <w:tab/>
        <w:t xml:space="preserve">Activités menées par le Comité en application </w:t>
      </w:r>
      <w:r w:rsidRPr="00B9362A">
        <w:br/>
        <w:t>de l</w:t>
      </w:r>
      <w:r w:rsidR="00993CE3">
        <w:t>’</w:t>
      </w:r>
      <w:r w:rsidRPr="00B9362A">
        <w:t>article 20 de la Convention</w:t>
      </w:r>
    </w:p>
    <w:p w:rsidR="00825B8D" w:rsidRPr="00B9362A" w:rsidRDefault="00B9362A" w:rsidP="00B9362A">
      <w:pPr>
        <w:pStyle w:val="SingleTxtG"/>
      </w:pPr>
      <w:r>
        <w:t>52.</w:t>
      </w:r>
      <w:r>
        <w:tab/>
      </w:r>
      <w:r w:rsidR="00825B8D" w:rsidRPr="00B9362A">
        <w:t>En vertu du paragraphe 1 de l</w:t>
      </w:r>
      <w:r w:rsidR="00993CE3">
        <w:t>’</w:t>
      </w:r>
      <w:r w:rsidR="00825B8D" w:rsidRPr="00B9362A">
        <w:t>article 20 de la Convention, si le Comité reçoit des renseignements crédibles qui lui semblent contenir des indications bien fondées que la torture est pratiquée systématiquement sur le territoire d</w:t>
      </w:r>
      <w:r w:rsidR="00993CE3">
        <w:t>’</w:t>
      </w:r>
      <w:r w:rsidR="00825B8D" w:rsidRPr="00B9362A">
        <w:t>un État partie, il invite ledit État à coopérer à l</w:t>
      </w:r>
      <w:r w:rsidR="00993CE3">
        <w:t>’</w:t>
      </w:r>
      <w:r w:rsidR="00825B8D" w:rsidRPr="00B9362A">
        <w:t>examen des renseignements et, à cette fin, à lui faire part de ses observations à ce sujet.</w:t>
      </w:r>
    </w:p>
    <w:p w:rsidR="00825B8D" w:rsidRPr="00B9362A" w:rsidRDefault="00B9362A" w:rsidP="00B9362A">
      <w:pPr>
        <w:pStyle w:val="SingleTxtG"/>
      </w:pPr>
      <w:r>
        <w:t>53.</w:t>
      </w:r>
      <w:r>
        <w:tab/>
      </w:r>
      <w:r w:rsidR="00825B8D" w:rsidRPr="00B9362A">
        <w:t>Conformément à l</w:t>
      </w:r>
      <w:r w:rsidR="00993CE3">
        <w:t>’</w:t>
      </w:r>
      <w:r w:rsidR="00825B8D" w:rsidRPr="00B9362A">
        <w:t>article 75 du règlement intérieur du Comité, le Secrétaire général porte à l</w:t>
      </w:r>
      <w:r w:rsidR="00993CE3">
        <w:t>’</w:t>
      </w:r>
      <w:r w:rsidR="00825B8D" w:rsidRPr="00B9362A">
        <w:t>attention du Comité les renseignements qui sont ou semblent être soumis pour examen par le Comité au titre du paragraphe 1 de l</w:t>
      </w:r>
      <w:r w:rsidR="00993CE3">
        <w:t>’</w:t>
      </w:r>
      <w:r w:rsidR="00825B8D" w:rsidRPr="00B9362A">
        <w:t>article 20 de la Convention.</w:t>
      </w:r>
    </w:p>
    <w:p w:rsidR="00825B8D" w:rsidRPr="00B9362A" w:rsidRDefault="00B9362A" w:rsidP="00B9362A">
      <w:pPr>
        <w:pStyle w:val="SingleTxtG"/>
      </w:pPr>
      <w:r>
        <w:lastRenderedPageBreak/>
        <w:t>54.</w:t>
      </w:r>
      <w:r>
        <w:tab/>
      </w:r>
      <w:r w:rsidR="00825B8D" w:rsidRPr="00B9362A">
        <w:t>Le Comité ne reçoit aucun renseignement concernant un État partie qui, conformément au paragraphe 1 de l</w:t>
      </w:r>
      <w:r w:rsidR="00993CE3">
        <w:t>’</w:t>
      </w:r>
      <w:r w:rsidR="00825B8D" w:rsidRPr="00B9362A">
        <w:t>article 28 de la Convention, a déclaré, au moment où il a ratifié la Convention ou y a adhéré, qu</w:t>
      </w:r>
      <w:r w:rsidR="00993CE3">
        <w:t>’</w:t>
      </w:r>
      <w:r w:rsidR="00825B8D" w:rsidRPr="00B9362A">
        <w:t>il ne reconnaissait pas la compétence du Comité en vertu de l</w:t>
      </w:r>
      <w:r w:rsidR="00993CE3">
        <w:t>’</w:t>
      </w:r>
      <w:r w:rsidR="00825B8D" w:rsidRPr="00B9362A">
        <w:t>article 20, à moins que cet État n</w:t>
      </w:r>
      <w:r w:rsidR="00993CE3">
        <w:t>’</w:t>
      </w:r>
      <w:r w:rsidR="00825B8D" w:rsidRPr="00B9362A">
        <w:t>ait ultérieurement levé sa réserve conformément au paragraphe 2 de l</w:t>
      </w:r>
      <w:r w:rsidR="00993CE3">
        <w:t>’</w:t>
      </w:r>
      <w:r w:rsidR="00825B8D" w:rsidRPr="00B9362A">
        <w:t>article 28 de la Convention.</w:t>
      </w:r>
    </w:p>
    <w:p w:rsidR="00825B8D" w:rsidRPr="00B9362A" w:rsidRDefault="00B9362A" w:rsidP="00B9362A">
      <w:pPr>
        <w:pStyle w:val="SingleTxtG"/>
      </w:pPr>
      <w:r>
        <w:t>55.</w:t>
      </w:r>
      <w:r>
        <w:tab/>
      </w:r>
      <w:r w:rsidR="00825B8D" w:rsidRPr="00B9362A">
        <w:t>Le Comité a poursuivi ses travaux en application de l</w:t>
      </w:r>
      <w:r w:rsidR="00993CE3">
        <w:t>’</w:t>
      </w:r>
      <w:r w:rsidR="00825B8D" w:rsidRPr="00B9362A">
        <w:t>article 20 de la Convention pendant la période couverte par le présent rapport. Conformément aux dispositions de l</w:t>
      </w:r>
      <w:r w:rsidR="00993CE3">
        <w:t>’</w:t>
      </w:r>
      <w:r w:rsidR="00825B8D" w:rsidRPr="00B9362A">
        <w:t>article 20 de la Convention et des articles 78 et 79 de son règlement intérieur, tous les documents et tous les travaux du Comité afférents aux fonctions qui lui sont confiées en vertu de l</w:t>
      </w:r>
      <w:r w:rsidR="00993CE3">
        <w:t>’</w:t>
      </w:r>
      <w:r w:rsidR="00825B8D" w:rsidRPr="00B9362A">
        <w:t>article 20 sont confidentiels et toutes les séances concernant ses travaux au titre de ce même article sont privées. Toutefois, conformément au paragraphe 5 de l</w:t>
      </w:r>
      <w:r w:rsidR="00993CE3">
        <w:t>’</w:t>
      </w:r>
      <w:r w:rsidR="00825B8D" w:rsidRPr="00B9362A">
        <w:t>article 20 de la Convention, le Comité peut, après consultations avec l</w:t>
      </w:r>
      <w:r w:rsidR="00993CE3">
        <w:t>’</w:t>
      </w:r>
      <w:r w:rsidR="00825B8D" w:rsidRPr="00B9362A">
        <w:t>État partie intéressé, décider de faire figurer dans son rapport annuel aux États parties et à l</w:t>
      </w:r>
      <w:r w:rsidR="00993CE3">
        <w:t>’</w:t>
      </w:r>
      <w:r w:rsidR="00825B8D" w:rsidRPr="00B9362A">
        <w:t>Assemblée générale un résumé des résultats de ces travaux.</w:t>
      </w:r>
    </w:p>
    <w:p w:rsidR="00825B8D" w:rsidRPr="00B9362A" w:rsidRDefault="00B9362A" w:rsidP="00B9362A">
      <w:pPr>
        <w:pStyle w:val="SingleTxtG"/>
      </w:pPr>
      <w:r>
        <w:t>56.</w:t>
      </w:r>
      <w:r>
        <w:tab/>
      </w:r>
      <w:r w:rsidR="00825B8D" w:rsidRPr="00B9362A">
        <w:t>Dans le cadre des activités de suivi du Comité, les rapporteurs pour l</w:t>
      </w:r>
      <w:r w:rsidR="00993CE3">
        <w:t>’</w:t>
      </w:r>
      <w:r w:rsidR="00825B8D" w:rsidRPr="00B9362A">
        <w:t>article 20 ont continué à encourager les États parties ayant fait l</w:t>
      </w:r>
      <w:r w:rsidR="00993CE3">
        <w:t>’</w:t>
      </w:r>
      <w:r w:rsidR="00825B8D" w:rsidRPr="00B9362A">
        <w:t>objet d</w:t>
      </w:r>
      <w:r w:rsidR="00993CE3">
        <w:t>’</w:t>
      </w:r>
      <w:r w:rsidR="00825B8D" w:rsidRPr="00B9362A">
        <w:t>une enquête dont les résultats ont été rendus publics à prendre des mesures pour mettre en œuvre les recommandations du Comité. À sa cinquante</w:t>
      </w:r>
      <w:r w:rsidR="00825B8D" w:rsidRPr="00B9362A">
        <w:noBreakHyphen/>
        <w:t>sixième session, le Comité a adopté des lignes directrices internes sur les modalités pratiques et critères à appliquer pour décider de la réalisation de visites de suivi après les missions d</w:t>
      </w:r>
      <w:r w:rsidR="00993CE3">
        <w:t>’</w:t>
      </w:r>
      <w:r w:rsidR="00825B8D" w:rsidRPr="00B9362A">
        <w:t>enquête effectuées en application de l</w:t>
      </w:r>
      <w:r w:rsidR="00993CE3">
        <w:t>’</w:t>
      </w:r>
      <w:r w:rsidR="00825B8D" w:rsidRPr="00B9362A">
        <w:t>article 20 de la Convention.</w:t>
      </w:r>
    </w:p>
    <w:p w:rsidR="00825B8D" w:rsidRPr="00B9362A" w:rsidRDefault="00B9362A" w:rsidP="00B9362A">
      <w:pPr>
        <w:pStyle w:val="SingleTxtG"/>
      </w:pPr>
      <w:r>
        <w:t>57.</w:t>
      </w:r>
      <w:r>
        <w:tab/>
      </w:r>
      <w:r w:rsidR="00825B8D" w:rsidRPr="00B9362A">
        <w:t>De plus amples informations concernant la procédure sont disponibles sur le site Web du Comité.</w:t>
      </w:r>
    </w:p>
    <w:p w:rsidR="00825B8D" w:rsidRPr="00B9362A" w:rsidRDefault="00825B8D" w:rsidP="00B9362A">
      <w:pPr>
        <w:pStyle w:val="H23G"/>
        <w:rPr>
          <w:lang w:val="fr-FR"/>
        </w:rPr>
      </w:pPr>
      <w:r w:rsidRPr="00B9362A">
        <w:rPr>
          <w:lang w:val="fr-FR"/>
        </w:rPr>
        <w:tab/>
      </w:r>
      <w:r w:rsidRPr="00B9362A">
        <w:rPr>
          <w:lang w:val="fr-FR"/>
        </w:rPr>
        <w:tab/>
        <w:t>Résumé des résultats de l</w:t>
      </w:r>
      <w:r w:rsidR="00993CE3">
        <w:rPr>
          <w:lang w:val="fr-FR"/>
        </w:rPr>
        <w:t>’</w:t>
      </w:r>
      <w:r w:rsidRPr="00B9362A">
        <w:rPr>
          <w:lang w:val="fr-FR"/>
        </w:rPr>
        <w:t>enquête concernant l</w:t>
      </w:r>
      <w:r w:rsidR="00993CE3">
        <w:rPr>
          <w:lang w:val="fr-FR"/>
        </w:rPr>
        <w:t>’</w:t>
      </w:r>
      <w:r w:rsidRPr="00B9362A">
        <w:rPr>
          <w:lang w:val="fr-FR"/>
        </w:rPr>
        <w:t>Égypte</w:t>
      </w:r>
    </w:p>
    <w:p w:rsidR="00825B8D" w:rsidRPr="00B9362A" w:rsidRDefault="00B9362A" w:rsidP="00B9362A">
      <w:pPr>
        <w:pStyle w:val="SingleTxtG"/>
        <w:rPr>
          <w:lang w:val="fr-FR"/>
        </w:rPr>
      </w:pPr>
      <w:r>
        <w:rPr>
          <w:lang w:val="fr-FR"/>
        </w:rPr>
        <w:t>58.</w:t>
      </w:r>
      <w:r>
        <w:rPr>
          <w:lang w:val="fr-FR"/>
        </w:rPr>
        <w:tab/>
      </w:r>
      <w:r w:rsidR="00825B8D" w:rsidRPr="00B9362A">
        <w:rPr>
          <w:lang w:val="fr-FR"/>
        </w:rPr>
        <w:t>L</w:t>
      </w:r>
      <w:r w:rsidR="00993CE3">
        <w:rPr>
          <w:lang w:val="fr-FR"/>
        </w:rPr>
        <w:t>’</w:t>
      </w:r>
      <w:r w:rsidR="00825B8D" w:rsidRPr="00B9362A">
        <w:rPr>
          <w:lang w:val="fr-FR"/>
        </w:rPr>
        <w:t>Égypte a adhéré le 25 juin 1986 à la Convention, qui est entrée en vigueur pour elle le 26 juin 1987. Étant donné qu</w:t>
      </w:r>
      <w:r w:rsidR="00993CE3">
        <w:rPr>
          <w:lang w:val="fr-FR"/>
        </w:rPr>
        <w:t>’</w:t>
      </w:r>
      <w:r w:rsidR="00825B8D" w:rsidRPr="00B9362A">
        <w:rPr>
          <w:lang w:val="fr-FR"/>
        </w:rPr>
        <w:t>elle n</w:t>
      </w:r>
      <w:r w:rsidR="00993CE3">
        <w:rPr>
          <w:lang w:val="fr-FR"/>
        </w:rPr>
        <w:t>’</w:t>
      </w:r>
      <w:r w:rsidR="00825B8D" w:rsidRPr="00B9362A">
        <w:rPr>
          <w:lang w:val="fr-FR"/>
        </w:rPr>
        <w:t>a pas déclaré ne pas reconnaître la compétence du Comité prévue à l</w:t>
      </w:r>
      <w:r w:rsidR="00993CE3">
        <w:rPr>
          <w:lang w:val="fr-FR"/>
        </w:rPr>
        <w:t>’</w:t>
      </w:r>
      <w:r w:rsidR="00825B8D" w:rsidRPr="00B9362A">
        <w:rPr>
          <w:lang w:val="fr-FR"/>
        </w:rPr>
        <w:t>article 20 de la Convention, comme elle aurait pu le faire, la procédure prévue à l</w:t>
      </w:r>
      <w:r w:rsidR="00993CE3">
        <w:rPr>
          <w:lang w:val="fr-FR"/>
        </w:rPr>
        <w:t>’</w:t>
      </w:r>
      <w:r w:rsidR="00825B8D" w:rsidRPr="00B9362A">
        <w:rPr>
          <w:lang w:val="fr-FR"/>
        </w:rPr>
        <w:t>article 20 lui est applicable.</w:t>
      </w:r>
    </w:p>
    <w:p w:rsidR="00825B8D" w:rsidRPr="00B9362A" w:rsidRDefault="00B9362A" w:rsidP="00B9362A">
      <w:pPr>
        <w:pStyle w:val="SingleTxtG"/>
        <w:rPr>
          <w:lang w:val="fr-FR"/>
        </w:rPr>
      </w:pPr>
      <w:r>
        <w:rPr>
          <w:lang w:val="fr-FR"/>
        </w:rPr>
        <w:t>59.</w:t>
      </w:r>
      <w:r>
        <w:rPr>
          <w:lang w:val="fr-FR"/>
        </w:rPr>
        <w:tab/>
      </w:r>
      <w:r w:rsidR="00825B8D" w:rsidRPr="00B9362A">
        <w:rPr>
          <w:lang w:val="fr-FR"/>
        </w:rPr>
        <w:t>En mars et en octobre 2012, le Comité a reçu de la Fondation Alkarama, une organisation non gouvernementale (ONG), des communications faisant état d</w:t>
      </w:r>
      <w:r w:rsidR="00993CE3">
        <w:rPr>
          <w:lang w:val="fr-FR"/>
        </w:rPr>
        <w:t>’</w:t>
      </w:r>
      <w:r w:rsidR="00825B8D" w:rsidRPr="00B9362A">
        <w:rPr>
          <w:lang w:val="fr-FR"/>
        </w:rPr>
        <w:t>un recours systématique à la torture en Égypte. Celles-ci contenaient des allégations de torture individuelles et des descriptions de plusieurs incidents impliquant de nombreuses personnes. Alkarama a rappelé qu</w:t>
      </w:r>
      <w:r w:rsidR="00993CE3">
        <w:rPr>
          <w:lang w:val="fr-FR"/>
        </w:rPr>
        <w:t>’</w:t>
      </w:r>
      <w:r w:rsidR="00825B8D" w:rsidRPr="00B9362A">
        <w:rPr>
          <w:lang w:val="fr-FR"/>
        </w:rPr>
        <w:t>en 1996, le Comité avait rendu public le résumé d</w:t>
      </w:r>
      <w:r w:rsidR="00993CE3">
        <w:rPr>
          <w:lang w:val="fr-FR"/>
        </w:rPr>
        <w:t>’</w:t>
      </w:r>
      <w:r w:rsidR="00825B8D" w:rsidRPr="00B9362A">
        <w:rPr>
          <w:lang w:val="fr-FR"/>
        </w:rPr>
        <w:t>une précédente enquête menée en Égypte au titre de l</w:t>
      </w:r>
      <w:r w:rsidR="00993CE3">
        <w:rPr>
          <w:lang w:val="fr-FR"/>
        </w:rPr>
        <w:t>’</w:t>
      </w:r>
      <w:r w:rsidR="00825B8D" w:rsidRPr="00B9362A">
        <w:rPr>
          <w:lang w:val="fr-FR"/>
        </w:rPr>
        <w:t xml:space="preserve">article 20, dans lequel il avait conclu que la torture était systématiquement pratiquée par les forces de sécurité. Alkarama a également transmis des rapports établis récemment par plusieurs ONG et contenant des allégations de torture supplémentaires. </w:t>
      </w:r>
    </w:p>
    <w:p w:rsidR="00825B8D" w:rsidRPr="00B9362A" w:rsidRDefault="00B9362A" w:rsidP="00B9362A">
      <w:pPr>
        <w:pStyle w:val="SingleTxtG"/>
        <w:rPr>
          <w:lang w:val="fr-FR"/>
        </w:rPr>
      </w:pPr>
      <w:r>
        <w:rPr>
          <w:lang w:val="fr-FR"/>
        </w:rPr>
        <w:t>60.</w:t>
      </w:r>
      <w:r>
        <w:rPr>
          <w:lang w:val="fr-FR"/>
        </w:rPr>
        <w:tab/>
      </w:r>
      <w:r w:rsidR="00825B8D" w:rsidRPr="00B9362A">
        <w:rPr>
          <w:lang w:val="fr-FR"/>
        </w:rPr>
        <w:t>À sa quarante</w:t>
      </w:r>
      <w:r w:rsidR="00825B8D" w:rsidRPr="00B9362A">
        <w:rPr>
          <w:lang w:val="fr-FR"/>
        </w:rPr>
        <w:noBreakHyphen/>
        <w:t>neuvième session, en novembre 2012, le Comité a estimé que les renseignements dont il avait été saisi étaient crédibles et contenaient des indications bien fondées de recours systématique à la torture sur le territoire égyptien. Il a invité l</w:t>
      </w:r>
      <w:r w:rsidR="00993CE3">
        <w:rPr>
          <w:lang w:val="fr-FR"/>
        </w:rPr>
        <w:t>’</w:t>
      </w:r>
      <w:r w:rsidR="00825B8D" w:rsidRPr="00B9362A">
        <w:rPr>
          <w:lang w:val="fr-FR"/>
        </w:rPr>
        <w:t>État partie à coopérer à l</w:t>
      </w:r>
      <w:r w:rsidR="00993CE3">
        <w:rPr>
          <w:lang w:val="fr-FR"/>
        </w:rPr>
        <w:t>’</w:t>
      </w:r>
      <w:r w:rsidR="00825B8D" w:rsidRPr="00B9362A">
        <w:rPr>
          <w:lang w:val="fr-FR"/>
        </w:rPr>
        <w:t>examen des renseignements et à faire part de ses observations. L</w:t>
      </w:r>
      <w:r w:rsidR="00993CE3">
        <w:rPr>
          <w:lang w:val="fr-FR"/>
        </w:rPr>
        <w:t>’</w:t>
      </w:r>
      <w:r w:rsidR="00825B8D" w:rsidRPr="00B9362A">
        <w:rPr>
          <w:lang w:val="fr-FR"/>
        </w:rPr>
        <w:t>État partie a répondu le 11 février 2013, en décrivant ses mécanismes juridiques et institutionnels de prévention et de répression de la torture. Le Comité a examiné ces renseignements, ainsi que des informations complémentaires reçues des ONG, en novembre 2013, et a décidé de procéder à une enquête en application du paragraphe 2 de l</w:t>
      </w:r>
      <w:r w:rsidR="00993CE3">
        <w:rPr>
          <w:lang w:val="fr-FR"/>
        </w:rPr>
        <w:t>’</w:t>
      </w:r>
      <w:r w:rsidR="00825B8D" w:rsidRPr="00B9362A">
        <w:rPr>
          <w:lang w:val="fr-FR"/>
        </w:rPr>
        <w:t>article 20 de la Convention. Il a informé l</w:t>
      </w:r>
      <w:r w:rsidR="00993CE3">
        <w:rPr>
          <w:lang w:val="fr-FR"/>
        </w:rPr>
        <w:t>’</w:t>
      </w:r>
      <w:r w:rsidR="00825B8D" w:rsidRPr="00B9362A">
        <w:rPr>
          <w:lang w:val="fr-FR"/>
        </w:rPr>
        <w:t>État partie et a demandé au Gouvernement d</w:t>
      </w:r>
      <w:r w:rsidR="00993CE3">
        <w:rPr>
          <w:lang w:val="fr-FR"/>
        </w:rPr>
        <w:t>’</w:t>
      </w:r>
      <w:r w:rsidR="00825B8D" w:rsidRPr="00B9362A">
        <w:rPr>
          <w:lang w:val="fr-FR"/>
        </w:rPr>
        <w:t>accepter une visite des rapporteurs désignés, M. Domah et M</w:t>
      </w:r>
      <w:r w:rsidR="00825B8D" w:rsidRPr="00B9362A">
        <w:rPr>
          <w:vertAlign w:val="superscript"/>
          <w:lang w:val="fr-FR"/>
        </w:rPr>
        <w:t>me</w:t>
      </w:r>
      <w:r w:rsidR="00825B8D" w:rsidRPr="00B9362A">
        <w:rPr>
          <w:lang w:val="fr-FR"/>
        </w:rPr>
        <w:t> Gaer.</w:t>
      </w:r>
    </w:p>
    <w:p w:rsidR="00825B8D" w:rsidRPr="00B9362A" w:rsidRDefault="00B9362A" w:rsidP="00B9362A">
      <w:pPr>
        <w:pStyle w:val="SingleTxtG"/>
        <w:rPr>
          <w:lang w:val="fr-FR"/>
        </w:rPr>
      </w:pPr>
      <w:r>
        <w:rPr>
          <w:lang w:val="fr-FR"/>
        </w:rPr>
        <w:t>61.</w:t>
      </w:r>
      <w:r>
        <w:rPr>
          <w:lang w:val="fr-FR"/>
        </w:rPr>
        <w:tab/>
      </w:r>
      <w:r w:rsidR="00825B8D" w:rsidRPr="00B9362A">
        <w:rPr>
          <w:lang w:val="fr-FR"/>
        </w:rPr>
        <w:t>Le 16 janvier 2014, l</w:t>
      </w:r>
      <w:r w:rsidR="00993CE3">
        <w:rPr>
          <w:lang w:val="fr-FR"/>
        </w:rPr>
        <w:t>’</w:t>
      </w:r>
      <w:r w:rsidR="00825B8D" w:rsidRPr="00B9362A">
        <w:rPr>
          <w:lang w:val="fr-FR"/>
        </w:rPr>
        <w:t>État partie a répondu en contestant la recevabilité de la plainte d</w:t>
      </w:r>
      <w:r w:rsidR="00993CE3">
        <w:rPr>
          <w:lang w:val="fr-FR"/>
        </w:rPr>
        <w:t>’</w:t>
      </w:r>
      <w:r w:rsidR="00825B8D" w:rsidRPr="00B9362A">
        <w:rPr>
          <w:lang w:val="fr-FR"/>
        </w:rPr>
        <w:t>Alkarama. Le 8 mai 2014, il a proposé d</w:t>
      </w:r>
      <w:r w:rsidR="00993CE3">
        <w:rPr>
          <w:lang w:val="fr-FR"/>
        </w:rPr>
        <w:t>’</w:t>
      </w:r>
      <w:r w:rsidR="00825B8D" w:rsidRPr="00B9362A">
        <w:rPr>
          <w:lang w:val="fr-FR"/>
        </w:rPr>
        <w:t>envoyer des représentants rencontrer les membres du Comité pour s</w:t>
      </w:r>
      <w:r w:rsidR="00993CE3">
        <w:rPr>
          <w:lang w:val="fr-FR"/>
        </w:rPr>
        <w:t>’</w:t>
      </w:r>
      <w:r w:rsidR="00825B8D" w:rsidRPr="00B9362A">
        <w:rPr>
          <w:lang w:val="fr-FR"/>
        </w:rPr>
        <w:t>entretenir avec eux de la situation des droits de l</w:t>
      </w:r>
      <w:r w:rsidR="00993CE3">
        <w:rPr>
          <w:lang w:val="fr-FR"/>
        </w:rPr>
        <w:t>’</w:t>
      </w:r>
      <w:r w:rsidR="00825B8D" w:rsidRPr="00B9362A">
        <w:rPr>
          <w:lang w:val="fr-FR"/>
        </w:rPr>
        <w:t>homme dans le pays. En novembre 2014, le Comité a informé l</w:t>
      </w:r>
      <w:r w:rsidR="00993CE3">
        <w:rPr>
          <w:lang w:val="fr-FR"/>
        </w:rPr>
        <w:t>’</w:t>
      </w:r>
      <w:r w:rsidR="00825B8D" w:rsidRPr="00B9362A">
        <w:rPr>
          <w:lang w:val="fr-FR"/>
        </w:rPr>
        <w:t>État partie qu</w:t>
      </w:r>
      <w:r w:rsidR="00993CE3">
        <w:rPr>
          <w:lang w:val="fr-FR"/>
        </w:rPr>
        <w:t>’</w:t>
      </w:r>
      <w:r w:rsidR="00825B8D" w:rsidRPr="00B9362A">
        <w:rPr>
          <w:lang w:val="fr-FR"/>
        </w:rPr>
        <w:t>en l</w:t>
      </w:r>
      <w:r w:rsidR="00993CE3">
        <w:rPr>
          <w:lang w:val="fr-FR"/>
        </w:rPr>
        <w:t>’</w:t>
      </w:r>
      <w:r w:rsidR="00825B8D" w:rsidRPr="00B9362A">
        <w:rPr>
          <w:lang w:val="fr-FR"/>
        </w:rPr>
        <w:t>absence de réponse positive à sa demande de visite, conformément à sa procédure normale, il poursuivrait son enquête confidentielle sans faire cette visite.</w:t>
      </w:r>
    </w:p>
    <w:p w:rsidR="00825B8D" w:rsidRPr="00B9362A" w:rsidRDefault="00825B8D" w:rsidP="00B9362A">
      <w:pPr>
        <w:pStyle w:val="H23G"/>
        <w:rPr>
          <w:lang w:val="fr-FR"/>
        </w:rPr>
      </w:pPr>
      <w:r w:rsidRPr="00B9362A">
        <w:lastRenderedPageBreak/>
        <w:tab/>
      </w:r>
      <w:r w:rsidRPr="00B9362A">
        <w:tab/>
        <w:t>Renseignements</w:t>
      </w:r>
      <w:r w:rsidRPr="00B9362A">
        <w:rPr>
          <w:lang w:val="fr-FR"/>
        </w:rPr>
        <w:t xml:space="preserve"> reçus de l</w:t>
      </w:r>
      <w:r w:rsidR="00993CE3">
        <w:rPr>
          <w:lang w:val="fr-FR"/>
        </w:rPr>
        <w:t>’</w:t>
      </w:r>
      <w:r w:rsidRPr="00B9362A">
        <w:rPr>
          <w:lang w:val="fr-FR"/>
        </w:rPr>
        <w:t>État partie</w:t>
      </w:r>
    </w:p>
    <w:p w:rsidR="00825B8D" w:rsidRPr="00B9362A" w:rsidRDefault="00B9362A" w:rsidP="00B9362A">
      <w:pPr>
        <w:pStyle w:val="SingleTxtG"/>
        <w:rPr>
          <w:lang w:val="fr-FR"/>
        </w:rPr>
      </w:pPr>
      <w:r>
        <w:rPr>
          <w:lang w:val="fr-FR"/>
        </w:rPr>
        <w:t>62.</w:t>
      </w:r>
      <w:r>
        <w:rPr>
          <w:lang w:val="fr-FR"/>
        </w:rPr>
        <w:tab/>
      </w:r>
      <w:r w:rsidR="00825B8D" w:rsidRPr="00B9362A">
        <w:rPr>
          <w:lang w:val="fr-FR"/>
        </w:rPr>
        <w:t>L</w:t>
      </w:r>
      <w:r w:rsidR="00993CE3">
        <w:rPr>
          <w:lang w:val="fr-FR"/>
        </w:rPr>
        <w:t>’</w:t>
      </w:r>
      <w:r w:rsidR="00825B8D" w:rsidRPr="00B9362A">
        <w:rPr>
          <w:lang w:val="fr-FR"/>
        </w:rPr>
        <w:t>État partie a envoyé deux communications concernant les informations reçues par le Comité. La première, en date du 4 octobre 2013, décrit les garanties constitutionnelles et législatives interdisant la torture dans l</w:t>
      </w:r>
      <w:r w:rsidR="00993CE3">
        <w:rPr>
          <w:lang w:val="fr-FR"/>
        </w:rPr>
        <w:t>’</w:t>
      </w:r>
      <w:r w:rsidR="00825B8D" w:rsidRPr="00B9362A">
        <w:rPr>
          <w:lang w:val="fr-FR"/>
        </w:rPr>
        <w:t>État partie. Dans la deuxième, en date du 16 janvier 2014, l</w:t>
      </w:r>
      <w:r w:rsidR="00993CE3">
        <w:rPr>
          <w:lang w:val="fr-FR"/>
        </w:rPr>
        <w:t>’</w:t>
      </w:r>
      <w:r w:rsidR="00825B8D" w:rsidRPr="00B9362A">
        <w:rPr>
          <w:lang w:val="fr-FR"/>
        </w:rPr>
        <w:t>État partie conteste la recevabilité et la fiabilité des renseignements soumis par Alkarama. L</w:t>
      </w:r>
      <w:r w:rsidR="00993CE3">
        <w:rPr>
          <w:lang w:val="fr-FR"/>
        </w:rPr>
        <w:t>’</w:t>
      </w:r>
      <w:r w:rsidR="00825B8D" w:rsidRPr="00B9362A">
        <w:rPr>
          <w:lang w:val="fr-FR"/>
        </w:rPr>
        <w:t>État partie affirme que la torture n</w:t>
      </w:r>
      <w:r w:rsidR="00993CE3">
        <w:rPr>
          <w:lang w:val="fr-FR"/>
        </w:rPr>
        <w:t>’</w:t>
      </w:r>
      <w:r w:rsidR="00825B8D" w:rsidRPr="00B9362A">
        <w:rPr>
          <w:lang w:val="fr-FR"/>
        </w:rPr>
        <w:t>est pas une pratique systématique en Égypte, et que si quelques cas de torture ont pu se produire, il s</w:t>
      </w:r>
      <w:r w:rsidR="00993CE3">
        <w:rPr>
          <w:lang w:val="fr-FR"/>
        </w:rPr>
        <w:t>’</w:t>
      </w:r>
      <w:r w:rsidR="00825B8D" w:rsidRPr="00B9362A">
        <w:rPr>
          <w:lang w:val="fr-FR"/>
        </w:rPr>
        <w:t>est agi d</w:t>
      </w:r>
      <w:r w:rsidR="00993CE3">
        <w:rPr>
          <w:lang w:val="fr-FR"/>
        </w:rPr>
        <w:t>’</w:t>
      </w:r>
      <w:r w:rsidR="00825B8D" w:rsidRPr="00B9362A">
        <w:rPr>
          <w:lang w:val="fr-FR"/>
        </w:rPr>
        <w:t>incidents isolés qui font l</w:t>
      </w:r>
      <w:r w:rsidR="00993CE3">
        <w:rPr>
          <w:lang w:val="fr-FR"/>
        </w:rPr>
        <w:t>’</w:t>
      </w:r>
      <w:r w:rsidR="00825B8D" w:rsidRPr="00B9362A">
        <w:rPr>
          <w:lang w:val="fr-FR"/>
        </w:rPr>
        <w:t>objet d</w:t>
      </w:r>
      <w:r w:rsidR="00993CE3">
        <w:rPr>
          <w:lang w:val="fr-FR"/>
        </w:rPr>
        <w:t>’</w:t>
      </w:r>
      <w:r w:rsidR="00825B8D" w:rsidRPr="00B9362A">
        <w:rPr>
          <w:lang w:val="fr-FR"/>
        </w:rPr>
        <w:t>une enquête par les autorités.</w:t>
      </w:r>
    </w:p>
    <w:p w:rsidR="00825B8D" w:rsidRPr="00B9362A" w:rsidRDefault="00825B8D" w:rsidP="00B9362A">
      <w:pPr>
        <w:pStyle w:val="H23G"/>
        <w:rPr>
          <w:lang w:val="fr-FR"/>
        </w:rPr>
      </w:pPr>
      <w:r w:rsidRPr="00B9362A">
        <w:tab/>
      </w:r>
      <w:r w:rsidRPr="00B9362A">
        <w:tab/>
        <w:t>Renseignements</w:t>
      </w:r>
      <w:r w:rsidRPr="00B9362A">
        <w:rPr>
          <w:lang w:val="fr-FR"/>
        </w:rPr>
        <w:t xml:space="preserve"> reçus d</w:t>
      </w:r>
      <w:r w:rsidR="00993CE3">
        <w:rPr>
          <w:lang w:val="fr-FR"/>
        </w:rPr>
        <w:t>’</w:t>
      </w:r>
      <w:r w:rsidRPr="00B9362A">
        <w:rPr>
          <w:lang w:val="fr-FR"/>
        </w:rPr>
        <w:t>autres sources</w:t>
      </w:r>
    </w:p>
    <w:p w:rsidR="00825B8D" w:rsidRPr="00B9362A" w:rsidRDefault="00B9362A" w:rsidP="00B9362A">
      <w:pPr>
        <w:pStyle w:val="SingleTxtG"/>
        <w:rPr>
          <w:lang w:val="fr-FR"/>
        </w:rPr>
      </w:pPr>
      <w:r>
        <w:rPr>
          <w:lang w:val="fr-FR"/>
        </w:rPr>
        <w:t>63.</w:t>
      </w:r>
      <w:r>
        <w:rPr>
          <w:lang w:val="fr-FR"/>
        </w:rPr>
        <w:tab/>
      </w:r>
      <w:r w:rsidR="00825B8D" w:rsidRPr="00B9362A">
        <w:rPr>
          <w:lang w:val="fr-FR"/>
        </w:rPr>
        <w:t>Entre 2012 et 2015, le Comité a reçu sept communications d</w:t>
      </w:r>
      <w:r w:rsidR="00993CE3">
        <w:rPr>
          <w:lang w:val="fr-FR"/>
        </w:rPr>
        <w:t>’</w:t>
      </w:r>
      <w:r w:rsidR="00825B8D" w:rsidRPr="00B9362A">
        <w:rPr>
          <w:lang w:val="fr-FR"/>
        </w:rPr>
        <w:t xml:space="preserve">Alkarama concernant la pratique de la torture en Égypte, qui contenaient au moins 146 allégations de torture individuelles, dont la plupart dataient de 2013 et 2014, ainsi que des informations concernant plusieurs plaintes collectives. Dans ses communications, Alkarama affirme que malgré de nombreux changements politiques importants, la torture est restée courante en Égypte pendant la période allant de 2012 à 2015. </w:t>
      </w:r>
    </w:p>
    <w:p w:rsidR="00825B8D" w:rsidRPr="00B9362A" w:rsidRDefault="00B9362A" w:rsidP="00B9362A">
      <w:pPr>
        <w:pStyle w:val="SingleTxtG"/>
        <w:rPr>
          <w:lang w:val="fr-FR"/>
        </w:rPr>
      </w:pPr>
      <w:r>
        <w:rPr>
          <w:lang w:val="fr-FR"/>
        </w:rPr>
        <w:t>64.</w:t>
      </w:r>
      <w:r>
        <w:rPr>
          <w:lang w:val="fr-FR"/>
        </w:rPr>
        <w:tab/>
      </w:r>
      <w:r w:rsidR="00825B8D" w:rsidRPr="00B9362A">
        <w:rPr>
          <w:lang w:val="fr-FR"/>
        </w:rPr>
        <w:t>En outre, le Comité a examiné des renseignements concernant la torture en Égypte émanant de fonctionnaires et d</w:t>
      </w:r>
      <w:r w:rsidR="00993CE3">
        <w:rPr>
          <w:lang w:val="fr-FR"/>
        </w:rPr>
        <w:t>’</w:t>
      </w:r>
      <w:r w:rsidR="00825B8D" w:rsidRPr="00B9362A">
        <w:rPr>
          <w:lang w:val="fr-FR"/>
        </w:rPr>
        <w:t>organes de l</w:t>
      </w:r>
      <w:r w:rsidR="00993CE3">
        <w:rPr>
          <w:lang w:val="fr-FR"/>
        </w:rPr>
        <w:t>’</w:t>
      </w:r>
      <w:r w:rsidR="00825B8D" w:rsidRPr="00B9362A">
        <w:rPr>
          <w:lang w:val="fr-FR"/>
        </w:rPr>
        <w:t>ONU, notamment du Haut-Commissariat aux droits de l</w:t>
      </w:r>
      <w:r w:rsidR="00993CE3">
        <w:rPr>
          <w:lang w:val="fr-FR"/>
        </w:rPr>
        <w:t>’</w:t>
      </w:r>
      <w:r w:rsidR="00825B8D" w:rsidRPr="00B9362A">
        <w:rPr>
          <w:lang w:val="fr-FR"/>
        </w:rPr>
        <w:t>homme, du Comité des droits de l</w:t>
      </w:r>
      <w:r w:rsidR="00993CE3">
        <w:rPr>
          <w:lang w:val="fr-FR"/>
        </w:rPr>
        <w:t>’</w:t>
      </w:r>
      <w:r w:rsidR="00825B8D" w:rsidRPr="00B9362A">
        <w:rPr>
          <w:lang w:val="fr-FR"/>
        </w:rPr>
        <w:t>enfant, du Rapporteur spécial sur la question de la torture, du Groupe de travail sur les disparitions forcées ou involontaires et de la Commission africaine des droits de l</w:t>
      </w:r>
      <w:r w:rsidR="00993CE3">
        <w:rPr>
          <w:lang w:val="fr-FR"/>
        </w:rPr>
        <w:t>’</w:t>
      </w:r>
      <w:r w:rsidR="00825B8D" w:rsidRPr="00B9362A">
        <w:rPr>
          <w:lang w:val="fr-FR"/>
        </w:rPr>
        <w:t>homme et des peuples. Ces sources tendent à confirmer que la torture était systématiquement pratiquée en Égypte pendant toute la période visée par l</w:t>
      </w:r>
      <w:r w:rsidR="00993CE3">
        <w:rPr>
          <w:lang w:val="fr-FR"/>
        </w:rPr>
        <w:t>’</w:t>
      </w:r>
      <w:r w:rsidR="00825B8D" w:rsidRPr="00B9362A">
        <w:rPr>
          <w:lang w:val="fr-FR"/>
        </w:rPr>
        <w:t>enquête.</w:t>
      </w:r>
    </w:p>
    <w:p w:rsidR="00825B8D" w:rsidRPr="00B9362A" w:rsidRDefault="00B9362A" w:rsidP="00B9362A">
      <w:pPr>
        <w:pStyle w:val="SingleTxtG"/>
        <w:rPr>
          <w:lang w:val="fr-FR"/>
        </w:rPr>
      </w:pPr>
      <w:r>
        <w:rPr>
          <w:lang w:val="fr-FR"/>
        </w:rPr>
        <w:t>65.</w:t>
      </w:r>
      <w:r>
        <w:rPr>
          <w:lang w:val="fr-FR"/>
        </w:rPr>
        <w:tab/>
      </w:r>
      <w:r w:rsidR="00825B8D" w:rsidRPr="00B9362A">
        <w:rPr>
          <w:lang w:val="fr-FR"/>
        </w:rPr>
        <w:t>Le Comité a également examiné des rapports rendus publics par les ONG suivantes : El</w:t>
      </w:r>
      <w:r w:rsidR="00825B8D" w:rsidRPr="00B9362A">
        <w:rPr>
          <w:lang w:val="fr-FR"/>
        </w:rPr>
        <w:noBreakHyphen/>
        <w:t xml:space="preserve">Nadeem Center </w:t>
      </w:r>
      <w:r w:rsidR="00825B8D" w:rsidRPr="00B9362A">
        <w:t>for Rehabilitation of Victims of Violence</w:t>
      </w:r>
      <w:r w:rsidR="00825B8D" w:rsidRPr="00B9362A">
        <w:rPr>
          <w:lang w:val="fr-FR"/>
        </w:rPr>
        <w:t>, Amnesty International, Egyptian Initiative for Personal Rights, Organisation égyptienne pour les droits de l</w:t>
      </w:r>
      <w:r w:rsidR="00993CE3">
        <w:rPr>
          <w:lang w:val="fr-FR"/>
        </w:rPr>
        <w:t>’</w:t>
      </w:r>
      <w:r w:rsidR="00825B8D" w:rsidRPr="00B9362A">
        <w:rPr>
          <w:lang w:val="fr-FR"/>
        </w:rPr>
        <w:t xml:space="preserve">homme, </w:t>
      </w:r>
      <w:r w:rsidR="00825B8D" w:rsidRPr="00B9362A">
        <w:t>Fédération internationale des ligues des droits de l</w:t>
      </w:r>
      <w:r w:rsidR="00993CE3">
        <w:t>’</w:t>
      </w:r>
      <w:r w:rsidR="00825B8D" w:rsidRPr="00B9362A">
        <w:t>homme</w:t>
      </w:r>
      <w:r w:rsidR="00825B8D" w:rsidRPr="00B9362A">
        <w:rPr>
          <w:lang w:val="fr-FR"/>
        </w:rPr>
        <w:t xml:space="preserve">, Human Rights Watch et United Group </w:t>
      </w:r>
      <w:r w:rsidR="00993CE3">
        <w:rPr>
          <w:lang w:val="fr-FR"/>
        </w:rPr>
        <w:t>−</w:t>
      </w:r>
      <w:r w:rsidR="00825B8D" w:rsidRPr="00B9362A">
        <w:rPr>
          <w:lang w:val="fr-FR"/>
        </w:rPr>
        <w:t xml:space="preserve"> </w:t>
      </w:r>
      <w:r w:rsidR="00825B8D" w:rsidRPr="00B9362A">
        <w:t>Attorneys at Law, Legal Advisors and Human Rights Advocates</w:t>
      </w:r>
      <w:r w:rsidR="00825B8D" w:rsidRPr="00B9362A">
        <w:rPr>
          <w:lang w:val="fr-FR"/>
        </w:rPr>
        <w:t>. Ces rapports détaillaient 94 cas présumés d</w:t>
      </w:r>
      <w:r w:rsidR="00993CE3">
        <w:rPr>
          <w:lang w:val="fr-FR"/>
        </w:rPr>
        <w:t>’</w:t>
      </w:r>
      <w:r w:rsidR="00825B8D" w:rsidRPr="00B9362A">
        <w:rPr>
          <w:lang w:val="fr-FR"/>
        </w:rPr>
        <w:t xml:space="preserve">actes de torture commis entre 2011 et 2015 et certaines organisations ont déclaré avoir reçu des milliers de plaintes. </w:t>
      </w:r>
    </w:p>
    <w:p w:rsidR="00825B8D" w:rsidRPr="00B9362A" w:rsidRDefault="00B9362A" w:rsidP="00B9362A">
      <w:pPr>
        <w:pStyle w:val="SingleTxtG"/>
        <w:rPr>
          <w:lang w:val="fr-FR"/>
        </w:rPr>
      </w:pPr>
      <w:r>
        <w:rPr>
          <w:lang w:val="fr-FR"/>
        </w:rPr>
        <w:t>66.</w:t>
      </w:r>
      <w:r>
        <w:rPr>
          <w:lang w:val="fr-FR"/>
        </w:rPr>
        <w:tab/>
      </w:r>
      <w:r w:rsidR="00825B8D" w:rsidRPr="00B9362A">
        <w:rPr>
          <w:lang w:val="fr-FR"/>
        </w:rPr>
        <w:t>Selon les sources, l</w:t>
      </w:r>
      <w:r w:rsidR="00993CE3">
        <w:rPr>
          <w:lang w:val="fr-FR"/>
        </w:rPr>
        <w:t>’</w:t>
      </w:r>
      <w:r w:rsidR="00825B8D" w:rsidRPr="00B9362A">
        <w:rPr>
          <w:lang w:val="fr-FR"/>
        </w:rPr>
        <w:t>armée, la police et le personnel pénitentiaire égyptiens ont utilisé la torture pour punir des manifestants et, depuis 2013, pour persécuter les partisans et les membres des Frères musulmans et pour arracher des aveux ou contraindre des détenus à dénoncer d</w:t>
      </w:r>
      <w:r w:rsidR="00993CE3">
        <w:rPr>
          <w:lang w:val="fr-FR"/>
        </w:rPr>
        <w:t>’</w:t>
      </w:r>
      <w:r w:rsidR="00825B8D" w:rsidRPr="00B9362A">
        <w:rPr>
          <w:lang w:val="fr-FR"/>
        </w:rPr>
        <w:t>autres personnes. La pratique de la torture aurait été facilitée par une augmentation significative du nombre d</w:t>
      </w:r>
      <w:r w:rsidR="00993CE3">
        <w:rPr>
          <w:lang w:val="fr-FR"/>
        </w:rPr>
        <w:t>’</w:t>
      </w:r>
      <w:r w:rsidR="00825B8D" w:rsidRPr="00B9362A">
        <w:rPr>
          <w:lang w:val="fr-FR"/>
        </w:rPr>
        <w:t>arrestations par les autorités depuis juillet 2013, ainsi que par la pratique consistant à détenir des manifestants dans des lieux de détention non officiels. Les sources ont également fait état de violences sexuelles commises par des agents de l</w:t>
      </w:r>
      <w:r w:rsidR="00993CE3">
        <w:rPr>
          <w:lang w:val="fr-FR"/>
        </w:rPr>
        <w:t>’</w:t>
      </w:r>
      <w:r w:rsidR="00825B8D" w:rsidRPr="00B9362A">
        <w:rPr>
          <w:lang w:val="fr-FR"/>
        </w:rPr>
        <w:t>État et d</w:t>
      </w:r>
      <w:r w:rsidR="00993CE3">
        <w:rPr>
          <w:lang w:val="fr-FR"/>
        </w:rPr>
        <w:t>’</w:t>
      </w:r>
      <w:r w:rsidR="00825B8D" w:rsidRPr="00B9362A">
        <w:rPr>
          <w:lang w:val="fr-FR"/>
        </w:rPr>
        <w:t>un usage excessif de la force lors des manifestations, qui aurait fait des milliers de morts depuis 2011. Selon elles, la torture est restée largement impunie et cette impunité a été facilitée par l</w:t>
      </w:r>
      <w:r w:rsidR="00993CE3">
        <w:rPr>
          <w:lang w:val="fr-FR"/>
        </w:rPr>
        <w:t>’</w:t>
      </w:r>
      <w:r w:rsidR="00825B8D" w:rsidRPr="00B9362A">
        <w:rPr>
          <w:lang w:val="fr-FR"/>
        </w:rPr>
        <w:t>absence d</w:t>
      </w:r>
      <w:r w:rsidR="00993CE3">
        <w:rPr>
          <w:lang w:val="fr-FR"/>
        </w:rPr>
        <w:t>’</w:t>
      </w:r>
      <w:r w:rsidR="00825B8D" w:rsidRPr="00B9362A">
        <w:rPr>
          <w:lang w:val="fr-FR"/>
        </w:rPr>
        <w:t>un service d</w:t>
      </w:r>
      <w:r w:rsidR="00993CE3">
        <w:rPr>
          <w:lang w:val="fr-FR"/>
        </w:rPr>
        <w:t>’</w:t>
      </w:r>
      <w:r w:rsidR="00825B8D" w:rsidRPr="00B9362A">
        <w:rPr>
          <w:lang w:val="fr-FR"/>
        </w:rPr>
        <w:t>enquête indépendant sur les plaintes pour torture, l</w:t>
      </w:r>
      <w:r w:rsidR="00993CE3">
        <w:rPr>
          <w:lang w:val="fr-FR"/>
        </w:rPr>
        <w:t>’</w:t>
      </w:r>
      <w:r w:rsidR="00825B8D" w:rsidRPr="00B9362A">
        <w:rPr>
          <w:lang w:val="fr-FR"/>
        </w:rPr>
        <w:t>utilisation excessive des tribunaux militaires, l</w:t>
      </w:r>
      <w:r w:rsidR="00993CE3">
        <w:rPr>
          <w:lang w:val="fr-FR"/>
        </w:rPr>
        <w:t>’</w:t>
      </w:r>
      <w:r w:rsidR="00825B8D" w:rsidRPr="00B9362A">
        <w:rPr>
          <w:lang w:val="fr-FR"/>
        </w:rPr>
        <w:t>absence d</w:t>
      </w:r>
      <w:r w:rsidR="00993CE3">
        <w:rPr>
          <w:lang w:val="fr-FR"/>
        </w:rPr>
        <w:t>’</w:t>
      </w:r>
      <w:r w:rsidR="00825B8D" w:rsidRPr="00B9362A">
        <w:rPr>
          <w:lang w:val="fr-FR"/>
        </w:rPr>
        <w:t>une surveillance indépendante et régulière des lieux de détention, et le manque d</w:t>
      </w:r>
      <w:r w:rsidR="00993CE3">
        <w:rPr>
          <w:lang w:val="fr-FR"/>
        </w:rPr>
        <w:t>’</w:t>
      </w:r>
      <w:r w:rsidR="00825B8D" w:rsidRPr="00B9362A">
        <w:rPr>
          <w:lang w:val="fr-FR"/>
        </w:rPr>
        <w:t>indépendance et de compétences du Conseil national des droits de l</w:t>
      </w:r>
      <w:r w:rsidR="00993CE3">
        <w:rPr>
          <w:lang w:val="fr-FR"/>
        </w:rPr>
        <w:t>’</w:t>
      </w:r>
      <w:r w:rsidR="00825B8D" w:rsidRPr="00B9362A">
        <w:rPr>
          <w:lang w:val="fr-FR"/>
        </w:rPr>
        <w:t>homme.</w:t>
      </w:r>
    </w:p>
    <w:p w:rsidR="00825B8D" w:rsidRPr="00B9362A" w:rsidRDefault="00825B8D" w:rsidP="00B9362A">
      <w:pPr>
        <w:pStyle w:val="H23G"/>
        <w:rPr>
          <w:lang w:val="fr-FR"/>
        </w:rPr>
      </w:pPr>
      <w:r w:rsidRPr="00B9362A">
        <w:rPr>
          <w:lang w:val="fr-FR"/>
        </w:rPr>
        <w:tab/>
      </w:r>
      <w:r w:rsidRPr="00B9362A">
        <w:rPr>
          <w:lang w:val="fr-FR"/>
        </w:rPr>
        <w:tab/>
        <w:t>Conclusions et recommandations</w:t>
      </w:r>
    </w:p>
    <w:p w:rsidR="00825B8D" w:rsidRPr="00B9362A" w:rsidRDefault="00B9362A" w:rsidP="00B9362A">
      <w:pPr>
        <w:pStyle w:val="SingleTxtG"/>
        <w:rPr>
          <w:lang w:val="fr-FR"/>
        </w:rPr>
      </w:pPr>
      <w:r>
        <w:rPr>
          <w:lang w:val="fr-FR"/>
        </w:rPr>
        <w:t>67.</w:t>
      </w:r>
      <w:r>
        <w:rPr>
          <w:lang w:val="fr-FR"/>
        </w:rPr>
        <w:tab/>
      </w:r>
      <w:r w:rsidR="00825B8D" w:rsidRPr="00B9362A">
        <w:rPr>
          <w:lang w:val="fr-FR"/>
        </w:rPr>
        <w:t>Le Comité considère, entre autres, qu</w:t>
      </w:r>
      <w:r w:rsidR="00993CE3">
        <w:rPr>
          <w:lang w:val="fr-FR"/>
        </w:rPr>
        <w:t>’</w:t>
      </w:r>
      <w:r w:rsidR="00825B8D" w:rsidRPr="00B9362A">
        <w:rPr>
          <w:lang w:val="fr-FR"/>
        </w:rPr>
        <w:t>il y a pratique systématique de la torture lorsqu</w:t>
      </w:r>
      <w:r w:rsidR="00993CE3">
        <w:rPr>
          <w:lang w:val="fr-FR"/>
        </w:rPr>
        <w:t>’</w:t>
      </w:r>
      <w:r w:rsidR="00825B8D" w:rsidRPr="00B9362A">
        <w:rPr>
          <w:lang w:val="fr-FR"/>
        </w:rPr>
        <w:t>il apparaît que les cas de torture rapportés ne se sont pas produits fortuitement en un endroit ou à un moment donné mais comportent des éléments d</w:t>
      </w:r>
      <w:r w:rsidR="00993CE3">
        <w:rPr>
          <w:lang w:val="fr-FR"/>
        </w:rPr>
        <w:t>’</w:t>
      </w:r>
      <w:r w:rsidR="00825B8D" w:rsidRPr="00B9362A">
        <w:rPr>
          <w:lang w:val="fr-FR"/>
        </w:rPr>
        <w:t xml:space="preserve">habitude, de généralité et de finalité déterminés au moins sur une portion non négligeable du territoire du pays en cause (voir </w:t>
      </w:r>
      <w:hyperlink r:id="rId127" w:history="1">
        <w:r w:rsidR="00825B8D" w:rsidRPr="00AC1572">
          <w:rPr>
            <w:rStyle w:val="Lienhypertexte"/>
            <w:lang w:val="es-ES"/>
          </w:rPr>
          <w:t>A/48/44/Add.1</w:t>
        </w:r>
      </w:hyperlink>
      <w:r w:rsidR="00825B8D" w:rsidRPr="00B9362A">
        <w:rPr>
          <w:lang w:val="es-ES"/>
        </w:rPr>
        <w:t xml:space="preserve">, par. 39, et </w:t>
      </w:r>
      <w:hyperlink r:id="rId128" w:history="1">
        <w:r w:rsidR="00825B8D" w:rsidRPr="00AC1572">
          <w:rPr>
            <w:rStyle w:val="Lienhypertexte"/>
            <w:lang w:val="es-ES"/>
          </w:rPr>
          <w:t>A/56/44</w:t>
        </w:r>
      </w:hyperlink>
      <w:r w:rsidR="00825B8D" w:rsidRPr="00B9362A">
        <w:rPr>
          <w:lang w:val="es-ES"/>
        </w:rPr>
        <w:t>, par. 163)</w:t>
      </w:r>
      <w:r w:rsidR="00825B8D" w:rsidRPr="00B9362A">
        <w:rPr>
          <w:lang w:val="fr-FR"/>
        </w:rPr>
        <w:t>.</w:t>
      </w:r>
    </w:p>
    <w:p w:rsidR="00825B8D" w:rsidRPr="00B9362A" w:rsidRDefault="00B9362A" w:rsidP="00B9362A">
      <w:pPr>
        <w:pStyle w:val="SingleTxtG"/>
      </w:pPr>
      <w:r>
        <w:rPr>
          <w:lang w:val="fr-FR"/>
        </w:rPr>
        <w:t>68.</w:t>
      </w:r>
      <w:r>
        <w:rPr>
          <w:lang w:val="fr-FR"/>
        </w:rPr>
        <w:tab/>
      </w:r>
      <w:r w:rsidR="00825B8D" w:rsidRPr="00B9362A">
        <w:rPr>
          <w:lang w:val="fr-FR"/>
        </w:rPr>
        <w:t>Les informations émanant d</w:t>
      </w:r>
      <w:r w:rsidR="00993CE3">
        <w:rPr>
          <w:lang w:val="fr-FR"/>
        </w:rPr>
        <w:t>’</w:t>
      </w:r>
      <w:r w:rsidR="00825B8D" w:rsidRPr="00B9362A">
        <w:rPr>
          <w:lang w:val="fr-FR"/>
        </w:rPr>
        <w:t>ONG et les conclusions des fonctionnaires et organes de l</w:t>
      </w:r>
      <w:r w:rsidR="00993CE3">
        <w:rPr>
          <w:lang w:val="fr-FR"/>
        </w:rPr>
        <w:t>’</w:t>
      </w:r>
      <w:r w:rsidR="00825B8D" w:rsidRPr="00B9362A">
        <w:rPr>
          <w:lang w:val="fr-FR"/>
        </w:rPr>
        <w:t>ONU, notamment du Rapporteur spécial sur la question de la torture, font ressortir certaines tendances en ce qui concerne les auteurs d</w:t>
      </w:r>
      <w:r w:rsidR="00993CE3">
        <w:rPr>
          <w:lang w:val="fr-FR"/>
        </w:rPr>
        <w:t>’</w:t>
      </w:r>
      <w:r w:rsidR="00825B8D" w:rsidRPr="00B9362A">
        <w:rPr>
          <w:lang w:val="fr-FR"/>
        </w:rPr>
        <w:t>actes de torture, les méthodes de torture et les lieux où la torture est pratiquée en Égypte, ainsi que le climat général d</w:t>
      </w:r>
      <w:r w:rsidR="00993CE3">
        <w:rPr>
          <w:lang w:val="fr-FR"/>
        </w:rPr>
        <w:t>’</w:t>
      </w:r>
      <w:r w:rsidR="00825B8D" w:rsidRPr="00B9362A">
        <w:rPr>
          <w:lang w:val="fr-FR"/>
        </w:rPr>
        <w:t xml:space="preserve">impunité dont jouissent les auteurs. </w:t>
      </w:r>
    </w:p>
    <w:p w:rsidR="00825B8D" w:rsidRPr="00B9362A" w:rsidRDefault="00B9362A" w:rsidP="00B9362A">
      <w:pPr>
        <w:pStyle w:val="SingleTxtG"/>
      </w:pPr>
      <w:r>
        <w:rPr>
          <w:lang w:val="fr-FR"/>
        </w:rPr>
        <w:lastRenderedPageBreak/>
        <w:t>69.</w:t>
      </w:r>
      <w:r>
        <w:rPr>
          <w:lang w:val="fr-FR"/>
        </w:rPr>
        <w:tab/>
      </w:r>
      <w:r w:rsidR="00825B8D" w:rsidRPr="00B9362A">
        <w:rPr>
          <w:lang w:val="fr-FR"/>
        </w:rPr>
        <w:t>Il apparaît que dans bien des cas, les actes de torture sont commis après une arrestation arbitraire et qu</w:t>
      </w:r>
      <w:r w:rsidR="00993CE3">
        <w:rPr>
          <w:lang w:val="fr-FR"/>
        </w:rPr>
        <w:t>’</w:t>
      </w:r>
      <w:r w:rsidR="00825B8D" w:rsidRPr="00B9362A">
        <w:rPr>
          <w:lang w:val="fr-FR"/>
        </w:rPr>
        <w:t>ils ont souvent pour but d</w:t>
      </w:r>
      <w:r w:rsidR="00993CE3">
        <w:rPr>
          <w:lang w:val="fr-FR"/>
        </w:rPr>
        <w:t>’</w:t>
      </w:r>
      <w:r w:rsidR="00825B8D" w:rsidRPr="00B9362A">
        <w:rPr>
          <w:lang w:val="fr-FR"/>
        </w:rPr>
        <w:t>obtenir des aveux ou de punir et menacer des opposants politiques. La torture est pratiquée dans les commissariats de police, les prisons et les locaux des services de sécurité de l</w:t>
      </w:r>
      <w:r w:rsidR="00993CE3">
        <w:rPr>
          <w:lang w:val="fr-FR"/>
        </w:rPr>
        <w:t>’</w:t>
      </w:r>
      <w:r w:rsidR="00825B8D" w:rsidRPr="00B9362A">
        <w:rPr>
          <w:lang w:val="fr-FR"/>
        </w:rPr>
        <w:t>État et des forces centrales de sécurité. Elle est le fait de policiers, de militaires, d</w:t>
      </w:r>
      <w:r w:rsidR="00993CE3">
        <w:rPr>
          <w:lang w:val="fr-FR"/>
        </w:rPr>
        <w:t>’</w:t>
      </w:r>
      <w:r w:rsidR="00825B8D" w:rsidRPr="00B9362A">
        <w:rPr>
          <w:lang w:val="fr-FR"/>
        </w:rPr>
        <w:t>agents de la sécurité nationale et de gardiens de prison. Toutefois, les procureurs, les juges et les fonctionnaires de l</w:t>
      </w:r>
      <w:r w:rsidR="00993CE3">
        <w:rPr>
          <w:lang w:val="fr-FR"/>
        </w:rPr>
        <w:t>’</w:t>
      </w:r>
      <w:r w:rsidR="00825B8D" w:rsidRPr="00B9362A">
        <w:rPr>
          <w:lang w:val="fr-FR"/>
        </w:rPr>
        <w:t>administration pénitentiaire facilitent aussi la torture en ne faisant rien pour mettre fin à cette pratique, à la détention arbitraire et aux mauvais traitements, et en ne donnant pas suite aux plaintes pour torture ou mauvais traitements. Un grand nombre des cas de torture recensés se sont produits au Caire ou dans les environs, mais de nombreux cas ont également été signalés dans le reste du pays. Les auteurs jouissent d</w:t>
      </w:r>
      <w:r w:rsidR="00993CE3">
        <w:rPr>
          <w:lang w:val="fr-FR"/>
        </w:rPr>
        <w:t>’</w:t>
      </w:r>
      <w:r w:rsidR="00825B8D" w:rsidRPr="00B9362A">
        <w:rPr>
          <w:lang w:val="fr-FR"/>
        </w:rPr>
        <w:t>une impunité quasi totale, bien que la législation égyptienne interdise la torture et d</w:t>
      </w:r>
      <w:r w:rsidR="00993CE3">
        <w:rPr>
          <w:lang w:val="fr-FR"/>
        </w:rPr>
        <w:t>’</w:t>
      </w:r>
      <w:r w:rsidR="00825B8D" w:rsidRPr="00B9362A">
        <w:rPr>
          <w:lang w:val="fr-FR"/>
        </w:rPr>
        <w:t>autres pratiques connexes et prévoie des mécanismes pour que les auteurs de tels actes aient à en répondre devant la justice, signe qu</w:t>
      </w:r>
      <w:r w:rsidR="00993CE3">
        <w:rPr>
          <w:lang w:val="fr-FR"/>
        </w:rPr>
        <w:t>’</w:t>
      </w:r>
      <w:r w:rsidR="00825B8D" w:rsidRPr="00B9362A">
        <w:rPr>
          <w:lang w:val="fr-FR"/>
        </w:rPr>
        <w:t>il existe un décalage considérable entre le droit et la pratique. De l</w:t>
      </w:r>
      <w:r w:rsidR="00993CE3">
        <w:rPr>
          <w:lang w:val="fr-FR"/>
        </w:rPr>
        <w:t>’</w:t>
      </w:r>
      <w:r w:rsidR="00825B8D" w:rsidRPr="00B9362A">
        <w:rPr>
          <w:lang w:val="fr-FR"/>
        </w:rPr>
        <w:t>avis du Comité, tous ces éléments conduisent à la conclusion inévitable que la torture est une pratique systématique en Égypte.</w:t>
      </w:r>
    </w:p>
    <w:p w:rsidR="00825B8D" w:rsidRPr="00B9362A" w:rsidRDefault="00B9362A" w:rsidP="00B9362A">
      <w:pPr>
        <w:pStyle w:val="SingleTxtG"/>
        <w:rPr>
          <w:lang w:val="fr-FR"/>
        </w:rPr>
      </w:pPr>
      <w:r>
        <w:rPr>
          <w:lang w:val="fr-FR"/>
        </w:rPr>
        <w:t>70.</w:t>
      </w:r>
      <w:r>
        <w:rPr>
          <w:lang w:val="fr-FR"/>
        </w:rPr>
        <w:tab/>
      </w:r>
      <w:r w:rsidR="00825B8D" w:rsidRPr="00B9362A">
        <w:rPr>
          <w:lang w:val="fr-FR"/>
        </w:rPr>
        <w:t>Le Comité a adressé des recommandations urgentes à l</w:t>
      </w:r>
      <w:r w:rsidR="00993CE3">
        <w:rPr>
          <w:lang w:val="fr-FR"/>
        </w:rPr>
        <w:t>’</w:t>
      </w:r>
      <w:r w:rsidR="00825B8D" w:rsidRPr="00B9362A">
        <w:rPr>
          <w:lang w:val="fr-FR"/>
        </w:rPr>
        <w:t>État partie, lui demandant notamment de mettre immédiatement fin à la pratique de la torture et des mauvais traitements dans tous les lieux de détention, de faire en sorte que les fonctionnaires au plus haut niveau de responsabilité condamnent publiquement la torture et les mauvais traitements perpétrés par des agents de l</w:t>
      </w:r>
      <w:r w:rsidR="00993CE3">
        <w:rPr>
          <w:lang w:val="fr-FR"/>
        </w:rPr>
        <w:t>’</w:t>
      </w:r>
      <w:r w:rsidR="00825B8D" w:rsidRPr="00B9362A">
        <w:rPr>
          <w:lang w:val="fr-FR"/>
        </w:rPr>
        <w:t>État et adoptent une politique de tolérance zéro, et de poursuivre les auteurs d</w:t>
      </w:r>
      <w:r w:rsidR="00993CE3">
        <w:rPr>
          <w:lang w:val="fr-FR"/>
        </w:rPr>
        <w:t>’</w:t>
      </w:r>
      <w:r w:rsidR="00825B8D" w:rsidRPr="00B9362A">
        <w:rPr>
          <w:lang w:val="fr-FR"/>
        </w:rPr>
        <w:t>actes de torture, y compris ceux qui occupent des postes de commandement ou sont en situation de supériorité hiérarchique.</w:t>
      </w:r>
    </w:p>
    <w:p w:rsidR="00825B8D" w:rsidRPr="00B9362A" w:rsidRDefault="00825B8D" w:rsidP="00B9362A">
      <w:pPr>
        <w:pStyle w:val="H23G"/>
        <w:rPr>
          <w:lang w:val="fr-FR"/>
        </w:rPr>
      </w:pPr>
      <w:r w:rsidRPr="00B9362A">
        <w:rPr>
          <w:lang w:val="fr-FR"/>
        </w:rPr>
        <w:tab/>
      </w:r>
      <w:r w:rsidRPr="00B9362A">
        <w:rPr>
          <w:lang w:val="fr-FR"/>
        </w:rPr>
        <w:tab/>
        <w:t>Commentaires et observations de l</w:t>
      </w:r>
      <w:r w:rsidR="00993CE3">
        <w:rPr>
          <w:lang w:val="fr-FR"/>
        </w:rPr>
        <w:t>’</w:t>
      </w:r>
      <w:r w:rsidRPr="00B9362A">
        <w:rPr>
          <w:lang w:val="fr-FR"/>
        </w:rPr>
        <w:t>Égypte concernant le rapport d</w:t>
      </w:r>
      <w:r w:rsidR="00993CE3">
        <w:rPr>
          <w:lang w:val="fr-FR"/>
        </w:rPr>
        <w:t>’</w:t>
      </w:r>
      <w:r w:rsidRPr="00B9362A">
        <w:rPr>
          <w:lang w:val="fr-FR"/>
        </w:rPr>
        <w:t>enquête</w:t>
      </w:r>
    </w:p>
    <w:p w:rsidR="00825B8D" w:rsidRPr="00B9362A" w:rsidRDefault="00B9362A" w:rsidP="00B9362A">
      <w:pPr>
        <w:pStyle w:val="SingleTxtG"/>
        <w:rPr>
          <w:lang w:val="fr-FR"/>
        </w:rPr>
      </w:pPr>
      <w:r>
        <w:rPr>
          <w:lang w:val="fr-FR"/>
        </w:rPr>
        <w:t>71.</w:t>
      </w:r>
      <w:r>
        <w:rPr>
          <w:lang w:val="fr-FR"/>
        </w:rPr>
        <w:tab/>
      </w:r>
      <w:r w:rsidR="00825B8D" w:rsidRPr="00B9362A">
        <w:rPr>
          <w:lang w:val="fr-FR"/>
        </w:rPr>
        <w:t>Le 1</w:t>
      </w:r>
      <w:r w:rsidR="00825B8D" w:rsidRPr="00B9362A">
        <w:rPr>
          <w:vertAlign w:val="superscript"/>
          <w:lang w:val="fr-FR"/>
        </w:rPr>
        <w:t>er</w:t>
      </w:r>
      <w:r w:rsidR="00825B8D" w:rsidRPr="00B9362A">
        <w:rPr>
          <w:lang w:val="fr-FR"/>
        </w:rPr>
        <w:t> juin 2016, le Gouvernement égyptien a répondu aux constatations du Comité en affirmant que celui-ci n</w:t>
      </w:r>
      <w:r w:rsidR="00993CE3">
        <w:rPr>
          <w:lang w:val="fr-FR"/>
        </w:rPr>
        <w:t>’</w:t>
      </w:r>
      <w:r w:rsidR="00825B8D" w:rsidRPr="00B9362A">
        <w:rPr>
          <w:lang w:val="fr-FR"/>
        </w:rPr>
        <w:t>aurait pas dû conclure à une pratique systématique de la torture en se fondant sur le fait que l</w:t>
      </w:r>
      <w:r w:rsidR="00993CE3">
        <w:rPr>
          <w:lang w:val="fr-FR"/>
        </w:rPr>
        <w:t>’</w:t>
      </w:r>
      <w:r w:rsidR="00825B8D" w:rsidRPr="00B9362A">
        <w:rPr>
          <w:lang w:val="fr-FR"/>
        </w:rPr>
        <w:t>État partie n</w:t>
      </w:r>
      <w:r w:rsidR="00993CE3">
        <w:rPr>
          <w:lang w:val="fr-FR"/>
        </w:rPr>
        <w:t>’</w:t>
      </w:r>
      <w:r w:rsidR="00825B8D" w:rsidRPr="00B9362A">
        <w:rPr>
          <w:lang w:val="fr-FR"/>
        </w:rPr>
        <w:t>avait pas donné suite aux allégations d</w:t>
      </w:r>
      <w:r w:rsidR="00993CE3">
        <w:rPr>
          <w:lang w:val="fr-FR"/>
        </w:rPr>
        <w:t>’</w:t>
      </w:r>
      <w:r w:rsidR="00825B8D" w:rsidRPr="00B9362A">
        <w:rPr>
          <w:lang w:val="fr-FR"/>
        </w:rPr>
        <w:t>Alkarama, qui selon lui reposaient sur des rumeurs et n</w:t>
      </w:r>
      <w:r w:rsidR="00993CE3">
        <w:rPr>
          <w:lang w:val="fr-FR"/>
        </w:rPr>
        <w:t>’</w:t>
      </w:r>
      <w:r w:rsidR="00825B8D" w:rsidRPr="00B9362A">
        <w:rPr>
          <w:lang w:val="fr-FR"/>
        </w:rPr>
        <w:t>étaient étayées par aucune preuve. L</w:t>
      </w:r>
      <w:r w:rsidR="00993CE3">
        <w:rPr>
          <w:lang w:val="fr-FR"/>
        </w:rPr>
        <w:t>’</w:t>
      </w:r>
      <w:r w:rsidR="00825B8D" w:rsidRPr="00B9362A">
        <w:rPr>
          <w:lang w:val="fr-FR"/>
        </w:rPr>
        <w:t>État partie a fait savoir qu</w:t>
      </w:r>
      <w:r w:rsidR="00993CE3">
        <w:rPr>
          <w:lang w:val="fr-FR"/>
        </w:rPr>
        <w:t>’</w:t>
      </w:r>
      <w:r w:rsidR="00825B8D" w:rsidRPr="00B9362A">
        <w:rPr>
          <w:lang w:val="fr-FR"/>
        </w:rPr>
        <w:t>il avait accepté de nombreuses recommandations du Comité, qui étaient déjà mises en œuvre, et qu</w:t>
      </w:r>
      <w:r w:rsidR="00993CE3">
        <w:rPr>
          <w:lang w:val="fr-FR"/>
        </w:rPr>
        <w:t>’</w:t>
      </w:r>
      <w:r w:rsidR="00825B8D" w:rsidRPr="00B9362A">
        <w:rPr>
          <w:lang w:val="fr-FR"/>
        </w:rPr>
        <w:t>il en avait partiellement accepté plusieurs autres ou en avait pris note. Il a rejeté les recommandations du Comité tendant à ce qu</w:t>
      </w:r>
      <w:r w:rsidR="00993CE3">
        <w:rPr>
          <w:lang w:val="fr-FR"/>
        </w:rPr>
        <w:t>’</w:t>
      </w:r>
      <w:r w:rsidR="00825B8D" w:rsidRPr="00B9362A">
        <w:rPr>
          <w:lang w:val="fr-FR"/>
        </w:rPr>
        <w:t>il mette immédiatement fin à la pratique de la détention au secret, qu</w:t>
      </w:r>
      <w:r w:rsidR="00993CE3">
        <w:rPr>
          <w:lang w:val="fr-FR"/>
        </w:rPr>
        <w:t>’</w:t>
      </w:r>
      <w:r w:rsidR="00825B8D" w:rsidRPr="00B9362A">
        <w:rPr>
          <w:lang w:val="fr-FR"/>
        </w:rPr>
        <w:t>il crée une autorité indépendante chargée d</w:t>
      </w:r>
      <w:r w:rsidR="00993CE3">
        <w:rPr>
          <w:lang w:val="fr-FR"/>
        </w:rPr>
        <w:t>’</w:t>
      </w:r>
      <w:r w:rsidR="00825B8D" w:rsidRPr="00B9362A">
        <w:rPr>
          <w:lang w:val="fr-FR"/>
        </w:rPr>
        <w:t>enquêter sur les allégations de torture, de disparition forcée et de mauvais traitements, qu</w:t>
      </w:r>
      <w:r w:rsidR="00993CE3">
        <w:rPr>
          <w:lang w:val="fr-FR"/>
        </w:rPr>
        <w:t>’</w:t>
      </w:r>
      <w:r w:rsidR="00825B8D" w:rsidRPr="00B9362A">
        <w:rPr>
          <w:lang w:val="fr-FR"/>
        </w:rPr>
        <w:t>il limite la compétence des tribunaux militaires aux infractions liées exclusivement à des fonctions militaires et qu</w:t>
      </w:r>
      <w:r w:rsidR="00993CE3">
        <w:rPr>
          <w:lang w:val="fr-FR"/>
        </w:rPr>
        <w:t>’</w:t>
      </w:r>
      <w:r w:rsidR="00825B8D" w:rsidRPr="00B9362A">
        <w:rPr>
          <w:lang w:val="fr-FR"/>
        </w:rPr>
        <w:t>il fasse respecter l</w:t>
      </w:r>
      <w:r w:rsidR="00993CE3">
        <w:rPr>
          <w:lang w:val="fr-FR"/>
        </w:rPr>
        <w:t>’</w:t>
      </w:r>
      <w:r w:rsidR="00825B8D" w:rsidRPr="00B9362A">
        <w:rPr>
          <w:lang w:val="fr-FR"/>
        </w:rPr>
        <w:t>interdiction des « tests de virginité » et mette un terme à la pratique consistant à faire subir des examens rectaux aux personnes accusées de certaines infractions.</w:t>
      </w:r>
    </w:p>
    <w:p w:rsidR="00825B8D" w:rsidRPr="00B9362A" w:rsidRDefault="00825B8D" w:rsidP="00B9362A">
      <w:pPr>
        <w:pStyle w:val="HChG"/>
        <w:rPr>
          <w:lang w:val="fr-FR"/>
        </w:rPr>
      </w:pPr>
      <w:r w:rsidRPr="00B9362A">
        <w:rPr>
          <w:lang w:val="fr-FR"/>
        </w:rPr>
        <w:tab/>
        <w:t>VI.</w:t>
      </w:r>
      <w:r w:rsidRPr="00B9362A">
        <w:rPr>
          <w:lang w:val="fr-FR"/>
        </w:rPr>
        <w:tab/>
        <w:t xml:space="preserve">Examen de communications soumises en application </w:t>
      </w:r>
      <w:r w:rsidRPr="00B9362A">
        <w:rPr>
          <w:lang w:val="fr-FR"/>
        </w:rPr>
        <w:br/>
        <w:t>de l</w:t>
      </w:r>
      <w:r w:rsidR="00993CE3">
        <w:rPr>
          <w:lang w:val="fr-FR"/>
        </w:rPr>
        <w:t>’</w:t>
      </w:r>
      <w:r w:rsidRPr="00B9362A">
        <w:rPr>
          <w:lang w:val="fr-FR"/>
        </w:rPr>
        <w:t>article 22 de la Convention</w:t>
      </w:r>
    </w:p>
    <w:p w:rsidR="00825B8D" w:rsidRPr="00B9362A" w:rsidRDefault="00825B8D" w:rsidP="00B9362A">
      <w:pPr>
        <w:pStyle w:val="H1G"/>
        <w:rPr>
          <w:lang w:val="fr-FR"/>
        </w:rPr>
      </w:pPr>
      <w:r w:rsidRPr="00B9362A">
        <w:rPr>
          <w:lang w:val="fr-FR"/>
        </w:rPr>
        <w:tab/>
        <w:t>A.</w:t>
      </w:r>
      <w:r w:rsidRPr="00B9362A">
        <w:rPr>
          <w:lang w:val="fr-FR"/>
        </w:rPr>
        <w:tab/>
        <w:t>Introduction</w:t>
      </w:r>
    </w:p>
    <w:p w:rsidR="00825B8D" w:rsidRPr="00B9362A" w:rsidRDefault="00B9362A" w:rsidP="00B9362A">
      <w:pPr>
        <w:pStyle w:val="SingleTxtG"/>
        <w:rPr>
          <w:lang w:val="fr-FR"/>
        </w:rPr>
      </w:pPr>
      <w:r>
        <w:rPr>
          <w:lang w:val="fr-FR"/>
        </w:rPr>
        <w:t>72.</w:t>
      </w:r>
      <w:r>
        <w:rPr>
          <w:lang w:val="fr-FR"/>
        </w:rPr>
        <w:tab/>
      </w:r>
      <w:r w:rsidR="00825B8D" w:rsidRPr="00B9362A">
        <w:rPr>
          <w:lang w:val="fr-FR"/>
        </w:rPr>
        <w:t>Conformément à l</w:t>
      </w:r>
      <w:r w:rsidR="00993CE3">
        <w:rPr>
          <w:lang w:val="fr-FR"/>
        </w:rPr>
        <w:t>’</w:t>
      </w:r>
      <w:r w:rsidR="00825B8D" w:rsidRPr="00B9362A">
        <w:rPr>
          <w:lang w:val="fr-FR"/>
        </w:rPr>
        <w:t>article 22 de la Convention, les particuliers qui affirment être victimes d</w:t>
      </w:r>
      <w:r w:rsidR="00993CE3">
        <w:rPr>
          <w:lang w:val="fr-FR"/>
        </w:rPr>
        <w:t>’</w:t>
      </w:r>
      <w:r w:rsidR="00825B8D" w:rsidRPr="00B9362A">
        <w:rPr>
          <w:lang w:val="fr-FR"/>
        </w:rPr>
        <w:t>une violation par un État partie des dispositions de la Convention ont le droit d</w:t>
      </w:r>
      <w:r w:rsidR="00993CE3">
        <w:rPr>
          <w:lang w:val="fr-FR"/>
        </w:rPr>
        <w:t>’</w:t>
      </w:r>
      <w:r w:rsidR="00825B8D" w:rsidRPr="00B9362A">
        <w:rPr>
          <w:lang w:val="fr-FR"/>
        </w:rPr>
        <w:t>adresser une requête au Comité contre la torture pour examen, sous réserve des conditions énoncées dans cet article. Soixante</w:t>
      </w:r>
      <w:r w:rsidR="00825B8D" w:rsidRPr="00B9362A">
        <w:rPr>
          <w:lang w:val="fr-FR"/>
        </w:rPr>
        <w:noBreakHyphen/>
        <w:t>sept des États parties à la Convention ont déclaré reconnaître la compétence du Comité pour recevoir et examiner des requêtes en vertu de l</w:t>
      </w:r>
      <w:r w:rsidR="00993CE3">
        <w:rPr>
          <w:lang w:val="fr-FR"/>
        </w:rPr>
        <w:t>’</w:t>
      </w:r>
      <w:r w:rsidR="00825B8D" w:rsidRPr="00B9362A">
        <w:rPr>
          <w:lang w:val="fr-FR"/>
        </w:rPr>
        <w:t>article 22 de la Convention. Le Comité ne peut pas recevoir de requête concernant un État partie à la Convention qui n</w:t>
      </w:r>
      <w:r w:rsidR="00993CE3">
        <w:rPr>
          <w:lang w:val="fr-FR"/>
        </w:rPr>
        <w:t>’</w:t>
      </w:r>
      <w:r w:rsidR="00825B8D" w:rsidRPr="00B9362A">
        <w:rPr>
          <w:lang w:val="fr-FR"/>
        </w:rPr>
        <w:t>a pas reconnu sa compétence en vertu de l</w:t>
      </w:r>
      <w:r w:rsidR="00993CE3">
        <w:rPr>
          <w:lang w:val="fr-FR"/>
        </w:rPr>
        <w:t>’</w:t>
      </w:r>
      <w:r w:rsidR="00825B8D" w:rsidRPr="00B9362A">
        <w:rPr>
          <w:lang w:val="fr-FR"/>
        </w:rPr>
        <w:t>article 22.</w:t>
      </w:r>
    </w:p>
    <w:p w:rsidR="00825B8D" w:rsidRPr="00B9362A" w:rsidRDefault="00B9362A" w:rsidP="00B9362A">
      <w:pPr>
        <w:pStyle w:val="SingleTxtG"/>
        <w:rPr>
          <w:lang w:val="fr-FR"/>
        </w:rPr>
      </w:pPr>
      <w:r>
        <w:rPr>
          <w:lang w:val="fr-FR"/>
        </w:rPr>
        <w:t>73.</w:t>
      </w:r>
      <w:r>
        <w:rPr>
          <w:lang w:val="fr-FR"/>
        </w:rPr>
        <w:tab/>
      </w:r>
      <w:r w:rsidR="00825B8D" w:rsidRPr="00B9362A">
        <w:rPr>
          <w:lang w:val="fr-FR"/>
        </w:rPr>
        <w:t>Conformément au paragraphe 1 de l</w:t>
      </w:r>
      <w:r w:rsidR="00993CE3">
        <w:rPr>
          <w:lang w:val="fr-FR"/>
        </w:rPr>
        <w:t>’</w:t>
      </w:r>
      <w:r w:rsidR="00825B8D" w:rsidRPr="00B9362A">
        <w:rPr>
          <w:lang w:val="fr-FR"/>
        </w:rPr>
        <w:t>article 104 de son règlement intérieur, le Comité a créé le poste de Rapporteur chargé des nouvelles requêtes et des mesures provisoires, qui est actuellement occupé par M. Zhang.</w:t>
      </w:r>
    </w:p>
    <w:p w:rsidR="00825B8D" w:rsidRPr="00B9362A" w:rsidRDefault="00B9362A" w:rsidP="00B9362A">
      <w:pPr>
        <w:pStyle w:val="SingleTxtG"/>
        <w:rPr>
          <w:lang w:val="fr-FR"/>
        </w:rPr>
      </w:pPr>
      <w:r>
        <w:rPr>
          <w:lang w:val="fr-FR"/>
        </w:rPr>
        <w:lastRenderedPageBreak/>
        <w:t>74.</w:t>
      </w:r>
      <w:r>
        <w:rPr>
          <w:lang w:val="fr-FR"/>
        </w:rPr>
        <w:tab/>
      </w:r>
      <w:r w:rsidR="00825B8D" w:rsidRPr="00B9362A">
        <w:rPr>
          <w:lang w:val="fr-FR"/>
        </w:rPr>
        <w:t>Les requêtes soumises en application de l</w:t>
      </w:r>
      <w:r w:rsidR="00993CE3">
        <w:rPr>
          <w:lang w:val="fr-FR"/>
        </w:rPr>
        <w:t>’</w:t>
      </w:r>
      <w:r w:rsidR="00825B8D" w:rsidRPr="00B9362A">
        <w:rPr>
          <w:lang w:val="fr-FR"/>
        </w:rPr>
        <w:t>article 22 de la Convention sont examinées en séance privée. Tous les documents relatifs aux travaux du Comité au titre de l</w:t>
      </w:r>
      <w:r w:rsidR="00993CE3">
        <w:rPr>
          <w:lang w:val="fr-FR"/>
        </w:rPr>
        <w:t>’</w:t>
      </w:r>
      <w:r w:rsidR="00825B8D" w:rsidRPr="00B9362A">
        <w:rPr>
          <w:lang w:val="fr-FR"/>
        </w:rPr>
        <w:t>article 22 (observations des parties et autres documents de travail du Comité) sont confidentiels.</w:t>
      </w:r>
    </w:p>
    <w:p w:rsidR="00825B8D" w:rsidRPr="00B9362A" w:rsidRDefault="00B9362A" w:rsidP="00B9362A">
      <w:pPr>
        <w:pStyle w:val="SingleTxtG"/>
        <w:rPr>
          <w:lang w:val="fr-FR"/>
        </w:rPr>
      </w:pPr>
      <w:r>
        <w:rPr>
          <w:lang w:val="fr-FR"/>
        </w:rPr>
        <w:t>75.</w:t>
      </w:r>
      <w:r>
        <w:rPr>
          <w:lang w:val="fr-FR"/>
        </w:rPr>
        <w:tab/>
      </w:r>
      <w:r w:rsidR="00825B8D" w:rsidRPr="00B9362A">
        <w:rPr>
          <w:lang w:val="fr-FR"/>
        </w:rPr>
        <w:t>Le Comité rend une décision à la lumière de tous les renseignements qui lui sont apportés par les parties. Ses constatations sont communiquées aux parties et sont ensuite rendues publiques. Le texte des décisions du Comité déclarant une requête irrecevable ou mettant fin à l</w:t>
      </w:r>
      <w:r w:rsidR="00993CE3">
        <w:rPr>
          <w:lang w:val="fr-FR"/>
        </w:rPr>
        <w:t>’</w:t>
      </w:r>
      <w:r w:rsidR="00825B8D" w:rsidRPr="00B9362A">
        <w:rPr>
          <w:lang w:val="fr-FR"/>
        </w:rPr>
        <w:t>examen d</w:t>
      </w:r>
      <w:r w:rsidR="00993CE3">
        <w:rPr>
          <w:lang w:val="fr-FR"/>
        </w:rPr>
        <w:t>’</w:t>
      </w:r>
      <w:r w:rsidR="00825B8D" w:rsidRPr="00B9362A">
        <w:rPr>
          <w:lang w:val="fr-FR"/>
        </w:rPr>
        <w:t>une requête est également rendu public. L</w:t>
      </w:r>
      <w:r w:rsidR="00993CE3">
        <w:rPr>
          <w:lang w:val="fr-FR"/>
        </w:rPr>
        <w:t>’</w:t>
      </w:r>
      <w:r w:rsidR="00825B8D" w:rsidRPr="00B9362A">
        <w:rPr>
          <w:lang w:val="fr-FR"/>
        </w:rPr>
        <w:t>identité du requérant n</w:t>
      </w:r>
      <w:r w:rsidR="00993CE3">
        <w:rPr>
          <w:lang w:val="fr-FR"/>
        </w:rPr>
        <w:t>’</w:t>
      </w:r>
      <w:r w:rsidR="00825B8D" w:rsidRPr="00B9362A">
        <w:rPr>
          <w:lang w:val="fr-FR"/>
        </w:rPr>
        <w:t>est pas divulguée, mais le nom de l</w:t>
      </w:r>
      <w:r w:rsidR="00993CE3">
        <w:rPr>
          <w:lang w:val="fr-FR"/>
        </w:rPr>
        <w:t>’</w:t>
      </w:r>
      <w:r w:rsidR="00825B8D" w:rsidRPr="00B9362A">
        <w:rPr>
          <w:lang w:val="fr-FR"/>
        </w:rPr>
        <w:t xml:space="preserve">État partie concerné est indiqué. </w:t>
      </w:r>
    </w:p>
    <w:p w:rsidR="00825B8D" w:rsidRPr="00B9362A" w:rsidRDefault="00825B8D" w:rsidP="00B9362A">
      <w:pPr>
        <w:pStyle w:val="H1G"/>
        <w:rPr>
          <w:lang w:val="fr-FR"/>
        </w:rPr>
      </w:pPr>
      <w:r w:rsidRPr="00B9362A">
        <w:rPr>
          <w:lang w:val="fr-FR"/>
        </w:rPr>
        <w:tab/>
        <w:t>B.</w:t>
      </w:r>
      <w:r w:rsidRPr="00B9362A">
        <w:rPr>
          <w:lang w:val="fr-FR"/>
        </w:rPr>
        <w:tab/>
        <w:t>Mesures provisoires de protection</w:t>
      </w:r>
    </w:p>
    <w:p w:rsidR="00825B8D" w:rsidRPr="00B9362A" w:rsidRDefault="00B9362A" w:rsidP="00B9362A">
      <w:pPr>
        <w:pStyle w:val="SingleTxtG"/>
        <w:rPr>
          <w:lang w:val="fr-FR"/>
        </w:rPr>
      </w:pPr>
      <w:r>
        <w:rPr>
          <w:lang w:val="fr-FR"/>
        </w:rPr>
        <w:t>76.</w:t>
      </w:r>
      <w:r>
        <w:rPr>
          <w:lang w:val="fr-FR"/>
        </w:rPr>
        <w:tab/>
      </w:r>
      <w:r w:rsidR="00825B8D" w:rsidRPr="00B9362A">
        <w:rPr>
          <w:lang w:val="fr-FR"/>
        </w:rPr>
        <w:t>Il est fréquent que les requérants demandent une protection à titre préventif, en particulier quand ils sont sous le coup d</w:t>
      </w:r>
      <w:r w:rsidR="00993CE3">
        <w:rPr>
          <w:lang w:val="fr-FR"/>
        </w:rPr>
        <w:t>’</w:t>
      </w:r>
      <w:r w:rsidR="00825B8D" w:rsidRPr="00B9362A">
        <w:rPr>
          <w:lang w:val="fr-FR"/>
        </w:rPr>
        <w:t>une mesure d</w:t>
      </w:r>
      <w:r w:rsidR="00993CE3">
        <w:rPr>
          <w:lang w:val="fr-FR"/>
        </w:rPr>
        <w:t>’</w:t>
      </w:r>
      <w:r w:rsidR="00825B8D" w:rsidRPr="00B9362A">
        <w:rPr>
          <w:lang w:val="fr-FR"/>
        </w:rPr>
        <w:t>expulsion ou d</w:t>
      </w:r>
      <w:r w:rsidR="00993CE3">
        <w:rPr>
          <w:lang w:val="fr-FR"/>
        </w:rPr>
        <w:t>’</w:t>
      </w:r>
      <w:r w:rsidR="00825B8D" w:rsidRPr="00B9362A">
        <w:rPr>
          <w:lang w:val="fr-FR"/>
        </w:rPr>
        <w:t>extradition imminente et invoquent une violation de l</w:t>
      </w:r>
      <w:r w:rsidR="00993CE3">
        <w:rPr>
          <w:lang w:val="fr-FR"/>
        </w:rPr>
        <w:t>’</w:t>
      </w:r>
      <w:r w:rsidR="00825B8D" w:rsidRPr="00B9362A">
        <w:rPr>
          <w:lang w:val="fr-FR"/>
        </w:rPr>
        <w:t>article 3 de la Convention. En vertu du paragraphe 1 de l</w:t>
      </w:r>
      <w:r w:rsidR="00993CE3">
        <w:rPr>
          <w:lang w:val="fr-FR"/>
        </w:rPr>
        <w:t>’</w:t>
      </w:r>
      <w:r w:rsidR="00825B8D" w:rsidRPr="00B9362A">
        <w:rPr>
          <w:lang w:val="fr-FR"/>
        </w:rPr>
        <w:t>article 114 de son règlement intérieur, le Comité, par l</w:t>
      </w:r>
      <w:r w:rsidR="00993CE3">
        <w:rPr>
          <w:lang w:val="fr-FR"/>
        </w:rPr>
        <w:t>’</w:t>
      </w:r>
      <w:r w:rsidR="00825B8D" w:rsidRPr="00B9362A">
        <w:rPr>
          <w:lang w:val="fr-FR"/>
        </w:rPr>
        <w:t>intermédiaire de son rapporteur chargé des nouvelles requêtes et des mesures provisoires peut, à tout moment après avoir reçu une requête, adresser à l</w:t>
      </w:r>
      <w:r w:rsidR="00993CE3">
        <w:rPr>
          <w:lang w:val="fr-FR"/>
        </w:rPr>
        <w:t>’</w:t>
      </w:r>
      <w:r w:rsidR="00825B8D" w:rsidRPr="00B9362A">
        <w:rPr>
          <w:lang w:val="fr-FR"/>
        </w:rPr>
        <w:t>État partie une demande tendant à ce qu</w:t>
      </w:r>
      <w:r w:rsidR="00993CE3">
        <w:rPr>
          <w:lang w:val="fr-FR"/>
        </w:rPr>
        <w:t>’</w:t>
      </w:r>
      <w:r w:rsidR="00825B8D" w:rsidRPr="00B9362A">
        <w:rPr>
          <w:lang w:val="fr-FR"/>
        </w:rPr>
        <w:t>il prenne les mesures provisoires que le Comité juge nécessaires pour éviter qu</w:t>
      </w:r>
      <w:r w:rsidR="00993CE3">
        <w:rPr>
          <w:lang w:val="fr-FR"/>
        </w:rPr>
        <w:t>’</w:t>
      </w:r>
      <w:r w:rsidR="00825B8D" w:rsidRPr="00B9362A">
        <w:rPr>
          <w:lang w:val="fr-FR"/>
        </w:rPr>
        <w:t>un préjudice irréparable ne soit causé à la victime ou aux victimes de la violation alléguée. L</w:t>
      </w:r>
      <w:r w:rsidR="00993CE3">
        <w:rPr>
          <w:lang w:val="fr-FR"/>
        </w:rPr>
        <w:t>’</w:t>
      </w:r>
      <w:r w:rsidR="00825B8D" w:rsidRPr="00B9362A">
        <w:rPr>
          <w:lang w:val="fr-FR"/>
        </w:rPr>
        <w:t>État partie est informé que la demande de mesures provisoires ne préjuge pas la décision qui sera prise en définitive sur la recevabilité ou sur le fond de la requête. Pendant la période couverte par le présent rapport, 70 demandes de mesures provisoires de protection ont été formulées concernant des requêtes, dont 45 ont été approuvées par le Rapporteur chargé des nouvelles requêtes et des mesures provisoires, qui surveille le respect par les États parties de ces demandes.</w:t>
      </w:r>
    </w:p>
    <w:p w:rsidR="00825B8D" w:rsidRPr="00B9362A" w:rsidRDefault="00825B8D" w:rsidP="00B9362A">
      <w:pPr>
        <w:pStyle w:val="H1G"/>
        <w:rPr>
          <w:lang w:val="fr-FR"/>
        </w:rPr>
      </w:pPr>
      <w:r w:rsidRPr="00B9362A">
        <w:rPr>
          <w:lang w:val="fr-FR"/>
        </w:rPr>
        <w:tab/>
        <w:t>C.</w:t>
      </w:r>
      <w:r w:rsidRPr="00B9362A">
        <w:rPr>
          <w:lang w:val="fr-FR"/>
        </w:rPr>
        <w:tab/>
        <w:t>État des travaux</w:t>
      </w:r>
    </w:p>
    <w:p w:rsidR="00825B8D" w:rsidRPr="00B9362A" w:rsidRDefault="00B9362A" w:rsidP="00B9362A">
      <w:pPr>
        <w:pStyle w:val="SingleTxtG"/>
        <w:rPr>
          <w:lang w:val="fr-FR"/>
        </w:rPr>
      </w:pPr>
      <w:r>
        <w:rPr>
          <w:lang w:val="fr-FR"/>
        </w:rPr>
        <w:t>77.</w:t>
      </w:r>
      <w:r>
        <w:rPr>
          <w:lang w:val="fr-FR"/>
        </w:rPr>
        <w:tab/>
      </w:r>
      <w:r w:rsidR="00825B8D" w:rsidRPr="00B9362A">
        <w:rPr>
          <w:lang w:val="fr-FR"/>
        </w:rPr>
        <w:t>Au moment de l</w:t>
      </w:r>
      <w:r w:rsidR="00993CE3">
        <w:rPr>
          <w:lang w:val="fr-FR"/>
        </w:rPr>
        <w:t>’</w:t>
      </w:r>
      <w:r w:rsidR="00825B8D" w:rsidRPr="00B9362A">
        <w:rPr>
          <w:lang w:val="fr-FR"/>
        </w:rPr>
        <w:t>adoption du présent rapport, le Comité avait enregistré, depuis 1989, 825 requêtes concernant 38 États parties</w:t>
      </w:r>
      <w:r w:rsidR="00825B8D" w:rsidRPr="00B9362A">
        <w:rPr>
          <w:vertAlign w:val="superscript"/>
        </w:rPr>
        <w:footnoteReference w:id="12"/>
      </w:r>
      <w:r w:rsidR="00825B8D" w:rsidRPr="00B9362A">
        <w:rPr>
          <w:lang w:val="fr-FR"/>
        </w:rPr>
        <w:t>. Sur ce nombre, 234 avaient été classées et 86 avaient été déclarées irrecevables. Le Comité avait adopté des constatations sur le fond pour 329 requêtes et constaté que les faits faisaient apparaître des violations de la Convention dans 131 d</w:t>
      </w:r>
      <w:r w:rsidR="00993CE3">
        <w:rPr>
          <w:lang w:val="fr-FR"/>
        </w:rPr>
        <w:t>’</w:t>
      </w:r>
      <w:r w:rsidR="00825B8D" w:rsidRPr="00B9362A">
        <w:rPr>
          <w:lang w:val="fr-FR"/>
        </w:rPr>
        <w:t xml:space="preserve">entre elles. </w:t>
      </w:r>
      <w:r w:rsidR="00AD467F">
        <w:rPr>
          <w:lang w:val="fr-FR"/>
        </w:rPr>
        <w:t xml:space="preserve">Cent soixante-quinze </w:t>
      </w:r>
      <w:r w:rsidR="00825B8D" w:rsidRPr="00B9362A">
        <w:rPr>
          <w:lang w:val="fr-FR"/>
        </w:rPr>
        <w:t>requêtes n</w:t>
      </w:r>
      <w:r w:rsidR="00993CE3">
        <w:rPr>
          <w:lang w:val="fr-FR"/>
        </w:rPr>
        <w:t>’</w:t>
      </w:r>
      <w:r w:rsidR="00825B8D" w:rsidRPr="00B9362A">
        <w:rPr>
          <w:lang w:val="fr-FR"/>
        </w:rPr>
        <w:t>avaient pas encore été examinées. Toutes les décisions adoptées sur le fond, ainsi que les décisions d</w:t>
      </w:r>
      <w:r w:rsidR="00993CE3">
        <w:rPr>
          <w:lang w:val="fr-FR"/>
        </w:rPr>
        <w:t>’</w:t>
      </w:r>
      <w:r w:rsidR="00825B8D" w:rsidRPr="00B9362A">
        <w:rPr>
          <w:lang w:val="fr-FR"/>
        </w:rPr>
        <w:t>irrecevabilité, peuvent être consultées dans la base de données sur la jurisprudence des organes conventionnels (</w:t>
      </w:r>
      <w:hyperlink r:id="rId129" w:history="1">
        <w:r w:rsidR="00825B8D" w:rsidRPr="00AC1572">
          <w:rPr>
            <w:rStyle w:val="Lienhypertexte"/>
            <w:lang w:val="fr-FR"/>
          </w:rPr>
          <w:t>http://juris.ohchr.org/</w:t>
        </w:r>
      </w:hyperlink>
      <w:r w:rsidR="00825B8D" w:rsidRPr="00B9362A">
        <w:rPr>
          <w:lang w:val="fr-FR"/>
        </w:rPr>
        <w:t>) ainsi que sur le site Web du HCDH (</w:t>
      </w:r>
      <w:hyperlink r:id="rId130" w:history="1">
        <w:r w:rsidR="00825B8D" w:rsidRPr="00AC1572">
          <w:rPr>
            <w:rStyle w:val="Lienhypertexte"/>
            <w:lang w:val="fr-FR"/>
          </w:rPr>
          <w:t>www2.ohchr.org</w:t>
        </w:r>
      </w:hyperlink>
      <w:r w:rsidR="00825B8D" w:rsidRPr="00B9362A">
        <w:rPr>
          <w:lang w:val="fr-FR"/>
        </w:rPr>
        <w:t>) et dans le Système de diffusion électronique des documents de l</w:t>
      </w:r>
      <w:r w:rsidR="00993CE3">
        <w:rPr>
          <w:lang w:val="fr-FR"/>
        </w:rPr>
        <w:t>’</w:t>
      </w:r>
      <w:r w:rsidR="00825B8D" w:rsidRPr="00B9362A">
        <w:rPr>
          <w:lang w:val="fr-FR"/>
        </w:rPr>
        <w:t>ONU (</w:t>
      </w:r>
      <w:hyperlink r:id="rId131" w:history="1">
        <w:r w:rsidR="00825B8D" w:rsidRPr="00AC1572">
          <w:rPr>
            <w:rStyle w:val="Lienhypertexte"/>
            <w:lang w:val="fr-FR"/>
          </w:rPr>
          <w:t>http://documents.un.org</w:t>
        </w:r>
      </w:hyperlink>
      <w:r w:rsidR="00825B8D" w:rsidRPr="00B9362A">
        <w:rPr>
          <w:lang w:val="fr-FR"/>
        </w:rPr>
        <w:t>).</w:t>
      </w:r>
    </w:p>
    <w:p w:rsidR="00825B8D" w:rsidRPr="00B9362A" w:rsidRDefault="00B9362A" w:rsidP="00B9362A">
      <w:pPr>
        <w:pStyle w:val="SingleTxtG"/>
        <w:rPr>
          <w:lang w:val="fr-FR"/>
        </w:rPr>
      </w:pPr>
      <w:r>
        <w:rPr>
          <w:lang w:val="fr-FR"/>
        </w:rPr>
        <w:t>78.</w:t>
      </w:r>
      <w:r>
        <w:rPr>
          <w:lang w:val="fr-FR"/>
        </w:rPr>
        <w:tab/>
      </w:r>
      <w:r w:rsidR="00825B8D" w:rsidRPr="00B9362A">
        <w:rPr>
          <w:lang w:val="fr-FR"/>
        </w:rPr>
        <w:t>À sa cinquante</w:t>
      </w:r>
      <w:r w:rsidR="00825B8D" w:rsidRPr="00B9362A">
        <w:rPr>
          <w:lang w:val="fr-FR"/>
        </w:rPr>
        <w:noBreakHyphen/>
        <w:t>huitième session, le Comité a adopté des décisions sur le fond concernant sept communications. Dans sa décision concernant la communication n</w:t>
      </w:r>
      <w:r w:rsidR="00825B8D" w:rsidRPr="00B9362A">
        <w:rPr>
          <w:vertAlign w:val="superscript"/>
          <w:lang w:val="fr-FR"/>
        </w:rPr>
        <w:t>o</w:t>
      </w:r>
      <w:r w:rsidR="00825B8D" w:rsidRPr="00B9362A">
        <w:rPr>
          <w:lang w:val="fr-FR"/>
        </w:rPr>
        <w:t xml:space="preserve"> 682/2015, </w:t>
      </w:r>
      <w:r w:rsidR="00825B8D" w:rsidRPr="00B9362A">
        <w:rPr>
          <w:i/>
          <w:lang w:val="fr-FR"/>
        </w:rPr>
        <w:t>Alhaj Ali</w:t>
      </w:r>
      <w:r w:rsidR="00825B8D" w:rsidRPr="00B9362A">
        <w:rPr>
          <w:lang w:val="fr-FR"/>
        </w:rPr>
        <w:t xml:space="preserve"> c. </w:t>
      </w:r>
      <w:r w:rsidR="00825B8D" w:rsidRPr="00B9362A">
        <w:rPr>
          <w:i/>
          <w:lang w:val="fr-FR"/>
        </w:rPr>
        <w:t>Maroc</w:t>
      </w:r>
      <w:r w:rsidR="00825B8D" w:rsidRPr="00B9362A">
        <w:rPr>
          <w:lang w:val="fr-FR"/>
        </w:rPr>
        <w:t>, le Comité a conclu que l</w:t>
      </w:r>
      <w:r w:rsidR="00993CE3">
        <w:rPr>
          <w:lang w:val="fr-FR"/>
        </w:rPr>
        <w:t>’</w:t>
      </w:r>
      <w:r w:rsidR="00825B8D" w:rsidRPr="00B9362A">
        <w:rPr>
          <w:lang w:val="fr-FR"/>
        </w:rPr>
        <w:t>extradition du mari de la requérante vers l</w:t>
      </w:r>
      <w:r w:rsidR="00993CE3">
        <w:rPr>
          <w:lang w:val="fr-FR"/>
        </w:rPr>
        <w:t>’</w:t>
      </w:r>
      <w:r w:rsidR="00825B8D" w:rsidRPr="00B9362A">
        <w:rPr>
          <w:lang w:val="fr-FR"/>
        </w:rPr>
        <w:t>Arabie saoudite constituait une violation par l</w:t>
      </w:r>
      <w:r w:rsidR="00993CE3">
        <w:rPr>
          <w:lang w:val="fr-FR"/>
        </w:rPr>
        <w:t>’</w:t>
      </w:r>
      <w:r w:rsidR="00825B8D" w:rsidRPr="00B9362A">
        <w:rPr>
          <w:lang w:val="fr-FR"/>
        </w:rPr>
        <w:t>État partie de l</w:t>
      </w:r>
      <w:r w:rsidR="00993CE3">
        <w:rPr>
          <w:lang w:val="fr-FR"/>
        </w:rPr>
        <w:t>’</w:t>
      </w:r>
      <w:r w:rsidR="00825B8D" w:rsidRPr="00B9362A">
        <w:rPr>
          <w:lang w:val="fr-FR"/>
        </w:rPr>
        <w:t>article 3 de la Convention. Dans ses décisions concernant les communications n</w:t>
      </w:r>
      <w:r w:rsidR="00825B8D" w:rsidRPr="00B9362A">
        <w:rPr>
          <w:vertAlign w:val="superscript"/>
          <w:lang w:val="fr-FR"/>
        </w:rPr>
        <w:t>os</w:t>
      </w:r>
      <w:r w:rsidR="00825B8D" w:rsidRPr="00B9362A">
        <w:rPr>
          <w:lang w:val="fr-FR"/>
        </w:rPr>
        <w:t xml:space="preserve"> 595/2014, </w:t>
      </w:r>
      <w:r w:rsidR="00825B8D" w:rsidRPr="00B9362A">
        <w:rPr>
          <w:i/>
          <w:lang w:val="fr-FR"/>
        </w:rPr>
        <w:t>D. M</w:t>
      </w:r>
      <w:r w:rsidR="00825B8D" w:rsidRPr="00B9362A">
        <w:rPr>
          <w:lang w:val="fr-FR"/>
        </w:rPr>
        <w:t>. c. </w:t>
      </w:r>
      <w:r w:rsidR="00825B8D" w:rsidRPr="00B9362A">
        <w:rPr>
          <w:i/>
          <w:lang w:val="fr-FR"/>
        </w:rPr>
        <w:t>Australie</w:t>
      </w:r>
      <w:r w:rsidR="00825B8D" w:rsidRPr="00B9362A">
        <w:rPr>
          <w:lang w:val="fr-FR"/>
        </w:rPr>
        <w:t xml:space="preserve">, 599/2014, </w:t>
      </w:r>
      <w:r w:rsidR="00825B8D" w:rsidRPr="00B9362A">
        <w:rPr>
          <w:i/>
          <w:lang w:val="fr-FR"/>
        </w:rPr>
        <w:t>T</w:t>
      </w:r>
      <w:r w:rsidR="00825B8D" w:rsidRPr="00B9362A">
        <w:rPr>
          <w:lang w:val="fr-FR"/>
        </w:rPr>
        <w:t>. c. </w:t>
      </w:r>
      <w:r w:rsidR="00825B8D" w:rsidRPr="00B9362A">
        <w:rPr>
          <w:i/>
          <w:lang w:val="fr-FR"/>
        </w:rPr>
        <w:t>Australie</w:t>
      </w:r>
      <w:r w:rsidR="00825B8D" w:rsidRPr="00B9362A">
        <w:rPr>
          <w:lang w:val="fr-FR"/>
        </w:rPr>
        <w:t xml:space="preserve">, 600/2014, </w:t>
      </w:r>
      <w:r w:rsidR="00825B8D" w:rsidRPr="00B9362A">
        <w:rPr>
          <w:i/>
          <w:lang w:val="fr-FR"/>
        </w:rPr>
        <w:t>K. V</w:t>
      </w:r>
      <w:r w:rsidR="00825B8D" w:rsidRPr="00B9362A">
        <w:rPr>
          <w:lang w:val="fr-FR"/>
        </w:rPr>
        <w:t>. c. </w:t>
      </w:r>
      <w:r w:rsidR="00825B8D" w:rsidRPr="00B9362A">
        <w:rPr>
          <w:i/>
          <w:lang w:val="fr-FR"/>
        </w:rPr>
        <w:t>Australie</w:t>
      </w:r>
      <w:r w:rsidR="00825B8D" w:rsidRPr="00B9362A">
        <w:rPr>
          <w:lang w:val="fr-FR"/>
        </w:rPr>
        <w:t xml:space="preserve">, 608/2014, </w:t>
      </w:r>
      <w:r w:rsidR="00825B8D" w:rsidRPr="00B9362A">
        <w:rPr>
          <w:i/>
          <w:lang w:val="fr-FR"/>
        </w:rPr>
        <w:t>M. N</w:t>
      </w:r>
      <w:r w:rsidR="00825B8D" w:rsidRPr="00B9362A">
        <w:rPr>
          <w:lang w:val="fr-FR"/>
        </w:rPr>
        <w:t>. c. </w:t>
      </w:r>
      <w:r w:rsidR="00825B8D" w:rsidRPr="00B9362A">
        <w:rPr>
          <w:i/>
          <w:lang w:val="fr-FR"/>
        </w:rPr>
        <w:t>Australie</w:t>
      </w:r>
      <w:r w:rsidR="00825B8D" w:rsidRPr="00B9362A">
        <w:rPr>
          <w:lang w:val="fr-FR"/>
        </w:rPr>
        <w:t xml:space="preserve">, 609/2014, </w:t>
      </w:r>
      <w:r w:rsidR="00825B8D" w:rsidRPr="00B9362A">
        <w:rPr>
          <w:i/>
          <w:lang w:val="fr-FR"/>
        </w:rPr>
        <w:t>R. K</w:t>
      </w:r>
      <w:r w:rsidR="001B12E2">
        <w:rPr>
          <w:i/>
          <w:lang w:val="fr-FR"/>
        </w:rPr>
        <w:t>.</w:t>
      </w:r>
      <w:r w:rsidR="00F33266">
        <w:rPr>
          <w:i/>
          <w:lang w:val="fr-FR"/>
        </w:rPr>
        <w:t xml:space="preserve"> </w:t>
      </w:r>
      <w:r w:rsidR="00825B8D" w:rsidRPr="00B9362A">
        <w:rPr>
          <w:lang w:val="fr-FR"/>
        </w:rPr>
        <w:t>c. </w:t>
      </w:r>
      <w:r w:rsidR="00825B8D" w:rsidRPr="00B9362A">
        <w:rPr>
          <w:i/>
          <w:lang w:val="fr-FR"/>
        </w:rPr>
        <w:t>Australie</w:t>
      </w:r>
      <w:r w:rsidR="00C668D6">
        <w:rPr>
          <w:lang w:val="fr-FR"/>
        </w:rPr>
        <w:t>,</w:t>
      </w:r>
      <w:r w:rsidR="00825B8D" w:rsidRPr="00B9362A">
        <w:rPr>
          <w:lang w:val="fr-FR"/>
        </w:rPr>
        <w:t xml:space="preserve"> et 616/2014, </w:t>
      </w:r>
      <w:r w:rsidR="00825B8D" w:rsidRPr="00B9362A">
        <w:rPr>
          <w:i/>
          <w:lang w:val="fr-FR"/>
        </w:rPr>
        <w:t>J. I.</w:t>
      </w:r>
      <w:r w:rsidR="00825B8D" w:rsidRPr="00B9362A">
        <w:rPr>
          <w:lang w:val="fr-FR"/>
        </w:rPr>
        <w:t xml:space="preserve"> c. </w:t>
      </w:r>
      <w:r w:rsidR="00825B8D" w:rsidRPr="00B9362A">
        <w:rPr>
          <w:i/>
          <w:lang w:val="fr-FR"/>
        </w:rPr>
        <w:t>Suède</w:t>
      </w:r>
      <w:r w:rsidR="00825B8D" w:rsidRPr="00B9362A">
        <w:rPr>
          <w:lang w:val="fr-FR"/>
        </w:rPr>
        <w:t>, le Comité a conclu que le renvoi des requérants ne constituerait pas une violation par les États parties concernés de l</w:t>
      </w:r>
      <w:r w:rsidR="00993CE3">
        <w:rPr>
          <w:lang w:val="fr-FR"/>
        </w:rPr>
        <w:t>’</w:t>
      </w:r>
      <w:r w:rsidR="00825B8D" w:rsidRPr="00B9362A">
        <w:rPr>
          <w:lang w:val="fr-FR"/>
        </w:rPr>
        <w:t>article 3 de la Convention.</w:t>
      </w:r>
    </w:p>
    <w:p w:rsidR="00825B8D" w:rsidRPr="00B9362A" w:rsidRDefault="00B9362A" w:rsidP="00B9362A">
      <w:pPr>
        <w:pStyle w:val="SingleTxtG"/>
        <w:rPr>
          <w:lang w:val="fr-FR"/>
        </w:rPr>
      </w:pPr>
      <w:r>
        <w:rPr>
          <w:lang w:val="fr-FR"/>
        </w:rPr>
        <w:t>79.</w:t>
      </w:r>
      <w:r>
        <w:rPr>
          <w:lang w:val="fr-FR"/>
        </w:rPr>
        <w:tab/>
      </w:r>
      <w:r w:rsidR="00825B8D" w:rsidRPr="00B9362A">
        <w:rPr>
          <w:lang w:val="fr-FR"/>
        </w:rPr>
        <w:t>Le Comité a déclaré deux communications − n</w:t>
      </w:r>
      <w:r w:rsidR="00825B8D" w:rsidRPr="00B9362A">
        <w:rPr>
          <w:vertAlign w:val="superscript"/>
          <w:lang w:val="fr-FR"/>
        </w:rPr>
        <w:t>os</w:t>
      </w:r>
      <w:r w:rsidR="00825B8D" w:rsidRPr="00B9362A">
        <w:rPr>
          <w:lang w:val="fr-FR"/>
        </w:rPr>
        <w:t xml:space="preserve"> 607/2014, </w:t>
      </w:r>
      <w:r w:rsidR="00825B8D" w:rsidRPr="00B9362A">
        <w:rPr>
          <w:i/>
          <w:lang w:val="fr-FR"/>
        </w:rPr>
        <w:t>R. K</w:t>
      </w:r>
      <w:r w:rsidR="00825B8D" w:rsidRPr="00B9362A">
        <w:rPr>
          <w:lang w:val="fr-FR"/>
        </w:rPr>
        <w:t xml:space="preserve">. c. </w:t>
      </w:r>
      <w:r w:rsidR="00825B8D" w:rsidRPr="00B9362A">
        <w:rPr>
          <w:i/>
          <w:lang w:val="fr-FR"/>
        </w:rPr>
        <w:t>Danemark</w:t>
      </w:r>
      <w:r w:rsidR="00825B8D" w:rsidRPr="00B9362A">
        <w:rPr>
          <w:lang w:val="fr-FR"/>
        </w:rPr>
        <w:t xml:space="preserve">, et 627/2014, </w:t>
      </w:r>
      <w:r w:rsidR="00825B8D" w:rsidRPr="00B9362A">
        <w:rPr>
          <w:i/>
          <w:lang w:val="fr-FR"/>
        </w:rPr>
        <w:t>H.</w:t>
      </w:r>
      <w:r w:rsidR="00825B8D" w:rsidRPr="00B9362A">
        <w:rPr>
          <w:lang w:val="fr-FR"/>
        </w:rPr>
        <w:t xml:space="preserve"> c. </w:t>
      </w:r>
      <w:r w:rsidR="00825B8D" w:rsidRPr="00B9362A">
        <w:rPr>
          <w:i/>
          <w:lang w:val="fr-FR"/>
        </w:rPr>
        <w:t>Suède</w:t>
      </w:r>
      <w:r w:rsidR="00825B8D" w:rsidRPr="00B9362A">
        <w:rPr>
          <w:lang w:val="fr-FR"/>
        </w:rPr>
        <w:t xml:space="preserve"> − irrecevables, et deux communications − n</w:t>
      </w:r>
      <w:r w:rsidR="00825B8D" w:rsidRPr="00B9362A">
        <w:rPr>
          <w:vertAlign w:val="superscript"/>
          <w:lang w:val="fr-FR"/>
        </w:rPr>
        <w:t>o</w:t>
      </w:r>
      <w:r w:rsidR="00825B8D" w:rsidRPr="00B9362A">
        <w:rPr>
          <w:lang w:val="fr-FR"/>
        </w:rPr>
        <w:t xml:space="preserve"> 650/2015, </w:t>
      </w:r>
      <w:r w:rsidR="00825B8D" w:rsidRPr="00B9362A">
        <w:rPr>
          <w:i/>
          <w:lang w:val="fr-FR"/>
        </w:rPr>
        <w:t>O. D</w:t>
      </w:r>
      <w:r w:rsidR="00825B8D" w:rsidRPr="00B9362A">
        <w:rPr>
          <w:lang w:val="fr-FR"/>
        </w:rPr>
        <w:t>. c. </w:t>
      </w:r>
      <w:r w:rsidR="00825B8D" w:rsidRPr="00B9362A">
        <w:rPr>
          <w:i/>
          <w:lang w:val="fr-FR"/>
        </w:rPr>
        <w:t>Maroc</w:t>
      </w:r>
      <w:r w:rsidR="00825B8D" w:rsidRPr="00B9362A">
        <w:rPr>
          <w:lang w:val="fr-FR"/>
        </w:rPr>
        <w:t xml:space="preserve">, et 710/2015, </w:t>
      </w:r>
      <w:r w:rsidR="00825B8D" w:rsidRPr="00B9362A">
        <w:rPr>
          <w:i/>
          <w:lang w:val="fr-FR"/>
        </w:rPr>
        <w:t>A. M. A</w:t>
      </w:r>
      <w:r w:rsidR="00825B8D" w:rsidRPr="00B9362A">
        <w:rPr>
          <w:lang w:val="fr-FR"/>
        </w:rPr>
        <w:t>. c. </w:t>
      </w:r>
      <w:r w:rsidR="00825B8D" w:rsidRPr="00B9362A">
        <w:rPr>
          <w:i/>
          <w:lang w:val="fr-FR"/>
        </w:rPr>
        <w:t>Suisse</w:t>
      </w:r>
      <w:r w:rsidR="00825B8D" w:rsidRPr="00B9362A">
        <w:rPr>
          <w:lang w:val="fr-FR"/>
        </w:rPr>
        <w:t xml:space="preserve"> − recevables. Il a mis fin à l</w:t>
      </w:r>
      <w:r w:rsidR="00993CE3">
        <w:rPr>
          <w:lang w:val="fr-FR"/>
        </w:rPr>
        <w:t>’</w:t>
      </w:r>
      <w:r w:rsidR="00825B8D" w:rsidRPr="00B9362A">
        <w:rPr>
          <w:lang w:val="fr-FR"/>
        </w:rPr>
        <w:t>examen des communications n</w:t>
      </w:r>
      <w:r w:rsidR="00825B8D" w:rsidRPr="00B9362A">
        <w:rPr>
          <w:vertAlign w:val="superscript"/>
          <w:lang w:val="fr-FR"/>
        </w:rPr>
        <w:t>os</w:t>
      </w:r>
      <w:r w:rsidR="00825B8D" w:rsidRPr="00B9362A">
        <w:rPr>
          <w:lang w:val="fr-FR"/>
        </w:rPr>
        <w:t xml:space="preserve"> 645/2014, </w:t>
      </w:r>
      <w:r w:rsidR="00825B8D" w:rsidRPr="00B9362A">
        <w:rPr>
          <w:i/>
          <w:lang w:val="fr-FR"/>
        </w:rPr>
        <w:t>G. T</w:t>
      </w:r>
      <w:r w:rsidR="00825B8D" w:rsidRPr="00B9362A">
        <w:rPr>
          <w:lang w:val="fr-FR"/>
        </w:rPr>
        <w:t>. c. </w:t>
      </w:r>
      <w:r w:rsidR="00825B8D" w:rsidRPr="00C668D6">
        <w:rPr>
          <w:i/>
          <w:lang w:val="fr-FR"/>
        </w:rPr>
        <w:t>Australie</w:t>
      </w:r>
      <w:r w:rsidR="00825B8D" w:rsidRPr="00B9362A">
        <w:rPr>
          <w:lang w:val="fr-FR"/>
        </w:rPr>
        <w:t xml:space="preserve">, et 559/2013, </w:t>
      </w:r>
      <w:r w:rsidR="00825B8D" w:rsidRPr="00B9362A">
        <w:rPr>
          <w:i/>
          <w:lang w:val="fr-FR"/>
        </w:rPr>
        <w:t>P. R</w:t>
      </w:r>
      <w:r w:rsidR="00825B8D" w:rsidRPr="00B9362A">
        <w:rPr>
          <w:lang w:val="fr-FR"/>
        </w:rPr>
        <w:t>. c. </w:t>
      </w:r>
      <w:r w:rsidR="00825B8D" w:rsidRPr="00B9362A">
        <w:rPr>
          <w:i/>
          <w:lang w:val="fr-FR"/>
        </w:rPr>
        <w:t>Suisse</w:t>
      </w:r>
      <w:r w:rsidR="00825B8D" w:rsidRPr="00B9362A">
        <w:rPr>
          <w:lang w:val="fr-FR"/>
        </w:rPr>
        <w:t>.</w:t>
      </w:r>
    </w:p>
    <w:p w:rsidR="00825B8D" w:rsidRPr="00B9362A" w:rsidRDefault="00B9362A" w:rsidP="00B9362A">
      <w:pPr>
        <w:pStyle w:val="SingleTxtG"/>
        <w:rPr>
          <w:lang w:val="fr-FR"/>
        </w:rPr>
      </w:pPr>
      <w:r>
        <w:rPr>
          <w:lang w:val="fr-FR"/>
        </w:rPr>
        <w:lastRenderedPageBreak/>
        <w:t>80.</w:t>
      </w:r>
      <w:r>
        <w:rPr>
          <w:lang w:val="fr-FR"/>
        </w:rPr>
        <w:tab/>
      </w:r>
      <w:r w:rsidR="00825B8D" w:rsidRPr="00B9362A">
        <w:rPr>
          <w:lang w:val="fr-FR"/>
        </w:rPr>
        <w:t>À sa cinquante</w:t>
      </w:r>
      <w:r w:rsidR="00825B8D" w:rsidRPr="00B9362A">
        <w:rPr>
          <w:lang w:val="fr-FR"/>
        </w:rPr>
        <w:noBreakHyphen/>
        <w:t>neuvième session, le 2 décembre 2016, le Comité a tenu, pour la première fois depuis sa création, une réunion avec des juges de la Cour européenne des droits de l</w:t>
      </w:r>
      <w:r w:rsidR="00993CE3">
        <w:rPr>
          <w:lang w:val="fr-FR"/>
        </w:rPr>
        <w:t>’</w:t>
      </w:r>
      <w:r w:rsidR="00825B8D" w:rsidRPr="00B9362A">
        <w:rPr>
          <w:lang w:val="fr-FR"/>
        </w:rPr>
        <w:t>homme, avec le soutien de la fondation René Cassin. La réunion a porté sur des questions d</w:t>
      </w:r>
      <w:r w:rsidR="00993CE3">
        <w:rPr>
          <w:lang w:val="fr-FR"/>
        </w:rPr>
        <w:t>’</w:t>
      </w:r>
      <w:r w:rsidR="00825B8D" w:rsidRPr="00B9362A">
        <w:rPr>
          <w:lang w:val="fr-FR"/>
        </w:rPr>
        <w:t>intérêt commun relatives à la procédure d</w:t>
      </w:r>
      <w:r w:rsidR="00993CE3">
        <w:rPr>
          <w:lang w:val="fr-FR"/>
        </w:rPr>
        <w:t>’</w:t>
      </w:r>
      <w:r w:rsidR="00825B8D" w:rsidRPr="00B9362A">
        <w:rPr>
          <w:lang w:val="fr-FR"/>
        </w:rPr>
        <w:t>examen de plaintes émanant de particuliers et à la jurisprudence. À cette même session, le Comité a adopté des décisions sur le fond concernant 11 communications. Dans ses décisions concernant les communications n</w:t>
      </w:r>
      <w:r w:rsidR="00825B8D" w:rsidRPr="00B9362A">
        <w:rPr>
          <w:vertAlign w:val="superscript"/>
          <w:lang w:val="fr-FR"/>
        </w:rPr>
        <w:t>os</w:t>
      </w:r>
      <w:r w:rsidR="00825B8D" w:rsidRPr="00B9362A">
        <w:rPr>
          <w:lang w:val="fr-FR"/>
        </w:rPr>
        <w:t xml:space="preserve"> 581/2014, </w:t>
      </w:r>
      <w:r w:rsidR="00825B8D" w:rsidRPr="00B9362A">
        <w:rPr>
          <w:i/>
          <w:lang w:val="fr-FR"/>
        </w:rPr>
        <w:t>S. S</w:t>
      </w:r>
      <w:r w:rsidR="00825B8D" w:rsidRPr="00B9362A">
        <w:rPr>
          <w:lang w:val="fr-FR"/>
        </w:rPr>
        <w:t>. c. </w:t>
      </w:r>
      <w:r w:rsidR="00825B8D" w:rsidRPr="00B9362A">
        <w:rPr>
          <w:i/>
          <w:lang w:val="fr-FR"/>
        </w:rPr>
        <w:t>Canada</w:t>
      </w:r>
      <w:r w:rsidR="00825B8D" w:rsidRPr="00B9362A">
        <w:rPr>
          <w:lang w:val="fr-FR"/>
        </w:rPr>
        <w:t xml:space="preserve">, 582/2014, </w:t>
      </w:r>
      <w:r w:rsidR="00825B8D" w:rsidRPr="00B9362A">
        <w:rPr>
          <w:i/>
          <w:lang w:val="fr-FR"/>
        </w:rPr>
        <w:t>N. S</w:t>
      </w:r>
      <w:r w:rsidR="00825B8D" w:rsidRPr="00B9362A">
        <w:rPr>
          <w:lang w:val="fr-FR"/>
        </w:rPr>
        <w:t>. c. </w:t>
      </w:r>
      <w:r w:rsidR="00825B8D" w:rsidRPr="00B9362A">
        <w:rPr>
          <w:i/>
          <w:lang w:val="fr-FR"/>
        </w:rPr>
        <w:t>Canada</w:t>
      </w:r>
      <w:r w:rsidR="00825B8D" w:rsidRPr="00B9362A">
        <w:rPr>
          <w:lang w:val="fr-FR"/>
        </w:rPr>
        <w:t xml:space="preserve">, 633/2014, </w:t>
      </w:r>
      <w:r w:rsidR="00825B8D" w:rsidRPr="00B9362A">
        <w:rPr>
          <w:i/>
          <w:lang w:val="fr-FR"/>
        </w:rPr>
        <w:t>Y. S</w:t>
      </w:r>
      <w:r w:rsidR="00825B8D" w:rsidRPr="00B9362A">
        <w:rPr>
          <w:lang w:val="fr-FR"/>
        </w:rPr>
        <w:t>. c. </w:t>
      </w:r>
      <w:r w:rsidR="00825B8D" w:rsidRPr="00B9362A">
        <w:rPr>
          <w:i/>
          <w:lang w:val="fr-FR"/>
        </w:rPr>
        <w:t>Australie</w:t>
      </w:r>
      <w:r w:rsidR="00825B8D" w:rsidRPr="00B9362A">
        <w:rPr>
          <w:lang w:val="fr-FR"/>
        </w:rPr>
        <w:t xml:space="preserve">, 644/2014, </w:t>
      </w:r>
      <w:r w:rsidR="00825B8D" w:rsidRPr="00B9362A">
        <w:rPr>
          <w:i/>
          <w:lang w:val="fr-FR"/>
        </w:rPr>
        <w:t>R. O</w:t>
      </w:r>
      <w:r w:rsidR="00825B8D" w:rsidRPr="00B9362A">
        <w:rPr>
          <w:lang w:val="fr-FR"/>
        </w:rPr>
        <w:t xml:space="preserve">. </w:t>
      </w:r>
      <w:r w:rsidR="00825B8D" w:rsidRPr="00B9362A">
        <w:rPr>
          <w:i/>
          <w:lang w:val="fr-FR"/>
        </w:rPr>
        <w:t>et consorts</w:t>
      </w:r>
      <w:r w:rsidR="00825B8D" w:rsidRPr="00B9362A">
        <w:rPr>
          <w:lang w:val="fr-FR"/>
        </w:rPr>
        <w:t xml:space="preserve"> c. </w:t>
      </w:r>
      <w:r w:rsidR="00825B8D" w:rsidRPr="00B9362A">
        <w:rPr>
          <w:i/>
          <w:lang w:val="fr-FR"/>
        </w:rPr>
        <w:t>Suède</w:t>
      </w:r>
      <w:r w:rsidR="00825B8D" w:rsidRPr="00B9362A">
        <w:rPr>
          <w:lang w:val="fr-FR"/>
        </w:rPr>
        <w:t xml:space="preserve">, 649/2015, </w:t>
      </w:r>
      <w:r w:rsidR="00825B8D" w:rsidRPr="00B9362A">
        <w:rPr>
          <w:i/>
          <w:lang w:val="fr-FR"/>
        </w:rPr>
        <w:t>K. N</w:t>
      </w:r>
      <w:r w:rsidR="00825B8D" w:rsidRPr="00B9362A">
        <w:rPr>
          <w:lang w:val="fr-FR"/>
        </w:rPr>
        <w:t>. c. </w:t>
      </w:r>
      <w:r w:rsidR="00825B8D" w:rsidRPr="00B9362A">
        <w:rPr>
          <w:i/>
          <w:lang w:val="fr-FR"/>
        </w:rPr>
        <w:t>Australie</w:t>
      </w:r>
      <w:r w:rsidR="00825B8D" w:rsidRPr="00B9362A">
        <w:rPr>
          <w:lang w:val="fr-FR"/>
        </w:rPr>
        <w:t xml:space="preserve">, 652/2015, </w:t>
      </w:r>
      <w:r w:rsidR="00825B8D" w:rsidRPr="00B9362A">
        <w:rPr>
          <w:i/>
          <w:lang w:val="fr-FR"/>
        </w:rPr>
        <w:t>E. S</w:t>
      </w:r>
      <w:r w:rsidR="00825B8D" w:rsidRPr="00B9362A">
        <w:rPr>
          <w:lang w:val="fr-FR"/>
        </w:rPr>
        <w:t>. c. </w:t>
      </w:r>
      <w:r w:rsidR="00825B8D" w:rsidRPr="00B9362A">
        <w:rPr>
          <w:i/>
          <w:lang w:val="fr-FR"/>
        </w:rPr>
        <w:t>Australie</w:t>
      </w:r>
      <w:r w:rsidR="00825B8D" w:rsidRPr="00B9362A">
        <w:rPr>
          <w:lang w:val="fr-FR"/>
        </w:rPr>
        <w:t xml:space="preserve">, 658/2015, </w:t>
      </w:r>
      <w:r w:rsidR="00825B8D" w:rsidRPr="00B9362A">
        <w:rPr>
          <w:i/>
          <w:lang w:val="fr-FR"/>
        </w:rPr>
        <w:t>M. F</w:t>
      </w:r>
      <w:r w:rsidR="00825B8D" w:rsidRPr="00B9362A">
        <w:rPr>
          <w:lang w:val="fr-FR"/>
        </w:rPr>
        <w:t>. c. </w:t>
      </w:r>
      <w:r w:rsidR="00825B8D" w:rsidRPr="00B9362A">
        <w:rPr>
          <w:i/>
          <w:lang w:val="fr-FR"/>
        </w:rPr>
        <w:t>Suisse</w:t>
      </w:r>
      <w:r w:rsidR="00825B8D" w:rsidRPr="00B9362A">
        <w:rPr>
          <w:lang w:val="fr-FR"/>
        </w:rPr>
        <w:t xml:space="preserve">, 666/2015 et </w:t>
      </w:r>
      <w:r w:rsidR="00825B8D" w:rsidRPr="00B9362A">
        <w:rPr>
          <w:i/>
          <w:lang w:val="fr-FR"/>
        </w:rPr>
        <w:t>L.</w:t>
      </w:r>
      <w:r w:rsidR="000D0AF3">
        <w:rPr>
          <w:lang w:val="fr-FR"/>
        </w:rPr>
        <w:t> </w:t>
      </w:r>
      <w:r w:rsidR="00825B8D" w:rsidRPr="00B9362A">
        <w:rPr>
          <w:i/>
          <w:lang w:val="fr-FR"/>
        </w:rPr>
        <w:t>P.</w:t>
      </w:r>
      <w:r w:rsidR="00825B8D" w:rsidRPr="00B9362A">
        <w:rPr>
          <w:lang w:val="fr-FR"/>
        </w:rPr>
        <w:t xml:space="preserve"> c. </w:t>
      </w:r>
      <w:r w:rsidR="00825B8D" w:rsidRPr="00B9362A">
        <w:rPr>
          <w:i/>
          <w:lang w:val="fr-FR"/>
        </w:rPr>
        <w:t>Australie</w:t>
      </w:r>
      <w:r w:rsidR="00825B8D" w:rsidRPr="00B9362A">
        <w:rPr>
          <w:lang w:val="fr-FR"/>
        </w:rPr>
        <w:t>, le Comité a conclu que le renvoi des requérants ne constituerait pas une violation par les États parties concernés de l</w:t>
      </w:r>
      <w:r w:rsidR="00993CE3">
        <w:rPr>
          <w:lang w:val="fr-FR"/>
        </w:rPr>
        <w:t>’</w:t>
      </w:r>
      <w:r w:rsidR="00825B8D" w:rsidRPr="00B9362A">
        <w:rPr>
          <w:lang w:val="fr-FR"/>
        </w:rPr>
        <w:t>article 3 de la Convention. Dans sa décision concernant la communication n</w:t>
      </w:r>
      <w:r w:rsidR="00825B8D" w:rsidRPr="00B9362A">
        <w:rPr>
          <w:vertAlign w:val="superscript"/>
          <w:lang w:val="fr-FR"/>
        </w:rPr>
        <w:t>o</w:t>
      </w:r>
      <w:r w:rsidR="00825B8D" w:rsidRPr="00B9362A">
        <w:rPr>
          <w:lang w:val="fr-FR"/>
        </w:rPr>
        <w:t xml:space="preserve"> 549/2013, </w:t>
      </w:r>
      <w:r w:rsidR="00825B8D" w:rsidRPr="00B9362A">
        <w:rPr>
          <w:i/>
          <w:lang w:val="fr-FR"/>
        </w:rPr>
        <w:t>Kabura</w:t>
      </w:r>
      <w:r w:rsidR="00825B8D" w:rsidRPr="00B9362A">
        <w:rPr>
          <w:lang w:val="fr-FR"/>
        </w:rPr>
        <w:t xml:space="preserve"> c. </w:t>
      </w:r>
      <w:r w:rsidR="00825B8D" w:rsidRPr="00B9362A">
        <w:rPr>
          <w:i/>
          <w:lang w:val="fr-FR"/>
        </w:rPr>
        <w:t>Burundi</w:t>
      </w:r>
      <w:r w:rsidR="00825B8D" w:rsidRPr="00B9362A">
        <w:rPr>
          <w:lang w:val="fr-FR"/>
        </w:rPr>
        <w:t>, le Comité a conclu que l</w:t>
      </w:r>
      <w:r w:rsidR="00993CE3">
        <w:rPr>
          <w:lang w:val="fr-FR"/>
        </w:rPr>
        <w:t>’</w:t>
      </w:r>
      <w:r w:rsidR="00825B8D" w:rsidRPr="00B9362A">
        <w:rPr>
          <w:lang w:val="fr-FR"/>
        </w:rPr>
        <w:t>État partie avait commis des violations des droits que le requérant tenait du paragraphe 1 de l</w:t>
      </w:r>
      <w:r w:rsidR="00993CE3">
        <w:rPr>
          <w:lang w:val="fr-FR"/>
        </w:rPr>
        <w:t>’</w:t>
      </w:r>
      <w:r w:rsidR="00825B8D" w:rsidRPr="00B9362A">
        <w:rPr>
          <w:lang w:val="fr-FR"/>
        </w:rPr>
        <w:t>article 2, lu conjointement avec l</w:t>
      </w:r>
      <w:r w:rsidR="00993CE3">
        <w:rPr>
          <w:lang w:val="fr-FR"/>
        </w:rPr>
        <w:t>’</w:t>
      </w:r>
      <w:r w:rsidR="00825B8D" w:rsidRPr="00B9362A">
        <w:rPr>
          <w:lang w:val="fr-FR"/>
        </w:rPr>
        <w:t>article 1, et des articles 12 à 16, lus conjointement avec l</w:t>
      </w:r>
      <w:r w:rsidR="00993CE3">
        <w:rPr>
          <w:lang w:val="fr-FR"/>
        </w:rPr>
        <w:t>’</w:t>
      </w:r>
      <w:r w:rsidR="00825B8D" w:rsidRPr="00B9362A">
        <w:rPr>
          <w:lang w:val="fr-FR"/>
        </w:rPr>
        <w:t>article 11 de la Convention. Dans sa décision concernant la communication n</w:t>
      </w:r>
      <w:r w:rsidR="00825B8D" w:rsidRPr="00B9362A">
        <w:rPr>
          <w:vertAlign w:val="superscript"/>
          <w:lang w:val="fr-FR"/>
        </w:rPr>
        <w:t>o</w:t>
      </w:r>
      <w:r w:rsidR="00825B8D" w:rsidRPr="00B9362A">
        <w:rPr>
          <w:lang w:val="fr-FR"/>
        </w:rPr>
        <w:t xml:space="preserve"> 606/2014, </w:t>
      </w:r>
      <w:r w:rsidR="00825B8D" w:rsidRPr="00B9362A">
        <w:rPr>
          <w:i/>
          <w:lang w:val="fr-FR"/>
        </w:rPr>
        <w:t>Asfari</w:t>
      </w:r>
      <w:r w:rsidR="00825B8D" w:rsidRPr="00B9362A">
        <w:rPr>
          <w:lang w:val="fr-FR"/>
        </w:rPr>
        <w:t xml:space="preserve"> c. </w:t>
      </w:r>
      <w:r w:rsidR="00825B8D" w:rsidRPr="00B9362A">
        <w:rPr>
          <w:i/>
          <w:lang w:val="fr-FR"/>
        </w:rPr>
        <w:t>Maroc</w:t>
      </w:r>
      <w:r w:rsidR="00825B8D" w:rsidRPr="00B9362A">
        <w:rPr>
          <w:lang w:val="fr-FR"/>
        </w:rPr>
        <w:t>, le Comité a conclu que l</w:t>
      </w:r>
      <w:r w:rsidR="00993CE3">
        <w:rPr>
          <w:lang w:val="fr-FR"/>
        </w:rPr>
        <w:t>’</w:t>
      </w:r>
      <w:r w:rsidR="00825B8D" w:rsidRPr="00B9362A">
        <w:rPr>
          <w:lang w:val="fr-FR"/>
        </w:rPr>
        <w:t>État partie avait violé les droits que le requérant tenait de l</w:t>
      </w:r>
      <w:r w:rsidR="00993CE3">
        <w:rPr>
          <w:lang w:val="fr-FR"/>
        </w:rPr>
        <w:t>’</w:t>
      </w:r>
      <w:r w:rsidR="00825B8D" w:rsidRPr="00B9362A">
        <w:rPr>
          <w:lang w:val="fr-FR"/>
        </w:rPr>
        <w:t>article 1 et des articles 12 à 16. Dans sa décision concernant la communication n</w:t>
      </w:r>
      <w:r w:rsidR="00825B8D" w:rsidRPr="00B9362A">
        <w:rPr>
          <w:vertAlign w:val="superscript"/>
          <w:lang w:val="fr-FR"/>
        </w:rPr>
        <w:t>o</w:t>
      </w:r>
      <w:r w:rsidR="00825B8D" w:rsidRPr="00B9362A">
        <w:rPr>
          <w:lang w:val="fr-FR"/>
        </w:rPr>
        <w:t xml:space="preserve"> 634/2014, </w:t>
      </w:r>
      <w:r w:rsidR="00825B8D" w:rsidRPr="00B9362A">
        <w:rPr>
          <w:i/>
          <w:lang w:val="fr-FR"/>
        </w:rPr>
        <w:t>M. B.</w:t>
      </w:r>
      <w:r w:rsidR="00825B8D" w:rsidRPr="00B9362A">
        <w:rPr>
          <w:lang w:val="fr-FR"/>
        </w:rPr>
        <w:t xml:space="preserve"> </w:t>
      </w:r>
      <w:r w:rsidR="00825B8D" w:rsidRPr="00B9362A">
        <w:rPr>
          <w:i/>
          <w:lang w:val="fr-FR"/>
        </w:rPr>
        <w:t>et al.</w:t>
      </w:r>
      <w:r w:rsidR="00825B8D" w:rsidRPr="00B9362A">
        <w:rPr>
          <w:lang w:val="fr-FR"/>
        </w:rPr>
        <w:t xml:space="preserve"> c. </w:t>
      </w:r>
      <w:r w:rsidR="00825B8D" w:rsidRPr="00B9362A">
        <w:rPr>
          <w:i/>
          <w:lang w:val="fr-FR"/>
        </w:rPr>
        <w:t>Danemark</w:t>
      </w:r>
      <w:r w:rsidR="00825B8D" w:rsidRPr="00B9362A">
        <w:rPr>
          <w:lang w:val="fr-FR"/>
        </w:rPr>
        <w:t>, le Comité a conclu que le renvoi des requérants vers la Fédération de Russie constituerait une violation par l</w:t>
      </w:r>
      <w:r w:rsidR="00993CE3">
        <w:rPr>
          <w:lang w:val="fr-FR"/>
        </w:rPr>
        <w:t>’</w:t>
      </w:r>
      <w:r w:rsidR="00825B8D" w:rsidRPr="00B9362A">
        <w:rPr>
          <w:lang w:val="fr-FR"/>
        </w:rPr>
        <w:t>État partie de l</w:t>
      </w:r>
      <w:r w:rsidR="00993CE3">
        <w:rPr>
          <w:lang w:val="fr-FR"/>
        </w:rPr>
        <w:t>’</w:t>
      </w:r>
      <w:r w:rsidR="00825B8D" w:rsidRPr="00B9362A">
        <w:rPr>
          <w:lang w:val="fr-FR"/>
        </w:rPr>
        <w:t>article 3 de la Convention.</w:t>
      </w:r>
    </w:p>
    <w:p w:rsidR="00825B8D" w:rsidRPr="00B9362A" w:rsidRDefault="00B9362A" w:rsidP="00B9362A">
      <w:pPr>
        <w:pStyle w:val="SingleTxtG"/>
        <w:rPr>
          <w:lang w:val="fr-FR"/>
        </w:rPr>
      </w:pPr>
      <w:r>
        <w:rPr>
          <w:lang w:val="fr-FR"/>
        </w:rPr>
        <w:t>81.</w:t>
      </w:r>
      <w:r>
        <w:rPr>
          <w:lang w:val="fr-FR"/>
        </w:rPr>
        <w:tab/>
      </w:r>
      <w:r w:rsidR="00825B8D" w:rsidRPr="00B9362A">
        <w:rPr>
          <w:lang w:val="fr-FR"/>
        </w:rPr>
        <w:t>Le Comité a déclaré la communication n</w:t>
      </w:r>
      <w:r w:rsidR="00825B8D" w:rsidRPr="00B9362A">
        <w:rPr>
          <w:vertAlign w:val="superscript"/>
          <w:lang w:val="fr-FR"/>
        </w:rPr>
        <w:t>o</w:t>
      </w:r>
      <w:r w:rsidR="00825B8D" w:rsidRPr="00B9362A">
        <w:rPr>
          <w:lang w:val="fr-FR"/>
        </w:rPr>
        <w:t xml:space="preserve"> 691/2015, </w:t>
      </w:r>
      <w:r w:rsidR="00825B8D" w:rsidRPr="00B9362A">
        <w:rPr>
          <w:i/>
          <w:lang w:val="fr-FR"/>
        </w:rPr>
        <w:t>S. S</w:t>
      </w:r>
      <w:r w:rsidR="00825B8D" w:rsidRPr="00B9362A">
        <w:rPr>
          <w:lang w:val="fr-FR"/>
        </w:rPr>
        <w:t>. c. </w:t>
      </w:r>
      <w:r w:rsidR="00825B8D" w:rsidRPr="00B9362A">
        <w:rPr>
          <w:i/>
          <w:lang w:val="fr-FR"/>
        </w:rPr>
        <w:t>Suède</w:t>
      </w:r>
      <w:r w:rsidR="00825B8D" w:rsidRPr="00B9362A">
        <w:rPr>
          <w:lang w:val="fr-FR"/>
        </w:rPr>
        <w:t>, recevable et les communications n</w:t>
      </w:r>
      <w:r w:rsidR="00825B8D" w:rsidRPr="00B9362A">
        <w:rPr>
          <w:vertAlign w:val="superscript"/>
          <w:lang w:val="fr-FR"/>
        </w:rPr>
        <w:t>o</w:t>
      </w:r>
      <w:r w:rsidR="00825B8D" w:rsidRPr="00B9362A">
        <w:rPr>
          <w:lang w:val="fr-FR"/>
        </w:rPr>
        <w:t xml:space="preserve"> 610/2014, </w:t>
      </w:r>
      <w:r w:rsidR="00825B8D" w:rsidRPr="00B9362A">
        <w:rPr>
          <w:i/>
          <w:lang w:val="fr-FR"/>
        </w:rPr>
        <w:t>R. M</w:t>
      </w:r>
      <w:r w:rsidR="00825B8D" w:rsidRPr="00B9362A">
        <w:rPr>
          <w:lang w:val="fr-FR"/>
        </w:rPr>
        <w:t>. c. </w:t>
      </w:r>
      <w:r w:rsidR="00825B8D" w:rsidRPr="00B9362A">
        <w:rPr>
          <w:i/>
          <w:lang w:val="fr-FR"/>
        </w:rPr>
        <w:t>Suède</w:t>
      </w:r>
      <w:r w:rsidR="00825B8D" w:rsidRPr="00B9362A">
        <w:rPr>
          <w:lang w:val="fr-FR"/>
        </w:rPr>
        <w:t xml:space="preserve">, 686/2015, </w:t>
      </w:r>
      <w:r w:rsidR="00825B8D" w:rsidRPr="00B9362A">
        <w:rPr>
          <w:i/>
          <w:lang w:val="fr-FR"/>
        </w:rPr>
        <w:t>X.</w:t>
      </w:r>
      <w:r w:rsidR="00825B8D" w:rsidRPr="00B9362A">
        <w:rPr>
          <w:lang w:val="fr-FR"/>
        </w:rPr>
        <w:t xml:space="preserve"> c. </w:t>
      </w:r>
      <w:r w:rsidR="00825B8D" w:rsidRPr="00B9362A">
        <w:rPr>
          <w:i/>
          <w:lang w:val="fr-FR"/>
        </w:rPr>
        <w:t>Suisse</w:t>
      </w:r>
      <w:r w:rsidR="00825B8D" w:rsidRPr="00B9362A">
        <w:rPr>
          <w:lang w:val="fr-FR"/>
        </w:rPr>
        <w:t xml:space="preserve"> et 697/2015, </w:t>
      </w:r>
      <w:r w:rsidR="00825B8D" w:rsidRPr="00B9362A">
        <w:rPr>
          <w:i/>
          <w:lang w:val="fr-FR"/>
        </w:rPr>
        <w:t>X. et</w:t>
      </w:r>
      <w:r w:rsidR="00825B8D" w:rsidRPr="00B9362A">
        <w:rPr>
          <w:lang w:val="fr-FR"/>
        </w:rPr>
        <w:t xml:space="preserve"> </w:t>
      </w:r>
      <w:r w:rsidR="00825B8D" w:rsidRPr="00B9362A">
        <w:rPr>
          <w:i/>
          <w:lang w:val="fr-FR"/>
        </w:rPr>
        <w:t>consorts</w:t>
      </w:r>
      <w:r w:rsidR="00825B8D" w:rsidRPr="00B9362A">
        <w:rPr>
          <w:lang w:val="fr-FR"/>
        </w:rPr>
        <w:t xml:space="preserve"> c. </w:t>
      </w:r>
      <w:r w:rsidR="00825B8D" w:rsidRPr="00B9362A">
        <w:rPr>
          <w:i/>
          <w:lang w:val="fr-FR"/>
        </w:rPr>
        <w:t>Suisse</w:t>
      </w:r>
      <w:r w:rsidR="00825B8D" w:rsidRPr="00B9362A">
        <w:rPr>
          <w:lang w:val="fr-FR"/>
        </w:rPr>
        <w:t>, irrecevables. Il a mis fin à l</w:t>
      </w:r>
      <w:r w:rsidR="00993CE3">
        <w:rPr>
          <w:lang w:val="fr-FR"/>
        </w:rPr>
        <w:t>’</w:t>
      </w:r>
      <w:r w:rsidR="00825B8D" w:rsidRPr="00B9362A">
        <w:rPr>
          <w:lang w:val="fr-FR"/>
        </w:rPr>
        <w:t>examen des communications n</w:t>
      </w:r>
      <w:r w:rsidR="00825B8D" w:rsidRPr="00B9362A">
        <w:rPr>
          <w:vertAlign w:val="superscript"/>
          <w:lang w:val="fr-FR"/>
        </w:rPr>
        <w:t>o</w:t>
      </w:r>
      <w:r w:rsidR="00825B8D" w:rsidRPr="00B9362A">
        <w:rPr>
          <w:lang w:val="fr-FR"/>
        </w:rPr>
        <w:t xml:space="preserve"> 459/2011, </w:t>
      </w:r>
      <w:r w:rsidR="00825B8D" w:rsidRPr="00B9362A">
        <w:rPr>
          <w:i/>
          <w:lang w:val="fr-FR"/>
        </w:rPr>
        <w:t>M. H</w:t>
      </w:r>
      <w:r w:rsidR="00825B8D" w:rsidRPr="00B9362A">
        <w:rPr>
          <w:lang w:val="fr-FR"/>
        </w:rPr>
        <w:t xml:space="preserve">. </w:t>
      </w:r>
      <w:r w:rsidR="00825B8D" w:rsidRPr="00893814">
        <w:rPr>
          <w:i/>
          <w:lang w:val="fr-FR"/>
        </w:rPr>
        <w:t xml:space="preserve">et </w:t>
      </w:r>
      <w:r w:rsidR="00825B8D" w:rsidRPr="00B9362A">
        <w:rPr>
          <w:i/>
          <w:lang w:val="fr-FR"/>
        </w:rPr>
        <w:t>R. H</w:t>
      </w:r>
      <w:r w:rsidR="00825B8D" w:rsidRPr="00B9362A">
        <w:rPr>
          <w:lang w:val="fr-FR"/>
        </w:rPr>
        <w:t>. c. </w:t>
      </w:r>
      <w:r w:rsidR="00825B8D" w:rsidRPr="00B9362A">
        <w:rPr>
          <w:i/>
          <w:lang w:val="fr-FR"/>
        </w:rPr>
        <w:t>Suisse</w:t>
      </w:r>
      <w:r w:rsidR="00825B8D" w:rsidRPr="00B9362A">
        <w:rPr>
          <w:lang w:val="fr-FR"/>
        </w:rPr>
        <w:t xml:space="preserve">, 506/2012, </w:t>
      </w:r>
      <w:r w:rsidR="00825B8D" w:rsidRPr="00B9362A">
        <w:rPr>
          <w:i/>
          <w:lang w:val="fr-FR"/>
        </w:rPr>
        <w:t>H. A. A</w:t>
      </w:r>
      <w:r w:rsidR="00825B8D" w:rsidRPr="00B9362A">
        <w:rPr>
          <w:lang w:val="fr-FR"/>
        </w:rPr>
        <w:t>. c. </w:t>
      </w:r>
      <w:r w:rsidR="00825B8D" w:rsidRPr="00B9362A">
        <w:rPr>
          <w:i/>
          <w:lang w:val="fr-FR"/>
        </w:rPr>
        <w:t>Suisse</w:t>
      </w:r>
      <w:r w:rsidR="00825B8D" w:rsidRPr="00B9362A">
        <w:rPr>
          <w:lang w:val="fr-FR"/>
        </w:rPr>
        <w:t xml:space="preserve">, 588/2014, </w:t>
      </w:r>
      <w:r w:rsidR="00825B8D" w:rsidRPr="00B9362A">
        <w:rPr>
          <w:i/>
          <w:lang w:val="fr-FR"/>
        </w:rPr>
        <w:t>A. L</w:t>
      </w:r>
      <w:r w:rsidR="00825B8D" w:rsidRPr="00B9362A">
        <w:rPr>
          <w:lang w:val="fr-FR"/>
        </w:rPr>
        <w:t>. c. </w:t>
      </w:r>
      <w:r w:rsidR="00825B8D" w:rsidRPr="00B9362A">
        <w:rPr>
          <w:i/>
          <w:lang w:val="fr-FR"/>
        </w:rPr>
        <w:t>Canada</w:t>
      </w:r>
      <w:r w:rsidR="00825B8D" w:rsidRPr="00B9362A">
        <w:rPr>
          <w:lang w:val="fr-FR"/>
        </w:rPr>
        <w:t xml:space="preserve">, 603/2014, </w:t>
      </w:r>
      <w:r w:rsidR="00825B8D" w:rsidRPr="00B9362A">
        <w:rPr>
          <w:i/>
          <w:lang w:val="fr-FR"/>
        </w:rPr>
        <w:t>K. S</w:t>
      </w:r>
      <w:r w:rsidR="00825B8D" w:rsidRPr="00B9362A">
        <w:rPr>
          <w:lang w:val="fr-FR"/>
        </w:rPr>
        <w:t>. c. </w:t>
      </w:r>
      <w:r w:rsidR="00825B8D" w:rsidRPr="00B9362A">
        <w:rPr>
          <w:i/>
          <w:lang w:val="fr-FR"/>
        </w:rPr>
        <w:t>Australie</w:t>
      </w:r>
      <w:r w:rsidR="00825B8D" w:rsidRPr="00B9362A">
        <w:rPr>
          <w:lang w:val="fr-FR"/>
        </w:rPr>
        <w:t>, 626/2014,</w:t>
      </w:r>
      <w:r w:rsidR="00825B8D" w:rsidRPr="00B9362A">
        <w:rPr>
          <w:i/>
          <w:lang w:val="fr-FR"/>
        </w:rPr>
        <w:t> S. R.</w:t>
      </w:r>
      <w:r w:rsidR="00825B8D" w:rsidRPr="00B9362A">
        <w:rPr>
          <w:lang w:val="fr-FR"/>
        </w:rPr>
        <w:t xml:space="preserve"> c. </w:t>
      </w:r>
      <w:r w:rsidR="00825B8D" w:rsidRPr="00B9362A">
        <w:rPr>
          <w:i/>
          <w:lang w:val="fr-FR"/>
        </w:rPr>
        <w:t>Australie</w:t>
      </w:r>
      <w:r w:rsidR="00825B8D" w:rsidRPr="00B9362A">
        <w:rPr>
          <w:lang w:val="fr-FR"/>
        </w:rPr>
        <w:t xml:space="preserve">, 630/2014, </w:t>
      </w:r>
      <w:r w:rsidR="00825B8D" w:rsidRPr="00B9362A">
        <w:rPr>
          <w:i/>
          <w:lang w:val="fr-FR"/>
        </w:rPr>
        <w:t>S. M.</w:t>
      </w:r>
      <w:r w:rsidR="00825B8D" w:rsidRPr="00B9362A">
        <w:rPr>
          <w:lang w:val="fr-FR"/>
        </w:rPr>
        <w:t xml:space="preserve"> c. </w:t>
      </w:r>
      <w:r w:rsidR="00825B8D" w:rsidRPr="00B9362A">
        <w:rPr>
          <w:i/>
          <w:lang w:val="fr-FR"/>
        </w:rPr>
        <w:t>Canada</w:t>
      </w:r>
      <w:r w:rsidR="00825B8D" w:rsidRPr="00B9362A">
        <w:rPr>
          <w:lang w:val="fr-FR"/>
        </w:rPr>
        <w:t xml:space="preserve">, 664/2015, </w:t>
      </w:r>
      <w:r w:rsidR="00825B8D" w:rsidRPr="00B9362A">
        <w:rPr>
          <w:i/>
          <w:lang w:val="fr-FR"/>
        </w:rPr>
        <w:t>Y.</w:t>
      </w:r>
      <w:r w:rsidR="00A112A2">
        <w:rPr>
          <w:i/>
          <w:lang w:val="fr-FR"/>
        </w:rPr>
        <w:t> </w:t>
      </w:r>
      <w:r w:rsidR="00825B8D" w:rsidRPr="00B9362A">
        <w:rPr>
          <w:i/>
          <w:lang w:val="fr-FR"/>
        </w:rPr>
        <w:t>M.</w:t>
      </w:r>
      <w:r w:rsidR="00825B8D" w:rsidRPr="00B9362A">
        <w:rPr>
          <w:lang w:val="fr-FR"/>
        </w:rPr>
        <w:t xml:space="preserve"> c. </w:t>
      </w:r>
      <w:r w:rsidR="00825B8D" w:rsidRPr="00B9362A">
        <w:rPr>
          <w:i/>
          <w:lang w:val="fr-FR"/>
        </w:rPr>
        <w:t>Suisse</w:t>
      </w:r>
      <w:r w:rsidR="00825B8D" w:rsidRPr="00B9362A">
        <w:rPr>
          <w:lang w:val="fr-FR"/>
        </w:rPr>
        <w:t xml:space="preserve">, 668/2015, </w:t>
      </w:r>
      <w:r w:rsidR="00825B8D" w:rsidRPr="00B9362A">
        <w:rPr>
          <w:i/>
          <w:lang w:val="fr-FR"/>
        </w:rPr>
        <w:t>M. M</w:t>
      </w:r>
      <w:r w:rsidR="00825B8D" w:rsidRPr="00B9362A">
        <w:rPr>
          <w:lang w:val="fr-FR"/>
        </w:rPr>
        <w:t>. c. </w:t>
      </w:r>
      <w:r w:rsidR="00825B8D" w:rsidRPr="00B9362A">
        <w:rPr>
          <w:i/>
          <w:lang w:val="fr-FR"/>
        </w:rPr>
        <w:t>Suède</w:t>
      </w:r>
      <w:r w:rsidR="00825B8D" w:rsidRPr="00B9362A">
        <w:rPr>
          <w:lang w:val="fr-FR"/>
        </w:rPr>
        <w:t xml:space="preserve">, 670/2015, </w:t>
      </w:r>
      <w:r w:rsidR="00825B8D" w:rsidRPr="00B9362A">
        <w:rPr>
          <w:i/>
          <w:lang w:val="fr-FR"/>
        </w:rPr>
        <w:t>U. P. A</w:t>
      </w:r>
      <w:r w:rsidR="00825B8D" w:rsidRPr="00B9362A">
        <w:rPr>
          <w:lang w:val="fr-FR"/>
        </w:rPr>
        <w:t>. c. </w:t>
      </w:r>
      <w:r w:rsidR="00825B8D" w:rsidRPr="00B9362A">
        <w:rPr>
          <w:i/>
          <w:lang w:val="fr-FR"/>
        </w:rPr>
        <w:t>Suède</w:t>
      </w:r>
      <w:r w:rsidR="00825B8D" w:rsidRPr="00B9362A">
        <w:rPr>
          <w:lang w:val="fr-FR"/>
        </w:rPr>
        <w:t xml:space="preserve"> et 762/2016, </w:t>
      </w:r>
      <w:r w:rsidR="00825B8D" w:rsidRPr="00B9362A">
        <w:rPr>
          <w:i/>
          <w:lang w:val="fr-FR"/>
        </w:rPr>
        <w:t>A. A</w:t>
      </w:r>
      <w:r w:rsidR="00825B8D" w:rsidRPr="00B9362A">
        <w:rPr>
          <w:lang w:val="fr-FR"/>
        </w:rPr>
        <w:t>. c. </w:t>
      </w:r>
      <w:r w:rsidR="00825B8D" w:rsidRPr="00B9362A">
        <w:rPr>
          <w:i/>
          <w:lang w:val="fr-FR"/>
        </w:rPr>
        <w:t>Suisse</w:t>
      </w:r>
      <w:r w:rsidR="00825B8D" w:rsidRPr="00B9362A">
        <w:rPr>
          <w:lang w:val="fr-FR"/>
        </w:rPr>
        <w:t xml:space="preserve">. </w:t>
      </w:r>
    </w:p>
    <w:p w:rsidR="00825B8D" w:rsidRPr="00B9362A" w:rsidRDefault="00B9362A" w:rsidP="00B9362A">
      <w:pPr>
        <w:pStyle w:val="SingleTxtG"/>
        <w:rPr>
          <w:lang w:val="fr-FR"/>
        </w:rPr>
      </w:pPr>
      <w:r>
        <w:rPr>
          <w:lang w:val="fr-FR"/>
        </w:rPr>
        <w:t>82.</w:t>
      </w:r>
      <w:r>
        <w:rPr>
          <w:lang w:val="fr-FR"/>
        </w:rPr>
        <w:tab/>
      </w:r>
      <w:r w:rsidR="00825B8D" w:rsidRPr="00B9362A">
        <w:rPr>
          <w:lang w:val="fr-FR"/>
        </w:rPr>
        <w:t>À sa soixantième session, le Comité a adopté des décisions sur le fond concernant 17</w:t>
      </w:r>
      <w:r w:rsidR="003D2359">
        <w:rPr>
          <w:lang w:val="fr-FR"/>
        </w:rPr>
        <w:t> </w:t>
      </w:r>
      <w:r w:rsidR="00825B8D" w:rsidRPr="00B9362A">
        <w:rPr>
          <w:lang w:val="fr-FR"/>
        </w:rPr>
        <w:t>communications.</w:t>
      </w:r>
      <w:r w:rsidR="003D2359">
        <w:rPr>
          <w:lang w:val="fr-FR"/>
        </w:rPr>
        <w:t xml:space="preserve"> </w:t>
      </w:r>
      <w:r w:rsidR="00825B8D" w:rsidRPr="00B9362A">
        <w:rPr>
          <w:lang w:val="fr-FR"/>
        </w:rPr>
        <w:t>Dans sa décision concernant la communication n</w:t>
      </w:r>
      <w:r w:rsidR="00825B8D" w:rsidRPr="00B9362A">
        <w:rPr>
          <w:vertAlign w:val="superscript"/>
          <w:lang w:val="fr-FR"/>
        </w:rPr>
        <w:t>o</w:t>
      </w:r>
      <w:r w:rsidR="00825B8D" w:rsidRPr="00B9362A">
        <w:rPr>
          <w:lang w:val="fr-FR"/>
        </w:rPr>
        <w:t> </w:t>
      </w:r>
      <w:r w:rsidR="00825B8D" w:rsidRPr="00B9362A">
        <w:t xml:space="preserve">573/2013, </w:t>
      </w:r>
      <w:r w:rsidR="00825B8D" w:rsidRPr="00B9362A">
        <w:rPr>
          <w:i/>
        </w:rPr>
        <w:t>C.</w:t>
      </w:r>
      <w:r w:rsidR="0064506C">
        <w:rPr>
          <w:i/>
        </w:rPr>
        <w:t> </w:t>
      </w:r>
      <w:r w:rsidR="00825B8D" w:rsidRPr="00B9362A">
        <w:rPr>
          <w:i/>
        </w:rPr>
        <w:t>D. et E.</w:t>
      </w:r>
      <w:r w:rsidR="0064506C">
        <w:rPr>
          <w:i/>
        </w:rPr>
        <w:t> </w:t>
      </w:r>
      <w:r w:rsidR="00825B8D" w:rsidRPr="00B9362A">
        <w:rPr>
          <w:i/>
        </w:rPr>
        <w:t xml:space="preserve">D. </w:t>
      </w:r>
      <w:r w:rsidR="00825B8D" w:rsidRPr="00B9362A">
        <w:t>c.</w:t>
      </w:r>
      <w:r w:rsidR="00825B8D" w:rsidRPr="00B9362A">
        <w:rPr>
          <w:i/>
        </w:rPr>
        <w:t xml:space="preserve"> Géorgie</w:t>
      </w:r>
      <w:r w:rsidR="00825B8D" w:rsidRPr="00B9362A">
        <w:t>,</w:t>
      </w:r>
      <w:r w:rsidR="00825B8D" w:rsidRPr="00B9362A">
        <w:rPr>
          <w:lang w:val="fr-FR"/>
        </w:rPr>
        <w:t xml:space="preserve"> le Comité a conclu que l</w:t>
      </w:r>
      <w:r w:rsidR="00993CE3">
        <w:rPr>
          <w:lang w:val="fr-FR"/>
        </w:rPr>
        <w:t>’</w:t>
      </w:r>
      <w:r w:rsidR="00825B8D" w:rsidRPr="00B9362A">
        <w:rPr>
          <w:lang w:val="fr-FR"/>
        </w:rPr>
        <w:t>État partie avait violé les droits que les deux requérants tenaient des articles 12 et 13 de la Convention, lus conjointement avec l</w:t>
      </w:r>
      <w:r w:rsidR="00993CE3">
        <w:rPr>
          <w:lang w:val="fr-FR"/>
        </w:rPr>
        <w:t>’</w:t>
      </w:r>
      <w:r w:rsidR="00215FF0">
        <w:rPr>
          <w:lang w:val="fr-FR"/>
        </w:rPr>
        <w:t>article 1</w:t>
      </w:r>
      <w:r w:rsidR="00825B8D" w:rsidRPr="00B9362A">
        <w:rPr>
          <w:lang w:val="fr-FR"/>
        </w:rPr>
        <w:t>, ainsi que les droits que le second requérant tenait du paragraphe 1 de l</w:t>
      </w:r>
      <w:r w:rsidR="00993CE3">
        <w:rPr>
          <w:lang w:val="fr-FR"/>
        </w:rPr>
        <w:t>’</w:t>
      </w:r>
      <w:r w:rsidR="00825B8D" w:rsidRPr="00B9362A">
        <w:rPr>
          <w:lang w:val="fr-FR"/>
        </w:rPr>
        <w:t>article 16 de la Convention. Dans sa décision concernant la communication n</w:t>
      </w:r>
      <w:r w:rsidR="00825B8D" w:rsidRPr="00B9362A">
        <w:rPr>
          <w:vertAlign w:val="superscript"/>
          <w:lang w:val="fr-FR"/>
        </w:rPr>
        <w:t>o</w:t>
      </w:r>
      <w:r w:rsidR="00825B8D" w:rsidRPr="00B9362A">
        <w:rPr>
          <w:lang w:val="fr-FR"/>
        </w:rPr>
        <w:t> </w:t>
      </w:r>
      <w:r w:rsidR="00825B8D" w:rsidRPr="00B9362A">
        <w:t xml:space="preserve">579/2013, </w:t>
      </w:r>
      <w:r w:rsidR="00825B8D" w:rsidRPr="00B9362A">
        <w:rPr>
          <w:i/>
        </w:rPr>
        <w:t>G.</w:t>
      </w:r>
      <w:r w:rsidR="0064506C">
        <w:rPr>
          <w:i/>
        </w:rPr>
        <w:t> </w:t>
      </w:r>
      <w:r w:rsidR="00825B8D" w:rsidRPr="00B9362A">
        <w:rPr>
          <w:i/>
        </w:rPr>
        <w:t>N. et C.</w:t>
      </w:r>
      <w:r w:rsidR="0064506C">
        <w:rPr>
          <w:i/>
        </w:rPr>
        <w:t> </w:t>
      </w:r>
      <w:r w:rsidR="00825B8D" w:rsidRPr="00B9362A">
        <w:rPr>
          <w:i/>
        </w:rPr>
        <w:t xml:space="preserve">N. </w:t>
      </w:r>
      <w:r w:rsidR="00825B8D" w:rsidRPr="00B9362A">
        <w:t>c.</w:t>
      </w:r>
      <w:r w:rsidR="00825B8D" w:rsidRPr="00B9362A">
        <w:rPr>
          <w:i/>
        </w:rPr>
        <w:t xml:space="preserve"> Burundi</w:t>
      </w:r>
      <w:r w:rsidR="00825B8D" w:rsidRPr="00B9362A">
        <w:t>,</w:t>
      </w:r>
      <w:r w:rsidR="00825B8D" w:rsidRPr="00B9362A">
        <w:rPr>
          <w:lang w:val="fr-FR"/>
        </w:rPr>
        <w:t xml:space="preserve"> le Comité a conclu que l</w:t>
      </w:r>
      <w:r w:rsidR="00993CE3">
        <w:rPr>
          <w:lang w:val="fr-FR"/>
        </w:rPr>
        <w:t>’</w:t>
      </w:r>
      <w:r w:rsidR="00825B8D" w:rsidRPr="00B9362A">
        <w:rPr>
          <w:lang w:val="fr-FR"/>
        </w:rPr>
        <w:t>État partie avait violé l</w:t>
      </w:r>
      <w:r w:rsidR="00993CE3">
        <w:rPr>
          <w:lang w:val="fr-FR"/>
        </w:rPr>
        <w:t>’</w:t>
      </w:r>
      <w:r w:rsidR="00825B8D" w:rsidRPr="00B9362A">
        <w:rPr>
          <w:lang w:val="fr-FR"/>
        </w:rPr>
        <w:t>article 1 de la Convention, ainsi que les articles 12 à 14, lus séparément ou conjointement avec l</w:t>
      </w:r>
      <w:r w:rsidR="00993CE3">
        <w:rPr>
          <w:lang w:val="fr-FR"/>
        </w:rPr>
        <w:t>’</w:t>
      </w:r>
      <w:r w:rsidR="00825B8D" w:rsidRPr="00B9362A">
        <w:rPr>
          <w:lang w:val="fr-FR"/>
        </w:rPr>
        <w:t>article 1. Dans sa décision concernant la communication n</w:t>
      </w:r>
      <w:r w:rsidR="00825B8D" w:rsidRPr="00B9362A">
        <w:rPr>
          <w:vertAlign w:val="superscript"/>
          <w:lang w:val="fr-FR"/>
        </w:rPr>
        <w:t>o</w:t>
      </w:r>
      <w:r w:rsidR="00825B8D" w:rsidRPr="00B9362A">
        <w:rPr>
          <w:lang w:val="fr-FR"/>
        </w:rPr>
        <w:t> </w:t>
      </w:r>
      <w:r w:rsidR="00825B8D" w:rsidRPr="00B9362A">
        <w:t xml:space="preserve">612/2014, </w:t>
      </w:r>
      <w:r w:rsidR="00825B8D" w:rsidRPr="00B9362A">
        <w:rPr>
          <w:i/>
        </w:rPr>
        <w:t xml:space="preserve">Ntunzwenayo </w:t>
      </w:r>
      <w:r w:rsidR="00825B8D" w:rsidRPr="00B9362A">
        <w:t>c.</w:t>
      </w:r>
      <w:r w:rsidR="00825B8D" w:rsidRPr="00B9362A">
        <w:rPr>
          <w:i/>
        </w:rPr>
        <w:t xml:space="preserve"> Burundi</w:t>
      </w:r>
      <w:r w:rsidR="00825B8D" w:rsidRPr="00B9362A">
        <w:t>,</w:t>
      </w:r>
      <w:r w:rsidR="00825B8D" w:rsidRPr="00B9362A">
        <w:rPr>
          <w:lang w:val="fr-FR"/>
        </w:rPr>
        <w:t xml:space="preserve"> le Comité a conclu que l</w:t>
      </w:r>
      <w:r w:rsidR="00993CE3">
        <w:rPr>
          <w:lang w:val="fr-FR"/>
        </w:rPr>
        <w:t>’</w:t>
      </w:r>
      <w:r w:rsidR="00825B8D" w:rsidRPr="00B9362A">
        <w:rPr>
          <w:lang w:val="fr-FR"/>
        </w:rPr>
        <w:t>État partie avait violé le paragraphe 1 de l</w:t>
      </w:r>
      <w:r w:rsidR="00993CE3">
        <w:rPr>
          <w:lang w:val="fr-FR"/>
        </w:rPr>
        <w:t>’</w:t>
      </w:r>
      <w:r w:rsidR="00825B8D" w:rsidRPr="00B9362A">
        <w:rPr>
          <w:lang w:val="fr-FR"/>
        </w:rPr>
        <w:t>article 2, lu conjointement avec l</w:t>
      </w:r>
      <w:r w:rsidR="00993CE3">
        <w:rPr>
          <w:lang w:val="fr-FR"/>
        </w:rPr>
        <w:t>’</w:t>
      </w:r>
      <w:r w:rsidR="00825B8D" w:rsidRPr="00B9362A">
        <w:rPr>
          <w:lang w:val="fr-FR"/>
        </w:rPr>
        <w:t>article 1, ainsi que les articles 11 à 15 de la Convention. Dans sa décision concernant la communication n</w:t>
      </w:r>
      <w:r w:rsidR="00825B8D" w:rsidRPr="00B9362A">
        <w:rPr>
          <w:vertAlign w:val="superscript"/>
          <w:lang w:val="fr-FR"/>
        </w:rPr>
        <w:t>o</w:t>
      </w:r>
      <w:r w:rsidR="00825B8D" w:rsidRPr="00B9362A">
        <w:rPr>
          <w:lang w:val="fr-FR"/>
        </w:rPr>
        <w:t> </w:t>
      </w:r>
      <w:r w:rsidR="00825B8D" w:rsidRPr="00B9362A">
        <w:t xml:space="preserve">651/2015, </w:t>
      </w:r>
      <w:r w:rsidR="00825B8D" w:rsidRPr="00B9362A">
        <w:rPr>
          <w:i/>
        </w:rPr>
        <w:t xml:space="preserve">Ushenin </w:t>
      </w:r>
      <w:r w:rsidR="00825B8D" w:rsidRPr="00B9362A">
        <w:t>c.</w:t>
      </w:r>
      <w:r w:rsidR="00825B8D" w:rsidRPr="00B9362A">
        <w:rPr>
          <w:i/>
        </w:rPr>
        <w:t xml:space="preserve"> Kazakhstan</w:t>
      </w:r>
      <w:r w:rsidR="00825B8D" w:rsidRPr="00B9362A">
        <w:t>,</w:t>
      </w:r>
      <w:r w:rsidR="00825B8D" w:rsidRPr="00B9362A">
        <w:rPr>
          <w:lang w:val="fr-FR"/>
        </w:rPr>
        <w:t xml:space="preserve"> le Comité a conclu que l</w:t>
      </w:r>
      <w:r w:rsidR="00993CE3">
        <w:rPr>
          <w:lang w:val="fr-FR"/>
        </w:rPr>
        <w:t>’</w:t>
      </w:r>
      <w:r w:rsidR="00825B8D" w:rsidRPr="00B9362A">
        <w:rPr>
          <w:lang w:val="fr-FR"/>
        </w:rPr>
        <w:t>État partie avait violé l</w:t>
      </w:r>
      <w:r w:rsidR="00993CE3">
        <w:rPr>
          <w:lang w:val="fr-FR"/>
        </w:rPr>
        <w:t>’</w:t>
      </w:r>
      <w:r w:rsidR="00825B8D" w:rsidRPr="00B9362A">
        <w:rPr>
          <w:lang w:val="fr-FR"/>
        </w:rPr>
        <w:t>article 1, lu conjointement avec le paragraphe 1 de l</w:t>
      </w:r>
      <w:r w:rsidR="00993CE3">
        <w:rPr>
          <w:lang w:val="fr-FR"/>
        </w:rPr>
        <w:t>’</w:t>
      </w:r>
      <w:r w:rsidR="00825B8D" w:rsidRPr="00B9362A">
        <w:rPr>
          <w:lang w:val="fr-FR"/>
        </w:rPr>
        <w:t>article 2, ainsi que les articles 12 à 14 de la Convention. Dans ses décisions concernant les communications n</w:t>
      </w:r>
      <w:r w:rsidR="00825B8D" w:rsidRPr="00B9362A">
        <w:rPr>
          <w:vertAlign w:val="superscript"/>
          <w:lang w:val="fr-FR"/>
        </w:rPr>
        <w:t>o</w:t>
      </w:r>
      <w:r w:rsidR="00825B8D" w:rsidRPr="00B9362A">
        <w:rPr>
          <w:lang w:val="fr-FR"/>
        </w:rPr>
        <w:t> </w:t>
      </w:r>
      <w:r w:rsidR="00825B8D" w:rsidRPr="00B9362A">
        <w:t xml:space="preserve">639/2014, </w:t>
      </w:r>
      <w:r w:rsidR="00825B8D" w:rsidRPr="00B9362A">
        <w:rPr>
          <w:i/>
        </w:rPr>
        <w:t xml:space="preserve">Abdallah </w:t>
      </w:r>
      <w:r w:rsidR="00825B8D" w:rsidRPr="00B9362A">
        <w:t>c.</w:t>
      </w:r>
      <w:r w:rsidR="00825B8D" w:rsidRPr="00B9362A">
        <w:rPr>
          <w:i/>
        </w:rPr>
        <w:t xml:space="preserve"> Suisse</w:t>
      </w:r>
      <w:r w:rsidR="00825B8D" w:rsidRPr="00B9362A">
        <w:t xml:space="preserve">, </w:t>
      </w:r>
      <w:r w:rsidR="00215FF0" w:rsidRPr="00B9362A">
        <w:rPr>
          <w:lang w:val="fr-FR"/>
        </w:rPr>
        <w:t>n</w:t>
      </w:r>
      <w:r w:rsidR="00215FF0" w:rsidRPr="00B9362A">
        <w:rPr>
          <w:vertAlign w:val="superscript"/>
          <w:lang w:val="fr-FR"/>
        </w:rPr>
        <w:t>o</w:t>
      </w:r>
      <w:r w:rsidR="00215FF0" w:rsidRPr="00B9362A">
        <w:rPr>
          <w:lang w:val="fr-FR"/>
        </w:rPr>
        <w:t> </w:t>
      </w:r>
      <w:r w:rsidR="00825B8D" w:rsidRPr="00B9362A">
        <w:t xml:space="preserve">653/2015, </w:t>
      </w:r>
      <w:r w:rsidR="00825B8D" w:rsidRPr="00B9362A">
        <w:rPr>
          <w:i/>
        </w:rPr>
        <w:t>A.</w:t>
      </w:r>
      <w:r w:rsidR="000D0AF3">
        <w:rPr>
          <w:i/>
        </w:rPr>
        <w:t> </w:t>
      </w:r>
      <w:r w:rsidR="00825B8D" w:rsidRPr="00B9362A">
        <w:rPr>
          <w:i/>
        </w:rPr>
        <w:t>M.</w:t>
      </w:r>
      <w:r w:rsidR="000D0AF3">
        <w:rPr>
          <w:i/>
        </w:rPr>
        <w:t> </w:t>
      </w:r>
      <w:r w:rsidR="00825B8D" w:rsidRPr="00B9362A">
        <w:rPr>
          <w:i/>
        </w:rPr>
        <w:t xml:space="preserve">D. et consorts </w:t>
      </w:r>
      <w:r w:rsidR="00825B8D" w:rsidRPr="00B9362A">
        <w:t>c.</w:t>
      </w:r>
      <w:r w:rsidR="00825B8D" w:rsidRPr="00B9362A">
        <w:rPr>
          <w:i/>
        </w:rPr>
        <w:t xml:space="preserve"> Danemark</w:t>
      </w:r>
      <w:r w:rsidR="00825B8D" w:rsidRPr="00B9362A">
        <w:t xml:space="preserve">, </w:t>
      </w:r>
      <w:r w:rsidR="00215FF0" w:rsidRPr="00B9362A">
        <w:rPr>
          <w:lang w:val="fr-FR"/>
        </w:rPr>
        <w:t>n</w:t>
      </w:r>
      <w:r w:rsidR="00215FF0" w:rsidRPr="00B9362A">
        <w:rPr>
          <w:vertAlign w:val="superscript"/>
          <w:lang w:val="fr-FR"/>
        </w:rPr>
        <w:t>o</w:t>
      </w:r>
      <w:r w:rsidR="00215FF0" w:rsidRPr="00B9362A">
        <w:rPr>
          <w:lang w:val="fr-FR"/>
        </w:rPr>
        <w:t> </w:t>
      </w:r>
      <w:r w:rsidR="00825B8D" w:rsidRPr="00B9362A">
        <w:t xml:space="preserve">681/2015, </w:t>
      </w:r>
      <w:r w:rsidR="00825B8D" w:rsidRPr="00B9362A">
        <w:rPr>
          <w:i/>
        </w:rPr>
        <w:t xml:space="preserve">Masumi </w:t>
      </w:r>
      <w:r w:rsidR="00825B8D" w:rsidRPr="00B9362A">
        <w:t>c.</w:t>
      </w:r>
      <w:r w:rsidR="00825B8D" w:rsidRPr="00B9362A">
        <w:rPr>
          <w:i/>
        </w:rPr>
        <w:t xml:space="preserve"> Australie </w:t>
      </w:r>
      <w:r w:rsidR="00825B8D" w:rsidRPr="00B9362A">
        <w:t xml:space="preserve">et </w:t>
      </w:r>
      <w:r w:rsidR="00215FF0" w:rsidRPr="00B9362A">
        <w:rPr>
          <w:lang w:val="fr-FR"/>
        </w:rPr>
        <w:t>n</w:t>
      </w:r>
      <w:r w:rsidR="00215FF0" w:rsidRPr="00B9362A">
        <w:rPr>
          <w:vertAlign w:val="superscript"/>
          <w:lang w:val="fr-FR"/>
        </w:rPr>
        <w:t>o</w:t>
      </w:r>
      <w:r w:rsidR="00215FF0" w:rsidRPr="00B9362A">
        <w:rPr>
          <w:lang w:val="fr-FR"/>
        </w:rPr>
        <w:t> </w:t>
      </w:r>
      <w:r w:rsidR="00825B8D" w:rsidRPr="00B9362A">
        <w:t xml:space="preserve">701/2015 et </w:t>
      </w:r>
      <w:r w:rsidR="00825B8D" w:rsidRPr="00B9362A">
        <w:rPr>
          <w:i/>
        </w:rPr>
        <w:t>M.</w:t>
      </w:r>
      <w:r w:rsidR="000D0AF3">
        <w:rPr>
          <w:i/>
        </w:rPr>
        <w:t> </w:t>
      </w:r>
      <w:r w:rsidR="00825B8D" w:rsidRPr="00B9362A">
        <w:rPr>
          <w:i/>
        </w:rPr>
        <w:t>H.</w:t>
      </w:r>
      <w:r w:rsidR="000D0AF3">
        <w:rPr>
          <w:i/>
        </w:rPr>
        <w:t> </w:t>
      </w:r>
      <w:r w:rsidR="00825B8D" w:rsidRPr="00B9362A">
        <w:rPr>
          <w:i/>
        </w:rPr>
        <w:t xml:space="preserve">K. </w:t>
      </w:r>
      <w:r w:rsidR="00825B8D" w:rsidRPr="00B9362A">
        <w:t>c.</w:t>
      </w:r>
      <w:r w:rsidR="00825B8D" w:rsidRPr="00B9362A">
        <w:rPr>
          <w:i/>
        </w:rPr>
        <w:t xml:space="preserve"> Australie</w:t>
      </w:r>
      <w:r w:rsidR="00825B8D" w:rsidRPr="00B9362A">
        <w:rPr>
          <w:lang w:val="fr-FR"/>
        </w:rPr>
        <w:t>, le Comité a conclu que le renvoi des requérants constituerait une violation par les États parties de l</w:t>
      </w:r>
      <w:r w:rsidR="00993CE3">
        <w:rPr>
          <w:lang w:val="fr-FR"/>
        </w:rPr>
        <w:t>’</w:t>
      </w:r>
      <w:r w:rsidR="00825B8D" w:rsidRPr="00B9362A">
        <w:rPr>
          <w:lang w:val="fr-FR"/>
        </w:rPr>
        <w:t>article 3 de la Convention. Dans ses décisions concernant les communications n</w:t>
      </w:r>
      <w:r w:rsidR="00825B8D" w:rsidRPr="00B9362A">
        <w:rPr>
          <w:vertAlign w:val="superscript"/>
          <w:lang w:val="fr-FR"/>
        </w:rPr>
        <w:t>o</w:t>
      </w:r>
      <w:r w:rsidR="00825B8D" w:rsidRPr="00B9362A">
        <w:rPr>
          <w:lang w:val="fr-FR"/>
        </w:rPr>
        <w:t> </w:t>
      </w:r>
      <w:r w:rsidR="00825B8D" w:rsidRPr="00B9362A">
        <w:t xml:space="preserve">465/2011, </w:t>
      </w:r>
      <w:r w:rsidR="00825B8D" w:rsidRPr="00B9362A">
        <w:rPr>
          <w:i/>
        </w:rPr>
        <w:t>A.</w:t>
      </w:r>
      <w:r w:rsidR="0064506C">
        <w:rPr>
          <w:i/>
        </w:rPr>
        <w:t> </w:t>
      </w:r>
      <w:r w:rsidR="00825B8D" w:rsidRPr="00B9362A">
        <w:rPr>
          <w:i/>
        </w:rPr>
        <w:t xml:space="preserve">P. </w:t>
      </w:r>
      <w:r w:rsidR="00825B8D" w:rsidRPr="00B9362A">
        <w:t>c.</w:t>
      </w:r>
      <w:r w:rsidR="00825B8D" w:rsidRPr="00B9362A">
        <w:rPr>
          <w:i/>
        </w:rPr>
        <w:t xml:space="preserve"> Finlande</w:t>
      </w:r>
      <w:r w:rsidR="00825B8D" w:rsidRPr="00B9362A">
        <w:t xml:space="preserve">, </w:t>
      </w:r>
      <w:r w:rsidR="00215FF0" w:rsidRPr="00B9362A">
        <w:rPr>
          <w:lang w:val="fr-FR"/>
        </w:rPr>
        <w:t>n</w:t>
      </w:r>
      <w:r w:rsidR="00215FF0" w:rsidRPr="00B9362A">
        <w:rPr>
          <w:vertAlign w:val="superscript"/>
          <w:lang w:val="fr-FR"/>
        </w:rPr>
        <w:t>o</w:t>
      </w:r>
      <w:r w:rsidR="00215FF0" w:rsidRPr="00B9362A">
        <w:rPr>
          <w:lang w:val="fr-FR"/>
        </w:rPr>
        <w:t> </w:t>
      </w:r>
      <w:r w:rsidR="00825B8D" w:rsidRPr="00B9362A">
        <w:t xml:space="preserve">515/2012, </w:t>
      </w:r>
      <w:r w:rsidR="00825B8D" w:rsidRPr="00B9362A">
        <w:rPr>
          <w:i/>
        </w:rPr>
        <w:t>J.</w:t>
      </w:r>
      <w:r w:rsidR="0064506C">
        <w:rPr>
          <w:i/>
        </w:rPr>
        <w:t> </w:t>
      </w:r>
      <w:r w:rsidR="00825B8D" w:rsidRPr="00B9362A">
        <w:rPr>
          <w:i/>
        </w:rPr>
        <w:t xml:space="preserve">T. </w:t>
      </w:r>
      <w:r w:rsidR="00825B8D" w:rsidRPr="00B9362A">
        <w:t>c.</w:t>
      </w:r>
      <w:r w:rsidR="00825B8D" w:rsidRPr="00B9362A">
        <w:rPr>
          <w:i/>
        </w:rPr>
        <w:t xml:space="preserve"> Canada</w:t>
      </w:r>
      <w:r w:rsidR="00825B8D" w:rsidRPr="00B9362A">
        <w:t xml:space="preserve">, </w:t>
      </w:r>
      <w:r w:rsidR="00215FF0" w:rsidRPr="00B9362A">
        <w:rPr>
          <w:lang w:val="fr-FR"/>
        </w:rPr>
        <w:t>n</w:t>
      </w:r>
      <w:r w:rsidR="00215FF0" w:rsidRPr="00B9362A">
        <w:rPr>
          <w:vertAlign w:val="superscript"/>
          <w:lang w:val="fr-FR"/>
        </w:rPr>
        <w:t>o</w:t>
      </w:r>
      <w:r w:rsidR="00215FF0" w:rsidRPr="00B9362A">
        <w:rPr>
          <w:lang w:val="fr-FR"/>
        </w:rPr>
        <w:t> </w:t>
      </w:r>
      <w:r w:rsidR="00825B8D" w:rsidRPr="00B9362A">
        <w:t xml:space="preserve">602/2014, </w:t>
      </w:r>
      <w:r w:rsidR="00825B8D" w:rsidRPr="00B9362A">
        <w:rPr>
          <w:i/>
        </w:rPr>
        <w:t>S.</w:t>
      </w:r>
      <w:r w:rsidR="0064506C">
        <w:rPr>
          <w:i/>
        </w:rPr>
        <w:t> </w:t>
      </w:r>
      <w:r w:rsidR="00825B8D" w:rsidRPr="00B9362A">
        <w:rPr>
          <w:i/>
        </w:rPr>
        <w:t>S.</w:t>
      </w:r>
      <w:r w:rsidR="0064506C">
        <w:rPr>
          <w:i/>
        </w:rPr>
        <w:t> </w:t>
      </w:r>
      <w:r w:rsidR="00825B8D" w:rsidRPr="00B9362A">
        <w:rPr>
          <w:i/>
        </w:rPr>
        <w:t xml:space="preserve">B. </w:t>
      </w:r>
      <w:r w:rsidR="00825B8D" w:rsidRPr="00B9362A">
        <w:t>c.</w:t>
      </w:r>
      <w:r w:rsidR="00825B8D" w:rsidRPr="00B9362A">
        <w:rPr>
          <w:i/>
        </w:rPr>
        <w:t xml:space="preserve"> Danemark</w:t>
      </w:r>
      <w:r w:rsidR="00825B8D" w:rsidRPr="00B9362A">
        <w:t>,</w:t>
      </w:r>
      <w:r w:rsidR="00825B8D" w:rsidRPr="00B9362A">
        <w:rPr>
          <w:i/>
        </w:rPr>
        <w:t xml:space="preserve"> </w:t>
      </w:r>
      <w:r w:rsidR="00215FF0" w:rsidRPr="00B9362A">
        <w:rPr>
          <w:lang w:val="fr-FR"/>
        </w:rPr>
        <w:t>n</w:t>
      </w:r>
      <w:r w:rsidR="00215FF0" w:rsidRPr="00B9362A">
        <w:rPr>
          <w:vertAlign w:val="superscript"/>
          <w:lang w:val="fr-FR"/>
        </w:rPr>
        <w:t>o</w:t>
      </w:r>
      <w:r w:rsidR="00215FF0" w:rsidRPr="00B9362A">
        <w:rPr>
          <w:lang w:val="fr-FR"/>
        </w:rPr>
        <w:t> </w:t>
      </w:r>
      <w:r w:rsidR="00825B8D" w:rsidRPr="00B9362A">
        <w:t xml:space="preserve">623/2014, </w:t>
      </w:r>
      <w:r w:rsidR="00825B8D" w:rsidRPr="00B9362A">
        <w:rPr>
          <w:i/>
        </w:rPr>
        <w:t>N.</w:t>
      </w:r>
      <w:r w:rsidR="0064506C">
        <w:rPr>
          <w:i/>
        </w:rPr>
        <w:t> </w:t>
      </w:r>
      <w:r w:rsidR="00825B8D" w:rsidRPr="00B9362A">
        <w:rPr>
          <w:i/>
        </w:rPr>
        <w:t xml:space="preserve">K. </w:t>
      </w:r>
      <w:r w:rsidR="00825B8D" w:rsidRPr="00B9362A">
        <w:t>c.</w:t>
      </w:r>
      <w:r w:rsidR="00825B8D" w:rsidRPr="00B9362A">
        <w:rPr>
          <w:i/>
        </w:rPr>
        <w:t xml:space="preserve"> Pays-Bas</w:t>
      </w:r>
      <w:r w:rsidR="00825B8D" w:rsidRPr="00B9362A">
        <w:t xml:space="preserve">, </w:t>
      </w:r>
      <w:r w:rsidR="00215FF0" w:rsidRPr="00B9362A">
        <w:rPr>
          <w:lang w:val="fr-FR"/>
        </w:rPr>
        <w:t>n</w:t>
      </w:r>
      <w:r w:rsidR="00215FF0" w:rsidRPr="00B9362A">
        <w:rPr>
          <w:vertAlign w:val="superscript"/>
          <w:lang w:val="fr-FR"/>
        </w:rPr>
        <w:t>o</w:t>
      </w:r>
      <w:r w:rsidR="00215FF0" w:rsidRPr="00B9362A">
        <w:rPr>
          <w:lang w:val="fr-FR"/>
        </w:rPr>
        <w:t> </w:t>
      </w:r>
      <w:r w:rsidR="00825B8D" w:rsidRPr="00B9362A">
        <w:t xml:space="preserve">648/2015, </w:t>
      </w:r>
      <w:r w:rsidR="00825B8D" w:rsidRPr="00B9362A">
        <w:rPr>
          <w:i/>
        </w:rPr>
        <w:t>S.</w:t>
      </w:r>
      <w:r w:rsidR="0064506C">
        <w:rPr>
          <w:i/>
        </w:rPr>
        <w:t> </w:t>
      </w:r>
      <w:r w:rsidR="00825B8D" w:rsidRPr="00B9362A">
        <w:rPr>
          <w:i/>
        </w:rPr>
        <w:t xml:space="preserve">S. </w:t>
      </w:r>
      <w:r w:rsidR="00825B8D" w:rsidRPr="00B9362A">
        <w:t>c.</w:t>
      </w:r>
      <w:r w:rsidR="00825B8D" w:rsidRPr="00B9362A">
        <w:rPr>
          <w:i/>
        </w:rPr>
        <w:t xml:space="preserve"> Australie</w:t>
      </w:r>
      <w:r w:rsidR="00825B8D" w:rsidRPr="00B9362A">
        <w:t xml:space="preserve">, </w:t>
      </w:r>
      <w:r w:rsidR="00215FF0" w:rsidRPr="00B9362A">
        <w:rPr>
          <w:lang w:val="fr-FR"/>
        </w:rPr>
        <w:t>n</w:t>
      </w:r>
      <w:r w:rsidR="00215FF0" w:rsidRPr="00B9362A">
        <w:rPr>
          <w:vertAlign w:val="superscript"/>
          <w:lang w:val="fr-FR"/>
        </w:rPr>
        <w:t>o</w:t>
      </w:r>
      <w:r w:rsidR="00215FF0" w:rsidRPr="00B9362A">
        <w:rPr>
          <w:lang w:val="fr-FR"/>
        </w:rPr>
        <w:t> </w:t>
      </w:r>
      <w:r w:rsidR="00825B8D" w:rsidRPr="00B9362A">
        <w:t xml:space="preserve">662/2015, </w:t>
      </w:r>
      <w:r w:rsidR="00825B8D" w:rsidRPr="00B9362A">
        <w:rPr>
          <w:i/>
        </w:rPr>
        <w:t>M.</w:t>
      </w:r>
      <w:r w:rsidR="0064506C">
        <w:rPr>
          <w:i/>
        </w:rPr>
        <w:t> </w:t>
      </w:r>
      <w:r w:rsidR="00825B8D" w:rsidRPr="00B9362A">
        <w:rPr>
          <w:i/>
        </w:rPr>
        <w:t xml:space="preserve">K. </w:t>
      </w:r>
      <w:r w:rsidR="00825B8D" w:rsidRPr="00B9362A">
        <w:t>c.</w:t>
      </w:r>
      <w:r w:rsidR="00825B8D" w:rsidRPr="00B9362A">
        <w:rPr>
          <w:i/>
        </w:rPr>
        <w:t xml:space="preserve"> Suisse</w:t>
      </w:r>
      <w:r w:rsidR="00825B8D" w:rsidRPr="00B9362A">
        <w:t xml:space="preserve">, </w:t>
      </w:r>
      <w:r w:rsidR="00215FF0" w:rsidRPr="00B9362A">
        <w:rPr>
          <w:lang w:val="fr-FR"/>
        </w:rPr>
        <w:t>n</w:t>
      </w:r>
      <w:r w:rsidR="00215FF0" w:rsidRPr="00B9362A">
        <w:rPr>
          <w:vertAlign w:val="superscript"/>
          <w:lang w:val="fr-FR"/>
        </w:rPr>
        <w:t>o</w:t>
      </w:r>
      <w:r w:rsidR="00215FF0" w:rsidRPr="00B9362A">
        <w:rPr>
          <w:lang w:val="fr-FR"/>
        </w:rPr>
        <w:t> </w:t>
      </w:r>
      <w:r w:rsidR="00825B8D" w:rsidRPr="00B9362A">
        <w:t xml:space="preserve">699/2015, </w:t>
      </w:r>
      <w:r w:rsidR="00825B8D" w:rsidRPr="00B9362A">
        <w:rPr>
          <w:i/>
        </w:rPr>
        <w:t>J.</w:t>
      </w:r>
      <w:r w:rsidR="0064506C">
        <w:rPr>
          <w:i/>
        </w:rPr>
        <w:t> </w:t>
      </w:r>
      <w:r w:rsidR="00825B8D" w:rsidRPr="00B9362A">
        <w:rPr>
          <w:i/>
        </w:rPr>
        <w:t xml:space="preserve">M. </w:t>
      </w:r>
      <w:r w:rsidR="00825B8D" w:rsidRPr="00B9362A">
        <w:t>c.</w:t>
      </w:r>
      <w:r w:rsidR="00825B8D" w:rsidRPr="00B9362A">
        <w:rPr>
          <w:i/>
        </w:rPr>
        <w:t xml:space="preserve"> Canada</w:t>
      </w:r>
      <w:r w:rsidR="00825B8D" w:rsidRPr="00B9362A">
        <w:t>,</w:t>
      </w:r>
      <w:r w:rsidR="00825B8D" w:rsidRPr="00B9362A">
        <w:rPr>
          <w:i/>
        </w:rPr>
        <w:t xml:space="preserve"> </w:t>
      </w:r>
      <w:r w:rsidR="00215FF0" w:rsidRPr="00B9362A">
        <w:rPr>
          <w:lang w:val="fr-FR"/>
        </w:rPr>
        <w:t>n</w:t>
      </w:r>
      <w:r w:rsidR="00215FF0" w:rsidRPr="00B9362A">
        <w:rPr>
          <w:vertAlign w:val="superscript"/>
          <w:lang w:val="fr-FR"/>
        </w:rPr>
        <w:t>o</w:t>
      </w:r>
      <w:r w:rsidR="00215FF0" w:rsidRPr="00B9362A">
        <w:rPr>
          <w:lang w:val="fr-FR"/>
        </w:rPr>
        <w:t> </w:t>
      </w:r>
      <w:r w:rsidR="00825B8D" w:rsidRPr="00B9362A">
        <w:t xml:space="preserve">708/2015, </w:t>
      </w:r>
      <w:r w:rsidR="00825B8D" w:rsidRPr="00B9362A">
        <w:rPr>
          <w:i/>
        </w:rPr>
        <w:t>P.</w:t>
      </w:r>
      <w:r w:rsidR="0064506C">
        <w:rPr>
          <w:i/>
        </w:rPr>
        <w:t> </w:t>
      </w:r>
      <w:r w:rsidR="00825B8D" w:rsidRPr="00B9362A">
        <w:rPr>
          <w:i/>
        </w:rPr>
        <w:t xml:space="preserve">V. </w:t>
      </w:r>
      <w:r w:rsidR="00825B8D" w:rsidRPr="00B9362A">
        <w:t>c.</w:t>
      </w:r>
      <w:r w:rsidR="00825B8D" w:rsidRPr="00B9362A">
        <w:rPr>
          <w:i/>
        </w:rPr>
        <w:t xml:space="preserve"> Australie</w:t>
      </w:r>
      <w:r w:rsidR="00825B8D" w:rsidRPr="00B9362A">
        <w:t xml:space="preserve"> et </w:t>
      </w:r>
      <w:r w:rsidR="00215FF0" w:rsidRPr="00B9362A">
        <w:rPr>
          <w:lang w:val="fr-FR"/>
        </w:rPr>
        <w:t>n</w:t>
      </w:r>
      <w:r w:rsidR="00215FF0" w:rsidRPr="00B9362A">
        <w:rPr>
          <w:vertAlign w:val="superscript"/>
          <w:lang w:val="fr-FR"/>
        </w:rPr>
        <w:t>o</w:t>
      </w:r>
      <w:r w:rsidR="00215FF0" w:rsidRPr="00B9362A">
        <w:rPr>
          <w:lang w:val="fr-FR"/>
        </w:rPr>
        <w:t> </w:t>
      </w:r>
      <w:r w:rsidR="00825B8D" w:rsidRPr="00B9362A">
        <w:t xml:space="preserve">716/2016, </w:t>
      </w:r>
      <w:r w:rsidR="00825B8D" w:rsidRPr="00B9362A">
        <w:rPr>
          <w:i/>
        </w:rPr>
        <w:t>S.</w:t>
      </w:r>
      <w:r w:rsidR="0064506C">
        <w:rPr>
          <w:i/>
        </w:rPr>
        <w:t> </w:t>
      </w:r>
      <w:r w:rsidR="00825B8D" w:rsidRPr="00B9362A">
        <w:rPr>
          <w:i/>
        </w:rPr>
        <w:t xml:space="preserve">T. </w:t>
      </w:r>
      <w:r w:rsidR="00825B8D" w:rsidRPr="00B9362A">
        <w:t>c.</w:t>
      </w:r>
      <w:r w:rsidR="00825B8D" w:rsidRPr="00B9362A">
        <w:rPr>
          <w:i/>
        </w:rPr>
        <w:t xml:space="preserve"> Australie</w:t>
      </w:r>
      <w:r w:rsidR="00825B8D" w:rsidRPr="00B9362A">
        <w:rPr>
          <w:lang w:val="fr-FR"/>
        </w:rPr>
        <w:t>, le Comité a conclu que le renvoi des requérants ne constituerait pas une violation par les États parties de l</w:t>
      </w:r>
      <w:r w:rsidR="00993CE3">
        <w:rPr>
          <w:lang w:val="fr-FR"/>
        </w:rPr>
        <w:t>’</w:t>
      </w:r>
      <w:r w:rsidR="00825B8D" w:rsidRPr="00B9362A">
        <w:rPr>
          <w:lang w:val="fr-FR"/>
        </w:rPr>
        <w:t>article 3 de la Convention.</w:t>
      </w:r>
    </w:p>
    <w:p w:rsidR="00825B8D" w:rsidRPr="00B9362A" w:rsidRDefault="00B9362A" w:rsidP="00B9362A">
      <w:pPr>
        <w:pStyle w:val="SingleTxtG"/>
        <w:rPr>
          <w:lang w:val="fr-FR"/>
        </w:rPr>
      </w:pPr>
      <w:r>
        <w:rPr>
          <w:lang w:val="fr-FR"/>
        </w:rPr>
        <w:t>8</w:t>
      </w:r>
      <w:r w:rsidR="003D2359">
        <w:rPr>
          <w:lang w:val="fr-FR"/>
        </w:rPr>
        <w:t>3</w:t>
      </w:r>
      <w:r>
        <w:rPr>
          <w:lang w:val="fr-FR"/>
        </w:rPr>
        <w:t>.</w:t>
      </w:r>
      <w:r>
        <w:rPr>
          <w:lang w:val="fr-FR"/>
        </w:rPr>
        <w:tab/>
      </w:r>
      <w:r w:rsidR="00825B8D" w:rsidRPr="00B9362A">
        <w:rPr>
          <w:lang w:val="fr-FR"/>
        </w:rPr>
        <w:t>Le Comité a déclaré la communication n</w:t>
      </w:r>
      <w:r w:rsidR="00825B8D" w:rsidRPr="00B9362A">
        <w:rPr>
          <w:vertAlign w:val="superscript"/>
          <w:lang w:val="fr-FR"/>
        </w:rPr>
        <w:t>o</w:t>
      </w:r>
      <w:r w:rsidR="00215FF0">
        <w:rPr>
          <w:lang w:val="fr-FR"/>
        </w:rPr>
        <w:t> </w:t>
      </w:r>
      <w:r w:rsidR="00825B8D" w:rsidRPr="00B9362A">
        <w:t xml:space="preserve">677/2015, </w:t>
      </w:r>
      <w:r w:rsidR="00825B8D" w:rsidRPr="00B9362A">
        <w:rPr>
          <w:i/>
        </w:rPr>
        <w:t>A.</w:t>
      </w:r>
      <w:r w:rsidR="0064506C">
        <w:rPr>
          <w:i/>
        </w:rPr>
        <w:t> </w:t>
      </w:r>
      <w:r w:rsidR="00825B8D" w:rsidRPr="00B9362A">
        <w:rPr>
          <w:i/>
        </w:rPr>
        <w:t>N.</w:t>
      </w:r>
      <w:r w:rsidR="0064506C">
        <w:rPr>
          <w:i/>
        </w:rPr>
        <w:t> </w:t>
      </w:r>
      <w:r w:rsidR="00825B8D" w:rsidRPr="00B9362A">
        <w:rPr>
          <w:i/>
        </w:rPr>
        <w:t xml:space="preserve">M. </w:t>
      </w:r>
      <w:r w:rsidR="00825B8D" w:rsidRPr="00B9362A">
        <w:t>c.</w:t>
      </w:r>
      <w:r w:rsidR="00825B8D" w:rsidRPr="00B9362A">
        <w:rPr>
          <w:i/>
        </w:rPr>
        <w:t xml:space="preserve"> Suède</w:t>
      </w:r>
      <w:r w:rsidR="00825B8D" w:rsidRPr="00B9362A">
        <w:t>,</w:t>
      </w:r>
      <w:r w:rsidR="00825B8D" w:rsidRPr="00B9362A">
        <w:rPr>
          <w:lang w:val="fr-FR"/>
        </w:rPr>
        <w:t xml:space="preserve"> irrecevable. Il a mis fin à l</w:t>
      </w:r>
      <w:r w:rsidR="00993CE3">
        <w:rPr>
          <w:lang w:val="fr-FR"/>
        </w:rPr>
        <w:t>’</w:t>
      </w:r>
      <w:r w:rsidR="00825B8D" w:rsidRPr="00B9362A">
        <w:rPr>
          <w:lang w:val="fr-FR"/>
        </w:rPr>
        <w:t xml:space="preserve">examen des communications </w:t>
      </w:r>
      <w:r w:rsidR="00215FF0" w:rsidRPr="00B9362A">
        <w:rPr>
          <w:lang w:val="fr-FR"/>
        </w:rPr>
        <w:t>n</w:t>
      </w:r>
      <w:r w:rsidR="00215FF0" w:rsidRPr="00B9362A">
        <w:rPr>
          <w:vertAlign w:val="superscript"/>
          <w:lang w:val="fr-FR"/>
        </w:rPr>
        <w:t>o</w:t>
      </w:r>
      <w:r w:rsidR="00215FF0">
        <w:rPr>
          <w:lang w:val="fr-FR"/>
        </w:rPr>
        <w:t> </w:t>
      </w:r>
      <w:r w:rsidR="00825B8D" w:rsidRPr="00B9362A">
        <w:rPr>
          <w:lang w:val="fr-FR"/>
        </w:rPr>
        <w:t xml:space="preserve">446/2011, </w:t>
      </w:r>
      <w:r w:rsidR="00825B8D" w:rsidRPr="00B9362A">
        <w:rPr>
          <w:i/>
          <w:lang w:val="fr-FR"/>
        </w:rPr>
        <w:t>K.</w:t>
      </w:r>
      <w:r w:rsidR="0064506C">
        <w:rPr>
          <w:i/>
        </w:rPr>
        <w:t> </w:t>
      </w:r>
      <w:r w:rsidR="00825B8D" w:rsidRPr="00B9362A">
        <w:rPr>
          <w:i/>
          <w:lang w:val="fr-FR"/>
        </w:rPr>
        <w:t>L.</w:t>
      </w:r>
      <w:r w:rsidR="0064506C">
        <w:rPr>
          <w:i/>
        </w:rPr>
        <w:t> </w:t>
      </w:r>
      <w:r w:rsidR="00825B8D" w:rsidRPr="00B9362A">
        <w:rPr>
          <w:i/>
          <w:lang w:val="fr-FR"/>
        </w:rPr>
        <w:t xml:space="preserve">W. </w:t>
      </w:r>
      <w:r w:rsidR="00825B8D" w:rsidRPr="00B9362A">
        <w:rPr>
          <w:lang w:val="fr-FR"/>
        </w:rPr>
        <w:t>c.</w:t>
      </w:r>
      <w:r w:rsidR="00825B8D" w:rsidRPr="00B9362A">
        <w:rPr>
          <w:i/>
          <w:lang w:val="fr-FR"/>
        </w:rPr>
        <w:t xml:space="preserve"> Australie</w:t>
      </w:r>
      <w:r w:rsidR="00825B8D" w:rsidRPr="00B9362A">
        <w:rPr>
          <w:lang w:val="fr-FR"/>
        </w:rPr>
        <w:t xml:space="preserve">, </w:t>
      </w:r>
      <w:r w:rsidR="00215FF0" w:rsidRPr="00B9362A">
        <w:rPr>
          <w:lang w:val="fr-FR"/>
        </w:rPr>
        <w:t>n</w:t>
      </w:r>
      <w:r w:rsidR="00215FF0" w:rsidRPr="00B9362A">
        <w:rPr>
          <w:vertAlign w:val="superscript"/>
          <w:lang w:val="fr-FR"/>
        </w:rPr>
        <w:t>o</w:t>
      </w:r>
      <w:r w:rsidR="00215FF0">
        <w:rPr>
          <w:lang w:val="fr-FR"/>
        </w:rPr>
        <w:t> </w:t>
      </w:r>
      <w:r w:rsidR="00825B8D" w:rsidRPr="00B9362A">
        <w:rPr>
          <w:lang w:val="fr-FR"/>
        </w:rPr>
        <w:t xml:space="preserve">576/2013, </w:t>
      </w:r>
      <w:r w:rsidR="00825B8D" w:rsidRPr="00B9362A">
        <w:rPr>
          <w:i/>
          <w:lang w:val="fr-FR"/>
        </w:rPr>
        <w:t>S.</w:t>
      </w:r>
      <w:r w:rsidR="0064506C">
        <w:rPr>
          <w:i/>
        </w:rPr>
        <w:t> </w:t>
      </w:r>
      <w:r w:rsidR="00825B8D" w:rsidRPr="00B9362A">
        <w:rPr>
          <w:i/>
          <w:lang w:val="fr-FR"/>
        </w:rPr>
        <w:t xml:space="preserve">T. </w:t>
      </w:r>
      <w:r w:rsidR="00825B8D" w:rsidRPr="00B9362A">
        <w:rPr>
          <w:lang w:val="fr-FR"/>
        </w:rPr>
        <w:t>c.</w:t>
      </w:r>
      <w:r w:rsidR="00825B8D" w:rsidRPr="00B9362A">
        <w:rPr>
          <w:i/>
          <w:lang w:val="fr-FR"/>
        </w:rPr>
        <w:t xml:space="preserve"> Canada</w:t>
      </w:r>
      <w:r w:rsidR="00825B8D" w:rsidRPr="00B9362A">
        <w:rPr>
          <w:lang w:val="fr-FR"/>
        </w:rPr>
        <w:t xml:space="preserve">, </w:t>
      </w:r>
      <w:r w:rsidR="00215FF0" w:rsidRPr="00B9362A">
        <w:rPr>
          <w:lang w:val="fr-FR"/>
        </w:rPr>
        <w:t>n</w:t>
      </w:r>
      <w:r w:rsidR="00215FF0" w:rsidRPr="00B9362A">
        <w:rPr>
          <w:vertAlign w:val="superscript"/>
          <w:lang w:val="fr-FR"/>
        </w:rPr>
        <w:t>o</w:t>
      </w:r>
      <w:r w:rsidR="00215FF0">
        <w:rPr>
          <w:lang w:val="fr-FR"/>
        </w:rPr>
        <w:t> </w:t>
      </w:r>
      <w:r w:rsidR="00825B8D" w:rsidRPr="00B9362A">
        <w:rPr>
          <w:lang w:val="fr-FR"/>
        </w:rPr>
        <w:t xml:space="preserve">601/2014, </w:t>
      </w:r>
      <w:r w:rsidR="00825B8D" w:rsidRPr="00B9362A">
        <w:rPr>
          <w:i/>
          <w:lang w:val="fr-FR"/>
        </w:rPr>
        <w:t>H.</w:t>
      </w:r>
      <w:r w:rsidR="0064506C">
        <w:rPr>
          <w:i/>
        </w:rPr>
        <w:t> </w:t>
      </w:r>
      <w:r w:rsidR="00825B8D" w:rsidRPr="00B9362A">
        <w:rPr>
          <w:i/>
          <w:lang w:val="fr-FR"/>
        </w:rPr>
        <w:t>S.</w:t>
      </w:r>
      <w:r w:rsidR="0064506C">
        <w:rPr>
          <w:i/>
        </w:rPr>
        <w:t> </w:t>
      </w:r>
      <w:r w:rsidR="00825B8D" w:rsidRPr="00B9362A">
        <w:rPr>
          <w:i/>
          <w:lang w:val="fr-FR"/>
        </w:rPr>
        <w:t xml:space="preserve">M. </w:t>
      </w:r>
      <w:r w:rsidR="00825B8D" w:rsidRPr="00B9362A">
        <w:rPr>
          <w:lang w:val="fr-FR"/>
        </w:rPr>
        <w:t>c.</w:t>
      </w:r>
      <w:r w:rsidR="00825B8D" w:rsidRPr="00B9362A">
        <w:rPr>
          <w:i/>
          <w:lang w:val="fr-FR"/>
        </w:rPr>
        <w:t xml:space="preserve"> Canada</w:t>
      </w:r>
      <w:r w:rsidR="00825B8D" w:rsidRPr="00B9362A">
        <w:rPr>
          <w:lang w:val="fr-FR"/>
        </w:rPr>
        <w:t xml:space="preserve">, </w:t>
      </w:r>
      <w:r w:rsidR="00215FF0" w:rsidRPr="00B9362A">
        <w:rPr>
          <w:lang w:val="fr-FR"/>
        </w:rPr>
        <w:t>n</w:t>
      </w:r>
      <w:r w:rsidR="00215FF0" w:rsidRPr="00B9362A">
        <w:rPr>
          <w:vertAlign w:val="superscript"/>
          <w:lang w:val="fr-FR"/>
        </w:rPr>
        <w:t>o</w:t>
      </w:r>
      <w:r w:rsidR="00215FF0">
        <w:rPr>
          <w:lang w:val="fr-FR"/>
        </w:rPr>
        <w:t> </w:t>
      </w:r>
      <w:r w:rsidR="00825B8D" w:rsidRPr="00B9362A">
        <w:rPr>
          <w:lang w:val="fr-FR"/>
        </w:rPr>
        <w:t xml:space="preserve">640/2014, </w:t>
      </w:r>
      <w:r w:rsidR="00825B8D" w:rsidRPr="00B9362A">
        <w:rPr>
          <w:i/>
          <w:lang w:val="fr-FR"/>
        </w:rPr>
        <w:t>R.</w:t>
      </w:r>
      <w:r w:rsidR="0064506C">
        <w:rPr>
          <w:i/>
        </w:rPr>
        <w:t> </w:t>
      </w:r>
      <w:r w:rsidR="00825B8D" w:rsidRPr="00B9362A">
        <w:rPr>
          <w:i/>
          <w:lang w:val="fr-FR"/>
        </w:rPr>
        <w:t xml:space="preserve">K. </w:t>
      </w:r>
      <w:r w:rsidR="00825B8D" w:rsidRPr="00B9362A">
        <w:rPr>
          <w:lang w:val="fr-FR"/>
        </w:rPr>
        <w:t>c.</w:t>
      </w:r>
      <w:r w:rsidR="00825B8D" w:rsidRPr="00B9362A">
        <w:rPr>
          <w:i/>
          <w:lang w:val="fr-FR"/>
        </w:rPr>
        <w:t xml:space="preserve"> Canada</w:t>
      </w:r>
      <w:r w:rsidR="00825B8D" w:rsidRPr="00B9362A">
        <w:rPr>
          <w:lang w:val="fr-FR"/>
        </w:rPr>
        <w:t>,</w:t>
      </w:r>
      <w:r w:rsidR="00825B8D" w:rsidRPr="00B9362A">
        <w:rPr>
          <w:i/>
          <w:lang w:val="fr-FR"/>
        </w:rPr>
        <w:t xml:space="preserve"> </w:t>
      </w:r>
      <w:r w:rsidR="00215FF0" w:rsidRPr="00B9362A">
        <w:rPr>
          <w:lang w:val="fr-FR"/>
        </w:rPr>
        <w:t>n</w:t>
      </w:r>
      <w:r w:rsidR="00215FF0" w:rsidRPr="00B9362A">
        <w:rPr>
          <w:vertAlign w:val="superscript"/>
          <w:lang w:val="fr-FR"/>
        </w:rPr>
        <w:t>o</w:t>
      </w:r>
      <w:r w:rsidR="00215FF0" w:rsidRPr="00B9362A">
        <w:rPr>
          <w:lang w:val="fr-FR"/>
        </w:rPr>
        <w:t> </w:t>
      </w:r>
      <w:r w:rsidR="00825B8D" w:rsidRPr="00B9362A">
        <w:rPr>
          <w:lang w:val="fr-FR"/>
        </w:rPr>
        <w:t xml:space="preserve">655/2015, </w:t>
      </w:r>
      <w:r w:rsidR="00825B8D" w:rsidRPr="00B9362A">
        <w:rPr>
          <w:i/>
          <w:lang w:val="fr-FR"/>
        </w:rPr>
        <w:t>A.</w:t>
      </w:r>
      <w:r w:rsidR="0064506C">
        <w:rPr>
          <w:i/>
        </w:rPr>
        <w:t> </w:t>
      </w:r>
      <w:r w:rsidR="00825B8D" w:rsidRPr="00B9362A">
        <w:rPr>
          <w:i/>
          <w:lang w:val="fr-FR"/>
        </w:rPr>
        <w:t>S.</w:t>
      </w:r>
      <w:r w:rsidR="0064506C">
        <w:rPr>
          <w:i/>
        </w:rPr>
        <w:t> </w:t>
      </w:r>
      <w:r w:rsidR="00825B8D" w:rsidRPr="00B9362A">
        <w:rPr>
          <w:i/>
          <w:lang w:val="fr-FR"/>
        </w:rPr>
        <w:t>A.</w:t>
      </w:r>
      <w:r w:rsidR="0064506C">
        <w:rPr>
          <w:i/>
        </w:rPr>
        <w:t> </w:t>
      </w:r>
      <w:r w:rsidR="00825B8D" w:rsidRPr="00B9362A">
        <w:rPr>
          <w:i/>
          <w:lang w:val="fr-FR"/>
        </w:rPr>
        <w:t xml:space="preserve">O. </w:t>
      </w:r>
      <w:r w:rsidR="00825B8D" w:rsidRPr="00B9362A">
        <w:rPr>
          <w:lang w:val="fr-FR"/>
        </w:rPr>
        <w:t>c.</w:t>
      </w:r>
      <w:r w:rsidR="00825B8D" w:rsidRPr="00B9362A">
        <w:rPr>
          <w:i/>
          <w:lang w:val="fr-FR"/>
        </w:rPr>
        <w:t xml:space="preserve"> Suisse</w:t>
      </w:r>
      <w:r w:rsidR="00825B8D" w:rsidRPr="00B9362A">
        <w:rPr>
          <w:lang w:val="fr-FR"/>
        </w:rPr>
        <w:t xml:space="preserve"> et </w:t>
      </w:r>
      <w:r w:rsidR="00215FF0" w:rsidRPr="00B9362A">
        <w:rPr>
          <w:lang w:val="fr-FR"/>
        </w:rPr>
        <w:t>n</w:t>
      </w:r>
      <w:r w:rsidR="00215FF0" w:rsidRPr="00B9362A">
        <w:rPr>
          <w:vertAlign w:val="superscript"/>
          <w:lang w:val="fr-FR"/>
        </w:rPr>
        <w:t>o</w:t>
      </w:r>
      <w:r w:rsidR="00215FF0">
        <w:rPr>
          <w:lang w:val="fr-FR"/>
        </w:rPr>
        <w:t> </w:t>
      </w:r>
      <w:r w:rsidR="00825B8D" w:rsidRPr="00B9362A">
        <w:rPr>
          <w:lang w:val="fr-FR"/>
        </w:rPr>
        <w:t xml:space="preserve">764/2016, </w:t>
      </w:r>
      <w:r w:rsidR="00825B8D" w:rsidRPr="00B9362A">
        <w:rPr>
          <w:i/>
          <w:lang w:val="fr-FR"/>
        </w:rPr>
        <w:t>S.</w:t>
      </w:r>
      <w:r w:rsidR="0064506C">
        <w:rPr>
          <w:i/>
        </w:rPr>
        <w:t> </w:t>
      </w:r>
      <w:r w:rsidR="00825B8D" w:rsidRPr="00B9362A">
        <w:rPr>
          <w:i/>
          <w:lang w:val="fr-FR"/>
        </w:rPr>
        <w:t>N. et S.</w:t>
      </w:r>
      <w:r w:rsidR="0064506C">
        <w:rPr>
          <w:i/>
        </w:rPr>
        <w:t> </w:t>
      </w:r>
      <w:r w:rsidR="00825B8D" w:rsidRPr="00B9362A">
        <w:rPr>
          <w:i/>
          <w:lang w:val="fr-FR"/>
        </w:rPr>
        <w:t xml:space="preserve">P. </w:t>
      </w:r>
      <w:r w:rsidR="00825B8D" w:rsidRPr="00B9362A">
        <w:rPr>
          <w:lang w:val="fr-FR"/>
        </w:rPr>
        <w:t>c.</w:t>
      </w:r>
      <w:r w:rsidR="00825B8D" w:rsidRPr="00B9362A">
        <w:rPr>
          <w:i/>
          <w:lang w:val="fr-FR"/>
        </w:rPr>
        <w:t xml:space="preserve"> Suisse</w:t>
      </w:r>
      <w:r w:rsidR="00825B8D" w:rsidRPr="00B9362A">
        <w:rPr>
          <w:lang w:val="fr-FR"/>
        </w:rPr>
        <w:t>.</w:t>
      </w:r>
    </w:p>
    <w:p w:rsidR="00825B8D" w:rsidRPr="00B9362A" w:rsidRDefault="00825B8D" w:rsidP="00B9362A">
      <w:pPr>
        <w:pStyle w:val="H1G"/>
        <w:rPr>
          <w:lang w:val="fr-FR"/>
        </w:rPr>
      </w:pPr>
      <w:r w:rsidRPr="00B9362A">
        <w:rPr>
          <w:lang w:val="fr-FR"/>
        </w:rPr>
        <w:lastRenderedPageBreak/>
        <w:tab/>
        <w:t>D.</w:t>
      </w:r>
      <w:r w:rsidRPr="00B9362A">
        <w:rPr>
          <w:lang w:val="fr-FR"/>
        </w:rPr>
        <w:tab/>
        <w:t>Activités de suivi</w:t>
      </w:r>
    </w:p>
    <w:p w:rsidR="00825B8D" w:rsidRPr="00B9362A" w:rsidRDefault="003D2359" w:rsidP="00B9362A">
      <w:pPr>
        <w:pStyle w:val="SingleTxtG"/>
        <w:rPr>
          <w:lang w:val="fr-FR"/>
        </w:rPr>
      </w:pPr>
      <w:r>
        <w:rPr>
          <w:lang w:val="fr-FR"/>
        </w:rPr>
        <w:t>84.</w:t>
      </w:r>
      <w:r>
        <w:rPr>
          <w:lang w:val="fr-FR"/>
        </w:rPr>
        <w:tab/>
      </w:r>
      <w:r w:rsidR="00825B8D" w:rsidRPr="00B9362A">
        <w:rPr>
          <w:lang w:val="fr-FR"/>
        </w:rPr>
        <w:t>À sa vingt</w:t>
      </w:r>
      <w:r w:rsidR="00825B8D" w:rsidRPr="00B9362A">
        <w:rPr>
          <w:lang w:val="fr-FR"/>
        </w:rPr>
        <w:noBreakHyphen/>
        <w:t>huitième session, en mai 2002, le Comité a créé le poste de Rapporteur chargé du suivi des décisions prises au sujet des requêtes soumises en application de l</w:t>
      </w:r>
      <w:r w:rsidR="00993CE3">
        <w:rPr>
          <w:lang w:val="fr-FR"/>
        </w:rPr>
        <w:t>’</w:t>
      </w:r>
      <w:r w:rsidR="00825B8D" w:rsidRPr="00B9362A">
        <w:rPr>
          <w:lang w:val="fr-FR"/>
        </w:rPr>
        <w:t>article 22 de la Convention, qui est actuellement occupé par M</w:t>
      </w:r>
      <w:r w:rsidR="00825B8D" w:rsidRPr="00B9362A">
        <w:rPr>
          <w:vertAlign w:val="superscript"/>
          <w:lang w:val="fr-FR"/>
        </w:rPr>
        <w:t>me</w:t>
      </w:r>
      <w:r w:rsidR="00F33266">
        <w:rPr>
          <w:lang w:val="fr-FR"/>
        </w:rPr>
        <w:t xml:space="preserve"> </w:t>
      </w:r>
      <w:r w:rsidR="00825B8D" w:rsidRPr="00B9362A">
        <w:rPr>
          <w:lang w:val="fr-FR"/>
        </w:rPr>
        <w:t>Pradhan</w:t>
      </w:r>
      <w:r w:rsidR="00825B8D" w:rsidRPr="00B9362A">
        <w:rPr>
          <w:lang w:val="fr-FR"/>
        </w:rPr>
        <w:noBreakHyphen/>
        <w:t>Malla. À sa 527</w:t>
      </w:r>
      <w:r w:rsidR="00825B8D" w:rsidRPr="00B9362A">
        <w:rPr>
          <w:vertAlign w:val="superscript"/>
          <w:lang w:val="fr-FR"/>
        </w:rPr>
        <w:t>e</w:t>
      </w:r>
      <w:r w:rsidR="00825B8D" w:rsidRPr="00B9362A">
        <w:rPr>
          <w:lang w:val="fr-FR"/>
        </w:rPr>
        <w:t> séance, le 16 mai 2002, le Comité a décidé que le Rapporteur devrait mener, entre autres, les activités suivantes : surveiller l</w:t>
      </w:r>
      <w:r w:rsidR="00993CE3">
        <w:rPr>
          <w:lang w:val="fr-FR"/>
        </w:rPr>
        <w:t>’</w:t>
      </w:r>
      <w:r w:rsidR="00825B8D" w:rsidRPr="00B9362A">
        <w:rPr>
          <w:lang w:val="fr-FR"/>
        </w:rPr>
        <w:t>application des décisions du Comité en envoyant des notes verbales aux États parties pour s</w:t>
      </w:r>
      <w:r w:rsidR="00993CE3">
        <w:rPr>
          <w:lang w:val="fr-FR"/>
        </w:rPr>
        <w:t>’</w:t>
      </w:r>
      <w:r w:rsidR="00825B8D" w:rsidRPr="00B9362A">
        <w:rPr>
          <w:lang w:val="fr-FR"/>
        </w:rPr>
        <w:t>informer des mesures prises pour donner suite à ces décisions ; recommander au Comité les mesures à prendre comme suite aux réponses des États parties, à l</w:t>
      </w:r>
      <w:r w:rsidR="00993CE3">
        <w:rPr>
          <w:lang w:val="fr-FR"/>
        </w:rPr>
        <w:t>’</w:t>
      </w:r>
      <w:r w:rsidR="00825B8D" w:rsidRPr="00B9362A">
        <w:rPr>
          <w:lang w:val="fr-FR"/>
        </w:rPr>
        <w:t>absence de réponse de leur part et à toutes les lettres reçues ultérieurement des requérants à propos de la non</w:t>
      </w:r>
      <w:r w:rsidR="00825B8D" w:rsidRPr="00B9362A">
        <w:rPr>
          <w:lang w:val="fr-FR"/>
        </w:rPr>
        <w:noBreakHyphen/>
        <w:t>application de décisions du</w:t>
      </w:r>
      <w:r w:rsidR="00746B15">
        <w:rPr>
          <w:lang w:val="fr-FR"/>
        </w:rPr>
        <w:t xml:space="preserve"> </w:t>
      </w:r>
      <w:r w:rsidR="00825B8D" w:rsidRPr="00B9362A">
        <w:rPr>
          <w:lang w:val="fr-FR"/>
        </w:rPr>
        <w:t>Comité ; rencontrer les représentants des missions permanentes des États parties pour encourager ces derniers à appliquer les décisions du Comité et déterminer si la fourniture de services consultatifs ou d</w:t>
      </w:r>
      <w:r w:rsidR="00993CE3">
        <w:rPr>
          <w:lang w:val="fr-FR"/>
        </w:rPr>
        <w:t>’</w:t>
      </w:r>
      <w:r w:rsidR="00825B8D" w:rsidRPr="00B9362A">
        <w:rPr>
          <w:lang w:val="fr-FR"/>
        </w:rPr>
        <w:t>une assistance technique par le Haut</w:t>
      </w:r>
      <w:r w:rsidR="00825B8D" w:rsidRPr="00B9362A">
        <w:rPr>
          <w:lang w:val="fr-FR"/>
        </w:rPr>
        <w:noBreakHyphen/>
        <w:t>Commissariat aux droits de l</w:t>
      </w:r>
      <w:r w:rsidR="00993CE3">
        <w:rPr>
          <w:lang w:val="fr-FR"/>
        </w:rPr>
        <w:t>’</w:t>
      </w:r>
      <w:r w:rsidR="00825B8D" w:rsidRPr="00B9362A">
        <w:rPr>
          <w:lang w:val="fr-FR"/>
        </w:rPr>
        <w:t>homme serait appropriée ou souhaitable ; effectuer, avec l</w:t>
      </w:r>
      <w:r w:rsidR="00993CE3">
        <w:rPr>
          <w:lang w:val="fr-FR"/>
        </w:rPr>
        <w:t>’</w:t>
      </w:r>
      <w:r w:rsidR="00825B8D" w:rsidRPr="00B9362A">
        <w:rPr>
          <w:lang w:val="fr-FR"/>
        </w:rPr>
        <w:t>approbation du Comité, des visites de suivi dans les États parties ; établir périodiquement à l</w:t>
      </w:r>
      <w:r w:rsidR="00993CE3">
        <w:rPr>
          <w:lang w:val="fr-FR"/>
        </w:rPr>
        <w:t>’</w:t>
      </w:r>
      <w:r w:rsidR="00825B8D" w:rsidRPr="00B9362A">
        <w:rPr>
          <w:lang w:val="fr-FR"/>
        </w:rPr>
        <w:t>intention du Comité des rapports sur ses activités.</w:t>
      </w:r>
    </w:p>
    <w:p w:rsidR="00825B8D" w:rsidRPr="00B9362A" w:rsidRDefault="003D2359" w:rsidP="00B9362A">
      <w:pPr>
        <w:pStyle w:val="SingleTxtG"/>
        <w:rPr>
          <w:lang w:val="fr-FR"/>
        </w:rPr>
      </w:pPr>
      <w:r>
        <w:rPr>
          <w:lang w:val="fr-FR"/>
        </w:rPr>
        <w:t>85.</w:t>
      </w:r>
      <w:r>
        <w:rPr>
          <w:lang w:val="fr-FR"/>
        </w:rPr>
        <w:tab/>
      </w:r>
      <w:r w:rsidR="00825B8D" w:rsidRPr="00B9362A">
        <w:rPr>
          <w:lang w:val="fr-FR"/>
        </w:rPr>
        <w:t>À sa cinquante</w:t>
      </w:r>
      <w:r w:rsidR="00825B8D" w:rsidRPr="00B9362A">
        <w:rPr>
          <w:lang w:val="fr-FR"/>
        </w:rPr>
        <w:noBreakHyphen/>
        <w:t>neuvième session, le Comité a examiné des renseignements se rapportant à six affaires qui font actuellement l</w:t>
      </w:r>
      <w:r w:rsidR="00993CE3">
        <w:rPr>
          <w:lang w:val="fr-FR"/>
        </w:rPr>
        <w:t>’</w:t>
      </w:r>
      <w:r w:rsidR="00825B8D" w:rsidRPr="00B9362A">
        <w:rPr>
          <w:lang w:val="fr-FR"/>
        </w:rPr>
        <w:t>objet de la procédure de suivi. Il a décidé de mettre fin au dialogue au titre du suivi en concluant à un règlement satisfaisant pour la communication n</w:t>
      </w:r>
      <w:r w:rsidR="00825B8D" w:rsidRPr="00B9362A">
        <w:rPr>
          <w:vertAlign w:val="superscript"/>
          <w:lang w:val="fr-FR"/>
        </w:rPr>
        <w:t>o</w:t>
      </w:r>
      <w:r w:rsidR="00825B8D" w:rsidRPr="00B9362A">
        <w:rPr>
          <w:lang w:val="fr-FR"/>
        </w:rPr>
        <w:t xml:space="preserve"> 336/2008, </w:t>
      </w:r>
      <w:r w:rsidR="00825B8D" w:rsidRPr="00B9362A">
        <w:rPr>
          <w:i/>
          <w:lang w:val="fr-FR"/>
        </w:rPr>
        <w:t>Khalsa</w:t>
      </w:r>
      <w:r w:rsidR="00825B8D" w:rsidRPr="00B9362A">
        <w:rPr>
          <w:i/>
          <w:lang w:val="fr-FR"/>
        </w:rPr>
        <w:noBreakHyphen/>
        <w:t>Singh et consorts</w:t>
      </w:r>
      <w:r w:rsidR="00825B8D" w:rsidRPr="00B9362A">
        <w:rPr>
          <w:lang w:val="fr-FR"/>
        </w:rPr>
        <w:t xml:space="preserve"> c. </w:t>
      </w:r>
      <w:r w:rsidR="00825B8D" w:rsidRPr="00B9362A">
        <w:rPr>
          <w:i/>
          <w:lang w:val="fr-FR"/>
        </w:rPr>
        <w:t>Suisse</w:t>
      </w:r>
      <w:r w:rsidR="00825B8D" w:rsidRPr="00B9362A">
        <w:rPr>
          <w:lang w:val="fr-FR"/>
        </w:rPr>
        <w:t>. Dans cette affaire, le requérant s</w:t>
      </w:r>
      <w:r w:rsidR="00993CE3">
        <w:rPr>
          <w:lang w:val="fr-FR"/>
        </w:rPr>
        <w:t>’</w:t>
      </w:r>
      <w:r w:rsidR="00825B8D" w:rsidRPr="00B9362A">
        <w:rPr>
          <w:lang w:val="fr-FR"/>
        </w:rPr>
        <w:t>était vu accorder un permis de séjour par les autorités de l</w:t>
      </w:r>
      <w:r w:rsidR="00993CE3">
        <w:rPr>
          <w:lang w:val="fr-FR"/>
        </w:rPr>
        <w:t>’</w:t>
      </w:r>
      <w:r w:rsidR="00825B8D" w:rsidRPr="00B9362A">
        <w:rPr>
          <w:lang w:val="fr-FR"/>
        </w:rPr>
        <w:t>État partie concerné. Le Comité a examiné les renseignements reçus au sujet de cinq autres affaires et a décidé de poursuivre le dialogue au titre du suivi concernant ces affaires.</w:t>
      </w:r>
    </w:p>
    <w:p w:rsidR="00825B8D" w:rsidRPr="00B9362A" w:rsidRDefault="003D2359" w:rsidP="00B9362A">
      <w:pPr>
        <w:pStyle w:val="SingleTxtG"/>
      </w:pPr>
      <w:r>
        <w:rPr>
          <w:lang w:val="fr-FR"/>
        </w:rPr>
        <w:t>86.</w:t>
      </w:r>
      <w:r>
        <w:rPr>
          <w:lang w:val="fr-FR"/>
        </w:rPr>
        <w:tab/>
      </w:r>
      <w:r w:rsidR="00825B8D" w:rsidRPr="00B9362A">
        <w:rPr>
          <w:lang w:val="fr-FR"/>
        </w:rPr>
        <w:t>À sa soixantième session, le Comité a examiné des renseignements se rapportant à 14 affaires qui font actuellement l</w:t>
      </w:r>
      <w:r w:rsidR="00993CE3">
        <w:rPr>
          <w:lang w:val="fr-FR"/>
        </w:rPr>
        <w:t>’</w:t>
      </w:r>
      <w:r w:rsidR="00825B8D" w:rsidRPr="00B9362A">
        <w:rPr>
          <w:lang w:val="fr-FR"/>
        </w:rPr>
        <w:t>objet de la procédure de suivi. Il a décidé de mettre fin au dialogue au titre du suivi en concluant à un règlement satisfaisant pour les communications n</w:t>
      </w:r>
      <w:r w:rsidR="00825B8D" w:rsidRPr="00B9362A">
        <w:rPr>
          <w:vertAlign w:val="superscript"/>
          <w:lang w:val="fr-FR"/>
        </w:rPr>
        <w:t>os</w:t>
      </w:r>
      <w:r w:rsidR="00825B8D" w:rsidRPr="00B9362A">
        <w:rPr>
          <w:lang w:val="fr-FR"/>
        </w:rPr>
        <w:t> </w:t>
      </w:r>
      <w:r w:rsidR="00825B8D" w:rsidRPr="00B9362A">
        <w:t xml:space="preserve">15/1994, </w:t>
      </w:r>
      <w:r w:rsidR="00825B8D" w:rsidRPr="00B9362A">
        <w:rPr>
          <w:i/>
        </w:rPr>
        <w:t xml:space="preserve">Khan </w:t>
      </w:r>
      <w:r w:rsidR="00825B8D" w:rsidRPr="00B9362A">
        <w:t>c.</w:t>
      </w:r>
      <w:r w:rsidR="00825B8D" w:rsidRPr="00B9362A">
        <w:rPr>
          <w:i/>
        </w:rPr>
        <w:t xml:space="preserve"> Canada</w:t>
      </w:r>
      <w:r w:rsidR="00825B8D" w:rsidRPr="00B9362A">
        <w:t xml:space="preserve">, 523/2012, </w:t>
      </w:r>
      <w:r w:rsidR="00825B8D" w:rsidRPr="00B9362A">
        <w:rPr>
          <w:i/>
        </w:rPr>
        <w:t xml:space="preserve">X. </w:t>
      </w:r>
      <w:r w:rsidR="00825B8D" w:rsidRPr="00B9362A">
        <w:t>c.</w:t>
      </w:r>
      <w:r w:rsidR="00825B8D" w:rsidRPr="00B9362A">
        <w:rPr>
          <w:i/>
        </w:rPr>
        <w:t xml:space="preserve"> Finlande </w:t>
      </w:r>
      <w:r w:rsidR="00825B8D" w:rsidRPr="00B9362A">
        <w:t xml:space="preserve">et 628/2014, </w:t>
      </w:r>
      <w:r w:rsidR="00825B8D" w:rsidRPr="00B9362A">
        <w:rPr>
          <w:i/>
        </w:rPr>
        <w:t>J.</w:t>
      </w:r>
      <w:r w:rsidR="00746B15">
        <w:rPr>
          <w:i/>
        </w:rPr>
        <w:t> </w:t>
      </w:r>
      <w:r w:rsidR="00825B8D" w:rsidRPr="00B9362A">
        <w:rPr>
          <w:i/>
        </w:rPr>
        <w:t xml:space="preserve">N. </w:t>
      </w:r>
      <w:r w:rsidR="00825B8D" w:rsidRPr="00B9362A">
        <w:t>c.</w:t>
      </w:r>
      <w:r w:rsidR="00825B8D" w:rsidRPr="00B9362A">
        <w:rPr>
          <w:i/>
        </w:rPr>
        <w:t xml:space="preserve"> Danemark</w:t>
      </w:r>
      <w:r w:rsidR="00825B8D" w:rsidRPr="00B9362A">
        <w:rPr>
          <w:lang w:val="fr-FR"/>
        </w:rPr>
        <w:t>. Le Comité a examiné les renseignements reçus au sujet de 11 autres affaires et a décidé de poursuivre le dialogue au titre du suivi concernant ces affaires.</w:t>
      </w:r>
    </w:p>
    <w:p w:rsidR="00825B8D" w:rsidRPr="00B9362A" w:rsidRDefault="003D2359" w:rsidP="00B9362A">
      <w:pPr>
        <w:pStyle w:val="SingleTxtG"/>
        <w:rPr>
          <w:lang w:val="fr-FR"/>
        </w:rPr>
      </w:pPr>
      <w:r>
        <w:rPr>
          <w:lang w:val="fr-FR"/>
        </w:rPr>
        <w:t>87.</w:t>
      </w:r>
      <w:r>
        <w:rPr>
          <w:lang w:val="fr-FR"/>
        </w:rPr>
        <w:tab/>
      </w:r>
      <w:r w:rsidR="00825B8D" w:rsidRPr="00B9362A">
        <w:rPr>
          <w:lang w:val="fr-FR"/>
        </w:rPr>
        <w:t>Au moment de l</w:t>
      </w:r>
      <w:r w:rsidR="00993CE3">
        <w:rPr>
          <w:lang w:val="fr-FR"/>
        </w:rPr>
        <w:t>’</w:t>
      </w:r>
      <w:r w:rsidR="00825B8D" w:rsidRPr="00B9362A">
        <w:rPr>
          <w:lang w:val="fr-FR"/>
        </w:rPr>
        <w:t xml:space="preserve">adoption du présent rapport, le Comité avait mis fin au dialogue au titre du </w:t>
      </w:r>
      <w:r w:rsidR="00825B8D" w:rsidRPr="00B9362A">
        <w:t>suivi</w:t>
      </w:r>
      <w:r w:rsidR="00825B8D" w:rsidRPr="00B9362A">
        <w:rPr>
          <w:lang w:val="fr-FR"/>
        </w:rPr>
        <w:t xml:space="preserve"> en concluant à un règlement satisfaisant ou partiellement satisfaisant concernant 55 communications, sur un total de 131 communications pour lesquelles il avait conclu à des violations de différentes dispositions de la Convention. On trouvera de plus amples informations à ce sujet dans les documents </w:t>
      </w:r>
      <w:hyperlink r:id="rId132" w:history="1">
        <w:r w:rsidR="00825B8D" w:rsidRPr="00AC1572">
          <w:rPr>
            <w:rStyle w:val="Lienhypertexte"/>
            <w:lang w:val="fr-FR"/>
          </w:rPr>
          <w:t>CAT/C/59/3</w:t>
        </w:r>
      </w:hyperlink>
      <w:r w:rsidR="00825B8D" w:rsidRPr="00B9362A">
        <w:rPr>
          <w:lang w:val="fr-FR"/>
        </w:rPr>
        <w:t xml:space="preserve"> et </w:t>
      </w:r>
      <w:hyperlink r:id="rId133" w:history="1">
        <w:r w:rsidR="00825B8D" w:rsidRPr="00AC1572">
          <w:rPr>
            <w:rStyle w:val="Lienhypertexte"/>
            <w:lang w:val="fr-FR"/>
          </w:rPr>
          <w:t>CAT/C/60/4</w:t>
        </w:r>
      </w:hyperlink>
      <w:r w:rsidR="00825B8D" w:rsidRPr="00B9362A">
        <w:rPr>
          <w:lang w:val="fr-FR"/>
        </w:rPr>
        <w:t>.</w:t>
      </w:r>
    </w:p>
    <w:p w:rsidR="00825B8D" w:rsidRPr="00B9362A" w:rsidRDefault="00825B8D" w:rsidP="003D2359">
      <w:pPr>
        <w:pStyle w:val="HChG"/>
        <w:rPr>
          <w:lang w:val="fr-FR"/>
        </w:rPr>
      </w:pPr>
      <w:r w:rsidRPr="00B9362A">
        <w:rPr>
          <w:lang w:val="fr-FR"/>
        </w:rPr>
        <w:tab/>
        <w:t>VII.</w:t>
      </w:r>
      <w:r w:rsidRPr="00B9362A">
        <w:rPr>
          <w:lang w:val="fr-FR"/>
        </w:rPr>
        <w:tab/>
        <w:t>Réunions du Comité en 2017</w:t>
      </w:r>
    </w:p>
    <w:p w:rsidR="00825B8D" w:rsidRPr="00B9362A" w:rsidRDefault="003D2359" w:rsidP="00B9362A">
      <w:pPr>
        <w:pStyle w:val="SingleTxtG"/>
        <w:rPr>
          <w:lang w:val="fr-FR"/>
        </w:rPr>
      </w:pPr>
      <w:r>
        <w:rPr>
          <w:lang w:val="fr-FR"/>
        </w:rPr>
        <w:t>88.</w:t>
      </w:r>
      <w:r>
        <w:rPr>
          <w:lang w:val="fr-FR"/>
        </w:rPr>
        <w:tab/>
      </w:r>
      <w:r w:rsidR="00825B8D" w:rsidRPr="00B9362A">
        <w:rPr>
          <w:lang w:val="fr-FR"/>
        </w:rPr>
        <w:t>Conformément à la résolution 68/268 de l</w:t>
      </w:r>
      <w:r w:rsidR="00993CE3">
        <w:rPr>
          <w:lang w:val="fr-FR"/>
        </w:rPr>
        <w:t>’</w:t>
      </w:r>
      <w:r w:rsidR="00825B8D" w:rsidRPr="00B9362A">
        <w:rPr>
          <w:lang w:val="fr-FR"/>
        </w:rPr>
        <w:t>Assemb</w:t>
      </w:r>
      <w:r w:rsidR="00390349">
        <w:rPr>
          <w:lang w:val="fr-FR"/>
        </w:rPr>
        <w:t>lée générale, le Comité tiendra </w:t>
      </w:r>
      <w:r w:rsidR="00825B8D" w:rsidRPr="00B9362A">
        <w:rPr>
          <w:lang w:val="fr-FR"/>
        </w:rPr>
        <w:t>trois sessions ordinaires en 2017 : la soixantième session (18 </w:t>
      </w:r>
      <w:r w:rsidR="00390349">
        <w:rPr>
          <w:lang w:val="fr-FR"/>
        </w:rPr>
        <w:t>avril</w:t>
      </w:r>
      <w:r w:rsidR="00390349">
        <w:rPr>
          <w:lang w:val="fr-FR"/>
        </w:rPr>
        <w:noBreakHyphen/>
        <w:t>12 mai 2017), la soixante </w:t>
      </w:r>
      <w:r w:rsidR="00825B8D" w:rsidRPr="00B9362A">
        <w:rPr>
          <w:lang w:val="fr-FR"/>
        </w:rPr>
        <w:t>et uniè</w:t>
      </w:r>
      <w:r w:rsidR="00390349">
        <w:rPr>
          <w:lang w:val="fr-FR"/>
        </w:rPr>
        <w:t>me session (24 juillet</w:t>
      </w:r>
      <w:r w:rsidR="00390349">
        <w:rPr>
          <w:lang w:val="fr-FR"/>
        </w:rPr>
        <w:noBreakHyphen/>
        <w:t>11 </w:t>
      </w:r>
      <w:r w:rsidR="00825B8D" w:rsidRPr="00B9362A">
        <w:rPr>
          <w:lang w:val="fr-FR"/>
        </w:rPr>
        <w:t>août 2017) et la soixante</w:t>
      </w:r>
      <w:r w:rsidR="00390349">
        <w:rPr>
          <w:lang w:val="fr-FR"/>
        </w:rPr>
        <w:noBreakHyphen/>
        <w:t>deuxième session (6 novembre</w:t>
      </w:r>
      <w:r w:rsidR="00390349">
        <w:rPr>
          <w:lang w:val="fr-FR"/>
        </w:rPr>
        <w:noBreakHyphen/>
        <w:t>6 </w:t>
      </w:r>
      <w:r w:rsidR="00825B8D" w:rsidRPr="00B9362A">
        <w:rPr>
          <w:lang w:val="fr-FR"/>
        </w:rPr>
        <w:t>décembre 2017).</w:t>
      </w:r>
    </w:p>
    <w:p w:rsidR="00825B8D" w:rsidRPr="00B9362A" w:rsidRDefault="00825B8D" w:rsidP="003D2359">
      <w:pPr>
        <w:pStyle w:val="HChG"/>
        <w:rPr>
          <w:lang w:val="fr-FR"/>
        </w:rPr>
      </w:pPr>
      <w:r w:rsidRPr="00B9362A">
        <w:rPr>
          <w:lang w:val="fr-FR"/>
        </w:rPr>
        <w:tab/>
        <w:t>VIII.</w:t>
      </w:r>
      <w:r w:rsidRPr="00B9362A">
        <w:rPr>
          <w:lang w:val="fr-FR"/>
        </w:rPr>
        <w:tab/>
        <w:t>Adoption du rapport annuel du Comité sur ses activités</w:t>
      </w:r>
    </w:p>
    <w:p w:rsidR="00825B8D" w:rsidRPr="00B9362A" w:rsidRDefault="003D2359" w:rsidP="00B9362A">
      <w:pPr>
        <w:pStyle w:val="SingleTxtG"/>
        <w:rPr>
          <w:lang w:val="fr-FR"/>
        </w:rPr>
      </w:pPr>
      <w:r>
        <w:rPr>
          <w:lang w:val="fr-FR"/>
        </w:rPr>
        <w:t>89.</w:t>
      </w:r>
      <w:r>
        <w:rPr>
          <w:lang w:val="fr-FR"/>
        </w:rPr>
        <w:tab/>
      </w:r>
      <w:r w:rsidR="00825B8D" w:rsidRPr="00B9362A">
        <w:rPr>
          <w:lang w:val="fr-FR"/>
        </w:rPr>
        <w:t>Conformément à l</w:t>
      </w:r>
      <w:r w:rsidR="00993CE3">
        <w:rPr>
          <w:lang w:val="fr-FR"/>
        </w:rPr>
        <w:t>’</w:t>
      </w:r>
      <w:r w:rsidR="00825B8D" w:rsidRPr="00B9362A">
        <w:rPr>
          <w:lang w:val="fr-FR"/>
        </w:rPr>
        <w:t>article 24 de la Convention, le Comité soumet aux États parties et à l</w:t>
      </w:r>
      <w:r w:rsidR="00993CE3">
        <w:rPr>
          <w:lang w:val="fr-FR"/>
        </w:rPr>
        <w:t>’</w:t>
      </w:r>
      <w:r w:rsidR="00825B8D" w:rsidRPr="00B9362A">
        <w:rPr>
          <w:lang w:val="fr-FR"/>
        </w:rPr>
        <w:t>Assemblée générale un rapport annuel sur ses activités. Comme le Comité tient chaque année sa troisième session ordinaire en novembre, période qui coïncide avec les sessions ordinaires de l</w:t>
      </w:r>
      <w:r w:rsidR="00993CE3">
        <w:rPr>
          <w:lang w:val="fr-FR"/>
        </w:rPr>
        <w:t>’</w:t>
      </w:r>
      <w:r w:rsidR="00825B8D" w:rsidRPr="00B9362A">
        <w:rPr>
          <w:lang w:val="fr-FR"/>
        </w:rPr>
        <w:t>Assemblée générale, il adopte son rapport annuel à la fin de sa session de printemps, afin de le transmettre à l</w:t>
      </w:r>
      <w:r w:rsidR="00993CE3">
        <w:rPr>
          <w:lang w:val="fr-FR"/>
        </w:rPr>
        <w:t>’</w:t>
      </w:r>
      <w:r w:rsidR="00825B8D" w:rsidRPr="00B9362A">
        <w:rPr>
          <w:lang w:val="fr-FR"/>
        </w:rPr>
        <w:t>Assemblée générale la même année</w:t>
      </w:r>
      <w:r w:rsidR="00CE74F1">
        <w:rPr>
          <w:lang w:val="fr-FR"/>
        </w:rPr>
        <w:t xml:space="preserve"> civile. En conséquence, à sa 1</w:t>
      </w:r>
      <w:r w:rsidR="00825B8D" w:rsidRPr="00B9362A">
        <w:rPr>
          <w:lang w:val="fr-FR"/>
        </w:rPr>
        <w:t>541</w:t>
      </w:r>
      <w:r w:rsidR="00825B8D" w:rsidRPr="00B9362A">
        <w:rPr>
          <w:vertAlign w:val="superscript"/>
          <w:lang w:val="fr-FR"/>
        </w:rPr>
        <w:t>e</w:t>
      </w:r>
      <w:r w:rsidR="00825B8D" w:rsidRPr="00B9362A">
        <w:rPr>
          <w:lang w:val="fr-FR"/>
        </w:rPr>
        <w:t xml:space="preserve"> séance, tenue le 12 mai 2017 (voir </w:t>
      </w:r>
      <w:hyperlink r:id="rId134" w:history="1">
        <w:r w:rsidR="00825B8D" w:rsidRPr="00AC1572">
          <w:rPr>
            <w:rStyle w:val="Lienhypertexte"/>
            <w:lang w:val="fr-FR"/>
          </w:rPr>
          <w:t>CAT/C/SR.1541</w:t>
        </w:r>
      </w:hyperlink>
      <w:r w:rsidR="00825B8D" w:rsidRPr="00B9362A">
        <w:rPr>
          <w:lang w:val="fr-FR"/>
        </w:rPr>
        <w:t>), le Comité a examiné et adopté son rapport sur les travaux effectués à ses cinquante</w:t>
      </w:r>
      <w:r w:rsidR="00825B8D" w:rsidRPr="00B9362A">
        <w:rPr>
          <w:lang w:val="fr-FR"/>
        </w:rPr>
        <w:noBreakHyphen/>
        <w:t>huitième, cinquante</w:t>
      </w:r>
      <w:r w:rsidR="00825B8D" w:rsidRPr="00B9362A">
        <w:rPr>
          <w:lang w:val="fr-FR"/>
        </w:rPr>
        <w:noBreakHyphen/>
        <w:t>neuvième et soixantième sessions.</w:t>
      </w:r>
    </w:p>
    <w:p w:rsidR="00CF7E90" w:rsidRDefault="00CF7E90" w:rsidP="00746B15">
      <w:pPr>
        <w:pStyle w:val="SingleTxtG"/>
        <w:rPr>
          <w:lang w:val="fr-FR"/>
        </w:rPr>
      </w:pPr>
    </w:p>
    <w:p w:rsidR="00CF7E90" w:rsidRPr="00746B15" w:rsidRDefault="00CF7E90" w:rsidP="00746B15">
      <w:pPr>
        <w:pStyle w:val="SingleTxtG"/>
        <w:sectPr w:rsidR="00CF7E90" w:rsidRPr="00746B15" w:rsidSect="006D2517">
          <w:headerReference w:type="even" r:id="rId135"/>
          <w:headerReference w:type="default" r:id="rId136"/>
          <w:footerReference w:type="even" r:id="rId137"/>
          <w:footerReference w:type="default" r:id="rId138"/>
          <w:endnotePr>
            <w:numFmt w:val="decimal"/>
          </w:endnotePr>
          <w:type w:val="oddPage"/>
          <w:pgSz w:w="11907" w:h="16840" w:code="9"/>
          <w:pgMar w:top="1417" w:right="1134" w:bottom="1134" w:left="1134" w:header="850" w:footer="567" w:gutter="0"/>
          <w:pgNumType w:start="1"/>
          <w:cols w:space="720"/>
          <w:docGrid w:linePitch="272"/>
        </w:sectPr>
      </w:pPr>
    </w:p>
    <w:p w:rsidR="00825B8D" w:rsidRPr="00B9362A" w:rsidRDefault="00825B8D" w:rsidP="003D2359">
      <w:pPr>
        <w:pStyle w:val="HChG"/>
        <w:rPr>
          <w:lang w:val="fr-FR"/>
        </w:rPr>
      </w:pPr>
      <w:r w:rsidRPr="00B9362A">
        <w:rPr>
          <w:lang w:val="fr-FR"/>
        </w:rPr>
        <w:lastRenderedPageBreak/>
        <w:t>Annexe</w:t>
      </w:r>
    </w:p>
    <w:p w:rsidR="00825B8D" w:rsidRPr="00B9362A" w:rsidRDefault="00825B8D" w:rsidP="003D2359">
      <w:pPr>
        <w:pStyle w:val="HChG"/>
        <w:rPr>
          <w:lang w:val="fr-FR"/>
        </w:rPr>
      </w:pPr>
      <w:r w:rsidRPr="00B9362A">
        <w:rPr>
          <w:lang w:val="fr-FR"/>
        </w:rPr>
        <w:tab/>
      </w:r>
      <w:r w:rsidRPr="00B9362A">
        <w:rPr>
          <w:lang w:val="fr-FR"/>
        </w:rPr>
        <w:tab/>
        <w:t xml:space="preserve">Composition du Comité et du Bureau et mandats </w:t>
      </w:r>
      <w:r w:rsidRPr="00B9362A">
        <w:rPr>
          <w:lang w:val="fr-FR"/>
        </w:rPr>
        <w:br/>
        <w:t>au 12 mai 2017</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0"/>
        <w:gridCol w:w="2575"/>
        <w:gridCol w:w="1755"/>
      </w:tblGrid>
      <w:tr w:rsidR="00825B8D" w:rsidRPr="003D2359" w:rsidTr="00AC1572">
        <w:trPr>
          <w:tblHeader/>
        </w:trPr>
        <w:tc>
          <w:tcPr>
            <w:tcW w:w="3040" w:type="dxa"/>
            <w:tcBorders>
              <w:top w:val="single" w:sz="4" w:space="0" w:color="auto"/>
              <w:bottom w:val="single" w:sz="12" w:space="0" w:color="auto"/>
            </w:tcBorders>
            <w:shd w:val="clear" w:color="auto" w:fill="auto"/>
            <w:vAlign w:val="bottom"/>
          </w:tcPr>
          <w:p w:rsidR="00825B8D" w:rsidRPr="003D2359" w:rsidRDefault="00825B8D" w:rsidP="003D2359">
            <w:pPr>
              <w:spacing w:before="80" w:after="80" w:line="200" w:lineRule="exact"/>
              <w:ind w:right="113"/>
              <w:rPr>
                <w:i/>
                <w:sz w:val="16"/>
              </w:rPr>
            </w:pPr>
            <w:r w:rsidRPr="003D2359">
              <w:rPr>
                <w:i/>
                <w:sz w:val="16"/>
              </w:rPr>
              <w:t>Nom</w:t>
            </w:r>
          </w:p>
        </w:tc>
        <w:tc>
          <w:tcPr>
            <w:tcW w:w="2575" w:type="dxa"/>
            <w:tcBorders>
              <w:top w:val="single" w:sz="4" w:space="0" w:color="auto"/>
              <w:bottom w:val="single" w:sz="12" w:space="0" w:color="auto"/>
            </w:tcBorders>
            <w:shd w:val="clear" w:color="auto" w:fill="auto"/>
            <w:vAlign w:val="bottom"/>
          </w:tcPr>
          <w:p w:rsidR="00825B8D" w:rsidRPr="003D2359" w:rsidRDefault="00825B8D" w:rsidP="003D2359">
            <w:pPr>
              <w:spacing w:before="80" w:after="80" w:line="200" w:lineRule="exact"/>
              <w:ind w:right="113"/>
              <w:rPr>
                <w:i/>
                <w:sz w:val="16"/>
              </w:rPr>
            </w:pPr>
            <w:r w:rsidRPr="003D2359">
              <w:rPr>
                <w:i/>
                <w:sz w:val="16"/>
              </w:rPr>
              <w:t>Pays de nationalité</w:t>
            </w:r>
          </w:p>
        </w:tc>
        <w:tc>
          <w:tcPr>
            <w:tcW w:w="1755" w:type="dxa"/>
            <w:tcBorders>
              <w:top w:val="single" w:sz="4" w:space="0" w:color="auto"/>
              <w:bottom w:val="single" w:sz="12" w:space="0" w:color="auto"/>
            </w:tcBorders>
            <w:shd w:val="clear" w:color="auto" w:fill="auto"/>
            <w:vAlign w:val="bottom"/>
          </w:tcPr>
          <w:p w:rsidR="00825B8D" w:rsidRPr="003D2359" w:rsidRDefault="00825B8D" w:rsidP="003D2359">
            <w:pPr>
              <w:spacing w:before="80" w:after="80" w:line="200" w:lineRule="exact"/>
              <w:ind w:right="113"/>
              <w:rPr>
                <w:i/>
                <w:sz w:val="16"/>
              </w:rPr>
            </w:pPr>
            <w:r w:rsidRPr="003D2359">
              <w:rPr>
                <w:i/>
                <w:sz w:val="16"/>
              </w:rPr>
              <w:t xml:space="preserve">Mandat expirant </w:t>
            </w:r>
            <w:r w:rsidRPr="003D2359">
              <w:rPr>
                <w:i/>
                <w:sz w:val="16"/>
              </w:rPr>
              <w:br/>
              <w:t>le 31 décembre</w:t>
            </w:r>
          </w:p>
        </w:tc>
      </w:tr>
      <w:tr w:rsidR="003D2359" w:rsidRPr="003D2359" w:rsidTr="00AC1572">
        <w:trPr>
          <w:trHeight w:hRule="exact" w:val="113"/>
        </w:trPr>
        <w:tc>
          <w:tcPr>
            <w:tcW w:w="3040" w:type="dxa"/>
            <w:tcBorders>
              <w:top w:val="single" w:sz="12" w:space="0" w:color="auto"/>
            </w:tcBorders>
            <w:shd w:val="clear" w:color="auto" w:fill="auto"/>
          </w:tcPr>
          <w:p w:rsidR="003D2359" w:rsidRPr="003D2359" w:rsidRDefault="003D2359" w:rsidP="003D2359">
            <w:pPr>
              <w:spacing w:before="40" w:after="120"/>
              <w:ind w:right="113"/>
            </w:pPr>
          </w:p>
        </w:tc>
        <w:tc>
          <w:tcPr>
            <w:tcW w:w="2575" w:type="dxa"/>
            <w:tcBorders>
              <w:top w:val="single" w:sz="12" w:space="0" w:color="auto"/>
            </w:tcBorders>
            <w:shd w:val="clear" w:color="auto" w:fill="auto"/>
          </w:tcPr>
          <w:p w:rsidR="003D2359" w:rsidRPr="003D2359" w:rsidRDefault="003D2359" w:rsidP="003D2359">
            <w:pPr>
              <w:spacing w:before="40" w:after="120"/>
              <w:ind w:right="113"/>
            </w:pPr>
          </w:p>
        </w:tc>
        <w:tc>
          <w:tcPr>
            <w:tcW w:w="1755" w:type="dxa"/>
            <w:tcBorders>
              <w:top w:val="single" w:sz="12" w:space="0" w:color="auto"/>
            </w:tcBorders>
            <w:shd w:val="clear" w:color="auto" w:fill="auto"/>
          </w:tcPr>
          <w:p w:rsidR="003D2359" w:rsidRPr="003D2359" w:rsidRDefault="003D2359" w:rsidP="003D2359">
            <w:pPr>
              <w:spacing w:before="40" w:after="120"/>
              <w:ind w:right="113"/>
            </w:pPr>
          </w:p>
        </w:tc>
      </w:tr>
      <w:tr w:rsidR="00825B8D" w:rsidRPr="003D2359" w:rsidTr="00AC1572">
        <w:tc>
          <w:tcPr>
            <w:tcW w:w="3040" w:type="dxa"/>
            <w:shd w:val="clear" w:color="auto" w:fill="auto"/>
          </w:tcPr>
          <w:p w:rsidR="00825B8D" w:rsidRPr="003D2359" w:rsidRDefault="00825B8D" w:rsidP="003D2359">
            <w:pPr>
              <w:spacing w:before="40" w:after="120"/>
              <w:ind w:right="113"/>
            </w:pPr>
            <w:r w:rsidRPr="003D2359">
              <w:t>Essadia Belmir (Vice</w:t>
            </w:r>
            <w:r w:rsidRPr="003D2359">
              <w:noBreakHyphen/>
              <w:t>Présidente)</w:t>
            </w:r>
          </w:p>
        </w:tc>
        <w:tc>
          <w:tcPr>
            <w:tcW w:w="2575" w:type="dxa"/>
            <w:shd w:val="clear" w:color="auto" w:fill="auto"/>
          </w:tcPr>
          <w:p w:rsidR="00825B8D" w:rsidRPr="003D2359" w:rsidRDefault="00825B8D" w:rsidP="003D2359">
            <w:pPr>
              <w:spacing w:before="40" w:after="120"/>
              <w:ind w:right="113"/>
            </w:pPr>
            <w:r w:rsidRPr="003D2359">
              <w:rPr>
                <w:lang w:val="fr-FR"/>
              </w:rPr>
              <w:t>Maroc</w:t>
            </w:r>
          </w:p>
        </w:tc>
        <w:tc>
          <w:tcPr>
            <w:tcW w:w="1755" w:type="dxa"/>
            <w:shd w:val="clear" w:color="auto" w:fill="auto"/>
          </w:tcPr>
          <w:p w:rsidR="00825B8D" w:rsidRPr="003D2359" w:rsidRDefault="00825B8D" w:rsidP="003D2359">
            <w:pPr>
              <w:spacing w:before="40" w:after="120"/>
              <w:ind w:right="113"/>
            </w:pPr>
            <w:r w:rsidRPr="003D2359">
              <w:rPr>
                <w:lang w:val="fr-FR"/>
              </w:rPr>
              <w:t>2017</w:t>
            </w:r>
          </w:p>
        </w:tc>
      </w:tr>
      <w:tr w:rsidR="00825B8D" w:rsidRPr="003D2359" w:rsidTr="00AC1572">
        <w:tc>
          <w:tcPr>
            <w:tcW w:w="3040" w:type="dxa"/>
            <w:shd w:val="clear" w:color="auto" w:fill="auto"/>
          </w:tcPr>
          <w:p w:rsidR="00825B8D" w:rsidRPr="003D2359" w:rsidRDefault="00825B8D" w:rsidP="003D2359">
            <w:pPr>
              <w:spacing w:before="40" w:after="120"/>
              <w:ind w:right="113"/>
            </w:pPr>
            <w:r w:rsidRPr="003D2359">
              <w:t>Alessio Bruni (Rapporteur chargé de la question des représailles)</w:t>
            </w:r>
          </w:p>
        </w:tc>
        <w:tc>
          <w:tcPr>
            <w:tcW w:w="2575" w:type="dxa"/>
            <w:shd w:val="clear" w:color="auto" w:fill="auto"/>
          </w:tcPr>
          <w:p w:rsidR="00825B8D" w:rsidRPr="003D2359" w:rsidRDefault="00825B8D" w:rsidP="003D2359">
            <w:pPr>
              <w:spacing w:before="40" w:after="120"/>
              <w:ind w:right="113"/>
            </w:pPr>
            <w:r w:rsidRPr="003D2359">
              <w:rPr>
                <w:lang w:val="fr-FR"/>
              </w:rPr>
              <w:t>Italie</w:t>
            </w:r>
          </w:p>
        </w:tc>
        <w:tc>
          <w:tcPr>
            <w:tcW w:w="1755" w:type="dxa"/>
            <w:shd w:val="clear" w:color="auto" w:fill="auto"/>
          </w:tcPr>
          <w:p w:rsidR="00825B8D" w:rsidRPr="003D2359" w:rsidRDefault="00825B8D" w:rsidP="003D2359">
            <w:pPr>
              <w:spacing w:before="40" w:after="120"/>
              <w:ind w:right="113"/>
            </w:pPr>
            <w:r w:rsidRPr="003D2359">
              <w:t>2017</w:t>
            </w:r>
          </w:p>
        </w:tc>
      </w:tr>
      <w:tr w:rsidR="00825B8D" w:rsidRPr="003D2359" w:rsidTr="00AC1572">
        <w:tc>
          <w:tcPr>
            <w:tcW w:w="3040" w:type="dxa"/>
            <w:shd w:val="clear" w:color="auto" w:fill="auto"/>
          </w:tcPr>
          <w:p w:rsidR="00825B8D" w:rsidRPr="003D2359" w:rsidRDefault="00825B8D" w:rsidP="003D2359">
            <w:pPr>
              <w:spacing w:before="40" w:after="120"/>
              <w:ind w:right="113"/>
            </w:pPr>
            <w:r w:rsidRPr="003D2359">
              <w:t>Felice Gaer (Vice</w:t>
            </w:r>
            <w:r w:rsidRPr="003D2359">
              <w:noBreakHyphen/>
              <w:t>Présidente)</w:t>
            </w:r>
          </w:p>
        </w:tc>
        <w:tc>
          <w:tcPr>
            <w:tcW w:w="2575" w:type="dxa"/>
            <w:shd w:val="clear" w:color="auto" w:fill="auto"/>
          </w:tcPr>
          <w:p w:rsidR="00825B8D" w:rsidRPr="003D2359" w:rsidRDefault="00825B8D" w:rsidP="003D2359">
            <w:pPr>
              <w:spacing w:before="40" w:after="120"/>
              <w:ind w:right="113"/>
            </w:pPr>
            <w:r w:rsidRPr="003D2359">
              <w:rPr>
                <w:lang w:val="fr-FR"/>
              </w:rPr>
              <w:t>États-Unis d</w:t>
            </w:r>
            <w:r w:rsidR="00993CE3">
              <w:rPr>
                <w:lang w:val="fr-FR"/>
              </w:rPr>
              <w:t>’</w:t>
            </w:r>
            <w:r w:rsidRPr="003D2359">
              <w:rPr>
                <w:lang w:val="fr-FR"/>
              </w:rPr>
              <w:t>Amérique</w:t>
            </w:r>
          </w:p>
        </w:tc>
        <w:tc>
          <w:tcPr>
            <w:tcW w:w="1755" w:type="dxa"/>
            <w:shd w:val="clear" w:color="auto" w:fill="auto"/>
          </w:tcPr>
          <w:p w:rsidR="00825B8D" w:rsidRPr="003D2359" w:rsidRDefault="00825B8D" w:rsidP="003D2359">
            <w:pPr>
              <w:spacing w:before="40" w:after="120"/>
              <w:ind w:right="113"/>
            </w:pPr>
            <w:r w:rsidRPr="003D2359">
              <w:t>2019</w:t>
            </w:r>
          </w:p>
        </w:tc>
      </w:tr>
      <w:tr w:rsidR="00825B8D" w:rsidRPr="003D2359" w:rsidTr="00AC1572">
        <w:tc>
          <w:tcPr>
            <w:tcW w:w="3040" w:type="dxa"/>
            <w:shd w:val="clear" w:color="auto" w:fill="auto"/>
          </w:tcPr>
          <w:p w:rsidR="00825B8D" w:rsidRPr="003D2359" w:rsidRDefault="00825B8D" w:rsidP="003D2359">
            <w:pPr>
              <w:spacing w:before="40" w:after="120"/>
              <w:ind w:right="113"/>
            </w:pPr>
            <w:r w:rsidRPr="003D2359">
              <w:t>Abdelwahab Hani (Rapporteur chargé du suivi au titre de l</w:t>
            </w:r>
            <w:r w:rsidR="00993CE3">
              <w:t>’</w:t>
            </w:r>
            <w:r w:rsidRPr="003D2359">
              <w:t>article 19)</w:t>
            </w:r>
          </w:p>
        </w:tc>
        <w:tc>
          <w:tcPr>
            <w:tcW w:w="2575" w:type="dxa"/>
            <w:shd w:val="clear" w:color="auto" w:fill="auto"/>
          </w:tcPr>
          <w:p w:rsidR="00825B8D" w:rsidRPr="003D2359" w:rsidRDefault="00825B8D" w:rsidP="003D2359">
            <w:pPr>
              <w:spacing w:before="40" w:after="120"/>
              <w:ind w:right="113"/>
            </w:pPr>
            <w:r w:rsidRPr="003D2359">
              <w:rPr>
                <w:lang w:val="fr-FR"/>
              </w:rPr>
              <w:t>Tunisie</w:t>
            </w:r>
          </w:p>
        </w:tc>
        <w:tc>
          <w:tcPr>
            <w:tcW w:w="1755" w:type="dxa"/>
            <w:shd w:val="clear" w:color="auto" w:fill="auto"/>
          </w:tcPr>
          <w:p w:rsidR="00825B8D" w:rsidRPr="003D2359" w:rsidRDefault="00825B8D" w:rsidP="003D2359">
            <w:pPr>
              <w:spacing w:before="40" w:after="120"/>
              <w:ind w:right="113"/>
            </w:pPr>
            <w:r w:rsidRPr="003D2359">
              <w:t>2019</w:t>
            </w:r>
          </w:p>
        </w:tc>
      </w:tr>
      <w:tr w:rsidR="00825B8D" w:rsidRPr="003D2359" w:rsidTr="00AC1572">
        <w:tc>
          <w:tcPr>
            <w:tcW w:w="3040" w:type="dxa"/>
            <w:shd w:val="clear" w:color="auto" w:fill="auto"/>
          </w:tcPr>
          <w:p w:rsidR="00825B8D" w:rsidRPr="003D2359" w:rsidRDefault="00825B8D" w:rsidP="003D2359">
            <w:pPr>
              <w:spacing w:before="40" w:after="120"/>
              <w:ind w:right="113"/>
            </w:pPr>
            <w:r w:rsidRPr="003D2359">
              <w:t>Claude Heller Rouassant (Vice</w:t>
            </w:r>
            <w:r w:rsidRPr="003D2359">
              <w:noBreakHyphen/>
              <w:t>Président)</w:t>
            </w:r>
          </w:p>
        </w:tc>
        <w:tc>
          <w:tcPr>
            <w:tcW w:w="2575" w:type="dxa"/>
            <w:shd w:val="clear" w:color="auto" w:fill="auto"/>
          </w:tcPr>
          <w:p w:rsidR="00825B8D" w:rsidRPr="003D2359" w:rsidRDefault="00825B8D" w:rsidP="003D2359">
            <w:pPr>
              <w:spacing w:before="40" w:after="120"/>
              <w:ind w:right="113"/>
            </w:pPr>
            <w:r w:rsidRPr="003D2359">
              <w:rPr>
                <w:lang w:val="fr-FR"/>
              </w:rPr>
              <w:t>Mexique</w:t>
            </w:r>
          </w:p>
        </w:tc>
        <w:tc>
          <w:tcPr>
            <w:tcW w:w="1755" w:type="dxa"/>
            <w:shd w:val="clear" w:color="auto" w:fill="auto"/>
          </w:tcPr>
          <w:p w:rsidR="00825B8D" w:rsidRPr="003D2359" w:rsidRDefault="00825B8D" w:rsidP="003D2359">
            <w:pPr>
              <w:spacing w:before="40" w:after="120"/>
              <w:ind w:right="113"/>
            </w:pPr>
            <w:r w:rsidRPr="003D2359">
              <w:t>2019</w:t>
            </w:r>
          </w:p>
        </w:tc>
      </w:tr>
      <w:tr w:rsidR="00825B8D" w:rsidRPr="003D2359" w:rsidTr="00AC1572">
        <w:tc>
          <w:tcPr>
            <w:tcW w:w="3040" w:type="dxa"/>
            <w:shd w:val="clear" w:color="auto" w:fill="auto"/>
          </w:tcPr>
          <w:p w:rsidR="00825B8D" w:rsidRPr="003D2359" w:rsidRDefault="00825B8D" w:rsidP="003D2359">
            <w:pPr>
              <w:spacing w:before="40" w:after="120"/>
              <w:ind w:right="113"/>
            </w:pPr>
            <w:r w:rsidRPr="003D2359">
              <w:t>Jens Modvig (Président)</w:t>
            </w:r>
          </w:p>
        </w:tc>
        <w:tc>
          <w:tcPr>
            <w:tcW w:w="2575" w:type="dxa"/>
            <w:shd w:val="clear" w:color="auto" w:fill="auto"/>
          </w:tcPr>
          <w:p w:rsidR="00825B8D" w:rsidRPr="003D2359" w:rsidRDefault="00825B8D" w:rsidP="003D2359">
            <w:pPr>
              <w:spacing w:before="40" w:after="120"/>
              <w:ind w:right="113"/>
            </w:pPr>
            <w:r w:rsidRPr="003D2359">
              <w:rPr>
                <w:lang w:val="fr-FR"/>
              </w:rPr>
              <w:t>Danemark</w:t>
            </w:r>
          </w:p>
        </w:tc>
        <w:tc>
          <w:tcPr>
            <w:tcW w:w="1755" w:type="dxa"/>
            <w:shd w:val="clear" w:color="auto" w:fill="auto"/>
          </w:tcPr>
          <w:p w:rsidR="00825B8D" w:rsidRPr="003D2359" w:rsidRDefault="00825B8D" w:rsidP="003D2359">
            <w:pPr>
              <w:spacing w:before="40" w:after="120"/>
              <w:ind w:right="113"/>
            </w:pPr>
            <w:r w:rsidRPr="003D2359">
              <w:t>2017</w:t>
            </w:r>
          </w:p>
        </w:tc>
      </w:tr>
      <w:tr w:rsidR="00825B8D" w:rsidRPr="003D2359" w:rsidTr="00AC1572">
        <w:tc>
          <w:tcPr>
            <w:tcW w:w="3040" w:type="dxa"/>
            <w:shd w:val="clear" w:color="auto" w:fill="auto"/>
          </w:tcPr>
          <w:p w:rsidR="00825B8D" w:rsidRPr="003D2359" w:rsidRDefault="00825B8D" w:rsidP="003D2359">
            <w:pPr>
              <w:spacing w:before="40" w:after="120"/>
              <w:ind w:right="113"/>
            </w:pPr>
            <w:r w:rsidRPr="003D2359">
              <w:t>Sapana Pradhan</w:t>
            </w:r>
            <w:r w:rsidRPr="003D2359">
              <w:noBreakHyphen/>
              <w:t>Malla (Rapporteuse chargée du suivi au titre de l</w:t>
            </w:r>
            <w:r w:rsidR="00993CE3">
              <w:t>’</w:t>
            </w:r>
            <w:r w:rsidRPr="003D2359">
              <w:t>article 22)</w:t>
            </w:r>
          </w:p>
        </w:tc>
        <w:tc>
          <w:tcPr>
            <w:tcW w:w="2575" w:type="dxa"/>
            <w:shd w:val="clear" w:color="auto" w:fill="auto"/>
          </w:tcPr>
          <w:p w:rsidR="00825B8D" w:rsidRPr="003D2359" w:rsidRDefault="00825B8D" w:rsidP="003D2359">
            <w:pPr>
              <w:spacing w:before="40" w:after="120"/>
              <w:ind w:right="113"/>
            </w:pPr>
            <w:r w:rsidRPr="003D2359">
              <w:rPr>
                <w:lang w:val="fr-FR"/>
              </w:rPr>
              <w:t>Népal</w:t>
            </w:r>
          </w:p>
        </w:tc>
        <w:tc>
          <w:tcPr>
            <w:tcW w:w="1755" w:type="dxa"/>
            <w:shd w:val="clear" w:color="auto" w:fill="auto"/>
          </w:tcPr>
          <w:p w:rsidR="00825B8D" w:rsidRPr="003D2359" w:rsidRDefault="00825B8D" w:rsidP="003D2359">
            <w:pPr>
              <w:spacing w:before="40" w:after="120"/>
              <w:ind w:right="113"/>
            </w:pPr>
            <w:r w:rsidRPr="003D2359">
              <w:t>2017</w:t>
            </w:r>
          </w:p>
        </w:tc>
      </w:tr>
      <w:tr w:rsidR="00825B8D" w:rsidRPr="003D2359" w:rsidTr="00AC1572">
        <w:tc>
          <w:tcPr>
            <w:tcW w:w="3040" w:type="dxa"/>
            <w:shd w:val="clear" w:color="auto" w:fill="auto"/>
          </w:tcPr>
          <w:p w:rsidR="00825B8D" w:rsidRPr="003D2359" w:rsidRDefault="00825B8D" w:rsidP="003D2359">
            <w:pPr>
              <w:spacing w:before="40" w:after="120"/>
              <w:ind w:right="113"/>
            </w:pPr>
            <w:r w:rsidRPr="003D2359">
              <w:t>Ana Racu </w:t>
            </w:r>
          </w:p>
        </w:tc>
        <w:tc>
          <w:tcPr>
            <w:tcW w:w="2575" w:type="dxa"/>
            <w:shd w:val="clear" w:color="auto" w:fill="auto"/>
          </w:tcPr>
          <w:p w:rsidR="00825B8D" w:rsidRPr="003D2359" w:rsidRDefault="00825B8D" w:rsidP="003D2359">
            <w:pPr>
              <w:spacing w:before="40" w:after="120"/>
              <w:ind w:right="113"/>
            </w:pPr>
            <w:r w:rsidRPr="003D2359">
              <w:rPr>
                <w:lang w:val="fr-FR"/>
              </w:rPr>
              <w:t>République de Moldova</w:t>
            </w:r>
          </w:p>
        </w:tc>
        <w:tc>
          <w:tcPr>
            <w:tcW w:w="1755" w:type="dxa"/>
            <w:shd w:val="clear" w:color="auto" w:fill="auto"/>
          </w:tcPr>
          <w:p w:rsidR="00825B8D" w:rsidRPr="003D2359" w:rsidRDefault="00825B8D" w:rsidP="003D2359">
            <w:pPr>
              <w:spacing w:before="40" w:after="120"/>
              <w:ind w:right="113"/>
            </w:pPr>
            <w:r w:rsidRPr="003D2359">
              <w:t>2019</w:t>
            </w:r>
          </w:p>
        </w:tc>
      </w:tr>
      <w:tr w:rsidR="00825B8D" w:rsidRPr="003D2359" w:rsidTr="00AC1572">
        <w:tc>
          <w:tcPr>
            <w:tcW w:w="3040" w:type="dxa"/>
            <w:shd w:val="clear" w:color="auto" w:fill="auto"/>
          </w:tcPr>
          <w:p w:rsidR="00825B8D" w:rsidRPr="003D2359" w:rsidRDefault="00825B8D" w:rsidP="003D2359">
            <w:pPr>
              <w:spacing w:before="40" w:after="120"/>
              <w:ind w:right="113"/>
            </w:pPr>
            <w:r w:rsidRPr="003D2359">
              <w:t>Sébastien Touzé (Rapporteur)</w:t>
            </w:r>
          </w:p>
        </w:tc>
        <w:tc>
          <w:tcPr>
            <w:tcW w:w="2575" w:type="dxa"/>
            <w:shd w:val="clear" w:color="auto" w:fill="auto"/>
          </w:tcPr>
          <w:p w:rsidR="00825B8D" w:rsidRPr="003D2359" w:rsidRDefault="00825B8D" w:rsidP="003D2359">
            <w:pPr>
              <w:spacing w:before="40" w:after="120"/>
              <w:ind w:right="113"/>
            </w:pPr>
            <w:r w:rsidRPr="003D2359">
              <w:rPr>
                <w:lang w:val="fr-FR"/>
              </w:rPr>
              <w:t>France</w:t>
            </w:r>
          </w:p>
        </w:tc>
        <w:tc>
          <w:tcPr>
            <w:tcW w:w="1755" w:type="dxa"/>
            <w:shd w:val="clear" w:color="auto" w:fill="auto"/>
          </w:tcPr>
          <w:p w:rsidR="00825B8D" w:rsidRPr="003D2359" w:rsidRDefault="00825B8D" w:rsidP="003D2359">
            <w:pPr>
              <w:spacing w:before="40" w:after="120"/>
              <w:ind w:right="113"/>
            </w:pPr>
            <w:r w:rsidRPr="003D2359">
              <w:t>2019</w:t>
            </w:r>
          </w:p>
        </w:tc>
      </w:tr>
      <w:tr w:rsidR="00825B8D" w:rsidRPr="003D2359" w:rsidTr="00AC1572">
        <w:tc>
          <w:tcPr>
            <w:tcW w:w="3040" w:type="dxa"/>
            <w:tcBorders>
              <w:bottom w:val="single" w:sz="12" w:space="0" w:color="auto"/>
            </w:tcBorders>
            <w:shd w:val="clear" w:color="auto" w:fill="auto"/>
          </w:tcPr>
          <w:p w:rsidR="00825B8D" w:rsidRPr="003D2359" w:rsidRDefault="00825B8D" w:rsidP="003D2359">
            <w:pPr>
              <w:spacing w:before="40" w:after="120"/>
              <w:ind w:right="113"/>
            </w:pPr>
            <w:r w:rsidRPr="003D2359">
              <w:t>Kening Zhang (Rapporteur chargé des nouvelles requêtes et des mesures provisoires)</w:t>
            </w:r>
          </w:p>
        </w:tc>
        <w:tc>
          <w:tcPr>
            <w:tcW w:w="2575" w:type="dxa"/>
            <w:tcBorders>
              <w:bottom w:val="single" w:sz="12" w:space="0" w:color="auto"/>
            </w:tcBorders>
            <w:shd w:val="clear" w:color="auto" w:fill="auto"/>
          </w:tcPr>
          <w:p w:rsidR="00825B8D" w:rsidRPr="003D2359" w:rsidRDefault="00825B8D" w:rsidP="003D2359">
            <w:pPr>
              <w:spacing w:before="40" w:after="120"/>
              <w:ind w:right="113"/>
            </w:pPr>
            <w:r w:rsidRPr="003D2359">
              <w:rPr>
                <w:lang w:val="fr-FR"/>
              </w:rPr>
              <w:t>Chine</w:t>
            </w:r>
          </w:p>
        </w:tc>
        <w:tc>
          <w:tcPr>
            <w:tcW w:w="1755" w:type="dxa"/>
            <w:tcBorders>
              <w:bottom w:val="single" w:sz="12" w:space="0" w:color="auto"/>
            </w:tcBorders>
            <w:shd w:val="clear" w:color="auto" w:fill="auto"/>
          </w:tcPr>
          <w:p w:rsidR="00825B8D" w:rsidRPr="003D2359" w:rsidRDefault="00825B8D" w:rsidP="003D2359">
            <w:pPr>
              <w:spacing w:before="40" w:after="120"/>
              <w:ind w:right="113"/>
            </w:pPr>
            <w:r w:rsidRPr="003D2359">
              <w:t>2017</w:t>
            </w:r>
          </w:p>
        </w:tc>
      </w:tr>
    </w:tbl>
    <w:p w:rsidR="00F25F04" w:rsidRPr="003D2359" w:rsidRDefault="003D2359" w:rsidP="003D2359">
      <w:pPr>
        <w:pStyle w:val="SingleTxtG"/>
        <w:spacing w:before="240" w:after="0"/>
        <w:jc w:val="center"/>
        <w:rPr>
          <w:u w:val="single"/>
        </w:rPr>
      </w:pPr>
      <w:r>
        <w:rPr>
          <w:u w:val="single"/>
        </w:rPr>
        <w:tab/>
      </w:r>
      <w:r>
        <w:rPr>
          <w:u w:val="single"/>
        </w:rPr>
        <w:tab/>
      </w:r>
      <w:r>
        <w:rPr>
          <w:u w:val="single"/>
        </w:rPr>
        <w:tab/>
      </w:r>
    </w:p>
    <w:sectPr w:rsidR="00F25F04" w:rsidRPr="003D2359" w:rsidSect="00CF7E90">
      <w:headerReference w:type="even" r:id="rId139"/>
      <w:headerReference w:type="default" r:id="rId140"/>
      <w:footerReference w:type="even" r:id="rId141"/>
      <w:footerReference w:type="default" r:id="rId142"/>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349" w:rsidRDefault="00390349"/>
  </w:endnote>
  <w:endnote w:type="continuationSeparator" w:id="0">
    <w:p w:rsidR="00390349" w:rsidRDefault="00390349">
      <w:pPr>
        <w:pStyle w:val="Pieddepage"/>
      </w:pPr>
    </w:p>
  </w:endnote>
  <w:endnote w:type="continuationNotice" w:id="1">
    <w:p w:rsidR="00390349" w:rsidRPr="00C451B9" w:rsidRDefault="0039034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Default="00390349" w:rsidP="006D5DD3">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D77C7">
      <w:rPr>
        <w:rStyle w:val="Numrodepage"/>
        <w:noProof/>
      </w:rPr>
      <w:t>3</w:t>
    </w:r>
    <w:r>
      <w:rPr>
        <w:rStyle w:val="Numrodepage"/>
      </w:rPr>
      <w:fldChar w:fldCharType="end"/>
    </w:r>
  </w:p>
  <w:p w:rsidR="00390349" w:rsidRPr="00C55ADD" w:rsidRDefault="00390349" w:rsidP="00813E58">
    <w:pPr>
      <w:pStyle w:val="Pieddepage"/>
      <w:tabs>
        <w:tab w:val="left" w:pos="9639"/>
      </w:tabs>
      <w:ind w:right="357"/>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CF7E90" w:rsidRDefault="00390349" w:rsidP="00CF7E90">
    <w:pPr>
      <w:pStyle w:val="Pieddepage"/>
      <w:spacing w:after="120"/>
      <w:jc w:val="right"/>
      <w:rPr>
        <w:rFonts w:ascii="C39T30Lfz" w:hAnsi="C39T30Lfz"/>
        <w:sz w:val="56"/>
      </w:rPr>
    </w:pPr>
    <w:r w:rsidRPr="00CF7E90">
      <w:rPr>
        <w:rFonts w:ascii="C39T30Lfz" w:hAnsi="C39T30Lfz"/>
        <w:sz w:val="56"/>
      </w:rPr>
      <w:t></w:t>
    </w:r>
    <w:r w:rsidRPr="00CF7E90">
      <w:rPr>
        <w:rFonts w:ascii="C39T30Lfz" w:hAnsi="C39T30Lfz"/>
        <w:sz w:val="56"/>
      </w:rPr>
      <w:t></w:t>
    </w:r>
    <w:r w:rsidRPr="00CF7E90">
      <w:rPr>
        <w:rFonts w:ascii="C39T30Lfz" w:hAnsi="C39T30Lfz"/>
        <w:sz w:val="56"/>
      </w:rPr>
      <w:t></w:t>
    </w:r>
    <w:r w:rsidRPr="00CF7E90">
      <w:rPr>
        <w:rFonts w:ascii="C39T30Lfz" w:hAnsi="C39T30Lfz"/>
        <w:sz w:val="56"/>
      </w:rPr>
      <w:t></w:t>
    </w:r>
    <w:r w:rsidRPr="00CF7E90">
      <w:rPr>
        <w:rFonts w:ascii="C39T30Lfz" w:hAnsi="C39T30Lfz"/>
        <w:sz w:val="56"/>
      </w:rPr>
      <w:t></w:t>
    </w:r>
    <w:r w:rsidRPr="00CF7E90">
      <w:rPr>
        <w:rFonts w:ascii="C39T30Lfz" w:hAnsi="C39T30Lfz"/>
        <w:sz w:val="56"/>
      </w:rPr>
      <w:t></w:t>
    </w:r>
    <w:r w:rsidRPr="00CF7E90">
      <w:rPr>
        <w:rFonts w:ascii="C39T30Lfz" w:hAnsi="C39T30Lfz"/>
        <w:sz w:val="56"/>
      </w:rPr>
      <w:t></w:t>
    </w:r>
    <w:r w:rsidRPr="00CF7E90">
      <w:rPr>
        <w:rFonts w:ascii="C39T30Lfz" w:hAnsi="C39T30Lfz"/>
        <w:sz w:val="56"/>
      </w:rPr>
      <w:t></w:t>
    </w:r>
    <w:r w:rsidRPr="00CF7E90">
      <w:rPr>
        <w:rFonts w:ascii="C39T30Lfz" w:hAnsi="C39T30Lfz"/>
        <w:sz w:val="56"/>
      </w:rPr>
      <w:t></w:t>
    </w:r>
  </w:p>
  <w:p w:rsidR="00390349" w:rsidRDefault="00390349" w:rsidP="006D5DD3">
    <w:pPr>
      <w:pStyle w:val="Pieddepage"/>
      <w:tabs>
        <w:tab w:val="right" w:pos="9639"/>
      </w:tabs>
      <w:ind w:right="357"/>
    </w:pPr>
    <w:r>
      <w:rPr>
        <w:rStyle w:val="Numrodepage"/>
      </w:rPr>
      <w:fldChar w:fldCharType="begin"/>
    </w:r>
    <w:r>
      <w:rPr>
        <w:rStyle w:val="Numrodepage"/>
      </w:rPr>
      <w:instrText xml:space="preserve"> PAGE </w:instrText>
    </w:r>
    <w:r>
      <w:rPr>
        <w:rStyle w:val="Numrodepage"/>
      </w:rPr>
      <w:fldChar w:fldCharType="separate"/>
    </w:r>
    <w:r w:rsidR="003D77C7">
      <w:rPr>
        <w:rStyle w:val="Numrodepage"/>
        <w:noProof/>
      </w:rPr>
      <w:t>3</w:t>
    </w:r>
    <w:r>
      <w:rPr>
        <w:rStyle w:val="Numrodepage"/>
      </w:rPr>
      <w:fldChar w:fldCharType="end"/>
    </w:r>
    <w:r>
      <w:rPr>
        <w:rStyle w:val="Numrodepage"/>
      </w:rPr>
      <w:tab/>
    </w:r>
    <w:r>
      <w:rPr>
        <w:szCs w:val="16"/>
      </w:rPr>
      <w:t>GE.17-10174</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BA3D70" w:rsidRDefault="00390349" w:rsidP="001074F2">
    <w:pPr>
      <w:pStyle w:val="Pieddepage"/>
      <w:ind w:right="284"/>
      <w:jc w:val="right"/>
      <w:rPr>
        <w:rFonts w:ascii="C39T30Lfz" w:hAnsi="C39T30Lfz"/>
        <w:sz w:val="56"/>
      </w:rPr>
    </w:pPr>
    <w:r w:rsidRPr="00BA3D70">
      <w:rPr>
        <w:rFonts w:ascii="C39T30Lfz" w:hAnsi="C39T30Lfz"/>
        <w:sz w:val="56"/>
      </w:rPr>
      <w:t></w:t>
    </w:r>
    <w:r w:rsidRPr="00BA3D70">
      <w:rPr>
        <w:rFonts w:ascii="C39T30Lfz" w:hAnsi="C39T30Lfz"/>
        <w:sz w:val="56"/>
      </w:rPr>
      <w:t></w:t>
    </w:r>
    <w:r w:rsidRPr="00BA3D70">
      <w:rPr>
        <w:rFonts w:ascii="C39T30Lfz" w:hAnsi="C39T30Lfz"/>
        <w:sz w:val="56"/>
      </w:rPr>
      <w:t></w:t>
    </w:r>
    <w:r w:rsidRPr="00BA3D70">
      <w:rPr>
        <w:rFonts w:ascii="C39T30Lfz" w:hAnsi="C39T30Lfz"/>
        <w:sz w:val="56"/>
      </w:rPr>
      <w:t></w:t>
    </w:r>
    <w:r w:rsidRPr="00BA3D70">
      <w:rPr>
        <w:rFonts w:ascii="C39T30Lfz" w:hAnsi="C39T30Lfz"/>
        <w:sz w:val="56"/>
      </w:rPr>
      <w:t></w:t>
    </w:r>
    <w:r w:rsidRPr="00BA3D70">
      <w:rPr>
        <w:rFonts w:ascii="C39T30Lfz" w:hAnsi="C39T30Lfz"/>
        <w:sz w:val="56"/>
      </w:rPr>
      <w:t></w:t>
    </w:r>
    <w:r w:rsidRPr="00BA3D70">
      <w:rPr>
        <w:rFonts w:ascii="C39T30Lfz" w:hAnsi="C39T30Lfz"/>
        <w:sz w:val="56"/>
      </w:rPr>
      <w:t></w:t>
    </w:r>
    <w:r w:rsidRPr="00BA3D70">
      <w:rPr>
        <w:rFonts w:ascii="C39T30Lfz" w:hAnsi="C39T30Lfz"/>
        <w:sz w:val="56"/>
      </w:rPr>
      <w:t></w:t>
    </w:r>
    <w:r w:rsidRPr="00BA3D70">
      <w:rPr>
        <w:rFonts w:ascii="C39T30Lfz" w:hAnsi="C39T30Lfz"/>
        <w:sz w:val="56"/>
      </w:rPr>
      <w:t></w:t>
    </w:r>
  </w:p>
  <w:p w:rsidR="00390349" w:rsidRDefault="00390349" w:rsidP="00CF7E90">
    <w:pPr>
      <w:pStyle w:val="Pieddepage"/>
      <w:tabs>
        <w:tab w:val="right" w:pos="9639"/>
      </w:tabs>
      <w:ind w:right="357"/>
    </w:pPr>
    <w:r>
      <w:rPr>
        <w:szCs w:val="16"/>
      </w:rPr>
      <w:t>GE.17-10174</w:t>
    </w:r>
    <w:r>
      <w:rPr>
        <w:rStyle w:val="Numrodepage"/>
      </w:rPr>
      <w:tab/>
    </w:r>
    <w:r>
      <w:rPr>
        <w:rStyle w:val="Numrodepage"/>
      </w:rPr>
      <w:fldChar w:fldCharType="begin"/>
    </w:r>
    <w:r>
      <w:rPr>
        <w:rStyle w:val="Numrodepage"/>
      </w:rPr>
      <w:instrText xml:space="preserve"> PAGE </w:instrText>
    </w:r>
    <w:r>
      <w:rPr>
        <w:rStyle w:val="Numrodepage"/>
      </w:rPr>
      <w:fldChar w:fldCharType="separate"/>
    </w:r>
    <w:r w:rsidR="00D52057">
      <w:rPr>
        <w:rStyle w:val="Numrodepage"/>
        <w:noProof/>
      </w:rPr>
      <w:t>19</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0C5CDD" w:rsidRDefault="00390349" w:rsidP="000C5CD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Default="0039034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223881"/>
      <w:docPartObj>
        <w:docPartGallery w:val="Page Numbers (Bottom of Page)"/>
        <w:docPartUnique/>
      </w:docPartObj>
    </w:sdtPr>
    <w:sdtEndPr>
      <w:rPr>
        <w:rStyle w:val="Numrodepage"/>
        <w:b/>
        <w:noProof/>
        <w:sz w:val="18"/>
      </w:rPr>
    </w:sdtEndPr>
    <w:sdtContent>
      <w:p w:rsidR="00390349" w:rsidRPr="00363F31" w:rsidRDefault="00390349" w:rsidP="00363F31">
        <w:pPr>
          <w:pStyle w:val="Pieddepage"/>
          <w:tabs>
            <w:tab w:val="right" w:pos="9638"/>
          </w:tabs>
          <w:rPr>
            <w:b/>
            <w:noProof/>
            <w:sz w:val="18"/>
          </w:rPr>
        </w:pPr>
        <w:r>
          <w:t>GE.17-10174</w:t>
        </w:r>
        <w:r>
          <w:tab/>
        </w:r>
        <w:r w:rsidRPr="00C7064E">
          <w:rPr>
            <w:rStyle w:val="Numrodepage"/>
            <w:noProof/>
          </w:rPr>
          <w:fldChar w:fldCharType="begin"/>
        </w:r>
        <w:r w:rsidRPr="00C7064E">
          <w:rPr>
            <w:rStyle w:val="Numrodepage"/>
            <w:noProof/>
          </w:rPr>
          <w:instrText>PAGE   \* MERGEFORMAT</w:instrText>
        </w:r>
        <w:r w:rsidRPr="00C7064E">
          <w:rPr>
            <w:rStyle w:val="Numrodepage"/>
            <w:noProof/>
          </w:rPr>
          <w:fldChar w:fldCharType="separate"/>
        </w:r>
        <w:r w:rsidR="005E00F5">
          <w:rPr>
            <w:rStyle w:val="Numrodepage"/>
            <w:noProof/>
          </w:rPr>
          <w:t>iii</w:t>
        </w:r>
        <w:r w:rsidRPr="00C7064E">
          <w:rPr>
            <w:rStyle w:val="Numrodepage"/>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Default="00390349" w:rsidP="006D5DD3">
    <w:pPr>
      <w:pStyle w:val="Pieddepage"/>
      <w:tabs>
        <w:tab w:val="right" w:pos="9639"/>
      </w:tabs>
      <w:ind w:right="357"/>
    </w:pPr>
    <w:r>
      <w:rPr>
        <w:rStyle w:val="Numrodepage"/>
      </w:rPr>
      <w:fldChar w:fldCharType="begin"/>
    </w:r>
    <w:r>
      <w:rPr>
        <w:rStyle w:val="Numrodepage"/>
      </w:rPr>
      <w:instrText xml:space="preserve"> PAGE </w:instrText>
    </w:r>
    <w:r>
      <w:rPr>
        <w:rStyle w:val="Numrodepage"/>
      </w:rPr>
      <w:fldChar w:fldCharType="separate"/>
    </w:r>
    <w:r w:rsidR="003D77C7">
      <w:rPr>
        <w:rStyle w:val="Numrodepage"/>
        <w:noProof/>
      </w:rPr>
      <w:t>iii</w:t>
    </w:r>
    <w:r>
      <w:rPr>
        <w:rStyle w:val="Numrodepage"/>
      </w:rPr>
      <w:fldChar w:fldCharType="end"/>
    </w:r>
    <w:r>
      <w:rPr>
        <w:rStyle w:val="Numrodepage"/>
      </w:rPr>
      <w:tab/>
    </w:r>
    <w:r>
      <w:rPr>
        <w:szCs w:val="16"/>
      </w:rPr>
      <w:t>GE.17-10174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6D2517" w:rsidRDefault="00390349" w:rsidP="006D2517">
    <w:pPr>
      <w:pStyle w:val="Pieddepage"/>
      <w:tabs>
        <w:tab w:val="right" w:pos="9639"/>
      </w:tabs>
      <w:ind w:right="357"/>
      <w:rPr>
        <w:b/>
        <w:sz w:val="18"/>
      </w:rPr>
    </w:pPr>
    <w:r>
      <w:rPr>
        <w:sz w:val="20"/>
      </w:rPr>
      <w:t xml:space="preserve">GE.17-10174  (F)    110717    </w:t>
    </w:r>
    <w:r w:rsidR="0012686F">
      <w:rPr>
        <w:sz w:val="20"/>
      </w:rPr>
      <w:t>130717</w:t>
    </w:r>
    <w:r>
      <w:tab/>
    </w:r>
    <w:r>
      <w:rPr>
        <w:rStyle w:val="Numrodepage"/>
      </w:rPr>
      <w:fldChar w:fldCharType="begin"/>
    </w:r>
    <w:r>
      <w:rPr>
        <w:rStyle w:val="Numrodepage"/>
      </w:rPr>
      <w:instrText xml:space="preserve"> PAGE </w:instrText>
    </w:r>
    <w:r>
      <w:rPr>
        <w:rStyle w:val="Numrodepage"/>
      </w:rPr>
      <w:fldChar w:fldCharType="separate"/>
    </w:r>
    <w:r w:rsidR="005E00F5">
      <w:rPr>
        <w:rStyle w:val="Numrodepage"/>
        <w:noProof/>
      </w:rPr>
      <w:t>v</w:t>
    </w:r>
    <w:r>
      <w:rPr>
        <w:rStyle w:val="Numrodepag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931351"/>
      <w:docPartObj>
        <w:docPartGallery w:val="Page Numbers (Bottom of Page)"/>
        <w:docPartUnique/>
      </w:docPartObj>
    </w:sdtPr>
    <w:sdtEndPr>
      <w:rPr>
        <w:rStyle w:val="Numrodepage"/>
        <w:b/>
        <w:noProof/>
        <w:sz w:val="18"/>
      </w:rPr>
    </w:sdtEndPr>
    <w:sdtContent>
      <w:p w:rsidR="00390349" w:rsidRDefault="00390349" w:rsidP="00A87EFE">
        <w:pPr>
          <w:pStyle w:val="Pieddepage"/>
          <w:tabs>
            <w:tab w:val="right" w:pos="9638"/>
          </w:tabs>
        </w:pPr>
      </w:p>
      <w:p w:rsidR="00390349" w:rsidRPr="00A87EFE" w:rsidRDefault="00390349" w:rsidP="00A87EFE">
        <w:pPr>
          <w:pStyle w:val="Pieddepage"/>
          <w:tabs>
            <w:tab w:val="right" w:pos="9638"/>
          </w:tabs>
          <w:rPr>
            <w:b/>
            <w:noProof/>
            <w:sz w:val="18"/>
          </w:rPr>
        </w:pPr>
        <w:r>
          <w:t>GE.17-10174</w:t>
        </w:r>
        <w:r>
          <w:tab/>
        </w:r>
        <w:r w:rsidRPr="00C7064E">
          <w:rPr>
            <w:rStyle w:val="Numrodepage"/>
            <w:noProof/>
          </w:rPr>
          <w:fldChar w:fldCharType="begin"/>
        </w:r>
        <w:r w:rsidRPr="00C7064E">
          <w:rPr>
            <w:rStyle w:val="Numrodepage"/>
            <w:noProof/>
          </w:rPr>
          <w:instrText>PAGE   \* MERGEFORMAT</w:instrText>
        </w:r>
        <w:r w:rsidRPr="00C7064E">
          <w:rPr>
            <w:rStyle w:val="Numrodepage"/>
            <w:noProof/>
          </w:rPr>
          <w:fldChar w:fldCharType="separate"/>
        </w:r>
        <w:r w:rsidR="003D77C7">
          <w:rPr>
            <w:rStyle w:val="Numrodepage"/>
            <w:noProof/>
          </w:rPr>
          <w:t>iii</w:t>
        </w:r>
        <w:r w:rsidRPr="00C7064E">
          <w:rPr>
            <w:rStyle w:val="Numrodepage"/>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Default="00390349" w:rsidP="006D5DD3">
    <w:pPr>
      <w:pStyle w:val="Pieddepage"/>
      <w:tabs>
        <w:tab w:val="right" w:pos="9639"/>
      </w:tabs>
      <w:ind w:right="357"/>
    </w:pPr>
    <w:r>
      <w:rPr>
        <w:rStyle w:val="Numrodepage"/>
      </w:rPr>
      <w:fldChar w:fldCharType="begin"/>
    </w:r>
    <w:r>
      <w:rPr>
        <w:rStyle w:val="Numrodepage"/>
      </w:rPr>
      <w:instrText xml:space="preserve"> PAGE </w:instrText>
    </w:r>
    <w:r>
      <w:rPr>
        <w:rStyle w:val="Numrodepage"/>
      </w:rPr>
      <w:fldChar w:fldCharType="separate"/>
    </w:r>
    <w:r w:rsidR="005E00F5">
      <w:rPr>
        <w:rStyle w:val="Numrodepage"/>
        <w:noProof/>
      </w:rPr>
      <w:t>16</w:t>
    </w:r>
    <w:r>
      <w:rPr>
        <w:rStyle w:val="Numrodepage"/>
      </w:rPr>
      <w:fldChar w:fldCharType="end"/>
    </w:r>
    <w:r>
      <w:rPr>
        <w:rStyle w:val="Numrodepage"/>
      </w:rPr>
      <w:tab/>
    </w:r>
    <w:r>
      <w:rPr>
        <w:szCs w:val="16"/>
      </w:rPr>
      <w:t>GE.17-10174</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6D2517" w:rsidRDefault="00390349" w:rsidP="006D2517">
    <w:pPr>
      <w:pStyle w:val="Pieddepage"/>
      <w:tabs>
        <w:tab w:val="right" w:pos="9639"/>
      </w:tabs>
      <w:ind w:right="357"/>
      <w:rPr>
        <w:b/>
        <w:sz w:val="18"/>
      </w:rPr>
    </w:pPr>
    <w:r>
      <w:t>GE.17-10174</w:t>
    </w:r>
    <w:r>
      <w:tab/>
    </w:r>
    <w:r>
      <w:rPr>
        <w:rStyle w:val="Numrodepage"/>
      </w:rPr>
      <w:fldChar w:fldCharType="begin"/>
    </w:r>
    <w:r>
      <w:rPr>
        <w:rStyle w:val="Numrodepage"/>
      </w:rPr>
      <w:instrText xml:space="preserve"> PAGE </w:instrText>
    </w:r>
    <w:r>
      <w:rPr>
        <w:rStyle w:val="Numrodepage"/>
      </w:rPr>
      <w:fldChar w:fldCharType="separate"/>
    </w:r>
    <w:r w:rsidR="005E00F5">
      <w:rPr>
        <w:rStyle w:val="Numrodepage"/>
        <w:noProof/>
      </w:rPr>
      <w:t>15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349" w:rsidRPr="00D27D5E" w:rsidRDefault="00390349" w:rsidP="00D27D5E">
      <w:pPr>
        <w:tabs>
          <w:tab w:val="right" w:pos="2155"/>
        </w:tabs>
        <w:spacing w:after="80"/>
        <w:ind w:left="680"/>
        <w:rPr>
          <w:u w:val="single"/>
        </w:rPr>
      </w:pPr>
      <w:r>
        <w:rPr>
          <w:u w:val="single"/>
        </w:rPr>
        <w:tab/>
      </w:r>
    </w:p>
  </w:footnote>
  <w:footnote w:type="continuationSeparator" w:id="0">
    <w:p w:rsidR="00390349" w:rsidRPr="00D171D4" w:rsidRDefault="00390349" w:rsidP="00D171D4">
      <w:pPr>
        <w:tabs>
          <w:tab w:val="right" w:pos="2155"/>
        </w:tabs>
        <w:spacing w:after="80"/>
        <w:ind w:left="680"/>
        <w:rPr>
          <w:u w:val="single"/>
        </w:rPr>
      </w:pPr>
      <w:r w:rsidRPr="00D171D4">
        <w:rPr>
          <w:u w:val="single"/>
        </w:rPr>
        <w:tab/>
      </w:r>
    </w:p>
  </w:footnote>
  <w:footnote w:type="continuationNotice" w:id="1">
    <w:p w:rsidR="00390349" w:rsidRPr="00C451B9" w:rsidRDefault="00390349" w:rsidP="00C451B9">
      <w:pPr>
        <w:spacing w:line="240" w:lineRule="auto"/>
        <w:rPr>
          <w:sz w:val="2"/>
          <w:szCs w:val="2"/>
        </w:rPr>
      </w:pPr>
    </w:p>
  </w:footnote>
  <w:footnote w:id="2">
    <w:p w:rsidR="00390349" w:rsidRDefault="00390349" w:rsidP="00786702">
      <w:pPr>
        <w:pStyle w:val="Notedebasdepage"/>
      </w:pPr>
      <w:r>
        <w:tab/>
      </w:r>
      <w:r>
        <w:rPr>
          <w:rStyle w:val="Appelnotedebasdep"/>
        </w:rPr>
        <w:footnoteRef/>
      </w:r>
      <w:r>
        <w:tab/>
      </w:r>
      <w:r w:rsidRPr="00F728E5">
        <w:t xml:space="preserve">Voir </w:t>
      </w:r>
      <w:r w:rsidRPr="001637BF">
        <w:rPr>
          <w:i/>
        </w:rPr>
        <w:t>Documents officiels de l’Assemblée générale, soixante</w:t>
      </w:r>
      <w:r w:rsidRPr="001637BF">
        <w:rPr>
          <w:i/>
        </w:rPr>
        <w:noBreakHyphen/>
        <w:t>quatrième session</w:t>
      </w:r>
      <w:r>
        <w:t xml:space="preserve">, </w:t>
      </w:r>
      <w:r w:rsidRPr="001637BF">
        <w:rPr>
          <w:i/>
        </w:rPr>
        <w:t xml:space="preserve">Supplément </w:t>
      </w:r>
      <w:r w:rsidRPr="001637BF">
        <w:rPr>
          <w:rFonts w:eastAsia="MS Mincho"/>
          <w:i/>
          <w:szCs w:val="22"/>
        </w:rPr>
        <w:t>n</w:t>
      </w:r>
      <w:r w:rsidRPr="002D76F4">
        <w:rPr>
          <w:rFonts w:eastAsia="MS Mincho"/>
          <w:szCs w:val="22"/>
          <w:vertAlign w:val="superscript"/>
        </w:rPr>
        <w:t>o</w:t>
      </w:r>
      <w:r>
        <w:t> </w:t>
      </w:r>
      <w:r w:rsidRPr="001637BF">
        <w:rPr>
          <w:i/>
        </w:rPr>
        <w:t>44</w:t>
      </w:r>
      <w:r>
        <w:t xml:space="preserve"> (</w:t>
      </w:r>
      <w:hyperlink r:id="rId1" w:history="1">
        <w:r w:rsidRPr="007139ED">
          <w:rPr>
            <w:rStyle w:val="Lienhypertexte"/>
          </w:rPr>
          <w:t>A/64/44</w:t>
        </w:r>
      </w:hyperlink>
      <w:r>
        <w:t>), par. </w:t>
      </w:r>
      <w:r w:rsidRPr="00F728E5">
        <w:t>26.</w:t>
      </w:r>
    </w:p>
  </w:footnote>
  <w:footnote w:id="3">
    <w:p w:rsidR="00390349" w:rsidRDefault="00390349" w:rsidP="00786702">
      <w:pPr>
        <w:pStyle w:val="Notedebasdepage"/>
      </w:pPr>
      <w:r>
        <w:tab/>
      </w:r>
      <w:r>
        <w:rPr>
          <w:rStyle w:val="Appelnotedebasdep"/>
        </w:rPr>
        <w:footnoteRef/>
      </w:r>
      <w:r>
        <w:tab/>
      </w:r>
      <w:r w:rsidRPr="008B4D12">
        <w:t xml:space="preserve">Ibid., </w:t>
      </w:r>
      <w:r w:rsidRPr="002E023B">
        <w:rPr>
          <w:i/>
        </w:rPr>
        <w:t>soixante</w:t>
      </w:r>
      <w:r w:rsidRPr="002E023B">
        <w:rPr>
          <w:i/>
        </w:rPr>
        <w:noBreakHyphen/>
        <w:t>septième session</w:t>
      </w:r>
      <w:r>
        <w:t xml:space="preserve">, </w:t>
      </w:r>
      <w:r w:rsidRPr="002E023B">
        <w:rPr>
          <w:i/>
        </w:rPr>
        <w:t xml:space="preserve">Supplément </w:t>
      </w:r>
      <w:r w:rsidRPr="002E023B">
        <w:rPr>
          <w:rFonts w:eastAsia="MS Mincho"/>
          <w:i/>
          <w:szCs w:val="22"/>
        </w:rPr>
        <w:t>n</w:t>
      </w:r>
      <w:r w:rsidRPr="002E023B">
        <w:rPr>
          <w:rFonts w:eastAsia="MS Mincho"/>
          <w:i/>
          <w:szCs w:val="22"/>
          <w:vertAlign w:val="superscript"/>
        </w:rPr>
        <w:t>o</w:t>
      </w:r>
      <w:r w:rsidRPr="002E023B">
        <w:rPr>
          <w:i/>
        </w:rPr>
        <w:t> 44</w:t>
      </w:r>
      <w:r>
        <w:t xml:space="preserve"> (</w:t>
      </w:r>
      <w:hyperlink r:id="rId2" w:history="1">
        <w:r w:rsidRPr="007139ED">
          <w:rPr>
            <w:rStyle w:val="Lienhypertexte"/>
          </w:rPr>
          <w:t>A/67/44</w:t>
        </w:r>
      </w:hyperlink>
      <w:r>
        <w:t>), par. </w:t>
      </w:r>
      <w:r w:rsidRPr="008B4D12">
        <w:t>33.</w:t>
      </w:r>
    </w:p>
  </w:footnote>
  <w:footnote w:id="4">
    <w:p w:rsidR="00390349" w:rsidRDefault="00390349" w:rsidP="00786702">
      <w:pPr>
        <w:pStyle w:val="Notedebasdepage"/>
      </w:pPr>
      <w:r>
        <w:tab/>
      </w:r>
      <w:r>
        <w:rPr>
          <w:rStyle w:val="Appelnotedebasdep"/>
        </w:rPr>
        <w:footnoteRef/>
      </w:r>
      <w:r>
        <w:tab/>
        <w:t xml:space="preserve">Ibid., </w:t>
      </w:r>
      <w:r w:rsidRPr="002E023B">
        <w:rPr>
          <w:i/>
        </w:rPr>
        <w:t>soixante</w:t>
      </w:r>
      <w:r w:rsidRPr="002E023B">
        <w:rPr>
          <w:i/>
        </w:rPr>
        <w:noBreakHyphen/>
        <w:t>sixième session</w:t>
      </w:r>
      <w:r w:rsidRPr="00DE0C2B">
        <w:t xml:space="preserve">, </w:t>
      </w:r>
      <w:r w:rsidRPr="002E023B">
        <w:rPr>
          <w:i/>
        </w:rPr>
        <w:t xml:space="preserve">Supplément </w:t>
      </w:r>
      <w:r w:rsidRPr="002E023B">
        <w:rPr>
          <w:rFonts w:eastAsia="MS Mincho"/>
          <w:i/>
          <w:szCs w:val="22"/>
        </w:rPr>
        <w:t>n</w:t>
      </w:r>
      <w:r w:rsidRPr="002E023B">
        <w:rPr>
          <w:rFonts w:eastAsia="MS Mincho"/>
          <w:i/>
          <w:szCs w:val="22"/>
          <w:vertAlign w:val="superscript"/>
        </w:rPr>
        <w:t>o</w:t>
      </w:r>
      <w:r w:rsidRPr="002E023B">
        <w:rPr>
          <w:i/>
        </w:rPr>
        <w:t> 4</w:t>
      </w:r>
      <w:r w:rsidRPr="002F6B33">
        <w:rPr>
          <w:i/>
        </w:rPr>
        <w:t>4</w:t>
      </w:r>
      <w:r>
        <w:t xml:space="preserve"> (</w:t>
      </w:r>
      <w:hyperlink r:id="rId3" w:history="1">
        <w:r w:rsidRPr="007139ED">
          <w:rPr>
            <w:rStyle w:val="Lienhypertexte"/>
          </w:rPr>
          <w:t>A/66/44</w:t>
        </w:r>
      </w:hyperlink>
      <w:r>
        <w:t>), par. </w:t>
      </w:r>
      <w:r w:rsidRPr="00DE0C2B">
        <w:t>28 à 35.</w:t>
      </w:r>
    </w:p>
  </w:footnote>
  <w:footnote w:id="5">
    <w:p w:rsidR="00390349" w:rsidRDefault="00390349" w:rsidP="00B9362A">
      <w:pPr>
        <w:pStyle w:val="Notedebasdepage"/>
      </w:pPr>
      <w:r>
        <w:tab/>
      </w:r>
      <w:r>
        <w:rPr>
          <w:rStyle w:val="Appelnotedebasdep"/>
        </w:rPr>
        <w:footnoteRef/>
      </w:r>
      <w:r>
        <w:tab/>
      </w:r>
      <w:r w:rsidRPr="0023023D">
        <w:t xml:space="preserve">Voir </w:t>
      </w:r>
      <w:r w:rsidRPr="00A768EA">
        <w:rPr>
          <w:i/>
        </w:rPr>
        <w:t>Documents officiels de l’Assemblée générale</w:t>
      </w:r>
      <w:r w:rsidRPr="0023023D">
        <w:t xml:space="preserve">, </w:t>
      </w:r>
      <w:r w:rsidRPr="00A768EA">
        <w:rPr>
          <w:i/>
        </w:rPr>
        <w:t>cinquante</w:t>
      </w:r>
      <w:r w:rsidRPr="00A768EA">
        <w:rPr>
          <w:i/>
        </w:rPr>
        <w:noBreakHyphen/>
        <w:t>huitième session</w:t>
      </w:r>
      <w:r>
        <w:t xml:space="preserve">, </w:t>
      </w:r>
      <w:r w:rsidRPr="00A768EA">
        <w:rPr>
          <w:i/>
        </w:rPr>
        <w:t xml:space="preserve">Supplément </w:t>
      </w:r>
      <w:r w:rsidRPr="00A768EA">
        <w:rPr>
          <w:rFonts w:eastAsia="MS Mincho"/>
          <w:i/>
          <w:szCs w:val="22"/>
        </w:rPr>
        <w:t>n</w:t>
      </w:r>
      <w:r w:rsidRPr="00A768EA">
        <w:rPr>
          <w:rFonts w:eastAsia="MS Mincho"/>
          <w:i/>
          <w:szCs w:val="22"/>
          <w:vertAlign w:val="superscript"/>
        </w:rPr>
        <w:t>o</w:t>
      </w:r>
      <w:r w:rsidRPr="00A768EA">
        <w:rPr>
          <w:i/>
        </w:rPr>
        <w:t> 44</w:t>
      </w:r>
      <w:r>
        <w:t xml:space="preserve"> (</w:t>
      </w:r>
      <w:hyperlink r:id="rId4" w:history="1">
        <w:r w:rsidRPr="00AC1572">
          <w:rPr>
            <w:rStyle w:val="Lienhypertexte"/>
          </w:rPr>
          <w:t>A/58/44</w:t>
        </w:r>
      </w:hyperlink>
      <w:r>
        <w:t>), par. </w:t>
      </w:r>
      <w:r w:rsidRPr="0023023D">
        <w:t>12.</w:t>
      </w:r>
    </w:p>
  </w:footnote>
  <w:footnote w:id="6">
    <w:p w:rsidR="00390349" w:rsidRDefault="00390349" w:rsidP="00B9362A">
      <w:pPr>
        <w:pStyle w:val="Notedebasdepage"/>
      </w:pPr>
      <w:r>
        <w:tab/>
      </w:r>
      <w:r>
        <w:rPr>
          <w:rStyle w:val="Appelnotedebasdep"/>
        </w:rPr>
        <w:footnoteRef/>
      </w:r>
      <w:r>
        <w:tab/>
      </w:r>
      <w:r w:rsidRPr="00A520E2">
        <w:t>En 2010, le Comité a créé une page Web distincte consacrée au suivi</w:t>
      </w:r>
      <w:r>
        <w:t xml:space="preserve"> : </w:t>
      </w:r>
      <w:hyperlink r:id="rId5" w:history="1">
        <w:r w:rsidRPr="00AC1572">
          <w:rPr>
            <w:rStyle w:val="Lienhypertexte"/>
            <w:spacing w:val="-3"/>
          </w:rPr>
          <w:t>http://tbinternet.ohchr.org/_layouts/TreatyBodyExternal/FollowUp.aspx?Treaty=CAT&amp;Lang=en</w:t>
        </w:r>
      </w:hyperlink>
      <w:r w:rsidRPr="00A520E2">
        <w:rPr>
          <w:spacing w:val="-3"/>
        </w:rPr>
        <w:t>. On trouvera une vue d’ensemble de la procédure depuis 2003 à cette même adresse.</w:t>
      </w:r>
    </w:p>
  </w:footnote>
  <w:footnote w:id="7">
    <w:p w:rsidR="00390349" w:rsidRDefault="00390349" w:rsidP="00B9362A">
      <w:pPr>
        <w:pStyle w:val="Notedebasdepage"/>
      </w:pPr>
      <w:r>
        <w:tab/>
      </w:r>
      <w:r>
        <w:rPr>
          <w:rStyle w:val="Appelnotedebasdep"/>
        </w:rPr>
        <w:footnoteRef/>
      </w:r>
      <w:r>
        <w:tab/>
        <w:t>Les</w:t>
      </w:r>
      <w:r w:rsidRPr="00436AF7">
        <w:t xml:space="preserve"> États parties qui n’avaient pas envoyé de renseignements au titre du suivi avant la soumission de leur rapport périodique </w:t>
      </w:r>
      <w:r>
        <w:t>ne figurent pas dans cette liste</w:t>
      </w:r>
      <w:r w:rsidRPr="00436AF7">
        <w:t>.</w:t>
      </w:r>
    </w:p>
  </w:footnote>
  <w:footnote w:id="8">
    <w:p w:rsidR="00390349" w:rsidRDefault="00390349" w:rsidP="00B9362A">
      <w:pPr>
        <w:pStyle w:val="Notedebasdepage"/>
      </w:pPr>
      <w:r>
        <w:tab/>
      </w:r>
      <w:r>
        <w:rPr>
          <w:rStyle w:val="Appelnotedebasdep"/>
        </w:rPr>
        <w:footnoteRef/>
      </w:r>
      <w:r>
        <w:tab/>
      </w:r>
      <w:r w:rsidRPr="005F0B78">
        <w:t>Les lettres envoyées par le Rapporteur chargé du suivi des observations finales peuvent être consultées sur la page Web consacrée au suivi.</w:t>
      </w:r>
    </w:p>
  </w:footnote>
  <w:footnote w:id="9">
    <w:p w:rsidR="00390349" w:rsidRDefault="00390349" w:rsidP="00B9362A">
      <w:pPr>
        <w:pStyle w:val="Notedebasdepage"/>
      </w:pPr>
      <w:r>
        <w:tab/>
      </w:r>
      <w:r>
        <w:rPr>
          <w:rStyle w:val="Appelnotedebasdep"/>
        </w:rPr>
        <w:footnoteRef/>
      </w:r>
      <w:r>
        <w:tab/>
      </w:r>
      <w:r w:rsidRPr="000800BF">
        <w:t>Les réponses au titre du suivi reçues des États parties peuvent être consultées sur la page Web consacrée au suivi</w:t>
      </w:r>
      <w:r>
        <w:t>.</w:t>
      </w:r>
    </w:p>
  </w:footnote>
  <w:footnote w:id="10">
    <w:p w:rsidR="00390349" w:rsidRPr="005A665E" w:rsidRDefault="00390349" w:rsidP="00B9362A">
      <w:pPr>
        <w:pStyle w:val="Notedebasdepage"/>
        <w:rPr>
          <w:lang w:val="fr-FR"/>
        </w:rPr>
      </w:pPr>
      <w:r>
        <w:tab/>
      </w:r>
      <w:r>
        <w:rPr>
          <w:rStyle w:val="Appelnotedebasdep"/>
        </w:rPr>
        <w:footnoteRef/>
      </w:r>
      <w:r w:rsidRPr="005A665E">
        <w:rPr>
          <w:lang w:val="fr-FR"/>
        </w:rPr>
        <w:tab/>
        <w:t xml:space="preserve">La Tunisie a </w:t>
      </w:r>
      <w:r>
        <w:rPr>
          <w:lang w:val="fr-FR"/>
        </w:rPr>
        <w:t>soumis les</w:t>
      </w:r>
      <w:r w:rsidRPr="005A665E">
        <w:rPr>
          <w:lang w:val="fr-FR"/>
        </w:rPr>
        <w:t xml:space="preserve"> </w:t>
      </w:r>
      <w:r w:rsidRPr="00436AF7">
        <w:t>renseignements au titre du suivi</w:t>
      </w:r>
      <w:r w:rsidRPr="005A665E">
        <w:rPr>
          <w:lang w:val="fr-FR"/>
        </w:rPr>
        <w:t xml:space="preserve"> le 13 mai 2017. </w:t>
      </w:r>
    </w:p>
  </w:footnote>
  <w:footnote w:id="11">
    <w:p w:rsidR="00390349" w:rsidRDefault="00390349" w:rsidP="00B9362A">
      <w:pPr>
        <w:pStyle w:val="Notedebasdepage"/>
      </w:pPr>
      <w:r w:rsidRPr="005A665E">
        <w:rPr>
          <w:lang w:val="fr-FR"/>
        </w:rPr>
        <w:tab/>
      </w:r>
      <w:r>
        <w:rPr>
          <w:rStyle w:val="Appelnotedebasdep"/>
        </w:rPr>
        <w:footnoteRef/>
      </w:r>
      <w:r>
        <w:tab/>
      </w:r>
      <w:r w:rsidRPr="0006448F">
        <w:t>Ces documents peuvent également être consultés sur la page Web consacrée au suivi.</w:t>
      </w:r>
    </w:p>
  </w:footnote>
  <w:footnote w:id="12">
    <w:p w:rsidR="00390349" w:rsidRDefault="00390349" w:rsidP="00B9362A">
      <w:pPr>
        <w:pStyle w:val="Notedebasdepage"/>
      </w:pPr>
      <w:r>
        <w:tab/>
      </w:r>
      <w:r>
        <w:rPr>
          <w:rStyle w:val="Appelnotedebasdep"/>
        </w:rPr>
        <w:footnoteRef/>
      </w:r>
      <w:r>
        <w:tab/>
      </w:r>
      <w:r w:rsidRPr="006D0FB4">
        <w:t>À des fins statistiques, les requêtes concernant la République fédérative de Yougoslavie examinées par le Comité ainsi que celles concernant la Serbie</w:t>
      </w:r>
      <w:r>
        <w:noBreakHyphen/>
      </w:r>
      <w:r w:rsidRPr="006D0FB4">
        <w:t>et</w:t>
      </w:r>
      <w:r>
        <w:noBreakHyphen/>
      </w:r>
      <w:r w:rsidRPr="006D0FB4">
        <w:t>Monténégro sont attribuées à la Serbie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6D5DD3" w:rsidRDefault="00390349" w:rsidP="006D5DD3">
    <w:pPr>
      <w:pStyle w:val="En-tte"/>
      <w:jc w:val="right"/>
      <w:rPr>
        <w:lang w:val="es-ES"/>
      </w:rPr>
    </w:pPr>
    <w:r>
      <w:rPr>
        <w:lang w:val="es-ES"/>
      </w:rPr>
      <w:t>A/72/44</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6D2517" w:rsidRDefault="00390349" w:rsidP="006D2517">
    <w:pPr>
      <w:pStyle w:val="En-tte"/>
      <w:jc w:val="right"/>
    </w:pPr>
    <w:r w:rsidRPr="006D2517">
      <w:t>A/72/44</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6D5DD3" w:rsidRDefault="00390349" w:rsidP="006D5DD3">
    <w:pPr>
      <w:pStyle w:val="En-tte"/>
      <w:rPr>
        <w:lang w:val="es-ES"/>
      </w:rPr>
    </w:pPr>
    <w:r>
      <w:rPr>
        <w:lang w:val="es-ES"/>
      </w:rPr>
      <w:t>A/72/44</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6D2517" w:rsidRDefault="00390349" w:rsidP="006D2517">
    <w:pPr>
      <w:pStyle w:val="En-tte"/>
      <w:jc w:val="right"/>
    </w:pPr>
    <w:r w:rsidRPr="006D2517">
      <w:t>A/72/44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Default="00390349" w:rsidP="006D5DD3">
    <w:pPr>
      <w:pStyle w:val="En-tt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Default="00390349" w:rsidP="006D5DD3">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6D5DD3" w:rsidRDefault="00390349" w:rsidP="006D5DD3">
    <w:pPr>
      <w:pStyle w:val="En-tte"/>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Default="00390349" w:rsidP="00E37E2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A87EFE" w:rsidRDefault="00390349" w:rsidP="00A87EFE">
    <w:pPr>
      <w:pStyle w:val="En-tte"/>
      <w:jc w:val="right"/>
    </w:pPr>
    <w:r w:rsidRPr="00A87EFE">
      <w:t>A/72/44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6D5DD3" w:rsidRDefault="00390349" w:rsidP="006D5DD3">
    <w:pPr>
      <w:pStyle w:val="En-tte"/>
      <w:jc w:val="right"/>
      <w:rPr>
        <w:lang w:val="es-ES"/>
      </w:rPr>
    </w:pPr>
    <w:r>
      <w:rPr>
        <w:lang w:val="es-ES"/>
      </w:rPr>
      <w:t>A/72/44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6D2517" w:rsidRDefault="00390349" w:rsidP="006D2517">
    <w:pPr>
      <w:pStyle w:val="En-tte"/>
      <w:jc w:val="right"/>
    </w:pPr>
    <w:r w:rsidRPr="006D2517">
      <w:t>A/72/44</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49" w:rsidRPr="006D5DD3" w:rsidRDefault="00390349" w:rsidP="006D5DD3">
    <w:pPr>
      <w:pStyle w:val="En-tte"/>
      <w:rPr>
        <w:lang w:val="es-ES"/>
      </w:rPr>
    </w:pPr>
    <w:r>
      <w:rPr>
        <w:lang w:val="es-ES"/>
      </w:rPr>
      <w:t>A/72/44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99"/>
    <w:rsid w:val="000067A6"/>
    <w:rsid w:val="0001470D"/>
    <w:rsid w:val="00016165"/>
    <w:rsid w:val="00016AC5"/>
    <w:rsid w:val="00021907"/>
    <w:rsid w:val="000233A5"/>
    <w:rsid w:val="0002445D"/>
    <w:rsid w:val="00024C50"/>
    <w:rsid w:val="00025E92"/>
    <w:rsid w:val="000276A3"/>
    <w:rsid w:val="00031C3D"/>
    <w:rsid w:val="00032060"/>
    <w:rsid w:val="00040539"/>
    <w:rsid w:val="00040598"/>
    <w:rsid w:val="00047F10"/>
    <w:rsid w:val="00052157"/>
    <w:rsid w:val="0005346D"/>
    <w:rsid w:val="00055FE4"/>
    <w:rsid w:val="000641CE"/>
    <w:rsid w:val="00067310"/>
    <w:rsid w:val="00076204"/>
    <w:rsid w:val="00077E35"/>
    <w:rsid w:val="0008669E"/>
    <w:rsid w:val="00090599"/>
    <w:rsid w:val="00096270"/>
    <w:rsid w:val="000A1501"/>
    <w:rsid w:val="000A2494"/>
    <w:rsid w:val="000A6B7E"/>
    <w:rsid w:val="000C5CDD"/>
    <w:rsid w:val="000C6CDB"/>
    <w:rsid w:val="000D0AF3"/>
    <w:rsid w:val="000D5C25"/>
    <w:rsid w:val="000E4F06"/>
    <w:rsid w:val="000E5601"/>
    <w:rsid w:val="000F41F2"/>
    <w:rsid w:val="0010373B"/>
    <w:rsid w:val="001074F2"/>
    <w:rsid w:val="001130EA"/>
    <w:rsid w:val="00113472"/>
    <w:rsid w:val="00125446"/>
    <w:rsid w:val="0012686F"/>
    <w:rsid w:val="00126DCC"/>
    <w:rsid w:val="001358D9"/>
    <w:rsid w:val="00141E26"/>
    <w:rsid w:val="00142052"/>
    <w:rsid w:val="00143EB9"/>
    <w:rsid w:val="00145051"/>
    <w:rsid w:val="0015389C"/>
    <w:rsid w:val="00160540"/>
    <w:rsid w:val="00166C68"/>
    <w:rsid w:val="00174814"/>
    <w:rsid w:val="00181A90"/>
    <w:rsid w:val="00190D5D"/>
    <w:rsid w:val="00192660"/>
    <w:rsid w:val="00192EEB"/>
    <w:rsid w:val="00194484"/>
    <w:rsid w:val="0019559B"/>
    <w:rsid w:val="001A2040"/>
    <w:rsid w:val="001A20FB"/>
    <w:rsid w:val="001A376F"/>
    <w:rsid w:val="001B09BB"/>
    <w:rsid w:val="001B12E2"/>
    <w:rsid w:val="001C3D8D"/>
    <w:rsid w:val="001C6497"/>
    <w:rsid w:val="001D12EC"/>
    <w:rsid w:val="001D7F8A"/>
    <w:rsid w:val="001E0447"/>
    <w:rsid w:val="001E1495"/>
    <w:rsid w:val="001E34CB"/>
    <w:rsid w:val="001E3FEB"/>
    <w:rsid w:val="001E4541"/>
    <w:rsid w:val="001E4A02"/>
    <w:rsid w:val="001E4E3F"/>
    <w:rsid w:val="001E5979"/>
    <w:rsid w:val="001E653B"/>
    <w:rsid w:val="001E6DF0"/>
    <w:rsid w:val="001F3E68"/>
    <w:rsid w:val="001F4931"/>
    <w:rsid w:val="001F6DE4"/>
    <w:rsid w:val="001F6EA4"/>
    <w:rsid w:val="00200CBA"/>
    <w:rsid w:val="00204B66"/>
    <w:rsid w:val="002059CE"/>
    <w:rsid w:val="00206AD4"/>
    <w:rsid w:val="00210D1A"/>
    <w:rsid w:val="00215FF0"/>
    <w:rsid w:val="00224B8B"/>
    <w:rsid w:val="00225A8C"/>
    <w:rsid w:val="00231A7F"/>
    <w:rsid w:val="00242BBD"/>
    <w:rsid w:val="0024586F"/>
    <w:rsid w:val="00246BC8"/>
    <w:rsid w:val="00251F95"/>
    <w:rsid w:val="00252317"/>
    <w:rsid w:val="00252E31"/>
    <w:rsid w:val="002659F1"/>
    <w:rsid w:val="00270821"/>
    <w:rsid w:val="00270ECC"/>
    <w:rsid w:val="00271E41"/>
    <w:rsid w:val="002724B6"/>
    <w:rsid w:val="00284C19"/>
    <w:rsid w:val="00286E23"/>
    <w:rsid w:val="002876A1"/>
    <w:rsid w:val="00287CA6"/>
    <w:rsid w:val="00287E79"/>
    <w:rsid w:val="00290049"/>
    <w:rsid w:val="002928F9"/>
    <w:rsid w:val="00294D5B"/>
    <w:rsid w:val="002A2A2C"/>
    <w:rsid w:val="002A5D07"/>
    <w:rsid w:val="002B7470"/>
    <w:rsid w:val="002D25CA"/>
    <w:rsid w:val="002D3DA4"/>
    <w:rsid w:val="002D64CF"/>
    <w:rsid w:val="002E2F5C"/>
    <w:rsid w:val="002F0799"/>
    <w:rsid w:val="002F0C48"/>
    <w:rsid w:val="002F0C4E"/>
    <w:rsid w:val="002F1F9C"/>
    <w:rsid w:val="003016B7"/>
    <w:rsid w:val="00305BCD"/>
    <w:rsid w:val="0030754C"/>
    <w:rsid w:val="00317E54"/>
    <w:rsid w:val="00322DF1"/>
    <w:rsid w:val="00324EBF"/>
    <w:rsid w:val="0032556C"/>
    <w:rsid w:val="00330508"/>
    <w:rsid w:val="0033286A"/>
    <w:rsid w:val="00333130"/>
    <w:rsid w:val="0034168A"/>
    <w:rsid w:val="00346E32"/>
    <w:rsid w:val="003515AA"/>
    <w:rsid w:val="00363F31"/>
    <w:rsid w:val="00364F13"/>
    <w:rsid w:val="0036776C"/>
    <w:rsid w:val="00372A7A"/>
    <w:rsid w:val="00372D1D"/>
    <w:rsid w:val="00374106"/>
    <w:rsid w:val="0037679A"/>
    <w:rsid w:val="0038047C"/>
    <w:rsid w:val="00390349"/>
    <w:rsid w:val="00390EEF"/>
    <w:rsid w:val="00394410"/>
    <w:rsid w:val="003976D5"/>
    <w:rsid w:val="003B53B6"/>
    <w:rsid w:val="003D2359"/>
    <w:rsid w:val="003D3C77"/>
    <w:rsid w:val="003D6C68"/>
    <w:rsid w:val="003D77C7"/>
    <w:rsid w:val="003E01D0"/>
    <w:rsid w:val="003E49B9"/>
    <w:rsid w:val="003E5F12"/>
    <w:rsid w:val="003E6653"/>
    <w:rsid w:val="003E786C"/>
    <w:rsid w:val="003F2A89"/>
    <w:rsid w:val="003F4433"/>
    <w:rsid w:val="003F4A54"/>
    <w:rsid w:val="0040144C"/>
    <w:rsid w:val="004067AE"/>
    <w:rsid w:val="00410521"/>
    <w:rsid w:val="00413BB0"/>
    <w:rsid w:val="004159D0"/>
    <w:rsid w:val="00417326"/>
    <w:rsid w:val="00422499"/>
    <w:rsid w:val="004342E2"/>
    <w:rsid w:val="00434354"/>
    <w:rsid w:val="00440BC8"/>
    <w:rsid w:val="00454F8D"/>
    <w:rsid w:val="004567EB"/>
    <w:rsid w:val="004602FE"/>
    <w:rsid w:val="00460E72"/>
    <w:rsid w:val="00467412"/>
    <w:rsid w:val="00476265"/>
    <w:rsid w:val="00481132"/>
    <w:rsid w:val="00483E94"/>
    <w:rsid w:val="00490F56"/>
    <w:rsid w:val="00491F39"/>
    <w:rsid w:val="004A33A2"/>
    <w:rsid w:val="004A49A5"/>
    <w:rsid w:val="004A66A2"/>
    <w:rsid w:val="004B51CD"/>
    <w:rsid w:val="004C54C0"/>
    <w:rsid w:val="004C56B2"/>
    <w:rsid w:val="004D00B2"/>
    <w:rsid w:val="004E4963"/>
    <w:rsid w:val="004E6809"/>
    <w:rsid w:val="004E7F24"/>
    <w:rsid w:val="004F49A4"/>
    <w:rsid w:val="005111B1"/>
    <w:rsid w:val="0051457E"/>
    <w:rsid w:val="00516D6F"/>
    <w:rsid w:val="0051714B"/>
    <w:rsid w:val="00520F80"/>
    <w:rsid w:val="0052281C"/>
    <w:rsid w:val="005239FF"/>
    <w:rsid w:val="00523DB8"/>
    <w:rsid w:val="00533150"/>
    <w:rsid w:val="00541BE4"/>
    <w:rsid w:val="00543B57"/>
    <w:rsid w:val="00543C47"/>
    <w:rsid w:val="00543D5E"/>
    <w:rsid w:val="00550C89"/>
    <w:rsid w:val="00552260"/>
    <w:rsid w:val="00552777"/>
    <w:rsid w:val="00555494"/>
    <w:rsid w:val="00555CBA"/>
    <w:rsid w:val="005629D6"/>
    <w:rsid w:val="0056343A"/>
    <w:rsid w:val="00565B29"/>
    <w:rsid w:val="00567F8A"/>
    <w:rsid w:val="00571BC1"/>
    <w:rsid w:val="00571F41"/>
    <w:rsid w:val="00575476"/>
    <w:rsid w:val="00584373"/>
    <w:rsid w:val="00591DB3"/>
    <w:rsid w:val="005939ED"/>
    <w:rsid w:val="005947BC"/>
    <w:rsid w:val="00595632"/>
    <w:rsid w:val="00595E8A"/>
    <w:rsid w:val="005A0268"/>
    <w:rsid w:val="005A6014"/>
    <w:rsid w:val="005B473C"/>
    <w:rsid w:val="005C3929"/>
    <w:rsid w:val="005C549A"/>
    <w:rsid w:val="005D7719"/>
    <w:rsid w:val="005E00F5"/>
    <w:rsid w:val="005E1B9B"/>
    <w:rsid w:val="005E32D1"/>
    <w:rsid w:val="005E5D1F"/>
    <w:rsid w:val="0061113B"/>
    <w:rsid w:val="00611D43"/>
    <w:rsid w:val="00612D48"/>
    <w:rsid w:val="006131A9"/>
    <w:rsid w:val="00613A5E"/>
    <w:rsid w:val="00614FBD"/>
    <w:rsid w:val="00616B45"/>
    <w:rsid w:val="006241C6"/>
    <w:rsid w:val="00627593"/>
    <w:rsid w:val="00630D9B"/>
    <w:rsid w:val="00631953"/>
    <w:rsid w:val="0063208D"/>
    <w:rsid w:val="00643814"/>
    <w:rsid w:val="006439EC"/>
    <w:rsid w:val="0064506C"/>
    <w:rsid w:val="00645090"/>
    <w:rsid w:val="00647059"/>
    <w:rsid w:val="00647162"/>
    <w:rsid w:val="0065029A"/>
    <w:rsid w:val="00650770"/>
    <w:rsid w:val="00661667"/>
    <w:rsid w:val="00661E96"/>
    <w:rsid w:val="00665786"/>
    <w:rsid w:val="006719B0"/>
    <w:rsid w:val="00671C93"/>
    <w:rsid w:val="00671F00"/>
    <w:rsid w:val="006729C8"/>
    <w:rsid w:val="00674936"/>
    <w:rsid w:val="00675501"/>
    <w:rsid w:val="0068562A"/>
    <w:rsid w:val="006957F9"/>
    <w:rsid w:val="00697B7C"/>
    <w:rsid w:val="006A6B31"/>
    <w:rsid w:val="006A6C95"/>
    <w:rsid w:val="006A7B29"/>
    <w:rsid w:val="006B0EB2"/>
    <w:rsid w:val="006B0FF8"/>
    <w:rsid w:val="006B4590"/>
    <w:rsid w:val="006C340C"/>
    <w:rsid w:val="006D2517"/>
    <w:rsid w:val="006D5DD3"/>
    <w:rsid w:val="006E492F"/>
    <w:rsid w:val="006F1BDA"/>
    <w:rsid w:val="006F1D0B"/>
    <w:rsid w:val="006F27A8"/>
    <w:rsid w:val="006F3493"/>
    <w:rsid w:val="006F3544"/>
    <w:rsid w:val="006F5A52"/>
    <w:rsid w:val="00702F0F"/>
    <w:rsid w:val="0070347C"/>
    <w:rsid w:val="007102D2"/>
    <w:rsid w:val="007139ED"/>
    <w:rsid w:val="00714647"/>
    <w:rsid w:val="00714A66"/>
    <w:rsid w:val="007176C1"/>
    <w:rsid w:val="00720BC0"/>
    <w:rsid w:val="00720CA3"/>
    <w:rsid w:val="0072116B"/>
    <w:rsid w:val="00725063"/>
    <w:rsid w:val="00732E72"/>
    <w:rsid w:val="00741D90"/>
    <w:rsid w:val="0074280A"/>
    <w:rsid w:val="00746B15"/>
    <w:rsid w:val="00747EDC"/>
    <w:rsid w:val="007607B1"/>
    <w:rsid w:val="00765296"/>
    <w:rsid w:val="00766D28"/>
    <w:rsid w:val="007723C2"/>
    <w:rsid w:val="007815B9"/>
    <w:rsid w:val="00785F1F"/>
    <w:rsid w:val="00786702"/>
    <w:rsid w:val="00790B9D"/>
    <w:rsid w:val="00796316"/>
    <w:rsid w:val="007A1C58"/>
    <w:rsid w:val="007A20D2"/>
    <w:rsid w:val="007A79CD"/>
    <w:rsid w:val="007D2668"/>
    <w:rsid w:val="007D3119"/>
    <w:rsid w:val="007D7D16"/>
    <w:rsid w:val="007F1867"/>
    <w:rsid w:val="007F1EC4"/>
    <w:rsid w:val="007F3E3F"/>
    <w:rsid w:val="007F55CB"/>
    <w:rsid w:val="007F6597"/>
    <w:rsid w:val="007F768E"/>
    <w:rsid w:val="008021D4"/>
    <w:rsid w:val="00805922"/>
    <w:rsid w:val="00813E58"/>
    <w:rsid w:val="008149F9"/>
    <w:rsid w:val="008245B7"/>
    <w:rsid w:val="00825B8D"/>
    <w:rsid w:val="0082755E"/>
    <w:rsid w:val="00831A18"/>
    <w:rsid w:val="0083726C"/>
    <w:rsid w:val="00837345"/>
    <w:rsid w:val="00844750"/>
    <w:rsid w:val="00851222"/>
    <w:rsid w:val="00851A74"/>
    <w:rsid w:val="00853AB8"/>
    <w:rsid w:val="00854C34"/>
    <w:rsid w:val="0085586A"/>
    <w:rsid w:val="00864928"/>
    <w:rsid w:val="00893814"/>
    <w:rsid w:val="00895DE5"/>
    <w:rsid w:val="008A0FA8"/>
    <w:rsid w:val="008A1EC0"/>
    <w:rsid w:val="008A4007"/>
    <w:rsid w:val="008B44C4"/>
    <w:rsid w:val="008B6DFA"/>
    <w:rsid w:val="008C322B"/>
    <w:rsid w:val="008C4B74"/>
    <w:rsid w:val="008D1156"/>
    <w:rsid w:val="008D59DB"/>
    <w:rsid w:val="008E0319"/>
    <w:rsid w:val="008E24E7"/>
    <w:rsid w:val="008E4DE2"/>
    <w:rsid w:val="008E7CE2"/>
    <w:rsid w:val="008E7FAE"/>
    <w:rsid w:val="00911BF7"/>
    <w:rsid w:val="0091594A"/>
    <w:rsid w:val="009230F1"/>
    <w:rsid w:val="00935490"/>
    <w:rsid w:val="009418DE"/>
    <w:rsid w:val="009516B7"/>
    <w:rsid w:val="0095776B"/>
    <w:rsid w:val="00957CE5"/>
    <w:rsid w:val="009624E2"/>
    <w:rsid w:val="00977EC8"/>
    <w:rsid w:val="00983432"/>
    <w:rsid w:val="00993CE3"/>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12A2"/>
    <w:rsid w:val="00A236CA"/>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87EFE"/>
    <w:rsid w:val="00A9247E"/>
    <w:rsid w:val="00AA7796"/>
    <w:rsid w:val="00AB1296"/>
    <w:rsid w:val="00AB3664"/>
    <w:rsid w:val="00AB6C3B"/>
    <w:rsid w:val="00AC1572"/>
    <w:rsid w:val="00AC67A1"/>
    <w:rsid w:val="00AC7977"/>
    <w:rsid w:val="00AC7E56"/>
    <w:rsid w:val="00AD2007"/>
    <w:rsid w:val="00AD467F"/>
    <w:rsid w:val="00AE2617"/>
    <w:rsid w:val="00AE352C"/>
    <w:rsid w:val="00AE79AC"/>
    <w:rsid w:val="00B01AAD"/>
    <w:rsid w:val="00B101DB"/>
    <w:rsid w:val="00B10DD9"/>
    <w:rsid w:val="00B200B4"/>
    <w:rsid w:val="00B21751"/>
    <w:rsid w:val="00B230DC"/>
    <w:rsid w:val="00B256F0"/>
    <w:rsid w:val="00B31D7D"/>
    <w:rsid w:val="00B32E2D"/>
    <w:rsid w:val="00B33DE5"/>
    <w:rsid w:val="00B43741"/>
    <w:rsid w:val="00B45642"/>
    <w:rsid w:val="00B52F29"/>
    <w:rsid w:val="00B5388D"/>
    <w:rsid w:val="00B61990"/>
    <w:rsid w:val="00B6249B"/>
    <w:rsid w:val="00B67ACB"/>
    <w:rsid w:val="00B70CCD"/>
    <w:rsid w:val="00B7180A"/>
    <w:rsid w:val="00B75E66"/>
    <w:rsid w:val="00B773BF"/>
    <w:rsid w:val="00B9362A"/>
    <w:rsid w:val="00B93C7D"/>
    <w:rsid w:val="00B97A07"/>
    <w:rsid w:val="00BA0A9B"/>
    <w:rsid w:val="00BA3D70"/>
    <w:rsid w:val="00BC3F20"/>
    <w:rsid w:val="00BC447A"/>
    <w:rsid w:val="00BC68A7"/>
    <w:rsid w:val="00BD03A2"/>
    <w:rsid w:val="00BD28B2"/>
    <w:rsid w:val="00BD4C28"/>
    <w:rsid w:val="00BD5A8D"/>
    <w:rsid w:val="00BD7343"/>
    <w:rsid w:val="00BF0556"/>
    <w:rsid w:val="00BF2733"/>
    <w:rsid w:val="00BF37EE"/>
    <w:rsid w:val="00C024A1"/>
    <w:rsid w:val="00C02C42"/>
    <w:rsid w:val="00C10FB1"/>
    <w:rsid w:val="00C11282"/>
    <w:rsid w:val="00C12CA3"/>
    <w:rsid w:val="00C14108"/>
    <w:rsid w:val="00C261F8"/>
    <w:rsid w:val="00C27662"/>
    <w:rsid w:val="00C27893"/>
    <w:rsid w:val="00C33100"/>
    <w:rsid w:val="00C451B9"/>
    <w:rsid w:val="00C467A6"/>
    <w:rsid w:val="00C51D9C"/>
    <w:rsid w:val="00C54DA4"/>
    <w:rsid w:val="00C55118"/>
    <w:rsid w:val="00C577D1"/>
    <w:rsid w:val="00C57A2D"/>
    <w:rsid w:val="00C6018C"/>
    <w:rsid w:val="00C668D6"/>
    <w:rsid w:val="00C67D23"/>
    <w:rsid w:val="00C71827"/>
    <w:rsid w:val="00C825E5"/>
    <w:rsid w:val="00C8389F"/>
    <w:rsid w:val="00C95EB8"/>
    <w:rsid w:val="00CA784F"/>
    <w:rsid w:val="00CB02C5"/>
    <w:rsid w:val="00CB2B17"/>
    <w:rsid w:val="00CB39CD"/>
    <w:rsid w:val="00CC7CE6"/>
    <w:rsid w:val="00CD044C"/>
    <w:rsid w:val="00CD1A71"/>
    <w:rsid w:val="00CD1FBB"/>
    <w:rsid w:val="00CD33A4"/>
    <w:rsid w:val="00CE033D"/>
    <w:rsid w:val="00CE08E5"/>
    <w:rsid w:val="00CE74F1"/>
    <w:rsid w:val="00CF7E90"/>
    <w:rsid w:val="00D016B5"/>
    <w:rsid w:val="00D034F1"/>
    <w:rsid w:val="00D14F42"/>
    <w:rsid w:val="00D171D4"/>
    <w:rsid w:val="00D26F76"/>
    <w:rsid w:val="00D27D5E"/>
    <w:rsid w:val="00D32B08"/>
    <w:rsid w:val="00D407D1"/>
    <w:rsid w:val="00D43E5F"/>
    <w:rsid w:val="00D51CE6"/>
    <w:rsid w:val="00D52057"/>
    <w:rsid w:val="00D639BD"/>
    <w:rsid w:val="00D651E4"/>
    <w:rsid w:val="00D65777"/>
    <w:rsid w:val="00D66E0D"/>
    <w:rsid w:val="00D7425A"/>
    <w:rsid w:val="00D74F7E"/>
    <w:rsid w:val="00D75991"/>
    <w:rsid w:val="00D7695F"/>
    <w:rsid w:val="00D83B6C"/>
    <w:rsid w:val="00D9039B"/>
    <w:rsid w:val="00D93582"/>
    <w:rsid w:val="00D9682E"/>
    <w:rsid w:val="00DA41A2"/>
    <w:rsid w:val="00DA43A1"/>
    <w:rsid w:val="00DA5E1D"/>
    <w:rsid w:val="00DC4F43"/>
    <w:rsid w:val="00DE4B74"/>
    <w:rsid w:val="00DE6D90"/>
    <w:rsid w:val="00DF002F"/>
    <w:rsid w:val="00DF128E"/>
    <w:rsid w:val="00DF4A1B"/>
    <w:rsid w:val="00DF4D0D"/>
    <w:rsid w:val="00E0244D"/>
    <w:rsid w:val="00E026DF"/>
    <w:rsid w:val="00E02F48"/>
    <w:rsid w:val="00E03712"/>
    <w:rsid w:val="00E06B3F"/>
    <w:rsid w:val="00E10A73"/>
    <w:rsid w:val="00E133A9"/>
    <w:rsid w:val="00E14F27"/>
    <w:rsid w:val="00E171D2"/>
    <w:rsid w:val="00E204E6"/>
    <w:rsid w:val="00E25023"/>
    <w:rsid w:val="00E25534"/>
    <w:rsid w:val="00E26EF3"/>
    <w:rsid w:val="00E319B6"/>
    <w:rsid w:val="00E32145"/>
    <w:rsid w:val="00E32F5A"/>
    <w:rsid w:val="00E37E21"/>
    <w:rsid w:val="00E510F3"/>
    <w:rsid w:val="00E60012"/>
    <w:rsid w:val="00E62CFF"/>
    <w:rsid w:val="00E660F2"/>
    <w:rsid w:val="00E665EE"/>
    <w:rsid w:val="00E6687D"/>
    <w:rsid w:val="00E679AE"/>
    <w:rsid w:val="00E71570"/>
    <w:rsid w:val="00E73B13"/>
    <w:rsid w:val="00E75C58"/>
    <w:rsid w:val="00E76819"/>
    <w:rsid w:val="00E81E94"/>
    <w:rsid w:val="00E82607"/>
    <w:rsid w:val="00E84A82"/>
    <w:rsid w:val="00E85025"/>
    <w:rsid w:val="00E91AC7"/>
    <w:rsid w:val="00E9483E"/>
    <w:rsid w:val="00E96710"/>
    <w:rsid w:val="00EA3B1D"/>
    <w:rsid w:val="00EB77B9"/>
    <w:rsid w:val="00EB7D07"/>
    <w:rsid w:val="00EC3402"/>
    <w:rsid w:val="00ED3A26"/>
    <w:rsid w:val="00ED7E0E"/>
    <w:rsid w:val="00EF33E0"/>
    <w:rsid w:val="00EF70BB"/>
    <w:rsid w:val="00EF7D1D"/>
    <w:rsid w:val="00F013B7"/>
    <w:rsid w:val="00F02FA9"/>
    <w:rsid w:val="00F0561D"/>
    <w:rsid w:val="00F06660"/>
    <w:rsid w:val="00F115C8"/>
    <w:rsid w:val="00F116EB"/>
    <w:rsid w:val="00F1794E"/>
    <w:rsid w:val="00F17DC0"/>
    <w:rsid w:val="00F211AF"/>
    <w:rsid w:val="00F25EC3"/>
    <w:rsid w:val="00F25F04"/>
    <w:rsid w:val="00F32ADB"/>
    <w:rsid w:val="00F32C98"/>
    <w:rsid w:val="00F33266"/>
    <w:rsid w:val="00F37E12"/>
    <w:rsid w:val="00F424BD"/>
    <w:rsid w:val="00F515AD"/>
    <w:rsid w:val="00F53D6A"/>
    <w:rsid w:val="00F57DD7"/>
    <w:rsid w:val="00F636AD"/>
    <w:rsid w:val="00F734D9"/>
    <w:rsid w:val="00F73F83"/>
    <w:rsid w:val="00F74902"/>
    <w:rsid w:val="00F85A4E"/>
    <w:rsid w:val="00F9353A"/>
    <w:rsid w:val="00F94EBB"/>
    <w:rsid w:val="00F965C2"/>
    <w:rsid w:val="00FA1D61"/>
    <w:rsid w:val="00FA27D4"/>
    <w:rsid w:val="00FA5A79"/>
    <w:rsid w:val="00FB0BFE"/>
    <w:rsid w:val="00FB1C8F"/>
    <w:rsid w:val="00FB4300"/>
    <w:rsid w:val="00FB4389"/>
    <w:rsid w:val="00FB4C51"/>
    <w:rsid w:val="00FB6B90"/>
    <w:rsid w:val="00FB734D"/>
    <w:rsid w:val="00FC21B2"/>
    <w:rsid w:val="00FD02A2"/>
    <w:rsid w:val="00FD5E64"/>
    <w:rsid w:val="00FD7985"/>
    <w:rsid w:val="00FE10E7"/>
    <w:rsid w:val="00FE3150"/>
    <w:rsid w:val="00FE6526"/>
    <w:rsid w:val="00FF1DBD"/>
    <w:rsid w:val="00FF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D15BA06"/>
  <w15:docId w15:val="{384F30F2-9B30-4A9A-B605-A72874A1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semiHidden="1" w:uiPriority="99" w:qFormat="1"/>
    <w:lsdException w:name="Emphasis" w:semiHidden="1"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A6"/>
    <w:pPr>
      <w:suppressAutoHyphens/>
      <w:spacing w:line="240" w:lineRule="atLeast"/>
    </w:pPr>
    <w:rPr>
      <w:lang w:val="fr-CH" w:eastAsia="en-US"/>
    </w:rPr>
  </w:style>
  <w:style w:type="paragraph" w:styleId="Titre1">
    <w:name w:val="heading 1"/>
    <w:aliases w:val="Table_G"/>
    <w:basedOn w:val="SingleTxtG"/>
    <w:next w:val="SingleTxtG"/>
    <w:qFormat/>
    <w:rsid w:val="00126DCC"/>
    <w:pPr>
      <w:keepNext/>
      <w:keepLines/>
      <w:spacing w:after="0" w:line="240" w:lineRule="auto"/>
      <w:ind w:right="0"/>
      <w:jc w:val="left"/>
      <w:outlineLvl w:val="0"/>
    </w:pPr>
  </w:style>
  <w:style w:type="paragraph" w:styleId="Titre2">
    <w:name w:val="heading 2"/>
    <w:basedOn w:val="Normal"/>
    <w:next w:val="Normal"/>
    <w:uiPriority w:val="99"/>
    <w:semiHidden/>
    <w:qFormat/>
    <w:rsid w:val="00126DCC"/>
    <w:pPr>
      <w:outlineLvl w:val="1"/>
    </w:pPr>
  </w:style>
  <w:style w:type="paragraph" w:styleId="Titre3">
    <w:name w:val="heading 3"/>
    <w:basedOn w:val="Normal"/>
    <w:next w:val="Normal"/>
    <w:uiPriority w:val="99"/>
    <w:semiHidden/>
    <w:qFormat/>
    <w:rsid w:val="00126DCC"/>
    <w:pPr>
      <w:outlineLvl w:val="2"/>
    </w:pPr>
  </w:style>
  <w:style w:type="paragraph" w:styleId="Titre4">
    <w:name w:val="heading 4"/>
    <w:basedOn w:val="Normal"/>
    <w:next w:val="Normal"/>
    <w:uiPriority w:val="99"/>
    <w:semiHidden/>
    <w:qFormat/>
    <w:rsid w:val="00126DCC"/>
    <w:pPr>
      <w:outlineLvl w:val="3"/>
    </w:pPr>
  </w:style>
  <w:style w:type="paragraph" w:styleId="Titre5">
    <w:name w:val="heading 5"/>
    <w:basedOn w:val="Normal"/>
    <w:next w:val="Normal"/>
    <w:uiPriority w:val="99"/>
    <w:semiHidden/>
    <w:qFormat/>
    <w:rsid w:val="00126DCC"/>
    <w:pPr>
      <w:outlineLvl w:val="4"/>
    </w:pPr>
  </w:style>
  <w:style w:type="paragraph" w:styleId="Titre6">
    <w:name w:val="heading 6"/>
    <w:basedOn w:val="Normal"/>
    <w:next w:val="Normal"/>
    <w:uiPriority w:val="99"/>
    <w:semiHidden/>
    <w:qFormat/>
    <w:rsid w:val="00126DCC"/>
    <w:pPr>
      <w:outlineLvl w:val="5"/>
    </w:pPr>
  </w:style>
  <w:style w:type="paragraph" w:styleId="Titre7">
    <w:name w:val="heading 7"/>
    <w:basedOn w:val="Normal"/>
    <w:next w:val="Normal"/>
    <w:uiPriority w:val="99"/>
    <w:semiHidden/>
    <w:qFormat/>
    <w:rsid w:val="00126DCC"/>
    <w:pPr>
      <w:outlineLvl w:val="6"/>
    </w:pPr>
  </w:style>
  <w:style w:type="paragraph" w:styleId="Titre8">
    <w:name w:val="heading 8"/>
    <w:basedOn w:val="Normal"/>
    <w:next w:val="Normal"/>
    <w:uiPriority w:val="99"/>
    <w:semiHidden/>
    <w:qFormat/>
    <w:rsid w:val="00126DCC"/>
    <w:pPr>
      <w:outlineLvl w:val="7"/>
    </w:pPr>
  </w:style>
  <w:style w:type="paragraph" w:styleId="Titre9">
    <w:name w:val="heading 9"/>
    <w:basedOn w:val="Normal"/>
    <w:next w:val="Normal"/>
    <w:uiPriority w:val="99"/>
    <w:semiHidden/>
    <w:qFormat/>
    <w:rsid w:val="00126DC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rsid w:val="00126DCC"/>
    <w:pPr>
      <w:spacing w:after="120"/>
      <w:ind w:left="1134" w:right="1134"/>
      <w:jc w:val="both"/>
    </w:pPr>
  </w:style>
  <w:style w:type="paragraph" w:styleId="Notedefin">
    <w:name w:val="endnote text"/>
    <w:aliases w:val="2_G"/>
    <w:basedOn w:val="Notedebasdepage"/>
    <w:rsid w:val="00126DCC"/>
  </w:style>
  <w:style w:type="paragraph" w:styleId="Notedebasdepage">
    <w:name w:val="footnote text"/>
    <w:aliases w:val="5_G"/>
    <w:basedOn w:val="Normal"/>
    <w:rsid w:val="00126DCC"/>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126DCC"/>
    <w:pPr>
      <w:spacing w:line="240" w:lineRule="auto"/>
    </w:pPr>
    <w:rPr>
      <w:sz w:val="16"/>
    </w:rPr>
  </w:style>
  <w:style w:type="character" w:styleId="Appeldenotedefin">
    <w:name w:val="endnote reference"/>
    <w:aliases w:val="1_G"/>
    <w:basedOn w:val="Appelnotedebasdep"/>
    <w:rsid w:val="00126DCC"/>
    <w:rPr>
      <w:rFonts w:ascii="Times New Roman" w:hAnsi="Times New Roman"/>
      <w:sz w:val="18"/>
      <w:vertAlign w:val="superscript"/>
      <w:lang w:val="fr-CH"/>
    </w:rPr>
  </w:style>
  <w:style w:type="character" w:styleId="Appelnotedebasdep">
    <w:name w:val="footnote reference"/>
    <w:aliases w:val="4_G,Footnotes refss,Footnote symbol,RSC_WP (footnote reference),Fus note,referencia nota al pie,Texto de nota al pie,Appel note de bas de page,Ref. de nota al pie2,Footnote number,BVI fnr,Footnote,Nota de pie"/>
    <w:basedOn w:val="Policepardfaut"/>
    <w:qFormat/>
    <w:rsid w:val="00126DCC"/>
    <w:rPr>
      <w:rFonts w:ascii="Times New Roman" w:hAnsi="Times New Roman"/>
      <w:sz w:val="18"/>
      <w:vertAlign w:val="superscript"/>
      <w:lang w:val="fr-CH"/>
    </w:rPr>
  </w:style>
  <w:style w:type="character" w:styleId="Numrodepage">
    <w:name w:val="page number"/>
    <w:aliases w:val="7_G"/>
    <w:basedOn w:val="Policepardfaut"/>
    <w:qFormat/>
    <w:rsid w:val="00126DCC"/>
    <w:rPr>
      <w:rFonts w:ascii="Times New Roman" w:hAnsi="Times New Roman"/>
      <w:b/>
      <w:sz w:val="18"/>
      <w:lang w:val="fr-CH"/>
    </w:rPr>
  </w:style>
  <w:style w:type="paragraph" w:styleId="En-tte">
    <w:name w:val="header"/>
    <w:aliases w:val="6_G"/>
    <w:basedOn w:val="Normal"/>
    <w:next w:val="Normal"/>
    <w:link w:val="En-tteCar"/>
    <w:qFormat/>
    <w:rsid w:val="00126DCC"/>
    <w:pPr>
      <w:pBdr>
        <w:bottom w:val="single" w:sz="4" w:space="4" w:color="auto"/>
      </w:pBdr>
      <w:spacing w:line="240" w:lineRule="auto"/>
    </w:pPr>
    <w:rPr>
      <w:b/>
      <w:sz w:val="18"/>
    </w:rPr>
  </w:style>
  <w:style w:type="paragraph" w:customStyle="1" w:styleId="H1G">
    <w:name w:val="_ H_1_G"/>
    <w:basedOn w:val="Normal"/>
    <w:next w:val="Normal"/>
    <w:rsid w:val="00126DCC"/>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126DCC"/>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126DCC"/>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126DC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26DC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26DCC"/>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26DCC"/>
    <w:pPr>
      <w:keepNext/>
      <w:keepLines/>
      <w:spacing w:before="240" w:after="240" w:line="420" w:lineRule="exact"/>
      <w:ind w:left="1134" w:right="1134"/>
    </w:pPr>
    <w:rPr>
      <w:b/>
      <w:sz w:val="40"/>
    </w:rPr>
  </w:style>
  <w:style w:type="paragraph" w:customStyle="1" w:styleId="SLG">
    <w:name w:val="__S_L_G"/>
    <w:basedOn w:val="Normal"/>
    <w:next w:val="Normal"/>
    <w:rsid w:val="00126DCC"/>
    <w:pPr>
      <w:keepNext/>
      <w:keepLines/>
      <w:spacing w:before="240" w:after="240" w:line="580" w:lineRule="exact"/>
      <w:ind w:left="1134" w:right="1134"/>
    </w:pPr>
    <w:rPr>
      <w:b/>
      <w:sz w:val="56"/>
    </w:rPr>
  </w:style>
  <w:style w:type="paragraph" w:customStyle="1" w:styleId="SSG">
    <w:name w:val="__S_S_G"/>
    <w:basedOn w:val="Normal"/>
    <w:next w:val="Normal"/>
    <w:rsid w:val="00126DCC"/>
    <w:pPr>
      <w:keepNext/>
      <w:keepLines/>
      <w:spacing w:before="240" w:after="240" w:line="300" w:lineRule="exact"/>
      <w:ind w:left="1134" w:right="1134"/>
    </w:pPr>
    <w:rPr>
      <w:b/>
      <w:sz w:val="28"/>
    </w:rPr>
  </w:style>
  <w:style w:type="paragraph" w:customStyle="1" w:styleId="XLargeG">
    <w:name w:val="__XLarge_G"/>
    <w:basedOn w:val="Normal"/>
    <w:next w:val="Normal"/>
    <w:rsid w:val="00126DCC"/>
    <w:pPr>
      <w:keepNext/>
      <w:keepLines/>
      <w:spacing w:before="240" w:after="240" w:line="420" w:lineRule="exact"/>
      <w:ind w:left="1134" w:right="1134"/>
    </w:pPr>
    <w:rPr>
      <w:b/>
      <w:sz w:val="40"/>
    </w:rPr>
  </w:style>
  <w:style w:type="paragraph" w:customStyle="1" w:styleId="Bullet1G">
    <w:name w:val="_Bullet 1_G"/>
    <w:basedOn w:val="Normal"/>
    <w:rsid w:val="00126DCC"/>
    <w:pPr>
      <w:numPr>
        <w:numId w:val="1"/>
      </w:numPr>
      <w:spacing w:after="120"/>
      <w:ind w:right="1134"/>
      <w:jc w:val="both"/>
    </w:pPr>
  </w:style>
  <w:style w:type="paragraph" w:customStyle="1" w:styleId="Bullet2G">
    <w:name w:val="_Bullet 2_G"/>
    <w:basedOn w:val="Normal"/>
    <w:rsid w:val="00126DCC"/>
    <w:pPr>
      <w:numPr>
        <w:numId w:val="2"/>
      </w:numPr>
      <w:spacing w:after="120"/>
      <w:ind w:right="1134"/>
      <w:jc w:val="both"/>
    </w:pPr>
  </w:style>
  <w:style w:type="table" w:styleId="Grilledutableau">
    <w:name w:val="Table Grid"/>
    <w:basedOn w:val="TableauNormal"/>
    <w:rsid w:val="00126DC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basedOn w:val="Policepardfaut"/>
    <w:link w:val="SingleTxtG"/>
    <w:rsid w:val="00541BE4"/>
    <w:rPr>
      <w:lang w:val="fr-CH" w:eastAsia="en-US" w:bidi="ar-SA"/>
    </w:rPr>
  </w:style>
  <w:style w:type="character" w:styleId="Lienhypertexte">
    <w:name w:val="Hyperlink"/>
    <w:basedOn w:val="Policepardfaut"/>
    <w:semiHidden/>
    <w:rsid w:val="00126DCC"/>
    <w:rPr>
      <w:color w:val="0000FF"/>
      <w:u w:val="none"/>
    </w:rPr>
  </w:style>
  <w:style w:type="character" w:styleId="Lienhypertextesuivivisit">
    <w:name w:val="FollowedHyperlink"/>
    <w:basedOn w:val="Policepardfaut"/>
    <w:semiHidden/>
    <w:rsid w:val="00126DCC"/>
    <w:rPr>
      <w:color w:val="0000FF"/>
      <w:u w:val="none"/>
    </w:rPr>
  </w:style>
  <w:style w:type="paragraph" w:customStyle="1" w:styleId="ParNoG">
    <w:name w:val="_ParNo_G"/>
    <w:basedOn w:val="SingleTxtG"/>
    <w:rsid w:val="00126DCC"/>
    <w:pPr>
      <w:numPr>
        <w:numId w:val="3"/>
      </w:numPr>
    </w:pPr>
  </w:style>
  <w:style w:type="paragraph" w:styleId="Textedebulles">
    <w:name w:val="Balloon Text"/>
    <w:basedOn w:val="Normal"/>
    <w:link w:val="TextedebullesCar"/>
    <w:uiPriority w:val="99"/>
    <w:semiHidden/>
    <w:rsid w:val="00550C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7A6"/>
    <w:rPr>
      <w:rFonts w:ascii="Tahoma" w:hAnsi="Tahoma" w:cs="Tahoma"/>
      <w:sz w:val="16"/>
      <w:szCs w:val="16"/>
      <w:lang w:val="fr-CH" w:eastAsia="en-US"/>
    </w:rPr>
  </w:style>
  <w:style w:type="character" w:customStyle="1" w:styleId="En-tteCar">
    <w:name w:val="En-tête Car"/>
    <w:aliases w:val="6_G Car"/>
    <w:basedOn w:val="Policepardfaut"/>
    <w:link w:val="En-tte"/>
    <w:locked/>
    <w:rsid w:val="00A87EFE"/>
    <w:rPr>
      <w:b/>
      <w:sz w:val="18"/>
      <w:lang w:val="fr-CH" w:eastAsia="en-US"/>
    </w:rPr>
  </w:style>
  <w:style w:type="character" w:customStyle="1" w:styleId="PieddepageCar">
    <w:name w:val="Pied de page Car"/>
    <w:aliases w:val="3_G Car"/>
    <w:basedOn w:val="Policepardfaut"/>
    <w:link w:val="Pieddepage"/>
    <w:rsid w:val="00A87EFE"/>
    <w:rPr>
      <w:sz w:val="16"/>
      <w:lang w:val="fr-CH" w:eastAsia="en-US"/>
    </w:rPr>
  </w:style>
  <w:style w:type="character" w:customStyle="1" w:styleId="SingleTxtGChar">
    <w:name w:val="_ Single Txt_G Char"/>
    <w:rsid w:val="008A4007"/>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hyperlink" Target="https://undocs.org/fr/CAT/C/CHN/CO/5/Add.1" TargetMode="External"/><Relationship Id="rId21" Type="http://schemas.openxmlformats.org/officeDocument/2006/relationships/footer" Target="footer4.xml"/><Relationship Id="rId42" Type="http://schemas.openxmlformats.org/officeDocument/2006/relationships/hyperlink" Target="https://undocs.org/fr/CAT/C/BDI/CO/2" TargetMode="External"/><Relationship Id="rId47" Type="http://schemas.openxmlformats.org/officeDocument/2006/relationships/hyperlink" Target="https://undocs.org/fr/CAT/C/HND/CO/2" TargetMode="External"/><Relationship Id="rId63" Type="http://schemas.openxmlformats.org/officeDocument/2006/relationships/hyperlink" Target="https://undocs.org/fr/7" TargetMode="External"/><Relationship Id="rId68" Type="http://schemas.openxmlformats.org/officeDocument/2006/relationships/hyperlink" Target="https://undocs.org/fr/CAT/C/NAM/CO/2" TargetMode="External"/><Relationship Id="rId84" Type="http://schemas.openxmlformats.org/officeDocument/2006/relationships/hyperlink" Target="https://undocs.org/fr/2%20et%203" TargetMode="External"/><Relationship Id="rId89" Type="http://schemas.openxmlformats.org/officeDocument/2006/relationships/hyperlink" Target="https://undocs.org/fr/1" TargetMode="External"/><Relationship Id="rId112" Type="http://schemas.openxmlformats.org/officeDocument/2006/relationships/hyperlink" Target="https://undocs.org/fr/CAT/C/AUS/6/Add.1" TargetMode="External"/><Relationship Id="rId133" Type="http://schemas.openxmlformats.org/officeDocument/2006/relationships/hyperlink" Target="https://undocs.org/fr/CAT/C/60/4" TargetMode="External"/><Relationship Id="rId138" Type="http://schemas.openxmlformats.org/officeDocument/2006/relationships/footer" Target="footer9.xml"/><Relationship Id="rId16" Type="http://schemas.openxmlformats.org/officeDocument/2006/relationships/header" Target="header4.xml"/><Relationship Id="rId107" Type="http://schemas.openxmlformats.org/officeDocument/2006/relationships/hyperlink" Target="https://undocs.org/fr/CAT/C/COL/CO/5/Add.1" TargetMode="External"/><Relationship Id="rId11" Type="http://schemas.openxmlformats.org/officeDocument/2006/relationships/header" Target="header2.xml"/><Relationship Id="rId32" Type="http://schemas.openxmlformats.org/officeDocument/2006/relationships/hyperlink" Target="https://undocs.org/fr/1541" TargetMode="External"/><Relationship Id="rId37" Type="http://schemas.openxmlformats.org/officeDocument/2006/relationships/hyperlink" Target="https://undocs.org/fr/CAT/C/60/R.2" TargetMode="External"/><Relationship Id="rId53" Type="http://schemas.openxmlformats.org/officeDocument/2006/relationships/hyperlink" Target="https://undocs.org/fr/CAT/C/MNG/CO/2" TargetMode="External"/><Relationship Id="rId58" Type="http://schemas.openxmlformats.org/officeDocument/2006/relationships/hyperlink" Target="https://undocs.org/fr/CAT/C/ECU/7" TargetMode="External"/><Relationship Id="rId74" Type="http://schemas.openxmlformats.org/officeDocument/2006/relationships/hyperlink" Target="https://undocs.org/fr/http://documents.un.org" TargetMode="External"/><Relationship Id="rId79" Type="http://schemas.openxmlformats.org/officeDocument/2006/relationships/hyperlink" Target="https://undocs.org/fr/CAT/C/ARG/5-6" TargetMode="External"/><Relationship Id="rId102" Type="http://schemas.openxmlformats.org/officeDocument/2006/relationships/hyperlink" Target="https://undocs.org/fr/CAT/C/NZL/CO/6/Add.1" TargetMode="External"/><Relationship Id="rId123" Type="http://schemas.openxmlformats.org/officeDocument/2006/relationships/hyperlink" Target="https://undocs.org/fr/CAT/C/KWT/CO/3/Add.1" TargetMode="External"/><Relationship Id="rId128" Type="http://schemas.openxmlformats.org/officeDocument/2006/relationships/hyperlink" Target="https://undocs.org/fr/A/56/44"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undocs.org/fr/CAT/C/KOR/3-5" TargetMode="External"/><Relationship Id="rId95" Type="http://schemas.openxmlformats.org/officeDocument/2006/relationships/hyperlink" Target="https://undocs.org/fr/1" TargetMode="External"/><Relationship Id="rId22" Type="http://schemas.openxmlformats.org/officeDocument/2006/relationships/header" Target="header7.xml"/><Relationship Id="rId27" Type="http://schemas.openxmlformats.org/officeDocument/2006/relationships/hyperlink" Target="http://treaties.un.org" TargetMode="External"/><Relationship Id="rId43" Type="http://schemas.openxmlformats.org/officeDocument/2006/relationships/hyperlink" Target="http://undocs.org/en/http://documents.un.org" TargetMode="External"/><Relationship Id="rId48" Type="http://schemas.openxmlformats.org/officeDocument/2006/relationships/hyperlink" Target="https://undocs.org/fr/CAT/C/KWT/3" TargetMode="External"/><Relationship Id="rId64" Type="http://schemas.openxmlformats.org/officeDocument/2006/relationships/hyperlink" Target="https://undocs.org/fr/CAT/C/MCO/6" TargetMode="External"/><Relationship Id="rId69" Type="http://schemas.openxmlformats.org/officeDocument/2006/relationships/hyperlink" Target="https://undocs.org/fr/2" TargetMode="External"/><Relationship Id="rId113" Type="http://schemas.openxmlformats.org/officeDocument/2006/relationships/hyperlink" Target="https://undocs.org/fr/CAT/C/DNK/67/Add.1" TargetMode="External"/><Relationship Id="rId118" Type="http://schemas.openxmlformats.org/officeDocument/2006/relationships/hyperlink" Target="https://undocs.org/fr/CAT/C/CHN-HNK/CO/5/Add.1" TargetMode="External"/><Relationship Id="rId134" Type="http://schemas.openxmlformats.org/officeDocument/2006/relationships/hyperlink" Target="https://undocs.org/fr/CAT/C/SR.1541" TargetMode="External"/><Relationship Id="rId139" Type="http://schemas.openxmlformats.org/officeDocument/2006/relationships/header" Target="header11.xml"/><Relationship Id="rId8" Type="http://schemas.openxmlformats.org/officeDocument/2006/relationships/image" Target="media/image1.wmf"/><Relationship Id="rId51" Type="http://schemas.openxmlformats.org/officeDocument/2006/relationships/hyperlink" Target="https://undocs.org/fr/2" TargetMode="External"/><Relationship Id="rId72" Type="http://schemas.openxmlformats.org/officeDocument/2006/relationships/hyperlink" Target="https://undocs.org/fr/CAT/C/TKM/2" TargetMode="External"/><Relationship Id="rId80" Type="http://schemas.openxmlformats.org/officeDocument/2006/relationships/hyperlink" Target="https://undocs.org/fr/5-6" TargetMode="External"/><Relationship Id="rId85" Type="http://schemas.openxmlformats.org/officeDocument/2006/relationships/hyperlink" Target="https://undocs.org/fr/CAT/C/BHR/CO/2-3%0d" TargetMode="External"/><Relationship Id="rId93" Type="http://schemas.openxmlformats.org/officeDocument/2006/relationships/hyperlink" Target="https://undocs.org/fr/-5" TargetMode="External"/><Relationship Id="rId98" Type="http://schemas.openxmlformats.org/officeDocument/2006/relationships/hyperlink" Target="https://undocs.org/fr/CAT/C/55/3" TargetMode="External"/><Relationship Id="rId121" Type="http://schemas.openxmlformats.org/officeDocument/2006/relationships/hyperlink" Target="https://undocs.org/fr/CAT/C/HRV/CO/4-5/Add.3" TargetMode="External"/><Relationship Id="rId142"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https://undocs.org/fr/www.ohchr.org" TargetMode="External"/><Relationship Id="rId38" Type="http://schemas.openxmlformats.org/officeDocument/2006/relationships/hyperlink" Target="https://undocs.org/fr/CAT/C/55/2" TargetMode="External"/><Relationship Id="rId46" Type="http://schemas.openxmlformats.org/officeDocument/2006/relationships/hyperlink" Target="https://undocs.org/fr/CAT/C/HND/2" TargetMode="External"/><Relationship Id="rId59" Type="http://schemas.openxmlformats.org/officeDocument/2006/relationships/hyperlink" Target="https://undocs.org/fr/CAT/C/ECU/CO/7" TargetMode="External"/><Relationship Id="rId67" Type="http://schemas.openxmlformats.org/officeDocument/2006/relationships/hyperlink" Target="https://undocs.org/fr/CAT/C/NAM/2" TargetMode="External"/><Relationship Id="rId103" Type="http://schemas.openxmlformats.org/officeDocument/2006/relationships/hyperlink" Target="https://undocs.org/fr/CAT/C/SRB/CO/2/Add.1" TargetMode="External"/><Relationship Id="rId108" Type="http://schemas.openxmlformats.org/officeDocument/2006/relationships/hyperlink" Target="https://undocs.org/fr/CAT/C/BDI/CO/2/Add.2" TargetMode="External"/><Relationship Id="rId116" Type="http://schemas.openxmlformats.org/officeDocument/2006/relationships/hyperlink" Target="https://undocs.org/fr/CAT/C/KAZ/CO/3/Add.2" TargetMode="External"/><Relationship Id="rId124" Type="http://schemas.openxmlformats.org/officeDocument/2006/relationships/hyperlink" Target="https://undocs.org/fr/CAT/C/SAU/CO/2/Add.1" TargetMode="External"/><Relationship Id="rId129" Type="http://schemas.openxmlformats.org/officeDocument/2006/relationships/hyperlink" Target="https://undocs.org/fr/http://juris.ohchr.org/" TargetMode="External"/><Relationship Id="rId137" Type="http://schemas.openxmlformats.org/officeDocument/2006/relationships/footer" Target="footer8.xml"/><Relationship Id="rId20" Type="http://schemas.openxmlformats.org/officeDocument/2006/relationships/header" Target="header6.xml"/><Relationship Id="rId41" Type="http://schemas.openxmlformats.org/officeDocument/2006/relationships/hyperlink" Target="https://undocs.org/fr/HRI/MC/2014/4" TargetMode="External"/><Relationship Id="rId54" Type="http://schemas.openxmlformats.org/officeDocument/2006/relationships/hyperlink" Target="https://undocs.org/fr/http://documents.un.org" TargetMode="External"/><Relationship Id="rId62" Type="http://schemas.openxmlformats.org/officeDocument/2006/relationships/hyperlink" Target="https://undocs.org/fr/CAT/C/FIN/CO/7" TargetMode="External"/><Relationship Id="rId70" Type="http://schemas.openxmlformats.org/officeDocument/2006/relationships/hyperlink" Target="https://undocs.org/fr/CAT/C/LKA/5" TargetMode="External"/><Relationship Id="rId75" Type="http://schemas.openxmlformats.org/officeDocument/2006/relationships/hyperlink" Target="https://undocs.org/fr/CAT/C/AFG/2" TargetMode="External"/><Relationship Id="rId83" Type="http://schemas.openxmlformats.org/officeDocument/2006/relationships/hyperlink" Target="https://undocs.org/fr/CAT/C/BHR/2%20" TargetMode="External"/><Relationship Id="rId88" Type="http://schemas.openxmlformats.org/officeDocument/2006/relationships/hyperlink" Target="https://undocs.org/fr/CAT/C/LBN/CO/1" TargetMode="External"/><Relationship Id="rId91" Type="http://schemas.openxmlformats.org/officeDocument/2006/relationships/hyperlink" Target="https://undocs.org/fr/-5" TargetMode="External"/><Relationship Id="rId96" Type="http://schemas.openxmlformats.org/officeDocument/2006/relationships/hyperlink" Target="https://undocs.org/fr/CAT/C/PAK/CO/1" TargetMode="External"/><Relationship Id="rId111" Type="http://schemas.openxmlformats.org/officeDocument/2006/relationships/hyperlink" Target="https://undocs.org/fr/CAT/C/AZE/CO/4/Add.1" TargetMode="External"/><Relationship Id="rId132" Type="http://schemas.openxmlformats.org/officeDocument/2006/relationships/hyperlink" Target="https://undocs.org/fr/CAT/C/59/3%20" TargetMode="External"/><Relationship Id="rId14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yperlink" Target="https://undocs.org/fr/CAT/C/58/1" TargetMode="External"/><Relationship Id="rId36" Type="http://schemas.openxmlformats.org/officeDocument/2006/relationships/hyperlink" Target="https://undocs.org/fr/www.ohchr.org/EN/Issues/Torture/UNVFT/%20Pages/IntlDay.aspx" TargetMode="External"/><Relationship Id="rId49" Type="http://schemas.openxmlformats.org/officeDocument/2006/relationships/hyperlink" Target="https://undocs.org/fr/CAT/C/KWT/CO/3%20" TargetMode="External"/><Relationship Id="rId57" Type="http://schemas.openxmlformats.org/officeDocument/2006/relationships/hyperlink" Target="https://undocs.org/fr/4" TargetMode="External"/><Relationship Id="rId106" Type="http://schemas.openxmlformats.org/officeDocument/2006/relationships/hyperlink" Target="https://undocs.org/fr/CAT/C/SVK/CO/3/Add.1" TargetMode="External"/><Relationship Id="rId114" Type="http://schemas.openxmlformats.org/officeDocument/2006/relationships/hyperlink" Target="https://undocs.org/fr/CAT/C/LIE/CO/4/Add." TargetMode="External"/><Relationship Id="rId119" Type="http://schemas.openxmlformats.org/officeDocument/2006/relationships/hyperlink" Target="https://undocs.org/fr/CAT/C/CHN-MAC/CO/5/Add.1" TargetMode="External"/><Relationship Id="rId127" Type="http://schemas.openxmlformats.org/officeDocument/2006/relationships/hyperlink" Target="https://undocs.org/fr/A/48/44/Add.1" TargetMode="External"/><Relationship Id="rId10" Type="http://schemas.openxmlformats.org/officeDocument/2006/relationships/header" Target="header1.xml"/><Relationship Id="rId31" Type="http://schemas.openxmlformats.org/officeDocument/2006/relationships/hyperlink" Target="https://undocs.org/fr/CAT/C/SR.1432%20" TargetMode="External"/><Relationship Id="rId44" Type="http://schemas.openxmlformats.org/officeDocument/2006/relationships/hyperlink" Target="https://undocs.org/fr/CAT/C/BDI/2/Add.1" TargetMode="External"/><Relationship Id="rId52" Type="http://schemas.openxmlformats.org/officeDocument/2006/relationships/hyperlink" Target="https://undocs.org/fr/CAT/C/MNG/2" TargetMode="External"/><Relationship Id="rId60" Type="http://schemas.openxmlformats.org/officeDocument/2006/relationships/hyperlink" Target="https://undocs.org/fr/7" TargetMode="External"/><Relationship Id="rId65" Type="http://schemas.openxmlformats.org/officeDocument/2006/relationships/hyperlink" Target="https://undocs.org/fr/CAT/C/MCO/CO/6" TargetMode="External"/><Relationship Id="rId73" Type="http://schemas.openxmlformats.org/officeDocument/2006/relationships/hyperlink" Target="https://undocs.org/fr/CAT/C/TKM/CO/2" TargetMode="External"/><Relationship Id="rId78" Type="http://schemas.openxmlformats.org/officeDocument/2006/relationships/hyperlink" Target="https://undocs.org/fr/2" TargetMode="External"/><Relationship Id="rId81" Type="http://schemas.openxmlformats.org/officeDocument/2006/relationships/hyperlink" Target="https://undocs.org/fr/CAT/C/ARG/CO/5-6" TargetMode="External"/><Relationship Id="rId86" Type="http://schemas.openxmlformats.org/officeDocument/2006/relationships/hyperlink" Target="https://undocs.org/fr/CAT/C/LBN/1" TargetMode="External"/><Relationship Id="rId94" Type="http://schemas.openxmlformats.org/officeDocument/2006/relationships/hyperlink" Target="https://undocs.org/fr/CAT/C/PAK/1" TargetMode="External"/><Relationship Id="rId99" Type="http://schemas.openxmlformats.org/officeDocument/2006/relationships/hyperlink" Target="https://undocs.org/fr/CAT/C/JPN/CO/2/Add.2" TargetMode="External"/><Relationship Id="rId101" Type="http://schemas.openxmlformats.org/officeDocument/2006/relationships/hyperlink" Target="https://undocs.org/fr/CAT/C/ROU/CO/2/Add.1" TargetMode="External"/><Relationship Id="rId122" Type="http://schemas.openxmlformats.org/officeDocument/2006/relationships/hyperlink" Target="https://undocs.org/fr/CAT/C/UKR/CO/6/Add.2" TargetMode="External"/><Relationship Id="rId130" Type="http://schemas.openxmlformats.org/officeDocument/2006/relationships/hyperlink" Target="https://undocs.org/fr/www2.ohchr.org" TargetMode="External"/><Relationship Id="rId135" Type="http://schemas.openxmlformats.org/officeDocument/2006/relationships/header" Target="header9.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ocs.org/fr/A/72/44" TargetMode="Externa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undocs.org/en/CAT/C/55/3" TargetMode="External"/><Relationship Id="rId109" Type="http://schemas.openxmlformats.org/officeDocument/2006/relationships/hyperlink" Target="https://undocs.org/fr/CAT/C/TUR/CO/4/Add.1%20" TargetMode="External"/><Relationship Id="rId34" Type="http://schemas.openxmlformats.org/officeDocument/2006/relationships/hyperlink" Target="https://undocs.org/fr/http://treaties.un.org" TargetMode="External"/><Relationship Id="rId50" Type="http://schemas.openxmlformats.org/officeDocument/2006/relationships/hyperlink" Target="https://undocs.org/fr/Corr.1%20" TargetMode="External"/><Relationship Id="rId55" Type="http://schemas.openxmlformats.org/officeDocument/2006/relationships/hyperlink" Target="https://undocs.org/fr/CAT/C/ARM/4" TargetMode="External"/><Relationship Id="rId76" Type="http://schemas.openxmlformats.org/officeDocument/2006/relationships/hyperlink" Target="https://undocs.org/fr/2" TargetMode="External"/><Relationship Id="rId97" Type="http://schemas.openxmlformats.org/officeDocument/2006/relationships/hyperlink" Target="https://undocs.org/fr/1" TargetMode="External"/><Relationship Id="rId104" Type="http://schemas.openxmlformats.org/officeDocument/2006/relationships/hyperlink" Target="https://undocs.org/fr/CAT/C/MKD/CO/3/Add.1" TargetMode="External"/><Relationship Id="rId120" Type="http://schemas.openxmlformats.org/officeDocument/2006/relationships/hyperlink" Target="https://undocs.org/fr/CAT/C/PRT/CO/5-6/Add.3" TargetMode="External"/><Relationship Id="rId125" Type="http://schemas.openxmlformats.org/officeDocument/2006/relationships/hyperlink" Target="https://undocs.org/fr/CAT/C/FRA/CO/7/Add.1" TargetMode="External"/><Relationship Id="rId141"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s://undocs.org/fr/CAT/C/LKA/CO/5" TargetMode="External"/><Relationship Id="rId92" Type="http://schemas.openxmlformats.org/officeDocument/2006/relationships/hyperlink" Target="https://undocs.org/fr/CAT/C/KOR/CO/3-5" TargetMode="External"/><Relationship Id="rId2" Type="http://schemas.openxmlformats.org/officeDocument/2006/relationships/numbering" Target="numbering.xml"/><Relationship Id="rId29" Type="http://schemas.openxmlformats.org/officeDocument/2006/relationships/hyperlink" Target="https://undocs.org/fr/CAT/C/59/1" TargetMode="External"/><Relationship Id="rId24" Type="http://schemas.openxmlformats.org/officeDocument/2006/relationships/footer" Target="footer5.xml"/><Relationship Id="rId40" Type="http://schemas.openxmlformats.org/officeDocument/2006/relationships/hyperlink" Target="https://undocs.org/fr/CAT/C/47/2" TargetMode="External"/><Relationship Id="rId45" Type="http://schemas.openxmlformats.org/officeDocument/2006/relationships/hyperlink" Target="https://undocs.org/fr/CAT/C/BDI/CO/2/Add.1" TargetMode="External"/><Relationship Id="rId66" Type="http://schemas.openxmlformats.org/officeDocument/2006/relationships/hyperlink" Target="https://undocs.org/fr/6" TargetMode="External"/><Relationship Id="rId87" Type="http://schemas.openxmlformats.org/officeDocument/2006/relationships/hyperlink" Target="https://undocs.org/fr/1" TargetMode="External"/><Relationship Id="rId110" Type="http://schemas.openxmlformats.org/officeDocument/2006/relationships/hyperlink" Target="https://undocs.org/fr/Add.2" TargetMode="External"/><Relationship Id="rId115" Type="http://schemas.openxmlformats.org/officeDocument/2006/relationships/hyperlink" Target="https://undocs.org/fr/1" TargetMode="External"/><Relationship Id="rId131" Type="http://schemas.openxmlformats.org/officeDocument/2006/relationships/hyperlink" Target="https://undocs.org/fr/http://documents.un.org" TargetMode="External"/><Relationship Id="rId136" Type="http://schemas.openxmlformats.org/officeDocument/2006/relationships/header" Target="header10.xml"/><Relationship Id="rId61" Type="http://schemas.openxmlformats.org/officeDocument/2006/relationships/hyperlink" Target="https://undocs.org/fr/CAT/C/FIN/7" TargetMode="External"/><Relationship Id="rId82" Type="http://schemas.openxmlformats.org/officeDocument/2006/relationships/hyperlink" Target="https://undocs.org/fr/5-6" TargetMode="External"/><Relationship Id="rId19" Type="http://schemas.openxmlformats.org/officeDocument/2006/relationships/footer" Target="footer3.xml"/><Relationship Id="rId14" Type="http://schemas.openxmlformats.org/officeDocument/2006/relationships/hyperlink" Target="https://undocs.org/fr/A/72/44" TargetMode="External"/><Relationship Id="rId30" Type="http://schemas.openxmlformats.org/officeDocument/2006/relationships/hyperlink" Target="https://undocs.org/fr/CAT/C/60/1" TargetMode="External"/><Relationship Id="rId35" Type="http://schemas.openxmlformats.org/officeDocument/2006/relationships/hyperlink" Target="http://undocs.org/en/CAT/C/60/3" TargetMode="External"/><Relationship Id="rId56" Type="http://schemas.openxmlformats.org/officeDocument/2006/relationships/hyperlink" Target="https://undocs.org/fr/CAT/C/ARM/CO/4" TargetMode="External"/><Relationship Id="rId77" Type="http://schemas.openxmlformats.org/officeDocument/2006/relationships/hyperlink" Target="https://undocs.org/fr/CAT/C/AFG/CO/2" TargetMode="External"/><Relationship Id="rId100" Type="http://schemas.openxmlformats.org/officeDocument/2006/relationships/hyperlink" Target="https://undocs.org/fr/CAT/C/ESP/CO/6/Add.1" TargetMode="External"/><Relationship Id="rId105" Type="http://schemas.openxmlformats.org/officeDocument/2006/relationships/hyperlink" Target="https://undocs.org/fr/CAT/C/CHE/CO/7/Add.1" TargetMode="External"/><Relationship Id="rId126" Type="http://schemas.openxmlformats.org/officeDocument/2006/relationships/hyperlink" Target="https://undocs.org/fr/CAT/C/TUN/CO/3/Add.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A/66/44" TargetMode="External"/><Relationship Id="rId2" Type="http://schemas.openxmlformats.org/officeDocument/2006/relationships/hyperlink" Target="https://undocs.org/fr/A/67/44" TargetMode="External"/><Relationship Id="rId1" Type="http://schemas.openxmlformats.org/officeDocument/2006/relationships/hyperlink" Target="https://undocs.org/fr/A/64/44" TargetMode="External"/><Relationship Id="rId5" Type="http://schemas.openxmlformats.org/officeDocument/2006/relationships/hyperlink" Target="https://undocs.org/fr/http://tbinternet.ohchr.org/_layouts/TreatyBodyExternal/FollowUp.aspx?Treaty=CAT&amp;Lang=en" TargetMode="External"/><Relationship Id="rId4" Type="http://schemas.openxmlformats.org/officeDocument/2006/relationships/hyperlink" Target="https://undocs.org/fr/A/58/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Rapport_AG.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6CF6-604C-4372-B294-8FBD41EC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Rapport_AG.dotm</Template>
  <TotalTime>1</TotalTime>
  <Pages>27</Pages>
  <Words>12846</Words>
  <Characters>68989</Characters>
  <Application>Microsoft Office Word</Application>
  <DocSecurity>0</DocSecurity>
  <Lines>1254</Lines>
  <Paragraphs>413</Paragraphs>
  <ScaleCrop>false</ScaleCrop>
  <HeadingPairs>
    <vt:vector size="2" baseType="variant">
      <vt:variant>
        <vt:lpstr>Titre</vt:lpstr>
      </vt:variant>
      <vt:variant>
        <vt:i4>1</vt:i4>
      </vt:variant>
    </vt:vector>
  </HeadingPairs>
  <TitlesOfParts>
    <vt:vector size="1" baseType="lpstr">
      <vt:lpstr>A/72/44</vt:lpstr>
    </vt:vector>
  </TitlesOfParts>
  <Manager>Corinne</Manager>
  <Company>CSD</Company>
  <LinksUpToDate>false</LinksUpToDate>
  <CharactersWithSpaces>81422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A/72/44</dc:title>
  <dc:subject/>
  <dc:creator>Isabelle VIGNY</dc:creator>
  <cp:keywords/>
  <dc:description/>
  <cp:lastModifiedBy>Isabelle VIGNY</cp:lastModifiedBy>
  <cp:revision>6</cp:revision>
  <cp:lastPrinted>2017-07-13T10:15:00Z</cp:lastPrinted>
  <dcterms:created xsi:type="dcterms:W3CDTF">2017-07-13T10:15:00Z</dcterms:created>
  <dcterms:modified xsi:type="dcterms:W3CDTF">2017-07-13T10:16:00Z</dcterms:modified>
</cp:coreProperties>
</file>