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4A" w:rsidRPr="00CE24DF" w:rsidRDefault="00CE24DF" w:rsidP="00CE24DF">
      <w:pPr>
        <w:spacing w:after="360"/>
        <w:jc w:val="right"/>
        <w:rPr>
          <w:rStyle w:val="af1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"http://undocs.org/ru/A/72/44</w:instrText>
      </w:r>
      <w:r>
        <w:rPr>
          <w:b/>
        </w:rPr>
        <w:cr/>
        <w:instrText xml:space="preserve">" </w:instrText>
      </w:r>
      <w:r w:rsidR="004A101E">
        <w:rPr>
          <w:b/>
        </w:rPr>
      </w:r>
      <w:r>
        <w:rPr>
          <w:b/>
        </w:rPr>
        <w:fldChar w:fldCharType="separate"/>
      </w:r>
      <w:r w:rsidRPr="00CE24DF">
        <w:rPr>
          <w:rStyle w:val="af1"/>
          <w:b/>
        </w:rPr>
        <w:t>A/72/44</w:t>
      </w:r>
    </w:p>
    <w:p w:rsidR="00CE24DF" w:rsidRDefault="00CE24DF" w:rsidP="00CE24DF">
      <w:pPr>
        <w:pStyle w:val="SLGR"/>
        <w:spacing w:before="0" w:after="0" w:line="240" w:lineRule="atLeast"/>
        <w:rPr>
          <w:rFonts w:eastAsiaTheme="minorEastAsia" w:cstheme="minorBidi"/>
          <w:sz w:val="20"/>
          <w:szCs w:val="22"/>
          <w:lang w:val="en-US" w:eastAsia="zh-CN"/>
        </w:rPr>
      </w:pPr>
      <w:r>
        <w:rPr>
          <w:rFonts w:eastAsiaTheme="minorEastAsia" w:cstheme="minorBidi"/>
          <w:sz w:val="20"/>
          <w:szCs w:val="22"/>
          <w:lang w:eastAsia="zh-CN"/>
        </w:rPr>
        <w:fldChar w:fldCharType="end"/>
      </w:r>
      <w:r w:rsidRPr="00CE24DF">
        <w:rPr>
          <w:b w:val="0"/>
          <w:noProof/>
          <w:spacing w:val="0"/>
          <w:w w:val="100"/>
          <w:kern w:val="0"/>
          <w:sz w:val="20"/>
        </w:rPr>
        <w:drawing>
          <wp:inline distT="0" distB="0" distL="0" distR="0" wp14:anchorId="64338744" wp14:editId="27D935D7">
            <wp:extent cx="1191260" cy="1017270"/>
            <wp:effectExtent l="0" t="0" r="8890" b="0"/>
            <wp:docPr id="2" name="Picture 1" descr="_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un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DF" w:rsidRPr="00E94224" w:rsidRDefault="00CE24DF" w:rsidP="00CA57BC">
      <w:pPr>
        <w:spacing w:after="1200"/>
        <w:ind w:left="1134"/>
        <w:rPr>
          <w:sz w:val="36"/>
          <w:szCs w:val="36"/>
        </w:rPr>
      </w:pPr>
      <w:r w:rsidRPr="00CE24DF">
        <w:rPr>
          <w:b/>
          <w:sz w:val="36"/>
          <w:szCs w:val="36"/>
        </w:rPr>
        <w:t>Организация Объединенных Наций</w:t>
      </w:r>
    </w:p>
    <w:p w:rsidR="005F688E" w:rsidRPr="00CE24DF" w:rsidRDefault="00CE24DF" w:rsidP="00287B7D">
      <w:pPr>
        <w:pStyle w:val="SLGR"/>
        <w:spacing w:after="840"/>
        <w:rPr>
          <w:b w:val="0"/>
          <w:sz w:val="36"/>
          <w:szCs w:val="36"/>
        </w:rPr>
      </w:pPr>
      <w:r w:rsidRPr="00CE24DF">
        <w:rPr>
          <w:bCs/>
        </w:rPr>
        <w:t>Доклад Комитета против пыток</w:t>
      </w:r>
    </w:p>
    <w:p w:rsidR="00287B7D" w:rsidRPr="00287B7D" w:rsidRDefault="00287B7D" w:rsidP="00287B7D">
      <w:pPr>
        <w:pStyle w:val="SingleTxtGR"/>
        <w:spacing w:after="240"/>
        <w:jc w:val="left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Пятьдесят восьмая сессия</w:t>
      </w:r>
      <w:r w:rsidRPr="00287B7D">
        <w:rPr>
          <w:b/>
          <w:sz w:val="32"/>
          <w:szCs w:val="32"/>
          <w:lang w:eastAsia="en-US"/>
        </w:rPr>
        <w:br/>
        <w:t>(25 июля – 12 августа 2016 года)</w:t>
      </w:r>
    </w:p>
    <w:p w:rsidR="00287B7D" w:rsidRPr="00287B7D" w:rsidRDefault="00287B7D" w:rsidP="00287B7D">
      <w:pPr>
        <w:pStyle w:val="SingleTxtGR"/>
        <w:spacing w:after="240"/>
        <w:jc w:val="left"/>
        <w:rPr>
          <w:b/>
          <w:sz w:val="32"/>
          <w:szCs w:val="32"/>
          <w:lang w:eastAsia="en-US"/>
        </w:rPr>
      </w:pPr>
      <w:r w:rsidRPr="00287B7D">
        <w:rPr>
          <w:b/>
          <w:sz w:val="32"/>
          <w:szCs w:val="32"/>
          <w:lang w:eastAsia="en-US"/>
        </w:rPr>
        <w:t xml:space="preserve">Пятьдесят </w:t>
      </w:r>
      <w:r>
        <w:rPr>
          <w:b/>
          <w:sz w:val="32"/>
          <w:szCs w:val="32"/>
          <w:lang w:eastAsia="en-US"/>
        </w:rPr>
        <w:t>девятая сессия</w:t>
      </w:r>
      <w:r w:rsidRPr="00287B7D">
        <w:rPr>
          <w:b/>
          <w:sz w:val="32"/>
          <w:szCs w:val="32"/>
          <w:lang w:eastAsia="en-US"/>
        </w:rPr>
        <w:br/>
      </w:r>
      <w:r>
        <w:rPr>
          <w:b/>
          <w:sz w:val="32"/>
          <w:szCs w:val="32"/>
          <w:lang w:eastAsia="en-US"/>
        </w:rPr>
        <w:t xml:space="preserve">(7 ноября </w:t>
      </w:r>
      <w:r w:rsidRPr="00287B7D">
        <w:rPr>
          <w:b/>
          <w:sz w:val="32"/>
          <w:szCs w:val="32"/>
          <w:lang w:eastAsia="en-US"/>
        </w:rPr>
        <w:t>– 7 декабря 2016 года)</w:t>
      </w:r>
    </w:p>
    <w:p w:rsidR="005F688E" w:rsidRPr="00287B7D" w:rsidRDefault="00287B7D" w:rsidP="00287B7D">
      <w:pPr>
        <w:pStyle w:val="SingleTxtGR"/>
        <w:spacing w:after="240"/>
        <w:jc w:val="left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Шестидесятая сессия</w:t>
      </w:r>
      <w:r w:rsidRPr="00287B7D">
        <w:rPr>
          <w:b/>
          <w:sz w:val="32"/>
          <w:szCs w:val="32"/>
          <w:lang w:eastAsia="en-US"/>
        </w:rPr>
        <w:br/>
        <w:t>(18 апреля – 12 мая 2017 года)</w:t>
      </w:r>
    </w:p>
    <w:p w:rsidR="00287B7D" w:rsidRPr="00287B7D" w:rsidRDefault="00287B7D" w:rsidP="00287B7D">
      <w:pPr>
        <w:pStyle w:val="SingleTxtGR"/>
        <w:spacing w:before="2520" w:after="0"/>
        <w:rPr>
          <w:b/>
          <w:sz w:val="40"/>
          <w:szCs w:val="40"/>
          <w:lang w:eastAsia="en-US"/>
        </w:rPr>
      </w:pPr>
      <w:r w:rsidRPr="00287B7D">
        <w:rPr>
          <w:b/>
          <w:sz w:val="40"/>
          <w:szCs w:val="40"/>
          <w:lang w:eastAsia="en-US"/>
        </w:rPr>
        <w:t>Генеральная Ассамблея</w:t>
      </w:r>
    </w:p>
    <w:p w:rsidR="00287B7D" w:rsidRPr="00287B7D" w:rsidRDefault="00287B7D" w:rsidP="00287B7D">
      <w:pPr>
        <w:pStyle w:val="SingleTxtGR"/>
        <w:spacing w:after="0"/>
        <w:rPr>
          <w:b/>
          <w:sz w:val="28"/>
          <w:szCs w:val="28"/>
          <w:lang w:eastAsia="en-US"/>
        </w:rPr>
      </w:pPr>
      <w:r w:rsidRPr="00287B7D">
        <w:rPr>
          <w:b/>
          <w:sz w:val="28"/>
          <w:szCs w:val="28"/>
          <w:lang w:eastAsia="en-US"/>
        </w:rPr>
        <w:t>Официальные отчеты</w:t>
      </w:r>
    </w:p>
    <w:p w:rsidR="00287B7D" w:rsidRPr="00287B7D" w:rsidRDefault="00287B7D" w:rsidP="00287B7D">
      <w:pPr>
        <w:pStyle w:val="SingleTxtGR"/>
        <w:spacing w:after="0"/>
        <w:rPr>
          <w:b/>
          <w:sz w:val="28"/>
          <w:szCs w:val="28"/>
          <w:lang w:eastAsia="en-US"/>
        </w:rPr>
      </w:pPr>
      <w:r w:rsidRPr="00287B7D">
        <w:rPr>
          <w:b/>
          <w:sz w:val="28"/>
          <w:szCs w:val="28"/>
          <w:lang w:eastAsia="en-US"/>
        </w:rPr>
        <w:t>Семьдесят вторая сессия</w:t>
      </w:r>
    </w:p>
    <w:p w:rsidR="00287B7D" w:rsidRPr="00E94224" w:rsidRDefault="00287B7D" w:rsidP="00287B7D">
      <w:pPr>
        <w:pStyle w:val="SingleTxtGR"/>
        <w:spacing w:after="0"/>
        <w:rPr>
          <w:rStyle w:val="af1"/>
          <w:b/>
          <w:color w:val="auto"/>
          <w:sz w:val="28"/>
          <w:szCs w:val="28"/>
          <w:lang w:eastAsia="en-US"/>
        </w:rPr>
      </w:pPr>
      <w:r w:rsidRPr="00287B7D">
        <w:rPr>
          <w:b/>
          <w:sz w:val="28"/>
          <w:szCs w:val="28"/>
          <w:lang w:eastAsia="en-US"/>
        </w:rPr>
        <w:t>Дополнение № 44</w:t>
      </w:r>
      <w:r w:rsidRPr="00E94224">
        <w:rPr>
          <w:b/>
          <w:sz w:val="28"/>
          <w:szCs w:val="28"/>
          <w:lang w:eastAsia="en-US"/>
        </w:rPr>
        <w:t xml:space="preserve"> (</w:t>
      </w:r>
      <w:r w:rsidRPr="00287B7D">
        <w:rPr>
          <w:b/>
          <w:sz w:val="28"/>
          <w:szCs w:val="28"/>
          <w:lang w:eastAsia="en-US"/>
        </w:rPr>
        <w:fldChar w:fldCharType="begin"/>
      </w:r>
      <w:r w:rsidRPr="00287B7D">
        <w:rPr>
          <w:b/>
          <w:sz w:val="28"/>
          <w:szCs w:val="28"/>
          <w:lang w:eastAsia="en-US"/>
        </w:rPr>
        <w:instrText xml:space="preserve"> HYPERLINK "http://undocs.org/ru/A/72/44</w:instrText>
      </w:r>
      <w:r w:rsidRPr="00287B7D">
        <w:rPr>
          <w:b/>
          <w:sz w:val="28"/>
          <w:szCs w:val="28"/>
          <w:lang w:eastAsia="en-US"/>
        </w:rPr>
        <w:cr/>
        <w:instrText xml:space="preserve">" </w:instrText>
      </w:r>
      <w:r w:rsidR="004A101E" w:rsidRPr="00287B7D">
        <w:rPr>
          <w:b/>
          <w:sz w:val="28"/>
          <w:szCs w:val="28"/>
          <w:lang w:eastAsia="en-US"/>
        </w:rPr>
      </w:r>
      <w:r w:rsidRPr="00287B7D">
        <w:rPr>
          <w:b/>
          <w:sz w:val="28"/>
          <w:szCs w:val="28"/>
          <w:lang w:eastAsia="en-US"/>
        </w:rPr>
        <w:fldChar w:fldCharType="separate"/>
      </w:r>
      <w:r w:rsidRPr="00287B7D">
        <w:rPr>
          <w:rStyle w:val="af1"/>
          <w:b/>
          <w:sz w:val="28"/>
          <w:szCs w:val="28"/>
          <w:lang w:eastAsia="en-US"/>
        </w:rPr>
        <w:t>A/72/44</w:t>
      </w:r>
      <w:r w:rsidRPr="00E94224">
        <w:rPr>
          <w:b/>
          <w:sz w:val="28"/>
          <w:szCs w:val="28"/>
          <w:lang w:eastAsia="en-US"/>
        </w:rPr>
        <w:t>)</w:t>
      </w:r>
    </w:p>
    <w:p w:rsidR="00287B7D" w:rsidRPr="00E94224" w:rsidRDefault="00287B7D" w:rsidP="00287B7D">
      <w:pPr>
        <w:pStyle w:val="SingleTxtGR"/>
        <w:spacing w:after="0"/>
        <w:rPr>
          <w:b/>
          <w:sz w:val="28"/>
          <w:szCs w:val="28"/>
          <w:lang w:eastAsia="en-US"/>
        </w:rPr>
        <w:sectPr w:rsidR="00287B7D" w:rsidRPr="00E94224" w:rsidSect="00FE0ECE"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 w:rsidRPr="00287B7D">
        <w:rPr>
          <w:b/>
          <w:sz w:val="28"/>
          <w:szCs w:val="28"/>
          <w:lang w:val="en-US" w:eastAsia="en-US"/>
        </w:rPr>
        <w:fldChar w:fldCharType="end"/>
      </w:r>
    </w:p>
    <w:p w:rsidR="00E94224" w:rsidRPr="00E94224" w:rsidRDefault="00E94224" w:rsidP="00E94224">
      <w:pPr>
        <w:spacing w:after="720"/>
        <w:jc w:val="right"/>
        <w:rPr>
          <w:rStyle w:val="af1"/>
          <w:rFonts w:eastAsia="Times New Roman" w:cs="Times New Roman"/>
          <w:b/>
          <w:szCs w:val="20"/>
          <w:lang w:eastAsia="en-US"/>
        </w:rPr>
      </w:pPr>
      <w:r>
        <w:rPr>
          <w:rFonts w:eastAsia="Times New Roman" w:cs="Times New Roman"/>
          <w:b/>
          <w:szCs w:val="20"/>
          <w:lang w:val="en-US" w:eastAsia="en-US"/>
        </w:rPr>
        <w:lastRenderedPageBreak/>
        <w:fldChar w:fldCharType="begin"/>
      </w:r>
      <w:r w:rsidRPr="00E94224">
        <w:rPr>
          <w:rFonts w:eastAsia="Times New Roman" w:cs="Times New Roman"/>
          <w:b/>
          <w:szCs w:val="20"/>
          <w:lang w:eastAsia="en-US"/>
        </w:rPr>
        <w:instrText xml:space="preserve"> </w:instrText>
      </w:r>
      <w:r>
        <w:rPr>
          <w:rFonts w:eastAsia="Times New Roman" w:cs="Times New Roman"/>
          <w:b/>
          <w:szCs w:val="20"/>
          <w:lang w:val="en-US" w:eastAsia="en-US"/>
        </w:rPr>
        <w:instrText>HYPERLINK</w:instrText>
      </w:r>
      <w:r w:rsidRPr="00E94224">
        <w:rPr>
          <w:rFonts w:eastAsia="Times New Roman" w:cs="Times New Roman"/>
          <w:b/>
          <w:szCs w:val="20"/>
          <w:lang w:eastAsia="en-US"/>
        </w:rPr>
        <w:instrText xml:space="preserve"> "</w:instrText>
      </w:r>
      <w:r>
        <w:rPr>
          <w:rFonts w:eastAsia="Times New Roman" w:cs="Times New Roman"/>
          <w:b/>
          <w:szCs w:val="20"/>
          <w:lang w:val="en-US" w:eastAsia="en-US"/>
        </w:rPr>
        <w:instrText>http</w:instrText>
      </w:r>
      <w:r w:rsidRPr="00E94224">
        <w:rPr>
          <w:rFonts w:eastAsia="Times New Roman" w:cs="Times New Roman"/>
          <w:b/>
          <w:szCs w:val="20"/>
          <w:lang w:eastAsia="en-US"/>
        </w:rPr>
        <w:instrText>://</w:instrText>
      </w:r>
      <w:r>
        <w:rPr>
          <w:rFonts w:eastAsia="Times New Roman" w:cs="Times New Roman"/>
          <w:b/>
          <w:szCs w:val="20"/>
          <w:lang w:val="en-US" w:eastAsia="en-US"/>
        </w:rPr>
        <w:instrText>undocs</w:instrText>
      </w:r>
      <w:r w:rsidRPr="00E94224">
        <w:rPr>
          <w:rFonts w:eastAsia="Times New Roman" w:cs="Times New Roman"/>
          <w:b/>
          <w:szCs w:val="20"/>
          <w:lang w:eastAsia="en-US"/>
        </w:rPr>
        <w:instrText>.</w:instrText>
      </w:r>
      <w:r>
        <w:rPr>
          <w:rFonts w:eastAsia="Times New Roman" w:cs="Times New Roman"/>
          <w:b/>
          <w:szCs w:val="20"/>
          <w:lang w:val="en-US" w:eastAsia="en-US"/>
        </w:rPr>
        <w:instrText>org</w:instrText>
      </w:r>
      <w:r w:rsidRPr="00E94224">
        <w:rPr>
          <w:rFonts w:eastAsia="Times New Roman" w:cs="Times New Roman"/>
          <w:b/>
          <w:szCs w:val="20"/>
          <w:lang w:eastAsia="en-US"/>
        </w:rPr>
        <w:instrText>/</w:instrText>
      </w:r>
      <w:r>
        <w:rPr>
          <w:rFonts w:eastAsia="Times New Roman" w:cs="Times New Roman"/>
          <w:b/>
          <w:szCs w:val="20"/>
          <w:lang w:val="en-US" w:eastAsia="en-US"/>
        </w:rPr>
        <w:instrText>ru</w:instrText>
      </w:r>
      <w:r w:rsidRPr="00E94224">
        <w:rPr>
          <w:rFonts w:eastAsia="Times New Roman" w:cs="Times New Roman"/>
          <w:b/>
          <w:szCs w:val="20"/>
          <w:lang w:eastAsia="en-US"/>
        </w:rPr>
        <w:instrText>/</w:instrText>
      </w:r>
      <w:r>
        <w:rPr>
          <w:rFonts w:eastAsia="Times New Roman" w:cs="Times New Roman"/>
          <w:b/>
          <w:szCs w:val="20"/>
          <w:lang w:val="en-US" w:eastAsia="en-US"/>
        </w:rPr>
        <w:instrText>A</w:instrText>
      </w:r>
      <w:r w:rsidRPr="00E94224">
        <w:rPr>
          <w:rFonts w:eastAsia="Times New Roman" w:cs="Times New Roman"/>
          <w:b/>
          <w:szCs w:val="20"/>
          <w:lang w:eastAsia="en-US"/>
        </w:rPr>
        <w:instrText>/72/44</w:instrText>
      </w:r>
      <w:r w:rsidRPr="00E94224">
        <w:rPr>
          <w:rFonts w:eastAsia="Times New Roman" w:cs="Times New Roman"/>
          <w:b/>
          <w:szCs w:val="20"/>
          <w:lang w:eastAsia="en-US"/>
        </w:rPr>
        <w:cr/>
        <w:instrText xml:space="preserve">" </w:instrText>
      </w:r>
      <w:r w:rsidR="004A101E">
        <w:rPr>
          <w:rFonts w:eastAsia="Times New Roman" w:cs="Times New Roman"/>
          <w:b/>
          <w:szCs w:val="20"/>
          <w:lang w:val="en-US" w:eastAsia="en-US"/>
        </w:rPr>
      </w:r>
      <w:r>
        <w:rPr>
          <w:rFonts w:eastAsia="Times New Roman" w:cs="Times New Roman"/>
          <w:b/>
          <w:szCs w:val="20"/>
          <w:lang w:val="en-US" w:eastAsia="en-US"/>
        </w:rPr>
        <w:fldChar w:fldCharType="separate"/>
      </w:r>
      <w:r w:rsidRPr="00E94224">
        <w:rPr>
          <w:rStyle w:val="af1"/>
          <w:rFonts w:eastAsia="Times New Roman" w:cs="Times New Roman"/>
          <w:b/>
          <w:szCs w:val="20"/>
          <w:lang w:val="en-US" w:eastAsia="en-US"/>
        </w:rPr>
        <w:t>A</w:t>
      </w:r>
      <w:r w:rsidRPr="00E94224">
        <w:rPr>
          <w:rStyle w:val="af1"/>
          <w:rFonts w:eastAsia="Times New Roman" w:cs="Times New Roman"/>
          <w:b/>
          <w:szCs w:val="20"/>
          <w:lang w:eastAsia="en-US"/>
        </w:rPr>
        <w:t>/72/44</w:t>
      </w:r>
    </w:p>
    <w:p w:rsidR="00E94224" w:rsidRPr="006446F5" w:rsidRDefault="00E94224" w:rsidP="00E94224">
      <w:pPr>
        <w:pStyle w:val="SingleTxtGR"/>
        <w:spacing w:after="1320"/>
        <w:jc w:val="left"/>
        <w:rPr>
          <w:sz w:val="24"/>
          <w:szCs w:val="24"/>
          <w:lang w:eastAsia="en-US"/>
        </w:rPr>
      </w:pPr>
      <w:r>
        <w:rPr>
          <w:b/>
          <w:lang w:val="en-US" w:eastAsia="en-US"/>
        </w:rPr>
        <w:fldChar w:fldCharType="end"/>
      </w:r>
      <w:r w:rsidRPr="00E94224">
        <w:rPr>
          <w:b/>
          <w:sz w:val="24"/>
          <w:szCs w:val="24"/>
          <w:lang w:eastAsia="en-US"/>
        </w:rPr>
        <w:t>Генеральная Ассамблея</w:t>
      </w:r>
      <w:r w:rsidRPr="00E94224">
        <w:rPr>
          <w:b/>
          <w:sz w:val="24"/>
          <w:szCs w:val="24"/>
          <w:lang w:eastAsia="en-US"/>
        </w:rPr>
        <w:br/>
      </w:r>
      <w:r w:rsidRPr="00E94224">
        <w:rPr>
          <w:sz w:val="24"/>
          <w:szCs w:val="24"/>
          <w:lang w:eastAsia="en-US"/>
        </w:rPr>
        <w:t>Официальные отчеты</w:t>
      </w:r>
      <w:proofErr w:type="gramStart"/>
      <w:r w:rsidRPr="00E94224">
        <w:rPr>
          <w:sz w:val="24"/>
          <w:szCs w:val="24"/>
          <w:lang w:eastAsia="en-US"/>
        </w:rPr>
        <w:br/>
        <w:t>С</w:t>
      </w:r>
      <w:proofErr w:type="gramEnd"/>
      <w:r w:rsidRPr="00E94224">
        <w:rPr>
          <w:sz w:val="24"/>
          <w:szCs w:val="24"/>
          <w:lang w:eastAsia="en-US"/>
        </w:rPr>
        <w:t>емьдесят вторая сессия</w:t>
      </w:r>
      <w:r w:rsidRPr="00E94224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Дополнение № 44</w:t>
      </w:r>
    </w:p>
    <w:p w:rsidR="00E94224" w:rsidRPr="00E94224" w:rsidRDefault="00E94224" w:rsidP="00E94224">
      <w:pPr>
        <w:pStyle w:val="SLGR"/>
        <w:spacing w:after="480"/>
      </w:pPr>
      <w:r w:rsidRPr="00E94224">
        <w:t>Доклад Комитета против пыток</w:t>
      </w:r>
    </w:p>
    <w:p w:rsidR="00E94224" w:rsidRPr="00E94224" w:rsidRDefault="00E94224" w:rsidP="00E94224">
      <w:pPr>
        <w:pStyle w:val="SingleTxtGR"/>
        <w:spacing w:after="24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Пятьдесят восьмая сессия</w:t>
      </w:r>
      <w:r w:rsidRPr="00E94224">
        <w:rPr>
          <w:b/>
          <w:sz w:val="28"/>
          <w:szCs w:val="28"/>
          <w:lang w:eastAsia="en-US"/>
        </w:rPr>
        <w:br/>
        <w:t>(25 июля – 12 августа 2016 года)</w:t>
      </w:r>
    </w:p>
    <w:p w:rsidR="00E94224" w:rsidRPr="00E94224" w:rsidRDefault="00E94224" w:rsidP="00E94224">
      <w:pPr>
        <w:pStyle w:val="SingleTxtGR"/>
        <w:spacing w:after="24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Пятьдесят девятая сессия</w:t>
      </w:r>
      <w:r w:rsidRPr="00E94224">
        <w:rPr>
          <w:b/>
          <w:sz w:val="28"/>
          <w:szCs w:val="28"/>
          <w:lang w:eastAsia="en-US"/>
        </w:rPr>
        <w:br/>
        <w:t>(7 ноября – 7 декабря 2016 года)</w:t>
      </w:r>
    </w:p>
    <w:p w:rsidR="00E94224" w:rsidRPr="00E94224" w:rsidRDefault="00E94224" w:rsidP="00E94224">
      <w:pPr>
        <w:pStyle w:val="SingleTxtGR"/>
        <w:spacing w:after="5400"/>
        <w:jc w:val="left"/>
        <w:rPr>
          <w:b/>
          <w:sz w:val="28"/>
          <w:szCs w:val="28"/>
          <w:lang w:eastAsia="en-US"/>
        </w:rPr>
      </w:pPr>
      <w:r w:rsidRPr="00E94224">
        <w:rPr>
          <w:rFonts w:eastAsia="Calibri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BCE5815" wp14:editId="46160C39">
            <wp:simplePos x="0" y="0"/>
            <wp:positionH relativeFrom="column">
              <wp:posOffset>706120</wp:posOffset>
            </wp:positionH>
            <wp:positionV relativeFrom="paragraph">
              <wp:posOffset>3536315</wp:posOffset>
            </wp:positionV>
            <wp:extent cx="535940" cy="5003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eastAsia="en-US"/>
        </w:rPr>
        <w:t>Шестидесятая сессия</w:t>
      </w:r>
      <w:r w:rsidRPr="00E94224">
        <w:rPr>
          <w:b/>
          <w:sz w:val="28"/>
          <w:szCs w:val="28"/>
          <w:lang w:eastAsia="en-US"/>
        </w:rPr>
        <w:br/>
        <w:t>(18 апреля – 12 мая 2017 года)</w:t>
      </w:r>
    </w:p>
    <w:p w:rsidR="005F688E" w:rsidRPr="00E94224" w:rsidRDefault="005F688E" w:rsidP="00287B7D">
      <w:pPr>
        <w:pStyle w:val="SingleTxtGR"/>
        <w:spacing w:after="0"/>
        <w:rPr>
          <w:b/>
          <w:sz w:val="28"/>
          <w:szCs w:val="28"/>
          <w:lang w:eastAsia="en-US"/>
        </w:rPr>
      </w:pPr>
    </w:p>
    <w:p w:rsidR="00E94224" w:rsidRPr="00E94224" w:rsidRDefault="00E94224" w:rsidP="00E94224">
      <w:pPr>
        <w:pStyle w:val="SingleTxtGR"/>
        <w:spacing w:before="120"/>
        <w:jc w:val="left"/>
        <w:rPr>
          <w:b/>
          <w:sz w:val="26"/>
          <w:szCs w:val="26"/>
          <w:lang w:eastAsia="en-US"/>
        </w:rPr>
      </w:pPr>
      <w:r w:rsidRPr="00E94224">
        <w:rPr>
          <w:b/>
          <w:sz w:val="26"/>
          <w:szCs w:val="26"/>
          <w:lang w:eastAsia="en-US"/>
        </w:rPr>
        <w:t xml:space="preserve">Организация Объединенных Наций </w:t>
      </w:r>
      <w:r w:rsidRPr="00E94224">
        <w:rPr>
          <w:b/>
          <w:sz w:val="26"/>
          <w:szCs w:val="26"/>
          <w:lang w:eastAsia="en-US"/>
        </w:rPr>
        <w:sym w:font="Symbol" w:char="F0B7"/>
      </w:r>
      <w:r>
        <w:rPr>
          <w:b/>
          <w:sz w:val="26"/>
          <w:szCs w:val="26"/>
          <w:lang w:eastAsia="en-US"/>
        </w:rPr>
        <w:t xml:space="preserve"> Нью-Йорк, 201</w:t>
      </w:r>
      <w:r w:rsidRPr="00E94224">
        <w:rPr>
          <w:b/>
          <w:sz w:val="26"/>
          <w:szCs w:val="26"/>
          <w:lang w:eastAsia="en-US"/>
        </w:rPr>
        <w:t>7 год</w:t>
      </w:r>
    </w:p>
    <w:p w:rsidR="008431E7" w:rsidRPr="000756BC" w:rsidRDefault="006F6CBE" w:rsidP="000756BC">
      <w:pPr>
        <w:pStyle w:val="SingleTxtGR"/>
        <w:pageBreakBefore/>
        <w:spacing w:before="4800" w:after="240"/>
        <w:rPr>
          <w:i/>
          <w:iCs/>
          <w:lang w:eastAsia="en-US"/>
        </w:rPr>
      </w:pPr>
      <w:r w:rsidRPr="009145E4">
        <w:rPr>
          <w:i/>
          <w:iCs/>
          <w:lang w:eastAsia="en-US"/>
        </w:rPr>
        <w:lastRenderedPageBreak/>
        <w:t>Примечание</w:t>
      </w:r>
    </w:p>
    <w:p w:rsidR="005F688E" w:rsidRPr="009145E4" w:rsidRDefault="005F688E" w:rsidP="000756BC">
      <w:pPr>
        <w:pStyle w:val="SingleTxtGR"/>
      </w:pPr>
      <w:r w:rsidRPr="009145E4">
        <w:tab/>
      </w:r>
      <w:r w:rsidR="000756BC" w:rsidRPr="000756BC">
        <w:rPr>
          <w:lang w:eastAsia="en-US"/>
        </w:rPr>
        <w:t>Условные обозначения документов Организации Объединенных Наций состоят из прописных букв и цифр. Когда такое обозначение встречается в те</w:t>
      </w:r>
      <w:r w:rsidR="000756BC" w:rsidRPr="000756BC">
        <w:rPr>
          <w:lang w:eastAsia="en-US"/>
        </w:rPr>
        <w:t>к</w:t>
      </w:r>
      <w:r w:rsidR="000756BC" w:rsidRPr="000756BC">
        <w:rPr>
          <w:lang w:eastAsia="en-US"/>
        </w:rPr>
        <w:t>сте, оно служит указанием на соответствующий документ Организации Об</w:t>
      </w:r>
      <w:r w:rsidR="000756BC" w:rsidRPr="000756BC">
        <w:rPr>
          <w:lang w:eastAsia="en-US"/>
        </w:rPr>
        <w:t>ъ</w:t>
      </w:r>
      <w:r w:rsidR="000756BC" w:rsidRPr="000756BC">
        <w:rPr>
          <w:lang w:eastAsia="en-US"/>
        </w:rPr>
        <w:t>единенных Наций.</w:t>
      </w:r>
    </w:p>
    <w:p w:rsidR="000756BC" w:rsidRDefault="000756BC" w:rsidP="008431E7">
      <w:pPr>
        <w:sectPr w:rsidR="000756BC" w:rsidSect="00691B07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pgNumType w:fmt="lowerRoman" w:start="3"/>
          <w:cols w:space="708"/>
          <w:docGrid w:linePitch="360"/>
        </w:sectPr>
      </w:pPr>
    </w:p>
    <w:tbl>
      <w:tblPr>
        <w:tblStyle w:val="aa"/>
        <w:tblW w:w="0" w:type="auto"/>
        <w:tblInd w:w="122" w:type="dxa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1"/>
      </w:tblGrid>
      <w:tr w:rsidR="000756BC" w:rsidRPr="000756BC" w:rsidTr="00661536">
        <w:tc>
          <w:tcPr>
            <w:tcW w:w="9631" w:type="dxa"/>
            <w:shd w:val="clear" w:color="auto" w:fill="auto"/>
          </w:tcPr>
          <w:p w:rsidR="000756BC" w:rsidRPr="000756BC" w:rsidRDefault="000756BC" w:rsidP="00C615EA">
            <w:pPr>
              <w:suppressAutoHyphens/>
              <w:spacing w:before="360" w:after="120"/>
              <w:ind w:left="255"/>
              <w:rPr>
                <w:rFonts w:eastAsia="Times New Roman" w:cs="Times New Roman"/>
                <w:i/>
                <w:sz w:val="24"/>
                <w:szCs w:val="24"/>
                <w:lang w:val="en-US"/>
              </w:rPr>
            </w:pPr>
            <w:r w:rsidRPr="000756BC">
              <w:rPr>
                <w:rFonts w:eastAsiaTheme="minorHAnsi"/>
                <w:i/>
                <w:sz w:val="24"/>
                <w:lang w:val="en-US" w:eastAsia="en-US"/>
              </w:rPr>
              <w:t>Резюме</w:t>
            </w:r>
          </w:p>
        </w:tc>
      </w:tr>
      <w:tr w:rsidR="000756BC" w:rsidRPr="000756BC" w:rsidTr="00661536">
        <w:tc>
          <w:tcPr>
            <w:tcW w:w="9631" w:type="dxa"/>
            <w:shd w:val="clear" w:color="auto" w:fill="auto"/>
          </w:tcPr>
          <w:p w:rsidR="000756BC" w:rsidRPr="000756BC" w:rsidRDefault="00057858" w:rsidP="000756BC">
            <w:pPr>
              <w:pStyle w:val="SingleTxtGR"/>
            </w:pPr>
            <w:r w:rsidRPr="00057858">
              <w:tab/>
              <w:t>Настоящий годовой доклад охват</w:t>
            </w:r>
            <w:r>
              <w:t>ывает период с 14 мая 2016 года</w:t>
            </w:r>
            <w:r w:rsidRPr="00057858">
              <w:br/>
              <w:t>по 12 мая 2017 года, в течение которого Комитет против пыток провел свои пятьдесят восьмую, пятьдесят девятую и шестидесятую сессии. По состо</w:t>
            </w:r>
            <w:r w:rsidRPr="00057858">
              <w:t>я</w:t>
            </w:r>
            <w:r w:rsidRPr="00057858">
              <w:t>нию на 12 мая 2017 года</w:t>
            </w:r>
            <w:r w:rsidR="006446F5">
              <w:t xml:space="preserve"> насчитывалось 161 государство </w:t>
            </w:r>
            <w:r w:rsidR="006446F5" w:rsidRPr="006446F5">
              <w:t>–</w:t>
            </w:r>
            <w:r w:rsidRPr="00057858">
              <w:t xml:space="preserve"> участник Конве</w:t>
            </w:r>
            <w:r w:rsidRPr="00057858">
              <w:t>н</w:t>
            </w:r>
            <w:r w:rsidRPr="00057858">
              <w:t>ции против пыток и других жестоких, бесчеловечных или унижающих д</w:t>
            </w:r>
            <w:r w:rsidRPr="00057858">
              <w:t>о</w:t>
            </w:r>
            <w:r w:rsidRPr="00057858">
              <w:t>стоинство видов обращения и наказания.</w:t>
            </w:r>
          </w:p>
        </w:tc>
      </w:tr>
      <w:tr w:rsidR="000756BC" w:rsidRPr="000756BC" w:rsidTr="00661536">
        <w:tc>
          <w:tcPr>
            <w:tcW w:w="9631" w:type="dxa"/>
            <w:shd w:val="clear" w:color="auto" w:fill="auto"/>
          </w:tcPr>
          <w:p w:rsidR="000756BC" w:rsidRPr="000756BC" w:rsidRDefault="00057858" w:rsidP="000756BC">
            <w:pPr>
              <w:pStyle w:val="SingleTxtGR"/>
            </w:pPr>
            <w:r w:rsidRPr="00057858">
              <w:tab/>
              <w:t>За отчетный период Комитет рассмотрел 17 докладов государств-участников, представленных в соответствии со статьей 19 Конвенции, и пр</w:t>
            </w:r>
            <w:r w:rsidRPr="00057858">
              <w:t>и</w:t>
            </w:r>
            <w:r w:rsidRPr="00057858">
              <w:t>нял по ним заключительные замечания (см. главу III). На своей пятьдесят восьмой сессии он рассмотрел доклады Бурунди, Гондураса, Кувейта и Мо</w:t>
            </w:r>
            <w:r w:rsidRPr="00057858">
              <w:t>н</w:t>
            </w:r>
            <w:r w:rsidRPr="00057858">
              <w:t>голии. На своей пятьдесят девятой сессии он рассмотрел доклады Армении, Монако, Намибии, Туркменистана, Ф</w:t>
            </w:r>
            <w:r w:rsidR="004338CD">
              <w:t>инляндии, Шри-Ланки и Эквадора,</w:t>
            </w:r>
            <w:r w:rsidR="004338CD">
              <w:br/>
            </w:r>
            <w:r w:rsidRPr="00057858">
              <w:t>а также положение в Кабо-Верде в отсутствие доклада. На своей шестидес</w:t>
            </w:r>
            <w:r w:rsidRPr="00057858">
              <w:t>я</w:t>
            </w:r>
            <w:r w:rsidRPr="00057858">
              <w:t>той сессии он рассмотрел доклады Аргентины, Афганистана, Бахрейна, Л</w:t>
            </w:r>
            <w:r w:rsidRPr="00057858">
              <w:t>и</w:t>
            </w:r>
            <w:r w:rsidRPr="00057858">
              <w:t>вана, Пакистана и Республики Корея.</w:t>
            </w:r>
          </w:p>
        </w:tc>
      </w:tr>
      <w:tr w:rsidR="000756BC" w:rsidRPr="000756BC" w:rsidTr="00661536">
        <w:tc>
          <w:tcPr>
            <w:tcW w:w="9631" w:type="dxa"/>
            <w:shd w:val="clear" w:color="auto" w:fill="auto"/>
          </w:tcPr>
          <w:p w:rsidR="000756BC" w:rsidRPr="000756BC" w:rsidRDefault="00057858" w:rsidP="000756BC">
            <w:pPr>
              <w:pStyle w:val="SingleTxtGR"/>
            </w:pPr>
            <w:r w:rsidRPr="00057858">
              <w:tab/>
              <w:t>Комитет выражает сожаление по поводу того, что некоторые госуда</w:t>
            </w:r>
            <w:r w:rsidRPr="00057858">
              <w:t>р</w:t>
            </w:r>
            <w:r w:rsidRPr="00057858">
              <w:t>ства-участники не выполняют свои обязательства по представлению докл</w:t>
            </w:r>
            <w:r w:rsidRPr="00057858">
              <w:t>а</w:t>
            </w:r>
            <w:r w:rsidRPr="00057858">
              <w:t>дов в соответствии со статьей 19 Конвенции. На момент подготовки насто</w:t>
            </w:r>
            <w:r w:rsidRPr="00057858">
              <w:t>я</w:t>
            </w:r>
            <w:r w:rsidRPr="00057858">
              <w:t>щего доклада представление первонач</w:t>
            </w:r>
            <w:r w:rsidR="004338CD">
              <w:t>альных докладов было просрочено</w:t>
            </w:r>
            <w:r w:rsidR="004338CD">
              <w:br/>
            </w:r>
            <w:r w:rsidRPr="00057858">
              <w:t>27 государствами-участниками, а периодических докладов − 38 государств</w:t>
            </w:r>
            <w:r w:rsidRPr="00057858">
              <w:t>а</w:t>
            </w:r>
            <w:r w:rsidRPr="00057858">
              <w:t>ми-участниками (см. главу II).</w:t>
            </w:r>
          </w:p>
        </w:tc>
      </w:tr>
      <w:tr w:rsidR="000756BC" w:rsidRPr="000756BC" w:rsidTr="00661536">
        <w:tc>
          <w:tcPr>
            <w:tcW w:w="9631" w:type="dxa"/>
            <w:shd w:val="clear" w:color="auto" w:fill="auto"/>
          </w:tcPr>
          <w:p w:rsidR="000756BC" w:rsidRPr="000756BC" w:rsidRDefault="00057858" w:rsidP="000756BC">
            <w:pPr>
              <w:pStyle w:val="SingleTxtGR"/>
            </w:pPr>
            <w:r w:rsidRPr="00057858">
              <w:tab/>
              <w:t>Процедура последующей деятельности Комитета в связи с заключ</w:t>
            </w:r>
            <w:r w:rsidRPr="00057858">
              <w:t>и</w:t>
            </w:r>
            <w:r w:rsidRPr="00057858">
              <w:t>тельными замечаниями получила в отчетный период дальнейшее развитие (см. главу IV). Комитет выражает признательность государствам-участникам, своевременно представившим Докладчику подробную информацию о посл</w:t>
            </w:r>
            <w:r w:rsidRPr="00057858">
              <w:t>е</w:t>
            </w:r>
            <w:r w:rsidRPr="00057858">
              <w:t>дующей деятельности в соответствии со статьей 19.</w:t>
            </w:r>
          </w:p>
        </w:tc>
      </w:tr>
      <w:tr w:rsidR="000756BC" w:rsidRPr="000756BC" w:rsidTr="00661536">
        <w:tc>
          <w:tcPr>
            <w:tcW w:w="9631" w:type="dxa"/>
            <w:shd w:val="clear" w:color="auto" w:fill="auto"/>
          </w:tcPr>
          <w:p w:rsidR="000756BC" w:rsidRPr="000756BC" w:rsidRDefault="00057858" w:rsidP="000756BC">
            <w:pPr>
              <w:pStyle w:val="SingleTxtGR"/>
            </w:pPr>
            <w:r w:rsidRPr="00057858">
              <w:tab/>
              <w:t>В отчетный период продолжала прим</w:t>
            </w:r>
            <w:r w:rsidR="006446F5">
              <w:t>еняться предусмотренная стат</w:t>
            </w:r>
            <w:r w:rsidR="006446F5">
              <w:t>ь</w:t>
            </w:r>
            <w:r w:rsidR="006446F5">
              <w:t>ей</w:t>
            </w:r>
            <w:r w:rsidR="006446F5">
              <w:rPr>
                <w:lang w:val="en-US"/>
              </w:rPr>
              <w:t> </w:t>
            </w:r>
            <w:r w:rsidRPr="00057858">
              <w:t>20 процедура Комитета, в соответствии с которой было проведено рассл</w:t>
            </w:r>
            <w:r w:rsidRPr="00057858">
              <w:t>е</w:t>
            </w:r>
            <w:r w:rsidRPr="00057858">
              <w:t>дование в отношении Египта (см. главу V).</w:t>
            </w:r>
          </w:p>
        </w:tc>
      </w:tr>
      <w:tr w:rsidR="000756BC" w:rsidRPr="000756BC" w:rsidTr="00661536">
        <w:tc>
          <w:tcPr>
            <w:tcW w:w="9631" w:type="dxa"/>
            <w:tcBorders>
              <w:bottom w:val="nil"/>
            </w:tcBorders>
            <w:shd w:val="clear" w:color="auto" w:fill="auto"/>
          </w:tcPr>
          <w:p w:rsidR="000756BC" w:rsidRPr="000756BC" w:rsidRDefault="00057858" w:rsidP="000756BC">
            <w:pPr>
              <w:pStyle w:val="SingleTxtGR"/>
            </w:pPr>
            <w:r w:rsidRPr="00057858">
              <w:tab/>
              <w:t>В соответствии со статьей 22 Конвенции Комитет принял 35 решений по существу и объявил 3 сообщения приемлемыми и 6 сообщений неприе</w:t>
            </w:r>
            <w:r w:rsidRPr="00057858">
              <w:t>м</w:t>
            </w:r>
            <w:r w:rsidRPr="00057858">
              <w:t>лемыми. По 18 делам рассмотрение жалоб было прекращено (см. главу VI). Со времени вступления в силу Конвенции было зарегистрировано 825 жалоб, включая 75 жалоб после составления предыдущего доклада.</w:t>
            </w:r>
          </w:p>
        </w:tc>
      </w:tr>
      <w:tr w:rsidR="00661536" w:rsidRPr="000756BC" w:rsidTr="00661536">
        <w:tc>
          <w:tcPr>
            <w:tcW w:w="9631" w:type="dxa"/>
            <w:tcBorders>
              <w:top w:val="nil"/>
              <w:bottom w:val="nil"/>
            </w:tcBorders>
            <w:shd w:val="clear" w:color="auto" w:fill="auto"/>
          </w:tcPr>
          <w:p w:rsidR="00661536" w:rsidRPr="00661536" w:rsidRDefault="00661536" w:rsidP="000756BC">
            <w:pPr>
              <w:pStyle w:val="SingleTxtGR"/>
            </w:pPr>
            <w:r w:rsidRPr="00661536">
              <w:tab/>
              <w:t>Объем работы Комитета в связи со статьей 22 продолжает расти, о чем свидетельствует большое число жалоб, зарегистрированных в отчетный п</w:t>
            </w:r>
            <w:r w:rsidRPr="00661536">
              <w:t>е</w:t>
            </w:r>
            <w:r w:rsidRPr="00661536">
              <w:t>риод. По состоянию на конец шестидесятой сессии рассмотрения ожидали 175 жалоб (см. главу VI).</w:t>
            </w:r>
          </w:p>
        </w:tc>
      </w:tr>
      <w:tr w:rsidR="000756BC" w:rsidRPr="000756BC" w:rsidTr="00661536">
        <w:tc>
          <w:tcPr>
            <w:tcW w:w="9631" w:type="dxa"/>
            <w:tcBorders>
              <w:top w:val="nil"/>
              <w:bottom w:val="nil"/>
            </w:tcBorders>
            <w:shd w:val="clear" w:color="auto" w:fill="auto"/>
          </w:tcPr>
          <w:p w:rsidR="000756BC" w:rsidRPr="000756BC" w:rsidRDefault="00661536" w:rsidP="000756BC">
            <w:pPr>
              <w:pStyle w:val="SingleTxtGR"/>
            </w:pPr>
            <w:r w:rsidRPr="00661536">
              <w:tab/>
              <w:t>Комитет вновь отмечает, что некоторые государства не выполняют р</w:t>
            </w:r>
            <w:r w:rsidRPr="00661536">
              <w:t>е</w:t>
            </w:r>
            <w:r w:rsidRPr="00661536">
              <w:t xml:space="preserve">шения, принятые по жалобам. Комитет продолжал прилагать усилия </w:t>
            </w:r>
            <w:proofErr w:type="gramStart"/>
            <w:r w:rsidRPr="00661536">
              <w:t>в целях обеспечения выполнения его решений через своих докладчиков по вопросу о последующей деятельности в связи</w:t>
            </w:r>
            <w:proofErr w:type="gramEnd"/>
            <w:r w:rsidRPr="00661536">
              <w:t xml:space="preserve"> со статьей 22 (см. главу VI).</w:t>
            </w:r>
          </w:p>
        </w:tc>
      </w:tr>
      <w:tr w:rsidR="00661536" w:rsidRPr="000756BC" w:rsidTr="00661536">
        <w:tc>
          <w:tcPr>
            <w:tcW w:w="9631" w:type="dxa"/>
            <w:tcBorders>
              <w:top w:val="nil"/>
            </w:tcBorders>
            <w:shd w:val="clear" w:color="auto" w:fill="auto"/>
          </w:tcPr>
          <w:p w:rsidR="00661536" w:rsidRPr="000756BC" w:rsidRDefault="00661536" w:rsidP="000756BC">
            <w:pPr>
              <w:pStyle w:val="SingleTxtGR"/>
            </w:pPr>
            <w:r w:rsidRPr="00661536">
              <w:tab/>
              <w:t>Комитет провел открытые консультации по проекту пересмотренного замечания общего порядка по статье 3 Конвенции (см. главу I). Он также уд</w:t>
            </w:r>
            <w:r w:rsidRPr="00661536">
              <w:t>е</w:t>
            </w:r>
            <w:r w:rsidRPr="00661536">
              <w:t>лил особое внимание репрессиям и обратился к Бурунди с просьбой подгот</w:t>
            </w:r>
            <w:r w:rsidRPr="00661536">
              <w:t>о</w:t>
            </w:r>
            <w:r w:rsidRPr="00661536">
              <w:t>вить специальный доклад (см. главы I и II).</w:t>
            </w:r>
          </w:p>
        </w:tc>
      </w:tr>
      <w:tr w:rsidR="000756BC" w:rsidRPr="000756BC" w:rsidTr="00661536">
        <w:tc>
          <w:tcPr>
            <w:tcW w:w="9631" w:type="dxa"/>
            <w:tcBorders>
              <w:top w:val="nil"/>
            </w:tcBorders>
            <w:shd w:val="clear" w:color="auto" w:fill="auto"/>
          </w:tcPr>
          <w:p w:rsidR="000756BC" w:rsidRPr="000756BC" w:rsidRDefault="000756BC" w:rsidP="000756BC">
            <w:pPr>
              <w:pStyle w:val="SingleTxtGR"/>
            </w:pPr>
          </w:p>
        </w:tc>
      </w:tr>
    </w:tbl>
    <w:p w:rsidR="000B6705" w:rsidRPr="006446F5" w:rsidRDefault="000B6705" w:rsidP="008431E7"/>
    <w:p w:rsidR="000B6705" w:rsidRPr="006446F5" w:rsidRDefault="000B6705" w:rsidP="008431E7">
      <w:pPr>
        <w:sectPr w:rsidR="000B6705" w:rsidRPr="006446F5" w:rsidSect="00691B07">
          <w:headerReference w:type="default" r:id="rId18"/>
          <w:footerReference w:type="default" r:id="rId19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pgNumType w:fmt="lowerRoman" w:start="3"/>
          <w:cols w:space="708"/>
          <w:docGrid w:linePitch="360"/>
        </w:sectPr>
      </w:pPr>
    </w:p>
    <w:p w:rsidR="000B6705" w:rsidRDefault="000B6705" w:rsidP="005C7441">
      <w:pPr>
        <w:spacing w:after="100" w:line="220" w:lineRule="atLeast"/>
        <w:rPr>
          <w:sz w:val="28"/>
        </w:rPr>
      </w:pPr>
      <w:r>
        <w:rPr>
          <w:sz w:val="28"/>
        </w:rPr>
        <w:t>Содержание</w:t>
      </w:r>
    </w:p>
    <w:p w:rsidR="000B6705" w:rsidRDefault="00151FE4" w:rsidP="005C7441">
      <w:pPr>
        <w:tabs>
          <w:tab w:val="right" w:pos="9638"/>
        </w:tabs>
        <w:spacing w:after="100" w:line="220" w:lineRule="atLeast"/>
        <w:ind w:left="283"/>
        <w:rPr>
          <w:sz w:val="18"/>
        </w:rPr>
      </w:pPr>
      <w:r>
        <w:rPr>
          <w:i/>
          <w:sz w:val="18"/>
        </w:rPr>
        <w:t>Глава</w:t>
      </w:r>
      <w:proofErr w:type="gramStart"/>
      <w:r w:rsidR="000B6705">
        <w:rPr>
          <w:i/>
          <w:sz w:val="18"/>
        </w:rPr>
        <w:tab/>
        <w:t>С</w:t>
      </w:r>
      <w:proofErr w:type="gramEnd"/>
      <w:r w:rsidR="000B6705">
        <w:rPr>
          <w:i/>
          <w:sz w:val="18"/>
        </w:rPr>
        <w:t>тр.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>
        <w:tab/>
      </w:r>
      <w:r w:rsidRPr="00151FE4">
        <w:t>I.</w:t>
      </w:r>
      <w:r w:rsidRPr="00151FE4">
        <w:tab/>
        <w:t>Организационные и другие вопросы</w:t>
      </w:r>
      <w:r>
        <w:t xml:space="preserve"> </w:t>
      </w:r>
      <w:r w:rsidRPr="00151FE4">
        <w:tab/>
      </w:r>
      <w:r w:rsidRPr="00151FE4">
        <w:tab/>
      </w:r>
      <w:r w:rsidR="00C615EA" w:rsidRPr="00C615EA">
        <w:t>1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>
        <w:tab/>
      </w:r>
      <w:r w:rsidRPr="00151FE4">
        <w:t>A.</w:t>
      </w:r>
      <w:r w:rsidRPr="00151FE4">
        <w:tab/>
        <w:t>Государства − участники Конвенции</w:t>
      </w:r>
      <w:r>
        <w:t xml:space="preserve"> </w:t>
      </w:r>
      <w:r w:rsidRPr="00151FE4">
        <w:tab/>
      </w:r>
      <w:r w:rsidRPr="00151FE4">
        <w:tab/>
      </w:r>
      <w:r w:rsidR="00C615EA" w:rsidRPr="00C615EA">
        <w:t>1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>
        <w:tab/>
      </w:r>
      <w:r w:rsidRPr="00151FE4">
        <w:t>B.</w:t>
      </w:r>
      <w:r w:rsidRPr="00151FE4">
        <w:tab/>
        <w:t>Сессии и повестки дня Комитета</w:t>
      </w:r>
      <w:r>
        <w:t xml:space="preserve"> </w:t>
      </w:r>
      <w:r w:rsidRPr="00151FE4">
        <w:tab/>
      </w:r>
      <w:r w:rsidRPr="00151FE4">
        <w:tab/>
      </w:r>
      <w:r w:rsidR="00C615EA" w:rsidRPr="00C615EA">
        <w:t>1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>
        <w:tab/>
      </w:r>
      <w:r w:rsidRPr="00151FE4">
        <w:t>C.</w:t>
      </w:r>
      <w:r w:rsidRPr="00151FE4">
        <w:tab/>
        <w:t>Членский состав, должностные лица и сроки полномочий</w:t>
      </w:r>
      <w:r>
        <w:t xml:space="preserve"> </w:t>
      </w:r>
      <w:r w:rsidRPr="00151FE4">
        <w:tab/>
      </w:r>
      <w:r w:rsidRPr="00151FE4">
        <w:tab/>
      </w:r>
      <w:r w:rsidR="00C615EA" w:rsidRPr="00C615EA">
        <w:t>1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>
        <w:tab/>
      </w:r>
      <w:r w:rsidRPr="00151FE4">
        <w:t>D.</w:t>
      </w:r>
      <w:r w:rsidRPr="00151FE4">
        <w:tab/>
        <w:t>Устный доклад Председателя Генеральной Ассамблее</w:t>
      </w:r>
      <w:r>
        <w:t xml:space="preserve"> </w:t>
      </w:r>
      <w:r w:rsidRPr="00151FE4">
        <w:tab/>
      </w:r>
      <w:r w:rsidRPr="00151FE4">
        <w:tab/>
      </w:r>
      <w:r w:rsidR="00C615EA" w:rsidRPr="00C615EA">
        <w:t>2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559" w:hanging="1559"/>
      </w:pPr>
      <w:r w:rsidRPr="00151FE4">
        <w:tab/>
      </w:r>
      <w:r>
        <w:tab/>
      </w:r>
      <w:r w:rsidRPr="00151FE4">
        <w:t>E.</w:t>
      </w:r>
      <w:r w:rsidRPr="00151FE4">
        <w:tab/>
        <w:t>Деятельность Комитета в связи с Факультативн</w:t>
      </w:r>
      <w:r>
        <w:t>ым протоколом</w:t>
      </w:r>
      <w:r>
        <w:br/>
      </w:r>
      <w:r w:rsidRPr="00151FE4">
        <w:t xml:space="preserve">к Конвенции </w:t>
      </w:r>
      <w:r w:rsidRPr="00151FE4">
        <w:tab/>
      </w:r>
      <w:r w:rsidRPr="00151FE4">
        <w:tab/>
      </w:r>
      <w:r w:rsidR="00C615EA" w:rsidRPr="00C615EA">
        <w:t>2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559" w:hanging="1559"/>
      </w:pPr>
      <w:r w:rsidRPr="00151FE4">
        <w:tab/>
      </w:r>
      <w:r>
        <w:tab/>
      </w:r>
      <w:r w:rsidRPr="00151FE4">
        <w:t>F.</w:t>
      </w:r>
      <w:r w:rsidRPr="00151FE4">
        <w:tab/>
        <w:t>Совместное заявление по случаю</w:t>
      </w:r>
      <w:r>
        <w:t xml:space="preserve"> Международного дня Организации</w:t>
      </w:r>
      <w:r>
        <w:br/>
      </w:r>
      <w:r w:rsidRPr="00151FE4">
        <w:t>Объединенных Наций в поддерж</w:t>
      </w:r>
      <w:r>
        <w:t>ку жертв пыток и сотрудничество</w:t>
      </w:r>
      <w:r>
        <w:br/>
      </w:r>
      <w:r w:rsidRPr="00151FE4">
        <w:t xml:space="preserve">с Советом </w:t>
      </w:r>
      <w:proofErr w:type="gramStart"/>
      <w:r w:rsidRPr="00151FE4">
        <w:t>попечителей Фонда добровольных взносов Орга</w:t>
      </w:r>
      <w:r>
        <w:t>низации</w:t>
      </w:r>
      <w:r>
        <w:br/>
      </w:r>
      <w:r w:rsidRPr="00151FE4">
        <w:t>Объединенных Наций</w:t>
      </w:r>
      <w:proofErr w:type="gramEnd"/>
      <w:r w:rsidRPr="00151FE4">
        <w:t xml:space="preserve"> для жертв пыток</w:t>
      </w:r>
      <w:r>
        <w:t xml:space="preserve"> </w:t>
      </w:r>
      <w:r w:rsidRPr="00151FE4">
        <w:tab/>
      </w:r>
      <w:r w:rsidRPr="00151FE4">
        <w:tab/>
      </w:r>
      <w:r w:rsidR="00C615EA" w:rsidRPr="00C615EA">
        <w:t>2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>
        <w:tab/>
      </w:r>
      <w:r w:rsidRPr="00151FE4">
        <w:t>G.</w:t>
      </w:r>
      <w:r w:rsidRPr="00151FE4">
        <w:tab/>
        <w:t>Пересмотренное замечание общего порядка по статье 3 Конвенции</w:t>
      </w:r>
      <w:r>
        <w:t xml:space="preserve"> </w:t>
      </w:r>
      <w:r w:rsidRPr="00151FE4">
        <w:tab/>
      </w:r>
      <w:r w:rsidRPr="00151FE4">
        <w:tab/>
      </w:r>
      <w:r w:rsidR="00C615EA" w:rsidRPr="00C615EA">
        <w:t>3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>
        <w:tab/>
      </w:r>
      <w:r w:rsidRPr="00151FE4">
        <w:t>H.</w:t>
      </w:r>
      <w:r w:rsidRPr="00151FE4">
        <w:tab/>
        <w:t>Участие неправительственных организаций</w:t>
      </w:r>
      <w:r>
        <w:t xml:space="preserve"> </w:t>
      </w:r>
      <w:r w:rsidRPr="00151FE4">
        <w:tab/>
      </w:r>
      <w:r w:rsidRPr="00151FE4">
        <w:tab/>
      </w:r>
      <w:r w:rsidR="00C615EA" w:rsidRPr="00C615EA">
        <w:t>3</w:t>
      </w:r>
    </w:p>
    <w:p w:rsidR="00337A1D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559" w:hanging="1559"/>
      </w:pPr>
      <w:r w:rsidRPr="00151FE4">
        <w:tab/>
      </w:r>
      <w:r>
        <w:tab/>
      </w:r>
      <w:r w:rsidRPr="00151FE4">
        <w:t>I.</w:t>
      </w:r>
      <w:r w:rsidRPr="00151FE4">
        <w:tab/>
        <w:t>Участие национальных правозащ</w:t>
      </w:r>
      <w:r>
        <w:t>итных учреждений и национальных</w:t>
      </w:r>
      <w:r>
        <w:br/>
      </w:r>
      <w:r w:rsidRPr="00151FE4">
        <w:t>превентивных механизмов</w:t>
      </w:r>
      <w:r w:rsidR="00337A1D">
        <w:t xml:space="preserve"> </w:t>
      </w:r>
      <w:r w:rsidR="00337A1D">
        <w:tab/>
      </w:r>
      <w:r w:rsidR="00C615EA" w:rsidRPr="00C615EA">
        <w:tab/>
        <w:t>3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559" w:hanging="1559"/>
      </w:pPr>
      <w:r w:rsidRPr="00151FE4">
        <w:tab/>
      </w:r>
      <w:r w:rsidR="00337A1D">
        <w:tab/>
      </w:r>
      <w:r w:rsidRPr="00151FE4">
        <w:t>J.</w:t>
      </w:r>
      <w:r w:rsidRPr="00151FE4">
        <w:tab/>
        <w:t>Докладчики по вопросу о репрессиях</w:t>
      </w:r>
      <w:r w:rsidR="00337A1D">
        <w:t xml:space="preserve"> </w:t>
      </w:r>
      <w:r w:rsidRPr="00151FE4">
        <w:tab/>
      </w:r>
      <w:r w:rsidRPr="00151FE4">
        <w:tab/>
      </w:r>
      <w:r w:rsidR="00C615EA" w:rsidRPr="00C615EA">
        <w:t>4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 w:rsidR="00337A1D">
        <w:tab/>
      </w:r>
      <w:r w:rsidRPr="00151FE4">
        <w:t>K.</w:t>
      </w:r>
      <w:r w:rsidRPr="00151FE4">
        <w:tab/>
        <w:t>Процесс укрепления договорных органов</w:t>
      </w:r>
      <w:r w:rsidR="00337A1D">
        <w:t xml:space="preserve"> </w:t>
      </w:r>
      <w:r w:rsidRPr="00151FE4">
        <w:tab/>
      </w:r>
      <w:r w:rsidRPr="00151FE4">
        <w:tab/>
      </w:r>
      <w:r w:rsidR="00C615EA" w:rsidRPr="00C615EA">
        <w:t>4</w:t>
      </w:r>
    </w:p>
    <w:p w:rsidR="00337A1D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559" w:hanging="1559"/>
      </w:pPr>
      <w:r w:rsidRPr="00151FE4">
        <w:tab/>
      </w:r>
      <w:r w:rsidR="00337A1D">
        <w:tab/>
      </w:r>
      <w:r w:rsidRPr="00151FE4">
        <w:t>L.</w:t>
      </w:r>
      <w:r w:rsidRPr="00151FE4">
        <w:tab/>
        <w:t>Осуществление решений неоф</w:t>
      </w:r>
      <w:r w:rsidR="00337A1D">
        <w:t>ициального совещания по вопросу</w:t>
      </w:r>
      <w:r w:rsidR="00337A1D">
        <w:br/>
      </w:r>
      <w:r w:rsidRPr="00151FE4">
        <w:t>о методах работы Комитета</w:t>
      </w:r>
      <w:r w:rsidR="00337A1D">
        <w:t xml:space="preserve"> </w:t>
      </w:r>
      <w:r w:rsidRPr="00151FE4">
        <w:tab/>
      </w:r>
      <w:r w:rsidRPr="00151FE4">
        <w:tab/>
      </w:r>
      <w:r w:rsidR="00C615EA" w:rsidRPr="00C615EA">
        <w:t>4</w:t>
      </w:r>
    </w:p>
    <w:p w:rsidR="00151FE4" w:rsidRPr="00C615EA" w:rsidRDefault="00337A1D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559" w:hanging="1559"/>
      </w:pPr>
      <w:r>
        <w:tab/>
      </w:r>
      <w:r>
        <w:tab/>
      </w:r>
      <w:r w:rsidR="00151FE4" w:rsidRPr="00151FE4">
        <w:t>M.</w:t>
      </w:r>
      <w:r w:rsidR="00151FE4" w:rsidRPr="00151FE4">
        <w:tab/>
        <w:t>Участие членов Комитета в работе других заседаний</w:t>
      </w:r>
      <w:r>
        <w:t xml:space="preserve"> </w:t>
      </w:r>
      <w:r w:rsidR="00151FE4" w:rsidRPr="00151FE4">
        <w:tab/>
      </w:r>
      <w:r w:rsidR="00151FE4" w:rsidRPr="00151FE4">
        <w:tab/>
      </w:r>
      <w:r w:rsidR="00C615EA" w:rsidRPr="00C615EA">
        <w:t>5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134" w:hanging="1134"/>
      </w:pPr>
      <w:r w:rsidRPr="00151FE4">
        <w:tab/>
        <w:t>II.</w:t>
      </w:r>
      <w:r w:rsidRPr="00151FE4">
        <w:tab/>
        <w:t>Представление докладов государст</w:t>
      </w:r>
      <w:r w:rsidR="00337A1D">
        <w:t>вами-участниками в соответствии</w:t>
      </w:r>
      <w:r w:rsidR="00337A1D">
        <w:br/>
      </w:r>
      <w:r w:rsidRPr="00151FE4">
        <w:t>со статьей 19 Конвенции</w:t>
      </w:r>
      <w:r w:rsidR="00337A1D">
        <w:t xml:space="preserve"> </w:t>
      </w:r>
      <w:r w:rsidRPr="00151FE4">
        <w:tab/>
      </w:r>
      <w:r w:rsidRPr="00151FE4">
        <w:tab/>
      </w:r>
      <w:r w:rsidR="00C615EA" w:rsidRPr="00C615EA">
        <w:t>6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 w:rsidR="005C7441">
        <w:tab/>
      </w:r>
      <w:r w:rsidRPr="00151FE4">
        <w:t>A.</w:t>
      </w:r>
      <w:r w:rsidRPr="00151FE4">
        <w:tab/>
        <w:t>Предложение представлять периодические доклады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7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 w:rsidR="005C7441">
        <w:tab/>
      </w:r>
      <w:r w:rsidRPr="00151FE4">
        <w:t>B.</w:t>
      </w:r>
      <w:r w:rsidRPr="00151FE4">
        <w:tab/>
        <w:t>Упрощенная процедура представления докладов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7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559" w:hanging="1559"/>
      </w:pPr>
      <w:r w:rsidRPr="00151FE4">
        <w:tab/>
      </w:r>
      <w:r w:rsidR="005C7441">
        <w:tab/>
      </w:r>
      <w:r w:rsidRPr="00151FE4">
        <w:t>C.</w:t>
      </w:r>
      <w:r w:rsidRPr="00151FE4">
        <w:tab/>
        <w:t>Напоминания в отноше</w:t>
      </w:r>
      <w:r w:rsidR="005C7441">
        <w:t>нии просроченных первоначальных и периодических</w:t>
      </w:r>
      <w:r w:rsidR="005C7441">
        <w:br/>
      </w:r>
      <w:r w:rsidRPr="00151FE4">
        <w:t>докладов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8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559" w:hanging="1559"/>
      </w:pPr>
      <w:r w:rsidRPr="00151FE4">
        <w:tab/>
      </w:r>
      <w:r w:rsidR="005C7441">
        <w:tab/>
      </w:r>
      <w:r w:rsidRPr="00151FE4">
        <w:t>D.</w:t>
      </w:r>
      <w:r w:rsidRPr="00151FE4">
        <w:tab/>
        <w:t>Рассмотрение мер, п</w:t>
      </w:r>
      <w:r w:rsidR="005C7441">
        <w:t>ринятых государством-участником в отсутствие</w:t>
      </w:r>
      <w:r w:rsidR="005C7441">
        <w:br/>
      </w:r>
      <w:r w:rsidRPr="00151FE4">
        <w:t>доклада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9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 w:rsidR="005C7441">
        <w:tab/>
      </w:r>
      <w:r w:rsidRPr="00151FE4">
        <w:t>E.</w:t>
      </w:r>
      <w:r w:rsidRPr="00151FE4">
        <w:tab/>
        <w:t>Просьба о представлении специального доклада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9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134" w:hanging="1134"/>
      </w:pPr>
      <w:r w:rsidRPr="00151FE4">
        <w:tab/>
        <w:t>III.</w:t>
      </w:r>
      <w:r w:rsidRPr="00151FE4">
        <w:tab/>
        <w:t>Рассмотрение докладов, представл</w:t>
      </w:r>
      <w:r w:rsidR="005C7441">
        <w:t>енных государствами-участниками</w:t>
      </w:r>
      <w:r w:rsidR="005C7441">
        <w:br/>
      </w:r>
      <w:r w:rsidRPr="00151FE4">
        <w:t>в соответствии со статьей 19 Конвенции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10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134" w:hanging="1134"/>
      </w:pPr>
      <w:r w:rsidRPr="00151FE4">
        <w:tab/>
        <w:t>IV.</w:t>
      </w:r>
      <w:r w:rsidRPr="00151FE4">
        <w:tab/>
        <w:t>Последующая деятельность в связ</w:t>
      </w:r>
      <w:r w:rsidR="005C7441">
        <w:t>и с заключительными замечаниями</w:t>
      </w:r>
      <w:r w:rsidR="005C7441">
        <w:br/>
      </w:r>
      <w:r w:rsidRPr="00151FE4">
        <w:t>по докладам государств-участников</w:t>
      </w:r>
      <w:r w:rsidR="005C7441">
        <w:t xml:space="preserve"> </w:t>
      </w:r>
      <w:r w:rsidRPr="00151FE4">
        <w:tab/>
      </w:r>
      <w:r w:rsidR="005C7441">
        <w:tab/>
      </w:r>
      <w:r w:rsidR="00C615EA" w:rsidRPr="00C615EA">
        <w:t>12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  <w:t>V.</w:t>
      </w:r>
      <w:r w:rsidRPr="00151FE4">
        <w:tab/>
        <w:t>Деятельность Комитета в соответствии со статьей 20 Конвенции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14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  <w:t>VI.</w:t>
      </w:r>
      <w:r w:rsidRPr="00151FE4">
        <w:tab/>
        <w:t>Рассмотрение жалоб в соответствии со статьей 22 Конвенции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17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 w:rsidRPr="00151FE4">
        <w:tab/>
        <w:t>A.</w:t>
      </w:r>
      <w:r w:rsidRPr="00151FE4">
        <w:tab/>
        <w:t>Введение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17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 w:rsidRPr="00151FE4">
        <w:tab/>
        <w:t>B.</w:t>
      </w:r>
      <w:r w:rsidRPr="00151FE4">
        <w:tab/>
        <w:t>Временные меры защиты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18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 w:rsidRPr="00151FE4">
        <w:tab/>
        <w:t>C.</w:t>
      </w:r>
      <w:r w:rsidRPr="00151FE4">
        <w:tab/>
        <w:t>Ход работы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18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</w:r>
      <w:r w:rsidR="005C7441">
        <w:tab/>
      </w:r>
      <w:r w:rsidRPr="00151FE4">
        <w:t>D.</w:t>
      </w:r>
      <w:r w:rsidRPr="00151FE4">
        <w:tab/>
        <w:t>Последующая деятельность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20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  <w:t>VII.</w:t>
      </w:r>
      <w:r w:rsidRPr="00151FE4">
        <w:tab/>
        <w:t>Заседания Комитета в 2017 году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21</w:t>
      </w:r>
    </w:p>
    <w:p w:rsidR="00151FE4" w:rsidRPr="00C615EA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  <w:t>VIII.</w:t>
      </w:r>
      <w:r w:rsidRPr="00151FE4">
        <w:tab/>
        <w:t>Утверждение годового доклада Комитета о его работе</w:t>
      </w:r>
      <w:r w:rsidR="005C7441">
        <w:t xml:space="preserve"> </w:t>
      </w:r>
      <w:r w:rsidRPr="00151FE4">
        <w:tab/>
      </w:r>
      <w:r w:rsidRPr="00151FE4">
        <w:tab/>
      </w:r>
      <w:r w:rsidR="00C615EA" w:rsidRPr="00C615EA">
        <w:t>21</w:t>
      </w:r>
    </w:p>
    <w:p w:rsidR="00151FE4" w:rsidRPr="00151FE4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</w:pPr>
      <w:r w:rsidRPr="00151FE4">
        <w:tab/>
        <w:t>Приложение</w:t>
      </w:r>
    </w:p>
    <w:p w:rsidR="0096750D" w:rsidRPr="005B26BC" w:rsidRDefault="00151FE4" w:rsidP="005C74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00" w:line="220" w:lineRule="atLeast"/>
        <w:ind w:left="1134" w:hanging="1134"/>
      </w:pPr>
      <w:r w:rsidRPr="00151FE4">
        <w:tab/>
      </w:r>
      <w:r w:rsidRPr="00151FE4">
        <w:tab/>
        <w:t>Членский состав, должностные лица и сроки полномочий</w:t>
      </w:r>
      <w:r w:rsidR="005C7441">
        <w:t xml:space="preserve"> по состоянию</w:t>
      </w:r>
      <w:r w:rsidR="005C7441">
        <w:br/>
      </w:r>
      <w:r w:rsidRPr="00151FE4">
        <w:t>на 12 мая 2017 года</w:t>
      </w:r>
      <w:r w:rsidR="005C7441">
        <w:t xml:space="preserve"> </w:t>
      </w:r>
      <w:r w:rsidRPr="00151FE4">
        <w:tab/>
      </w:r>
      <w:r w:rsidR="005C7441">
        <w:tab/>
      </w:r>
      <w:r w:rsidR="005B26BC" w:rsidRPr="005B26BC">
        <w:t>22</w:t>
      </w:r>
    </w:p>
    <w:p w:rsidR="00DE4C10" w:rsidRPr="009145E4" w:rsidRDefault="00DE4C10" w:rsidP="00C55ADD">
      <w:pPr>
        <w:sectPr w:rsidR="00DE4C10" w:rsidRPr="009145E4" w:rsidSect="000B670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pgNumType w:fmt="lowerRoman" w:start="5"/>
          <w:cols w:space="708"/>
          <w:titlePg/>
          <w:docGrid w:linePitch="360"/>
        </w:sectPr>
      </w:pPr>
    </w:p>
    <w:p w:rsidR="005C7441" w:rsidRPr="005C7441" w:rsidRDefault="00DE4C10" w:rsidP="004338CD">
      <w:pPr>
        <w:pStyle w:val="HChGR"/>
      </w:pPr>
      <w:r w:rsidRPr="009145E4">
        <w:tab/>
      </w:r>
      <w:r w:rsidR="005C7441" w:rsidRPr="005C7441">
        <w:t>I.</w:t>
      </w:r>
      <w:r w:rsidR="005C7441" w:rsidRPr="005C7441">
        <w:tab/>
        <w:t>Организационные и другие вопросы</w:t>
      </w:r>
      <w:bookmarkStart w:id="0" w:name="_Toc485738185"/>
      <w:bookmarkEnd w:id="0"/>
    </w:p>
    <w:p w:rsidR="005C7441" w:rsidRPr="005C7441" w:rsidRDefault="005C7441" w:rsidP="004338CD">
      <w:pPr>
        <w:pStyle w:val="H1GR"/>
      </w:pPr>
      <w:r w:rsidRPr="005C7441">
        <w:tab/>
        <w:t>A.</w:t>
      </w:r>
      <w:r w:rsidRPr="005C7441">
        <w:tab/>
        <w:t>Государства − участники Конвенции</w:t>
      </w:r>
      <w:bookmarkStart w:id="1" w:name="_Toc485738186"/>
      <w:bookmarkEnd w:id="1"/>
    </w:p>
    <w:p w:rsidR="005C7441" w:rsidRPr="005C7441" w:rsidRDefault="005C7441" w:rsidP="005C7441">
      <w:pPr>
        <w:pStyle w:val="SingleTxtGR"/>
      </w:pPr>
      <w:r w:rsidRPr="005C7441">
        <w:t>1.</w:t>
      </w:r>
      <w:r w:rsidRPr="005C7441">
        <w:tab/>
        <w:t>По состоянию на 12 мая 2017 года, дату закрытия шестидесятой сессии Комитета против пыток, государствами − участниками Конвенции против п</w:t>
      </w:r>
      <w:r w:rsidRPr="005C7441">
        <w:t>ы</w:t>
      </w:r>
      <w:r w:rsidRPr="005C7441">
        <w:t>ток и других жестоких, бесчеловечных или унижающих достоинство видов о</w:t>
      </w:r>
      <w:r w:rsidRPr="005C7441">
        <w:t>б</w:t>
      </w:r>
      <w:r w:rsidRPr="005C7441">
        <w:t>ращения и наказания являлось 161 государство. Конвенция была принята Ген</w:t>
      </w:r>
      <w:r w:rsidRPr="005C7441">
        <w:t>е</w:t>
      </w:r>
      <w:r w:rsidRPr="005C7441">
        <w:t>ральной Ассамблеей в ее резолюции 39/46 и вступила в силу 26 июня 1987 года.</w:t>
      </w:r>
    </w:p>
    <w:p w:rsidR="005C7441" w:rsidRPr="005C7441" w:rsidRDefault="005C7441" w:rsidP="005C7441">
      <w:pPr>
        <w:pStyle w:val="SingleTxtGR"/>
      </w:pPr>
      <w:r w:rsidRPr="005C7441">
        <w:t>2.</w:t>
      </w:r>
      <w:r w:rsidRPr="005C7441">
        <w:tab/>
        <w:t xml:space="preserve">Со времени предыдущего доклада Центральноафриканская Республика и Сан-Томе и Принсипи ратифицировали Конвенцию 11 октября 2016 </w:t>
      </w:r>
      <w:r w:rsidR="004338CD">
        <w:t>года</w:t>
      </w:r>
      <w:r w:rsidR="004338CD">
        <w:br/>
      </w:r>
      <w:r w:rsidRPr="005C7441">
        <w:t>и 10 января 2017 года соответственно. Комитет призывает все государства, к</w:t>
      </w:r>
      <w:r w:rsidRPr="005C7441">
        <w:t>о</w:t>
      </w:r>
      <w:r w:rsidRPr="005C7441">
        <w:t>торые еще не ратифицировали Конвенцию, сделать это и призывает госуда</w:t>
      </w:r>
      <w:r w:rsidRPr="005C7441">
        <w:t>р</w:t>
      </w:r>
      <w:r w:rsidRPr="005C7441">
        <w:t xml:space="preserve">ства, которые уже являются ее участниками, давать согласие на применение всех предусмотренных Конвенцией процедур, с </w:t>
      </w:r>
      <w:proofErr w:type="gramStart"/>
      <w:r w:rsidRPr="005C7441">
        <w:t>тем</w:t>
      </w:r>
      <w:proofErr w:type="gramEnd"/>
      <w:r w:rsidRPr="005C7441">
        <w:t xml:space="preserve"> чтобы Комитет мог в по</w:t>
      </w:r>
      <w:r w:rsidRPr="005C7441">
        <w:t>л</w:t>
      </w:r>
      <w:r w:rsidRPr="005C7441">
        <w:t>ном объеме выполнять все аспекты своего мандата.</w:t>
      </w:r>
    </w:p>
    <w:p w:rsidR="005C7441" w:rsidRPr="005C7441" w:rsidRDefault="005C7441" w:rsidP="005C7441">
      <w:pPr>
        <w:pStyle w:val="SingleTxtGR"/>
      </w:pPr>
      <w:r w:rsidRPr="005C7441">
        <w:t>3.</w:t>
      </w:r>
      <w:r w:rsidRPr="005C7441">
        <w:tab/>
        <w:t>Со всей информацией относительно статуса этого договора, в том числе о заявлениях, предусмотренных в статьях 20, 21 и 22, оговорках и возражениях, сделанных государствами-участниками в отношении Конвенции, можно озн</w:t>
      </w:r>
      <w:r w:rsidRPr="005C7441">
        <w:t>а</w:t>
      </w:r>
      <w:r w:rsidRPr="005C7441">
        <w:t xml:space="preserve">комиться по адресу </w:t>
      </w:r>
      <w:r w:rsidR="00D43468">
        <w:fldChar w:fldCharType="begin"/>
      </w:r>
      <w:r w:rsidR="00D43468">
        <w:instrText xml:space="preserve"> HYPERLINK "http://treaties.un.org" </w:instrText>
      </w:r>
      <w:r w:rsidR="00D43468">
        <w:fldChar w:fldCharType="separate"/>
      </w:r>
      <w:r w:rsidR="006446F5" w:rsidRPr="006446F5">
        <w:rPr>
          <w:rStyle w:val="af1"/>
          <w:lang w:val="es-ES_tradnl"/>
        </w:rPr>
        <w:t>http</w:t>
      </w:r>
      <w:r w:rsidR="006446F5" w:rsidRPr="006446F5">
        <w:rPr>
          <w:rStyle w:val="af1"/>
        </w:rPr>
        <w:t>://</w:t>
      </w:r>
      <w:proofErr w:type="spellStart"/>
      <w:r w:rsidR="006446F5" w:rsidRPr="006446F5">
        <w:rPr>
          <w:rStyle w:val="af1"/>
          <w:lang w:val="es-ES_tradnl"/>
        </w:rPr>
        <w:t>treaties</w:t>
      </w:r>
      <w:proofErr w:type="spellEnd"/>
      <w:r w:rsidR="006446F5" w:rsidRPr="006446F5">
        <w:rPr>
          <w:rStyle w:val="af1"/>
        </w:rPr>
        <w:t>.</w:t>
      </w:r>
      <w:r w:rsidR="006446F5" w:rsidRPr="006446F5">
        <w:rPr>
          <w:rStyle w:val="af1"/>
          <w:lang w:val="es-ES_tradnl"/>
        </w:rPr>
        <w:t>un</w:t>
      </w:r>
      <w:r w:rsidR="006446F5" w:rsidRPr="006446F5">
        <w:rPr>
          <w:rStyle w:val="af1"/>
        </w:rPr>
        <w:t>.</w:t>
      </w:r>
      <w:proofErr w:type="spellStart"/>
      <w:r w:rsidR="006446F5" w:rsidRPr="006446F5">
        <w:rPr>
          <w:rStyle w:val="af1"/>
          <w:lang w:val="es-ES_tradnl"/>
        </w:rPr>
        <w:t>org</w:t>
      </w:r>
      <w:proofErr w:type="spellEnd"/>
      <w:r w:rsidR="00D43468">
        <w:rPr>
          <w:rStyle w:val="af1"/>
          <w:lang w:val="es-ES_tradnl"/>
        </w:rPr>
        <w:fldChar w:fldCharType="end"/>
      </w:r>
      <w:r w:rsidRPr="005C7441">
        <w:t>.</w:t>
      </w:r>
    </w:p>
    <w:p w:rsidR="005C7441" w:rsidRPr="005C7441" w:rsidRDefault="005C7441" w:rsidP="004338CD">
      <w:pPr>
        <w:pStyle w:val="H1GR"/>
      </w:pPr>
      <w:r w:rsidRPr="005C7441">
        <w:tab/>
        <w:t>B.</w:t>
      </w:r>
      <w:r w:rsidRPr="005C7441">
        <w:tab/>
        <w:t>Сессии и повестки дня Комитета</w:t>
      </w:r>
      <w:bookmarkStart w:id="2" w:name="_Toc485738187"/>
      <w:bookmarkEnd w:id="2"/>
    </w:p>
    <w:p w:rsidR="005C7441" w:rsidRPr="005C7441" w:rsidRDefault="005C7441" w:rsidP="005C7441">
      <w:pPr>
        <w:pStyle w:val="SingleTxtGR"/>
      </w:pPr>
      <w:r w:rsidRPr="005C7441">
        <w:t>4.</w:t>
      </w:r>
      <w:r w:rsidRPr="005C7441">
        <w:tab/>
        <w:t>Со времени утверждения своего предыдущего годового доклада Комитет провел три сессии.</w:t>
      </w:r>
      <w:r w:rsidR="004338CD">
        <w:t xml:space="preserve"> Пятьдесят восьмая сессия (1432–</w:t>
      </w:r>
      <w:r w:rsidRPr="005C7441">
        <w:t>1459-е заседания) состо</w:t>
      </w:r>
      <w:r w:rsidRPr="005C7441">
        <w:t>я</w:t>
      </w:r>
      <w:r w:rsidR="004338CD">
        <w:t>лась 25 июля –</w:t>
      </w:r>
      <w:r w:rsidRPr="005C7441">
        <w:t xml:space="preserve"> 12 августа 2016 года,</w:t>
      </w:r>
      <w:r w:rsidR="004338CD">
        <w:t xml:space="preserve"> пятьдесят девятая сессия (1460–</w:t>
      </w:r>
      <w:r w:rsidRPr="005C7441">
        <w:t>1504-е з</w:t>
      </w:r>
      <w:r w:rsidRPr="005C7441">
        <w:t>а</w:t>
      </w:r>
      <w:r w:rsidRPr="005C7441">
        <w:t>се</w:t>
      </w:r>
      <w:r w:rsidR="004338CD">
        <w:t>дания) – 7 ноября –</w:t>
      </w:r>
      <w:r w:rsidRPr="005C7441">
        <w:t xml:space="preserve"> 7 декабря 2016 го</w:t>
      </w:r>
      <w:r w:rsidR="004338CD">
        <w:t>да и шестидесятая сессия</w:t>
      </w:r>
      <w:r w:rsidR="004338CD">
        <w:br/>
        <w:t>(1505–</w:t>
      </w:r>
      <w:r w:rsidRPr="005C7441">
        <w:t>1541-е за</w:t>
      </w:r>
      <w:r w:rsidR="004338CD">
        <w:t>седания) –</w:t>
      </w:r>
      <w:r w:rsidRPr="005C7441">
        <w:t xml:space="preserve"> 18 апреля</w:t>
      </w:r>
      <w:r w:rsidR="006446F5" w:rsidRPr="006446F5">
        <w:t xml:space="preserve"> – </w:t>
      </w:r>
      <w:r w:rsidRPr="005C7441">
        <w:t xml:space="preserve">12 мая 2017 года. Сессии проходили в Отделении Организации </w:t>
      </w:r>
      <w:r w:rsidR="004338CD">
        <w:t>Объединенных Наций в Женеве.</w:t>
      </w:r>
    </w:p>
    <w:p w:rsidR="005C7441" w:rsidRPr="005C7441" w:rsidRDefault="005C7441" w:rsidP="005C7441">
      <w:pPr>
        <w:pStyle w:val="SingleTxtGR"/>
      </w:pPr>
      <w:r w:rsidRPr="005C7441">
        <w:t>5.</w:t>
      </w:r>
      <w:r w:rsidRPr="005C7441">
        <w:tab/>
        <w:t>На своем 1432-м заседании, состоявшемся 25 июля 2016 года, Комитет утвердил в качестве пунктов повестки дня своей пятьдесят восьмой сессии пункты, которые фигурировали в предварительной повестке дня, представле</w:t>
      </w:r>
      <w:r w:rsidRPr="005C7441">
        <w:t>н</w:t>
      </w:r>
      <w:r w:rsidRPr="005C7441">
        <w:t>ной Генеральным секретарем (</w:t>
      </w:r>
      <w:r w:rsidR="00D43468">
        <w:fldChar w:fldCharType="begin"/>
      </w:r>
      <w:r w:rsidR="00D43468">
        <w:instrText xml:space="preserve"> HYPERLINK "http://undocs.org/en/CAT/C/58/1" </w:instrText>
      </w:r>
      <w:r w:rsidR="00D43468">
        <w:fldChar w:fldCharType="separate"/>
      </w:r>
      <w:r w:rsidR="006446F5" w:rsidRPr="006446F5">
        <w:rPr>
          <w:rStyle w:val="af1"/>
          <w:lang w:val="es-ES_tradnl"/>
        </w:rPr>
        <w:t>CAT</w:t>
      </w:r>
      <w:r w:rsidR="006446F5" w:rsidRPr="006446F5">
        <w:rPr>
          <w:rStyle w:val="af1"/>
        </w:rPr>
        <w:t>/</w:t>
      </w:r>
      <w:r w:rsidR="006446F5" w:rsidRPr="006446F5">
        <w:rPr>
          <w:rStyle w:val="af1"/>
          <w:lang w:val="es-ES_tradnl"/>
        </w:rPr>
        <w:t>C</w:t>
      </w:r>
      <w:r w:rsidR="006446F5" w:rsidRPr="006446F5">
        <w:rPr>
          <w:rStyle w:val="af1"/>
        </w:rPr>
        <w:t>/58/1</w:t>
      </w:r>
      <w:r w:rsidR="00D43468">
        <w:rPr>
          <w:rStyle w:val="af1"/>
        </w:rPr>
        <w:fldChar w:fldCharType="end"/>
      </w:r>
      <w:r w:rsidRPr="005C7441">
        <w:t>).</w:t>
      </w:r>
    </w:p>
    <w:p w:rsidR="005C7441" w:rsidRPr="005C7441" w:rsidRDefault="005C7441" w:rsidP="005C7441">
      <w:pPr>
        <w:pStyle w:val="SingleTxtGR"/>
      </w:pPr>
      <w:r w:rsidRPr="005C7441">
        <w:t>6.</w:t>
      </w:r>
      <w:r w:rsidRPr="005C7441">
        <w:tab/>
        <w:t>На своем 1460-м заседании, состоявшемся 7 ноября 2016 года, Комитет утвердил в качестве пунктов повестки дня своей пятьдесят девятой сессии пункты, которые фигурировали в предварительной повестке дня, представле</w:t>
      </w:r>
      <w:r w:rsidRPr="005C7441">
        <w:t>н</w:t>
      </w:r>
      <w:r w:rsidRPr="005C7441">
        <w:t>ной Генеральным секретарем (</w:t>
      </w:r>
      <w:r w:rsidR="00D43468">
        <w:fldChar w:fldCharType="begin"/>
      </w:r>
      <w:r w:rsidR="00D43468">
        <w:instrText xml:space="preserve"> HYPERLINK "http://undocs.org/en/CAT/C/59/1" </w:instrText>
      </w:r>
      <w:r w:rsidR="00D43468">
        <w:fldChar w:fldCharType="separate"/>
      </w:r>
      <w:r w:rsidR="006446F5" w:rsidRPr="006446F5">
        <w:rPr>
          <w:rStyle w:val="af1"/>
          <w:lang w:val="es-ES_tradnl"/>
        </w:rPr>
        <w:t>CAT</w:t>
      </w:r>
      <w:r w:rsidR="006446F5" w:rsidRPr="006446F5">
        <w:rPr>
          <w:rStyle w:val="af1"/>
        </w:rPr>
        <w:t>/</w:t>
      </w:r>
      <w:r w:rsidR="006446F5" w:rsidRPr="006446F5">
        <w:rPr>
          <w:rStyle w:val="af1"/>
          <w:lang w:val="es-ES_tradnl"/>
        </w:rPr>
        <w:t>C</w:t>
      </w:r>
      <w:r w:rsidR="006446F5" w:rsidRPr="006446F5">
        <w:rPr>
          <w:rStyle w:val="af1"/>
        </w:rPr>
        <w:t>/59/1</w:t>
      </w:r>
      <w:r w:rsidR="00D43468">
        <w:rPr>
          <w:rStyle w:val="af1"/>
        </w:rPr>
        <w:fldChar w:fldCharType="end"/>
      </w:r>
      <w:r w:rsidRPr="005C7441">
        <w:t>).</w:t>
      </w:r>
    </w:p>
    <w:p w:rsidR="005C7441" w:rsidRPr="005C7441" w:rsidRDefault="005C7441" w:rsidP="005C7441">
      <w:pPr>
        <w:pStyle w:val="SingleTxtGR"/>
      </w:pPr>
      <w:r w:rsidRPr="005C7441">
        <w:t>7.</w:t>
      </w:r>
      <w:r w:rsidRPr="005C7441">
        <w:tab/>
        <w:t>На своем 1505-м заседании, состоявшемся 18 апреля 2017 года, Комитет утвердил в качестве пунктов повестки дня своей шестидесятой сессии пункты, которые фигурировали в предварительной повестке дня, представленной Ген</w:t>
      </w:r>
      <w:r w:rsidRPr="005C7441">
        <w:t>е</w:t>
      </w:r>
      <w:r w:rsidRPr="005C7441">
        <w:t>ральным секретарем (</w:t>
      </w:r>
      <w:r w:rsidR="00D43468">
        <w:fldChar w:fldCharType="begin"/>
      </w:r>
      <w:r w:rsidR="00D43468">
        <w:instrText xml:space="preserve"> HYPERLINK "http://undocs.org/en/CAT/C/60/1" </w:instrText>
      </w:r>
      <w:r w:rsidR="00D43468">
        <w:fldChar w:fldCharType="separate"/>
      </w:r>
      <w:r w:rsidR="006446F5" w:rsidRPr="006446F5">
        <w:rPr>
          <w:rStyle w:val="af1"/>
          <w:lang w:val="es-ES_tradnl"/>
        </w:rPr>
        <w:t>CAT</w:t>
      </w:r>
      <w:r w:rsidR="006446F5" w:rsidRPr="006446F5">
        <w:rPr>
          <w:rStyle w:val="af1"/>
        </w:rPr>
        <w:t>/</w:t>
      </w:r>
      <w:r w:rsidR="006446F5" w:rsidRPr="006446F5">
        <w:rPr>
          <w:rStyle w:val="af1"/>
          <w:lang w:val="es-ES_tradnl"/>
        </w:rPr>
        <w:t>C</w:t>
      </w:r>
      <w:r w:rsidR="006446F5" w:rsidRPr="006446F5">
        <w:rPr>
          <w:rStyle w:val="af1"/>
        </w:rPr>
        <w:t>/60/1</w:t>
      </w:r>
      <w:r w:rsidR="00D43468">
        <w:rPr>
          <w:rStyle w:val="af1"/>
        </w:rPr>
        <w:fldChar w:fldCharType="end"/>
      </w:r>
      <w:r w:rsidRPr="005C7441">
        <w:t>).</w:t>
      </w:r>
    </w:p>
    <w:p w:rsidR="005C7441" w:rsidRPr="005C7441" w:rsidRDefault="005C7441" w:rsidP="005C7441">
      <w:pPr>
        <w:pStyle w:val="SingleTxtGR"/>
      </w:pPr>
      <w:r w:rsidRPr="005C7441">
        <w:t>8.</w:t>
      </w:r>
      <w:r w:rsidRPr="005C7441">
        <w:tab/>
        <w:t>Отчет об обсуждениях, проведенных в Комитете в ходе этих трех сессий, и принятых на них решениях содержится в соответствующих кратких отчетах (</w:t>
      </w:r>
      <w:r w:rsidR="00D43468">
        <w:fldChar w:fldCharType="begin"/>
      </w:r>
      <w:r w:rsidR="00D43468">
        <w:instrText xml:space="preserve"> HYPERLINK "http://undocs.org/en/CAT/C/SR.1432" </w:instrText>
      </w:r>
      <w:r w:rsidR="00D43468">
        <w:fldChar w:fldCharType="separate"/>
      </w:r>
      <w:r w:rsidR="00D3518A" w:rsidRPr="00D3518A">
        <w:rPr>
          <w:rStyle w:val="af1"/>
          <w:lang w:val="es-ES_tradnl"/>
        </w:rPr>
        <w:t>CAT</w:t>
      </w:r>
      <w:r w:rsidR="00D3518A" w:rsidRPr="00D3518A">
        <w:rPr>
          <w:rStyle w:val="af1"/>
        </w:rPr>
        <w:t>/</w:t>
      </w:r>
      <w:r w:rsidR="00D3518A" w:rsidRPr="00D3518A">
        <w:rPr>
          <w:rStyle w:val="af1"/>
          <w:lang w:val="es-ES_tradnl"/>
        </w:rPr>
        <w:t>C</w:t>
      </w:r>
      <w:r w:rsidR="00D3518A" w:rsidRPr="00D3518A">
        <w:rPr>
          <w:rStyle w:val="af1"/>
        </w:rPr>
        <w:t>/</w:t>
      </w:r>
      <w:r w:rsidR="00D3518A" w:rsidRPr="00D3518A">
        <w:rPr>
          <w:rStyle w:val="af1"/>
          <w:lang w:val="es-ES_tradnl"/>
        </w:rPr>
        <w:t>SR</w:t>
      </w:r>
      <w:r w:rsidR="00D3518A" w:rsidRPr="00D3518A">
        <w:rPr>
          <w:rStyle w:val="af1"/>
        </w:rPr>
        <w:t>.1432</w:t>
      </w:r>
      <w:r w:rsidR="00D43468">
        <w:rPr>
          <w:rStyle w:val="af1"/>
        </w:rPr>
        <w:fldChar w:fldCharType="end"/>
      </w:r>
      <w:r w:rsidR="00D3518A" w:rsidRPr="00D3518A">
        <w:t>-</w:t>
      </w:r>
      <w:r w:rsidR="00D43468">
        <w:fldChar w:fldCharType="begin"/>
      </w:r>
      <w:r w:rsidR="00D43468">
        <w:instrText xml:space="preserve"> HYPERLINK "http://undocs.org/en/CAT/C/SR.1542" </w:instrText>
      </w:r>
      <w:r w:rsidR="00D43468">
        <w:fldChar w:fldCharType="separate"/>
      </w:r>
      <w:r w:rsidR="00D3518A" w:rsidRPr="00D3518A">
        <w:rPr>
          <w:rStyle w:val="af1"/>
        </w:rPr>
        <w:t>1541</w:t>
      </w:r>
      <w:r w:rsidR="00D43468">
        <w:rPr>
          <w:rStyle w:val="af1"/>
        </w:rPr>
        <w:fldChar w:fldCharType="end"/>
      </w:r>
      <w:r w:rsidRPr="005C7441">
        <w:t>).</w:t>
      </w:r>
    </w:p>
    <w:p w:rsidR="005C7441" w:rsidRPr="005C7441" w:rsidRDefault="005C7441" w:rsidP="004338CD">
      <w:pPr>
        <w:pStyle w:val="H1GR"/>
      </w:pPr>
      <w:r w:rsidRPr="005C7441">
        <w:tab/>
        <w:t>C.</w:t>
      </w:r>
      <w:r w:rsidRPr="005C7441">
        <w:tab/>
        <w:t>Членский состав, должностные лица и сроки полномочий</w:t>
      </w:r>
      <w:bookmarkStart w:id="3" w:name="_Toc485738188"/>
      <w:bookmarkEnd w:id="3"/>
    </w:p>
    <w:p w:rsidR="005C7441" w:rsidRPr="005C7441" w:rsidRDefault="005C7441" w:rsidP="005C7441">
      <w:pPr>
        <w:pStyle w:val="SingleTxtGR"/>
      </w:pPr>
      <w:r w:rsidRPr="005C7441">
        <w:t>9.</w:t>
      </w:r>
      <w:r w:rsidRPr="005C7441">
        <w:tab/>
        <w:t>В течение периода, охватываемого настоящим докладом, членский состав Комитета оставался неизменным. Список членов и должностных лиц с указан</w:t>
      </w:r>
      <w:r w:rsidRPr="005C7441">
        <w:t>и</w:t>
      </w:r>
      <w:r w:rsidRPr="005C7441">
        <w:t>ем сроков их полн</w:t>
      </w:r>
      <w:r w:rsidR="004338CD">
        <w:t>омочий приводится в приложении.</w:t>
      </w:r>
    </w:p>
    <w:p w:rsidR="005C7441" w:rsidRPr="005C7441" w:rsidRDefault="005C7441" w:rsidP="004338CD">
      <w:pPr>
        <w:pStyle w:val="H1GR"/>
      </w:pPr>
      <w:r w:rsidRPr="005C7441">
        <w:tab/>
        <w:t>D.</w:t>
      </w:r>
      <w:r w:rsidRPr="005C7441">
        <w:tab/>
        <w:t>Устный доклад Председателя Генеральной Ассамблее</w:t>
      </w:r>
      <w:bookmarkStart w:id="4" w:name="_Toc485738189"/>
      <w:bookmarkEnd w:id="4"/>
    </w:p>
    <w:p w:rsidR="005C7441" w:rsidRPr="005C7441" w:rsidRDefault="005C7441" w:rsidP="005C7441">
      <w:pPr>
        <w:pStyle w:val="SingleTxtGR"/>
      </w:pPr>
      <w:r w:rsidRPr="005C7441">
        <w:t>10.</w:t>
      </w:r>
      <w:r w:rsidRPr="005C7441">
        <w:tab/>
        <w:t>В соответствии с пунктом 35 резолюции 68/156 Генеральной Ассамблеи 18 октября 2016 года Председатель Комитета представил устный доклад и пр</w:t>
      </w:r>
      <w:r w:rsidRPr="005C7441">
        <w:t>и</w:t>
      </w:r>
      <w:r w:rsidRPr="005C7441">
        <w:t>нял участие в интерактивном диалоге с Ассамблеей на ее семьдесят первой се</w:t>
      </w:r>
      <w:r w:rsidRPr="005C7441">
        <w:t>с</w:t>
      </w:r>
      <w:r w:rsidRPr="005C7441">
        <w:t xml:space="preserve">сии (см. веб-страницу Комитета, </w:t>
      </w:r>
      <w:proofErr w:type="gramStart"/>
      <w:r w:rsidRPr="005C7441">
        <w:t>размещенную</w:t>
      </w:r>
      <w:proofErr w:type="gramEnd"/>
      <w:r w:rsidRPr="005C7441">
        <w:t xml:space="preserve"> на веб-сайте Управления Ве</w:t>
      </w:r>
      <w:r w:rsidRPr="005C7441">
        <w:t>р</w:t>
      </w:r>
      <w:r w:rsidRPr="005C7441">
        <w:t xml:space="preserve">ховного комиссара Организации Объединенных Наций по правам человека (УВКПЧ), </w:t>
      </w:r>
      <w:hyperlink r:id="rId26" w:history="1">
        <w:r w:rsidR="00D43468">
          <w:fldChar w:fldCharType="begin"/>
        </w:r>
        <w:r w:rsidR="00D43468">
          <w:instrText xml:space="preserve"> HYPERLINK "http://www.ohchr.org" </w:instrText>
        </w:r>
        <w:r w:rsidR="00D43468">
          <w:fldChar w:fldCharType="separate"/>
        </w:r>
        <w:r w:rsidR="00D3518A" w:rsidRPr="00D3518A">
          <w:rPr>
            <w:rStyle w:val="af1"/>
            <w:lang w:val="en-GB"/>
          </w:rPr>
          <w:t>www</w:t>
        </w:r>
        <w:r w:rsidR="00D3518A" w:rsidRPr="00D3518A">
          <w:rPr>
            <w:rStyle w:val="af1"/>
          </w:rPr>
          <w:t>.</w:t>
        </w:r>
        <w:r w:rsidR="00D3518A" w:rsidRPr="00D3518A">
          <w:rPr>
            <w:rStyle w:val="af1"/>
            <w:lang w:val="en-GB"/>
          </w:rPr>
          <w:t>ohchr</w:t>
        </w:r>
        <w:r w:rsidR="00D3518A" w:rsidRPr="00D3518A">
          <w:rPr>
            <w:rStyle w:val="af1"/>
          </w:rPr>
          <w:t>.</w:t>
        </w:r>
        <w:r w:rsidR="00D3518A" w:rsidRPr="00D3518A">
          <w:rPr>
            <w:rStyle w:val="af1"/>
            <w:lang w:val="en-GB"/>
          </w:rPr>
          <w:t>org</w:t>
        </w:r>
        <w:r w:rsidR="00D43468">
          <w:rPr>
            <w:rStyle w:val="af1"/>
            <w:lang w:val="en-GB"/>
          </w:rPr>
          <w:fldChar w:fldCharType="end"/>
        </w:r>
        <w:r w:rsidRPr="00A37624">
          <w:rPr>
            <w:rStyle w:val="af1"/>
            <w:color w:val="auto"/>
          </w:rPr>
          <w:t>)</w:t>
        </w:r>
        <w:r w:rsidRPr="004338CD">
          <w:rPr>
            <w:rStyle w:val="af1"/>
          </w:rPr>
          <w:t>.</w:t>
        </w:r>
      </w:hyperlink>
    </w:p>
    <w:p w:rsidR="005C7441" w:rsidRPr="005C7441" w:rsidRDefault="005C7441" w:rsidP="004338CD">
      <w:pPr>
        <w:pStyle w:val="H1GR"/>
      </w:pPr>
      <w:r w:rsidRPr="005C7441">
        <w:tab/>
        <w:t>E.</w:t>
      </w:r>
      <w:r w:rsidRPr="005C7441">
        <w:tab/>
        <w:t>Деятельность Комитета в связи с Факультативным протоколом к Конвенции</w:t>
      </w:r>
      <w:bookmarkStart w:id="5" w:name="_Toc485738190"/>
      <w:bookmarkEnd w:id="5"/>
    </w:p>
    <w:p w:rsidR="005C7441" w:rsidRPr="005C7441" w:rsidRDefault="005C7441" w:rsidP="005C7441">
      <w:pPr>
        <w:pStyle w:val="SingleTxtGR"/>
      </w:pPr>
      <w:r w:rsidRPr="005C7441">
        <w:t>11.</w:t>
      </w:r>
      <w:r w:rsidRPr="005C7441">
        <w:tab/>
        <w:t xml:space="preserve">По состоянию на 12 мая 2017 года количество государств − участников Факультативного протокола к Конвенции составляло 83 (см. </w:t>
      </w:r>
      <w:r w:rsidR="00D43468">
        <w:fldChar w:fldCharType="begin"/>
      </w:r>
      <w:r w:rsidR="00D43468">
        <w:instrText xml:space="preserve"> HYPERLINK "http://treaties.un.org" </w:instrText>
      </w:r>
      <w:r w:rsidR="00D43468">
        <w:fldChar w:fldCharType="separate"/>
      </w:r>
      <w:r w:rsidR="00D3518A" w:rsidRPr="00D3518A">
        <w:rPr>
          <w:rStyle w:val="af1"/>
          <w:lang w:val="en-GB"/>
        </w:rPr>
        <w:t>http</w:t>
      </w:r>
      <w:r w:rsidR="00D3518A" w:rsidRPr="008909F2">
        <w:rPr>
          <w:rStyle w:val="af1"/>
        </w:rPr>
        <w:t>://</w:t>
      </w:r>
      <w:r w:rsidR="00D3518A" w:rsidRPr="008909F2">
        <w:rPr>
          <w:rStyle w:val="af1"/>
        </w:rPr>
        <w:br/>
      </w:r>
      <w:r w:rsidR="00D3518A" w:rsidRPr="00D3518A">
        <w:rPr>
          <w:rStyle w:val="af1"/>
          <w:lang w:val="en-GB"/>
        </w:rPr>
        <w:t>treaties</w:t>
      </w:r>
      <w:r w:rsidR="00D3518A" w:rsidRPr="008909F2">
        <w:rPr>
          <w:rStyle w:val="af1"/>
        </w:rPr>
        <w:t>.</w:t>
      </w:r>
      <w:r w:rsidR="00D3518A" w:rsidRPr="00D3518A">
        <w:rPr>
          <w:rStyle w:val="af1"/>
          <w:lang w:val="en-GB"/>
        </w:rPr>
        <w:t>un</w:t>
      </w:r>
      <w:r w:rsidR="00D3518A" w:rsidRPr="008909F2">
        <w:rPr>
          <w:rStyle w:val="af1"/>
        </w:rPr>
        <w:t>.</w:t>
      </w:r>
      <w:r w:rsidR="00D3518A" w:rsidRPr="00D3518A">
        <w:rPr>
          <w:rStyle w:val="af1"/>
          <w:lang w:val="en-GB"/>
        </w:rPr>
        <w:t>org</w:t>
      </w:r>
      <w:r w:rsidR="00D43468">
        <w:rPr>
          <w:rStyle w:val="af1"/>
          <w:lang w:val="en-GB"/>
        </w:rPr>
        <w:fldChar w:fldCharType="end"/>
      </w:r>
      <w:r w:rsidRPr="005C7441">
        <w:t>). Как того требует Факультативный протокол, 16 ноября 2016 года было проведено совместное заседание членов Комитета и Подкомитета по пр</w:t>
      </w:r>
      <w:r w:rsidRPr="005C7441">
        <w:t>е</w:t>
      </w:r>
      <w:r w:rsidRPr="005C7441">
        <w:t>дупреждению пыток и других жестоких, бесчеловечных или унижающих д</w:t>
      </w:r>
      <w:r w:rsidRPr="005C7441">
        <w:t>о</w:t>
      </w:r>
      <w:r w:rsidRPr="005C7441">
        <w:t>стоинство видов обращения и наказания. Комитет и Подкомитет по предупр</w:t>
      </w:r>
      <w:r w:rsidRPr="005C7441">
        <w:t>е</w:t>
      </w:r>
      <w:r w:rsidRPr="005C7441">
        <w:t>ждению пыток активизировали свое сотрудничество путем активного совмес</w:t>
      </w:r>
      <w:r w:rsidRPr="005C7441">
        <w:t>т</w:t>
      </w:r>
      <w:r w:rsidRPr="005C7441">
        <w:t>ного участия в рабочем совещании по пересмотру Минимальных стандартных правил Организации Объединенных Наций в отношении обращения с закл</w:t>
      </w:r>
      <w:r w:rsidRPr="005C7441">
        <w:t>ю</w:t>
      </w:r>
      <w:r w:rsidRPr="005C7441">
        <w:t xml:space="preserve">ченными (Правила Нельсона </w:t>
      </w:r>
      <w:proofErr w:type="spellStart"/>
      <w:r w:rsidRPr="005C7441">
        <w:t>Манделы</w:t>
      </w:r>
      <w:proofErr w:type="spellEnd"/>
      <w:r w:rsidRPr="005C7441">
        <w:t>)</w:t>
      </w:r>
      <w:r w:rsidR="00CA57BC">
        <w:t>.</w:t>
      </w:r>
      <w:r w:rsidRPr="005C7441">
        <w:t xml:space="preserve"> Это мероприятие проводилось при с</w:t>
      </w:r>
      <w:r w:rsidRPr="005C7441">
        <w:t>о</w:t>
      </w:r>
      <w:r w:rsidRPr="005C7441">
        <w:t xml:space="preserve">действии Ассоциации за предотвращение пыток и организацией </w:t>
      </w:r>
      <w:r w:rsidR="004338CD">
        <w:t>«</w:t>
      </w:r>
      <w:r w:rsidRPr="005C7441">
        <w:t>Междунаро</w:t>
      </w:r>
      <w:r w:rsidRPr="005C7441">
        <w:t>д</w:t>
      </w:r>
      <w:r w:rsidRPr="005C7441">
        <w:t>ная тюремная реформа</w:t>
      </w:r>
      <w:r w:rsidR="004338CD">
        <w:t>»</w:t>
      </w:r>
      <w:r w:rsidRPr="005C7441">
        <w:t xml:space="preserve">. Кроме того, Председатель г-н </w:t>
      </w:r>
      <w:proofErr w:type="spellStart"/>
      <w:r w:rsidRPr="005C7441">
        <w:t>Модвиг</w:t>
      </w:r>
      <w:proofErr w:type="spellEnd"/>
      <w:r w:rsidRPr="005C7441">
        <w:t xml:space="preserve"> и за</w:t>
      </w:r>
      <w:r w:rsidR="004338CD">
        <w:t>меститель Председателя</w:t>
      </w:r>
      <w:r w:rsidR="00CA57BC">
        <w:t xml:space="preserve"> </w:t>
      </w:r>
      <w:r w:rsidRPr="005C7441">
        <w:t>г-жа Гаер приняли активное участие в мероприятии в ознамен</w:t>
      </w:r>
      <w:r w:rsidRPr="005C7441">
        <w:t>о</w:t>
      </w:r>
      <w:r w:rsidRPr="005C7441">
        <w:t>вание десятой годовщины вступления в силу Факультативного протокола, кот</w:t>
      </w:r>
      <w:r w:rsidRPr="005C7441">
        <w:t>о</w:t>
      </w:r>
      <w:r w:rsidRPr="005C7441">
        <w:t>рое состоялось 17 ноября 2016 года в Женеве.</w:t>
      </w:r>
    </w:p>
    <w:p w:rsidR="005C7441" w:rsidRPr="005C7441" w:rsidRDefault="005C7441" w:rsidP="005C7441">
      <w:pPr>
        <w:pStyle w:val="SingleTxtGR"/>
      </w:pPr>
      <w:r w:rsidRPr="005C7441">
        <w:t>12.</w:t>
      </w:r>
      <w:r w:rsidRPr="005C7441">
        <w:tab/>
        <w:t>5 мая 2017 года было проведено еще одно заседание Комитета с участием Председателя Подкомитета по предупреждению пыток, на котором Председ</w:t>
      </w:r>
      <w:r w:rsidRPr="005C7441">
        <w:t>а</w:t>
      </w:r>
      <w:r w:rsidRPr="005C7441">
        <w:t>тель Подкомитета представил Комитету десятый годовой открытый д</w:t>
      </w:r>
      <w:r w:rsidR="003A4D4E">
        <w:t>оклад Подкомитета (</w:t>
      </w:r>
      <w:r w:rsidR="00D43468">
        <w:fldChar w:fldCharType="begin"/>
      </w:r>
      <w:r w:rsidR="00D43468">
        <w:instrText xml:space="preserve"> HYPERLINK "http://undocs.org/ru/CAT/C/60/3" </w:instrText>
      </w:r>
      <w:r w:rsidR="00D43468">
        <w:fldChar w:fldCharType="separate"/>
      </w:r>
      <w:r w:rsidR="003A4D4E" w:rsidRPr="003A4D4E">
        <w:rPr>
          <w:rStyle w:val="af1"/>
        </w:rPr>
        <w:t>CAT/C/60/3</w:t>
      </w:r>
      <w:r w:rsidR="00D43468">
        <w:rPr>
          <w:rStyle w:val="af1"/>
        </w:rPr>
        <w:fldChar w:fldCharType="end"/>
      </w:r>
      <w:r w:rsidR="003A4D4E">
        <w:t>).</w:t>
      </w:r>
    </w:p>
    <w:p w:rsidR="005C7441" w:rsidRPr="005C7441" w:rsidRDefault="005C7441" w:rsidP="003A4D4E">
      <w:pPr>
        <w:pStyle w:val="H1GR"/>
      </w:pPr>
      <w:r w:rsidRPr="005C7441">
        <w:tab/>
        <w:t>F.</w:t>
      </w:r>
      <w:r w:rsidRPr="005C7441">
        <w:tab/>
        <w:t xml:space="preserve">Совместное заявление по случаю Международного дня Организации Объединенных Наций в поддержку жертв пыток и сотрудничество с Советом </w:t>
      </w:r>
      <w:proofErr w:type="gramStart"/>
      <w:r w:rsidRPr="005C7441">
        <w:t>попечителей Фонда добровольных взносов Организации Объединенных Наций</w:t>
      </w:r>
      <w:proofErr w:type="gramEnd"/>
      <w:r w:rsidRPr="005C7441">
        <w:t xml:space="preserve"> для жертв пыток</w:t>
      </w:r>
      <w:bookmarkStart w:id="6" w:name="_Toc485738191"/>
      <w:bookmarkEnd w:id="6"/>
    </w:p>
    <w:p w:rsidR="005C7441" w:rsidRPr="005C7441" w:rsidRDefault="005C7441" w:rsidP="005C7441">
      <w:pPr>
        <w:pStyle w:val="SingleTxtGR"/>
      </w:pPr>
      <w:r w:rsidRPr="005C7441">
        <w:t>13.</w:t>
      </w:r>
      <w:r w:rsidRPr="005C7441">
        <w:tab/>
      </w:r>
      <w:proofErr w:type="gramStart"/>
      <w:r w:rsidRPr="005C7441">
        <w:t>Комитет принял совместное заявление с Подкомитетом по предупрежд</w:t>
      </w:r>
      <w:r w:rsidRPr="005C7441">
        <w:t>е</w:t>
      </w:r>
      <w:r w:rsidRPr="005C7441">
        <w:t>нию пыток, Специальным докладчиком по вопросу о пытках и других жест</w:t>
      </w:r>
      <w:r w:rsidRPr="005C7441">
        <w:t>о</w:t>
      </w:r>
      <w:r w:rsidRPr="005C7441">
        <w:t>ких, бесчеловечных или унижающих достоинство видах обращения и наказания и Советом попечителей Фонда добровольных взносов Организации Объедине</w:t>
      </w:r>
      <w:r w:rsidRPr="005C7441">
        <w:t>н</w:t>
      </w:r>
      <w:r w:rsidRPr="005C7441">
        <w:t>ных Наций для жертв пыток для опубликования 26 июня 2016 года в Междун</w:t>
      </w:r>
      <w:r w:rsidRPr="005C7441">
        <w:t>а</w:t>
      </w:r>
      <w:r w:rsidRPr="005C7441">
        <w:t>родный день Организации Объединенны</w:t>
      </w:r>
      <w:r w:rsidR="003A4D4E">
        <w:t>х Наций в поддержку жертв пыток</w:t>
      </w:r>
      <w:r w:rsidR="003A4D4E">
        <w:br/>
      </w:r>
      <w:r w:rsidRPr="005C7441">
        <w:t>(см. веб-страницу Фонда добровольных взносов по</w:t>
      </w:r>
      <w:proofErr w:type="gramEnd"/>
      <w:r w:rsidRPr="005C7441">
        <w:t xml:space="preserve"> адресу </w:t>
      </w:r>
      <w:r w:rsidR="00D43468">
        <w:fldChar w:fldCharType="begin"/>
      </w:r>
      <w:r w:rsidR="00D43468">
        <w:instrText xml:space="preserve"> HYPERLINK "http://www.ohchr.org/EN/Issues/Torture/UNVFT/Pages/IntlDay.aspx" </w:instrText>
      </w:r>
      <w:r w:rsidR="00D43468">
        <w:fldChar w:fldCharType="separate"/>
      </w:r>
      <w:r w:rsidR="00B745A4" w:rsidRPr="00B745A4">
        <w:rPr>
          <w:rStyle w:val="af1"/>
          <w:lang w:val="en-GB"/>
        </w:rPr>
        <w:t>www</w:t>
      </w:r>
      <w:r w:rsidR="00B745A4" w:rsidRPr="00B745A4">
        <w:rPr>
          <w:rStyle w:val="af1"/>
        </w:rPr>
        <w:t>.</w:t>
      </w:r>
      <w:proofErr w:type="spellStart"/>
      <w:r w:rsidR="00B745A4" w:rsidRPr="00B745A4">
        <w:rPr>
          <w:rStyle w:val="af1"/>
          <w:lang w:val="en-GB"/>
        </w:rPr>
        <w:t>ohchr</w:t>
      </w:r>
      <w:proofErr w:type="spellEnd"/>
      <w:r w:rsidR="00B745A4" w:rsidRPr="00B745A4">
        <w:rPr>
          <w:rStyle w:val="af1"/>
        </w:rPr>
        <w:t>.</w:t>
      </w:r>
      <w:r w:rsidR="00B745A4" w:rsidRPr="00B745A4">
        <w:rPr>
          <w:rStyle w:val="af1"/>
          <w:lang w:val="en-GB"/>
        </w:rPr>
        <w:t>org</w:t>
      </w:r>
      <w:r w:rsidR="00B745A4" w:rsidRPr="00B745A4">
        <w:rPr>
          <w:rStyle w:val="af1"/>
        </w:rPr>
        <w:t>/</w:t>
      </w:r>
      <w:r w:rsidR="00B745A4" w:rsidRPr="00B745A4">
        <w:rPr>
          <w:rStyle w:val="af1"/>
          <w:lang w:val="en-GB"/>
        </w:rPr>
        <w:t>EN</w:t>
      </w:r>
      <w:r w:rsidR="00B745A4" w:rsidRPr="00B745A4">
        <w:rPr>
          <w:rStyle w:val="af1"/>
        </w:rPr>
        <w:t>/</w:t>
      </w:r>
      <w:r w:rsidR="00B745A4">
        <w:rPr>
          <w:rStyle w:val="af1"/>
        </w:rPr>
        <w:t xml:space="preserve"> </w:t>
      </w:r>
      <w:r w:rsidR="00B745A4" w:rsidRPr="00B745A4">
        <w:rPr>
          <w:rStyle w:val="af1"/>
          <w:lang w:val="en-GB"/>
        </w:rPr>
        <w:t>Issues</w:t>
      </w:r>
      <w:r w:rsidR="00B745A4" w:rsidRPr="00B745A4">
        <w:rPr>
          <w:rStyle w:val="af1"/>
        </w:rPr>
        <w:t>/</w:t>
      </w:r>
      <w:r w:rsidR="00B745A4" w:rsidRPr="00B745A4">
        <w:rPr>
          <w:rStyle w:val="af1"/>
          <w:lang w:val="en-GB"/>
        </w:rPr>
        <w:t>Torture</w:t>
      </w:r>
      <w:r w:rsidR="00B745A4" w:rsidRPr="00B745A4">
        <w:rPr>
          <w:rStyle w:val="af1"/>
        </w:rPr>
        <w:t>/</w:t>
      </w:r>
      <w:r w:rsidR="00B745A4" w:rsidRPr="00B745A4">
        <w:rPr>
          <w:rStyle w:val="af1"/>
          <w:lang w:val="en-GB"/>
        </w:rPr>
        <w:t>UNVFT</w:t>
      </w:r>
      <w:r w:rsidR="00B745A4" w:rsidRPr="00B745A4">
        <w:rPr>
          <w:rStyle w:val="af1"/>
        </w:rPr>
        <w:t>/</w:t>
      </w:r>
      <w:r w:rsidR="00B745A4" w:rsidRPr="00B745A4">
        <w:rPr>
          <w:rStyle w:val="af1"/>
          <w:lang w:val="en-GB"/>
        </w:rPr>
        <w:t>Pages</w:t>
      </w:r>
      <w:r w:rsidR="00B745A4" w:rsidRPr="00B745A4">
        <w:rPr>
          <w:rStyle w:val="af1"/>
        </w:rPr>
        <w:t>/</w:t>
      </w:r>
      <w:proofErr w:type="spellStart"/>
      <w:r w:rsidR="00B745A4" w:rsidRPr="00B745A4">
        <w:rPr>
          <w:rStyle w:val="af1"/>
          <w:lang w:val="en-GB"/>
        </w:rPr>
        <w:t>IntlDay</w:t>
      </w:r>
      <w:proofErr w:type="spellEnd"/>
      <w:r w:rsidR="00B745A4" w:rsidRPr="00B745A4">
        <w:rPr>
          <w:rStyle w:val="af1"/>
        </w:rPr>
        <w:t>.</w:t>
      </w:r>
      <w:proofErr w:type="spellStart"/>
      <w:r w:rsidR="00B745A4" w:rsidRPr="00B745A4">
        <w:rPr>
          <w:rStyle w:val="af1"/>
          <w:lang w:val="en-GB"/>
        </w:rPr>
        <w:t>aspx</w:t>
      </w:r>
      <w:proofErr w:type="spellEnd"/>
      <w:r w:rsidR="00D43468">
        <w:rPr>
          <w:rStyle w:val="af1"/>
          <w:lang w:val="en-GB"/>
        </w:rPr>
        <w:fldChar w:fldCharType="end"/>
      </w:r>
      <w:r w:rsidRPr="005C7441">
        <w:t xml:space="preserve">). 6 октября 2016 года Председатель Комитета принял участие в работе </w:t>
      </w:r>
      <w:proofErr w:type="gramStart"/>
      <w:r w:rsidRPr="005C7441">
        <w:t>сорок четвертой сессии Совета попечителей Фонда добровольных взносов</w:t>
      </w:r>
      <w:proofErr w:type="gramEnd"/>
      <w:r w:rsidRPr="005C7441">
        <w:t xml:space="preserve"> вместе с Председателем Подкомитета по пред</w:t>
      </w:r>
      <w:r w:rsidRPr="005C7441">
        <w:t>у</w:t>
      </w:r>
      <w:r w:rsidRPr="005C7441">
        <w:t>преждению пыток для обсуждения вопросов, представляющих общий интерес, и областей сотрудничества. На своей шестидесятой сессии Комитет принял участие в рабочем совещании по жертвам пыток в контексте миграции, орган</w:t>
      </w:r>
      <w:r w:rsidRPr="005C7441">
        <w:t>и</w:t>
      </w:r>
      <w:r w:rsidRPr="005C7441">
        <w:t>зованном Советом попечите</w:t>
      </w:r>
      <w:r w:rsidR="003A4D4E">
        <w:t>лей Фонда добровольных взносов.</w:t>
      </w:r>
    </w:p>
    <w:p w:rsidR="005C7441" w:rsidRPr="005C7441" w:rsidRDefault="005C7441" w:rsidP="003A4D4E">
      <w:pPr>
        <w:pStyle w:val="H1GR"/>
      </w:pPr>
      <w:r w:rsidRPr="005C7441">
        <w:tab/>
        <w:t>G.</w:t>
      </w:r>
      <w:r w:rsidRPr="005C7441">
        <w:tab/>
        <w:t>Пересмотренное замечание общего порядка по статье 3 Конвенции</w:t>
      </w:r>
      <w:bookmarkStart w:id="7" w:name="_Toc485738192"/>
      <w:bookmarkEnd w:id="7"/>
    </w:p>
    <w:p w:rsidR="005C7441" w:rsidRPr="005C7441" w:rsidRDefault="005C7441" w:rsidP="005C7441">
      <w:pPr>
        <w:pStyle w:val="SingleTxtGR"/>
      </w:pPr>
      <w:r w:rsidRPr="005C7441">
        <w:t>14.</w:t>
      </w:r>
      <w:r w:rsidRPr="005C7441">
        <w:tab/>
        <w:t>На своей пятьдесят пятой сессии Комитет постановил пересмотреть з</w:t>
      </w:r>
      <w:r w:rsidRPr="005C7441">
        <w:t>а</w:t>
      </w:r>
      <w:r w:rsidRPr="005C7441">
        <w:t>мечание общего порядка № 1 (1997 год) по статье 3. На своей пятьдесят шестой сессии Комитет провел предварительное обсуждение основных вопросов, кот</w:t>
      </w:r>
      <w:r w:rsidRPr="005C7441">
        <w:t>о</w:t>
      </w:r>
      <w:r w:rsidRPr="005C7441">
        <w:t>рые будут обсуждаться в контексте пересмотренного замечания общего поря</w:t>
      </w:r>
      <w:r w:rsidRPr="005C7441">
        <w:t>д</w:t>
      </w:r>
      <w:r w:rsidRPr="005C7441">
        <w:t>ка. На своих пятьдесят седьмой и пятьдесят восьмой сессиях он обсудил пер</w:t>
      </w:r>
      <w:r w:rsidRPr="005C7441">
        <w:t>е</w:t>
      </w:r>
      <w:r w:rsidRPr="005C7441">
        <w:t>чень тем, которые должны быть охвачены в пересмотренном замечании общего порядка. На своей пятьдесят девятой сессии он завершил рассмотрение в пе</w:t>
      </w:r>
      <w:r w:rsidRPr="005C7441">
        <w:t>р</w:t>
      </w:r>
      <w:r w:rsidRPr="005C7441">
        <w:t>вом чтении проекта пересмотренного замечания общего порядка (</w:t>
      </w:r>
      <w:r w:rsidR="00D43468">
        <w:fldChar w:fldCharType="begin"/>
      </w:r>
      <w:r w:rsidR="00D43468">
        <w:instrText xml:space="preserve"> HYPERLINK "http://www.ohchr.org/Documents/HRBodies/CAT/GCArticle3/CAT-C-GC-1.docx" </w:instrText>
      </w:r>
      <w:r w:rsidR="00D43468">
        <w:fldChar w:fldCharType="separate"/>
      </w:r>
      <w:r w:rsidR="00B745A4" w:rsidRPr="00B745A4">
        <w:rPr>
          <w:rStyle w:val="af1"/>
          <w:lang w:val="en-GB"/>
        </w:rPr>
        <w:t>CAT</w:t>
      </w:r>
      <w:r w:rsidR="00B745A4" w:rsidRPr="00B745A4">
        <w:rPr>
          <w:rStyle w:val="af1"/>
        </w:rPr>
        <w:t>/</w:t>
      </w:r>
      <w:r w:rsidR="00B745A4" w:rsidRPr="00B745A4">
        <w:rPr>
          <w:rStyle w:val="af1"/>
          <w:lang w:val="en-GB"/>
        </w:rPr>
        <w:t>C</w:t>
      </w:r>
      <w:r w:rsidR="00B745A4" w:rsidRPr="00B745A4">
        <w:rPr>
          <w:rStyle w:val="af1"/>
        </w:rPr>
        <w:t>/60/</w:t>
      </w:r>
      <w:r w:rsidR="00B745A4" w:rsidRPr="00B745A4">
        <w:rPr>
          <w:rStyle w:val="af1"/>
          <w:lang w:val="en-GB"/>
        </w:rPr>
        <w:t>R</w:t>
      </w:r>
      <w:r w:rsidR="00B745A4" w:rsidRPr="00B745A4">
        <w:rPr>
          <w:rStyle w:val="af1"/>
        </w:rPr>
        <w:t>.2</w:t>
      </w:r>
      <w:r w:rsidR="00D43468">
        <w:rPr>
          <w:rStyle w:val="af1"/>
        </w:rPr>
        <w:fldChar w:fldCharType="end"/>
      </w:r>
      <w:r w:rsidRPr="005C7441">
        <w:t>, с которым можно ознакомиться на веб-странице Комитета)</w:t>
      </w:r>
      <w:r w:rsidR="00CA57BC">
        <w:t>.</w:t>
      </w:r>
      <w:r w:rsidRPr="005C7441">
        <w:t xml:space="preserve"> На своей шестид</w:t>
      </w:r>
      <w:r w:rsidRPr="005C7441">
        <w:t>е</w:t>
      </w:r>
      <w:r w:rsidRPr="005C7441">
        <w:t>сятой сессии он провел открытые консультации, которым предшествовал пр</w:t>
      </w:r>
      <w:r w:rsidRPr="005C7441">
        <w:t>и</w:t>
      </w:r>
      <w:r w:rsidRPr="005C7441">
        <w:t>зыв представить письменные материалы (с которыми можно ознакомиться на веб-странице Комитета), обращенный ко всем соответствующим заинтерес</w:t>
      </w:r>
      <w:r w:rsidRPr="005C7441">
        <w:t>о</w:t>
      </w:r>
      <w:r w:rsidRPr="005C7441">
        <w:t>ванным сторонам, включая государства, правозащитные механизмы Организ</w:t>
      </w:r>
      <w:r w:rsidRPr="005C7441">
        <w:t>а</w:t>
      </w:r>
      <w:r w:rsidRPr="005C7441">
        <w:t>ции Объединенных Наций, другие соответствующие международные организ</w:t>
      </w:r>
      <w:r w:rsidRPr="005C7441">
        <w:t>а</w:t>
      </w:r>
      <w:r w:rsidRPr="005C7441">
        <w:t>ции и представителей гражданского общ</w:t>
      </w:r>
      <w:r w:rsidR="003A4D4E">
        <w:t>ества. Рабочей группе в составе</w:t>
      </w:r>
      <w:r w:rsidR="003A4D4E">
        <w:br/>
      </w:r>
      <w:r w:rsidRPr="005C7441">
        <w:t>г-на Бруни (Докладчика), г-жи Гаер и г-на Хани было поручено подготовить проект текста. Комитет проведет второе чтение проекта замечания общего п</w:t>
      </w:r>
      <w:r w:rsidRPr="005C7441">
        <w:t>о</w:t>
      </w:r>
      <w:r w:rsidRPr="005C7441">
        <w:t>рядка на своей шестьдесят первой сессии.</w:t>
      </w:r>
    </w:p>
    <w:p w:rsidR="005C7441" w:rsidRPr="005C7441" w:rsidRDefault="005C7441" w:rsidP="003A4D4E">
      <w:pPr>
        <w:pStyle w:val="H1GR"/>
      </w:pPr>
      <w:r w:rsidRPr="005C7441">
        <w:tab/>
        <w:t>H.</w:t>
      </w:r>
      <w:r w:rsidRPr="005C7441">
        <w:tab/>
        <w:t>Участие неправительственных организаций</w:t>
      </w:r>
      <w:bookmarkStart w:id="8" w:name="_Toc485738193"/>
      <w:bookmarkEnd w:id="8"/>
    </w:p>
    <w:p w:rsidR="005C7441" w:rsidRPr="005C7441" w:rsidRDefault="005C7441" w:rsidP="005C7441">
      <w:pPr>
        <w:pStyle w:val="SingleTxtGR"/>
      </w:pPr>
      <w:r w:rsidRPr="005C7441">
        <w:t>15.</w:t>
      </w:r>
      <w:r w:rsidRPr="005C7441">
        <w:tab/>
        <w:t>Давно признав значимость работы неправительственных организаций, Комитет проводит с ними закрытые встречи непосредственно накануне ра</w:t>
      </w:r>
      <w:r w:rsidRPr="005C7441">
        <w:t>с</w:t>
      </w:r>
      <w:r w:rsidRPr="005C7441">
        <w:t>смотрения доклада каждого государства-участника, представленного в соотве</w:t>
      </w:r>
      <w:r w:rsidRPr="005C7441">
        <w:t>т</w:t>
      </w:r>
      <w:r w:rsidRPr="005C7441">
        <w:t>ствии со статьей 19 Конвенции. Комитет выражает свою признательность этим организациям за их участие в таких встречах и особенно признателен за уч</w:t>
      </w:r>
      <w:r w:rsidRPr="005C7441">
        <w:t>а</w:t>
      </w:r>
      <w:r w:rsidRPr="005C7441">
        <w:t>стие национальных неправительственных организаций, которые как в устной, так и в письменной форме напрямую представляют последнюю информацию. Комитет хотел бы выразить особую признательность неправительственным о</w:t>
      </w:r>
      <w:r w:rsidRPr="005C7441">
        <w:t>р</w:t>
      </w:r>
      <w:r w:rsidRPr="005C7441">
        <w:t>ганизациям</w:t>
      </w:r>
      <w:r w:rsidR="00B745A4">
        <w:t>, и в частности</w:t>
      </w:r>
      <w:r w:rsidRPr="005C7441">
        <w:t xml:space="preserve"> Всемирной организации против пыток</w:t>
      </w:r>
      <w:r w:rsidR="00B745A4">
        <w:t>,</w:t>
      </w:r>
      <w:r w:rsidRPr="005C7441">
        <w:t xml:space="preserve"> за ее реш</w:t>
      </w:r>
      <w:r w:rsidRPr="005C7441">
        <w:t>а</w:t>
      </w:r>
      <w:r w:rsidRPr="005C7441">
        <w:t xml:space="preserve">ющую роль в координации вклада неправительственных организаций в работу Комитета в период после его пятьдесят второй сессии. </w:t>
      </w:r>
      <w:proofErr w:type="gramStart"/>
      <w:r w:rsidRPr="005C7441">
        <w:t>Комитету были поле</w:t>
      </w:r>
      <w:r w:rsidRPr="005C7441">
        <w:t>з</w:t>
      </w:r>
      <w:r w:rsidRPr="005C7441">
        <w:t>ными проведенные организациями тематические брифинги, такие как: а) бр</w:t>
      </w:r>
      <w:r w:rsidRPr="005C7441">
        <w:t>и</w:t>
      </w:r>
      <w:r w:rsidRPr="005C7441">
        <w:t xml:space="preserve">финг по вопросу о роли гражданского общества в удовлетворении потребности в эффективных системах защиты жертв и </w:t>
      </w:r>
      <w:r w:rsidR="003A4D4E">
        <w:t>возмещения ущерба, состоявшийся</w:t>
      </w:r>
      <w:r w:rsidR="003A4D4E">
        <w:br/>
      </w:r>
      <w:r w:rsidRPr="005C7441">
        <w:t xml:space="preserve">4 августа 2016 года и проведенный Датским институтом против пыток </w:t>
      </w:r>
      <w:r w:rsidR="004338CD">
        <w:t>«</w:t>
      </w:r>
      <w:r w:rsidRPr="005C7441">
        <w:t>Д</w:t>
      </w:r>
      <w:r w:rsidR="00CA57BC" w:rsidRPr="005C7441">
        <w:t>ост</w:t>
      </w:r>
      <w:r w:rsidR="00CA57BC" w:rsidRPr="005C7441">
        <w:t>о</w:t>
      </w:r>
      <w:r w:rsidR="00CA57BC" w:rsidRPr="005C7441">
        <w:t>инство</w:t>
      </w:r>
      <w:r w:rsidR="004338CD">
        <w:t>»</w:t>
      </w:r>
      <w:r w:rsidRPr="005C7441">
        <w:t xml:space="preserve"> и правозащитной организацией </w:t>
      </w:r>
      <w:r w:rsidR="004338CD">
        <w:t>«</w:t>
      </w:r>
      <w:r w:rsidRPr="005C7441">
        <w:t>Р</w:t>
      </w:r>
      <w:r w:rsidR="00CA57BC">
        <w:t>3</w:t>
      </w:r>
      <w:r w:rsidR="004338CD">
        <w:t>»</w:t>
      </w:r>
      <w:r w:rsidRPr="005C7441">
        <w:t>;</w:t>
      </w:r>
      <w:proofErr w:type="gramEnd"/>
      <w:r w:rsidRPr="005C7441">
        <w:t xml:space="preserve"> </w:t>
      </w:r>
      <w:proofErr w:type="gramStart"/>
      <w:r w:rsidRPr="005C7441">
        <w:t>b) брифинг о сборе и использ</w:t>
      </w:r>
      <w:r w:rsidRPr="005C7441">
        <w:t>о</w:t>
      </w:r>
      <w:r w:rsidRPr="005C7441">
        <w:t>вании данных от жерт</w:t>
      </w:r>
      <w:r w:rsidR="003A4D4E">
        <w:t>в пыток, состоявшийся 17 ноября</w:t>
      </w:r>
      <w:r w:rsidR="00CA57BC">
        <w:t xml:space="preserve"> </w:t>
      </w:r>
      <w:r w:rsidRPr="005C7441">
        <w:t>2016 года и проведе</w:t>
      </w:r>
      <w:r w:rsidRPr="005C7441">
        <w:t>н</w:t>
      </w:r>
      <w:r w:rsidRPr="005C7441">
        <w:t>ный Международным советом по реабилитации жертв пыток; и с) последу</w:t>
      </w:r>
      <w:r w:rsidRPr="005C7441">
        <w:t>ю</w:t>
      </w:r>
      <w:r w:rsidRPr="005C7441">
        <w:t>щий брифинг по укреплению связей между Международной организацией уг</w:t>
      </w:r>
      <w:r w:rsidRPr="005C7441">
        <w:t>о</w:t>
      </w:r>
      <w:r w:rsidRPr="005C7441">
        <w:t xml:space="preserve">ловной полиции (Интерпол) и Комитетом, состоявшийся 2 декабря 2016 года и проведенный организацией </w:t>
      </w:r>
      <w:r w:rsidR="004338CD">
        <w:t>«</w:t>
      </w:r>
      <w:proofErr w:type="spellStart"/>
      <w:r w:rsidRPr="005C7441">
        <w:t>Р</w:t>
      </w:r>
      <w:r w:rsidR="00CA57BC" w:rsidRPr="005C7441">
        <w:t>едресс</w:t>
      </w:r>
      <w:proofErr w:type="spellEnd"/>
      <w:r w:rsidR="004338CD">
        <w:t>»</w:t>
      </w:r>
      <w:r w:rsidR="003A4D4E">
        <w:t xml:space="preserve"> и организацией</w:t>
      </w:r>
      <w:r w:rsidR="00CA57BC">
        <w:t xml:space="preserve"> </w:t>
      </w:r>
      <w:r w:rsidR="004338CD">
        <w:t>«</w:t>
      </w:r>
      <w:r w:rsidRPr="005C7441">
        <w:t>За справедливые суде</w:t>
      </w:r>
      <w:r w:rsidRPr="005C7441">
        <w:t>б</w:t>
      </w:r>
      <w:r w:rsidRPr="005C7441">
        <w:t>ные разбирательства</w:t>
      </w:r>
      <w:r w:rsidR="004338CD">
        <w:t>»</w:t>
      </w:r>
      <w:r w:rsidR="00CA57BC">
        <w:t>.</w:t>
      </w:r>
      <w:proofErr w:type="gramEnd"/>
    </w:p>
    <w:p w:rsidR="005C7441" w:rsidRPr="005C7441" w:rsidRDefault="005C7441" w:rsidP="003A4D4E">
      <w:pPr>
        <w:pStyle w:val="H1GR"/>
      </w:pPr>
      <w:r w:rsidRPr="005C7441">
        <w:tab/>
        <w:t>I.</w:t>
      </w:r>
      <w:r w:rsidRPr="005C7441">
        <w:tab/>
        <w:t>Участие национ</w:t>
      </w:r>
      <w:r w:rsidR="003A4D4E">
        <w:t>альных правозащитных учреждений</w:t>
      </w:r>
      <w:r w:rsidR="003A4D4E">
        <w:br/>
      </w:r>
      <w:r w:rsidRPr="005C7441">
        <w:t>и национальных превентивных механизмов</w:t>
      </w:r>
      <w:bookmarkStart w:id="9" w:name="_Toc485738194"/>
      <w:bookmarkEnd w:id="9"/>
    </w:p>
    <w:p w:rsidR="005C7441" w:rsidRPr="005C7441" w:rsidRDefault="005C7441" w:rsidP="005C7441">
      <w:pPr>
        <w:pStyle w:val="SingleTxtGR"/>
      </w:pPr>
      <w:r w:rsidRPr="005C7441">
        <w:t>16.</w:t>
      </w:r>
      <w:r w:rsidRPr="005C7441">
        <w:tab/>
        <w:t>Кроме того, Комитет высоко оценивает работу национальных правоз</w:t>
      </w:r>
      <w:r w:rsidRPr="005C7441">
        <w:t>а</w:t>
      </w:r>
      <w:r w:rsidRPr="005C7441">
        <w:t xml:space="preserve">щитных учреждений и национальных превентивных механизмов, созданных государствами-участниками в соответствии с положениями Факультативного протокола к Конвенции. </w:t>
      </w:r>
      <w:proofErr w:type="gramStart"/>
      <w:r w:rsidRPr="005C7441">
        <w:t>Начиная с пятьдесят пятой сессии эти учреждения и механизмы имеют возможность встречаться</w:t>
      </w:r>
      <w:proofErr w:type="gramEnd"/>
      <w:r w:rsidRPr="005C7441">
        <w:t xml:space="preserve"> с членами Комитета на закрытом пленарном заседании. </w:t>
      </w:r>
      <w:proofErr w:type="gramStart"/>
      <w:r w:rsidRPr="005C7441">
        <w:t>В частности, на пятьдесят восьмой сессии Комитет пр</w:t>
      </w:r>
      <w:r w:rsidRPr="005C7441">
        <w:t>о</w:t>
      </w:r>
      <w:r w:rsidRPr="005C7441">
        <w:t>вел встречу с представителями учреждений Бурунди и Гондураса и механизма Гондураса; на пятьдесят девятой сессии он встретился с представителями учреждений Кабо-Верде, Шри-Ланки и Эквадора и учреждений и механизмов Армении и Финляндии; а на шестидесятой сессии он встретился с представит</w:t>
      </w:r>
      <w:r w:rsidRPr="005C7441">
        <w:t>е</w:t>
      </w:r>
      <w:r w:rsidRPr="005C7441">
        <w:t>лями учреждений Афганистана, Бахрейна, Пакистана и Республики Корея и м</w:t>
      </w:r>
      <w:r w:rsidRPr="005C7441">
        <w:t>е</w:t>
      </w:r>
      <w:r w:rsidRPr="005C7441">
        <w:t>ханизма Аргентины.</w:t>
      </w:r>
      <w:proofErr w:type="gramEnd"/>
      <w:r w:rsidRPr="005C7441">
        <w:t xml:space="preserve"> </w:t>
      </w:r>
      <w:proofErr w:type="gramStart"/>
      <w:r w:rsidRPr="005C7441">
        <w:t>Комитет выражает свою признательность за информацию, которую он получает от них в устной и письменной форме, и надеется, что он будет и впредь иметь возможность извлекать пользу из информации, которую он получает от этих органов и которая позволяет лучше понимать проблемы, рассматриваемые Комитетом.</w:t>
      </w:r>
      <w:proofErr w:type="gramEnd"/>
    </w:p>
    <w:p w:rsidR="005C7441" w:rsidRPr="005C7441" w:rsidRDefault="005C7441" w:rsidP="003A4D4E">
      <w:pPr>
        <w:pStyle w:val="H1GR"/>
      </w:pPr>
      <w:r w:rsidRPr="005C7441">
        <w:tab/>
        <w:t>J.</w:t>
      </w:r>
      <w:r w:rsidRPr="005C7441">
        <w:tab/>
        <w:t>Докладчики по вопросу о репрессиях</w:t>
      </w:r>
      <w:bookmarkStart w:id="10" w:name="_Toc485738195"/>
      <w:bookmarkEnd w:id="10"/>
    </w:p>
    <w:p w:rsidR="005C7441" w:rsidRPr="005C7441" w:rsidRDefault="005C7441" w:rsidP="005C7441">
      <w:pPr>
        <w:pStyle w:val="SingleTxtGR"/>
      </w:pPr>
      <w:r w:rsidRPr="005C7441">
        <w:t>17.</w:t>
      </w:r>
      <w:r w:rsidRPr="005C7441">
        <w:tab/>
        <w:t>На своей сорок девятой сессии Комитет постановил учредить механизм по предупреждению, мониторингу и осуществлению последующей деятельн</w:t>
      </w:r>
      <w:r w:rsidRPr="005C7441">
        <w:t>о</w:t>
      </w:r>
      <w:r w:rsidRPr="005C7441">
        <w:t>сти в связи со случаями применения репрессий против организаций гражда</w:t>
      </w:r>
      <w:r w:rsidRPr="005C7441">
        <w:t>н</w:t>
      </w:r>
      <w:r w:rsidRPr="005C7441">
        <w:t>ского общества, правозащитников, потерпевших и свидетелей после их обр</w:t>
      </w:r>
      <w:r w:rsidRPr="005C7441">
        <w:t>а</w:t>
      </w:r>
      <w:r w:rsidRPr="005C7441">
        <w:t>щения за помощью к системе договорных органов. Впоследствии он назначил докладчика по вопросу о репрессиях согласно статье 19 и докладчика по вопр</w:t>
      </w:r>
      <w:r w:rsidRPr="005C7441">
        <w:t>о</w:t>
      </w:r>
      <w:r w:rsidRPr="005C7441">
        <w:t>су о репрессиях согласно статьям 20 и 22. На своей пятьдесят пятой сессии К</w:t>
      </w:r>
      <w:r w:rsidRPr="005C7441">
        <w:t>о</w:t>
      </w:r>
      <w:r w:rsidRPr="005C7441">
        <w:t>митет утвердил руководящие принципы по приему и обработке утверждений о применении репрессий в отношении частных лиц и организаций, сотруднич</w:t>
      </w:r>
      <w:r w:rsidRPr="005C7441">
        <w:t>а</w:t>
      </w:r>
      <w:r w:rsidRPr="005C7441">
        <w:t>ющих с Комитетом на основании статей 13, 19, 20 и 22 Конвенции (</w:t>
      </w:r>
      <w:r w:rsidR="00D43468">
        <w:fldChar w:fldCharType="begin"/>
      </w:r>
      <w:r w:rsidR="00D43468">
        <w:instrText xml:space="preserve"> HYPERLINK "http://undocs.org/ru/CAT/C/55/2" </w:instrText>
      </w:r>
      <w:r w:rsidR="00D43468">
        <w:fldChar w:fldCharType="separate"/>
      </w:r>
      <w:r w:rsidRPr="003A4D4E">
        <w:rPr>
          <w:rStyle w:val="af1"/>
        </w:rPr>
        <w:t>CAT/</w:t>
      </w:r>
      <w:r w:rsidR="005B26BC" w:rsidRPr="005B26BC">
        <w:rPr>
          <w:rStyle w:val="af1"/>
        </w:rPr>
        <w:t xml:space="preserve"> </w:t>
      </w:r>
      <w:r w:rsidRPr="003A4D4E">
        <w:rPr>
          <w:rStyle w:val="af1"/>
        </w:rPr>
        <w:t>C/55/2</w:t>
      </w:r>
      <w:r w:rsidR="00D43468">
        <w:rPr>
          <w:rStyle w:val="af1"/>
        </w:rPr>
        <w:fldChar w:fldCharType="end"/>
      </w:r>
      <w:r w:rsidRPr="005C7441">
        <w:t>). Утверждение этих руководящих принципов означает четкое признание ценности Руководящих принципов по борьбе с запугиванием и репрессиями (Руководящие принципы Сан-Хосе).</w:t>
      </w:r>
    </w:p>
    <w:p w:rsidR="005C7441" w:rsidRPr="005C7441" w:rsidRDefault="005C7441" w:rsidP="005C7441">
      <w:pPr>
        <w:pStyle w:val="SingleTxtGR"/>
      </w:pPr>
      <w:r w:rsidRPr="005C7441">
        <w:t>18.</w:t>
      </w:r>
      <w:r w:rsidRPr="005C7441">
        <w:tab/>
        <w:t>На своей пятьдесят седьмой сессии Комитет назначил г-на Бруни докла</w:t>
      </w:r>
      <w:r w:rsidRPr="005C7441">
        <w:t>д</w:t>
      </w:r>
      <w:r w:rsidRPr="005C7441">
        <w:t xml:space="preserve">чиком по вопросу о репрессиях согласно статьям 19, 20 и 22. </w:t>
      </w:r>
      <w:proofErr w:type="gramStart"/>
      <w:r w:rsidRPr="005C7441">
        <w:t xml:space="preserve">С информацией о мерах, принятых докладчиками в ходе отчетного периода, можно ознакомиться на веб-странице Комитета. 26 сентября 2016 года г-н Бруни принял участие в заседании группы высокого уровня Совета по правам человека по теме </w:t>
      </w:r>
      <w:r w:rsidR="004338CD">
        <w:t>«</w:t>
      </w:r>
      <w:r w:rsidRPr="005C7441">
        <w:t>Вс</w:t>
      </w:r>
      <w:r w:rsidRPr="005C7441">
        <w:t>е</w:t>
      </w:r>
      <w:r w:rsidRPr="005C7441">
        <w:t>объемлющие меры реагирования на акты запугивания и репрессий в сфере прав человека: нынешняя ситуация, сложившаяся практика и новые идеи в отнош</w:t>
      </w:r>
      <w:r w:rsidRPr="005C7441">
        <w:t>е</w:t>
      </w:r>
      <w:r w:rsidRPr="005C7441">
        <w:t>нии более эффективного осуществления</w:t>
      </w:r>
      <w:r w:rsidR="004338CD">
        <w:t>»</w:t>
      </w:r>
      <w:r w:rsidRPr="005C7441">
        <w:t>, организованном Венгрией</w:t>
      </w:r>
      <w:proofErr w:type="gramEnd"/>
      <w:r w:rsidRPr="005C7441">
        <w:t>, Ганой и Уругваем.</w:t>
      </w:r>
    </w:p>
    <w:p w:rsidR="005C7441" w:rsidRPr="005C7441" w:rsidRDefault="005C7441" w:rsidP="003A4D4E">
      <w:pPr>
        <w:pStyle w:val="H1GR"/>
      </w:pPr>
      <w:r w:rsidRPr="005C7441">
        <w:tab/>
        <w:t>K.</w:t>
      </w:r>
      <w:r w:rsidRPr="005C7441">
        <w:tab/>
        <w:t>Процесс укрепления договорных органов</w:t>
      </w:r>
      <w:bookmarkStart w:id="11" w:name="_Toc485738196"/>
      <w:bookmarkEnd w:id="11"/>
    </w:p>
    <w:p w:rsidR="005C7441" w:rsidRPr="005C7441" w:rsidRDefault="005C7441" w:rsidP="005C7441">
      <w:pPr>
        <w:pStyle w:val="SingleTxtGR"/>
      </w:pPr>
      <w:r w:rsidRPr="005C7441">
        <w:t>19.</w:t>
      </w:r>
      <w:r w:rsidRPr="005C7441">
        <w:tab/>
        <w:t>На своей пятьдесят восьмой сессии Комитет обсудил рекомендации дв</w:t>
      </w:r>
      <w:r w:rsidRPr="005C7441">
        <w:t>а</w:t>
      </w:r>
      <w:r w:rsidRPr="005C7441">
        <w:t>дцать восьмого совещания председателей договорных органов по правам чел</w:t>
      </w:r>
      <w:r w:rsidRPr="005C7441">
        <w:t>о</w:t>
      </w:r>
      <w:r w:rsidRPr="005C7441">
        <w:t>века, со</w:t>
      </w:r>
      <w:r w:rsidR="003A4D4E">
        <w:t>стоявшегося в Нью-Йорке 30 мая –</w:t>
      </w:r>
      <w:r w:rsidRPr="005C7441">
        <w:t xml:space="preserve"> 3 июня 2016 года. Комитет вновь з</w:t>
      </w:r>
      <w:r w:rsidRPr="005C7441">
        <w:t>а</w:t>
      </w:r>
      <w:r w:rsidRPr="005C7441">
        <w:t xml:space="preserve">явил, что поддерживает процесс укрепления договорных органов, но в то же время вновь подчеркнул необходимость выделения Секции по рассмотрению жалоб достаточных кадровых ресурсов, с </w:t>
      </w:r>
      <w:proofErr w:type="gramStart"/>
      <w:r w:rsidRPr="005C7441">
        <w:t>тем</w:t>
      </w:r>
      <w:proofErr w:type="gramEnd"/>
      <w:r w:rsidRPr="005C7441">
        <w:t xml:space="preserve"> чтобы Комитет мог решить пр</w:t>
      </w:r>
      <w:r w:rsidRPr="005C7441">
        <w:t>о</w:t>
      </w:r>
      <w:r w:rsidRPr="005C7441">
        <w:t>блему накопившихся индивидуальных жалоб и, таким образом, эффективно и</w:t>
      </w:r>
      <w:r w:rsidRPr="005C7441">
        <w:t>с</w:t>
      </w:r>
      <w:r w:rsidRPr="005C7441">
        <w:t>пользовать дополнительное время, выделенное для проведения сессий в соо</w:t>
      </w:r>
      <w:r w:rsidRPr="005C7441">
        <w:t>т</w:t>
      </w:r>
      <w:r w:rsidRPr="005C7441">
        <w:t>ветствии с резолюцией 68/268 Генеральной Ассамблеи. На той же сессии Ком</w:t>
      </w:r>
      <w:r w:rsidRPr="005C7441">
        <w:t>и</w:t>
      </w:r>
      <w:r w:rsidRPr="005C7441">
        <w:t>тет провел свое первое совместное заседание с Комитетом по ликвидации рас</w:t>
      </w:r>
      <w:r w:rsidRPr="005C7441">
        <w:t>о</w:t>
      </w:r>
      <w:r w:rsidRPr="005C7441">
        <w:t>вой дискриминации для обсуждения вопросов, представляющих общий инт</w:t>
      </w:r>
      <w:r w:rsidRPr="005C7441">
        <w:t>е</w:t>
      </w:r>
      <w:r w:rsidRPr="005C7441">
        <w:t>рес, и областей сотрудничества.</w:t>
      </w:r>
    </w:p>
    <w:p w:rsidR="005C7441" w:rsidRPr="005C7441" w:rsidRDefault="005C7441" w:rsidP="003A4D4E">
      <w:pPr>
        <w:pStyle w:val="H1GR"/>
      </w:pPr>
      <w:r w:rsidRPr="005C7441">
        <w:tab/>
        <w:t>L.</w:t>
      </w:r>
      <w:r w:rsidRPr="005C7441">
        <w:tab/>
        <w:t>Осуществление р</w:t>
      </w:r>
      <w:r w:rsidR="003A4D4E">
        <w:t>ешений неофициального совещания</w:t>
      </w:r>
      <w:r w:rsidR="003A4D4E">
        <w:br/>
      </w:r>
      <w:r w:rsidRPr="005C7441">
        <w:t>по вопросу о методах работы Комитета</w:t>
      </w:r>
      <w:bookmarkStart w:id="12" w:name="_Toc485738197"/>
      <w:bookmarkEnd w:id="12"/>
    </w:p>
    <w:p w:rsidR="005C7441" w:rsidRPr="005C7441" w:rsidRDefault="005C7441" w:rsidP="005C7441">
      <w:pPr>
        <w:pStyle w:val="SingleTxtGR"/>
      </w:pPr>
      <w:r w:rsidRPr="005C7441">
        <w:t>20.</w:t>
      </w:r>
      <w:r w:rsidRPr="005C7441">
        <w:tab/>
      </w:r>
      <w:proofErr w:type="gramStart"/>
      <w:r w:rsidRPr="005C7441">
        <w:t>В рамках последующей деятельности в связи с решениями его двухдне</w:t>
      </w:r>
      <w:r w:rsidRPr="005C7441">
        <w:t>в</w:t>
      </w:r>
      <w:r w:rsidRPr="005C7441">
        <w:t>ного неофициального совещания по вопросу о методах</w:t>
      </w:r>
      <w:proofErr w:type="gramEnd"/>
      <w:r w:rsidRPr="005C7441">
        <w:t xml:space="preserve"> работы, проведенного на его пятьдесят третьей сессии, Комитет предпринял следующие действия:</w:t>
      </w:r>
    </w:p>
    <w:p w:rsidR="005C7441" w:rsidRPr="005C7441" w:rsidRDefault="005C7441" w:rsidP="005C7441">
      <w:pPr>
        <w:pStyle w:val="SingleTxtGR"/>
      </w:pPr>
      <w:r w:rsidRPr="005C7441">
        <w:tab/>
        <w:t>a)</w:t>
      </w:r>
      <w:r w:rsidRPr="005C7441">
        <w:tab/>
        <w:t>шести</w:t>
      </w:r>
      <w:r w:rsidR="00B745A4">
        <w:t xml:space="preserve"> государствам (Антигуа и </w:t>
      </w:r>
      <w:proofErr w:type="spellStart"/>
      <w:r w:rsidR="00B745A4">
        <w:t>Барбуде</w:t>
      </w:r>
      <w:proofErr w:type="spellEnd"/>
      <w:r w:rsidRPr="005C7441">
        <w:t>, Кабо-Верде, Кот-д’Ивуару, Малави, Сейшельским Островам и Сомали) с давно просроченными первоначальными докладами было предложено использовать упрощенную пр</w:t>
      </w:r>
      <w:r w:rsidRPr="005C7441">
        <w:t>о</w:t>
      </w:r>
      <w:r w:rsidRPr="005C7441">
        <w:t>цедуру представле</w:t>
      </w:r>
      <w:r w:rsidR="003A4D4E">
        <w:t>ния докладов (см. раздел II.D);</w:t>
      </w:r>
    </w:p>
    <w:p w:rsidR="005C7441" w:rsidRPr="005C7441" w:rsidRDefault="005C7441" w:rsidP="005C7441">
      <w:pPr>
        <w:pStyle w:val="SingleTxtGR"/>
      </w:pPr>
      <w:r w:rsidRPr="005C7441">
        <w:tab/>
        <w:t>b)</w:t>
      </w:r>
      <w:r w:rsidRPr="005C7441">
        <w:tab/>
        <w:t>Комитет приступил к предварительной углубленной оценке упр</w:t>
      </w:r>
      <w:r w:rsidRPr="005C7441">
        <w:t>о</w:t>
      </w:r>
      <w:r w:rsidRPr="005C7441">
        <w:t>щенной процедуры представле</w:t>
      </w:r>
      <w:r w:rsidR="003A4D4E">
        <w:t>ния докладов (см. раздел II.B);</w:t>
      </w:r>
    </w:p>
    <w:p w:rsidR="005C7441" w:rsidRPr="005C7441" w:rsidRDefault="005C7441" w:rsidP="005C7441">
      <w:pPr>
        <w:pStyle w:val="SingleTxtGR"/>
      </w:pPr>
      <w:r w:rsidRPr="005C7441">
        <w:tab/>
        <w:t>c)</w:t>
      </w:r>
      <w:r w:rsidRPr="005C7441">
        <w:tab/>
        <w:t>Комитет утвердил руководящие принципы последующей деятел</w:t>
      </w:r>
      <w:r w:rsidRPr="005C7441">
        <w:t>ь</w:t>
      </w:r>
      <w:r w:rsidRPr="005C7441">
        <w:t>ности в связи с заключительными замечаниями (</w:t>
      </w:r>
      <w:r w:rsidR="00D43468">
        <w:fldChar w:fldCharType="begin"/>
      </w:r>
      <w:r w:rsidR="00D43468">
        <w:instrText xml:space="preserve"> HYPERLINK "http://undocs.org/ru/CAT/C/55/3" </w:instrText>
      </w:r>
      <w:r w:rsidR="00D43468">
        <w:fldChar w:fldCharType="separate"/>
      </w:r>
      <w:r w:rsidRPr="003A4D4E">
        <w:rPr>
          <w:rStyle w:val="af1"/>
        </w:rPr>
        <w:t>CAT/C/55/3</w:t>
      </w:r>
      <w:r w:rsidR="00D43468">
        <w:rPr>
          <w:rStyle w:val="af1"/>
        </w:rPr>
        <w:fldChar w:fldCharType="end"/>
      </w:r>
      <w:r w:rsidRPr="005C7441">
        <w:t>);</w:t>
      </w:r>
    </w:p>
    <w:p w:rsidR="005C7441" w:rsidRPr="005C7441" w:rsidRDefault="005C7441" w:rsidP="005C7441">
      <w:pPr>
        <w:pStyle w:val="SingleTxtGR"/>
      </w:pPr>
      <w:r w:rsidRPr="005C7441">
        <w:tab/>
        <w:t>d)</w:t>
      </w:r>
      <w:r w:rsidRPr="005C7441">
        <w:tab/>
        <w:t>Комитет добился увеличения вклада национальных правозащитных учреждений, национальных превентивных механизмов и неправительственных организаций в работу его сессий и расширения их участия в них (см. раздел I.I), в том числе с использованием новых коммуникационных технологий, таких как Skype;</w:t>
      </w:r>
    </w:p>
    <w:p w:rsidR="005C7441" w:rsidRPr="005C7441" w:rsidRDefault="005C7441" w:rsidP="005C7441">
      <w:pPr>
        <w:pStyle w:val="SingleTxtGR"/>
      </w:pPr>
      <w:r w:rsidRPr="005C7441">
        <w:tab/>
        <w:t>e)</w:t>
      </w:r>
      <w:r w:rsidRPr="005C7441">
        <w:tab/>
        <w:t>Комитет учредил рабочую группу по индивидуальным жалобам, с тем чтобы Комитет мог полностью разобраться во внутренних процессах пр</w:t>
      </w:r>
      <w:r w:rsidRPr="005C7441">
        <w:t>о</w:t>
      </w:r>
      <w:r w:rsidRPr="005C7441">
        <w:t>цедуры рассмотрения индивидуальных жалоб;</w:t>
      </w:r>
    </w:p>
    <w:p w:rsidR="005C7441" w:rsidRPr="005C7441" w:rsidRDefault="005C7441" w:rsidP="005C7441">
      <w:pPr>
        <w:pStyle w:val="SingleTxtGR"/>
      </w:pPr>
      <w:r w:rsidRPr="005C7441">
        <w:tab/>
        <w:t>f)</w:t>
      </w:r>
      <w:r w:rsidRPr="005C7441">
        <w:tab/>
        <w:t>Комитет постановил подготовить проект пересмотренного замеч</w:t>
      </w:r>
      <w:r w:rsidRPr="005C7441">
        <w:t>а</w:t>
      </w:r>
      <w:r w:rsidRPr="005C7441">
        <w:t>ния общего порядка по статье 3 (см. раздел I.G);</w:t>
      </w:r>
    </w:p>
    <w:p w:rsidR="005C7441" w:rsidRPr="005C7441" w:rsidRDefault="005C7441" w:rsidP="005C7441">
      <w:pPr>
        <w:pStyle w:val="SingleTxtGR"/>
      </w:pPr>
      <w:r w:rsidRPr="005C7441">
        <w:tab/>
        <w:t>g)</w:t>
      </w:r>
      <w:r w:rsidRPr="005C7441">
        <w:tab/>
        <w:t>Комитет утвердил руководящие принципы по приему и обработке утверждений о применении репрессий в отношении лиц и организаций, сотру</w:t>
      </w:r>
      <w:r w:rsidRPr="005C7441">
        <w:t>д</w:t>
      </w:r>
      <w:r w:rsidRPr="005C7441">
        <w:t>ничающих с Комитетом на основании с</w:t>
      </w:r>
      <w:r w:rsidR="003A4D4E">
        <w:t>татей 13, 19, 20 и 22 Конвенции</w:t>
      </w:r>
      <w:r w:rsidR="003A4D4E">
        <w:br/>
      </w:r>
      <w:r w:rsidRPr="005C7441">
        <w:t>(см. раздел I.J).</w:t>
      </w:r>
    </w:p>
    <w:p w:rsidR="005C7441" w:rsidRPr="005C7441" w:rsidRDefault="005C7441" w:rsidP="003A4D4E">
      <w:pPr>
        <w:pStyle w:val="H1GR"/>
      </w:pPr>
      <w:r w:rsidRPr="005C7441">
        <w:tab/>
        <w:t>M.</w:t>
      </w:r>
      <w:r w:rsidRPr="005C7441">
        <w:tab/>
        <w:t>Участие членов Комитета в работе других заседаний</w:t>
      </w:r>
      <w:bookmarkStart w:id="13" w:name="_Toc485738198"/>
      <w:bookmarkEnd w:id="13"/>
    </w:p>
    <w:p w:rsidR="005C7441" w:rsidRPr="005C7441" w:rsidRDefault="005C7441" w:rsidP="005C7441">
      <w:pPr>
        <w:pStyle w:val="SingleTxtGR"/>
      </w:pPr>
      <w:r w:rsidRPr="005C7441">
        <w:t>21.</w:t>
      </w:r>
      <w:r w:rsidRPr="005C7441">
        <w:tab/>
        <w:t>В течение рассматриваемого периода члены Комитета принимали акти</w:t>
      </w:r>
      <w:r w:rsidRPr="005C7441">
        <w:t>в</w:t>
      </w:r>
      <w:r w:rsidRPr="005C7441">
        <w:t>ное участие, выступая с устными заявлениями и представляя письменные мат</w:t>
      </w:r>
      <w:r w:rsidRPr="005C7441">
        <w:t>е</w:t>
      </w:r>
      <w:r w:rsidRPr="005C7441">
        <w:t>риалы, в различных заседаниях:</w:t>
      </w:r>
    </w:p>
    <w:p w:rsidR="005C7441" w:rsidRPr="005C7441" w:rsidRDefault="005C7441" w:rsidP="005C7441">
      <w:pPr>
        <w:pStyle w:val="SingleTxtGR"/>
      </w:pPr>
      <w:r w:rsidRPr="005C7441">
        <w:tab/>
        <w:t>a)</w:t>
      </w:r>
      <w:r w:rsidRPr="005C7441">
        <w:tab/>
        <w:t>в работе заседания Консультативного комитета Совета по правам человека о региональных мероприятиях по поощрению и защите прав человека, состоявшегося 10 августа 2016 года, приняла участие г-жа Гаер;</w:t>
      </w:r>
    </w:p>
    <w:p w:rsidR="005C7441" w:rsidRPr="005C7441" w:rsidRDefault="005C7441" w:rsidP="005C7441">
      <w:pPr>
        <w:pStyle w:val="SingleTxtGR"/>
      </w:pPr>
      <w:r w:rsidRPr="005C7441">
        <w:tab/>
      </w:r>
      <w:proofErr w:type="gramStart"/>
      <w:r w:rsidRPr="005C7441">
        <w:t>b)</w:t>
      </w:r>
      <w:r w:rsidRPr="005C7441">
        <w:tab/>
        <w:t xml:space="preserve">в работе конференции по теме </w:t>
      </w:r>
      <w:r w:rsidR="004338CD">
        <w:t>«</w:t>
      </w:r>
      <w:r w:rsidRPr="005C7441">
        <w:t>Реализация Стамбульского прот</w:t>
      </w:r>
      <w:r w:rsidRPr="005C7441">
        <w:t>о</w:t>
      </w:r>
      <w:r w:rsidRPr="005C7441">
        <w:t>кола: трансформация регионального опыта в международные нормы эффекти</w:t>
      </w:r>
      <w:r w:rsidRPr="005C7441">
        <w:t>в</w:t>
      </w:r>
      <w:r w:rsidRPr="005C7441">
        <w:t>ного расследования и документирования пыток</w:t>
      </w:r>
      <w:r w:rsidR="004338CD">
        <w:t>»</w:t>
      </w:r>
      <w:r w:rsidRPr="005C7441">
        <w:t>, организованной правител</w:t>
      </w:r>
      <w:r w:rsidRPr="005C7441">
        <w:t>ь</w:t>
      </w:r>
      <w:r w:rsidRPr="005C7441">
        <w:t xml:space="preserve">ством Кыргызстана, Генеральной прокуратурой, Национальным центром по предупреждению пыток, Фондом </w:t>
      </w:r>
      <w:r w:rsidR="004338CD">
        <w:t>«</w:t>
      </w:r>
      <w:r w:rsidRPr="005C7441">
        <w:t>Сорос-Кыргызстан</w:t>
      </w:r>
      <w:r w:rsidR="004338CD">
        <w:t>»</w:t>
      </w:r>
      <w:r w:rsidRPr="005C7441">
        <w:t>, коалицией НПО против п</w:t>
      </w:r>
      <w:r w:rsidR="00B745A4">
        <w:t>ыток в Кыргызстане и организацией</w:t>
      </w:r>
      <w:r w:rsidRPr="005C7441">
        <w:t xml:space="preserve"> </w:t>
      </w:r>
      <w:r w:rsidR="004338CD">
        <w:t>«</w:t>
      </w:r>
      <w:r w:rsidRPr="005C7441">
        <w:t>Врачи за права человека</w:t>
      </w:r>
      <w:r w:rsidR="004338CD">
        <w:t>»</w:t>
      </w:r>
      <w:r w:rsidR="003A4D4E">
        <w:t xml:space="preserve"> и состоявше</w:t>
      </w:r>
      <w:r w:rsidR="003A4D4E">
        <w:t>й</w:t>
      </w:r>
      <w:r w:rsidR="003A4D4E">
        <w:t>ся 21–</w:t>
      </w:r>
      <w:r w:rsidRPr="005C7441">
        <w:t>22 сентября 2016 года в Бишкеке, Кыргызстан, принял участие г-н М</w:t>
      </w:r>
      <w:r w:rsidRPr="005C7441">
        <w:t>о</w:t>
      </w:r>
      <w:r w:rsidRPr="005C7441">
        <w:t>двиг;</w:t>
      </w:r>
      <w:proofErr w:type="gramEnd"/>
    </w:p>
    <w:p w:rsidR="005C7441" w:rsidRPr="005C7441" w:rsidRDefault="005C7441" w:rsidP="005C7441">
      <w:pPr>
        <w:pStyle w:val="SingleTxtGR"/>
      </w:pPr>
      <w:r w:rsidRPr="005C7441">
        <w:tab/>
        <w:t>c)</w:t>
      </w:r>
      <w:r w:rsidRPr="005C7441">
        <w:tab/>
        <w:t>в рабочем совещании по процедуре расследования в рамках сист</w:t>
      </w:r>
      <w:r w:rsidRPr="005C7441">
        <w:t>е</w:t>
      </w:r>
      <w:r w:rsidRPr="005C7441">
        <w:t>мы договорных органов, организованном УВКПЧ в сотрудничестве с Жене</w:t>
      </w:r>
      <w:r w:rsidRPr="005C7441">
        <w:t>в</w:t>
      </w:r>
      <w:r w:rsidRPr="005C7441">
        <w:t>ской академией международного гуманитарного права и прав человека и сост</w:t>
      </w:r>
      <w:r w:rsidRPr="005C7441">
        <w:t>о</w:t>
      </w:r>
      <w:r w:rsidR="00B745A4">
        <w:t>явшемся 6–</w:t>
      </w:r>
      <w:r w:rsidRPr="005C7441">
        <w:t>7 октября 2016 года в Женеве, приняли участие г-н Бруни и г-н Э</w:t>
      </w:r>
      <w:r w:rsidRPr="005C7441">
        <w:t>л</w:t>
      </w:r>
      <w:r w:rsidRPr="005C7441">
        <w:t>лер;</w:t>
      </w:r>
    </w:p>
    <w:p w:rsidR="005C7441" w:rsidRPr="005C7441" w:rsidRDefault="005C7441" w:rsidP="005C7441">
      <w:pPr>
        <w:pStyle w:val="SingleTxtGR"/>
      </w:pPr>
      <w:r w:rsidRPr="005C7441">
        <w:tab/>
        <w:t>d)</w:t>
      </w:r>
      <w:r w:rsidRPr="005C7441">
        <w:tab/>
        <w:t>в параллельном мероприятии Генеральной Ассамблеи по реализ</w:t>
      </w:r>
      <w:r w:rsidRPr="005C7441">
        <w:t>а</w:t>
      </w:r>
      <w:r w:rsidRPr="005C7441">
        <w:t>ции Цели 16 в области устойчивого развития и роли инициатив по борьбе с пытками, организованном в рамках Инициативы в поддержку Конвенции пр</w:t>
      </w:r>
      <w:r w:rsidRPr="005C7441">
        <w:t>о</w:t>
      </w:r>
      <w:r w:rsidRPr="005C7441">
        <w:t>тив пыток совместно с Ассоциацией за предотвращение пыток и состоявшемся 18 октября 2016 года в Нью-Йорке, принял участие г-н Модвиг;</w:t>
      </w:r>
    </w:p>
    <w:p w:rsidR="005C7441" w:rsidRPr="005C7441" w:rsidRDefault="005C7441" w:rsidP="005C7441">
      <w:pPr>
        <w:pStyle w:val="SingleTxtGR"/>
      </w:pPr>
      <w:r w:rsidRPr="005C7441">
        <w:tab/>
        <w:t>e)</w:t>
      </w:r>
      <w:r w:rsidRPr="005C7441">
        <w:tab/>
        <w:t xml:space="preserve">в дискуссии </w:t>
      </w:r>
      <w:r w:rsidR="004338CD">
        <w:t>«</w:t>
      </w:r>
      <w:r w:rsidRPr="005C7441">
        <w:t>за круглым столом</w:t>
      </w:r>
      <w:r w:rsidR="004338CD">
        <w:t>»</w:t>
      </w:r>
      <w:r w:rsidRPr="005C7441">
        <w:t xml:space="preserve"> по вопросу о ратификации Ко</w:t>
      </w:r>
      <w:r w:rsidRPr="005C7441">
        <w:t>н</w:t>
      </w:r>
      <w:r w:rsidRPr="005C7441">
        <w:t>венции против пыток Суринамом, организованной в рамках Инициативы в по</w:t>
      </w:r>
      <w:r w:rsidRPr="005C7441">
        <w:t>д</w:t>
      </w:r>
      <w:r w:rsidRPr="005C7441">
        <w:t>держку Конвенции против пыток совместно с УВКПЧ и состоявшейся 20 о</w:t>
      </w:r>
      <w:r w:rsidRPr="005C7441">
        <w:t>к</w:t>
      </w:r>
      <w:r w:rsidRPr="005C7441">
        <w:t>тября 2016 года в Суринаме, принял участие г-н Эллер;</w:t>
      </w:r>
    </w:p>
    <w:p w:rsidR="005C7441" w:rsidRPr="005C7441" w:rsidRDefault="005C7441" w:rsidP="005C7441">
      <w:pPr>
        <w:pStyle w:val="SingleTxtGR"/>
      </w:pPr>
      <w:r w:rsidRPr="005C7441">
        <w:tab/>
      </w:r>
      <w:proofErr w:type="gramStart"/>
      <w:r w:rsidRPr="005C7441">
        <w:t>f)</w:t>
      </w:r>
      <w:r w:rsidRPr="005C7441">
        <w:tab/>
        <w:t xml:space="preserve">в региональном рабочем совещании по теме </w:t>
      </w:r>
      <w:r w:rsidR="004338CD">
        <w:t>«</w:t>
      </w:r>
      <w:r w:rsidRPr="005C7441">
        <w:t>Выгоды и вызовы, связанные с ратификацией и осуществлением Конвенции Организации Объед</w:t>
      </w:r>
      <w:r w:rsidRPr="005C7441">
        <w:t>и</w:t>
      </w:r>
      <w:r w:rsidRPr="005C7441">
        <w:t>ненных Наций против пыток в Тихоокеанском регионе: обмен опытом и нар</w:t>
      </w:r>
      <w:r w:rsidRPr="005C7441">
        <w:t>а</w:t>
      </w:r>
      <w:r w:rsidRPr="005C7441">
        <w:t>щивание потенциала</w:t>
      </w:r>
      <w:r w:rsidR="004338CD">
        <w:t>»</w:t>
      </w:r>
      <w:r w:rsidRPr="005C7441">
        <w:t>, организованном в рамках Инициативы в поддержку Ко</w:t>
      </w:r>
      <w:r w:rsidRPr="005C7441">
        <w:t>н</w:t>
      </w:r>
      <w:r w:rsidRPr="005C7441">
        <w:t>венции против пыток совместно с Группой по универсальным правам и Асс</w:t>
      </w:r>
      <w:r w:rsidRPr="005C7441">
        <w:t>о</w:t>
      </w:r>
      <w:r w:rsidRPr="005C7441">
        <w:t>циацией за предотв</w:t>
      </w:r>
      <w:r w:rsidR="003A4D4E">
        <w:t>ращение пыток и состоявшемся 27–</w:t>
      </w:r>
      <w:r w:rsidRPr="005C7441">
        <w:t>28 октября 2016 года в Натадоле, Фиджи, принял участие</w:t>
      </w:r>
      <w:proofErr w:type="gramEnd"/>
      <w:r w:rsidRPr="005C7441">
        <w:t xml:space="preserve"> г-н Хани;</w:t>
      </w:r>
    </w:p>
    <w:p w:rsidR="005C7441" w:rsidRPr="005C7441" w:rsidRDefault="005C7441" w:rsidP="005C7441">
      <w:pPr>
        <w:pStyle w:val="SingleTxtGR"/>
      </w:pPr>
      <w:r w:rsidRPr="005C7441">
        <w:tab/>
        <w:t>g)</w:t>
      </w:r>
      <w:r w:rsidRPr="005C7441">
        <w:tab/>
        <w:t>в рабочем совещании по замечаниям общего порядка, организова</w:t>
      </w:r>
      <w:r w:rsidRPr="005C7441">
        <w:t>н</w:t>
      </w:r>
      <w:r w:rsidRPr="005C7441">
        <w:t>ном УВКПЧ в партнерстве с Арабским комитетом по правам человека и сост</w:t>
      </w:r>
      <w:r w:rsidRPr="005C7441">
        <w:t>о</w:t>
      </w:r>
      <w:r w:rsidRPr="005C7441">
        <w:t>явшемся 30 ноября 2016 года в Каире, принял участие г-н Хани;</w:t>
      </w:r>
    </w:p>
    <w:p w:rsidR="005C7441" w:rsidRPr="005C7441" w:rsidRDefault="005C7441" w:rsidP="005C7441">
      <w:pPr>
        <w:pStyle w:val="SingleTxtGR"/>
      </w:pPr>
      <w:r w:rsidRPr="005C7441">
        <w:tab/>
      </w:r>
      <w:proofErr w:type="gramStart"/>
      <w:r w:rsidRPr="005C7441">
        <w:t>h)</w:t>
      </w:r>
      <w:r w:rsidRPr="005C7441">
        <w:tab/>
        <w:t>в работе международного коллоквиума по созданию национального превентивного механизма в Тунисе, организованного Национальным органом по предупреждению пыток в Тунисе при поддержке Программы развития Орг</w:t>
      </w:r>
      <w:r w:rsidRPr="005C7441">
        <w:t>а</w:t>
      </w:r>
      <w:r w:rsidRPr="005C7441">
        <w:t xml:space="preserve">низации Объединенных Наций, УВКПЧ, Ассоциации за предотвращение пыток, Совета Европы, Женевского центра по вопросам демократического контроля над вооруженными силами, организации </w:t>
      </w:r>
      <w:r w:rsidR="004338CD">
        <w:t>«</w:t>
      </w:r>
      <w:r w:rsidRPr="005C7441">
        <w:t>Достоинство</w:t>
      </w:r>
      <w:r w:rsidR="004338CD">
        <w:t>»</w:t>
      </w:r>
      <w:r w:rsidRPr="005C7441">
        <w:t xml:space="preserve"> и Всемирной орган</w:t>
      </w:r>
      <w:r w:rsidRPr="005C7441">
        <w:t>и</w:t>
      </w:r>
      <w:r w:rsidRPr="005C7441">
        <w:t>зации против пыток и состоя</w:t>
      </w:r>
      <w:r w:rsidR="00B745A4">
        <w:t>вшегося 19–</w:t>
      </w:r>
      <w:r w:rsidRPr="005C7441">
        <w:t>20 декабря 2016 года в Тунисе, принял участие</w:t>
      </w:r>
      <w:proofErr w:type="gramEnd"/>
      <w:r w:rsidRPr="005C7441">
        <w:t xml:space="preserve"> г-н Хани. Ему предшествовал семинар по борьбе против пыток в Тун</w:t>
      </w:r>
      <w:r w:rsidRPr="005C7441">
        <w:t>и</w:t>
      </w:r>
      <w:r w:rsidRPr="005C7441">
        <w:t xml:space="preserve">се, проведенный организацией </w:t>
      </w:r>
      <w:r w:rsidR="004338CD">
        <w:t>«</w:t>
      </w:r>
      <w:r w:rsidRPr="005C7441">
        <w:t>Достоинство</w:t>
      </w:r>
      <w:r w:rsidR="004338CD">
        <w:t>»</w:t>
      </w:r>
      <w:r w:rsidRPr="005C7441">
        <w:t xml:space="preserve"> 8 декабря 2016 года;</w:t>
      </w:r>
    </w:p>
    <w:p w:rsidR="005C7441" w:rsidRPr="005C7441" w:rsidRDefault="005C7441" w:rsidP="005C7441">
      <w:pPr>
        <w:pStyle w:val="SingleTxtGR"/>
      </w:pPr>
      <w:r w:rsidRPr="005C7441">
        <w:tab/>
        <w:t>i)</w:t>
      </w:r>
      <w:r w:rsidRPr="005C7441">
        <w:tab/>
        <w:t>в рабочем совещании по вопросу о мандате и функционировании будущего национального превентивного механизма Марокко, организованном Национальным советом по правам человека, Министерством иностранных дел и по делам Содружества и Ассоциацией за предотвращение пыток и состоя</w:t>
      </w:r>
      <w:r w:rsidRPr="005C7441">
        <w:t>в</w:t>
      </w:r>
      <w:r w:rsidR="003A4D4E">
        <w:t>шемся 20–</w:t>
      </w:r>
      <w:r w:rsidRPr="005C7441">
        <w:t>22 декабря 2016 года в Рабат</w:t>
      </w:r>
      <w:r w:rsidR="003A4D4E">
        <w:t>е, приняли участие г-жа Бельмир</w:t>
      </w:r>
      <w:r w:rsidR="003A4D4E">
        <w:br/>
      </w:r>
      <w:r w:rsidRPr="005C7441">
        <w:t>и г-н Хани;</w:t>
      </w:r>
    </w:p>
    <w:p w:rsidR="005C7441" w:rsidRPr="005C7441" w:rsidRDefault="005C7441" w:rsidP="005C7441">
      <w:pPr>
        <w:pStyle w:val="SingleTxtGR"/>
      </w:pPr>
      <w:r w:rsidRPr="005C7441">
        <w:tab/>
        <w:t>j)</w:t>
      </w:r>
      <w:r w:rsidRPr="005C7441">
        <w:tab/>
        <w:t xml:space="preserve">в работе экспертного форума Комитета по теме </w:t>
      </w:r>
      <w:r w:rsidR="004338CD">
        <w:t>«</w:t>
      </w:r>
      <w:r w:rsidRPr="005C7441">
        <w:t>Защита мигрир</w:t>
      </w:r>
      <w:r w:rsidRPr="005C7441">
        <w:t>у</w:t>
      </w:r>
      <w:r w:rsidRPr="005C7441">
        <w:t>ющих людей от пыток и жестокого обращения</w:t>
      </w:r>
      <w:r w:rsidR="004338CD">
        <w:t>»</w:t>
      </w:r>
      <w:r w:rsidRPr="005C7441">
        <w:t>, организованного Всемирной организацией</w:t>
      </w:r>
      <w:r w:rsidR="003A4D4E">
        <w:t xml:space="preserve"> против пыток и состоявшегося 9</w:t>
      </w:r>
      <w:r w:rsidRPr="005C7441">
        <w:t>–10 февраля 2017 года в Женеве, приняли участие г-н Бруни, г-жа Гаер, г-н Модвиг и г-н Хани;</w:t>
      </w:r>
    </w:p>
    <w:p w:rsidR="005C7441" w:rsidRPr="005C7441" w:rsidRDefault="005C7441" w:rsidP="005C7441">
      <w:pPr>
        <w:pStyle w:val="SingleTxtGR"/>
      </w:pPr>
      <w:r w:rsidRPr="005C7441">
        <w:tab/>
        <w:t>k)</w:t>
      </w:r>
      <w:r w:rsidRPr="005C7441">
        <w:tab/>
        <w:t>в рабочем совещании по договорным органам и национальным правозащитным учреждениям, организованном УВКПЧ в сотрудничестве с Глобальным альянсом национальных правозащитных учреждений и Женевской академией международного гуманитарного права и прав человека и состоя</w:t>
      </w:r>
      <w:r w:rsidRPr="005C7441">
        <w:t>в</w:t>
      </w:r>
      <w:r w:rsidR="00B745A4">
        <w:t>шемся 9–</w:t>
      </w:r>
      <w:r w:rsidRPr="005C7441">
        <w:t>10 марта 2017 года в Женеве, принял участие г-н Хани.</w:t>
      </w:r>
    </w:p>
    <w:p w:rsidR="005C7441" w:rsidRPr="005C7441" w:rsidRDefault="005C7441" w:rsidP="00C615EA">
      <w:pPr>
        <w:pStyle w:val="HChGR"/>
      </w:pPr>
      <w:r w:rsidRPr="005C7441">
        <w:tab/>
        <w:t>II.</w:t>
      </w:r>
      <w:r w:rsidRPr="005C7441">
        <w:tab/>
        <w:t>Представление докладов государ</w:t>
      </w:r>
      <w:r w:rsidR="003A4D4E">
        <w:t>ствами-участниками</w:t>
      </w:r>
      <w:r w:rsidR="003A4D4E">
        <w:br/>
      </w:r>
      <w:r w:rsidRPr="005C7441">
        <w:t>в соответствии со статьей 19 Конвенции</w:t>
      </w:r>
      <w:bookmarkStart w:id="14" w:name="_Toc485738199"/>
      <w:bookmarkEnd w:id="14"/>
    </w:p>
    <w:p w:rsidR="005C7441" w:rsidRPr="005C7441" w:rsidRDefault="005C7441" w:rsidP="005C7441">
      <w:pPr>
        <w:pStyle w:val="SingleTxtGR"/>
      </w:pPr>
      <w:r w:rsidRPr="005C7441">
        <w:t>22.</w:t>
      </w:r>
      <w:r w:rsidRPr="005C7441">
        <w:tab/>
        <w:t>За период, охватываемый настоящим докладом, в соответствии со стат</w:t>
      </w:r>
      <w:r w:rsidRPr="005C7441">
        <w:t>ь</w:t>
      </w:r>
      <w:r w:rsidRPr="005C7441">
        <w:t>ей 19 Конвенции Генеральному секретар</w:t>
      </w:r>
      <w:r w:rsidR="00B745A4">
        <w:t>ю было представлено 13 докладов</w:t>
      </w:r>
      <w:r w:rsidR="00B745A4">
        <w:br/>
      </w:r>
      <w:r w:rsidRPr="005C7441">
        <w:t>государств-участников. Первоначальный доклад был представлен Тимором-Лешти. Вторые периодические доклады представили Мавритания и Руанда. Третьи периодические доклады были представлены Катаром, Республикой Молдова и Таджикистаном. Четвертый периодический доклад был представлен Сенегалом. Пятый периодический доклад был представлен Камеруном. Шестые периодические доклады были представлены Российской Федерацией, Чехией и Чили. Седьмой периодический доклад был представлен Канадой. Восьмой п</w:t>
      </w:r>
      <w:r w:rsidRPr="005C7441">
        <w:t>е</w:t>
      </w:r>
      <w:r w:rsidRPr="005C7441">
        <w:t>риодический доклад был представлен Норвегией.</w:t>
      </w:r>
    </w:p>
    <w:p w:rsidR="005C7441" w:rsidRPr="005C7441" w:rsidRDefault="005C7441" w:rsidP="005C7441">
      <w:pPr>
        <w:pStyle w:val="SingleTxtGR"/>
      </w:pPr>
      <w:r w:rsidRPr="005C7441">
        <w:t>23.</w:t>
      </w:r>
      <w:r w:rsidRPr="005C7441">
        <w:tab/>
        <w:t>По состоянию на 12 мая 2017 года Комитет получил в общей сложности 413 и рассмотрел 393 доклада; 27 государств-участников просрочили предста</w:t>
      </w:r>
      <w:r w:rsidRPr="005C7441">
        <w:t>в</w:t>
      </w:r>
      <w:r w:rsidRPr="005C7441">
        <w:t>ление первоначальных докладов, и 38 государств-участников просрочили пер</w:t>
      </w:r>
      <w:r w:rsidRPr="005C7441">
        <w:t>и</w:t>
      </w:r>
      <w:r w:rsidRPr="005C7441">
        <w:t>одические доклады (положение с представлением докладов см. на веб-странице Комитета).</w:t>
      </w:r>
    </w:p>
    <w:p w:rsidR="005C7441" w:rsidRPr="005C7441" w:rsidRDefault="005C7441" w:rsidP="00CA57BC">
      <w:pPr>
        <w:pStyle w:val="H1GR"/>
      </w:pPr>
      <w:r w:rsidRPr="005C7441">
        <w:tab/>
        <w:t>A.</w:t>
      </w:r>
      <w:r w:rsidRPr="005C7441">
        <w:tab/>
        <w:t>Предложение представлять периодические доклады</w:t>
      </w:r>
      <w:bookmarkStart w:id="15" w:name="_Toc485738200"/>
      <w:bookmarkEnd w:id="15"/>
    </w:p>
    <w:p w:rsidR="005C7441" w:rsidRPr="005C7441" w:rsidRDefault="005C7441" w:rsidP="005C7441">
      <w:pPr>
        <w:pStyle w:val="SingleTxtGR"/>
      </w:pPr>
      <w:r w:rsidRPr="005C7441">
        <w:t>24.</w:t>
      </w:r>
      <w:r w:rsidRPr="005C7441">
        <w:tab/>
      </w:r>
      <w:proofErr w:type="gramStart"/>
      <w:r w:rsidRPr="005C7441">
        <w:t xml:space="preserve">В соответствии со своим решением, </w:t>
      </w:r>
      <w:r w:rsidR="003A4D4E">
        <w:t>принятым на сорок первой сессии</w:t>
      </w:r>
      <w:r w:rsidRPr="003A4D4E">
        <w:rPr>
          <w:sz w:val="18"/>
          <w:vertAlign w:val="superscript"/>
        </w:rPr>
        <w:footnoteReference w:id="1"/>
      </w:r>
      <w:r w:rsidR="00B745A4">
        <w:t>,</w:t>
      </w:r>
      <w:r w:rsidRPr="005C7441">
        <w:t xml:space="preserve"> Комитет на своих пятьдесят восьмой, пятьдесят девятой и шестидесятой сесс</w:t>
      </w:r>
      <w:r w:rsidRPr="005C7441">
        <w:t>и</w:t>
      </w:r>
      <w:r w:rsidRPr="005C7441">
        <w:t>ях продолжал в последнем пункте заключительных замечаний предлагать гос</w:t>
      </w:r>
      <w:r w:rsidRPr="005C7441">
        <w:t>у</w:t>
      </w:r>
      <w:r w:rsidRPr="005C7441">
        <w:t>дарствам-участникам представлять свои следующие периодические доклады в течение четырех лет с момента принятия заключительных замечаний и − в том же пункте − указывать дату, к которой должен быть представлен следующий доклад.</w:t>
      </w:r>
      <w:proofErr w:type="gramEnd"/>
    </w:p>
    <w:p w:rsidR="005C7441" w:rsidRPr="005C7441" w:rsidRDefault="005C7441" w:rsidP="005C7441">
      <w:pPr>
        <w:pStyle w:val="SingleTxtGR"/>
      </w:pPr>
      <w:r w:rsidRPr="005C7441">
        <w:t>25.</w:t>
      </w:r>
      <w:r w:rsidRPr="005C7441">
        <w:tab/>
      </w:r>
      <w:proofErr w:type="gramStart"/>
      <w:r w:rsidRPr="005C7441">
        <w:t>Кроме того, в соответствии со своим решением, принятым на сорок сед</w:t>
      </w:r>
      <w:r w:rsidRPr="005C7441">
        <w:t>ь</w:t>
      </w:r>
      <w:r w:rsidR="003A4D4E">
        <w:t>мой сессии</w:t>
      </w:r>
      <w:r w:rsidRPr="003A4D4E">
        <w:rPr>
          <w:sz w:val="18"/>
          <w:vertAlign w:val="superscript"/>
        </w:rPr>
        <w:footnoteReference w:id="2"/>
      </w:r>
      <w:r w:rsidR="003A4D4E">
        <w:t xml:space="preserve">, </w:t>
      </w:r>
      <w:r w:rsidRPr="005C7441">
        <w:t>Комитет на своих пятьдесят восьмой, пятьдесят девятой и шест</w:t>
      </w:r>
      <w:r w:rsidRPr="005C7441">
        <w:t>и</w:t>
      </w:r>
      <w:r w:rsidRPr="005C7441">
        <w:t>десятой сессиях продолжал предлагать государствам-участникам представлять в течение одного года с даты принятия его заключительных замечаний доклад в соответствии с факультативной процедурой представления докладов или, если соответствующее государство-участник уже согласилось представить доклад в соответствии с этой процедурой, указывать, что Комитет</w:t>
      </w:r>
      <w:proofErr w:type="gramEnd"/>
      <w:r w:rsidRPr="005C7441">
        <w:t xml:space="preserve"> представит госуда</w:t>
      </w:r>
      <w:r w:rsidRPr="005C7441">
        <w:t>р</w:t>
      </w:r>
      <w:r w:rsidRPr="005C7441">
        <w:t>ству-участнику в надлежащее время перечень вопросов до представления его следующего периодического доклада.</w:t>
      </w:r>
    </w:p>
    <w:p w:rsidR="005C7441" w:rsidRPr="005C7441" w:rsidRDefault="005C7441" w:rsidP="003A4D4E">
      <w:pPr>
        <w:pStyle w:val="H1GR"/>
      </w:pPr>
      <w:r w:rsidRPr="005C7441">
        <w:tab/>
        <w:t>B.</w:t>
      </w:r>
      <w:r w:rsidRPr="005C7441">
        <w:tab/>
        <w:t>Упрощенная процедура представления докладов</w:t>
      </w:r>
      <w:bookmarkStart w:id="16" w:name="_Toc485738201"/>
      <w:bookmarkEnd w:id="16"/>
    </w:p>
    <w:p w:rsidR="005C7441" w:rsidRPr="005C7441" w:rsidRDefault="005C7441" w:rsidP="005C7441">
      <w:pPr>
        <w:pStyle w:val="SingleTxtGR"/>
      </w:pPr>
      <w:r w:rsidRPr="005C7441">
        <w:t>26.</w:t>
      </w:r>
      <w:r w:rsidRPr="005C7441">
        <w:tab/>
        <w:t>Комитет приветствует тот факт, что большое число государств-участников согласились с этой упрощенной процедурой представления докл</w:t>
      </w:r>
      <w:r w:rsidRPr="005C7441">
        <w:t>а</w:t>
      </w:r>
      <w:r w:rsidRPr="005C7441">
        <w:t>дов, которая заключается в подготовке и принятии перечня вопросов, препр</w:t>
      </w:r>
      <w:r w:rsidRPr="005C7441">
        <w:t>о</w:t>
      </w:r>
      <w:r w:rsidRPr="005C7441">
        <w:t xml:space="preserve">вождаемых государствам-участникам до представления ими соответствующих периодических докладов (так называемый перечень вопросов до представления докладов). </w:t>
      </w:r>
      <w:proofErr w:type="gramStart"/>
      <w:r w:rsidRPr="005C7441">
        <w:t>Эта процедура имеет целью оказание содействия государствам-участникам в выполнении их обязательств по представлению докладов, п</w:t>
      </w:r>
      <w:r w:rsidRPr="005C7441">
        <w:t>о</w:t>
      </w:r>
      <w:r w:rsidRPr="005C7441">
        <w:t>скольку она расширяет сотрудничество между Комите</w:t>
      </w:r>
      <w:r w:rsidR="00B745A4">
        <w:t>том и государствами-участниками</w:t>
      </w:r>
      <w:r w:rsidRPr="003A4D4E">
        <w:rPr>
          <w:sz w:val="18"/>
          <w:vertAlign w:val="superscript"/>
        </w:rPr>
        <w:footnoteReference w:id="3"/>
      </w:r>
      <w:r w:rsidR="00B745A4">
        <w:t>.</w:t>
      </w:r>
      <w:r w:rsidRPr="005C7441">
        <w:t xml:space="preserve"> Хотя Комитет понимает, что принятие с 2007 года перечней в</w:t>
      </w:r>
      <w:r w:rsidRPr="005C7441">
        <w:t>о</w:t>
      </w:r>
      <w:r w:rsidRPr="005C7441">
        <w:t>просов до представления докладов способствует выполнению государствами-участниками их обязательств по представлению докладов, он, тем не менее, х</w:t>
      </w:r>
      <w:r w:rsidRPr="005C7441">
        <w:t>о</w:t>
      </w:r>
      <w:r w:rsidRPr="005C7441">
        <w:t>тел бы подчеркнуть, что процедура подготовки перечней вопросов до предста</w:t>
      </w:r>
      <w:r w:rsidRPr="005C7441">
        <w:t>в</w:t>
      </w:r>
      <w:r w:rsidRPr="005C7441">
        <w:t>ления докладов существенно увеличила</w:t>
      </w:r>
      <w:proofErr w:type="gramEnd"/>
      <w:r w:rsidRPr="005C7441">
        <w:t xml:space="preserve"> рабочую нагрузку Комитета, поскольку их подготовка требует больше усилий, чем традиционные перечни вопросов, подготавливаемые после представления докладов государств-участников. Это особо ощутимо в случае такого немногочисленного по составу органа, каковым является Комитет.</w:t>
      </w:r>
    </w:p>
    <w:p w:rsidR="005C7441" w:rsidRPr="005C7441" w:rsidRDefault="005C7441" w:rsidP="005C7441">
      <w:pPr>
        <w:pStyle w:val="SingleTxtGR"/>
      </w:pPr>
      <w:r w:rsidRPr="005C7441">
        <w:t>27.</w:t>
      </w:r>
      <w:r w:rsidRPr="005C7441">
        <w:tab/>
        <w:t>На своей пятьдесят девятой сессии Комитет принял перечни вопросов до представления докладов в отношении государств-участников, которые приняли предложение представить свой следующий доклад, подлежавший представл</w:t>
      </w:r>
      <w:r w:rsidRPr="005C7441">
        <w:t>е</w:t>
      </w:r>
      <w:r w:rsidRPr="005C7441">
        <w:t>нию в 2018 году, в соответствии с этой процедурой: Австралии, Соединенных Штатов Америки, Украины, Хорватии, Черногории и Швеции. Он также принял перечень вопросов до представления доклада в отношении государства-участника, которое недавно согласилось с упрощенной процедурой представл</w:t>
      </w:r>
      <w:r w:rsidRPr="005C7441">
        <w:t>е</w:t>
      </w:r>
      <w:r w:rsidR="00B745A4">
        <w:t>ния докладов: Кот-д'</w:t>
      </w:r>
      <w:r w:rsidRPr="005C7441">
        <w:t>Ивуара. Эти перечни вопросов до представления докладов были препровождены соответствующим государствам-участникам.</w:t>
      </w:r>
    </w:p>
    <w:p w:rsidR="005C7441" w:rsidRPr="00C615EA" w:rsidRDefault="005C7441" w:rsidP="005C7441">
      <w:pPr>
        <w:pStyle w:val="SingleTxtGR"/>
      </w:pPr>
      <w:r w:rsidRPr="005C7441">
        <w:t>28.</w:t>
      </w:r>
      <w:r w:rsidRPr="005C7441">
        <w:tab/>
        <w:t>На своей шестидесятой сессии Комитет принял перечни вопросов до представления докладов в отношении государств-участников, которые приняли предложение представить свой следующий доклад, подлежавший представл</w:t>
      </w:r>
      <w:r w:rsidRPr="005C7441">
        <w:t>е</w:t>
      </w:r>
      <w:r w:rsidRPr="005C7441">
        <w:t>нию в 2019 году, в соответствии с этой процедурой: бывшей югославской Ре</w:t>
      </w:r>
      <w:r w:rsidRPr="005C7441">
        <w:t>с</w:t>
      </w:r>
      <w:r w:rsidRPr="005C7441">
        <w:t>публики Македония, Колумбии, Люксемб</w:t>
      </w:r>
      <w:r w:rsidR="00C615EA">
        <w:t>урга, Новой Зеландии и Румынии.</w:t>
      </w:r>
    </w:p>
    <w:p w:rsidR="005C7441" w:rsidRPr="005C7441" w:rsidRDefault="005C7441" w:rsidP="005C7441">
      <w:pPr>
        <w:pStyle w:val="SingleTxtGR"/>
      </w:pPr>
      <w:r w:rsidRPr="005C7441">
        <w:t>29.</w:t>
      </w:r>
      <w:r w:rsidRPr="005C7441">
        <w:tab/>
        <w:t>На неофициальном совещании по вопросу о методах работы Комитет п</w:t>
      </w:r>
      <w:r w:rsidRPr="005C7441">
        <w:t>о</w:t>
      </w:r>
      <w:r w:rsidRPr="005C7441">
        <w:t>становил предложить государствам-участникам с давно просроченными перв</w:t>
      </w:r>
      <w:r w:rsidRPr="005C7441">
        <w:t>о</w:t>
      </w:r>
      <w:r w:rsidRPr="005C7441">
        <w:t>начальными докладами воспользоваться упрощенной процедурой представл</w:t>
      </w:r>
      <w:r w:rsidRPr="005C7441">
        <w:t>е</w:t>
      </w:r>
      <w:r w:rsidRPr="005C7441">
        <w:t>ния докладов (два государства в год). Он также постановил создать рабочую группу для оказания содействия в проведении углубленной оценки упрощенной процедуры представления докладов. Комитет принял к сведению доклад секр</w:t>
      </w:r>
      <w:r w:rsidRPr="005C7441">
        <w:t>е</w:t>
      </w:r>
      <w:r w:rsidRPr="005C7441">
        <w:t>тариата о состоянии факультативной процедуры представления докладов (</w:t>
      </w:r>
      <w:r w:rsidR="00D43468">
        <w:fldChar w:fldCharType="begin"/>
      </w:r>
      <w:r w:rsidR="00D43468">
        <w:instrText xml:space="preserve"> HYPERLINK "http://undocs.org/en/CAT/C/47/2" </w:instrText>
      </w:r>
      <w:r w:rsidR="00D43468">
        <w:fldChar w:fldCharType="separate"/>
      </w:r>
      <w:r w:rsidR="00941118" w:rsidRPr="00941118">
        <w:rPr>
          <w:rStyle w:val="af1"/>
          <w:lang w:val="es-ES_tradnl"/>
        </w:rPr>
        <w:t>CAT</w:t>
      </w:r>
      <w:r w:rsidR="00941118" w:rsidRPr="00941118">
        <w:rPr>
          <w:rStyle w:val="af1"/>
        </w:rPr>
        <w:t>/</w:t>
      </w:r>
      <w:r w:rsidR="00941118" w:rsidRPr="00941118">
        <w:rPr>
          <w:rStyle w:val="af1"/>
          <w:lang w:val="es-ES_tradnl"/>
        </w:rPr>
        <w:t>C</w:t>
      </w:r>
      <w:r w:rsidR="00941118" w:rsidRPr="00941118">
        <w:rPr>
          <w:rStyle w:val="af1"/>
        </w:rPr>
        <w:t>/47/2</w:t>
      </w:r>
      <w:r w:rsidR="00D43468">
        <w:rPr>
          <w:rStyle w:val="af1"/>
        </w:rPr>
        <w:fldChar w:fldCharType="end"/>
      </w:r>
      <w:r w:rsidRPr="005C7441">
        <w:t>) и записку секретариата по вопросу об упрощенной процедуре представления докладов (</w:t>
      </w:r>
      <w:r w:rsidR="00D43468">
        <w:fldChar w:fldCharType="begin"/>
      </w:r>
      <w:r w:rsidR="00D43468">
        <w:instrText xml:space="preserve"> HYPERLINK "http://undocs.org/en/HRI/MC/2014/4" </w:instrText>
      </w:r>
      <w:r w:rsidR="00D43468">
        <w:fldChar w:fldCharType="separate"/>
      </w:r>
      <w:r w:rsidR="00941118" w:rsidRPr="00941118">
        <w:rPr>
          <w:rStyle w:val="af1"/>
          <w:lang w:val="es-ES_tradnl"/>
        </w:rPr>
        <w:t>HRI</w:t>
      </w:r>
      <w:r w:rsidR="00941118" w:rsidRPr="00941118">
        <w:rPr>
          <w:rStyle w:val="af1"/>
        </w:rPr>
        <w:t>/</w:t>
      </w:r>
      <w:r w:rsidR="00941118" w:rsidRPr="00941118">
        <w:rPr>
          <w:rStyle w:val="af1"/>
          <w:lang w:val="es-ES_tradnl"/>
        </w:rPr>
        <w:t>MC</w:t>
      </w:r>
      <w:r w:rsidR="00941118" w:rsidRPr="00941118">
        <w:rPr>
          <w:rStyle w:val="af1"/>
        </w:rPr>
        <w:t>/2014/4</w:t>
      </w:r>
      <w:r w:rsidR="00D43468">
        <w:rPr>
          <w:rStyle w:val="af1"/>
        </w:rPr>
        <w:fldChar w:fldCharType="end"/>
      </w:r>
      <w:r w:rsidRPr="005C7441">
        <w:t>), распространенную после принятия Генеральной Ассамблеей резолюции 68/268. На своей пятьдесят пятой сессии Комитет обсудил результаты предварительной оценки упрощенной процедуры представления докладов.</w:t>
      </w:r>
    </w:p>
    <w:p w:rsidR="005C7441" w:rsidRPr="005C7441" w:rsidRDefault="005C7441" w:rsidP="005C7441">
      <w:pPr>
        <w:pStyle w:val="SingleTxtGR"/>
      </w:pPr>
      <w:r w:rsidRPr="005C7441">
        <w:t>30.</w:t>
      </w:r>
      <w:r w:rsidRPr="005C7441">
        <w:tab/>
        <w:t>По мнению Комитета, тот факт, что лишь 4 из 128 государств-участников, которые находятся на стадии представления периодических докладов, отказ</w:t>
      </w:r>
      <w:r w:rsidRPr="005C7441">
        <w:t>а</w:t>
      </w:r>
      <w:r w:rsidRPr="005C7441">
        <w:t>лись представлять доклады в соответствии с упрощенной процедурой пре</w:t>
      </w:r>
      <w:r w:rsidRPr="005C7441">
        <w:t>д</w:t>
      </w:r>
      <w:r w:rsidRPr="005C7441">
        <w:t>ставления докладов, свидетельствует об успехе этой процедуры; 94 государства определенно согласились представлять доклады в соответствии с ней, а остал</w:t>
      </w:r>
      <w:r w:rsidRPr="005C7441">
        <w:t>ь</w:t>
      </w:r>
      <w:r w:rsidRPr="005C7441">
        <w:t>ные 30 государств</w:t>
      </w:r>
      <w:r w:rsidRPr="005C7441">
        <w:tab/>
        <w:t xml:space="preserve"> еще не дали ответ или еще не получили предложение пре</w:t>
      </w:r>
      <w:r w:rsidRPr="005C7441">
        <w:t>д</w:t>
      </w:r>
      <w:r w:rsidRPr="005C7441">
        <w:t>ставить доклад в соответствии с этой процедурой. Кроме того, тот факт, что эту процедуру взяли на вооружение и другие договорные органы, свидетельствует о ее несомненной ценности для системы представления докладов. Следует также отметить, что 29 января 2016 года впервые государство с давно просроченным первоначальным докладом (Кот-д’Ивуар) согласилось применять упрощенную процедуру представления докладов, предложенную Комитетом. Аналогичным образом, 8 декабря 2016 года Малави согласилась на упрощенную процедуру представления докладов в связи с давно просроченными первоначальными д</w:t>
      </w:r>
      <w:r w:rsidRPr="005C7441">
        <w:t>о</w:t>
      </w:r>
      <w:r w:rsidRPr="005C7441">
        <w:t>кладами, а 2 февраля 2017 года это сдела</w:t>
      </w:r>
      <w:r w:rsidR="00941118">
        <w:t>ла и Сомали (см. раздел</w:t>
      </w:r>
      <w:r w:rsidR="00CA57BC">
        <w:t xml:space="preserve"> II.</w:t>
      </w:r>
      <w:r w:rsidR="003A4D4E">
        <w:t>D).</w:t>
      </w:r>
    </w:p>
    <w:p w:rsidR="005C7441" w:rsidRPr="005C7441" w:rsidRDefault="005C7441" w:rsidP="005C7441">
      <w:pPr>
        <w:pStyle w:val="SingleTxtGR"/>
      </w:pPr>
      <w:r w:rsidRPr="005C7441">
        <w:t>31.</w:t>
      </w:r>
      <w:r w:rsidRPr="005C7441">
        <w:tab/>
        <w:t xml:space="preserve">С обновленной информацией об этой процедуре можно ознакомиться </w:t>
      </w:r>
      <w:proofErr w:type="gramStart"/>
      <w:r w:rsidRPr="005C7441">
        <w:t>на</w:t>
      </w:r>
      <w:proofErr w:type="gramEnd"/>
      <w:r w:rsidRPr="005C7441">
        <w:t xml:space="preserve"> специальной веб-странице (</w:t>
      </w:r>
      <w:r w:rsidR="00D43468">
        <w:fldChar w:fldCharType="begin"/>
      </w:r>
      <w:r w:rsidR="00D43468">
        <w:instrText xml:space="preserve"> HYPERLINK "http://www.ohchr.org/EN/HRBodies/CAT/Pages/ReportingProcedures.aspx" </w:instrText>
      </w:r>
      <w:r w:rsidR="00D43468">
        <w:fldChar w:fldCharType="separate"/>
      </w:r>
      <w:r w:rsidR="00941118" w:rsidRPr="00941118">
        <w:rPr>
          <w:rStyle w:val="af1"/>
          <w:lang w:val="en-GB"/>
        </w:rPr>
        <w:t>www</w:t>
      </w:r>
      <w:r w:rsidR="00941118" w:rsidRPr="00941118">
        <w:rPr>
          <w:rStyle w:val="af1"/>
        </w:rPr>
        <w:t>.</w:t>
      </w:r>
      <w:proofErr w:type="spellStart"/>
      <w:r w:rsidR="00941118" w:rsidRPr="00941118">
        <w:rPr>
          <w:rStyle w:val="af1"/>
          <w:lang w:val="en-GB"/>
        </w:rPr>
        <w:t>ohchr</w:t>
      </w:r>
      <w:proofErr w:type="spellEnd"/>
      <w:r w:rsidR="00941118" w:rsidRPr="00941118">
        <w:rPr>
          <w:rStyle w:val="af1"/>
        </w:rPr>
        <w:t>.</w:t>
      </w:r>
      <w:r w:rsidR="00941118" w:rsidRPr="00941118">
        <w:rPr>
          <w:rStyle w:val="af1"/>
          <w:lang w:val="en-GB"/>
        </w:rPr>
        <w:t>org</w:t>
      </w:r>
      <w:r w:rsidR="00941118" w:rsidRPr="00941118">
        <w:rPr>
          <w:rStyle w:val="af1"/>
        </w:rPr>
        <w:t>/</w:t>
      </w:r>
      <w:r w:rsidR="00941118" w:rsidRPr="00941118">
        <w:rPr>
          <w:rStyle w:val="af1"/>
          <w:lang w:val="en-GB"/>
        </w:rPr>
        <w:t>EN</w:t>
      </w:r>
      <w:r w:rsidR="00941118" w:rsidRPr="00941118">
        <w:rPr>
          <w:rStyle w:val="af1"/>
        </w:rPr>
        <w:t>/</w:t>
      </w:r>
      <w:proofErr w:type="spellStart"/>
      <w:r w:rsidR="00941118" w:rsidRPr="00941118">
        <w:rPr>
          <w:rStyle w:val="af1"/>
          <w:lang w:val="en-GB"/>
        </w:rPr>
        <w:t>HRBodies</w:t>
      </w:r>
      <w:proofErr w:type="spellEnd"/>
      <w:r w:rsidR="00941118" w:rsidRPr="00941118">
        <w:rPr>
          <w:rStyle w:val="af1"/>
        </w:rPr>
        <w:t>/</w:t>
      </w:r>
      <w:r w:rsidR="00941118" w:rsidRPr="00941118">
        <w:rPr>
          <w:rStyle w:val="af1"/>
          <w:lang w:val="en-GB"/>
        </w:rPr>
        <w:t>CAT</w:t>
      </w:r>
      <w:r w:rsidR="00941118" w:rsidRPr="00941118">
        <w:rPr>
          <w:rStyle w:val="af1"/>
        </w:rPr>
        <w:t>/</w:t>
      </w:r>
      <w:r w:rsidR="00941118" w:rsidRPr="00941118">
        <w:rPr>
          <w:rStyle w:val="af1"/>
          <w:lang w:val="en-GB"/>
        </w:rPr>
        <w:t>Pages</w:t>
      </w:r>
      <w:r w:rsidR="00941118" w:rsidRPr="00941118">
        <w:rPr>
          <w:rStyle w:val="af1"/>
        </w:rPr>
        <w:t>/</w:t>
      </w:r>
      <w:r w:rsidR="00941118" w:rsidRPr="00941118">
        <w:rPr>
          <w:rStyle w:val="af1"/>
          <w:lang w:val="en-GB"/>
        </w:rPr>
        <w:t>Reporting</w:t>
      </w:r>
      <w:r w:rsidR="00941118">
        <w:rPr>
          <w:rStyle w:val="af1"/>
        </w:rPr>
        <w:t xml:space="preserve"> </w:t>
      </w:r>
      <w:r w:rsidR="00941118" w:rsidRPr="00941118">
        <w:rPr>
          <w:rStyle w:val="af1"/>
          <w:lang w:val="en-GB"/>
        </w:rPr>
        <w:t>Procedures</w:t>
      </w:r>
      <w:r w:rsidR="00941118" w:rsidRPr="00941118">
        <w:rPr>
          <w:rStyle w:val="af1"/>
        </w:rPr>
        <w:t>.</w:t>
      </w:r>
      <w:proofErr w:type="spellStart"/>
      <w:r w:rsidR="00941118" w:rsidRPr="00941118">
        <w:rPr>
          <w:rStyle w:val="af1"/>
          <w:lang w:val="en-GB"/>
        </w:rPr>
        <w:t>aspx</w:t>
      </w:r>
      <w:proofErr w:type="spellEnd"/>
      <w:r w:rsidR="00D43468">
        <w:rPr>
          <w:rStyle w:val="af1"/>
          <w:lang w:val="en-GB"/>
        </w:rPr>
        <w:fldChar w:fldCharType="end"/>
      </w:r>
      <w:r w:rsidRPr="005C7441">
        <w:t>).</w:t>
      </w:r>
    </w:p>
    <w:p w:rsidR="005C7441" w:rsidRPr="005C7441" w:rsidRDefault="005C7441" w:rsidP="0096793B">
      <w:pPr>
        <w:pStyle w:val="H1GR"/>
      </w:pPr>
      <w:r w:rsidRPr="005C7441">
        <w:tab/>
        <w:t>C.</w:t>
      </w:r>
      <w:r w:rsidRPr="005C7441">
        <w:tab/>
        <w:t>Напоминания в отноше</w:t>
      </w:r>
      <w:r w:rsidR="0096793B">
        <w:t>нии просроченных первоначальных</w:t>
      </w:r>
      <w:r w:rsidR="0096793B">
        <w:br/>
      </w:r>
      <w:r w:rsidRPr="005C7441">
        <w:t>и периодических докладов</w:t>
      </w:r>
      <w:bookmarkStart w:id="17" w:name="_Toc485738202"/>
      <w:bookmarkEnd w:id="17"/>
    </w:p>
    <w:p w:rsidR="005C7441" w:rsidRPr="005C7441" w:rsidRDefault="005C7441" w:rsidP="005C7441">
      <w:pPr>
        <w:pStyle w:val="SingleTxtGR"/>
      </w:pPr>
      <w:r w:rsidRPr="005C7441">
        <w:t>32.</w:t>
      </w:r>
      <w:r w:rsidRPr="005C7441">
        <w:tab/>
        <w:t>На своей пятьдесят третьей сессии Комитет постановил направить нап</w:t>
      </w:r>
      <w:r w:rsidRPr="005C7441">
        <w:t>о</w:t>
      </w:r>
      <w:r w:rsidRPr="005C7441">
        <w:t>минания всем государствам-участникам, просрочившим представление своих первоначальных докладов, а также всем государствам-участникам, представл</w:t>
      </w:r>
      <w:r w:rsidRPr="005C7441">
        <w:t>е</w:t>
      </w:r>
      <w:r w:rsidRPr="005C7441">
        <w:t>ние периодических докладов которых просрочено на четыре или более лет.</w:t>
      </w:r>
    </w:p>
    <w:p w:rsidR="005C7441" w:rsidRPr="005C7441" w:rsidRDefault="005C7441" w:rsidP="005C7441">
      <w:pPr>
        <w:pStyle w:val="SingleTxtGR"/>
      </w:pPr>
      <w:r w:rsidRPr="005C7441">
        <w:t>33.</w:t>
      </w:r>
      <w:r w:rsidRPr="005C7441">
        <w:tab/>
        <w:t>Комитет обратил внимание этих государств-участников на то, что з</w:t>
      </w:r>
      <w:r w:rsidRPr="005C7441">
        <w:t>а</w:t>
      </w:r>
      <w:r w:rsidRPr="005C7441">
        <w:t xml:space="preserve">держки с представлением докладов серьезно препятствуют осуществлению Конвенции в государствах-участниках и ограничивают способность Комитета выполнять его функцию по </w:t>
      </w:r>
      <w:proofErr w:type="gramStart"/>
      <w:r w:rsidRPr="005C7441">
        <w:t>контролю за</w:t>
      </w:r>
      <w:proofErr w:type="gramEnd"/>
      <w:r w:rsidRPr="005C7441">
        <w:t xml:space="preserve"> осуществлением. Комитет запросил информацию о мерах, принимаемых этими государствами-участниками по в</w:t>
      </w:r>
      <w:r w:rsidRPr="005C7441">
        <w:t>ы</w:t>
      </w:r>
      <w:r w:rsidRPr="005C7441">
        <w:t>полнению своих обязательств по представлению докладов, и о любых препя</w:t>
      </w:r>
      <w:r w:rsidRPr="005C7441">
        <w:t>т</w:t>
      </w:r>
      <w:r w:rsidRPr="005C7441">
        <w:t>ствиях, с которыми они могут в этой связи сталкиваться. Он также проинфо</w:t>
      </w:r>
      <w:r w:rsidRPr="005C7441">
        <w:t>р</w:t>
      </w:r>
      <w:r w:rsidRPr="005C7441">
        <w:t>мировал их о том, что в соответствии с правилом 67 его правил процедуры К</w:t>
      </w:r>
      <w:r w:rsidRPr="005C7441">
        <w:t>о</w:t>
      </w:r>
      <w:r w:rsidRPr="005C7441">
        <w:t xml:space="preserve">митет может провести рассмотрение осуществления Конвенции в государстве-участнике в отсутствие доклада и что такое рассмотрение будет проводиться на </w:t>
      </w:r>
      <w:proofErr w:type="gramStart"/>
      <w:r w:rsidRPr="005C7441">
        <w:t>основе</w:t>
      </w:r>
      <w:proofErr w:type="gramEnd"/>
      <w:r w:rsidRPr="005C7441">
        <w:t xml:space="preserve"> имеющейся в распоряжении Комитета информации, в том числе пол</w:t>
      </w:r>
      <w:r w:rsidRPr="005C7441">
        <w:t>у</w:t>
      </w:r>
      <w:r w:rsidRPr="005C7441">
        <w:t>ченной из внешних по отношению к Организации Объединенных Наций исто</w:t>
      </w:r>
      <w:r w:rsidRPr="005C7441">
        <w:t>ч</w:t>
      </w:r>
      <w:r w:rsidRPr="005C7441">
        <w:t>ников. В своих годовых докладах Комитет также напоминает государствам-участникам об их обязательствах по представлению докладов в соответствии с Конвенцией. Комитет хотел бы вновь подтвердить поддержку Инициативы в поддержку Конвенции против пыток, в рамках которой предпринимаются а</w:t>
      </w:r>
      <w:r w:rsidRPr="005C7441">
        <w:t>к</w:t>
      </w:r>
      <w:r w:rsidRPr="005C7441">
        <w:t>тивные усилия по обеспечению всеобщей ратификации Конвенц</w:t>
      </w:r>
      <w:proofErr w:type="gramStart"/>
      <w:r w:rsidRPr="005C7441">
        <w:t>ии и ее</w:t>
      </w:r>
      <w:proofErr w:type="gramEnd"/>
      <w:r w:rsidRPr="005C7441">
        <w:t xml:space="preserve"> полного осуществления, в том числе выполнения государствами своих обязательств по представлению докладов. Члены Комитета принял</w:t>
      </w:r>
      <w:r w:rsidR="00941118">
        <w:t>и</w:t>
      </w:r>
      <w:r w:rsidRPr="005C7441">
        <w:t xml:space="preserve"> участие в нескольких мер</w:t>
      </w:r>
      <w:r w:rsidRPr="005C7441">
        <w:t>о</w:t>
      </w:r>
      <w:r w:rsidRPr="005C7441">
        <w:t>приятиях, организованных в рамках Ин</w:t>
      </w:r>
      <w:r w:rsidR="0096793B">
        <w:t>ициативы.</w:t>
      </w:r>
    </w:p>
    <w:p w:rsidR="005C7441" w:rsidRPr="005C7441" w:rsidRDefault="005C7441" w:rsidP="0096793B">
      <w:pPr>
        <w:pStyle w:val="H1GR"/>
      </w:pPr>
      <w:r w:rsidRPr="005C7441">
        <w:tab/>
        <w:t>D.</w:t>
      </w:r>
      <w:r w:rsidRPr="005C7441">
        <w:tab/>
        <w:t>Рассмотрение мер, п</w:t>
      </w:r>
      <w:r w:rsidR="005B26BC">
        <w:t>ринятых государством-участником</w:t>
      </w:r>
      <w:r w:rsidR="005B26BC" w:rsidRPr="005B26BC">
        <w:br/>
      </w:r>
      <w:r w:rsidRPr="005C7441">
        <w:t>в отсутствие доклада</w:t>
      </w:r>
      <w:bookmarkStart w:id="18" w:name="_Toc485738203"/>
      <w:bookmarkEnd w:id="18"/>
    </w:p>
    <w:p w:rsidR="005C7441" w:rsidRPr="005C7441" w:rsidRDefault="005C7441" w:rsidP="005C7441">
      <w:pPr>
        <w:pStyle w:val="SingleTxtGR"/>
      </w:pPr>
      <w:r w:rsidRPr="005C7441">
        <w:t>34.</w:t>
      </w:r>
      <w:r w:rsidRPr="005C7441">
        <w:tab/>
        <w:t>На своей пятьдесят второй сессии Комитет постановил принять меры в отношении государств-участников, чьи первоначальные доклады давно проср</w:t>
      </w:r>
      <w:r w:rsidRPr="005C7441">
        <w:t>о</w:t>
      </w:r>
      <w:r w:rsidRPr="005C7441">
        <w:t>чены. Отметив, что первоначальные доклады Кабо-Верде и Сейшельских Ос</w:t>
      </w:r>
      <w:r w:rsidRPr="005C7441">
        <w:t>т</w:t>
      </w:r>
      <w:r w:rsidRPr="005C7441">
        <w:t>ровов просрочены с 1993 года, Комитет постановил направить этим госуда</w:t>
      </w:r>
      <w:r w:rsidRPr="005C7441">
        <w:t>р</w:t>
      </w:r>
      <w:r w:rsidRPr="005C7441">
        <w:t xml:space="preserve">ствам-участникам специальное напоминание, с </w:t>
      </w:r>
      <w:proofErr w:type="gramStart"/>
      <w:r w:rsidRPr="005C7441">
        <w:t>тем</w:t>
      </w:r>
      <w:proofErr w:type="gramEnd"/>
      <w:r w:rsidRPr="005C7441">
        <w:t xml:space="preserve"> чтобы они представили свои первоначальные доклады до начала пятьдесят четвертой сессии Комитета. В конце пятьдесят третьей сессии Комитет постановил предложить этим гос</w:t>
      </w:r>
      <w:r w:rsidRPr="005C7441">
        <w:t>у</w:t>
      </w:r>
      <w:r w:rsidRPr="005C7441">
        <w:t xml:space="preserve">дарствам-участникам воспользоваться упрощенной процедурой представления докладов. </w:t>
      </w:r>
      <w:proofErr w:type="gramStart"/>
      <w:r w:rsidRPr="005C7441">
        <w:t>Если они не согласятся представить доклады в рамках упрощенной процедуры или если предусмотренные обычной процедурой доклады не будут получены в соответствии с правилом 67 его правил процедуры, Комитет пров</w:t>
      </w:r>
      <w:r w:rsidRPr="005C7441">
        <w:t>е</w:t>
      </w:r>
      <w:r w:rsidR="00941118">
        <w:t>дет на одной из будущих сессий –</w:t>
      </w:r>
      <w:r w:rsidRPr="005C7441">
        <w:t xml:space="preserve"> в отсутствие док</w:t>
      </w:r>
      <w:r w:rsidR="00941118">
        <w:t>лада –</w:t>
      </w:r>
      <w:r w:rsidRPr="005C7441">
        <w:t xml:space="preserve"> рассмотрение мер, принятых каждым из этих государств-участников для целей осуществления п</w:t>
      </w:r>
      <w:r w:rsidRPr="005C7441">
        <w:t>о</w:t>
      </w:r>
      <w:r w:rsidRPr="005C7441">
        <w:t>ложений Конвенции на своих территориях.</w:t>
      </w:r>
      <w:proofErr w:type="gramEnd"/>
      <w:r w:rsidRPr="005C7441">
        <w:t xml:space="preserve"> Если Сейшельские Острова соо</w:t>
      </w:r>
      <w:r w:rsidRPr="005C7441">
        <w:t>б</w:t>
      </w:r>
      <w:r w:rsidRPr="005C7441">
        <w:t>щили, что доклад находится в стадии подготовки, то от Кабо-Верде ответ до сих пор не получен. На своей пятьдесят шестой сессии Комитет постановил рассмотреть положение в Кабо-Верде в отсутствие доклада до конца 2016 года. На той же сессии Комитет постановил направить Антигуа и Барбуде и Кот-д’Ивуару специальные напоминания о необходимости представить свои давно просроченные первоначальные доклады или согласиться с упрощенной проц</w:t>
      </w:r>
      <w:r w:rsidRPr="005C7441">
        <w:t>е</w:t>
      </w:r>
      <w:r w:rsidRPr="005C7441">
        <w:t>дурой представления докладов. Если они не согласятся на упрощенную проц</w:t>
      </w:r>
      <w:r w:rsidRPr="005C7441">
        <w:t>е</w:t>
      </w:r>
      <w:r w:rsidRPr="005C7441">
        <w:t>дуру представления докладов или если первоначальные доклады не будут пол</w:t>
      </w:r>
      <w:r w:rsidRPr="005C7441">
        <w:t>у</w:t>
      </w:r>
      <w:r w:rsidRPr="005C7441">
        <w:t>чены в соответствии с правилом 67 его правил процедуры, Комитет проведет на одной из будущих сессий рассмотрение положения в стране в отсутствие д</w:t>
      </w:r>
      <w:r w:rsidRPr="005C7441">
        <w:t>о</w:t>
      </w:r>
      <w:r w:rsidRPr="005C7441">
        <w:t>клада. На своей пятьдесят седьмой сессии Комитет постановил рассмотреть на своей пятьдесят девятой сессии положение в Кабо-Верде в отсутствие доклада. 29 января 2016 года Кот-д’Ивуар согласился на упрощенную процедуру пре</w:t>
      </w:r>
      <w:r w:rsidRPr="005C7441">
        <w:t>д</w:t>
      </w:r>
      <w:r w:rsidRPr="005C7441">
        <w:t>ставления докладов и получил утвержденный на пятьдесят девятой сессии п</w:t>
      </w:r>
      <w:r w:rsidRPr="005C7441">
        <w:t>е</w:t>
      </w:r>
      <w:r w:rsidRPr="005C7441">
        <w:t>речень вопросов, препровождаемых до представления докладов. На своей пят</w:t>
      </w:r>
      <w:r w:rsidRPr="005C7441">
        <w:t>ь</w:t>
      </w:r>
      <w:r w:rsidRPr="005C7441">
        <w:t>десят восьмой сессии в отсутствие ответа от Антигуа и Барбуды Комитет ув</w:t>
      </w:r>
      <w:r w:rsidRPr="005C7441">
        <w:t>е</w:t>
      </w:r>
      <w:r w:rsidRPr="005C7441">
        <w:t>домил государство-участник о том, что на своей шестьдесят первой сессии он рассмотрит положение в стране в отсутствие доклада. На своей пятьдесят дев</w:t>
      </w:r>
      <w:r w:rsidRPr="005C7441">
        <w:t>я</w:t>
      </w:r>
      <w:r w:rsidRPr="005C7441">
        <w:t>той сессии Комитет рассмотрел положение в Кабо-Верде в отсутствие доклада. На той же сессии Комитет постановил направить Малави и Сомали специал</w:t>
      </w:r>
      <w:r w:rsidRPr="005C7441">
        <w:t>ь</w:t>
      </w:r>
      <w:r w:rsidRPr="005C7441">
        <w:t>ные напоминания о необходимости представить свои давно просроченные пе</w:t>
      </w:r>
      <w:r w:rsidRPr="005C7441">
        <w:t>р</w:t>
      </w:r>
      <w:r w:rsidRPr="005C7441">
        <w:t xml:space="preserve">воначальные доклады и предложить им сделать это по упрощенной процедуре представления докладов. </w:t>
      </w:r>
      <w:proofErr w:type="gramStart"/>
      <w:r w:rsidRPr="005C7441">
        <w:t>Если они не согласятся на упрощенную процедуру представления докладов или если предусмотренные обычной процедурой д</w:t>
      </w:r>
      <w:r w:rsidRPr="005C7441">
        <w:t>о</w:t>
      </w:r>
      <w:r w:rsidRPr="005C7441">
        <w:t>клады не будут получены в соответствии с правилом 67 его правил процедуры, Комитет проведет на одной из будущих сессий рассмотрение положения в стране в отсутствие доклада. 8 декабря 2016 года Малави согласилась на упр</w:t>
      </w:r>
      <w:r w:rsidRPr="005C7441">
        <w:t>о</w:t>
      </w:r>
      <w:r w:rsidRPr="005C7441">
        <w:t>щенную процедуру представления докладов, а 2 февраля 2017 года это сделала и Сомали.</w:t>
      </w:r>
      <w:proofErr w:type="gramEnd"/>
    </w:p>
    <w:p w:rsidR="005C7441" w:rsidRPr="005C7441" w:rsidRDefault="005C7441" w:rsidP="0096793B">
      <w:pPr>
        <w:pStyle w:val="H1GR"/>
      </w:pPr>
      <w:r w:rsidRPr="005C7441">
        <w:tab/>
        <w:t>E.</w:t>
      </w:r>
      <w:r w:rsidRPr="005C7441">
        <w:tab/>
        <w:t>Просьба о представлении специального доклада</w:t>
      </w:r>
      <w:bookmarkStart w:id="19" w:name="_Toc485738204"/>
      <w:bookmarkEnd w:id="19"/>
    </w:p>
    <w:p w:rsidR="005C7441" w:rsidRPr="005C7441" w:rsidRDefault="005C7441" w:rsidP="005C7441">
      <w:pPr>
        <w:pStyle w:val="SingleTxtGR"/>
      </w:pPr>
      <w:r w:rsidRPr="005C7441">
        <w:t>35.</w:t>
      </w:r>
      <w:r w:rsidRPr="005C7441">
        <w:tab/>
      </w:r>
      <w:proofErr w:type="gramStart"/>
      <w:r w:rsidRPr="005C7441">
        <w:t>На своей пятьдесят шестой сессии в соответствии с</w:t>
      </w:r>
      <w:r w:rsidR="00941118">
        <w:t xml:space="preserve"> пунктом 1 статьи 19 Конвенции</w:t>
      </w:r>
      <w:r w:rsidRPr="005C7441">
        <w:t xml:space="preserve"> и на основе информации, представленной Организацией Объед</w:t>
      </w:r>
      <w:r w:rsidRPr="005C7441">
        <w:t>и</w:t>
      </w:r>
      <w:r w:rsidRPr="005C7441">
        <w:t>ненных Наций, такой как доклады Верховного комиссара Организации Объед</w:t>
      </w:r>
      <w:r w:rsidRPr="005C7441">
        <w:t>и</w:t>
      </w:r>
      <w:r w:rsidRPr="005C7441">
        <w:t>ненных Наций по правам человека и Специального советника Генерального секретаря по предупреждению геноцида для Совета Безопасности О</w:t>
      </w:r>
      <w:r w:rsidR="00941118">
        <w:t>рганизации Объединенных Наций,</w:t>
      </w:r>
      <w:r w:rsidRPr="005C7441">
        <w:t xml:space="preserve"> и организациями гражданского общества, Комитет п</w:t>
      </w:r>
      <w:r w:rsidRPr="005C7441">
        <w:t>о</w:t>
      </w:r>
      <w:r w:rsidRPr="005C7441">
        <w:t>становил просить, чтобы Бурунди представила ему специальный доклад по</w:t>
      </w:r>
      <w:proofErr w:type="gramEnd"/>
      <w:r w:rsidRPr="005C7441">
        <w:t xml:space="preserve"> следующим вопросам: a) меры, принятые </w:t>
      </w:r>
      <w:proofErr w:type="gramStart"/>
      <w:r w:rsidRPr="005C7441">
        <w:t>государством-участником</w:t>
      </w:r>
      <w:proofErr w:type="gramEnd"/>
      <w:r w:rsidRPr="005C7441">
        <w:t xml:space="preserve"> для рассл</w:t>
      </w:r>
      <w:r w:rsidRPr="005C7441">
        <w:t>е</w:t>
      </w:r>
      <w:r w:rsidRPr="005C7441">
        <w:t>дования полученной из достоверных и многочисленных источников информ</w:t>
      </w:r>
      <w:r w:rsidRPr="005C7441">
        <w:t>а</w:t>
      </w:r>
      <w:r w:rsidRPr="005C7441">
        <w:t>ции о казнях без надлежащего судебного разбирательства, в том числе полит</w:t>
      </w:r>
      <w:r w:rsidRPr="005C7441">
        <w:t>и</w:t>
      </w:r>
      <w:r w:rsidRPr="005C7441">
        <w:t>ческих убийствах, произвольных арест</w:t>
      </w:r>
      <w:r w:rsidR="0096793B">
        <w:t>ах, жестоком обращении и пытках</w:t>
      </w:r>
      <w:r w:rsidR="0096793B">
        <w:br/>
      </w:r>
      <w:r w:rsidRPr="005C7441">
        <w:t>в 2015 году в отношении членов оппозиционных политических партий, журн</w:t>
      </w:r>
      <w:r w:rsidRPr="005C7441">
        <w:t>а</w:t>
      </w:r>
      <w:r w:rsidRPr="005C7441">
        <w:t>листов, правозащитников и их семей и любых других лиц, считавшихся ст</w:t>
      </w:r>
      <w:r w:rsidRPr="005C7441">
        <w:t>о</w:t>
      </w:r>
      <w:r w:rsidRPr="005C7441">
        <w:t>ронниками оппозиции, включая информацию о том, привели ли какие-либо ра</w:t>
      </w:r>
      <w:r w:rsidRPr="005C7441">
        <w:t>с</w:t>
      </w:r>
      <w:r w:rsidRPr="005C7441">
        <w:t>следования к судебному преследованию сотрудников сил безопасности или к</w:t>
      </w:r>
      <w:r w:rsidRPr="005C7441">
        <w:t>а</w:t>
      </w:r>
      <w:r w:rsidRPr="005C7441">
        <w:t>ких-либо других должностных лиц и частных лиц, и об их результатах; b) пр</w:t>
      </w:r>
      <w:r w:rsidRPr="005C7441">
        <w:t>о</w:t>
      </w:r>
      <w:r w:rsidRPr="005C7441">
        <w:t>гресс в проведении любых расследований обстоятельств совершенного в авг</w:t>
      </w:r>
      <w:r w:rsidRPr="005C7441">
        <w:t>у</w:t>
      </w:r>
      <w:r w:rsidRPr="005C7441">
        <w:t xml:space="preserve">сте 2015 года вооруженного нападения на </w:t>
      </w:r>
      <w:proofErr w:type="gramStart"/>
      <w:r w:rsidRPr="005C7441">
        <w:t>Пьера-Клаве</w:t>
      </w:r>
      <w:proofErr w:type="gramEnd"/>
      <w:r w:rsidRPr="005C7441">
        <w:t xml:space="preserve"> Мбонимпу и похищения и убийства в ноябре 2015 года его сына Велли Нзитонды; c) меры, принятые </w:t>
      </w:r>
      <w:proofErr w:type="gramStart"/>
      <w:r w:rsidRPr="005C7441">
        <w:t>государством-участником</w:t>
      </w:r>
      <w:proofErr w:type="gramEnd"/>
      <w:r w:rsidRPr="005C7441">
        <w:t xml:space="preserve"> для расследования полученной из достоверных и многочисленных источников информации о применении пыток сотрудниками Национальной службы разведки в ее центре, расположенном вблизи собора Б</w:t>
      </w:r>
      <w:r w:rsidRPr="005C7441">
        <w:t>у</w:t>
      </w:r>
      <w:r w:rsidRPr="005C7441">
        <w:t>жумбуры, включая информацию о том, привели ли какие-либо расследования к судебному преследованию сотрудников Национальной разведывательной слу</w:t>
      </w:r>
      <w:r w:rsidRPr="005C7441">
        <w:t>ж</w:t>
      </w:r>
      <w:r w:rsidR="00941118">
        <w:t xml:space="preserve">бы, и </w:t>
      </w:r>
      <w:r w:rsidRPr="005C7441">
        <w:t xml:space="preserve">об их результатах; d) меры, принятые </w:t>
      </w:r>
      <w:proofErr w:type="gramStart"/>
      <w:r w:rsidRPr="005C7441">
        <w:t>государством-участником</w:t>
      </w:r>
      <w:proofErr w:type="gramEnd"/>
      <w:r w:rsidRPr="005C7441">
        <w:t xml:space="preserve"> для ра</w:t>
      </w:r>
      <w:r w:rsidRPr="005C7441">
        <w:t>с</w:t>
      </w:r>
      <w:r w:rsidRPr="005C7441">
        <w:t>следования полученной из достоверных и многочисленных источников инфо</w:t>
      </w:r>
      <w:r w:rsidRPr="005C7441">
        <w:t>р</w:t>
      </w:r>
      <w:r w:rsidRPr="005C7441">
        <w:t xml:space="preserve">мации об убийствах и пытках, совершенных членами молодежной группы </w:t>
      </w:r>
      <w:r w:rsidR="004338CD">
        <w:t>«</w:t>
      </w:r>
      <w:r w:rsidRPr="005C7441">
        <w:t>И</w:t>
      </w:r>
      <w:r w:rsidRPr="005C7441">
        <w:t>м</w:t>
      </w:r>
      <w:r w:rsidRPr="005C7441">
        <w:t>бонеракуре</w:t>
      </w:r>
      <w:r w:rsidR="004338CD">
        <w:t>»</w:t>
      </w:r>
      <w:r w:rsidRPr="005C7441">
        <w:t xml:space="preserve"> в отношении лиц, считавшихся сторонниками оппозиции, в том числе в ходе инцидента, произошедшего 3 октября 2015 года в Чибитоке, вкл</w:t>
      </w:r>
      <w:r w:rsidRPr="005C7441">
        <w:t>ю</w:t>
      </w:r>
      <w:r w:rsidRPr="005C7441">
        <w:t>чая информацию о том, привели ли какие-либо расследования к судебному пр</w:t>
      </w:r>
      <w:r w:rsidRPr="005C7441">
        <w:t>е</w:t>
      </w:r>
      <w:r w:rsidRPr="005C7441">
        <w:t xml:space="preserve">следованию членов </w:t>
      </w:r>
      <w:r w:rsidR="004338CD">
        <w:t>«</w:t>
      </w:r>
      <w:r w:rsidRPr="005C7441">
        <w:t>Имбонеракуре</w:t>
      </w:r>
      <w:r w:rsidR="004338CD">
        <w:t>»</w:t>
      </w:r>
      <w:r w:rsidRPr="005C7441">
        <w:t>, и об их результатах; и е) меры, принятые государством-участником для осуществления рекомендаций Комитета, соде</w:t>
      </w:r>
      <w:r w:rsidRPr="005C7441">
        <w:t>р</w:t>
      </w:r>
      <w:r w:rsidRPr="005C7441">
        <w:t>жащихся в его заключительных замечаниях 2014 года (</w:t>
      </w:r>
      <w:r w:rsidR="00D43468">
        <w:fldChar w:fldCharType="begin"/>
      </w:r>
      <w:r w:rsidR="00D43468">
        <w:instrText xml:space="preserve"> HYPERLINK "http://undocs.org/ru/CAT/C/BDI/CO/2" </w:instrText>
      </w:r>
      <w:r w:rsidR="00D43468">
        <w:fldChar w:fldCharType="separate"/>
      </w:r>
      <w:r w:rsidRPr="0096793B">
        <w:rPr>
          <w:rStyle w:val="af1"/>
        </w:rPr>
        <w:t>CAT/C/BDI/CO/2</w:t>
      </w:r>
      <w:r w:rsidR="00D43468">
        <w:rPr>
          <w:rStyle w:val="af1"/>
        </w:rPr>
        <w:fldChar w:fldCharType="end"/>
      </w:r>
      <w:r w:rsidRPr="005C7441">
        <w:t>), в с</w:t>
      </w:r>
      <w:r w:rsidRPr="005C7441">
        <w:t>о</w:t>
      </w:r>
      <w:r w:rsidRPr="005C7441">
        <w:t>ответствии с проце</w:t>
      </w:r>
      <w:r w:rsidR="0096793B">
        <w:t>дурой последующей деятельности.</w:t>
      </w:r>
    </w:p>
    <w:p w:rsidR="005C7441" w:rsidRPr="005C7441" w:rsidRDefault="005C7441" w:rsidP="005C7441">
      <w:pPr>
        <w:pStyle w:val="SingleTxtGR"/>
      </w:pPr>
      <w:r w:rsidRPr="005C7441">
        <w:t>36.</w:t>
      </w:r>
      <w:r w:rsidRPr="005C7441">
        <w:tab/>
        <w:t>Бурунди представила 30 июня 2016 года свой специальный доклад, кот</w:t>
      </w:r>
      <w:r w:rsidRPr="005C7441">
        <w:t>о</w:t>
      </w:r>
      <w:r w:rsidRPr="005C7441">
        <w:t xml:space="preserve">рый был рассмотрен Комитетом на его пятьдесят восьмой сессии. </w:t>
      </w:r>
      <w:proofErr w:type="gramStart"/>
      <w:r w:rsidRPr="005C7441">
        <w:t>Однако впе</w:t>
      </w:r>
      <w:r w:rsidRPr="005C7441">
        <w:t>р</w:t>
      </w:r>
      <w:r w:rsidRPr="005C7441">
        <w:t>вые с момента создания Комитета делегация не приняла участие во второй ч</w:t>
      </w:r>
      <w:r w:rsidRPr="005C7441">
        <w:t>а</w:t>
      </w:r>
      <w:r w:rsidRPr="005C7441">
        <w:t>сти диалога, сославшись на то, что обзор был основан на докладах неправ</w:t>
      </w:r>
      <w:r w:rsidRPr="005C7441">
        <w:t>и</w:t>
      </w:r>
      <w:r w:rsidRPr="005C7441">
        <w:t>тельственной организации, с которыми она не была ознакомлена, что он вых</w:t>
      </w:r>
      <w:r w:rsidRPr="005C7441">
        <w:t>о</w:t>
      </w:r>
      <w:r w:rsidRPr="005C7441">
        <w:t>дил за рамки вопросов, охваченных в специальном докладе, и что Комитет не дал делегации достаточного времени для ответа.</w:t>
      </w:r>
      <w:proofErr w:type="gramEnd"/>
      <w:r w:rsidRPr="005C7441">
        <w:t xml:space="preserve"> Комитет отклонил эти обвин</w:t>
      </w:r>
      <w:r w:rsidRPr="005C7441">
        <w:t>е</w:t>
      </w:r>
      <w:r w:rsidRPr="005C7441">
        <w:t>ния, предоставив при этом государству-участнику возможность прислать свои ответы в письменном виде и подчеркнув свою готовность продолжать диалог. 12 октября 2016 года Бурунди предста</w:t>
      </w:r>
      <w:r w:rsidR="0096793B">
        <w:t>вила свои дополнительные ответы</w:t>
      </w:r>
      <w:r w:rsidR="0096793B">
        <w:br/>
      </w:r>
      <w:r w:rsidRPr="005C7441">
        <w:t xml:space="preserve">(см. раздел IV). </w:t>
      </w:r>
    </w:p>
    <w:p w:rsidR="005C7441" w:rsidRPr="005C7441" w:rsidRDefault="005C7441" w:rsidP="0096793B">
      <w:pPr>
        <w:pStyle w:val="HChGR"/>
      </w:pPr>
      <w:r w:rsidRPr="005C7441">
        <w:tab/>
        <w:t>III.</w:t>
      </w:r>
      <w:r w:rsidRPr="005C7441">
        <w:tab/>
        <w:t>Рассмотрение докладов, представленных государст</w:t>
      </w:r>
      <w:r w:rsidR="0096793B">
        <w:t>вами-участниками в соответствии</w:t>
      </w:r>
      <w:r w:rsidR="0096793B">
        <w:br/>
      </w:r>
      <w:r w:rsidRPr="005C7441">
        <w:t>со статьей 19 Конвенции</w:t>
      </w:r>
      <w:bookmarkStart w:id="20" w:name="_Toc485738205"/>
      <w:bookmarkEnd w:id="20"/>
    </w:p>
    <w:p w:rsidR="005C7441" w:rsidRPr="005C7441" w:rsidRDefault="005C7441" w:rsidP="005C7441">
      <w:pPr>
        <w:pStyle w:val="SingleTxtGR"/>
      </w:pPr>
      <w:r w:rsidRPr="005C7441">
        <w:t>37.</w:t>
      </w:r>
      <w:r w:rsidRPr="005C7441">
        <w:tab/>
        <w:t>На своих пятьдесят восьмой, пятьдесят девятой и шестидесятой сессиях Комитет рассмотрел доклады, представленные 17 государствами-участниками в соответствии с пунктом 1 статьи 19 Конвенции, и принял 17 заключительных замечаний. Кроме того, на</w:t>
      </w:r>
      <w:r w:rsidR="00941118">
        <w:t xml:space="preserve"> своей пятьдесят девятой сессии</w:t>
      </w:r>
      <w:r w:rsidRPr="005C7441">
        <w:t xml:space="preserve"> Комитет рассмотрел положение в Кабо-Верде в отсутствие доклада и принял заключительные зам</w:t>
      </w:r>
      <w:r w:rsidRPr="005C7441">
        <w:t>е</w:t>
      </w:r>
      <w:r w:rsidR="00CA57BC">
        <w:t>чания (см. раздел II.</w:t>
      </w:r>
      <w:r w:rsidRPr="005C7441">
        <w:t>D)</w:t>
      </w:r>
    </w:p>
    <w:p w:rsidR="005C7441" w:rsidRPr="005C7441" w:rsidRDefault="005C7441" w:rsidP="005C7441">
      <w:pPr>
        <w:pStyle w:val="SingleTxtGR"/>
      </w:pPr>
      <w:r w:rsidRPr="005C7441">
        <w:t>38.</w:t>
      </w:r>
      <w:r w:rsidRPr="005C7441">
        <w:tab/>
        <w:t>С докладами, рассмотренными Комитетом на его пятьдесят восьмой се</w:t>
      </w:r>
      <w:r w:rsidRPr="005C7441">
        <w:t>с</w:t>
      </w:r>
      <w:r w:rsidRPr="005C7441">
        <w:t>сии, и с заключительными замечаниями по ним можно ознакомиться в Системе официальной документации Организации Объединенных Наций (</w:t>
      </w:r>
      <w:r w:rsidR="00D43468">
        <w:fldChar w:fldCharType="begin"/>
      </w:r>
      <w:r w:rsidR="00D43468">
        <w:instrText xml:space="preserve"> HYPERLINK "http://documents.un.org" </w:instrText>
      </w:r>
      <w:r w:rsidR="00D43468">
        <w:fldChar w:fldCharType="separate"/>
      </w:r>
      <w:r w:rsidR="00532468" w:rsidRPr="00532468">
        <w:rPr>
          <w:rStyle w:val="af1"/>
          <w:lang w:val="en-GB"/>
        </w:rPr>
        <w:t>http</w:t>
      </w:r>
      <w:r w:rsidR="00532468" w:rsidRPr="00532468">
        <w:rPr>
          <w:rStyle w:val="af1"/>
        </w:rPr>
        <w:t>://</w:t>
      </w:r>
      <w:r w:rsidR="00532468">
        <w:rPr>
          <w:rStyle w:val="af1"/>
        </w:rPr>
        <w:br/>
      </w:r>
      <w:r w:rsidR="00532468" w:rsidRPr="00532468">
        <w:rPr>
          <w:rStyle w:val="af1"/>
          <w:lang w:val="en-GB"/>
        </w:rPr>
        <w:t>documents</w:t>
      </w:r>
      <w:r w:rsidR="00532468" w:rsidRPr="00532468">
        <w:rPr>
          <w:rStyle w:val="af1"/>
        </w:rPr>
        <w:t>.</w:t>
      </w:r>
      <w:r w:rsidR="00532468" w:rsidRPr="00532468">
        <w:rPr>
          <w:rStyle w:val="af1"/>
          <w:lang w:val="en-GB"/>
        </w:rPr>
        <w:t>un</w:t>
      </w:r>
      <w:r w:rsidR="00532468" w:rsidRPr="00532468">
        <w:rPr>
          <w:rStyle w:val="af1"/>
        </w:rPr>
        <w:t>.</w:t>
      </w:r>
      <w:r w:rsidR="00532468" w:rsidRPr="00532468">
        <w:rPr>
          <w:rStyle w:val="af1"/>
          <w:lang w:val="en-GB"/>
        </w:rPr>
        <w:t>org</w:t>
      </w:r>
      <w:r w:rsidR="00D43468">
        <w:rPr>
          <w:rStyle w:val="af1"/>
          <w:lang w:val="en-GB"/>
        </w:rPr>
        <w:fldChar w:fldCharType="end"/>
      </w:r>
      <w:r w:rsidRPr="005C7441">
        <w:t>) под условными обозначениями, которые указаны ниже: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04"/>
        <w:gridCol w:w="1750"/>
        <w:gridCol w:w="2169"/>
        <w:gridCol w:w="2247"/>
      </w:tblGrid>
      <w:tr w:rsidR="0096793B" w:rsidRPr="0096793B" w:rsidTr="0096793B">
        <w:trPr>
          <w:trHeight w:val="240"/>
          <w:tblHeader/>
        </w:trPr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441" w:rsidRPr="0096793B" w:rsidRDefault="005C7441" w:rsidP="0096793B">
            <w:pPr>
              <w:pageBreakBefore/>
              <w:spacing w:before="80" w:after="80" w:line="200" w:lineRule="exact"/>
              <w:rPr>
                <w:i/>
                <w:sz w:val="16"/>
              </w:rPr>
            </w:pPr>
            <w:r w:rsidRPr="0096793B">
              <w:rPr>
                <w:i/>
                <w:sz w:val="16"/>
              </w:rPr>
              <w:t>Государство-участник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441" w:rsidRPr="0096793B" w:rsidRDefault="0096793B" w:rsidP="0096793B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Докладчики</w:t>
            </w:r>
            <w:r>
              <w:rPr>
                <w:i/>
                <w:sz w:val="16"/>
              </w:rPr>
              <w:br/>
            </w:r>
            <w:r w:rsidR="005C7441" w:rsidRPr="0096793B">
              <w:rPr>
                <w:i/>
                <w:sz w:val="16"/>
              </w:rPr>
              <w:t>по странам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441" w:rsidRPr="0096793B" w:rsidRDefault="005C7441" w:rsidP="0096793B">
            <w:pPr>
              <w:spacing w:before="80" w:after="80" w:line="200" w:lineRule="exact"/>
              <w:rPr>
                <w:i/>
                <w:sz w:val="16"/>
              </w:rPr>
            </w:pPr>
            <w:r w:rsidRPr="0096793B">
              <w:rPr>
                <w:i/>
                <w:sz w:val="16"/>
              </w:rPr>
              <w:t>Доклад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441" w:rsidRPr="0096793B" w:rsidRDefault="0096793B" w:rsidP="0096793B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Заключительные</w:t>
            </w:r>
            <w:r>
              <w:rPr>
                <w:i/>
                <w:sz w:val="16"/>
              </w:rPr>
              <w:br/>
            </w:r>
            <w:r w:rsidR="005C7441" w:rsidRPr="0096793B">
              <w:rPr>
                <w:i/>
                <w:sz w:val="16"/>
              </w:rPr>
              <w:t>замечания</w:t>
            </w:r>
          </w:p>
        </w:tc>
      </w:tr>
      <w:tr w:rsidR="005C7441" w:rsidRPr="00731EA3" w:rsidTr="0096793B">
        <w:trPr>
          <w:trHeight w:val="240"/>
        </w:trPr>
        <w:tc>
          <w:tcPr>
            <w:tcW w:w="1204" w:type="dxa"/>
          </w:tcPr>
          <w:p w:rsidR="005C7441" w:rsidRPr="0096793B" w:rsidRDefault="005C7441" w:rsidP="0096793B">
            <w:pPr>
              <w:spacing w:before="80"/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>Бурунди</w:t>
            </w:r>
          </w:p>
        </w:tc>
        <w:tc>
          <w:tcPr>
            <w:tcW w:w="1750" w:type="dxa"/>
          </w:tcPr>
          <w:p w:rsidR="005C7441" w:rsidRPr="0096793B" w:rsidRDefault="0096793B" w:rsidP="0096793B">
            <w:pPr>
              <w:spacing w:before="80"/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 xml:space="preserve">Себастьян </w:t>
            </w:r>
            <w:proofErr w:type="gramStart"/>
            <w:r w:rsidRPr="0096793B">
              <w:rPr>
                <w:sz w:val="18"/>
                <w:szCs w:val="18"/>
              </w:rPr>
              <w:t>Тузе</w:t>
            </w:r>
            <w:proofErr w:type="gramEnd"/>
            <w:r w:rsidRPr="0096793B">
              <w:rPr>
                <w:sz w:val="18"/>
                <w:szCs w:val="18"/>
              </w:rPr>
              <w:br/>
            </w:r>
            <w:r w:rsidR="005C7441" w:rsidRPr="0096793B">
              <w:rPr>
                <w:sz w:val="18"/>
                <w:szCs w:val="18"/>
              </w:rPr>
              <w:t>Саадия Бельмир</w:t>
            </w:r>
          </w:p>
        </w:tc>
        <w:tc>
          <w:tcPr>
            <w:tcW w:w="2169" w:type="dxa"/>
          </w:tcPr>
          <w:p w:rsidR="005C7441" w:rsidRPr="0096793B" w:rsidRDefault="005C7441" w:rsidP="0096793B">
            <w:pPr>
              <w:spacing w:before="80"/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>Специальный доклад (</w:t>
            </w:r>
            <w:r w:rsidR="00D43468">
              <w:fldChar w:fldCharType="begin"/>
            </w:r>
            <w:r w:rsidR="00D43468">
              <w:instrText xml:space="preserve"> HYPERLINK "http://undocs.org/ru/CAT/C/BDI/2/Add.1" </w:instrText>
            </w:r>
            <w:r w:rsidR="00D43468">
              <w:fldChar w:fldCharType="separate"/>
            </w:r>
            <w:r w:rsidRPr="0096793B">
              <w:rPr>
                <w:rStyle w:val="af1"/>
                <w:sz w:val="18"/>
                <w:szCs w:val="18"/>
              </w:rPr>
              <w:t>CAT/C/BDI/2/Add.1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6793B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7" w:type="dxa"/>
          </w:tcPr>
          <w:p w:rsidR="005C7441" w:rsidRPr="0096793B" w:rsidRDefault="00D43468" w:rsidP="0096793B">
            <w:pPr>
              <w:spacing w:before="80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A37624">
              <w:rPr>
                <w:lang w:val="en-US"/>
              </w:rPr>
              <w:instrText xml:space="preserve"> HYPERLINK "http://undocs.org/ru/CAT/C/BDI/CO/2/Add.1%0d" </w:instrText>
            </w:r>
            <w:r>
              <w:fldChar w:fldCharType="separate"/>
            </w:r>
            <w:r w:rsidR="005C7441" w:rsidRPr="0096793B">
              <w:rPr>
                <w:rStyle w:val="af1"/>
                <w:sz w:val="18"/>
                <w:szCs w:val="18"/>
                <w:lang w:val="en-US"/>
              </w:rPr>
              <w:t>CAT/C/BDI/CO/2/Add.1</w:t>
            </w:r>
            <w:r>
              <w:rPr>
                <w:rStyle w:val="af1"/>
                <w:sz w:val="18"/>
                <w:szCs w:val="18"/>
                <w:lang w:val="en-US"/>
              </w:rPr>
              <w:fldChar w:fldCharType="end"/>
            </w:r>
          </w:p>
        </w:tc>
      </w:tr>
      <w:tr w:rsidR="005C7441" w:rsidRPr="0096793B" w:rsidTr="0096793B">
        <w:trPr>
          <w:trHeight w:val="240"/>
        </w:trPr>
        <w:tc>
          <w:tcPr>
            <w:tcW w:w="1204" w:type="dxa"/>
          </w:tcPr>
          <w:p w:rsidR="005C7441" w:rsidRPr="0096793B" w:rsidRDefault="005C7441" w:rsidP="0096793B">
            <w:pPr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>Гондурас</w:t>
            </w:r>
          </w:p>
        </w:tc>
        <w:tc>
          <w:tcPr>
            <w:tcW w:w="1750" w:type="dxa"/>
          </w:tcPr>
          <w:p w:rsidR="005C7441" w:rsidRPr="0096793B" w:rsidRDefault="005C7441" w:rsidP="0096793B">
            <w:pPr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>Клод Эллер</w:t>
            </w:r>
            <w:r w:rsidR="0096793B" w:rsidRPr="0096793B">
              <w:rPr>
                <w:sz w:val="18"/>
                <w:szCs w:val="18"/>
              </w:rPr>
              <w:br/>
            </w:r>
            <w:r w:rsidRPr="0096793B">
              <w:rPr>
                <w:sz w:val="18"/>
                <w:szCs w:val="18"/>
              </w:rPr>
              <w:t>Йенс Модвиг</w:t>
            </w:r>
          </w:p>
        </w:tc>
        <w:tc>
          <w:tcPr>
            <w:tcW w:w="2169" w:type="dxa"/>
          </w:tcPr>
          <w:p w:rsidR="005C7441" w:rsidRPr="0096793B" w:rsidRDefault="005C7441" w:rsidP="0096793B">
            <w:pPr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 xml:space="preserve">Второй периодический доклад </w:t>
            </w:r>
            <w:r w:rsidRPr="00532468">
              <w:rPr>
                <w:sz w:val="18"/>
                <w:szCs w:val="18"/>
              </w:rPr>
              <w:t>(</w:t>
            </w:r>
            <w:r w:rsidR="00D43468">
              <w:fldChar w:fldCharType="begin"/>
            </w:r>
            <w:r w:rsidR="00D43468">
              <w:instrText xml:space="preserve"> HYPERLINK "http://undocs.org/en/CAT/C/HND/2" </w:instrText>
            </w:r>
            <w:r w:rsidR="00D43468">
              <w:fldChar w:fldCharType="separate"/>
            </w:r>
            <w:r w:rsidR="00532468" w:rsidRPr="00532468">
              <w:rPr>
                <w:rStyle w:val="af1"/>
                <w:sz w:val="18"/>
                <w:szCs w:val="18"/>
                <w:lang w:val="es-ES_tradnl"/>
              </w:rPr>
              <w:t>CAT</w:t>
            </w:r>
            <w:r w:rsidR="00532468" w:rsidRPr="00532468">
              <w:rPr>
                <w:rStyle w:val="af1"/>
                <w:sz w:val="18"/>
                <w:szCs w:val="18"/>
              </w:rPr>
              <w:t>/</w:t>
            </w:r>
            <w:r w:rsidR="00532468" w:rsidRPr="00532468">
              <w:rPr>
                <w:rStyle w:val="af1"/>
                <w:sz w:val="18"/>
                <w:szCs w:val="18"/>
                <w:lang w:val="es-ES_tradnl"/>
              </w:rPr>
              <w:t>C</w:t>
            </w:r>
            <w:r w:rsidR="00532468" w:rsidRPr="00532468">
              <w:rPr>
                <w:rStyle w:val="af1"/>
                <w:sz w:val="18"/>
                <w:szCs w:val="18"/>
              </w:rPr>
              <w:t>/</w:t>
            </w:r>
            <w:r w:rsidR="00532468" w:rsidRPr="00532468">
              <w:rPr>
                <w:rStyle w:val="af1"/>
                <w:sz w:val="18"/>
                <w:szCs w:val="18"/>
                <w:lang w:val="es-ES_tradnl"/>
              </w:rPr>
              <w:t>HND</w:t>
            </w:r>
            <w:r w:rsidR="00532468" w:rsidRPr="00532468">
              <w:rPr>
                <w:rStyle w:val="af1"/>
                <w:sz w:val="18"/>
                <w:szCs w:val="18"/>
              </w:rPr>
              <w:t>/2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532468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7" w:type="dxa"/>
          </w:tcPr>
          <w:p w:rsidR="005C7441" w:rsidRPr="0096793B" w:rsidRDefault="00D43468" w:rsidP="0096793B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"http://undocs.org/ru/CAT/C/HND/CO/2" </w:instrText>
            </w:r>
            <w:r>
              <w:fldChar w:fldCharType="separate"/>
            </w:r>
            <w:r w:rsidR="005C7441" w:rsidRPr="0096793B">
              <w:rPr>
                <w:rStyle w:val="af1"/>
                <w:sz w:val="18"/>
                <w:szCs w:val="18"/>
              </w:rPr>
              <w:t>CAT/C/HND/CO/2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  <w:tr w:rsidR="005C7441" w:rsidRPr="00731EA3" w:rsidTr="0096793B">
        <w:trPr>
          <w:trHeight w:val="240"/>
        </w:trPr>
        <w:tc>
          <w:tcPr>
            <w:tcW w:w="1204" w:type="dxa"/>
          </w:tcPr>
          <w:p w:rsidR="005C7441" w:rsidRPr="0096793B" w:rsidRDefault="005C7441" w:rsidP="0096793B">
            <w:pPr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>Кувейт</w:t>
            </w:r>
          </w:p>
        </w:tc>
        <w:tc>
          <w:tcPr>
            <w:tcW w:w="1750" w:type="dxa"/>
          </w:tcPr>
          <w:p w:rsidR="005C7441" w:rsidRPr="0096793B" w:rsidRDefault="005C7441" w:rsidP="0096793B">
            <w:pPr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>Алессио Бруни Абдельвахаб Хани</w:t>
            </w:r>
          </w:p>
        </w:tc>
        <w:tc>
          <w:tcPr>
            <w:tcW w:w="2169" w:type="dxa"/>
          </w:tcPr>
          <w:p w:rsidR="005C7441" w:rsidRPr="0096793B" w:rsidRDefault="005C7441" w:rsidP="0096793B">
            <w:pPr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>Третий периодический доклад (</w:t>
            </w:r>
            <w:r w:rsidR="00D43468">
              <w:fldChar w:fldCharType="begin"/>
            </w:r>
            <w:r w:rsidR="00D43468">
              <w:instrText xml:space="preserve"> HYPERLINK "http://undocs.org/en/CAT/C/KWT/3" </w:instrText>
            </w:r>
            <w:r w:rsidR="00D43468">
              <w:fldChar w:fldCharType="separate"/>
            </w:r>
            <w:r w:rsidR="00F90B2D" w:rsidRPr="00F90B2D">
              <w:rPr>
                <w:rStyle w:val="af1"/>
                <w:sz w:val="18"/>
                <w:szCs w:val="18"/>
                <w:lang w:val="es-ES_tradnl"/>
              </w:rPr>
              <w:t>CAT</w:t>
            </w:r>
            <w:r w:rsidR="00F90B2D" w:rsidRPr="00F90B2D">
              <w:rPr>
                <w:rStyle w:val="af1"/>
                <w:sz w:val="18"/>
                <w:szCs w:val="18"/>
              </w:rPr>
              <w:t>/</w:t>
            </w:r>
            <w:r w:rsidR="00F90B2D" w:rsidRPr="00F90B2D">
              <w:rPr>
                <w:rStyle w:val="af1"/>
                <w:sz w:val="18"/>
                <w:szCs w:val="18"/>
                <w:lang w:val="es-ES_tradnl"/>
              </w:rPr>
              <w:t>C</w:t>
            </w:r>
            <w:r w:rsidR="00F90B2D" w:rsidRPr="00F90B2D">
              <w:rPr>
                <w:rStyle w:val="af1"/>
                <w:sz w:val="18"/>
                <w:szCs w:val="18"/>
              </w:rPr>
              <w:t>/</w:t>
            </w:r>
            <w:r w:rsidR="00F90B2D" w:rsidRPr="00F90B2D">
              <w:rPr>
                <w:rStyle w:val="af1"/>
                <w:sz w:val="18"/>
                <w:szCs w:val="18"/>
                <w:lang w:val="es-ES_tradnl"/>
              </w:rPr>
              <w:t>KWT</w:t>
            </w:r>
            <w:r w:rsidR="00F90B2D" w:rsidRPr="00F90B2D">
              <w:rPr>
                <w:rStyle w:val="af1"/>
                <w:sz w:val="18"/>
                <w:szCs w:val="18"/>
              </w:rPr>
              <w:t>/3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6793B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7" w:type="dxa"/>
          </w:tcPr>
          <w:p w:rsidR="005C7441" w:rsidRPr="0096793B" w:rsidRDefault="00D43468" w:rsidP="0096793B">
            <w:pPr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A37624">
              <w:rPr>
                <w:lang w:val="en-US"/>
              </w:rPr>
              <w:instrText xml:space="preserve"> HYPERLINK "http://undocs.org/ru/Corr.1%20</w:instrText>
            </w:r>
            <w:r>
              <w:instrText>и</w:instrText>
            </w:r>
            <w:r w:rsidRPr="00A37624">
              <w:rPr>
                <w:lang w:val="en-US"/>
              </w:rPr>
              <w:instrText xml:space="preserve">%202" </w:instrText>
            </w:r>
            <w:r>
              <w:fldChar w:fldCharType="separate"/>
            </w:r>
            <w:r w:rsidR="0096793B" w:rsidRPr="0096793B">
              <w:rPr>
                <w:rStyle w:val="af1"/>
                <w:sz w:val="18"/>
                <w:szCs w:val="18"/>
                <w:lang w:val="en-US"/>
              </w:rPr>
              <w:t>CAT/C/KWT/CO/3,</w:t>
            </w:r>
            <w:r w:rsidR="0096793B" w:rsidRPr="0096793B">
              <w:rPr>
                <w:rStyle w:val="af1"/>
                <w:sz w:val="18"/>
                <w:szCs w:val="18"/>
                <w:lang w:val="en-US"/>
              </w:rPr>
              <w:br/>
            </w:r>
            <w:r w:rsidR="005C7441" w:rsidRPr="0096793B">
              <w:rPr>
                <w:rStyle w:val="af1"/>
                <w:sz w:val="18"/>
                <w:szCs w:val="18"/>
                <w:lang w:val="en-US"/>
              </w:rPr>
              <w:t xml:space="preserve">Corr.1 </w:t>
            </w:r>
            <w:r w:rsidR="005C7441" w:rsidRPr="0096793B">
              <w:rPr>
                <w:rStyle w:val="af1"/>
                <w:color w:val="auto"/>
                <w:sz w:val="18"/>
                <w:szCs w:val="18"/>
              </w:rPr>
              <w:t>и</w:t>
            </w:r>
            <w:r w:rsidR="005C7441" w:rsidRPr="0096793B">
              <w:rPr>
                <w:rStyle w:val="af1"/>
                <w:sz w:val="18"/>
                <w:szCs w:val="18"/>
                <w:lang w:val="en-US"/>
              </w:rPr>
              <w:t xml:space="preserve"> 2</w:t>
            </w:r>
            <w:r>
              <w:rPr>
                <w:rStyle w:val="af1"/>
                <w:sz w:val="18"/>
                <w:szCs w:val="18"/>
                <w:lang w:val="en-US"/>
              </w:rPr>
              <w:fldChar w:fldCharType="end"/>
            </w:r>
          </w:p>
        </w:tc>
      </w:tr>
      <w:tr w:rsidR="005C7441" w:rsidRPr="0096793B" w:rsidTr="0096793B">
        <w:trPr>
          <w:trHeight w:val="240"/>
        </w:trPr>
        <w:tc>
          <w:tcPr>
            <w:tcW w:w="1204" w:type="dxa"/>
          </w:tcPr>
          <w:p w:rsidR="005C7441" w:rsidRPr="0096793B" w:rsidRDefault="005C7441" w:rsidP="0096793B">
            <w:pPr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>Монголия</w:t>
            </w:r>
          </w:p>
        </w:tc>
        <w:tc>
          <w:tcPr>
            <w:tcW w:w="1750" w:type="dxa"/>
          </w:tcPr>
          <w:p w:rsidR="005C7441" w:rsidRPr="0096793B" w:rsidRDefault="0096793B" w:rsidP="0096793B">
            <w:pPr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>Йенс Модвиг</w:t>
            </w:r>
            <w:r w:rsidRPr="0096793B">
              <w:rPr>
                <w:sz w:val="18"/>
                <w:szCs w:val="18"/>
              </w:rPr>
              <w:br/>
            </w:r>
            <w:r w:rsidR="005C7441" w:rsidRPr="0096793B">
              <w:rPr>
                <w:sz w:val="18"/>
                <w:szCs w:val="18"/>
              </w:rPr>
              <w:t>Ана Раку</w:t>
            </w:r>
          </w:p>
        </w:tc>
        <w:tc>
          <w:tcPr>
            <w:tcW w:w="2169" w:type="dxa"/>
          </w:tcPr>
          <w:p w:rsidR="005C7441" w:rsidRPr="0096793B" w:rsidRDefault="005C7441" w:rsidP="0096793B">
            <w:pPr>
              <w:rPr>
                <w:sz w:val="18"/>
                <w:szCs w:val="18"/>
              </w:rPr>
            </w:pPr>
            <w:r w:rsidRPr="0096793B">
              <w:rPr>
                <w:sz w:val="18"/>
                <w:szCs w:val="18"/>
              </w:rPr>
              <w:t>Второй периодический доклад (</w:t>
            </w:r>
            <w:r w:rsidR="00D43468" w:rsidRPr="00A37624">
              <w:fldChar w:fldCharType="begin"/>
            </w:r>
            <w:r w:rsidR="00D43468" w:rsidRPr="00A37624">
              <w:rPr>
                <w:sz w:val="18"/>
                <w:szCs w:val="18"/>
              </w:rPr>
              <w:instrText xml:space="preserve"> HYPERLINK "http://undocs.org/en/CAT/C/MNG/2" </w:instrText>
            </w:r>
            <w:r w:rsidR="00D43468" w:rsidRPr="00A37624">
              <w:fldChar w:fldCharType="separate"/>
            </w:r>
            <w:r w:rsidR="00F90B2D" w:rsidRPr="00A37624">
              <w:rPr>
                <w:rStyle w:val="af1"/>
                <w:sz w:val="18"/>
                <w:szCs w:val="18"/>
                <w:lang w:val="es-ES_tradnl"/>
              </w:rPr>
              <w:t>CAT</w:t>
            </w:r>
            <w:r w:rsidR="00F90B2D" w:rsidRPr="00A37624">
              <w:rPr>
                <w:rStyle w:val="af1"/>
                <w:sz w:val="18"/>
                <w:szCs w:val="18"/>
              </w:rPr>
              <w:t>/</w:t>
            </w:r>
            <w:r w:rsidR="00F90B2D" w:rsidRPr="00A37624">
              <w:rPr>
                <w:rStyle w:val="af1"/>
                <w:sz w:val="18"/>
                <w:szCs w:val="18"/>
                <w:lang w:val="es-ES_tradnl"/>
              </w:rPr>
              <w:t>C</w:t>
            </w:r>
            <w:r w:rsidR="00F90B2D" w:rsidRPr="00A37624">
              <w:rPr>
                <w:rStyle w:val="af1"/>
                <w:sz w:val="18"/>
                <w:szCs w:val="18"/>
              </w:rPr>
              <w:t>/</w:t>
            </w:r>
            <w:r w:rsidR="00F90B2D" w:rsidRPr="00A37624">
              <w:rPr>
                <w:rStyle w:val="af1"/>
                <w:sz w:val="18"/>
                <w:szCs w:val="18"/>
                <w:lang w:val="es-ES_tradnl"/>
              </w:rPr>
              <w:t>MNG</w:t>
            </w:r>
            <w:r w:rsidR="00F90B2D" w:rsidRPr="00A37624">
              <w:rPr>
                <w:rStyle w:val="af1"/>
                <w:sz w:val="18"/>
                <w:szCs w:val="18"/>
              </w:rPr>
              <w:t>/2</w:t>
            </w:r>
            <w:r w:rsidR="00D43468" w:rsidRPr="00A37624">
              <w:rPr>
                <w:rStyle w:val="af1"/>
                <w:sz w:val="18"/>
                <w:szCs w:val="18"/>
              </w:rPr>
              <w:fldChar w:fldCharType="end"/>
            </w:r>
            <w:r w:rsidRPr="0096793B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7" w:type="dxa"/>
          </w:tcPr>
          <w:p w:rsidR="005C7441" w:rsidRPr="0096793B" w:rsidRDefault="00D43468" w:rsidP="0096793B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"http://undocs.org/ru/CAT/C/MNG/CO/2" </w:instrText>
            </w:r>
            <w:r>
              <w:fldChar w:fldCharType="separate"/>
            </w:r>
            <w:r w:rsidR="005C7441" w:rsidRPr="0096793B">
              <w:rPr>
                <w:rStyle w:val="af1"/>
                <w:sz w:val="18"/>
                <w:szCs w:val="18"/>
              </w:rPr>
              <w:t>CAT/C/MNG/CO/2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</w:tbl>
    <w:p w:rsidR="005C7441" w:rsidRPr="005C7441" w:rsidRDefault="005C7441" w:rsidP="009535FA">
      <w:pPr>
        <w:pStyle w:val="SingleTxtGR"/>
        <w:spacing w:before="120"/>
      </w:pPr>
      <w:r w:rsidRPr="005C7441">
        <w:t>39.</w:t>
      </w:r>
      <w:r w:rsidRPr="005C7441">
        <w:tab/>
        <w:t>С докладами, рассмотренными Комитетом на его пятьдесят девятой се</w:t>
      </w:r>
      <w:r w:rsidRPr="005C7441">
        <w:t>с</w:t>
      </w:r>
      <w:r w:rsidRPr="005C7441">
        <w:t>сии, и с заключительными замечаниями по ним можно ознакомиться в Системе официальной документации Организации Объединенных Наций (</w:t>
      </w:r>
      <w:r w:rsidR="00D43468">
        <w:fldChar w:fldCharType="begin"/>
      </w:r>
      <w:r w:rsidR="00D43468">
        <w:instrText xml:space="preserve"> HYPERLINK "http://documents.un.org" </w:instrText>
      </w:r>
      <w:r w:rsidR="00D43468">
        <w:fldChar w:fldCharType="separate"/>
      </w:r>
      <w:r w:rsidR="00F90B2D" w:rsidRPr="00F90B2D">
        <w:rPr>
          <w:rStyle w:val="af1"/>
          <w:lang w:val="es-ES_tradnl"/>
        </w:rPr>
        <w:t>http</w:t>
      </w:r>
      <w:r w:rsidR="00F90B2D" w:rsidRPr="00F90B2D">
        <w:rPr>
          <w:rStyle w:val="af1"/>
        </w:rPr>
        <w:t>://</w:t>
      </w:r>
      <w:r w:rsidR="00F90B2D">
        <w:rPr>
          <w:rStyle w:val="af1"/>
        </w:rPr>
        <w:br/>
      </w:r>
      <w:proofErr w:type="spellStart"/>
      <w:r w:rsidR="00F90B2D" w:rsidRPr="00F90B2D">
        <w:rPr>
          <w:rStyle w:val="af1"/>
          <w:lang w:val="es-ES_tradnl"/>
        </w:rPr>
        <w:t>documents</w:t>
      </w:r>
      <w:proofErr w:type="spellEnd"/>
      <w:r w:rsidR="00F90B2D" w:rsidRPr="00F90B2D">
        <w:rPr>
          <w:rStyle w:val="af1"/>
        </w:rPr>
        <w:t>.</w:t>
      </w:r>
      <w:r w:rsidR="00F90B2D" w:rsidRPr="00F90B2D">
        <w:rPr>
          <w:rStyle w:val="af1"/>
          <w:lang w:val="es-ES_tradnl"/>
        </w:rPr>
        <w:t>un</w:t>
      </w:r>
      <w:r w:rsidR="00F90B2D" w:rsidRPr="00F90B2D">
        <w:rPr>
          <w:rStyle w:val="af1"/>
        </w:rPr>
        <w:t>.</w:t>
      </w:r>
      <w:proofErr w:type="spellStart"/>
      <w:r w:rsidR="00F90B2D" w:rsidRPr="00F90B2D">
        <w:rPr>
          <w:rStyle w:val="af1"/>
          <w:lang w:val="es-ES_tradnl"/>
        </w:rPr>
        <w:t>org</w:t>
      </w:r>
      <w:proofErr w:type="spellEnd"/>
      <w:r w:rsidR="00D43468">
        <w:rPr>
          <w:rStyle w:val="af1"/>
          <w:lang w:val="es-ES_tradnl"/>
        </w:rPr>
        <w:fldChar w:fldCharType="end"/>
      </w:r>
      <w:r w:rsidRPr="005C7441">
        <w:t>) под условными обозначениями, которые указаны ниже: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358"/>
        <w:gridCol w:w="2114"/>
        <w:gridCol w:w="2309"/>
        <w:gridCol w:w="1589"/>
      </w:tblGrid>
      <w:tr w:rsidR="009535FA" w:rsidRPr="009535FA" w:rsidTr="009535FA">
        <w:trPr>
          <w:trHeight w:val="240"/>
          <w:tblHeader/>
        </w:trPr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441" w:rsidRPr="009535FA" w:rsidRDefault="005C7441" w:rsidP="009535FA">
            <w:pPr>
              <w:spacing w:before="80" w:after="80" w:line="200" w:lineRule="exact"/>
              <w:rPr>
                <w:i/>
                <w:sz w:val="16"/>
              </w:rPr>
            </w:pPr>
            <w:r w:rsidRPr="009535FA">
              <w:rPr>
                <w:i/>
                <w:sz w:val="16"/>
              </w:rPr>
              <w:t>Государство-участник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441" w:rsidRPr="009535FA" w:rsidRDefault="009535FA" w:rsidP="009535FA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Докладчики</w:t>
            </w:r>
            <w:r>
              <w:rPr>
                <w:i/>
                <w:sz w:val="16"/>
              </w:rPr>
              <w:br/>
            </w:r>
            <w:r w:rsidR="005C7441" w:rsidRPr="009535FA">
              <w:rPr>
                <w:i/>
                <w:sz w:val="16"/>
              </w:rPr>
              <w:t>по странам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441" w:rsidRPr="009535FA" w:rsidRDefault="005C7441" w:rsidP="009535FA">
            <w:pPr>
              <w:spacing w:before="80" w:after="80" w:line="200" w:lineRule="exact"/>
              <w:rPr>
                <w:i/>
                <w:sz w:val="16"/>
              </w:rPr>
            </w:pPr>
            <w:r w:rsidRPr="009535FA">
              <w:rPr>
                <w:i/>
                <w:sz w:val="16"/>
              </w:rPr>
              <w:t>Доклад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441" w:rsidRPr="009535FA" w:rsidRDefault="009535FA" w:rsidP="009535FA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Заключительные</w:t>
            </w:r>
            <w:r>
              <w:rPr>
                <w:i/>
                <w:sz w:val="16"/>
              </w:rPr>
              <w:br/>
            </w:r>
            <w:r w:rsidR="005C7441" w:rsidRPr="009535FA">
              <w:rPr>
                <w:i/>
                <w:sz w:val="16"/>
              </w:rPr>
              <w:t>замечания</w:t>
            </w:r>
          </w:p>
        </w:tc>
      </w:tr>
      <w:tr w:rsidR="009535FA" w:rsidRPr="009535FA" w:rsidTr="009535FA">
        <w:trPr>
          <w:trHeight w:val="240"/>
        </w:trPr>
        <w:tc>
          <w:tcPr>
            <w:tcW w:w="1358" w:type="dxa"/>
            <w:tcBorders>
              <w:top w:val="single" w:sz="12" w:space="0" w:color="auto"/>
            </w:tcBorders>
          </w:tcPr>
          <w:p w:rsidR="005C7441" w:rsidRPr="009535FA" w:rsidRDefault="005C7441" w:rsidP="009535FA">
            <w:pPr>
              <w:spacing w:before="80"/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Армения</w:t>
            </w:r>
          </w:p>
        </w:tc>
        <w:tc>
          <w:tcPr>
            <w:tcW w:w="2114" w:type="dxa"/>
            <w:tcBorders>
              <w:top w:val="single" w:sz="12" w:space="0" w:color="auto"/>
            </w:tcBorders>
          </w:tcPr>
          <w:p w:rsidR="005C7441" w:rsidRPr="009535FA" w:rsidRDefault="009535FA" w:rsidP="009535FA">
            <w:pPr>
              <w:spacing w:before="80"/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 xml:space="preserve">Себастьян </w:t>
            </w:r>
            <w:proofErr w:type="gramStart"/>
            <w:r w:rsidRPr="009535FA">
              <w:rPr>
                <w:sz w:val="18"/>
                <w:szCs w:val="18"/>
              </w:rPr>
              <w:t>Тузе</w:t>
            </w:r>
            <w:proofErr w:type="gramEnd"/>
            <w:r w:rsidRPr="009535FA">
              <w:rPr>
                <w:sz w:val="18"/>
                <w:szCs w:val="18"/>
              </w:rPr>
              <w:br/>
            </w:r>
            <w:r w:rsidR="005C7441" w:rsidRPr="009535FA">
              <w:rPr>
                <w:sz w:val="18"/>
                <w:szCs w:val="18"/>
              </w:rPr>
              <w:t>Ана Раку</w:t>
            </w:r>
          </w:p>
        </w:tc>
        <w:tc>
          <w:tcPr>
            <w:tcW w:w="2309" w:type="dxa"/>
            <w:tcBorders>
              <w:top w:val="single" w:sz="12" w:space="0" w:color="auto"/>
            </w:tcBorders>
          </w:tcPr>
          <w:p w:rsidR="005C7441" w:rsidRPr="009535FA" w:rsidRDefault="005C7441" w:rsidP="009535FA">
            <w:pPr>
              <w:spacing w:before="80"/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Четвертый периодический доклад (</w:t>
            </w:r>
            <w:r w:rsidR="00D43468">
              <w:fldChar w:fldCharType="begin"/>
            </w:r>
            <w:r w:rsidR="00D43468">
              <w:instrText xml:space="preserve"> HYPERLINK "http://undocs.org/en/CAT/C/ARM/4" </w:instrText>
            </w:r>
            <w:r w:rsidR="00D43468">
              <w:fldChar w:fldCharType="separate"/>
            </w:r>
            <w:r w:rsidR="00F90B2D" w:rsidRPr="00F90B2D">
              <w:rPr>
                <w:rStyle w:val="af1"/>
                <w:sz w:val="18"/>
                <w:szCs w:val="18"/>
                <w:lang w:val="es-ES_tradnl"/>
              </w:rPr>
              <w:t>CAT</w:t>
            </w:r>
            <w:r w:rsidR="00F90B2D" w:rsidRPr="00F90B2D">
              <w:rPr>
                <w:rStyle w:val="af1"/>
                <w:sz w:val="18"/>
                <w:szCs w:val="18"/>
              </w:rPr>
              <w:t>/</w:t>
            </w:r>
            <w:r w:rsidR="00F90B2D" w:rsidRPr="00F90B2D">
              <w:rPr>
                <w:rStyle w:val="af1"/>
                <w:sz w:val="18"/>
                <w:szCs w:val="18"/>
                <w:lang w:val="es-ES_tradnl"/>
              </w:rPr>
              <w:t>C</w:t>
            </w:r>
            <w:r w:rsidR="00F90B2D" w:rsidRPr="00F90B2D">
              <w:rPr>
                <w:rStyle w:val="af1"/>
                <w:sz w:val="18"/>
                <w:szCs w:val="18"/>
              </w:rPr>
              <w:t>/</w:t>
            </w:r>
            <w:r w:rsidR="00F90B2D" w:rsidRPr="00F90B2D">
              <w:rPr>
                <w:rStyle w:val="af1"/>
                <w:sz w:val="18"/>
                <w:szCs w:val="18"/>
                <w:lang w:val="es-ES_tradnl"/>
              </w:rPr>
              <w:t>ARM</w:t>
            </w:r>
            <w:r w:rsidR="00F90B2D" w:rsidRPr="00F90B2D">
              <w:rPr>
                <w:rStyle w:val="af1"/>
                <w:sz w:val="18"/>
                <w:szCs w:val="18"/>
              </w:rPr>
              <w:t>/4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9" w:type="dxa"/>
            <w:tcBorders>
              <w:top w:val="single" w:sz="12" w:space="0" w:color="auto"/>
            </w:tcBorders>
          </w:tcPr>
          <w:p w:rsidR="005C7441" w:rsidRPr="00F90B2D" w:rsidRDefault="00D43468" w:rsidP="009535FA">
            <w:pPr>
              <w:spacing w:before="8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"http://undocs.org/ru/CAT/C/ARM/CO/4" </w:instrText>
            </w:r>
            <w:r>
              <w:fldChar w:fldCharType="separate"/>
            </w:r>
            <w:r w:rsidR="00F90B2D" w:rsidRPr="00F90B2D">
              <w:rPr>
                <w:rStyle w:val="af1"/>
                <w:sz w:val="18"/>
                <w:szCs w:val="18"/>
                <w:lang w:val="es-ES_tradnl"/>
              </w:rPr>
              <w:t>CAT/C/ARM/CO/4</w:t>
            </w:r>
            <w:r>
              <w:rPr>
                <w:rStyle w:val="af1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9535FA" w:rsidRPr="009535FA" w:rsidTr="009535FA">
        <w:trPr>
          <w:trHeight w:val="240"/>
        </w:trPr>
        <w:tc>
          <w:tcPr>
            <w:tcW w:w="1358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Эквадор</w:t>
            </w:r>
          </w:p>
        </w:tc>
        <w:tc>
          <w:tcPr>
            <w:tcW w:w="2114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Клод Эллер</w:t>
            </w:r>
            <w:r w:rsidR="009535FA" w:rsidRPr="009535FA">
              <w:rPr>
                <w:sz w:val="18"/>
                <w:szCs w:val="18"/>
              </w:rPr>
              <w:br/>
            </w:r>
            <w:r w:rsidRPr="009535FA">
              <w:rPr>
                <w:sz w:val="18"/>
                <w:szCs w:val="18"/>
              </w:rPr>
              <w:t>Йенс Модвиг</w:t>
            </w:r>
          </w:p>
        </w:tc>
        <w:tc>
          <w:tcPr>
            <w:tcW w:w="2309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Седьмой периодический доклад (</w:t>
            </w:r>
            <w:r w:rsidR="00D43468">
              <w:fldChar w:fldCharType="begin"/>
            </w:r>
            <w:r w:rsidR="00D43468">
              <w:instrText xml:space="preserve"> HYPERLINK "http://undocs.org/ru/CAT/C/ECU/7" </w:instrText>
            </w:r>
            <w:r w:rsidR="00D43468">
              <w:fldChar w:fldCharType="separate"/>
            </w:r>
            <w:r w:rsidRPr="009535FA">
              <w:rPr>
                <w:rStyle w:val="af1"/>
                <w:sz w:val="18"/>
                <w:szCs w:val="18"/>
              </w:rPr>
              <w:t>CAT/C/ECU/7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9" w:type="dxa"/>
          </w:tcPr>
          <w:p w:rsidR="005C7441" w:rsidRPr="009535FA" w:rsidRDefault="00D43468" w:rsidP="009535FA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"http://undocs.org/ru/CAT/C/ECU/CO/7"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CAT/C/ECU/CO/7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  <w:tr w:rsidR="009535FA" w:rsidRPr="009535FA" w:rsidTr="009535FA">
        <w:trPr>
          <w:trHeight w:val="240"/>
        </w:trPr>
        <w:tc>
          <w:tcPr>
            <w:tcW w:w="1358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Финляндия</w:t>
            </w:r>
          </w:p>
        </w:tc>
        <w:tc>
          <w:tcPr>
            <w:tcW w:w="2114" w:type="dxa"/>
          </w:tcPr>
          <w:p w:rsidR="005C7441" w:rsidRPr="009535FA" w:rsidRDefault="009535FA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Ана Раку</w:t>
            </w:r>
            <w:r w:rsidRPr="009535FA">
              <w:rPr>
                <w:sz w:val="18"/>
                <w:szCs w:val="18"/>
              </w:rPr>
              <w:br/>
            </w:r>
            <w:r w:rsidR="005C7441" w:rsidRPr="009535FA">
              <w:rPr>
                <w:sz w:val="18"/>
                <w:szCs w:val="18"/>
              </w:rPr>
              <w:t>Сапана Прадхан-Малла</w:t>
            </w:r>
          </w:p>
        </w:tc>
        <w:tc>
          <w:tcPr>
            <w:tcW w:w="2309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Седьмой периодический доклад (</w:t>
            </w:r>
            <w:r w:rsidR="00D43468">
              <w:fldChar w:fldCharType="begin"/>
            </w:r>
            <w:r w:rsidR="00D43468">
              <w:instrText xml:space="preserve"> HYPERLINK "http://undocs.org/ru/CAT/C/FIN/7" </w:instrText>
            </w:r>
            <w:r w:rsidR="00D43468">
              <w:fldChar w:fldCharType="separate"/>
            </w:r>
            <w:r w:rsidRPr="009535FA">
              <w:rPr>
                <w:rStyle w:val="af1"/>
                <w:sz w:val="18"/>
                <w:szCs w:val="18"/>
              </w:rPr>
              <w:t>CAT/C/FIN/7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9" w:type="dxa"/>
          </w:tcPr>
          <w:p w:rsidR="005C7441" w:rsidRPr="009535FA" w:rsidRDefault="00D43468" w:rsidP="009535FA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"http://undocs.org/ru/CAT/C/FIN/CO/7"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CAT/C/FIN/CO/7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  <w:tr w:rsidR="009535FA" w:rsidRPr="009535FA" w:rsidTr="009535FA">
        <w:trPr>
          <w:trHeight w:val="240"/>
        </w:trPr>
        <w:tc>
          <w:tcPr>
            <w:tcW w:w="1358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Монако</w:t>
            </w:r>
          </w:p>
        </w:tc>
        <w:tc>
          <w:tcPr>
            <w:tcW w:w="2114" w:type="dxa"/>
          </w:tcPr>
          <w:p w:rsidR="005C7441" w:rsidRPr="009535FA" w:rsidRDefault="009535FA" w:rsidP="00953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Себастьян </w:t>
            </w:r>
            <w:proofErr w:type="gramStart"/>
            <w:r>
              <w:rPr>
                <w:sz w:val="18"/>
                <w:szCs w:val="18"/>
              </w:rPr>
              <w:t>Тузе</w:t>
            </w:r>
            <w:proofErr w:type="gramEnd"/>
            <w:r>
              <w:rPr>
                <w:sz w:val="18"/>
                <w:szCs w:val="18"/>
              </w:rPr>
              <w:br/>
            </w:r>
            <w:r w:rsidR="005C7441" w:rsidRPr="009535FA">
              <w:rPr>
                <w:sz w:val="18"/>
                <w:szCs w:val="18"/>
              </w:rPr>
              <w:t>Саадия Бельмир</w:t>
            </w:r>
          </w:p>
        </w:tc>
        <w:tc>
          <w:tcPr>
            <w:tcW w:w="2309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Шестой периодический доклад (</w:t>
            </w:r>
            <w:r w:rsidR="00D43468">
              <w:fldChar w:fldCharType="begin"/>
            </w:r>
            <w:r w:rsidR="00D43468">
              <w:instrText xml:space="preserve"> HYPERLINK "http://undocs.org/en/CAT/C/MCO/6" </w:instrText>
            </w:r>
            <w:r w:rsidR="00D43468">
              <w:fldChar w:fldCharType="separate"/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CAT</w:t>
            </w:r>
            <w:r w:rsidR="00783CBB" w:rsidRPr="00783CBB">
              <w:rPr>
                <w:rStyle w:val="af1"/>
                <w:sz w:val="18"/>
                <w:szCs w:val="18"/>
              </w:rPr>
              <w:t>/</w:t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C</w:t>
            </w:r>
            <w:r w:rsidR="00783CBB" w:rsidRPr="00783CBB">
              <w:rPr>
                <w:rStyle w:val="af1"/>
                <w:sz w:val="18"/>
                <w:szCs w:val="18"/>
              </w:rPr>
              <w:t>/</w:t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MCO</w:t>
            </w:r>
            <w:r w:rsidR="00783CBB" w:rsidRPr="00783CBB">
              <w:rPr>
                <w:rStyle w:val="af1"/>
                <w:sz w:val="18"/>
                <w:szCs w:val="18"/>
              </w:rPr>
              <w:t>/6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9" w:type="dxa"/>
          </w:tcPr>
          <w:p w:rsidR="005C7441" w:rsidRPr="009535FA" w:rsidRDefault="00D43468" w:rsidP="009535FA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"http://undocs.org/ru/CAT/C/MCO/CO/6"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CAT/C/MCO/CO/6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  <w:tr w:rsidR="009535FA" w:rsidRPr="009535FA" w:rsidTr="009535FA">
        <w:trPr>
          <w:trHeight w:val="240"/>
        </w:trPr>
        <w:tc>
          <w:tcPr>
            <w:tcW w:w="1358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Намибия</w:t>
            </w:r>
          </w:p>
        </w:tc>
        <w:tc>
          <w:tcPr>
            <w:tcW w:w="2114" w:type="dxa"/>
          </w:tcPr>
          <w:p w:rsidR="005C7441" w:rsidRPr="009535FA" w:rsidRDefault="009535FA" w:rsidP="00953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Абдельвахаб Хани</w:t>
            </w:r>
            <w:r>
              <w:rPr>
                <w:sz w:val="18"/>
                <w:szCs w:val="18"/>
              </w:rPr>
              <w:br/>
            </w:r>
            <w:r w:rsidR="005C7441" w:rsidRPr="009535FA">
              <w:rPr>
                <w:sz w:val="18"/>
                <w:szCs w:val="18"/>
              </w:rPr>
              <w:t>Сапана Прадхан-Малла</w:t>
            </w:r>
          </w:p>
        </w:tc>
        <w:tc>
          <w:tcPr>
            <w:tcW w:w="2309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Второй периодический доклад (</w:t>
            </w:r>
            <w:r w:rsidR="00D43468">
              <w:fldChar w:fldCharType="begin"/>
            </w:r>
            <w:r w:rsidR="00D43468">
              <w:instrText xml:space="preserve"> HYPERLINK "http://undocs.org/en/CAT/C/NAM/2" </w:instrText>
            </w:r>
            <w:r w:rsidR="00D43468">
              <w:fldChar w:fldCharType="separate"/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CAT</w:t>
            </w:r>
            <w:r w:rsidR="00783CBB" w:rsidRPr="00783CBB">
              <w:rPr>
                <w:rStyle w:val="af1"/>
                <w:sz w:val="18"/>
                <w:szCs w:val="18"/>
              </w:rPr>
              <w:t>/</w:t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C</w:t>
            </w:r>
            <w:r w:rsidR="00783CBB" w:rsidRPr="00783CBB">
              <w:rPr>
                <w:rStyle w:val="af1"/>
                <w:sz w:val="18"/>
                <w:szCs w:val="18"/>
              </w:rPr>
              <w:t>/</w:t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NAM</w:t>
            </w:r>
            <w:r w:rsidR="00783CBB" w:rsidRPr="00783CBB">
              <w:rPr>
                <w:rStyle w:val="af1"/>
                <w:sz w:val="18"/>
                <w:szCs w:val="18"/>
              </w:rPr>
              <w:t>/2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9" w:type="dxa"/>
          </w:tcPr>
          <w:p w:rsidR="005C7441" w:rsidRPr="009535FA" w:rsidRDefault="00D43468" w:rsidP="009535FA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"http://undocs.org/ru/CAT/C/NAM/CO/2"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CAT/C/NAM/CO/2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  <w:tr w:rsidR="009535FA" w:rsidRPr="009535FA" w:rsidTr="009535FA">
        <w:trPr>
          <w:trHeight w:val="240"/>
        </w:trPr>
        <w:tc>
          <w:tcPr>
            <w:tcW w:w="1358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Шри-Ланка</w:t>
            </w:r>
          </w:p>
        </w:tc>
        <w:tc>
          <w:tcPr>
            <w:tcW w:w="2114" w:type="dxa"/>
          </w:tcPr>
          <w:p w:rsidR="005C7441" w:rsidRPr="009535FA" w:rsidRDefault="009535FA" w:rsidP="00953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Алессио Бруни</w:t>
            </w:r>
            <w:r>
              <w:rPr>
                <w:sz w:val="18"/>
                <w:szCs w:val="18"/>
              </w:rPr>
              <w:br/>
            </w:r>
            <w:r w:rsidR="005C7441" w:rsidRPr="009535FA">
              <w:rPr>
                <w:sz w:val="18"/>
                <w:szCs w:val="18"/>
              </w:rPr>
              <w:t>Фелис Гаер</w:t>
            </w:r>
          </w:p>
        </w:tc>
        <w:tc>
          <w:tcPr>
            <w:tcW w:w="2309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Пятый периодический доклад (</w:t>
            </w:r>
            <w:r w:rsidR="00D43468">
              <w:fldChar w:fldCharType="begin"/>
            </w:r>
            <w:r w:rsidR="00D43468">
              <w:instrText xml:space="preserve"> HYPERLINK "http://undocs.org/en/CAT/C/LKA/5" </w:instrText>
            </w:r>
            <w:r w:rsidR="00D43468">
              <w:fldChar w:fldCharType="separate"/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CAT</w:t>
            </w:r>
            <w:r w:rsidR="00783CBB" w:rsidRPr="00783CBB">
              <w:rPr>
                <w:rStyle w:val="af1"/>
                <w:sz w:val="18"/>
                <w:szCs w:val="18"/>
              </w:rPr>
              <w:t>/</w:t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C</w:t>
            </w:r>
            <w:r w:rsidR="00783CBB" w:rsidRPr="00783CBB">
              <w:rPr>
                <w:rStyle w:val="af1"/>
                <w:sz w:val="18"/>
                <w:szCs w:val="18"/>
              </w:rPr>
              <w:t>/</w:t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LKA</w:t>
            </w:r>
            <w:r w:rsidR="00783CBB" w:rsidRPr="00783CBB">
              <w:rPr>
                <w:rStyle w:val="af1"/>
                <w:sz w:val="18"/>
                <w:szCs w:val="18"/>
              </w:rPr>
              <w:t>/5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9" w:type="dxa"/>
          </w:tcPr>
          <w:p w:rsidR="005C7441" w:rsidRPr="009535FA" w:rsidRDefault="00D43468" w:rsidP="009535FA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"http://undocs.org/ru/CAT/C/LKA/CO/5"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CAT/C/LKA/CO/5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  <w:tr w:rsidR="009535FA" w:rsidRPr="009535FA" w:rsidTr="009535FA">
        <w:trPr>
          <w:trHeight w:val="240"/>
        </w:trPr>
        <w:tc>
          <w:tcPr>
            <w:tcW w:w="1358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Туркменистан</w:t>
            </w:r>
          </w:p>
        </w:tc>
        <w:tc>
          <w:tcPr>
            <w:tcW w:w="2114" w:type="dxa"/>
          </w:tcPr>
          <w:p w:rsidR="005C7441" w:rsidRPr="009535FA" w:rsidRDefault="009535FA" w:rsidP="00953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Фелис Гаер</w:t>
            </w:r>
            <w:r>
              <w:rPr>
                <w:sz w:val="18"/>
                <w:szCs w:val="18"/>
              </w:rPr>
              <w:br/>
            </w:r>
            <w:r w:rsidR="005C7441" w:rsidRPr="009535FA">
              <w:rPr>
                <w:sz w:val="18"/>
                <w:szCs w:val="18"/>
              </w:rPr>
              <w:t>Кенин Чжан</w:t>
            </w:r>
          </w:p>
        </w:tc>
        <w:tc>
          <w:tcPr>
            <w:tcW w:w="2309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Второй периодический доклад (</w:t>
            </w:r>
            <w:r w:rsidR="00D43468">
              <w:fldChar w:fldCharType="begin"/>
            </w:r>
            <w:r w:rsidR="00D43468">
              <w:instrText xml:space="preserve"> HYPERLINK "http://undocs.org/ru/CAT/C/TKM/2" </w:instrText>
            </w:r>
            <w:r w:rsidR="00D43468">
              <w:fldChar w:fldCharType="separate"/>
            </w:r>
            <w:r w:rsidRPr="009535FA">
              <w:rPr>
                <w:rStyle w:val="af1"/>
                <w:sz w:val="18"/>
                <w:szCs w:val="18"/>
              </w:rPr>
              <w:t>CAT/C/TKM/2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89" w:type="dxa"/>
          </w:tcPr>
          <w:p w:rsidR="005C7441" w:rsidRPr="009535FA" w:rsidRDefault="00D43468" w:rsidP="009535FA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"http://undocs.org/ru/CAT/C/TKM/CO/2"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CAT/C/TKM/CO/2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</w:tbl>
    <w:p w:rsidR="005C7441" w:rsidRPr="005C7441" w:rsidRDefault="005C7441" w:rsidP="009535FA">
      <w:pPr>
        <w:pStyle w:val="SingleTxtGR"/>
        <w:spacing w:before="120"/>
      </w:pPr>
      <w:r w:rsidRPr="005C7441">
        <w:t>40.</w:t>
      </w:r>
      <w:r w:rsidRPr="005C7441">
        <w:tab/>
        <w:t>С докладами, рассмотренными Комите</w:t>
      </w:r>
      <w:r w:rsidR="005B26BC">
        <w:t>том на его шестидесятой сессии,</w:t>
      </w:r>
      <w:r w:rsidR="005B26BC" w:rsidRPr="005B26BC">
        <w:br/>
      </w:r>
      <w:r w:rsidRPr="005C7441">
        <w:t>и с заключительными замечаниями по ним можно ознакомиться в Системе официальной документации Организации Объединенных Наций (</w:t>
      </w:r>
      <w:r w:rsidR="00D43468">
        <w:fldChar w:fldCharType="begin"/>
      </w:r>
      <w:r w:rsidR="00D43468">
        <w:instrText xml:space="preserve"> HYPERLINK "http://documents.un.org/" </w:instrText>
      </w:r>
      <w:r w:rsidR="00D43468">
        <w:fldChar w:fldCharType="separate"/>
      </w:r>
      <w:r w:rsidR="00783CBB" w:rsidRPr="00783CBB">
        <w:rPr>
          <w:rStyle w:val="af1"/>
          <w:lang w:val="es-ES"/>
        </w:rPr>
        <w:t>http</w:t>
      </w:r>
      <w:r w:rsidR="00783CBB" w:rsidRPr="00783CBB">
        <w:rPr>
          <w:rStyle w:val="af1"/>
        </w:rPr>
        <w:t>://</w:t>
      </w:r>
      <w:r w:rsidR="00783CBB">
        <w:rPr>
          <w:rStyle w:val="af1"/>
        </w:rPr>
        <w:br/>
      </w:r>
      <w:proofErr w:type="spellStart"/>
      <w:r w:rsidR="00783CBB" w:rsidRPr="00783CBB">
        <w:rPr>
          <w:rStyle w:val="af1"/>
          <w:lang w:val="es-ES"/>
        </w:rPr>
        <w:t>documents</w:t>
      </w:r>
      <w:proofErr w:type="spellEnd"/>
      <w:r w:rsidR="00783CBB" w:rsidRPr="00783CBB">
        <w:rPr>
          <w:rStyle w:val="af1"/>
        </w:rPr>
        <w:t>.</w:t>
      </w:r>
      <w:r w:rsidR="00783CBB" w:rsidRPr="00783CBB">
        <w:rPr>
          <w:rStyle w:val="af1"/>
          <w:lang w:val="es-ES"/>
        </w:rPr>
        <w:t>un</w:t>
      </w:r>
      <w:r w:rsidR="00783CBB" w:rsidRPr="00783CBB">
        <w:rPr>
          <w:rStyle w:val="af1"/>
        </w:rPr>
        <w:t>.</w:t>
      </w:r>
      <w:proofErr w:type="spellStart"/>
      <w:r w:rsidR="00783CBB" w:rsidRPr="00783CBB">
        <w:rPr>
          <w:rStyle w:val="af1"/>
          <w:lang w:val="es-ES"/>
        </w:rPr>
        <w:t>org</w:t>
      </w:r>
      <w:proofErr w:type="spellEnd"/>
      <w:r w:rsidR="00D43468">
        <w:rPr>
          <w:rStyle w:val="af1"/>
          <w:lang w:val="es-ES"/>
        </w:rPr>
        <w:fldChar w:fldCharType="end"/>
      </w:r>
      <w:r w:rsidRPr="005C7441">
        <w:t>) под условными обозначениями, которые указаны ниже: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148"/>
        <w:gridCol w:w="1736"/>
        <w:gridCol w:w="2757"/>
        <w:gridCol w:w="1729"/>
      </w:tblGrid>
      <w:tr w:rsidR="005C7441" w:rsidRPr="009535FA" w:rsidTr="009535FA">
        <w:trPr>
          <w:trHeight w:val="240"/>
          <w:tblHeader/>
        </w:trPr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441" w:rsidRPr="009535FA" w:rsidRDefault="005C7441" w:rsidP="009535FA">
            <w:pPr>
              <w:spacing w:before="80" w:after="80" w:line="200" w:lineRule="exact"/>
              <w:rPr>
                <w:i/>
                <w:sz w:val="16"/>
              </w:rPr>
            </w:pPr>
            <w:r w:rsidRPr="009535FA">
              <w:rPr>
                <w:i/>
                <w:sz w:val="16"/>
              </w:rPr>
              <w:t>Государство-участник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441" w:rsidRPr="009535FA" w:rsidRDefault="009535FA" w:rsidP="009535FA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Докладчики</w:t>
            </w:r>
            <w:r>
              <w:rPr>
                <w:i/>
                <w:sz w:val="16"/>
              </w:rPr>
              <w:br/>
            </w:r>
            <w:r w:rsidR="005C7441" w:rsidRPr="009535FA">
              <w:rPr>
                <w:i/>
                <w:sz w:val="16"/>
              </w:rPr>
              <w:t>по странам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441" w:rsidRPr="009535FA" w:rsidRDefault="005C7441" w:rsidP="009535FA">
            <w:pPr>
              <w:spacing w:before="80" w:after="80" w:line="200" w:lineRule="exact"/>
              <w:rPr>
                <w:i/>
                <w:sz w:val="16"/>
              </w:rPr>
            </w:pPr>
            <w:r w:rsidRPr="009535FA">
              <w:rPr>
                <w:i/>
                <w:sz w:val="16"/>
              </w:rPr>
              <w:t>Доклад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441" w:rsidRPr="009535FA" w:rsidRDefault="009535FA" w:rsidP="009535FA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Заключительные</w:t>
            </w:r>
            <w:r>
              <w:rPr>
                <w:i/>
                <w:sz w:val="16"/>
              </w:rPr>
              <w:br/>
            </w:r>
            <w:r w:rsidR="005C7441" w:rsidRPr="009535FA">
              <w:rPr>
                <w:i/>
                <w:sz w:val="16"/>
              </w:rPr>
              <w:t>замечания</w:t>
            </w:r>
          </w:p>
        </w:tc>
      </w:tr>
      <w:tr w:rsidR="005C7441" w:rsidRPr="009535FA" w:rsidTr="009535FA">
        <w:trPr>
          <w:trHeight w:val="240"/>
        </w:trPr>
        <w:tc>
          <w:tcPr>
            <w:tcW w:w="1148" w:type="dxa"/>
          </w:tcPr>
          <w:p w:rsidR="005C7441" w:rsidRPr="009535FA" w:rsidRDefault="005C7441" w:rsidP="009535FA">
            <w:pPr>
              <w:spacing w:before="80"/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Афганистан</w:t>
            </w:r>
          </w:p>
        </w:tc>
        <w:tc>
          <w:tcPr>
            <w:tcW w:w="1736" w:type="dxa"/>
          </w:tcPr>
          <w:p w:rsidR="005C7441" w:rsidRPr="009535FA" w:rsidRDefault="009535FA" w:rsidP="009535F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Йенс Модвиг</w:t>
            </w:r>
            <w:r>
              <w:rPr>
                <w:sz w:val="18"/>
                <w:szCs w:val="18"/>
              </w:rPr>
              <w:br/>
            </w:r>
            <w:r w:rsidR="005C7441" w:rsidRPr="009535FA">
              <w:rPr>
                <w:sz w:val="18"/>
                <w:szCs w:val="18"/>
              </w:rPr>
              <w:t>Абдельвахаб Хани</w:t>
            </w:r>
          </w:p>
        </w:tc>
        <w:tc>
          <w:tcPr>
            <w:tcW w:w="2757" w:type="dxa"/>
          </w:tcPr>
          <w:p w:rsidR="005C7441" w:rsidRPr="009535FA" w:rsidRDefault="005C7441" w:rsidP="009535FA">
            <w:pPr>
              <w:spacing w:before="80"/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Второй периодический доклад (</w:t>
            </w:r>
            <w:r w:rsidR="00D43468">
              <w:fldChar w:fldCharType="begin"/>
            </w:r>
            <w:r w:rsidR="00D43468">
              <w:instrText xml:space="preserve"> HYPERLINK "http://undocs.org/en/CAT/C/AFG/2" </w:instrText>
            </w:r>
            <w:r w:rsidR="00D43468">
              <w:fldChar w:fldCharType="separate"/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CAT</w:t>
            </w:r>
            <w:r w:rsidR="00783CBB" w:rsidRPr="00783CBB">
              <w:rPr>
                <w:rStyle w:val="af1"/>
                <w:sz w:val="18"/>
                <w:szCs w:val="18"/>
              </w:rPr>
              <w:t>/</w:t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C</w:t>
            </w:r>
            <w:r w:rsidR="00783CBB" w:rsidRPr="00783CBB">
              <w:rPr>
                <w:rStyle w:val="af1"/>
                <w:sz w:val="18"/>
                <w:szCs w:val="18"/>
              </w:rPr>
              <w:t>/</w:t>
            </w:r>
            <w:r w:rsidR="00783CBB" w:rsidRPr="00783CBB">
              <w:rPr>
                <w:rStyle w:val="af1"/>
                <w:sz w:val="18"/>
                <w:szCs w:val="18"/>
                <w:lang w:val="es-ES_tradnl"/>
              </w:rPr>
              <w:t>AFG</w:t>
            </w:r>
            <w:r w:rsidR="00783CBB" w:rsidRPr="00783CBB">
              <w:rPr>
                <w:rStyle w:val="af1"/>
                <w:sz w:val="18"/>
                <w:szCs w:val="18"/>
              </w:rPr>
              <w:t>/2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</w:tcPr>
          <w:p w:rsidR="005C7441" w:rsidRPr="009535FA" w:rsidRDefault="00D43468" w:rsidP="009535FA">
            <w:pPr>
              <w:spacing w:before="8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"http://undocs.org/ru/CAT/C/AFG/CO/2"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CAT/C/AFG/CO/2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  <w:tr w:rsidR="005C7441" w:rsidRPr="009535FA" w:rsidTr="009535FA">
        <w:trPr>
          <w:trHeight w:val="240"/>
        </w:trPr>
        <w:tc>
          <w:tcPr>
            <w:tcW w:w="1148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Аргентина</w:t>
            </w:r>
          </w:p>
        </w:tc>
        <w:tc>
          <w:tcPr>
            <w:tcW w:w="1736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Кло</w:t>
            </w:r>
            <w:r w:rsidR="009535FA">
              <w:rPr>
                <w:sz w:val="18"/>
                <w:szCs w:val="18"/>
              </w:rPr>
              <w:t>д Эллер</w:t>
            </w:r>
            <w:r w:rsidR="009535FA">
              <w:rPr>
                <w:sz w:val="18"/>
                <w:szCs w:val="18"/>
              </w:rPr>
              <w:br/>
            </w:r>
            <w:r w:rsidRPr="009535FA">
              <w:rPr>
                <w:sz w:val="18"/>
                <w:szCs w:val="18"/>
              </w:rPr>
              <w:t>Кенин Чжан</w:t>
            </w:r>
          </w:p>
        </w:tc>
        <w:tc>
          <w:tcPr>
            <w:tcW w:w="2757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Объединенные пя</w:t>
            </w:r>
            <w:r w:rsidR="009535FA">
              <w:rPr>
                <w:sz w:val="18"/>
                <w:szCs w:val="18"/>
              </w:rPr>
              <w:t xml:space="preserve">тый </w:t>
            </w:r>
            <w:r w:rsidRPr="009535FA">
              <w:rPr>
                <w:sz w:val="18"/>
                <w:szCs w:val="18"/>
              </w:rPr>
              <w:t>и шестой периодические доклады (</w:t>
            </w:r>
            <w:r w:rsidR="00A37624" w:rsidRPr="00A37624">
              <w:rPr>
                <w:sz w:val="18"/>
                <w:szCs w:val="18"/>
                <w:lang w:val="en-GB"/>
              </w:rPr>
              <w:fldChar w:fldCharType="begin"/>
            </w:r>
            <w:r w:rsidR="00A37624" w:rsidRPr="00A37624">
              <w:rPr>
                <w:sz w:val="18"/>
                <w:szCs w:val="18"/>
              </w:rPr>
              <w:instrText xml:space="preserve"> </w:instrText>
            </w:r>
            <w:r w:rsidR="00A37624" w:rsidRPr="00A37624">
              <w:rPr>
                <w:sz w:val="18"/>
                <w:szCs w:val="18"/>
                <w:lang w:val="es-ES"/>
              </w:rPr>
              <w:instrText>HYPERLINK</w:instrText>
            </w:r>
            <w:r w:rsidR="00A37624" w:rsidRPr="00A37624">
              <w:rPr>
                <w:sz w:val="18"/>
                <w:szCs w:val="18"/>
              </w:rPr>
              <w:instrText xml:space="preserve"> "</w:instrText>
            </w:r>
            <w:r w:rsidR="00A37624" w:rsidRPr="00A37624">
              <w:rPr>
                <w:sz w:val="18"/>
                <w:szCs w:val="18"/>
                <w:lang w:val="es-ES"/>
              </w:rPr>
              <w:instrText>http</w:instrText>
            </w:r>
            <w:r w:rsidR="00A37624" w:rsidRPr="00A37624">
              <w:rPr>
                <w:sz w:val="18"/>
                <w:szCs w:val="18"/>
              </w:rPr>
              <w:instrText>://</w:instrText>
            </w:r>
            <w:r w:rsidR="00A37624" w:rsidRPr="00A37624">
              <w:rPr>
                <w:sz w:val="18"/>
                <w:szCs w:val="18"/>
                <w:lang w:val="es-ES"/>
              </w:rPr>
              <w:instrText>undocs</w:instrText>
            </w:r>
            <w:r w:rsidR="00A37624" w:rsidRPr="00A37624">
              <w:rPr>
                <w:sz w:val="18"/>
                <w:szCs w:val="18"/>
              </w:rPr>
              <w:instrText>.</w:instrText>
            </w:r>
            <w:r w:rsidR="00A37624" w:rsidRPr="00A37624">
              <w:rPr>
                <w:sz w:val="18"/>
                <w:szCs w:val="18"/>
                <w:lang w:val="es-ES"/>
              </w:rPr>
              <w:instrText>org</w:instrText>
            </w:r>
            <w:r w:rsidR="00A37624" w:rsidRPr="00A37624">
              <w:rPr>
                <w:sz w:val="18"/>
                <w:szCs w:val="18"/>
              </w:rPr>
              <w:instrText>/</w:instrText>
            </w:r>
            <w:r w:rsidR="00A37624" w:rsidRPr="00A37624">
              <w:rPr>
                <w:sz w:val="18"/>
                <w:szCs w:val="18"/>
                <w:lang w:val="es-ES"/>
              </w:rPr>
              <w:instrText>en</w:instrText>
            </w:r>
            <w:r w:rsidR="00A37624" w:rsidRPr="00A37624">
              <w:rPr>
                <w:sz w:val="18"/>
                <w:szCs w:val="18"/>
              </w:rPr>
              <w:instrText>/</w:instrText>
            </w:r>
            <w:r w:rsidR="00A37624" w:rsidRPr="00A37624">
              <w:rPr>
                <w:sz w:val="18"/>
                <w:szCs w:val="18"/>
                <w:lang w:val="es-ES"/>
              </w:rPr>
              <w:instrText>CAT</w:instrText>
            </w:r>
            <w:r w:rsidR="00A37624" w:rsidRPr="00A37624">
              <w:rPr>
                <w:sz w:val="18"/>
                <w:szCs w:val="18"/>
              </w:rPr>
              <w:instrText>/</w:instrText>
            </w:r>
            <w:r w:rsidR="00A37624" w:rsidRPr="00A37624">
              <w:rPr>
                <w:sz w:val="18"/>
                <w:szCs w:val="18"/>
                <w:lang w:val="es-ES"/>
              </w:rPr>
              <w:instrText>C</w:instrText>
            </w:r>
            <w:r w:rsidR="00A37624" w:rsidRPr="00A37624">
              <w:rPr>
                <w:sz w:val="18"/>
                <w:szCs w:val="18"/>
              </w:rPr>
              <w:instrText>/</w:instrText>
            </w:r>
            <w:r w:rsidR="00A37624" w:rsidRPr="00A37624">
              <w:rPr>
                <w:sz w:val="18"/>
                <w:szCs w:val="18"/>
                <w:lang w:val="es-ES"/>
              </w:rPr>
              <w:instrText>ARG</w:instrText>
            </w:r>
            <w:r w:rsidR="00A37624" w:rsidRPr="00A37624">
              <w:rPr>
                <w:sz w:val="18"/>
                <w:szCs w:val="18"/>
              </w:rPr>
              <w:instrText xml:space="preserve">/5-6" </w:instrText>
            </w:r>
            <w:r w:rsidR="004A101E" w:rsidRPr="00A37624">
              <w:rPr>
                <w:sz w:val="18"/>
                <w:szCs w:val="18"/>
                <w:lang w:val="en-GB"/>
              </w:rPr>
            </w:r>
            <w:r w:rsidR="00A37624" w:rsidRPr="00A37624">
              <w:rPr>
                <w:sz w:val="18"/>
                <w:szCs w:val="18"/>
                <w:lang w:val="en-GB"/>
              </w:rPr>
              <w:fldChar w:fldCharType="separate"/>
            </w:r>
            <w:r w:rsidR="00A37624" w:rsidRPr="00A37624">
              <w:rPr>
                <w:rStyle w:val="af1"/>
                <w:sz w:val="18"/>
                <w:szCs w:val="18"/>
                <w:lang w:val="es-ES_tradnl"/>
              </w:rPr>
              <w:t>CAT</w:t>
            </w:r>
            <w:r w:rsidR="00A37624" w:rsidRPr="00A37624">
              <w:rPr>
                <w:rStyle w:val="af1"/>
                <w:sz w:val="18"/>
                <w:szCs w:val="18"/>
              </w:rPr>
              <w:t>/</w:t>
            </w:r>
            <w:r w:rsidR="00A37624" w:rsidRPr="00A37624">
              <w:rPr>
                <w:rStyle w:val="af1"/>
                <w:sz w:val="18"/>
                <w:szCs w:val="18"/>
                <w:lang w:val="es-ES_tradnl"/>
              </w:rPr>
              <w:t>C</w:t>
            </w:r>
            <w:r w:rsidR="00A37624" w:rsidRPr="00A37624">
              <w:rPr>
                <w:rStyle w:val="af1"/>
                <w:sz w:val="18"/>
                <w:szCs w:val="18"/>
              </w:rPr>
              <w:t>/</w:t>
            </w:r>
            <w:r w:rsidR="00A37624" w:rsidRPr="00A37624">
              <w:rPr>
                <w:rStyle w:val="af1"/>
                <w:sz w:val="18"/>
                <w:szCs w:val="18"/>
                <w:lang w:val="es-ES_tradnl"/>
              </w:rPr>
              <w:t>ARG</w:t>
            </w:r>
            <w:r w:rsidR="00A37624" w:rsidRPr="00A37624">
              <w:rPr>
                <w:rStyle w:val="af1"/>
                <w:sz w:val="18"/>
                <w:szCs w:val="18"/>
              </w:rPr>
              <w:t>/5-6</w:t>
            </w:r>
            <w:r w:rsidR="00A37624" w:rsidRPr="00A37624">
              <w:rPr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</w:tcPr>
          <w:p w:rsidR="005C7441" w:rsidRPr="009535FA" w:rsidRDefault="00D43468" w:rsidP="009535FA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"http://undocs.org/ru/CAT/C/ARG/CO/5-6"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CAT/C/ARG/CO/5-6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  <w:tr w:rsidR="005C7441" w:rsidRPr="009535FA" w:rsidTr="009535FA">
        <w:trPr>
          <w:trHeight w:val="240"/>
        </w:trPr>
        <w:tc>
          <w:tcPr>
            <w:tcW w:w="1148" w:type="dxa"/>
            <w:tcBorders>
              <w:bottom w:val="nil"/>
            </w:tcBorders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Бахрейн</w:t>
            </w:r>
          </w:p>
        </w:tc>
        <w:tc>
          <w:tcPr>
            <w:tcW w:w="1736" w:type="dxa"/>
            <w:tcBorders>
              <w:bottom w:val="nil"/>
            </w:tcBorders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Алессио Бруни</w:t>
            </w:r>
            <w:r w:rsidR="009535FA">
              <w:rPr>
                <w:sz w:val="18"/>
                <w:szCs w:val="18"/>
              </w:rPr>
              <w:br/>
            </w:r>
            <w:r w:rsidRPr="009535FA">
              <w:rPr>
                <w:sz w:val="18"/>
                <w:szCs w:val="18"/>
              </w:rPr>
              <w:t>Саадия Бельмир</w:t>
            </w:r>
          </w:p>
        </w:tc>
        <w:tc>
          <w:tcPr>
            <w:tcW w:w="2757" w:type="dxa"/>
            <w:tcBorders>
              <w:bottom w:val="nil"/>
            </w:tcBorders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Второй и третий периодические доклады (</w:t>
            </w:r>
            <w:r w:rsidR="00D43468">
              <w:fldChar w:fldCharType="begin"/>
            </w:r>
            <w:r w:rsidR="00D43468">
              <w:instrText xml:space="preserve"> HYPERLINK "http://undocs.org/ru/CAT/C/BHR/2-3" </w:instrText>
            </w:r>
            <w:r w:rsidR="00D43468">
              <w:fldChar w:fldCharType="separate"/>
            </w:r>
            <w:r w:rsidRPr="009535FA">
              <w:rPr>
                <w:rStyle w:val="af1"/>
                <w:sz w:val="18"/>
                <w:szCs w:val="18"/>
              </w:rPr>
              <w:t>CAT/C/BHR/2-3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</w:tcPr>
          <w:p w:rsidR="005C7441" w:rsidRPr="009535FA" w:rsidRDefault="00D43468" w:rsidP="009535FA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"http://undocs.org/ru/CAT/C/BHR/CO/2-3"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CAT/C/BHR/CO/2-3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  <w:tr w:rsidR="005C7441" w:rsidRPr="009535FA" w:rsidTr="009535FA">
        <w:trPr>
          <w:trHeight w:val="240"/>
        </w:trPr>
        <w:tc>
          <w:tcPr>
            <w:tcW w:w="1148" w:type="dxa"/>
            <w:tcBorders>
              <w:top w:val="nil"/>
              <w:bottom w:val="nil"/>
            </w:tcBorders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Ливан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5C7441" w:rsidRPr="009535FA" w:rsidRDefault="009535FA" w:rsidP="00953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Себастьян </w:t>
            </w:r>
            <w:proofErr w:type="gramStart"/>
            <w:r>
              <w:rPr>
                <w:sz w:val="18"/>
                <w:szCs w:val="18"/>
              </w:rPr>
              <w:t>Тузе</w:t>
            </w:r>
            <w:proofErr w:type="gramEnd"/>
            <w:r>
              <w:rPr>
                <w:sz w:val="18"/>
                <w:szCs w:val="18"/>
              </w:rPr>
              <w:br/>
            </w:r>
            <w:r w:rsidR="005C7441" w:rsidRPr="009535FA">
              <w:rPr>
                <w:sz w:val="18"/>
                <w:szCs w:val="18"/>
              </w:rPr>
              <w:t>Абдельвахаб Хани</w:t>
            </w:r>
          </w:p>
        </w:tc>
        <w:tc>
          <w:tcPr>
            <w:tcW w:w="2757" w:type="dxa"/>
            <w:tcBorders>
              <w:top w:val="nil"/>
              <w:bottom w:val="nil"/>
            </w:tcBorders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Первоначальный доклад (</w:t>
            </w:r>
            <w:r w:rsidR="00D43468">
              <w:fldChar w:fldCharType="begin"/>
            </w:r>
            <w:r w:rsidR="00D43468">
              <w:instrText xml:space="preserve"> HYPERLINK "http://undocs.org/ru/CAT/C/LBN/1" </w:instrText>
            </w:r>
            <w:r w:rsidR="00D43468">
              <w:fldChar w:fldCharType="separate"/>
            </w:r>
            <w:r w:rsidRPr="009535FA">
              <w:rPr>
                <w:rStyle w:val="af1"/>
                <w:sz w:val="18"/>
                <w:szCs w:val="18"/>
              </w:rPr>
              <w:t>CAT/C/LBN/1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</w:tcPr>
          <w:p w:rsidR="005C7441" w:rsidRPr="009535FA" w:rsidRDefault="00D43468" w:rsidP="009535FA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"http://undocs.org/ru/CAT/C/LBN/CO/1"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CAT/C/LBN/CO/1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  <w:tr w:rsidR="005C7441" w:rsidRPr="009535FA" w:rsidTr="009535FA">
        <w:trPr>
          <w:trHeight w:val="240"/>
        </w:trPr>
        <w:tc>
          <w:tcPr>
            <w:tcW w:w="1148" w:type="dxa"/>
            <w:tcBorders>
              <w:top w:val="nil"/>
            </w:tcBorders>
          </w:tcPr>
          <w:p w:rsidR="005C7441" w:rsidRPr="009535FA" w:rsidRDefault="005C7441" w:rsidP="009535FA">
            <w:pPr>
              <w:spacing w:before="80"/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Республика Корея</w:t>
            </w:r>
          </w:p>
        </w:tc>
        <w:tc>
          <w:tcPr>
            <w:tcW w:w="1736" w:type="dxa"/>
            <w:tcBorders>
              <w:top w:val="nil"/>
            </w:tcBorders>
          </w:tcPr>
          <w:p w:rsidR="005C7441" w:rsidRPr="009535FA" w:rsidRDefault="009535FA" w:rsidP="009535F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 Раку</w:t>
            </w:r>
            <w:r>
              <w:rPr>
                <w:sz w:val="18"/>
                <w:szCs w:val="18"/>
              </w:rPr>
              <w:br/>
            </w:r>
            <w:r w:rsidR="005C7441" w:rsidRPr="009535FA">
              <w:rPr>
                <w:sz w:val="18"/>
                <w:szCs w:val="18"/>
              </w:rPr>
              <w:t>Сапана Прадхан-Малла</w:t>
            </w:r>
          </w:p>
        </w:tc>
        <w:tc>
          <w:tcPr>
            <w:tcW w:w="2757" w:type="dxa"/>
            <w:tcBorders>
              <w:top w:val="nil"/>
            </w:tcBorders>
          </w:tcPr>
          <w:p w:rsidR="005C7441" w:rsidRPr="009535FA" w:rsidRDefault="005C7441" w:rsidP="009535FA">
            <w:pPr>
              <w:spacing w:before="80"/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Объединенные тре</w:t>
            </w:r>
            <w:r w:rsidR="009535FA">
              <w:rPr>
                <w:sz w:val="18"/>
                <w:szCs w:val="18"/>
              </w:rPr>
              <w:t>тий–</w:t>
            </w:r>
            <w:r w:rsidRPr="009535FA">
              <w:rPr>
                <w:sz w:val="18"/>
                <w:szCs w:val="18"/>
              </w:rPr>
              <w:t>пятый периодические доклады (</w:t>
            </w:r>
            <w:r w:rsidR="00D43468">
              <w:fldChar w:fldCharType="begin"/>
            </w:r>
            <w:r w:rsidR="00D43468">
              <w:instrText xml:space="preserve"> HYPERLINK "http://undocs.org/en/CAT/C/KOR/3-5" </w:instrText>
            </w:r>
            <w:r w:rsidR="00D43468">
              <w:fldChar w:fldCharType="separate"/>
            </w:r>
            <w:r w:rsidR="00DD6549" w:rsidRPr="00DD6549">
              <w:rPr>
                <w:rStyle w:val="af1"/>
                <w:sz w:val="18"/>
                <w:szCs w:val="18"/>
                <w:lang w:val="es-ES_tradnl"/>
              </w:rPr>
              <w:t>CAT</w:t>
            </w:r>
            <w:r w:rsidR="00DD6549" w:rsidRPr="00DD6549">
              <w:rPr>
                <w:rStyle w:val="af1"/>
                <w:sz w:val="18"/>
                <w:szCs w:val="18"/>
              </w:rPr>
              <w:t>/</w:t>
            </w:r>
            <w:r w:rsidR="00DD6549" w:rsidRPr="00DD6549">
              <w:rPr>
                <w:rStyle w:val="af1"/>
                <w:sz w:val="18"/>
                <w:szCs w:val="18"/>
                <w:lang w:val="es-ES_tradnl"/>
              </w:rPr>
              <w:t>C</w:t>
            </w:r>
            <w:r w:rsidR="00DD6549" w:rsidRPr="00DD6549">
              <w:rPr>
                <w:rStyle w:val="af1"/>
                <w:sz w:val="18"/>
                <w:szCs w:val="18"/>
              </w:rPr>
              <w:t>/</w:t>
            </w:r>
            <w:r w:rsidR="00DD6549" w:rsidRPr="00DD6549">
              <w:rPr>
                <w:rStyle w:val="af1"/>
                <w:sz w:val="18"/>
                <w:szCs w:val="18"/>
                <w:lang w:val="es-ES_tradnl"/>
              </w:rPr>
              <w:t>KOR</w:t>
            </w:r>
            <w:r w:rsidR="00DD6549" w:rsidRPr="00DD6549">
              <w:rPr>
                <w:rStyle w:val="af1"/>
                <w:sz w:val="18"/>
                <w:szCs w:val="18"/>
              </w:rPr>
              <w:t>/3-5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</w:tcPr>
          <w:p w:rsidR="005C7441" w:rsidRPr="009535FA" w:rsidRDefault="00D43468" w:rsidP="009535FA">
            <w:pPr>
              <w:spacing w:before="8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"http://undocs.org/ru/CAT/C/KOR/CO/3-5"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CAT/C/KOR/CO/3-5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  <w:tr w:rsidR="005C7441" w:rsidRPr="009535FA" w:rsidTr="009535FA">
        <w:trPr>
          <w:trHeight w:val="240"/>
        </w:trPr>
        <w:tc>
          <w:tcPr>
            <w:tcW w:w="1148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Пакистан</w:t>
            </w:r>
          </w:p>
        </w:tc>
        <w:tc>
          <w:tcPr>
            <w:tcW w:w="1736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Фелис Гаер</w:t>
            </w:r>
            <w:r w:rsidR="009535FA">
              <w:rPr>
                <w:sz w:val="18"/>
                <w:szCs w:val="18"/>
              </w:rPr>
              <w:br/>
            </w:r>
            <w:r w:rsidRPr="009535FA">
              <w:rPr>
                <w:sz w:val="18"/>
                <w:szCs w:val="18"/>
              </w:rPr>
              <w:t>Саадия Бельмир</w:t>
            </w:r>
          </w:p>
        </w:tc>
        <w:tc>
          <w:tcPr>
            <w:tcW w:w="2757" w:type="dxa"/>
          </w:tcPr>
          <w:p w:rsidR="005C7441" w:rsidRPr="009535FA" w:rsidRDefault="005C7441" w:rsidP="009535FA">
            <w:pPr>
              <w:rPr>
                <w:sz w:val="18"/>
                <w:szCs w:val="18"/>
              </w:rPr>
            </w:pPr>
            <w:r w:rsidRPr="009535FA">
              <w:rPr>
                <w:sz w:val="18"/>
                <w:szCs w:val="18"/>
              </w:rPr>
              <w:t>Первоначальный доклад (</w:t>
            </w:r>
            <w:r w:rsidR="00D43468">
              <w:fldChar w:fldCharType="begin"/>
            </w:r>
            <w:r w:rsidR="00D43468">
              <w:instrText xml:space="preserve"> HYPERLINK "http://undocs.org/en/CAT/C/PAK/1" </w:instrText>
            </w:r>
            <w:r w:rsidR="00D43468">
              <w:fldChar w:fldCharType="separate"/>
            </w:r>
            <w:r w:rsidR="00DD6549" w:rsidRPr="00DD6549">
              <w:rPr>
                <w:rStyle w:val="af1"/>
                <w:sz w:val="18"/>
                <w:szCs w:val="18"/>
                <w:lang w:val="es-ES_tradnl"/>
              </w:rPr>
              <w:t>CAT</w:t>
            </w:r>
            <w:r w:rsidR="00DD6549" w:rsidRPr="00DD6549">
              <w:rPr>
                <w:rStyle w:val="af1"/>
                <w:sz w:val="18"/>
                <w:szCs w:val="18"/>
              </w:rPr>
              <w:t>/</w:t>
            </w:r>
            <w:r w:rsidR="00DD6549" w:rsidRPr="00DD6549">
              <w:rPr>
                <w:rStyle w:val="af1"/>
                <w:sz w:val="18"/>
                <w:szCs w:val="18"/>
                <w:lang w:val="es-ES_tradnl"/>
              </w:rPr>
              <w:t>C</w:t>
            </w:r>
            <w:r w:rsidR="00DD6549" w:rsidRPr="00DD6549">
              <w:rPr>
                <w:rStyle w:val="af1"/>
                <w:sz w:val="18"/>
                <w:szCs w:val="18"/>
              </w:rPr>
              <w:t>/</w:t>
            </w:r>
            <w:r w:rsidR="00DD6549" w:rsidRPr="00DD6549">
              <w:rPr>
                <w:rStyle w:val="af1"/>
                <w:sz w:val="18"/>
                <w:szCs w:val="18"/>
                <w:lang w:val="es-ES_tradnl"/>
              </w:rPr>
              <w:t>PAK</w:t>
            </w:r>
            <w:r w:rsidR="00DD6549" w:rsidRPr="00DD6549">
              <w:rPr>
                <w:rStyle w:val="af1"/>
                <w:sz w:val="18"/>
                <w:szCs w:val="18"/>
              </w:rPr>
              <w:t>/1</w:t>
            </w:r>
            <w:r w:rsidR="00D43468">
              <w:rPr>
                <w:rStyle w:val="af1"/>
                <w:sz w:val="18"/>
                <w:szCs w:val="18"/>
              </w:rPr>
              <w:fldChar w:fldCharType="end"/>
            </w:r>
            <w:r w:rsidRPr="009535FA">
              <w:rPr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</w:tcPr>
          <w:p w:rsidR="005C7441" w:rsidRPr="009535FA" w:rsidRDefault="00D43468" w:rsidP="009535FA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"http://undocs.org/ru/CAT/C/PAK/CO/1" </w:instrText>
            </w:r>
            <w:r>
              <w:fldChar w:fldCharType="separate"/>
            </w:r>
            <w:r w:rsidR="005C7441" w:rsidRPr="009535FA">
              <w:rPr>
                <w:rStyle w:val="af1"/>
                <w:sz w:val="18"/>
                <w:szCs w:val="18"/>
              </w:rPr>
              <w:t>CAT/C/PAK/CO/1</w:t>
            </w:r>
            <w:r>
              <w:rPr>
                <w:rStyle w:val="af1"/>
                <w:sz w:val="18"/>
                <w:szCs w:val="18"/>
              </w:rPr>
              <w:fldChar w:fldCharType="end"/>
            </w:r>
          </w:p>
        </w:tc>
      </w:tr>
    </w:tbl>
    <w:p w:rsidR="005C7441" w:rsidRPr="005C7441" w:rsidRDefault="005C7441" w:rsidP="009535FA">
      <w:pPr>
        <w:pStyle w:val="SingleTxtGR"/>
        <w:spacing w:before="120"/>
      </w:pPr>
      <w:r w:rsidRPr="005C7441">
        <w:t>41.</w:t>
      </w:r>
      <w:r w:rsidRPr="005C7441">
        <w:tab/>
        <w:t>В соответствии с правилом 68 правил процедуры Комитета представит</w:t>
      </w:r>
      <w:r w:rsidRPr="005C7441">
        <w:t>е</w:t>
      </w:r>
      <w:r w:rsidRPr="005C7441">
        <w:t>лям всех государств, представивших доклады, было предложено присутствовать на заседаниях Комитета, на которых рассматривались их доклады. Все госуда</w:t>
      </w:r>
      <w:r w:rsidRPr="005C7441">
        <w:t>р</w:t>
      </w:r>
      <w:r w:rsidRPr="005C7441">
        <w:t>ства-участники, доклады которых рассматривались, направили представителей для участия в рассмотрении их соответствующих докладов. Комитет выразил свою признательность по этому поводу в сформулированных им заключител</w:t>
      </w:r>
      <w:r w:rsidRPr="005C7441">
        <w:t>ь</w:t>
      </w:r>
      <w:r w:rsidRPr="005C7441">
        <w:t>ных замечаниях.</w:t>
      </w:r>
    </w:p>
    <w:p w:rsidR="005C7441" w:rsidRPr="005C7441" w:rsidRDefault="005C7441" w:rsidP="005C7441">
      <w:pPr>
        <w:pStyle w:val="SingleTxtGR"/>
      </w:pPr>
      <w:r w:rsidRPr="005C7441">
        <w:t>42.</w:t>
      </w:r>
      <w:r w:rsidRPr="005C7441">
        <w:tab/>
        <w:t xml:space="preserve">Для каждого из </w:t>
      </w:r>
      <w:proofErr w:type="spellStart"/>
      <w:r w:rsidRPr="005C7441">
        <w:t>рассматривавшихся</w:t>
      </w:r>
      <w:proofErr w:type="spellEnd"/>
      <w:r w:rsidRPr="005C7441">
        <w:t xml:space="preserve"> докладов Комитетом были назначены два докладчика по стране, что отражено в приведенной выше таблице.</w:t>
      </w:r>
    </w:p>
    <w:p w:rsidR="005C7441" w:rsidRPr="005C7441" w:rsidRDefault="005C7441" w:rsidP="005826C3">
      <w:pPr>
        <w:pStyle w:val="HChGR"/>
      </w:pPr>
      <w:r w:rsidRPr="005C7441">
        <w:tab/>
        <w:t>IV.</w:t>
      </w:r>
      <w:r w:rsidRPr="005C7441">
        <w:tab/>
        <w:t>П</w:t>
      </w:r>
      <w:r w:rsidR="005826C3">
        <w:t>оследующая деятельность в связи</w:t>
      </w:r>
      <w:r w:rsidR="005826C3">
        <w:br/>
      </w:r>
      <w:r w:rsidRPr="005C7441">
        <w:t>с заключительными заме</w:t>
      </w:r>
      <w:r w:rsidR="005826C3">
        <w:t xml:space="preserve">чаниями </w:t>
      </w:r>
      <w:r w:rsidRPr="005C7441">
        <w:t>по докладам государств-участников</w:t>
      </w:r>
      <w:bookmarkStart w:id="21" w:name="_Toc485738206"/>
      <w:bookmarkEnd w:id="21"/>
    </w:p>
    <w:p w:rsidR="005C7441" w:rsidRPr="005C7441" w:rsidRDefault="005C7441" w:rsidP="005C7441">
      <w:pPr>
        <w:pStyle w:val="SingleTxtGR"/>
      </w:pPr>
      <w:r w:rsidRPr="005C7441">
        <w:t>43.</w:t>
      </w:r>
      <w:r w:rsidRPr="005C7441">
        <w:tab/>
      </w:r>
      <w:proofErr w:type="gramStart"/>
      <w:r w:rsidRPr="005C7441">
        <w:t>На своей тридцатой сессии в мае 2003 года Комитет разработал процед</w:t>
      </w:r>
      <w:r w:rsidRPr="005C7441">
        <w:t>у</w:t>
      </w:r>
      <w:r w:rsidRPr="005C7441">
        <w:t>ру последующей деятельности по итогам принятия заключительных замечаний по докладам государств-участников в соотв</w:t>
      </w:r>
      <w:r w:rsidR="005826C3">
        <w:t>етствии со статьей 19 Конвенции</w:t>
      </w:r>
      <w:r w:rsidRPr="003A4D4E">
        <w:rPr>
          <w:sz w:val="18"/>
          <w:vertAlign w:val="superscript"/>
        </w:rPr>
        <w:footnoteReference w:id="4"/>
      </w:r>
      <w:r w:rsidR="005826C3">
        <w:t>.</w:t>
      </w:r>
      <w:r w:rsidR="005826C3">
        <w:br/>
      </w:r>
      <w:r w:rsidRPr="005C7441">
        <w:t>В каждом из своих последующих годовых докладов Комитет представлял соо</w:t>
      </w:r>
      <w:r w:rsidRPr="005C7441">
        <w:t>т</w:t>
      </w:r>
      <w:r w:rsidRPr="005C7441">
        <w:t>ветствующие сведения, уделяя особое внимание опыту в деле получения и</w:t>
      </w:r>
      <w:r w:rsidRPr="005C7441">
        <w:t>н</w:t>
      </w:r>
      <w:r w:rsidRPr="005C7441">
        <w:t>формации о последующей деятельности, осуществляемой государствами-участниками, включая основные тенденции и дальнейшие изменения, внос</w:t>
      </w:r>
      <w:r w:rsidRPr="005C7441">
        <w:t>и</w:t>
      </w:r>
      <w:r w:rsidRPr="005C7441">
        <w:t>мые Комитетом в</w:t>
      </w:r>
      <w:proofErr w:type="gramEnd"/>
      <w:r w:rsidRPr="005C7441">
        <w:t xml:space="preserve"> свою процедуру. Более подробное описание этой процедуры можно найти в руководящих принципах последующей деятельности в связи с заключительными замечаниями, которые были утверждены Комитетом на его пятьд</w:t>
      </w:r>
      <w:r w:rsidR="005826C3">
        <w:t>есят пятой сессии (</w:t>
      </w:r>
      <w:r w:rsidR="00D43468">
        <w:fldChar w:fldCharType="begin"/>
      </w:r>
      <w:r w:rsidR="00D43468">
        <w:instrText xml:space="preserve"> HYPERLINK "http://undocs.org/ru/CAT/C/55/3" </w:instrText>
      </w:r>
      <w:r w:rsidR="00D43468">
        <w:fldChar w:fldCharType="separate"/>
      </w:r>
      <w:r w:rsidR="005826C3" w:rsidRPr="005826C3">
        <w:rPr>
          <w:rStyle w:val="af1"/>
        </w:rPr>
        <w:t>CAT/C/55/3</w:t>
      </w:r>
      <w:r w:rsidR="00D43468">
        <w:rPr>
          <w:rStyle w:val="af1"/>
        </w:rPr>
        <w:fldChar w:fldCharType="end"/>
      </w:r>
      <w:r w:rsidR="005826C3">
        <w:t>).</w:t>
      </w:r>
    </w:p>
    <w:p w:rsidR="005C7441" w:rsidRPr="005C7441" w:rsidRDefault="005C7441" w:rsidP="005C7441">
      <w:pPr>
        <w:pStyle w:val="SingleTxtGR"/>
      </w:pPr>
      <w:r w:rsidRPr="005C7441">
        <w:t>44.</w:t>
      </w:r>
      <w:r w:rsidRPr="005C7441">
        <w:tab/>
        <w:t>В соответствии со своими правилами процедуры Комитет на своей пят</w:t>
      </w:r>
      <w:r w:rsidRPr="005C7441">
        <w:t>ь</w:t>
      </w:r>
      <w:r w:rsidRPr="005C7441">
        <w:t>десят седьмо</w:t>
      </w:r>
      <w:r w:rsidR="00941118">
        <w:t>й сессии, состоявшейся в апреле–</w:t>
      </w:r>
      <w:r w:rsidRPr="005C7441">
        <w:t>мае 2016 года, назначил новым Докладчиком по вопросу о последующей деятельности в связи с заключител</w:t>
      </w:r>
      <w:r w:rsidRPr="005C7441">
        <w:t>ь</w:t>
      </w:r>
      <w:r w:rsidRPr="005C7441">
        <w:t>ными замечаниями г-на Хани. На пятьдесят восьмой, пятьдесят девятой и ш</w:t>
      </w:r>
      <w:r w:rsidRPr="005C7441">
        <w:t>е</w:t>
      </w:r>
      <w:r w:rsidRPr="005C7441">
        <w:t>стидесятой сессиях Докладчик представлял Комитету доклады о ходе работы по процедуре.</w:t>
      </w:r>
    </w:p>
    <w:p w:rsidR="005C7441" w:rsidRPr="005C7441" w:rsidRDefault="005C7441" w:rsidP="005C7441">
      <w:pPr>
        <w:pStyle w:val="SingleTxtGR"/>
      </w:pPr>
      <w:r w:rsidRPr="005C7441">
        <w:t>45.</w:t>
      </w:r>
      <w:r w:rsidRPr="005C7441">
        <w:tab/>
        <w:t>В период с мая 2003 года и до окон</w:t>
      </w:r>
      <w:r w:rsidR="005826C3">
        <w:t>чания шестидесятой сессии в мае</w:t>
      </w:r>
      <w:r w:rsidR="005826C3">
        <w:br/>
      </w:r>
      <w:r w:rsidRPr="005C7441">
        <w:t>2017 года Комитет рассмотрел 208 докладов государств-участников, по которым он вынес рекомендации в отношении последующей деятельности. Из 184 д</w:t>
      </w:r>
      <w:r w:rsidRPr="005C7441">
        <w:t>о</w:t>
      </w:r>
      <w:r w:rsidRPr="005C7441">
        <w:t xml:space="preserve">кладов о последующей деятельности, </w:t>
      </w:r>
      <w:r w:rsidR="005826C3">
        <w:t>которые подлежали представлению</w:t>
      </w:r>
      <w:r w:rsidR="005826C3">
        <w:br/>
      </w:r>
      <w:r w:rsidRPr="005C7441">
        <w:t xml:space="preserve">к 12 мая 2017 года, т.е. </w:t>
      </w:r>
      <w:r w:rsidR="00941118">
        <w:t xml:space="preserve">к </w:t>
      </w:r>
      <w:r w:rsidRPr="005C7441">
        <w:t>дате утверждения настоящего доклада, Комитетом б</w:t>
      </w:r>
      <w:r w:rsidRPr="005C7441">
        <w:t>ы</w:t>
      </w:r>
      <w:r w:rsidRPr="005C7441">
        <w:t xml:space="preserve">ло получено 138 докладов (75% от общего числа подлежавших представлению). </w:t>
      </w:r>
      <w:proofErr w:type="gramStart"/>
      <w:r w:rsidRPr="005C7441">
        <w:t>Информация о состоянии последующей деятельности отражена в таблице, с к</w:t>
      </w:r>
      <w:r w:rsidRPr="005C7441">
        <w:t>о</w:t>
      </w:r>
      <w:r w:rsidRPr="005C7441">
        <w:t>торой можно ознако</w:t>
      </w:r>
      <w:r w:rsidR="005826C3">
        <w:t>миться на веб-странице Комитета</w:t>
      </w:r>
      <w:r w:rsidRPr="003A4D4E">
        <w:rPr>
          <w:sz w:val="18"/>
          <w:vertAlign w:val="superscript"/>
        </w:rPr>
        <w:footnoteReference w:id="5"/>
      </w:r>
      <w:r w:rsidR="005826C3">
        <w:t>.</w:t>
      </w:r>
      <w:r w:rsidRPr="005C7441">
        <w:t xml:space="preserve"> На указанной веб-странице можно ознакомит</w:t>
      </w:r>
      <w:r w:rsidR="00941118">
        <w:t>ь</w:t>
      </w:r>
      <w:r w:rsidRPr="005C7441">
        <w:t>ся и с дополнительной информацией, в том числе с материалами, представленными государствами-участниками, сообщениями Д</w:t>
      </w:r>
      <w:r w:rsidRPr="005C7441">
        <w:t>о</w:t>
      </w:r>
      <w:r w:rsidRPr="005C7441">
        <w:t>кладчиков по вопросу о последующей деятельности, ответами государств-участников, а также докладами национальных правозащитных учреждений, НПО и других субъектов гражданского общества.</w:t>
      </w:r>
      <w:proofErr w:type="gramEnd"/>
    </w:p>
    <w:p w:rsidR="005C7441" w:rsidRPr="005C7441" w:rsidRDefault="005C7441" w:rsidP="005C7441">
      <w:pPr>
        <w:pStyle w:val="SingleTxtGR"/>
      </w:pPr>
      <w:r w:rsidRPr="005C7441">
        <w:t>46.</w:t>
      </w:r>
      <w:r w:rsidRPr="005C7441">
        <w:tab/>
        <w:t>По состоянию на 12 мая 2017 года следующие государства еще не пре</w:t>
      </w:r>
      <w:r w:rsidRPr="005C7441">
        <w:t>д</w:t>
      </w:r>
      <w:r w:rsidRPr="005C7441">
        <w:t>ставили подлежавшую представлению информацию о последующей деятельн</w:t>
      </w:r>
      <w:r w:rsidRPr="005C7441">
        <w:t>о</w:t>
      </w:r>
      <w:r w:rsidR="005826C3">
        <w:t>сти</w:t>
      </w:r>
      <w:r w:rsidRPr="003A4D4E">
        <w:rPr>
          <w:sz w:val="18"/>
          <w:vertAlign w:val="superscript"/>
        </w:rPr>
        <w:footnoteReference w:id="6"/>
      </w:r>
      <w:r w:rsidR="005826C3">
        <w:t xml:space="preserve">: </w:t>
      </w:r>
      <w:proofErr w:type="gramStart"/>
      <w:r w:rsidRPr="005C7441">
        <w:t>Албания (сорок восьмая сессия), Бенин (тридцать девятая), Боливия (Многонациональное Государство) (пятидесятая), Буркина-Фасо (пятьдесят первая), Венесуэла (Боливарианская Республика) (пятьдесят третья), Габон (с</w:t>
      </w:r>
      <w:r w:rsidRPr="005C7441">
        <w:t>о</w:t>
      </w:r>
      <w:r w:rsidRPr="005C7441">
        <w:t>рок девятая), Гана (сорок шестая), Гвинея (пятьдесят вторая), Демократическая Республика Конго (тридцать пятая), Джибути (сорок седьмая), Замбия (сорок</w:t>
      </w:r>
      <w:r w:rsidRPr="005C7441">
        <w:t>о</w:t>
      </w:r>
      <w:r w:rsidRPr="005C7441">
        <w:t>вая), Израиль (пятьдесят седьмая), Индонезия (сороковая), Иордания (пятьдесят шестая), Ирак (пятьдесят пятая), Йемен (сорок четвертая), Камбоджа (сорок пятая), Конго (пятьдесят четвертая), Коста-Рика (сороковая</w:t>
      </w:r>
      <w:proofErr w:type="gramEnd"/>
      <w:r w:rsidRPr="005C7441">
        <w:t xml:space="preserve">), </w:t>
      </w:r>
      <w:proofErr w:type="gramStart"/>
      <w:r w:rsidRPr="005C7441">
        <w:t>Куба (сорок вос</w:t>
      </w:r>
      <w:r w:rsidRPr="005C7441">
        <w:t>ь</w:t>
      </w:r>
      <w:r w:rsidRPr="005C7441">
        <w:t>мая), Кыргызстан (пятьдесят первая), Люксембург (пятьдесят четвертая), Мад</w:t>
      </w:r>
      <w:r w:rsidRPr="005C7441">
        <w:t>а</w:t>
      </w:r>
      <w:r w:rsidRPr="005C7441">
        <w:t>гаскар (сорок седьмая), Мозамбик (пятьдесят первая), Никарагуа (сорок вт</w:t>
      </w:r>
      <w:r w:rsidRPr="005C7441">
        <w:t>о</w:t>
      </w:r>
      <w:r w:rsidRPr="005C7441">
        <w:t>рая), Сальвадор (сорок третья), Сирийская Арабская Республика (сорок вос</w:t>
      </w:r>
      <w:r w:rsidRPr="005C7441">
        <w:t>ь</w:t>
      </w:r>
      <w:r w:rsidRPr="005C7441">
        <w:t>мая), Сьерра-Леоне (пятьдесят вторая), Уганда (тридцать четвертая), Филипп</w:t>
      </w:r>
      <w:r w:rsidRPr="005C7441">
        <w:t>и</w:t>
      </w:r>
      <w:r w:rsidRPr="005C7441">
        <w:t>ны (пятьдесят седьмая), Франция (пятьдесят седьмая),  Чад (сорок вторая), Эфиопия (сорок пятая),</w:t>
      </w:r>
      <w:r w:rsidR="00941118">
        <w:t xml:space="preserve"> </w:t>
      </w:r>
      <w:r w:rsidRPr="005C7441">
        <w:t>Южная Африка (тридцать седьмая) и Святой Престол (пятьдесят вторая).</w:t>
      </w:r>
      <w:proofErr w:type="gramEnd"/>
    </w:p>
    <w:p w:rsidR="005C7441" w:rsidRPr="005C7441" w:rsidRDefault="005C7441" w:rsidP="005C7441">
      <w:pPr>
        <w:pStyle w:val="SingleTxtGR"/>
      </w:pPr>
      <w:r w:rsidRPr="005C7441">
        <w:t>47.</w:t>
      </w:r>
      <w:r w:rsidRPr="005C7441">
        <w:tab/>
        <w:t>Каждому государству-участнику, информация о последующей деятельн</w:t>
      </w:r>
      <w:r w:rsidRPr="005C7441">
        <w:t>о</w:t>
      </w:r>
      <w:r w:rsidRPr="005C7441">
        <w:t>сти которого подлежит получению, но еще не была представлена, Докладчик направляет напоминания с просьбой представить отсутствующую информацию. В течение рассматриваемого периода Докладчик направил напоминания Иорд</w:t>
      </w:r>
      <w:r w:rsidRPr="005C7441">
        <w:t>а</w:t>
      </w:r>
      <w:r w:rsidRPr="005C7441">
        <w:t>нии, Ираку</w:t>
      </w:r>
      <w:r w:rsidR="005826C3">
        <w:t>, Колумбии, Конго и Люксембургу</w:t>
      </w:r>
      <w:r w:rsidRPr="003A4D4E">
        <w:rPr>
          <w:sz w:val="18"/>
          <w:vertAlign w:val="superscript"/>
        </w:rPr>
        <w:footnoteReference w:id="7"/>
      </w:r>
      <w:r w:rsidR="005826C3">
        <w:t>.</w:t>
      </w:r>
    </w:p>
    <w:p w:rsidR="005C7441" w:rsidRPr="005C7441" w:rsidRDefault="005C7441" w:rsidP="005C7441">
      <w:pPr>
        <w:pStyle w:val="SingleTxtGR"/>
      </w:pPr>
      <w:r w:rsidRPr="005C7441">
        <w:t>48.</w:t>
      </w:r>
      <w:r w:rsidRPr="005C7441">
        <w:tab/>
        <w:t>С 14 мая 2016 года по 12 мая 2017 года доклады о последующей деятел</w:t>
      </w:r>
      <w:r w:rsidRPr="005C7441">
        <w:t>ь</w:t>
      </w:r>
      <w:r w:rsidRPr="005C7441">
        <w:t xml:space="preserve">ности были получены от </w:t>
      </w:r>
      <w:r w:rsidR="005826C3">
        <w:t>следующих государств-участников</w:t>
      </w:r>
      <w:r w:rsidRPr="003A4D4E">
        <w:rPr>
          <w:sz w:val="18"/>
          <w:vertAlign w:val="superscript"/>
        </w:rPr>
        <w:footnoteReference w:id="8"/>
      </w:r>
      <w:r w:rsidR="005826C3">
        <w:t>,</w:t>
      </w:r>
      <w:r w:rsidRPr="005C7441">
        <w:t xml:space="preserve"> в порядке получ</w:t>
      </w:r>
      <w:r w:rsidRPr="005C7441">
        <w:t>е</w:t>
      </w:r>
      <w:r w:rsidRPr="005C7441">
        <w:t xml:space="preserve">ния: </w:t>
      </w:r>
      <w:proofErr w:type="gramStart"/>
      <w:r w:rsidRPr="005C7441">
        <w:t>Японии (</w:t>
      </w:r>
      <w:r w:rsidR="00D43468">
        <w:fldChar w:fldCharType="begin"/>
      </w:r>
      <w:r w:rsidR="00D43468">
        <w:instrText xml:space="preserve"> HYPERLINK "http://undocs.org/en/CAT/C/JPN/CO/2/Add.2" </w:instrText>
      </w:r>
      <w:r w:rsidR="00D43468">
        <w:fldChar w:fldCharType="separate"/>
      </w:r>
      <w:r w:rsidRPr="005826C3">
        <w:rPr>
          <w:rStyle w:val="af1"/>
        </w:rPr>
        <w:t>CAT/C/JPN/CO/2/Add.2</w:t>
      </w:r>
      <w:r w:rsidR="00D43468">
        <w:rPr>
          <w:rStyle w:val="af1"/>
        </w:rPr>
        <w:fldChar w:fldCharType="end"/>
      </w:r>
      <w:r w:rsidRPr="005C7441">
        <w:t>); Испании (</w:t>
      </w:r>
      <w:r w:rsidR="00D43468">
        <w:fldChar w:fldCharType="begin"/>
      </w:r>
      <w:r w:rsidR="00D43468">
        <w:instrText xml:space="preserve"> HYPERLINK "http://undocs.org/en/CAT/C/ESP/CO/6/Add.1" </w:instrText>
      </w:r>
      <w:r w:rsidR="00D43468">
        <w:fldChar w:fldCharType="separate"/>
      </w:r>
      <w:r w:rsidRPr="005826C3">
        <w:rPr>
          <w:rStyle w:val="af1"/>
        </w:rPr>
        <w:t>CAT/C/ESP/CO/6/Add.1</w:t>
      </w:r>
      <w:r w:rsidR="00D43468">
        <w:rPr>
          <w:rStyle w:val="af1"/>
        </w:rPr>
        <w:fldChar w:fldCharType="end"/>
      </w:r>
      <w:r w:rsidRPr="005C7441">
        <w:t>); Р</w:t>
      </w:r>
      <w:r w:rsidRPr="005C7441">
        <w:t>у</w:t>
      </w:r>
      <w:r w:rsidRPr="005C7441">
        <w:t>мынии (</w:t>
      </w:r>
      <w:r w:rsidR="00D43468">
        <w:fldChar w:fldCharType="begin"/>
      </w:r>
      <w:r w:rsidR="00D43468">
        <w:instrText xml:space="preserve"> HYPERLINK "http://undocs.org/en/CAT/C/ROU/CO/2/Add.1" </w:instrText>
      </w:r>
      <w:r w:rsidR="00D43468">
        <w:fldChar w:fldCharType="separate"/>
      </w:r>
      <w:r w:rsidRPr="005826C3">
        <w:rPr>
          <w:rStyle w:val="af1"/>
        </w:rPr>
        <w:t>CAT/C/ROU/CO/2/Add.1</w:t>
      </w:r>
      <w:r w:rsidR="00D43468">
        <w:rPr>
          <w:rStyle w:val="af1"/>
        </w:rPr>
        <w:fldChar w:fldCharType="end"/>
      </w:r>
      <w:r w:rsidRPr="005C7441">
        <w:t>); Новой Зеландии (</w:t>
      </w:r>
      <w:r w:rsidR="00D43468">
        <w:fldChar w:fldCharType="begin"/>
      </w:r>
      <w:r w:rsidR="00D43468">
        <w:instrText xml:space="preserve"> HYPERLINK "http://undocs.org/en/CAT/C/NZL/CO/6/Add.1" </w:instrText>
      </w:r>
      <w:r w:rsidR="00D43468">
        <w:fldChar w:fldCharType="separate"/>
      </w:r>
      <w:r w:rsidRPr="005826C3">
        <w:rPr>
          <w:rStyle w:val="af1"/>
        </w:rPr>
        <w:t>CAT/C/NZL/CO/6/Add.1</w:t>
      </w:r>
      <w:r w:rsidR="00D43468">
        <w:rPr>
          <w:rStyle w:val="af1"/>
        </w:rPr>
        <w:fldChar w:fldCharType="end"/>
      </w:r>
      <w:r w:rsidRPr="005C7441">
        <w:t>); Сербии (</w:t>
      </w:r>
      <w:r w:rsidR="00D43468">
        <w:fldChar w:fldCharType="begin"/>
      </w:r>
      <w:r w:rsidR="00D43468">
        <w:instrText xml:space="preserve"> HYPERLINK "http://undocs.org/en/CAT/C/SRB/CO/2/Add.1" </w:instrText>
      </w:r>
      <w:r w:rsidR="00D43468">
        <w:fldChar w:fldCharType="separate"/>
      </w:r>
      <w:r w:rsidRPr="005826C3">
        <w:rPr>
          <w:rStyle w:val="af1"/>
        </w:rPr>
        <w:t>CAT/C/SRB/CO/2/Add.1</w:t>
      </w:r>
      <w:r w:rsidR="00D43468">
        <w:rPr>
          <w:rStyle w:val="af1"/>
        </w:rPr>
        <w:fldChar w:fldCharType="end"/>
      </w:r>
      <w:r w:rsidRPr="005C7441">
        <w:t>); бывшей югославской Республики Македония (</w:t>
      </w:r>
      <w:r w:rsidR="00D43468">
        <w:fldChar w:fldCharType="begin"/>
      </w:r>
      <w:r w:rsidR="00D43468">
        <w:instrText xml:space="preserve"> HYPERLINK "http://undocs.org/en/CAT/C/MKD/CO/3/Add.1" </w:instrText>
      </w:r>
      <w:r w:rsidR="00D43468">
        <w:fldChar w:fldCharType="separate"/>
      </w:r>
      <w:r w:rsidRPr="005826C3">
        <w:rPr>
          <w:rStyle w:val="af1"/>
        </w:rPr>
        <w:t>CAT/C/MKD/CO/3/Add.1</w:t>
      </w:r>
      <w:r w:rsidR="00D43468">
        <w:rPr>
          <w:rStyle w:val="af1"/>
        </w:rPr>
        <w:fldChar w:fldCharType="end"/>
      </w:r>
      <w:r w:rsidRPr="005C7441">
        <w:t>);</w:t>
      </w:r>
      <w:proofErr w:type="gramEnd"/>
      <w:r w:rsidRPr="005C7441">
        <w:t xml:space="preserve"> </w:t>
      </w:r>
      <w:proofErr w:type="gramStart"/>
      <w:r w:rsidRPr="005C7441">
        <w:t>Республики Корея (в отношении Японии); Швейц</w:t>
      </w:r>
      <w:r w:rsidRPr="005C7441">
        <w:t>а</w:t>
      </w:r>
      <w:r w:rsidRPr="005C7441">
        <w:t>рии (</w:t>
      </w:r>
      <w:r w:rsidR="00D43468">
        <w:fldChar w:fldCharType="begin"/>
      </w:r>
      <w:r w:rsidR="00D43468">
        <w:instrText xml:space="preserve"> HYPERLINK "http://undocs.org/en/CAT/C/CHE/CO/7/Add.1" </w:instrText>
      </w:r>
      <w:r w:rsidR="00D43468">
        <w:fldChar w:fldCharType="separate"/>
      </w:r>
      <w:r w:rsidRPr="005826C3">
        <w:rPr>
          <w:rStyle w:val="af1"/>
        </w:rPr>
        <w:t>CAT/C/CHE/CO/7/Add.1</w:t>
      </w:r>
      <w:r w:rsidR="00D43468">
        <w:rPr>
          <w:rStyle w:val="af1"/>
        </w:rPr>
        <w:fldChar w:fldCharType="end"/>
      </w:r>
      <w:r w:rsidRPr="005C7441">
        <w:t>); Словакии (</w:t>
      </w:r>
      <w:r w:rsidR="00D43468">
        <w:fldChar w:fldCharType="begin"/>
      </w:r>
      <w:r w:rsidR="00D43468">
        <w:instrText xml:space="preserve"> HYPERLINK "http://undocs.org/en/CAT/C/SVK/CO/3/Add.1" </w:instrText>
      </w:r>
      <w:r w:rsidR="00D43468">
        <w:fldChar w:fldCharType="separate"/>
      </w:r>
      <w:r w:rsidRPr="005826C3">
        <w:rPr>
          <w:rStyle w:val="af1"/>
        </w:rPr>
        <w:t>CAT/C/SVK/CO/3/Add.1</w:t>
      </w:r>
      <w:r w:rsidR="00D43468">
        <w:rPr>
          <w:rStyle w:val="af1"/>
        </w:rPr>
        <w:fldChar w:fldCharType="end"/>
      </w:r>
      <w:r w:rsidRPr="005C7441">
        <w:t>); Колумбии (</w:t>
      </w:r>
      <w:r w:rsidR="00D43468">
        <w:fldChar w:fldCharType="begin"/>
      </w:r>
      <w:r w:rsidR="00D43468">
        <w:instrText xml:space="preserve"> HYPERLINK "http://undocs.org/en/CAT/C/COL/CO/5/Add.1" </w:instrText>
      </w:r>
      <w:r w:rsidR="00D43468">
        <w:fldChar w:fldCharType="separate"/>
      </w:r>
      <w:r w:rsidRPr="005826C3">
        <w:rPr>
          <w:rStyle w:val="af1"/>
        </w:rPr>
        <w:t>CAT/C/COL/CO/5/Add.1</w:t>
      </w:r>
      <w:r w:rsidR="00D43468">
        <w:rPr>
          <w:rStyle w:val="af1"/>
        </w:rPr>
        <w:fldChar w:fldCharType="end"/>
      </w:r>
      <w:r w:rsidRPr="005C7441">
        <w:t>); Бурунди (</w:t>
      </w:r>
      <w:r w:rsidR="00D43468">
        <w:fldChar w:fldCharType="begin"/>
      </w:r>
      <w:r w:rsidR="00D43468">
        <w:instrText xml:space="preserve"> HYPERLINK "http://undocs.org/en/CAT/C/BDI/CO/2/Add.2" </w:instrText>
      </w:r>
      <w:r w:rsidR="00D43468">
        <w:fldChar w:fldCharType="separate"/>
      </w:r>
      <w:r w:rsidRPr="005826C3">
        <w:rPr>
          <w:rStyle w:val="af1"/>
        </w:rPr>
        <w:t>CAT/C/BDI/CO/2/Add.2</w:t>
      </w:r>
      <w:r w:rsidR="00D43468">
        <w:rPr>
          <w:rStyle w:val="af1"/>
        </w:rPr>
        <w:fldChar w:fldCharType="end"/>
      </w:r>
      <w:r w:rsidRPr="005C7441">
        <w:t>); Турции (</w:t>
      </w:r>
      <w:r w:rsidR="00D43468">
        <w:fldChar w:fldCharType="begin"/>
      </w:r>
      <w:r w:rsidR="00D43468">
        <w:instrText xml:space="preserve"> HYPERLINK "http://undocs.org/ru/CAT/C/TUR/CO/4/Add.1и%20Add.2" </w:instrText>
      </w:r>
      <w:r w:rsidR="00D43468">
        <w:fldChar w:fldCharType="separate"/>
      </w:r>
      <w:r w:rsidRPr="005826C3">
        <w:rPr>
          <w:rStyle w:val="af1"/>
        </w:rPr>
        <w:t>CAT/C/</w:t>
      </w:r>
      <w:r w:rsidR="005826C3">
        <w:rPr>
          <w:rStyle w:val="af1"/>
        </w:rPr>
        <w:t xml:space="preserve"> </w:t>
      </w:r>
      <w:r w:rsidRPr="005826C3">
        <w:rPr>
          <w:rStyle w:val="af1"/>
        </w:rPr>
        <w:t>TUR/CO/4/Add.1</w:t>
      </w:r>
      <w:r w:rsidR="005826C3">
        <w:rPr>
          <w:rStyle w:val="af1"/>
        </w:rPr>
        <w:t xml:space="preserve"> </w:t>
      </w:r>
      <w:r w:rsidRPr="005826C3">
        <w:rPr>
          <w:rStyle w:val="af1"/>
          <w:color w:val="auto"/>
        </w:rPr>
        <w:t>и</w:t>
      </w:r>
      <w:r w:rsidRPr="005826C3">
        <w:rPr>
          <w:rStyle w:val="af1"/>
        </w:rPr>
        <w:t xml:space="preserve"> Add.2</w:t>
      </w:r>
      <w:r w:rsidR="00D43468">
        <w:rPr>
          <w:rStyle w:val="af1"/>
        </w:rPr>
        <w:fldChar w:fldCharType="end"/>
      </w:r>
      <w:r w:rsidRPr="005C7441">
        <w:t>); Азербайджана (</w:t>
      </w:r>
      <w:r w:rsidR="00D43468">
        <w:fldChar w:fldCharType="begin"/>
      </w:r>
      <w:r w:rsidR="00D43468">
        <w:instrText xml:space="preserve"> HYPERLINK "http://undocs.org/ru/CAT/C/AZE/CO/4/Add.1" </w:instrText>
      </w:r>
      <w:r w:rsidR="00D43468">
        <w:fldChar w:fldCharType="separate"/>
      </w:r>
      <w:r w:rsidRPr="005826C3">
        <w:rPr>
          <w:rStyle w:val="af1"/>
        </w:rPr>
        <w:t>CAT/C/AZE/CO/4/Add.1</w:t>
      </w:r>
      <w:r w:rsidR="00D43468">
        <w:rPr>
          <w:rStyle w:val="af1"/>
        </w:rPr>
        <w:fldChar w:fldCharType="end"/>
      </w:r>
      <w:r w:rsidRPr="005C7441">
        <w:t>);</w:t>
      </w:r>
      <w:proofErr w:type="gramEnd"/>
      <w:r w:rsidRPr="005C7441">
        <w:t xml:space="preserve"> Австрии (</w:t>
      </w:r>
      <w:proofErr w:type="gramStart"/>
      <w:r w:rsidR="00D43468">
        <w:fldChar w:fldCharType="begin"/>
      </w:r>
      <w:r w:rsidR="00D43468">
        <w:instrText xml:space="preserve"> HYPERLINK "http://undocs.org/ru/CAT/C/АUS/6/Add.1" </w:instrText>
      </w:r>
      <w:r w:rsidR="00D43468">
        <w:fldChar w:fldCharType="separate"/>
      </w:r>
      <w:r w:rsidRPr="005826C3">
        <w:rPr>
          <w:rStyle w:val="af1"/>
        </w:rPr>
        <w:t>CAT/C/АUS/6/Add.1</w:t>
      </w:r>
      <w:r w:rsidR="00D43468">
        <w:rPr>
          <w:rStyle w:val="af1"/>
        </w:rPr>
        <w:fldChar w:fldCharType="end"/>
      </w:r>
      <w:proofErr w:type="gramEnd"/>
      <w:r w:rsidRPr="005C7441">
        <w:t>); Дании (</w:t>
      </w:r>
      <w:r w:rsidR="00D43468">
        <w:fldChar w:fldCharType="begin"/>
      </w:r>
      <w:r w:rsidR="00D43468">
        <w:instrText xml:space="preserve"> HYPERLINK "http://undocs.org/ru/CAT/C/DNK/6-7/Add.1" </w:instrText>
      </w:r>
      <w:r w:rsidR="00D43468">
        <w:fldChar w:fldCharType="separate"/>
      </w:r>
      <w:r w:rsidRPr="005826C3">
        <w:rPr>
          <w:rStyle w:val="af1"/>
        </w:rPr>
        <w:t>CAT/C/DNK/6-7/Add.1</w:t>
      </w:r>
      <w:r w:rsidR="00D43468">
        <w:rPr>
          <w:rStyle w:val="af1"/>
        </w:rPr>
        <w:fldChar w:fldCharType="end"/>
      </w:r>
      <w:r w:rsidRPr="005C7441">
        <w:t>); Лихтенштейна (</w:t>
      </w:r>
      <w:r w:rsidR="00D43468">
        <w:fldChar w:fldCharType="begin"/>
      </w:r>
      <w:r w:rsidR="00D43468">
        <w:instrText xml:space="preserve"> HYPERLINK "http://undocs.org/en/CAT/C/LIE/CO/4/Add.1" </w:instrText>
      </w:r>
      <w:r w:rsidR="00D43468">
        <w:fldChar w:fldCharType="separate"/>
      </w:r>
      <w:r w:rsidRPr="005826C3">
        <w:rPr>
          <w:rStyle w:val="af1"/>
        </w:rPr>
        <w:t>CAT/C/</w:t>
      </w:r>
      <w:r w:rsidR="005826C3">
        <w:rPr>
          <w:rStyle w:val="af1"/>
        </w:rPr>
        <w:t xml:space="preserve"> </w:t>
      </w:r>
      <w:r w:rsidRPr="005826C3">
        <w:rPr>
          <w:rStyle w:val="af1"/>
        </w:rPr>
        <w:t>LIE/CO/4/Add.1</w:t>
      </w:r>
      <w:r w:rsidR="00D43468">
        <w:rPr>
          <w:rStyle w:val="af1"/>
        </w:rPr>
        <w:fldChar w:fldCharType="end"/>
      </w:r>
      <w:r w:rsidRPr="005C7441">
        <w:t>); Казахстана (</w:t>
      </w:r>
      <w:r w:rsidR="00D43468">
        <w:fldChar w:fldCharType="begin"/>
      </w:r>
      <w:r w:rsidR="00D43468">
        <w:instrText xml:space="preserve"> HYPERLINK "http://undocs.org/ru/CAT/C/KAZ/CO/3/Add.2" </w:instrText>
      </w:r>
      <w:r w:rsidR="00D43468">
        <w:fldChar w:fldCharType="separate"/>
      </w:r>
      <w:r w:rsidRPr="005826C3">
        <w:rPr>
          <w:rStyle w:val="af1"/>
        </w:rPr>
        <w:t>CAT/C/KAZ/CO/3/Add.2</w:t>
      </w:r>
      <w:r w:rsidR="00D43468">
        <w:rPr>
          <w:rStyle w:val="af1"/>
        </w:rPr>
        <w:fldChar w:fldCharType="end"/>
      </w:r>
      <w:r w:rsidRPr="005C7441">
        <w:t>); Китая (</w:t>
      </w:r>
      <w:r w:rsidR="00D43468">
        <w:fldChar w:fldCharType="begin"/>
      </w:r>
      <w:r w:rsidR="00D43468">
        <w:instrText xml:space="preserve"> HYPERLINK "http://undocs.org/en/CAT/C/CHN/CO/5/Add.1" </w:instrText>
      </w:r>
      <w:r w:rsidR="00D43468">
        <w:fldChar w:fldCharType="separate"/>
      </w:r>
      <w:r w:rsidRPr="005826C3">
        <w:rPr>
          <w:rStyle w:val="af1"/>
        </w:rPr>
        <w:t>CAT/C/CHN/</w:t>
      </w:r>
      <w:r w:rsidR="00FA2857">
        <w:rPr>
          <w:rStyle w:val="af1"/>
        </w:rPr>
        <w:t xml:space="preserve"> </w:t>
      </w:r>
      <w:r w:rsidRPr="005826C3">
        <w:rPr>
          <w:rStyle w:val="af1"/>
        </w:rPr>
        <w:t>CO/5/Add.1</w:t>
      </w:r>
      <w:r w:rsidR="00D43468">
        <w:rPr>
          <w:rStyle w:val="af1"/>
        </w:rPr>
        <w:fldChar w:fldCharType="end"/>
      </w:r>
      <w:r w:rsidRPr="005C7441">
        <w:t>); Гонконга, Китай (</w:t>
      </w:r>
      <w:r w:rsidR="00D43468">
        <w:fldChar w:fldCharType="begin"/>
      </w:r>
      <w:r w:rsidR="00D43468">
        <w:instrText xml:space="preserve"> HYPERLINK "http://undocs.org/ru/CAT/C/CHN-HNK/CO/5/Add.1" </w:instrText>
      </w:r>
      <w:r w:rsidR="00D43468">
        <w:fldChar w:fldCharType="separate"/>
      </w:r>
      <w:r w:rsidRPr="005826C3">
        <w:rPr>
          <w:rStyle w:val="af1"/>
        </w:rPr>
        <w:t>CAT/C/CHN-HNK/CO/5/Add.1</w:t>
      </w:r>
      <w:r w:rsidR="00D43468">
        <w:rPr>
          <w:rStyle w:val="af1"/>
        </w:rPr>
        <w:fldChar w:fldCharType="end"/>
      </w:r>
      <w:r w:rsidRPr="005C7441">
        <w:t>) и Макао, Китай (</w:t>
      </w:r>
      <w:r w:rsidR="00D43468">
        <w:fldChar w:fldCharType="begin"/>
      </w:r>
      <w:r w:rsidR="00D43468">
        <w:instrText xml:space="preserve"> HYPERLINK "http://undocs.org/ru/CAT/C/CHN-MAC/CO/5/Add.1" </w:instrText>
      </w:r>
      <w:r w:rsidR="00D43468">
        <w:fldChar w:fldCharType="separate"/>
      </w:r>
      <w:r w:rsidRPr="005826C3">
        <w:rPr>
          <w:rStyle w:val="af1"/>
        </w:rPr>
        <w:t>CAT/C/CHN-MAC/CO/5/Add.1</w:t>
      </w:r>
      <w:r w:rsidR="00D43468">
        <w:rPr>
          <w:rStyle w:val="af1"/>
        </w:rPr>
        <w:fldChar w:fldCharType="end"/>
      </w:r>
      <w:r w:rsidRPr="005C7441">
        <w:t xml:space="preserve">); </w:t>
      </w:r>
      <w:proofErr w:type="gramStart"/>
      <w:r w:rsidRPr="005C7441">
        <w:t>Португалии (</w:t>
      </w:r>
      <w:r w:rsidR="00D43468">
        <w:fldChar w:fldCharType="begin"/>
      </w:r>
      <w:r w:rsidR="00D43468">
        <w:instrText xml:space="preserve"> HYPERLINK "http://undocs.org/en/CAT/C/PRT/CO/5-6/Add.3" </w:instrText>
      </w:r>
      <w:r w:rsidR="00D43468">
        <w:fldChar w:fldCharType="separate"/>
      </w:r>
      <w:r w:rsidRPr="005826C3">
        <w:rPr>
          <w:rStyle w:val="af1"/>
        </w:rPr>
        <w:t>CAT/C/PRT/CO/5-6/Add.3</w:t>
      </w:r>
      <w:r w:rsidR="00D43468">
        <w:rPr>
          <w:rStyle w:val="af1"/>
        </w:rPr>
        <w:fldChar w:fldCharType="end"/>
      </w:r>
      <w:r w:rsidRPr="005C7441">
        <w:t>); Хо</w:t>
      </w:r>
      <w:r w:rsidRPr="005C7441">
        <w:t>р</w:t>
      </w:r>
      <w:r w:rsidRPr="005C7441">
        <w:t>ватии (</w:t>
      </w:r>
      <w:r w:rsidR="00D43468">
        <w:fldChar w:fldCharType="begin"/>
      </w:r>
      <w:r w:rsidR="00D43468">
        <w:instrText xml:space="preserve"> HYPERLINK "http://undocs.org/en/CAT/C/HRV/CO/4-5/Add.3" </w:instrText>
      </w:r>
      <w:r w:rsidR="00D43468">
        <w:fldChar w:fldCharType="separate"/>
      </w:r>
      <w:r w:rsidRPr="005826C3">
        <w:rPr>
          <w:rStyle w:val="af1"/>
        </w:rPr>
        <w:t>CAT/C/HRV/CO/4-5/Add.3</w:t>
      </w:r>
      <w:r w:rsidR="00D43468">
        <w:rPr>
          <w:rStyle w:val="af1"/>
        </w:rPr>
        <w:fldChar w:fldCharType="end"/>
      </w:r>
      <w:r w:rsidRPr="005C7441">
        <w:t>); Украины (</w:t>
      </w:r>
      <w:r w:rsidR="00D43468">
        <w:fldChar w:fldCharType="begin"/>
      </w:r>
      <w:r w:rsidR="00D43468">
        <w:instrText xml:space="preserve"> HYPERLINK "http://undocs.org/en/CAT/C/UKR/CO/6/Add.2" </w:instrText>
      </w:r>
      <w:r w:rsidR="00D43468">
        <w:fldChar w:fldCharType="separate"/>
      </w:r>
      <w:r w:rsidRPr="005826C3">
        <w:rPr>
          <w:rStyle w:val="af1"/>
        </w:rPr>
        <w:t>CAT/C/UKR/CO/6/Add.2</w:t>
      </w:r>
      <w:r w:rsidR="00D43468">
        <w:rPr>
          <w:rStyle w:val="af1"/>
        </w:rPr>
        <w:fldChar w:fldCharType="end"/>
      </w:r>
      <w:r w:rsidRPr="005C7441">
        <w:t xml:space="preserve">); </w:t>
      </w:r>
      <w:proofErr w:type="spellStart"/>
      <w:r w:rsidRPr="005C7441">
        <w:t>Кувей</w:t>
      </w:r>
      <w:proofErr w:type="spellEnd"/>
      <w:r w:rsidR="005826C3">
        <w:t>-</w:t>
      </w:r>
      <w:r w:rsidRPr="005C7441">
        <w:t>та (</w:t>
      </w:r>
      <w:r w:rsidR="00D43468">
        <w:fldChar w:fldCharType="begin"/>
      </w:r>
      <w:r w:rsidR="00D43468">
        <w:instrText xml:space="preserve"> HYPERLINK "http://undocs.org/ru/CAT/C/KWT/CO/3/Add.1" </w:instrText>
      </w:r>
      <w:r w:rsidR="00D43468">
        <w:fldChar w:fldCharType="separate"/>
      </w:r>
      <w:r w:rsidRPr="005826C3">
        <w:rPr>
          <w:rStyle w:val="af1"/>
        </w:rPr>
        <w:t>CAT/C/KWT/CO/3/Add.1</w:t>
      </w:r>
      <w:r w:rsidR="00D43468">
        <w:rPr>
          <w:rStyle w:val="af1"/>
        </w:rPr>
        <w:fldChar w:fldCharType="end"/>
      </w:r>
      <w:r w:rsidRPr="005C7441">
        <w:t>); Саудовской Аравии (</w:t>
      </w:r>
      <w:r w:rsidR="00D43468">
        <w:fldChar w:fldCharType="begin"/>
      </w:r>
      <w:r w:rsidR="00D43468">
        <w:instrText xml:space="preserve"> HYPERLINK "http://undocs.org/ru/CAT/C/SAU/CO/2/Add.1" </w:instrText>
      </w:r>
      <w:r w:rsidR="00D43468">
        <w:fldChar w:fldCharType="separate"/>
      </w:r>
      <w:r w:rsidRPr="005826C3">
        <w:rPr>
          <w:rStyle w:val="af1"/>
        </w:rPr>
        <w:t>CAT/C/SAU/CO/2/Add.1</w:t>
      </w:r>
      <w:r w:rsidR="00D43468">
        <w:rPr>
          <w:rStyle w:val="af1"/>
        </w:rPr>
        <w:fldChar w:fldCharType="end"/>
      </w:r>
      <w:r w:rsidRPr="005C7441">
        <w:t>); Франции (</w:t>
      </w:r>
      <w:r w:rsidR="00D43468">
        <w:fldChar w:fldCharType="begin"/>
      </w:r>
      <w:r w:rsidR="00D43468">
        <w:instrText xml:space="preserve"> HYPERLINK "http://undocs.org/en/CAT/C/FRA/CO/7/Add.1" </w:instrText>
      </w:r>
      <w:r w:rsidR="00D43468">
        <w:fldChar w:fldCharType="separate"/>
      </w:r>
      <w:r w:rsidRPr="005826C3">
        <w:rPr>
          <w:rStyle w:val="af1"/>
        </w:rPr>
        <w:t>CAT/C/FRA/CO/7/Add.1</w:t>
      </w:r>
      <w:r w:rsidR="00D43468">
        <w:rPr>
          <w:rStyle w:val="af1"/>
        </w:rPr>
        <w:fldChar w:fldCharType="end"/>
      </w:r>
      <w:r w:rsidRPr="005C7441">
        <w:t>); и Туниса (</w:t>
      </w:r>
      <w:r w:rsidR="00D43468">
        <w:fldChar w:fldCharType="begin"/>
      </w:r>
      <w:r w:rsidR="00D43468">
        <w:instrText xml:space="preserve"> HYPERLINK "http://undocs.org/ru/CAT/C/TUN/CO/3/Add.1" </w:instrText>
      </w:r>
      <w:r w:rsidR="00D43468">
        <w:fldChar w:fldCharType="separate"/>
      </w:r>
      <w:r w:rsidRPr="005826C3">
        <w:rPr>
          <w:rStyle w:val="af1"/>
        </w:rPr>
        <w:t>CAT/C/TUN/CO/3/Add.1</w:t>
      </w:r>
      <w:r w:rsidR="00D43468">
        <w:rPr>
          <w:rStyle w:val="af1"/>
        </w:rPr>
        <w:fldChar w:fldCharType="end"/>
      </w:r>
      <w:r w:rsidR="005826C3">
        <w:t>)</w:t>
      </w:r>
      <w:r w:rsidRPr="003A4D4E">
        <w:rPr>
          <w:sz w:val="18"/>
          <w:vertAlign w:val="superscript"/>
        </w:rPr>
        <w:footnoteReference w:id="9"/>
      </w:r>
      <w:r w:rsidR="005826C3">
        <w:t>.</w:t>
      </w:r>
      <w:proofErr w:type="gramEnd"/>
    </w:p>
    <w:p w:rsidR="005C7441" w:rsidRPr="005C7441" w:rsidRDefault="005C7441" w:rsidP="005C7441">
      <w:pPr>
        <w:pStyle w:val="SingleTxtGR"/>
      </w:pPr>
      <w:r w:rsidRPr="005C7441">
        <w:t>49.</w:t>
      </w:r>
      <w:r w:rsidRPr="005C7441">
        <w:tab/>
        <w:t>Докладчик выражает признательность за информацию, представленную этими государствами-участниками относительно мер, которые принимаются в целях выполнения их обязательств по Конвенции. Полученные ответы он оц</w:t>
      </w:r>
      <w:r w:rsidRPr="005C7441">
        <w:t>е</w:t>
      </w:r>
      <w:r w:rsidRPr="005C7441">
        <w:t>нивает, чтобы выяснить: на все ли вопросы, поднятые Комитетом в контексте последующей деятельности, государство-участник дало ответы и учтены ли в представленной информации озабоченности и рекомендации Комитета. После получения и оценки докладов государств-участников Докладчик направляет им сообщения в рамках процедуры принятия последующих мер. В этих сообщен</w:t>
      </w:r>
      <w:r w:rsidRPr="005C7441">
        <w:t>и</w:t>
      </w:r>
      <w:r w:rsidRPr="005C7441">
        <w:t>ях отражаются результаты анализа, проведенного Докладчиком, перечисляются вопросы, ожидающие своего ответа, и указываются сроки, в которые его надлежит представить.</w:t>
      </w:r>
    </w:p>
    <w:p w:rsidR="005C7441" w:rsidRPr="005C7441" w:rsidRDefault="005C7441" w:rsidP="005C7441">
      <w:pPr>
        <w:pStyle w:val="SingleTxtGR"/>
      </w:pPr>
      <w:r w:rsidRPr="005C7441">
        <w:t>50.</w:t>
      </w:r>
      <w:r w:rsidRPr="005C7441">
        <w:tab/>
        <w:t>Докладчик также выражает признательность за информацию, предста</w:t>
      </w:r>
      <w:r w:rsidRPr="005C7441">
        <w:t>в</w:t>
      </w:r>
      <w:r w:rsidRPr="005C7441">
        <w:t>ленную в рамках процедуры последующей деятельности национальными пр</w:t>
      </w:r>
      <w:r w:rsidRPr="005C7441">
        <w:t>а</w:t>
      </w:r>
      <w:r w:rsidRPr="005C7441">
        <w:t>возащитными учреждениями, правозащитными НПО и группами гражданского общества. По состоянию на 12 мая 2017 года Комитет получил из таких исто</w:t>
      </w:r>
      <w:r w:rsidRPr="005C7441">
        <w:t>ч</w:t>
      </w:r>
      <w:r w:rsidRPr="005C7441">
        <w:t>ников доклады о последующей деятельности в отношении следующих гос</w:t>
      </w:r>
      <w:r w:rsidRPr="005C7441">
        <w:t>у</w:t>
      </w:r>
      <w:r w:rsidRPr="005C7441">
        <w:t xml:space="preserve">дарств-участников, в порядке получения: </w:t>
      </w:r>
      <w:proofErr w:type="gramStart"/>
      <w:r w:rsidRPr="005C7441">
        <w:t>Франции, Украины, Колумбии, М</w:t>
      </w:r>
      <w:r w:rsidRPr="005C7441">
        <w:t>о</w:t>
      </w:r>
      <w:r w:rsidRPr="005C7441">
        <w:t>замбика, Турции, Макао, Китай и Гонконга, Китай, Дании, Венесуэлы (Болив</w:t>
      </w:r>
      <w:r w:rsidRPr="005C7441">
        <w:t>а</w:t>
      </w:r>
      <w:r w:rsidRPr="005C7441">
        <w:t>рианской Республики) и Азербайджана, а также еще один представленный м</w:t>
      </w:r>
      <w:r w:rsidRPr="005C7441">
        <w:t>а</w:t>
      </w:r>
      <w:r w:rsidR="005826C3">
        <w:t>териал в отношении Франции</w:t>
      </w:r>
      <w:r w:rsidRPr="003A4D4E">
        <w:rPr>
          <w:sz w:val="18"/>
          <w:vertAlign w:val="superscript"/>
        </w:rPr>
        <w:footnoteReference w:id="10"/>
      </w:r>
      <w:r w:rsidR="005826C3">
        <w:t>.</w:t>
      </w:r>
      <w:proofErr w:type="gramEnd"/>
    </w:p>
    <w:p w:rsidR="005C7441" w:rsidRPr="005C7441" w:rsidRDefault="005C7441" w:rsidP="005C7441">
      <w:pPr>
        <w:pStyle w:val="SingleTxtGR"/>
      </w:pPr>
      <w:r w:rsidRPr="005C7441">
        <w:t>51.</w:t>
      </w:r>
      <w:r w:rsidRPr="005C7441">
        <w:tab/>
        <w:t>На пятьдесят восьмой, пятьдесят девятой и шестидесятой сессиях, как и на предыдущих сессиях, Докладчик по последующей деятельности в связи с заключительными замечаниями представил Комитету доклады о ходе</w:t>
      </w:r>
      <w:r w:rsidR="005826C3">
        <w:t xml:space="preserve"> работы по этой процедуре.</w:t>
      </w:r>
    </w:p>
    <w:p w:rsidR="005C7441" w:rsidRPr="005C7441" w:rsidRDefault="005C7441" w:rsidP="005826C3">
      <w:pPr>
        <w:pStyle w:val="HChGR"/>
      </w:pPr>
      <w:r w:rsidRPr="005C7441">
        <w:tab/>
        <w:t>V.</w:t>
      </w:r>
      <w:r w:rsidRPr="005C7441">
        <w:tab/>
        <w:t>Деятельность Комитета в соответствии со статьей 20 Конвенции</w:t>
      </w:r>
      <w:bookmarkStart w:id="22" w:name="_Toc485738207"/>
      <w:bookmarkEnd w:id="22"/>
    </w:p>
    <w:p w:rsidR="005C7441" w:rsidRPr="005C7441" w:rsidRDefault="005C7441" w:rsidP="005C7441">
      <w:pPr>
        <w:pStyle w:val="SingleTxtGR"/>
      </w:pPr>
      <w:r w:rsidRPr="005C7441">
        <w:t>52.</w:t>
      </w:r>
      <w:r w:rsidRPr="005C7441">
        <w:tab/>
        <w:t>В соответствии с пунктом 1 статьи 20 Конвенции, если Комитет получает достоверную информацию, которая, как представляется, содержит вполне обоснованные данные о систематическом применении пыток на территории к</w:t>
      </w:r>
      <w:r w:rsidRPr="005C7441">
        <w:t>а</w:t>
      </w:r>
      <w:r w:rsidRPr="005C7441">
        <w:t>кого-либо государства-участника, то Комитет предлагает этому государству-участнику сотрудничать в рассмотрении этой информации и с этой целью пре</w:t>
      </w:r>
      <w:r w:rsidRPr="005C7441">
        <w:t>д</w:t>
      </w:r>
      <w:r w:rsidRPr="005C7441">
        <w:t>ставить свои замечания в отношении данной информации.</w:t>
      </w:r>
    </w:p>
    <w:p w:rsidR="005C7441" w:rsidRPr="005C7441" w:rsidRDefault="005C7441" w:rsidP="005C7441">
      <w:pPr>
        <w:pStyle w:val="SingleTxtGR"/>
      </w:pPr>
      <w:r w:rsidRPr="005C7441">
        <w:t>53.</w:t>
      </w:r>
      <w:r w:rsidRPr="005C7441">
        <w:tab/>
        <w:t>Согласно правилу 75 правил процедуры Комитета</w:t>
      </w:r>
      <w:r w:rsidR="00941118">
        <w:t>,</w:t>
      </w:r>
      <w:r w:rsidRPr="005C7441">
        <w:t xml:space="preserve"> Генеральный секр</w:t>
      </w:r>
      <w:r w:rsidRPr="005C7441">
        <w:t>е</w:t>
      </w:r>
      <w:r w:rsidRPr="005C7441">
        <w:t>тарь доводит до сведения Комитета информацию, которая представлена или считается представленной для рассмотрения Комитетом в соответствии с пун</w:t>
      </w:r>
      <w:r w:rsidRPr="005C7441">
        <w:t>к</w:t>
      </w:r>
      <w:r w:rsidRPr="005C7441">
        <w:t>том 1 статьи 20 Конвенции.</w:t>
      </w:r>
    </w:p>
    <w:p w:rsidR="005C7441" w:rsidRPr="005C7441" w:rsidRDefault="005C7441" w:rsidP="005C7441">
      <w:pPr>
        <w:pStyle w:val="SingleTxtGR"/>
      </w:pPr>
      <w:r w:rsidRPr="005C7441">
        <w:t>54.</w:t>
      </w:r>
      <w:r w:rsidRPr="005C7441">
        <w:tab/>
      </w:r>
      <w:proofErr w:type="gramStart"/>
      <w:r w:rsidRPr="005C7441">
        <w:t>Комитет не принимает никакую информацию, если она касается госуда</w:t>
      </w:r>
      <w:r w:rsidRPr="005C7441">
        <w:t>р</w:t>
      </w:r>
      <w:r w:rsidRPr="005C7441">
        <w:t>ства-участника, которое в соответствии с пунктом 1 статьи 28 Конвенции при ратификации Конвенции или присоединении к ней заявило, что оно не признает компетенцию Комитета, предусмотренную в статье 20, если только это госуда</w:t>
      </w:r>
      <w:r w:rsidRPr="005C7441">
        <w:t>р</w:t>
      </w:r>
      <w:r w:rsidRPr="005C7441">
        <w:t>ство-участник впоследствии не сняло свою ог</w:t>
      </w:r>
      <w:r w:rsidR="00FA2857">
        <w:t>оворку в соответствии с пун</w:t>
      </w:r>
      <w:r w:rsidR="00FA2857">
        <w:t>к</w:t>
      </w:r>
      <w:r w:rsidR="00FA2857">
        <w:t>том </w:t>
      </w:r>
      <w:r w:rsidRPr="005C7441">
        <w:t>2 статьи 28 Конвенции.</w:t>
      </w:r>
      <w:proofErr w:type="gramEnd"/>
    </w:p>
    <w:p w:rsidR="005C7441" w:rsidRPr="005C7441" w:rsidRDefault="005C7441" w:rsidP="005C7441">
      <w:pPr>
        <w:pStyle w:val="SingleTxtGR"/>
      </w:pPr>
      <w:r w:rsidRPr="005C7441">
        <w:t>55.</w:t>
      </w:r>
      <w:r w:rsidRPr="005C7441">
        <w:tab/>
        <w:t>В течение рассматриваемого периода работа Комитета в соответствии со статьей 20 Конвенции продолжалась. Согласно положениям статьи 20 и прав</w:t>
      </w:r>
      <w:r w:rsidRPr="005C7441">
        <w:t>и</w:t>
      </w:r>
      <w:r w:rsidRPr="005C7441">
        <w:t>лам 78 и 79 правил процедуры Комитета</w:t>
      </w:r>
      <w:r w:rsidR="00941118">
        <w:t>,</w:t>
      </w:r>
      <w:r w:rsidRPr="005C7441">
        <w:t xml:space="preserve"> все документы и работа Комитета, к</w:t>
      </w:r>
      <w:r w:rsidRPr="005C7441">
        <w:t>а</w:t>
      </w:r>
      <w:r w:rsidRPr="005C7441">
        <w:t>сающиеся его деятельности по статье 20 Конвенции, носят конфиденциальный характер, и все заседания, касающиеся его работы в соответствии с этой стат</w:t>
      </w:r>
      <w:r w:rsidRPr="005C7441">
        <w:t>ь</w:t>
      </w:r>
      <w:r w:rsidRPr="005C7441">
        <w:t>ей, являются закрытыми. Вместе с тем в соответствии с пунктом 5 статьи 20 Конвенции после консультаций с соответствующим государством-участником Комитет может принять решение о включении краткого отчета о результатах этой работы в свой годовой доклад, который представляется государствам-участникам и Генеральной Ассамблее.</w:t>
      </w:r>
    </w:p>
    <w:p w:rsidR="005C7441" w:rsidRPr="005C7441" w:rsidRDefault="005C7441" w:rsidP="005C7441">
      <w:pPr>
        <w:pStyle w:val="SingleTxtGR"/>
      </w:pPr>
      <w:r w:rsidRPr="005C7441">
        <w:t>56.</w:t>
      </w:r>
      <w:r w:rsidRPr="005C7441">
        <w:tab/>
        <w:t xml:space="preserve">В рамках последующей деятельности Комитета докладчики по статье 20 продолжали </w:t>
      </w:r>
      <w:proofErr w:type="gramStart"/>
      <w:r w:rsidRPr="005C7441">
        <w:t>предпринимать усилия</w:t>
      </w:r>
      <w:proofErr w:type="gramEnd"/>
      <w:r w:rsidRPr="005C7441">
        <w:t xml:space="preserve"> по п</w:t>
      </w:r>
      <w:r w:rsidR="00FA2857">
        <w:t>оощрению государств-участников,</w:t>
      </w:r>
      <w:r w:rsidR="00FA2857">
        <w:br/>
      </w:r>
      <w:r w:rsidRPr="005C7441">
        <w:t>в отношении которых проводилось расследо</w:t>
      </w:r>
      <w:r w:rsidR="00FA2857">
        <w:t>вание с публикацией его итогов,</w:t>
      </w:r>
      <w:r w:rsidR="00FA2857">
        <w:br/>
      </w:r>
      <w:r w:rsidRPr="005C7441">
        <w:t>к принятию мер по выполнению рекомендаций Комитета. На своей пятьдесят шестой сессии Комитет утвердил внутренние руководящие принципы в отн</w:t>
      </w:r>
      <w:r w:rsidRPr="005C7441">
        <w:t>о</w:t>
      </w:r>
      <w:r w:rsidRPr="005C7441">
        <w:t>шении практических процедур и критериев для принятия решений о визитах, связанных с последующей деятельностью, в дополнение к миссиям по рассл</w:t>
      </w:r>
      <w:r w:rsidRPr="005C7441">
        <w:t>е</w:t>
      </w:r>
      <w:r w:rsidRPr="005C7441">
        <w:t>дованию, проведенным в соответствии со статьей 20 Конвенции.</w:t>
      </w:r>
    </w:p>
    <w:p w:rsidR="005C7441" w:rsidRPr="005C7441" w:rsidRDefault="005C7441" w:rsidP="005C7441">
      <w:pPr>
        <w:pStyle w:val="SingleTxtGR"/>
      </w:pPr>
      <w:r w:rsidRPr="005C7441">
        <w:t>57.</w:t>
      </w:r>
      <w:r w:rsidRPr="005C7441">
        <w:tab/>
        <w:t>С дополнительной информацией о процедуре расследования можно озн</w:t>
      </w:r>
      <w:r w:rsidRPr="005C7441">
        <w:t>а</w:t>
      </w:r>
      <w:r w:rsidRPr="005C7441">
        <w:t>комиться на веб-странице Комитета.</w:t>
      </w:r>
    </w:p>
    <w:p w:rsidR="005C7441" w:rsidRPr="005C7441" w:rsidRDefault="005C7441" w:rsidP="00FA2857">
      <w:pPr>
        <w:pStyle w:val="H23GR"/>
      </w:pPr>
      <w:r w:rsidRPr="005C7441">
        <w:tab/>
      </w:r>
      <w:r w:rsidRPr="005C7441">
        <w:tab/>
        <w:t>Краткий отчет о результатах работы по расследованию в отношении Египта</w:t>
      </w:r>
    </w:p>
    <w:p w:rsidR="005C7441" w:rsidRPr="005C7441" w:rsidRDefault="005C7441" w:rsidP="005C7441">
      <w:pPr>
        <w:pStyle w:val="SingleTxtGR"/>
      </w:pPr>
      <w:r w:rsidRPr="005C7441">
        <w:t>58.</w:t>
      </w:r>
      <w:r w:rsidRPr="005C7441">
        <w:tab/>
        <w:t>Египет присоединился к Конвенции 25</w:t>
      </w:r>
      <w:r w:rsidR="00FA2857">
        <w:t xml:space="preserve"> июня 1986 года, и она вступила</w:t>
      </w:r>
      <w:r w:rsidR="00FA2857">
        <w:br/>
      </w:r>
      <w:r w:rsidRPr="005C7441">
        <w:t>в силу 26 июня 1987 года. Поскольку Египет в свое время не сделал, хотя мог это сделать, заявление о непризнании компетенции Комитета, предусмотренной в статье 20 Конвенции, прописанная в статье 20 процедура к нему применима.</w:t>
      </w:r>
    </w:p>
    <w:p w:rsidR="005C7441" w:rsidRPr="005C7441" w:rsidRDefault="005C7441" w:rsidP="005C7441">
      <w:pPr>
        <w:pStyle w:val="SingleTxtGR"/>
      </w:pPr>
      <w:r w:rsidRPr="005C7441">
        <w:t>59.</w:t>
      </w:r>
      <w:r w:rsidRPr="005C7441">
        <w:tab/>
        <w:t xml:space="preserve">В марте и октябре 2012 года Комитет получил от НПО </w:t>
      </w:r>
      <w:r w:rsidR="004338CD">
        <w:t>«</w:t>
      </w:r>
      <w:r w:rsidRPr="005C7441">
        <w:t>Фонд Алькарама</w:t>
      </w:r>
      <w:r w:rsidR="004338CD">
        <w:t>»</w:t>
      </w:r>
      <w:r w:rsidRPr="005C7441">
        <w:t xml:space="preserve"> сообщения с утверждениями о системат</w:t>
      </w:r>
      <w:r w:rsidR="00941118">
        <w:t>ическом применении пыток в Егип</w:t>
      </w:r>
      <w:r w:rsidR="00691AD0">
        <w:t>те.</w:t>
      </w:r>
      <w:r w:rsidR="00691AD0" w:rsidRPr="00691AD0">
        <w:br/>
      </w:r>
      <w:r w:rsidRPr="005C7441">
        <w:t xml:space="preserve">В этих сообщениях содержались отдельные утверждения о пытках и описания ряда массовых акций. Организация </w:t>
      </w:r>
      <w:r w:rsidR="004338CD">
        <w:t>«</w:t>
      </w:r>
      <w:r w:rsidRPr="005C7441">
        <w:t>Алькарама</w:t>
      </w:r>
      <w:r w:rsidR="004338CD">
        <w:t>»</w:t>
      </w:r>
      <w:r w:rsidRPr="005C7441">
        <w:t xml:space="preserve"> напомнила, что в 1996 году Комитет опубликовал резюме предыдущего расследования по статье 20 в отн</w:t>
      </w:r>
      <w:r w:rsidRPr="005C7441">
        <w:t>о</w:t>
      </w:r>
      <w:r w:rsidRPr="005C7441">
        <w:t>шении Египта, в котором им было установлено, что силы безопасности сист</w:t>
      </w:r>
      <w:r w:rsidRPr="005C7441">
        <w:t>е</w:t>
      </w:r>
      <w:r w:rsidRPr="005C7441">
        <w:t xml:space="preserve">матически практиковали пытки. Кроме того, организация </w:t>
      </w:r>
      <w:r w:rsidR="004338CD">
        <w:t>«</w:t>
      </w:r>
      <w:r w:rsidRPr="005C7441">
        <w:t>Алькарама</w:t>
      </w:r>
      <w:r w:rsidR="004338CD">
        <w:t>»</w:t>
      </w:r>
      <w:r w:rsidRPr="005C7441">
        <w:t xml:space="preserve"> препр</w:t>
      </w:r>
      <w:r w:rsidRPr="005C7441">
        <w:t>о</w:t>
      </w:r>
      <w:r w:rsidRPr="005C7441">
        <w:t>водила недавние сообщения нескольких неправительственных организаций, с</w:t>
      </w:r>
      <w:r w:rsidRPr="005C7441">
        <w:t>о</w:t>
      </w:r>
      <w:r w:rsidRPr="005C7441">
        <w:t xml:space="preserve">держащие новые </w:t>
      </w:r>
      <w:r w:rsidR="00FA2857">
        <w:t>утверждения о применении пыток.</w:t>
      </w:r>
    </w:p>
    <w:p w:rsidR="005C7441" w:rsidRPr="005C7441" w:rsidRDefault="005C7441" w:rsidP="005C7441">
      <w:pPr>
        <w:pStyle w:val="SingleTxtGR"/>
      </w:pPr>
      <w:r w:rsidRPr="005C7441">
        <w:t>60.</w:t>
      </w:r>
      <w:r w:rsidRPr="005C7441">
        <w:tab/>
        <w:t>На своей сорок девятой сессии в ноябре 2012 года Комитет определил, что представленная информация является достоверной и содержит вполне обоснованные данные о систематическом применении пыток на территории Египта. Комитет предложил государству-участнику сотрудничать в изучении этой информации и представить свои замечания. Государство-участник пре</w:t>
      </w:r>
      <w:r w:rsidRPr="005C7441">
        <w:t>д</w:t>
      </w:r>
      <w:r w:rsidRPr="005C7441">
        <w:t>ставило 11 февраля 2013 года свой ответ, где дало описание организационно-правовых механизмов предупреждения пыток и наказания виновных. В ноябре 2013 года Комитет рассмотрел эту информацию вместе с дополнительными сведениями, полученными от неправительственных организаций, и постановил начать расследование в соответствии с пунктом 2 статьи 20 Конвенции. Ком</w:t>
      </w:r>
      <w:r w:rsidRPr="005C7441">
        <w:t>и</w:t>
      </w:r>
      <w:r w:rsidRPr="005C7441">
        <w:t>тет поставил в известность об этом государство-участник и просил правител</w:t>
      </w:r>
      <w:r w:rsidRPr="005C7441">
        <w:t>ь</w:t>
      </w:r>
      <w:r w:rsidRPr="005C7441">
        <w:t>ство дать согласие на посещение стран</w:t>
      </w:r>
      <w:r w:rsidR="00FA2857">
        <w:t>ы назначенными им докладчиками –</w:t>
      </w:r>
      <w:r w:rsidR="00FA2857">
        <w:br/>
      </w:r>
      <w:r w:rsidRPr="005C7441">
        <w:t>г-ном Дома и г-жой Гаер.</w:t>
      </w:r>
    </w:p>
    <w:p w:rsidR="005C7441" w:rsidRPr="005C7441" w:rsidRDefault="005C7441" w:rsidP="005C7441">
      <w:pPr>
        <w:pStyle w:val="SingleTxtGR"/>
      </w:pPr>
      <w:r w:rsidRPr="005C7441">
        <w:t>61.</w:t>
      </w:r>
      <w:r w:rsidRPr="005C7441">
        <w:tab/>
        <w:t xml:space="preserve">16 января 2014 года государство-участник прислало свой ответ, в котором поставило под сомнение приемлемость поступившей от организации </w:t>
      </w:r>
      <w:r w:rsidR="004338CD">
        <w:t>«</w:t>
      </w:r>
      <w:r w:rsidRPr="005C7441">
        <w:t>Альк</w:t>
      </w:r>
      <w:r w:rsidRPr="005C7441">
        <w:t>а</w:t>
      </w:r>
      <w:r w:rsidRPr="005C7441">
        <w:t>рама</w:t>
      </w:r>
      <w:r w:rsidR="004338CD">
        <w:t>»</w:t>
      </w:r>
      <w:r w:rsidRPr="005C7441">
        <w:t xml:space="preserve"> жалобы. 8 мая 2014 года государство-участник предложило направить представителей для встреч с Комитетом по поводу положения в области прав человека в стране. В ноябре 2014 года Комитет проинформировал государство-участник о том, что в отсутствие положительного ответа на его просьбу о п</w:t>
      </w:r>
      <w:r w:rsidRPr="005C7441">
        <w:t>о</w:t>
      </w:r>
      <w:r w:rsidRPr="005C7441">
        <w:t>сещении страны и в соответствии со своей обычной процедурой он приступает к проведению конфиденциального расследования без посещения страны.</w:t>
      </w:r>
    </w:p>
    <w:p w:rsidR="005C7441" w:rsidRPr="005C7441" w:rsidRDefault="005C7441" w:rsidP="00FA2857">
      <w:pPr>
        <w:pStyle w:val="H23GR"/>
      </w:pPr>
      <w:r w:rsidRPr="005C7441">
        <w:tab/>
      </w:r>
      <w:r w:rsidRPr="005C7441">
        <w:tab/>
        <w:t>Информация, полученная от государства-участника</w:t>
      </w:r>
    </w:p>
    <w:p w:rsidR="005C7441" w:rsidRPr="005C7441" w:rsidRDefault="005C7441" w:rsidP="005C7441">
      <w:pPr>
        <w:pStyle w:val="SingleTxtGR"/>
      </w:pPr>
      <w:r w:rsidRPr="005C7441">
        <w:t>62.</w:t>
      </w:r>
      <w:r w:rsidRPr="005C7441">
        <w:tab/>
        <w:t>В отношении полученной Комитетом информации государство-участник представило два сообщения. В первом сообщении, препровожденном 4 октября 2013 года, описываются конституционные и законодательные гарантии запр</w:t>
      </w:r>
      <w:r w:rsidRPr="005C7441">
        <w:t>е</w:t>
      </w:r>
      <w:r w:rsidRPr="005C7441">
        <w:t>щения пыток, которые существуют в государстве-участнике. Во втором соо</w:t>
      </w:r>
      <w:r w:rsidRPr="005C7441">
        <w:t>б</w:t>
      </w:r>
      <w:r w:rsidRPr="005C7441">
        <w:t xml:space="preserve">щении, препровожденном 16 января 2014 года, государство-участник отвергает приемлемость и достоверность информации, представленной организацией </w:t>
      </w:r>
      <w:r w:rsidR="004338CD">
        <w:t>«</w:t>
      </w:r>
      <w:r w:rsidRPr="005C7441">
        <w:t>Алькарама</w:t>
      </w:r>
      <w:r w:rsidR="004338CD">
        <w:t>»</w:t>
      </w:r>
      <w:r w:rsidRPr="005C7441">
        <w:t>. Государство-участник утверждает, что пытки не являются в Еги</w:t>
      </w:r>
      <w:r w:rsidRPr="005C7441">
        <w:t>п</w:t>
      </w:r>
      <w:r w:rsidRPr="005C7441">
        <w:t>те систематической практикой и что, хотя некоторые случаи пыток могли иметь место, речь идет об отдельных инцидентах, которые расследуются компетен</w:t>
      </w:r>
      <w:r w:rsidRPr="005C7441">
        <w:t>т</w:t>
      </w:r>
      <w:r w:rsidRPr="005C7441">
        <w:t>ными органами.</w:t>
      </w:r>
    </w:p>
    <w:p w:rsidR="005C7441" w:rsidRPr="005C7441" w:rsidRDefault="005C7441" w:rsidP="00FA2857">
      <w:pPr>
        <w:pStyle w:val="H23GR"/>
      </w:pPr>
      <w:r w:rsidRPr="005C7441">
        <w:tab/>
      </w:r>
      <w:r w:rsidRPr="005C7441">
        <w:tab/>
        <w:t>Информация, полученная из других источников</w:t>
      </w:r>
    </w:p>
    <w:p w:rsidR="005C7441" w:rsidRPr="005C7441" w:rsidRDefault="00691AD0" w:rsidP="005C7441">
      <w:pPr>
        <w:pStyle w:val="SingleTxtGR"/>
      </w:pPr>
      <w:r>
        <w:t>63.</w:t>
      </w:r>
      <w:r>
        <w:tab/>
        <w:t>В период 2012</w:t>
      </w:r>
      <w:r w:rsidRPr="00691AD0">
        <w:t>–</w:t>
      </w:r>
      <w:r w:rsidR="005C7441" w:rsidRPr="005C7441">
        <w:t xml:space="preserve">2015 годов Комитет получил от организации </w:t>
      </w:r>
      <w:r w:rsidR="004338CD">
        <w:t>«</w:t>
      </w:r>
      <w:r w:rsidR="005C7441" w:rsidRPr="005C7441">
        <w:t>Алькарама</w:t>
      </w:r>
      <w:r w:rsidR="004338CD">
        <w:t>»</w:t>
      </w:r>
      <w:r w:rsidR="005C7441" w:rsidRPr="005C7441">
        <w:t xml:space="preserve"> семь сообщений о практике пыток в Егип</w:t>
      </w:r>
      <w:r w:rsidR="00FA2857">
        <w:t xml:space="preserve">те, </w:t>
      </w:r>
      <w:proofErr w:type="gramStart"/>
      <w:r w:rsidR="00FA2857">
        <w:t>содержавших</w:t>
      </w:r>
      <w:proofErr w:type="gramEnd"/>
      <w:r w:rsidR="00FA2857">
        <w:t xml:space="preserve"> по меньшей мере</w:t>
      </w:r>
      <w:r w:rsidR="00FA2857">
        <w:br/>
      </w:r>
      <w:r w:rsidR="005C7441" w:rsidRPr="005C7441">
        <w:t>146 отдельных утверждений о применении пыток, большинство из которых д</w:t>
      </w:r>
      <w:r w:rsidR="005C7441" w:rsidRPr="005C7441">
        <w:t>а</w:t>
      </w:r>
      <w:r w:rsidR="005C7441" w:rsidRPr="005C7441">
        <w:t xml:space="preserve">тируются 2013 и 2014 годами, а также информацию о нескольких коллективных жалобах. В сообщениях организации </w:t>
      </w:r>
      <w:r w:rsidR="004338CD">
        <w:t>«</w:t>
      </w:r>
      <w:r w:rsidR="005C7441" w:rsidRPr="005C7441">
        <w:t>Алькарама</w:t>
      </w:r>
      <w:r w:rsidR="004338CD">
        <w:t>»</w:t>
      </w:r>
      <w:r w:rsidR="005C7441" w:rsidRPr="005C7441">
        <w:t xml:space="preserve"> утверждается, что, несмотря на многие значительные</w:t>
      </w:r>
      <w:r w:rsidR="00FA2857">
        <w:t xml:space="preserve"> политические изменения, в 2012–</w:t>
      </w:r>
      <w:r w:rsidR="00BA24BB">
        <w:t>2015 годах</w:t>
      </w:r>
      <w:r w:rsidR="005C7441" w:rsidRPr="005C7441">
        <w:t xml:space="preserve"> пытки были по-прежнему </w:t>
      </w:r>
      <w:r w:rsidR="00FA2857">
        <w:t>широко распространены в Египте.</w:t>
      </w:r>
    </w:p>
    <w:p w:rsidR="005C7441" w:rsidRPr="005C7441" w:rsidRDefault="005C7441" w:rsidP="005C7441">
      <w:pPr>
        <w:pStyle w:val="SingleTxtGR"/>
      </w:pPr>
      <w:r w:rsidRPr="005C7441">
        <w:t>64.</w:t>
      </w:r>
      <w:r w:rsidRPr="005C7441">
        <w:tab/>
      </w:r>
      <w:proofErr w:type="gramStart"/>
      <w:r w:rsidRPr="005C7441">
        <w:t>Кроме того, Комитет рассмотрел информацию о пытках в Египте, пост</w:t>
      </w:r>
      <w:r w:rsidRPr="005C7441">
        <w:t>у</w:t>
      </w:r>
      <w:r w:rsidRPr="005C7441">
        <w:t>пившую от должностных лиц и органов Организации Объединенных Наций, включая Управление Верховного комиссара по правам человека, Комитет по правам р</w:t>
      </w:r>
      <w:r w:rsidR="00691AD0">
        <w:t>ебенка, Специального докладчика</w:t>
      </w:r>
      <w:r w:rsidRPr="005C7441">
        <w:t xml:space="preserve"> по вопросу о пытках и Рабочую группу по насильственным или недобровольным исчезновениям, а также от Африканской комиссии по правам человека и народов.</w:t>
      </w:r>
      <w:proofErr w:type="gramEnd"/>
      <w:r w:rsidRPr="005C7441">
        <w:t xml:space="preserve"> Эти источники подтве</w:t>
      </w:r>
      <w:r w:rsidRPr="005C7441">
        <w:t>р</w:t>
      </w:r>
      <w:r w:rsidRPr="005C7441">
        <w:t>ждают утверждение о том, что на протяжении всего периода, который стал предметом расследования, в Египте систематически практиковались пытки.</w:t>
      </w:r>
    </w:p>
    <w:p w:rsidR="005C7441" w:rsidRPr="005C7441" w:rsidRDefault="005C7441" w:rsidP="005C7441">
      <w:pPr>
        <w:pStyle w:val="SingleTxtGR"/>
      </w:pPr>
      <w:r w:rsidRPr="005C7441">
        <w:t>65.</w:t>
      </w:r>
      <w:r w:rsidRPr="005C7441">
        <w:tab/>
      </w:r>
      <w:proofErr w:type="gramStart"/>
      <w:r w:rsidRPr="005C7441">
        <w:t>Комитет ознакомился также с имевшимися в открытом доступе доклад</w:t>
      </w:r>
      <w:r w:rsidRPr="005C7441">
        <w:t>а</w:t>
      </w:r>
      <w:r w:rsidRPr="005C7441">
        <w:t xml:space="preserve">ми таких неправительственных организаций, как Центр реабилитации жертв насилия </w:t>
      </w:r>
      <w:r w:rsidR="004338CD">
        <w:t>«</w:t>
      </w:r>
      <w:r w:rsidRPr="005C7441">
        <w:t>Эн-Надим</w:t>
      </w:r>
      <w:r w:rsidR="004338CD">
        <w:t>»</w:t>
      </w:r>
      <w:r w:rsidRPr="005C7441">
        <w:t xml:space="preserve">, организация </w:t>
      </w:r>
      <w:r w:rsidR="004338CD">
        <w:t>«</w:t>
      </w:r>
      <w:r w:rsidRPr="005C7441">
        <w:t>Международная амнистия</w:t>
      </w:r>
      <w:r w:rsidR="004338CD">
        <w:t>»</w:t>
      </w:r>
      <w:r w:rsidRPr="005C7441">
        <w:t xml:space="preserve">, организация </w:t>
      </w:r>
      <w:r w:rsidR="004338CD">
        <w:t>«</w:t>
      </w:r>
      <w:r w:rsidRPr="005C7441">
        <w:t>Египетская инициатива в защиту личных прав</w:t>
      </w:r>
      <w:r w:rsidR="004338CD">
        <w:t>»</w:t>
      </w:r>
      <w:r w:rsidRPr="005C7441">
        <w:t xml:space="preserve">, Египетская организация по правам человека, Международная федерация прав человека, организация </w:t>
      </w:r>
      <w:r w:rsidR="004338CD">
        <w:t>«</w:t>
      </w:r>
      <w:r w:rsidRPr="005C7441">
        <w:t>Хьюман райтс уотч</w:t>
      </w:r>
      <w:r w:rsidR="004338CD">
        <w:t>»</w:t>
      </w:r>
      <w:r w:rsidRPr="005C7441">
        <w:t xml:space="preserve"> и фирма </w:t>
      </w:r>
      <w:r w:rsidR="004338CD">
        <w:t>«</w:t>
      </w:r>
      <w:r w:rsidRPr="005C7441">
        <w:t>Объединенная группа</w:t>
      </w:r>
      <w:r w:rsidR="004338CD">
        <w:t>»</w:t>
      </w:r>
      <w:r w:rsidRPr="005C7441">
        <w:t>, в которую входят адв</w:t>
      </w:r>
      <w:r w:rsidRPr="005C7441">
        <w:t>о</w:t>
      </w:r>
      <w:r w:rsidRPr="005C7441">
        <w:t>каты, юрисконсульты и правозащитники.</w:t>
      </w:r>
      <w:proofErr w:type="gramEnd"/>
      <w:r w:rsidRPr="005C7441">
        <w:t xml:space="preserve"> В этих докладах подробно говорится о 94 отдельных </w:t>
      </w:r>
      <w:proofErr w:type="gramStart"/>
      <w:r w:rsidRPr="005C7441">
        <w:t>утверждения</w:t>
      </w:r>
      <w:r w:rsidR="00FA2857">
        <w:t>х</w:t>
      </w:r>
      <w:proofErr w:type="gramEnd"/>
      <w:r w:rsidR="00FA2857">
        <w:t xml:space="preserve"> о случаях пыток в период 2011–</w:t>
      </w:r>
      <w:r w:rsidRPr="005C7441">
        <w:t>2015 годов, а нек</w:t>
      </w:r>
      <w:r w:rsidRPr="005C7441">
        <w:t>о</w:t>
      </w:r>
      <w:r w:rsidRPr="005C7441">
        <w:t>торые организации со</w:t>
      </w:r>
      <w:r w:rsidR="00FA2857">
        <w:t>общили о получении тысяч жалоб.</w:t>
      </w:r>
    </w:p>
    <w:p w:rsidR="005C7441" w:rsidRPr="005C7441" w:rsidRDefault="005C7441" w:rsidP="005C7441">
      <w:pPr>
        <w:pStyle w:val="SingleTxtGR"/>
      </w:pPr>
      <w:r w:rsidRPr="005C7441">
        <w:t>66.</w:t>
      </w:r>
      <w:r w:rsidRPr="005C7441">
        <w:tab/>
        <w:t xml:space="preserve">Как сообщают источники, пытки применяют военные, полицейские и персонал пенитенциарных учреждений </w:t>
      </w:r>
      <w:proofErr w:type="gramStart"/>
      <w:r w:rsidRPr="005C7441">
        <w:t>Египта</w:t>
      </w:r>
      <w:proofErr w:type="gramEnd"/>
      <w:r w:rsidRPr="005C7441">
        <w:t xml:space="preserve"> в качестве наказания протест</w:t>
      </w:r>
      <w:r w:rsidRPr="005C7441">
        <w:t>у</w:t>
      </w:r>
      <w:r w:rsidR="00691AD0">
        <w:t>ющих, а начиная с 2013 года –</w:t>
      </w:r>
      <w:r w:rsidRPr="005C7441">
        <w:t xml:space="preserve"> в отношении сторонников и членов организации </w:t>
      </w:r>
      <w:r w:rsidR="004338CD">
        <w:t>«</w:t>
      </w:r>
      <w:r w:rsidRPr="005C7441">
        <w:t>Братья-мусульмане</w:t>
      </w:r>
      <w:r w:rsidR="004338CD">
        <w:t>»</w:t>
      </w:r>
      <w:r w:rsidRPr="005C7441">
        <w:t>, а также для того, чтобы выбивать признательные показ</w:t>
      </w:r>
      <w:r w:rsidRPr="005C7441">
        <w:t>а</w:t>
      </w:r>
      <w:r w:rsidRPr="005C7441">
        <w:t>ния из задержанных и вынуждать их выдвигать против других обвинения в с</w:t>
      </w:r>
      <w:r w:rsidRPr="005C7441">
        <w:t>о</w:t>
      </w:r>
      <w:r w:rsidRPr="005C7441">
        <w:t>вершении преступлений. Практике пыток, как утверждается, способствовали: резкое увеличение числа арестов, произведенных властями с июля 2013 года</w:t>
      </w:r>
      <w:r w:rsidR="00814C08">
        <w:t>,</w:t>
      </w:r>
      <w:r w:rsidR="00814C08">
        <w:br/>
        <w:t xml:space="preserve">а </w:t>
      </w:r>
      <w:r w:rsidRPr="005C7441">
        <w:t>также практика содержания демонстрантов в неофициальных местах соде</w:t>
      </w:r>
      <w:r w:rsidRPr="005C7441">
        <w:t>р</w:t>
      </w:r>
      <w:r w:rsidRPr="005C7441">
        <w:t>жания под стражей. Источники также сообщали о практике сексуального нас</w:t>
      </w:r>
      <w:r w:rsidRPr="005C7441">
        <w:t>и</w:t>
      </w:r>
      <w:r w:rsidRPr="005C7441">
        <w:t>лия со стороны представителей государства и чрезмерном применении силы в ответ на протесты, имевшие место после 2011 года, в результате чего имеются тысячи погибших. Источники утверждают, что безнаказанность за пытки была широко распространенным явлением, чему способствовали: отсутствие незав</w:t>
      </w:r>
      <w:r w:rsidRPr="005C7441">
        <w:t>и</w:t>
      </w:r>
      <w:r w:rsidRPr="005C7441">
        <w:t xml:space="preserve">симого органа по расследованию жалоб на пытки, чрезмерное использование военных судов, отсутствие регулярного независимого </w:t>
      </w:r>
      <w:proofErr w:type="gramStart"/>
      <w:r w:rsidRPr="005C7441">
        <w:t>контроля за</w:t>
      </w:r>
      <w:proofErr w:type="gramEnd"/>
      <w:r w:rsidRPr="005C7441">
        <w:t xml:space="preserve"> местами с</w:t>
      </w:r>
      <w:r w:rsidRPr="005C7441">
        <w:t>о</w:t>
      </w:r>
      <w:r w:rsidRPr="005C7441">
        <w:t>держания под стражей, а также зависимость и некомпетентность Национальн</w:t>
      </w:r>
      <w:r w:rsidRPr="005C7441">
        <w:t>о</w:t>
      </w:r>
      <w:r w:rsidRPr="005C7441">
        <w:t>го совета по правам человека.</w:t>
      </w:r>
    </w:p>
    <w:p w:rsidR="005C7441" w:rsidRPr="005C7441" w:rsidRDefault="005C7441" w:rsidP="00FA2857">
      <w:pPr>
        <w:pStyle w:val="H23GR"/>
      </w:pPr>
      <w:r w:rsidRPr="005C7441">
        <w:tab/>
      </w:r>
      <w:r w:rsidRPr="005C7441">
        <w:tab/>
        <w:t>Выводы и рекомендации</w:t>
      </w:r>
    </w:p>
    <w:p w:rsidR="005C7441" w:rsidRPr="005C7441" w:rsidRDefault="005C7441" w:rsidP="005C7441">
      <w:pPr>
        <w:pStyle w:val="SingleTxtGR"/>
      </w:pPr>
      <w:r w:rsidRPr="005C7441">
        <w:t>67.</w:t>
      </w:r>
      <w:r w:rsidRPr="005C7441">
        <w:tab/>
        <w:t>Комитет считает, в частности, что о систематической практике пыток можно говорить тогда, когда выясняется, что засвидетельствованные случаи пыток не являются единичными и характерными для какого-то места или как</w:t>
      </w:r>
      <w:r w:rsidRPr="005C7441">
        <w:t>о</w:t>
      </w:r>
      <w:r w:rsidRPr="005C7441">
        <w:t xml:space="preserve">го-то времени, а характеризуются повторяемостью, широким распространением и конкретной целью, по крайней </w:t>
      </w:r>
      <w:proofErr w:type="gramStart"/>
      <w:r w:rsidRPr="005C7441">
        <w:t>мере</w:t>
      </w:r>
      <w:proofErr w:type="gramEnd"/>
      <w:r w:rsidRPr="005C7441">
        <w:t xml:space="preserve"> на значительной части территории соо</w:t>
      </w:r>
      <w:r w:rsidRPr="005C7441">
        <w:t>т</w:t>
      </w:r>
      <w:r w:rsidRPr="005C7441">
        <w:t xml:space="preserve">ветствующей страны (см. </w:t>
      </w:r>
      <w:r w:rsidR="00D43468">
        <w:fldChar w:fldCharType="begin"/>
      </w:r>
      <w:r w:rsidR="00D43468">
        <w:instrText xml:space="preserve"> HYPERLINK "http://undocs.org/ru/A/48/44/Add.1" </w:instrText>
      </w:r>
      <w:r w:rsidR="00D43468">
        <w:fldChar w:fldCharType="separate"/>
      </w:r>
      <w:r w:rsidRPr="00FA2857">
        <w:rPr>
          <w:rStyle w:val="af1"/>
        </w:rPr>
        <w:t>A/48/44/Add.1</w:t>
      </w:r>
      <w:r w:rsidR="00D43468">
        <w:rPr>
          <w:rStyle w:val="af1"/>
        </w:rPr>
        <w:fldChar w:fldCharType="end"/>
      </w:r>
      <w:r w:rsidRPr="005C7441">
        <w:t>, пункт 39</w:t>
      </w:r>
      <w:r w:rsidR="00691AD0">
        <w:t>,</w:t>
      </w:r>
      <w:r w:rsidRPr="005C7441">
        <w:t xml:space="preserve"> и </w:t>
      </w:r>
      <w:r w:rsidR="00D43468">
        <w:fldChar w:fldCharType="begin"/>
      </w:r>
      <w:r w:rsidR="00D43468">
        <w:instrText xml:space="preserve"> HYPERLINK "http://undocs.org/ru/A/56/44" </w:instrText>
      </w:r>
      <w:r w:rsidR="00D43468">
        <w:fldChar w:fldCharType="separate"/>
      </w:r>
      <w:r w:rsidRPr="00FA2857">
        <w:rPr>
          <w:rStyle w:val="af1"/>
        </w:rPr>
        <w:t>A/56/44</w:t>
      </w:r>
      <w:r w:rsidR="00D43468">
        <w:rPr>
          <w:rStyle w:val="af1"/>
        </w:rPr>
        <w:fldChar w:fldCharType="end"/>
      </w:r>
      <w:r w:rsidRPr="005C7441">
        <w:t>, пункт 163).</w:t>
      </w:r>
    </w:p>
    <w:p w:rsidR="005C7441" w:rsidRPr="005C7441" w:rsidRDefault="005C7441" w:rsidP="005C7441">
      <w:pPr>
        <w:pStyle w:val="SingleTxtGR"/>
      </w:pPr>
      <w:r w:rsidRPr="005C7441">
        <w:t>68.</w:t>
      </w:r>
      <w:r w:rsidRPr="005C7441">
        <w:tab/>
        <w:t>Информация, представленная неправительственными организациями, и факты, установленные источниками Организации Объединенных Наций, вкл</w:t>
      </w:r>
      <w:r w:rsidRPr="005C7441">
        <w:t>ю</w:t>
      </w:r>
      <w:r w:rsidRPr="005C7441">
        <w:t>чая Специального докладчика по вопросу о пытках, отражают тенденции в о</w:t>
      </w:r>
      <w:r w:rsidRPr="005C7441">
        <w:t>т</w:t>
      </w:r>
      <w:r w:rsidRPr="005C7441">
        <w:t>ношении виновных, методов и мест, где в Египте практиковались пытки, а та</w:t>
      </w:r>
      <w:r w:rsidRPr="005C7441">
        <w:t>к</w:t>
      </w:r>
      <w:r w:rsidRPr="005C7441">
        <w:t>же тенденции, свидетельствую</w:t>
      </w:r>
      <w:r w:rsidR="00FA2857">
        <w:t>щие о безнаказанности виновных.</w:t>
      </w:r>
    </w:p>
    <w:p w:rsidR="005C7441" w:rsidRPr="005C7441" w:rsidRDefault="005C7441" w:rsidP="005C7441">
      <w:pPr>
        <w:pStyle w:val="SingleTxtGR"/>
      </w:pPr>
      <w:r w:rsidRPr="005C7441">
        <w:t>69.</w:t>
      </w:r>
      <w:r w:rsidRPr="005C7441">
        <w:tab/>
        <w:t>Пытки, как представляется, происходят особенно часто после произвол</w:t>
      </w:r>
      <w:r w:rsidRPr="005C7441">
        <w:t>ь</w:t>
      </w:r>
      <w:r w:rsidRPr="005C7441">
        <w:t>ных арестов и зачастую применяются для того, чтобы выбивать признательные показания или наказывать и запугивать инакомыслящих. Людей подвергают пыткам в полицейских участках, тюрьмах, органах государственной безопасн</w:t>
      </w:r>
      <w:r w:rsidRPr="005C7441">
        <w:t>о</w:t>
      </w:r>
      <w:r w:rsidRPr="005C7441">
        <w:t>сти и на объектах Центральных сил безопасности. К пыткам прибегают сотру</w:t>
      </w:r>
      <w:r w:rsidRPr="005C7441">
        <w:t>д</w:t>
      </w:r>
      <w:r w:rsidRPr="005C7441">
        <w:t>ники полиции, военнослужащие, сотрудники национальной безопасности и т</w:t>
      </w:r>
      <w:r w:rsidRPr="005C7441">
        <w:t>ю</w:t>
      </w:r>
      <w:r w:rsidRPr="005C7441">
        <w:t>ремные надзиратели. Пыткам способствуют, однако, и прокуроры, судьи и с</w:t>
      </w:r>
      <w:r w:rsidRPr="005C7441">
        <w:t>о</w:t>
      </w:r>
      <w:r w:rsidRPr="005C7441">
        <w:t>трудники пенитенциарных учреждений, не принимающие меры по пресечению практики пыток, произвольного задержания и жестокого обращения или не ре</w:t>
      </w:r>
      <w:r w:rsidRPr="005C7441">
        <w:t>а</w:t>
      </w:r>
      <w:r w:rsidRPr="005C7441">
        <w:t>гирующие на жалобы. Хотя многие из документально подтвержденных инц</w:t>
      </w:r>
      <w:r w:rsidRPr="005C7441">
        <w:t>и</w:t>
      </w:r>
      <w:r w:rsidRPr="005C7441">
        <w:t>дентов имели место в районе Большого Каира, есть информация о том, что сл</w:t>
      </w:r>
      <w:r w:rsidRPr="005C7441">
        <w:t>у</w:t>
      </w:r>
      <w:r w:rsidRPr="005C7441">
        <w:t>чаи пыток отмечались по всей стране. Лица, виновные в применении пыток, практически повсеместно пользуются безнаказанностью, хотя в египетском з</w:t>
      </w:r>
      <w:r w:rsidRPr="005C7441">
        <w:t>а</w:t>
      </w:r>
      <w:r w:rsidRPr="005C7441">
        <w:t>конодательстве пытки запрещены и предусмотрены механизмы привлечения к ответственности за применение пыток и связанную с ними практику, что свид</w:t>
      </w:r>
      <w:r w:rsidRPr="005C7441">
        <w:t>е</w:t>
      </w:r>
      <w:r w:rsidRPr="005C7441">
        <w:t>тельствует о серьезном разрыве между законом и практикой. По мнению Ком</w:t>
      </w:r>
      <w:r w:rsidRPr="005C7441">
        <w:t>и</w:t>
      </w:r>
      <w:r w:rsidRPr="005C7441">
        <w:t>тета, все вышеупомянутое подводит к неизбежному выводу о том, что пытки являются в Египте систематической практикой.</w:t>
      </w:r>
    </w:p>
    <w:p w:rsidR="005C7441" w:rsidRPr="005C7441" w:rsidRDefault="005C7441" w:rsidP="005C7441">
      <w:pPr>
        <w:pStyle w:val="SingleTxtGR"/>
      </w:pPr>
      <w:r w:rsidRPr="005C7441">
        <w:t>70.</w:t>
      </w:r>
      <w:r w:rsidRPr="005C7441">
        <w:tab/>
        <w:t>Комитет в срочном порядке вынес рекомендации гос</w:t>
      </w:r>
      <w:r w:rsidR="00BA24BB">
        <w:t>ударству-участнику, в частности</w:t>
      </w:r>
      <w:r w:rsidRPr="005C7441">
        <w:t xml:space="preserve"> немедленно положить конец практике пыток и жестокого обращ</w:t>
      </w:r>
      <w:r w:rsidRPr="005C7441">
        <w:t>е</w:t>
      </w:r>
      <w:r w:rsidRPr="005C7441">
        <w:t>ния во всех местах содержания под стражей; обеспечить, чтобы должностные лица на высшем уровне публично осудили применение пыток и жестокое обр</w:t>
      </w:r>
      <w:r w:rsidRPr="005C7441">
        <w:t>а</w:t>
      </w:r>
      <w:r w:rsidRPr="005C7441">
        <w:t>щение со стороны представителей государства и проводили политику абсолю</w:t>
      </w:r>
      <w:r w:rsidRPr="005C7441">
        <w:t>т</w:t>
      </w:r>
      <w:r w:rsidRPr="005C7441">
        <w:t>ной нетерпимости; и привлекать к ответственности лиц, виновных в примен</w:t>
      </w:r>
      <w:r w:rsidRPr="005C7441">
        <w:t>е</w:t>
      </w:r>
      <w:r w:rsidRPr="005C7441">
        <w:t>ни</w:t>
      </w:r>
      <w:r w:rsidR="00BA24BB">
        <w:t>и пыток, в том числе лиц, на которых</w:t>
      </w:r>
      <w:r w:rsidRPr="005C7441">
        <w:t xml:space="preserve"> лежит ответственность командира или начальника.</w:t>
      </w:r>
    </w:p>
    <w:p w:rsidR="005C7441" w:rsidRPr="005C7441" w:rsidRDefault="005C7441" w:rsidP="00FA2857">
      <w:pPr>
        <w:pStyle w:val="H23GR"/>
      </w:pPr>
      <w:r w:rsidRPr="005C7441">
        <w:tab/>
      </w:r>
      <w:r w:rsidRPr="005C7441">
        <w:tab/>
        <w:t>Комментарии и замечания Египта в отношении доклада по итогам расследования</w:t>
      </w:r>
    </w:p>
    <w:p w:rsidR="005C7441" w:rsidRPr="005C7441" w:rsidRDefault="005C7441" w:rsidP="005C7441">
      <w:pPr>
        <w:pStyle w:val="SingleTxtGR"/>
      </w:pPr>
      <w:proofErr w:type="gramStart"/>
      <w:r w:rsidRPr="005C7441">
        <w:t>71.</w:t>
      </w:r>
      <w:r w:rsidRPr="005C7441">
        <w:tab/>
        <w:t>1 июня 2016 года правительство Египта представило ответ на заключения Комитета, в котором говорится, что Комитету не следовало делать вывод о с</w:t>
      </w:r>
      <w:r w:rsidRPr="005C7441">
        <w:t>и</w:t>
      </w:r>
      <w:r w:rsidRPr="005C7441">
        <w:t xml:space="preserve">стематической практике пыток в государстве-участнике на основании его отказа отвечать на конкретные утверждения, с которыми выступила организация </w:t>
      </w:r>
      <w:r w:rsidR="004338CD">
        <w:t>«</w:t>
      </w:r>
      <w:r w:rsidRPr="005C7441">
        <w:t>Алькарама</w:t>
      </w:r>
      <w:r w:rsidR="004338CD">
        <w:t>»</w:t>
      </w:r>
      <w:r w:rsidRPr="005C7441">
        <w:t xml:space="preserve"> и которые, по его словам, были основаны на слухах и не подтве</w:t>
      </w:r>
      <w:r w:rsidRPr="005C7441">
        <w:t>р</w:t>
      </w:r>
      <w:r w:rsidRPr="005C7441">
        <w:t>жденной информации.</w:t>
      </w:r>
      <w:proofErr w:type="gramEnd"/>
      <w:r w:rsidRPr="005C7441">
        <w:t xml:space="preserve"> Государство-участник приняло к исполнению многие р</w:t>
      </w:r>
      <w:r w:rsidRPr="005C7441">
        <w:t>е</w:t>
      </w:r>
      <w:r w:rsidRPr="005C7441">
        <w:t>комендации Комитета и заявило, что одни из них уже осуществляются, а нек</w:t>
      </w:r>
      <w:r w:rsidRPr="005C7441">
        <w:t>о</w:t>
      </w:r>
      <w:r w:rsidRPr="005C7441">
        <w:t>торые другие приняты к исполнению частично или приняты к сведению. Оно отклонило рекомендации Комитета о том, чтобы: немедленно положить конец практике содержания под стражей без связи с внешним миром; создать незав</w:t>
      </w:r>
      <w:r w:rsidRPr="005C7441">
        <w:t>и</w:t>
      </w:r>
      <w:r w:rsidRPr="005C7441">
        <w:t>симый орган для расследования утверждений о пытках, насильственных исче</w:t>
      </w:r>
      <w:r w:rsidRPr="005C7441">
        <w:t>з</w:t>
      </w:r>
      <w:r w:rsidRPr="005C7441">
        <w:t>новениях и жестоком обращении; ограничить юрисдикцию военных судов пр</w:t>
      </w:r>
      <w:r w:rsidRPr="005C7441">
        <w:t>е</w:t>
      </w:r>
      <w:r w:rsidRPr="005C7441">
        <w:t>ступлениями исключительно военного характера; и обеспечить соблюдение з</w:t>
      </w:r>
      <w:r w:rsidRPr="005C7441">
        <w:t>а</w:t>
      </w:r>
      <w:r w:rsidRPr="005C7441">
        <w:t xml:space="preserve">прета </w:t>
      </w:r>
      <w:r w:rsidR="004338CD">
        <w:t>«</w:t>
      </w:r>
      <w:r w:rsidRPr="005C7441">
        <w:t>проверок на девственность</w:t>
      </w:r>
      <w:r w:rsidR="004338CD">
        <w:t>»</w:t>
      </w:r>
      <w:r w:rsidRPr="005C7441">
        <w:t xml:space="preserve"> и положить конец практике анальных д</w:t>
      </w:r>
      <w:r w:rsidRPr="005C7441">
        <w:t>о</w:t>
      </w:r>
      <w:r w:rsidRPr="005C7441">
        <w:t>смотров, которым подвергаются лица, обвиняемые в совершении преступлений.</w:t>
      </w:r>
    </w:p>
    <w:p w:rsidR="005C7441" w:rsidRPr="005C7441" w:rsidRDefault="005C7441" w:rsidP="00FA2857">
      <w:pPr>
        <w:pStyle w:val="HChGR"/>
      </w:pPr>
      <w:r w:rsidRPr="005C7441">
        <w:tab/>
        <w:t>VI.</w:t>
      </w:r>
      <w:r w:rsidRPr="005C7441">
        <w:tab/>
        <w:t>Рассмотрение жалоб в соответствии со статьей 22 Конвенции</w:t>
      </w:r>
      <w:bookmarkStart w:id="23" w:name="_Toc485738208"/>
      <w:bookmarkEnd w:id="23"/>
    </w:p>
    <w:p w:rsidR="005C7441" w:rsidRPr="005C7441" w:rsidRDefault="005C7441" w:rsidP="00FA2857">
      <w:pPr>
        <w:pStyle w:val="H1GR"/>
      </w:pPr>
      <w:r w:rsidRPr="005C7441">
        <w:tab/>
        <w:t>A.</w:t>
      </w:r>
      <w:r w:rsidRPr="005C7441">
        <w:tab/>
        <w:t>Введение</w:t>
      </w:r>
      <w:bookmarkStart w:id="24" w:name="_Toc485738209"/>
      <w:bookmarkEnd w:id="24"/>
    </w:p>
    <w:p w:rsidR="005C7441" w:rsidRPr="005C7441" w:rsidRDefault="005C7441" w:rsidP="005C7441">
      <w:pPr>
        <w:pStyle w:val="SingleTxtGR"/>
      </w:pPr>
      <w:r w:rsidRPr="005C7441">
        <w:t>72.</w:t>
      </w:r>
      <w:r w:rsidRPr="005C7441">
        <w:tab/>
      </w:r>
      <w:proofErr w:type="gramStart"/>
      <w:r w:rsidRPr="005C7441">
        <w:t>В соответствии со статьей 22 Конвенции лица, которые утверждают, что они стали жертвами нарушения государством-участником положений Конве</w:t>
      </w:r>
      <w:r w:rsidRPr="005C7441">
        <w:t>н</w:t>
      </w:r>
      <w:r w:rsidRPr="005C7441">
        <w:t>ции, могут подать жалобу в Комитет против пыток для рассмотрения при усл</w:t>
      </w:r>
      <w:r w:rsidRPr="005C7441">
        <w:t>о</w:t>
      </w:r>
      <w:r w:rsidRPr="005C7441">
        <w:t xml:space="preserve">вии соблюдения предусмотренных в этой статье требований. </w:t>
      </w:r>
      <w:r w:rsidR="00BA24BB">
        <w:t>66</w:t>
      </w:r>
      <w:r w:rsidRPr="005C7441">
        <w:t xml:space="preserve"> государств − участников Конвенции заявили, что они признают компетенцию Комитета п</w:t>
      </w:r>
      <w:r w:rsidRPr="005C7441">
        <w:t>о</w:t>
      </w:r>
      <w:r w:rsidRPr="005C7441">
        <w:t>лучать и рассматривать жалобы в соответствии со статьей 22 Конвенции.</w:t>
      </w:r>
      <w:proofErr w:type="gramEnd"/>
      <w:r w:rsidRPr="005C7441">
        <w:t xml:space="preserve"> Ком</w:t>
      </w:r>
      <w:r w:rsidRPr="005C7441">
        <w:t>и</w:t>
      </w:r>
      <w:r w:rsidRPr="005C7441">
        <w:t>тет не вправе рассматривать какую-либо жалобу, если она касает</w:t>
      </w:r>
      <w:r w:rsidR="00BA24BB">
        <w:t>ся госуда</w:t>
      </w:r>
      <w:r w:rsidR="00BA24BB">
        <w:t>р</w:t>
      </w:r>
      <w:r w:rsidR="00BA24BB">
        <w:t>ства </w:t>
      </w:r>
      <w:r w:rsidRPr="005C7441">
        <w:t>− участника Конвенции, не признавшего компетенцию Комитета, пред</w:t>
      </w:r>
      <w:r w:rsidRPr="005C7441">
        <w:t>у</w:t>
      </w:r>
      <w:r w:rsidRPr="005C7441">
        <w:t>смотренную в статье 22.</w:t>
      </w:r>
    </w:p>
    <w:p w:rsidR="005C7441" w:rsidRPr="005C7441" w:rsidRDefault="005C7441" w:rsidP="005C7441">
      <w:pPr>
        <w:pStyle w:val="SingleTxtGR"/>
      </w:pPr>
      <w:r w:rsidRPr="005C7441">
        <w:t>73.</w:t>
      </w:r>
      <w:r w:rsidRPr="005C7441">
        <w:tab/>
        <w:t>В соответствии с пунктом</w:t>
      </w:r>
      <w:r w:rsidR="00BA24BB">
        <w:t xml:space="preserve"> </w:t>
      </w:r>
      <w:r w:rsidRPr="005C7441">
        <w:t>1 правила 104 своих правил процедуры Ком</w:t>
      </w:r>
      <w:r w:rsidRPr="005C7441">
        <w:t>и</w:t>
      </w:r>
      <w:r w:rsidRPr="005C7441">
        <w:t>тет учредил должность Докладчика по новым жалобам и временным мерам, к</w:t>
      </w:r>
      <w:r w:rsidRPr="005C7441">
        <w:t>о</w:t>
      </w:r>
      <w:r w:rsidRPr="005C7441">
        <w:t>торую в настоящее время занимает г-н Чжан.</w:t>
      </w:r>
    </w:p>
    <w:p w:rsidR="005C7441" w:rsidRPr="005C7441" w:rsidRDefault="005C7441" w:rsidP="005C7441">
      <w:pPr>
        <w:pStyle w:val="SingleTxtGR"/>
      </w:pPr>
      <w:r w:rsidRPr="005C7441">
        <w:t>74.</w:t>
      </w:r>
      <w:r w:rsidRPr="005C7441">
        <w:tab/>
        <w:t>Жалобы в соответствии со статьей 22 Конвенции рассматриваются на з</w:t>
      </w:r>
      <w:r w:rsidRPr="005C7441">
        <w:t>а</w:t>
      </w:r>
      <w:r w:rsidRPr="005C7441">
        <w:t>крытых заседаниях. Все документы, касающиеся работы Комитета в соотве</w:t>
      </w:r>
      <w:r w:rsidRPr="005C7441">
        <w:t>т</w:t>
      </w:r>
      <w:r w:rsidRPr="005C7441">
        <w:t>ствии со статьей 22, т.е. материалы, представляемые сторонами, и другие раб</w:t>
      </w:r>
      <w:r w:rsidRPr="005C7441">
        <w:t>о</w:t>
      </w:r>
      <w:r w:rsidRPr="005C7441">
        <w:t>чие документы Комитета</w:t>
      </w:r>
      <w:r w:rsidR="00BA24BB">
        <w:t>,</w:t>
      </w:r>
      <w:r w:rsidRPr="005C7441">
        <w:t xml:space="preserve"> носят конфиденциальный характер.</w:t>
      </w:r>
    </w:p>
    <w:p w:rsidR="005C7441" w:rsidRPr="005C7441" w:rsidRDefault="005C7441" w:rsidP="005C7441">
      <w:pPr>
        <w:pStyle w:val="SingleTxtGR"/>
      </w:pPr>
      <w:r w:rsidRPr="005C7441">
        <w:t>75.</w:t>
      </w:r>
      <w:r w:rsidRPr="005C7441">
        <w:tab/>
        <w:t>Комитет выносит решение по жалобе с учетом всей информации, пред</w:t>
      </w:r>
      <w:r w:rsidRPr="005C7441">
        <w:t>о</w:t>
      </w:r>
      <w:r w:rsidRPr="005C7441">
        <w:t>ставленной ему сторонами. Выводы Комитета препровождаются сторонам и д</w:t>
      </w:r>
      <w:r w:rsidRPr="005C7441">
        <w:t>о</w:t>
      </w:r>
      <w:r w:rsidRPr="005C7441">
        <w:t>водятся до сведения общественности. Текст вынесенных Комитетом решений, в которых жалобы объявляются неприемлемыми или в соответствии с которыми рассмотрение того или иного дела прекращается, также доводятся до сведения общест</w:t>
      </w:r>
      <w:r w:rsidR="00FA2857">
        <w:t>венности –</w:t>
      </w:r>
      <w:r w:rsidRPr="005C7441">
        <w:t xml:space="preserve"> без раскрытия личности заявителя, но с указанием соотве</w:t>
      </w:r>
      <w:r w:rsidRPr="005C7441">
        <w:t>т</w:t>
      </w:r>
      <w:r w:rsidRPr="005C7441">
        <w:t>с</w:t>
      </w:r>
      <w:r w:rsidR="00FA2857">
        <w:t>твующего государства-участника.</w:t>
      </w:r>
    </w:p>
    <w:p w:rsidR="005C7441" w:rsidRPr="005C7441" w:rsidRDefault="005C7441" w:rsidP="00FA2857">
      <w:pPr>
        <w:pStyle w:val="H1GR"/>
      </w:pPr>
      <w:r w:rsidRPr="005C7441">
        <w:tab/>
        <w:t>B.</w:t>
      </w:r>
      <w:r w:rsidRPr="005C7441">
        <w:tab/>
        <w:t>Временные меры защиты</w:t>
      </w:r>
      <w:bookmarkStart w:id="25" w:name="_Toc485738210"/>
      <w:bookmarkEnd w:id="25"/>
    </w:p>
    <w:p w:rsidR="005C7441" w:rsidRPr="005C7441" w:rsidRDefault="005C7441" w:rsidP="005C7441">
      <w:pPr>
        <w:pStyle w:val="SingleTxtGR"/>
      </w:pPr>
      <w:r w:rsidRPr="005C7441">
        <w:t>76.</w:t>
      </w:r>
      <w:r w:rsidRPr="005C7441">
        <w:tab/>
        <w:t>Заявители нередко обращаются с просьбами о применении к ним преве</w:t>
      </w:r>
      <w:r w:rsidRPr="005C7441">
        <w:t>н</w:t>
      </w:r>
      <w:r w:rsidRPr="005C7441">
        <w:t>тивных мер защиты, особенно в тех случаях, когда речь идет о неминуемой в</w:t>
      </w:r>
      <w:r w:rsidRPr="005C7441">
        <w:t>ы</w:t>
      </w:r>
      <w:r w:rsidRPr="005C7441">
        <w:t>сылке или экстрадиции, и утверждают в них о нарушении статьи 3 Конвенции. В соответствии с пунктом 1 правила 114 своих правил процедуры в любой м</w:t>
      </w:r>
      <w:r w:rsidRPr="005C7441">
        <w:t>о</w:t>
      </w:r>
      <w:r w:rsidRPr="005C7441">
        <w:t>мент после получения жалобы Комитет через своего Докладчика по новым ж</w:t>
      </w:r>
      <w:r w:rsidRPr="005C7441">
        <w:t>а</w:t>
      </w:r>
      <w:r w:rsidRPr="005C7441">
        <w:t>лобам и временным мерам может направить соответствующему государству-участнику просьбу о том, чтобы оно приняло такие временные меры, какие К</w:t>
      </w:r>
      <w:r w:rsidRPr="005C7441">
        <w:t>о</w:t>
      </w:r>
      <w:r w:rsidRPr="005C7441">
        <w:t>митет считает необходимыми во избежание причинения непоправимого ущерба жертв</w:t>
      </w:r>
      <w:proofErr w:type="gramStart"/>
      <w:r w:rsidRPr="005C7441">
        <w:t>е(</w:t>
      </w:r>
      <w:proofErr w:type="gramEnd"/>
      <w:r w:rsidRPr="005C7441">
        <w:t>ам) предполагаемого(ых) нарушения(й). Государство-участник уведо</w:t>
      </w:r>
      <w:r w:rsidRPr="005C7441">
        <w:t>м</w:t>
      </w:r>
      <w:r w:rsidRPr="005C7441">
        <w:t>ляется при этом, что такая просьба не предполагает принятия решения в отн</w:t>
      </w:r>
      <w:r w:rsidRPr="005C7441">
        <w:t>о</w:t>
      </w:r>
      <w:r w:rsidRPr="005C7441">
        <w:t>шении приемлемости жалобы или ее существа. В течение отчетного периода просьбы о принятии временных мер защиты были получены в связи с 70 жал</w:t>
      </w:r>
      <w:r w:rsidRPr="005C7441">
        <w:t>о</w:t>
      </w:r>
      <w:r w:rsidRPr="005C7441">
        <w:t>бами, из которых 45 были удовлетворе</w:t>
      </w:r>
      <w:r w:rsidR="00FA2857">
        <w:t>ны Докладчиком по новым жалобам</w:t>
      </w:r>
      <w:r w:rsidR="00FA2857">
        <w:br/>
      </w:r>
      <w:r w:rsidRPr="005C7441">
        <w:t>и временным мерам, регулярно следящим за выполнением направленных Ком</w:t>
      </w:r>
      <w:r w:rsidRPr="005C7441">
        <w:t>и</w:t>
      </w:r>
      <w:r w:rsidRPr="005C7441">
        <w:t>тетом просьб о временных мерах.</w:t>
      </w:r>
    </w:p>
    <w:p w:rsidR="005C7441" w:rsidRPr="005C7441" w:rsidRDefault="005C7441" w:rsidP="00FA2857">
      <w:pPr>
        <w:pStyle w:val="H1GR"/>
      </w:pPr>
      <w:r w:rsidRPr="005C7441">
        <w:tab/>
        <w:t>C.</w:t>
      </w:r>
      <w:r w:rsidRPr="005C7441">
        <w:tab/>
        <w:t>Ход работы</w:t>
      </w:r>
      <w:bookmarkStart w:id="26" w:name="_Toc485738211"/>
      <w:bookmarkEnd w:id="26"/>
    </w:p>
    <w:p w:rsidR="005C7441" w:rsidRPr="005C7441" w:rsidRDefault="005C7441" w:rsidP="005C7441">
      <w:pPr>
        <w:pStyle w:val="SingleTxtGR"/>
      </w:pPr>
      <w:r w:rsidRPr="005C7441">
        <w:t>77.</w:t>
      </w:r>
      <w:r w:rsidRPr="005C7441">
        <w:tab/>
        <w:t>На момент утверждения настоящего доклада Комитет с 1989 года зарег</w:t>
      </w:r>
      <w:r w:rsidRPr="005C7441">
        <w:t>и</w:t>
      </w:r>
      <w:r w:rsidRPr="005C7441">
        <w:t>стрировал 825 жалоб в отношении 38</w:t>
      </w:r>
      <w:r w:rsidR="00FA2857">
        <w:t xml:space="preserve"> государств-участников</w:t>
      </w:r>
      <w:r w:rsidRPr="003A4D4E">
        <w:rPr>
          <w:sz w:val="18"/>
          <w:vertAlign w:val="superscript"/>
        </w:rPr>
        <w:footnoteReference w:id="11"/>
      </w:r>
      <w:r w:rsidR="00FA2857">
        <w:t>.</w:t>
      </w:r>
      <w:r w:rsidRPr="005C7441">
        <w:t xml:space="preserve"> Из этого числа рассмотрение 234 жалоб было прекращено и 86 жалоб были признаны непр</w:t>
      </w:r>
      <w:r w:rsidRPr="005C7441">
        <w:t>и</w:t>
      </w:r>
      <w:r w:rsidRPr="005C7441">
        <w:t>емлемыми. Комитет принял окончательные решения по существу в отношении 329 жалоб и в 131 из них обнаружил нарушения Конвенции. 175 жалоб нах</w:t>
      </w:r>
      <w:r w:rsidRPr="005C7441">
        <w:t>о</w:t>
      </w:r>
      <w:r w:rsidRPr="005C7441">
        <w:t>дятся на рассмотрении. Со всеми решениями Комитета по существу, а также решениями о признании жалобы неприемлемой можно ознакомиться в базе данных договорных органов, касающихся рассмотрения дел (</w:t>
      </w:r>
      <w:r w:rsidR="00D43468">
        <w:fldChar w:fldCharType="begin"/>
      </w:r>
      <w:r w:rsidR="00D43468">
        <w:instrText xml:space="preserve"> HYPERLINK "http://juris.ohchr.org/" </w:instrText>
      </w:r>
      <w:r w:rsidR="00D43468">
        <w:fldChar w:fldCharType="separate"/>
      </w:r>
      <w:r w:rsidR="00BA24BB" w:rsidRPr="00BA24BB">
        <w:rPr>
          <w:rStyle w:val="af1"/>
          <w:lang w:val="en-GB"/>
        </w:rPr>
        <w:t>http</w:t>
      </w:r>
      <w:r w:rsidR="00BA24BB" w:rsidRPr="00BA24BB">
        <w:rPr>
          <w:rStyle w:val="af1"/>
        </w:rPr>
        <w:t>://</w:t>
      </w:r>
      <w:r w:rsidR="00BA24BB" w:rsidRPr="00BA24BB">
        <w:rPr>
          <w:rStyle w:val="af1"/>
          <w:lang w:val="en-GB"/>
        </w:rPr>
        <w:t>juris</w:t>
      </w:r>
      <w:r w:rsidR="00BA24BB" w:rsidRPr="00BA24BB">
        <w:rPr>
          <w:rStyle w:val="af1"/>
        </w:rPr>
        <w:t>.</w:t>
      </w:r>
      <w:r w:rsidR="00BA24BB">
        <w:rPr>
          <w:rStyle w:val="af1"/>
        </w:rPr>
        <w:t xml:space="preserve"> </w:t>
      </w:r>
      <w:r w:rsidR="00BA24BB" w:rsidRPr="00BA24BB">
        <w:rPr>
          <w:rStyle w:val="af1"/>
          <w:lang w:val="en-GB"/>
        </w:rPr>
        <w:t>ohchr</w:t>
      </w:r>
      <w:r w:rsidR="00BA24BB" w:rsidRPr="00BA24BB">
        <w:rPr>
          <w:rStyle w:val="af1"/>
        </w:rPr>
        <w:t>.</w:t>
      </w:r>
      <w:r w:rsidR="00BA24BB" w:rsidRPr="00BA24BB">
        <w:rPr>
          <w:rStyle w:val="af1"/>
          <w:lang w:val="en-GB"/>
        </w:rPr>
        <w:t>org</w:t>
      </w:r>
      <w:r w:rsidR="00BA24BB" w:rsidRPr="00BA24BB">
        <w:rPr>
          <w:rStyle w:val="af1"/>
        </w:rPr>
        <w:t>/</w:t>
      </w:r>
      <w:r w:rsidR="00D43468">
        <w:rPr>
          <w:rStyle w:val="af1"/>
        </w:rPr>
        <w:fldChar w:fldCharType="end"/>
      </w:r>
      <w:r w:rsidRPr="005C7441">
        <w:t>), на веб-сайте УВКПЧ (</w:t>
      </w:r>
      <w:r w:rsidR="00D43468">
        <w:fldChar w:fldCharType="begin"/>
      </w:r>
      <w:r w:rsidR="00D43468">
        <w:instrText xml:space="preserve"> HYPERLINK "http://www.ohchr.org/" </w:instrText>
      </w:r>
      <w:r w:rsidR="00D43468">
        <w:fldChar w:fldCharType="separate"/>
      </w:r>
      <w:r w:rsidR="00BA24BB" w:rsidRPr="00BA24BB">
        <w:rPr>
          <w:rStyle w:val="af1"/>
          <w:lang w:val="en-GB"/>
        </w:rPr>
        <w:t>www</w:t>
      </w:r>
      <w:r w:rsidR="00BA24BB" w:rsidRPr="00BA24BB">
        <w:rPr>
          <w:rStyle w:val="af1"/>
        </w:rPr>
        <w:t>2.</w:t>
      </w:r>
      <w:r w:rsidR="00BA24BB" w:rsidRPr="00BA24BB">
        <w:rPr>
          <w:rStyle w:val="af1"/>
          <w:lang w:val="en-GB"/>
        </w:rPr>
        <w:t>ohchr</w:t>
      </w:r>
      <w:r w:rsidR="00BA24BB" w:rsidRPr="00BA24BB">
        <w:rPr>
          <w:rStyle w:val="af1"/>
        </w:rPr>
        <w:t>.</w:t>
      </w:r>
      <w:r w:rsidR="00BA24BB" w:rsidRPr="00BA24BB">
        <w:rPr>
          <w:rStyle w:val="af1"/>
          <w:lang w:val="en-GB"/>
        </w:rPr>
        <w:t>org</w:t>
      </w:r>
      <w:r w:rsidR="00D43468">
        <w:rPr>
          <w:rStyle w:val="af1"/>
          <w:lang w:val="en-GB"/>
        </w:rPr>
        <w:fldChar w:fldCharType="end"/>
      </w:r>
      <w:r w:rsidRPr="005C7441">
        <w:t>), а также в Системе офиц</w:t>
      </w:r>
      <w:r w:rsidRPr="005C7441">
        <w:t>и</w:t>
      </w:r>
      <w:r w:rsidRPr="005C7441">
        <w:t>альной документации Организации Объединенных Наций (</w:t>
      </w:r>
      <w:r w:rsidR="00D43468">
        <w:fldChar w:fldCharType="begin"/>
      </w:r>
      <w:r w:rsidR="00D43468">
        <w:instrText xml:space="preserve"> HYPERLINK "http://documents.un.org" </w:instrText>
      </w:r>
      <w:r w:rsidR="00D43468">
        <w:fldChar w:fldCharType="separate"/>
      </w:r>
      <w:r w:rsidR="00BA24BB" w:rsidRPr="00BA24BB">
        <w:rPr>
          <w:rStyle w:val="af1"/>
          <w:lang w:val="en-GB"/>
        </w:rPr>
        <w:t>http</w:t>
      </w:r>
      <w:r w:rsidR="00BA24BB" w:rsidRPr="00BA24BB">
        <w:rPr>
          <w:rStyle w:val="af1"/>
        </w:rPr>
        <w:t>://</w:t>
      </w:r>
      <w:r w:rsidR="00BA24BB" w:rsidRPr="00BA24BB">
        <w:rPr>
          <w:rStyle w:val="af1"/>
          <w:lang w:val="en-GB"/>
        </w:rPr>
        <w:t>documents</w:t>
      </w:r>
      <w:r w:rsidR="00BA24BB" w:rsidRPr="00BA24BB">
        <w:rPr>
          <w:rStyle w:val="af1"/>
        </w:rPr>
        <w:t>.</w:t>
      </w:r>
      <w:r w:rsidR="00BA24BB">
        <w:rPr>
          <w:rStyle w:val="af1"/>
        </w:rPr>
        <w:t xml:space="preserve"> </w:t>
      </w:r>
      <w:r w:rsidR="00BA24BB" w:rsidRPr="00BA24BB">
        <w:rPr>
          <w:rStyle w:val="af1"/>
          <w:lang w:val="en-GB"/>
        </w:rPr>
        <w:t>un</w:t>
      </w:r>
      <w:r w:rsidR="00BA24BB" w:rsidRPr="00BA24BB">
        <w:rPr>
          <w:rStyle w:val="af1"/>
        </w:rPr>
        <w:t>.</w:t>
      </w:r>
      <w:r w:rsidR="00BA24BB" w:rsidRPr="00BA24BB">
        <w:rPr>
          <w:rStyle w:val="af1"/>
          <w:lang w:val="en-GB"/>
        </w:rPr>
        <w:t>org</w:t>
      </w:r>
      <w:r w:rsidR="00D43468">
        <w:rPr>
          <w:rStyle w:val="af1"/>
          <w:lang w:val="en-GB"/>
        </w:rPr>
        <w:fldChar w:fldCharType="end"/>
      </w:r>
      <w:r w:rsidRPr="005C7441">
        <w:t>).</w:t>
      </w:r>
    </w:p>
    <w:p w:rsidR="005C7441" w:rsidRPr="005C7441" w:rsidRDefault="005C7441" w:rsidP="005C7441">
      <w:pPr>
        <w:pStyle w:val="SingleTxtGR"/>
      </w:pPr>
      <w:r w:rsidRPr="005C7441">
        <w:t>78.</w:t>
      </w:r>
      <w:r w:rsidRPr="005C7441">
        <w:tab/>
        <w:t>На своей пятьдесят восьмой сессии Комитет принял решения по сущ</w:t>
      </w:r>
      <w:r w:rsidRPr="005C7441">
        <w:t>е</w:t>
      </w:r>
      <w:r w:rsidR="00BA24BB">
        <w:t>ству в отношении семи</w:t>
      </w:r>
      <w:r w:rsidRPr="005C7441">
        <w:t xml:space="preserve"> сообщени</w:t>
      </w:r>
      <w:r w:rsidR="00BA24BB">
        <w:t>й. В своем решении по сообщ</w:t>
      </w:r>
      <w:r w:rsidR="00BA24BB">
        <w:t>е</w:t>
      </w:r>
      <w:r w:rsidR="00BA24BB">
        <w:t>нию № </w:t>
      </w:r>
      <w:r w:rsidRPr="005C7441">
        <w:t xml:space="preserve">682/2015, </w:t>
      </w:r>
      <w:proofErr w:type="spellStart"/>
      <w:r w:rsidRPr="005C7441">
        <w:rPr>
          <w:i/>
          <w:iCs/>
        </w:rPr>
        <w:t>Альхадж</w:t>
      </w:r>
      <w:proofErr w:type="spellEnd"/>
      <w:r w:rsidRPr="005C7441">
        <w:rPr>
          <w:i/>
          <w:iCs/>
        </w:rPr>
        <w:t xml:space="preserve"> Али против Марокко, </w:t>
      </w:r>
      <w:r w:rsidRPr="005C7441">
        <w:t>Комитет пришел к выводу о том, что выдача супруга заявителя Саудовской Аравии явилась нарушением государством-участником статьи 3 Конв</w:t>
      </w:r>
      <w:r w:rsidR="00BA24BB">
        <w:t xml:space="preserve">енции. </w:t>
      </w:r>
      <w:proofErr w:type="gramStart"/>
      <w:r w:rsidR="00BA24BB">
        <w:t>В решениях по сообщен</w:t>
      </w:r>
      <w:r w:rsidR="00BA24BB">
        <w:t>и</w:t>
      </w:r>
      <w:r w:rsidR="00BA24BB">
        <w:t>ям № </w:t>
      </w:r>
      <w:r w:rsidRPr="005C7441">
        <w:t xml:space="preserve">595/2014, </w:t>
      </w:r>
      <w:r w:rsidRPr="005C7441">
        <w:rPr>
          <w:i/>
          <w:iCs/>
        </w:rPr>
        <w:t xml:space="preserve">Д.М. против Австралии, </w:t>
      </w:r>
      <w:r w:rsidRPr="005C7441">
        <w:t xml:space="preserve">№ 599/2014, </w:t>
      </w:r>
      <w:r w:rsidRPr="005C7441">
        <w:rPr>
          <w:i/>
          <w:iCs/>
        </w:rPr>
        <w:t>Т. против Австралии,</w:t>
      </w:r>
      <w:r w:rsidR="00BA24BB">
        <w:rPr>
          <w:i/>
          <w:iCs/>
        </w:rPr>
        <w:br/>
      </w:r>
      <w:r w:rsidRPr="005C7441">
        <w:t xml:space="preserve">№ 600/2014, </w:t>
      </w:r>
      <w:r w:rsidRPr="005C7441">
        <w:rPr>
          <w:i/>
          <w:iCs/>
        </w:rPr>
        <w:t>К.В. против Австралии,</w:t>
      </w:r>
      <w:r w:rsidRPr="005C7441">
        <w:t xml:space="preserve"> № 608/2014, </w:t>
      </w:r>
      <w:r w:rsidRPr="005C7441">
        <w:rPr>
          <w:i/>
          <w:iCs/>
        </w:rPr>
        <w:t>М.Н. против Австралии,</w:t>
      </w:r>
      <w:r w:rsidR="00BA24BB">
        <w:br/>
      </w:r>
      <w:r w:rsidRPr="005C7441">
        <w:t xml:space="preserve">№ 609/2014, </w:t>
      </w:r>
      <w:r w:rsidRPr="005C7441">
        <w:rPr>
          <w:i/>
          <w:iCs/>
        </w:rPr>
        <w:t>Р.К. против Австралии</w:t>
      </w:r>
      <w:r w:rsidRPr="005C7441">
        <w:t xml:space="preserve"> и № 616/2014, </w:t>
      </w:r>
      <w:r w:rsidRPr="005C7441">
        <w:rPr>
          <w:i/>
          <w:iCs/>
        </w:rPr>
        <w:t>Дж.И. против Австралии,</w:t>
      </w:r>
      <w:r w:rsidRPr="005C7441">
        <w:t xml:space="preserve"> Комитет пришел к выводу о том, что принудительное возвращение заявителей будет представлять собой нарушение со сторо</w:t>
      </w:r>
      <w:r w:rsidR="00BA24BB">
        <w:t>ны государства-участника ст</w:t>
      </w:r>
      <w:r w:rsidR="00BA24BB">
        <w:t>а</w:t>
      </w:r>
      <w:r w:rsidR="00BA24BB">
        <w:t>тьи </w:t>
      </w:r>
      <w:r w:rsidRPr="005C7441">
        <w:t>3 Конвенции.</w:t>
      </w:r>
      <w:proofErr w:type="gramEnd"/>
    </w:p>
    <w:p w:rsidR="005C7441" w:rsidRPr="005C7441" w:rsidRDefault="005C7441" w:rsidP="005C7441">
      <w:pPr>
        <w:pStyle w:val="SingleTxtGR"/>
      </w:pPr>
      <w:r w:rsidRPr="005C7441">
        <w:t>79.</w:t>
      </w:r>
      <w:r w:rsidRPr="005C7441">
        <w:tab/>
      </w:r>
      <w:proofErr w:type="gramStart"/>
      <w:r w:rsidRPr="005C7441">
        <w:t xml:space="preserve">Кроме того, два сообщения, а именно: № 607/2014, </w:t>
      </w:r>
      <w:r w:rsidRPr="005C7441">
        <w:rPr>
          <w:i/>
          <w:iCs/>
        </w:rPr>
        <w:t>Р.К. против Дании,</w:t>
      </w:r>
      <w:r w:rsidR="00FA2857">
        <w:br/>
      </w:r>
      <w:r w:rsidRPr="005C7441">
        <w:t xml:space="preserve">и № 627/2014, </w:t>
      </w:r>
      <w:r w:rsidRPr="005C7441">
        <w:rPr>
          <w:i/>
          <w:iCs/>
        </w:rPr>
        <w:t>Х. против Швеции</w:t>
      </w:r>
      <w:r w:rsidRPr="005C7441">
        <w:t>, Комитет признал неприемлемыми, два соо</w:t>
      </w:r>
      <w:r w:rsidRPr="005C7441">
        <w:t>б</w:t>
      </w:r>
      <w:r w:rsidRPr="005C7441">
        <w:t xml:space="preserve">щения, а именно: № 650/2015, </w:t>
      </w:r>
      <w:r w:rsidRPr="005C7441">
        <w:rPr>
          <w:i/>
          <w:iCs/>
        </w:rPr>
        <w:t xml:space="preserve">О.Д. против Марокко, </w:t>
      </w:r>
      <w:r w:rsidR="00FA2857">
        <w:t>и № 710/2015,</w:t>
      </w:r>
      <w:r w:rsidR="00FA2857">
        <w:br/>
      </w:r>
      <w:r w:rsidRPr="005C7441">
        <w:rPr>
          <w:i/>
          <w:iCs/>
        </w:rPr>
        <w:t xml:space="preserve">А.М.А. против Швейцарии, </w:t>
      </w:r>
      <w:r w:rsidRPr="005C7441">
        <w:t>он признал приемлемыми, а рассмотрение сообщ</w:t>
      </w:r>
      <w:r w:rsidRPr="005C7441">
        <w:t>е</w:t>
      </w:r>
      <w:r w:rsidRPr="005C7441">
        <w:t xml:space="preserve">ний № 645/2014, </w:t>
      </w:r>
      <w:r w:rsidRPr="005C7441">
        <w:rPr>
          <w:i/>
        </w:rPr>
        <w:t>Г.Т. против Австралии,</w:t>
      </w:r>
      <w:r w:rsidRPr="005C7441">
        <w:t xml:space="preserve"> и № 559/2013,</w:t>
      </w:r>
      <w:r w:rsidRPr="005C7441">
        <w:rPr>
          <w:i/>
        </w:rPr>
        <w:t xml:space="preserve"> П.Р. против Швейц</w:t>
      </w:r>
      <w:r w:rsidRPr="005C7441">
        <w:rPr>
          <w:i/>
        </w:rPr>
        <w:t>а</w:t>
      </w:r>
      <w:r w:rsidRPr="005C7441">
        <w:rPr>
          <w:i/>
        </w:rPr>
        <w:t>рии</w:t>
      </w:r>
      <w:r w:rsidRPr="005C7441">
        <w:t>, он постановил</w:t>
      </w:r>
      <w:proofErr w:type="gramEnd"/>
      <w:r w:rsidRPr="005C7441">
        <w:t xml:space="preserve"> прекратить.</w:t>
      </w:r>
    </w:p>
    <w:p w:rsidR="005C7441" w:rsidRPr="005C7441" w:rsidRDefault="005C7441" w:rsidP="005C7441">
      <w:pPr>
        <w:pStyle w:val="SingleTxtGR"/>
      </w:pPr>
      <w:r w:rsidRPr="005C7441">
        <w:t>80.</w:t>
      </w:r>
      <w:r w:rsidRPr="005C7441">
        <w:tab/>
        <w:t>На своей пятьдесят девятой сессии 2 декабря 2016 года Комитет впервые с момента своего создания провел при содействии Фонда Рене Кассена засед</w:t>
      </w:r>
      <w:r w:rsidRPr="005C7441">
        <w:t>а</w:t>
      </w:r>
      <w:r w:rsidRPr="005C7441">
        <w:t>ние с участием судей Европейского суда по правам человека. На этом заседании были обсуждены вопросы, представлявшие общий интерес и касавшиеся пр</w:t>
      </w:r>
      <w:r w:rsidRPr="005C7441">
        <w:t>о</w:t>
      </w:r>
      <w:r w:rsidRPr="005C7441">
        <w:t>цедуры рассмотрения индивидуальных жалоб и судебной практики. В ходе той же сессии Комитет принял решения по сущ</w:t>
      </w:r>
      <w:r w:rsidR="00FA2857">
        <w:t>еству в отношении 11 сообщений.</w:t>
      </w:r>
      <w:r w:rsidR="00FA2857">
        <w:br/>
      </w:r>
      <w:proofErr w:type="gramStart"/>
      <w:r w:rsidRPr="005C7441">
        <w:t>В своих решениях по сообщениям № 581/2014,</w:t>
      </w:r>
      <w:r w:rsidRPr="005C7441">
        <w:rPr>
          <w:i/>
          <w:iCs/>
        </w:rPr>
        <w:t xml:space="preserve"> С.С. против Канады</w:t>
      </w:r>
      <w:r w:rsidR="00FA2857">
        <w:t>,</w:t>
      </w:r>
      <w:r w:rsidR="00FA2857">
        <w:br/>
      </w:r>
      <w:r w:rsidRPr="005C7441">
        <w:t xml:space="preserve">№ 582/2014, </w:t>
      </w:r>
      <w:r w:rsidRPr="005C7441">
        <w:rPr>
          <w:i/>
          <w:iCs/>
        </w:rPr>
        <w:t>Н.С. против Канады,</w:t>
      </w:r>
      <w:r w:rsidRPr="005C7441">
        <w:t xml:space="preserve"> № 633/2014, </w:t>
      </w:r>
      <w:r w:rsidRPr="005C7441">
        <w:rPr>
          <w:i/>
          <w:iCs/>
        </w:rPr>
        <w:t>Я.С. против Австралии,</w:t>
      </w:r>
      <w:r w:rsidR="00FA2857">
        <w:br/>
      </w:r>
      <w:r w:rsidRPr="005C7441">
        <w:t xml:space="preserve">№ 644/2014, </w:t>
      </w:r>
      <w:r w:rsidRPr="005C7441">
        <w:rPr>
          <w:i/>
          <w:iCs/>
        </w:rPr>
        <w:t>Р.О. и др. против Швеции,</w:t>
      </w:r>
      <w:r w:rsidRPr="005C7441">
        <w:t xml:space="preserve"> № 649/2015,</w:t>
      </w:r>
      <w:r w:rsidRPr="005C7441">
        <w:rPr>
          <w:i/>
          <w:iCs/>
        </w:rPr>
        <w:t xml:space="preserve"> К.Н. против Австралии,</w:t>
      </w:r>
      <w:r w:rsidR="00FA2857">
        <w:br/>
      </w:r>
      <w:r w:rsidRPr="005C7441">
        <w:t>№ 652/2015,</w:t>
      </w:r>
      <w:r w:rsidRPr="005C7441">
        <w:rPr>
          <w:i/>
          <w:iCs/>
        </w:rPr>
        <w:t xml:space="preserve"> Э.С. против Австралии</w:t>
      </w:r>
      <w:r w:rsidRPr="005C7441">
        <w:t xml:space="preserve">, № 658/2015, </w:t>
      </w:r>
      <w:r w:rsidRPr="005C7441">
        <w:rPr>
          <w:i/>
          <w:iCs/>
        </w:rPr>
        <w:t>М.Ф. против Швейцарии</w:t>
      </w:r>
      <w:r w:rsidR="00FA2857">
        <w:br/>
      </w:r>
      <w:r w:rsidRPr="005C7441">
        <w:t xml:space="preserve">и № 666/2015, </w:t>
      </w:r>
      <w:r w:rsidRPr="005C7441">
        <w:rPr>
          <w:i/>
          <w:iCs/>
        </w:rPr>
        <w:t>Л.П. против Австралии</w:t>
      </w:r>
      <w:r w:rsidRPr="005C7441">
        <w:t>, Комитет пришел к выводу</w:t>
      </w:r>
      <w:proofErr w:type="gramEnd"/>
      <w:r w:rsidRPr="005C7441">
        <w:t xml:space="preserve"> о том, что принудительное возвращение заявителей не будет представлять собой наруш</w:t>
      </w:r>
      <w:r w:rsidRPr="005C7441">
        <w:t>е</w:t>
      </w:r>
      <w:r w:rsidRPr="005C7441">
        <w:t>ние государствами-участниками статьи 3 Конвенции. В решении по</w:t>
      </w:r>
      <w:r w:rsidR="00BA24BB">
        <w:t xml:space="preserve"> сообщ</w:t>
      </w:r>
      <w:r w:rsidR="00BA24BB">
        <w:t>е</w:t>
      </w:r>
      <w:r w:rsidR="00BA24BB">
        <w:t>нию </w:t>
      </w:r>
      <w:r w:rsidRPr="005C7441">
        <w:t xml:space="preserve">№ 549/2013, </w:t>
      </w:r>
      <w:proofErr w:type="spellStart"/>
      <w:r w:rsidRPr="005C7441">
        <w:rPr>
          <w:i/>
          <w:iCs/>
        </w:rPr>
        <w:t>Кабура</w:t>
      </w:r>
      <w:proofErr w:type="spellEnd"/>
      <w:r w:rsidRPr="005C7441">
        <w:rPr>
          <w:i/>
          <w:iCs/>
        </w:rPr>
        <w:t xml:space="preserve"> против Бурунди,</w:t>
      </w:r>
      <w:r w:rsidRPr="005C7441">
        <w:t xml:space="preserve"> Комитет пришел к выводу о том, что государство-участник совершило нарушения пр</w:t>
      </w:r>
      <w:r w:rsidR="00BA24BB">
        <w:t>ав заявителя по пункту 1 ст</w:t>
      </w:r>
      <w:r w:rsidR="00BA24BB">
        <w:t>а</w:t>
      </w:r>
      <w:r w:rsidR="00BA24BB">
        <w:t>тьи </w:t>
      </w:r>
      <w:r w:rsidRPr="005C7441">
        <w:t>2, рассматриваемому вместе со статьей 1, и по статья</w:t>
      </w:r>
      <w:r w:rsidR="002C0124">
        <w:t>м 12–</w:t>
      </w:r>
      <w:r w:rsidRPr="005C7441">
        <w:t>16, рассматрив</w:t>
      </w:r>
      <w:r w:rsidRPr="005C7441">
        <w:t>а</w:t>
      </w:r>
      <w:r w:rsidRPr="005C7441">
        <w:t xml:space="preserve">емым вместе со статьей 11 Конвенции. В решении по сообщению № 606/2014, </w:t>
      </w:r>
      <w:r w:rsidRPr="005C7441">
        <w:rPr>
          <w:i/>
          <w:iCs/>
        </w:rPr>
        <w:t>Асфари против Марокко,</w:t>
      </w:r>
      <w:r w:rsidRPr="005C7441">
        <w:t xml:space="preserve"> Комитет пришел к выводу о том, что государство-участник совершило нарушение п</w:t>
      </w:r>
      <w:r w:rsidR="002C0124">
        <w:t>рав заявителя по статьям 1 и 12–</w:t>
      </w:r>
      <w:r w:rsidRPr="005C7441">
        <w:t>16. В реш</w:t>
      </w:r>
      <w:r w:rsidRPr="005C7441">
        <w:t>е</w:t>
      </w:r>
      <w:r w:rsidRPr="005C7441">
        <w:t xml:space="preserve">нии по сообщению № 634/2014, </w:t>
      </w:r>
      <w:r w:rsidRPr="005C7441">
        <w:rPr>
          <w:i/>
          <w:iCs/>
        </w:rPr>
        <w:t>M.Б. и др. против Дании,</w:t>
      </w:r>
      <w:r w:rsidRPr="005C7441">
        <w:t xml:space="preserve"> Комитет пришел к выводу о том, что принудительное возвращение заявителей в Российскую Ф</w:t>
      </w:r>
      <w:r w:rsidRPr="005C7441">
        <w:t>е</w:t>
      </w:r>
      <w:r w:rsidRPr="005C7441">
        <w:t>дерацию будет представлять собой нарушение</w:t>
      </w:r>
      <w:r w:rsidR="00814C08">
        <w:t xml:space="preserve"> государством-участником ст</w:t>
      </w:r>
      <w:r w:rsidR="00814C08">
        <w:t>а</w:t>
      </w:r>
      <w:r w:rsidR="00814C08">
        <w:t>тьи </w:t>
      </w:r>
      <w:r w:rsidRPr="005C7441">
        <w:t>3 Конвенции.</w:t>
      </w:r>
    </w:p>
    <w:p w:rsidR="005C7441" w:rsidRPr="005C7441" w:rsidRDefault="005C7441" w:rsidP="005C7441">
      <w:pPr>
        <w:pStyle w:val="SingleTxtGR"/>
      </w:pPr>
      <w:r w:rsidRPr="005C7441">
        <w:t>81.</w:t>
      </w:r>
      <w:r w:rsidRPr="005C7441">
        <w:tab/>
      </w:r>
      <w:proofErr w:type="gramStart"/>
      <w:r w:rsidRPr="005C7441">
        <w:t xml:space="preserve">Кроме того, сообщение № 691/2015, </w:t>
      </w:r>
      <w:r w:rsidRPr="005C7441">
        <w:rPr>
          <w:i/>
          <w:iCs/>
        </w:rPr>
        <w:t>С.С. против Швеции,</w:t>
      </w:r>
      <w:r w:rsidRPr="005C7441">
        <w:t xml:space="preserve"> Комитет пр</w:t>
      </w:r>
      <w:r w:rsidRPr="005C7441">
        <w:t>и</w:t>
      </w:r>
      <w:r w:rsidRPr="005C7441">
        <w:t>знал приемлемым, три сообщения, а именно: № 610/2014,</w:t>
      </w:r>
      <w:r w:rsidRPr="005C7441">
        <w:rPr>
          <w:i/>
          <w:iCs/>
        </w:rPr>
        <w:t xml:space="preserve"> Р.М. против Швеции,</w:t>
      </w:r>
      <w:r w:rsidRPr="005C7441">
        <w:t xml:space="preserve"> № 686/2015, </w:t>
      </w:r>
      <w:r w:rsidRPr="005C7441">
        <w:rPr>
          <w:i/>
          <w:iCs/>
        </w:rPr>
        <w:t>X. против Швейцарии,</w:t>
      </w:r>
      <w:r w:rsidRPr="005C7441">
        <w:t xml:space="preserve"> и № 697/2015, </w:t>
      </w:r>
      <w:r w:rsidRPr="005C7441">
        <w:rPr>
          <w:i/>
          <w:iCs/>
        </w:rPr>
        <w:t>X. и др. против Швейцарии</w:t>
      </w:r>
      <w:r w:rsidRPr="005C7441">
        <w:t xml:space="preserve">, он признал неприемлемым, а рассмотрение сообщений № 459/2011, </w:t>
      </w:r>
      <w:r w:rsidRPr="005C7441">
        <w:rPr>
          <w:i/>
          <w:iCs/>
        </w:rPr>
        <w:t>М.Х. и Р.Х. против Швейцарии</w:t>
      </w:r>
      <w:r w:rsidRPr="005C7441">
        <w:t xml:space="preserve">, № 506/2012, , </w:t>
      </w:r>
      <w:r w:rsidRPr="005C7441">
        <w:rPr>
          <w:i/>
          <w:iCs/>
        </w:rPr>
        <w:t>Н.А.А. против Швейцарии,</w:t>
      </w:r>
      <w:r w:rsidR="002C0124">
        <w:t xml:space="preserve"> № 588/2014,</w:t>
      </w:r>
      <w:r w:rsidR="002C0124">
        <w:br/>
      </w:r>
      <w:r w:rsidRPr="002C0124">
        <w:rPr>
          <w:i/>
        </w:rPr>
        <w:t>А.</w:t>
      </w:r>
      <w:proofErr w:type="gramEnd"/>
      <w:r w:rsidRPr="002C0124">
        <w:rPr>
          <w:i/>
        </w:rPr>
        <w:t>Л. против Канады</w:t>
      </w:r>
      <w:r w:rsidRPr="005C7441">
        <w:t xml:space="preserve">, № 603/2014, </w:t>
      </w:r>
      <w:r w:rsidRPr="005C7441">
        <w:rPr>
          <w:i/>
          <w:iCs/>
        </w:rPr>
        <w:t xml:space="preserve">К.С. против Австралии, </w:t>
      </w:r>
      <w:r w:rsidR="002C0124">
        <w:t>№ 626/2014,</w:t>
      </w:r>
      <w:r w:rsidR="002C0124">
        <w:br/>
      </w:r>
      <w:r w:rsidRPr="005C7441">
        <w:rPr>
          <w:i/>
          <w:iCs/>
        </w:rPr>
        <w:t xml:space="preserve">С.Р. против Австралии, </w:t>
      </w:r>
      <w:r w:rsidRPr="005C7441">
        <w:t xml:space="preserve">№ 630/2014, </w:t>
      </w:r>
      <w:r w:rsidRPr="005C7441">
        <w:rPr>
          <w:i/>
          <w:iCs/>
        </w:rPr>
        <w:t>С.М. против Канады,</w:t>
      </w:r>
      <w:r w:rsidR="002C0124">
        <w:t xml:space="preserve"> № 664/2015,</w:t>
      </w:r>
      <w:r w:rsidR="002C0124">
        <w:br/>
      </w:r>
      <w:r w:rsidRPr="005C7441">
        <w:rPr>
          <w:i/>
          <w:iCs/>
        </w:rPr>
        <w:t>Я.М. против Швейцарии</w:t>
      </w:r>
      <w:r w:rsidRPr="005C7441">
        <w:t xml:space="preserve">, № 668/2015, </w:t>
      </w:r>
      <w:r w:rsidRPr="005C7441">
        <w:rPr>
          <w:i/>
          <w:iCs/>
        </w:rPr>
        <w:t>М.М. против Швеции,</w:t>
      </w:r>
      <w:r w:rsidRPr="005C7441">
        <w:t xml:space="preserve"> № 670/2015,</w:t>
      </w:r>
      <w:r w:rsidRPr="005C7441">
        <w:rPr>
          <w:i/>
          <w:iCs/>
        </w:rPr>
        <w:t xml:space="preserve"> Ю.П.А. против Швеции, </w:t>
      </w:r>
      <w:r w:rsidRPr="005C7441">
        <w:t xml:space="preserve">и № 762/2016, </w:t>
      </w:r>
      <w:r w:rsidRPr="005C7441">
        <w:rPr>
          <w:i/>
          <w:iCs/>
        </w:rPr>
        <w:t>А.А. против Швейцарии,</w:t>
      </w:r>
      <w:r w:rsidRPr="005C7441">
        <w:t xml:space="preserve"> он постановил прекра</w:t>
      </w:r>
      <w:r w:rsidR="002C0124">
        <w:t>тить.</w:t>
      </w:r>
    </w:p>
    <w:p w:rsidR="005C7441" w:rsidRPr="005C7441" w:rsidRDefault="005C7441" w:rsidP="005C7441">
      <w:pPr>
        <w:pStyle w:val="SingleTxtGR"/>
      </w:pPr>
      <w:r w:rsidRPr="005C7441">
        <w:t>82.</w:t>
      </w:r>
      <w:r w:rsidRPr="005C7441">
        <w:tab/>
        <w:t xml:space="preserve">На своей шестидесятой сессии Комитет принял решения по существу в отношении 17 сообщений. В решении по сообщению № 573/2013, </w:t>
      </w:r>
      <w:r w:rsidRPr="005C7441">
        <w:rPr>
          <w:i/>
          <w:iCs/>
        </w:rPr>
        <w:t>С.Д. и Э.Д. против Грузии,</w:t>
      </w:r>
      <w:r w:rsidRPr="005C7441">
        <w:t xml:space="preserve"> Комитет пришел к выводу о том, что государство-участник с</w:t>
      </w:r>
      <w:r w:rsidRPr="005C7441">
        <w:t>о</w:t>
      </w:r>
      <w:r w:rsidRPr="005C7441">
        <w:t>вершило нарушения статей 12 и 13, рассматриваемых вместе со статьей 1 Ко</w:t>
      </w:r>
      <w:r w:rsidRPr="005C7441">
        <w:t>н</w:t>
      </w:r>
      <w:r w:rsidRPr="005C7441">
        <w:t>венции, в отношении обоих заявителей, и пункта 1 статьи 16 Конвенции, в о</w:t>
      </w:r>
      <w:r w:rsidRPr="005C7441">
        <w:t>т</w:t>
      </w:r>
      <w:r w:rsidRPr="005C7441">
        <w:t xml:space="preserve">ношении второго заявителя. В решении по сообщению № 579/2013, </w:t>
      </w:r>
      <w:r w:rsidRPr="005C7441">
        <w:rPr>
          <w:i/>
          <w:iCs/>
        </w:rPr>
        <w:t>Г.Н. и С.Н. против Бурунди</w:t>
      </w:r>
      <w:r w:rsidRPr="005C7441">
        <w:t>, Комитет пришел к выводу о том, что государство-участник с</w:t>
      </w:r>
      <w:r w:rsidRPr="005C7441">
        <w:t>о</w:t>
      </w:r>
      <w:r w:rsidRPr="005C7441">
        <w:t>вершило</w:t>
      </w:r>
      <w:r w:rsidR="002C0124">
        <w:t xml:space="preserve"> нарушения статьи 1 и статей 12–</w:t>
      </w:r>
      <w:r w:rsidRPr="005C7441">
        <w:t>16, рассматриваемых отдельно и вм</w:t>
      </w:r>
      <w:r w:rsidRPr="005C7441">
        <w:t>е</w:t>
      </w:r>
      <w:r w:rsidRPr="005C7441">
        <w:t xml:space="preserve">сте со статьей 1 Конвенции. В решении по сообщению № 612/2014, </w:t>
      </w:r>
      <w:r w:rsidRPr="005C7441">
        <w:rPr>
          <w:i/>
          <w:iCs/>
        </w:rPr>
        <w:t>Нтунзв</w:t>
      </w:r>
      <w:r w:rsidRPr="005C7441">
        <w:rPr>
          <w:i/>
          <w:iCs/>
        </w:rPr>
        <w:t>е</w:t>
      </w:r>
      <w:r w:rsidRPr="005C7441">
        <w:rPr>
          <w:i/>
          <w:iCs/>
        </w:rPr>
        <w:t>найо против Бурунди,</w:t>
      </w:r>
      <w:r w:rsidRPr="005C7441">
        <w:t xml:space="preserve"> Комитет пришел к выводу о том, что государство-участник совершило нарушение пункта 1 статьи 2, рассматриваемой вме</w:t>
      </w:r>
      <w:r w:rsidR="002C0124">
        <w:t>сте со статьей 1, и статей 11–</w:t>
      </w:r>
      <w:r w:rsidRPr="005C7441">
        <w:t xml:space="preserve">15 Конвенции. В решении по сообщению № 651/2015, </w:t>
      </w:r>
      <w:r w:rsidRPr="005C7441">
        <w:rPr>
          <w:i/>
          <w:iCs/>
        </w:rPr>
        <w:t>Ушенин против Казахстана</w:t>
      </w:r>
      <w:r w:rsidRPr="005C7441">
        <w:t xml:space="preserve">, Комитет пришел к выводу о том, что государство-участник совершило нарушение статьи 1, рассматриваемой вместе с </w:t>
      </w:r>
      <w:r w:rsidR="002C0124">
        <w:t>пунктом 1 статьи 2, и статей 12–</w:t>
      </w:r>
      <w:r w:rsidRPr="005C7441">
        <w:t>14 Конвенции. В своих решениях по сооб</w:t>
      </w:r>
      <w:r w:rsidR="002C0124">
        <w:t>щен</w:t>
      </w:r>
      <w:r w:rsidR="002C0124">
        <w:t>и</w:t>
      </w:r>
      <w:r w:rsidR="002C0124">
        <w:t>ям</w:t>
      </w:r>
      <w:r w:rsidR="00BA24BB">
        <w:t> № </w:t>
      </w:r>
      <w:r w:rsidRPr="005C7441">
        <w:t xml:space="preserve">639/2014, </w:t>
      </w:r>
      <w:proofErr w:type="spellStart"/>
      <w:r w:rsidRPr="005C7441">
        <w:rPr>
          <w:i/>
          <w:iCs/>
        </w:rPr>
        <w:t>Абдалла</w:t>
      </w:r>
      <w:proofErr w:type="spellEnd"/>
      <w:r w:rsidRPr="005C7441">
        <w:rPr>
          <w:i/>
          <w:iCs/>
        </w:rPr>
        <w:t xml:space="preserve"> против Швейцарии</w:t>
      </w:r>
      <w:r w:rsidRPr="005C7441">
        <w:t xml:space="preserve">, № 653/2015, </w:t>
      </w:r>
      <w:r w:rsidRPr="005C7441">
        <w:rPr>
          <w:i/>
          <w:iCs/>
        </w:rPr>
        <w:t>А.М.Д. и др. против Дании</w:t>
      </w:r>
      <w:r w:rsidRPr="005C7441">
        <w:t xml:space="preserve">, № 681/2015, </w:t>
      </w:r>
      <w:r w:rsidRPr="005C7441">
        <w:rPr>
          <w:i/>
          <w:iCs/>
        </w:rPr>
        <w:t>Масуми против Австралии,</w:t>
      </w:r>
      <w:r w:rsidRPr="005C7441">
        <w:t xml:space="preserve"> и № 701/2015, </w:t>
      </w:r>
      <w:r w:rsidRPr="005C7441">
        <w:rPr>
          <w:i/>
          <w:iCs/>
        </w:rPr>
        <w:t>М.Х.К. против Австралии</w:t>
      </w:r>
      <w:r w:rsidRPr="005C7441">
        <w:t>, Комитет пришел к выводу о том, что принудительное возвращение заявителей представляло бы собой нарушение г</w:t>
      </w:r>
      <w:r w:rsidR="002C0124">
        <w:t>осударствами-участниками ст</w:t>
      </w:r>
      <w:r w:rsidR="002C0124">
        <w:t>а</w:t>
      </w:r>
      <w:r w:rsidR="002C0124">
        <w:t>тьи </w:t>
      </w:r>
      <w:r w:rsidRPr="005C7441">
        <w:t xml:space="preserve">3 Конвенции. </w:t>
      </w:r>
      <w:proofErr w:type="gramStart"/>
      <w:r w:rsidRPr="005C7441">
        <w:t>В своих решениях по сообщениям № 465/2011,</w:t>
      </w:r>
      <w:r w:rsidRPr="005C7441">
        <w:rPr>
          <w:i/>
          <w:iCs/>
        </w:rPr>
        <w:t xml:space="preserve"> А.П</w:t>
      </w:r>
      <w:r w:rsidR="00CA57BC">
        <w:rPr>
          <w:i/>
          <w:iCs/>
        </w:rPr>
        <w:t>.</w:t>
      </w:r>
      <w:r w:rsidRPr="005C7441">
        <w:rPr>
          <w:i/>
          <w:iCs/>
        </w:rPr>
        <w:t xml:space="preserve"> против Финляндии</w:t>
      </w:r>
      <w:r w:rsidRPr="005C7441">
        <w:t xml:space="preserve">, № 515/2012, </w:t>
      </w:r>
      <w:r w:rsidRPr="005C7441">
        <w:rPr>
          <w:i/>
          <w:iCs/>
        </w:rPr>
        <w:t>Дж.Т. против Канады</w:t>
      </w:r>
      <w:r w:rsidRPr="005C7441">
        <w:t xml:space="preserve">, № 602/2014, </w:t>
      </w:r>
      <w:r w:rsidRPr="005C7441">
        <w:rPr>
          <w:i/>
          <w:iCs/>
        </w:rPr>
        <w:t>С.С.Б. против Д</w:t>
      </w:r>
      <w:r w:rsidRPr="005C7441">
        <w:rPr>
          <w:i/>
          <w:iCs/>
        </w:rPr>
        <w:t>а</w:t>
      </w:r>
      <w:r w:rsidRPr="005C7441">
        <w:rPr>
          <w:i/>
          <w:iCs/>
        </w:rPr>
        <w:t>нии</w:t>
      </w:r>
      <w:r w:rsidRPr="005C7441">
        <w:t xml:space="preserve">, № 623/2014, </w:t>
      </w:r>
      <w:r w:rsidRPr="005C7441">
        <w:rPr>
          <w:i/>
          <w:iCs/>
        </w:rPr>
        <w:t>Н.К. против Нидерландов</w:t>
      </w:r>
      <w:r w:rsidRPr="005C7441">
        <w:t xml:space="preserve">, № 648/2015, </w:t>
      </w:r>
      <w:r w:rsidRPr="005C7441">
        <w:rPr>
          <w:i/>
          <w:iCs/>
        </w:rPr>
        <w:t>С.С. против Австр</w:t>
      </w:r>
      <w:r w:rsidRPr="005C7441">
        <w:rPr>
          <w:i/>
          <w:iCs/>
        </w:rPr>
        <w:t>а</w:t>
      </w:r>
      <w:r w:rsidRPr="005C7441">
        <w:rPr>
          <w:i/>
          <w:iCs/>
        </w:rPr>
        <w:t>лии</w:t>
      </w:r>
      <w:r w:rsidRPr="005C7441">
        <w:t>, № 662/2015</w:t>
      </w:r>
      <w:r w:rsidRPr="005C7441">
        <w:rPr>
          <w:i/>
          <w:iCs/>
        </w:rPr>
        <w:t xml:space="preserve"> М.К. против Швейцарии</w:t>
      </w:r>
      <w:r w:rsidRPr="005C7441">
        <w:t xml:space="preserve">, № 699/2015, </w:t>
      </w:r>
      <w:r w:rsidRPr="005C7441">
        <w:rPr>
          <w:i/>
          <w:iCs/>
        </w:rPr>
        <w:t>Дж.М. против Канады</w:t>
      </w:r>
      <w:r w:rsidRPr="005C7441">
        <w:t xml:space="preserve">, № 708/2015, </w:t>
      </w:r>
      <w:r w:rsidRPr="005C7441">
        <w:rPr>
          <w:i/>
          <w:iCs/>
        </w:rPr>
        <w:t>Р.В. против Австралии</w:t>
      </w:r>
      <w:r w:rsidRPr="005C7441">
        <w:t xml:space="preserve">, и № 716/2016, </w:t>
      </w:r>
      <w:r w:rsidRPr="005C7441">
        <w:rPr>
          <w:i/>
          <w:iCs/>
        </w:rPr>
        <w:t>С.Т. против</w:t>
      </w:r>
      <w:proofErr w:type="gramEnd"/>
      <w:r w:rsidRPr="005C7441">
        <w:rPr>
          <w:i/>
          <w:iCs/>
        </w:rPr>
        <w:t xml:space="preserve"> Австралии, </w:t>
      </w:r>
      <w:r w:rsidRPr="005C7441">
        <w:t>К</w:t>
      </w:r>
      <w:r w:rsidRPr="005C7441">
        <w:t>о</w:t>
      </w:r>
      <w:r w:rsidRPr="005C7441">
        <w:t>митет пришел к выводу о том, что принудительное возвращение заявителей не представляло бы собой нарушение государствами-участниками статьи 3 Ко</w:t>
      </w:r>
      <w:r w:rsidRPr="005C7441">
        <w:t>н</w:t>
      </w:r>
      <w:r w:rsidR="002C0124">
        <w:t>венции.</w:t>
      </w:r>
    </w:p>
    <w:p w:rsidR="005C7441" w:rsidRPr="005C7441" w:rsidRDefault="005C7441" w:rsidP="005C7441">
      <w:pPr>
        <w:pStyle w:val="SingleTxtGR"/>
      </w:pPr>
      <w:r w:rsidRPr="005C7441">
        <w:t>83.</w:t>
      </w:r>
      <w:r w:rsidRPr="005C7441">
        <w:tab/>
      </w:r>
      <w:proofErr w:type="gramStart"/>
      <w:r w:rsidRPr="005C7441">
        <w:t xml:space="preserve">Кроме того, сообщение № 677/2015, </w:t>
      </w:r>
      <w:r w:rsidRPr="005C7441">
        <w:rPr>
          <w:i/>
          <w:iCs/>
        </w:rPr>
        <w:t>А.Н.М. против Швеции,</w:t>
      </w:r>
      <w:r w:rsidRPr="005C7441">
        <w:t xml:space="preserve"> Комитет счел неприемлемым, а рассмотрение сообщений № 446/2011, </w:t>
      </w:r>
      <w:r w:rsidRPr="005C7441">
        <w:rPr>
          <w:i/>
          <w:iCs/>
        </w:rPr>
        <w:t>К.Л.У. против А</w:t>
      </w:r>
      <w:r w:rsidRPr="005C7441">
        <w:rPr>
          <w:i/>
          <w:iCs/>
        </w:rPr>
        <w:t>в</w:t>
      </w:r>
      <w:r w:rsidRPr="005C7441">
        <w:rPr>
          <w:i/>
          <w:iCs/>
        </w:rPr>
        <w:t>стралии</w:t>
      </w:r>
      <w:r w:rsidRPr="005C7441">
        <w:t xml:space="preserve">, № 576/2013, </w:t>
      </w:r>
      <w:r w:rsidRPr="005C7441">
        <w:rPr>
          <w:i/>
          <w:iCs/>
        </w:rPr>
        <w:t>С.Т. против Канады</w:t>
      </w:r>
      <w:r w:rsidRPr="005C7441">
        <w:t xml:space="preserve">, № 601/2014, </w:t>
      </w:r>
      <w:r w:rsidRPr="005C7441">
        <w:rPr>
          <w:i/>
          <w:iCs/>
        </w:rPr>
        <w:t>Х.С.М. против Канады</w:t>
      </w:r>
      <w:r w:rsidRPr="005C7441">
        <w:t xml:space="preserve">, № 640/2014, </w:t>
      </w:r>
      <w:r w:rsidRPr="005C7441">
        <w:rPr>
          <w:i/>
          <w:iCs/>
        </w:rPr>
        <w:t>Р.К. против Канады</w:t>
      </w:r>
      <w:r w:rsidRPr="005C7441">
        <w:t xml:space="preserve">, № 655/2015, </w:t>
      </w:r>
      <w:r w:rsidRPr="005C7441">
        <w:rPr>
          <w:i/>
          <w:iCs/>
        </w:rPr>
        <w:t>A.С.А.О. против Швейцарии,</w:t>
      </w:r>
      <w:r w:rsidR="002C0124">
        <w:br/>
      </w:r>
      <w:r w:rsidRPr="005C7441">
        <w:t xml:space="preserve">и № 764/2016, </w:t>
      </w:r>
      <w:r w:rsidRPr="005C7441">
        <w:rPr>
          <w:i/>
          <w:iCs/>
        </w:rPr>
        <w:t>С.Н</w:t>
      </w:r>
      <w:r w:rsidR="00CA57BC">
        <w:rPr>
          <w:i/>
          <w:iCs/>
        </w:rPr>
        <w:t>.</w:t>
      </w:r>
      <w:r w:rsidRPr="005C7441">
        <w:rPr>
          <w:i/>
          <w:iCs/>
        </w:rPr>
        <w:t xml:space="preserve"> и С.П. против Швейцарии</w:t>
      </w:r>
      <w:proofErr w:type="gramEnd"/>
      <w:r w:rsidRPr="005C7441">
        <w:rPr>
          <w:i/>
          <w:iCs/>
        </w:rPr>
        <w:t xml:space="preserve">, </w:t>
      </w:r>
      <w:r w:rsidRPr="005C7441">
        <w:t>он постановил прекратить.</w:t>
      </w:r>
    </w:p>
    <w:p w:rsidR="005C7441" w:rsidRPr="005C7441" w:rsidRDefault="005C7441" w:rsidP="002C0124">
      <w:pPr>
        <w:pStyle w:val="H1GR"/>
      </w:pPr>
      <w:r w:rsidRPr="005C7441">
        <w:tab/>
        <w:t>D.</w:t>
      </w:r>
      <w:r w:rsidRPr="005C7441">
        <w:tab/>
        <w:t>Последующая деятельность</w:t>
      </w:r>
      <w:bookmarkStart w:id="27" w:name="_Toc485738212"/>
      <w:bookmarkEnd w:id="27"/>
    </w:p>
    <w:p w:rsidR="005C7441" w:rsidRPr="005C7441" w:rsidRDefault="005C7441" w:rsidP="005C7441">
      <w:pPr>
        <w:pStyle w:val="SingleTxtGR"/>
      </w:pPr>
      <w:r w:rsidRPr="005C7441">
        <w:t>84.</w:t>
      </w:r>
      <w:r w:rsidRPr="005C7441">
        <w:tab/>
        <w:t xml:space="preserve">На своей двадцать восьмой сессии в мае 2002 года Комитет учредил должность Докладчика </w:t>
      </w:r>
      <w:proofErr w:type="gramStart"/>
      <w:r w:rsidRPr="005C7441">
        <w:t>по вопросу о последующей деятельности в связи с р</w:t>
      </w:r>
      <w:r w:rsidRPr="005C7441">
        <w:t>е</w:t>
      </w:r>
      <w:r w:rsidRPr="005C7441">
        <w:t>шениями по жалобам</w:t>
      </w:r>
      <w:proofErr w:type="gramEnd"/>
      <w:r w:rsidRPr="005C7441">
        <w:t>, представляемым в соответствии со статьей 22, которую в настоящее время занимает г-жа Прадхан-</w:t>
      </w:r>
      <w:r w:rsidR="002C0124">
        <w:t>Малла. На своем 527-м заседании</w:t>
      </w:r>
      <w:r w:rsidR="002C0124">
        <w:br/>
      </w:r>
      <w:r w:rsidRPr="005C7441">
        <w:t>16 мая 2002 года Комитет постановил, что Докладчик должен выполнять, в частности, следующие функции: следить за соблюдением решений Комитета путем направления государствам-участникам вербальных нот с запросами о</w:t>
      </w:r>
      <w:r w:rsidRPr="005C7441">
        <w:t>т</w:t>
      </w:r>
      <w:r w:rsidRPr="005C7441">
        <w:t xml:space="preserve">носительно мер, принятых ими в соответствии с решениями Комитета; </w:t>
      </w:r>
      <w:proofErr w:type="gramStart"/>
      <w:r w:rsidRPr="005C7441">
        <w:t>рек</w:t>
      </w:r>
      <w:r w:rsidRPr="005C7441">
        <w:t>о</w:t>
      </w:r>
      <w:r w:rsidRPr="005C7441">
        <w:t>мендовать Комитету надлежащие меры по получении ответов от государств-участников, в случаях непредставления ответов и по получении всех писем от заявителей, касающихся невыполнения решений Комитета; проводить встречи с представителями постоянных представительств государств-участников в целях поощрения соблюдения и определения того, будут ли консультативные услуги или техническая помощь со стороны УВКПЧ целесообразными или желател</w:t>
      </w:r>
      <w:r w:rsidRPr="005C7441">
        <w:t>ь</w:t>
      </w:r>
      <w:r w:rsidRPr="005C7441">
        <w:t>ными;</w:t>
      </w:r>
      <w:proofErr w:type="gramEnd"/>
      <w:r w:rsidRPr="005C7441">
        <w:t xml:space="preserve"> совершать с одобрения Комитета и в рамках последующей деятельности поездки в государства-участники; и подготавливать для Комитета периодич</w:t>
      </w:r>
      <w:r w:rsidRPr="005C7441">
        <w:t>е</w:t>
      </w:r>
      <w:r w:rsidRPr="005C7441">
        <w:t>ские доклады о своей деятельности.</w:t>
      </w:r>
    </w:p>
    <w:p w:rsidR="005C7441" w:rsidRPr="005C7441" w:rsidRDefault="005C7441" w:rsidP="005C7441">
      <w:pPr>
        <w:pStyle w:val="SingleTxtGR"/>
      </w:pPr>
      <w:r w:rsidRPr="005C7441">
        <w:t>85.</w:t>
      </w:r>
      <w:r w:rsidRPr="005C7441">
        <w:tab/>
        <w:t>На своей пятьдесят девятой сессии Комитет рассмотрел материалы по шести делам, которые в настоящее время находятся на контроле в рамках пр</w:t>
      </w:r>
      <w:r w:rsidRPr="005C7441">
        <w:t>о</w:t>
      </w:r>
      <w:r w:rsidRPr="005C7441">
        <w:t>цедуры последующей деятельности Комитета. Комитет постановил завершить диалог в рамках последующей деятельности, сделав вывод об удовлетворител</w:t>
      </w:r>
      <w:r w:rsidRPr="005C7441">
        <w:t>ь</w:t>
      </w:r>
      <w:r w:rsidRPr="005C7441">
        <w:t xml:space="preserve">ном разрешении дела в отношении сообщения № 336/2008, </w:t>
      </w:r>
      <w:r w:rsidRPr="005C7441">
        <w:rPr>
          <w:i/>
          <w:iCs/>
        </w:rPr>
        <w:t>Кхалса-Сингх и др. против Швейцарии.</w:t>
      </w:r>
      <w:r w:rsidRPr="005C7441">
        <w:t xml:space="preserve"> В этом деле государство-участник предоставило заявителю вид на жительство. Комитет рассмотрел информацию, полученную в отнош</w:t>
      </w:r>
      <w:r w:rsidRPr="005C7441">
        <w:t>е</w:t>
      </w:r>
      <w:r w:rsidRPr="005C7441">
        <w:t>нии пяти других дел, и постановил продолжать диалог в рамках последующей деятельности.</w:t>
      </w:r>
    </w:p>
    <w:p w:rsidR="005C7441" w:rsidRPr="005C7441" w:rsidRDefault="005C7441" w:rsidP="005C7441">
      <w:pPr>
        <w:pStyle w:val="SingleTxtGR"/>
      </w:pPr>
      <w:r w:rsidRPr="005C7441">
        <w:t>86.</w:t>
      </w:r>
      <w:r w:rsidRPr="005C7441">
        <w:tab/>
        <w:t>На своей шестидесятой сессии Комитет рассмотрел материалы по 14 д</w:t>
      </w:r>
      <w:r w:rsidRPr="005C7441">
        <w:t>е</w:t>
      </w:r>
      <w:r w:rsidRPr="005C7441">
        <w:t>лам, которые в настоящее время находятся на контроле в рамках процедуры п</w:t>
      </w:r>
      <w:r w:rsidRPr="005C7441">
        <w:t>о</w:t>
      </w:r>
      <w:r w:rsidRPr="005C7441">
        <w:t>следующей деятельности Комитета. Комитет постановил завершить диалог в рамках последующей деятельности, сделав вывод об удовлетворительном ра</w:t>
      </w:r>
      <w:r w:rsidRPr="005C7441">
        <w:t>з</w:t>
      </w:r>
      <w:r w:rsidRPr="005C7441">
        <w:t xml:space="preserve">решении дела, в отношении сообщений № 15/1994, </w:t>
      </w:r>
      <w:r w:rsidRPr="005C7441">
        <w:rPr>
          <w:i/>
          <w:iCs/>
        </w:rPr>
        <w:t>Хан против Канады</w:t>
      </w:r>
      <w:r w:rsidR="002C0124">
        <w:t>,</w:t>
      </w:r>
      <w:r w:rsidR="002C0124">
        <w:br/>
      </w:r>
      <w:r w:rsidRPr="005C7441">
        <w:t xml:space="preserve">№ 532/2012, </w:t>
      </w:r>
      <w:r w:rsidRPr="005C7441">
        <w:rPr>
          <w:i/>
          <w:iCs/>
        </w:rPr>
        <w:t>Х. против Финляндии</w:t>
      </w:r>
      <w:r w:rsidRPr="005C7441">
        <w:t xml:space="preserve">, и № 628/2014, </w:t>
      </w:r>
      <w:proofErr w:type="spellStart"/>
      <w:r w:rsidR="00CA57BC">
        <w:rPr>
          <w:i/>
          <w:iCs/>
        </w:rPr>
        <w:t>Дж.</w:t>
      </w:r>
      <w:r w:rsidRPr="005C7441">
        <w:rPr>
          <w:i/>
          <w:iCs/>
        </w:rPr>
        <w:t>Н</w:t>
      </w:r>
      <w:proofErr w:type="spellEnd"/>
      <w:r w:rsidRPr="005C7441">
        <w:rPr>
          <w:i/>
          <w:iCs/>
        </w:rPr>
        <w:t>. против Дании.</w:t>
      </w:r>
      <w:r w:rsidRPr="005C7441">
        <w:t xml:space="preserve"> Ком</w:t>
      </w:r>
      <w:r w:rsidRPr="005C7441">
        <w:t>и</w:t>
      </w:r>
      <w:r w:rsidRPr="005C7441">
        <w:t>тет рассмотрел информацию, полученную в отношении 11 других дел, и пост</w:t>
      </w:r>
      <w:r w:rsidRPr="005C7441">
        <w:t>а</w:t>
      </w:r>
      <w:r w:rsidRPr="005C7441">
        <w:t>новил продолжать диалог в рамках последующей деятельности.</w:t>
      </w:r>
    </w:p>
    <w:p w:rsidR="005C7441" w:rsidRPr="005C7441" w:rsidRDefault="005C7441" w:rsidP="005C7441">
      <w:pPr>
        <w:pStyle w:val="SingleTxtGR"/>
      </w:pPr>
      <w:r w:rsidRPr="005C7441">
        <w:t>87.</w:t>
      </w:r>
      <w:r w:rsidRPr="005C7441">
        <w:tab/>
        <w:t>На момент утверждения настоящего доклада Комитет завершил диалог в рамках последующей деятельности, сделав вывод об удовлетворительном или отчасти удо</w:t>
      </w:r>
      <w:r w:rsidR="00CA57BC">
        <w:t>влетворительном разрешении дела</w:t>
      </w:r>
      <w:r w:rsidRPr="005C7441">
        <w:t xml:space="preserve"> в отношении 55 сообщений </w:t>
      </w:r>
      <w:proofErr w:type="gramStart"/>
      <w:r w:rsidRPr="005C7441">
        <w:t>из</w:t>
      </w:r>
      <w:proofErr w:type="gramEnd"/>
      <w:r w:rsidRPr="005C7441">
        <w:t xml:space="preserve">, </w:t>
      </w:r>
      <w:proofErr w:type="gramStart"/>
      <w:r w:rsidRPr="005C7441">
        <w:t>в</w:t>
      </w:r>
      <w:proofErr w:type="gramEnd"/>
      <w:r w:rsidRPr="005C7441">
        <w:t xml:space="preserve"> общей сложности, 131 сообщения, где он установил нарушения различных п</w:t>
      </w:r>
      <w:r w:rsidRPr="005C7441">
        <w:t>о</w:t>
      </w:r>
      <w:r w:rsidRPr="005C7441">
        <w:t>ложений Конвенции. С дополнительной</w:t>
      </w:r>
      <w:r w:rsidR="002C0124">
        <w:t xml:space="preserve"> информацией можно ознакомиться</w:t>
      </w:r>
      <w:r w:rsidR="002C0124">
        <w:br/>
      </w:r>
      <w:r w:rsidRPr="005C7441">
        <w:t xml:space="preserve">в документах </w:t>
      </w:r>
      <w:r w:rsidR="00D43468">
        <w:fldChar w:fldCharType="begin"/>
      </w:r>
      <w:r w:rsidR="00D43468">
        <w:instrText xml:space="preserve"> HYPERLINK "http://undocs.org/ru/CAT/C/59/3%20" </w:instrText>
      </w:r>
      <w:r w:rsidR="00D43468">
        <w:fldChar w:fldCharType="separate"/>
      </w:r>
      <w:r w:rsidRPr="002C0124">
        <w:rPr>
          <w:rStyle w:val="af1"/>
        </w:rPr>
        <w:t>CAT/C/59/3</w:t>
      </w:r>
      <w:r w:rsidR="00D43468">
        <w:rPr>
          <w:rStyle w:val="af1"/>
        </w:rPr>
        <w:fldChar w:fldCharType="end"/>
      </w:r>
      <w:r w:rsidRPr="005C7441">
        <w:t xml:space="preserve"> и </w:t>
      </w:r>
      <w:r w:rsidR="00D43468">
        <w:fldChar w:fldCharType="begin"/>
      </w:r>
      <w:r w:rsidR="00D43468">
        <w:instrText xml:space="preserve"> HYPERLINK "http://undocs.org/ru/CAT/C/60/4" </w:instrText>
      </w:r>
      <w:r w:rsidR="00D43468">
        <w:fldChar w:fldCharType="separate"/>
      </w:r>
      <w:r w:rsidRPr="002C0124">
        <w:rPr>
          <w:rStyle w:val="af1"/>
        </w:rPr>
        <w:t>CAT/C/60/4</w:t>
      </w:r>
      <w:r w:rsidR="00D43468">
        <w:rPr>
          <w:rStyle w:val="af1"/>
        </w:rPr>
        <w:fldChar w:fldCharType="end"/>
      </w:r>
      <w:r w:rsidRPr="005C7441">
        <w:t>.</w:t>
      </w:r>
    </w:p>
    <w:p w:rsidR="005C7441" w:rsidRPr="005C7441" w:rsidRDefault="005C7441" w:rsidP="00C615EA">
      <w:pPr>
        <w:pStyle w:val="HChGR"/>
      </w:pPr>
      <w:r w:rsidRPr="005C7441">
        <w:tab/>
        <w:t>VII.</w:t>
      </w:r>
      <w:r w:rsidRPr="005C7441">
        <w:tab/>
        <w:t>Заседания Комитета в 2017 году</w:t>
      </w:r>
      <w:bookmarkStart w:id="28" w:name="_Toc485738213"/>
      <w:bookmarkEnd w:id="28"/>
    </w:p>
    <w:p w:rsidR="005C7441" w:rsidRPr="005C7441" w:rsidRDefault="005C7441" w:rsidP="005C7441">
      <w:pPr>
        <w:pStyle w:val="SingleTxtGR"/>
      </w:pPr>
      <w:r w:rsidRPr="005C7441">
        <w:t>88.</w:t>
      </w:r>
      <w:r w:rsidRPr="005C7441">
        <w:tab/>
        <w:t>В соответствии с резолюцией 68/268 Генеральной Ассамблеи Комитет проведет в 2017 году три очередные сессии: шестидесятую (18 апреля – 12 мая 2017 года), шестьдесят первую (24 июля – 11 августа 2017 года) и шестьдесят вторую (6 ноября – 6 декабря 2017 года).</w:t>
      </w:r>
    </w:p>
    <w:p w:rsidR="005C7441" w:rsidRPr="005C7441" w:rsidRDefault="005C7441" w:rsidP="002C0124">
      <w:pPr>
        <w:pStyle w:val="HChGR"/>
      </w:pPr>
      <w:r w:rsidRPr="005C7441">
        <w:tab/>
        <w:t>VIII.</w:t>
      </w:r>
      <w:r w:rsidRPr="005C7441">
        <w:tab/>
        <w:t>Утверждение годового доклада Комитета о его работе</w:t>
      </w:r>
      <w:bookmarkStart w:id="29" w:name="_Toc485738214"/>
      <w:bookmarkEnd w:id="29"/>
    </w:p>
    <w:p w:rsidR="005C7441" w:rsidRPr="005C7441" w:rsidRDefault="005C7441" w:rsidP="005C7441">
      <w:pPr>
        <w:pStyle w:val="SingleTxtGR"/>
      </w:pPr>
      <w:r w:rsidRPr="005C7441">
        <w:t>89.</w:t>
      </w:r>
      <w:r w:rsidRPr="005C7441">
        <w:tab/>
        <w:t>В соответствии со статьей 24 Конвенции Комитет представляет госуда</w:t>
      </w:r>
      <w:r w:rsidRPr="005C7441">
        <w:t>р</w:t>
      </w:r>
      <w:r w:rsidRPr="005C7441">
        <w:t>ствам-участникам и Генеральной Ассамблее годовой доклад о своей работе. Поскольку Комитет проводит свою третью очередную сессию каждого кале</w:t>
      </w:r>
      <w:r w:rsidRPr="005C7441">
        <w:t>н</w:t>
      </w:r>
      <w:r w:rsidRPr="005C7441">
        <w:t>дарного года в ноябре, что совпадает с очередными сессиями Генеральной А</w:t>
      </w:r>
      <w:r w:rsidRPr="005C7441">
        <w:t>с</w:t>
      </w:r>
      <w:r w:rsidRPr="005C7441">
        <w:t xml:space="preserve">самблеи, он утверждает свой годовой доклад в конце своей весенней сессии для его препровождения Генеральной Ассамблее в течение того же календарного года. В этой связи на своем 1541-м заседании, состоявшемся 12 мая 2017 года (см. </w:t>
      </w:r>
      <w:r w:rsidR="00D43468">
        <w:fldChar w:fldCharType="begin"/>
      </w:r>
      <w:r w:rsidR="00D43468">
        <w:instrText xml:space="preserve"> HYPERLINK "http://undocs.org/ru/CAT/C/SR.1541" </w:instrText>
      </w:r>
      <w:r w:rsidR="00D43468">
        <w:fldChar w:fldCharType="separate"/>
      </w:r>
      <w:r w:rsidRPr="002C0124">
        <w:rPr>
          <w:rStyle w:val="af1"/>
        </w:rPr>
        <w:t>CAT/C/SR.1541</w:t>
      </w:r>
      <w:r w:rsidR="00D43468">
        <w:rPr>
          <w:rStyle w:val="af1"/>
        </w:rPr>
        <w:fldChar w:fldCharType="end"/>
      </w:r>
      <w:r w:rsidRPr="005C7441">
        <w:t>), Комитет рассмотрел и утвердил доклад о работе своих пятьдесят восьмой, пятьдесят девятой и шестидесятой сессий.</w:t>
      </w:r>
    </w:p>
    <w:p w:rsidR="002C0124" w:rsidRDefault="002C0124" w:rsidP="005C7441">
      <w:pPr>
        <w:pStyle w:val="SingleTxtGR"/>
      </w:pPr>
    </w:p>
    <w:p w:rsidR="002C0124" w:rsidRDefault="002C0124" w:rsidP="005C7441">
      <w:pPr>
        <w:pStyle w:val="SingleTxtGR"/>
        <w:sectPr w:rsidR="002C0124" w:rsidSect="00691B07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endnotePr>
            <w:numFmt w:val="decimal"/>
          </w:endnotePr>
          <w:type w:val="oddPage"/>
          <w:pgSz w:w="11906" w:h="16838" w:code="9"/>
          <w:pgMar w:top="1418" w:right="1134" w:bottom="1134" w:left="1134" w:header="851" w:footer="567" w:gutter="0"/>
          <w:pgNumType w:start="1"/>
          <w:cols w:space="708"/>
          <w:docGrid w:linePitch="360"/>
        </w:sectPr>
      </w:pPr>
    </w:p>
    <w:p w:rsidR="005C7441" w:rsidRPr="005C7441" w:rsidRDefault="002C0124" w:rsidP="002C0124">
      <w:pPr>
        <w:pStyle w:val="HChGR"/>
      </w:pPr>
      <w:bookmarkStart w:id="30" w:name="_Toc485738215"/>
      <w:bookmarkStart w:id="31" w:name="_Toc305402614"/>
      <w:r>
        <w:tab/>
      </w:r>
      <w:r w:rsidR="005C7441" w:rsidRPr="005C7441">
        <w:t>Приложение</w:t>
      </w:r>
      <w:bookmarkEnd w:id="30"/>
    </w:p>
    <w:bookmarkEnd w:id="31"/>
    <w:p w:rsidR="005C7441" w:rsidRPr="005C7441" w:rsidRDefault="005C7441" w:rsidP="002C0124">
      <w:pPr>
        <w:pStyle w:val="HChGR"/>
      </w:pPr>
      <w:r w:rsidRPr="005C7441">
        <w:tab/>
      </w:r>
      <w:r w:rsidRPr="005C7441">
        <w:tab/>
        <w:t>Членский состав, должностные лица и сроки полномочий по состоянию на 12 мая 2017 года</w:t>
      </w:r>
      <w:bookmarkStart w:id="32" w:name="_Toc485738216"/>
      <w:bookmarkEnd w:id="32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402"/>
        <w:gridCol w:w="2225"/>
        <w:gridCol w:w="1743"/>
      </w:tblGrid>
      <w:tr w:rsidR="005C7441" w:rsidRPr="002C0124" w:rsidTr="002C0124">
        <w:trPr>
          <w:trHeight w:val="240"/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441" w:rsidRPr="002C0124" w:rsidRDefault="005C7441" w:rsidP="002C0124">
            <w:pPr>
              <w:spacing w:before="80" w:after="80" w:line="200" w:lineRule="exact"/>
              <w:rPr>
                <w:i/>
                <w:sz w:val="16"/>
              </w:rPr>
            </w:pPr>
            <w:r w:rsidRPr="002C0124">
              <w:rPr>
                <w:i/>
                <w:sz w:val="16"/>
              </w:rPr>
              <w:t>Имя и фамилия члена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C7441" w:rsidRPr="002C0124" w:rsidRDefault="005C7441" w:rsidP="002C0124">
            <w:pPr>
              <w:spacing w:before="80" w:after="80" w:line="200" w:lineRule="exact"/>
              <w:rPr>
                <w:i/>
                <w:sz w:val="16"/>
              </w:rPr>
            </w:pPr>
            <w:r w:rsidRPr="002C0124">
              <w:rPr>
                <w:i/>
                <w:sz w:val="16"/>
              </w:rPr>
              <w:t>Страна гражданства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C7441" w:rsidRPr="002C0124" w:rsidRDefault="005C7441" w:rsidP="002C0124">
            <w:pPr>
              <w:spacing w:before="80" w:after="80" w:line="200" w:lineRule="exact"/>
              <w:rPr>
                <w:i/>
                <w:sz w:val="16"/>
              </w:rPr>
            </w:pPr>
            <w:r w:rsidRPr="002C0124">
              <w:rPr>
                <w:i/>
                <w:sz w:val="16"/>
              </w:rPr>
              <w:t>Срок полно</w:t>
            </w:r>
            <w:r w:rsidR="002C0124">
              <w:rPr>
                <w:i/>
                <w:sz w:val="16"/>
              </w:rPr>
              <w:t>мочий</w:t>
            </w:r>
            <w:r w:rsidR="002C0124">
              <w:rPr>
                <w:i/>
                <w:sz w:val="16"/>
              </w:rPr>
              <w:br/>
            </w:r>
            <w:r w:rsidRPr="002C0124">
              <w:rPr>
                <w:i/>
                <w:sz w:val="16"/>
              </w:rPr>
              <w:t>истекает 31 декабря</w:t>
            </w:r>
          </w:p>
        </w:tc>
      </w:tr>
      <w:tr w:rsidR="005C7441" w:rsidRPr="002C0124" w:rsidTr="002C0124">
        <w:trPr>
          <w:trHeight w:val="240"/>
        </w:trPr>
        <w:tc>
          <w:tcPr>
            <w:tcW w:w="3402" w:type="dxa"/>
            <w:tcBorders>
              <w:top w:val="single" w:sz="12" w:space="0" w:color="auto"/>
            </w:tcBorders>
          </w:tcPr>
          <w:p w:rsidR="005C7441" w:rsidRPr="002C0124" w:rsidRDefault="002C0124" w:rsidP="0070041F">
            <w:pPr>
              <w:spacing w:before="80"/>
            </w:pPr>
            <w:r>
              <w:t>Саадия Бельмир</w:t>
            </w:r>
            <w:r>
              <w:br/>
            </w:r>
            <w:r w:rsidR="005C7441" w:rsidRPr="002C0124">
              <w:t>(заместитель Председателя)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5C7441" w:rsidRPr="002C0124" w:rsidRDefault="005C7441" w:rsidP="0070041F">
            <w:pPr>
              <w:spacing w:before="80"/>
            </w:pPr>
            <w:r w:rsidRPr="002C0124">
              <w:t>Марокко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  <w:tcBorders>
              <w:top w:val="single" w:sz="12" w:space="0" w:color="auto"/>
            </w:tcBorders>
          </w:tcPr>
          <w:p w:rsidR="005C7441" w:rsidRPr="002C0124" w:rsidRDefault="005C7441" w:rsidP="0070041F">
            <w:pPr>
              <w:spacing w:before="80"/>
            </w:pPr>
            <w:r w:rsidRPr="002C0124">
              <w:t>2017</w:t>
            </w:r>
            <w:r w:rsidR="002C0124">
              <w:t xml:space="preserve"> года</w:t>
            </w:r>
          </w:p>
        </w:tc>
      </w:tr>
      <w:tr w:rsidR="005C7441" w:rsidRPr="002C0124" w:rsidTr="002C0124">
        <w:trPr>
          <w:trHeight w:val="240"/>
        </w:trPr>
        <w:tc>
          <w:tcPr>
            <w:tcW w:w="3402" w:type="dxa"/>
          </w:tcPr>
          <w:p w:rsidR="005C7441" w:rsidRPr="002C0124" w:rsidRDefault="002C0124" w:rsidP="002C0124">
            <w:r>
              <w:t>Алессио Бруни</w:t>
            </w:r>
            <w:r>
              <w:br/>
            </w:r>
            <w:r w:rsidR="005B26BC">
              <w:t>(Докладчик по вопросу</w:t>
            </w:r>
            <w:r w:rsidR="005B26BC" w:rsidRPr="005B26BC">
              <w:br/>
            </w:r>
            <w:r w:rsidR="005C7441" w:rsidRPr="002C0124">
              <w:t>о репрессиях)</w:t>
            </w:r>
          </w:p>
        </w:tc>
        <w:tc>
          <w:tcPr>
            <w:tcW w:w="2225" w:type="dxa"/>
          </w:tcPr>
          <w:p w:rsidR="005C7441" w:rsidRPr="002C0124" w:rsidRDefault="005C7441" w:rsidP="002C0124">
            <w:r w:rsidRPr="002C0124">
              <w:t>Италия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</w:tcPr>
          <w:p w:rsidR="005C7441" w:rsidRPr="002C0124" w:rsidRDefault="005C7441" w:rsidP="002C0124">
            <w:r w:rsidRPr="002C0124">
              <w:t>2017</w:t>
            </w:r>
            <w:r w:rsidR="002C0124">
              <w:t xml:space="preserve"> </w:t>
            </w:r>
            <w:r w:rsidR="002C0124" w:rsidRPr="002C0124">
              <w:t>года</w:t>
            </w:r>
          </w:p>
        </w:tc>
      </w:tr>
      <w:tr w:rsidR="005C7441" w:rsidRPr="002C0124" w:rsidTr="002C0124">
        <w:trPr>
          <w:trHeight w:val="240"/>
        </w:trPr>
        <w:tc>
          <w:tcPr>
            <w:tcW w:w="3402" w:type="dxa"/>
          </w:tcPr>
          <w:p w:rsidR="005C7441" w:rsidRPr="002C0124" w:rsidRDefault="002C0124" w:rsidP="002C0124">
            <w:r>
              <w:t>Фелис Гаер</w:t>
            </w:r>
            <w:r>
              <w:br/>
            </w:r>
            <w:r w:rsidR="005C7441" w:rsidRPr="002C0124">
              <w:t>(заместитель Председателя)</w:t>
            </w:r>
          </w:p>
        </w:tc>
        <w:tc>
          <w:tcPr>
            <w:tcW w:w="2225" w:type="dxa"/>
          </w:tcPr>
          <w:p w:rsidR="005C7441" w:rsidRPr="002C0124" w:rsidRDefault="005C7441" w:rsidP="002C0124">
            <w:r w:rsidRPr="002C0124">
              <w:t>Соединенные Штаты Америки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</w:tcPr>
          <w:p w:rsidR="005C7441" w:rsidRPr="002C0124" w:rsidRDefault="005C7441" w:rsidP="002C0124">
            <w:r w:rsidRPr="002C0124">
              <w:t>2019</w:t>
            </w:r>
            <w:r w:rsidR="002C0124">
              <w:t xml:space="preserve"> </w:t>
            </w:r>
            <w:r w:rsidR="002C0124" w:rsidRPr="002C0124">
              <w:t>года</w:t>
            </w:r>
          </w:p>
        </w:tc>
      </w:tr>
      <w:tr w:rsidR="005C7441" w:rsidRPr="002C0124" w:rsidTr="002C0124">
        <w:trPr>
          <w:trHeight w:val="240"/>
        </w:trPr>
        <w:tc>
          <w:tcPr>
            <w:tcW w:w="3402" w:type="dxa"/>
          </w:tcPr>
          <w:p w:rsidR="005C7441" w:rsidRPr="002C0124" w:rsidRDefault="002C0124" w:rsidP="002C0124">
            <w:r>
              <w:t>Абдельвахаб Хани</w:t>
            </w:r>
            <w:r>
              <w:br/>
            </w:r>
            <w:r w:rsidR="005C7441" w:rsidRPr="002C0124">
              <w:t>(Докладчик по вопросу о послед</w:t>
            </w:r>
            <w:r w:rsidR="005C7441" w:rsidRPr="002C0124">
              <w:t>у</w:t>
            </w:r>
            <w:r w:rsidR="005C7441" w:rsidRPr="002C0124">
              <w:t>ющей деятельности в связи со ст</w:t>
            </w:r>
            <w:r w:rsidR="005C7441" w:rsidRPr="002C0124">
              <w:t>а</w:t>
            </w:r>
            <w:r w:rsidR="005C7441" w:rsidRPr="002C0124">
              <w:t>тьей 19)</w:t>
            </w:r>
          </w:p>
        </w:tc>
        <w:tc>
          <w:tcPr>
            <w:tcW w:w="2225" w:type="dxa"/>
          </w:tcPr>
          <w:p w:rsidR="005C7441" w:rsidRPr="002C0124" w:rsidRDefault="005C7441" w:rsidP="002C0124">
            <w:r w:rsidRPr="002C0124">
              <w:t>Тунис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</w:tcPr>
          <w:p w:rsidR="005C7441" w:rsidRPr="002C0124" w:rsidRDefault="005C7441" w:rsidP="002C0124">
            <w:r w:rsidRPr="002C0124">
              <w:t>2019</w:t>
            </w:r>
            <w:r w:rsidR="002C0124">
              <w:t xml:space="preserve"> </w:t>
            </w:r>
            <w:r w:rsidR="002C0124" w:rsidRPr="002C0124">
              <w:t>года</w:t>
            </w:r>
          </w:p>
        </w:tc>
      </w:tr>
      <w:tr w:rsidR="005C7441" w:rsidRPr="002C0124" w:rsidTr="002C0124">
        <w:trPr>
          <w:trHeight w:val="240"/>
        </w:trPr>
        <w:tc>
          <w:tcPr>
            <w:tcW w:w="3402" w:type="dxa"/>
          </w:tcPr>
          <w:p w:rsidR="005C7441" w:rsidRPr="002C0124" w:rsidRDefault="002C0124" w:rsidP="002C0124">
            <w:r>
              <w:t>Клод Эллер Руассан</w:t>
            </w:r>
            <w:r>
              <w:br/>
            </w:r>
            <w:r w:rsidR="005C7441" w:rsidRPr="002C0124">
              <w:t>(заместитель Председателя)</w:t>
            </w:r>
          </w:p>
        </w:tc>
        <w:tc>
          <w:tcPr>
            <w:tcW w:w="2225" w:type="dxa"/>
          </w:tcPr>
          <w:p w:rsidR="005C7441" w:rsidRPr="002C0124" w:rsidRDefault="005C7441" w:rsidP="002C0124">
            <w:r w:rsidRPr="002C0124">
              <w:t>Мексика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</w:tcPr>
          <w:p w:rsidR="005C7441" w:rsidRPr="002C0124" w:rsidRDefault="005C7441" w:rsidP="002C0124">
            <w:r w:rsidRPr="002C0124">
              <w:t>2019</w:t>
            </w:r>
            <w:r w:rsidR="002C0124">
              <w:t xml:space="preserve"> </w:t>
            </w:r>
            <w:r w:rsidR="002C0124" w:rsidRPr="002C0124">
              <w:t>года</w:t>
            </w:r>
          </w:p>
        </w:tc>
      </w:tr>
      <w:tr w:rsidR="005C7441" w:rsidRPr="002C0124" w:rsidTr="002C0124">
        <w:trPr>
          <w:trHeight w:val="240"/>
        </w:trPr>
        <w:tc>
          <w:tcPr>
            <w:tcW w:w="3402" w:type="dxa"/>
          </w:tcPr>
          <w:p w:rsidR="005C7441" w:rsidRPr="002C0124" w:rsidRDefault="002C0124" w:rsidP="002C0124">
            <w:r>
              <w:t>Йенс Модвиг</w:t>
            </w:r>
            <w:r>
              <w:br/>
            </w:r>
            <w:r w:rsidR="005C7441" w:rsidRPr="002C0124">
              <w:t>(Председатель)</w:t>
            </w:r>
          </w:p>
        </w:tc>
        <w:tc>
          <w:tcPr>
            <w:tcW w:w="2225" w:type="dxa"/>
          </w:tcPr>
          <w:p w:rsidR="005C7441" w:rsidRPr="002C0124" w:rsidRDefault="005C7441" w:rsidP="002C0124">
            <w:r w:rsidRPr="002C0124">
              <w:t>Дания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</w:tcPr>
          <w:p w:rsidR="005C7441" w:rsidRPr="002C0124" w:rsidRDefault="005C7441" w:rsidP="002C0124">
            <w:r w:rsidRPr="002C0124">
              <w:t>2017</w:t>
            </w:r>
            <w:r w:rsidR="002C0124">
              <w:t xml:space="preserve"> </w:t>
            </w:r>
            <w:r w:rsidR="002C0124" w:rsidRPr="002C0124">
              <w:t>года</w:t>
            </w:r>
          </w:p>
        </w:tc>
      </w:tr>
      <w:tr w:rsidR="005C7441" w:rsidRPr="002C0124" w:rsidTr="002C0124">
        <w:trPr>
          <w:trHeight w:val="240"/>
        </w:trPr>
        <w:tc>
          <w:tcPr>
            <w:tcW w:w="3402" w:type="dxa"/>
          </w:tcPr>
          <w:p w:rsidR="005C7441" w:rsidRPr="002C0124" w:rsidRDefault="005C7441" w:rsidP="002C0124">
            <w:r w:rsidRPr="002C0124">
              <w:t>Сапана П</w:t>
            </w:r>
            <w:r w:rsidR="002C0124">
              <w:t>радхан-Малла</w:t>
            </w:r>
            <w:r w:rsidR="002C0124">
              <w:br/>
            </w:r>
            <w:r w:rsidRPr="002C0124">
              <w:t>(Докладчик по вопросу о послед</w:t>
            </w:r>
            <w:r w:rsidRPr="002C0124">
              <w:t>у</w:t>
            </w:r>
            <w:r w:rsidRPr="002C0124">
              <w:t>ющей деятельности в связи с реш</w:t>
            </w:r>
            <w:r w:rsidRPr="002C0124">
              <w:t>е</w:t>
            </w:r>
            <w:r w:rsidRPr="002C0124">
              <w:t>ниями, принятыми в соответствии со статьей 22)</w:t>
            </w:r>
            <w:bookmarkStart w:id="33" w:name="_GoBack"/>
            <w:bookmarkEnd w:id="33"/>
          </w:p>
        </w:tc>
        <w:tc>
          <w:tcPr>
            <w:tcW w:w="2225" w:type="dxa"/>
          </w:tcPr>
          <w:p w:rsidR="005C7441" w:rsidRPr="002C0124" w:rsidRDefault="005C7441" w:rsidP="002C0124">
            <w:r w:rsidRPr="002C0124">
              <w:t>Непал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</w:tcPr>
          <w:p w:rsidR="005C7441" w:rsidRPr="002C0124" w:rsidRDefault="005C7441" w:rsidP="002C0124">
            <w:r w:rsidRPr="002C0124">
              <w:t>2017</w:t>
            </w:r>
            <w:r w:rsidR="002C0124">
              <w:t xml:space="preserve"> </w:t>
            </w:r>
            <w:r w:rsidR="002C0124" w:rsidRPr="002C0124">
              <w:t>года</w:t>
            </w:r>
          </w:p>
        </w:tc>
      </w:tr>
      <w:tr w:rsidR="005C7441" w:rsidRPr="002C0124" w:rsidTr="002C0124">
        <w:trPr>
          <w:trHeight w:val="240"/>
        </w:trPr>
        <w:tc>
          <w:tcPr>
            <w:tcW w:w="3402" w:type="dxa"/>
          </w:tcPr>
          <w:p w:rsidR="005C7441" w:rsidRPr="002C0124" w:rsidRDefault="005C7441" w:rsidP="002C0124">
            <w:r w:rsidRPr="002C0124">
              <w:t>Ана Раку</w:t>
            </w:r>
          </w:p>
        </w:tc>
        <w:tc>
          <w:tcPr>
            <w:tcW w:w="2225" w:type="dxa"/>
          </w:tcPr>
          <w:p w:rsidR="005C7441" w:rsidRPr="002C0124" w:rsidRDefault="005C7441" w:rsidP="002C0124">
            <w:r w:rsidRPr="002C0124">
              <w:t>Республика Молдова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</w:tcPr>
          <w:p w:rsidR="005C7441" w:rsidRPr="002C0124" w:rsidRDefault="005C7441" w:rsidP="002C0124">
            <w:r w:rsidRPr="002C0124">
              <w:t>2019</w:t>
            </w:r>
            <w:r w:rsidR="002C0124">
              <w:t xml:space="preserve"> </w:t>
            </w:r>
            <w:r w:rsidR="002C0124" w:rsidRPr="002C0124">
              <w:t>года</w:t>
            </w:r>
          </w:p>
        </w:tc>
      </w:tr>
      <w:tr w:rsidR="005C7441" w:rsidRPr="002C0124" w:rsidTr="002C0124">
        <w:trPr>
          <w:trHeight w:val="240"/>
        </w:trPr>
        <w:tc>
          <w:tcPr>
            <w:tcW w:w="3402" w:type="dxa"/>
          </w:tcPr>
          <w:p w:rsidR="005C7441" w:rsidRPr="002C0124" w:rsidRDefault="002C0124" w:rsidP="002C0124">
            <w:r>
              <w:t xml:space="preserve">Себастьян </w:t>
            </w:r>
            <w:proofErr w:type="gramStart"/>
            <w:r>
              <w:t>Тузе</w:t>
            </w:r>
            <w:proofErr w:type="gramEnd"/>
            <w:r>
              <w:br/>
            </w:r>
            <w:r w:rsidR="005C7441" w:rsidRPr="002C0124">
              <w:t>(Докладчик)</w:t>
            </w:r>
          </w:p>
        </w:tc>
        <w:tc>
          <w:tcPr>
            <w:tcW w:w="2225" w:type="dxa"/>
          </w:tcPr>
          <w:p w:rsidR="005C7441" w:rsidRPr="002C0124" w:rsidRDefault="005C7441" w:rsidP="002C0124">
            <w:r w:rsidRPr="002C0124">
              <w:t>Франция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</w:tcPr>
          <w:p w:rsidR="005C7441" w:rsidRPr="002C0124" w:rsidRDefault="005C7441" w:rsidP="002C0124">
            <w:r w:rsidRPr="002C0124">
              <w:t>2019</w:t>
            </w:r>
            <w:r w:rsidR="002C0124">
              <w:t xml:space="preserve"> </w:t>
            </w:r>
            <w:r w:rsidR="002C0124" w:rsidRPr="002C0124">
              <w:t>года</w:t>
            </w:r>
          </w:p>
        </w:tc>
      </w:tr>
      <w:tr w:rsidR="005C7441" w:rsidRPr="002C0124" w:rsidTr="002C0124">
        <w:trPr>
          <w:trHeight w:val="240"/>
        </w:trPr>
        <w:tc>
          <w:tcPr>
            <w:tcW w:w="3402" w:type="dxa"/>
          </w:tcPr>
          <w:p w:rsidR="005C7441" w:rsidRPr="002C0124" w:rsidRDefault="002C0124" w:rsidP="002C0124">
            <w:r>
              <w:t>Кенин Чжан</w:t>
            </w:r>
            <w:r>
              <w:br/>
            </w:r>
            <w:r w:rsidR="005C7441" w:rsidRPr="002C0124">
              <w:t>(Докладчик по вопросу о новых жалобах и временных мерах)</w:t>
            </w:r>
          </w:p>
        </w:tc>
        <w:tc>
          <w:tcPr>
            <w:tcW w:w="2225" w:type="dxa"/>
          </w:tcPr>
          <w:p w:rsidR="005C7441" w:rsidRPr="002C0124" w:rsidRDefault="005C7441" w:rsidP="002C0124">
            <w:r w:rsidRPr="002C0124">
              <w:t>Китай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43" w:type="dxa"/>
          </w:tcPr>
          <w:p w:rsidR="005C7441" w:rsidRPr="002C0124" w:rsidRDefault="005C7441" w:rsidP="002C0124">
            <w:r w:rsidRPr="002C0124">
              <w:t>2017</w:t>
            </w:r>
            <w:r w:rsidR="002C0124">
              <w:t xml:space="preserve"> </w:t>
            </w:r>
            <w:r w:rsidR="00365740">
              <w:t>года</w:t>
            </w:r>
          </w:p>
        </w:tc>
      </w:tr>
    </w:tbl>
    <w:p w:rsidR="00DE4C10" w:rsidRPr="00365740" w:rsidRDefault="00365740" w:rsidP="0036574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4C10" w:rsidRPr="00365740" w:rsidSect="0070041F">
      <w:headerReference w:type="even" r:id="rId32"/>
      <w:footerReference w:type="even" r:id="rId33"/>
      <w:footerReference w:type="default" r:id="rId3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A3" w:rsidRDefault="00731EA3"/>
  </w:endnote>
  <w:endnote w:type="continuationSeparator" w:id="0">
    <w:p w:rsidR="00731EA3" w:rsidRDefault="00731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EE2D8A" w:rsidRDefault="00731EA3" w:rsidP="00EE2D8A">
    <w:pPr>
      <w:tabs>
        <w:tab w:val="left" w:pos="9639"/>
      </w:tabs>
      <w:ind w:right="357"/>
    </w:pPr>
    <w:r>
      <w:t>GE.13-…..  (S)    …..    …..</w:t>
    </w:r>
    <w: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C55ADD" w:rsidRDefault="00731EA3" w:rsidP="00DE4C10">
    <w:pPr>
      <w:tabs>
        <w:tab w:val="right" w:pos="9639"/>
      </w:tabs>
      <w:spacing w:line="240" w:lineRule="auto"/>
      <w:ind w:right="357"/>
    </w:pPr>
    <w:r w:rsidRPr="005C7441">
      <w:rPr>
        <w:sz w:val="16"/>
        <w:szCs w:val="16"/>
      </w:rPr>
      <w:t>GE.17-10174</w:t>
    </w:r>
    <w:r>
      <w:tab/>
    </w:r>
    <w:r w:rsidRPr="005C7441">
      <w:rPr>
        <w:b/>
        <w:sz w:val="18"/>
        <w:szCs w:val="18"/>
      </w:rPr>
      <w:fldChar w:fldCharType="begin"/>
    </w:r>
    <w:r w:rsidRPr="005C7441">
      <w:rPr>
        <w:b/>
        <w:sz w:val="18"/>
        <w:szCs w:val="18"/>
      </w:rPr>
      <w:instrText xml:space="preserve"> PAGE </w:instrText>
    </w:r>
    <w:r w:rsidRPr="005C7441">
      <w:rPr>
        <w:b/>
        <w:sz w:val="18"/>
        <w:szCs w:val="18"/>
      </w:rPr>
      <w:fldChar w:fldCharType="separate"/>
    </w:r>
    <w:r w:rsidR="0087040E">
      <w:rPr>
        <w:b/>
        <w:noProof/>
        <w:sz w:val="18"/>
        <w:szCs w:val="18"/>
      </w:rPr>
      <w:t>21</w:t>
    </w:r>
    <w:r w:rsidRPr="005C7441">
      <w:rPr>
        <w:b/>
        <w:sz w:val="18"/>
        <w:szCs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C55ADD" w:rsidRDefault="00731EA3" w:rsidP="00DE4C10">
    <w:pPr>
      <w:tabs>
        <w:tab w:val="right" w:pos="9639"/>
      </w:tabs>
      <w:spacing w:line="240" w:lineRule="auto"/>
      <w:ind w:right="357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731EA3" w:rsidRDefault="00731EA3" w:rsidP="004A101E">
    <w:pPr>
      <w:tabs>
        <w:tab w:val="right" w:pos="9491"/>
      </w:tabs>
      <w:spacing w:line="240" w:lineRule="auto"/>
      <w:rPr>
        <w:sz w:val="16"/>
        <w:szCs w:val="16"/>
        <w:lang w:val="en-US"/>
      </w:rPr>
    </w:pPr>
    <w:r w:rsidRPr="00432627">
      <w:rPr>
        <w:b/>
        <w:sz w:val="18"/>
        <w:szCs w:val="18"/>
      </w:rPr>
      <w:fldChar w:fldCharType="begin"/>
    </w:r>
    <w:r w:rsidRPr="00432627">
      <w:rPr>
        <w:b/>
        <w:sz w:val="18"/>
        <w:szCs w:val="18"/>
      </w:rPr>
      <w:instrText xml:space="preserve"> PAGE </w:instrText>
    </w:r>
    <w:r w:rsidRPr="00432627">
      <w:rPr>
        <w:b/>
        <w:sz w:val="18"/>
        <w:szCs w:val="18"/>
      </w:rPr>
      <w:fldChar w:fldCharType="separate"/>
    </w:r>
    <w:r w:rsidR="0087040E">
      <w:rPr>
        <w:b/>
        <w:noProof/>
        <w:sz w:val="18"/>
        <w:szCs w:val="18"/>
      </w:rPr>
      <w:t>22</w:t>
    </w:r>
    <w:r w:rsidRPr="00432627">
      <w:rPr>
        <w:b/>
        <w:sz w:val="18"/>
        <w:szCs w:val="18"/>
      </w:rPr>
      <w:fldChar w:fldCharType="end"/>
    </w:r>
    <w:r>
      <w:tab/>
    </w:r>
    <w:r w:rsidRPr="00731EA3">
      <w:rPr>
        <w:szCs w:val="20"/>
      </w:rPr>
      <w:t>GE.17-10174</w:t>
    </w:r>
    <w:r w:rsidRPr="00731EA3">
      <w:rPr>
        <w:szCs w:val="20"/>
        <w:lang w:val="en-US"/>
      </w:rPr>
      <w:t xml:space="preserve">  (R)</w:t>
    </w:r>
  </w:p>
  <w:p w:rsidR="00731EA3" w:rsidRPr="00731EA3" w:rsidRDefault="00731EA3" w:rsidP="00731EA3">
    <w:pPr>
      <w:tabs>
        <w:tab w:val="right" w:pos="9639"/>
      </w:tabs>
      <w:spacing w:line="240" w:lineRule="auto"/>
      <w:jc w:val="right"/>
      <w:rPr>
        <w:rFonts w:ascii="C39T30Lfz" w:hAnsi="C39T30Lfz"/>
        <w:spacing w:val="0"/>
        <w:w w:val="100"/>
        <w:sz w:val="56"/>
        <w:szCs w:val="16"/>
      </w:rPr>
    </w:pPr>
    <w:r w:rsidRPr="00731EA3">
      <w:rPr>
        <w:rFonts w:ascii="C39T30Lfz" w:hAnsi="C39T30Lfz"/>
        <w:spacing w:val="0"/>
        <w:w w:val="100"/>
        <w:sz w:val="56"/>
        <w:szCs w:val="16"/>
      </w:rPr>
      <w:t></w:t>
    </w:r>
    <w:r w:rsidRPr="00731EA3">
      <w:rPr>
        <w:rFonts w:ascii="C39T30Lfz" w:hAnsi="C39T30Lfz"/>
        <w:spacing w:val="0"/>
        <w:w w:val="100"/>
        <w:sz w:val="56"/>
        <w:szCs w:val="16"/>
      </w:rPr>
      <w:t></w:t>
    </w:r>
    <w:r w:rsidRPr="00731EA3">
      <w:rPr>
        <w:rFonts w:ascii="C39T30Lfz" w:hAnsi="C39T30Lfz"/>
        <w:spacing w:val="0"/>
        <w:w w:val="100"/>
        <w:sz w:val="56"/>
        <w:szCs w:val="16"/>
      </w:rPr>
      <w:t></w:t>
    </w:r>
    <w:r w:rsidRPr="00731EA3">
      <w:rPr>
        <w:rFonts w:ascii="C39T30Lfz" w:hAnsi="C39T30Lfz"/>
        <w:spacing w:val="0"/>
        <w:w w:val="100"/>
        <w:sz w:val="56"/>
        <w:szCs w:val="16"/>
      </w:rPr>
      <w:t></w:t>
    </w:r>
    <w:r w:rsidRPr="00731EA3">
      <w:rPr>
        <w:rFonts w:ascii="C39T30Lfz" w:hAnsi="C39T30Lfz"/>
        <w:spacing w:val="0"/>
        <w:w w:val="100"/>
        <w:sz w:val="56"/>
        <w:szCs w:val="16"/>
      </w:rPr>
      <w:t></w:t>
    </w:r>
    <w:r w:rsidRPr="00731EA3">
      <w:rPr>
        <w:rFonts w:ascii="C39T30Lfz" w:hAnsi="C39T30Lfz"/>
        <w:spacing w:val="0"/>
        <w:w w:val="100"/>
        <w:sz w:val="56"/>
        <w:szCs w:val="16"/>
      </w:rPr>
      <w:t></w:t>
    </w:r>
    <w:r w:rsidRPr="00731EA3">
      <w:rPr>
        <w:rFonts w:ascii="C39T30Lfz" w:hAnsi="C39T30Lfz"/>
        <w:spacing w:val="0"/>
        <w:w w:val="100"/>
        <w:sz w:val="56"/>
        <w:szCs w:val="16"/>
      </w:rPr>
      <w:t></w:t>
    </w:r>
    <w:r w:rsidRPr="00731EA3">
      <w:rPr>
        <w:rFonts w:ascii="C39T30Lfz" w:hAnsi="C39T30Lfz"/>
        <w:spacing w:val="0"/>
        <w:w w:val="100"/>
        <w:sz w:val="56"/>
        <w:szCs w:val="16"/>
      </w:rPr>
      <w:t></w:t>
    </w:r>
    <w:r w:rsidRPr="00731EA3">
      <w:rPr>
        <w:rFonts w:ascii="C39T30Lfz" w:hAnsi="C39T30Lfz"/>
        <w:spacing w:val="0"/>
        <w:w w:val="100"/>
        <w:sz w:val="56"/>
        <w:szCs w:val="16"/>
      </w:rPr>
      <w:t>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C55ADD" w:rsidRDefault="00731EA3" w:rsidP="00DE4C10">
    <w:pPr>
      <w:tabs>
        <w:tab w:val="right" w:pos="9639"/>
      </w:tabs>
      <w:spacing w:line="240" w:lineRule="auto"/>
      <w:ind w:right="357"/>
    </w:pPr>
    <w:r w:rsidRPr="005C7441">
      <w:rPr>
        <w:sz w:val="16"/>
        <w:szCs w:val="16"/>
      </w:rPr>
      <w:t>GE.17-10174</w:t>
    </w:r>
    <w:r>
      <w:tab/>
    </w:r>
    <w:r w:rsidRPr="005C7441">
      <w:rPr>
        <w:b/>
        <w:sz w:val="18"/>
        <w:szCs w:val="18"/>
      </w:rPr>
      <w:fldChar w:fldCharType="begin"/>
    </w:r>
    <w:r w:rsidRPr="005C7441">
      <w:rPr>
        <w:b/>
        <w:sz w:val="18"/>
        <w:szCs w:val="18"/>
      </w:rPr>
      <w:instrText xml:space="preserve"> PAGE </w:instrText>
    </w:r>
    <w:r w:rsidRPr="005C7441">
      <w:rPr>
        <w:b/>
        <w:sz w:val="18"/>
        <w:szCs w:val="18"/>
      </w:rPr>
      <w:fldChar w:fldCharType="separate"/>
    </w:r>
    <w:r w:rsidR="0087040E">
      <w:rPr>
        <w:b/>
        <w:noProof/>
        <w:sz w:val="18"/>
        <w:szCs w:val="18"/>
      </w:rPr>
      <w:t>22</w:t>
    </w:r>
    <w:r w:rsidRPr="005C744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Default="00731EA3">
    <w:r>
      <w:rPr>
        <w:noProof/>
        <w:sz w:val="2"/>
        <w:szCs w:val="2"/>
        <w:lang w:eastAsia="ru-RU"/>
      </w:rPr>
      <w:drawing>
        <wp:anchor distT="0" distB="0" distL="114300" distR="114300" simplePos="0" relativeHeight="251659776" behindDoc="0" locked="0" layoutInCell="1" allowOverlap="1" wp14:anchorId="4BEF82C5" wp14:editId="3E7892D0">
          <wp:simplePos x="0" y="0"/>
          <wp:positionH relativeFrom="margin">
            <wp:posOffset>2699385</wp:posOffset>
          </wp:positionH>
          <wp:positionV relativeFrom="margin">
            <wp:posOffset>8790940</wp:posOffset>
          </wp:positionV>
          <wp:extent cx="2656205" cy="2730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00"/>
        <w:sz w:val="2"/>
        <w:szCs w:val="2"/>
        <w:lang w:eastAsia="ru-RU"/>
      </w:rPr>
      <w:drawing>
        <wp:anchor distT="0" distB="0" distL="114300" distR="114300" simplePos="0" relativeHeight="251660800" behindDoc="0" locked="0" layoutInCell="1" allowOverlap="1" wp14:anchorId="32A507D6" wp14:editId="002A6128">
          <wp:simplePos x="0" y="0"/>
          <wp:positionH relativeFrom="margin">
            <wp:posOffset>5489575</wp:posOffset>
          </wp:positionH>
          <wp:positionV relativeFrom="margin">
            <wp:posOffset>8406130</wp:posOffset>
          </wp:positionV>
          <wp:extent cx="640080" cy="640080"/>
          <wp:effectExtent l="0" t="0" r="7620" b="7620"/>
          <wp:wrapNone/>
          <wp:docPr id="1" name="Рисунок 1" descr="http://undocs.org/m2/QRCode.ashx?DS=A/72/4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72/4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Default="00731EA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4338CD" w:rsidRDefault="00731EA3" w:rsidP="004338CD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661536" w:rsidRDefault="00731EA3" w:rsidP="00661536">
    <w:pPr>
      <w:pStyle w:val="a7"/>
      <w:rPr>
        <w:szCs w:val="16"/>
        <w:lang w:val="en-US"/>
      </w:rPr>
    </w:pPr>
    <w:r>
      <w:rPr>
        <w:rFonts w:eastAsia="Calibri" w:cs="Arial"/>
        <w:szCs w:val="16"/>
        <w:lang w:eastAsia="en-US"/>
      </w:rPr>
      <w:t>GE.1</w:t>
    </w:r>
    <w:r>
      <w:rPr>
        <w:rFonts w:eastAsia="Calibri" w:cs="Arial"/>
        <w:szCs w:val="16"/>
        <w:lang w:val="en-US" w:eastAsia="en-US"/>
      </w:rPr>
      <w:t>7</w:t>
    </w:r>
    <w:r>
      <w:rPr>
        <w:rFonts w:eastAsia="Calibri" w:cs="Arial"/>
        <w:szCs w:val="16"/>
        <w:lang w:eastAsia="en-US"/>
      </w:rPr>
      <w:t>-1</w:t>
    </w:r>
    <w:r>
      <w:rPr>
        <w:rFonts w:eastAsia="Calibri" w:cs="Arial"/>
        <w:szCs w:val="16"/>
        <w:lang w:val="en-US" w:eastAsia="en-US"/>
      </w:rPr>
      <w:t>0174</w:t>
    </w:r>
    <w:r>
      <w:rPr>
        <w:rFonts w:eastAsia="Calibri" w:cs="Arial"/>
        <w:szCs w:val="16"/>
        <w:lang w:val="en-US" w:eastAsia="en-US"/>
      </w:rPr>
      <w:tab/>
    </w:r>
    <w:r w:rsidRPr="00661536">
      <w:rPr>
        <w:rFonts w:eastAsia="Calibri" w:cs="Arial"/>
        <w:b/>
        <w:sz w:val="18"/>
        <w:szCs w:val="18"/>
        <w:lang w:eastAsia="en-US"/>
      </w:rPr>
      <w:fldChar w:fldCharType="begin"/>
    </w:r>
    <w:r w:rsidRPr="00661536">
      <w:rPr>
        <w:rFonts w:eastAsia="Calibri" w:cs="Arial"/>
        <w:b/>
        <w:sz w:val="18"/>
        <w:szCs w:val="18"/>
        <w:lang w:eastAsia="en-US"/>
      </w:rPr>
      <w:instrText>PAGE   \* MERGEFORMAT</w:instrText>
    </w:r>
    <w:r w:rsidRPr="00661536">
      <w:rPr>
        <w:rFonts w:eastAsia="Calibri" w:cs="Arial"/>
        <w:b/>
        <w:sz w:val="18"/>
        <w:szCs w:val="18"/>
        <w:lang w:eastAsia="en-US"/>
      </w:rPr>
      <w:fldChar w:fldCharType="separate"/>
    </w:r>
    <w:r w:rsidR="0087040E">
      <w:rPr>
        <w:rFonts w:eastAsia="Calibri" w:cs="Arial"/>
        <w:b/>
        <w:noProof/>
        <w:sz w:val="18"/>
        <w:szCs w:val="18"/>
        <w:lang w:eastAsia="en-US"/>
      </w:rPr>
      <w:t>iii</w:t>
    </w:r>
    <w:r w:rsidRPr="00661536">
      <w:rPr>
        <w:rFonts w:eastAsia="Calibri" w:cs="Arial"/>
        <w:b/>
        <w:sz w:val="18"/>
        <w:szCs w:val="18"/>
        <w:lang w:eastAsia="en-US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Default="00731EA3" w:rsidP="00C55ADD">
    <w:pPr>
      <w:tabs>
        <w:tab w:val="right" w:pos="9639"/>
      </w:tabs>
      <w:spacing w:line="240" w:lineRule="auto"/>
      <w:ind w:right="357"/>
    </w:pPr>
    <w:r>
      <w:fldChar w:fldCharType="begin"/>
    </w:r>
    <w:r>
      <w:instrText xml:space="preserve"> PAGE </w:instrText>
    </w:r>
    <w:r>
      <w:fldChar w:fldCharType="separate"/>
    </w:r>
    <w:r w:rsidR="0087040E">
      <w:rPr>
        <w:noProof/>
      </w:rPr>
      <w:t>xxii</w:t>
    </w:r>
    <w:r>
      <w:fldChar w:fldCharType="end"/>
    </w:r>
    <w:r>
      <w:tab/>
    </w:r>
    <w:r>
      <w:rPr>
        <w:szCs w:val="16"/>
      </w:rPr>
      <w:t>GE.17-10174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C55ADD" w:rsidRDefault="00731EA3" w:rsidP="00AE2E9F">
    <w:pPr>
      <w:tabs>
        <w:tab w:val="right" w:pos="9639"/>
      </w:tabs>
      <w:spacing w:line="240" w:lineRule="auto"/>
      <w:ind w:right="357"/>
    </w:pPr>
    <w:r>
      <w:t>GE.17-10174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87040E">
      <w:rPr>
        <w:noProof/>
      </w:rPr>
      <w:t>xxii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0B6705" w:rsidRDefault="00731EA3" w:rsidP="000B6705">
    <w:pPr>
      <w:tabs>
        <w:tab w:val="left" w:pos="9533"/>
      </w:tabs>
      <w:ind w:right="357"/>
      <w:rPr>
        <w:lang w:val="en-US"/>
      </w:rPr>
    </w:pPr>
    <w:r>
      <w:t>GE.17-10174  (</w:t>
    </w:r>
    <w:r>
      <w:rPr>
        <w:lang w:val="en-US"/>
      </w:rPr>
      <w:t>R</w:t>
    </w:r>
    <w:r>
      <w:t xml:space="preserve">)  </w:t>
    </w:r>
    <w:r>
      <w:rPr>
        <w:lang w:val="en-US"/>
      </w:rPr>
      <w:t>060717  110717</w:t>
    </w:r>
    <w:r>
      <w:rPr>
        <w:lang w:val="en-US"/>
      </w:rPr>
      <w:tab/>
    </w:r>
    <w:r w:rsidRPr="004338CD">
      <w:rPr>
        <w:b/>
        <w:sz w:val="18"/>
        <w:szCs w:val="18"/>
      </w:rPr>
      <w:fldChar w:fldCharType="begin"/>
    </w:r>
    <w:r w:rsidRPr="004338CD">
      <w:rPr>
        <w:b/>
        <w:sz w:val="18"/>
        <w:szCs w:val="18"/>
      </w:rPr>
      <w:instrText>PAGE   \* MERGEFORMAT</w:instrText>
    </w:r>
    <w:r w:rsidRPr="004338CD">
      <w:rPr>
        <w:b/>
        <w:sz w:val="18"/>
        <w:szCs w:val="18"/>
      </w:rPr>
      <w:fldChar w:fldCharType="separate"/>
    </w:r>
    <w:r w:rsidR="0087040E">
      <w:rPr>
        <w:b/>
        <w:noProof/>
        <w:sz w:val="18"/>
        <w:szCs w:val="18"/>
      </w:rPr>
      <w:t>v</w:t>
    </w:r>
    <w:r w:rsidRPr="004338CD">
      <w:rPr>
        <w:sz w:val="18"/>
        <w:szCs w:val="18"/>
        <w:lang w:val="en-US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Default="00731EA3" w:rsidP="00C55ADD">
    <w:pPr>
      <w:tabs>
        <w:tab w:val="right" w:pos="9639"/>
      </w:tabs>
      <w:spacing w:line="240" w:lineRule="auto"/>
      <w:ind w:right="357"/>
    </w:pPr>
    <w:r w:rsidRPr="00432627">
      <w:rPr>
        <w:b/>
        <w:sz w:val="18"/>
        <w:szCs w:val="18"/>
      </w:rPr>
      <w:fldChar w:fldCharType="begin"/>
    </w:r>
    <w:r w:rsidRPr="00432627">
      <w:rPr>
        <w:b/>
        <w:sz w:val="18"/>
        <w:szCs w:val="18"/>
      </w:rPr>
      <w:instrText xml:space="preserve"> PAGE </w:instrText>
    </w:r>
    <w:r w:rsidRPr="00432627">
      <w:rPr>
        <w:b/>
        <w:sz w:val="18"/>
        <w:szCs w:val="18"/>
      </w:rPr>
      <w:fldChar w:fldCharType="separate"/>
    </w:r>
    <w:r w:rsidR="0087040E">
      <w:rPr>
        <w:b/>
        <w:noProof/>
        <w:sz w:val="18"/>
        <w:szCs w:val="18"/>
      </w:rPr>
      <w:t>18</w:t>
    </w:r>
    <w:r w:rsidRPr="00432627">
      <w:rPr>
        <w:b/>
        <w:sz w:val="18"/>
        <w:szCs w:val="18"/>
      </w:rPr>
      <w:fldChar w:fldCharType="end"/>
    </w:r>
    <w:r>
      <w:tab/>
    </w:r>
    <w:r w:rsidRPr="00432627">
      <w:rPr>
        <w:sz w:val="16"/>
        <w:szCs w:val="16"/>
      </w:rPr>
      <w:t>GE.17-10174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A3" w:rsidRDefault="00731EA3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1EA3" w:rsidRDefault="00731EA3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731EA3" w:rsidRPr="00807838" w:rsidRDefault="00731EA3" w:rsidP="005C7441">
      <w:pPr>
        <w:pStyle w:val="ab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 w:rsidRPr="004C5B4A">
        <w:rPr>
          <w:rStyle w:val="a5"/>
          <w:lang w:val="ru-RU"/>
        </w:rPr>
        <w:footnoteRef/>
      </w:r>
      <w:r>
        <w:rPr>
          <w:lang w:val="ru-RU"/>
        </w:rPr>
        <w:tab/>
        <w:t xml:space="preserve">См. </w:t>
      </w:r>
      <w:r>
        <w:rPr>
          <w:i/>
          <w:iCs/>
          <w:lang w:val="ru-RU"/>
        </w:rPr>
        <w:t>Официальные отчеты Генеральной Ассамблеи, шестьдесят четвертая сессия, Дополнение № 44</w:t>
      </w:r>
      <w:r>
        <w:rPr>
          <w:lang w:val="ru-RU"/>
        </w:rPr>
        <w:t xml:space="preserve"> (</w:t>
      </w:r>
      <w:hyperlink r:id="rId1" w:history="1">
        <w:r w:rsidRPr="003A4D4E">
          <w:rPr>
            <w:rStyle w:val="af1"/>
            <w:lang w:val="ru-RU"/>
          </w:rPr>
          <w:t>A/64/44</w:t>
        </w:r>
      </w:hyperlink>
      <w:r>
        <w:rPr>
          <w:lang w:val="ru-RU"/>
        </w:rPr>
        <w:t>), пункт 26.</w:t>
      </w:r>
    </w:p>
  </w:footnote>
  <w:footnote w:id="2">
    <w:p w:rsidR="00731EA3" w:rsidRPr="00807838" w:rsidRDefault="00731EA3" w:rsidP="005C7441">
      <w:pPr>
        <w:pStyle w:val="ab"/>
        <w:rPr>
          <w:lang w:val="ru-RU"/>
        </w:rPr>
      </w:pPr>
      <w:r w:rsidRPr="00B21270">
        <w:rPr>
          <w:lang w:val="ru-RU"/>
        </w:rPr>
        <w:tab/>
      </w:r>
      <w:r w:rsidRPr="004C5B4A">
        <w:rPr>
          <w:rStyle w:val="a5"/>
          <w:lang w:val="ru-RU"/>
        </w:rPr>
        <w:footnoteRef/>
      </w:r>
      <w:r>
        <w:rPr>
          <w:lang w:val="ru-RU"/>
        </w:rPr>
        <w:tab/>
        <w:t xml:space="preserve">Там же, </w:t>
      </w:r>
      <w:r>
        <w:rPr>
          <w:i/>
          <w:iCs/>
          <w:lang w:val="ru-RU"/>
        </w:rPr>
        <w:t>шестьдесят седьмая сессия, Дополнение № 44</w:t>
      </w:r>
      <w:r>
        <w:rPr>
          <w:lang w:val="ru-RU"/>
        </w:rPr>
        <w:t xml:space="preserve"> (</w:t>
      </w:r>
      <w:hyperlink r:id="rId2" w:history="1">
        <w:r w:rsidRPr="003A4D4E">
          <w:rPr>
            <w:rStyle w:val="af1"/>
            <w:lang w:val="ru-RU"/>
          </w:rPr>
          <w:t>A/67/44</w:t>
        </w:r>
      </w:hyperlink>
      <w:r>
        <w:rPr>
          <w:lang w:val="ru-RU"/>
        </w:rPr>
        <w:t>), пункт 33.</w:t>
      </w:r>
    </w:p>
  </w:footnote>
  <w:footnote w:id="3">
    <w:p w:rsidR="00731EA3" w:rsidRPr="00807838" w:rsidRDefault="00731EA3" w:rsidP="005C7441">
      <w:pPr>
        <w:pStyle w:val="ab"/>
        <w:rPr>
          <w:lang w:val="ru-RU"/>
        </w:rPr>
      </w:pPr>
      <w:r w:rsidRPr="00B21270">
        <w:rPr>
          <w:lang w:val="ru-RU"/>
        </w:rPr>
        <w:tab/>
      </w:r>
      <w:r w:rsidRPr="004C5B4A">
        <w:rPr>
          <w:rStyle w:val="a5"/>
          <w:lang w:val="ru-RU"/>
        </w:rPr>
        <w:footnoteRef/>
      </w:r>
      <w:r>
        <w:rPr>
          <w:lang w:val="ru-RU"/>
        </w:rPr>
        <w:tab/>
        <w:t xml:space="preserve">Там же, </w:t>
      </w:r>
      <w:r>
        <w:rPr>
          <w:i/>
          <w:iCs/>
          <w:lang w:val="ru-RU"/>
        </w:rPr>
        <w:t>шестьдесят шестая сессия, Дополнение № 44</w:t>
      </w:r>
      <w:r>
        <w:rPr>
          <w:lang w:val="ru-RU"/>
        </w:rPr>
        <w:t xml:space="preserve"> (</w:t>
      </w:r>
      <w:hyperlink r:id="rId3" w:history="1">
        <w:r w:rsidRPr="003A4D4E">
          <w:rPr>
            <w:rStyle w:val="af1"/>
            <w:lang w:val="ru-RU"/>
          </w:rPr>
          <w:t>A/66/44</w:t>
        </w:r>
      </w:hyperlink>
      <w:r>
        <w:rPr>
          <w:lang w:val="ru-RU"/>
        </w:rPr>
        <w:t>), пункты 28–35.</w:t>
      </w:r>
    </w:p>
  </w:footnote>
  <w:footnote w:id="4">
    <w:p w:rsidR="00731EA3" w:rsidRPr="00807838" w:rsidRDefault="00731EA3" w:rsidP="005C7441">
      <w:pPr>
        <w:pStyle w:val="ab"/>
        <w:rPr>
          <w:lang w:val="ru-RU"/>
        </w:rPr>
      </w:pPr>
      <w:r w:rsidRPr="00B21270">
        <w:rPr>
          <w:lang w:val="ru-RU"/>
        </w:rPr>
        <w:tab/>
      </w:r>
      <w:r w:rsidRPr="004C5B4A">
        <w:rPr>
          <w:rStyle w:val="a5"/>
          <w:lang w:val="ru-RU"/>
        </w:rPr>
        <w:footnoteRef/>
      </w:r>
      <w:r>
        <w:rPr>
          <w:lang w:val="ru-RU"/>
        </w:rPr>
        <w:tab/>
        <w:t xml:space="preserve">См. </w:t>
      </w:r>
      <w:r>
        <w:rPr>
          <w:i/>
          <w:iCs/>
          <w:lang w:val="ru-RU"/>
        </w:rPr>
        <w:t xml:space="preserve">Официальные отчеты Генеральной Ассамблеи, пятьдесят восьмая сессия, Дополнение № 44 </w:t>
      </w:r>
      <w:r>
        <w:rPr>
          <w:lang w:val="ru-RU"/>
        </w:rPr>
        <w:t>(</w:t>
      </w:r>
      <w:hyperlink r:id="rId4" w:history="1">
        <w:r w:rsidRPr="005826C3">
          <w:rPr>
            <w:rStyle w:val="af1"/>
            <w:lang w:val="ru-RU"/>
          </w:rPr>
          <w:t>A/58/44</w:t>
        </w:r>
      </w:hyperlink>
      <w:r>
        <w:rPr>
          <w:lang w:val="ru-RU"/>
        </w:rPr>
        <w:t>), пункт 12.</w:t>
      </w:r>
    </w:p>
  </w:footnote>
  <w:footnote w:id="5">
    <w:p w:rsidR="00731EA3" w:rsidRPr="00807838" w:rsidRDefault="00731EA3" w:rsidP="005C7441">
      <w:pPr>
        <w:pStyle w:val="ab"/>
        <w:rPr>
          <w:color w:val="000000" w:themeColor="text1"/>
          <w:lang w:val="ru-RU"/>
        </w:rPr>
      </w:pPr>
      <w:r w:rsidRPr="00B21270">
        <w:rPr>
          <w:lang w:val="ru-RU"/>
        </w:rPr>
        <w:tab/>
      </w:r>
      <w:r w:rsidRPr="004C5B4A">
        <w:rPr>
          <w:rStyle w:val="a5"/>
          <w:lang w:val="ru-RU"/>
        </w:rPr>
        <w:footnoteRef/>
      </w:r>
      <w:r>
        <w:rPr>
          <w:lang w:val="ru-RU"/>
        </w:rPr>
        <w:tab/>
        <w:t>В 2010 году Комитет создал отдельную веб-страницу, содержащую информацию</w:t>
      </w:r>
      <w:r>
        <w:rPr>
          <w:lang w:val="ru-RU"/>
        </w:rPr>
        <w:br/>
        <w:t xml:space="preserve">о последующей деятельности: </w:t>
      </w:r>
      <w:hyperlink r:id="rId5" w:history="1">
        <w:r>
          <w:rPr>
            <w:rStyle w:val="af1"/>
            <w:lang w:val="ru-RU"/>
          </w:rPr>
          <w:t>http://tbinternet.ohchr.org/</w:t>
        </w:r>
        <w:r w:rsidRPr="009551C2">
          <w:rPr>
            <w:rStyle w:val="af1"/>
            <w:lang w:val="ru-RU"/>
          </w:rPr>
          <w:t>_layouts/TreatyBodyExternal/</w:t>
        </w:r>
        <w:r>
          <w:rPr>
            <w:rStyle w:val="af1"/>
            <w:lang w:val="ru-RU"/>
          </w:rPr>
          <w:t xml:space="preserve"> </w:t>
        </w:r>
        <w:proofErr w:type="spellStart"/>
        <w:r w:rsidRPr="009551C2">
          <w:rPr>
            <w:rStyle w:val="af1"/>
            <w:lang w:val="ru-RU"/>
          </w:rPr>
          <w:t>FollowUp.aspx?Treaty</w:t>
        </w:r>
        <w:proofErr w:type="spellEnd"/>
        <w:r w:rsidRPr="009551C2">
          <w:rPr>
            <w:rStyle w:val="af1"/>
            <w:lang w:val="ru-RU"/>
          </w:rPr>
          <w:t>=</w:t>
        </w:r>
        <w:proofErr w:type="spellStart"/>
        <w:r w:rsidRPr="009551C2">
          <w:rPr>
            <w:rStyle w:val="af1"/>
            <w:lang w:val="ru-RU"/>
          </w:rPr>
          <w:t>CAT&amp;Lang</w:t>
        </w:r>
        <w:proofErr w:type="spellEnd"/>
        <w:r w:rsidRPr="009551C2">
          <w:rPr>
            <w:rStyle w:val="af1"/>
            <w:lang w:val="ru-RU"/>
          </w:rPr>
          <w:t>=</w:t>
        </w:r>
        <w:proofErr w:type="spellStart"/>
        <w:r w:rsidRPr="009551C2">
          <w:rPr>
            <w:rStyle w:val="af1"/>
            <w:lang w:val="ru-RU"/>
          </w:rPr>
          <w:t>en</w:t>
        </w:r>
        <w:proofErr w:type="spellEnd"/>
      </w:hyperlink>
      <w:r>
        <w:rPr>
          <w:lang w:val="ru-RU"/>
        </w:rPr>
        <w:t>. С обзором процедуры последующей деятельности в период с 2003 года можно ознакомиться на той же веб-странице.</w:t>
      </w:r>
    </w:p>
  </w:footnote>
  <w:footnote w:id="6">
    <w:p w:rsidR="00731EA3" w:rsidRPr="00807838" w:rsidRDefault="00731EA3" w:rsidP="005C7441">
      <w:pPr>
        <w:pStyle w:val="ab"/>
        <w:rPr>
          <w:lang w:val="ru-RU"/>
        </w:rPr>
      </w:pPr>
      <w:r w:rsidRPr="00B21270">
        <w:rPr>
          <w:lang w:val="ru-RU"/>
        </w:rPr>
        <w:tab/>
      </w:r>
      <w:r w:rsidRPr="004C5B4A">
        <w:rPr>
          <w:rStyle w:val="a5"/>
          <w:lang w:val="ru-RU"/>
        </w:rPr>
        <w:footnoteRef/>
      </w:r>
      <w:r>
        <w:rPr>
          <w:lang w:val="ru-RU"/>
        </w:rPr>
        <w:tab/>
        <w:t>В этот перечень не включены государства-участники, которые еще не представили информацию о последующей деятельности до представления своего следующего периодического доклада.</w:t>
      </w:r>
    </w:p>
  </w:footnote>
  <w:footnote w:id="7">
    <w:p w:rsidR="00731EA3" w:rsidRPr="00807838" w:rsidRDefault="00731EA3" w:rsidP="005C7441">
      <w:pPr>
        <w:pStyle w:val="ab"/>
        <w:rPr>
          <w:lang w:val="ru-RU"/>
        </w:rPr>
      </w:pPr>
      <w:r w:rsidRPr="00B21270">
        <w:rPr>
          <w:lang w:val="ru-RU"/>
        </w:rPr>
        <w:tab/>
      </w:r>
      <w:r w:rsidRPr="004C5B4A">
        <w:rPr>
          <w:rStyle w:val="a5"/>
          <w:lang w:val="ru-RU"/>
        </w:rPr>
        <w:footnoteRef/>
      </w:r>
      <w:r>
        <w:rPr>
          <w:lang w:val="ru-RU"/>
        </w:rPr>
        <w:tab/>
        <w:t>С сообщениями, направляемыми Докладчиком по последующей деятельности в связи с заключительными замечаниями, можно ознакомиться на веб-странице, посвященной последующей деятельности.</w:t>
      </w:r>
    </w:p>
  </w:footnote>
  <w:footnote w:id="8">
    <w:p w:rsidR="00731EA3" w:rsidRPr="00807838" w:rsidRDefault="00731EA3" w:rsidP="005C7441">
      <w:pPr>
        <w:pStyle w:val="ab"/>
        <w:widowControl w:val="0"/>
        <w:rPr>
          <w:lang w:val="ru-RU"/>
        </w:rPr>
      </w:pPr>
      <w:r>
        <w:rPr>
          <w:lang w:val="ru-RU"/>
        </w:rPr>
        <w:tab/>
      </w:r>
      <w:r w:rsidRPr="004C5B4A">
        <w:rPr>
          <w:rStyle w:val="a5"/>
          <w:lang w:val="ru-RU"/>
        </w:rPr>
        <w:footnoteRef/>
      </w:r>
      <w:r>
        <w:rPr>
          <w:lang w:val="ru-RU"/>
        </w:rPr>
        <w:tab/>
        <w:t>С докладами государств-участников о последующей деятельности можно ознакомиться на веб-странице, посвященной последующей деятельности.</w:t>
      </w:r>
    </w:p>
  </w:footnote>
  <w:footnote w:id="9">
    <w:p w:rsidR="00731EA3" w:rsidRPr="00807838" w:rsidRDefault="00731EA3" w:rsidP="005C7441">
      <w:pPr>
        <w:pStyle w:val="ab"/>
        <w:rPr>
          <w:lang w:val="ru-RU"/>
        </w:rPr>
      </w:pPr>
      <w:r>
        <w:rPr>
          <w:lang w:val="ru-RU"/>
        </w:rPr>
        <w:tab/>
      </w:r>
      <w:r w:rsidRPr="004C5B4A">
        <w:rPr>
          <w:rStyle w:val="a5"/>
          <w:lang w:val="ru-RU"/>
        </w:rPr>
        <w:footnoteRef/>
      </w:r>
      <w:r>
        <w:rPr>
          <w:lang w:val="ru-RU"/>
        </w:rPr>
        <w:tab/>
        <w:t>Тунис представил информацию о последующей деятельности 13 мая 2017 года.</w:t>
      </w:r>
    </w:p>
  </w:footnote>
  <w:footnote w:id="10">
    <w:p w:rsidR="00731EA3" w:rsidRPr="00807838" w:rsidRDefault="00731EA3" w:rsidP="005C7441">
      <w:pPr>
        <w:pStyle w:val="ab"/>
        <w:rPr>
          <w:lang w:val="ru-RU"/>
        </w:rPr>
      </w:pPr>
      <w:r w:rsidRPr="002A0768">
        <w:rPr>
          <w:lang w:val="ru-RU"/>
        </w:rPr>
        <w:tab/>
      </w:r>
      <w:r w:rsidRPr="004C5B4A">
        <w:rPr>
          <w:rStyle w:val="a5"/>
          <w:lang w:val="ru-RU"/>
        </w:rPr>
        <w:footnoteRef/>
      </w:r>
      <w:r>
        <w:rPr>
          <w:lang w:val="ru-RU"/>
        </w:rPr>
        <w:tab/>
        <w:t>С этими материалами можно также ознакомиться на веб-странице, посвященной последующей деятельности.</w:t>
      </w:r>
    </w:p>
  </w:footnote>
  <w:footnote w:id="11">
    <w:p w:rsidR="00731EA3" w:rsidRPr="00807838" w:rsidRDefault="00731EA3" w:rsidP="005C7441">
      <w:pPr>
        <w:pStyle w:val="ab"/>
        <w:rPr>
          <w:lang w:val="ru-RU"/>
        </w:rPr>
      </w:pPr>
      <w:r w:rsidRPr="001E0593">
        <w:rPr>
          <w:lang w:val="ru-RU"/>
        </w:rPr>
        <w:tab/>
      </w:r>
      <w:r w:rsidRPr="004C5B4A">
        <w:rPr>
          <w:rStyle w:val="a5"/>
          <w:lang w:val="ru-RU"/>
        </w:rPr>
        <w:footnoteRef/>
      </w:r>
      <w:r>
        <w:rPr>
          <w:lang w:val="ru-RU"/>
        </w:rPr>
        <w:tab/>
        <w:t>Жалобы, рассмотренные Комитетом в отношении Союзной Республики Югославия,</w:t>
      </w:r>
      <w:r>
        <w:rPr>
          <w:lang w:val="ru-RU"/>
        </w:rPr>
        <w:br/>
        <w:t>а также Сербии и Черногории, в статистических целях отнесены к Сербии.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5C7441" w:rsidRDefault="00731EA3" w:rsidP="005C7441">
    <w:pPr>
      <w:pStyle w:val="a3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661536" w:rsidRDefault="00731EA3" w:rsidP="00432627">
    <w:pPr>
      <w:pStyle w:val="a3"/>
      <w:pBdr>
        <w:bottom w:val="single" w:sz="4" w:space="3" w:color="auto"/>
      </w:pBdr>
      <w:rPr>
        <w:lang w:val="en-US"/>
      </w:rPr>
    </w:pPr>
    <w:r>
      <w:rPr>
        <w:lang w:val="en-US"/>
      </w:rPr>
      <w:t>A/72/44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Default="00731EA3" w:rsidP="0066153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Default="00731EA3" w:rsidP="00661536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661536" w:rsidRDefault="00731EA3" w:rsidP="00661536">
    <w:pPr>
      <w:pStyle w:val="a3"/>
      <w:jc w:val="right"/>
      <w:rPr>
        <w:lang w:val="en-US"/>
      </w:rPr>
    </w:pPr>
    <w:r>
      <w:rPr>
        <w:lang w:val="en-US"/>
      </w:rPr>
      <w:t>A/72/44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Default="00731EA3" w:rsidP="00C55ADD">
    <w:pPr>
      <w:tabs>
        <w:tab w:val="left" w:pos="4320"/>
        <w:tab w:val="right" w:pos="9496"/>
      </w:tabs>
    </w:pPr>
    <w:r>
      <w:t>A/72/44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5826C3" w:rsidRDefault="00731EA3" w:rsidP="0096750D">
    <w:pPr>
      <w:jc w:val="right"/>
      <w:rPr>
        <w:b/>
        <w:sz w:val="18"/>
        <w:szCs w:val="18"/>
      </w:rPr>
    </w:pPr>
    <w:r w:rsidRPr="005826C3">
      <w:rPr>
        <w:b/>
        <w:sz w:val="18"/>
        <w:szCs w:val="18"/>
        <w:lang w:val="es-ES"/>
      </w:rPr>
      <w:t>A/72/44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661536" w:rsidRDefault="00731EA3" w:rsidP="004338CD">
    <w:pPr>
      <w:pStyle w:val="a3"/>
      <w:jc w:val="right"/>
      <w:rPr>
        <w:lang w:val="en-US"/>
      </w:rPr>
    </w:pPr>
    <w:r>
      <w:rPr>
        <w:lang w:val="en-US"/>
      </w:rPr>
      <w:t>A/72/44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432627" w:rsidRDefault="00731EA3" w:rsidP="00432627">
    <w:pPr>
      <w:pBdr>
        <w:bottom w:val="single" w:sz="4" w:space="4" w:color="auto"/>
      </w:pBdr>
      <w:tabs>
        <w:tab w:val="left" w:pos="4320"/>
        <w:tab w:val="right" w:pos="9496"/>
      </w:tabs>
      <w:rPr>
        <w:b/>
        <w:sz w:val="18"/>
        <w:szCs w:val="18"/>
      </w:rPr>
    </w:pPr>
    <w:r w:rsidRPr="00432627">
      <w:rPr>
        <w:b/>
        <w:sz w:val="18"/>
        <w:szCs w:val="18"/>
      </w:rPr>
      <w:t>A/72/44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A3" w:rsidRPr="00661536" w:rsidRDefault="00731EA3" w:rsidP="005C7441">
    <w:pPr>
      <w:pStyle w:val="a3"/>
      <w:jc w:val="right"/>
      <w:rPr>
        <w:lang w:val="en-US"/>
      </w:rPr>
    </w:pPr>
    <w:r>
      <w:rPr>
        <w:lang w:val="en-US"/>
      </w:rPr>
      <w:t>A/72/44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88E1392"/>
    <w:lvl w:ilvl="0" w:tplc="C1C435D4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84492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CA748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EC6D9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0C549E"/>
    <w:multiLevelType w:val="singleLevel"/>
    <w:tmpl w:val="56E0434C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36A7743B"/>
    <w:multiLevelType w:val="hybridMultilevel"/>
    <w:tmpl w:val="165289D8"/>
    <w:lvl w:ilvl="0" w:tplc="54B290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A59D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A074C02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0591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55403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34B1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AFD3DE4"/>
    <w:multiLevelType w:val="hybridMultilevel"/>
    <w:tmpl w:val="569E52D4"/>
    <w:lvl w:ilvl="0" w:tplc="01823A3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990BF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8300B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ACC303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24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15"/>
  </w:num>
  <w:num w:numId="23">
    <w:abstractNumId w:val="15"/>
  </w:num>
  <w:num w:numId="24">
    <w:abstractNumId w:val="25"/>
  </w:num>
  <w:num w:numId="25">
    <w:abstractNumId w:val="11"/>
  </w:num>
  <w:num w:numId="26">
    <w:abstractNumId w:val="26"/>
  </w:num>
  <w:num w:numId="27">
    <w:abstractNumId w:val="13"/>
  </w:num>
  <w:num w:numId="28">
    <w:abstractNumId w:val="16"/>
  </w:num>
  <w:num w:numId="29">
    <w:abstractNumId w:val="19"/>
  </w:num>
  <w:num w:numId="30">
    <w:abstractNumId w:val="21"/>
  </w:num>
  <w:num w:numId="31">
    <w:abstractNumId w:val="23"/>
  </w:num>
  <w:num w:numId="32">
    <w:abstractNumId w:val="27"/>
  </w:num>
  <w:num w:numId="33">
    <w:abstractNumId w:val="17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24"/>
  </w:num>
  <w:num w:numId="44">
    <w:abstractNumId w:val="15"/>
  </w:num>
  <w:num w:numId="45">
    <w:abstractNumId w:val="12"/>
  </w:num>
  <w:num w:numId="46">
    <w:abstractNumId w:val="22"/>
  </w:num>
  <w:num w:numId="47">
    <w:abstractNumId w:val="1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4"/>
    <w:rsid w:val="00002C93"/>
    <w:rsid w:val="00040993"/>
    <w:rsid w:val="0004426D"/>
    <w:rsid w:val="00045202"/>
    <w:rsid w:val="0005377B"/>
    <w:rsid w:val="00057523"/>
    <w:rsid w:val="00057858"/>
    <w:rsid w:val="0006449B"/>
    <w:rsid w:val="00074498"/>
    <w:rsid w:val="000756BC"/>
    <w:rsid w:val="000A6338"/>
    <w:rsid w:val="000B2515"/>
    <w:rsid w:val="000B42B2"/>
    <w:rsid w:val="000B6705"/>
    <w:rsid w:val="000C5D63"/>
    <w:rsid w:val="000D4E0B"/>
    <w:rsid w:val="000E19A5"/>
    <w:rsid w:val="000F341E"/>
    <w:rsid w:val="000F35B5"/>
    <w:rsid w:val="00103BDC"/>
    <w:rsid w:val="001066C9"/>
    <w:rsid w:val="00120643"/>
    <w:rsid w:val="001415D1"/>
    <w:rsid w:val="00146C52"/>
    <w:rsid w:val="0015023E"/>
    <w:rsid w:val="00151FE4"/>
    <w:rsid w:val="00183201"/>
    <w:rsid w:val="00184B59"/>
    <w:rsid w:val="00187200"/>
    <w:rsid w:val="00191725"/>
    <w:rsid w:val="00191BEC"/>
    <w:rsid w:val="001B70F5"/>
    <w:rsid w:val="001C2144"/>
    <w:rsid w:val="001F4334"/>
    <w:rsid w:val="002146FD"/>
    <w:rsid w:val="00225FDA"/>
    <w:rsid w:val="0024494A"/>
    <w:rsid w:val="00250713"/>
    <w:rsid w:val="0026585F"/>
    <w:rsid w:val="00276CD9"/>
    <w:rsid w:val="00287B7D"/>
    <w:rsid w:val="00291644"/>
    <w:rsid w:val="002B4818"/>
    <w:rsid w:val="002C0124"/>
    <w:rsid w:val="002C4056"/>
    <w:rsid w:val="002F5C9C"/>
    <w:rsid w:val="00317251"/>
    <w:rsid w:val="00320E0B"/>
    <w:rsid w:val="003350BA"/>
    <w:rsid w:val="00337A1D"/>
    <w:rsid w:val="003509C2"/>
    <w:rsid w:val="00365740"/>
    <w:rsid w:val="00367BEE"/>
    <w:rsid w:val="003732D8"/>
    <w:rsid w:val="0037660F"/>
    <w:rsid w:val="00377191"/>
    <w:rsid w:val="003A4D4E"/>
    <w:rsid w:val="003B17FC"/>
    <w:rsid w:val="003B2184"/>
    <w:rsid w:val="003B7DFB"/>
    <w:rsid w:val="003C0877"/>
    <w:rsid w:val="003D0BA4"/>
    <w:rsid w:val="003D1D4A"/>
    <w:rsid w:val="003D2760"/>
    <w:rsid w:val="003F45DE"/>
    <w:rsid w:val="003F6C51"/>
    <w:rsid w:val="004112FD"/>
    <w:rsid w:val="00422A95"/>
    <w:rsid w:val="00432627"/>
    <w:rsid w:val="00432BE7"/>
    <w:rsid w:val="004338CD"/>
    <w:rsid w:val="0043581C"/>
    <w:rsid w:val="00441FB9"/>
    <w:rsid w:val="00441FBC"/>
    <w:rsid w:val="00452DF0"/>
    <w:rsid w:val="004552D4"/>
    <w:rsid w:val="00457366"/>
    <w:rsid w:val="00476A8D"/>
    <w:rsid w:val="00495818"/>
    <w:rsid w:val="004A101E"/>
    <w:rsid w:val="004C05E3"/>
    <w:rsid w:val="004E33E8"/>
    <w:rsid w:val="004E663E"/>
    <w:rsid w:val="004E6A9E"/>
    <w:rsid w:val="004F74B1"/>
    <w:rsid w:val="00524DB3"/>
    <w:rsid w:val="00525F83"/>
    <w:rsid w:val="00532468"/>
    <w:rsid w:val="0054058F"/>
    <w:rsid w:val="00544E1F"/>
    <w:rsid w:val="00546470"/>
    <w:rsid w:val="00550EF4"/>
    <w:rsid w:val="00567E03"/>
    <w:rsid w:val="005826C3"/>
    <w:rsid w:val="005862BC"/>
    <w:rsid w:val="00593622"/>
    <w:rsid w:val="005A69A2"/>
    <w:rsid w:val="005A78A5"/>
    <w:rsid w:val="005B1F71"/>
    <w:rsid w:val="005B26BC"/>
    <w:rsid w:val="005B29A3"/>
    <w:rsid w:val="005B6CF5"/>
    <w:rsid w:val="005C1DBE"/>
    <w:rsid w:val="005C3586"/>
    <w:rsid w:val="005C7441"/>
    <w:rsid w:val="005D2CAF"/>
    <w:rsid w:val="005E56DA"/>
    <w:rsid w:val="005E5F7F"/>
    <w:rsid w:val="005F688E"/>
    <w:rsid w:val="00622549"/>
    <w:rsid w:val="0062719E"/>
    <w:rsid w:val="006446F5"/>
    <w:rsid w:val="00653B00"/>
    <w:rsid w:val="00661536"/>
    <w:rsid w:val="006626F9"/>
    <w:rsid w:val="00665E27"/>
    <w:rsid w:val="00677BA1"/>
    <w:rsid w:val="00680249"/>
    <w:rsid w:val="00683071"/>
    <w:rsid w:val="00691AD0"/>
    <w:rsid w:val="00691B07"/>
    <w:rsid w:val="0069426A"/>
    <w:rsid w:val="00694755"/>
    <w:rsid w:val="006B1A6F"/>
    <w:rsid w:val="006B4565"/>
    <w:rsid w:val="006B5198"/>
    <w:rsid w:val="006B6809"/>
    <w:rsid w:val="006D7795"/>
    <w:rsid w:val="006F2B42"/>
    <w:rsid w:val="006F6CBE"/>
    <w:rsid w:val="0070041F"/>
    <w:rsid w:val="007030FD"/>
    <w:rsid w:val="00703358"/>
    <w:rsid w:val="0070422A"/>
    <w:rsid w:val="00721CE4"/>
    <w:rsid w:val="00722EC0"/>
    <w:rsid w:val="007259C5"/>
    <w:rsid w:val="00730EB0"/>
    <w:rsid w:val="00731EA3"/>
    <w:rsid w:val="00736A0D"/>
    <w:rsid w:val="00737516"/>
    <w:rsid w:val="007402B9"/>
    <w:rsid w:val="007518E3"/>
    <w:rsid w:val="00764C02"/>
    <w:rsid w:val="00772F25"/>
    <w:rsid w:val="007778EE"/>
    <w:rsid w:val="00781299"/>
    <w:rsid w:val="00783CBB"/>
    <w:rsid w:val="00791589"/>
    <w:rsid w:val="007927BF"/>
    <w:rsid w:val="007A1F98"/>
    <w:rsid w:val="007A6C93"/>
    <w:rsid w:val="007B0DC7"/>
    <w:rsid w:val="007C1342"/>
    <w:rsid w:val="007C397B"/>
    <w:rsid w:val="007D595E"/>
    <w:rsid w:val="007D5A09"/>
    <w:rsid w:val="007F280C"/>
    <w:rsid w:val="0080088F"/>
    <w:rsid w:val="00814C08"/>
    <w:rsid w:val="00831D24"/>
    <w:rsid w:val="008338D3"/>
    <w:rsid w:val="008431E7"/>
    <w:rsid w:val="0087040E"/>
    <w:rsid w:val="00885B2C"/>
    <w:rsid w:val="008909F2"/>
    <w:rsid w:val="008932DE"/>
    <w:rsid w:val="008B0B1F"/>
    <w:rsid w:val="008C2521"/>
    <w:rsid w:val="008C68C7"/>
    <w:rsid w:val="008D61DB"/>
    <w:rsid w:val="00902633"/>
    <w:rsid w:val="00907899"/>
    <w:rsid w:val="0091421C"/>
    <w:rsid w:val="009145E4"/>
    <w:rsid w:val="00931A8A"/>
    <w:rsid w:val="00941118"/>
    <w:rsid w:val="00944834"/>
    <w:rsid w:val="009458B1"/>
    <w:rsid w:val="009535FA"/>
    <w:rsid w:val="009551C2"/>
    <w:rsid w:val="00955E11"/>
    <w:rsid w:val="009646E7"/>
    <w:rsid w:val="0096750D"/>
    <w:rsid w:val="0096793B"/>
    <w:rsid w:val="00972EE3"/>
    <w:rsid w:val="00976597"/>
    <w:rsid w:val="00983320"/>
    <w:rsid w:val="009C5D5A"/>
    <w:rsid w:val="009D04FE"/>
    <w:rsid w:val="009D541B"/>
    <w:rsid w:val="009F22F5"/>
    <w:rsid w:val="009F7423"/>
    <w:rsid w:val="00A03A69"/>
    <w:rsid w:val="00A057F4"/>
    <w:rsid w:val="00A351AC"/>
    <w:rsid w:val="00A37624"/>
    <w:rsid w:val="00A37DAB"/>
    <w:rsid w:val="00A51992"/>
    <w:rsid w:val="00A55168"/>
    <w:rsid w:val="00A92060"/>
    <w:rsid w:val="00A95598"/>
    <w:rsid w:val="00AA0022"/>
    <w:rsid w:val="00AA5D9A"/>
    <w:rsid w:val="00AB722F"/>
    <w:rsid w:val="00AC2DAF"/>
    <w:rsid w:val="00AD1CE5"/>
    <w:rsid w:val="00AD7F71"/>
    <w:rsid w:val="00AE2E9F"/>
    <w:rsid w:val="00B214A6"/>
    <w:rsid w:val="00B30D91"/>
    <w:rsid w:val="00B30FEA"/>
    <w:rsid w:val="00B32457"/>
    <w:rsid w:val="00B3720C"/>
    <w:rsid w:val="00B52EC2"/>
    <w:rsid w:val="00B63A76"/>
    <w:rsid w:val="00B651B9"/>
    <w:rsid w:val="00B718F3"/>
    <w:rsid w:val="00B741FD"/>
    <w:rsid w:val="00B745A4"/>
    <w:rsid w:val="00B75E03"/>
    <w:rsid w:val="00B97B56"/>
    <w:rsid w:val="00BA24BB"/>
    <w:rsid w:val="00BC6515"/>
    <w:rsid w:val="00BE7E23"/>
    <w:rsid w:val="00BF1A5A"/>
    <w:rsid w:val="00BF4D4D"/>
    <w:rsid w:val="00C00C0F"/>
    <w:rsid w:val="00C139A1"/>
    <w:rsid w:val="00C16486"/>
    <w:rsid w:val="00C16A0F"/>
    <w:rsid w:val="00C4034D"/>
    <w:rsid w:val="00C500D0"/>
    <w:rsid w:val="00C55ADD"/>
    <w:rsid w:val="00C615EA"/>
    <w:rsid w:val="00C6432A"/>
    <w:rsid w:val="00C64886"/>
    <w:rsid w:val="00CA063B"/>
    <w:rsid w:val="00CA0D4A"/>
    <w:rsid w:val="00CA57BC"/>
    <w:rsid w:val="00CC0EAC"/>
    <w:rsid w:val="00CE24DF"/>
    <w:rsid w:val="00CF5DEB"/>
    <w:rsid w:val="00D12FDE"/>
    <w:rsid w:val="00D31E22"/>
    <w:rsid w:val="00D3518A"/>
    <w:rsid w:val="00D43468"/>
    <w:rsid w:val="00D532E4"/>
    <w:rsid w:val="00D63382"/>
    <w:rsid w:val="00D6425B"/>
    <w:rsid w:val="00D645CB"/>
    <w:rsid w:val="00D74525"/>
    <w:rsid w:val="00D77E29"/>
    <w:rsid w:val="00D871B7"/>
    <w:rsid w:val="00DA740E"/>
    <w:rsid w:val="00DC086B"/>
    <w:rsid w:val="00DD6549"/>
    <w:rsid w:val="00DE43E4"/>
    <w:rsid w:val="00DE4C10"/>
    <w:rsid w:val="00DF43BC"/>
    <w:rsid w:val="00DF7F37"/>
    <w:rsid w:val="00E11EC4"/>
    <w:rsid w:val="00E26A08"/>
    <w:rsid w:val="00E32216"/>
    <w:rsid w:val="00E442E1"/>
    <w:rsid w:val="00E46948"/>
    <w:rsid w:val="00E537ED"/>
    <w:rsid w:val="00E56068"/>
    <w:rsid w:val="00E56256"/>
    <w:rsid w:val="00E629AE"/>
    <w:rsid w:val="00E6749B"/>
    <w:rsid w:val="00E71EB7"/>
    <w:rsid w:val="00E73C4D"/>
    <w:rsid w:val="00E762FE"/>
    <w:rsid w:val="00E91AC9"/>
    <w:rsid w:val="00E94224"/>
    <w:rsid w:val="00E960AC"/>
    <w:rsid w:val="00EB5B04"/>
    <w:rsid w:val="00EE2D8A"/>
    <w:rsid w:val="00EF6D9D"/>
    <w:rsid w:val="00F03EF9"/>
    <w:rsid w:val="00F14E19"/>
    <w:rsid w:val="00F54ABC"/>
    <w:rsid w:val="00F6196C"/>
    <w:rsid w:val="00F65594"/>
    <w:rsid w:val="00F67D67"/>
    <w:rsid w:val="00F84996"/>
    <w:rsid w:val="00F90B2D"/>
    <w:rsid w:val="00FA2857"/>
    <w:rsid w:val="00FC1FF5"/>
    <w:rsid w:val="00FC7060"/>
    <w:rsid w:val="00FD3720"/>
    <w:rsid w:val="00FE0ECE"/>
    <w:rsid w:val="00FE744C"/>
    <w:rsid w:val="00FF0DF9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AF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AC2DA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rsid w:val="00AC2DA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rsid w:val="00AC2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AC2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rsid w:val="00AC2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AC2DA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rsid w:val="00AC2DA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rsid w:val="00AC2DA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rsid w:val="00AC2DA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C2DAF"/>
    <w:pPr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SingleTxtGChar">
    <w:name w:val="_ Single Txt_G Char"/>
    <w:link w:val="SingleTxtG"/>
    <w:rsid w:val="00AC2DAF"/>
  </w:style>
  <w:style w:type="paragraph" w:customStyle="1" w:styleId="SingleTxtGR">
    <w:name w:val="_ Single Txt_GR"/>
    <w:basedOn w:val="a"/>
    <w:link w:val="SingleTxtGR0"/>
    <w:qFormat/>
    <w:rsid w:val="00AC2DA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AC2DA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AC2DA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AC2DA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AC2DA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AC2DAF"/>
    <w:pPr>
      <w:numPr>
        <w:numId w:val="4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AC2DAF"/>
    <w:pPr>
      <w:numPr>
        <w:numId w:val="4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AC2DAF"/>
    <w:pPr>
      <w:numPr>
        <w:numId w:val="4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C2DAF"/>
    <w:pPr>
      <w:spacing w:before="40" w:after="40" w:line="220" w:lineRule="exact"/>
      <w:jc w:val="right"/>
    </w:pPr>
    <w:rPr>
      <w:rFonts w:eastAsiaTheme="minorEastAsia"/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C2DAF"/>
    <w:pPr>
      <w:spacing w:before="40" w:after="120" w:line="240" w:lineRule="atLeast"/>
    </w:pPr>
    <w:rPr>
      <w:rFonts w:eastAsiaTheme="minorEastAsia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AC2DA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AC2DAF"/>
    <w:rPr>
      <w:b/>
      <w:spacing w:val="4"/>
      <w:w w:val="103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AC2DA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5">
    <w:name w:val="footnote reference"/>
    <w:aliases w:val="4_GR"/>
    <w:basedOn w:val="a0"/>
    <w:qFormat/>
    <w:rsid w:val="00AC2DAF"/>
    <w:rPr>
      <w:rFonts w:ascii="Times New Roman" w:hAnsi="Times New Roman"/>
      <w:dstrike w:val="0"/>
      <w:sz w:val="18"/>
      <w:vertAlign w:val="superscript"/>
    </w:rPr>
  </w:style>
  <w:style w:type="character" w:styleId="a6">
    <w:name w:val="endnote reference"/>
    <w:aliases w:val="1_GR"/>
    <w:basedOn w:val="a5"/>
    <w:qFormat/>
    <w:rsid w:val="00AC2DAF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AC2DA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AC2DAF"/>
    <w:rPr>
      <w:spacing w:val="4"/>
      <w:w w:val="103"/>
      <w:kern w:val="14"/>
      <w:sz w:val="16"/>
      <w:lang w:val="en-GB" w:eastAsia="ru-RU"/>
    </w:rPr>
  </w:style>
  <w:style w:type="character" w:styleId="a9">
    <w:name w:val="page number"/>
    <w:aliases w:val="7_GR,7_G"/>
    <w:basedOn w:val="a0"/>
    <w:qFormat/>
    <w:rsid w:val="00AC2DAF"/>
    <w:rPr>
      <w:rFonts w:ascii="Times New Roman" w:hAnsi="Times New Roman"/>
      <w:b/>
      <w:sz w:val="18"/>
    </w:rPr>
  </w:style>
  <w:style w:type="table" w:styleId="aa">
    <w:name w:val="Table Grid"/>
    <w:basedOn w:val="a1"/>
    <w:uiPriority w:val="59"/>
    <w:rsid w:val="0037660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5_GR"/>
    <w:basedOn w:val="a"/>
    <w:link w:val="ac"/>
    <w:qFormat/>
    <w:rsid w:val="00AC2DA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c">
    <w:name w:val="Текст сноски Знак"/>
    <w:aliases w:val="5_GR Знак"/>
    <w:basedOn w:val="a0"/>
    <w:link w:val="ab"/>
    <w:rsid w:val="00AC2DAF"/>
    <w:rPr>
      <w:spacing w:val="5"/>
      <w:w w:val="104"/>
      <w:kern w:val="14"/>
      <w:sz w:val="18"/>
      <w:lang w:val="en-GB" w:eastAsia="ru-RU"/>
    </w:rPr>
  </w:style>
  <w:style w:type="paragraph" w:styleId="ad">
    <w:name w:val="endnote text"/>
    <w:aliases w:val="2_GR"/>
    <w:basedOn w:val="ab"/>
    <w:link w:val="ae"/>
    <w:qFormat/>
    <w:rsid w:val="00AC2DAF"/>
  </w:style>
  <w:style w:type="character" w:customStyle="1" w:styleId="ae">
    <w:name w:val="Текст концевой сноски Знак"/>
    <w:aliases w:val="2_GR Знак"/>
    <w:basedOn w:val="a0"/>
    <w:link w:val="ad"/>
    <w:rsid w:val="00AC2DAF"/>
    <w:rPr>
      <w:spacing w:val="5"/>
      <w:w w:val="104"/>
      <w:kern w:val="14"/>
      <w:sz w:val="18"/>
      <w:lang w:val="en-GB" w:eastAsia="ru-RU"/>
    </w:rPr>
  </w:style>
  <w:style w:type="paragraph" w:styleId="af">
    <w:name w:val="Balloon Text"/>
    <w:basedOn w:val="a"/>
    <w:link w:val="af0"/>
    <w:semiHidden/>
    <w:unhideWhenUsed/>
    <w:rsid w:val="00AC2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C2DAF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character" w:styleId="af1">
    <w:name w:val="Hyperlink"/>
    <w:basedOn w:val="a0"/>
    <w:unhideWhenUsed/>
    <w:rsid w:val="00AC2DA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AC2DAF"/>
    <w:rPr>
      <w:color w:val="800080" w:themeColor="followedHyperlink"/>
      <w:u w:val="none"/>
    </w:rPr>
  </w:style>
  <w:style w:type="character" w:customStyle="1" w:styleId="SingleTxtGR0">
    <w:name w:val="_ Single Txt_GR Знак"/>
    <w:basedOn w:val="a0"/>
    <w:link w:val="SingleTxtGR"/>
    <w:rsid w:val="00287B7D"/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AF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AC2DAF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rsid w:val="00AC2DA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rsid w:val="00AC2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AC2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rsid w:val="00AC2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AC2DA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rsid w:val="00AC2DA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rsid w:val="00AC2DA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rsid w:val="00AC2DA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AC2DA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C2DAF"/>
    <w:pPr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s-ES"/>
    </w:rPr>
  </w:style>
  <w:style w:type="character" w:customStyle="1" w:styleId="SingleTxtGChar">
    <w:name w:val="_ Single Txt_G Char"/>
    <w:link w:val="SingleTxtG"/>
    <w:rsid w:val="00AC2DAF"/>
  </w:style>
  <w:style w:type="paragraph" w:customStyle="1" w:styleId="SingleTxtGR">
    <w:name w:val="_ Single Txt_GR"/>
    <w:basedOn w:val="a"/>
    <w:link w:val="SingleTxtGR0"/>
    <w:qFormat/>
    <w:rsid w:val="00AC2DA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AC2DAF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AC2DA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AC2DAF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AC2DA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AC2DAF"/>
    <w:pPr>
      <w:numPr>
        <w:numId w:val="4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AC2DAF"/>
    <w:pPr>
      <w:numPr>
        <w:numId w:val="4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AC2DAF"/>
    <w:pPr>
      <w:numPr>
        <w:numId w:val="4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C2DAF"/>
    <w:pPr>
      <w:spacing w:before="40" w:after="40" w:line="220" w:lineRule="exact"/>
      <w:jc w:val="right"/>
    </w:pPr>
    <w:rPr>
      <w:rFonts w:eastAsiaTheme="minorEastAsia"/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C2DAF"/>
    <w:pPr>
      <w:spacing w:before="40" w:after="120" w:line="240" w:lineRule="atLeast"/>
    </w:pPr>
    <w:rPr>
      <w:rFonts w:eastAsiaTheme="minorEastAsia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AC2DAF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AC2DAF"/>
    <w:rPr>
      <w:b/>
      <w:spacing w:val="4"/>
      <w:w w:val="103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AC2DAF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5">
    <w:name w:val="footnote reference"/>
    <w:aliases w:val="4_GR"/>
    <w:basedOn w:val="a0"/>
    <w:qFormat/>
    <w:rsid w:val="00AC2DAF"/>
    <w:rPr>
      <w:rFonts w:ascii="Times New Roman" w:hAnsi="Times New Roman"/>
      <w:dstrike w:val="0"/>
      <w:sz w:val="18"/>
      <w:vertAlign w:val="superscript"/>
    </w:rPr>
  </w:style>
  <w:style w:type="character" w:styleId="a6">
    <w:name w:val="endnote reference"/>
    <w:aliases w:val="1_GR"/>
    <w:basedOn w:val="a5"/>
    <w:qFormat/>
    <w:rsid w:val="00AC2DAF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AC2DAF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AC2DAF"/>
    <w:rPr>
      <w:spacing w:val="4"/>
      <w:w w:val="103"/>
      <w:kern w:val="14"/>
      <w:sz w:val="16"/>
      <w:lang w:val="en-GB" w:eastAsia="ru-RU"/>
    </w:rPr>
  </w:style>
  <w:style w:type="character" w:styleId="a9">
    <w:name w:val="page number"/>
    <w:aliases w:val="7_GR,7_G"/>
    <w:basedOn w:val="a0"/>
    <w:qFormat/>
    <w:rsid w:val="00AC2DAF"/>
    <w:rPr>
      <w:rFonts w:ascii="Times New Roman" w:hAnsi="Times New Roman"/>
      <w:b/>
      <w:sz w:val="18"/>
    </w:rPr>
  </w:style>
  <w:style w:type="table" w:styleId="aa">
    <w:name w:val="Table Grid"/>
    <w:basedOn w:val="a1"/>
    <w:uiPriority w:val="59"/>
    <w:rsid w:val="0037660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5_GR"/>
    <w:basedOn w:val="a"/>
    <w:link w:val="ac"/>
    <w:qFormat/>
    <w:rsid w:val="00AC2DAF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c">
    <w:name w:val="Текст сноски Знак"/>
    <w:aliases w:val="5_GR Знак"/>
    <w:basedOn w:val="a0"/>
    <w:link w:val="ab"/>
    <w:rsid w:val="00AC2DAF"/>
    <w:rPr>
      <w:spacing w:val="5"/>
      <w:w w:val="104"/>
      <w:kern w:val="14"/>
      <w:sz w:val="18"/>
      <w:lang w:val="en-GB" w:eastAsia="ru-RU"/>
    </w:rPr>
  </w:style>
  <w:style w:type="paragraph" w:styleId="ad">
    <w:name w:val="endnote text"/>
    <w:aliases w:val="2_GR"/>
    <w:basedOn w:val="ab"/>
    <w:link w:val="ae"/>
    <w:qFormat/>
    <w:rsid w:val="00AC2DAF"/>
  </w:style>
  <w:style w:type="character" w:customStyle="1" w:styleId="ae">
    <w:name w:val="Текст концевой сноски Знак"/>
    <w:aliases w:val="2_GR Знак"/>
    <w:basedOn w:val="a0"/>
    <w:link w:val="ad"/>
    <w:rsid w:val="00AC2DAF"/>
    <w:rPr>
      <w:spacing w:val="5"/>
      <w:w w:val="104"/>
      <w:kern w:val="14"/>
      <w:sz w:val="18"/>
      <w:lang w:val="en-GB" w:eastAsia="ru-RU"/>
    </w:rPr>
  </w:style>
  <w:style w:type="paragraph" w:styleId="af">
    <w:name w:val="Balloon Text"/>
    <w:basedOn w:val="a"/>
    <w:link w:val="af0"/>
    <w:semiHidden/>
    <w:unhideWhenUsed/>
    <w:rsid w:val="00AC2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C2DAF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character" w:styleId="af1">
    <w:name w:val="Hyperlink"/>
    <w:basedOn w:val="a0"/>
    <w:unhideWhenUsed/>
    <w:rsid w:val="00AC2DAF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AC2DAF"/>
    <w:rPr>
      <w:color w:val="800080" w:themeColor="followedHyperlink"/>
      <w:u w:val="none"/>
    </w:rPr>
  </w:style>
  <w:style w:type="character" w:customStyle="1" w:styleId="SingleTxtGR0">
    <w:name w:val="_ Single Txt_GR Знак"/>
    <w:basedOn w:val="a0"/>
    <w:link w:val="SingleTxtGR"/>
    <w:rsid w:val="00287B7D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26" Type="http://schemas.openxmlformats.org/officeDocument/2006/relationships/hyperlink" Target="http://undocs.org/ru/www.ohchr.org).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A/66/44" TargetMode="External"/><Relationship Id="rId2" Type="http://schemas.openxmlformats.org/officeDocument/2006/relationships/hyperlink" Target="http://undocs.org/ru/A/67/44" TargetMode="External"/><Relationship Id="rId1" Type="http://schemas.openxmlformats.org/officeDocument/2006/relationships/hyperlink" Target="http://undocs.org/ru/A/64/44" TargetMode="External"/><Relationship Id="rId5" Type="http://schemas.openxmlformats.org/officeDocument/2006/relationships/hyperlink" Target="http://tbinternet.ohchr.org/_layouts/TreatyBodyExternal/FollowUp.aspx?Treaty=CAT&amp;Lang=en" TargetMode="External"/><Relationship Id="rId4" Type="http://schemas.openxmlformats.org/officeDocument/2006/relationships/hyperlink" Target="http://undocs.org/ru/A/58/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upplemen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7F05-6496-4A8A-91C1-B8E58AC2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Supplement.dotm</Template>
  <TotalTime>0</TotalTime>
  <Pages>30</Pages>
  <Words>10168</Words>
  <Characters>69349</Characters>
  <Application>Microsoft Office Word</Application>
  <DocSecurity>0</DocSecurity>
  <Lines>1415</Lines>
  <Paragraphs>391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A/72/44</vt:lpstr>
      <vt:lpstr>A/</vt:lpstr>
    </vt:vector>
  </TitlesOfParts>
  <Company>CSD</Company>
  <LinksUpToDate>false</LinksUpToDate>
  <CharactersWithSpaces>79126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A/72/44</dc:title>
  <dc:creator>Kisseleva</dc:creator>
  <cp:lastModifiedBy>Kisseleva</cp:lastModifiedBy>
  <cp:revision>3</cp:revision>
  <cp:lastPrinted>2017-07-11T13:41:00Z</cp:lastPrinted>
  <dcterms:created xsi:type="dcterms:W3CDTF">2017-07-11T13:41:00Z</dcterms:created>
  <dcterms:modified xsi:type="dcterms:W3CDTF">2017-07-11T13:41:00Z</dcterms:modified>
</cp:coreProperties>
</file>