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BA5E8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815D15" w:rsidP="008702DC">
            <w:pPr>
              <w:bidi w:val="0"/>
              <w:spacing w:after="20"/>
              <w:jc w:val="left"/>
              <w:rPr>
                <w:szCs w:val="20"/>
              </w:rPr>
            </w:pPr>
            <w:r w:rsidRPr="00815D15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/HRC/RES/34/9</w:t>
            </w:r>
          </w:p>
        </w:tc>
      </w:tr>
      <w:tr w:rsidR="006B3E27" w:rsidRPr="00ED7442" w:rsidTr="00BA5E8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A1E85C" wp14:editId="4D5BD67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1773DB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8702DC" w:rsidP="008702DC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8702DC" w:rsidRDefault="008702DC" w:rsidP="008702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11 April 2017</w:t>
            </w:r>
          </w:p>
          <w:p w:rsidR="008702DC" w:rsidRDefault="008702DC" w:rsidP="008702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8702DC" w:rsidRPr="003E159A" w:rsidRDefault="008702DC" w:rsidP="008702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8702DC" w:rsidRDefault="001773DB" w:rsidP="0054762C">
      <w:pPr>
        <w:spacing w:before="120" w:line="380" w:lineRule="exact"/>
        <w:jc w:val="left"/>
        <w:rPr>
          <w:b/>
          <w:bCs/>
          <w:sz w:val="36"/>
          <w:szCs w:val="36"/>
          <w:rtl/>
        </w:rPr>
      </w:pPr>
      <w:r w:rsidRPr="001773DB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8702DC" w:rsidRPr="009C7671" w:rsidRDefault="008702DC" w:rsidP="008702DC">
      <w:pPr>
        <w:spacing w:line="380" w:lineRule="exact"/>
        <w:rPr>
          <w:b/>
          <w:bCs/>
          <w:kern w:val="16"/>
          <w:sz w:val="30"/>
          <w:rtl/>
          <w:lang w:val="fr-CH"/>
        </w:rPr>
      </w:pPr>
      <w:r w:rsidRPr="009C7671">
        <w:rPr>
          <w:rFonts w:hint="cs"/>
          <w:b/>
          <w:bCs/>
          <w:kern w:val="16"/>
          <w:sz w:val="30"/>
          <w:rtl/>
          <w:lang w:val="fr-CH"/>
        </w:rPr>
        <w:t>الدورة الرابعة والثلاثون</w:t>
      </w:r>
    </w:p>
    <w:p w:rsidR="008702DC" w:rsidRPr="009C7671" w:rsidRDefault="008702DC" w:rsidP="008702DC">
      <w:pPr>
        <w:spacing w:line="380" w:lineRule="exact"/>
        <w:rPr>
          <w:kern w:val="16"/>
          <w:sz w:val="30"/>
          <w:rtl/>
          <w:lang w:val="fr-CH"/>
        </w:rPr>
      </w:pPr>
      <w:r w:rsidRPr="009C7671">
        <w:rPr>
          <w:rFonts w:hint="cs"/>
          <w:kern w:val="16"/>
          <w:sz w:val="30"/>
          <w:rtl/>
          <w:lang w:val="fr-CH"/>
        </w:rPr>
        <w:t>27 شباط/فبراير - 24 آذار/مارس 2017</w:t>
      </w:r>
    </w:p>
    <w:p w:rsidR="008702DC" w:rsidRPr="009C7671" w:rsidRDefault="008702DC" w:rsidP="008702DC">
      <w:pPr>
        <w:spacing w:line="380" w:lineRule="exact"/>
        <w:rPr>
          <w:kern w:val="16"/>
          <w:sz w:val="30"/>
          <w:rtl/>
          <w:lang w:val="fr-CH"/>
        </w:rPr>
      </w:pPr>
      <w:r w:rsidRPr="009C7671">
        <w:rPr>
          <w:rFonts w:hint="cs"/>
          <w:kern w:val="16"/>
          <w:sz w:val="30"/>
          <w:rtl/>
          <w:lang w:val="fr-CH"/>
        </w:rPr>
        <w:t>البند 3 من جدول الأعمال</w:t>
      </w:r>
    </w:p>
    <w:p w:rsidR="008702DC" w:rsidRPr="00B91301" w:rsidRDefault="008702DC" w:rsidP="008702DC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قرار اعتمده مجلس حقوق الإنسان في 23 آذار/مارس 2017</w:t>
      </w:r>
    </w:p>
    <w:p w:rsidR="008702DC" w:rsidRPr="000258A9" w:rsidRDefault="008702DC" w:rsidP="008702DC">
      <w:pPr>
        <w:pStyle w:val="H1GA"/>
        <w:ind w:left="2248" w:hanging="1001"/>
        <w:rPr>
          <w:rtl/>
        </w:rPr>
      </w:pPr>
      <w:r>
        <w:rPr>
          <w:rFonts w:hint="cs"/>
          <w:rtl/>
        </w:rPr>
        <w:t>34/9-</w:t>
      </w:r>
      <w:r>
        <w:rPr>
          <w:rFonts w:hint="cs"/>
          <w:rtl/>
        </w:rPr>
        <w:tab/>
      </w:r>
      <w:r w:rsidRPr="003D3A6D">
        <w:rPr>
          <w:rtl/>
        </w:rPr>
        <w:t>السكن اللائق كعنصر من عناصر الحق في مستوى معيشي مناسب، والحق في عدم التمييز في هذا السياق</w:t>
      </w:r>
    </w:p>
    <w:p w:rsidR="008702DC" w:rsidRPr="00D01DCF" w:rsidRDefault="008702DC" w:rsidP="008702DC">
      <w:pPr>
        <w:pStyle w:val="SingleTxtGA"/>
        <w:rPr>
          <w:i/>
          <w:iCs/>
          <w:rtl/>
        </w:rPr>
      </w:pPr>
      <w:r w:rsidRPr="00D01DCF">
        <w:rPr>
          <w:rFonts w:hint="cs"/>
          <w:i/>
          <w:iCs/>
          <w:rtl/>
        </w:rPr>
        <w:tab/>
        <w:t>إن مجلس حقوق الإنسان،</w:t>
      </w:r>
    </w:p>
    <w:p w:rsidR="008702DC" w:rsidRDefault="008702DC" w:rsidP="008702DC">
      <w:pPr>
        <w:pStyle w:val="SingleTxtGA"/>
        <w:rPr>
          <w:rtl/>
        </w:rPr>
      </w:pPr>
      <w:r>
        <w:rPr>
          <w:rFonts w:hint="cs"/>
          <w:i/>
          <w:iCs/>
          <w:rtl/>
        </w:rPr>
        <w:tab/>
      </w:r>
      <w:r w:rsidRPr="003D3A6D">
        <w:rPr>
          <w:i/>
          <w:iCs/>
          <w:rtl/>
        </w:rPr>
        <w:t>إذ يؤكد من جديد</w:t>
      </w:r>
      <w:r w:rsidRPr="003D3A6D">
        <w:rPr>
          <w:rtl/>
        </w:rPr>
        <w:t xml:space="preserve"> أن صكوك القانون الدولي لحقوق الإنسان، بما في</w:t>
      </w:r>
      <w:r>
        <w:rPr>
          <w:rFonts w:hint="cs"/>
          <w:rtl/>
        </w:rPr>
        <w:t>ها</w:t>
      </w:r>
      <w:r w:rsidRPr="003D3A6D">
        <w:rPr>
          <w:rtl/>
        </w:rPr>
        <w:t xml:space="preserve"> الإعلان العالمي لحقوق الإنسان والعهد الدولي الخاص بالحقوق الاقتصادية والاجتماعية والثقافية، تستتبع واجبات والتزامات تقع على عاتق الدول الأطراف، تشمل جميع مستويات الحكومة، فيما يتعلق بإ</w:t>
      </w:r>
      <w:r>
        <w:rPr>
          <w:rFonts w:hint="cs"/>
          <w:rtl/>
        </w:rPr>
        <w:t>تاح</w:t>
      </w:r>
      <w:r w:rsidRPr="003D3A6D">
        <w:rPr>
          <w:rtl/>
        </w:rPr>
        <w:t>ة الحصول على سكن لائق،</w:t>
      </w:r>
    </w:p>
    <w:p w:rsidR="008702DC" w:rsidRPr="008702DC" w:rsidRDefault="008702DC" w:rsidP="008702DC">
      <w:pPr>
        <w:pStyle w:val="SingleTxtGA"/>
        <w:rPr>
          <w:spacing w:val="-2"/>
          <w:rtl/>
        </w:rPr>
      </w:pPr>
      <w:r w:rsidRPr="008702DC">
        <w:rPr>
          <w:rFonts w:hint="cs"/>
          <w:spacing w:val="-2"/>
          <w:rtl/>
        </w:rPr>
        <w:tab/>
      </w:r>
      <w:r w:rsidRPr="008702DC">
        <w:rPr>
          <w:i/>
          <w:iCs/>
          <w:spacing w:val="-2"/>
          <w:rtl/>
        </w:rPr>
        <w:t>وإذ يشير</w:t>
      </w:r>
      <w:r w:rsidRPr="008702DC">
        <w:rPr>
          <w:spacing w:val="-2"/>
          <w:rtl/>
        </w:rPr>
        <w:t xml:space="preserve"> إلى جميع القرارات السابقة لمجلس حقوق الإنسان، </w:t>
      </w:r>
      <w:r w:rsidRPr="008702DC">
        <w:rPr>
          <w:rFonts w:hint="cs"/>
          <w:spacing w:val="-2"/>
          <w:rtl/>
        </w:rPr>
        <w:t>و</w:t>
      </w:r>
      <w:r w:rsidRPr="008702DC">
        <w:rPr>
          <w:spacing w:val="-2"/>
          <w:rtl/>
        </w:rPr>
        <w:t>إلى القرارات التي اعتمدتها لجنة حقوق الإنسان، بشأن مسألة السكن اللائق كعنصر من عناصر الحق في مستوى معيشي مناسب، ومنها قرار</w:t>
      </w:r>
      <w:r w:rsidRPr="008702DC">
        <w:rPr>
          <w:rFonts w:hint="cs"/>
          <w:spacing w:val="-2"/>
          <w:rtl/>
        </w:rPr>
        <w:t>ا</w:t>
      </w:r>
      <w:r w:rsidRPr="008702DC">
        <w:rPr>
          <w:spacing w:val="-2"/>
          <w:rtl/>
        </w:rPr>
        <w:t xml:space="preserve"> </w:t>
      </w:r>
      <w:r w:rsidRPr="008702DC">
        <w:rPr>
          <w:rFonts w:hint="cs"/>
          <w:spacing w:val="-2"/>
          <w:rtl/>
        </w:rPr>
        <w:t>ال</w:t>
      </w:r>
      <w:r w:rsidRPr="008702DC">
        <w:rPr>
          <w:spacing w:val="-2"/>
          <w:rtl/>
        </w:rPr>
        <w:t>مجلس 25/17 المؤرخ 28 آذار/مارس 201</w:t>
      </w:r>
      <w:r w:rsidRPr="008702DC">
        <w:rPr>
          <w:rFonts w:hint="cs"/>
          <w:spacing w:val="-2"/>
          <w:rtl/>
        </w:rPr>
        <w:t>4، و31/9 المؤرخ</w:t>
      </w:r>
      <w:r w:rsidRPr="008702DC">
        <w:rPr>
          <w:rFonts w:hint="eastAsia"/>
          <w:spacing w:val="-2"/>
          <w:rtl/>
        </w:rPr>
        <w:t> </w:t>
      </w:r>
      <w:r w:rsidRPr="008702DC">
        <w:rPr>
          <w:rFonts w:hint="cs"/>
          <w:spacing w:val="-2"/>
          <w:rtl/>
        </w:rPr>
        <w:t>23 آذار/</w:t>
      </w:r>
      <w:r>
        <w:rPr>
          <w:rFonts w:hint="cs"/>
          <w:spacing w:val="-2"/>
          <w:rtl/>
        </w:rPr>
        <w:t xml:space="preserve"> </w:t>
      </w:r>
      <w:r w:rsidRPr="008702DC">
        <w:rPr>
          <w:rFonts w:hint="cs"/>
          <w:spacing w:val="-2"/>
          <w:rtl/>
        </w:rPr>
        <w:t>مارس 2016،</w:t>
      </w:r>
    </w:p>
    <w:p w:rsidR="008702DC" w:rsidRPr="000258A9" w:rsidRDefault="008702DC" w:rsidP="008702DC">
      <w:pPr>
        <w:pStyle w:val="SingleTxtGA"/>
        <w:spacing w:line="360" w:lineRule="exact"/>
        <w:rPr>
          <w:spacing w:val="6"/>
          <w:kern w:val="16"/>
          <w:rtl/>
        </w:rPr>
      </w:pPr>
      <w:r>
        <w:rPr>
          <w:rFonts w:hint="cs"/>
          <w:spacing w:val="6"/>
          <w:kern w:val="16"/>
          <w:sz w:val="22"/>
          <w:rtl/>
        </w:rPr>
        <w:tab/>
      </w:r>
      <w:r w:rsidRPr="006D43DF">
        <w:rPr>
          <w:i/>
          <w:iCs/>
          <w:rtl/>
        </w:rPr>
        <w:t>وإذ يشير أيضاً</w:t>
      </w:r>
      <w:r w:rsidRPr="006D43DF">
        <w:rPr>
          <w:rtl/>
        </w:rPr>
        <w:t xml:space="preserve"> إلى قر</w:t>
      </w:r>
      <w:r>
        <w:rPr>
          <w:rtl/>
        </w:rPr>
        <w:t xml:space="preserve">اريه 5/1 المتعلق ببناء مؤسسات </w:t>
      </w:r>
      <w:r w:rsidRPr="006D43DF">
        <w:rPr>
          <w:rtl/>
        </w:rPr>
        <w:t xml:space="preserve">مجلس </w:t>
      </w:r>
      <w:r>
        <w:rPr>
          <w:rFonts w:hint="cs"/>
          <w:rtl/>
        </w:rPr>
        <w:t xml:space="preserve">حقوق الإنسان، </w:t>
      </w:r>
      <w:r w:rsidRPr="006D43DF">
        <w:rPr>
          <w:rtl/>
        </w:rPr>
        <w:t>و5/2 المتعلق بمدونة قواعد السلوك للمكلفين بولايات في إطار الإجراءات الخاصة للمجلس</w:t>
      </w:r>
      <w:r>
        <w:rPr>
          <w:rFonts w:hint="cs"/>
          <w:rtl/>
        </w:rPr>
        <w:t>،</w:t>
      </w:r>
      <w:r>
        <w:rPr>
          <w:rtl/>
        </w:rPr>
        <w:t xml:space="preserve"> المؤرخين</w:t>
      </w:r>
      <w:r>
        <w:rPr>
          <w:rFonts w:hint="cs"/>
          <w:rtl/>
        </w:rPr>
        <w:t> </w:t>
      </w:r>
      <w:r w:rsidRPr="006D43DF">
        <w:rPr>
          <w:rtl/>
        </w:rPr>
        <w:t>18 حزيران/يونيه 2007،</w:t>
      </w:r>
    </w:p>
    <w:p w:rsidR="008702DC" w:rsidRPr="00D01DCF" w:rsidRDefault="008702DC" w:rsidP="008702DC">
      <w:pPr>
        <w:pStyle w:val="SingleTxtGA"/>
        <w:rPr>
          <w:spacing w:val="-4"/>
          <w:lang w:val="fr-FR"/>
        </w:rPr>
      </w:pPr>
      <w:r w:rsidRPr="00D01DCF">
        <w:rPr>
          <w:rFonts w:hint="cs"/>
          <w:spacing w:val="-4"/>
          <w:kern w:val="16"/>
          <w:sz w:val="22"/>
          <w:rtl/>
        </w:rPr>
        <w:tab/>
      </w:r>
      <w:r w:rsidRPr="00D01DCF">
        <w:rPr>
          <w:i/>
          <w:iCs/>
          <w:spacing w:val="-4"/>
          <w:rtl/>
        </w:rPr>
        <w:t>وإذ يؤكد من جديد</w:t>
      </w:r>
      <w:r w:rsidRPr="00D01DCF">
        <w:rPr>
          <w:spacing w:val="-4"/>
          <w:rtl/>
        </w:rPr>
        <w:t xml:space="preserve"> المبادئ والالتزامات المتعلقة بالسكن اللائق المكرسة في الأحكام ذات الصلة الواردة في الإعلانات والبرامج التي اعتمدتها المؤتمرات الرئيسية ومؤتمرات القمة التي عقدتها الأمم المتحدة</w:t>
      </w:r>
      <w:r w:rsidRPr="00D01DCF">
        <w:rPr>
          <w:rFonts w:hint="cs"/>
          <w:spacing w:val="-4"/>
          <w:rtl/>
        </w:rPr>
        <w:t xml:space="preserve">، </w:t>
      </w:r>
      <w:r w:rsidRPr="00D01DCF">
        <w:rPr>
          <w:spacing w:val="-4"/>
          <w:rtl/>
        </w:rPr>
        <w:t>ومن بينها</w:t>
      </w:r>
      <w:r w:rsidRPr="00D01DCF">
        <w:rPr>
          <w:rFonts w:hint="cs"/>
          <w:spacing w:val="-4"/>
          <w:rtl/>
        </w:rPr>
        <w:t xml:space="preserve"> نتائج مؤتمر الأمم المتحدة المعني بالإسكان والتنمية الحضرية المستدامة </w:t>
      </w:r>
      <w:r w:rsidRPr="00D01DCF">
        <w:rPr>
          <w:rFonts w:hint="cs"/>
          <w:spacing w:val="-4"/>
          <w:rtl/>
        </w:rPr>
        <w:lastRenderedPageBreak/>
        <w:t>(</w:t>
      </w:r>
      <w:r w:rsidRPr="00D01DCF">
        <w:rPr>
          <w:spacing w:val="-4"/>
          <w:rtl/>
        </w:rPr>
        <w:t>الموئل</w:t>
      </w:r>
      <w:r w:rsidRPr="00D01DCF">
        <w:rPr>
          <w:rFonts w:hint="cs"/>
          <w:spacing w:val="-4"/>
          <w:rtl/>
        </w:rPr>
        <w:t xml:space="preserve"> الثالث</w:t>
      </w:r>
      <w:r w:rsidRPr="00D01DCF">
        <w:rPr>
          <w:spacing w:val="-4"/>
          <w:rtl/>
        </w:rPr>
        <w:t xml:space="preserve">)، </w:t>
      </w:r>
      <w:r w:rsidRPr="00D01DCF">
        <w:rPr>
          <w:rFonts w:hint="cs"/>
          <w:spacing w:val="-4"/>
          <w:rtl/>
        </w:rPr>
        <w:t>الذي عُقد في الفترة من 17 إلى 20 تشرين الأول/أكتوبر 2016 في كيتو</w:t>
      </w:r>
      <w:r w:rsidRPr="00D01DCF">
        <w:rPr>
          <w:rFonts w:hint="cs"/>
          <w:spacing w:val="-4"/>
          <w:vertAlign w:val="superscript"/>
          <w:rtl/>
        </w:rPr>
        <w:t>(</w:t>
      </w:r>
      <w:r w:rsidRPr="00D01DCF">
        <w:rPr>
          <w:rStyle w:val="FootnoteReference"/>
          <w:spacing w:val="-4"/>
          <w:sz w:val="30"/>
          <w:szCs w:val="30"/>
          <w:rtl/>
        </w:rPr>
        <w:footnoteReference w:id="1"/>
      </w:r>
      <w:r w:rsidRPr="00D01DCF">
        <w:rPr>
          <w:rFonts w:hint="cs"/>
          <w:spacing w:val="-4"/>
          <w:vertAlign w:val="superscript"/>
          <w:rtl/>
        </w:rPr>
        <w:t>)</w:t>
      </w:r>
      <w:r w:rsidRPr="00D01DCF">
        <w:rPr>
          <w:rFonts w:hint="cs"/>
          <w:spacing w:val="-4"/>
          <w:rtl/>
        </w:rPr>
        <w:t xml:space="preserve">، وإذ يشدد على أهمية تنفيذ خطة التنمية المستدامة لعام 2030، </w:t>
      </w:r>
      <w:r>
        <w:rPr>
          <w:rFonts w:hint="cs"/>
          <w:spacing w:val="-4"/>
          <w:rtl/>
        </w:rPr>
        <w:t>ومن ضمنها</w:t>
      </w:r>
      <w:r w:rsidRPr="00D01DCF">
        <w:rPr>
          <w:rFonts w:hint="cs"/>
          <w:spacing w:val="-4"/>
          <w:rtl/>
        </w:rPr>
        <w:t xml:space="preserve"> الغاية</w:t>
      </w:r>
      <w:r w:rsidRPr="00D01DCF">
        <w:rPr>
          <w:rFonts w:hint="eastAsia"/>
          <w:spacing w:val="-4"/>
          <w:rtl/>
        </w:rPr>
        <w:t> </w:t>
      </w:r>
      <w:r w:rsidRPr="00D01DCF">
        <w:rPr>
          <w:rFonts w:hint="cs"/>
          <w:spacing w:val="-4"/>
          <w:rtl/>
        </w:rPr>
        <w:t>11-1،</w:t>
      </w:r>
    </w:p>
    <w:p w:rsidR="008702DC" w:rsidRDefault="008702DC" w:rsidP="008702DC">
      <w:pPr>
        <w:pStyle w:val="SingleTxtGA"/>
        <w:spacing w:line="360" w:lineRule="exact"/>
        <w:rPr>
          <w:spacing w:val="6"/>
          <w:sz w:val="22"/>
          <w:rtl/>
        </w:rPr>
      </w:pPr>
      <w:r>
        <w:rPr>
          <w:rFonts w:hint="cs"/>
          <w:rtl/>
        </w:rPr>
        <w:tab/>
        <w:t>1-</w:t>
      </w:r>
      <w:r>
        <w:rPr>
          <w:rFonts w:hint="cs"/>
          <w:rtl/>
        </w:rPr>
        <w:tab/>
      </w:r>
      <w:r w:rsidRPr="00B43C8E">
        <w:rPr>
          <w:rFonts w:hint="cs"/>
          <w:i/>
          <w:iCs/>
          <w:rtl/>
        </w:rPr>
        <w:t>يرح</w:t>
      </w:r>
      <w:r>
        <w:rPr>
          <w:rFonts w:hint="cs"/>
          <w:i/>
          <w:iCs/>
          <w:rtl/>
        </w:rPr>
        <w:t>ّ</w:t>
      </w:r>
      <w:r w:rsidRPr="00B43C8E">
        <w:rPr>
          <w:rFonts w:hint="cs"/>
          <w:i/>
          <w:iCs/>
          <w:rtl/>
        </w:rPr>
        <w:t xml:space="preserve">ب </w:t>
      </w:r>
      <w:r w:rsidRPr="006D43DF">
        <w:rPr>
          <w:rtl/>
        </w:rPr>
        <w:t>بالعمل الذي تقوم به المقررة الخاصة المعنية بالسكن اللائق كعنصر من عناصر الحق في مستوى معيشي مناسب، وبالحق في عدم التمييز في هذا السياق، بما في ذلك اضطلاعها ببعثات ق</w:t>
      </w:r>
      <w:r>
        <w:rPr>
          <w:rFonts w:hint="cs"/>
          <w:rtl/>
        </w:rPr>
        <w:t>ُ</w:t>
      </w:r>
      <w:r w:rsidRPr="006D43DF">
        <w:rPr>
          <w:rtl/>
        </w:rPr>
        <w:t>طرية؛</w:t>
      </w:r>
    </w:p>
    <w:p w:rsidR="008702DC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  <w:t>2-</w:t>
      </w:r>
      <w:r>
        <w:rPr>
          <w:rFonts w:hint="cs"/>
          <w:rtl/>
        </w:rPr>
        <w:tab/>
      </w:r>
      <w:r>
        <w:rPr>
          <w:rFonts w:hint="cs"/>
          <w:i/>
          <w:iCs/>
          <w:rtl/>
        </w:rPr>
        <w:t>يحيط علماً على وجه الخصوص</w:t>
      </w:r>
      <w:r>
        <w:rPr>
          <w:rFonts w:hint="cs"/>
          <w:rtl/>
        </w:rPr>
        <w:t xml:space="preserve"> بتقرير المقررة الخاصة عن "</w:t>
      </w:r>
      <w:proofErr w:type="spellStart"/>
      <w:r>
        <w:rPr>
          <w:rFonts w:hint="cs"/>
          <w:rtl/>
        </w:rPr>
        <w:t>أموَلة</w:t>
      </w:r>
      <w:proofErr w:type="spellEnd"/>
      <w:r>
        <w:rPr>
          <w:rFonts w:hint="cs"/>
          <w:rtl/>
        </w:rPr>
        <w:t xml:space="preserve"> السكن" وتأثيرها في حقوق الإنسان</w:t>
      </w:r>
      <w:r w:rsidRPr="00D01DCF">
        <w:rPr>
          <w:rFonts w:hint="cs"/>
          <w:vertAlign w:val="superscript"/>
          <w:rtl/>
        </w:rPr>
        <w:t>(</w:t>
      </w:r>
      <w:r w:rsidRPr="00D01DCF">
        <w:rPr>
          <w:rStyle w:val="FootnoteReference"/>
          <w:spacing w:val="-4"/>
          <w:sz w:val="30"/>
          <w:szCs w:val="30"/>
          <w:rtl/>
        </w:rPr>
        <w:footnoteReference w:id="2"/>
      </w:r>
      <w:r w:rsidRPr="00D01DCF">
        <w:rPr>
          <w:rFonts w:hint="cs"/>
          <w:vertAlign w:val="superscript"/>
          <w:rtl/>
        </w:rPr>
        <w:t>)</w:t>
      </w:r>
      <w:r>
        <w:rPr>
          <w:rFonts w:hint="cs"/>
          <w:rtl/>
        </w:rPr>
        <w:t>؛</w:t>
      </w:r>
    </w:p>
    <w:p w:rsidR="008702DC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spacing w:val="6"/>
          <w:rtl/>
        </w:rPr>
        <w:tab/>
        <w:t>3-</w:t>
      </w:r>
      <w:r>
        <w:rPr>
          <w:rFonts w:hint="cs"/>
          <w:spacing w:val="6"/>
          <w:rtl/>
        </w:rPr>
        <w:tab/>
      </w:r>
      <w:r>
        <w:rPr>
          <w:rFonts w:hint="cs"/>
          <w:i/>
          <w:iCs/>
          <w:rtl/>
        </w:rPr>
        <w:t>يقرر</w:t>
      </w:r>
      <w:r>
        <w:rPr>
          <w:rFonts w:hint="cs"/>
          <w:rtl/>
        </w:rPr>
        <w:t xml:space="preserve"> تمديد ولاية المقررة الخاصة المعنية </w:t>
      </w:r>
      <w:r w:rsidRPr="006D43DF">
        <w:rPr>
          <w:rtl/>
        </w:rPr>
        <w:t>بالسكن اللائق كعنصر من عناصر الحق في مستوى معيشي مناسب، وبالحق في عدم التمييز في هذا السياق،</w:t>
      </w:r>
      <w:r>
        <w:rPr>
          <w:rFonts w:hint="cs"/>
          <w:rtl/>
        </w:rPr>
        <w:t xml:space="preserve"> </w:t>
      </w:r>
      <w:r w:rsidRPr="00B43C8E">
        <w:rPr>
          <w:rFonts w:hint="cs"/>
          <w:rtl/>
        </w:rPr>
        <w:t>ل</w:t>
      </w:r>
      <w:r>
        <w:rPr>
          <w:rFonts w:hint="cs"/>
          <w:rtl/>
        </w:rPr>
        <w:t>مدة ثلاث سنوات، على النحو المحدد في قراري مجلس حقوق الإنسان 15/8 المؤرخ 30 أيلول/سبتمبر 2010، و25/17 المؤرخ 28 آذار/مارس 2014؛</w:t>
      </w:r>
    </w:p>
    <w:p w:rsidR="008702DC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  <w:t>4-</w:t>
      </w:r>
      <w:r>
        <w:rPr>
          <w:rFonts w:hint="cs"/>
          <w:rtl/>
        </w:rPr>
        <w:tab/>
      </w:r>
      <w:r w:rsidRPr="006F07E2">
        <w:rPr>
          <w:rFonts w:hint="cs"/>
          <w:i/>
          <w:iCs/>
          <w:rtl/>
        </w:rPr>
        <w:t>ي</w:t>
      </w:r>
      <w:r>
        <w:rPr>
          <w:rFonts w:hint="cs"/>
          <w:i/>
          <w:iCs/>
          <w:rtl/>
        </w:rPr>
        <w:t>شجع</w:t>
      </w:r>
      <w:r>
        <w:rPr>
          <w:rFonts w:hint="cs"/>
          <w:rtl/>
        </w:rPr>
        <w:t xml:space="preserve"> المقررة الخاصة على أن تقدم، في إطار تنفيذ الولاية، مقترحات من شأنها أن تدعم الدول في تحقيق أهداف وغايات التنمية المستدامة المرتبطة بالسكن، وفي تنفيذ الخطة الحضرية الجديدة</w:t>
      </w:r>
      <w:r w:rsidRPr="00D01DCF">
        <w:rPr>
          <w:rFonts w:hint="cs"/>
          <w:vertAlign w:val="superscript"/>
          <w:rtl/>
        </w:rPr>
        <w:t>(</w:t>
      </w:r>
      <w:r w:rsidRPr="00D01DCF">
        <w:rPr>
          <w:rStyle w:val="FootnoteReference"/>
          <w:spacing w:val="-4"/>
          <w:sz w:val="30"/>
          <w:szCs w:val="30"/>
          <w:rtl/>
        </w:rPr>
        <w:footnoteReference w:id="3"/>
      </w:r>
      <w:r w:rsidRPr="00D01DCF">
        <w:rPr>
          <w:rFonts w:hint="cs"/>
          <w:vertAlign w:val="superscript"/>
          <w:rtl/>
        </w:rPr>
        <w:t>)</w:t>
      </w:r>
      <w:r>
        <w:rPr>
          <w:rFonts w:hint="cs"/>
          <w:rtl/>
        </w:rPr>
        <w:t>؛</w:t>
      </w:r>
    </w:p>
    <w:p w:rsidR="008702DC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  <w:t>5-</w:t>
      </w:r>
      <w:r>
        <w:rPr>
          <w:rFonts w:hint="cs"/>
          <w:rtl/>
        </w:rPr>
        <w:tab/>
      </w:r>
      <w:r w:rsidRPr="00E23CAC">
        <w:rPr>
          <w:rFonts w:hint="cs"/>
          <w:i/>
          <w:iCs/>
          <w:rtl/>
        </w:rPr>
        <w:t>يلاحظ مع التقدير</w:t>
      </w:r>
      <w:r>
        <w:rPr>
          <w:rFonts w:hint="cs"/>
          <w:rtl/>
        </w:rPr>
        <w:t xml:space="preserve"> يد التعاون التي مدتها الجهات الفاعلة المختلفة إلى المقررة الخاصة، ويدعو الدول إلى ما يلي:</w:t>
      </w:r>
    </w:p>
    <w:p w:rsidR="008702DC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</w:r>
      <w:r w:rsidRPr="00FC5669">
        <w:rPr>
          <w:rFonts w:hint="cs"/>
          <w:rtl/>
        </w:rPr>
        <w:t>(أ)</w:t>
      </w:r>
      <w:r>
        <w:rPr>
          <w:rFonts w:hint="cs"/>
          <w:rtl/>
        </w:rPr>
        <w:tab/>
        <w:t>التعاون التام مع المقررة الخاصة في اضطلاعها بولايتها، والاستجابة لطلباتها المتعلقة بالحصول على معلومات والقيام بزيارات؛</w:t>
      </w:r>
    </w:p>
    <w:p w:rsidR="008702DC" w:rsidRPr="00B40B74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</w:r>
      <w:r w:rsidRPr="00FC5669">
        <w:rPr>
          <w:rFonts w:hint="cs"/>
          <w:rtl/>
        </w:rPr>
        <w:t>(ب)</w:t>
      </w:r>
      <w:r>
        <w:rPr>
          <w:rFonts w:hint="cs"/>
          <w:rtl/>
        </w:rPr>
        <w:tab/>
        <w:t>الدخول في حوار بنّاء مع المقررة الخاصة بشأن متابعة توصياتها وتنفيذها؛</w:t>
      </w:r>
    </w:p>
    <w:p w:rsidR="008702DC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  <w:t>6-</w:t>
      </w:r>
      <w:r>
        <w:rPr>
          <w:rFonts w:hint="cs"/>
          <w:rtl/>
        </w:rPr>
        <w:tab/>
      </w:r>
      <w:r w:rsidRPr="00E23CAC">
        <w:rPr>
          <w:i/>
          <w:iCs/>
          <w:rtl/>
        </w:rPr>
        <w:t>يطلب</w:t>
      </w:r>
      <w:r w:rsidRPr="00E23CAC">
        <w:rPr>
          <w:rtl/>
        </w:rPr>
        <w:t xml:space="preserve"> إلى الأمين العام ومفوض الأمم المتحدة السامي لحقوق الإنسان </w:t>
      </w:r>
      <w:r>
        <w:rPr>
          <w:rFonts w:hint="cs"/>
          <w:rtl/>
        </w:rPr>
        <w:t>مواصلة توفير</w:t>
      </w:r>
      <w:r w:rsidRPr="00E23CAC">
        <w:rPr>
          <w:rtl/>
        </w:rPr>
        <w:t xml:space="preserve"> كل ما يلزم من م</w:t>
      </w:r>
      <w:r>
        <w:rPr>
          <w:rFonts w:hint="cs"/>
          <w:rtl/>
        </w:rPr>
        <w:t xml:space="preserve">وارد لتمكين </w:t>
      </w:r>
      <w:r w:rsidRPr="00E23CAC">
        <w:rPr>
          <w:rtl/>
        </w:rPr>
        <w:t xml:space="preserve">المقررة الخاصة </w:t>
      </w:r>
      <w:r>
        <w:rPr>
          <w:rtl/>
        </w:rPr>
        <w:t>من الاضطلاع بولايتها بفعالية</w:t>
      </w:r>
      <w:r>
        <w:rPr>
          <w:rFonts w:hint="cs"/>
          <w:rtl/>
        </w:rPr>
        <w:t>؛</w:t>
      </w:r>
    </w:p>
    <w:p w:rsidR="008702DC" w:rsidRDefault="008702DC" w:rsidP="008702DC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  <w:t>7-</w:t>
      </w:r>
      <w:r>
        <w:rPr>
          <w:rFonts w:hint="cs"/>
          <w:rtl/>
        </w:rPr>
        <w:tab/>
      </w:r>
      <w:r w:rsidRPr="00A24EFA">
        <w:rPr>
          <w:rFonts w:hint="cs"/>
          <w:i/>
          <w:iCs/>
          <w:rtl/>
        </w:rPr>
        <w:t>ي</w:t>
      </w:r>
      <w:r>
        <w:rPr>
          <w:rFonts w:hint="cs"/>
          <w:i/>
          <w:iCs/>
          <w:rtl/>
        </w:rPr>
        <w:t>طلب</w:t>
      </w:r>
      <w:r>
        <w:rPr>
          <w:rFonts w:hint="cs"/>
          <w:rtl/>
        </w:rPr>
        <w:t xml:space="preserve"> إلى المقررة الخاصة أن تقدم تقريراً سنوياً عن الاضطلاع بالولاية إلى مجلس حقوق الإنسان والجمعية العامة، وفقاً لبرنامج العمل السنوي لكل منهما؛</w:t>
      </w:r>
    </w:p>
    <w:p w:rsidR="008702DC" w:rsidRDefault="008702DC" w:rsidP="008702DC">
      <w:pPr>
        <w:pStyle w:val="SingleTxtGA"/>
      </w:pPr>
      <w:r>
        <w:rPr>
          <w:rFonts w:hint="cs"/>
          <w:spacing w:val="6"/>
          <w:kern w:val="16"/>
          <w:rtl/>
        </w:rPr>
        <w:tab/>
        <w:t>8-</w:t>
      </w:r>
      <w:r>
        <w:rPr>
          <w:rFonts w:hint="cs"/>
          <w:spacing w:val="6"/>
          <w:kern w:val="16"/>
          <w:rtl/>
        </w:rPr>
        <w:tab/>
      </w:r>
      <w:r w:rsidRPr="00E8349C">
        <w:rPr>
          <w:rFonts w:hint="cs"/>
          <w:i/>
          <w:iCs/>
          <w:rtl/>
        </w:rPr>
        <w:t>ي</w:t>
      </w:r>
      <w:r>
        <w:rPr>
          <w:rFonts w:hint="cs"/>
          <w:i/>
          <w:iCs/>
          <w:rtl/>
        </w:rPr>
        <w:t>قرر</w:t>
      </w:r>
      <w:r w:rsidRPr="00E8349C">
        <w:rPr>
          <w:rtl/>
        </w:rPr>
        <w:t xml:space="preserve"> </w:t>
      </w:r>
      <w:r>
        <w:rPr>
          <w:rFonts w:hint="cs"/>
          <w:rtl/>
        </w:rPr>
        <w:t>مواصلة نظره في هذه المسألة في إطار البند نفسه من جدول الأعمال.</w:t>
      </w:r>
    </w:p>
    <w:p w:rsidR="008702DC" w:rsidRPr="008702DC" w:rsidRDefault="008702DC" w:rsidP="008702DC">
      <w:pPr>
        <w:pStyle w:val="SingleTxtGA"/>
        <w:spacing w:after="0"/>
        <w:jc w:val="right"/>
        <w:rPr>
          <w:i/>
          <w:iCs/>
          <w:rtl/>
          <w:lang w:bidi="ar"/>
        </w:rPr>
      </w:pPr>
      <w:r w:rsidRPr="008702DC">
        <w:rPr>
          <w:rFonts w:hint="cs"/>
          <w:i/>
          <w:iCs/>
          <w:rtl/>
          <w:lang w:bidi="ar"/>
        </w:rPr>
        <w:t>الجلسة 56</w:t>
      </w:r>
    </w:p>
    <w:p w:rsidR="008702DC" w:rsidRPr="008702DC" w:rsidRDefault="008702DC" w:rsidP="008702DC">
      <w:pPr>
        <w:pStyle w:val="SingleTxtGA"/>
        <w:jc w:val="right"/>
        <w:rPr>
          <w:i/>
          <w:iCs/>
          <w:rtl/>
          <w:lang w:bidi="ar"/>
        </w:rPr>
      </w:pPr>
      <w:r w:rsidRPr="008702DC">
        <w:rPr>
          <w:rFonts w:hint="cs"/>
          <w:i/>
          <w:iCs/>
          <w:rtl/>
          <w:lang w:bidi="ar"/>
        </w:rPr>
        <w:t>23 آذار/مارس 2017</w:t>
      </w:r>
    </w:p>
    <w:p w:rsidR="00B54045" w:rsidRDefault="008702DC" w:rsidP="008702DC">
      <w:pPr>
        <w:pStyle w:val="SingleTxtGA"/>
        <w:rPr>
          <w:rFonts w:hint="cs"/>
          <w:sz w:val="30"/>
          <w:rtl/>
        </w:rPr>
      </w:pPr>
      <w:r>
        <w:rPr>
          <w:rFonts w:ascii="Traditional Arabic" w:hAnsi="Traditional Arabic"/>
          <w:rtl/>
          <w:lang w:bidi="ar"/>
        </w:rPr>
        <w:t>[</w:t>
      </w:r>
      <w:r>
        <w:rPr>
          <w:rFonts w:hint="cs"/>
          <w:rtl/>
          <w:lang w:bidi="ar"/>
        </w:rPr>
        <w:t>اعتُمد بدون تصويت.</w:t>
      </w:r>
      <w:r>
        <w:rPr>
          <w:rFonts w:ascii="Traditional Arabic" w:hAnsi="Traditional Arabic"/>
          <w:rtl/>
          <w:lang w:bidi="ar"/>
        </w:rPr>
        <w:t>]</w:t>
      </w:r>
    </w:p>
    <w:p w:rsidR="00430CEE" w:rsidRPr="00430CEE" w:rsidRDefault="00430CEE" w:rsidP="00430CEE">
      <w:pPr>
        <w:spacing w:before="120"/>
        <w:jc w:val="center"/>
        <w:rPr>
          <w:rFonts w:hint="cs"/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bookmarkStart w:id="0" w:name="_GoBack"/>
      <w:bookmarkEnd w:id="0"/>
    </w:p>
    <w:sectPr w:rsidR="00430CEE" w:rsidRPr="00430CEE" w:rsidSect="00815D1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71" w:rsidRPr="002901D9" w:rsidRDefault="0091607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916071" w:rsidRDefault="0091607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5" w:rsidRPr="008702DC" w:rsidRDefault="008702DC" w:rsidP="008702DC">
    <w:pPr>
      <w:pStyle w:val="Footer"/>
      <w:tabs>
        <w:tab w:val="right" w:pos="9598"/>
      </w:tabs>
      <w:rPr>
        <w:sz w:val="17"/>
      </w:rPr>
    </w:pPr>
    <w:r>
      <w:rPr>
        <w:sz w:val="17"/>
      </w:rPr>
      <w:t>GE.17-05885</w:t>
    </w:r>
    <w:r>
      <w:rPr>
        <w:sz w:val="17"/>
      </w:rPr>
      <w:tab/>
    </w:r>
    <w:r w:rsidRPr="008702DC">
      <w:rPr>
        <w:b/>
        <w:sz w:val="18"/>
      </w:rPr>
      <w:fldChar w:fldCharType="begin"/>
    </w:r>
    <w:r w:rsidRPr="008702DC">
      <w:rPr>
        <w:b/>
        <w:sz w:val="18"/>
      </w:rPr>
      <w:instrText xml:space="preserve"> PAGE  \* MERGEFORMAT </w:instrText>
    </w:r>
    <w:r w:rsidRPr="008702DC">
      <w:rPr>
        <w:b/>
        <w:sz w:val="18"/>
      </w:rPr>
      <w:fldChar w:fldCharType="separate"/>
    </w:r>
    <w:r w:rsidR="00430CEE">
      <w:rPr>
        <w:b/>
        <w:noProof/>
        <w:sz w:val="18"/>
      </w:rPr>
      <w:t>2</w:t>
    </w:r>
    <w:r w:rsidRPr="008702D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8702DC" w:rsidRDefault="008702D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8702DC">
      <w:rPr>
        <w:b/>
        <w:sz w:val="18"/>
        <w:lang w:val="en-US"/>
      </w:rPr>
      <w:fldChar w:fldCharType="begin"/>
    </w:r>
    <w:r w:rsidRPr="008702DC">
      <w:rPr>
        <w:b/>
        <w:sz w:val="18"/>
        <w:lang w:val="en-US"/>
      </w:rPr>
      <w:instrText xml:space="preserve"> PAGE  \* MERGEFORMAT </w:instrText>
    </w:r>
    <w:r w:rsidRPr="008702DC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8702D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GE.17-05885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815D15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GE.17-05885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7E55D860" wp14:editId="3E5AE89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815D15" w:rsidRPr="00815D15" w:rsidRDefault="00815D15" w:rsidP="00815D15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71" w:rsidRPr="0054762C" w:rsidRDefault="00916071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916071" w:rsidRDefault="00916071" w:rsidP="00656392">
      <w:pPr>
        <w:spacing w:line="240" w:lineRule="auto"/>
      </w:pPr>
      <w:r>
        <w:continuationSeparator/>
      </w:r>
    </w:p>
  </w:footnote>
  <w:footnote w:id="1">
    <w:p w:rsidR="008702DC" w:rsidRPr="008702DC" w:rsidRDefault="008702DC" w:rsidP="008702DC">
      <w:pPr>
        <w:pStyle w:val="FootnoteText"/>
        <w:spacing w:after="60" w:line="300" w:lineRule="exact"/>
        <w:ind w:left="1247" w:right="1247" w:hanging="567"/>
        <w:jc w:val="both"/>
        <w:rPr>
          <w:sz w:val="18"/>
          <w:szCs w:val="26"/>
        </w:rPr>
      </w:pPr>
      <w:r w:rsidRPr="008702DC">
        <w:rPr>
          <w:rFonts w:hint="cs"/>
          <w:sz w:val="18"/>
          <w:szCs w:val="26"/>
          <w:rtl/>
        </w:rPr>
        <w:t>(</w:t>
      </w:r>
      <w:r w:rsidRPr="008702DC">
        <w:rPr>
          <w:rStyle w:val="FootnoteReference"/>
          <w:szCs w:val="26"/>
          <w:vertAlign w:val="baseline"/>
        </w:rPr>
        <w:footnoteRef/>
      </w:r>
      <w:r w:rsidRPr="008702DC">
        <w:rPr>
          <w:rFonts w:hint="cs"/>
          <w:sz w:val="18"/>
          <w:szCs w:val="26"/>
          <w:rtl/>
        </w:rPr>
        <w:t>)</w:t>
      </w:r>
      <w:r w:rsidRPr="008702DC">
        <w:rPr>
          <w:sz w:val="18"/>
          <w:szCs w:val="26"/>
          <w:rtl/>
        </w:rPr>
        <w:tab/>
        <w:t>انظر قرار الجمعية العامة 71/235.</w:t>
      </w:r>
    </w:p>
  </w:footnote>
  <w:footnote w:id="2">
    <w:p w:rsidR="008702DC" w:rsidRPr="008702DC" w:rsidRDefault="008702DC" w:rsidP="008702DC">
      <w:pPr>
        <w:pStyle w:val="FootnoteText"/>
        <w:spacing w:after="60" w:line="240" w:lineRule="exact"/>
        <w:ind w:left="1247" w:right="1247" w:hanging="567"/>
        <w:jc w:val="both"/>
        <w:rPr>
          <w:sz w:val="18"/>
          <w:szCs w:val="26"/>
          <w:rtl/>
        </w:rPr>
      </w:pPr>
      <w:r w:rsidRPr="008702DC">
        <w:rPr>
          <w:rFonts w:hint="cs"/>
          <w:sz w:val="18"/>
          <w:szCs w:val="26"/>
          <w:rtl/>
        </w:rPr>
        <w:t>(</w:t>
      </w:r>
      <w:r w:rsidRPr="008702DC">
        <w:rPr>
          <w:rStyle w:val="FootnoteReference"/>
          <w:szCs w:val="26"/>
          <w:vertAlign w:val="baseline"/>
        </w:rPr>
        <w:footnoteRef/>
      </w:r>
      <w:r w:rsidRPr="008702DC">
        <w:rPr>
          <w:rFonts w:hint="cs"/>
          <w:sz w:val="18"/>
          <w:szCs w:val="26"/>
          <w:rtl/>
        </w:rPr>
        <w:t>)</w:t>
      </w:r>
      <w:r w:rsidRPr="008702DC">
        <w:rPr>
          <w:sz w:val="18"/>
          <w:szCs w:val="26"/>
          <w:rtl/>
        </w:rPr>
        <w:tab/>
      </w:r>
      <w:r w:rsidRPr="008702DC">
        <w:rPr>
          <w:sz w:val="18"/>
          <w:szCs w:val="26"/>
        </w:rPr>
        <w:t>A/HRC/34/51</w:t>
      </w:r>
      <w:r w:rsidRPr="008702DC">
        <w:rPr>
          <w:sz w:val="18"/>
          <w:szCs w:val="26"/>
          <w:rtl/>
        </w:rPr>
        <w:t>.</w:t>
      </w:r>
      <w:r w:rsidRPr="008702DC">
        <w:rPr>
          <w:rFonts w:hint="cs"/>
          <w:sz w:val="18"/>
          <w:szCs w:val="26"/>
          <w:rtl/>
        </w:rPr>
        <w:t xml:space="preserve"> </w:t>
      </w:r>
    </w:p>
  </w:footnote>
  <w:footnote w:id="3">
    <w:p w:rsidR="008702DC" w:rsidRPr="008702DC" w:rsidRDefault="008702DC" w:rsidP="008702DC">
      <w:pPr>
        <w:pStyle w:val="FootnoteText"/>
        <w:spacing w:after="60" w:line="300" w:lineRule="exact"/>
        <w:ind w:left="1247" w:right="1247" w:hanging="567"/>
        <w:jc w:val="both"/>
        <w:rPr>
          <w:sz w:val="18"/>
          <w:szCs w:val="26"/>
        </w:rPr>
      </w:pPr>
      <w:r w:rsidRPr="008702DC">
        <w:rPr>
          <w:rFonts w:hint="cs"/>
          <w:sz w:val="18"/>
          <w:szCs w:val="26"/>
          <w:rtl/>
        </w:rPr>
        <w:t>(</w:t>
      </w:r>
      <w:r w:rsidRPr="008702DC">
        <w:rPr>
          <w:rStyle w:val="FootnoteReference"/>
          <w:szCs w:val="26"/>
          <w:vertAlign w:val="baseline"/>
        </w:rPr>
        <w:footnoteRef/>
      </w:r>
      <w:r w:rsidRPr="008702DC">
        <w:rPr>
          <w:rFonts w:hint="cs"/>
          <w:sz w:val="18"/>
          <w:szCs w:val="26"/>
          <w:rtl/>
        </w:rPr>
        <w:t>)</w:t>
      </w:r>
      <w:r w:rsidRPr="008702DC">
        <w:rPr>
          <w:sz w:val="18"/>
          <w:szCs w:val="26"/>
          <w:rtl/>
        </w:rPr>
        <w:tab/>
        <w:t>قرار الجمعية العامة 71/2</w:t>
      </w:r>
      <w:r w:rsidRPr="008702DC">
        <w:rPr>
          <w:rFonts w:hint="cs"/>
          <w:sz w:val="18"/>
          <w:szCs w:val="26"/>
          <w:rtl/>
        </w:rPr>
        <w:t>56، المرفق.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5" w:rsidRPr="008702DC" w:rsidRDefault="008702DC" w:rsidP="008702DC">
    <w:pPr>
      <w:pStyle w:val="Header"/>
      <w:jc w:val="right"/>
    </w:pPr>
    <w:r w:rsidRPr="008702DC">
      <w:t>A/HRC/RES/34/9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5" w:rsidRPr="008702DC" w:rsidRDefault="008702DC" w:rsidP="008702DC">
    <w:pPr>
      <w:pStyle w:val="Header"/>
      <w:jc w:val="left"/>
    </w:pPr>
    <w:r w:rsidRPr="008702DC">
      <w:t>A/HRC/RES/34/9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071"/>
    <w:rsid w:val="000076D5"/>
    <w:rsid w:val="00043663"/>
    <w:rsid w:val="000505CF"/>
    <w:rsid w:val="000D701C"/>
    <w:rsid w:val="000E2A71"/>
    <w:rsid w:val="000E524A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30CEE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15D15"/>
    <w:rsid w:val="00852A9A"/>
    <w:rsid w:val="008702DC"/>
    <w:rsid w:val="00871544"/>
    <w:rsid w:val="008930DB"/>
    <w:rsid w:val="00895D16"/>
    <w:rsid w:val="008F49E1"/>
    <w:rsid w:val="0090370F"/>
    <w:rsid w:val="00916071"/>
    <w:rsid w:val="009269D2"/>
    <w:rsid w:val="00942135"/>
    <w:rsid w:val="009521B0"/>
    <w:rsid w:val="009A7E9F"/>
    <w:rsid w:val="009E5018"/>
    <w:rsid w:val="00A12B37"/>
    <w:rsid w:val="00A50EC0"/>
    <w:rsid w:val="00A74331"/>
    <w:rsid w:val="00AB6758"/>
    <w:rsid w:val="00B13763"/>
    <w:rsid w:val="00B477A4"/>
    <w:rsid w:val="00B54045"/>
    <w:rsid w:val="00BA5E8B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F126-A389-475C-A85B-86C0AFDD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A/HRC/RES/34/9</dc:title>
  <dc:subject>GE. 1705885A</dc:subject>
  <dc:creator>IBAL34 - NAB</dc:creator>
  <cp:keywords>ODS No. 1709021</cp:keywords>
  <dc:description>Original: English _x000d_
Distribution: General_x000d_
Date: 11 April 2017</dc:description>
  <cp:lastModifiedBy>Tpsara</cp:lastModifiedBy>
  <cp:revision>2</cp:revision>
  <dcterms:created xsi:type="dcterms:W3CDTF">2017-04-26T13:49:00Z</dcterms:created>
  <dcterms:modified xsi:type="dcterms:W3CDTF">2017-04-26T13:49:00Z</dcterms:modified>
  <cp:category>Final</cp:category>
</cp:coreProperties>
</file>