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B80EF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B80E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80EF4" w:rsidP="00B80EF4">
            <w:pPr>
              <w:jc w:val="right"/>
            </w:pPr>
            <w:r w:rsidRPr="00B80EF4">
              <w:rPr>
                <w:sz w:val="40"/>
              </w:rPr>
              <w:t>A</w:t>
            </w:r>
            <w:r>
              <w:t>/HRC/RES/34/9</w:t>
            </w:r>
          </w:p>
        </w:tc>
      </w:tr>
      <w:tr w:rsidR="002D5AAC" w:rsidTr="00B80EF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80EF4" w:rsidP="0008244E">
            <w:pPr>
              <w:spacing w:before="240"/>
            </w:pPr>
            <w:r>
              <w:t>Distr. general</w:t>
            </w:r>
          </w:p>
          <w:p w:rsidR="00B80EF4" w:rsidRDefault="00B80EF4" w:rsidP="00B80EF4">
            <w:pPr>
              <w:spacing w:line="240" w:lineRule="exact"/>
            </w:pPr>
            <w:r>
              <w:t>1</w:t>
            </w:r>
            <w:r w:rsidR="00846A0D">
              <w:t>1</w:t>
            </w:r>
            <w:r>
              <w:t xml:space="preserve"> de abril de 2017</w:t>
            </w:r>
          </w:p>
          <w:p w:rsidR="00B80EF4" w:rsidRDefault="00B80EF4" w:rsidP="00B80EF4">
            <w:pPr>
              <w:spacing w:line="240" w:lineRule="exact"/>
            </w:pPr>
            <w:r>
              <w:t>Es</w:t>
            </w:r>
            <w:bookmarkStart w:id="0" w:name="_GoBack"/>
            <w:bookmarkEnd w:id="0"/>
            <w:r>
              <w:t>pañol</w:t>
            </w:r>
          </w:p>
          <w:p w:rsidR="00B80EF4" w:rsidRDefault="00B80EF4" w:rsidP="00B80EF4">
            <w:pPr>
              <w:spacing w:line="240" w:lineRule="exact"/>
            </w:pPr>
            <w:r>
              <w:t>Original: inglés</w:t>
            </w:r>
          </w:p>
        </w:tc>
      </w:tr>
    </w:tbl>
    <w:p w:rsidR="00B80EF4" w:rsidRPr="00B80EF4" w:rsidRDefault="00B80EF4" w:rsidP="00B80EF4">
      <w:pPr>
        <w:spacing w:before="120"/>
        <w:rPr>
          <w:b/>
          <w:sz w:val="24"/>
          <w:szCs w:val="24"/>
        </w:rPr>
      </w:pPr>
      <w:r w:rsidRPr="00B80EF4">
        <w:rPr>
          <w:b/>
          <w:sz w:val="24"/>
          <w:szCs w:val="24"/>
        </w:rPr>
        <w:t>Consejo de Derechos Humanos</w:t>
      </w:r>
    </w:p>
    <w:p w:rsidR="00B80EF4" w:rsidRPr="00B80EF4" w:rsidRDefault="00B80EF4" w:rsidP="00B80EF4">
      <w:pPr>
        <w:rPr>
          <w:b/>
        </w:rPr>
      </w:pPr>
      <w:r w:rsidRPr="00B80EF4">
        <w:rPr>
          <w:b/>
        </w:rPr>
        <w:t>34º período de sesiones</w:t>
      </w:r>
    </w:p>
    <w:p w:rsidR="00B80EF4" w:rsidRPr="00B80EF4" w:rsidRDefault="00B80EF4" w:rsidP="00B80EF4">
      <w:r w:rsidRPr="00B80EF4">
        <w:t>27 de febrero a 24 de marzo de 2017</w:t>
      </w:r>
    </w:p>
    <w:p w:rsidR="00B80EF4" w:rsidRPr="00B80EF4" w:rsidRDefault="00B80EF4" w:rsidP="00B80EF4">
      <w:r w:rsidRPr="00B80EF4">
        <w:t>Tema 3 de la agenda</w:t>
      </w:r>
    </w:p>
    <w:p w:rsidR="00B80EF4" w:rsidRPr="00B80EF4" w:rsidRDefault="00B80EF4" w:rsidP="00B80EF4">
      <w:pPr>
        <w:pStyle w:val="HChG"/>
      </w:pPr>
      <w:r>
        <w:tab/>
      </w:r>
      <w:r w:rsidRPr="00B80EF4">
        <w:tab/>
        <w:t xml:space="preserve">Resolución aprobada por el Consejo de Derechos </w:t>
      </w:r>
      <w:r>
        <w:br/>
      </w:r>
      <w:r w:rsidRPr="00B80EF4">
        <w:t>Humanos el 23 de marzo de 2017</w:t>
      </w:r>
    </w:p>
    <w:p w:rsidR="00B80EF4" w:rsidRPr="00B80EF4" w:rsidRDefault="00B80EF4" w:rsidP="00B80EF4">
      <w:pPr>
        <w:pStyle w:val="H1G"/>
        <w:tabs>
          <w:tab w:val="left" w:pos="1750"/>
        </w:tabs>
      </w:pPr>
      <w:r>
        <w:tab/>
      </w:r>
      <w:r>
        <w:tab/>
      </w:r>
      <w:r w:rsidRPr="00B80EF4">
        <w:t>34/9</w:t>
      </w:r>
      <w:r w:rsidR="00846A0D">
        <w:t>.</w:t>
      </w:r>
      <w:r w:rsidRPr="00B80EF4">
        <w:tab/>
        <w:t xml:space="preserve">La vivienda adecuada como elemento integrante del </w:t>
      </w:r>
      <w:r>
        <w:br/>
      </w:r>
      <w:r>
        <w:tab/>
      </w:r>
      <w:r w:rsidRPr="00B80EF4">
        <w:t xml:space="preserve">derecho </w:t>
      </w:r>
      <w:r>
        <w:t xml:space="preserve">a </w:t>
      </w:r>
      <w:r w:rsidRPr="00B80EF4">
        <w:t xml:space="preserve">un nivel de vida adecuado, y el derecho de </w:t>
      </w:r>
      <w:r>
        <w:br/>
      </w:r>
      <w:r>
        <w:tab/>
      </w:r>
      <w:r w:rsidRPr="00B80EF4">
        <w:t xml:space="preserve">no discriminación a este respecto </w:t>
      </w:r>
    </w:p>
    <w:p w:rsidR="00B80EF4" w:rsidRPr="00B80EF4" w:rsidRDefault="00B80EF4" w:rsidP="00B80EF4">
      <w:pPr>
        <w:pStyle w:val="SingleTxtG"/>
      </w:pPr>
      <w:r w:rsidRPr="00B80EF4">
        <w:rPr>
          <w:i/>
        </w:rPr>
        <w:tab/>
        <w:t>El Consejo de Derechos Humanos</w:t>
      </w:r>
      <w:r w:rsidRPr="00B80EF4">
        <w:t>,</w:t>
      </w:r>
    </w:p>
    <w:p w:rsidR="00B80EF4" w:rsidRPr="00B80EF4" w:rsidRDefault="00B80EF4" w:rsidP="00B80EF4">
      <w:pPr>
        <w:pStyle w:val="SingleTxtG"/>
      </w:pPr>
      <w:r w:rsidRPr="00B80EF4">
        <w:tab/>
      </w:r>
      <w:r w:rsidRPr="00B80EF4">
        <w:rPr>
          <w:i/>
        </w:rPr>
        <w:t>Reafirmando</w:t>
      </w:r>
      <w:r w:rsidRPr="00B80EF4">
        <w:t xml:space="preserve"> que los instrumentos internacionales de derechos humanos, entre ellos la Declaración Universal de Derechos Humanos y el Pacto Internacional de Derechos Económicos, Sociales y Culturales, entrañan para los Estados partes, incluidos todos los niveles de gobierno, obligaciones y compromisos en relación con el acceso a una vivienda adecuada,</w:t>
      </w:r>
    </w:p>
    <w:p w:rsidR="00B80EF4" w:rsidRPr="00B80EF4" w:rsidRDefault="00B80EF4" w:rsidP="00B80EF4">
      <w:pPr>
        <w:pStyle w:val="SingleTxtG"/>
      </w:pPr>
      <w:r w:rsidRPr="00B80EF4">
        <w:tab/>
      </w:r>
      <w:r w:rsidRPr="00B80EF4">
        <w:rPr>
          <w:i/>
        </w:rPr>
        <w:t xml:space="preserve">Recordando </w:t>
      </w:r>
      <w:r w:rsidRPr="00B80EF4">
        <w:t>todas sus resoluciones anteriores y las aprobadas por la Comisión de Derechos Humanos sobre la cuestión del derecho a una vivienda adecuada como elemento integrante del derecho a un nivel de vida adecuado, incluidas las resoluciones del Consejo 25/17, de 28 de marzo de 2014, y 31/9, de 23 de marzo de 2016,</w:t>
      </w:r>
    </w:p>
    <w:p w:rsidR="00B80EF4" w:rsidRPr="00B80EF4" w:rsidRDefault="00B80EF4" w:rsidP="00B80EF4">
      <w:pPr>
        <w:pStyle w:val="SingleTxtG"/>
      </w:pPr>
      <w:r w:rsidRPr="00B80EF4">
        <w:tab/>
      </w:r>
      <w:r w:rsidRPr="00B80EF4">
        <w:rPr>
          <w:i/>
        </w:rPr>
        <w:t>Recordando también</w:t>
      </w:r>
      <w:r w:rsidRPr="00B80EF4">
        <w:t xml:space="preserve"> sus resoluciones 5/1, sobre la construcción institucional del Consejo de Derechos Humanos, y 5/2, sobre el Código de Conducta para los Titulares de Mandatos de los Procedimientos Especiales del Consejo, de 18 de junio de 2007,</w:t>
      </w:r>
    </w:p>
    <w:p w:rsidR="00B80EF4" w:rsidRPr="00B80EF4" w:rsidRDefault="00B80EF4" w:rsidP="00B80EF4">
      <w:pPr>
        <w:pStyle w:val="SingleTxtG"/>
      </w:pPr>
      <w:r w:rsidRPr="00B80EF4">
        <w:tab/>
      </w:r>
      <w:r w:rsidRPr="00B80EF4">
        <w:rPr>
          <w:i/>
        </w:rPr>
        <w:t xml:space="preserve">Reafirmando </w:t>
      </w:r>
      <w:r w:rsidRPr="00B80EF4">
        <w:t>los principios y compromisos que, en relación con la vivienda adecuada, están consagrados en las disposiciones pertinentes de las declaraciones y los programas aprobados por importantes conferencias y cumbres de las Naciones Unidas, entre otros en el documento final de la Conferencia de las Naciones Unidas sobre la Vivienda y el Desarrollo Urbano Sostenible (Hábitat III), celebrada del 17 al 20 de octubre de 2016 en Quito</w:t>
      </w:r>
      <w:r w:rsidRPr="00B80EF4">
        <w:rPr>
          <w:sz w:val="18"/>
          <w:szCs w:val="18"/>
          <w:vertAlign w:val="superscript"/>
        </w:rPr>
        <w:footnoteReference w:id="1"/>
      </w:r>
      <w:r w:rsidRPr="00B80EF4">
        <w:t>, y subrayando la importancia de la aplicación de la Agenda 2030 para el Desarrollo Sostenible, en particular su meta 11.1,</w:t>
      </w:r>
    </w:p>
    <w:p w:rsidR="00B80EF4" w:rsidRPr="00B80EF4" w:rsidRDefault="00B80EF4" w:rsidP="00B80EF4">
      <w:pPr>
        <w:pStyle w:val="SingleTxtG"/>
      </w:pPr>
      <w:r w:rsidRPr="00B80EF4">
        <w:tab/>
        <w:t>1.</w:t>
      </w:r>
      <w:r w:rsidRPr="00B80EF4">
        <w:tab/>
      </w:r>
      <w:r w:rsidRPr="00B80EF4">
        <w:rPr>
          <w:i/>
        </w:rPr>
        <w:t>Acoge con beneplácito</w:t>
      </w:r>
      <w:r w:rsidRPr="00B80EF4">
        <w:t xml:space="preserve"> la labor realizada por la Relatora Especial sobre la vivienda adecuada como elemento integrante del derecho a un nivel de vida adecuado y sobre el derecho de no discriminación a este respecto, incluidas las misiones emprendidas a los países;</w:t>
      </w:r>
    </w:p>
    <w:p w:rsidR="00B80EF4" w:rsidRPr="00B80EF4" w:rsidRDefault="00B80EF4" w:rsidP="00B80EF4">
      <w:pPr>
        <w:pStyle w:val="SingleTxtG"/>
      </w:pPr>
      <w:r w:rsidRPr="00B80EF4">
        <w:tab/>
        <w:t>2.</w:t>
      </w:r>
      <w:r w:rsidRPr="00B80EF4">
        <w:tab/>
      </w:r>
      <w:r w:rsidRPr="00B80EF4">
        <w:rPr>
          <w:i/>
        </w:rPr>
        <w:t>Toma nota</w:t>
      </w:r>
      <w:r w:rsidRPr="00B80EF4">
        <w:t xml:space="preserve"> </w:t>
      </w:r>
      <w:r w:rsidRPr="00B80EF4">
        <w:rPr>
          <w:i/>
        </w:rPr>
        <w:t>en particular</w:t>
      </w:r>
      <w:r w:rsidRPr="00B80EF4">
        <w:t xml:space="preserve"> del informe de la Relatora Especial acerca de la “financiarización de la vivienda” y sus repercusiones en los derechos humanos</w:t>
      </w:r>
      <w:r w:rsidRPr="00B80EF4">
        <w:rPr>
          <w:sz w:val="18"/>
          <w:szCs w:val="18"/>
          <w:vertAlign w:val="superscript"/>
        </w:rPr>
        <w:footnoteReference w:id="2"/>
      </w:r>
      <w:r w:rsidRPr="00B80EF4">
        <w:t>;</w:t>
      </w:r>
    </w:p>
    <w:p w:rsidR="00B80EF4" w:rsidRPr="00B80EF4" w:rsidRDefault="00B80EF4" w:rsidP="00B80EF4">
      <w:pPr>
        <w:pStyle w:val="SingleTxtG"/>
      </w:pPr>
      <w:r w:rsidRPr="00B80EF4">
        <w:lastRenderedPageBreak/>
        <w:tab/>
        <w:t>3.</w:t>
      </w:r>
      <w:r w:rsidRPr="00B80EF4">
        <w:tab/>
      </w:r>
      <w:r w:rsidRPr="00B80EF4">
        <w:rPr>
          <w:i/>
        </w:rPr>
        <w:t>Decide</w:t>
      </w:r>
      <w:r w:rsidRPr="00B80EF4">
        <w:t xml:space="preserve"> prorrogar por un período de tres años el mandato de la Relatora Especial sobre una vivienda adecuada como elemento integrante del derecho a un nivel de vida adecuado y sobre el derecho de no discriminación a este respecto, de conformidad con las resoluciones del Consejo de Derechos Humanos 15/8, de 30 de septiembre de 2010, y 25/17, de 28 de marzo de 2014;</w:t>
      </w:r>
    </w:p>
    <w:p w:rsidR="00B80EF4" w:rsidRPr="00B80EF4" w:rsidRDefault="00B80EF4" w:rsidP="00B80EF4">
      <w:pPr>
        <w:pStyle w:val="SingleTxtG"/>
      </w:pPr>
      <w:r w:rsidRPr="00B80EF4">
        <w:tab/>
        <w:t>4.</w:t>
      </w:r>
      <w:r w:rsidRPr="00B80EF4">
        <w:tab/>
      </w:r>
      <w:r w:rsidRPr="00B80EF4">
        <w:rPr>
          <w:i/>
        </w:rPr>
        <w:t>Alienta</w:t>
      </w:r>
      <w:r w:rsidRPr="00B80EF4">
        <w:t xml:space="preserve"> a la Relatora Especial a que, en el desempeño del mandato, presente propuestas con miras a ayudar a los Estados a aplicar los Objetivos de Desarrollo Sostenible y sus metas en relación con la vivienda, así como la Nueva Agenda Urbana</w:t>
      </w:r>
      <w:r w:rsidRPr="00B80EF4">
        <w:rPr>
          <w:sz w:val="18"/>
          <w:szCs w:val="18"/>
          <w:vertAlign w:val="superscript"/>
        </w:rPr>
        <w:footnoteReference w:id="3"/>
      </w:r>
      <w:r w:rsidRPr="00B80EF4">
        <w:t>;</w:t>
      </w:r>
    </w:p>
    <w:p w:rsidR="00B80EF4" w:rsidRPr="00B80EF4" w:rsidRDefault="00B80EF4" w:rsidP="00B80EF4">
      <w:pPr>
        <w:pStyle w:val="SingleTxtG"/>
      </w:pPr>
      <w:r w:rsidRPr="00B80EF4">
        <w:tab/>
        <w:t>5.</w:t>
      </w:r>
      <w:r w:rsidRPr="00B80EF4">
        <w:tab/>
      </w:r>
      <w:r w:rsidRPr="00B80EF4">
        <w:rPr>
          <w:i/>
        </w:rPr>
        <w:t>Observa con aprecio</w:t>
      </w:r>
      <w:r w:rsidRPr="00B80EF4">
        <w:t xml:space="preserve"> la cooperación brindada hasta la fecha a la Relatora Especial por distintos actores y exhorta a los Estados a que:</w:t>
      </w:r>
    </w:p>
    <w:p w:rsidR="00B80EF4" w:rsidRPr="00B80EF4" w:rsidRDefault="00B80EF4" w:rsidP="00B80EF4">
      <w:pPr>
        <w:pStyle w:val="SingleTxtG"/>
      </w:pPr>
      <w:r w:rsidRPr="00B80EF4">
        <w:tab/>
        <w:t>a)</w:t>
      </w:r>
      <w:r w:rsidRPr="00B80EF4">
        <w:tab/>
        <w:t>Cooperen plenamente con la Relatora Especial en el cumplimiento de su mandato y respondan favorablemente a sus solicitudes de información y de visita;</w:t>
      </w:r>
    </w:p>
    <w:p w:rsidR="00B80EF4" w:rsidRPr="00B80EF4" w:rsidRDefault="00B80EF4" w:rsidP="00B80EF4">
      <w:pPr>
        <w:pStyle w:val="SingleTxtG"/>
      </w:pPr>
      <w:r w:rsidRPr="00B80EF4">
        <w:tab/>
        <w:t>b)</w:t>
      </w:r>
      <w:r w:rsidRPr="00B80EF4">
        <w:tab/>
        <w:t>Entablen un diálogo constructivo con la Relatora Especial sobre el seguimiento y la puesta en práctica de sus recomendaciones;</w:t>
      </w:r>
    </w:p>
    <w:p w:rsidR="00B80EF4" w:rsidRPr="00B80EF4" w:rsidRDefault="00B80EF4" w:rsidP="00B80EF4">
      <w:pPr>
        <w:pStyle w:val="SingleTxtG"/>
      </w:pPr>
      <w:r w:rsidRPr="00B80EF4">
        <w:tab/>
        <w:t>6.</w:t>
      </w:r>
      <w:r w:rsidRPr="00B80EF4">
        <w:tab/>
      </w:r>
      <w:r w:rsidRPr="00B80EF4">
        <w:rPr>
          <w:i/>
        </w:rPr>
        <w:t>Solicita</w:t>
      </w:r>
      <w:r w:rsidRPr="00B80EF4">
        <w:t xml:space="preserve"> al Secretario General y al Alto Comisionado de las Naciones Unidas para los Derechos Humanos que sigan proporcionando todos los recursos necesarios para el desempeño eficaz del mandato de la Relatora Especial;</w:t>
      </w:r>
    </w:p>
    <w:p w:rsidR="00B80EF4" w:rsidRPr="00B80EF4" w:rsidRDefault="00B80EF4" w:rsidP="00B80EF4">
      <w:pPr>
        <w:pStyle w:val="SingleTxtG"/>
      </w:pPr>
      <w:r w:rsidRPr="00B80EF4">
        <w:tab/>
        <w:t>7.</w:t>
      </w:r>
      <w:r w:rsidRPr="00B80EF4">
        <w:tab/>
      </w:r>
      <w:r w:rsidRPr="00B80EF4">
        <w:rPr>
          <w:i/>
        </w:rPr>
        <w:t>Solicita</w:t>
      </w:r>
      <w:r w:rsidRPr="00B80EF4">
        <w:t xml:space="preserve"> a la Relatora Especial que presente cada año un informe sobre el cumplimiento del mandato al Consejo de Derechos Humanos y a la Asamblea General, de conformidad con el programa de trabajo anual de estos;</w:t>
      </w:r>
    </w:p>
    <w:p w:rsidR="00B80EF4" w:rsidRPr="00B80EF4" w:rsidRDefault="00B80EF4" w:rsidP="00B80EF4">
      <w:pPr>
        <w:pStyle w:val="SingleTxtG"/>
      </w:pPr>
      <w:r w:rsidRPr="00B80EF4">
        <w:tab/>
        <w:t>8.</w:t>
      </w:r>
      <w:r w:rsidRPr="00B80EF4">
        <w:tab/>
      </w:r>
      <w:r w:rsidRPr="00B80EF4">
        <w:rPr>
          <w:i/>
        </w:rPr>
        <w:t>Decide</w:t>
      </w:r>
      <w:r w:rsidRPr="00B80EF4">
        <w:t xml:space="preserve"> seguir examinando la cuestión en relación con el mismo tema de la agenda.</w:t>
      </w:r>
    </w:p>
    <w:p w:rsidR="00B80EF4" w:rsidRPr="00B80EF4" w:rsidRDefault="00B80EF4" w:rsidP="00B80EF4">
      <w:pPr>
        <w:pStyle w:val="SingleTxtG"/>
        <w:jc w:val="right"/>
      </w:pPr>
      <w:r w:rsidRPr="00B80EF4">
        <w:tab/>
      </w:r>
      <w:r w:rsidRPr="00B80EF4">
        <w:rPr>
          <w:i/>
        </w:rPr>
        <w:t>56</w:t>
      </w:r>
      <w:r>
        <w:rPr>
          <w:i/>
        </w:rPr>
        <w:t>ª sesión</w:t>
      </w:r>
      <w:r>
        <w:rPr>
          <w:i/>
        </w:rPr>
        <w:br/>
      </w:r>
      <w:r w:rsidRPr="00B80EF4">
        <w:rPr>
          <w:i/>
        </w:rPr>
        <w:t>23 de marzo de 2017</w:t>
      </w:r>
      <w:r w:rsidRPr="00B80EF4">
        <w:t xml:space="preserve"> </w:t>
      </w:r>
    </w:p>
    <w:p w:rsidR="00B80EF4" w:rsidRPr="00B80EF4" w:rsidRDefault="00B80EF4" w:rsidP="00B80EF4">
      <w:pPr>
        <w:pStyle w:val="SingleTxtG"/>
      </w:pPr>
      <w:r w:rsidRPr="00B80EF4">
        <w:t>[Aprobada sin votación.]</w:t>
      </w:r>
      <w:r w:rsidRPr="00B80EF4">
        <w:tab/>
      </w:r>
    </w:p>
    <w:p w:rsidR="00B80EF4" w:rsidRPr="00B80EF4" w:rsidRDefault="00B80EF4" w:rsidP="00B80EF4">
      <w:pPr>
        <w:pStyle w:val="SingleTxtG"/>
      </w:pPr>
    </w:p>
    <w:sectPr w:rsidR="00B80EF4" w:rsidRPr="00B80EF4" w:rsidSect="00B80E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7A" w:rsidRPr="00A312BC" w:rsidRDefault="00727D7A" w:rsidP="00A312BC">
      <w:pPr>
        <w:pStyle w:val="Piedepgina"/>
      </w:pPr>
    </w:p>
  </w:endnote>
  <w:endnote w:type="continuationSeparator" w:id="0">
    <w:p w:rsidR="00727D7A" w:rsidRPr="00A312BC" w:rsidRDefault="00727D7A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F4" w:rsidRPr="00B80EF4" w:rsidRDefault="00B80EF4" w:rsidP="00B80EF4">
    <w:pPr>
      <w:pStyle w:val="Piedepgina"/>
      <w:tabs>
        <w:tab w:val="right" w:pos="9638"/>
      </w:tabs>
    </w:pPr>
    <w:r w:rsidRPr="00B80EF4">
      <w:rPr>
        <w:b/>
        <w:sz w:val="18"/>
      </w:rPr>
      <w:fldChar w:fldCharType="begin"/>
    </w:r>
    <w:r w:rsidRPr="00B80EF4">
      <w:rPr>
        <w:b/>
        <w:sz w:val="18"/>
      </w:rPr>
      <w:instrText xml:space="preserve"> PAGE  \* MERGEFORMAT </w:instrText>
    </w:r>
    <w:r w:rsidRPr="00B80EF4">
      <w:rPr>
        <w:b/>
        <w:sz w:val="18"/>
      </w:rPr>
      <w:fldChar w:fldCharType="separate"/>
    </w:r>
    <w:r w:rsidR="0047696D">
      <w:rPr>
        <w:b/>
        <w:noProof/>
        <w:sz w:val="18"/>
      </w:rPr>
      <w:t>2</w:t>
    </w:r>
    <w:r w:rsidRPr="00B80EF4">
      <w:rPr>
        <w:b/>
        <w:sz w:val="18"/>
      </w:rPr>
      <w:fldChar w:fldCharType="end"/>
    </w:r>
    <w:r>
      <w:rPr>
        <w:b/>
        <w:sz w:val="18"/>
      </w:rPr>
      <w:tab/>
    </w:r>
    <w:r>
      <w:t>GE.17-05885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F4" w:rsidRPr="00B80EF4" w:rsidRDefault="00B80EF4" w:rsidP="00B80EF4">
    <w:pPr>
      <w:pStyle w:val="Piedepgina"/>
      <w:tabs>
        <w:tab w:val="right" w:pos="9638"/>
      </w:tabs>
      <w:rPr>
        <w:b/>
        <w:sz w:val="18"/>
      </w:rPr>
    </w:pPr>
    <w:r>
      <w:t>GE.17-05885</w:t>
    </w:r>
    <w:r>
      <w:tab/>
    </w:r>
    <w:r w:rsidRPr="00B80EF4">
      <w:rPr>
        <w:b/>
        <w:sz w:val="18"/>
      </w:rPr>
      <w:fldChar w:fldCharType="begin"/>
    </w:r>
    <w:r w:rsidRPr="00B80EF4">
      <w:rPr>
        <w:b/>
        <w:sz w:val="18"/>
      </w:rPr>
      <w:instrText xml:space="preserve"> PAGE  \* MERGEFORMAT </w:instrText>
    </w:r>
    <w:r w:rsidRPr="00B80EF4">
      <w:rPr>
        <w:b/>
        <w:sz w:val="18"/>
      </w:rPr>
      <w:fldChar w:fldCharType="separate"/>
    </w:r>
    <w:r w:rsidR="00135C69">
      <w:rPr>
        <w:b/>
        <w:noProof/>
        <w:sz w:val="18"/>
      </w:rPr>
      <w:t>2</w:t>
    </w:r>
    <w:r w:rsidRPr="00B80E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80EF4" w:rsidRDefault="00B80EF4" w:rsidP="00B80EF4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60288" behindDoc="0" locked="1" layoutInCell="1" allowOverlap="1" wp14:anchorId="62575643" wp14:editId="4B9526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17-05885  (S)    130417    130417</w:t>
    </w:r>
    <w:r>
      <w:rPr>
        <w:sz w:val="20"/>
      </w:rPr>
      <w:br/>
    </w:r>
    <w:r w:rsidRPr="00B80EF4">
      <w:rPr>
        <w:rFonts w:ascii="C39T30Lfz" w:hAnsi="C39T30Lfz"/>
        <w:sz w:val="56"/>
      </w:rPr>
      <w:t></w:t>
    </w:r>
    <w:r w:rsidRPr="00B80EF4">
      <w:rPr>
        <w:rFonts w:ascii="C39T30Lfz" w:hAnsi="C39T30Lfz"/>
        <w:sz w:val="56"/>
      </w:rPr>
      <w:t></w:t>
    </w:r>
    <w:r w:rsidRPr="00B80EF4">
      <w:rPr>
        <w:rFonts w:ascii="C39T30Lfz" w:hAnsi="C39T30Lfz"/>
        <w:sz w:val="56"/>
      </w:rPr>
      <w:t></w:t>
    </w:r>
    <w:r w:rsidRPr="00B80EF4">
      <w:rPr>
        <w:rFonts w:ascii="C39T30Lfz" w:hAnsi="C39T30Lfz"/>
        <w:sz w:val="56"/>
      </w:rPr>
      <w:t></w:t>
    </w:r>
    <w:r w:rsidRPr="00B80EF4">
      <w:rPr>
        <w:rFonts w:ascii="C39T30Lfz" w:hAnsi="C39T30Lfz"/>
        <w:sz w:val="56"/>
      </w:rPr>
      <w:t></w:t>
    </w:r>
    <w:r w:rsidRPr="00B80EF4">
      <w:rPr>
        <w:rFonts w:ascii="C39T30Lfz" w:hAnsi="C39T30Lfz"/>
        <w:sz w:val="56"/>
      </w:rPr>
      <w:t></w:t>
    </w:r>
    <w:r w:rsidRPr="00B80EF4">
      <w:rPr>
        <w:rFonts w:ascii="C39T30Lfz" w:hAnsi="C39T30Lfz"/>
        <w:sz w:val="56"/>
      </w:rPr>
      <w:t></w:t>
    </w:r>
    <w:r w:rsidRPr="00B80EF4">
      <w:rPr>
        <w:rFonts w:ascii="C39T30Lfz" w:hAnsi="C39T30Lfz"/>
        <w:sz w:val="56"/>
      </w:rPr>
      <w:t></w:t>
    </w:r>
    <w:r w:rsidRPr="00B80EF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://undocs.org/m2/QRCode.ashx?DS=A/HRC/RES/34/9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34/9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7A" w:rsidRPr="001075E9" w:rsidRDefault="00727D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7D7A" w:rsidRDefault="00727D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80EF4" w:rsidRPr="00B7574D" w:rsidRDefault="00B80EF4" w:rsidP="00B80EF4">
      <w:pPr>
        <w:pStyle w:val="Textonotapie"/>
      </w:pPr>
      <w:r w:rsidRPr="00B7574D">
        <w:tab/>
      </w:r>
      <w:r w:rsidRPr="00B80EF4">
        <w:rPr>
          <w:rStyle w:val="Refdenotaalpie"/>
        </w:rPr>
        <w:footnoteRef/>
      </w:r>
      <w:r w:rsidRPr="00B7574D">
        <w:tab/>
        <w:t>Véase la resolución 71/235 de la Asamblea General.</w:t>
      </w:r>
    </w:p>
  </w:footnote>
  <w:footnote w:id="2">
    <w:p w:rsidR="00B80EF4" w:rsidRPr="00B7574D" w:rsidRDefault="00B80EF4" w:rsidP="00B80EF4">
      <w:pPr>
        <w:pStyle w:val="Textonotapie"/>
      </w:pPr>
      <w:r w:rsidRPr="00B7574D">
        <w:tab/>
      </w:r>
      <w:r w:rsidRPr="00B80EF4">
        <w:rPr>
          <w:rStyle w:val="Refdenotaalpie"/>
        </w:rPr>
        <w:footnoteRef/>
      </w:r>
      <w:r w:rsidRPr="00B7574D">
        <w:t xml:space="preserve"> </w:t>
      </w:r>
      <w:r w:rsidRPr="00B7574D">
        <w:tab/>
        <w:t xml:space="preserve">A/HRC/34/51. </w:t>
      </w:r>
    </w:p>
  </w:footnote>
  <w:footnote w:id="3">
    <w:p w:rsidR="00B80EF4" w:rsidRPr="00B7574D" w:rsidRDefault="00B80EF4" w:rsidP="00B80EF4">
      <w:pPr>
        <w:pStyle w:val="Textonotapie"/>
      </w:pPr>
      <w:r w:rsidRPr="00B7574D">
        <w:tab/>
      </w:r>
      <w:r w:rsidRPr="00B80EF4">
        <w:rPr>
          <w:rStyle w:val="Refdenotaalpie"/>
        </w:rPr>
        <w:footnoteRef/>
      </w:r>
      <w:r w:rsidRPr="00B7574D">
        <w:t xml:space="preserve"> </w:t>
      </w:r>
      <w:r w:rsidRPr="00B7574D">
        <w:tab/>
        <w:t>Resolución 71/256 de la Asamblea General, anexo.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F4" w:rsidRPr="00B80EF4" w:rsidRDefault="00B80EF4">
    <w:pPr>
      <w:pStyle w:val="Encabezado"/>
    </w:pPr>
    <w:fldSimple w:instr=" TITLE  \* MERGEFORMAT ">
      <w:r w:rsidR="0047696D">
        <w:t>A/HRC/RES/34/9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F4" w:rsidRPr="00B80EF4" w:rsidRDefault="00B80EF4" w:rsidP="00B80EF4">
    <w:pPr>
      <w:pStyle w:val="Encabezado"/>
      <w:jc w:val="right"/>
    </w:pPr>
    <w:fldSimple w:instr=" TITLE  \* MERGEFORMAT ">
      <w:r w:rsidR="0047696D">
        <w:t>A/HRC/RES/34/9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35C69"/>
    <w:rsid w:val="00180183"/>
    <w:rsid w:val="0018024D"/>
    <w:rsid w:val="0018649F"/>
    <w:rsid w:val="00196389"/>
    <w:rsid w:val="001B3EF6"/>
    <w:rsid w:val="001C7A89"/>
    <w:rsid w:val="002A1038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47696D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27D7A"/>
    <w:rsid w:val="00757357"/>
    <w:rsid w:val="00825F8D"/>
    <w:rsid w:val="00834B71"/>
    <w:rsid w:val="00846A0D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80EF4"/>
    <w:rsid w:val="00BC18B2"/>
    <w:rsid w:val="00BD33EE"/>
    <w:rsid w:val="00BD67DF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009B43"/>
  <w15:docId w15:val="{7F95E5E2-9D3F-43D9-85CB-CB6FCB67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2</Pages>
  <Words>658</Words>
  <Characters>3363</Characters>
  <Application>Microsoft Office Word</Application>
  <DocSecurity>0</DocSecurity>
  <Lines>70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A/HRC/RES/34/9</dc:title>
  <dc:subject/>
  <dc:creator>Javier RODRIGUEZ PEREZ</dc:creator>
  <cp:keywords/>
  <cp:lastModifiedBy>Javier RODRIGUEZ PEREZ</cp:lastModifiedBy>
  <cp:revision>3</cp:revision>
  <cp:lastPrinted>2017-04-13T08:25:00Z</cp:lastPrinted>
  <dcterms:created xsi:type="dcterms:W3CDTF">2017-04-13T08:25:00Z</dcterms:created>
  <dcterms:modified xsi:type="dcterms:W3CDTF">2017-04-13T08:26:00Z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