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1FD0F5D" w14:textId="77777777" w:rsidTr="00E6618E">
        <w:trPr>
          <w:trHeight w:hRule="exact" w:val="851"/>
        </w:trPr>
        <w:tc>
          <w:tcPr>
            <w:tcW w:w="1276" w:type="dxa"/>
            <w:tcBorders>
              <w:bottom w:val="single" w:sz="4" w:space="0" w:color="auto"/>
            </w:tcBorders>
          </w:tcPr>
          <w:p w14:paraId="3A58CE8D" w14:textId="77777777" w:rsidR="00A12E20" w:rsidRPr="00DB58B5" w:rsidRDefault="00A12E20" w:rsidP="00784D79"/>
        </w:tc>
        <w:tc>
          <w:tcPr>
            <w:tcW w:w="2268" w:type="dxa"/>
            <w:tcBorders>
              <w:bottom w:val="single" w:sz="4" w:space="0" w:color="auto"/>
            </w:tcBorders>
            <w:vAlign w:val="bottom"/>
          </w:tcPr>
          <w:p w14:paraId="7BF8C166"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205F84" w14:textId="77777777" w:rsidR="00A12E20" w:rsidRPr="00DB58B5" w:rsidRDefault="00784D79" w:rsidP="00784D79">
            <w:pPr>
              <w:jc w:val="right"/>
            </w:pPr>
            <w:r w:rsidRPr="00784D79">
              <w:rPr>
                <w:sz w:val="40"/>
              </w:rPr>
              <w:t>A</w:t>
            </w:r>
            <w:r>
              <w:t>/HRC/RES/41/18</w:t>
            </w:r>
          </w:p>
        </w:tc>
      </w:tr>
      <w:tr w:rsidR="00A12E20" w:rsidRPr="00DB58B5" w14:paraId="3D5210F1" w14:textId="77777777" w:rsidTr="00E6618E">
        <w:trPr>
          <w:trHeight w:hRule="exact" w:val="2835"/>
        </w:trPr>
        <w:tc>
          <w:tcPr>
            <w:tcW w:w="1276" w:type="dxa"/>
            <w:tcBorders>
              <w:top w:val="single" w:sz="4" w:space="0" w:color="auto"/>
              <w:bottom w:val="single" w:sz="12" w:space="0" w:color="auto"/>
            </w:tcBorders>
          </w:tcPr>
          <w:p w14:paraId="04433669" w14:textId="77777777" w:rsidR="00A12E20" w:rsidRPr="00DB58B5" w:rsidRDefault="00A12E20" w:rsidP="00E6618E">
            <w:pPr>
              <w:spacing w:before="120"/>
              <w:jc w:val="center"/>
            </w:pPr>
            <w:r>
              <w:rPr>
                <w:noProof/>
                <w:lang w:eastAsia="fr-CH"/>
              </w:rPr>
              <w:drawing>
                <wp:inline distT="0" distB="0" distL="0" distR="0" wp14:anchorId="272A2CD2" wp14:editId="18064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8B0288"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6CECF192" w14:textId="77777777" w:rsidR="00A12E20" w:rsidRDefault="00784D79" w:rsidP="00E6618E">
            <w:pPr>
              <w:spacing w:before="240"/>
            </w:pPr>
            <w:proofErr w:type="spellStart"/>
            <w:r>
              <w:t>Distr</w:t>
            </w:r>
            <w:proofErr w:type="spellEnd"/>
            <w:r>
              <w:t>. générale</w:t>
            </w:r>
          </w:p>
          <w:p w14:paraId="58FC69E5" w14:textId="77777777" w:rsidR="00784D79" w:rsidRDefault="00784D79" w:rsidP="00784D79">
            <w:pPr>
              <w:spacing w:line="240" w:lineRule="exact"/>
            </w:pPr>
            <w:r>
              <w:t>19 juillet 2019</w:t>
            </w:r>
          </w:p>
          <w:p w14:paraId="667759C5" w14:textId="77777777" w:rsidR="00784D79" w:rsidRDefault="00784D79" w:rsidP="00784D79">
            <w:pPr>
              <w:spacing w:line="240" w:lineRule="exact"/>
            </w:pPr>
            <w:r>
              <w:t>Français</w:t>
            </w:r>
          </w:p>
          <w:p w14:paraId="0BBBC3C5" w14:textId="77777777" w:rsidR="00784D79" w:rsidRPr="00DB58B5" w:rsidRDefault="00784D79" w:rsidP="00784D79">
            <w:pPr>
              <w:spacing w:line="240" w:lineRule="exact"/>
            </w:pPr>
            <w:r>
              <w:t>Original : anglais</w:t>
            </w:r>
          </w:p>
        </w:tc>
      </w:tr>
    </w:tbl>
    <w:p w14:paraId="1060C61F" w14:textId="77777777" w:rsidR="00D45432" w:rsidRDefault="00D45432" w:rsidP="00D45432">
      <w:pPr>
        <w:spacing w:before="120"/>
        <w:rPr>
          <w:b/>
          <w:sz w:val="24"/>
          <w:szCs w:val="24"/>
        </w:rPr>
      </w:pPr>
      <w:r w:rsidRPr="00BA184E">
        <w:rPr>
          <w:b/>
          <w:sz w:val="24"/>
          <w:szCs w:val="24"/>
        </w:rPr>
        <w:t>Conseil des droits de l’homme</w:t>
      </w:r>
    </w:p>
    <w:p w14:paraId="6B9D3B32" w14:textId="77777777" w:rsidR="00C14CF3" w:rsidRDefault="00C14CF3" w:rsidP="00C14CF3">
      <w:pPr>
        <w:rPr>
          <w:b/>
        </w:rPr>
      </w:pPr>
      <w:r>
        <w:rPr>
          <w:b/>
        </w:rPr>
        <w:t>Quarante et unième session</w:t>
      </w:r>
    </w:p>
    <w:p w14:paraId="09F4E640" w14:textId="77777777" w:rsidR="00C14CF3" w:rsidRDefault="00C14CF3" w:rsidP="00C14CF3">
      <w:r>
        <w:t>24 juin-12 juillet 2019</w:t>
      </w:r>
    </w:p>
    <w:p w14:paraId="1331ED1C" w14:textId="77777777" w:rsidR="00C14CF3" w:rsidRDefault="00C14CF3" w:rsidP="00C14CF3">
      <w:r>
        <w:t>Point 3 de l’ordre du jour</w:t>
      </w:r>
    </w:p>
    <w:p w14:paraId="7D620610" w14:textId="77777777" w:rsidR="00C14CF3" w:rsidRDefault="00C14CF3" w:rsidP="00C14CF3">
      <w:pPr>
        <w:pStyle w:val="HChG"/>
      </w:pPr>
      <w:r>
        <w:rPr>
          <w:lang w:val="fr-FR"/>
        </w:rPr>
        <w:tab/>
      </w:r>
      <w:r>
        <w:rPr>
          <w:lang w:val="fr-FR"/>
        </w:rPr>
        <w:tab/>
      </w:r>
      <w:r w:rsidRPr="00F365CD">
        <w:t>Résolution adoptée par le Conseil des droits de l</w:t>
      </w:r>
      <w:r>
        <w:t>’</w:t>
      </w:r>
      <w:r w:rsidRPr="00F365CD">
        <w:t xml:space="preserve">homme </w:t>
      </w:r>
      <w:r w:rsidRPr="00F365CD">
        <w:br/>
        <w:t>le 12 juillet 2019</w:t>
      </w:r>
    </w:p>
    <w:p w14:paraId="348F8B2D" w14:textId="77777777" w:rsidR="00C14CF3" w:rsidRDefault="00C14CF3" w:rsidP="00C14CF3">
      <w:pPr>
        <w:pStyle w:val="H1G"/>
        <w:rPr>
          <w:rFonts w:eastAsiaTheme="minorEastAsia"/>
          <w:szCs w:val="24"/>
          <w:lang w:eastAsia="fr-CH"/>
        </w:rPr>
      </w:pPr>
      <w:r>
        <w:rPr>
          <w:spacing w:val="-4"/>
          <w:lang w:val="fr-FR"/>
        </w:rPr>
        <w:tab/>
      </w:r>
      <w:r>
        <w:rPr>
          <w:spacing w:val="-4"/>
          <w:lang w:val="fr-FR"/>
        </w:rPr>
        <w:t>41/18</w:t>
      </w:r>
      <w:r w:rsidR="00CA390F">
        <w:rPr>
          <w:spacing w:val="-4"/>
          <w:lang w:val="fr-FR"/>
        </w:rPr>
        <w:t>.</w:t>
      </w:r>
      <w:r>
        <w:rPr>
          <w:lang w:val="fr-FR"/>
        </w:rPr>
        <w:tab/>
        <w:t xml:space="preserve">Mandat de l’Expert indépendant sur la protection contre la violence </w:t>
      </w:r>
      <w:r>
        <w:rPr>
          <w:lang w:val="fr-FR"/>
        </w:rPr>
        <w:br/>
      </w:r>
      <w:r>
        <w:rPr>
          <w:lang w:val="fr-FR"/>
        </w:rPr>
        <w:t xml:space="preserve">et la discrimination fondées sur l’orientation sexuelle et l’identité </w:t>
      </w:r>
      <w:r w:rsidR="003D2D7D">
        <w:rPr>
          <w:lang w:val="fr-FR"/>
        </w:rPr>
        <w:br/>
      </w:r>
      <w:r>
        <w:rPr>
          <w:lang w:val="fr-FR"/>
        </w:rPr>
        <w:t>de genre</w:t>
      </w:r>
    </w:p>
    <w:p w14:paraId="01DAFE77" w14:textId="77777777" w:rsidR="00C14CF3" w:rsidRDefault="00C14CF3" w:rsidP="00803805">
      <w:pPr>
        <w:pStyle w:val="SingleTxtG"/>
        <w:spacing w:after="100"/>
        <w:ind w:firstLine="567"/>
      </w:pPr>
      <w:bookmarkStart w:id="0" w:name="_GoBack"/>
      <w:r>
        <w:rPr>
          <w:i/>
          <w:iCs/>
          <w:lang w:val="fr-FR"/>
        </w:rPr>
        <w:t>Le Conseil des droits de l’homme</w:t>
      </w:r>
      <w:r w:rsidRPr="00B640D9">
        <w:rPr>
          <w:iCs/>
          <w:lang w:val="fr-FR"/>
        </w:rPr>
        <w:t>,</w:t>
      </w:r>
    </w:p>
    <w:p w14:paraId="4960C8C9" w14:textId="77777777" w:rsidR="00C14CF3" w:rsidRDefault="00C14CF3" w:rsidP="00803805">
      <w:pPr>
        <w:pStyle w:val="SingleTxtG"/>
        <w:spacing w:after="100"/>
        <w:ind w:firstLine="567"/>
      </w:pPr>
      <w:r>
        <w:rPr>
          <w:i/>
          <w:iCs/>
          <w:lang w:val="fr-FR"/>
        </w:rPr>
        <w:t xml:space="preserve">Réaffirmant </w:t>
      </w:r>
      <w:r>
        <w:rPr>
          <w:lang w:val="fr-FR"/>
        </w:rPr>
        <w:t>la Déclaration universelle des droits de l’homme,</w:t>
      </w:r>
    </w:p>
    <w:p w14:paraId="2103B1A6" w14:textId="77777777" w:rsidR="00C14CF3" w:rsidRDefault="00C14CF3" w:rsidP="00803805">
      <w:pPr>
        <w:pStyle w:val="SingleTxtG"/>
        <w:spacing w:after="100"/>
        <w:ind w:firstLine="567"/>
        <w:rPr>
          <w:rFonts w:eastAsia="Times"/>
        </w:rPr>
      </w:pPr>
      <w:r>
        <w:rPr>
          <w:i/>
          <w:iCs/>
          <w:lang w:val="fr-FR"/>
        </w:rPr>
        <w:t>Rappelant</w:t>
      </w:r>
      <w:r>
        <w:rPr>
          <w:lang w:val="fr-FR"/>
        </w:rPr>
        <w:t xml:space="preserve"> la résolution 60/251 de l’Assemblée générale, en date du 15 mars 2006, dans laquelle l’Assemblée l’a chargé de promouvoir le respect universel et la défense de tous les droits de l’homme et de toutes les libertés fondamentales pour tous, sans distinction aucune et de façon juste et équitable,</w:t>
      </w:r>
    </w:p>
    <w:p w14:paraId="25C2E3A1" w14:textId="77777777" w:rsidR="00C14CF3" w:rsidRDefault="00C14CF3" w:rsidP="00803805">
      <w:pPr>
        <w:pStyle w:val="SingleTxtG"/>
        <w:spacing w:after="100"/>
        <w:ind w:firstLine="567"/>
        <w:rPr>
          <w:rFonts w:eastAsia="Times"/>
        </w:rPr>
      </w:pPr>
      <w:r>
        <w:rPr>
          <w:i/>
          <w:iCs/>
          <w:lang w:val="fr-FR"/>
        </w:rPr>
        <w:t>Rappelant également</w:t>
      </w:r>
      <w:r>
        <w:rPr>
          <w:lang w:val="fr-FR"/>
        </w:rPr>
        <w:t xml:space="preserve"> ses résolutions 17/19 du 17 juin 2011, 27/32 du 26 septembre 2014 et 32/2 du 30 juin 2016,</w:t>
      </w:r>
    </w:p>
    <w:p w14:paraId="40A3656A" w14:textId="77777777" w:rsidR="00C14CF3" w:rsidRDefault="00C14CF3" w:rsidP="00803805">
      <w:pPr>
        <w:pStyle w:val="SingleTxtG"/>
        <w:spacing w:after="100"/>
        <w:ind w:firstLine="567"/>
        <w:rPr>
          <w:lang w:val="fr-FR"/>
        </w:rPr>
      </w:pPr>
      <w:r>
        <w:rPr>
          <w:i/>
          <w:iCs/>
          <w:lang w:val="fr-FR"/>
        </w:rPr>
        <w:t>Rappelant en outre</w:t>
      </w:r>
      <w:r>
        <w:rPr>
          <w:lang w:val="fr-FR"/>
        </w:rPr>
        <w:t xml:space="preserve"> ses résolutions 5/1 et 5/2, en date du 18 juin 2007,</w:t>
      </w:r>
    </w:p>
    <w:p w14:paraId="577669C0" w14:textId="77777777" w:rsidR="00C14CF3" w:rsidRDefault="00C14CF3" w:rsidP="00803805">
      <w:pPr>
        <w:pStyle w:val="SingleTxtG"/>
        <w:spacing w:after="100"/>
        <w:ind w:firstLine="567"/>
        <w:rPr>
          <w:lang w:val="fr-FR"/>
        </w:rPr>
      </w:pPr>
      <w:r w:rsidRPr="0045431F">
        <w:rPr>
          <w:i/>
        </w:rPr>
        <w:t>Rappelant</w:t>
      </w:r>
      <w:r w:rsidRPr="0045431F">
        <w:t xml:space="preserve"> qu</w:t>
      </w:r>
      <w:r>
        <w:t>’</w:t>
      </w:r>
      <w:r w:rsidRPr="0045431F">
        <w:t>il est affirmé dans la Déclaration et le Programme d</w:t>
      </w:r>
      <w:r>
        <w:t>’</w:t>
      </w:r>
      <w:r w:rsidRPr="0045431F">
        <w:t>action de Vienne que tous les droits de l</w:t>
      </w:r>
      <w:r>
        <w:t>’</w:t>
      </w:r>
      <w:r w:rsidRPr="0045431F">
        <w:t>homme sont universels, indissociables, interdépendants et intimement liés, que la communauté internationale doit traiter les droits de l</w:t>
      </w:r>
      <w:r>
        <w:t>’</w:t>
      </w:r>
      <w:r w:rsidRPr="0045431F">
        <w:t>homme globalement, de manière équitable et équilibrée, sur un pied d</w:t>
      </w:r>
      <w:r>
        <w:t>’</w:t>
      </w:r>
      <w:r w:rsidRPr="0045431F">
        <w:t>égalité et en leur accordant une égale valeur, et que s</w:t>
      </w:r>
      <w:r>
        <w:t>’</w:t>
      </w:r>
      <w:r w:rsidRPr="0045431F">
        <w:t>il convient de ne pas perdre de vue l</w:t>
      </w:r>
      <w:r>
        <w:t>’</w:t>
      </w:r>
      <w:r w:rsidRPr="0045431F">
        <w:t>importance des particularismes nationaux et régionaux et la diversité historique, culturelle et religieuse, il est du devoir des États, quels que soient leurs systèmes politiques, économiques et culturels, de promouvoir et de protéger tous les droits de l</w:t>
      </w:r>
      <w:r>
        <w:t>’</w:t>
      </w:r>
      <w:r w:rsidRPr="0045431F">
        <w:t>homme et toutes les libertés fondamentales,</w:t>
      </w:r>
    </w:p>
    <w:p w14:paraId="74C3C735" w14:textId="77777777" w:rsidR="00C14CF3" w:rsidRDefault="00C14CF3" w:rsidP="00803805">
      <w:pPr>
        <w:pStyle w:val="SingleTxtG"/>
        <w:spacing w:after="100"/>
        <w:ind w:firstLine="567"/>
        <w:rPr>
          <w:rFonts w:eastAsia="Times"/>
        </w:rPr>
      </w:pPr>
      <w:r>
        <w:rPr>
          <w:lang w:val="fr-FR"/>
        </w:rPr>
        <w:t>1.</w:t>
      </w:r>
      <w:r>
        <w:rPr>
          <w:lang w:val="fr-FR"/>
        </w:rPr>
        <w:tab/>
      </w:r>
      <w:r>
        <w:rPr>
          <w:i/>
          <w:iCs/>
          <w:lang w:val="fr-FR"/>
        </w:rPr>
        <w:t xml:space="preserve">Se félicite </w:t>
      </w:r>
      <w:r>
        <w:rPr>
          <w:lang w:val="fr-FR"/>
        </w:rPr>
        <w:t>des travaux entrepris par l’Expert indépendant sur la protection contre la violence et la discrimination fondées sur l’orientation sexuelle et l’identité de genre dans le cadre de l’exécution de son mandat, des larges consultations transparentes et sans exclusive qu’il a menées avec les acteurs concernés, de ses rapports thématiques et des visites qu’il a effectuées dans des pays de différentes régions</w:t>
      </w:r>
      <w:r w:rsidR="008807E2">
        <w:rPr>
          <w:rStyle w:val="Appelnotedebasdep"/>
        </w:rPr>
        <w:footnoteReference w:id="2"/>
      </w:r>
      <w:r>
        <w:rPr>
          <w:lang w:val="fr-FR"/>
        </w:rPr>
        <w:t> ;</w:t>
      </w:r>
    </w:p>
    <w:p w14:paraId="15BE4201" w14:textId="77777777" w:rsidR="00C14CF3" w:rsidRDefault="00C14CF3" w:rsidP="00803805">
      <w:pPr>
        <w:pStyle w:val="SingleTxtG"/>
        <w:spacing w:after="100"/>
        <w:ind w:firstLine="567"/>
        <w:rPr>
          <w:rFonts w:eastAsia="Times"/>
        </w:rPr>
      </w:pPr>
      <w:r>
        <w:rPr>
          <w:lang w:val="fr-FR"/>
        </w:rPr>
        <w:t>2.</w:t>
      </w:r>
      <w:r>
        <w:rPr>
          <w:lang w:val="fr-FR"/>
        </w:rPr>
        <w:tab/>
      </w:r>
      <w:r>
        <w:rPr>
          <w:i/>
          <w:iCs/>
          <w:lang w:val="fr-FR"/>
        </w:rPr>
        <w:t xml:space="preserve">Décide </w:t>
      </w:r>
      <w:r>
        <w:rPr>
          <w:lang w:val="fr-FR"/>
        </w:rPr>
        <w:t xml:space="preserve">de proroger pour une période de trois ans le mandat de l’Expert indépendant sur la protection contre la violence et la discrimination fondées sur </w:t>
      </w:r>
      <w:bookmarkEnd w:id="0"/>
      <w:r>
        <w:rPr>
          <w:lang w:val="fr-FR"/>
        </w:rPr>
        <w:t>l’orientation sexuelle et l’identité de genre afin de permettre à son titulaire de continuer à travailler conformément au mandat établi par la résolution 32/2 ;</w:t>
      </w:r>
    </w:p>
    <w:p w14:paraId="3EF6DCAE" w14:textId="77777777" w:rsidR="00C14CF3" w:rsidRDefault="00C14CF3" w:rsidP="00C14CF3">
      <w:pPr>
        <w:pStyle w:val="SingleTxtG"/>
        <w:ind w:firstLine="567"/>
        <w:rPr>
          <w:rFonts w:eastAsia="Times"/>
        </w:rPr>
      </w:pPr>
      <w:r>
        <w:rPr>
          <w:lang w:val="fr-FR"/>
        </w:rPr>
        <w:lastRenderedPageBreak/>
        <w:t>3.</w:t>
      </w:r>
      <w:r>
        <w:rPr>
          <w:lang w:val="fr-FR"/>
        </w:rPr>
        <w:tab/>
      </w:r>
      <w:r>
        <w:rPr>
          <w:i/>
          <w:iCs/>
          <w:lang w:val="fr-FR"/>
        </w:rPr>
        <w:t>Prie</w:t>
      </w:r>
      <w:r>
        <w:rPr>
          <w:lang w:val="fr-FR"/>
        </w:rPr>
        <w:t xml:space="preserve"> le Secrétaire général et la </w:t>
      </w:r>
      <w:proofErr w:type="spellStart"/>
      <w:r>
        <w:rPr>
          <w:lang w:val="fr-FR"/>
        </w:rPr>
        <w:t>Haute-Commissaire</w:t>
      </w:r>
      <w:proofErr w:type="spellEnd"/>
      <w:r>
        <w:rPr>
          <w:lang w:val="fr-FR"/>
        </w:rPr>
        <w:t xml:space="preserve"> des Nations Unies aux droits de l’homme de continuer de fournir à l’Expert indépendant toutes les ressources humaines, techniques et financières dont il a besoin pour continuer de s’acquitter efficacement de son mandat ;</w:t>
      </w:r>
    </w:p>
    <w:p w14:paraId="1F7CE185" w14:textId="77777777" w:rsidR="003D2D7D" w:rsidRDefault="00C14CF3" w:rsidP="003D2D7D">
      <w:pPr>
        <w:pStyle w:val="SingleTxtG"/>
        <w:ind w:firstLine="567"/>
        <w:rPr>
          <w:rFonts w:eastAsia="Times"/>
        </w:rPr>
      </w:pPr>
      <w:r>
        <w:rPr>
          <w:lang w:val="fr-FR"/>
        </w:rPr>
        <w:t>4.</w:t>
      </w:r>
      <w:r>
        <w:rPr>
          <w:lang w:val="fr-FR"/>
        </w:rPr>
        <w:tab/>
      </w:r>
      <w:r>
        <w:rPr>
          <w:i/>
          <w:iCs/>
          <w:lang w:val="fr-FR"/>
        </w:rPr>
        <w:t>Invite</w:t>
      </w:r>
      <w:r>
        <w:rPr>
          <w:lang w:val="fr-FR"/>
        </w:rPr>
        <w:t xml:space="preserve"> tous les gouvernements à coopérer avec l’Expert indépendant et à l’aider dans sa tâche en lui fournissant, à sa demande, toutes informations utiles et en accueillant favorablement ses demandes de visite dans leur pays afin qu’il puisse mieux s’acquitter de son mandat ;</w:t>
      </w:r>
    </w:p>
    <w:p w14:paraId="14E46AC9" w14:textId="77777777" w:rsidR="00C14CF3" w:rsidRPr="003D2D7D" w:rsidRDefault="00C14CF3" w:rsidP="003D2D7D">
      <w:pPr>
        <w:pStyle w:val="SingleTxtG"/>
        <w:ind w:firstLine="567"/>
        <w:rPr>
          <w:rFonts w:eastAsia="Times"/>
        </w:rPr>
      </w:pPr>
      <w:r>
        <w:rPr>
          <w:lang w:val="fr-FR"/>
        </w:rPr>
        <w:t>5.</w:t>
      </w:r>
      <w:r>
        <w:rPr>
          <w:lang w:val="fr-FR"/>
        </w:rPr>
        <w:tab/>
      </w:r>
      <w:r>
        <w:rPr>
          <w:i/>
          <w:iCs/>
          <w:lang w:val="fr-FR"/>
        </w:rPr>
        <w:t>Prie</w:t>
      </w:r>
      <w:r>
        <w:rPr>
          <w:lang w:val="fr-FR"/>
        </w:rPr>
        <w:t xml:space="preserve"> l’Expert indépendant de continuer de faire rapport sur l’exécution de son mandat chaque année au Conseil des droits de l’homme et à l’Assemblée générale conformément à leurs programmes de travail respectifs.</w:t>
      </w:r>
    </w:p>
    <w:p w14:paraId="19E14EBA" w14:textId="77777777" w:rsidR="00C14CF3" w:rsidRPr="00F365CD" w:rsidRDefault="00C14CF3" w:rsidP="00C14CF3">
      <w:pPr>
        <w:pStyle w:val="SingleTxtG"/>
        <w:jc w:val="right"/>
        <w:rPr>
          <w:i/>
          <w:iCs/>
        </w:rPr>
      </w:pPr>
      <w:r w:rsidRPr="00F365CD">
        <w:rPr>
          <w:i/>
          <w:iCs/>
        </w:rPr>
        <w:t>40</w:t>
      </w:r>
      <w:r w:rsidRPr="003D2D7D">
        <w:rPr>
          <w:i/>
          <w:iCs/>
          <w:vertAlign w:val="superscript"/>
        </w:rPr>
        <w:t>e</w:t>
      </w:r>
      <w:r w:rsidRPr="00F365CD">
        <w:rPr>
          <w:i/>
          <w:iCs/>
        </w:rPr>
        <w:t xml:space="preserve"> séance</w:t>
      </w:r>
      <w:r w:rsidRPr="00F365CD">
        <w:rPr>
          <w:i/>
          <w:iCs/>
        </w:rPr>
        <w:br/>
        <w:t xml:space="preserve">12 </w:t>
      </w:r>
      <w:r w:rsidRPr="00F365CD">
        <w:rPr>
          <w:i/>
          <w:iCs/>
          <w:lang w:val="fr-FR"/>
        </w:rPr>
        <w:t>juillet</w:t>
      </w:r>
      <w:r w:rsidRPr="00F365CD">
        <w:rPr>
          <w:i/>
          <w:iCs/>
        </w:rPr>
        <w:t xml:space="preserve"> 2019</w:t>
      </w:r>
    </w:p>
    <w:p w14:paraId="739607C4" w14:textId="77777777" w:rsidR="00C14CF3" w:rsidRPr="00F365CD" w:rsidRDefault="00C14CF3" w:rsidP="003D2D7D">
      <w:pPr>
        <w:pStyle w:val="SingleTxtG"/>
        <w:keepNext/>
        <w:rPr>
          <w:lang w:val="fr-FR"/>
        </w:rPr>
      </w:pPr>
      <w:r w:rsidRPr="00F365CD">
        <w:rPr>
          <w:lang w:val="fr-FR"/>
        </w:rPr>
        <w:t>[Adoptée par 27 voix contre 12, avec 7 abstentions, à l</w:t>
      </w:r>
      <w:r>
        <w:rPr>
          <w:lang w:val="fr-FR"/>
        </w:rPr>
        <w:t>’</w:t>
      </w:r>
      <w:r w:rsidRPr="00F365CD">
        <w:rPr>
          <w:lang w:val="fr-FR"/>
        </w:rPr>
        <w:t>issue d</w:t>
      </w:r>
      <w:r>
        <w:rPr>
          <w:lang w:val="fr-FR"/>
        </w:rPr>
        <w:t>’</w:t>
      </w:r>
      <w:r w:rsidRPr="00F365CD">
        <w:rPr>
          <w:lang w:val="fr-FR"/>
        </w:rPr>
        <w:t>u</w:t>
      </w:r>
      <w:r w:rsidRPr="00090CD3">
        <w:rPr>
          <w:lang w:val="fr-FR"/>
        </w:rPr>
        <w:t>n vote enregistré</w:t>
      </w:r>
      <w:r w:rsidRPr="00F365CD">
        <w:rPr>
          <w:lang w:val="fr-FR"/>
        </w:rPr>
        <w:t xml:space="preserve">. </w:t>
      </w:r>
      <w:r w:rsidRPr="00090CD3">
        <w:rPr>
          <w:lang w:val="fr-FR"/>
        </w:rPr>
        <w:t>Les voix se sont réparties comme suit </w:t>
      </w:r>
      <w:r w:rsidRPr="00F365CD">
        <w:rPr>
          <w:lang w:val="fr-FR"/>
        </w:rPr>
        <w:t xml:space="preserve">: </w:t>
      </w:r>
    </w:p>
    <w:p w14:paraId="5DB4CE02" w14:textId="77777777" w:rsidR="00C14CF3" w:rsidRPr="00F365CD" w:rsidRDefault="00C14CF3" w:rsidP="00C14CF3">
      <w:pPr>
        <w:pStyle w:val="SingleTxtG"/>
        <w:spacing w:after="0"/>
        <w:ind w:left="1701"/>
        <w:rPr>
          <w:lang w:val="fr-FR"/>
        </w:rPr>
      </w:pPr>
      <w:r w:rsidRPr="00F365CD">
        <w:rPr>
          <w:i/>
          <w:iCs/>
          <w:lang w:val="fr-FR"/>
        </w:rPr>
        <w:t>Ont vot</w:t>
      </w:r>
      <w:r w:rsidRPr="00090CD3">
        <w:rPr>
          <w:i/>
          <w:iCs/>
          <w:lang w:val="fr-FR"/>
        </w:rPr>
        <w:t>é</w:t>
      </w:r>
      <w:r w:rsidRPr="00F365CD">
        <w:rPr>
          <w:i/>
          <w:iCs/>
          <w:lang w:val="fr-FR"/>
        </w:rPr>
        <w:t xml:space="preserve"> pour </w:t>
      </w:r>
      <w:r w:rsidRPr="00F365CD">
        <w:rPr>
          <w:lang w:val="fr-FR"/>
        </w:rPr>
        <w:t xml:space="preserve">: </w:t>
      </w:r>
    </w:p>
    <w:p w14:paraId="7C4FFA77" w14:textId="77777777" w:rsidR="00C14CF3" w:rsidRPr="00F365CD" w:rsidRDefault="003D2D7D" w:rsidP="00C14CF3">
      <w:pPr>
        <w:pStyle w:val="SingleTxtG"/>
        <w:ind w:left="2268"/>
        <w:rPr>
          <w:lang w:val="fr-FR"/>
        </w:rPr>
      </w:pPr>
      <w:r w:rsidRPr="00656C3D">
        <w:t>Afrique du Sud</w:t>
      </w:r>
      <w:r>
        <w:t xml:space="preserve">, </w:t>
      </w:r>
      <w:r w:rsidRPr="00656C3D">
        <w:t>Argentine</w:t>
      </w:r>
      <w:r>
        <w:t xml:space="preserve">, </w:t>
      </w:r>
      <w:r w:rsidRPr="00656C3D">
        <w:t>Australie</w:t>
      </w:r>
      <w:r>
        <w:t xml:space="preserve">, </w:t>
      </w:r>
      <w:r w:rsidRPr="00656C3D">
        <w:t>Autriche</w:t>
      </w:r>
      <w:r>
        <w:t xml:space="preserve">, </w:t>
      </w:r>
      <w:r w:rsidRPr="00656C3D">
        <w:t>Bahamas</w:t>
      </w:r>
      <w:r>
        <w:t xml:space="preserve">, </w:t>
      </w:r>
      <w:r w:rsidRPr="00656C3D">
        <w:t>Brésil</w:t>
      </w:r>
      <w:r>
        <w:t xml:space="preserve">, </w:t>
      </w:r>
      <w:r w:rsidRPr="00656C3D">
        <w:t>Bulgarie</w:t>
      </w:r>
      <w:r>
        <w:t xml:space="preserve">, </w:t>
      </w:r>
      <w:r w:rsidRPr="00656C3D">
        <w:t>Chili</w:t>
      </w:r>
      <w:r>
        <w:t xml:space="preserve">, </w:t>
      </w:r>
      <w:r w:rsidRPr="00656C3D">
        <w:t>Croatie</w:t>
      </w:r>
      <w:r>
        <w:t xml:space="preserve">, </w:t>
      </w:r>
      <w:r w:rsidRPr="00656C3D">
        <w:t>Cuba</w:t>
      </w:r>
      <w:r>
        <w:t xml:space="preserve">, </w:t>
      </w:r>
      <w:r w:rsidRPr="00656C3D">
        <w:t>Danemark</w:t>
      </w:r>
      <w:r>
        <w:t xml:space="preserve">, </w:t>
      </w:r>
      <w:r w:rsidRPr="00656C3D">
        <w:t>Espagne</w:t>
      </w:r>
      <w:r>
        <w:t xml:space="preserve">, </w:t>
      </w:r>
      <w:r w:rsidRPr="00656C3D">
        <w:t>Fidji</w:t>
      </w:r>
      <w:r>
        <w:t xml:space="preserve">, </w:t>
      </w:r>
      <w:r w:rsidRPr="00656C3D">
        <w:t>Islande</w:t>
      </w:r>
      <w:r>
        <w:t xml:space="preserve">, </w:t>
      </w:r>
      <w:r w:rsidRPr="00656C3D">
        <w:t>Italie</w:t>
      </w:r>
      <w:r>
        <w:t xml:space="preserve">, </w:t>
      </w:r>
      <w:r w:rsidRPr="00656C3D">
        <w:t>Japon</w:t>
      </w:r>
      <w:r>
        <w:t xml:space="preserve">, </w:t>
      </w:r>
      <w:r w:rsidRPr="00656C3D">
        <w:t>Mexique</w:t>
      </w:r>
      <w:r>
        <w:t xml:space="preserve">, </w:t>
      </w:r>
      <w:r w:rsidRPr="00656C3D">
        <w:t>Népal</w:t>
      </w:r>
      <w:r>
        <w:t xml:space="preserve">, </w:t>
      </w:r>
      <w:r w:rsidRPr="00656C3D">
        <w:t>Pérou</w:t>
      </w:r>
      <w:r>
        <w:t xml:space="preserve">, </w:t>
      </w:r>
      <w:r w:rsidRPr="00656C3D">
        <w:t>Philippines</w:t>
      </w:r>
      <w:r>
        <w:t xml:space="preserve">, </w:t>
      </w:r>
      <w:r w:rsidRPr="00656C3D">
        <w:t>Royaume-Uni de Grande-Bretagne et d</w:t>
      </w:r>
      <w:r>
        <w:t>’</w:t>
      </w:r>
      <w:r w:rsidRPr="00656C3D">
        <w:t>Irlande du Nord</w:t>
      </w:r>
      <w:r>
        <w:t xml:space="preserve">, </w:t>
      </w:r>
      <w:r w:rsidRPr="00656C3D">
        <w:t>Rwanda</w:t>
      </w:r>
      <w:r>
        <w:t xml:space="preserve">, </w:t>
      </w:r>
      <w:r w:rsidRPr="00656C3D">
        <w:t>Slovaquie</w:t>
      </w:r>
      <w:r>
        <w:t xml:space="preserve">, </w:t>
      </w:r>
      <w:r w:rsidRPr="00656C3D">
        <w:t>Tchéquie</w:t>
      </w:r>
      <w:r>
        <w:t xml:space="preserve">, </w:t>
      </w:r>
      <w:r w:rsidRPr="00656C3D">
        <w:t>Tunisie</w:t>
      </w:r>
      <w:r>
        <w:t xml:space="preserve">, </w:t>
      </w:r>
      <w:r w:rsidRPr="00656C3D">
        <w:t>Ukraine</w:t>
      </w:r>
      <w:r>
        <w:t xml:space="preserve">, </w:t>
      </w:r>
      <w:r w:rsidRPr="00656C3D">
        <w:t>Uruguay</w:t>
      </w:r>
      <w:r w:rsidR="00FB3A35">
        <w:t>.</w:t>
      </w:r>
    </w:p>
    <w:p w14:paraId="23489BF9" w14:textId="77777777" w:rsidR="00C14CF3" w:rsidRPr="00F365CD" w:rsidRDefault="00C14CF3" w:rsidP="00C14CF3">
      <w:pPr>
        <w:pStyle w:val="SingleTxtG"/>
        <w:spacing w:after="0"/>
        <w:ind w:left="1701"/>
        <w:rPr>
          <w:lang w:val="fr-FR"/>
        </w:rPr>
      </w:pPr>
      <w:r w:rsidRPr="00F365CD">
        <w:rPr>
          <w:i/>
          <w:iCs/>
          <w:lang w:val="fr-FR"/>
        </w:rPr>
        <w:t>Ont voté contre </w:t>
      </w:r>
      <w:r w:rsidRPr="00F365CD">
        <w:rPr>
          <w:lang w:val="fr-FR"/>
        </w:rPr>
        <w:t xml:space="preserve">: </w:t>
      </w:r>
    </w:p>
    <w:p w14:paraId="339452EF" w14:textId="77777777" w:rsidR="00C14CF3" w:rsidRPr="00F365CD" w:rsidRDefault="00FB3A35" w:rsidP="00C14CF3">
      <w:pPr>
        <w:pStyle w:val="SingleTxtG"/>
        <w:ind w:left="2268"/>
        <w:rPr>
          <w:lang w:val="fr-FR"/>
        </w:rPr>
      </w:pPr>
      <w:r w:rsidRPr="000E2EA9">
        <w:t>Afghanistan</w:t>
      </w:r>
      <w:r>
        <w:t xml:space="preserve">, </w:t>
      </w:r>
      <w:r w:rsidRPr="000E2EA9">
        <w:t>Arabie saoudite</w:t>
      </w:r>
      <w:r>
        <w:t xml:space="preserve">, </w:t>
      </w:r>
      <w:r w:rsidRPr="000E2EA9">
        <w:t>Bahreïn</w:t>
      </w:r>
      <w:r>
        <w:t xml:space="preserve">, </w:t>
      </w:r>
      <w:r w:rsidRPr="000E2EA9">
        <w:t>Bangladesh</w:t>
      </w:r>
      <w:r>
        <w:t xml:space="preserve">, </w:t>
      </w:r>
      <w:r w:rsidRPr="000E2EA9">
        <w:t>Chine</w:t>
      </w:r>
      <w:r>
        <w:t xml:space="preserve">, </w:t>
      </w:r>
      <w:r w:rsidRPr="000E2EA9">
        <w:t>Égypte</w:t>
      </w:r>
      <w:r>
        <w:t xml:space="preserve">, </w:t>
      </w:r>
      <w:r w:rsidRPr="000E2EA9">
        <w:t>Érythrée</w:t>
      </w:r>
      <w:r>
        <w:t xml:space="preserve">, </w:t>
      </w:r>
      <w:r w:rsidRPr="000E2EA9">
        <w:t>Iraq</w:t>
      </w:r>
      <w:r>
        <w:t xml:space="preserve">, </w:t>
      </w:r>
      <w:r w:rsidRPr="000E2EA9">
        <w:t>Nigéria</w:t>
      </w:r>
      <w:r>
        <w:t xml:space="preserve">, </w:t>
      </w:r>
      <w:r w:rsidRPr="000E2EA9">
        <w:t>Pakistan</w:t>
      </w:r>
      <w:r>
        <w:t xml:space="preserve">, </w:t>
      </w:r>
      <w:r w:rsidRPr="000E2EA9">
        <w:t>Qatar</w:t>
      </w:r>
      <w:r>
        <w:t xml:space="preserve">, </w:t>
      </w:r>
      <w:r w:rsidRPr="000E2EA9">
        <w:t>Somalie</w:t>
      </w:r>
      <w:r>
        <w:t>.</w:t>
      </w:r>
    </w:p>
    <w:p w14:paraId="5C3E6C7F" w14:textId="77777777" w:rsidR="00C14CF3" w:rsidRPr="00F365CD" w:rsidRDefault="00C14CF3" w:rsidP="00C14CF3">
      <w:pPr>
        <w:pStyle w:val="SingleTxtG"/>
        <w:spacing w:after="0"/>
        <w:ind w:left="1701"/>
        <w:rPr>
          <w:lang w:val="en-US"/>
        </w:rPr>
      </w:pPr>
      <w:r w:rsidRPr="00F365CD">
        <w:rPr>
          <w:i/>
          <w:iCs/>
          <w:lang w:val="en-US"/>
        </w:rPr>
        <w:t xml:space="preserve">Se </w:t>
      </w:r>
      <w:proofErr w:type="spellStart"/>
      <w:r w:rsidRPr="00F365CD">
        <w:rPr>
          <w:i/>
          <w:iCs/>
          <w:lang w:val="en-US"/>
        </w:rPr>
        <w:t>sont</w:t>
      </w:r>
      <w:proofErr w:type="spellEnd"/>
      <w:r w:rsidRPr="00F365CD">
        <w:rPr>
          <w:i/>
          <w:iCs/>
          <w:lang w:val="en-US"/>
        </w:rPr>
        <w:t xml:space="preserve"> </w:t>
      </w:r>
      <w:proofErr w:type="spellStart"/>
      <w:r w:rsidRPr="00F365CD">
        <w:rPr>
          <w:i/>
          <w:iCs/>
          <w:lang w:val="en-US"/>
        </w:rPr>
        <w:t>abstenus</w:t>
      </w:r>
      <w:proofErr w:type="spellEnd"/>
      <w:r w:rsidRPr="00F365CD">
        <w:rPr>
          <w:i/>
          <w:iCs/>
          <w:lang w:val="en-US"/>
        </w:rPr>
        <w:t> </w:t>
      </w:r>
      <w:r w:rsidRPr="00F365CD">
        <w:rPr>
          <w:lang w:val="en-US"/>
        </w:rPr>
        <w:t xml:space="preserve">: </w:t>
      </w:r>
    </w:p>
    <w:p w14:paraId="61D51D86" w14:textId="77777777" w:rsidR="00552797" w:rsidRPr="00FB3A35" w:rsidRDefault="00FB3A35" w:rsidP="00C14CF3">
      <w:pPr>
        <w:pStyle w:val="SingleTxtG"/>
        <w:ind w:left="2268"/>
      </w:pPr>
      <w:r w:rsidRPr="00FB3A35">
        <w:t>A</w:t>
      </w:r>
      <w:r w:rsidRPr="00CA17BB">
        <w:t>ngola</w:t>
      </w:r>
      <w:r>
        <w:t xml:space="preserve">, </w:t>
      </w:r>
      <w:r w:rsidRPr="00CA17BB">
        <w:t>Burkina Faso</w:t>
      </w:r>
      <w:r>
        <w:t xml:space="preserve">, </w:t>
      </w:r>
      <w:r w:rsidRPr="00CA17BB">
        <w:t>Hongrie</w:t>
      </w:r>
      <w:r>
        <w:t xml:space="preserve">, </w:t>
      </w:r>
      <w:r w:rsidRPr="00CA17BB">
        <w:t>Inde</w:t>
      </w:r>
      <w:r>
        <w:t xml:space="preserve">, </w:t>
      </w:r>
      <w:r w:rsidRPr="00CA17BB">
        <w:t>République démocratique du Congo</w:t>
      </w:r>
      <w:r>
        <w:t xml:space="preserve">, </w:t>
      </w:r>
      <w:r w:rsidRPr="00CA17BB">
        <w:t>Sénégal</w:t>
      </w:r>
      <w:r>
        <w:t xml:space="preserve">, </w:t>
      </w:r>
      <w:r w:rsidRPr="00CA17BB">
        <w:t>Togo</w:t>
      </w:r>
      <w:r>
        <w:t>.</w:t>
      </w:r>
      <w:r w:rsidR="00C14CF3" w:rsidRPr="00FB3A35">
        <w:t>]</w:t>
      </w:r>
    </w:p>
    <w:p w14:paraId="47DA9245" w14:textId="77777777" w:rsidR="00C14CF3" w:rsidRPr="00FB3A35" w:rsidRDefault="00C14CF3" w:rsidP="00C14CF3">
      <w:pPr>
        <w:pStyle w:val="SingleTxtG"/>
        <w:spacing w:before="240" w:after="0"/>
        <w:jc w:val="center"/>
        <w:rPr>
          <w:u w:val="single"/>
        </w:rPr>
      </w:pPr>
      <w:r w:rsidRPr="00FB3A35">
        <w:rPr>
          <w:u w:val="single"/>
        </w:rPr>
        <w:tab/>
      </w:r>
      <w:r w:rsidRPr="00FB3A35">
        <w:rPr>
          <w:u w:val="single"/>
        </w:rPr>
        <w:tab/>
      </w:r>
      <w:r w:rsidRPr="00FB3A35">
        <w:rPr>
          <w:u w:val="single"/>
        </w:rPr>
        <w:tab/>
      </w:r>
    </w:p>
    <w:sectPr w:rsidR="00C14CF3" w:rsidRPr="00FB3A35" w:rsidSect="00784D7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502D" w14:textId="77777777" w:rsidR="0035271E" w:rsidRPr="00EF7F30" w:rsidRDefault="0035271E" w:rsidP="00EF7F30">
      <w:pPr>
        <w:pStyle w:val="Pieddepage"/>
      </w:pPr>
    </w:p>
  </w:endnote>
  <w:endnote w:type="continuationSeparator" w:id="0">
    <w:p w14:paraId="7967A37A" w14:textId="77777777" w:rsidR="0035271E" w:rsidRPr="00EF7F30" w:rsidRDefault="0035271E" w:rsidP="00EF7F30">
      <w:pPr>
        <w:pStyle w:val="Pieddepage"/>
      </w:pPr>
    </w:p>
  </w:endnote>
  <w:endnote w:type="continuationNotice" w:id="1">
    <w:p w14:paraId="0AE46073" w14:textId="77777777" w:rsidR="0035271E" w:rsidRDefault="003527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912F" w14:textId="77777777" w:rsidR="00784D79" w:rsidRPr="00784D79" w:rsidRDefault="00784D79" w:rsidP="00784D79">
    <w:pPr>
      <w:pStyle w:val="Pieddepage"/>
      <w:tabs>
        <w:tab w:val="right" w:pos="9638"/>
      </w:tabs>
    </w:pPr>
    <w:r w:rsidRPr="00784D79">
      <w:rPr>
        <w:b/>
        <w:sz w:val="18"/>
      </w:rPr>
      <w:fldChar w:fldCharType="begin"/>
    </w:r>
    <w:r w:rsidRPr="00784D79">
      <w:rPr>
        <w:b/>
        <w:sz w:val="18"/>
      </w:rPr>
      <w:instrText xml:space="preserve"> PAGE  \* MERGEFORMAT </w:instrText>
    </w:r>
    <w:r w:rsidRPr="00784D79">
      <w:rPr>
        <w:b/>
        <w:sz w:val="18"/>
      </w:rPr>
      <w:fldChar w:fldCharType="separate"/>
    </w:r>
    <w:r w:rsidRPr="00784D79">
      <w:rPr>
        <w:b/>
        <w:noProof/>
        <w:sz w:val="18"/>
      </w:rPr>
      <w:t>2</w:t>
    </w:r>
    <w:r w:rsidRPr="00784D79">
      <w:rPr>
        <w:b/>
        <w:sz w:val="18"/>
      </w:rPr>
      <w:fldChar w:fldCharType="end"/>
    </w:r>
    <w:r>
      <w:rPr>
        <w:b/>
        <w:sz w:val="18"/>
      </w:rPr>
      <w:tab/>
    </w:r>
    <w:r>
      <w:t>GE.19-12384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C598" w14:textId="77777777" w:rsidR="00784D79" w:rsidRPr="00784D79" w:rsidRDefault="00784D79" w:rsidP="00784D79">
    <w:pPr>
      <w:pStyle w:val="Pieddepage"/>
      <w:tabs>
        <w:tab w:val="right" w:pos="9638"/>
      </w:tabs>
      <w:rPr>
        <w:b/>
        <w:sz w:val="18"/>
      </w:rPr>
    </w:pPr>
    <w:r>
      <w:t>GE.19-12384</w:t>
    </w:r>
    <w:r>
      <w:tab/>
    </w:r>
    <w:r w:rsidRPr="00784D79">
      <w:rPr>
        <w:b/>
        <w:sz w:val="18"/>
      </w:rPr>
      <w:fldChar w:fldCharType="begin"/>
    </w:r>
    <w:r w:rsidRPr="00784D79">
      <w:rPr>
        <w:b/>
        <w:sz w:val="18"/>
      </w:rPr>
      <w:instrText xml:space="preserve"> PAGE  \* MERGEFORMAT </w:instrText>
    </w:r>
    <w:r w:rsidRPr="00784D79">
      <w:rPr>
        <w:b/>
        <w:sz w:val="18"/>
      </w:rPr>
      <w:fldChar w:fldCharType="separate"/>
    </w:r>
    <w:r w:rsidRPr="00784D79">
      <w:rPr>
        <w:b/>
        <w:noProof/>
        <w:sz w:val="18"/>
      </w:rPr>
      <w:t>3</w:t>
    </w:r>
    <w:r w:rsidRPr="00784D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4FC" w14:textId="77777777" w:rsidR="0094352E" w:rsidRPr="00784D79" w:rsidRDefault="00784D79" w:rsidP="00784D79">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4B11FE4" wp14:editId="6A211E6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19-12384  (F)    300819    030919</w:t>
    </w:r>
    <w:r>
      <w:rPr>
        <w:sz w:val="20"/>
      </w:rPr>
      <w:br/>
    </w:r>
    <w:r w:rsidRPr="00784D79">
      <w:rPr>
        <w:rFonts w:ascii="C39T30Lfz" w:hAnsi="C39T30Lfz"/>
        <w:sz w:val="56"/>
      </w:rPr>
      <w:t></w:t>
    </w:r>
    <w:r w:rsidRPr="00784D79">
      <w:rPr>
        <w:rFonts w:ascii="C39T30Lfz" w:hAnsi="C39T30Lfz"/>
        <w:sz w:val="56"/>
      </w:rPr>
      <w:t></w:t>
    </w:r>
    <w:r w:rsidRPr="00784D79">
      <w:rPr>
        <w:rFonts w:ascii="C39T30Lfz" w:hAnsi="C39T30Lfz"/>
        <w:sz w:val="56"/>
      </w:rPr>
      <w:t></w:t>
    </w:r>
    <w:r w:rsidRPr="00784D79">
      <w:rPr>
        <w:rFonts w:ascii="C39T30Lfz" w:hAnsi="C39T30Lfz"/>
        <w:sz w:val="56"/>
      </w:rPr>
      <w:t></w:t>
    </w:r>
    <w:r w:rsidRPr="00784D79">
      <w:rPr>
        <w:rFonts w:ascii="C39T30Lfz" w:hAnsi="C39T30Lfz"/>
        <w:sz w:val="56"/>
      </w:rPr>
      <w:t></w:t>
    </w:r>
    <w:r w:rsidRPr="00784D79">
      <w:rPr>
        <w:rFonts w:ascii="C39T30Lfz" w:hAnsi="C39T30Lfz"/>
        <w:sz w:val="56"/>
      </w:rPr>
      <w:t></w:t>
    </w:r>
    <w:r w:rsidRPr="00784D79">
      <w:rPr>
        <w:rFonts w:ascii="C39T30Lfz" w:hAnsi="C39T30Lfz"/>
        <w:sz w:val="56"/>
      </w:rPr>
      <w:t></w:t>
    </w:r>
    <w:r w:rsidRPr="00784D79">
      <w:rPr>
        <w:rFonts w:ascii="C39T30Lfz" w:hAnsi="C39T30Lfz"/>
        <w:sz w:val="56"/>
      </w:rPr>
      <w:t></w:t>
    </w:r>
    <w:r w:rsidRPr="00784D79">
      <w:rPr>
        <w:rFonts w:ascii="C39T30Lfz" w:hAnsi="C39T30Lfz"/>
        <w:sz w:val="56"/>
      </w:rPr>
      <w:t></w:t>
    </w:r>
    <w:r>
      <w:rPr>
        <w:noProof/>
        <w:sz w:val="20"/>
      </w:rPr>
      <w:drawing>
        <wp:anchor distT="0" distB="0" distL="114300" distR="114300" simplePos="0" relativeHeight="251658240" behindDoc="0" locked="0" layoutInCell="1" allowOverlap="1" wp14:anchorId="0B71FCD3" wp14:editId="2EFCD118">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1/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5402" w14:textId="77777777" w:rsidR="0035271E" w:rsidRPr="00EF7F30" w:rsidRDefault="0035271E"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0802770C" w14:textId="77777777" w:rsidR="0035271E" w:rsidRPr="00EF7F30" w:rsidRDefault="0035271E" w:rsidP="000E5ADA">
      <w:pPr>
        <w:pStyle w:val="Pieddepage"/>
        <w:tabs>
          <w:tab w:val="right" w:pos="2155"/>
        </w:tabs>
        <w:spacing w:after="80" w:line="240" w:lineRule="atLeast"/>
        <w:ind w:left="680"/>
      </w:pPr>
      <w:r w:rsidRPr="00EF7F30">
        <w:rPr>
          <w:u w:val="single"/>
        </w:rPr>
        <w:tab/>
      </w:r>
    </w:p>
  </w:footnote>
  <w:footnote w:type="continuationNotice" w:id="1">
    <w:p w14:paraId="7BE18C3B" w14:textId="77777777" w:rsidR="0035271E" w:rsidRPr="000F2457" w:rsidRDefault="0035271E">
      <w:pPr>
        <w:spacing w:line="240" w:lineRule="auto"/>
        <w:rPr>
          <w:sz w:val="2"/>
          <w:szCs w:val="2"/>
        </w:rPr>
      </w:pPr>
    </w:p>
  </w:footnote>
  <w:footnote w:id="2">
    <w:p w14:paraId="33EE402A" w14:textId="77777777" w:rsidR="008807E2" w:rsidRDefault="008807E2">
      <w:pPr>
        <w:pStyle w:val="Notedebasdepage"/>
      </w:pPr>
      <w:r>
        <w:tab/>
      </w:r>
      <w:r>
        <w:rPr>
          <w:rStyle w:val="Appelnotedebasdep"/>
        </w:rPr>
        <w:footnoteRef/>
      </w:r>
      <w:r>
        <w:tab/>
        <w:t>Voir A/HRC/41/45 et Add.1 et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0F04" w14:textId="297B62D7" w:rsidR="00784D79" w:rsidRPr="00784D79" w:rsidRDefault="00784D79">
    <w:pPr>
      <w:pStyle w:val="En-tte"/>
    </w:pPr>
    <w:fldSimple w:instr=" TITLE  \* MERGEFORMAT ">
      <w:r w:rsidR="00803805">
        <w:t>A/HRC/RES/41/18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9DF4" w14:textId="70F1845C" w:rsidR="00784D79" w:rsidRPr="00784D79" w:rsidRDefault="00784D79" w:rsidP="00784D79">
    <w:pPr>
      <w:pStyle w:val="En-tte"/>
      <w:jc w:val="right"/>
    </w:pPr>
    <w:fldSimple w:instr=" TITLE  \* MERGEFORMAT ">
      <w:r w:rsidR="00803805">
        <w:t>A/HRC/RES/41/18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271E"/>
    <w:rsid w:val="00023842"/>
    <w:rsid w:val="0007796D"/>
    <w:rsid w:val="000E5ADA"/>
    <w:rsid w:val="000F2457"/>
    <w:rsid w:val="00111F2F"/>
    <w:rsid w:val="00131E73"/>
    <w:rsid w:val="0014365E"/>
    <w:rsid w:val="00176178"/>
    <w:rsid w:val="001F525A"/>
    <w:rsid w:val="00212168"/>
    <w:rsid w:val="00260711"/>
    <w:rsid w:val="002E0D9C"/>
    <w:rsid w:val="0035271E"/>
    <w:rsid w:val="003547BE"/>
    <w:rsid w:val="003D2D7D"/>
    <w:rsid w:val="00446FE5"/>
    <w:rsid w:val="00552797"/>
    <w:rsid w:val="00573BE5"/>
    <w:rsid w:val="00586ED3"/>
    <w:rsid w:val="00587A52"/>
    <w:rsid w:val="005B4E23"/>
    <w:rsid w:val="00617B29"/>
    <w:rsid w:val="0068446C"/>
    <w:rsid w:val="00695AED"/>
    <w:rsid w:val="00710BD6"/>
    <w:rsid w:val="0071601D"/>
    <w:rsid w:val="00721020"/>
    <w:rsid w:val="00731589"/>
    <w:rsid w:val="00784D79"/>
    <w:rsid w:val="00803805"/>
    <w:rsid w:val="0080684C"/>
    <w:rsid w:val="00871C75"/>
    <w:rsid w:val="008776DC"/>
    <w:rsid w:val="008807E2"/>
    <w:rsid w:val="008B386A"/>
    <w:rsid w:val="0094352E"/>
    <w:rsid w:val="00962015"/>
    <w:rsid w:val="009705C8"/>
    <w:rsid w:val="009A47AB"/>
    <w:rsid w:val="00A12E20"/>
    <w:rsid w:val="00A2307A"/>
    <w:rsid w:val="00A76290"/>
    <w:rsid w:val="00AC7BEB"/>
    <w:rsid w:val="00AE323C"/>
    <w:rsid w:val="00B16AAF"/>
    <w:rsid w:val="00B22A9E"/>
    <w:rsid w:val="00B24C75"/>
    <w:rsid w:val="00B528BF"/>
    <w:rsid w:val="00C02897"/>
    <w:rsid w:val="00C12613"/>
    <w:rsid w:val="00C14CF3"/>
    <w:rsid w:val="00CA390F"/>
    <w:rsid w:val="00D45432"/>
    <w:rsid w:val="00DB1831"/>
    <w:rsid w:val="00DD3BFD"/>
    <w:rsid w:val="00E228A8"/>
    <w:rsid w:val="00E6618E"/>
    <w:rsid w:val="00EF7F30"/>
    <w:rsid w:val="00F660DF"/>
    <w:rsid w:val="00F95C08"/>
    <w:rsid w:val="00FB3A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62762"/>
  <w15:docId w15:val="{065072A2-EDC7-4228-A5D2-59B9DB8C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14CF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A147-5694-4777-8C04-C130565E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2</Pages>
  <Words>566</Words>
  <Characters>3402</Characters>
  <Application>Microsoft Office Word</Application>
  <DocSecurity>0</DocSecurity>
  <Lines>486</Lines>
  <Paragraphs>208</Paragraphs>
  <ScaleCrop>false</ScaleCrop>
  <HeadingPairs>
    <vt:vector size="2" baseType="variant">
      <vt:variant>
        <vt:lpstr>Titre</vt:lpstr>
      </vt:variant>
      <vt:variant>
        <vt:i4>1</vt:i4>
      </vt:variant>
    </vt:vector>
  </HeadingPairs>
  <TitlesOfParts>
    <vt:vector size="1" baseType="lpstr">
      <vt:lpstr>A/HRC/RES/41/18</vt:lpstr>
    </vt:vector>
  </TitlesOfParts>
  <Company>DCM</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A/HRC/RES/41/18</dc:title>
  <dc:subject/>
  <dc:creator>Nathalie VITTOZ</dc:creator>
  <cp:keywords/>
  <cp:lastModifiedBy>Nathalie Vittoz</cp:lastModifiedBy>
  <cp:revision>3</cp:revision>
  <cp:lastPrinted>2019-09-03T09:20:00Z</cp:lastPrinted>
  <dcterms:created xsi:type="dcterms:W3CDTF">2019-09-03T09:20:00Z</dcterms:created>
  <dcterms:modified xsi:type="dcterms:W3CDTF">2019-09-03T09:21:00Z</dcterms:modified>
</cp:coreProperties>
</file>