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w:t>
            </w:r>
            <w:proofErr w:type="spellStart"/>
            <w:r w:rsidRPr="00637834">
              <w:rPr>
                <w:sz w:val="20"/>
              </w:rPr>
              <w:t>HRC</w:t>
            </w:r>
            <w:proofErr w:type="spellEnd"/>
            <w:r w:rsidRPr="00637834">
              <w:rPr>
                <w:sz w:val="20"/>
              </w:rPr>
              <w:t>/</w:t>
            </w:r>
            <w:r w:rsidR="00FB0F3E">
              <w:rPr>
                <w:rFonts w:hint="eastAsia"/>
                <w:sz w:val="20"/>
              </w:rPr>
              <w:t>RES/27/25</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BF7E3F" w:rsidP="00637834">
            <w:pPr>
              <w:spacing w:before="240" w:line="240" w:lineRule="atLeast"/>
              <w:rPr>
                <w:sz w:val="20"/>
              </w:rPr>
            </w:pPr>
            <w:r>
              <w:rPr>
                <w:sz w:val="20"/>
              </w:rPr>
              <w:t>Distr.: General</w:t>
            </w:r>
          </w:p>
          <w:p w:rsidR="00F53D4C" w:rsidRPr="00637834" w:rsidRDefault="008D50FF">
            <w:pPr>
              <w:spacing w:line="240" w:lineRule="atLeast"/>
              <w:rPr>
                <w:rFonts w:hint="eastAsia"/>
                <w:sz w:val="20"/>
              </w:rPr>
            </w:pPr>
            <w:r>
              <w:rPr>
                <w:rFonts w:hint="eastAsia"/>
                <w:sz w:val="20"/>
              </w:rPr>
              <w:t xml:space="preserve">2 </w:t>
            </w:r>
            <w:r w:rsidRPr="008D50FF">
              <w:rPr>
                <w:sz w:val="20"/>
              </w:rPr>
              <w:t>October</w:t>
            </w:r>
            <w:r w:rsidR="001C3E9A">
              <w:rPr>
                <w:sz w:val="20"/>
              </w:rPr>
              <w:t xml:space="preserve"> 20</w:t>
            </w:r>
            <w:r w:rsidR="00487358">
              <w:rPr>
                <w:rFonts w:hint="eastAsia"/>
                <w:sz w:val="20"/>
              </w:rPr>
              <w:t>14</w:t>
            </w:r>
          </w:p>
          <w:p w:rsidR="00F53D4C" w:rsidRPr="00637834" w:rsidRDefault="00F53D4C">
            <w:pPr>
              <w:spacing w:line="240" w:lineRule="atLeast"/>
              <w:rPr>
                <w:sz w:val="20"/>
              </w:rPr>
            </w:pPr>
            <w:r w:rsidRPr="00637834">
              <w:rPr>
                <w:sz w:val="20"/>
              </w:rPr>
              <w:t xml:space="preserve">Chinese </w:t>
            </w:r>
          </w:p>
          <w:p w:rsidR="00F53D4C" w:rsidRPr="00637834" w:rsidRDefault="00F53D4C" w:rsidP="00751C2E">
            <w:pPr>
              <w:spacing w:line="240" w:lineRule="atLeast"/>
              <w:rPr>
                <w:rFonts w:hint="eastAsia"/>
              </w:rPr>
            </w:pPr>
            <w:r w:rsidRPr="00637834">
              <w:rPr>
                <w:sz w:val="20"/>
              </w:rPr>
              <w:t>Original: 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8D50FF" w:rsidRPr="00EA208D" w:rsidRDefault="008D50FF" w:rsidP="008D50FF">
      <w:pPr>
        <w:rPr>
          <w:rFonts w:eastAsia="SimHei" w:hint="eastAsia"/>
          <w:szCs w:val="21"/>
          <w:lang w:val="fr-CH"/>
        </w:rPr>
      </w:pPr>
      <w:r w:rsidRPr="00EA208D">
        <w:rPr>
          <w:rFonts w:eastAsia="SimHei" w:hint="eastAsia"/>
          <w:szCs w:val="21"/>
          <w:lang w:val="fr-CH"/>
        </w:rPr>
        <w:t>第二十七届会议</w:t>
      </w:r>
    </w:p>
    <w:p w:rsidR="008D50FF" w:rsidRPr="00212E7D" w:rsidRDefault="008D50FF" w:rsidP="008D50FF">
      <w:pPr>
        <w:rPr>
          <w:rFonts w:hint="eastAsia"/>
          <w:szCs w:val="21"/>
          <w:lang w:val="fr-CH"/>
        </w:rPr>
      </w:pPr>
      <w:r w:rsidRPr="00212E7D">
        <w:rPr>
          <w:rFonts w:hint="eastAsia"/>
          <w:szCs w:val="21"/>
          <w:lang w:val="fr-CH"/>
        </w:rPr>
        <w:t>议程项目</w:t>
      </w:r>
      <w:r w:rsidRPr="00212E7D">
        <w:rPr>
          <w:rFonts w:hint="eastAsia"/>
          <w:szCs w:val="21"/>
          <w:lang w:val="fr-CH"/>
        </w:rPr>
        <w:t>9</w:t>
      </w:r>
    </w:p>
    <w:p w:rsidR="008D50FF" w:rsidRDefault="008D50FF" w:rsidP="008D50FF">
      <w:pPr>
        <w:rPr>
          <w:rFonts w:eastAsia="SimHei" w:hint="eastAsia"/>
          <w:szCs w:val="21"/>
          <w:lang w:val="fr-CH"/>
        </w:rPr>
      </w:pPr>
      <w:r w:rsidRPr="00EA208D">
        <w:rPr>
          <w:rFonts w:eastAsia="SimHei" w:hint="eastAsia"/>
          <w:szCs w:val="21"/>
          <w:lang w:val="fr-CH"/>
        </w:rPr>
        <w:t>种族主义、种族歧视、仇外心理和相关的不容忍现象：</w:t>
      </w:r>
      <w:r>
        <w:rPr>
          <w:rFonts w:eastAsia="SimHei"/>
          <w:szCs w:val="21"/>
          <w:lang w:val="fr-CH"/>
        </w:rPr>
        <w:br/>
      </w:r>
      <w:r w:rsidRPr="00EA208D">
        <w:rPr>
          <w:rFonts w:eastAsia="SimHei" w:hint="eastAsia"/>
          <w:szCs w:val="21"/>
          <w:lang w:val="fr-CH"/>
        </w:rPr>
        <w:t>《德班宣言和行动纲领》的后续行动和执行情况</w:t>
      </w:r>
    </w:p>
    <w:p w:rsidR="008D50FF" w:rsidRPr="00EA208D" w:rsidRDefault="008D50FF" w:rsidP="008D50FF">
      <w:pPr>
        <w:rPr>
          <w:rFonts w:eastAsia="SimHei" w:hint="eastAsia"/>
          <w:szCs w:val="21"/>
          <w:lang w:val="fr-CH"/>
        </w:rPr>
      </w:pPr>
    </w:p>
    <w:p w:rsidR="008D50FF" w:rsidRPr="00212E7D" w:rsidRDefault="008D50FF" w:rsidP="00AC4599">
      <w:pPr>
        <w:pStyle w:val="H1GC"/>
        <w:rPr>
          <w:rFonts w:hint="eastAsia"/>
          <w:spacing w:val="-4"/>
          <w:lang w:val="fr-CH"/>
        </w:rPr>
      </w:pPr>
      <w:r w:rsidRPr="00212E7D">
        <w:rPr>
          <w:rFonts w:hint="eastAsia"/>
          <w:spacing w:val="-4"/>
          <w:lang w:val="fr-CH"/>
        </w:rPr>
        <w:tab/>
      </w:r>
      <w:r w:rsidRPr="00212E7D">
        <w:rPr>
          <w:rFonts w:hint="eastAsia"/>
          <w:spacing w:val="-4"/>
          <w:lang w:val="fr-CH"/>
        </w:rPr>
        <w:tab/>
      </w:r>
      <w:r>
        <w:rPr>
          <w:rFonts w:hint="eastAsia"/>
        </w:rPr>
        <w:t>人权理事会通过的</w:t>
      </w:r>
      <w:r w:rsidRPr="00CC154F">
        <w:rPr>
          <w:rFonts w:hint="eastAsia"/>
        </w:rPr>
        <w:t>决议</w:t>
      </w:r>
    </w:p>
    <w:p w:rsidR="008D50FF" w:rsidRPr="00EA208D" w:rsidRDefault="008D50FF" w:rsidP="008D50FF">
      <w:pPr>
        <w:pStyle w:val="H1GC"/>
        <w:rPr>
          <w:rFonts w:hint="eastAsia"/>
          <w:lang w:val="fr-CH"/>
        </w:rPr>
      </w:pPr>
      <w:r>
        <w:rPr>
          <w:rFonts w:hint="eastAsia"/>
          <w:lang w:val="fr-CH"/>
        </w:rPr>
        <w:tab/>
      </w:r>
      <w:r>
        <w:rPr>
          <w:rFonts w:hint="eastAsia"/>
          <w:lang w:val="fr-CH"/>
        </w:rPr>
        <w:tab/>
      </w:r>
      <w:r w:rsidRPr="00EA208D">
        <w:rPr>
          <w:rFonts w:hint="eastAsia"/>
          <w:lang w:val="fr-CH"/>
        </w:rPr>
        <w:t>27/</w:t>
      </w:r>
      <w:r>
        <w:rPr>
          <w:rFonts w:hint="eastAsia"/>
          <w:lang w:val="fr-CH"/>
        </w:rPr>
        <w:t>25</w:t>
      </w:r>
      <w:r>
        <w:rPr>
          <w:lang w:val="fr-CH"/>
        </w:rPr>
        <w:br/>
      </w:r>
      <w:r w:rsidRPr="00EA208D">
        <w:rPr>
          <w:rFonts w:hint="eastAsia"/>
          <w:lang w:val="fr-CH"/>
        </w:rPr>
        <w:t>非洲人后裔问题专家工作组的任务</w:t>
      </w:r>
    </w:p>
    <w:p w:rsidR="008D50FF" w:rsidRPr="00EA208D" w:rsidRDefault="008D50FF" w:rsidP="008D50FF">
      <w:pPr>
        <w:pStyle w:val="SingleTxtGC"/>
        <w:rPr>
          <w:rFonts w:hint="eastAsia"/>
          <w:lang w:val="fr-CH"/>
        </w:rPr>
      </w:pPr>
      <w:r w:rsidRPr="00EA208D">
        <w:rPr>
          <w:rFonts w:hint="eastAsia"/>
          <w:lang w:val="fr-CH"/>
        </w:rPr>
        <w:tab/>
      </w:r>
      <w:r w:rsidRPr="00931719">
        <w:rPr>
          <w:rFonts w:eastAsia="KaiTi_GB2312" w:hint="eastAsia"/>
          <w:lang w:val="fr-CH"/>
        </w:rPr>
        <w:t>人权理事会</w:t>
      </w:r>
      <w:r w:rsidRPr="00EA208D">
        <w:rPr>
          <w:rFonts w:hint="eastAsia"/>
          <w:lang w:val="fr-CH"/>
        </w:rPr>
        <w:t>，</w:t>
      </w:r>
    </w:p>
    <w:p w:rsidR="008D50FF" w:rsidRDefault="008D50FF" w:rsidP="008D50FF">
      <w:pPr>
        <w:pStyle w:val="SingleTxtGC"/>
        <w:rPr>
          <w:rFonts w:hint="eastAsia"/>
          <w:lang w:val="fr-CH"/>
        </w:rPr>
      </w:pPr>
      <w:r>
        <w:rPr>
          <w:rFonts w:hint="eastAsia"/>
          <w:lang w:val="fr-CH"/>
        </w:rPr>
        <w:tab/>
      </w:r>
      <w:r w:rsidRPr="00931719">
        <w:rPr>
          <w:rFonts w:eastAsia="KaiTi_GB2312" w:hint="eastAsia"/>
          <w:lang w:val="fr-CH"/>
        </w:rPr>
        <w:t>回顾</w:t>
      </w:r>
      <w:r w:rsidRPr="00EA208D">
        <w:rPr>
          <w:rFonts w:hint="eastAsia"/>
          <w:lang w:val="fr-CH"/>
        </w:rPr>
        <w:t>大会</w:t>
      </w:r>
      <w:r w:rsidRPr="00EA208D">
        <w:rPr>
          <w:rFonts w:hint="eastAsia"/>
          <w:lang w:val="fr-CH"/>
        </w:rPr>
        <w:t>2002</w:t>
      </w:r>
      <w:r w:rsidRPr="00EA208D">
        <w:rPr>
          <w:rFonts w:hint="eastAsia"/>
          <w:lang w:val="fr-CH"/>
        </w:rPr>
        <w:t>年</w:t>
      </w:r>
      <w:r w:rsidRPr="00EA208D">
        <w:rPr>
          <w:rFonts w:hint="eastAsia"/>
          <w:lang w:val="fr-CH"/>
        </w:rPr>
        <w:t>3</w:t>
      </w:r>
      <w:r w:rsidRPr="00EA208D">
        <w:rPr>
          <w:rFonts w:hint="eastAsia"/>
          <w:lang w:val="fr-CH"/>
        </w:rPr>
        <w:t>月</w:t>
      </w:r>
      <w:r w:rsidRPr="00EA208D">
        <w:rPr>
          <w:rFonts w:hint="eastAsia"/>
          <w:lang w:val="fr-CH"/>
        </w:rPr>
        <w:t>27</w:t>
      </w:r>
      <w:r w:rsidRPr="00EA208D">
        <w:rPr>
          <w:rFonts w:hint="eastAsia"/>
          <w:lang w:val="fr-CH"/>
        </w:rPr>
        <w:t>日第</w:t>
      </w:r>
      <w:r w:rsidRPr="00EA208D">
        <w:rPr>
          <w:rFonts w:hint="eastAsia"/>
          <w:lang w:val="fr-CH"/>
        </w:rPr>
        <w:t>56/266</w:t>
      </w:r>
      <w:r w:rsidRPr="00EA208D">
        <w:rPr>
          <w:rFonts w:hint="eastAsia"/>
          <w:lang w:val="fr-CH"/>
        </w:rPr>
        <w:t>号决议，其中大会</w:t>
      </w:r>
      <w:r>
        <w:rPr>
          <w:rFonts w:hint="eastAsia"/>
          <w:lang w:val="fr-CH"/>
        </w:rPr>
        <w:t>核可</w:t>
      </w:r>
      <w:r w:rsidRPr="00EA208D">
        <w:rPr>
          <w:rFonts w:hint="eastAsia"/>
          <w:lang w:val="fr-CH"/>
        </w:rPr>
        <w:t>了《德班宣言和行动纲领》，</w:t>
      </w:r>
    </w:p>
    <w:p w:rsidR="008D50FF" w:rsidRDefault="008D50FF" w:rsidP="008D50FF">
      <w:pPr>
        <w:pStyle w:val="SingleTxtGC"/>
        <w:rPr>
          <w:rFonts w:hint="eastAsia"/>
          <w:lang w:val="fr-CH"/>
        </w:rPr>
      </w:pPr>
      <w:r w:rsidRPr="00F66B40">
        <w:rPr>
          <w:rFonts w:hint="eastAsia"/>
        </w:rPr>
        <w:tab/>
      </w:r>
      <w:r w:rsidRPr="00931719">
        <w:rPr>
          <w:rFonts w:eastAsia="KaiTi_GB2312" w:hint="eastAsia"/>
          <w:lang w:val="fr-CH"/>
        </w:rPr>
        <w:t>又回顾</w:t>
      </w:r>
      <w:r w:rsidRPr="00EA208D">
        <w:rPr>
          <w:rFonts w:hint="eastAsia"/>
          <w:lang w:val="fr-CH"/>
        </w:rPr>
        <w:t>大会、人权委员会和人权理事会以往所有</w:t>
      </w:r>
      <w:r>
        <w:rPr>
          <w:rFonts w:hint="eastAsia"/>
          <w:lang w:val="fr-CH"/>
        </w:rPr>
        <w:t>有</w:t>
      </w:r>
      <w:r w:rsidRPr="00EA208D">
        <w:rPr>
          <w:rFonts w:hint="eastAsia"/>
          <w:lang w:val="fr-CH"/>
        </w:rPr>
        <w:t>关消除种族主义、种族歧视、仇外心理和相关的不容忍现象的决议和决定，尤其是委员会</w:t>
      </w:r>
      <w:r w:rsidRPr="00EA208D">
        <w:rPr>
          <w:rFonts w:hint="eastAsia"/>
          <w:lang w:val="fr-CH"/>
        </w:rPr>
        <w:t>2002</w:t>
      </w:r>
      <w:r w:rsidRPr="00EA208D">
        <w:rPr>
          <w:rFonts w:hint="eastAsia"/>
          <w:lang w:val="fr-CH"/>
        </w:rPr>
        <w:t>年</w:t>
      </w:r>
      <w:r w:rsidRPr="00EA208D">
        <w:rPr>
          <w:rFonts w:hint="eastAsia"/>
          <w:lang w:val="fr-CH"/>
        </w:rPr>
        <w:t>4</w:t>
      </w:r>
      <w:r w:rsidRPr="00EA208D">
        <w:rPr>
          <w:rFonts w:hint="eastAsia"/>
          <w:lang w:val="fr-CH"/>
        </w:rPr>
        <w:t>月</w:t>
      </w:r>
      <w:r w:rsidRPr="00EA208D">
        <w:rPr>
          <w:rFonts w:hint="eastAsia"/>
          <w:lang w:val="fr-CH"/>
        </w:rPr>
        <w:t>25</w:t>
      </w:r>
      <w:r w:rsidRPr="00EA208D">
        <w:rPr>
          <w:rFonts w:hint="eastAsia"/>
          <w:lang w:val="fr-CH"/>
        </w:rPr>
        <w:t>日第</w:t>
      </w:r>
      <w:r w:rsidRPr="00EA208D">
        <w:rPr>
          <w:rFonts w:hint="eastAsia"/>
          <w:lang w:val="fr-CH"/>
        </w:rPr>
        <w:t>2002/68</w:t>
      </w:r>
      <w:r w:rsidRPr="00EA208D">
        <w:rPr>
          <w:rFonts w:hint="eastAsia"/>
          <w:lang w:val="fr-CH"/>
        </w:rPr>
        <w:t>号决议和</w:t>
      </w:r>
      <w:r w:rsidRPr="00EA208D">
        <w:rPr>
          <w:rFonts w:hint="eastAsia"/>
          <w:lang w:val="fr-CH"/>
        </w:rPr>
        <w:t>2003</w:t>
      </w:r>
      <w:r w:rsidRPr="00EA208D">
        <w:rPr>
          <w:rFonts w:hint="eastAsia"/>
          <w:lang w:val="fr-CH"/>
        </w:rPr>
        <w:t>年</w:t>
      </w:r>
      <w:r w:rsidRPr="00EA208D">
        <w:rPr>
          <w:rFonts w:hint="eastAsia"/>
          <w:lang w:val="fr-CH"/>
        </w:rPr>
        <w:t>4</w:t>
      </w:r>
      <w:r w:rsidRPr="00EA208D">
        <w:rPr>
          <w:rFonts w:hint="eastAsia"/>
          <w:lang w:val="fr-CH"/>
        </w:rPr>
        <w:t>月</w:t>
      </w:r>
      <w:r w:rsidRPr="00EA208D">
        <w:rPr>
          <w:rFonts w:hint="eastAsia"/>
          <w:lang w:val="fr-CH"/>
        </w:rPr>
        <w:t>23</w:t>
      </w:r>
      <w:r w:rsidRPr="00EA208D">
        <w:rPr>
          <w:rFonts w:hint="eastAsia"/>
          <w:lang w:val="fr-CH"/>
        </w:rPr>
        <w:t>日第</w:t>
      </w:r>
      <w:r w:rsidRPr="00EA208D">
        <w:rPr>
          <w:rFonts w:hint="eastAsia"/>
          <w:lang w:val="fr-CH"/>
        </w:rPr>
        <w:t>2003/30</w:t>
      </w:r>
      <w:r w:rsidRPr="00EA208D">
        <w:rPr>
          <w:rFonts w:hint="eastAsia"/>
          <w:lang w:val="fr-CH"/>
        </w:rPr>
        <w:t>号决议，以及关于非洲人后裔问题专家工作组的任务的理事会</w:t>
      </w:r>
      <w:r w:rsidRPr="00EA208D">
        <w:rPr>
          <w:rFonts w:hint="eastAsia"/>
          <w:lang w:val="fr-CH"/>
        </w:rPr>
        <w:t>2008</w:t>
      </w:r>
      <w:r w:rsidRPr="00EA208D">
        <w:rPr>
          <w:rFonts w:hint="eastAsia"/>
          <w:lang w:val="fr-CH"/>
        </w:rPr>
        <w:t>年</w:t>
      </w:r>
      <w:r w:rsidRPr="00EA208D">
        <w:rPr>
          <w:rFonts w:hint="eastAsia"/>
          <w:lang w:val="fr-CH"/>
        </w:rPr>
        <w:t>9</w:t>
      </w:r>
      <w:r w:rsidRPr="00EA208D">
        <w:rPr>
          <w:rFonts w:hint="eastAsia"/>
          <w:lang w:val="fr-CH"/>
        </w:rPr>
        <w:t>月</w:t>
      </w:r>
      <w:r w:rsidRPr="00EA208D">
        <w:rPr>
          <w:rFonts w:hint="eastAsia"/>
          <w:lang w:val="fr-CH"/>
        </w:rPr>
        <w:t>18</w:t>
      </w:r>
      <w:r w:rsidRPr="00EA208D">
        <w:rPr>
          <w:rFonts w:hint="eastAsia"/>
          <w:lang w:val="fr-CH"/>
        </w:rPr>
        <w:t>日第</w:t>
      </w:r>
      <w:r w:rsidRPr="00EA208D">
        <w:rPr>
          <w:rFonts w:hint="eastAsia"/>
          <w:lang w:val="fr-CH"/>
        </w:rPr>
        <w:t>9/14</w:t>
      </w:r>
      <w:r w:rsidRPr="00EA208D">
        <w:rPr>
          <w:rFonts w:hint="eastAsia"/>
          <w:lang w:val="fr-CH"/>
        </w:rPr>
        <w:t>号决议和</w:t>
      </w:r>
      <w:r w:rsidRPr="00EA208D">
        <w:rPr>
          <w:rFonts w:hint="eastAsia"/>
          <w:lang w:val="fr-CH"/>
        </w:rPr>
        <w:t>2011</w:t>
      </w:r>
      <w:r w:rsidRPr="00EA208D">
        <w:rPr>
          <w:rFonts w:hint="eastAsia"/>
          <w:lang w:val="fr-CH"/>
        </w:rPr>
        <w:t>年</w:t>
      </w:r>
      <w:r w:rsidRPr="00EA208D">
        <w:rPr>
          <w:rFonts w:hint="eastAsia"/>
          <w:lang w:val="fr-CH"/>
        </w:rPr>
        <w:t>10</w:t>
      </w:r>
      <w:r w:rsidRPr="00EA208D">
        <w:rPr>
          <w:rFonts w:hint="eastAsia"/>
          <w:lang w:val="fr-CH"/>
        </w:rPr>
        <w:t>月</w:t>
      </w:r>
      <w:r w:rsidRPr="00EA208D">
        <w:rPr>
          <w:rFonts w:hint="eastAsia"/>
          <w:lang w:val="fr-CH"/>
        </w:rPr>
        <w:t>17</w:t>
      </w:r>
      <w:r w:rsidRPr="00EA208D">
        <w:rPr>
          <w:rFonts w:hint="eastAsia"/>
          <w:lang w:val="fr-CH"/>
        </w:rPr>
        <w:t>日第</w:t>
      </w:r>
      <w:r w:rsidRPr="00EA208D">
        <w:rPr>
          <w:rFonts w:hint="eastAsia"/>
          <w:lang w:val="fr-CH"/>
        </w:rPr>
        <w:t>18/28</w:t>
      </w:r>
      <w:r w:rsidRPr="00EA208D">
        <w:rPr>
          <w:rFonts w:hint="eastAsia"/>
          <w:lang w:val="fr-CH"/>
        </w:rPr>
        <w:t>号决议，</w:t>
      </w:r>
    </w:p>
    <w:p w:rsidR="008D50FF" w:rsidRPr="00EA208D" w:rsidRDefault="008D50FF" w:rsidP="008D50FF">
      <w:pPr>
        <w:pStyle w:val="SingleTxtGC"/>
        <w:rPr>
          <w:rFonts w:hint="eastAsia"/>
          <w:lang w:val="fr-CH"/>
        </w:rPr>
      </w:pPr>
      <w:r w:rsidRPr="00F66B40">
        <w:rPr>
          <w:rFonts w:hint="eastAsia"/>
        </w:rPr>
        <w:tab/>
      </w:r>
      <w:r w:rsidRPr="00931719">
        <w:rPr>
          <w:rFonts w:eastAsia="KaiTi_GB2312" w:hint="eastAsia"/>
          <w:lang w:val="fr-CH"/>
        </w:rPr>
        <w:t>铭记</w:t>
      </w:r>
      <w:r w:rsidRPr="00EA208D">
        <w:rPr>
          <w:rFonts w:hint="eastAsia"/>
          <w:lang w:val="fr-CH"/>
        </w:rPr>
        <w:t>大会</w:t>
      </w:r>
      <w:r w:rsidRPr="00EA208D">
        <w:rPr>
          <w:rFonts w:hint="eastAsia"/>
          <w:lang w:val="fr-CH"/>
        </w:rPr>
        <w:t>2006</w:t>
      </w:r>
      <w:r w:rsidRPr="00EA208D">
        <w:rPr>
          <w:rFonts w:hint="eastAsia"/>
          <w:lang w:val="fr-CH"/>
        </w:rPr>
        <w:t>年</w:t>
      </w:r>
      <w:r w:rsidRPr="00EA208D">
        <w:rPr>
          <w:rFonts w:hint="eastAsia"/>
          <w:lang w:val="fr-CH"/>
        </w:rPr>
        <w:t>3</w:t>
      </w:r>
      <w:r w:rsidRPr="00EA208D">
        <w:rPr>
          <w:rFonts w:hint="eastAsia"/>
          <w:lang w:val="fr-CH"/>
        </w:rPr>
        <w:t>月</w:t>
      </w:r>
      <w:r w:rsidRPr="00EA208D">
        <w:rPr>
          <w:rFonts w:hint="eastAsia"/>
          <w:lang w:val="fr-CH"/>
        </w:rPr>
        <w:t>16</w:t>
      </w:r>
      <w:r w:rsidRPr="00EA208D">
        <w:rPr>
          <w:rFonts w:hint="eastAsia"/>
          <w:lang w:val="fr-CH"/>
        </w:rPr>
        <w:t>日第</w:t>
      </w:r>
      <w:r w:rsidRPr="00EA208D">
        <w:rPr>
          <w:rFonts w:hint="eastAsia"/>
          <w:lang w:val="fr-CH"/>
        </w:rPr>
        <w:t>60/251</w:t>
      </w:r>
      <w:r w:rsidRPr="00EA208D">
        <w:rPr>
          <w:rFonts w:hint="eastAsia"/>
          <w:lang w:val="fr-CH"/>
        </w:rPr>
        <w:t>号决议第</w:t>
      </w:r>
      <w:r w:rsidRPr="00EA208D">
        <w:rPr>
          <w:rFonts w:hint="eastAsia"/>
          <w:lang w:val="fr-CH"/>
        </w:rPr>
        <w:t>6</w:t>
      </w:r>
      <w:r w:rsidRPr="00EA208D">
        <w:rPr>
          <w:rFonts w:hint="eastAsia"/>
          <w:lang w:val="fr-CH"/>
        </w:rPr>
        <w:t>段，</w:t>
      </w:r>
    </w:p>
    <w:p w:rsidR="008D50FF" w:rsidRDefault="008D50FF" w:rsidP="008D50FF">
      <w:pPr>
        <w:pStyle w:val="SingleTxtGC"/>
        <w:rPr>
          <w:rFonts w:hint="eastAsia"/>
          <w:lang w:val="fr-CH"/>
        </w:rPr>
      </w:pPr>
      <w:r>
        <w:rPr>
          <w:rFonts w:hint="eastAsia"/>
          <w:lang w:val="fr-CH"/>
        </w:rPr>
        <w:tab/>
      </w:r>
      <w:r w:rsidRPr="00931719">
        <w:rPr>
          <w:rFonts w:eastAsia="KaiTi_GB2312" w:hint="eastAsia"/>
          <w:lang w:val="fr-CH"/>
        </w:rPr>
        <w:t>重申</w:t>
      </w:r>
      <w:r w:rsidRPr="00EA208D">
        <w:rPr>
          <w:rFonts w:hint="eastAsia"/>
          <w:lang w:val="fr-CH"/>
        </w:rPr>
        <w:t>各国根据</w:t>
      </w:r>
      <w:r>
        <w:rPr>
          <w:rFonts w:hint="eastAsia"/>
          <w:lang w:val="fr-CH"/>
        </w:rPr>
        <w:t>有</w:t>
      </w:r>
      <w:r w:rsidRPr="00EA208D">
        <w:rPr>
          <w:rFonts w:hint="eastAsia"/>
          <w:lang w:val="fr-CH"/>
        </w:rPr>
        <w:t>关国际人权文书</w:t>
      </w:r>
      <w:r>
        <w:rPr>
          <w:rFonts w:hint="eastAsia"/>
          <w:lang w:val="fr-CH"/>
        </w:rPr>
        <w:t>、</w:t>
      </w:r>
      <w:r w:rsidRPr="00EA208D">
        <w:rPr>
          <w:rFonts w:hint="eastAsia"/>
          <w:lang w:val="fr-CH"/>
        </w:rPr>
        <w:t>尤其是大会</w:t>
      </w:r>
      <w:r w:rsidRPr="00EA208D">
        <w:rPr>
          <w:rFonts w:hint="eastAsia"/>
          <w:lang w:val="fr-CH"/>
        </w:rPr>
        <w:t>1965</w:t>
      </w:r>
      <w:r w:rsidRPr="00EA208D">
        <w:rPr>
          <w:rFonts w:hint="eastAsia"/>
          <w:lang w:val="fr-CH"/>
        </w:rPr>
        <w:t>年</w:t>
      </w:r>
      <w:r w:rsidRPr="00EA208D">
        <w:rPr>
          <w:rFonts w:hint="eastAsia"/>
          <w:lang w:val="fr-CH"/>
        </w:rPr>
        <w:t>12</w:t>
      </w:r>
      <w:r w:rsidRPr="00EA208D">
        <w:rPr>
          <w:rFonts w:hint="eastAsia"/>
          <w:lang w:val="fr-CH"/>
        </w:rPr>
        <w:t>月</w:t>
      </w:r>
      <w:r w:rsidRPr="00EA208D">
        <w:rPr>
          <w:rFonts w:hint="eastAsia"/>
          <w:lang w:val="fr-CH"/>
        </w:rPr>
        <w:t>21</w:t>
      </w:r>
      <w:r w:rsidRPr="00EA208D">
        <w:rPr>
          <w:rFonts w:hint="eastAsia"/>
          <w:lang w:val="fr-CH"/>
        </w:rPr>
        <w:t>日第</w:t>
      </w:r>
      <w:r>
        <w:rPr>
          <w:rFonts w:hint="eastAsia"/>
          <w:lang w:val="fr-CH"/>
        </w:rPr>
        <w:t>2106</w:t>
      </w:r>
      <w:r w:rsidRPr="00EA208D">
        <w:rPr>
          <w:rFonts w:hint="eastAsia"/>
          <w:lang w:val="fr-CH"/>
        </w:rPr>
        <w:t>(XX)</w:t>
      </w:r>
      <w:r w:rsidRPr="00EA208D">
        <w:rPr>
          <w:rFonts w:hint="eastAsia"/>
          <w:lang w:val="fr-CH"/>
        </w:rPr>
        <w:t>号决议通过的《消除一切形式种族歧视国际公约》所承担的义务，</w:t>
      </w:r>
    </w:p>
    <w:p w:rsidR="008D50FF" w:rsidRDefault="008D50FF" w:rsidP="008D50FF">
      <w:pPr>
        <w:pStyle w:val="SingleTxtGC"/>
        <w:rPr>
          <w:rFonts w:hint="eastAsia"/>
          <w:lang w:val="fr-CH"/>
        </w:rPr>
      </w:pPr>
      <w:r w:rsidRPr="00F66B40">
        <w:rPr>
          <w:rFonts w:hint="eastAsia"/>
        </w:rPr>
        <w:tab/>
      </w:r>
      <w:r w:rsidRPr="00931719">
        <w:rPr>
          <w:rFonts w:eastAsia="KaiTi_GB2312" w:hint="eastAsia"/>
          <w:lang w:val="fr-CH"/>
        </w:rPr>
        <w:t>强调</w:t>
      </w:r>
      <w:r w:rsidRPr="00EA208D">
        <w:rPr>
          <w:rFonts w:hint="eastAsia"/>
          <w:lang w:val="fr-CH"/>
        </w:rPr>
        <w:t>反对种族主义、种族歧视、仇外心理和相关不容忍现象世界会议通过的《德班宣言和行动纲领》，仍然是反对种族主义、种族歧视、仇外心理和相关不容忍现象世界会议唯一具有启示性的成果，</w:t>
      </w:r>
      <w:r>
        <w:rPr>
          <w:rFonts w:hint="eastAsia"/>
          <w:lang w:val="fr-CH"/>
        </w:rPr>
        <w:t>其中规定了在各级</w:t>
      </w:r>
      <w:r>
        <w:t>打击各种种族主义祸患</w:t>
      </w:r>
      <w:r>
        <w:rPr>
          <w:rFonts w:hint="eastAsia"/>
        </w:rPr>
        <w:t>的全面措施和补救办法，</w:t>
      </w:r>
    </w:p>
    <w:p w:rsidR="008D50FF" w:rsidRPr="00EA208D" w:rsidRDefault="008D50FF" w:rsidP="008D50FF">
      <w:pPr>
        <w:pStyle w:val="SingleTxtGC"/>
        <w:rPr>
          <w:rFonts w:hint="eastAsia"/>
          <w:lang w:val="fr-CH"/>
        </w:rPr>
      </w:pPr>
      <w:r w:rsidRPr="00F66B40">
        <w:rPr>
          <w:rFonts w:hint="eastAsia"/>
        </w:rPr>
        <w:tab/>
      </w:r>
      <w:r w:rsidRPr="00931719">
        <w:rPr>
          <w:rFonts w:eastAsia="KaiTi_GB2312" w:hint="eastAsia"/>
          <w:lang w:val="fr-CH"/>
        </w:rPr>
        <w:t>回顾</w:t>
      </w:r>
      <w:r w:rsidRPr="00EA208D">
        <w:rPr>
          <w:rFonts w:hint="eastAsia"/>
          <w:lang w:val="fr-CH"/>
        </w:rPr>
        <w:t>人权理事会</w:t>
      </w:r>
      <w:r w:rsidRPr="00EA208D">
        <w:rPr>
          <w:rFonts w:hint="eastAsia"/>
          <w:lang w:val="fr-CH"/>
        </w:rPr>
        <w:t>2007</w:t>
      </w:r>
      <w:r w:rsidRPr="00EA208D">
        <w:rPr>
          <w:rFonts w:hint="eastAsia"/>
          <w:lang w:val="fr-CH"/>
        </w:rPr>
        <w:t>年</w:t>
      </w:r>
      <w:r w:rsidRPr="00EA208D">
        <w:rPr>
          <w:rFonts w:hint="eastAsia"/>
          <w:lang w:val="fr-CH"/>
        </w:rPr>
        <w:t>6</w:t>
      </w:r>
      <w:r w:rsidRPr="00EA208D">
        <w:rPr>
          <w:rFonts w:hint="eastAsia"/>
          <w:lang w:val="fr-CH"/>
        </w:rPr>
        <w:t>月</w:t>
      </w:r>
      <w:r w:rsidRPr="00EA208D">
        <w:rPr>
          <w:rFonts w:hint="eastAsia"/>
          <w:lang w:val="fr-CH"/>
        </w:rPr>
        <w:t>18</w:t>
      </w:r>
      <w:r w:rsidRPr="00EA208D">
        <w:rPr>
          <w:rFonts w:hint="eastAsia"/>
          <w:lang w:val="fr-CH"/>
        </w:rPr>
        <w:t>日关于理事会体制建设的第</w:t>
      </w:r>
      <w:r w:rsidRPr="00EA208D">
        <w:rPr>
          <w:rFonts w:hint="eastAsia"/>
          <w:lang w:val="fr-CH"/>
        </w:rPr>
        <w:t>5/1</w:t>
      </w:r>
      <w:r w:rsidRPr="00EA208D">
        <w:rPr>
          <w:rFonts w:hint="eastAsia"/>
          <w:lang w:val="fr-CH"/>
        </w:rPr>
        <w:t>号决议和关于理事会特别程序任务负责人行为守则的第</w:t>
      </w:r>
      <w:r w:rsidRPr="00EA208D">
        <w:rPr>
          <w:rFonts w:hint="eastAsia"/>
          <w:lang w:val="fr-CH"/>
        </w:rPr>
        <w:t>5/2</w:t>
      </w:r>
      <w:r w:rsidRPr="00EA208D">
        <w:rPr>
          <w:rFonts w:hint="eastAsia"/>
          <w:lang w:val="fr-CH"/>
        </w:rPr>
        <w:t>号决议，强调任务负责人应根据这两项决议及其附件履行职责，</w:t>
      </w:r>
    </w:p>
    <w:p w:rsidR="008D50FF" w:rsidRDefault="008D50FF" w:rsidP="008D50FF">
      <w:pPr>
        <w:pStyle w:val="SingleTxtGC"/>
        <w:rPr>
          <w:rFonts w:hint="eastAsia"/>
          <w:lang w:val="fr-CH"/>
        </w:rPr>
      </w:pPr>
      <w:r>
        <w:rPr>
          <w:rFonts w:hint="eastAsia"/>
          <w:lang w:val="fr-CH"/>
        </w:rPr>
        <w:tab/>
      </w:r>
      <w:r w:rsidRPr="00931719">
        <w:rPr>
          <w:rFonts w:eastAsia="KaiTi_GB2312" w:hint="eastAsia"/>
          <w:lang w:val="fr-CH"/>
        </w:rPr>
        <w:t>强调</w:t>
      </w:r>
      <w:r w:rsidRPr="00EA208D">
        <w:rPr>
          <w:rFonts w:hint="eastAsia"/>
          <w:lang w:val="fr-CH"/>
        </w:rPr>
        <w:t>非洲人后裔问题专家工作组务必完成任务，</w:t>
      </w:r>
    </w:p>
    <w:p w:rsidR="008D50FF" w:rsidRDefault="008D50FF" w:rsidP="008D50FF">
      <w:pPr>
        <w:pStyle w:val="SingleTxtGC"/>
        <w:rPr>
          <w:rFonts w:hint="eastAsia"/>
          <w:lang w:val="fr-CH"/>
        </w:rPr>
      </w:pPr>
      <w:r w:rsidRPr="00F66B40">
        <w:rPr>
          <w:rFonts w:hint="eastAsia"/>
        </w:rPr>
        <w:tab/>
      </w:r>
      <w:r w:rsidRPr="00EA208D">
        <w:rPr>
          <w:rFonts w:hint="eastAsia"/>
          <w:lang w:val="fr-CH"/>
        </w:rPr>
        <w:t>1.</w:t>
      </w:r>
      <w:r w:rsidRPr="00EA208D">
        <w:rPr>
          <w:rFonts w:hint="eastAsia"/>
          <w:lang w:val="fr-CH"/>
        </w:rPr>
        <w:tab/>
      </w:r>
      <w:r w:rsidRPr="00931719">
        <w:rPr>
          <w:rFonts w:eastAsia="KaiTi_GB2312" w:hint="eastAsia"/>
          <w:lang w:val="fr-CH"/>
        </w:rPr>
        <w:t>决定</w:t>
      </w:r>
      <w:r w:rsidRPr="00EA208D">
        <w:rPr>
          <w:rFonts w:hint="eastAsia"/>
          <w:lang w:val="fr-CH"/>
        </w:rPr>
        <w:t>根据人权理事会第</w:t>
      </w:r>
      <w:r w:rsidRPr="00EA208D">
        <w:rPr>
          <w:rFonts w:hint="eastAsia"/>
          <w:lang w:val="fr-CH"/>
        </w:rPr>
        <w:t>9/14</w:t>
      </w:r>
      <w:r>
        <w:rPr>
          <w:rFonts w:hint="eastAsia"/>
          <w:lang w:val="fr-CH"/>
        </w:rPr>
        <w:t>号决议所</w:t>
      </w:r>
      <w:r w:rsidRPr="00EA208D">
        <w:rPr>
          <w:rFonts w:hint="eastAsia"/>
          <w:lang w:val="fr-CH"/>
        </w:rPr>
        <w:t>载的职权范围，将非洲人后裔问题专家工作组的任务再延长三年；</w:t>
      </w:r>
    </w:p>
    <w:p w:rsidR="008D50FF" w:rsidRPr="00EA208D" w:rsidRDefault="008D50FF" w:rsidP="008D50FF">
      <w:pPr>
        <w:pStyle w:val="SingleTxtGC"/>
        <w:rPr>
          <w:rFonts w:hint="eastAsia"/>
          <w:lang w:val="fr-CH"/>
        </w:rPr>
      </w:pPr>
      <w:r w:rsidRPr="00F66B40">
        <w:rPr>
          <w:rFonts w:hint="eastAsia"/>
        </w:rPr>
        <w:tab/>
      </w:r>
      <w:r w:rsidRPr="00EA208D">
        <w:rPr>
          <w:rFonts w:hint="eastAsia"/>
          <w:lang w:val="fr-CH"/>
        </w:rPr>
        <w:t>2.</w:t>
      </w:r>
      <w:r w:rsidRPr="00EA208D">
        <w:rPr>
          <w:rFonts w:hint="eastAsia"/>
          <w:lang w:val="fr-CH"/>
        </w:rPr>
        <w:tab/>
      </w:r>
      <w:r w:rsidRPr="00931719">
        <w:rPr>
          <w:rFonts w:eastAsia="KaiTi_GB2312" w:hint="eastAsia"/>
          <w:lang w:val="fr-CH"/>
        </w:rPr>
        <w:t>又决定</w:t>
      </w:r>
      <w:r w:rsidRPr="00EA208D">
        <w:rPr>
          <w:rFonts w:hint="eastAsia"/>
          <w:lang w:val="fr-CH"/>
        </w:rPr>
        <w:t>工作组每年至少</w:t>
      </w:r>
      <w:r>
        <w:rPr>
          <w:rFonts w:hint="eastAsia"/>
          <w:lang w:val="fr-CH"/>
        </w:rPr>
        <w:t>应</w:t>
      </w:r>
      <w:r w:rsidRPr="00EA208D">
        <w:rPr>
          <w:rFonts w:hint="eastAsia"/>
          <w:lang w:val="fr-CH"/>
        </w:rPr>
        <w:t>进行两次国别访问；</w:t>
      </w:r>
    </w:p>
    <w:p w:rsidR="008D50FF" w:rsidRDefault="008D50FF" w:rsidP="008D50FF">
      <w:pPr>
        <w:pStyle w:val="SingleTxtGC"/>
        <w:rPr>
          <w:rFonts w:hint="eastAsia"/>
          <w:lang w:val="fr-CH"/>
        </w:rPr>
      </w:pPr>
      <w:r>
        <w:rPr>
          <w:rFonts w:hint="eastAsia"/>
          <w:lang w:val="fr-CH"/>
        </w:rPr>
        <w:tab/>
      </w:r>
      <w:r w:rsidRPr="00EA208D">
        <w:rPr>
          <w:rFonts w:hint="eastAsia"/>
          <w:lang w:val="fr-CH"/>
        </w:rPr>
        <w:t>3.</w:t>
      </w:r>
      <w:r w:rsidRPr="00EA208D">
        <w:rPr>
          <w:rFonts w:hint="eastAsia"/>
          <w:lang w:val="fr-CH"/>
        </w:rPr>
        <w:tab/>
      </w:r>
      <w:r w:rsidRPr="00931719">
        <w:rPr>
          <w:rFonts w:eastAsia="KaiTi_GB2312" w:hint="eastAsia"/>
          <w:lang w:val="fr-CH"/>
        </w:rPr>
        <w:t>请</w:t>
      </w:r>
      <w:r w:rsidRPr="00EA208D">
        <w:rPr>
          <w:rFonts w:hint="eastAsia"/>
          <w:lang w:val="fr-CH"/>
        </w:rPr>
        <w:t>各国政府与工作组充分合作以便其履行任务，包括迅速答复工作组的来函，并提供所要资料；</w:t>
      </w:r>
    </w:p>
    <w:p w:rsidR="008D50FF" w:rsidRDefault="008D50FF" w:rsidP="008D50FF">
      <w:pPr>
        <w:pStyle w:val="SingleTxtGC"/>
        <w:rPr>
          <w:rFonts w:hint="eastAsia"/>
          <w:lang w:val="fr-CH"/>
        </w:rPr>
      </w:pPr>
      <w:r w:rsidRPr="00F66B40">
        <w:rPr>
          <w:rFonts w:hint="eastAsia"/>
        </w:rPr>
        <w:tab/>
      </w:r>
      <w:r w:rsidRPr="00EA208D">
        <w:rPr>
          <w:rFonts w:hint="eastAsia"/>
          <w:lang w:val="fr-CH"/>
        </w:rPr>
        <w:t>4.</w:t>
      </w:r>
      <w:r w:rsidRPr="00EA208D">
        <w:rPr>
          <w:rFonts w:hint="eastAsia"/>
          <w:lang w:val="fr-CH"/>
        </w:rPr>
        <w:tab/>
      </w:r>
      <w:r w:rsidRPr="00931719">
        <w:rPr>
          <w:rFonts w:eastAsia="KaiTi_GB2312" w:hint="eastAsia"/>
          <w:lang w:val="fr-CH"/>
        </w:rPr>
        <w:t>请</w:t>
      </w:r>
      <w:r w:rsidRPr="00EA208D">
        <w:rPr>
          <w:rFonts w:hint="eastAsia"/>
          <w:lang w:val="fr-CH"/>
        </w:rPr>
        <w:t>工作组向人权理事会提交一份年度报告，说明工作组开展的与其任务有关的所有活动，并在非洲人后裔国际十年的背景下，向大会提交报告；</w:t>
      </w:r>
    </w:p>
    <w:p w:rsidR="008D50FF" w:rsidRDefault="008D50FF" w:rsidP="008D50FF">
      <w:pPr>
        <w:pStyle w:val="SingleTxtGC"/>
        <w:rPr>
          <w:rFonts w:hint="eastAsia"/>
          <w:lang w:val="fr-CH"/>
        </w:rPr>
      </w:pPr>
      <w:r w:rsidRPr="00F66B40">
        <w:rPr>
          <w:rFonts w:hint="eastAsia"/>
        </w:rPr>
        <w:tab/>
      </w:r>
      <w:r w:rsidRPr="00EA208D">
        <w:rPr>
          <w:rFonts w:hint="eastAsia"/>
          <w:lang w:val="fr-CH"/>
        </w:rPr>
        <w:t>5.</w:t>
      </w:r>
      <w:r w:rsidRPr="00EA208D">
        <w:rPr>
          <w:rFonts w:hint="eastAsia"/>
          <w:lang w:val="fr-CH"/>
        </w:rPr>
        <w:tab/>
      </w:r>
      <w:r w:rsidRPr="00931719">
        <w:rPr>
          <w:rFonts w:eastAsia="KaiTi_GB2312" w:hint="eastAsia"/>
          <w:lang w:val="fr-CH"/>
        </w:rPr>
        <w:t>请</w:t>
      </w:r>
      <w:r w:rsidRPr="00EA208D">
        <w:rPr>
          <w:rFonts w:hint="eastAsia"/>
          <w:lang w:val="fr-CH"/>
        </w:rPr>
        <w:t>各国、非政府组织、</w:t>
      </w:r>
      <w:r>
        <w:rPr>
          <w:rFonts w:hint="eastAsia"/>
          <w:lang w:val="fr-CH"/>
        </w:rPr>
        <w:t>有</w:t>
      </w:r>
      <w:r w:rsidRPr="00EA208D">
        <w:rPr>
          <w:rFonts w:hint="eastAsia"/>
          <w:lang w:val="fr-CH"/>
        </w:rPr>
        <w:t>关人权条约机构、人权理事会特别程序及其他机制、国家人权机构、各种国际金融和发展机构、联合国各专门机构、计</w:t>
      </w:r>
      <w:r w:rsidRPr="00EA208D">
        <w:rPr>
          <w:rFonts w:hint="eastAsia"/>
          <w:lang w:val="fr-CH"/>
        </w:rPr>
        <w:t>(</w:t>
      </w:r>
      <w:r w:rsidRPr="00EA208D">
        <w:rPr>
          <w:rFonts w:hint="eastAsia"/>
          <w:lang w:val="fr-CH"/>
        </w:rPr>
        <w:t>规</w:t>
      </w:r>
      <w:r w:rsidRPr="00EA208D">
        <w:rPr>
          <w:rFonts w:hint="eastAsia"/>
          <w:lang w:val="fr-CH"/>
        </w:rPr>
        <w:t>)</w:t>
      </w:r>
      <w:r w:rsidRPr="00EA208D">
        <w:rPr>
          <w:rFonts w:hint="eastAsia"/>
          <w:lang w:val="fr-CH"/>
        </w:rPr>
        <w:t>划署和基金</w:t>
      </w:r>
      <w:r w:rsidRPr="00EA208D">
        <w:rPr>
          <w:rFonts w:hint="eastAsia"/>
          <w:lang w:val="fr-CH"/>
        </w:rPr>
        <w:t>(</w:t>
      </w:r>
      <w:r>
        <w:rPr>
          <w:rFonts w:hint="eastAsia"/>
          <w:lang w:val="fr-CH"/>
        </w:rPr>
        <w:t>会</w:t>
      </w:r>
      <w:r w:rsidRPr="00EA208D">
        <w:rPr>
          <w:rFonts w:hint="eastAsia"/>
          <w:lang w:val="fr-CH"/>
        </w:rPr>
        <w:t>)</w:t>
      </w:r>
      <w:r w:rsidRPr="00EA208D">
        <w:rPr>
          <w:rFonts w:hint="eastAsia"/>
          <w:lang w:val="fr-CH"/>
        </w:rPr>
        <w:t>与工作组合作，其中主要是向工作组提供必要资料，并在可能的情况下提供报告，使工作组能够开展任务、包括外派任务；</w:t>
      </w:r>
    </w:p>
    <w:p w:rsidR="008D50FF" w:rsidRDefault="008D50FF" w:rsidP="008D50FF">
      <w:pPr>
        <w:pStyle w:val="SingleTxtGC"/>
        <w:rPr>
          <w:rFonts w:hint="eastAsia"/>
          <w:lang w:val="fr-CH"/>
        </w:rPr>
      </w:pPr>
      <w:r w:rsidRPr="00F66B40">
        <w:rPr>
          <w:rFonts w:hint="eastAsia"/>
        </w:rPr>
        <w:tab/>
      </w:r>
      <w:r w:rsidRPr="00EA208D">
        <w:rPr>
          <w:rFonts w:hint="eastAsia"/>
          <w:lang w:val="fr-CH"/>
        </w:rPr>
        <w:t>6.</w:t>
      </w:r>
      <w:r w:rsidRPr="00EA208D">
        <w:rPr>
          <w:rFonts w:hint="eastAsia"/>
          <w:lang w:val="fr-CH"/>
        </w:rPr>
        <w:tab/>
      </w:r>
      <w:r w:rsidRPr="00931719">
        <w:rPr>
          <w:rFonts w:eastAsia="KaiTi_GB2312" w:hint="eastAsia"/>
          <w:lang w:val="fr-CH"/>
        </w:rPr>
        <w:t>请</w:t>
      </w:r>
      <w:r w:rsidRPr="00EA208D">
        <w:rPr>
          <w:rFonts w:hint="eastAsia"/>
          <w:lang w:val="fr-CH"/>
        </w:rPr>
        <w:t>秘书长和联合国人权事务高级专员向工作组提供切实完成任务所需的一切人力、技术和财政援助；</w:t>
      </w:r>
    </w:p>
    <w:p w:rsidR="008D50FF" w:rsidRDefault="008D50FF" w:rsidP="008D50FF">
      <w:pPr>
        <w:pStyle w:val="SingleTxtGC"/>
        <w:rPr>
          <w:rFonts w:hint="eastAsia"/>
          <w:lang w:val="fr-CH"/>
        </w:rPr>
      </w:pPr>
      <w:r w:rsidRPr="00F66B40">
        <w:rPr>
          <w:rFonts w:hint="eastAsia"/>
        </w:rPr>
        <w:tab/>
      </w:r>
      <w:r w:rsidRPr="00EA208D">
        <w:rPr>
          <w:rFonts w:hint="eastAsia"/>
          <w:lang w:val="fr-CH"/>
        </w:rPr>
        <w:t>7.</w:t>
      </w:r>
      <w:r w:rsidRPr="00EA208D">
        <w:rPr>
          <w:rFonts w:hint="eastAsia"/>
          <w:lang w:val="fr-CH"/>
        </w:rPr>
        <w:tab/>
      </w:r>
      <w:r w:rsidRPr="00931719">
        <w:rPr>
          <w:rFonts w:eastAsia="KaiTi_GB2312" w:hint="eastAsia"/>
          <w:lang w:val="fr-CH"/>
        </w:rPr>
        <w:t>回顾</w:t>
      </w:r>
      <w:r w:rsidRPr="00EA208D">
        <w:rPr>
          <w:rFonts w:hint="eastAsia"/>
          <w:lang w:val="fr-CH"/>
        </w:rPr>
        <w:t>主要为非洲人后裔、发展中国家、特别是最不发达国家的代表、非政府组织和专家参加工作组不限成员名额的会议提供额外资源而设立了一个自愿基金</w:t>
      </w:r>
      <w:r>
        <w:rPr>
          <w:rFonts w:hint="eastAsia"/>
          <w:lang w:val="fr-CH"/>
        </w:rPr>
        <w:t>；</w:t>
      </w:r>
      <w:r w:rsidRPr="00EA208D">
        <w:rPr>
          <w:rFonts w:hint="eastAsia"/>
          <w:lang w:val="fr-CH"/>
        </w:rPr>
        <w:t>请各国向该基金捐款；</w:t>
      </w:r>
    </w:p>
    <w:p w:rsidR="008D50FF" w:rsidRPr="00EA208D" w:rsidRDefault="008D50FF" w:rsidP="008D50FF">
      <w:pPr>
        <w:pStyle w:val="SingleTxtGC"/>
        <w:rPr>
          <w:rFonts w:hint="eastAsia"/>
          <w:lang w:val="fr-CH"/>
        </w:rPr>
      </w:pPr>
      <w:r w:rsidRPr="00F66B40">
        <w:rPr>
          <w:rFonts w:hint="eastAsia"/>
        </w:rPr>
        <w:tab/>
      </w:r>
      <w:r w:rsidRPr="00EA208D">
        <w:rPr>
          <w:rFonts w:hint="eastAsia"/>
          <w:lang w:val="fr-CH"/>
        </w:rPr>
        <w:t>8.</w:t>
      </w:r>
      <w:r w:rsidRPr="00EA208D">
        <w:rPr>
          <w:rFonts w:hint="eastAsia"/>
          <w:lang w:val="fr-CH"/>
        </w:rPr>
        <w:tab/>
      </w:r>
      <w:r w:rsidRPr="00931719">
        <w:rPr>
          <w:rFonts w:eastAsia="KaiTi_GB2312" w:hint="eastAsia"/>
          <w:lang w:val="fr-CH"/>
        </w:rPr>
        <w:t>决定</w:t>
      </w:r>
      <w:r w:rsidRPr="00EA208D">
        <w:rPr>
          <w:rFonts w:hint="eastAsia"/>
          <w:lang w:val="fr-CH"/>
        </w:rPr>
        <w:t>继续处理这一重要</w:t>
      </w:r>
      <w:r>
        <w:rPr>
          <w:rFonts w:hint="eastAsia"/>
          <w:lang w:val="fr-CH"/>
        </w:rPr>
        <w:t>议</w:t>
      </w:r>
      <w:r w:rsidRPr="00EA208D">
        <w:rPr>
          <w:rFonts w:hint="eastAsia"/>
          <w:lang w:val="fr-CH"/>
        </w:rPr>
        <w:t>题。</w:t>
      </w:r>
    </w:p>
    <w:p w:rsidR="008D50FF" w:rsidRPr="00E62F5C" w:rsidRDefault="008D50FF" w:rsidP="00246790">
      <w:pPr>
        <w:pStyle w:val="SingleTxtGC"/>
        <w:spacing w:after="0"/>
        <w:ind w:left="6804"/>
        <w:jc w:val="left"/>
        <w:rPr>
          <w:rFonts w:hint="eastAsia"/>
          <w:lang w:val="fr-FR"/>
        </w:rPr>
      </w:pPr>
      <w:r>
        <w:rPr>
          <w:rFonts w:eastAsia="KaiTi_GB2312" w:hint="eastAsia"/>
        </w:rPr>
        <w:t>2</w:t>
      </w:r>
      <w:r w:rsidRPr="00331E83">
        <w:rPr>
          <w:rFonts w:eastAsia="KaiTi_GB2312" w:hint="eastAsia"/>
        </w:rPr>
        <w:t>01</w:t>
      </w:r>
      <w:r>
        <w:rPr>
          <w:rFonts w:eastAsia="KaiTi_GB2312" w:hint="eastAsia"/>
        </w:rPr>
        <w:t>4</w:t>
      </w:r>
      <w:r w:rsidRPr="00331E83">
        <w:rPr>
          <w:rFonts w:eastAsia="KaiTi_GB2312" w:hint="eastAsia"/>
        </w:rPr>
        <w:t>年</w:t>
      </w:r>
      <w:r>
        <w:rPr>
          <w:rFonts w:eastAsia="KaiTi_GB2312" w:hint="eastAsia"/>
        </w:rPr>
        <w:t>9</w:t>
      </w:r>
      <w:r w:rsidRPr="00331E83">
        <w:rPr>
          <w:rFonts w:eastAsia="KaiTi_GB2312" w:hint="eastAsia"/>
        </w:rPr>
        <w:t>月</w:t>
      </w:r>
      <w:r>
        <w:rPr>
          <w:rFonts w:eastAsia="KaiTi_GB2312" w:hint="eastAsia"/>
        </w:rPr>
        <w:t>26</w:t>
      </w:r>
      <w:r w:rsidRPr="00331E83">
        <w:rPr>
          <w:rFonts w:eastAsia="KaiTi_GB2312" w:hint="eastAsia"/>
        </w:rPr>
        <w:t>日</w:t>
      </w:r>
    </w:p>
    <w:p w:rsidR="008D50FF" w:rsidRDefault="008D50FF" w:rsidP="00516821">
      <w:pPr>
        <w:pStyle w:val="SingleTxtGC"/>
        <w:spacing w:after="240"/>
        <w:ind w:left="6804"/>
        <w:jc w:val="left"/>
        <w:rPr>
          <w:rFonts w:eastAsia="KaiTi_GB2312" w:hint="eastAsia"/>
        </w:rPr>
      </w:pPr>
      <w:r w:rsidRPr="00331E83">
        <w:rPr>
          <w:rFonts w:eastAsia="KaiTi_GB2312" w:hint="eastAsia"/>
        </w:rPr>
        <w:t>第</w:t>
      </w:r>
      <w:r>
        <w:rPr>
          <w:rFonts w:eastAsia="KaiTi_GB2312" w:hint="eastAsia"/>
        </w:rPr>
        <w:t>40</w:t>
      </w:r>
      <w:r w:rsidRPr="00331E83">
        <w:rPr>
          <w:rFonts w:eastAsia="KaiTi_GB2312" w:hint="eastAsia"/>
        </w:rPr>
        <w:t>次会议</w:t>
      </w:r>
    </w:p>
    <w:p w:rsidR="008D50FF" w:rsidRPr="00CD4D62" w:rsidRDefault="008D50FF" w:rsidP="008D50FF">
      <w:pPr>
        <w:pStyle w:val="SingleTxtGC"/>
        <w:rPr>
          <w:rFonts w:eastAsia="KaiTi_GB2312" w:hint="eastAsia"/>
        </w:rPr>
      </w:pPr>
      <w:r w:rsidRPr="007C5D9D">
        <w:rPr>
          <w:rFonts w:hint="eastAsia"/>
        </w:rPr>
        <w:t>[</w:t>
      </w:r>
      <w:r w:rsidRPr="007C5D9D">
        <w:rPr>
          <w:rFonts w:hint="eastAsia"/>
        </w:rPr>
        <w:t>未经表决获得通过。</w:t>
      </w:r>
      <w:r w:rsidRPr="007C5D9D">
        <w:rPr>
          <w:rFonts w:hint="eastAsia"/>
        </w:rPr>
        <w:t>]</w:t>
      </w:r>
    </w:p>
    <w:p w:rsidR="00F53D4C" w:rsidRDefault="00F53D4C" w:rsidP="008D50FF">
      <w:pPr>
        <w:jc w:val="center"/>
        <w:rPr>
          <w:rFonts w:eastAsia="SimHei" w:hint="eastAsia"/>
          <w:lang w:val="fr-CH"/>
        </w:rPr>
      </w:pPr>
    </w:p>
    <w:p w:rsidR="008D50FF" w:rsidRPr="002D6A9C" w:rsidRDefault="008D50F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53D4C" w:rsidRDefault="00F53D4C" w:rsidP="008D50FF">
      <w:pPr>
        <w:pStyle w:val="HChGC"/>
        <w:rPr>
          <w:rFonts w:hint="eastAsia"/>
        </w:rPr>
      </w:pPr>
    </w:p>
    <w:sectPr w:rsidR="00F53D4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5D" w:rsidRPr="00E0554F" w:rsidRDefault="0082675D"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2675D" w:rsidRPr="00E0554F" w:rsidRDefault="0082675D"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5D" w:rsidRPr="00FB0F3E" w:rsidRDefault="0082675D"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AF1118">
      <w:rPr>
        <w:rStyle w:val="PageNumber"/>
        <w:noProof/>
      </w:rPr>
      <w:t>2</w:t>
    </w:r>
    <w:r>
      <w:rPr>
        <w:rStyle w:val="PageNumber"/>
      </w:rPr>
      <w:fldChar w:fldCharType="end"/>
    </w:r>
    <w:r>
      <w:rPr>
        <w:rStyle w:val="PageNumber"/>
        <w:rFonts w:eastAsia="SimSun" w:hint="eastAsia"/>
        <w:lang w:eastAsia="zh-CN"/>
      </w:rPr>
      <w:tab/>
    </w:r>
    <w:r w:rsidRPr="00FB0F3E">
      <w:rPr>
        <w:rFonts w:eastAsia="SimSun"/>
        <w:lang w:eastAsia="zh-CN"/>
      </w:rPr>
      <w:t>GE.14-17737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5D" w:rsidRDefault="0082675D">
    <w:pPr>
      <w:pStyle w:val="Footer"/>
      <w:tabs>
        <w:tab w:val="right" w:pos="9639"/>
      </w:tabs>
    </w:pPr>
    <w:r w:rsidRPr="00FB0F3E">
      <w:rPr>
        <w:rFonts w:eastAsia="SimSun"/>
        <w:lang w:eastAsia="zh-CN"/>
      </w:rPr>
      <w:t>GE.14-17737</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5D" w:rsidRDefault="0082675D"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5&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17737</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91</w:t>
    </w:r>
    <w:r>
      <w:rPr>
        <w:rFonts w:eastAsia="SimSun"/>
        <w:sz w:val="20"/>
        <w:lang w:eastAsia="zh-CN"/>
      </w:rPr>
      <w:t>0</w:t>
    </w:r>
    <w:r>
      <w:rPr>
        <w:rFonts w:eastAsia="SimSun" w:hint="eastAsia"/>
        <w:sz w:val="20"/>
        <w:lang w:eastAsia="zh-CN"/>
      </w:rPr>
      <w:t>14</w:t>
    </w:r>
    <w:r>
      <w:rPr>
        <w:rFonts w:eastAsia="SimSun"/>
        <w:sz w:val="20"/>
        <w:lang w:eastAsia="zh-CN"/>
      </w:rPr>
      <w:tab/>
    </w:r>
    <w:r w:rsidRPr="00EE277A">
      <w:rPr>
        <w:rFonts w:eastAsia="SimSun"/>
        <w:sz w:val="20"/>
        <w:lang w:eastAsia="zh-CN"/>
      </w:rPr>
      <w:t>0</w:t>
    </w:r>
    <w:r>
      <w:rPr>
        <w:rFonts w:eastAsia="SimSun" w:hint="eastAsia"/>
        <w:sz w:val="20"/>
        <w:lang w:eastAsia="zh-CN"/>
      </w:rPr>
      <w:t>91</w:t>
    </w:r>
    <w:r>
      <w:rPr>
        <w:rFonts w:eastAsia="SimSun"/>
        <w:sz w:val="20"/>
        <w:lang w:eastAsia="zh-CN"/>
      </w:rPr>
      <w:t>0</w:t>
    </w:r>
    <w:r>
      <w:rPr>
        <w:rFonts w:eastAsia="SimSun" w:hint="eastAsia"/>
        <w:sz w:val="20"/>
        <w:lang w:eastAsia="zh-CN"/>
      </w:rPr>
      <w:t>14</w:t>
    </w:r>
  </w:p>
  <w:p w:rsidR="0082675D" w:rsidRPr="00613337" w:rsidRDefault="0082675D"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FB0F3E">
      <w:rPr>
        <w:rFonts w:ascii="C39T30Lfz" w:eastAsia="SimSun" w:hAnsi="C39T30Lfz"/>
        <w:sz w:val="56"/>
        <w:szCs w:val="56"/>
        <w:lang w:eastAsia="zh-CN"/>
      </w:rPr>
      <w:t></w:t>
    </w:r>
    <w:r w:rsidRPr="00FB0F3E">
      <w:rPr>
        <w:rFonts w:ascii="C39T30Lfz" w:eastAsia="SimSun" w:hAnsi="C39T30Lfz"/>
        <w:sz w:val="56"/>
        <w:szCs w:val="56"/>
        <w:lang w:eastAsia="zh-CN"/>
      </w:rPr>
      <w:t></w:t>
    </w:r>
    <w:r w:rsidRPr="00FB0F3E">
      <w:rPr>
        <w:rFonts w:ascii="C39T30Lfz" w:eastAsia="SimSun" w:hAnsi="C39T30Lfz"/>
        <w:sz w:val="56"/>
        <w:szCs w:val="56"/>
        <w:lang w:eastAsia="zh-CN"/>
      </w:rPr>
      <w:t></w:t>
    </w:r>
    <w:r w:rsidRPr="00FB0F3E">
      <w:rPr>
        <w:rFonts w:ascii="C39T30Lfz" w:eastAsia="SimSun" w:hAnsi="C39T30Lfz"/>
        <w:sz w:val="56"/>
        <w:szCs w:val="56"/>
        <w:lang w:eastAsia="zh-CN"/>
      </w:rPr>
      <w:t></w:t>
    </w:r>
    <w:r w:rsidRPr="00FB0F3E">
      <w:rPr>
        <w:rFonts w:ascii="C39T30Lfz" w:eastAsia="SimSun" w:hAnsi="C39T30Lfz"/>
        <w:sz w:val="56"/>
        <w:szCs w:val="56"/>
        <w:lang w:eastAsia="zh-CN"/>
      </w:rPr>
      <w:t></w:t>
    </w:r>
    <w:r w:rsidRPr="00FB0F3E">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5D" w:rsidRPr="000157B1" w:rsidRDefault="0082675D"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82675D" w:rsidRPr="000157B1" w:rsidRDefault="0082675D"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82675D" w:rsidRDefault="008267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5D" w:rsidRPr="00FB0F3E" w:rsidRDefault="0082675D">
    <w:pPr>
      <w:pStyle w:val="Header"/>
    </w:pPr>
    <w:r w:rsidRPr="00FB0F3E">
      <w:t>A/HRC/RES/27/25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5D" w:rsidRPr="00FB0F3E" w:rsidRDefault="0082675D">
    <w:pPr>
      <w:pStyle w:val="Header"/>
      <w:jc w:val="right"/>
      <w:rPr>
        <w:rFonts w:hint="eastAsia"/>
        <w:lang w:eastAsia="zh-CN"/>
      </w:rPr>
    </w:pPr>
    <w:r w:rsidRPr="00FB0F3E">
      <w:rPr>
        <w:lang w:eastAsia="zh-CN"/>
      </w:rPr>
      <w:t>A/HRC/RES/27/25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0F3E"/>
    <w:rsid w:val="0000411A"/>
    <w:rsid w:val="00005A89"/>
    <w:rsid w:val="00007BCF"/>
    <w:rsid w:val="000157B1"/>
    <w:rsid w:val="00050226"/>
    <w:rsid w:val="0005102E"/>
    <w:rsid w:val="000637CE"/>
    <w:rsid w:val="00082E10"/>
    <w:rsid w:val="000A03EB"/>
    <w:rsid w:val="000A7C04"/>
    <w:rsid w:val="000C416A"/>
    <w:rsid w:val="000D1E21"/>
    <w:rsid w:val="000D39E1"/>
    <w:rsid w:val="000F5937"/>
    <w:rsid w:val="00100536"/>
    <w:rsid w:val="00107C15"/>
    <w:rsid w:val="00107C77"/>
    <w:rsid w:val="00111D10"/>
    <w:rsid w:val="001244CE"/>
    <w:rsid w:val="00125776"/>
    <w:rsid w:val="00127C05"/>
    <w:rsid w:val="00132181"/>
    <w:rsid w:val="00140B6A"/>
    <w:rsid w:val="00145946"/>
    <w:rsid w:val="00145C92"/>
    <w:rsid w:val="001613CE"/>
    <w:rsid w:val="00165F4E"/>
    <w:rsid w:val="001A23E8"/>
    <w:rsid w:val="001A2F1C"/>
    <w:rsid w:val="001A5624"/>
    <w:rsid w:val="001B11DB"/>
    <w:rsid w:val="001C1935"/>
    <w:rsid w:val="001C3E9A"/>
    <w:rsid w:val="0024012F"/>
    <w:rsid w:val="00246790"/>
    <w:rsid w:val="002629D4"/>
    <w:rsid w:val="00280515"/>
    <w:rsid w:val="00286515"/>
    <w:rsid w:val="002D31D6"/>
    <w:rsid w:val="002D3FCB"/>
    <w:rsid w:val="002E68BE"/>
    <w:rsid w:val="002F3F47"/>
    <w:rsid w:val="002F6678"/>
    <w:rsid w:val="00306AE9"/>
    <w:rsid w:val="00315796"/>
    <w:rsid w:val="00322B61"/>
    <w:rsid w:val="00322F28"/>
    <w:rsid w:val="003734E0"/>
    <w:rsid w:val="00382B00"/>
    <w:rsid w:val="003836F1"/>
    <w:rsid w:val="00385C14"/>
    <w:rsid w:val="003A79F6"/>
    <w:rsid w:val="003B038F"/>
    <w:rsid w:val="003C27FE"/>
    <w:rsid w:val="003F65D6"/>
    <w:rsid w:val="003F7BF8"/>
    <w:rsid w:val="00400A2E"/>
    <w:rsid w:val="00407FCF"/>
    <w:rsid w:val="0044178A"/>
    <w:rsid w:val="00453A81"/>
    <w:rsid w:val="00467D72"/>
    <w:rsid w:val="004746B9"/>
    <w:rsid w:val="004755EF"/>
    <w:rsid w:val="004858FB"/>
    <w:rsid w:val="00486766"/>
    <w:rsid w:val="00487358"/>
    <w:rsid w:val="00497F5C"/>
    <w:rsid w:val="004B6DD4"/>
    <w:rsid w:val="004C5291"/>
    <w:rsid w:val="004D1280"/>
    <w:rsid w:val="004D7F04"/>
    <w:rsid w:val="004E6C67"/>
    <w:rsid w:val="004F7C9A"/>
    <w:rsid w:val="00500866"/>
    <w:rsid w:val="00516821"/>
    <w:rsid w:val="00535843"/>
    <w:rsid w:val="00571343"/>
    <w:rsid w:val="00572547"/>
    <w:rsid w:val="00582C70"/>
    <w:rsid w:val="005906E6"/>
    <w:rsid w:val="005A5B0A"/>
    <w:rsid w:val="005B0D8A"/>
    <w:rsid w:val="005F34AF"/>
    <w:rsid w:val="005F4B29"/>
    <w:rsid w:val="00613337"/>
    <w:rsid w:val="00614D7D"/>
    <w:rsid w:val="00630755"/>
    <w:rsid w:val="00637441"/>
    <w:rsid w:val="00637834"/>
    <w:rsid w:val="00647FD7"/>
    <w:rsid w:val="00654172"/>
    <w:rsid w:val="00670C28"/>
    <w:rsid w:val="0067129C"/>
    <w:rsid w:val="00690C33"/>
    <w:rsid w:val="00697A6C"/>
    <w:rsid w:val="006B1273"/>
    <w:rsid w:val="006B3300"/>
    <w:rsid w:val="006B3471"/>
    <w:rsid w:val="006D002F"/>
    <w:rsid w:val="006E0708"/>
    <w:rsid w:val="006E3CD4"/>
    <w:rsid w:val="006E7DF9"/>
    <w:rsid w:val="006E7E21"/>
    <w:rsid w:val="007131E3"/>
    <w:rsid w:val="00717C19"/>
    <w:rsid w:val="007418FE"/>
    <w:rsid w:val="007448F2"/>
    <w:rsid w:val="00751C2E"/>
    <w:rsid w:val="007522B5"/>
    <w:rsid w:val="00785BE9"/>
    <w:rsid w:val="00786BD2"/>
    <w:rsid w:val="0079116A"/>
    <w:rsid w:val="00796BD3"/>
    <w:rsid w:val="00796EDF"/>
    <w:rsid w:val="007B585B"/>
    <w:rsid w:val="007C0B4E"/>
    <w:rsid w:val="007D00F8"/>
    <w:rsid w:val="007D0842"/>
    <w:rsid w:val="007D7229"/>
    <w:rsid w:val="007E7822"/>
    <w:rsid w:val="007F501B"/>
    <w:rsid w:val="00801DCC"/>
    <w:rsid w:val="008029AD"/>
    <w:rsid w:val="0082049D"/>
    <w:rsid w:val="00824A57"/>
    <w:rsid w:val="0082675D"/>
    <w:rsid w:val="0083180F"/>
    <w:rsid w:val="00885DC7"/>
    <w:rsid w:val="00890356"/>
    <w:rsid w:val="008A322C"/>
    <w:rsid w:val="008A6AB8"/>
    <w:rsid w:val="008D50FF"/>
    <w:rsid w:val="008E736A"/>
    <w:rsid w:val="009006FB"/>
    <w:rsid w:val="00964622"/>
    <w:rsid w:val="0096567D"/>
    <w:rsid w:val="009B1BD6"/>
    <w:rsid w:val="009B419F"/>
    <w:rsid w:val="009D60E5"/>
    <w:rsid w:val="009F6C52"/>
    <w:rsid w:val="009F7338"/>
    <w:rsid w:val="00A067AD"/>
    <w:rsid w:val="00A26748"/>
    <w:rsid w:val="00A36F72"/>
    <w:rsid w:val="00A67F3E"/>
    <w:rsid w:val="00A95BD9"/>
    <w:rsid w:val="00A97235"/>
    <w:rsid w:val="00AC4599"/>
    <w:rsid w:val="00AD6719"/>
    <w:rsid w:val="00AE4D20"/>
    <w:rsid w:val="00AF1118"/>
    <w:rsid w:val="00B16973"/>
    <w:rsid w:val="00B30642"/>
    <w:rsid w:val="00B34537"/>
    <w:rsid w:val="00B61E34"/>
    <w:rsid w:val="00B624FD"/>
    <w:rsid w:val="00B82B2A"/>
    <w:rsid w:val="00B8703D"/>
    <w:rsid w:val="00B9104B"/>
    <w:rsid w:val="00B97559"/>
    <w:rsid w:val="00BC2A65"/>
    <w:rsid w:val="00BC3D38"/>
    <w:rsid w:val="00BE4EAA"/>
    <w:rsid w:val="00BF6DC5"/>
    <w:rsid w:val="00BF7E3F"/>
    <w:rsid w:val="00C143D7"/>
    <w:rsid w:val="00C435EE"/>
    <w:rsid w:val="00C62277"/>
    <w:rsid w:val="00C623B2"/>
    <w:rsid w:val="00C80DA9"/>
    <w:rsid w:val="00C862E5"/>
    <w:rsid w:val="00CA073C"/>
    <w:rsid w:val="00CA4105"/>
    <w:rsid w:val="00CE6DB5"/>
    <w:rsid w:val="00D2146D"/>
    <w:rsid w:val="00D43F71"/>
    <w:rsid w:val="00D445AD"/>
    <w:rsid w:val="00D54DF4"/>
    <w:rsid w:val="00D56026"/>
    <w:rsid w:val="00D619F6"/>
    <w:rsid w:val="00D84673"/>
    <w:rsid w:val="00DA7104"/>
    <w:rsid w:val="00DD66BC"/>
    <w:rsid w:val="00DF4798"/>
    <w:rsid w:val="00E05040"/>
    <w:rsid w:val="00E0554F"/>
    <w:rsid w:val="00E1548B"/>
    <w:rsid w:val="00E40A46"/>
    <w:rsid w:val="00E422D4"/>
    <w:rsid w:val="00E54840"/>
    <w:rsid w:val="00E62561"/>
    <w:rsid w:val="00E911E5"/>
    <w:rsid w:val="00E91C05"/>
    <w:rsid w:val="00EE0918"/>
    <w:rsid w:val="00EE277A"/>
    <w:rsid w:val="00EF3508"/>
    <w:rsid w:val="00F02CA4"/>
    <w:rsid w:val="00F41BAF"/>
    <w:rsid w:val="00F50AC2"/>
    <w:rsid w:val="00F50CB9"/>
    <w:rsid w:val="00F53D4C"/>
    <w:rsid w:val="00F54A14"/>
    <w:rsid w:val="00F61015"/>
    <w:rsid w:val="00F70079"/>
    <w:rsid w:val="00F72A3C"/>
    <w:rsid w:val="00F75048"/>
    <w:rsid w:val="00F75357"/>
    <w:rsid w:val="00F806C4"/>
    <w:rsid w:val="00FB0F3E"/>
    <w:rsid w:val="00FC6A02"/>
    <w:rsid w:val="00FD07F6"/>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SingleTxtGCChar">
    <w:name w:val="_ Single Txt_GC Char"/>
    <w:link w:val="SingleTxtGC"/>
    <w:locked/>
    <w:rsid w:val="008D50FF"/>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2</Pages>
  <Words>590</Words>
  <Characters>673</Characters>
  <Application>Microsoft Office Outlook</Application>
  <DocSecurity>4</DocSecurity>
  <Lines>35</Lines>
  <Paragraphs>34</Paragraphs>
  <ScaleCrop>false</ScaleCrop>
  <Company>CSD</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2014-10-09T09:08:00Z</cp:lastPrinted>
  <dcterms:created xsi:type="dcterms:W3CDTF">2014-10-09T09:08:00Z</dcterms:created>
  <dcterms:modified xsi:type="dcterms:W3CDTF">2014-10-09T09:08:00Z</dcterms:modified>
</cp:coreProperties>
</file>