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57BC0" w:rsidRPr="00DB58B5" w:rsidTr="00BA18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C717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C717E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5936BF" w:rsidP="005936BF">
            <w:pPr>
              <w:jc w:val="right"/>
            </w:pPr>
            <w:r w:rsidRPr="005936BF">
              <w:rPr>
                <w:sz w:val="40"/>
              </w:rPr>
              <w:t>A</w:t>
            </w:r>
            <w:r>
              <w:t>/HRC/RES/27/25</w:t>
            </w:r>
          </w:p>
        </w:tc>
      </w:tr>
      <w:tr w:rsidR="00057BC0" w:rsidRPr="00DB58B5" w:rsidTr="00C71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C717E0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057BC0" w:rsidP="00C717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36BF" w:rsidRDefault="005936BF" w:rsidP="00C717E0">
            <w:pPr>
              <w:spacing w:before="240"/>
            </w:pPr>
            <w:r>
              <w:t>Distr. générale</w:t>
            </w:r>
          </w:p>
          <w:p w:rsidR="005936BF" w:rsidRDefault="005936BF" w:rsidP="005936BF">
            <w:pPr>
              <w:spacing w:line="240" w:lineRule="exact"/>
            </w:pPr>
            <w:r>
              <w:t>2 octobre 2014</w:t>
            </w:r>
          </w:p>
          <w:p w:rsidR="005936BF" w:rsidRDefault="005936BF" w:rsidP="005936BF">
            <w:pPr>
              <w:spacing w:line="240" w:lineRule="exact"/>
            </w:pPr>
            <w:r>
              <w:t>Français</w:t>
            </w:r>
          </w:p>
          <w:p w:rsidR="00057BC0" w:rsidRPr="00DB58B5" w:rsidRDefault="005936BF" w:rsidP="005936BF">
            <w:pPr>
              <w:spacing w:line="240" w:lineRule="exact"/>
            </w:pPr>
            <w:r>
              <w:t>Original: anglais</w:t>
            </w:r>
          </w:p>
        </w:tc>
      </w:tr>
    </w:tbl>
    <w:p w:rsidR="00BA184E" w:rsidRPr="00BA184E" w:rsidRDefault="00BA184E" w:rsidP="001B6907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1947F5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5936BF" w:rsidRPr="005D75D4" w:rsidRDefault="005936BF" w:rsidP="005936BF">
      <w:pPr>
        <w:rPr>
          <w:b/>
          <w:lang w:val="fr-FR"/>
        </w:rPr>
      </w:pPr>
      <w:r w:rsidRPr="005D75D4">
        <w:rPr>
          <w:rStyle w:val="Normal"/>
          <w:b/>
          <w:lang w:val="fr-FR"/>
        </w:rPr>
        <w:t>Vingt-septième session</w:t>
      </w:r>
    </w:p>
    <w:p w:rsidR="005936BF" w:rsidRPr="005D75D4" w:rsidRDefault="005936BF" w:rsidP="005936BF">
      <w:pPr>
        <w:rPr>
          <w:lang w:val="fr-FR"/>
        </w:rPr>
      </w:pPr>
      <w:r w:rsidRPr="005D75D4">
        <w:rPr>
          <w:rStyle w:val="Normal"/>
          <w:lang w:val="fr-FR"/>
        </w:rPr>
        <w:t>Point 9 de l</w:t>
      </w:r>
      <w:r w:rsidR="001947F5">
        <w:rPr>
          <w:rStyle w:val="Normal"/>
          <w:lang w:val="fr-FR"/>
        </w:rPr>
        <w:t>’</w:t>
      </w:r>
      <w:r w:rsidRPr="005D75D4">
        <w:rPr>
          <w:rStyle w:val="Normal"/>
          <w:lang w:val="fr-FR"/>
        </w:rPr>
        <w:t>ordre du jour</w:t>
      </w:r>
    </w:p>
    <w:p w:rsidR="005936BF" w:rsidRPr="005D75D4" w:rsidRDefault="005936BF" w:rsidP="005936BF">
      <w:pPr>
        <w:rPr>
          <w:b/>
          <w:lang w:val="fr-FR"/>
        </w:rPr>
      </w:pPr>
      <w:r w:rsidRPr="005D75D4">
        <w:rPr>
          <w:b/>
          <w:lang w:val="fr-FR"/>
        </w:rPr>
        <w:t>Le racisme, la discri</w:t>
      </w:r>
      <w:r>
        <w:rPr>
          <w:b/>
          <w:lang w:val="fr-FR"/>
        </w:rPr>
        <w:t>mination raciale, la xénophobie</w:t>
      </w:r>
      <w:r>
        <w:rPr>
          <w:b/>
          <w:lang w:val="fr-FR"/>
        </w:rPr>
        <w:br/>
      </w:r>
      <w:r w:rsidRPr="005D75D4">
        <w:rPr>
          <w:b/>
          <w:lang w:val="fr-FR"/>
        </w:rPr>
        <w:t>et l</w:t>
      </w:r>
      <w:r w:rsidR="001947F5">
        <w:rPr>
          <w:b/>
          <w:lang w:val="fr-FR"/>
        </w:rPr>
        <w:t>’</w:t>
      </w:r>
      <w:r w:rsidRPr="005D75D4">
        <w:rPr>
          <w:b/>
          <w:lang w:val="fr-FR"/>
        </w:rPr>
        <w:t>intolérance</w:t>
      </w:r>
      <w:r>
        <w:rPr>
          <w:b/>
          <w:lang w:val="fr-FR"/>
        </w:rPr>
        <w:t xml:space="preserve"> </w:t>
      </w:r>
      <w:r w:rsidRPr="005D75D4">
        <w:rPr>
          <w:b/>
          <w:lang w:val="fr-FR"/>
        </w:rPr>
        <w:t>qui y est</w:t>
      </w:r>
      <w:r>
        <w:rPr>
          <w:b/>
          <w:lang w:val="fr-FR"/>
        </w:rPr>
        <w:t xml:space="preserve"> associée: suivi et application</w:t>
      </w:r>
      <w:r>
        <w:rPr>
          <w:b/>
          <w:lang w:val="fr-FR"/>
        </w:rPr>
        <w:br/>
        <w:t xml:space="preserve">de la Déclaration </w:t>
      </w:r>
      <w:r w:rsidRPr="005D75D4">
        <w:rPr>
          <w:b/>
          <w:lang w:val="fr-FR"/>
        </w:rPr>
        <w:t>et du Programme d</w:t>
      </w:r>
      <w:r w:rsidR="001947F5">
        <w:rPr>
          <w:b/>
          <w:lang w:val="fr-FR"/>
        </w:rPr>
        <w:t>’</w:t>
      </w:r>
      <w:r w:rsidRPr="005D75D4">
        <w:rPr>
          <w:b/>
          <w:lang w:val="fr-FR"/>
        </w:rPr>
        <w:t>action de Durban</w:t>
      </w:r>
    </w:p>
    <w:p w:rsidR="005936BF" w:rsidRPr="005D75D4" w:rsidRDefault="005936BF" w:rsidP="005936BF">
      <w:pPr>
        <w:pStyle w:val="H23G"/>
        <w:rPr>
          <w:lang w:val="fr-FR"/>
        </w:rPr>
      </w:pPr>
      <w:r w:rsidRPr="005D75D4">
        <w:rPr>
          <w:lang w:val="fr-FR"/>
        </w:rPr>
        <w:tab/>
      </w:r>
      <w:r w:rsidRPr="005D75D4">
        <w:rPr>
          <w:lang w:val="fr-FR"/>
        </w:rPr>
        <w:tab/>
      </w:r>
      <w:r>
        <w:rPr>
          <w:lang w:val="fr-FR"/>
        </w:rPr>
        <w:t>R</w:t>
      </w:r>
      <w:r w:rsidRPr="005D75D4">
        <w:rPr>
          <w:lang w:val="fr-FR"/>
        </w:rPr>
        <w:t>ésolution</w:t>
      </w:r>
      <w:r>
        <w:rPr>
          <w:lang w:val="fr-FR"/>
        </w:rPr>
        <w:t xml:space="preserve"> adoptée par le Conseil des droits de l</w:t>
      </w:r>
      <w:r w:rsidR="001947F5">
        <w:rPr>
          <w:lang w:val="fr-FR"/>
        </w:rPr>
        <w:t>’</w:t>
      </w:r>
      <w:r>
        <w:rPr>
          <w:lang w:val="fr-FR"/>
        </w:rPr>
        <w:t>homme</w:t>
      </w:r>
    </w:p>
    <w:p w:rsidR="005936BF" w:rsidRPr="005D75D4" w:rsidRDefault="005936BF" w:rsidP="005936BF">
      <w:pPr>
        <w:pStyle w:val="H1G"/>
        <w:spacing w:before="320" w:after="20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27/25</w:t>
      </w:r>
      <w:r>
        <w:rPr>
          <w:lang w:val="fr-FR"/>
        </w:rPr>
        <w:br/>
      </w:r>
      <w:r w:rsidRPr="005D75D4">
        <w:rPr>
          <w:lang w:val="fr-FR"/>
        </w:rPr>
        <w:t>Mandat du Groupe de travail d</w:t>
      </w:r>
      <w:r w:rsidR="001947F5">
        <w:rPr>
          <w:lang w:val="fr-FR"/>
        </w:rPr>
        <w:t>’</w:t>
      </w:r>
      <w:r w:rsidRPr="005D75D4">
        <w:rPr>
          <w:lang w:val="fr-FR"/>
        </w:rPr>
        <w:t>ex</w:t>
      </w:r>
      <w:r>
        <w:rPr>
          <w:lang w:val="fr-FR"/>
        </w:rPr>
        <w:t>perts sur les personnes</w:t>
      </w:r>
      <w:r>
        <w:rPr>
          <w:lang w:val="fr-FR"/>
        </w:rPr>
        <w:br/>
      </w:r>
      <w:r w:rsidRPr="005D75D4">
        <w:rPr>
          <w:lang w:val="fr-FR"/>
        </w:rPr>
        <w:t>d</w:t>
      </w:r>
      <w:r w:rsidR="001947F5">
        <w:rPr>
          <w:lang w:val="fr-FR"/>
        </w:rPr>
        <w:t>’</w:t>
      </w:r>
      <w:r w:rsidRPr="005D75D4">
        <w:rPr>
          <w:lang w:val="fr-FR"/>
        </w:rPr>
        <w:t>ascendance africaine</w:t>
      </w:r>
    </w:p>
    <w:p w:rsidR="005936BF" w:rsidRDefault="005936BF" w:rsidP="005936BF">
      <w:pPr>
        <w:pStyle w:val="SingleTxtG"/>
        <w:spacing w:after="100" w:line="234" w:lineRule="atLeast"/>
        <w:ind w:firstLine="567"/>
        <w:rPr>
          <w:i/>
          <w:lang w:val="fr-FR"/>
        </w:rPr>
      </w:pPr>
      <w:r w:rsidRPr="00AF634F">
        <w:rPr>
          <w:i/>
          <w:lang w:val="fr-FR"/>
        </w:rPr>
        <w:t>Le Conseil des droits de l</w:t>
      </w:r>
      <w:r w:rsidR="001947F5">
        <w:rPr>
          <w:i/>
          <w:lang w:val="fr-FR"/>
        </w:rPr>
        <w:t>’</w:t>
      </w:r>
      <w:r w:rsidRPr="00AF634F">
        <w:rPr>
          <w:i/>
          <w:lang w:val="fr-FR"/>
        </w:rPr>
        <w:t>homme</w:t>
      </w:r>
      <w:r w:rsidRPr="009D2A39">
        <w:rPr>
          <w:lang w:val="fr-FR"/>
        </w:rPr>
        <w:t>,</w:t>
      </w:r>
    </w:p>
    <w:p w:rsidR="005936BF" w:rsidRDefault="005936BF" w:rsidP="005936BF">
      <w:pPr>
        <w:pStyle w:val="SingleTxtG"/>
        <w:spacing w:after="100" w:line="234" w:lineRule="atLeast"/>
        <w:ind w:firstLine="567"/>
        <w:rPr>
          <w:rFonts w:eastAsia="Calibri"/>
          <w:lang w:val="fr-FR"/>
        </w:rPr>
      </w:pPr>
      <w:r w:rsidRPr="005D75D4">
        <w:rPr>
          <w:i/>
          <w:lang w:val="fr-FR"/>
        </w:rPr>
        <w:t>Rappelant</w:t>
      </w:r>
      <w:r w:rsidR="001947F5">
        <w:rPr>
          <w:lang w:val="fr-FR"/>
        </w:rPr>
        <w:t xml:space="preserve"> la résolution </w:t>
      </w:r>
      <w:r w:rsidRPr="005D75D4">
        <w:rPr>
          <w:lang w:val="fr-FR"/>
        </w:rPr>
        <w:t>56/266 de l</w:t>
      </w:r>
      <w:r w:rsidR="001947F5">
        <w:rPr>
          <w:lang w:val="fr-FR"/>
        </w:rPr>
        <w:t>’</w:t>
      </w:r>
      <w:r w:rsidRPr="005D75D4">
        <w:rPr>
          <w:lang w:val="fr-FR"/>
        </w:rPr>
        <w:t>Assemblée générale, en date du 27 mars 2002, dans laquelle l</w:t>
      </w:r>
      <w:r w:rsidR="001947F5">
        <w:rPr>
          <w:lang w:val="fr-FR"/>
        </w:rPr>
        <w:t>’</w:t>
      </w:r>
      <w:r w:rsidRPr="005D75D4">
        <w:rPr>
          <w:lang w:val="fr-FR"/>
        </w:rPr>
        <w:t>Assemblée a fait siens la Déclaration et le Programme d</w:t>
      </w:r>
      <w:r w:rsidR="001947F5">
        <w:rPr>
          <w:lang w:val="fr-FR"/>
        </w:rPr>
        <w:t>’</w:t>
      </w:r>
      <w:r w:rsidRPr="005D75D4">
        <w:rPr>
          <w:lang w:val="fr-FR"/>
        </w:rPr>
        <w:t>action de Durban</w:t>
      </w:r>
      <w:r>
        <w:rPr>
          <w:rFonts w:eastAsia="Calibri"/>
          <w:lang w:val="fr-FR"/>
        </w:rPr>
        <w:t>,</w:t>
      </w:r>
    </w:p>
    <w:p w:rsidR="005936BF" w:rsidRDefault="005936BF" w:rsidP="005936BF">
      <w:pPr>
        <w:pStyle w:val="SingleTxtG"/>
        <w:spacing w:after="100" w:line="234" w:lineRule="atLeast"/>
        <w:ind w:firstLine="567"/>
        <w:rPr>
          <w:rFonts w:eastAsia="Calibri"/>
          <w:lang w:val="fr-FR"/>
        </w:rPr>
      </w:pPr>
      <w:r w:rsidRPr="005D75D4">
        <w:rPr>
          <w:i/>
          <w:lang w:val="fr-FR"/>
        </w:rPr>
        <w:t>Rappelant</w:t>
      </w:r>
      <w:r>
        <w:rPr>
          <w:i/>
          <w:lang w:val="fr-FR"/>
        </w:rPr>
        <w:t xml:space="preserve"> aussi</w:t>
      </w:r>
      <w:r w:rsidRPr="005D75D4">
        <w:rPr>
          <w:i/>
          <w:lang w:val="fr-FR"/>
        </w:rPr>
        <w:t xml:space="preserve"> </w:t>
      </w:r>
      <w:r w:rsidRPr="005D75D4">
        <w:rPr>
          <w:lang w:val="fr-FR"/>
        </w:rPr>
        <w:t>toutes les résolutions et décisions antérieu</w:t>
      </w:r>
      <w:r>
        <w:rPr>
          <w:lang w:val="fr-FR"/>
        </w:rPr>
        <w:t>res de l</w:t>
      </w:r>
      <w:r w:rsidR="001947F5">
        <w:rPr>
          <w:lang w:val="fr-FR"/>
        </w:rPr>
        <w:t>’</w:t>
      </w:r>
      <w:r>
        <w:rPr>
          <w:lang w:val="fr-FR"/>
        </w:rPr>
        <w:t>Assemblée générale, de</w:t>
      </w:r>
      <w:r w:rsidR="001947F5">
        <w:rPr>
          <w:lang w:val="fr-FR"/>
        </w:rPr>
        <w:t xml:space="preserve"> </w:t>
      </w:r>
      <w:r w:rsidRPr="005D75D4">
        <w:rPr>
          <w:lang w:val="fr-FR"/>
        </w:rPr>
        <w:t>la Commission des droits de l</w:t>
      </w:r>
      <w:r w:rsidR="001947F5">
        <w:rPr>
          <w:lang w:val="fr-FR"/>
        </w:rPr>
        <w:t>’</w:t>
      </w:r>
      <w:r w:rsidRPr="005D75D4">
        <w:rPr>
          <w:lang w:val="fr-FR"/>
        </w:rPr>
        <w:t>homme et du Conseil des droits de l</w:t>
      </w:r>
      <w:r w:rsidR="001947F5">
        <w:rPr>
          <w:lang w:val="fr-FR"/>
        </w:rPr>
        <w:t>’</w:t>
      </w:r>
      <w:r w:rsidRPr="005D75D4">
        <w:rPr>
          <w:lang w:val="fr-FR"/>
        </w:rPr>
        <w:t>homme sur l</w:t>
      </w:r>
      <w:r w:rsidR="001947F5">
        <w:rPr>
          <w:lang w:val="fr-FR"/>
        </w:rPr>
        <w:t>’</w:t>
      </w:r>
      <w:r w:rsidRPr="005D75D4">
        <w:rPr>
          <w:lang w:val="fr-FR"/>
        </w:rPr>
        <w:t>élimination du racisme, de la discrimination raciale, de la xénophobie et de l</w:t>
      </w:r>
      <w:r w:rsidR="001947F5">
        <w:rPr>
          <w:lang w:val="fr-FR"/>
        </w:rPr>
        <w:t>’</w:t>
      </w:r>
      <w:r w:rsidRPr="005D75D4">
        <w:rPr>
          <w:lang w:val="fr-FR"/>
        </w:rPr>
        <w:t>intolérance qui y est associée, en particulier les résolutions</w:t>
      </w:r>
      <w:r w:rsidR="001947F5">
        <w:rPr>
          <w:lang w:val="fr-FR"/>
        </w:rPr>
        <w:t> </w:t>
      </w:r>
      <w:r w:rsidRPr="005D75D4">
        <w:rPr>
          <w:rFonts w:eastAsia="Calibri"/>
          <w:lang w:val="fr-FR"/>
        </w:rPr>
        <w:t>2002/68</w:t>
      </w:r>
      <w:r w:rsidRPr="005D75D4">
        <w:rPr>
          <w:lang w:val="fr-FR"/>
        </w:rPr>
        <w:t xml:space="preserve"> </w:t>
      </w:r>
      <w:r w:rsidRPr="005D75D4">
        <w:rPr>
          <w:rFonts w:eastAsia="Calibri"/>
          <w:lang w:val="fr-FR"/>
        </w:rPr>
        <w:t xml:space="preserve">et 2003/30 </w:t>
      </w:r>
      <w:r w:rsidRPr="005D75D4">
        <w:rPr>
          <w:lang w:val="fr-FR"/>
        </w:rPr>
        <w:t xml:space="preserve">de la </w:t>
      </w:r>
      <w:r>
        <w:rPr>
          <w:rFonts w:eastAsia="Calibri"/>
          <w:lang w:val="fr-FR"/>
        </w:rPr>
        <w:t>Commission, en date du 25 avril 2002 et du 23 </w:t>
      </w:r>
      <w:r w:rsidRPr="005D75D4">
        <w:rPr>
          <w:rFonts w:eastAsia="Calibri"/>
          <w:lang w:val="fr-FR"/>
        </w:rPr>
        <w:t>avril 2003, respectivement, et les résolutions</w:t>
      </w:r>
      <w:r w:rsidR="001947F5">
        <w:rPr>
          <w:rFonts w:eastAsia="Calibri"/>
          <w:lang w:val="fr-FR"/>
        </w:rPr>
        <w:t> </w:t>
      </w:r>
      <w:r w:rsidRPr="005D75D4">
        <w:rPr>
          <w:rFonts w:eastAsia="Calibri"/>
          <w:lang w:val="fr-FR"/>
        </w:rPr>
        <w:t xml:space="preserve">9/14 et </w:t>
      </w:r>
      <w:r>
        <w:rPr>
          <w:rFonts w:eastAsia="Calibri"/>
          <w:lang w:val="fr-FR"/>
        </w:rPr>
        <w:t>18/28 du Conseil, en date du 18 septembre 2008 et du 17 </w:t>
      </w:r>
      <w:r w:rsidRPr="005D75D4">
        <w:rPr>
          <w:rFonts w:eastAsia="Calibri"/>
          <w:lang w:val="fr-FR"/>
        </w:rPr>
        <w:t>octobre 2011, respectivement, sur le mandat du Groupe de travail d</w:t>
      </w:r>
      <w:r w:rsidR="001947F5">
        <w:rPr>
          <w:rFonts w:eastAsia="Calibri"/>
          <w:lang w:val="fr-FR"/>
        </w:rPr>
        <w:t>’</w:t>
      </w:r>
      <w:r w:rsidRPr="005D75D4">
        <w:rPr>
          <w:rFonts w:eastAsia="Calibri"/>
          <w:lang w:val="fr-FR"/>
        </w:rPr>
        <w:t>experts sur les personnes d</w:t>
      </w:r>
      <w:r w:rsidR="001947F5">
        <w:rPr>
          <w:rFonts w:eastAsia="Calibri"/>
          <w:lang w:val="fr-FR"/>
        </w:rPr>
        <w:t>’</w:t>
      </w:r>
      <w:r>
        <w:rPr>
          <w:rFonts w:eastAsia="Calibri"/>
          <w:lang w:val="fr-FR"/>
        </w:rPr>
        <w:t>ascendance africaine,</w:t>
      </w:r>
    </w:p>
    <w:p w:rsidR="005936BF" w:rsidRDefault="005936BF" w:rsidP="005936BF">
      <w:pPr>
        <w:pStyle w:val="SingleTxtG"/>
        <w:spacing w:after="100" w:line="234" w:lineRule="atLeast"/>
        <w:ind w:firstLine="567"/>
        <w:rPr>
          <w:rFonts w:eastAsia="Calibri"/>
          <w:lang w:val="fr-FR"/>
        </w:rPr>
      </w:pPr>
      <w:r w:rsidRPr="005D75D4">
        <w:rPr>
          <w:i/>
          <w:lang w:val="fr-FR"/>
        </w:rPr>
        <w:t>Ayant à l</w:t>
      </w:r>
      <w:r w:rsidR="001947F5">
        <w:rPr>
          <w:i/>
          <w:lang w:val="fr-FR"/>
        </w:rPr>
        <w:t>’</w:t>
      </w:r>
      <w:r w:rsidRPr="005D75D4">
        <w:rPr>
          <w:i/>
          <w:lang w:val="fr-FR"/>
        </w:rPr>
        <w:t xml:space="preserve">esprit </w:t>
      </w:r>
      <w:r w:rsidRPr="005D75D4">
        <w:rPr>
          <w:lang w:val="fr-FR"/>
        </w:rPr>
        <w:t>le paragraphe</w:t>
      </w:r>
      <w:r>
        <w:rPr>
          <w:lang w:val="fr-FR"/>
        </w:rPr>
        <w:t> </w:t>
      </w:r>
      <w:r w:rsidRPr="005D75D4">
        <w:rPr>
          <w:lang w:val="fr-FR"/>
        </w:rPr>
        <w:t>6 de la résolution 60/251 de l</w:t>
      </w:r>
      <w:r w:rsidR="001947F5">
        <w:rPr>
          <w:lang w:val="fr-FR"/>
        </w:rPr>
        <w:t>’</w:t>
      </w:r>
      <w:r w:rsidRPr="005D75D4">
        <w:rPr>
          <w:lang w:val="fr-FR"/>
        </w:rPr>
        <w:t>A</w:t>
      </w:r>
      <w:r>
        <w:rPr>
          <w:lang w:val="fr-FR"/>
        </w:rPr>
        <w:t>ssemblée générale en date du 15 </w:t>
      </w:r>
      <w:r w:rsidRPr="005D75D4">
        <w:rPr>
          <w:lang w:val="fr-FR"/>
        </w:rPr>
        <w:t>mars 2006</w:t>
      </w:r>
      <w:r w:rsidRPr="005D75D4">
        <w:rPr>
          <w:rFonts w:eastAsia="Calibri"/>
          <w:lang w:val="fr-FR"/>
        </w:rPr>
        <w:t>,</w:t>
      </w:r>
    </w:p>
    <w:p w:rsidR="005936BF" w:rsidRDefault="005936BF" w:rsidP="005936BF">
      <w:pPr>
        <w:pStyle w:val="SingleTxtG"/>
        <w:spacing w:after="100" w:line="234" w:lineRule="atLeast"/>
        <w:ind w:firstLine="567"/>
        <w:rPr>
          <w:rFonts w:eastAsia="Calibri"/>
          <w:lang w:val="fr-FR"/>
        </w:rPr>
      </w:pPr>
      <w:r w:rsidRPr="005D75D4">
        <w:rPr>
          <w:i/>
          <w:lang w:val="fr-FR"/>
        </w:rPr>
        <w:t xml:space="preserve">Réaffirmant </w:t>
      </w:r>
      <w:r w:rsidRPr="005D75D4">
        <w:rPr>
          <w:lang w:val="fr-FR"/>
        </w:rPr>
        <w:t>les obligations qui incombent aux États en vertu des instruments internationaux pertinents relatifs aux droits de l</w:t>
      </w:r>
      <w:r w:rsidR="001947F5">
        <w:rPr>
          <w:lang w:val="fr-FR"/>
        </w:rPr>
        <w:t>’</w:t>
      </w:r>
      <w:r w:rsidRPr="005D75D4">
        <w:rPr>
          <w:lang w:val="fr-FR"/>
        </w:rPr>
        <w:t>homme, en particulier la Convention internationale sur l</w:t>
      </w:r>
      <w:r w:rsidR="001947F5">
        <w:rPr>
          <w:lang w:val="fr-FR"/>
        </w:rPr>
        <w:t>’</w:t>
      </w:r>
      <w:r w:rsidRPr="005D75D4">
        <w:rPr>
          <w:lang w:val="fr-FR"/>
        </w:rPr>
        <w:t>élimination de toutes les formes de discrimination raciale, adoptée par l</w:t>
      </w:r>
      <w:r w:rsidR="001947F5">
        <w:rPr>
          <w:lang w:val="fr-FR"/>
        </w:rPr>
        <w:t>’</w:t>
      </w:r>
      <w:r w:rsidRPr="005D75D4">
        <w:rPr>
          <w:lang w:val="fr-FR"/>
        </w:rPr>
        <w:t>Assemblée générale dans sa résolution 2106 (XX) du 21</w:t>
      </w:r>
      <w:r>
        <w:rPr>
          <w:lang w:val="fr-FR"/>
        </w:rPr>
        <w:t> </w:t>
      </w:r>
      <w:r w:rsidRPr="005D75D4">
        <w:rPr>
          <w:lang w:val="fr-FR"/>
        </w:rPr>
        <w:t>décembre 1965</w:t>
      </w:r>
      <w:r w:rsidRPr="005D75D4">
        <w:rPr>
          <w:rFonts w:eastAsia="Calibri"/>
          <w:lang w:val="fr-FR"/>
        </w:rPr>
        <w:t>,</w:t>
      </w:r>
    </w:p>
    <w:p w:rsidR="005936BF" w:rsidRDefault="005936BF" w:rsidP="005936BF">
      <w:pPr>
        <w:pStyle w:val="SingleTxtG"/>
        <w:spacing w:after="100" w:line="234" w:lineRule="atLeast"/>
        <w:ind w:firstLine="567"/>
        <w:rPr>
          <w:rFonts w:eastAsia="Calibri"/>
          <w:lang w:val="fr-FR"/>
        </w:rPr>
      </w:pPr>
      <w:r w:rsidRPr="005D75D4">
        <w:rPr>
          <w:i/>
          <w:lang w:val="fr-FR"/>
        </w:rPr>
        <w:t>Soulignant</w:t>
      </w:r>
      <w:r w:rsidRPr="005D75D4">
        <w:rPr>
          <w:lang w:val="fr-FR"/>
        </w:rPr>
        <w:t xml:space="preserve"> que la Déclaration et le Programme d</w:t>
      </w:r>
      <w:r w:rsidR="001947F5">
        <w:rPr>
          <w:lang w:val="fr-FR"/>
        </w:rPr>
        <w:t>’</w:t>
      </w:r>
      <w:r w:rsidRPr="005D75D4">
        <w:rPr>
          <w:lang w:val="fr-FR"/>
        </w:rPr>
        <w:t>action de Durban, adoptés à la Conférence mondiale contre le racisme, la discrimination raciale, la xénophobie et l</w:t>
      </w:r>
      <w:r w:rsidR="001947F5">
        <w:rPr>
          <w:lang w:val="fr-FR"/>
        </w:rPr>
        <w:t>’</w:t>
      </w:r>
      <w:r w:rsidRPr="005D75D4">
        <w:rPr>
          <w:lang w:val="fr-FR"/>
        </w:rPr>
        <w:t>intolérance qui y est associée, restent le seul résultat tangible de la Conférence mondiale contre le racisme, la discrimination raciale, la xénophobie et l</w:t>
      </w:r>
      <w:r w:rsidR="001947F5">
        <w:rPr>
          <w:lang w:val="fr-FR"/>
        </w:rPr>
        <w:t>’</w:t>
      </w:r>
      <w:r>
        <w:rPr>
          <w:lang w:val="fr-FR"/>
        </w:rPr>
        <w:t>intolérance qui y</w:t>
      </w:r>
      <w:r w:rsidR="001947F5">
        <w:rPr>
          <w:lang w:val="fr-FR"/>
        </w:rPr>
        <w:t xml:space="preserve"> </w:t>
      </w:r>
      <w:r>
        <w:rPr>
          <w:lang w:val="fr-FR"/>
        </w:rPr>
        <w:t>est</w:t>
      </w:r>
      <w:r w:rsidR="001947F5">
        <w:rPr>
          <w:lang w:val="fr-FR"/>
        </w:rPr>
        <w:t xml:space="preserve"> </w:t>
      </w:r>
      <w:r w:rsidRPr="005D75D4">
        <w:rPr>
          <w:lang w:val="fr-FR"/>
        </w:rPr>
        <w:t>associée</w:t>
      </w:r>
      <w:r w:rsidRPr="005D75D4">
        <w:rPr>
          <w:rFonts w:eastAsia="Calibri"/>
          <w:lang w:val="fr-FR"/>
        </w:rPr>
        <w:t xml:space="preserve">, </w:t>
      </w:r>
      <w:r>
        <w:rPr>
          <w:rFonts w:eastAsia="Calibri"/>
          <w:lang w:val="fr-FR"/>
        </w:rPr>
        <w:t>qui préconise des mesures globales et des recours en vue de lutter efficacement contre tous les fléaux du racisme à tous les niveaux,</w:t>
      </w:r>
    </w:p>
    <w:p w:rsidR="005936BF" w:rsidRDefault="005936BF" w:rsidP="001947F5">
      <w:pPr>
        <w:pStyle w:val="SingleTxtG"/>
        <w:keepLines/>
        <w:ind w:firstLine="567"/>
        <w:rPr>
          <w:rFonts w:eastAsia="Calibri"/>
          <w:lang w:val="fr-FR"/>
        </w:rPr>
      </w:pPr>
      <w:r w:rsidRPr="005D75D4">
        <w:rPr>
          <w:i/>
          <w:lang w:val="fr-FR"/>
        </w:rPr>
        <w:t xml:space="preserve">Rappelant </w:t>
      </w:r>
      <w:r w:rsidRPr="005D75D4">
        <w:rPr>
          <w:lang w:val="fr-FR"/>
        </w:rPr>
        <w:t>ses résolutions 5/1, sur la mise en place des institutions du Conseil des droits de l</w:t>
      </w:r>
      <w:r w:rsidR="001947F5">
        <w:rPr>
          <w:lang w:val="fr-FR"/>
        </w:rPr>
        <w:t>’</w:t>
      </w:r>
      <w:r w:rsidRPr="005D75D4">
        <w:rPr>
          <w:lang w:val="fr-FR"/>
        </w:rPr>
        <w:t>homme, et 5/2, sur un Code de conduite pour les titulaires de mandat au titre des procédures spéciales du Conseil des d</w:t>
      </w:r>
      <w:r>
        <w:rPr>
          <w:lang w:val="fr-FR"/>
        </w:rPr>
        <w:t>roits de l</w:t>
      </w:r>
      <w:r w:rsidR="001947F5">
        <w:rPr>
          <w:lang w:val="fr-FR"/>
        </w:rPr>
        <w:t>’</w:t>
      </w:r>
      <w:r>
        <w:rPr>
          <w:lang w:val="fr-FR"/>
        </w:rPr>
        <w:t>homme, en date du 18 juin 2007, et </w:t>
      </w:r>
      <w:r w:rsidRPr="005D75D4">
        <w:rPr>
          <w:lang w:val="fr-FR"/>
        </w:rPr>
        <w:t>soulignant que le titulaire du mandat doit s</w:t>
      </w:r>
      <w:r w:rsidR="001947F5">
        <w:rPr>
          <w:lang w:val="fr-FR"/>
        </w:rPr>
        <w:t>’</w:t>
      </w:r>
      <w:r w:rsidRPr="005D75D4">
        <w:rPr>
          <w:lang w:val="fr-FR"/>
        </w:rPr>
        <w:t>acquitter de ses obligations conformément à ces résolutions et à leurs annexes</w:t>
      </w:r>
      <w:r w:rsidRPr="005D75D4">
        <w:rPr>
          <w:rFonts w:eastAsia="Calibri"/>
          <w:lang w:val="fr-FR"/>
        </w:rPr>
        <w:t>,</w:t>
      </w:r>
    </w:p>
    <w:p w:rsidR="005936BF" w:rsidRDefault="005936BF" w:rsidP="005936BF">
      <w:pPr>
        <w:pStyle w:val="SingleTxtG"/>
        <w:ind w:firstLine="567"/>
        <w:rPr>
          <w:lang w:val="fr-FR"/>
        </w:rPr>
      </w:pPr>
      <w:r w:rsidRPr="005D75D4">
        <w:rPr>
          <w:i/>
          <w:lang w:val="fr-FR"/>
        </w:rPr>
        <w:t xml:space="preserve">Soulignant </w:t>
      </w:r>
      <w:r w:rsidRPr="005D75D4">
        <w:rPr>
          <w:lang w:val="fr-FR"/>
        </w:rPr>
        <w:t xml:space="preserve">la nécessité impérative pour le </w:t>
      </w:r>
      <w:r w:rsidRPr="005D75D4">
        <w:rPr>
          <w:rFonts w:eastAsia="MS Mincho"/>
          <w:lang w:val="fr-FR"/>
        </w:rPr>
        <w:t>Groupe de travail</w:t>
      </w:r>
      <w:r w:rsidRPr="005D75D4">
        <w:rPr>
          <w:lang w:val="fr-FR"/>
        </w:rPr>
        <w:t xml:space="preserve"> d</w:t>
      </w:r>
      <w:r w:rsidR="001947F5">
        <w:rPr>
          <w:lang w:val="fr-FR"/>
        </w:rPr>
        <w:t>’</w:t>
      </w:r>
      <w:r w:rsidRPr="005D75D4">
        <w:rPr>
          <w:lang w:val="fr-FR"/>
        </w:rPr>
        <w:t xml:space="preserve">experts sur les personnes </w:t>
      </w:r>
      <w:r w:rsidRPr="00400E46">
        <w:rPr>
          <w:lang w:val="fr-FR"/>
        </w:rPr>
        <w:t>d</w:t>
      </w:r>
      <w:r w:rsidR="001947F5">
        <w:rPr>
          <w:lang w:val="fr-FR"/>
        </w:rPr>
        <w:t>’</w:t>
      </w:r>
      <w:r w:rsidRPr="00400E46">
        <w:rPr>
          <w:lang w:val="fr-FR"/>
        </w:rPr>
        <w:t>ascendance africaine d</w:t>
      </w:r>
      <w:r w:rsidR="001947F5">
        <w:rPr>
          <w:lang w:val="fr-FR"/>
        </w:rPr>
        <w:t>’</w:t>
      </w:r>
      <w:r w:rsidRPr="00400E46">
        <w:rPr>
          <w:lang w:val="fr-FR"/>
        </w:rPr>
        <w:t>accomplir son mandat</w:t>
      </w:r>
      <w:r w:rsidRPr="005D75D4">
        <w:rPr>
          <w:lang w:val="fr-FR"/>
        </w:rPr>
        <w:t>,</w:t>
      </w:r>
    </w:p>
    <w:p w:rsidR="005936BF" w:rsidRDefault="005936BF" w:rsidP="005936BF">
      <w:pPr>
        <w:pStyle w:val="SingleTxtG"/>
        <w:ind w:firstLine="567"/>
        <w:rPr>
          <w:rFonts w:eastAsia="Calibri"/>
          <w:lang w:val="fr-FR"/>
        </w:rPr>
      </w:pPr>
      <w:r w:rsidRPr="005D75D4">
        <w:rPr>
          <w:lang w:val="fr-FR"/>
        </w:rPr>
        <w:t>1.</w:t>
      </w:r>
      <w:r w:rsidRPr="005D75D4">
        <w:rPr>
          <w:lang w:val="fr-FR"/>
        </w:rPr>
        <w:tab/>
      </w:r>
      <w:r w:rsidRPr="005D75D4">
        <w:rPr>
          <w:i/>
          <w:lang w:val="fr-FR"/>
        </w:rPr>
        <w:t xml:space="preserve">Décide </w:t>
      </w:r>
      <w:r w:rsidRPr="005D75D4">
        <w:rPr>
          <w:lang w:val="fr-FR"/>
        </w:rPr>
        <w:t>de proroger pour une nouvelle période de trois ans le mandat du Groupe de travail d</w:t>
      </w:r>
      <w:r w:rsidR="001947F5">
        <w:rPr>
          <w:lang w:val="fr-FR"/>
        </w:rPr>
        <w:t>’</w:t>
      </w:r>
      <w:r w:rsidRPr="005D75D4">
        <w:rPr>
          <w:lang w:val="fr-FR"/>
        </w:rPr>
        <w:t>experts sur les personnes d</w:t>
      </w:r>
      <w:r w:rsidR="001947F5">
        <w:rPr>
          <w:lang w:val="fr-FR"/>
        </w:rPr>
        <w:t>’</w:t>
      </w:r>
      <w:r w:rsidRPr="005D75D4">
        <w:rPr>
          <w:lang w:val="fr-FR"/>
        </w:rPr>
        <w:t>ascendance africaine, tel qu</w:t>
      </w:r>
      <w:r w:rsidR="001947F5">
        <w:rPr>
          <w:lang w:val="fr-FR"/>
        </w:rPr>
        <w:t>’</w:t>
      </w:r>
      <w:r w:rsidRPr="005D75D4">
        <w:rPr>
          <w:lang w:val="fr-FR"/>
        </w:rPr>
        <w:t>il est énoncé dans la résolution 9/14 du Conseil des droits de l</w:t>
      </w:r>
      <w:r w:rsidR="001947F5">
        <w:rPr>
          <w:lang w:val="fr-FR"/>
        </w:rPr>
        <w:t>’</w:t>
      </w:r>
      <w:r w:rsidRPr="005D75D4">
        <w:rPr>
          <w:lang w:val="fr-FR"/>
        </w:rPr>
        <w:t>homme</w:t>
      </w:r>
      <w:r w:rsidRPr="005D75D4">
        <w:rPr>
          <w:rFonts w:eastAsia="Calibri"/>
          <w:lang w:val="fr-FR"/>
        </w:rPr>
        <w:t>;</w:t>
      </w:r>
    </w:p>
    <w:p w:rsidR="005936BF" w:rsidRDefault="005936BF" w:rsidP="005936BF">
      <w:pPr>
        <w:pStyle w:val="SingleTxtG"/>
        <w:ind w:firstLine="567"/>
        <w:rPr>
          <w:rFonts w:eastAsia="Calibri"/>
          <w:lang w:val="fr-FR"/>
        </w:rPr>
      </w:pPr>
      <w:r w:rsidRPr="005D75D4">
        <w:rPr>
          <w:rFonts w:eastAsia="Calibri"/>
          <w:lang w:val="fr-FR"/>
        </w:rPr>
        <w:t>2.</w:t>
      </w:r>
      <w:r w:rsidRPr="005D75D4">
        <w:rPr>
          <w:rFonts w:eastAsia="Calibri"/>
          <w:lang w:val="fr-FR"/>
        </w:rPr>
        <w:tab/>
      </w:r>
      <w:r w:rsidRPr="005D75D4">
        <w:rPr>
          <w:i/>
          <w:lang w:val="fr-FR"/>
        </w:rPr>
        <w:t>Décide aussi</w:t>
      </w:r>
      <w:r w:rsidRPr="005D75D4">
        <w:rPr>
          <w:lang w:val="fr-FR"/>
        </w:rPr>
        <w:t xml:space="preserve"> que le Groupe de travail effectuera au moins deux visites de pays par an</w:t>
      </w:r>
      <w:r w:rsidRPr="005D75D4">
        <w:rPr>
          <w:rFonts w:eastAsia="Calibri"/>
          <w:lang w:val="fr-FR"/>
        </w:rPr>
        <w:t>;</w:t>
      </w:r>
    </w:p>
    <w:p w:rsidR="005936BF" w:rsidRDefault="005936BF" w:rsidP="001947F5">
      <w:pPr>
        <w:pStyle w:val="SingleTxtG"/>
        <w:ind w:firstLine="567"/>
        <w:rPr>
          <w:rFonts w:eastAsia="Calibri"/>
          <w:lang w:val="fr-FR"/>
        </w:rPr>
      </w:pPr>
      <w:r w:rsidRPr="005D75D4">
        <w:rPr>
          <w:rFonts w:eastAsia="Calibri"/>
          <w:lang w:val="fr-FR"/>
        </w:rPr>
        <w:t>3.</w:t>
      </w:r>
      <w:r w:rsidRPr="005D75D4">
        <w:rPr>
          <w:rFonts w:eastAsia="Calibri"/>
          <w:lang w:val="fr-FR"/>
        </w:rPr>
        <w:tab/>
      </w:r>
      <w:r>
        <w:rPr>
          <w:i/>
          <w:lang w:val="fr-FR"/>
        </w:rPr>
        <w:t>Prie</w:t>
      </w:r>
      <w:r w:rsidRPr="005D75D4">
        <w:rPr>
          <w:lang w:val="fr-FR"/>
        </w:rPr>
        <w:t xml:space="preserve"> tous les gouvernements de coopérer pleinement avec le Groupe de travail pour lui permettre de s</w:t>
      </w:r>
      <w:r w:rsidR="001947F5">
        <w:rPr>
          <w:lang w:val="fr-FR"/>
        </w:rPr>
        <w:t>’</w:t>
      </w:r>
      <w:r w:rsidRPr="005D75D4">
        <w:rPr>
          <w:lang w:val="fr-FR"/>
        </w:rPr>
        <w:t>acquitter de son mandat, notamment en répondant rapidement aux communications du Groupe de travail et en lui donnant les informations demandées</w:t>
      </w:r>
      <w:r w:rsidRPr="005D75D4">
        <w:rPr>
          <w:rFonts w:eastAsia="Calibri"/>
          <w:lang w:val="fr-FR"/>
        </w:rPr>
        <w:t>;</w:t>
      </w:r>
    </w:p>
    <w:p w:rsidR="005936BF" w:rsidRDefault="005936BF" w:rsidP="005936BF">
      <w:pPr>
        <w:pStyle w:val="SingleTxtG"/>
        <w:ind w:firstLine="567"/>
        <w:rPr>
          <w:rFonts w:eastAsia="Calibri"/>
          <w:lang w:val="fr-FR"/>
        </w:rPr>
      </w:pPr>
      <w:r w:rsidRPr="005D75D4">
        <w:rPr>
          <w:rFonts w:eastAsia="Calibri"/>
          <w:lang w:val="fr-FR"/>
        </w:rPr>
        <w:t>4.</w:t>
      </w:r>
      <w:r w:rsidRPr="005D75D4">
        <w:rPr>
          <w:rFonts w:eastAsia="Calibri"/>
          <w:lang w:val="fr-FR"/>
        </w:rPr>
        <w:tab/>
      </w:r>
      <w:r>
        <w:rPr>
          <w:i/>
          <w:lang w:val="fr-FR"/>
        </w:rPr>
        <w:t xml:space="preserve">Prie </w:t>
      </w:r>
      <w:r>
        <w:rPr>
          <w:lang w:val="fr-FR"/>
        </w:rPr>
        <w:t>le</w:t>
      </w:r>
      <w:r w:rsidRPr="005D75D4">
        <w:rPr>
          <w:lang w:val="fr-FR"/>
        </w:rPr>
        <w:t xml:space="preserve"> Groupe de travail de lui soumettre, </w:t>
      </w:r>
      <w:r w:rsidRPr="005D75D4">
        <w:rPr>
          <w:rFonts w:eastAsia="Calibri"/>
          <w:lang w:val="fr-FR"/>
        </w:rPr>
        <w:t>ainsi qu</w:t>
      </w:r>
      <w:r w:rsidR="001947F5">
        <w:rPr>
          <w:rFonts w:eastAsia="Calibri"/>
          <w:lang w:val="fr-FR"/>
        </w:rPr>
        <w:t>’</w:t>
      </w:r>
      <w:r w:rsidRPr="005D75D4">
        <w:rPr>
          <w:rFonts w:eastAsia="Calibri"/>
          <w:lang w:val="fr-FR"/>
        </w:rPr>
        <w:t>à l</w:t>
      </w:r>
      <w:r w:rsidR="001947F5">
        <w:rPr>
          <w:rFonts w:eastAsia="Calibri"/>
          <w:lang w:val="fr-FR"/>
        </w:rPr>
        <w:t>’</w:t>
      </w:r>
      <w:r w:rsidRPr="005D75D4">
        <w:rPr>
          <w:rFonts w:eastAsia="Calibri"/>
          <w:lang w:val="fr-FR"/>
        </w:rPr>
        <w:t>Assemblée générale dans le cadre de la Décennie internationale des personnes d</w:t>
      </w:r>
      <w:r w:rsidR="001947F5">
        <w:rPr>
          <w:rFonts w:eastAsia="Calibri"/>
          <w:lang w:val="fr-FR"/>
        </w:rPr>
        <w:t>’</w:t>
      </w:r>
      <w:r w:rsidRPr="005D75D4">
        <w:rPr>
          <w:rFonts w:eastAsia="Calibri"/>
          <w:lang w:val="fr-FR"/>
        </w:rPr>
        <w:t>ascendance africaine,</w:t>
      </w:r>
      <w:r w:rsidRPr="005D75D4">
        <w:rPr>
          <w:lang w:val="fr-FR"/>
        </w:rPr>
        <w:t xml:space="preserve"> un rapport annuel sur toutes les activités relatives à son mandat</w:t>
      </w:r>
      <w:r>
        <w:rPr>
          <w:rFonts w:eastAsia="Calibri"/>
          <w:lang w:val="fr-FR"/>
        </w:rPr>
        <w:t>;</w:t>
      </w:r>
    </w:p>
    <w:p w:rsidR="005936BF" w:rsidRDefault="005936BF" w:rsidP="005936BF">
      <w:pPr>
        <w:pStyle w:val="SingleTxtG"/>
        <w:ind w:firstLine="567"/>
        <w:rPr>
          <w:rFonts w:eastAsia="Calibri"/>
          <w:lang w:val="fr-FR"/>
        </w:rPr>
      </w:pPr>
      <w:r w:rsidRPr="005D75D4">
        <w:rPr>
          <w:rFonts w:eastAsia="Calibri"/>
          <w:lang w:val="fr-FR"/>
        </w:rPr>
        <w:t>5.</w:t>
      </w:r>
      <w:r w:rsidRPr="005D75D4">
        <w:rPr>
          <w:rFonts w:eastAsia="Calibri"/>
          <w:lang w:val="fr-FR"/>
        </w:rPr>
        <w:tab/>
      </w:r>
      <w:r w:rsidRPr="005D75D4">
        <w:rPr>
          <w:i/>
          <w:iCs/>
          <w:lang w:val="fr-FR"/>
        </w:rPr>
        <w:t xml:space="preserve">Prie </w:t>
      </w:r>
      <w:r w:rsidRPr="005D75D4">
        <w:rPr>
          <w:lang w:val="fr-FR"/>
        </w:rPr>
        <w:t>les États, les organisations non gouvernementales, les organes compétents créés en vertu d</w:t>
      </w:r>
      <w:r w:rsidR="001947F5">
        <w:rPr>
          <w:lang w:val="fr-FR"/>
        </w:rPr>
        <w:t>’</w:t>
      </w:r>
      <w:r w:rsidRPr="005D75D4">
        <w:rPr>
          <w:lang w:val="fr-FR"/>
        </w:rPr>
        <w:t>instruments relatifs aux droits de l</w:t>
      </w:r>
      <w:r w:rsidR="001947F5">
        <w:rPr>
          <w:lang w:val="fr-FR"/>
        </w:rPr>
        <w:t>’</w:t>
      </w:r>
      <w:r w:rsidRPr="005D75D4">
        <w:rPr>
          <w:lang w:val="fr-FR"/>
        </w:rPr>
        <w:t xml:space="preserve">homme, les </w:t>
      </w:r>
      <w:r>
        <w:rPr>
          <w:lang w:val="fr-FR"/>
        </w:rPr>
        <w:t xml:space="preserve">titulaires de mandat au titre des </w:t>
      </w:r>
      <w:r w:rsidRPr="005D75D4">
        <w:rPr>
          <w:lang w:val="fr-FR"/>
        </w:rPr>
        <w:t xml:space="preserve">procédures spéciales et autres mécanismes du Conseil, </w:t>
      </w:r>
      <w:r>
        <w:rPr>
          <w:lang w:val="fr-FR"/>
        </w:rPr>
        <w:t xml:space="preserve">et </w:t>
      </w:r>
      <w:r w:rsidRPr="005D75D4">
        <w:rPr>
          <w:lang w:val="fr-FR"/>
        </w:rPr>
        <w:t>les institutions nationales des droits de l</w:t>
      </w:r>
      <w:r w:rsidR="001947F5">
        <w:rPr>
          <w:lang w:val="fr-FR"/>
        </w:rPr>
        <w:t>’</w:t>
      </w:r>
      <w:r w:rsidRPr="005D75D4">
        <w:rPr>
          <w:lang w:val="fr-FR"/>
        </w:rPr>
        <w:t>homme, les institutions internationales de financement et de développement, les institutions spécialisées</w:t>
      </w:r>
      <w:r>
        <w:rPr>
          <w:lang w:val="fr-FR"/>
        </w:rPr>
        <w:t xml:space="preserve"> et les</w:t>
      </w:r>
      <w:r w:rsidRPr="005D75D4">
        <w:rPr>
          <w:lang w:val="fr-FR"/>
        </w:rPr>
        <w:t xml:space="preserve"> </w:t>
      </w:r>
      <w:r>
        <w:rPr>
          <w:lang w:val="fr-FR"/>
        </w:rPr>
        <w:t>programmes et fonds des Nations </w:t>
      </w:r>
      <w:r w:rsidRPr="005D75D4">
        <w:rPr>
          <w:lang w:val="fr-FR"/>
        </w:rPr>
        <w:t>Unies de collaborer avec le Groupe de travail, notamment en lui fournissant les informations nécessaires et, si possible, les rapports nécessaires pour lui permettre de s</w:t>
      </w:r>
      <w:r w:rsidR="001947F5">
        <w:rPr>
          <w:lang w:val="fr-FR"/>
        </w:rPr>
        <w:t>’</w:t>
      </w:r>
      <w:r w:rsidRPr="005D75D4">
        <w:rPr>
          <w:lang w:val="fr-FR"/>
        </w:rPr>
        <w:t>acquitter de son mandat,</w:t>
      </w:r>
      <w:r w:rsidRPr="005D75D4">
        <w:rPr>
          <w:rFonts w:eastAsia="Calibri"/>
          <w:lang w:val="fr-FR"/>
        </w:rPr>
        <w:t xml:space="preserve"> y compris en ce qui concerne les missions sur le terrain;</w:t>
      </w:r>
    </w:p>
    <w:p w:rsidR="005936BF" w:rsidRDefault="005936BF" w:rsidP="005936BF">
      <w:pPr>
        <w:pStyle w:val="SingleTxtG"/>
        <w:ind w:firstLine="567"/>
        <w:rPr>
          <w:rFonts w:eastAsia="Calibri"/>
          <w:lang w:val="fr-FR"/>
        </w:rPr>
      </w:pPr>
      <w:r w:rsidRPr="005D75D4">
        <w:rPr>
          <w:rFonts w:eastAsia="Calibri"/>
          <w:lang w:val="fr-FR"/>
        </w:rPr>
        <w:t>6.</w:t>
      </w:r>
      <w:r w:rsidRPr="005D75D4">
        <w:rPr>
          <w:rFonts w:eastAsia="Calibri"/>
          <w:lang w:val="fr-FR"/>
        </w:rPr>
        <w:tab/>
      </w:r>
      <w:r w:rsidRPr="00D92A1D">
        <w:rPr>
          <w:i/>
          <w:lang w:val="fr-FR"/>
        </w:rPr>
        <w:t>Prie</w:t>
      </w:r>
      <w:r w:rsidRPr="00D92A1D">
        <w:rPr>
          <w:lang w:val="fr-FR"/>
        </w:rPr>
        <w:t xml:space="preserve"> le Secrétaire général et le Haut-Commissaire des Nations Unies aux droits de l</w:t>
      </w:r>
      <w:r w:rsidR="001947F5">
        <w:rPr>
          <w:lang w:val="fr-FR"/>
        </w:rPr>
        <w:t>’</w:t>
      </w:r>
      <w:r w:rsidRPr="00D92A1D">
        <w:rPr>
          <w:lang w:val="fr-FR"/>
        </w:rPr>
        <w:t xml:space="preserve">homme de fournir au Groupe de travail toutes les ressources humaines, techniques et financières nécessaires pour lui permettre de </w:t>
      </w:r>
      <w:r>
        <w:rPr>
          <w:lang w:val="fr-FR"/>
        </w:rPr>
        <w:t>s</w:t>
      </w:r>
      <w:r w:rsidR="001947F5">
        <w:rPr>
          <w:lang w:val="fr-FR"/>
        </w:rPr>
        <w:t>’</w:t>
      </w:r>
      <w:r>
        <w:rPr>
          <w:lang w:val="fr-FR"/>
        </w:rPr>
        <w:t xml:space="preserve">acquitter efficacement et durablement de son </w:t>
      </w:r>
      <w:r w:rsidRPr="00D92A1D">
        <w:rPr>
          <w:lang w:val="fr-FR"/>
        </w:rPr>
        <w:t>mandat</w:t>
      </w:r>
      <w:r w:rsidRPr="005D75D4">
        <w:rPr>
          <w:rFonts w:eastAsia="Calibri"/>
          <w:lang w:val="fr-FR"/>
        </w:rPr>
        <w:t>;</w:t>
      </w:r>
    </w:p>
    <w:p w:rsidR="005936BF" w:rsidRDefault="005936BF" w:rsidP="005936BF">
      <w:pPr>
        <w:pStyle w:val="SingleTxtG"/>
        <w:ind w:firstLine="567"/>
        <w:rPr>
          <w:lang w:val="fr-FR"/>
        </w:rPr>
      </w:pPr>
      <w:r w:rsidRPr="005D75D4">
        <w:rPr>
          <w:rFonts w:eastAsia="Calibri"/>
          <w:lang w:val="fr-FR"/>
        </w:rPr>
        <w:t>7.</w:t>
      </w:r>
      <w:r w:rsidRPr="005D75D4">
        <w:rPr>
          <w:rFonts w:eastAsia="Calibri"/>
          <w:lang w:val="fr-FR"/>
        </w:rPr>
        <w:tab/>
      </w:r>
      <w:r w:rsidRPr="00D92A1D">
        <w:rPr>
          <w:i/>
          <w:lang w:val="fr-FR"/>
        </w:rPr>
        <w:t>Rappelle</w:t>
      </w:r>
      <w:r w:rsidRPr="00D92A1D">
        <w:rPr>
          <w:lang w:val="fr-FR"/>
        </w:rPr>
        <w:t xml:space="preserve"> la création d</w:t>
      </w:r>
      <w:r w:rsidR="001947F5">
        <w:rPr>
          <w:lang w:val="fr-FR"/>
        </w:rPr>
        <w:t>’</w:t>
      </w:r>
      <w:r w:rsidRPr="00D92A1D">
        <w:rPr>
          <w:lang w:val="fr-FR"/>
        </w:rPr>
        <w:t>un fonds de contributions volontaires destiné à</w:t>
      </w:r>
      <w:r>
        <w:rPr>
          <w:lang w:val="fr-FR"/>
        </w:rPr>
        <w:t> </w:t>
      </w:r>
      <w:r w:rsidRPr="00D92A1D">
        <w:rPr>
          <w:lang w:val="fr-FR"/>
        </w:rPr>
        <w:t>recueillir des ressources supplémentaires pour assurer, entre autres, la participation de personnes d</w:t>
      </w:r>
      <w:r w:rsidR="001947F5">
        <w:rPr>
          <w:lang w:val="fr-FR"/>
        </w:rPr>
        <w:t>’</w:t>
      </w:r>
      <w:r w:rsidRPr="00D92A1D">
        <w:rPr>
          <w:lang w:val="fr-FR"/>
        </w:rPr>
        <w:t>ascendance africaine, de représentant</w:t>
      </w:r>
      <w:r>
        <w:rPr>
          <w:lang w:val="fr-FR"/>
        </w:rPr>
        <w:t>s des pays en développement, en </w:t>
      </w:r>
      <w:r w:rsidRPr="00D92A1D">
        <w:rPr>
          <w:lang w:val="fr-FR"/>
        </w:rPr>
        <w:t>particulier des moins avancés d</w:t>
      </w:r>
      <w:r w:rsidR="001947F5">
        <w:rPr>
          <w:lang w:val="fr-FR"/>
        </w:rPr>
        <w:t>’</w:t>
      </w:r>
      <w:r w:rsidRPr="00D92A1D">
        <w:rPr>
          <w:lang w:val="fr-FR"/>
        </w:rPr>
        <w:t>entre eux, d</w:t>
      </w:r>
      <w:r w:rsidR="001947F5">
        <w:rPr>
          <w:lang w:val="fr-FR"/>
        </w:rPr>
        <w:t>’</w:t>
      </w:r>
      <w:r w:rsidRPr="00D92A1D">
        <w:rPr>
          <w:lang w:val="fr-FR"/>
        </w:rPr>
        <w:t>organisations non gouvernementales et d</w:t>
      </w:r>
      <w:r w:rsidR="001947F5">
        <w:rPr>
          <w:lang w:val="fr-FR"/>
        </w:rPr>
        <w:t>’</w:t>
      </w:r>
      <w:r w:rsidRPr="00D92A1D">
        <w:rPr>
          <w:lang w:val="fr-FR"/>
        </w:rPr>
        <w:t>experts aux sessions ouvertes à tous du Groupe de travail, et invite les États à contribuer à</w:t>
      </w:r>
      <w:r>
        <w:rPr>
          <w:lang w:val="fr-FR"/>
        </w:rPr>
        <w:t> </w:t>
      </w:r>
      <w:r w:rsidRPr="00D92A1D">
        <w:rPr>
          <w:lang w:val="fr-FR"/>
        </w:rPr>
        <w:t>ce fonds;</w:t>
      </w:r>
    </w:p>
    <w:p w:rsidR="005936BF" w:rsidRDefault="005936BF" w:rsidP="005936BF">
      <w:pPr>
        <w:pStyle w:val="SingleTxtG"/>
        <w:ind w:firstLine="567"/>
        <w:rPr>
          <w:lang w:val="fr-FR"/>
        </w:rPr>
      </w:pPr>
      <w:r w:rsidRPr="005D75D4">
        <w:rPr>
          <w:rFonts w:eastAsia="Calibri"/>
          <w:lang w:val="fr-FR"/>
        </w:rPr>
        <w:t>8.</w:t>
      </w:r>
      <w:r w:rsidRPr="005D75D4">
        <w:rPr>
          <w:rFonts w:eastAsia="Calibri"/>
          <w:lang w:val="fr-FR"/>
        </w:rPr>
        <w:tab/>
      </w:r>
      <w:r w:rsidRPr="00D92A1D">
        <w:rPr>
          <w:i/>
          <w:lang w:val="fr-FR"/>
        </w:rPr>
        <w:t>Décide</w:t>
      </w:r>
      <w:r w:rsidRPr="00D92A1D">
        <w:rPr>
          <w:lang w:val="fr-FR"/>
        </w:rPr>
        <w:t xml:space="preserve"> de rester saisi de cette question importante</w:t>
      </w:r>
      <w:r>
        <w:rPr>
          <w:lang w:val="fr-FR"/>
        </w:rPr>
        <w:t>.</w:t>
      </w:r>
    </w:p>
    <w:p w:rsidR="005936BF" w:rsidRPr="00CC77FE" w:rsidRDefault="005936BF" w:rsidP="005936BF">
      <w:pPr>
        <w:pStyle w:val="SingleTxtG"/>
        <w:jc w:val="right"/>
        <w:rPr>
          <w:i/>
          <w:lang w:val="fr-FR"/>
        </w:rPr>
      </w:pPr>
      <w:r w:rsidRPr="00CC77FE">
        <w:rPr>
          <w:i/>
          <w:lang w:val="fr-FR"/>
        </w:rPr>
        <w:t>40</w:t>
      </w:r>
      <w:r w:rsidRPr="00CC77FE">
        <w:rPr>
          <w:i/>
          <w:vertAlign w:val="superscript"/>
          <w:lang w:val="fr-FR"/>
        </w:rPr>
        <w:t>e</w:t>
      </w:r>
      <w:r w:rsidRPr="00CC77FE">
        <w:rPr>
          <w:i/>
          <w:lang w:val="fr-FR"/>
        </w:rPr>
        <w:t xml:space="preserve"> séance</w:t>
      </w:r>
      <w:r>
        <w:rPr>
          <w:i/>
          <w:lang w:val="fr-FR"/>
        </w:rPr>
        <w:br/>
      </w:r>
      <w:r w:rsidRPr="00CC77FE">
        <w:rPr>
          <w:i/>
          <w:lang w:val="fr-FR"/>
        </w:rPr>
        <w:t>16 septembre 2014</w:t>
      </w:r>
    </w:p>
    <w:p w:rsidR="005936BF" w:rsidRDefault="005936BF" w:rsidP="005936BF">
      <w:pPr>
        <w:pStyle w:val="SingleTxtG"/>
        <w:rPr>
          <w:lang w:val="fr-FR"/>
        </w:rPr>
      </w:pPr>
      <w:r>
        <w:rPr>
          <w:lang w:val="fr-FR"/>
        </w:rPr>
        <w:t>[Adoptée sans vote]</w:t>
      </w:r>
    </w:p>
    <w:p w:rsidR="00594033" w:rsidRPr="005936BF" w:rsidRDefault="005936BF" w:rsidP="005936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4033" w:rsidRPr="005936BF" w:rsidSect="005936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D9" w:rsidRDefault="004B66D9"/>
  </w:endnote>
  <w:endnote w:type="continuationSeparator" w:id="0">
    <w:p w:rsidR="004B66D9" w:rsidRDefault="004B66D9"/>
  </w:endnote>
  <w:endnote w:type="continuationNotice" w:id="1">
    <w:p w:rsidR="004B66D9" w:rsidRPr="00770C75" w:rsidRDefault="004B66D9" w:rsidP="00770C7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8" w:rsidRPr="005936BF" w:rsidRDefault="00594DB8" w:rsidP="005936BF">
    <w:pPr>
      <w:pStyle w:val="Footer"/>
      <w:tabs>
        <w:tab w:val="right" w:pos="9638"/>
      </w:tabs>
    </w:pPr>
    <w:r w:rsidRPr="005936BF">
      <w:rPr>
        <w:b/>
        <w:sz w:val="18"/>
      </w:rPr>
      <w:fldChar w:fldCharType="begin"/>
    </w:r>
    <w:r w:rsidRPr="005936BF">
      <w:rPr>
        <w:b/>
        <w:sz w:val="18"/>
      </w:rPr>
      <w:instrText xml:space="preserve"> PAGE  \* MERGEFORMAT </w:instrText>
    </w:r>
    <w:r w:rsidRPr="005936BF">
      <w:rPr>
        <w:b/>
        <w:sz w:val="18"/>
      </w:rPr>
      <w:fldChar w:fldCharType="separate"/>
    </w:r>
    <w:r w:rsidR="00A77226">
      <w:rPr>
        <w:b/>
        <w:noProof/>
        <w:sz w:val="18"/>
      </w:rPr>
      <w:t>2</w:t>
    </w:r>
    <w:r w:rsidRPr="005936BF">
      <w:rPr>
        <w:b/>
        <w:sz w:val="18"/>
      </w:rPr>
      <w:fldChar w:fldCharType="end"/>
    </w:r>
    <w:r>
      <w:rPr>
        <w:b/>
        <w:sz w:val="18"/>
      </w:rPr>
      <w:tab/>
    </w:r>
    <w:r>
      <w:t>GE.14-17739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8" w:rsidRPr="005936BF" w:rsidRDefault="00594DB8" w:rsidP="005936BF">
    <w:pPr>
      <w:pStyle w:val="Footer"/>
      <w:tabs>
        <w:tab w:val="right" w:pos="9638"/>
      </w:tabs>
      <w:rPr>
        <w:b/>
        <w:sz w:val="18"/>
      </w:rPr>
    </w:pPr>
    <w:r>
      <w:t>GE.14-17739</w:t>
    </w:r>
    <w:r>
      <w:tab/>
    </w:r>
    <w:r w:rsidRPr="005936BF">
      <w:rPr>
        <w:b/>
        <w:sz w:val="18"/>
      </w:rPr>
      <w:fldChar w:fldCharType="begin"/>
    </w:r>
    <w:r w:rsidRPr="005936BF">
      <w:rPr>
        <w:b/>
        <w:sz w:val="18"/>
      </w:rPr>
      <w:instrText xml:space="preserve"> PAGE  \* MERGEFORMAT </w:instrText>
    </w:r>
    <w:r w:rsidRPr="005936B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936BF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8" w:rsidRDefault="00594DB8" w:rsidP="005936BF">
    <w:pPr>
      <w:pStyle w:val="Footer"/>
      <w:spacing w:before="120"/>
    </w:pPr>
    <w:r>
      <w:rPr>
        <w:sz w:val="20"/>
      </w:rPr>
      <w:t>GE.14-17739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    131014    161014</w:t>
    </w:r>
    <w:r>
      <w:rPr>
        <w:sz w:val="20"/>
      </w:rPr>
      <w:br/>
    </w:r>
    <w:r w:rsidRPr="005936BF">
      <w:rPr>
        <w:rFonts w:ascii="C39T30Lfz" w:hAnsi="C39T30Lfz"/>
        <w:sz w:val="56"/>
      </w:rPr>
      <w:t></w:t>
    </w:r>
    <w:r w:rsidRPr="005936BF">
      <w:rPr>
        <w:rFonts w:ascii="C39T30Lfz" w:hAnsi="C39T30Lfz"/>
        <w:sz w:val="56"/>
      </w:rPr>
      <w:t></w:t>
    </w:r>
    <w:r w:rsidRPr="005936BF">
      <w:rPr>
        <w:rFonts w:ascii="C39T30Lfz" w:hAnsi="C39T30Lfz"/>
        <w:sz w:val="56"/>
      </w:rPr>
      <w:t></w:t>
    </w:r>
    <w:r w:rsidRPr="005936BF">
      <w:rPr>
        <w:rFonts w:ascii="C39T30Lfz" w:hAnsi="C39T30Lfz"/>
        <w:sz w:val="56"/>
      </w:rPr>
      <w:t></w:t>
    </w:r>
    <w:r w:rsidRPr="005936BF">
      <w:rPr>
        <w:rFonts w:ascii="C39T30Lfz" w:hAnsi="C39T30Lfz"/>
        <w:sz w:val="56"/>
      </w:rPr>
      <w:t></w:t>
    </w:r>
    <w:r w:rsidRPr="005936BF">
      <w:rPr>
        <w:rFonts w:ascii="C39T30Lfz" w:hAnsi="C39T30Lfz"/>
        <w:sz w:val="56"/>
      </w:rPr>
      <w:t></w:t>
    </w:r>
    <w:r w:rsidRPr="005936BF">
      <w:rPr>
        <w:rFonts w:ascii="C39T30Lfz" w:hAnsi="C39T30Lfz"/>
        <w:sz w:val="56"/>
      </w:rPr>
      <w:t></w:t>
    </w:r>
    <w:r w:rsidRPr="005936BF">
      <w:rPr>
        <w:rFonts w:ascii="C39T30Lfz" w:hAnsi="C39T30Lfz"/>
        <w:sz w:val="56"/>
      </w:rPr>
      <w:t></w:t>
    </w:r>
    <w:r w:rsidRPr="005936BF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25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D9" w:rsidRPr="00D27D5E" w:rsidRDefault="004B66D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66D9" w:rsidRPr="001D7014" w:rsidRDefault="004B66D9" w:rsidP="001D7014">
      <w:pPr>
        <w:tabs>
          <w:tab w:val="right" w:pos="2155"/>
        </w:tabs>
        <w:spacing w:after="80"/>
        <w:ind w:left="680"/>
        <w:rPr>
          <w:u w:val="single"/>
        </w:rPr>
      </w:pPr>
      <w:r w:rsidRPr="001D7014">
        <w:rPr>
          <w:u w:val="single"/>
        </w:rPr>
        <w:tab/>
      </w:r>
    </w:p>
  </w:footnote>
  <w:footnote w:type="continuationNotice" w:id="1">
    <w:p w:rsidR="004B66D9" w:rsidRPr="00770C75" w:rsidRDefault="004B66D9" w:rsidP="00770C7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8" w:rsidRPr="005936BF" w:rsidRDefault="00594DB8">
    <w:pPr>
      <w:pStyle w:val="Header"/>
    </w:pPr>
    <w:r>
      <w:t>A/HRC/RES/27/25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B8" w:rsidRPr="005936BF" w:rsidRDefault="00594DB8" w:rsidP="005936BF">
    <w:pPr>
      <w:pStyle w:val="Header"/>
      <w:jc w:val="right"/>
    </w:pPr>
    <w:r>
      <w:t>A/HRC/RES/27/25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EC4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D61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A62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C2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A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0"/>
  </w:num>
  <w:num w:numId="21">
    <w:abstractNumId w:val="14"/>
  </w:num>
  <w:num w:numId="22">
    <w:abstractNumId w:val="13"/>
  </w:num>
  <w:num w:numId="23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AD5"/>
    <w:rsid w:val="00016AC5"/>
    <w:rsid w:val="00053654"/>
    <w:rsid w:val="00057BC0"/>
    <w:rsid w:val="000675FE"/>
    <w:rsid w:val="000A63CB"/>
    <w:rsid w:val="000E03D2"/>
    <w:rsid w:val="000F41F2"/>
    <w:rsid w:val="00133B7A"/>
    <w:rsid w:val="001370FA"/>
    <w:rsid w:val="0014763D"/>
    <w:rsid w:val="00153B2E"/>
    <w:rsid w:val="00160540"/>
    <w:rsid w:val="00170BBF"/>
    <w:rsid w:val="00192A4C"/>
    <w:rsid w:val="00192EEB"/>
    <w:rsid w:val="001947F5"/>
    <w:rsid w:val="001A20FB"/>
    <w:rsid w:val="001B6907"/>
    <w:rsid w:val="001C6647"/>
    <w:rsid w:val="001D7014"/>
    <w:rsid w:val="001E3FEB"/>
    <w:rsid w:val="001E4A02"/>
    <w:rsid w:val="00217DB9"/>
    <w:rsid w:val="00245F2B"/>
    <w:rsid w:val="002659F1"/>
    <w:rsid w:val="00282B78"/>
    <w:rsid w:val="00286F7E"/>
    <w:rsid w:val="00287E79"/>
    <w:rsid w:val="002928F9"/>
    <w:rsid w:val="002A5D07"/>
    <w:rsid w:val="002D6D59"/>
    <w:rsid w:val="003016B7"/>
    <w:rsid w:val="003515AA"/>
    <w:rsid w:val="00374106"/>
    <w:rsid w:val="00375577"/>
    <w:rsid w:val="0037787B"/>
    <w:rsid w:val="003976D5"/>
    <w:rsid w:val="003D3AE8"/>
    <w:rsid w:val="003D6C68"/>
    <w:rsid w:val="004159D0"/>
    <w:rsid w:val="00481744"/>
    <w:rsid w:val="004B2F4D"/>
    <w:rsid w:val="004B66D9"/>
    <w:rsid w:val="00503619"/>
    <w:rsid w:val="00571F41"/>
    <w:rsid w:val="005936BF"/>
    <w:rsid w:val="00594033"/>
    <w:rsid w:val="00594DB8"/>
    <w:rsid w:val="005D40D4"/>
    <w:rsid w:val="005E446A"/>
    <w:rsid w:val="005E5D1F"/>
    <w:rsid w:val="00612D48"/>
    <w:rsid w:val="00616B45"/>
    <w:rsid w:val="006439EC"/>
    <w:rsid w:val="0066166E"/>
    <w:rsid w:val="006739B9"/>
    <w:rsid w:val="00694C5E"/>
    <w:rsid w:val="006A521F"/>
    <w:rsid w:val="006B4590"/>
    <w:rsid w:val="006C340C"/>
    <w:rsid w:val="006E0516"/>
    <w:rsid w:val="00700CFC"/>
    <w:rsid w:val="00700F82"/>
    <w:rsid w:val="0070347C"/>
    <w:rsid w:val="007170F0"/>
    <w:rsid w:val="00743F9E"/>
    <w:rsid w:val="00757B26"/>
    <w:rsid w:val="007602DF"/>
    <w:rsid w:val="00770C75"/>
    <w:rsid w:val="00774E57"/>
    <w:rsid w:val="00785BA2"/>
    <w:rsid w:val="00786ACC"/>
    <w:rsid w:val="007C2C4F"/>
    <w:rsid w:val="007D30F7"/>
    <w:rsid w:val="007E7740"/>
    <w:rsid w:val="0081197C"/>
    <w:rsid w:val="008353D6"/>
    <w:rsid w:val="00844750"/>
    <w:rsid w:val="0087266B"/>
    <w:rsid w:val="008921DD"/>
    <w:rsid w:val="0089595B"/>
    <w:rsid w:val="008A09C6"/>
    <w:rsid w:val="008D7C08"/>
    <w:rsid w:val="008E7FAE"/>
    <w:rsid w:val="00911BF7"/>
    <w:rsid w:val="00977EC8"/>
    <w:rsid w:val="00981C83"/>
    <w:rsid w:val="009B5609"/>
    <w:rsid w:val="009D34DC"/>
    <w:rsid w:val="009D3A8C"/>
    <w:rsid w:val="009E7956"/>
    <w:rsid w:val="009F450E"/>
    <w:rsid w:val="00A2492E"/>
    <w:rsid w:val="00A63BBD"/>
    <w:rsid w:val="00A77226"/>
    <w:rsid w:val="00AC47AD"/>
    <w:rsid w:val="00AC7977"/>
    <w:rsid w:val="00AE352C"/>
    <w:rsid w:val="00B305CF"/>
    <w:rsid w:val="00B32E2D"/>
    <w:rsid w:val="00B41432"/>
    <w:rsid w:val="00B61990"/>
    <w:rsid w:val="00B80E45"/>
    <w:rsid w:val="00BA184E"/>
    <w:rsid w:val="00BE28D3"/>
    <w:rsid w:val="00BF0556"/>
    <w:rsid w:val="00BF0AD5"/>
    <w:rsid w:val="00C17030"/>
    <w:rsid w:val="00C261F8"/>
    <w:rsid w:val="00C717E0"/>
    <w:rsid w:val="00C919A2"/>
    <w:rsid w:val="00CA04BE"/>
    <w:rsid w:val="00CD1A71"/>
    <w:rsid w:val="00CD1FBB"/>
    <w:rsid w:val="00CE5AFE"/>
    <w:rsid w:val="00D016B5"/>
    <w:rsid w:val="00D034F1"/>
    <w:rsid w:val="00D037E5"/>
    <w:rsid w:val="00D27D5E"/>
    <w:rsid w:val="00D34CC9"/>
    <w:rsid w:val="00D42E42"/>
    <w:rsid w:val="00DE6D90"/>
    <w:rsid w:val="00DE708E"/>
    <w:rsid w:val="00DF002F"/>
    <w:rsid w:val="00E0244D"/>
    <w:rsid w:val="00E81E94"/>
    <w:rsid w:val="00E82607"/>
    <w:rsid w:val="00EF327E"/>
    <w:rsid w:val="00F22103"/>
    <w:rsid w:val="00F71235"/>
    <w:rsid w:val="00F71F90"/>
    <w:rsid w:val="00FA5A79"/>
    <w:rsid w:val="00FB0BFE"/>
    <w:rsid w:val="00FB0DAA"/>
    <w:rsid w:val="00FB4C51"/>
    <w:rsid w:val="00FC652B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F82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700F82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00F82"/>
    <w:pPr>
      <w:outlineLvl w:val="1"/>
    </w:pPr>
  </w:style>
  <w:style w:type="paragraph" w:styleId="Heading3">
    <w:name w:val="heading 3"/>
    <w:basedOn w:val="Normal"/>
    <w:next w:val="Normal"/>
    <w:qFormat/>
    <w:rsid w:val="00700F82"/>
    <w:pPr>
      <w:outlineLvl w:val="2"/>
    </w:pPr>
  </w:style>
  <w:style w:type="paragraph" w:styleId="Heading4">
    <w:name w:val="heading 4"/>
    <w:basedOn w:val="Normal"/>
    <w:next w:val="Normal"/>
    <w:qFormat/>
    <w:rsid w:val="00700F82"/>
    <w:pPr>
      <w:outlineLvl w:val="3"/>
    </w:pPr>
  </w:style>
  <w:style w:type="paragraph" w:styleId="Heading5">
    <w:name w:val="heading 5"/>
    <w:basedOn w:val="Normal"/>
    <w:next w:val="Normal"/>
    <w:qFormat/>
    <w:rsid w:val="00700F82"/>
    <w:pPr>
      <w:outlineLvl w:val="4"/>
    </w:pPr>
  </w:style>
  <w:style w:type="paragraph" w:styleId="Heading6">
    <w:name w:val="heading 6"/>
    <w:basedOn w:val="Normal"/>
    <w:next w:val="Normal"/>
    <w:qFormat/>
    <w:rsid w:val="00700F82"/>
    <w:pPr>
      <w:outlineLvl w:val="5"/>
    </w:pPr>
  </w:style>
  <w:style w:type="paragraph" w:styleId="Heading7">
    <w:name w:val="heading 7"/>
    <w:basedOn w:val="Normal"/>
    <w:next w:val="Normal"/>
    <w:qFormat/>
    <w:rsid w:val="00700F82"/>
    <w:pPr>
      <w:outlineLvl w:val="6"/>
    </w:pPr>
  </w:style>
  <w:style w:type="paragraph" w:styleId="Heading8">
    <w:name w:val="heading 8"/>
    <w:basedOn w:val="Normal"/>
    <w:next w:val="Normal"/>
    <w:qFormat/>
    <w:rsid w:val="00700F82"/>
    <w:pPr>
      <w:outlineLvl w:val="7"/>
    </w:pPr>
  </w:style>
  <w:style w:type="paragraph" w:styleId="Heading9">
    <w:name w:val="heading 9"/>
    <w:basedOn w:val="Normal"/>
    <w:next w:val="Normal"/>
    <w:qFormat/>
    <w:rsid w:val="00700F82"/>
    <w:pPr>
      <w:outlineLvl w:val="8"/>
    </w:pPr>
  </w:style>
  <w:style w:type="character" w:default="1" w:styleId="DefaultParagraphFont">
    <w:name w:val="Default Paragraph Font"/>
    <w:semiHidden/>
    <w:rsid w:val="00700F8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0F82"/>
  </w:style>
  <w:style w:type="paragraph" w:customStyle="1" w:styleId="HMG">
    <w:name w:val="_ H __M_G"/>
    <w:basedOn w:val="Normal"/>
    <w:next w:val="Normal"/>
    <w:rsid w:val="00700F8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00F8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00F8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00F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00F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00F8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00F82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00F8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00F8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00F8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00F8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00F82"/>
    <w:pPr>
      <w:numPr>
        <w:numId w:val="2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00F82"/>
    <w:pPr>
      <w:numPr>
        <w:numId w:val="2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00F8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00F82"/>
  </w:style>
  <w:style w:type="paragraph" w:styleId="Header">
    <w:name w:val="header"/>
    <w:aliases w:val="6_G"/>
    <w:basedOn w:val="Normal"/>
    <w:next w:val="Normal"/>
    <w:rsid w:val="00700F8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700F8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700F82"/>
  </w:style>
  <w:style w:type="character" w:styleId="PageNumber">
    <w:name w:val="page number"/>
    <w:aliases w:val="7_G"/>
    <w:basedOn w:val="DefaultParagraphFont"/>
    <w:rsid w:val="00700F82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00F82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700F82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700F82"/>
    <w:rPr>
      <w:color w:val="0000FF"/>
      <w:u w:val="none"/>
    </w:rPr>
  </w:style>
  <w:style w:type="paragraph" w:customStyle="1" w:styleId="ParNoG">
    <w:name w:val="_ParNo_G"/>
    <w:basedOn w:val="SingleTxtG"/>
    <w:rsid w:val="00700F82"/>
    <w:pPr>
      <w:numPr>
        <w:numId w:val="23"/>
      </w:numPr>
    </w:pPr>
  </w:style>
  <w:style w:type="table" w:styleId="TableGrid">
    <w:name w:val="Table Grid"/>
    <w:basedOn w:val="TableNormal"/>
    <w:semiHidden/>
    <w:rsid w:val="00700F82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_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</Template>
  <TotalTime>1</TotalTime>
  <Pages>1</Pages>
  <Words>773</Words>
  <Characters>4273</Characters>
  <Application>Microsoft Office Outlook</Application>
  <DocSecurity>4</DocSecurity>
  <Lines>83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A/HRC/RES/27/25</vt:lpstr>
    </vt:vector>
  </TitlesOfParts>
  <Company>CSD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A/HRC/RES/27/25</dc:title>
  <dc:subject>FINAL</dc:subject>
  <dc:creator>Morin</dc:creator>
  <cp:keywords/>
  <dc:description/>
  <cp:lastModifiedBy>Morin</cp:lastModifiedBy>
  <cp:revision>3</cp:revision>
  <cp:lastPrinted>2014-10-16T15:13:00Z</cp:lastPrinted>
  <dcterms:created xsi:type="dcterms:W3CDTF">2014-10-16T15:13:00Z</dcterms:created>
  <dcterms:modified xsi:type="dcterms:W3CDTF">2014-10-16T15:14:00Z</dcterms:modified>
</cp:coreProperties>
</file>