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982"/>
        <w:gridCol w:w="1861"/>
        <w:gridCol w:w="4522"/>
      </w:tblGrid>
      <w:tr w:rsidR="00AD0014" w:rsidRPr="00DB7679" w:rsidTr="00A11DDA">
        <w:trPr>
          <w:trHeight w:hRule="exact" w:val="851"/>
        </w:trPr>
        <w:tc>
          <w:tcPr>
            <w:tcW w:w="1274" w:type="dxa"/>
            <w:tcBorders>
              <w:bottom w:val="single" w:sz="4" w:space="0" w:color="auto"/>
            </w:tcBorders>
          </w:tcPr>
          <w:p w:rsidR="00AD0014" w:rsidRPr="00983870" w:rsidRDefault="00AD0014" w:rsidP="00BC55C8"/>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E55599" w:rsidP="00E55599">
            <w:pPr>
              <w:bidi w:val="0"/>
              <w:spacing w:after="20"/>
              <w:jc w:val="left"/>
              <w:rPr>
                <w:szCs w:val="20"/>
              </w:rPr>
            </w:pPr>
            <w:r w:rsidRPr="00E55599">
              <w:rPr>
                <w:sz w:val="40"/>
                <w:szCs w:val="20"/>
              </w:rPr>
              <w:t>A</w:t>
            </w:r>
            <w:r>
              <w:rPr>
                <w:szCs w:val="20"/>
              </w:rPr>
              <w:t>/HRC/RES/1</w:t>
            </w:r>
            <w:r w:rsidR="001447DB">
              <w:rPr>
                <w:szCs w:val="20"/>
              </w:rPr>
              <w:t>5</w:t>
            </w:r>
            <w:r>
              <w:rPr>
                <w:szCs w:val="20"/>
              </w:rPr>
              <w:t>/</w:t>
            </w:r>
            <w:r w:rsidR="001447DB">
              <w:rPr>
                <w:szCs w:val="20"/>
              </w:rPr>
              <w:t>14</w:t>
            </w:r>
          </w:p>
        </w:tc>
      </w:tr>
      <w:tr w:rsidR="00257225" w:rsidRPr="00DB7679" w:rsidTr="007B599E">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3843" w:type="dxa"/>
            <w:gridSpan w:val="2"/>
            <w:tcBorders>
              <w:top w:val="single" w:sz="4" w:space="0" w:color="auto"/>
              <w:bottom w:val="single" w:sz="12" w:space="0" w:color="auto"/>
            </w:tcBorders>
          </w:tcPr>
          <w:p w:rsidR="00257225" w:rsidRPr="00DB7679" w:rsidRDefault="00257225" w:rsidP="00BC55C8">
            <w:pPr>
              <w:spacing w:before="120" w:line="640" w:lineRule="exact"/>
              <w:rPr>
                <w:rFonts w:hint="cs"/>
                <w:b/>
                <w:bCs/>
                <w:szCs w:val="60"/>
              </w:rPr>
            </w:pPr>
            <w:r w:rsidRPr="00DB7679">
              <w:rPr>
                <w:rFonts w:hint="cs"/>
                <w:b/>
                <w:bCs/>
                <w:szCs w:val="60"/>
                <w:rtl/>
              </w:rPr>
              <w:t>الجمعية العامة</w:t>
            </w:r>
          </w:p>
        </w:tc>
        <w:tc>
          <w:tcPr>
            <w:tcW w:w="4522" w:type="dxa"/>
            <w:tcBorders>
              <w:top w:val="single" w:sz="4" w:space="0" w:color="auto"/>
              <w:bottom w:val="single" w:sz="12" w:space="0" w:color="auto"/>
            </w:tcBorders>
          </w:tcPr>
          <w:p w:rsidR="00E55599" w:rsidRDefault="00E55599" w:rsidP="00E55599">
            <w:pPr>
              <w:bidi w:val="0"/>
              <w:spacing w:before="240"/>
              <w:jc w:val="left"/>
            </w:pPr>
            <w:r>
              <w:t>Distr.: General</w:t>
            </w:r>
          </w:p>
          <w:p w:rsidR="00E55599" w:rsidRDefault="001447DB" w:rsidP="00E55599">
            <w:pPr>
              <w:bidi w:val="0"/>
              <w:jc w:val="left"/>
            </w:pPr>
            <w:r>
              <w:t>6</w:t>
            </w:r>
            <w:r w:rsidRPr="00ED5C23">
              <w:t xml:space="preserve"> October 2010</w:t>
            </w:r>
          </w:p>
          <w:p w:rsidR="00E55599" w:rsidRDefault="00E55599" w:rsidP="00E55599">
            <w:pPr>
              <w:bidi w:val="0"/>
              <w:jc w:val="left"/>
            </w:pPr>
            <w:r>
              <w:t>Arabic</w:t>
            </w:r>
          </w:p>
          <w:p w:rsidR="00257225" w:rsidRPr="008B4BC6" w:rsidRDefault="00E55599" w:rsidP="00E55599">
            <w:pPr>
              <w:bidi w:val="0"/>
              <w:jc w:val="left"/>
            </w:pPr>
            <w:r>
              <w:t>Original: English</w:t>
            </w:r>
          </w:p>
        </w:tc>
      </w:tr>
    </w:tbl>
    <w:p w:rsidR="00E55599" w:rsidRPr="00833BFF" w:rsidRDefault="00E55599" w:rsidP="00E55599">
      <w:pPr>
        <w:spacing w:before="120" w:line="380" w:lineRule="exact"/>
        <w:rPr>
          <w:rFonts w:hint="cs"/>
          <w:b/>
          <w:bCs/>
          <w:sz w:val="36"/>
          <w:szCs w:val="36"/>
          <w:rtl/>
        </w:rPr>
      </w:pPr>
      <w:r w:rsidRPr="00833BFF">
        <w:rPr>
          <w:b/>
          <w:bCs/>
          <w:noProof/>
          <w:sz w:val="36"/>
          <w:szCs w:val="36"/>
          <w:rtl/>
        </w:rPr>
        <w:t>مجلس حقوق الإنسان</w:t>
      </w:r>
    </w:p>
    <w:p w:rsidR="00E55599" w:rsidRPr="00833BFF" w:rsidRDefault="00E55599" w:rsidP="001447DB">
      <w:pPr>
        <w:spacing w:line="380" w:lineRule="exact"/>
        <w:rPr>
          <w:rFonts w:hint="cs"/>
          <w:b/>
          <w:bCs/>
          <w:rtl/>
        </w:rPr>
      </w:pPr>
      <w:r w:rsidRPr="00833BFF">
        <w:rPr>
          <w:b/>
          <w:bCs/>
          <w:noProof/>
          <w:rtl/>
        </w:rPr>
        <w:t xml:space="preserve">الدورة </w:t>
      </w:r>
      <w:r w:rsidR="001447DB">
        <w:rPr>
          <w:rFonts w:hint="cs"/>
          <w:b/>
          <w:bCs/>
          <w:noProof/>
          <w:rtl/>
        </w:rPr>
        <w:t>الخامسة</w:t>
      </w:r>
      <w:r w:rsidRPr="00833BFF">
        <w:rPr>
          <w:b/>
          <w:bCs/>
          <w:noProof/>
          <w:rtl/>
        </w:rPr>
        <w:t xml:space="preserve"> عشرة</w:t>
      </w:r>
    </w:p>
    <w:p w:rsidR="00E55599" w:rsidRDefault="00E55599" w:rsidP="00E55599">
      <w:pPr>
        <w:spacing w:line="380" w:lineRule="exact"/>
        <w:rPr>
          <w:rFonts w:hint="cs"/>
          <w:noProof/>
          <w:rtl/>
        </w:rPr>
      </w:pPr>
      <w:r>
        <w:rPr>
          <w:noProof/>
          <w:rtl/>
        </w:rPr>
        <w:t xml:space="preserve">البند </w:t>
      </w:r>
      <w:r>
        <w:rPr>
          <w:rFonts w:hint="cs"/>
          <w:noProof/>
          <w:rtl/>
        </w:rPr>
        <w:t>3</w:t>
      </w:r>
      <w:r>
        <w:rPr>
          <w:noProof/>
          <w:rtl/>
        </w:rPr>
        <w:t xml:space="preserve"> من جدول الأعمال</w:t>
      </w:r>
    </w:p>
    <w:p w:rsidR="00E55599" w:rsidRPr="008A4BB2" w:rsidRDefault="00E55599" w:rsidP="00E55599">
      <w:pPr>
        <w:spacing w:line="380" w:lineRule="exact"/>
        <w:rPr>
          <w:rFonts w:hint="cs"/>
          <w:b/>
          <w:bCs/>
          <w:rtl/>
        </w:rPr>
      </w:pPr>
      <w:r w:rsidRPr="008A4BB2">
        <w:rPr>
          <w:rFonts w:hint="cs"/>
          <w:b/>
          <w:bCs/>
          <w:rtl/>
        </w:rPr>
        <w:t>تعزيز وحماية جميع حقوق الإنسان</w:t>
      </w:r>
      <w:r>
        <w:rPr>
          <w:rFonts w:hint="cs"/>
          <w:b/>
          <w:bCs/>
          <w:rtl/>
        </w:rPr>
        <w:t>،</w:t>
      </w:r>
      <w:r w:rsidRPr="008A4BB2">
        <w:rPr>
          <w:rFonts w:hint="cs"/>
          <w:b/>
          <w:bCs/>
          <w:rtl/>
        </w:rPr>
        <w:t xml:space="preserve"> المدنية والسياسية والاقتصادية </w:t>
      </w:r>
    </w:p>
    <w:p w:rsidR="00E55599" w:rsidRPr="008A4BB2" w:rsidRDefault="00E55599" w:rsidP="00E55599">
      <w:pPr>
        <w:spacing w:line="380" w:lineRule="exact"/>
        <w:rPr>
          <w:rFonts w:hint="cs"/>
          <w:b/>
          <w:bCs/>
          <w:rtl/>
        </w:rPr>
      </w:pPr>
      <w:r w:rsidRPr="008A4BB2">
        <w:rPr>
          <w:rFonts w:hint="cs"/>
          <w:b/>
          <w:bCs/>
          <w:rtl/>
        </w:rPr>
        <w:t>والاجتماعية والثقافية، بما في ذلك الحق في التنمية</w:t>
      </w:r>
    </w:p>
    <w:p w:rsidR="0090613A" w:rsidRPr="00D00E72" w:rsidRDefault="0090613A" w:rsidP="0090613A">
      <w:pPr>
        <w:pStyle w:val="HChGA"/>
        <w:rPr>
          <w:rFonts w:hint="cs"/>
          <w:rtl/>
        </w:rPr>
      </w:pPr>
      <w:r>
        <w:rPr>
          <w:rFonts w:hint="cs"/>
          <w:rtl/>
        </w:rPr>
        <w:tab/>
      </w:r>
      <w:r>
        <w:rPr>
          <w:rFonts w:hint="cs"/>
          <w:rtl/>
        </w:rPr>
        <w:tab/>
      </w:r>
      <w:r w:rsidRPr="00D00E72">
        <w:rPr>
          <w:rtl/>
        </w:rPr>
        <w:t>قرار</w:t>
      </w:r>
      <w:r>
        <w:rPr>
          <w:rFonts w:hint="cs"/>
          <w:rtl/>
        </w:rPr>
        <w:t xml:space="preserve"> اعتمده مجلس حقوق الإنسان</w:t>
      </w:r>
      <w:r w:rsidRPr="00FE47EF">
        <w:rPr>
          <w:rStyle w:val="FootnoteReference"/>
          <w:sz w:val="36"/>
          <w:szCs w:val="36"/>
          <w:vertAlign w:val="baseline"/>
          <w:rtl/>
        </w:rPr>
        <w:footnoteReference w:customMarkFollows="1" w:id="1"/>
        <w:t>*</w:t>
      </w:r>
    </w:p>
    <w:p w:rsidR="00E55599" w:rsidRPr="003D77EE" w:rsidRDefault="00E55599" w:rsidP="00575B27">
      <w:pPr>
        <w:pStyle w:val="HChGA"/>
        <w:rPr>
          <w:rFonts w:hint="cs"/>
          <w:rtl/>
        </w:rPr>
      </w:pPr>
      <w:r>
        <w:rPr>
          <w:rFonts w:hint="cs"/>
          <w:rtl/>
        </w:rPr>
        <w:tab/>
      </w:r>
      <w:r>
        <w:rPr>
          <w:rFonts w:hint="cs"/>
          <w:rtl/>
        </w:rPr>
        <w:tab/>
      </w:r>
      <w:r w:rsidR="001447DB">
        <w:rPr>
          <w:rFonts w:hint="cs"/>
          <w:rtl/>
        </w:rPr>
        <w:t>15</w:t>
      </w:r>
      <w:r w:rsidRPr="003D77EE">
        <w:rPr>
          <w:rFonts w:hint="cs"/>
          <w:rtl/>
        </w:rPr>
        <w:t>/</w:t>
      </w:r>
      <w:r w:rsidR="001447DB">
        <w:rPr>
          <w:rFonts w:hint="cs"/>
          <w:rtl/>
        </w:rPr>
        <w:t>14</w:t>
      </w:r>
      <w:r>
        <w:rPr>
          <w:rtl/>
        </w:rPr>
        <w:br/>
      </w:r>
      <w:r w:rsidR="00575B27">
        <w:rPr>
          <w:rFonts w:hint="cs"/>
          <w:rtl/>
        </w:rPr>
        <w:t>حقوق الإنسان والشعوب الأصلية: ولاية المقرر الخاص المعني بحقوق الشعوب الأصلية</w:t>
      </w:r>
    </w:p>
    <w:p w:rsidR="00E55599" w:rsidRPr="00032F88" w:rsidRDefault="00E55599" w:rsidP="00E55599">
      <w:pPr>
        <w:pStyle w:val="SingleTxtGA"/>
        <w:rPr>
          <w:rFonts w:hint="cs"/>
          <w:i/>
          <w:iCs/>
          <w:rtl/>
          <w:lang w:val="fr-CH"/>
        </w:rPr>
      </w:pPr>
      <w:r>
        <w:rPr>
          <w:rFonts w:hint="cs"/>
          <w:rtl/>
          <w:lang w:val="fr-CH"/>
        </w:rPr>
        <w:tab/>
      </w:r>
      <w:r w:rsidRPr="00032F88">
        <w:rPr>
          <w:rFonts w:hint="cs"/>
          <w:i/>
          <w:iCs/>
          <w:rtl/>
          <w:lang w:val="fr-CH"/>
        </w:rPr>
        <w:t>إن مجلس حقوق الإنسان،</w:t>
      </w:r>
    </w:p>
    <w:p w:rsidR="00E53970" w:rsidRDefault="00E55599" w:rsidP="00E53970">
      <w:pPr>
        <w:pStyle w:val="SingleTxtGA"/>
        <w:rPr>
          <w:rFonts w:hint="cs"/>
          <w:rtl/>
        </w:rPr>
      </w:pPr>
      <w:r>
        <w:rPr>
          <w:rFonts w:hint="cs"/>
          <w:rtl/>
          <w:lang w:val="fr-CH"/>
        </w:rPr>
        <w:tab/>
      </w:r>
      <w:r w:rsidR="00E53970" w:rsidRPr="00440444">
        <w:rPr>
          <w:rFonts w:hint="cs"/>
          <w:i/>
          <w:iCs/>
          <w:rtl/>
        </w:rPr>
        <w:t>إذ يضع في اعتباره</w:t>
      </w:r>
      <w:r w:rsidR="00E53970">
        <w:rPr>
          <w:rFonts w:hint="cs"/>
          <w:rtl/>
        </w:rPr>
        <w:t xml:space="preserve"> الفقرة 6 من قرار الجمعية العامة 60/251 المؤرخ 15 آذار/مارس 2006،</w:t>
      </w:r>
    </w:p>
    <w:p w:rsidR="00E53970" w:rsidRDefault="00E53970" w:rsidP="00E53970">
      <w:pPr>
        <w:pStyle w:val="SingleTxtGA"/>
        <w:rPr>
          <w:rFonts w:hint="cs"/>
          <w:rtl/>
        </w:rPr>
      </w:pPr>
      <w:r>
        <w:rPr>
          <w:rFonts w:hint="cs"/>
          <w:rtl/>
        </w:rPr>
        <w:tab/>
      </w:r>
      <w:r w:rsidRPr="00440444">
        <w:rPr>
          <w:rFonts w:hint="cs"/>
          <w:i/>
          <w:iCs/>
          <w:rtl/>
        </w:rPr>
        <w:t>وإذ يشير</w:t>
      </w:r>
      <w:r>
        <w:rPr>
          <w:rFonts w:hint="cs"/>
          <w:rtl/>
        </w:rPr>
        <w:t xml:space="preserve"> إلى قراري المجلس 5/1 المعنون "بناء مؤسسات مجلس حقوق الإنسان التابع للأمم المتحدة"، و5/2 المعنون "مدونة قواعد السلوك للمكلفين بولايات في إطار الإجراءات الخاصة للمجلس"، المؤرخين 18 حزيران/يونيه 2007، وإذ يؤكد أن على المكلف بالولاية أن يؤدي واجباته وفقاً لهذين القرارين ومرفقيهما،</w:t>
      </w:r>
    </w:p>
    <w:p w:rsidR="00E53970" w:rsidRDefault="00E53970" w:rsidP="00E53970">
      <w:pPr>
        <w:pStyle w:val="SingleTxtGA"/>
        <w:rPr>
          <w:rFonts w:hint="cs"/>
          <w:spacing w:val="-2"/>
          <w:rtl/>
        </w:rPr>
      </w:pPr>
      <w:r w:rsidRPr="00440444">
        <w:rPr>
          <w:rFonts w:hint="cs"/>
          <w:i/>
          <w:iCs/>
          <w:spacing w:val="-2"/>
          <w:rtl/>
        </w:rPr>
        <w:tab/>
        <w:t xml:space="preserve">وإذ يشير أيضاً </w:t>
      </w:r>
      <w:r w:rsidRPr="00440444">
        <w:rPr>
          <w:rFonts w:hint="cs"/>
          <w:spacing w:val="-2"/>
          <w:rtl/>
        </w:rPr>
        <w:t>إلى قرارات لجنة حقوق الإنسان الم</w:t>
      </w:r>
      <w:r>
        <w:rPr>
          <w:rFonts w:hint="cs"/>
          <w:spacing w:val="-2"/>
          <w:rtl/>
        </w:rPr>
        <w:t>عنو</w:t>
      </w:r>
      <w:r w:rsidRPr="00440444">
        <w:rPr>
          <w:rFonts w:hint="cs"/>
          <w:spacing w:val="-2"/>
          <w:rtl/>
        </w:rPr>
        <w:t>نة "حقوق الإنسان وقضايا السكان الأصليين"، وهي القرارات 2001/57 المؤرخ 24 نيسان/أبريل 2001، و2002/65 المؤرخ 25 نيسان/أبريل 2002، و2003/56 المؤرخ 24 نيسان/أبريل 2003، و2004/62 المؤرخ 21 نيسان/أبريل 2004، و2005/51 المؤرخ 20 نيسان/أبريل 2005، وإلى قرار المجلس 6/12 المؤرخ 28 أيلول/سبتمبر 2007 والمعنون "حقوق الإنسان والشعوب الأصلية: ولاية المقرر الخاص المعني بحالة حقوق الإنسان والحريات الأساسية للسكان الأصليين"،</w:t>
      </w:r>
    </w:p>
    <w:p w:rsidR="00E53970" w:rsidRPr="00E53970" w:rsidRDefault="00E53970" w:rsidP="00E53970">
      <w:pPr>
        <w:pStyle w:val="SingleTxtGA"/>
        <w:rPr>
          <w:rFonts w:hint="cs"/>
          <w:spacing w:val="-2"/>
          <w:rtl/>
        </w:rPr>
      </w:pPr>
      <w:r>
        <w:rPr>
          <w:rFonts w:hint="cs"/>
          <w:i/>
          <w:iCs/>
          <w:spacing w:val="-2"/>
          <w:rtl/>
        </w:rPr>
        <w:tab/>
        <w:t xml:space="preserve">وإذ يشير كذلك </w:t>
      </w:r>
      <w:r>
        <w:rPr>
          <w:rFonts w:hint="cs"/>
          <w:spacing w:val="-2"/>
          <w:rtl/>
        </w:rPr>
        <w:t xml:space="preserve">إلى اعتماد إعلان الأمم المتحدة بشأن </w:t>
      </w:r>
      <w:r w:rsidR="00415279">
        <w:rPr>
          <w:rFonts w:hint="cs"/>
          <w:spacing w:val="-2"/>
          <w:rtl/>
        </w:rPr>
        <w:t>حقوق الشعوب الأصلية، الذي يتناول حقوق الشعوب الأصلية،</w:t>
      </w:r>
    </w:p>
    <w:p w:rsidR="00E53970" w:rsidRDefault="00E53970" w:rsidP="00E53970">
      <w:pPr>
        <w:pStyle w:val="SingleTxtGA"/>
        <w:rPr>
          <w:rFonts w:hint="cs"/>
          <w:rtl/>
        </w:rPr>
      </w:pPr>
      <w:r>
        <w:rPr>
          <w:rFonts w:hint="cs"/>
          <w:rtl/>
        </w:rPr>
        <w:tab/>
        <w:t>1-</w:t>
      </w:r>
      <w:r>
        <w:rPr>
          <w:rFonts w:hint="cs"/>
          <w:rtl/>
        </w:rPr>
        <w:tab/>
      </w:r>
      <w:r w:rsidRPr="00440444">
        <w:rPr>
          <w:rFonts w:hint="cs"/>
          <w:i/>
          <w:iCs/>
          <w:rtl/>
        </w:rPr>
        <w:t>يقرر</w:t>
      </w:r>
      <w:r>
        <w:rPr>
          <w:rFonts w:hint="cs"/>
          <w:rtl/>
        </w:rPr>
        <w:t xml:space="preserve"> أن يمدد ولاية المقرر الخاص المعني بحقوق الشعوب الأصلية لفترة ثلاث سنوات، وذلك من أجل ما يلي:</w:t>
      </w:r>
    </w:p>
    <w:p w:rsidR="00E53970" w:rsidRDefault="00E53970" w:rsidP="00E53970">
      <w:pPr>
        <w:pStyle w:val="SingleTxtGA"/>
        <w:rPr>
          <w:rFonts w:hint="cs"/>
          <w:rtl/>
        </w:rPr>
      </w:pPr>
      <w:r>
        <w:rPr>
          <w:rFonts w:hint="cs"/>
          <w:rtl/>
        </w:rPr>
        <w:tab/>
        <w:t>(أ)</w:t>
      </w:r>
      <w:r>
        <w:rPr>
          <w:rFonts w:hint="cs"/>
          <w:rtl/>
        </w:rPr>
        <w:tab/>
        <w:t>النظر في السبل والوسائل الكفيلة بتذليل العقبات القائمة التي تعترض حماية حقوق الشعوب الأصلية حماية تامة وفعّالة، تمشياً مع الولاية المسندة إليه، وتحديد أفضل الممارسات وتبادلها وتعزيزها؛</w:t>
      </w:r>
    </w:p>
    <w:p w:rsidR="00E53970" w:rsidRDefault="00E53970" w:rsidP="00E53970">
      <w:pPr>
        <w:pStyle w:val="SingleTxtGA"/>
        <w:rPr>
          <w:rFonts w:hint="cs"/>
          <w:rtl/>
        </w:rPr>
      </w:pPr>
      <w:r>
        <w:rPr>
          <w:rFonts w:hint="cs"/>
          <w:rtl/>
        </w:rPr>
        <w:tab/>
        <w:t>(ب)</w:t>
      </w:r>
      <w:r>
        <w:rPr>
          <w:rFonts w:hint="cs"/>
          <w:rtl/>
        </w:rPr>
        <w:tab/>
        <w:t>جمع المعلومات والرسائل وتلقيها وتبادلها وطلبها من جميع المصادر ذات الصلة، بما في ذلك من الحكومات والشعوب الأصلية ومجتمعاتها ومنظماتها، فيما يتصل بالانتهاكات المزعومة لما لتلك الشعوب من حقوق؛</w:t>
      </w:r>
    </w:p>
    <w:p w:rsidR="00E53970" w:rsidRDefault="00E53970" w:rsidP="00E53970">
      <w:pPr>
        <w:pStyle w:val="SingleTxtGA"/>
        <w:rPr>
          <w:rFonts w:hint="cs"/>
          <w:rtl/>
        </w:rPr>
      </w:pPr>
      <w:r>
        <w:rPr>
          <w:rFonts w:hint="cs"/>
          <w:rtl/>
        </w:rPr>
        <w:tab/>
        <w:t>(ج)</w:t>
      </w:r>
      <w:r>
        <w:rPr>
          <w:rFonts w:hint="cs"/>
          <w:rtl/>
        </w:rPr>
        <w:tab/>
        <w:t>التقدم بتوصيات ومقترحات بشأن التدابير والأنشطة المناسبة لمنع انتهاكات حقوق الشعوب الأصلية وإنصاف هذه الشعوب في حال انتهاك حقوقها؛</w:t>
      </w:r>
    </w:p>
    <w:p w:rsidR="00E53970" w:rsidRDefault="00E53970" w:rsidP="00E53970">
      <w:pPr>
        <w:pStyle w:val="SingleTxtGA"/>
        <w:rPr>
          <w:rFonts w:hint="cs"/>
          <w:rtl/>
        </w:rPr>
      </w:pPr>
      <w:r>
        <w:rPr>
          <w:rFonts w:hint="cs"/>
          <w:rtl/>
        </w:rPr>
        <w:tab/>
        <w:t>(د)</w:t>
      </w:r>
      <w:r>
        <w:rPr>
          <w:rFonts w:hint="cs"/>
          <w:rtl/>
        </w:rPr>
        <w:tab/>
        <w:t xml:space="preserve">العمل بتعاون وثيق مع سائر الإجراءات الخاصة والأجهزة الفرعية التابعة للمجلس، لاسيما </w:t>
      </w:r>
      <w:r>
        <w:rPr>
          <w:rFonts w:hint="cs"/>
          <w:rtl/>
          <w:lang w:bidi="ar"/>
        </w:rPr>
        <w:t>آلية الخبراء المعنية بحقوق الشعوب الأصلية،</w:t>
      </w:r>
      <w:r>
        <w:rPr>
          <w:rFonts w:hint="cs"/>
          <w:rtl/>
        </w:rPr>
        <w:t xml:space="preserve"> وهيئات الأمم المتحدة ذات الصلة وهيئات المعاهدات ومنظمات حقوق الإنسان الإقليمية؛</w:t>
      </w:r>
    </w:p>
    <w:p w:rsidR="00E53970" w:rsidRDefault="00E53970" w:rsidP="00E53970">
      <w:pPr>
        <w:pStyle w:val="SingleTxtGA"/>
        <w:rPr>
          <w:rFonts w:hint="cs"/>
          <w:rtl/>
        </w:rPr>
      </w:pPr>
      <w:r>
        <w:rPr>
          <w:rFonts w:hint="cs"/>
          <w:rtl/>
        </w:rPr>
        <w:tab/>
        <w:t>(ه‍(</w:t>
      </w:r>
      <w:r>
        <w:rPr>
          <w:rFonts w:hint="cs"/>
          <w:rtl/>
        </w:rPr>
        <w:tab/>
        <w:t>العمل بتعاون وثيق مع المنتدى الدائم المعني بقضايا الشعوب الأصلية، والمشاركة في دورته السنوية؛</w:t>
      </w:r>
    </w:p>
    <w:p w:rsidR="00E53970" w:rsidRDefault="00E53970" w:rsidP="00E53970">
      <w:pPr>
        <w:pStyle w:val="SingleTxtGA"/>
        <w:rPr>
          <w:rFonts w:hint="cs"/>
          <w:rtl/>
        </w:rPr>
      </w:pPr>
      <w:r>
        <w:rPr>
          <w:rFonts w:hint="cs"/>
          <w:rtl/>
        </w:rPr>
        <w:tab/>
        <w:t>(و)</w:t>
      </w:r>
      <w:r>
        <w:rPr>
          <w:rFonts w:hint="cs"/>
          <w:rtl/>
        </w:rPr>
        <w:tab/>
        <w:t>إقامة حوار تعاوني منتظم مع كافة الجهات الفاعلة، بما فيها الحكومات وهيئات الأمم المتحدة ووكالاتها المتخصصة وبرامجها ذات الصلة، فضلاً عن الشعوب الأصلية والمؤسسات الوطنية لحقوق الإنسان والمنظمات غير الحكومية وسائر المؤسسات الدولية الإقليمية أو دون الإقليمية، بما في ذلك بشأن إمكانيات التعاون التقني بناء على طلب</w:t>
      </w:r>
      <w:r>
        <w:rPr>
          <w:rFonts w:hint="eastAsia"/>
          <w:rtl/>
        </w:rPr>
        <w:t> </w:t>
      </w:r>
      <w:r>
        <w:rPr>
          <w:rFonts w:hint="cs"/>
          <w:rtl/>
        </w:rPr>
        <w:t>الحكومات؛</w:t>
      </w:r>
    </w:p>
    <w:p w:rsidR="00E53970" w:rsidRDefault="00E53970" w:rsidP="00E53970">
      <w:pPr>
        <w:pStyle w:val="SingleTxtGA"/>
        <w:rPr>
          <w:rFonts w:hint="cs"/>
          <w:rtl/>
        </w:rPr>
      </w:pPr>
      <w:r>
        <w:rPr>
          <w:rFonts w:hint="cs"/>
          <w:rtl/>
        </w:rPr>
        <w:tab/>
        <w:t>(ز)</w:t>
      </w:r>
      <w:r>
        <w:rPr>
          <w:rFonts w:hint="cs"/>
          <w:rtl/>
        </w:rPr>
        <w:tab/>
        <w:t>ترويج إعلان الأمم المتحدة بشأن حقوق الشعوب الأصلية والصكوك الدولية المتصلة بالنهوض بحقوق الشعوب الأصلية، عند الاقتضاء؛</w:t>
      </w:r>
    </w:p>
    <w:p w:rsidR="00E53970" w:rsidRDefault="00E53970" w:rsidP="00E53970">
      <w:pPr>
        <w:pStyle w:val="SingleTxtGA"/>
        <w:rPr>
          <w:rFonts w:hint="cs"/>
          <w:rtl/>
        </w:rPr>
      </w:pPr>
      <w:r>
        <w:rPr>
          <w:rFonts w:hint="cs"/>
          <w:rtl/>
        </w:rPr>
        <w:tab/>
        <w:t>(ح)</w:t>
      </w:r>
      <w:r>
        <w:rPr>
          <w:rFonts w:hint="cs"/>
          <w:rtl/>
        </w:rPr>
        <w:tab/>
        <w:t>إيلاء عناية خاصة لما لأطفال السكان الأصليين ونسائهم من حقوق إنسان وحريات أساسية، والأخذ بمنظور يراعي نوع الجنس في أداء ولايته؛</w:t>
      </w:r>
    </w:p>
    <w:p w:rsidR="00E53970" w:rsidRDefault="00E53970" w:rsidP="00E53970">
      <w:pPr>
        <w:pStyle w:val="SingleTxtGA"/>
        <w:rPr>
          <w:rFonts w:hint="cs"/>
          <w:rtl/>
        </w:rPr>
      </w:pPr>
      <w:r>
        <w:rPr>
          <w:rFonts w:hint="cs"/>
          <w:rtl/>
        </w:rPr>
        <w:tab/>
        <w:t>(ط)</w:t>
      </w:r>
      <w:r>
        <w:rPr>
          <w:rFonts w:hint="cs"/>
          <w:rtl/>
        </w:rPr>
        <w:tab/>
        <w:t>النظر في التوصيات ذات الصلة المنبثقة عن المؤتمرات العالمية ومؤتمرات القمة وسائر اجتماعات الأمم المتحدة، فضلاً عن التوصيات والملاحظات والاستنتاجات التي تصدر عن هيئات المعاهدات بشأن المسائل التي تهم ولايته؛</w:t>
      </w:r>
    </w:p>
    <w:p w:rsidR="00E53970" w:rsidRDefault="00E53970" w:rsidP="00E53970">
      <w:pPr>
        <w:pStyle w:val="SingleTxtGA"/>
        <w:rPr>
          <w:rFonts w:hint="cs"/>
          <w:rtl/>
        </w:rPr>
      </w:pPr>
      <w:r>
        <w:rPr>
          <w:rFonts w:hint="cs"/>
          <w:rtl/>
        </w:rPr>
        <w:tab/>
        <w:t>(ي)</w:t>
      </w:r>
      <w:r>
        <w:rPr>
          <w:rFonts w:hint="cs"/>
          <w:rtl/>
        </w:rPr>
        <w:tab/>
        <w:t>تقديم تقرير إلى المجلس عن تنفيذ ولايته وفقاً لبرنامج عمل المجلس السنوي؛</w:t>
      </w:r>
    </w:p>
    <w:p w:rsidR="00E53970" w:rsidRDefault="00E53970" w:rsidP="00E53970">
      <w:pPr>
        <w:pStyle w:val="SingleTxtGA"/>
        <w:rPr>
          <w:rFonts w:hint="cs"/>
          <w:rtl/>
        </w:rPr>
      </w:pPr>
      <w:r>
        <w:rPr>
          <w:rFonts w:hint="cs"/>
          <w:rtl/>
        </w:rPr>
        <w:tab/>
        <w:t>2-</w:t>
      </w:r>
      <w:r>
        <w:rPr>
          <w:rFonts w:hint="cs"/>
          <w:rtl/>
        </w:rPr>
        <w:tab/>
      </w:r>
      <w:r w:rsidRPr="00440444">
        <w:rPr>
          <w:rFonts w:hint="cs"/>
          <w:i/>
          <w:iCs/>
          <w:rtl/>
        </w:rPr>
        <w:t xml:space="preserve">يطلب </w:t>
      </w:r>
      <w:r>
        <w:rPr>
          <w:rFonts w:hint="cs"/>
          <w:rtl/>
        </w:rPr>
        <w:t>إلى جميع الحكومات أن تتعاون تعاوناً تاماً مع المقرر الخاص في أداء ما كلّف به من مهام وواجبات، وأن تقدم إليه كل ما يتوافر لديها من معلومات يطلبها في مراسلاته، وأن تستجيب بسرعة لما يوجّهه من نداءات عاجلة؛</w:t>
      </w:r>
    </w:p>
    <w:p w:rsidR="00E53970" w:rsidRDefault="00E53970" w:rsidP="00E53970">
      <w:pPr>
        <w:pStyle w:val="SingleTxtGA"/>
        <w:rPr>
          <w:rFonts w:hint="cs"/>
          <w:rtl/>
        </w:rPr>
      </w:pPr>
      <w:r>
        <w:rPr>
          <w:rFonts w:hint="cs"/>
          <w:rtl/>
        </w:rPr>
        <w:tab/>
        <w:t>3-</w:t>
      </w:r>
      <w:r>
        <w:rPr>
          <w:rFonts w:hint="cs"/>
          <w:rtl/>
        </w:rPr>
        <w:tab/>
      </w:r>
      <w:r w:rsidRPr="00440444">
        <w:rPr>
          <w:rFonts w:hint="cs"/>
          <w:i/>
          <w:iCs/>
          <w:rtl/>
        </w:rPr>
        <w:t xml:space="preserve">يشجع </w:t>
      </w:r>
      <w:r>
        <w:rPr>
          <w:rFonts w:hint="cs"/>
          <w:rtl/>
        </w:rPr>
        <w:t>الأمم المتحدة، بما في ذلك وكالاتها المتخصصة، والمنظمات الحكومية الدولية الإقليمية والحكومات والخبراء المستقلين والمؤسسات المهتمة والمؤسسات الوطنية لحقوق الإنسان والمنظمات غير الحكومية، وبخاصة الشعوب الأصلية أنفسها، على أن تتعاون قدر المستطاع مع المقرر الخاص في أداء ولايته؛</w:t>
      </w:r>
    </w:p>
    <w:p w:rsidR="00E53970" w:rsidRDefault="00E53970" w:rsidP="00E53970">
      <w:pPr>
        <w:pStyle w:val="SingleTxtGA"/>
        <w:rPr>
          <w:rFonts w:hint="cs"/>
          <w:rtl/>
        </w:rPr>
      </w:pPr>
      <w:r>
        <w:rPr>
          <w:rFonts w:hint="cs"/>
          <w:rtl/>
        </w:rPr>
        <w:tab/>
        <w:t>4-</w:t>
      </w:r>
      <w:r>
        <w:rPr>
          <w:rFonts w:hint="cs"/>
          <w:rtl/>
        </w:rPr>
        <w:tab/>
      </w:r>
      <w:r w:rsidRPr="00440444">
        <w:rPr>
          <w:rFonts w:hint="cs"/>
          <w:i/>
          <w:iCs/>
          <w:rtl/>
        </w:rPr>
        <w:t xml:space="preserve">يشجع </w:t>
      </w:r>
      <w:r>
        <w:rPr>
          <w:rFonts w:hint="cs"/>
          <w:rtl/>
        </w:rPr>
        <w:t>جميع الحكومات على أن تفكر بجدية في إمكانية دعوة المقرر الخاص لزيارة بلدانها لتمكينه من الاضطلاع بولايته على نحو فعّال؛</w:t>
      </w:r>
    </w:p>
    <w:p w:rsidR="00E53970" w:rsidRDefault="00E53970" w:rsidP="00E53970">
      <w:pPr>
        <w:pStyle w:val="SingleTxtGA"/>
        <w:rPr>
          <w:rFonts w:hint="cs"/>
          <w:rtl/>
        </w:rPr>
      </w:pPr>
      <w:r>
        <w:rPr>
          <w:rFonts w:hint="cs"/>
          <w:rtl/>
        </w:rPr>
        <w:tab/>
        <w:t>5-</w:t>
      </w:r>
      <w:r>
        <w:rPr>
          <w:rFonts w:hint="cs"/>
          <w:rtl/>
        </w:rPr>
        <w:tab/>
      </w:r>
      <w:r w:rsidRPr="00440444">
        <w:rPr>
          <w:rFonts w:hint="cs"/>
          <w:i/>
          <w:iCs/>
          <w:rtl/>
        </w:rPr>
        <w:t>يطلب</w:t>
      </w:r>
      <w:r>
        <w:rPr>
          <w:rFonts w:hint="cs"/>
          <w:rtl/>
        </w:rPr>
        <w:t xml:space="preserve"> إلى الأمين العام وإلى مفوضة الأمم المتحدة السامية لحقوق الإنسان أن يقدما كل ما يلزم من مساعدة بشرية وتقنية ومالية إلى المقرر الخاص لتمكينه من الاضطلاع بولايته بفعالية؛</w:t>
      </w:r>
    </w:p>
    <w:p w:rsidR="00E53970" w:rsidRPr="000526F5" w:rsidRDefault="00E53970" w:rsidP="00E53970">
      <w:pPr>
        <w:pStyle w:val="SingleTxtGA"/>
        <w:rPr>
          <w:rFonts w:hint="cs"/>
          <w:spacing w:val="-2"/>
          <w:rtl/>
        </w:rPr>
      </w:pPr>
      <w:r>
        <w:rPr>
          <w:rFonts w:hint="cs"/>
          <w:rtl/>
        </w:rPr>
        <w:tab/>
        <w:t>6-</w:t>
      </w:r>
      <w:r>
        <w:rPr>
          <w:rFonts w:hint="cs"/>
          <w:rtl/>
        </w:rPr>
        <w:tab/>
      </w:r>
      <w:r w:rsidRPr="00440444">
        <w:rPr>
          <w:rFonts w:hint="cs"/>
          <w:i/>
          <w:iCs/>
          <w:rtl/>
        </w:rPr>
        <w:t>يقرر</w:t>
      </w:r>
      <w:r>
        <w:rPr>
          <w:rFonts w:hint="cs"/>
          <w:rtl/>
        </w:rPr>
        <w:t xml:space="preserve"> أن يواصل النظر في هذه المسألة وفقاً لبرنامج عمل مجلس حقوق</w:t>
      </w:r>
      <w:r>
        <w:rPr>
          <w:rFonts w:hint="eastAsia"/>
          <w:rtl/>
        </w:rPr>
        <w:t> </w:t>
      </w:r>
      <w:r>
        <w:rPr>
          <w:rFonts w:hint="cs"/>
          <w:rtl/>
        </w:rPr>
        <w:t>الإنسان.</w:t>
      </w:r>
    </w:p>
    <w:p w:rsidR="00624FD0" w:rsidRDefault="00624FD0" w:rsidP="00415279">
      <w:pPr>
        <w:pStyle w:val="SingleTxtGA"/>
        <w:spacing w:after="0"/>
        <w:jc w:val="right"/>
        <w:rPr>
          <w:rFonts w:hint="cs"/>
          <w:i/>
          <w:iCs/>
          <w:rtl/>
        </w:rPr>
      </w:pPr>
      <w:r>
        <w:rPr>
          <w:rFonts w:hint="cs"/>
          <w:i/>
          <w:iCs/>
          <w:rtl/>
        </w:rPr>
        <w:t>الجلسة 3</w:t>
      </w:r>
      <w:r w:rsidR="00415279">
        <w:rPr>
          <w:rFonts w:hint="cs"/>
          <w:i/>
          <w:iCs/>
          <w:rtl/>
        </w:rPr>
        <w:t>1</w:t>
      </w:r>
    </w:p>
    <w:p w:rsidR="00624FD0" w:rsidRDefault="00415279" w:rsidP="00624FD0">
      <w:pPr>
        <w:pStyle w:val="SingleTxtGA"/>
        <w:spacing w:after="0"/>
        <w:jc w:val="right"/>
        <w:rPr>
          <w:rFonts w:hint="cs"/>
          <w:i/>
          <w:iCs/>
          <w:rtl/>
        </w:rPr>
      </w:pPr>
      <w:r>
        <w:rPr>
          <w:rFonts w:hint="cs"/>
          <w:i/>
          <w:iCs/>
          <w:rtl/>
        </w:rPr>
        <w:t>30 أيلول/سبتمبر</w:t>
      </w:r>
      <w:r w:rsidR="00624FD0">
        <w:rPr>
          <w:rFonts w:hint="cs"/>
          <w:i/>
          <w:iCs/>
          <w:rtl/>
        </w:rPr>
        <w:t xml:space="preserve"> 2010</w:t>
      </w:r>
    </w:p>
    <w:p w:rsidR="00624FD0" w:rsidRPr="00624FD0" w:rsidRDefault="007D1B49" w:rsidP="0090613A">
      <w:pPr>
        <w:pStyle w:val="SingleTxtGA"/>
        <w:jc w:val="left"/>
        <w:rPr>
          <w:rFonts w:hint="cs"/>
          <w:rtl/>
        </w:rPr>
      </w:pPr>
      <w:r>
        <w:rPr>
          <w:rFonts w:hint="cs"/>
          <w:rtl/>
        </w:rPr>
        <w:t xml:space="preserve">[اعتمد </w:t>
      </w:r>
      <w:r w:rsidR="00624FD0">
        <w:rPr>
          <w:rFonts w:hint="cs"/>
          <w:rtl/>
        </w:rPr>
        <w:t>دون تصويت</w:t>
      </w:r>
      <w:r>
        <w:rPr>
          <w:rFonts w:hint="cs"/>
          <w:rtl/>
        </w:rPr>
        <w:t>.</w:t>
      </w:r>
      <w:r w:rsidR="00624FD0">
        <w:rPr>
          <w:rFonts w:hint="cs"/>
          <w:rtl/>
        </w:rPr>
        <w:t>]</w:t>
      </w:r>
    </w:p>
    <w:p w:rsidR="00E55599" w:rsidRPr="003D77EE" w:rsidRDefault="00E55599" w:rsidP="00E55599">
      <w:pPr>
        <w:pStyle w:val="SingleTxtGA"/>
        <w:jc w:val="center"/>
        <w:rPr>
          <w:rFonts w:hint="cs"/>
          <w:u w:val="single"/>
          <w:rtl/>
        </w:rPr>
      </w:pPr>
      <w:r>
        <w:rPr>
          <w:rFonts w:hint="cs"/>
          <w:u w:val="single"/>
          <w:rtl/>
        </w:rPr>
        <w:tab/>
      </w:r>
      <w:r>
        <w:rPr>
          <w:rFonts w:hint="cs"/>
          <w:u w:val="single"/>
          <w:rtl/>
        </w:rPr>
        <w:tab/>
      </w:r>
      <w:r>
        <w:rPr>
          <w:rFonts w:hint="cs"/>
          <w:u w:val="single"/>
          <w:rtl/>
        </w:rPr>
        <w:tab/>
      </w:r>
    </w:p>
    <w:sectPr w:rsidR="00E55599" w:rsidRPr="003D77EE" w:rsidSect="00E55599">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9E0" w:rsidRPr="00FE6865" w:rsidRDefault="000329E0" w:rsidP="00FE6865">
      <w:pPr>
        <w:pStyle w:val="Footer"/>
      </w:pPr>
    </w:p>
  </w:endnote>
  <w:endnote w:type="continuationSeparator" w:id="0">
    <w:p w:rsidR="000329E0" w:rsidRDefault="00032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385" w:rsidRPr="00E55599" w:rsidRDefault="00F25385" w:rsidP="00E55599">
    <w:pPr>
      <w:pStyle w:val="Footer"/>
      <w:tabs>
        <w:tab w:val="right" w:pos="9598"/>
      </w:tabs>
    </w:pPr>
    <w:r>
      <w:rPr>
        <w:lang w:val="en-US"/>
      </w:rPr>
      <w:t>GE.10-16668</w:t>
    </w:r>
    <w:r>
      <w:rPr>
        <w:rtl/>
      </w:rPr>
      <w:tab/>
    </w:r>
    <w:r w:rsidRPr="00E55599">
      <w:rPr>
        <w:b/>
        <w:sz w:val="18"/>
      </w:rPr>
      <w:fldChar w:fldCharType="begin"/>
    </w:r>
    <w:r w:rsidRPr="00E55599">
      <w:rPr>
        <w:b/>
        <w:sz w:val="18"/>
        <w:rtl/>
      </w:rPr>
      <w:instrText xml:space="preserve"> </w:instrText>
    </w:r>
    <w:r w:rsidRPr="00E55599">
      <w:rPr>
        <w:b/>
        <w:sz w:val="18"/>
      </w:rPr>
      <w:instrText>PAGE</w:instrText>
    </w:r>
    <w:r w:rsidRPr="00E55599">
      <w:rPr>
        <w:b/>
        <w:sz w:val="18"/>
        <w:rtl/>
      </w:rPr>
      <w:instrText xml:space="preserve">  \* </w:instrText>
    </w:r>
    <w:r w:rsidRPr="00E55599">
      <w:rPr>
        <w:b/>
        <w:sz w:val="18"/>
      </w:rPr>
      <w:instrText>MERGEFORMAT</w:instrText>
    </w:r>
    <w:r w:rsidRPr="00E55599">
      <w:rPr>
        <w:b/>
        <w:sz w:val="18"/>
        <w:rtl/>
      </w:rPr>
      <w:instrText xml:space="preserve"> </w:instrText>
    </w:r>
    <w:r w:rsidRPr="00E55599">
      <w:rPr>
        <w:b/>
        <w:sz w:val="18"/>
      </w:rPr>
      <w:fldChar w:fldCharType="separate"/>
    </w:r>
    <w:r w:rsidR="005B61E9">
      <w:rPr>
        <w:b/>
        <w:noProof/>
        <w:sz w:val="18"/>
      </w:rPr>
      <w:t>2</w:t>
    </w:r>
    <w:r w:rsidRPr="00E55599">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385" w:rsidRPr="00B60717" w:rsidRDefault="00F25385" w:rsidP="00B60717">
    <w:pPr>
      <w:pStyle w:val="Footer"/>
      <w:tabs>
        <w:tab w:val="right" w:pos="9598"/>
      </w:tabs>
      <w:rPr>
        <w:b/>
        <w:sz w:val="18"/>
        <w:lang w:val="en-US"/>
      </w:rPr>
    </w:pPr>
    <w:r w:rsidRPr="00E55599">
      <w:rPr>
        <w:b/>
        <w:sz w:val="18"/>
        <w:rtl/>
      </w:rPr>
      <w:fldChar w:fldCharType="begin"/>
    </w:r>
    <w:r w:rsidRPr="00E55599">
      <w:rPr>
        <w:b/>
        <w:sz w:val="18"/>
        <w:rtl/>
      </w:rPr>
      <w:instrText xml:space="preserve"> </w:instrText>
    </w:r>
    <w:r w:rsidRPr="00E55599">
      <w:rPr>
        <w:b/>
        <w:sz w:val="18"/>
      </w:rPr>
      <w:instrText>PAGE</w:instrText>
    </w:r>
    <w:r w:rsidRPr="00E55599">
      <w:rPr>
        <w:b/>
        <w:sz w:val="18"/>
        <w:rtl/>
      </w:rPr>
      <w:instrText xml:space="preserve">  \* </w:instrText>
    </w:r>
    <w:r w:rsidRPr="00E55599">
      <w:rPr>
        <w:b/>
        <w:sz w:val="18"/>
      </w:rPr>
      <w:instrText>MERGEFORMAT</w:instrText>
    </w:r>
    <w:r w:rsidRPr="00E55599">
      <w:rPr>
        <w:b/>
        <w:sz w:val="18"/>
        <w:rtl/>
      </w:rPr>
      <w:instrText xml:space="preserve"> </w:instrText>
    </w:r>
    <w:r w:rsidRPr="00E55599">
      <w:rPr>
        <w:b/>
        <w:sz w:val="18"/>
        <w:rtl/>
      </w:rPr>
      <w:fldChar w:fldCharType="separate"/>
    </w:r>
    <w:r w:rsidR="005B61E9">
      <w:rPr>
        <w:b/>
        <w:noProof/>
        <w:sz w:val="18"/>
      </w:rPr>
      <w:t>3</w:t>
    </w:r>
    <w:r w:rsidRPr="00E55599">
      <w:rPr>
        <w:b/>
        <w:sz w:val="18"/>
        <w:rtl/>
      </w:rPr>
      <w:fldChar w:fldCharType="end"/>
    </w:r>
    <w:r>
      <w:rPr>
        <w:b/>
        <w:sz w:val="18"/>
        <w:rtl/>
      </w:rPr>
      <w:tab/>
    </w:r>
    <w:r>
      <w:rPr>
        <w:lang w:val="en-US"/>
      </w:rPr>
      <w:t>GE.10-16668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385" w:rsidRDefault="00F25385" w:rsidP="007D1B49">
    <w:pPr>
      <w:pStyle w:val="Footer"/>
      <w:jc w:val="right"/>
    </w:pPr>
    <w:r>
      <w:rPr>
        <w:sz w:val="20"/>
      </w:rPr>
      <w:t>(A)   GE.10-16668</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111010    131010</w:t>
    </w:r>
  </w:p>
  <w:p w:rsidR="00F25385" w:rsidRDefault="00F253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9E0" w:rsidRDefault="000329E0" w:rsidP="009A0C39">
      <w:pPr>
        <w:spacing w:after="80" w:line="200" w:lineRule="atLeast"/>
        <w:ind w:left="680"/>
      </w:pPr>
      <w:r w:rsidRPr="00C10C26">
        <w:rPr>
          <w:sz w:val="16"/>
          <w:rtl/>
        </w:rPr>
        <w:t>__________</w:t>
      </w:r>
    </w:p>
  </w:footnote>
  <w:footnote w:type="continuationSeparator" w:id="0">
    <w:p w:rsidR="000329E0" w:rsidRDefault="000329E0" w:rsidP="00444AA6">
      <w:pPr>
        <w:pStyle w:val="Footer"/>
        <w:bidi/>
        <w:spacing w:after="80" w:line="200" w:lineRule="exact"/>
        <w:ind w:left="680"/>
      </w:pPr>
      <w:r>
        <w:rPr>
          <w:rFonts w:hint="cs"/>
          <w:rtl/>
        </w:rPr>
        <w:t>__________</w:t>
      </w:r>
    </w:p>
  </w:footnote>
  <w:footnote w:id="1">
    <w:p w:rsidR="00F25385" w:rsidRPr="0003325A" w:rsidRDefault="00F25385" w:rsidP="0090613A">
      <w:pPr>
        <w:pStyle w:val="footnoteText0"/>
        <w:rPr>
          <w:rFonts w:hint="cs"/>
          <w:rtl/>
        </w:rPr>
      </w:pPr>
      <w:r>
        <w:rPr>
          <w:rtl/>
        </w:rPr>
        <w:tab/>
      </w:r>
      <w:r w:rsidRPr="0003325A">
        <w:rPr>
          <w:rStyle w:val="FootnoteReference"/>
          <w:sz w:val="20"/>
          <w:vertAlign w:val="baseline"/>
          <w:rtl/>
        </w:rPr>
        <w:t>*</w:t>
      </w:r>
      <w:r>
        <w:rPr>
          <w:rtl/>
        </w:rPr>
        <w:tab/>
      </w:r>
      <w:r>
        <w:rPr>
          <w:rFonts w:hint="cs"/>
          <w:rtl/>
        </w:rPr>
        <w:t xml:space="preserve">سترد القرارات والمقررات التي اعتمدها مجلس حقوق الإنسان في تقرير المجلس عن أعمال دورته الخامسة عشرة </w:t>
      </w:r>
      <w:r>
        <w:t>(A/HRC/15/60)</w:t>
      </w:r>
      <w:r>
        <w:rPr>
          <w:rFonts w:hint="cs"/>
          <w:rtl/>
        </w:rPr>
        <w:t>، الفصل الأول.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385" w:rsidRPr="00E55599" w:rsidRDefault="00F25385" w:rsidP="001447DB">
    <w:pPr>
      <w:pStyle w:val="Header"/>
      <w:jc w:val="right"/>
    </w:pPr>
    <w:r w:rsidRPr="00E55599">
      <w:t>A/HRC/RES/1</w:t>
    </w:r>
    <w:r>
      <w:t>5</w:t>
    </w:r>
    <w:r w:rsidRPr="00E55599">
      <w:t>/</w:t>
    </w:r>
    <w:r>
      <w:t>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385" w:rsidRPr="00E55599" w:rsidRDefault="00F25385" w:rsidP="001447DB">
    <w:pPr>
      <w:pStyle w:val="Header"/>
      <w:jc w:val="left"/>
    </w:pPr>
    <w:r w:rsidRPr="00E55599">
      <w:t>A/HRC/RES/1</w:t>
    </w:r>
    <w:r>
      <w:t>5</w:t>
    </w:r>
    <w:r w:rsidRPr="00E55599">
      <w:t>/</w:t>
    </w:r>
    <w:r>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D74E77"/>
    <w:multiLevelType w:val="hybridMultilevel"/>
    <w:tmpl w:val="F376B834"/>
    <w:lvl w:ilvl="0" w:tplc="EF3ED9BE">
      <w:start w:val="1"/>
      <w:numFmt w:val="decimal"/>
      <w:lvlRestart w:val="0"/>
      <w:lvlText w:val="(%1)"/>
      <w:lvlJc w:val="right"/>
      <w:pPr>
        <w:tabs>
          <w:tab w:val="num" w:pos="1299"/>
        </w:tabs>
        <w:ind w:left="1299" w:hanging="227"/>
      </w:pPr>
      <w:rPr>
        <w:rFonts w:ascii="Traditional Arabic" w:hAnsi="Traditional Arabic" w:cs="Traditional Arabic" w:hint="default"/>
        <w:sz w:val="26"/>
        <w:szCs w:val="26"/>
      </w:rPr>
    </w:lvl>
    <w:lvl w:ilvl="1" w:tplc="B5C6F2B6">
      <w:start w:val="1"/>
      <w:numFmt w:val="decimal"/>
      <w:lvlRestart w:val="0"/>
      <w:lvlText w:val="(%2)"/>
      <w:lvlJc w:val="right"/>
      <w:pPr>
        <w:tabs>
          <w:tab w:val="num" w:pos="1359"/>
        </w:tabs>
        <w:ind w:left="1359" w:hanging="227"/>
      </w:pPr>
      <w:rPr>
        <w:rFonts w:ascii="Times New Roman" w:hAnsi="Times New Roman" w:cs="Traditional Arabic" w:hint="default"/>
        <w:sz w:val="18"/>
        <w:szCs w:val="26"/>
      </w:rPr>
    </w:lvl>
    <w:lvl w:ilvl="2" w:tplc="0409001B" w:tentative="1">
      <w:start w:val="1"/>
      <w:numFmt w:val="lowerRoman"/>
      <w:lvlText w:val="%3."/>
      <w:lvlJc w:val="right"/>
      <w:pPr>
        <w:tabs>
          <w:tab w:val="num" w:pos="2212"/>
        </w:tabs>
        <w:ind w:left="2212" w:hanging="180"/>
      </w:pPr>
    </w:lvl>
    <w:lvl w:ilvl="3" w:tplc="0409000F" w:tentative="1">
      <w:start w:val="1"/>
      <w:numFmt w:val="decimal"/>
      <w:lvlText w:val="%4."/>
      <w:lvlJc w:val="left"/>
      <w:pPr>
        <w:tabs>
          <w:tab w:val="num" w:pos="2932"/>
        </w:tabs>
        <w:ind w:left="2932" w:hanging="360"/>
      </w:pPr>
    </w:lvl>
    <w:lvl w:ilvl="4" w:tplc="04090019" w:tentative="1">
      <w:start w:val="1"/>
      <w:numFmt w:val="lowerLetter"/>
      <w:lvlText w:val="%5."/>
      <w:lvlJc w:val="left"/>
      <w:pPr>
        <w:tabs>
          <w:tab w:val="num" w:pos="3652"/>
        </w:tabs>
        <w:ind w:left="3652" w:hanging="360"/>
      </w:pPr>
    </w:lvl>
    <w:lvl w:ilvl="5" w:tplc="0409001B" w:tentative="1">
      <w:start w:val="1"/>
      <w:numFmt w:val="lowerRoman"/>
      <w:lvlText w:val="%6."/>
      <w:lvlJc w:val="right"/>
      <w:pPr>
        <w:tabs>
          <w:tab w:val="num" w:pos="4372"/>
        </w:tabs>
        <w:ind w:left="4372" w:hanging="180"/>
      </w:pPr>
    </w:lvl>
    <w:lvl w:ilvl="6" w:tplc="0409000F" w:tentative="1">
      <w:start w:val="1"/>
      <w:numFmt w:val="decimal"/>
      <w:lvlText w:val="%7."/>
      <w:lvlJc w:val="left"/>
      <w:pPr>
        <w:tabs>
          <w:tab w:val="num" w:pos="5092"/>
        </w:tabs>
        <w:ind w:left="5092" w:hanging="360"/>
      </w:pPr>
    </w:lvl>
    <w:lvl w:ilvl="7" w:tplc="04090019" w:tentative="1">
      <w:start w:val="1"/>
      <w:numFmt w:val="lowerLetter"/>
      <w:lvlText w:val="%8."/>
      <w:lvlJc w:val="left"/>
      <w:pPr>
        <w:tabs>
          <w:tab w:val="num" w:pos="5812"/>
        </w:tabs>
        <w:ind w:left="5812" w:hanging="360"/>
      </w:pPr>
    </w:lvl>
    <w:lvl w:ilvl="8" w:tplc="0409001B" w:tentative="1">
      <w:start w:val="1"/>
      <w:numFmt w:val="lowerRoman"/>
      <w:lvlText w:val="%9."/>
      <w:lvlJc w:val="right"/>
      <w:pPr>
        <w:tabs>
          <w:tab w:val="num" w:pos="6532"/>
        </w:tabs>
        <w:ind w:left="6532" w:hanging="180"/>
      </w:pPr>
    </w:lvl>
  </w:abstractNum>
  <w:abstractNum w:abstractNumId="11">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5">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
  </w:num>
  <w:num w:numId="3">
    <w:abstractNumId w:val="14"/>
  </w:num>
  <w:num w:numId="4">
    <w:abstractNumId w:val="12"/>
  </w:num>
  <w:num w:numId="5">
    <w:abstractNumId w:val="8"/>
  </w:num>
  <w:num w:numId="6">
    <w:abstractNumId w:val="21"/>
  </w:num>
  <w:num w:numId="7">
    <w:abstractNumId w:val="11"/>
  </w:num>
  <w:num w:numId="8">
    <w:abstractNumId w:val="9"/>
  </w:num>
  <w:num w:numId="9">
    <w:abstractNumId w:val="13"/>
  </w:num>
  <w:num w:numId="10">
    <w:abstractNumId w:val="20"/>
  </w:num>
  <w:num w:numId="11">
    <w:abstractNumId w:val="1"/>
  </w:num>
  <w:num w:numId="12">
    <w:abstractNumId w:val="14"/>
  </w:num>
  <w:num w:numId="13">
    <w:abstractNumId w:val="12"/>
  </w:num>
  <w:num w:numId="14">
    <w:abstractNumId w:val="8"/>
  </w:num>
  <w:num w:numId="15">
    <w:abstractNumId w:val="21"/>
  </w:num>
  <w:num w:numId="16">
    <w:abstractNumId w:val="1"/>
  </w:num>
  <w:num w:numId="17">
    <w:abstractNumId w:val="14"/>
  </w:num>
  <w:num w:numId="18">
    <w:abstractNumId w:val="12"/>
  </w:num>
  <w:num w:numId="19">
    <w:abstractNumId w:val="8"/>
  </w:num>
  <w:num w:numId="20">
    <w:abstractNumId w:val="21"/>
  </w:num>
  <w:num w:numId="21">
    <w:abstractNumId w:val="1"/>
  </w:num>
  <w:num w:numId="22">
    <w:abstractNumId w:val="14"/>
  </w:num>
  <w:num w:numId="23">
    <w:abstractNumId w:val="8"/>
  </w:num>
  <w:num w:numId="24">
    <w:abstractNumId w:val="21"/>
  </w:num>
  <w:num w:numId="25">
    <w:abstractNumId w:val="14"/>
  </w:num>
  <w:num w:numId="26">
    <w:abstractNumId w:val="1"/>
  </w:num>
  <w:num w:numId="27">
    <w:abstractNumId w:val="3"/>
  </w:num>
  <w:num w:numId="28">
    <w:abstractNumId w:val="2"/>
  </w:num>
  <w:num w:numId="29">
    <w:abstractNumId w:val="16"/>
  </w:num>
  <w:num w:numId="30">
    <w:abstractNumId w:val="4"/>
  </w:num>
  <w:num w:numId="31">
    <w:abstractNumId w:val="7"/>
  </w:num>
  <w:num w:numId="32">
    <w:abstractNumId w:val="15"/>
  </w:num>
  <w:num w:numId="33">
    <w:abstractNumId w:val="18"/>
  </w:num>
  <w:num w:numId="34">
    <w:abstractNumId w:val="22"/>
  </w:num>
  <w:num w:numId="35">
    <w:abstractNumId w:val="5"/>
  </w:num>
  <w:num w:numId="36">
    <w:abstractNumId w:val="17"/>
  </w:num>
  <w:num w:numId="37">
    <w:abstractNumId w:val="19"/>
  </w:num>
  <w:num w:numId="38">
    <w:abstractNumId w:val="0"/>
  </w:num>
  <w:num w:numId="39">
    <w:abstractNumId w:val="6"/>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680"/>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3735"/>
    <w:rsid w:val="000329E0"/>
    <w:rsid w:val="0003368E"/>
    <w:rsid w:val="00040E25"/>
    <w:rsid w:val="00042149"/>
    <w:rsid w:val="000648EA"/>
    <w:rsid w:val="000957C8"/>
    <w:rsid w:val="000B52F2"/>
    <w:rsid w:val="000D0EAE"/>
    <w:rsid w:val="000D5380"/>
    <w:rsid w:val="000D6654"/>
    <w:rsid w:val="000F0264"/>
    <w:rsid w:val="000F2EBF"/>
    <w:rsid w:val="000F5FF6"/>
    <w:rsid w:val="00113FA5"/>
    <w:rsid w:val="001447DB"/>
    <w:rsid w:val="001455A0"/>
    <w:rsid w:val="001602A3"/>
    <w:rsid w:val="001A5161"/>
    <w:rsid w:val="001A60BD"/>
    <w:rsid w:val="0023736D"/>
    <w:rsid w:val="00253735"/>
    <w:rsid w:val="00257225"/>
    <w:rsid w:val="00275860"/>
    <w:rsid w:val="00310160"/>
    <w:rsid w:val="00341A8C"/>
    <w:rsid w:val="003519E6"/>
    <w:rsid w:val="003524CD"/>
    <w:rsid w:val="003B4356"/>
    <w:rsid w:val="003C33F9"/>
    <w:rsid w:val="003F08A8"/>
    <w:rsid w:val="00415279"/>
    <w:rsid w:val="0042123E"/>
    <w:rsid w:val="004250E3"/>
    <w:rsid w:val="004304ED"/>
    <w:rsid w:val="00443EA9"/>
    <w:rsid w:val="00444AA6"/>
    <w:rsid w:val="00472A81"/>
    <w:rsid w:val="004B2C92"/>
    <w:rsid w:val="004D6A3A"/>
    <w:rsid w:val="004F4AD7"/>
    <w:rsid w:val="005449D8"/>
    <w:rsid w:val="00557CD3"/>
    <w:rsid w:val="00571432"/>
    <w:rsid w:val="005732A2"/>
    <w:rsid w:val="00575B27"/>
    <w:rsid w:val="005762A5"/>
    <w:rsid w:val="00590BA3"/>
    <w:rsid w:val="005A1A9A"/>
    <w:rsid w:val="005B61E9"/>
    <w:rsid w:val="005B7AE0"/>
    <w:rsid w:val="005D4EBD"/>
    <w:rsid w:val="005F146F"/>
    <w:rsid w:val="005F71B6"/>
    <w:rsid w:val="00624FD0"/>
    <w:rsid w:val="00644C96"/>
    <w:rsid w:val="00660FD4"/>
    <w:rsid w:val="00693270"/>
    <w:rsid w:val="006A4425"/>
    <w:rsid w:val="006B4669"/>
    <w:rsid w:val="006C768B"/>
    <w:rsid w:val="006E3473"/>
    <w:rsid w:val="006F6BF8"/>
    <w:rsid w:val="00707BDF"/>
    <w:rsid w:val="00710727"/>
    <w:rsid w:val="00715F45"/>
    <w:rsid w:val="00725F3C"/>
    <w:rsid w:val="00731B84"/>
    <w:rsid w:val="00734AE7"/>
    <w:rsid w:val="007B599E"/>
    <w:rsid w:val="007C7AAD"/>
    <w:rsid w:val="007D1B49"/>
    <w:rsid w:val="007E197F"/>
    <w:rsid w:val="007F68C4"/>
    <w:rsid w:val="008153DE"/>
    <w:rsid w:val="00852A10"/>
    <w:rsid w:val="00862634"/>
    <w:rsid w:val="00866C59"/>
    <w:rsid w:val="00877306"/>
    <w:rsid w:val="00887B5C"/>
    <w:rsid w:val="008A6242"/>
    <w:rsid w:val="008B4BC6"/>
    <w:rsid w:val="00901E57"/>
    <w:rsid w:val="0090613A"/>
    <w:rsid w:val="00935F0E"/>
    <w:rsid w:val="0095208F"/>
    <w:rsid w:val="00977B3F"/>
    <w:rsid w:val="009814AE"/>
    <w:rsid w:val="00983870"/>
    <w:rsid w:val="00994B89"/>
    <w:rsid w:val="00996BBE"/>
    <w:rsid w:val="009A0C39"/>
    <w:rsid w:val="009D1DD5"/>
    <w:rsid w:val="00A11DDA"/>
    <w:rsid w:val="00A26157"/>
    <w:rsid w:val="00A265C3"/>
    <w:rsid w:val="00A43F9A"/>
    <w:rsid w:val="00A543D4"/>
    <w:rsid w:val="00AD0014"/>
    <w:rsid w:val="00AD4CF2"/>
    <w:rsid w:val="00AF0BBA"/>
    <w:rsid w:val="00B30468"/>
    <w:rsid w:val="00B44B46"/>
    <w:rsid w:val="00B60717"/>
    <w:rsid w:val="00B639B9"/>
    <w:rsid w:val="00BB2C41"/>
    <w:rsid w:val="00BC55C8"/>
    <w:rsid w:val="00BC5C10"/>
    <w:rsid w:val="00BE2964"/>
    <w:rsid w:val="00C24FBD"/>
    <w:rsid w:val="00C473BA"/>
    <w:rsid w:val="00C47C7F"/>
    <w:rsid w:val="00C611ED"/>
    <w:rsid w:val="00C6490A"/>
    <w:rsid w:val="00C64FE1"/>
    <w:rsid w:val="00C66164"/>
    <w:rsid w:val="00C8345E"/>
    <w:rsid w:val="00CA4C17"/>
    <w:rsid w:val="00CA5F7C"/>
    <w:rsid w:val="00D00E1B"/>
    <w:rsid w:val="00D31238"/>
    <w:rsid w:val="00D51067"/>
    <w:rsid w:val="00D75657"/>
    <w:rsid w:val="00D960AD"/>
    <w:rsid w:val="00DA0E0E"/>
    <w:rsid w:val="00DB0C39"/>
    <w:rsid w:val="00DB7679"/>
    <w:rsid w:val="00DF1702"/>
    <w:rsid w:val="00DF4DD8"/>
    <w:rsid w:val="00DF668E"/>
    <w:rsid w:val="00E05DE3"/>
    <w:rsid w:val="00E14D2B"/>
    <w:rsid w:val="00E20DBA"/>
    <w:rsid w:val="00E53970"/>
    <w:rsid w:val="00E55599"/>
    <w:rsid w:val="00E660D6"/>
    <w:rsid w:val="00E771AB"/>
    <w:rsid w:val="00EA796F"/>
    <w:rsid w:val="00EB077B"/>
    <w:rsid w:val="00EC50B9"/>
    <w:rsid w:val="00ED26A0"/>
    <w:rsid w:val="00F04473"/>
    <w:rsid w:val="00F1727A"/>
    <w:rsid w:val="00F22568"/>
    <w:rsid w:val="00F25385"/>
    <w:rsid w:val="00F34764"/>
    <w:rsid w:val="00F54E3C"/>
    <w:rsid w:val="00F874BD"/>
    <w:rsid w:val="00FA6DD0"/>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CA4C17"/>
    <w:pPr>
      <w:keepNext/>
      <w:keepLines/>
      <w:tabs>
        <w:tab w:val="right" w:pos="1021"/>
      </w:tabs>
      <w:suppressAutoHyphens/>
      <w:spacing w:before="240" w:after="240" w:line="480" w:lineRule="exact"/>
      <w:ind w:left="1247" w:right="1247" w:hanging="1247"/>
    </w:pPr>
    <w:rPr>
      <w:b/>
      <w:bCs/>
      <w:sz w:val="34"/>
      <w:szCs w:val="44"/>
    </w:rPr>
  </w:style>
  <w:style w:type="paragraph" w:customStyle="1" w:styleId="HChGA">
    <w:name w:val="_ H _Ch_GA"/>
    <w:basedOn w:val="Normal"/>
    <w:next w:val="Normal"/>
    <w:rsid w:val="00983870"/>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983870"/>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4_G"/>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paragraph" w:styleId="BalloonText">
    <w:name w:val="Balloon Text"/>
    <w:basedOn w:val="Normal"/>
    <w:semiHidden/>
    <w:rsid w:val="004152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50567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Template>
  <TotalTime>0</TotalTime>
  <Pages>3</Pages>
  <Words>610</Words>
  <Characters>3481</Characters>
  <Application>Microsoft Office Word</Application>
  <DocSecurity>4</DocSecurity>
  <Lines>29</Lines>
  <Paragraphs>8</Paragraphs>
  <ScaleCrop>false</ScaleCrop>
  <HeadingPairs>
    <vt:vector size="2" baseType="variant">
      <vt:variant>
        <vt:lpstr>العنوان</vt:lpstr>
      </vt:variant>
      <vt:variant>
        <vt:i4>1</vt:i4>
      </vt:variant>
    </vt:vector>
  </HeadingPairs>
  <TitlesOfParts>
    <vt:vector size="1" baseType="lpstr">
      <vt:lpstr>A/HRC/RES/15/14</vt:lpstr>
    </vt:vector>
  </TitlesOfParts>
  <Company>CSD</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A/HRC/RES/15/14</dc:title>
  <dc:subject>Seddiki</dc:subject>
  <dc:creator>TPS</dc:creator>
  <cp:keywords/>
  <dc:description/>
  <cp:lastModifiedBy>TPS</cp:lastModifiedBy>
  <cp:revision>2</cp:revision>
  <cp:lastPrinted>2010-10-12T16:14:00Z</cp:lastPrinted>
  <dcterms:created xsi:type="dcterms:W3CDTF">2012-02-01T16:34:00Z</dcterms:created>
  <dcterms:modified xsi:type="dcterms:W3CDTF">2012-02-01T16:34:00Z</dcterms:modified>
</cp:coreProperties>
</file>