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89" w:tblpY="568"/>
        <w:tblOverlap w:val="never"/>
        <w:bidiVisual/>
        <w:tblW w:w="9639" w:type="dxa"/>
        <w:tblInd w:w="18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4"/>
        <w:gridCol w:w="1982"/>
        <w:gridCol w:w="1861"/>
        <w:gridCol w:w="4522"/>
      </w:tblGrid>
      <w:tr w:rsidR="00AD0014" w:rsidRPr="00DB7679" w:rsidTr="00A11DDA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AD0014" w:rsidRPr="00983870" w:rsidRDefault="00AD0014" w:rsidP="00BC55C8">
            <w:pPr>
              <w:rPr>
                <w:rFonts w:hint="cs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vAlign w:val="bottom"/>
          </w:tcPr>
          <w:p w:rsidR="00AD0014" w:rsidRPr="00DB7679" w:rsidRDefault="00AD0014" w:rsidP="00BC55C8">
            <w:pPr>
              <w:spacing w:after="80" w:line="480" w:lineRule="exact"/>
              <w:jc w:val="left"/>
              <w:rPr>
                <w:rFonts w:hint="cs"/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6383" w:type="dxa"/>
            <w:gridSpan w:val="2"/>
            <w:tcBorders>
              <w:bottom w:val="single" w:sz="4" w:space="0" w:color="auto"/>
            </w:tcBorders>
            <w:vAlign w:val="bottom"/>
          </w:tcPr>
          <w:p w:rsidR="00AD0014" w:rsidRPr="00DB7679" w:rsidRDefault="00E57877" w:rsidP="00E57877">
            <w:pPr>
              <w:bidi w:val="0"/>
              <w:spacing w:after="20"/>
              <w:jc w:val="left"/>
              <w:rPr>
                <w:szCs w:val="20"/>
              </w:rPr>
            </w:pPr>
            <w:r w:rsidRPr="00E57877">
              <w:rPr>
                <w:sz w:val="40"/>
                <w:szCs w:val="20"/>
              </w:rPr>
              <w:t>A</w:t>
            </w:r>
            <w:r>
              <w:rPr>
                <w:szCs w:val="20"/>
              </w:rPr>
              <w:t>/HRC/RES/25/2</w:t>
            </w:r>
          </w:p>
        </w:tc>
      </w:tr>
      <w:tr w:rsidR="00257225" w:rsidRPr="00DB7679" w:rsidTr="007B599E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257225" w:rsidRPr="00DB7679" w:rsidRDefault="00C64FE1" w:rsidP="00D75657">
            <w:pPr>
              <w:jc w:val="center"/>
              <w:rPr>
                <w:rFonts w:hint="cs"/>
              </w:rPr>
            </w:pPr>
            <w:r w:rsidRPr="00DB767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49.5pt" o:allowincell="f" o:allowoverlap="f">
                  <v:imagedata r:id="rId7" o:title=""/>
                </v:shape>
              </w:pic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57225" w:rsidRPr="00DB7679" w:rsidRDefault="00257225" w:rsidP="00BC55C8">
            <w:pPr>
              <w:spacing w:before="120" w:line="640" w:lineRule="exact"/>
              <w:rPr>
                <w:rFonts w:hint="cs"/>
                <w:b/>
                <w:bCs/>
                <w:szCs w:val="60"/>
              </w:rPr>
            </w:pPr>
            <w:r w:rsidRPr="00DB7679">
              <w:rPr>
                <w:rFonts w:hint="cs"/>
                <w:b/>
                <w:bCs/>
                <w:szCs w:val="60"/>
                <w:rtl/>
              </w:rPr>
              <w:t>الجمعية العامة</w:t>
            </w:r>
          </w:p>
        </w:tc>
        <w:tc>
          <w:tcPr>
            <w:tcW w:w="4522" w:type="dxa"/>
            <w:tcBorders>
              <w:top w:val="single" w:sz="4" w:space="0" w:color="auto"/>
              <w:bottom w:val="single" w:sz="12" w:space="0" w:color="auto"/>
            </w:tcBorders>
          </w:tcPr>
          <w:p w:rsidR="00E57877" w:rsidRDefault="00E57877" w:rsidP="00E57877">
            <w:pPr>
              <w:bidi w:val="0"/>
              <w:spacing w:before="240"/>
              <w:jc w:val="left"/>
            </w:pPr>
            <w:r>
              <w:t>Distr.: General</w:t>
            </w:r>
          </w:p>
          <w:p w:rsidR="00E57877" w:rsidRDefault="00E57877" w:rsidP="00E57877">
            <w:pPr>
              <w:bidi w:val="0"/>
              <w:jc w:val="left"/>
            </w:pPr>
            <w:r>
              <w:t>9 April 2014</w:t>
            </w:r>
          </w:p>
          <w:p w:rsidR="00E57877" w:rsidRDefault="00E57877" w:rsidP="00E57877">
            <w:pPr>
              <w:bidi w:val="0"/>
              <w:jc w:val="left"/>
            </w:pPr>
            <w:r>
              <w:t>Arabic</w:t>
            </w:r>
          </w:p>
          <w:p w:rsidR="00257225" w:rsidRPr="008B4BC6" w:rsidRDefault="00E57877" w:rsidP="00E57877">
            <w:pPr>
              <w:bidi w:val="0"/>
              <w:jc w:val="left"/>
            </w:pPr>
            <w:r>
              <w:t>Original: English</w:t>
            </w:r>
          </w:p>
        </w:tc>
      </w:tr>
    </w:tbl>
    <w:p w:rsidR="00C628B3" w:rsidRPr="00806501" w:rsidRDefault="00C628B3" w:rsidP="00C628B3">
      <w:pPr>
        <w:pStyle w:val="SingleTxtGA"/>
        <w:spacing w:before="120" w:after="0"/>
        <w:ind w:left="0" w:right="0"/>
        <w:rPr>
          <w:b/>
          <w:bCs/>
          <w:sz w:val="26"/>
          <w:szCs w:val="36"/>
          <w:rtl/>
        </w:rPr>
      </w:pPr>
      <w:r w:rsidRPr="00806501">
        <w:rPr>
          <w:b/>
          <w:bCs/>
          <w:sz w:val="26"/>
          <w:szCs w:val="36"/>
          <w:rtl/>
        </w:rPr>
        <w:t>مجلس حقوق الإنسان</w:t>
      </w:r>
    </w:p>
    <w:p w:rsidR="00C628B3" w:rsidRPr="00806501" w:rsidRDefault="00C628B3" w:rsidP="00C628B3">
      <w:pPr>
        <w:pStyle w:val="SingleTxtGA"/>
        <w:spacing w:after="0"/>
        <w:ind w:left="0" w:right="0"/>
        <w:rPr>
          <w:b/>
          <w:bCs/>
          <w:rtl/>
        </w:rPr>
      </w:pPr>
      <w:r w:rsidRPr="00806501">
        <w:rPr>
          <w:b/>
          <w:bCs/>
          <w:rtl/>
        </w:rPr>
        <w:t>الدورة الخامسة والعشرون</w:t>
      </w:r>
    </w:p>
    <w:p w:rsidR="00C628B3" w:rsidRDefault="00C628B3" w:rsidP="00C628B3">
      <w:pPr>
        <w:pStyle w:val="SingleTxtGA"/>
        <w:spacing w:after="0"/>
        <w:ind w:left="0" w:right="0"/>
        <w:rPr>
          <w:rFonts w:hint="cs"/>
          <w:rtl/>
        </w:rPr>
      </w:pPr>
      <w:r>
        <w:rPr>
          <w:rtl/>
        </w:rPr>
        <w:t xml:space="preserve">البند 3 من جدول </w:t>
      </w:r>
      <w:r>
        <w:rPr>
          <w:rFonts w:hint="cs"/>
          <w:rtl/>
        </w:rPr>
        <w:t>الأعمال</w:t>
      </w:r>
    </w:p>
    <w:p w:rsidR="00C628B3" w:rsidRPr="00806501" w:rsidRDefault="00C628B3" w:rsidP="00CB4E90">
      <w:pPr>
        <w:pStyle w:val="SingleTxtGA"/>
        <w:ind w:left="0" w:right="4366"/>
        <w:jc w:val="left"/>
        <w:rPr>
          <w:rFonts w:hint="cs"/>
          <w:b/>
          <w:bCs/>
          <w:rtl/>
        </w:rPr>
      </w:pPr>
      <w:r w:rsidRPr="00806501">
        <w:rPr>
          <w:b/>
          <w:bCs/>
          <w:rtl/>
        </w:rPr>
        <w:t>تعزيز وحماية جميع حقوق الإنسان، المدنية والسياسية والاقتصادية</w:t>
      </w:r>
      <w:r>
        <w:rPr>
          <w:rFonts w:hint="cs"/>
          <w:b/>
          <w:bCs/>
          <w:rtl/>
        </w:rPr>
        <w:t xml:space="preserve"> </w:t>
      </w:r>
      <w:r w:rsidRPr="00806501">
        <w:rPr>
          <w:b/>
          <w:bCs/>
          <w:rtl/>
        </w:rPr>
        <w:t>والاجتماعية والثقافية، بما فيها الحق في التنمية</w:t>
      </w:r>
    </w:p>
    <w:p w:rsidR="00C628B3" w:rsidRPr="00806501" w:rsidRDefault="00C628B3" w:rsidP="00C628B3">
      <w:pPr>
        <w:pStyle w:val="HChGA"/>
        <w:rPr>
          <w:rFonts w:hint="cs"/>
          <w:rtl/>
        </w:rPr>
      </w:pPr>
      <w:r>
        <w:rPr>
          <w:rtl/>
        </w:rPr>
        <w:tab/>
      </w:r>
      <w:r>
        <w:rPr>
          <w:rFonts w:hint="cs"/>
          <w:rtl/>
        </w:rPr>
        <w:tab/>
      </w:r>
      <w:r w:rsidRPr="00806501">
        <w:rPr>
          <w:rFonts w:hint="cs"/>
          <w:rtl/>
        </w:rPr>
        <w:t>قرار</w:t>
      </w:r>
      <w:r>
        <w:rPr>
          <w:rFonts w:hint="cs"/>
          <w:rtl/>
        </w:rPr>
        <w:t xml:space="preserve"> اعتمده مجلس حقوق الإنسان</w:t>
      </w:r>
    </w:p>
    <w:p w:rsidR="00C628B3" w:rsidRDefault="00C628B3" w:rsidP="00C628B3">
      <w:pPr>
        <w:pStyle w:val="H1GA"/>
        <w:rPr>
          <w:rtl/>
        </w:rPr>
      </w:pPr>
      <w:r>
        <w:rPr>
          <w:rtl/>
        </w:rPr>
        <w:tab/>
      </w:r>
      <w:r>
        <w:rPr>
          <w:rtl/>
        </w:rPr>
        <w:tab/>
        <w:t>25/</w:t>
      </w:r>
      <w:r>
        <w:rPr>
          <w:rFonts w:hint="cs"/>
          <w:rtl/>
        </w:rPr>
        <w:t>2</w:t>
      </w:r>
      <w:r>
        <w:rPr>
          <w:rFonts w:hint="cs"/>
          <w:rtl/>
        </w:rPr>
        <w:br/>
      </w:r>
      <w:r>
        <w:rPr>
          <w:rtl/>
        </w:rPr>
        <w:t>حرية الرأي والتعبير: ولاية المقرِّر الخاص المعني بتعزيز وحماية الحق في حرية الرأي والتعبير</w:t>
      </w:r>
    </w:p>
    <w:p w:rsidR="00C628B3" w:rsidRPr="00C628B3" w:rsidRDefault="00C628B3" w:rsidP="00C628B3">
      <w:pPr>
        <w:pStyle w:val="SingleTxtGA"/>
        <w:rPr>
          <w:i/>
          <w:iCs/>
          <w:rtl/>
        </w:rPr>
      </w:pPr>
      <w:r w:rsidRPr="00C628B3">
        <w:rPr>
          <w:i/>
          <w:iCs/>
          <w:rtl/>
        </w:rPr>
        <w:tab/>
        <w:t>إن مجلس حقوق الإنسان،</w:t>
      </w:r>
    </w:p>
    <w:p w:rsidR="00C628B3" w:rsidRDefault="00C628B3" w:rsidP="00C628B3">
      <w:pPr>
        <w:pStyle w:val="SingleTxtGA"/>
        <w:rPr>
          <w:rtl/>
        </w:rPr>
      </w:pPr>
      <w:r>
        <w:rPr>
          <w:rFonts w:hint="cs"/>
          <w:rtl/>
        </w:rPr>
        <w:tab/>
      </w:r>
      <w:r w:rsidRPr="00091AE5">
        <w:rPr>
          <w:i/>
          <w:iCs/>
          <w:rtl/>
        </w:rPr>
        <w:t>إذ يشير</w:t>
      </w:r>
      <w:r>
        <w:rPr>
          <w:rtl/>
        </w:rPr>
        <w:t xml:space="preserve"> إلى قرار</w:t>
      </w:r>
      <w:r>
        <w:rPr>
          <w:rFonts w:hint="cs"/>
          <w:rtl/>
        </w:rPr>
        <w:t>ات</w:t>
      </w:r>
      <w:r>
        <w:rPr>
          <w:rtl/>
        </w:rPr>
        <w:t>ه</w:t>
      </w:r>
      <w:r>
        <w:rPr>
          <w:rFonts w:hint="cs"/>
          <w:rtl/>
        </w:rPr>
        <w:t xml:space="preserve"> 7/36 المؤرخ 28 آذار/مارس 2008، و12/16 المؤرخ 2 تشرين الأول/أكتوبر 2009، و</w:t>
      </w:r>
      <w:r>
        <w:rPr>
          <w:rtl/>
        </w:rPr>
        <w:t>16/4 المؤرخ 24 آذار/مارس 2011 و23/2 المؤرخ 13 حزيران/يونيه 2013 وإلى جميع القرارات السابقة الصادرة عن لجنة حقوق الإنسان و</w:t>
      </w:r>
      <w:r>
        <w:rPr>
          <w:rFonts w:hint="cs"/>
          <w:rtl/>
        </w:rPr>
        <w:t>عن ال</w:t>
      </w:r>
      <w:r>
        <w:rPr>
          <w:rtl/>
        </w:rPr>
        <w:t>مجلس بشأن الحق في حرية الرأي والتعبير،</w:t>
      </w:r>
    </w:p>
    <w:p w:rsidR="00C628B3" w:rsidRDefault="00C628B3" w:rsidP="00C628B3">
      <w:pPr>
        <w:pStyle w:val="SingleTxtGA"/>
        <w:rPr>
          <w:rtl/>
        </w:rPr>
      </w:pPr>
      <w:r>
        <w:rPr>
          <w:rFonts w:hint="cs"/>
          <w:rtl/>
        </w:rPr>
        <w:tab/>
      </w:r>
      <w:r w:rsidRPr="00091AE5">
        <w:rPr>
          <w:i/>
          <w:iCs/>
          <w:rtl/>
        </w:rPr>
        <w:t>وإذ يسلّم</w:t>
      </w:r>
      <w:r>
        <w:rPr>
          <w:rtl/>
        </w:rPr>
        <w:t xml:space="preserve"> بأن الممارسة الفعلية للحق في حرية الرأي والتعبير، المكرّسة في العهد الدولي الخاص بالحقوق المدنية والسياسية والإعلان العالمي لحقوق الإنسان، جوهرية</w:t>
      </w:r>
      <w:r>
        <w:rPr>
          <w:rFonts w:hint="cs"/>
          <w:rtl/>
        </w:rPr>
        <w:t>ٌ</w:t>
      </w:r>
      <w:r>
        <w:rPr>
          <w:rtl/>
        </w:rPr>
        <w:t xml:space="preserve"> للتمتع بسائر حقوق الإنسان والحريات، ودعامة</w:t>
      </w:r>
      <w:r>
        <w:rPr>
          <w:rFonts w:hint="cs"/>
          <w:rtl/>
        </w:rPr>
        <w:t>ٌ</w:t>
      </w:r>
      <w:r>
        <w:rPr>
          <w:rtl/>
        </w:rPr>
        <w:t xml:space="preserve"> أساسية لإقامة مجتمع ديمقراطي ولتعزيز الديمقراطية، وإذ يضع في اعتباره أن حقوق الإنسان جميعها عالمية وغير قابلة للتجزئة ومترابطة ومتشابكة،</w:t>
      </w:r>
    </w:p>
    <w:p w:rsidR="00C628B3" w:rsidRDefault="00C628B3" w:rsidP="00C628B3">
      <w:pPr>
        <w:pStyle w:val="SingleTxtGA"/>
        <w:rPr>
          <w:rtl/>
        </w:rPr>
      </w:pPr>
      <w:r>
        <w:rPr>
          <w:rFonts w:hint="cs"/>
          <w:rtl/>
        </w:rPr>
        <w:tab/>
      </w:r>
      <w:r w:rsidRPr="00091AE5">
        <w:rPr>
          <w:i/>
          <w:iCs/>
          <w:rtl/>
        </w:rPr>
        <w:t>وإذ يشير</w:t>
      </w:r>
      <w:r>
        <w:rPr>
          <w:rtl/>
        </w:rPr>
        <w:t xml:space="preserve"> إلى قرار</w:t>
      </w:r>
      <w:r>
        <w:rPr>
          <w:rFonts w:hint="cs"/>
          <w:rtl/>
        </w:rPr>
        <w:t>ي</w:t>
      </w:r>
      <w:r>
        <w:rPr>
          <w:rtl/>
        </w:rPr>
        <w:t xml:space="preserve"> مجلس حقوق الإنسان 5/1 </w:t>
      </w:r>
      <w:r>
        <w:rPr>
          <w:rFonts w:hint="cs"/>
          <w:rtl/>
        </w:rPr>
        <w:t xml:space="preserve">بشأن بناء مؤسسات المجلس </w:t>
      </w:r>
      <w:r>
        <w:rPr>
          <w:rtl/>
        </w:rPr>
        <w:t>و5/2</w:t>
      </w:r>
      <w:r>
        <w:rPr>
          <w:rFonts w:hint="cs"/>
          <w:rtl/>
        </w:rPr>
        <w:t xml:space="preserve"> بشأن </w:t>
      </w:r>
      <w:r w:rsidRPr="00D209E4">
        <w:rPr>
          <w:rtl/>
        </w:rPr>
        <w:t>مدونة قواعد السلوك لأصحاب الولايات في إطار الإجراءات الخاصة لمجلس حقوق الإنسان</w:t>
      </w:r>
      <w:r>
        <w:rPr>
          <w:rFonts w:hint="cs"/>
          <w:rtl/>
        </w:rPr>
        <w:t>،</w:t>
      </w:r>
      <w:r>
        <w:rPr>
          <w:rtl/>
        </w:rPr>
        <w:t xml:space="preserve"> المؤرخين 18 حزيران/</w:t>
      </w:r>
      <w:r>
        <w:rPr>
          <w:rFonts w:hint="cs"/>
          <w:rtl/>
        </w:rPr>
        <w:t xml:space="preserve"> </w:t>
      </w:r>
      <w:r>
        <w:rPr>
          <w:rtl/>
        </w:rPr>
        <w:t>يونيه</w:t>
      </w:r>
      <w:r>
        <w:rPr>
          <w:rFonts w:hint="cs"/>
          <w:rtl/>
        </w:rPr>
        <w:t> </w:t>
      </w:r>
      <w:r>
        <w:rPr>
          <w:rtl/>
        </w:rPr>
        <w:t>2007،</w:t>
      </w:r>
      <w:r>
        <w:rPr>
          <w:rFonts w:hint="cs"/>
          <w:rtl/>
        </w:rPr>
        <w:t xml:space="preserve"> وإذ يشدد على أن يضطلع المكلف بالولاية بمهامه وفقا</w:t>
      </w:r>
      <w:r w:rsidR="00D221A8">
        <w:rPr>
          <w:rFonts w:hint="cs"/>
          <w:rtl/>
        </w:rPr>
        <w:t>ً</w:t>
      </w:r>
      <w:r>
        <w:rPr>
          <w:rFonts w:hint="cs"/>
          <w:rtl/>
        </w:rPr>
        <w:t xml:space="preserve"> لهذين القرارين ومرفقاتهما، </w:t>
      </w:r>
      <w:r>
        <w:rPr>
          <w:rtl/>
        </w:rPr>
        <w:t xml:space="preserve"> </w:t>
      </w:r>
    </w:p>
    <w:p w:rsidR="00C628B3" w:rsidRDefault="00C628B3" w:rsidP="00C628B3">
      <w:pPr>
        <w:pStyle w:val="SingleTxtGA"/>
        <w:rPr>
          <w:rtl/>
        </w:rPr>
      </w:pPr>
      <w:r>
        <w:rPr>
          <w:rFonts w:hint="cs"/>
          <w:rtl/>
        </w:rPr>
        <w:tab/>
        <w:t>1-</w:t>
      </w:r>
      <w:r>
        <w:rPr>
          <w:rtl/>
        </w:rPr>
        <w:tab/>
      </w:r>
      <w:r w:rsidRPr="00091AE5">
        <w:rPr>
          <w:i/>
          <w:iCs/>
          <w:rtl/>
        </w:rPr>
        <w:t>يرحب</w:t>
      </w:r>
      <w:r>
        <w:rPr>
          <w:rtl/>
        </w:rPr>
        <w:t xml:space="preserve"> بعمل المقرر الخاص المعني بتعزيز وحماية الحق في حرية الرأي</w:t>
      </w:r>
      <w:r>
        <w:rPr>
          <w:rFonts w:hint="cs"/>
          <w:rtl/>
        </w:rPr>
        <w:t> </w:t>
      </w:r>
      <w:r>
        <w:rPr>
          <w:rtl/>
        </w:rPr>
        <w:t>والتعبير؛</w:t>
      </w:r>
    </w:p>
    <w:p w:rsidR="00C628B3" w:rsidRDefault="00C628B3" w:rsidP="00C628B3">
      <w:pPr>
        <w:pStyle w:val="SingleTxtGA"/>
        <w:rPr>
          <w:rtl/>
        </w:rPr>
      </w:pPr>
      <w:r>
        <w:rPr>
          <w:rFonts w:hint="cs"/>
          <w:rtl/>
        </w:rPr>
        <w:tab/>
        <w:t>2-</w:t>
      </w:r>
      <w:r>
        <w:rPr>
          <w:rtl/>
        </w:rPr>
        <w:tab/>
      </w:r>
      <w:r w:rsidRPr="00091AE5">
        <w:rPr>
          <w:i/>
          <w:iCs/>
          <w:rtl/>
        </w:rPr>
        <w:t>يقرر</w:t>
      </w:r>
      <w:r>
        <w:rPr>
          <w:rtl/>
        </w:rPr>
        <w:t xml:space="preserve"> تمديد ولاية المقرر الخاص لثلاث سنوات أخرى؛</w:t>
      </w:r>
    </w:p>
    <w:p w:rsidR="00C628B3" w:rsidRDefault="00C628B3" w:rsidP="00C628B3">
      <w:pPr>
        <w:pStyle w:val="SingleTxtGA"/>
        <w:rPr>
          <w:rtl/>
        </w:rPr>
      </w:pPr>
      <w:r>
        <w:rPr>
          <w:rFonts w:hint="cs"/>
          <w:rtl/>
        </w:rPr>
        <w:tab/>
        <w:t>3-</w:t>
      </w:r>
      <w:r>
        <w:rPr>
          <w:rtl/>
        </w:rPr>
        <w:tab/>
      </w:r>
      <w:r w:rsidRPr="00091AE5">
        <w:rPr>
          <w:i/>
          <w:iCs/>
          <w:rtl/>
        </w:rPr>
        <w:t>يحث</w:t>
      </w:r>
      <w:r>
        <w:rPr>
          <w:rtl/>
        </w:rPr>
        <w:t xml:space="preserve"> جميع الدول على أن تتعاون مع المقرر الخاص</w:t>
      </w:r>
      <w:r w:rsidRPr="00F773C8">
        <w:rPr>
          <w:rtl/>
        </w:rPr>
        <w:t xml:space="preserve"> </w:t>
      </w:r>
      <w:r>
        <w:rPr>
          <w:rtl/>
        </w:rPr>
        <w:t>تعاوناً تاماً وأن تساعده على أداء مهامه، وأن تزوده بكل المعلومات اللازمة التي يطلبها، وأن تستجيب لما يقدمه من طلبات للقيام بزيارات ولتنفيذ توصياته؛</w:t>
      </w:r>
    </w:p>
    <w:p w:rsidR="00C628B3" w:rsidRDefault="00C628B3" w:rsidP="00C628B3">
      <w:pPr>
        <w:pStyle w:val="SingleTxtGA"/>
        <w:rPr>
          <w:rtl/>
        </w:rPr>
      </w:pPr>
      <w:r>
        <w:rPr>
          <w:rFonts w:hint="cs"/>
          <w:rtl/>
        </w:rPr>
        <w:tab/>
        <w:t>4-</w:t>
      </w:r>
      <w:r>
        <w:rPr>
          <w:rtl/>
        </w:rPr>
        <w:tab/>
      </w:r>
      <w:r w:rsidRPr="00091AE5">
        <w:rPr>
          <w:i/>
          <w:iCs/>
          <w:rtl/>
        </w:rPr>
        <w:t>يطلب</w:t>
      </w:r>
      <w:r>
        <w:rPr>
          <w:rtl/>
        </w:rPr>
        <w:t xml:space="preserve"> إلى الأمين العام أن يقدم إلى المقرر الخاص ما يلزمه من مساعدة لكي يضطلع بولايته، لا سيما بوضع قدرٍ وافٍ من الموارد البشرية والمادية تحت تصرفه؛</w:t>
      </w:r>
    </w:p>
    <w:p w:rsidR="00C628B3" w:rsidRDefault="00C628B3" w:rsidP="00C628B3">
      <w:pPr>
        <w:pStyle w:val="SingleTxtGA"/>
        <w:rPr>
          <w:rtl/>
        </w:rPr>
      </w:pPr>
      <w:r>
        <w:rPr>
          <w:rFonts w:hint="cs"/>
          <w:rtl/>
        </w:rPr>
        <w:tab/>
        <w:t>5-</w:t>
      </w:r>
      <w:r>
        <w:rPr>
          <w:rFonts w:hint="cs"/>
          <w:rtl/>
        </w:rPr>
        <w:tab/>
      </w:r>
      <w:r w:rsidRPr="00091AE5">
        <w:rPr>
          <w:i/>
          <w:iCs/>
          <w:rtl/>
        </w:rPr>
        <w:t>يطلب</w:t>
      </w:r>
      <w:r>
        <w:rPr>
          <w:rtl/>
        </w:rPr>
        <w:t xml:space="preserve"> إلى المقرر الخاص أن يقدم إلى مجلس حقوق الإنسان وإلى الجمعية العامة تقريراً سنوياً يتناول جميع الأنشطة المتصلة بولايته بغية تحقيق الفائدة القصوى من عملية</w:t>
      </w:r>
      <w:r>
        <w:rPr>
          <w:rFonts w:hint="cs"/>
          <w:rtl/>
        </w:rPr>
        <w:t> </w:t>
      </w:r>
      <w:r>
        <w:rPr>
          <w:rtl/>
        </w:rPr>
        <w:t>الإبلاغ؛</w:t>
      </w:r>
    </w:p>
    <w:p w:rsidR="00C628B3" w:rsidRDefault="00C628B3" w:rsidP="00C628B3">
      <w:pPr>
        <w:pStyle w:val="SingleTxtGA"/>
        <w:rPr>
          <w:rFonts w:hint="cs"/>
          <w:rtl/>
        </w:rPr>
      </w:pPr>
      <w:r>
        <w:rPr>
          <w:rFonts w:hint="cs"/>
          <w:rtl/>
        </w:rPr>
        <w:tab/>
        <w:t>6-</w:t>
      </w:r>
      <w:r>
        <w:rPr>
          <w:rtl/>
        </w:rPr>
        <w:tab/>
      </w:r>
      <w:r w:rsidRPr="00091AE5">
        <w:rPr>
          <w:i/>
          <w:iCs/>
          <w:rtl/>
        </w:rPr>
        <w:t>يقرِّر</w:t>
      </w:r>
      <w:r>
        <w:rPr>
          <w:rtl/>
        </w:rPr>
        <w:t xml:space="preserve"> </w:t>
      </w:r>
      <w:r>
        <w:rPr>
          <w:rFonts w:hint="cs"/>
          <w:rtl/>
        </w:rPr>
        <w:t>مواصلة</w:t>
      </w:r>
      <w:r>
        <w:rPr>
          <w:rtl/>
        </w:rPr>
        <w:t xml:space="preserve"> نظره في مسألة الحق في حرية الرأي والتعبير وفقاً لبرنامج</w:t>
      </w:r>
      <w:r>
        <w:rPr>
          <w:rFonts w:hint="cs"/>
          <w:rtl/>
        </w:rPr>
        <w:t> </w:t>
      </w:r>
      <w:r>
        <w:rPr>
          <w:rtl/>
        </w:rPr>
        <w:t>عمله.</w:t>
      </w:r>
    </w:p>
    <w:p w:rsidR="00C628B3" w:rsidRPr="00C628B3" w:rsidRDefault="00C628B3" w:rsidP="00C628B3">
      <w:pPr>
        <w:pStyle w:val="SingleTxtGA"/>
        <w:spacing w:before="120" w:after="0"/>
        <w:jc w:val="right"/>
        <w:rPr>
          <w:rFonts w:hint="cs"/>
          <w:i/>
          <w:iCs/>
          <w:rtl/>
        </w:rPr>
      </w:pPr>
      <w:r w:rsidRPr="00C628B3">
        <w:rPr>
          <w:rFonts w:hint="cs"/>
          <w:i/>
          <w:iCs/>
          <w:rtl/>
        </w:rPr>
        <w:t>الجلسة 54</w:t>
      </w:r>
    </w:p>
    <w:p w:rsidR="00C628B3" w:rsidRPr="00C628B3" w:rsidRDefault="00C628B3" w:rsidP="00C628B3">
      <w:pPr>
        <w:pStyle w:val="SingleTxtGA"/>
        <w:jc w:val="right"/>
        <w:rPr>
          <w:rFonts w:hint="cs"/>
          <w:i/>
          <w:iCs/>
          <w:rtl/>
        </w:rPr>
      </w:pPr>
      <w:r w:rsidRPr="00C628B3">
        <w:rPr>
          <w:rFonts w:hint="cs"/>
          <w:i/>
          <w:iCs/>
          <w:rtl/>
        </w:rPr>
        <w:t>27 آذار/مارس 2014</w:t>
      </w:r>
    </w:p>
    <w:p w:rsidR="00C628B3" w:rsidRDefault="00C628B3" w:rsidP="00C628B3">
      <w:pPr>
        <w:pStyle w:val="SingleTxtGA"/>
        <w:rPr>
          <w:rFonts w:hint="cs"/>
          <w:rtl/>
        </w:rPr>
      </w:pPr>
      <w:r>
        <w:rPr>
          <w:rFonts w:hint="cs"/>
          <w:rtl/>
        </w:rPr>
        <w:t xml:space="preserve">[اعتمد </w:t>
      </w:r>
      <w:r w:rsidR="00D221A8">
        <w:rPr>
          <w:rFonts w:hint="cs"/>
          <w:rtl/>
        </w:rPr>
        <w:t>ب</w:t>
      </w:r>
      <w:r>
        <w:rPr>
          <w:rFonts w:hint="cs"/>
          <w:rtl/>
        </w:rPr>
        <w:t>دون تصويت</w:t>
      </w:r>
      <w:r w:rsidR="00782C53">
        <w:rPr>
          <w:rFonts w:hint="cs"/>
          <w:rtl/>
        </w:rPr>
        <w:t>.</w:t>
      </w:r>
      <w:r>
        <w:rPr>
          <w:rFonts w:hint="cs"/>
          <w:rtl/>
        </w:rPr>
        <w:t>]</w:t>
      </w:r>
    </w:p>
    <w:p w:rsidR="00C628B3" w:rsidRPr="00091AE5" w:rsidRDefault="00C628B3" w:rsidP="00C628B3">
      <w:pPr>
        <w:spacing w:before="120"/>
        <w:jc w:val="center"/>
        <w:rPr>
          <w:rFonts w:hint="cs"/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C628B3" w:rsidRPr="00091AE5" w:rsidSect="00E5787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type w:val="continuous"/>
      <w:pgSz w:w="11906" w:h="16838" w:code="9"/>
      <w:pgMar w:top="1701" w:right="1134" w:bottom="2268" w:left="1134" w:header="1134" w:footer="1701" w:gutter="0"/>
      <w:cols w:space="708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3C2" w:rsidRPr="00FE6865" w:rsidRDefault="004F33C2" w:rsidP="00FE6865">
      <w:pPr>
        <w:pStyle w:val="Footer"/>
      </w:pPr>
    </w:p>
  </w:endnote>
  <w:endnote w:type="continuationSeparator" w:id="0">
    <w:p w:rsidR="004F33C2" w:rsidRDefault="004F3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C2" w:rsidRPr="00E57877" w:rsidRDefault="004F33C2" w:rsidP="00E57877">
    <w:pPr>
      <w:pStyle w:val="Footer"/>
      <w:tabs>
        <w:tab w:val="right" w:pos="9598"/>
      </w:tabs>
    </w:pPr>
    <w:r>
      <w:t>GE.14-13291</w:t>
    </w:r>
    <w:r>
      <w:tab/>
    </w:r>
    <w:r w:rsidRPr="00E57877">
      <w:rPr>
        <w:b/>
        <w:sz w:val="18"/>
      </w:rPr>
      <w:fldChar w:fldCharType="begin"/>
    </w:r>
    <w:r w:rsidRPr="00E57877">
      <w:rPr>
        <w:b/>
        <w:sz w:val="18"/>
      </w:rPr>
      <w:instrText xml:space="preserve"> PAGE  \* MERGEFORMAT </w:instrText>
    </w:r>
    <w:r w:rsidRPr="00E57877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E57877">
      <w:rPr>
        <w:b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C2" w:rsidRPr="00E57877" w:rsidRDefault="004F33C2" w:rsidP="00E57877">
    <w:pPr>
      <w:pStyle w:val="Footer"/>
      <w:tabs>
        <w:tab w:val="right" w:pos="9598"/>
      </w:tabs>
      <w:rPr>
        <w:b/>
        <w:sz w:val="18"/>
      </w:rPr>
    </w:pPr>
    <w:r w:rsidRPr="00E57877">
      <w:rPr>
        <w:b/>
        <w:sz w:val="18"/>
      </w:rPr>
      <w:fldChar w:fldCharType="begin"/>
    </w:r>
    <w:r w:rsidRPr="00E57877">
      <w:rPr>
        <w:b/>
        <w:sz w:val="18"/>
      </w:rPr>
      <w:instrText xml:space="preserve"> PAGE  \* MERGEFORMAT </w:instrText>
    </w:r>
    <w:r w:rsidRPr="00E57877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57877">
      <w:rPr>
        <w:b/>
        <w:sz w:val="18"/>
      </w:rPr>
      <w:fldChar w:fldCharType="end"/>
    </w:r>
    <w:r>
      <w:rPr>
        <w:b/>
        <w:sz w:val="18"/>
      </w:rPr>
      <w:tab/>
    </w:r>
    <w:r>
      <w:t>GE.14-13291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C2" w:rsidRDefault="004F33C2" w:rsidP="00D221A8">
    <w:pPr>
      <w:pStyle w:val="Footer"/>
      <w:jc w:val="right"/>
      <w:rPr>
        <w:rFonts w:hint="cs"/>
      </w:rPr>
    </w:pPr>
    <w:r>
      <w:rPr>
        <w:sz w:val="20"/>
      </w:rPr>
      <w:t>(A)   GE.14-13291</w:t>
    </w: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6.7pt;margin-top:646.4pt;width:91.5pt;height:25.5pt;z-index:-2;mso-position-horizontal-relative:margin;mso-position-vertical-relative:margin" wrapcoords="-177 0 -177 20965 21600 20965 21600 0 -177 0" o:allowincell="f">
          <v:imagedata r:id="rId1" o:title="PleaseRecycleArabic"/>
          <w10:wrap type="tight" anchorx="margin" anchory="margin"/>
          <w10:anchorlock/>
        </v:shape>
      </w:pict>
    </w:r>
    <w:r>
      <w:rPr>
        <w:sz w:val="20"/>
      </w:rPr>
      <w:t xml:space="preserve">    170414    220414</w:t>
    </w:r>
    <w:r>
      <w:br/>
    </w:r>
    <w:r w:rsidRPr="00782C53">
      <w:rPr>
        <w:rFonts w:ascii="C39T30Lfz" w:hAnsi="C39T30Lfz"/>
        <w:sz w:val="56"/>
      </w:rPr>
      <w:t></w:t>
    </w:r>
    <w:r w:rsidRPr="00782C53">
      <w:rPr>
        <w:rFonts w:ascii="C39T30Lfz" w:hAnsi="C39T30Lfz"/>
        <w:sz w:val="56"/>
      </w:rPr>
      <w:t></w:t>
    </w:r>
    <w:r w:rsidRPr="00782C53">
      <w:rPr>
        <w:rFonts w:ascii="C39T30Lfz" w:hAnsi="C39T30Lfz"/>
        <w:sz w:val="56"/>
      </w:rPr>
      <w:t></w:t>
    </w:r>
    <w:r w:rsidRPr="00782C53">
      <w:rPr>
        <w:rFonts w:ascii="C39T30Lfz" w:hAnsi="C39T30Lfz"/>
        <w:sz w:val="56"/>
      </w:rPr>
      <w:t></w:t>
    </w:r>
    <w:r w:rsidRPr="00782C53">
      <w:rPr>
        <w:rFonts w:ascii="C39T30Lfz" w:hAnsi="C39T30Lfz"/>
        <w:sz w:val="56"/>
      </w:rPr>
      <w:t></w:t>
    </w:r>
    <w:r w:rsidRPr="00782C53">
      <w:rPr>
        <w:rFonts w:ascii="C39T30Lfz" w:hAnsi="C39T30Lfz"/>
        <w:sz w:val="56"/>
      </w:rPr>
      <w:t></w:t>
    </w:r>
    <w:r w:rsidRPr="00782C53">
      <w:rPr>
        <w:rFonts w:ascii="C39T30Lfz" w:hAnsi="C39T30Lfz"/>
        <w:sz w:val="56"/>
      </w:rPr>
      <w:t></w:t>
    </w:r>
    <w:r w:rsidRPr="00782C53">
      <w:rPr>
        <w:rFonts w:ascii="C39T30Lfz" w:hAnsi="C39T30Lfz"/>
        <w:sz w:val="56"/>
      </w:rPr>
      <w:t></w:t>
    </w:r>
    <w:r w:rsidRPr="00782C53">
      <w:rPr>
        <w:rFonts w:ascii="C39T30Lfz" w:hAnsi="C39T30Lfz"/>
        <w:sz w:val="56"/>
      </w:rPr>
      <w:t></w:t>
    </w:r>
    <w:r>
      <w:rPr>
        <w:noProof/>
        <w:lang w:val="en-US"/>
      </w:rPr>
      <w:pict>
        <v:shape id="_x0000_s2051" type="#_x0000_t75" style="position:absolute;left:0;text-align:left;margin-left:.05pt;margin-top:0;width:50.25pt;height:50.25pt;z-index:2;mso-position-horizontal-relative:text;mso-position-vertical-relative:text" o:allowincell="f">
          <v:imagedata r:id="rId2" o:title="2&amp;Size=2&amp;Lang=A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3C2" w:rsidRDefault="004F33C2" w:rsidP="009A0C39">
      <w:pPr>
        <w:spacing w:after="80" w:line="200" w:lineRule="atLeast"/>
        <w:ind w:left="680"/>
      </w:pPr>
      <w:r w:rsidRPr="00C10C26">
        <w:rPr>
          <w:sz w:val="16"/>
          <w:rtl/>
        </w:rPr>
        <w:t>__________</w:t>
      </w:r>
    </w:p>
  </w:footnote>
  <w:footnote w:type="continuationSeparator" w:id="0">
    <w:p w:rsidR="004F33C2" w:rsidRDefault="004F33C2" w:rsidP="00444AA6">
      <w:pPr>
        <w:pStyle w:val="Footer"/>
        <w:bidi/>
        <w:spacing w:after="80" w:line="200" w:lineRule="exact"/>
        <w:ind w:left="680"/>
      </w:pPr>
      <w:r>
        <w:rPr>
          <w:rFonts w:hint="cs"/>
          <w:rtl/>
        </w:rPr>
        <w:t>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C2" w:rsidRPr="00E57877" w:rsidRDefault="004F33C2" w:rsidP="00E57877">
    <w:pPr>
      <w:pStyle w:val="Header"/>
      <w:jc w:val="right"/>
    </w:pPr>
    <w:r w:rsidRPr="00E57877">
      <w:t>A/HRC/RES/25/2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C2" w:rsidRPr="00E57877" w:rsidRDefault="004F33C2" w:rsidP="00E57877">
    <w:pPr>
      <w:pStyle w:val="Header"/>
      <w:jc w:val="left"/>
    </w:pPr>
    <w:r w:rsidRPr="00E57877">
      <w:t>A/HRC/RES/25/2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C8C"/>
    <w:multiLevelType w:val="multilevel"/>
    <w:tmpl w:val="DAE891C4"/>
    <w:lvl w:ilvl="0">
      <w:start w:val="1"/>
      <w:numFmt w:val="bullet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51AF4"/>
    <w:multiLevelType w:val="hybridMultilevel"/>
    <w:tmpl w:val="DAE891C4"/>
    <w:lvl w:ilvl="0" w:tplc="810655FA">
      <w:start w:val="1"/>
      <w:numFmt w:val="bullet"/>
      <w:pStyle w:val="Bullet1GA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153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0066FF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4EC593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B9D1D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F13662C"/>
    <w:multiLevelType w:val="multilevel"/>
    <w:tmpl w:val="E424DC24"/>
    <w:lvl w:ilvl="0">
      <w:start w:val="1"/>
      <w:numFmt w:val="bullet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7">
    <w:nsid w:val="247317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5F272F0"/>
    <w:multiLevelType w:val="hybridMultilevel"/>
    <w:tmpl w:val="F88E26C4"/>
    <w:lvl w:ilvl="0" w:tplc="1D324D1E">
      <w:start w:val="1"/>
      <w:numFmt w:val="decimal"/>
      <w:pStyle w:val="Roman1GA"/>
      <w:lvlText w:val="'%1'"/>
      <w:lvlJc w:val="right"/>
      <w:pPr>
        <w:tabs>
          <w:tab w:val="num" w:pos="2041"/>
        </w:tabs>
        <w:ind w:left="2041" w:hanging="397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9">
    <w:nsid w:val="2A3156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2DE438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1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6B4AC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54B2370"/>
    <w:multiLevelType w:val="hybridMultilevel"/>
    <w:tmpl w:val="278EE6AE"/>
    <w:lvl w:ilvl="0" w:tplc="F1D2A638">
      <w:start w:val="1"/>
      <w:numFmt w:val="bullet"/>
      <w:pStyle w:val="Bullet2GA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4">
    <w:nsid w:val="45657E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C8544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97E7BE8"/>
    <w:multiLevelType w:val="hybridMultilevel"/>
    <w:tmpl w:val="BABA24F0"/>
    <w:lvl w:ilvl="0" w:tplc="1E22665A">
      <w:start w:val="1"/>
      <w:numFmt w:val="decimal"/>
      <w:lvlRestart w:val="0"/>
      <w:lvlText w:val="(%1)"/>
      <w:lvlJc w:val="right"/>
      <w:pPr>
        <w:tabs>
          <w:tab w:val="num" w:pos="1307"/>
        </w:tabs>
        <w:ind w:left="1307" w:hanging="227"/>
      </w:pPr>
      <w:rPr>
        <w:rFonts w:ascii="Traditional Arabic" w:hAnsi="Traditional Arabic" w:cs="Traditional Arabic" w:hint="default"/>
        <w:b w:val="0"/>
        <w:bCs w:val="0"/>
        <w:i w:val="0"/>
        <w:iCs w:val="0"/>
        <w:cap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64D645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FC818B7"/>
    <w:multiLevelType w:val="hybridMultilevel"/>
    <w:tmpl w:val="D3749CB6"/>
    <w:lvl w:ilvl="0" w:tplc="1E22665A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9">
    <w:nsid w:val="78D00C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AE32A09"/>
    <w:multiLevelType w:val="hybridMultilevel"/>
    <w:tmpl w:val="9C5295AC"/>
    <w:lvl w:ilvl="0" w:tplc="E12AAC4E">
      <w:start w:val="1"/>
      <w:numFmt w:val="decimal"/>
      <w:pStyle w:val="Roman2GA"/>
      <w:lvlText w:val="'%1'"/>
      <w:lvlJc w:val="right"/>
      <w:pPr>
        <w:tabs>
          <w:tab w:val="num" w:pos="2438"/>
        </w:tabs>
        <w:ind w:left="2438" w:hanging="397"/>
      </w:pPr>
      <w:rPr>
        <w:rFonts w:ascii="Georgia" w:hAnsi="Georgia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abstractNum w:abstractNumId="21">
    <w:nsid w:val="7CAD59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1"/>
  </w:num>
  <w:num w:numId="5">
    <w:abstractNumId w:val="8"/>
  </w:num>
  <w:num w:numId="6">
    <w:abstractNumId w:val="20"/>
  </w:num>
  <w:num w:numId="7">
    <w:abstractNumId w:val="10"/>
  </w:num>
  <w:num w:numId="8">
    <w:abstractNumId w:val="9"/>
  </w:num>
  <w:num w:numId="9">
    <w:abstractNumId w:val="12"/>
  </w:num>
  <w:num w:numId="10">
    <w:abstractNumId w:val="19"/>
  </w:num>
  <w:num w:numId="11">
    <w:abstractNumId w:val="1"/>
  </w:num>
  <w:num w:numId="12">
    <w:abstractNumId w:val="13"/>
  </w:num>
  <w:num w:numId="13">
    <w:abstractNumId w:val="11"/>
  </w:num>
  <w:num w:numId="14">
    <w:abstractNumId w:val="8"/>
  </w:num>
  <w:num w:numId="15">
    <w:abstractNumId w:val="20"/>
  </w:num>
  <w:num w:numId="16">
    <w:abstractNumId w:val="1"/>
  </w:num>
  <w:num w:numId="17">
    <w:abstractNumId w:val="13"/>
  </w:num>
  <w:num w:numId="18">
    <w:abstractNumId w:val="11"/>
  </w:num>
  <w:num w:numId="19">
    <w:abstractNumId w:val="8"/>
  </w:num>
  <w:num w:numId="20">
    <w:abstractNumId w:val="20"/>
  </w:num>
  <w:num w:numId="21">
    <w:abstractNumId w:val="1"/>
  </w:num>
  <w:num w:numId="22">
    <w:abstractNumId w:val="13"/>
  </w:num>
  <w:num w:numId="23">
    <w:abstractNumId w:val="8"/>
  </w:num>
  <w:num w:numId="24">
    <w:abstractNumId w:val="20"/>
  </w:num>
  <w:num w:numId="25">
    <w:abstractNumId w:val="13"/>
  </w:num>
  <w:num w:numId="26">
    <w:abstractNumId w:val="1"/>
  </w:num>
  <w:num w:numId="27">
    <w:abstractNumId w:val="3"/>
  </w:num>
  <w:num w:numId="28">
    <w:abstractNumId w:val="2"/>
  </w:num>
  <w:num w:numId="29">
    <w:abstractNumId w:val="15"/>
  </w:num>
  <w:num w:numId="30">
    <w:abstractNumId w:val="4"/>
  </w:num>
  <w:num w:numId="31">
    <w:abstractNumId w:val="7"/>
  </w:num>
  <w:num w:numId="32">
    <w:abstractNumId w:val="14"/>
  </w:num>
  <w:num w:numId="33">
    <w:abstractNumId w:val="17"/>
  </w:num>
  <w:num w:numId="34">
    <w:abstractNumId w:val="21"/>
  </w:num>
  <w:num w:numId="35">
    <w:abstractNumId w:val="5"/>
  </w:num>
  <w:num w:numId="36">
    <w:abstractNumId w:val="16"/>
  </w:num>
  <w:num w:numId="37">
    <w:abstractNumId w:val="18"/>
  </w:num>
  <w:num w:numId="38">
    <w:abstractNumId w:val="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4" w:dllVersion="512" w:checkStyle="0"/>
  <w:proofState w:spelling="clean"/>
  <w:attachedTemplate r:id="rId1"/>
  <w:stylePaneFormatFilter w:val="1F01"/>
  <w:doNotTrackMoves/>
  <w:defaultTabStop w:val="680"/>
  <w:evenAndOddHeaders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8A5"/>
    <w:rsid w:val="00040E25"/>
    <w:rsid w:val="00042149"/>
    <w:rsid w:val="000648EA"/>
    <w:rsid w:val="000957C8"/>
    <w:rsid w:val="000B52F2"/>
    <w:rsid w:val="000C010D"/>
    <w:rsid w:val="000D0EAE"/>
    <w:rsid w:val="000D5380"/>
    <w:rsid w:val="000D6654"/>
    <w:rsid w:val="000F0264"/>
    <w:rsid w:val="000F2EBF"/>
    <w:rsid w:val="000F5FF6"/>
    <w:rsid w:val="00113FA5"/>
    <w:rsid w:val="001455A0"/>
    <w:rsid w:val="001602A3"/>
    <w:rsid w:val="001A5161"/>
    <w:rsid w:val="001A60BD"/>
    <w:rsid w:val="0023736D"/>
    <w:rsid w:val="00257225"/>
    <w:rsid w:val="00275860"/>
    <w:rsid w:val="00310160"/>
    <w:rsid w:val="00341A8C"/>
    <w:rsid w:val="003478A5"/>
    <w:rsid w:val="003519E6"/>
    <w:rsid w:val="003B4356"/>
    <w:rsid w:val="003D5D43"/>
    <w:rsid w:val="003F08A8"/>
    <w:rsid w:val="004250E3"/>
    <w:rsid w:val="00444AA6"/>
    <w:rsid w:val="00472A81"/>
    <w:rsid w:val="004B2C92"/>
    <w:rsid w:val="004D6A3A"/>
    <w:rsid w:val="004F33C2"/>
    <w:rsid w:val="004F4AD7"/>
    <w:rsid w:val="005449D8"/>
    <w:rsid w:val="00557CD3"/>
    <w:rsid w:val="00571432"/>
    <w:rsid w:val="005732A2"/>
    <w:rsid w:val="005762A5"/>
    <w:rsid w:val="00590BA3"/>
    <w:rsid w:val="005A1A9A"/>
    <w:rsid w:val="005B7AE0"/>
    <w:rsid w:val="005F146F"/>
    <w:rsid w:val="005F71B6"/>
    <w:rsid w:val="006122A7"/>
    <w:rsid w:val="00660FD4"/>
    <w:rsid w:val="006A4425"/>
    <w:rsid w:val="006B4669"/>
    <w:rsid w:val="006C768B"/>
    <w:rsid w:val="006E3473"/>
    <w:rsid w:val="006F6BF8"/>
    <w:rsid w:val="00707BDF"/>
    <w:rsid w:val="00710727"/>
    <w:rsid w:val="00710DA1"/>
    <w:rsid w:val="00715F45"/>
    <w:rsid w:val="00731B84"/>
    <w:rsid w:val="00734AE7"/>
    <w:rsid w:val="00782C53"/>
    <w:rsid w:val="00786B69"/>
    <w:rsid w:val="007B599E"/>
    <w:rsid w:val="007E197F"/>
    <w:rsid w:val="007F68C4"/>
    <w:rsid w:val="008153DE"/>
    <w:rsid w:val="00852A10"/>
    <w:rsid w:val="00862634"/>
    <w:rsid w:val="00866C59"/>
    <w:rsid w:val="00875CE2"/>
    <w:rsid w:val="00877306"/>
    <w:rsid w:val="00887B5C"/>
    <w:rsid w:val="008A2F81"/>
    <w:rsid w:val="008A6242"/>
    <w:rsid w:val="008B4BC6"/>
    <w:rsid w:val="00901E57"/>
    <w:rsid w:val="00935F0E"/>
    <w:rsid w:val="0095208F"/>
    <w:rsid w:val="00977B3F"/>
    <w:rsid w:val="009814AE"/>
    <w:rsid w:val="00983870"/>
    <w:rsid w:val="009858CC"/>
    <w:rsid w:val="00994B89"/>
    <w:rsid w:val="00996BBE"/>
    <w:rsid w:val="009A0C39"/>
    <w:rsid w:val="009D1DD5"/>
    <w:rsid w:val="00A11DDA"/>
    <w:rsid w:val="00A26157"/>
    <w:rsid w:val="00A265C3"/>
    <w:rsid w:val="00A43F9A"/>
    <w:rsid w:val="00A543D4"/>
    <w:rsid w:val="00AD0014"/>
    <w:rsid w:val="00AD4CF2"/>
    <w:rsid w:val="00AF0BBA"/>
    <w:rsid w:val="00B30468"/>
    <w:rsid w:val="00B54239"/>
    <w:rsid w:val="00B60E70"/>
    <w:rsid w:val="00B639B9"/>
    <w:rsid w:val="00BB2C41"/>
    <w:rsid w:val="00BC55C8"/>
    <w:rsid w:val="00BC5C10"/>
    <w:rsid w:val="00BE2964"/>
    <w:rsid w:val="00C23AEA"/>
    <w:rsid w:val="00C24FBD"/>
    <w:rsid w:val="00C473BA"/>
    <w:rsid w:val="00C611ED"/>
    <w:rsid w:val="00C628B3"/>
    <w:rsid w:val="00C6490A"/>
    <w:rsid w:val="00C64FE1"/>
    <w:rsid w:val="00C66164"/>
    <w:rsid w:val="00C8345E"/>
    <w:rsid w:val="00CA4C17"/>
    <w:rsid w:val="00CA5F7C"/>
    <w:rsid w:val="00CB4E90"/>
    <w:rsid w:val="00CE7C87"/>
    <w:rsid w:val="00D06637"/>
    <w:rsid w:val="00D221A8"/>
    <w:rsid w:val="00D51067"/>
    <w:rsid w:val="00D75657"/>
    <w:rsid w:val="00D960AD"/>
    <w:rsid w:val="00DA0E0E"/>
    <w:rsid w:val="00DB0C39"/>
    <w:rsid w:val="00DB7679"/>
    <w:rsid w:val="00DE3904"/>
    <w:rsid w:val="00DF1702"/>
    <w:rsid w:val="00DF4DD8"/>
    <w:rsid w:val="00DF668E"/>
    <w:rsid w:val="00E05DE3"/>
    <w:rsid w:val="00E14D2B"/>
    <w:rsid w:val="00E20DBA"/>
    <w:rsid w:val="00E57877"/>
    <w:rsid w:val="00E660D6"/>
    <w:rsid w:val="00E771AB"/>
    <w:rsid w:val="00EA796F"/>
    <w:rsid w:val="00EB077B"/>
    <w:rsid w:val="00EC50B9"/>
    <w:rsid w:val="00ED26A0"/>
    <w:rsid w:val="00F04473"/>
    <w:rsid w:val="00F1727A"/>
    <w:rsid w:val="00F34764"/>
    <w:rsid w:val="00F54E3C"/>
    <w:rsid w:val="00F874BD"/>
    <w:rsid w:val="00FA6DD0"/>
    <w:rsid w:val="00FC2EF4"/>
    <w:rsid w:val="00FE55A3"/>
    <w:rsid w:val="00FE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2A2"/>
    <w:pPr>
      <w:bidi/>
      <w:spacing w:line="240" w:lineRule="atLeast"/>
      <w:jc w:val="lowKashida"/>
    </w:pPr>
    <w:rPr>
      <w:rFonts w:cs="Traditional Arabic"/>
      <w:szCs w:val="30"/>
    </w:rPr>
  </w:style>
  <w:style w:type="paragraph" w:styleId="Heading1">
    <w:name w:val="heading 1"/>
    <w:aliases w:val="Table_GA"/>
    <w:basedOn w:val="SingleTxtGA"/>
    <w:next w:val="Normal"/>
    <w:qFormat/>
    <w:rsid w:val="000D6654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qFormat/>
    <w:rsid w:val="00E660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6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aliases w:val="6_GA"/>
    <w:basedOn w:val="Normal"/>
    <w:rsid w:val="000D6654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paragraph" w:styleId="Footer">
    <w:name w:val="footer"/>
    <w:aliases w:val="3_GA"/>
    <w:basedOn w:val="Normal"/>
    <w:rsid w:val="000D6654"/>
    <w:pPr>
      <w:suppressAutoHyphens/>
      <w:bidi w:val="0"/>
      <w:spacing w:line="240" w:lineRule="auto"/>
    </w:pPr>
    <w:rPr>
      <w:sz w:val="16"/>
      <w:szCs w:val="22"/>
      <w:lang w:val="en-GB"/>
    </w:rPr>
  </w:style>
  <w:style w:type="table" w:styleId="TableGrid">
    <w:name w:val="Table Grid"/>
    <w:basedOn w:val="TableNormal"/>
    <w:semiHidden/>
    <w:rsid w:val="000D5380"/>
    <w:pPr>
      <w:bidi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MGA">
    <w:name w:val="_ H __M_GA"/>
    <w:basedOn w:val="Normal"/>
    <w:next w:val="Normal"/>
    <w:rsid w:val="00CA4C17"/>
    <w:pPr>
      <w:keepNext/>
      <w:keepLines/>
      <w:tabs>
        <w:tab w:val="right" w:pos="1021"/>
      </w:tabs>
      <w:suppressAutoHyphens/>
      <w:spacing w:before="24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rsid w:val="00983870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rsid w:val="00983870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rsid w:val="00E771AB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rsid w:val="00E771AB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rsid w:val="00E771AB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rsid w:val="008B4BC6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rsid w:val="000D6654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rsid w:val="000D6654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rsid w:val="000D6654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rsid w:val="000D6654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rsid w:val="003519E6"/>
    <w:pPr>
      <w:numPr>
        <w:numId w:val="26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rsid w:val="009D1DD5"/>
    <w:pPr>
      <w:numPr>
        <w:numId w:val="25"/>
      </w:numPr>
      <w:tabs>
        <w:tab w:val="clear" w:pos="1644"/>
        <w:tab w:val="left" w:pos="2438"/>
      </w:tabs>
      <w:suppressAutoHyphens/>
      <w:bidi w:val="0"/>
      <w:spacing w:after="120" w:line="380" w:lineRule="exact"/>
      <w:ind w:left="2438" w:right="1247" w:hanging="397"/>
    </w:pPr>
  </w:style>
  <w:style w:type="paragraph" w:customStyle="1" w:styleId="ParaNoGA">
    <w:name w:val="_ParaNo._GA"/>
    <w:basedOn w:val="SingleTxtGA"/>
    <w:rsid w:val="000D6654"/>
    <w:pPr>
      <w:numPr>
        <w:numId w:val="18"/>
      </w:numPr>
      <w:suppressAutoHyphens/>
      <w:bidi w:val="0"/>
    </w:pPr>
  </w:style>
  <w:style w:type="paragraph" w:styleId="EndnoteText">
    <w:name w:val="endnote text"/>
    <w:aliases w:val="2_ GA"/>
    <w:basedOn w:val="Normal"/>
    <w:rsid w:val="00E20DBA"/>
    <w:pPr>
      <w:tabs>
        <w:tab w:val="right" w:pos="1021"/>
      </w:tabs>
      <w:spacing w:after="60" w:line="300" w:lineRule="exact"/>
      <w:ind w:left="1247" w:right="1247" w:hanging="1247"/>
    </w:pPr>
    <w:rPr>
      <w:sz w:val="18"/>
      <w:szCs w:val="26"/>
    </w:rPr>
  </w:style>
  <w:style w:type="paragraph" w:styleId="FootnoteText">
    <w:name w:val="footnote text"/>
    <w:basedOn w:val="Normal"/>
    <w:semiHidden/>
    <w:rsid w:val="00EB077B"/>
    <w:rPr>
      <w:szCs w:val="20"/>
    </w:rPr>
  </w:style>
  <w:style w:type="character" w:customStyle="1" w:styleId="EndtnoteReference">
    <w:name w:val="Endtnote Reference"/>
    <w:aliases w:val="1_GA"/>
    <w:basedOn w:val="DefaultParagraphFont"/>
    <w:rsid w:val="000D6654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character" w:styleId="FootnoteReference">
    <w:name w:val="footnote reference"/>
    <w:aliases w:val="4_GA"/>
    <w:basedOn w:val="DefaultParagraphFont"/>
    <w:rsid w:val="000D6654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footnoteText0">
    <w:name w:val="footnote Text"/>
    <w:aliases w:val="5_GA"/>
    <w:basedOn w:val="Normal"/>
    <w:rsid w:val="00E20DBA"/>
    <w:pPr>
      <w:tabs>
        <w:tab w:val="right" w:pos="1021"/>
      </w:tabs>
      <w:spacing w:after="60" w:line="300" w:lineRule="exact"/>
      <w:ind w:left="1247" w:right="1247" w:hanging="1247"/>
    </w:pPr>
    <w:rPr>
      <w:sz w:val="18"/>
      <w:szCs w:val="26"/>
    </w:rPr>
  </w:style>
  <w:style w:type="character" w:styleId="PageNumber">
    <w:name w:val="page number"/>
    <w:aliases w:val="7_GA"/>
    <w:basedOn w:val="DefaultParagraphFont"/>
    <w:rsid w:val="000D6654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rsid w:val="000D665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Roman1GA">
    <w:name w:val="_Roman 1_GA"/>
    <w:basedOn w:val="Normal"/>
    <w:rsid w:val="003519E6"/>
    <w:pPr>
      <w:numPr>
        <w:numId w:val="23"/>
      </w:numPr>
      <w:suppressAutoHyphens/>
      <w:bidi w:val="0"/>
      <w:spacing w:after="120" w:line="380" w:lineRule="exact"/>
      <w:ind w:right="1247"/>
    </w:pPr>
  </w:style>
  <w:style w:type="paragraph" w:customStyle="1" w:styleId="Roman2GA">
    <w:name w:val="_Roman 2_GA"/>
    <w:basedOn w:val="Normal"/>
    <w:next w:val="Normal"/>
    <w:rsid w:val="005F71B6"/>
    <w:pPr>
      <w:numPr>
        <w:numId w:val="24"/>
      </w:numPr>
      <w:spacing w:after="120" w:line="380" w:lineRule="exact"/>
      <w:ind w:right="1247"/>
    </w:pPr>
  </w:style>
  <w:style w:type="numbering" w:styleId="111111">
    <w:name w:val="Outline List 2"/>
    <w:basedOn w:val="NoList"/>
    <w:semiHidden/>
    <w:rsid w:val="005732A2"/>
    <w:pPr>
      <w:numPr>
        <w:numId w:val="8"/>
      </w:numPr>
    </w:pPr>
  </w:style>
  <w:style w:type="numbering" w:styleId="1ai">
    <w:name w:val="Outline List 1"/>
    <w:basedOn w:val="NoList"/>
    <w:semiHidden/>
    <w:rsid w:val="005732A2"/>
    <w:pPr>
      <w:numPr>
        <w:numId w:val="10"/>
      </w:numPr>
    </w:pPr>
  </w:style>
  <w:style w:type="character" w:styleId="EndnoteReference">
    <w:name w:val="endnote reference"/>
    <w:basedOn w:val="DefaultParagraphFont"/>
    <w:semiHidden/>
    <w:rsid w:val="00FE68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</Template>
  <TotalTime>0</TotalTime>
  <Pages>2</Pages>
  <Words>310</Words>
  <Characters>1768</Characters>
  <Application>Microsoft Office Outlook</Application>
  <DocSecurity>4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A/HRC/RES/25/2</vt:lpstr>
      <vt:lpstr>A/HRC/RES/25/2</vt:lpstr>
    </vt:vector>
  </TitlesOfParts>
  <Company>CSD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A/HRC/RES/25/2</dc:title>
  <dc:subject>SHAKOUR</dc:subject>
  <dc:creator>Bahnassawy</dc:creator>
  <cp:keywords/>
  <dc:description/>
  <cp:lastModifiedBy>TPS</cp:lastModifiedBy>
  <cp:revision>2</cp:revision>
  <cp:lastPrinted>2012-09-28T16:01:00Z</cp:lastPrinted>
  <dcterms:created xsi:type="dcterms:W3CDTF">2014-04-22T12:08:00Z</dcterms:created>
  <dcterms:modified xsi:type="dcterms:W3CDTF">2014-04-22T12:08:00Z</dcterms:modified>
</cp:coreProperties>
</file>