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285"/>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4963"/>
        <w:gridCol w:w="3402"/>
      </w:tblGrid>
      <w:tr w:rsidR="006B3E27" w:rsidRPr="00153EC1" w:rsidTr="00BA5E8B">
        <w:trPr>
          <w:trHeight w:hRule="exact" w:val="851"/>
        </w:trPr>
        <w:tc>
          <w:tcPr>
            <w:tcW w:w="1274" w:type="dxa"/>
            <w:tcBorders>
              <w:bottom w:val="single" w:sz="4" w:space="0" w:color="auto"/>
            </w:tcBorders>
          </w:tcPr>
          <w:p w:rsidR="006B3E27" w:rsidRPr="003E159A" w:rsidRDefault="006B3E27" w:rsidP="00BA5E8B">
            <w:pPr>
              <w:pStyle w:val="H4GA"/>
              <w:bidi w:val="0"/>
            </w:pPr>
          </w:p>
        </w:tc>
        <w:tc>
          <w:tcPr>
            <w:tcW w:w="4963" w:type="dxa"/>
            <w:tcBorders>
              <w:bottom w:val="single" w:sz="4" w:space="0" w:color="auto"/>
            </w:tcBorders>
            <w:vAlign w:val="bottom"/>
          </w:tcPr>
          <w:p w:rsidR="006B3E27" w:rsidRPr="00153EC1" w:rsidRDefault="006B3E27" w:rsidP="00BA5E8B">
            <w:pPr>
              <w:spacing w:after="80" w:line="480" w:lineRule="exact"/>
              <w:jc w:val="left"/>
              <w:rPr>
                <w:sz w:val="40"/>
                <w:szCs w:val="40"/>
                <w:rtl/>
              </w:rPr>
            </w:pPr>
            <w:r w:rsidRPr="00153EC1">
              <w:rPr>
                <w:rFonts w:hint="cs"/>
                <w:sz w:val="40"/>
                <w:szCs w:val="40"/>
                <w:rtl/>
              </w:rPr>
              <w:t>الأمم المتحدة</w:t>
            </w:r>
          </w:p>
        </w:tc>
        <w:tc>
          <w:tcPr>
            <w:tcW w:w="3402" w:type="dxa"/>
            <w:tcBorders>
              <w:bottom w:val="single" w:sz="4" w:space="0" w:color="auto"/>
            </w:tcBorders>
            <w:vAlign w:val="bottom"/>
          </w:tcPr>
          <w:p w:rsidR="006B3E27" w:rsidRPr="00153EC1" w:rsidRDefault="00980427" w:rsidP="00153EC1">
            <w:pPr>
              <w:bidi w:val="0"/>
              <w:spacing w:after="20"/>
              <w:jc w:val="left"/>
              <w:rPr>
                <w:szCs w:val="20"/>
              </w:rPr>
            </w:pPr>
            <w:r w:rsidRPr="00153EC1">
              <w:rPr>
                <w:sz w:val="40"/>
                <w:szCs w:val="20"/>
              </w:rPr>
              <w:t>A</w:t>
            </w:r>
            <w:r w:rsidRPr="00153EC1">
              <w:rPr>
                <w:szCs w:val="20"/>
              </w:rPr>
              <w:t>/HRC/RES/34/19</w:t>
            </w:r>
          </w:p>
        </w:tc>
      </w:tr>
      <w:tr w:rsidR="006B3E27" w:rsidRPr="00153EC1" w:rsidTr="00BA5E8B">
        <w:trPr>
          <w:trHeight w:hRule="exact" w:val="2835"/>
        </w:trPr>
        <w:tc>
          <w:tcPr>
            <w:tcW w:w="1274" w:type="dxa"/>
            <w:tcBorders>
              <w:top w:val="single" w:sz="4" w:space="0" w:color="auto"/>
              <w:bottom w:val="single" w:sz="12" w:space="0" w:color="auto"/>
            </w:tcBorders>
          </w:tcPr>
          <w:p w:rsidR="006B3E27" w:rsidRPr="00153EC1" w:rsidRDefault="0059622A" w:rsidP="00BA5E8B">
            <w:pPr>
              <w:jc w:val="center"/>
              <w:rPr>
                <w:sz w:val="56"/>
                <w:szCs w:val="56"/>
                <w:rtl/>
              </w:rPr>
            </w:pPr>
            <w:r w:rsidRPr="00153EC1">
              <w:rPr>
                <w:noProof/>
                <w:sz w:val="56"/>
                <w:szCs w:val="56"/>
              </w:rPr>
              <w:drawing>
                <wp:inline distT="0" distB="0" distL="0" distR="0" wp14:anchorId="5A37FEB4" wp14:editId="31333148">
                  <wp:extent cx="630000" cy="61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963" w:type="dxa"/>
            <w:tcBorders>
              <w:top w:val="single" w:sz="4" w:space="0" w:color="auto"/>
              <w:bottom w:val="single" w:sz="12" w:space="0" w:color="auto"/>
            </w:tcBorders>
          </w:tcPr>
          <w:p w:rsidR="006B3E27" w:rsidRPr="00153EC1" w:rsidRDefault="001773DB" w:rsidP="00BA5E8B">
            <w:pPr>
              <w:spacing w:before="120" w:after="40" w:line="640" w:lineRule="exact"/>
              <w:jc w:val="left"/>
              <w:rPr>
                <w:b/>
                <w:bCs/>
                <w:sz w:val="56"/>
                <w:szCs w:val="56"/>
              </w:rPr>
            </w:pPr>
            <w:r w:rsidRPr="00153EC1">
              <w:rPr>
                <w:rFonts w:hint="cs"/>
                <w:b/>
                <w:bCs/>
                <w:sz w:val="56"/>
                <w:szCs w:val="56"/>
                <w:rtl/>
              </w:rPr>
              <w:t>الجمعية العامة</w:t>
            </w:r>
          </w:p>
        </w:tc>
        <w:tc>
          <w:tcPr>
            <w:tcW w:w="3402" w:type="dxa"/>
            <w:tcBorders>
              <w:top w:val="single" w:sz="4" w:space="0" w:color="auto"/>
              <w:bottom w:val="single" w:sz="12" w:space="0" w:color="auto"/>
            </w:tcBorders>
          </w:tcPr>
          <w:p w:rsidR="006B3E27" w:rsidRPr="00153EC1" w:rsidRDefault="00153EC1" w:rsidP="00153EC1">
            <w:pPr>
              <w:bidi w:val="0"/>
              <w:spacing w:before="240"/>
              <w:jc w:val="left"/>
              <w:rPr>
                <w:szCs w:val="20"/>
              </w:rPr>
            </w:pPr>
            <w:r w:rsidRPr="00153EC1">
              <w:rPr>
                <w:szCs w:val="20"/>
              </w:rPr>
              <w:t>Distr.: General</w:t>
            </w:r>
          </w:p>
          <w:p w:rsidR="00153EC1" w:rsidRPr="00153EC1" w:rsidRDefault="00153EC1" w:rsidP="00153EC1">
            <w:pPr>
              <w:bidi w:val="0"/>
              <w:jc w:val="left"/>
              <w:rPr>
                <w:szCs w:val="20"/>
              </w:rPr>
            </w:pPr>
            <w:r w:rsidRPr="00153EC1">
              <w:rPr>
                <w:szCs w:val="20"/>
              </w:rPr>
              <w:t>7 April 2017</w:t>
            </w:r>
          </w:p>
          <w:p w:rsidR="00153EC1" w:rsidRPr="00153EC1" w:rsidRDefault="00153EC1" w:rsidP="00153EC1">
            <w:pPr>
              <w:bidi w:val="0"/>
              <w:jc w:val="left"/>
              <w:rPr>
                <w:szCs w:val="20"/>
              </w:rPr>
            </w:pPr>
            <w:r w:rsidRPr="00153EC1">
              <w:rPr>
                <w:szCs w:val="20"/>
              </w:rPr>
              <w:t>Arabic</w:t>
            </w:r>
          </w:p>
          <w:p w:rsidR="00153EC1" w:rsidRPr="00153EC1" w:rsidRDefault="00153EC1" w:rsidP="00153EC1">
            <w:pPr>
              <w:bidi w:val="0"/>
              <w:jc w:val="left"/>
              <w:rPr>
                <w:szCs w:val="20"/>
              </w:rPr>
            </w:pPr>
            <w:r w:rsidRPr="00153EC1">
              <w:rPr>
                <w:szCs w:val="20"/>
              </w:rPr>
              <w:t>Original: English</w:t>
            </w:r>
          </w:p>
        </w:tc>
      </w:tr>
    </w:tbl>
    <w:p w:rsidR="00153EC1" w:rsidRPr="00153EC1" w:rsidRDefault="00153EC1" w:rsidP="00153EC1">
      <w:pPr>
        <w:pStyle w:val="SingleTxtGA"/>
        <w:spacing w:before="120" w:after="0"/>
        <w:ind w:left="0" w:right="4252"/>
        <w:jc w:val="left"/>
        <w:rPr>
          <w:b/>
          <w:bCs/>
          <w:sz w:val="26"/>
          <w:szCs w:val="36"/>
          <w:rtl/>
        </w:rPr>
      </w:pPr>
      <w:r w:rsidRPr="00153EC1">
        <w:rPr>
          <w:rFonts w:hint="cs"/>
          <w:b/>
          <w:bCs/>
          <w:sz w:val="26"/>
          <w:szCs w:val="36"/>
          <w:rtl/>
        </w:rPr>
        <w:t>مجلس حقوق الإنسان</w:t>
      </w:r>
    </w:p>
    <w:p w:rsidR="00153EC1" w:rsidRPr="00153EC1" w:rsidRDefault="00153EC1" w:rsidP="00153EC1">
      <w:pPr>
        <w:pStyle w:val="SingleTxtGA"/>
        <w:spacing w:after="0"/>
        <w:ind w:left="0" w:right="4252"/>
        <w:jc w:val="left"/>
        <w:rPr>
          <w:b/>
          <w:bCs/>
          <w:rtl/>
          <w:lang w:eastAsia="zh-TW"/>
        </w:rPr>
      </w:pPr>
      <w:r w:rsidRPr="00153EC1">
        <w:rPr>
          <w:b/>
          <w:bCs/>
          <w:rtl/>
          <w:lang w:eastAsia="zh-TW"/>
        </w:rPr>
        <w:t>الدورة الرابعة والثلاثون</w:t>
      </w:r>
    </w:p>
    <w:p w:rsidR="00153EC1" w:rsidRPr="00153EC1" w:rsidRDefault="00153EC1" w:rsidP="00153EC1">
      <w:pPr>
        <w:pStyle w:val="SingleTxtGA"/>
        <w:spacing w:after="0"/>
        <w:ind w:left="0" w:right="4252"/>
        <w:jc w:val="left"/>
        <w:rPr>
          <w:rFonts w:hint="cs"/>
          <w:rtl/>
          <w:lang w:eastAsia="zh-TW"/>
        </w:rPr>
      </w:pPr>
      <w:r w:rsidRPr="00153EC1">
        <w:rPr>
          <w:rtl/>
          <w:lang w:eastAsia="zh-TW"/>
        </w:rPr>
        <w:t>27 شباط/فبراير - 24 آذار/مارس 2017</w:t>
      </w:r>
    </w:p>
    <w:p w:rsidR="00153EC1" w:rsidRPr="00153EC1" w:rsidRDefault="00153EC1" w:rsidP="00153EC1">
      <w:pPr>
        <w:pStyle w:val="SingleTxtGA"/>
        <w:spacing w:after="0"/>
        <w:ind w:left="0" w:right="4252"/>
        <w:jc w:val="left"/>
        <w:rPr>
          <w:rtl/>
          <w:lang w:eastAsia="zh-TW"/>
        </w:rPr>
      </w:pPr>
      <w:r w:rsidRPr="00153EC1">
        <w:rPr>
          <w:rtl/>
          <w:lang w:eastAsia="zh-TW"/>
        </w:rPr>
        <w:t>البند 3 من جدول الأعمال</w:t>
      </w:r>
    </w:p>
    <w:p w:rsidR="00153EC1" w:rsidRPr="00153EC1" w:rsidRDefault="00153EC1" w:rsidP="00153EC1">
      <w:pPr>
        <w:pStyle w:val="HChGA"/>
        <w:rPr>
          <w:rFonts w:cstheme="minorBidi"/>
          <w:rtl/>
        </w:rPr>
      </w:pPr>
      <w:r w:rsidRPr="00153EC1">
        <w:rPr>
          <w:rFonts w:hint="cs"/>
          <w:rtl/>
        </w:rPr>
        <w:tab/>
      </w:r>
      <w:r w:rsidRPr="00153EC1">
        <w:rPr>
          <w:rFonts w:hint="cs"/>
          <w:rtl/>
        </w:rPr>
        <w:tab/>
      </w:r>
      <w:r w:rsidRPr="00153EC1">
        <w:rPr>
          <w:rtl/>
        </w:rPr>
        <w:t xml:space="preserve"> </w:t>
      </w:r>
      <w:r w:rsidRPr="00153EC1">
        <w:rPr>
          <w:rtl/>
          <w:lang w:eastAsia="zh-TW"/>
        </w:rPr>
        <w:t>قرار اعتمده مجلس حقوق الإنسان في 24 آذار/مارس</w:t>
      </w:r>
      <w:r w:rsidRPr="00153EC1">
        <w:rPr>
          <w:rtl/>
        </w:rPr>
        <w:t xml:space="preserve"> 2017</w:t>
      </w:r>
      <w:r w:rsidRPr="00153EC1">
        <w:rPr>
          <w:rFonts w:ascii="MS Mincho" w:eastAsia="MS Mincho" w:hAnsi="MS Mincho"/>
          <w:szCs w:val="20"/>
          <w:rtl/>
        </w:rPr>
        <w:t xml:space="preserve"> </w:t>
      </w:r>
    </w:p>
    <w:p w:rsidR="00153EC1" w:rsidRPr="00153EC1" w:rsidRDefault="00153EC1" w:rsidP="00153EC1">
      <w:pPr>
        <w:pStyle w:val="H1GA"/>
        <w:tabs>
          <w:tab w:val="clear" w:pos="1021"/>
          <w:tab w:val="left" w:pos="1240"/>
          <w:tab w:val="left" w:pos="1842"/>
          <w:tab w:val="left" w:pos="2551"/>
        </w:tabs>
        <w:ind w:left="2551" w:hanging="2551"/>
        <w:rPr>
          <w:rtl/>
          <w:lang w:eastAsia="zh-TW"/>
        </w:rPr>
      </w:pPr>
      <w:r w:rsidRPr="00153EC1">
        <w:rPr>
          <w:rFonts w:hint="cs"/>
          <w:rtl/>
          <w:lang w:eastAsia="zh-TW"/>
        </w:rPr>
        <w:tab/>
      </w:r>
      <w:r w:rsidRPr="00153EC1">
        <w:rPr>
          <w:rtl/>
          <w:lang w:eastAsia="zh-TW"/>
        </w:rPr>
        <w:t>34/</w:t>
      </w:r>
      <w:r w:rsidRPr="00153EC1">
        <w:rPr>
          <w:rFonts w:hint="cs"/>
          <w:rtl/>
          <w:lang w:eastAsia="zh-TW"/>
        </w:rPr>
        <w:t>19-</w:t>
      </w:r>
      <w:r w:rsidRPr="00153EC1">
        <w:rPr>
          <w:rFonts w:hint="cs"/>
          <w:rtl/>
          <w:lang w:eastAsia="zh-TW"/>
        </w:rPr>
        <w:tab/>
      </w:r>
      <w:r w:rsidRPr="00153EC1">
        <w:rPr>
          <w:rtl/>
          <w:lang w:eastAsia="zh-TW"/>
        </w:rPr>
        <w:t>التعذيب وغيره من ضروب المعاملة أو العقوبة القاسية أو اللاإنسانية أو المهينة: ولاية المقرر الخاص</w:t>
      </w:r>
    </w:p>
    <w:p w:rsidR="00153EC1" w:rsidRPr="00153EC1" w:rsidRDefault="00153EC1" w:rsidP="00153EC1">
      <w:pPr>
        <w:pStyle w:val="SingleTxtGA"/>
        <w:spacing w:line="360" w:lineRule="exact"/>
        <w:rPr>
          <w:rtl/>
        </w:rPr>
      </w:pPr>
      <w:r w:rsidRPr="00153EC1">
        <w:rPr>
          <w:i/>
          <w:iCs/>
          <w:rtl/>
          <w:lang w:eastAsia="zh-TW"/>
        </w:rPr>
        <w:tab/>
        <w:t>إن مجلس حقوق الإنسان،</w:t>
      </w:r>
    </w:p>
    <w:p w:rsidR="00153EC1" w:rsidRPr="00153EC1" w:rsidRDefault="00153EC1" w:rsidP="00153EC1">
      <w:pPr>
        <w:pStyle w:val="SingleTxtGA"/>
        <w:spacing w:line="360" w:lineRule="exact"/>
        <w:rPr>
          <w:i/>
          <w:iCs/>
          <w:rtl/>
          <w:lang w:eastAsia="zh-TW"/>
        </w:rPr>
      </w:pPr>
      <w:r w:rsidRPr="00153EC1">
        <w:rPr>
          <w:rFonts w:hint="cs"/>
          <w:i/>
          <w:iCs/>
          <w:rtl/>
        </w:rPr>
        <w:tab/>
      </w:r>
      <w:r w:rsidRPr="00153EC1">
        <w:rPr>
          <w:rFonts w:hint="eastAsia"/>
          <w:i/>
          <w:iCs/>
          <w:rtl/>
        </w:rPr>
        <w:t>إذ</w:t>
      </w:r>
      <w:r w:rsidRPr="00153EC1">
        <w:rPr>
          <w:i/>
          <w:iCs/>
          <w:rtl/>
        </w:rPr>
        <w:t xml:space="preserve"> </w:t>
      </w:r>
      <w:r w:rsidRPr="00153EC1">
        <w:rPr>
          <w:rFonts w:hint="eastAsia"/>
          <w:i/>
          <w:iCs/>
          <w:rtl/>
        </w:rPr>
        <w:t>يشير</w:t>
      </w:r>
      <w:r w:rsidRPr="00153EC1">
        <w:rPr>
          <w:rFonts w:hint="cs"/>
          <w:rtl/>
        </w:rPr>
        <w:t xml:space="preserve"> إلى المعايير والمبادئ التوجيهية للقانون الدولي لحقوق الإنسان المتعلقة بالتعذيب وغيره من ضروب المعاملة أو العقوبة القاسية أو اللاإنسانية أو المهينة،</w:t>
      </w:r>
    </w:p>
    <w:p w:rsidR="00153EC1" w:rsidRPr="00153EC1" w:rsidRDefault="00153EC1" w:rsidP="00153EC1">
      <w:pPr>
        <w:pStyle w:val="SingleTxtGA"/>
        <w:spacing w:line="360" w:lineRule="exact"/>
        <w:rPr>
          <w:rtl/>
          <w:lang w:eastAsia="zh-TW"/>
        </w:rPr>
      </w:pPr>
      <w:r w:rsidRPr="00153EC1">
        <w:rPr>
          <w:i/>
          <w:iCs/>
          <w:rtl/>
          <w:lang w:eastAsia="zh-TW"/>
        </w:rPr>
        <w:tab/>
      </w:r>
      <w:r w:rsidRPr="00153EC1">
        <w:rPr>
          <w:rFonts w:hint="cs"/>
          <w:i/>
          <w:iCs/>
          <w:rtl/>
          <w:lang w:eastAsia="zh-TW"/>
        </w:rPr>
        <w:t>و</w:t>
      </w:r>
      <w:r w:rsidRPr="00153EC1">
        <w:rPr>
          <w:i/>
          <w:iCs/>
          <w:rtl/>
          <w:lang w:eastAsia="zh-TW"/>
        </w:rPr>
        <w:t>إذ يؤكد من جديد</w:t>
      </w:r>
      <w:r w:rsidRPr="00153EC1">
        <w:rPr>
          <w:rtl/>
          <w:lang w:eastAsia="zh-TW"/>
        </w:rPr>
        <w:t xml:space="preserve"> عدم جواز إخضاع أحد للتعذيب أو لغيره من ضروب المعاملة أو العقوبة القاسية أو اللاإنسانية أو المهينة،</w:t>
      </w:r>
    </w:p>
    <w:p w:rsidR="00153EC1" w:rsidRPr="00153EC1" w:rsidRDefault="00153EC1" w:rsidP="00153EC1">
      <w:pPr>
        <w:pStyle w:val="SingleTxtGA"/>
        <w:spacing w:line="360" w:lineRule="exact"/>
        <w:rPr>
          <w:rtl/>
          <w:lang w:eastAsia="zh-TW"/>
        </w:rPr>
      </w:pPr>
      <w:r w:rsidRPr="00153EC1">
        <w:rPr>
          <w:i/>
          <w:iCs/>
          <w:rtl/>
          <w:lang w:eastAsia="zh-TW"/>
        </w:rPr>
        <w:tab/>
        <w:t>وإذ يشيـر</w:t>
      </w:r>
      <w:r w:rsidRPr="00153EC1">
        <w:rPr>
          <w:rtl/>
          <w:lang w:eastAsia="zh-TW"/>
        </w:rPr>
        <w:t xml:space="preserve"> إلى أن عدم التعرض للتعذيب ولغيـره من ضروب المعاملة أو العقوبة القاسية أو اللاإنسانية أو المهينة حق غير قابل للتقيـيـد بموجب القانون الدولي ويجـب احترامه وحمايتـه في جميع الظروف، بما في ذلك في أوقات النزاعات المسلحة الدولية والداخلية أو في أوقات الاضطرابات الداخلية أو أي حالة طوارئ عامة أخرى، وأن الحظر المطلق للتعذيب وغيـره من ضروب المعاملة أو العقوبة القاسية أو اللاإنسانية أو المهينة أمـر تؤكده الصكوك الدولية ذات الصلة، وأن الضمانات القانونية والإجرائية بعدم ممارسة تلك الأعمال يجب ألا تخضع لتدابير من شأنها الالتفاف على هذا الحق،</w:t>
      </w:r>
    </w:p>
    <w:p w:rsidR="00153EC1" w:rsidRPr="00153EC1" w:rsidRDefault="00153EC1" w:rsidP="00153EC1">
      <w:pPr>
        <w:pStyle w:val="SingleTxtGA"/>
        <w:spacing w:line="360" w:lineRule="exact"/>
        <w:rPr>
          <w:rtl/>
          <w:lang w:eastAsia="zh-TW"/>
        </w:rPr>
      </w:pPr>
      <w:r w:rsidRPr="00153EC1">
        <w:rPr>
          <w:i/>
          <w:iCs/>
          <w:rtl/>
          <w:lang w:eastAsia="zh-TW"/>
        </w:rPr>
        <w:tab/>
        <w:t>وإذ يشير أيضاً</w:t>
      </w:r>
      <w:r w:rsidRPr="00153EC1">
        <w:rPr>
          <w:rtl/>
          <w:lang w:eastAsia="zh-TW"/>
        </w:rPr>
        <w:t xml:space="preserve"> إلى أن حظر التعذيب قاعدة قطعية من قواعد القانون الدولي</w:t>
      </w:r>
      <w:r w:rsidRPr="00153EC1">
        <w:rPr>
          <w:rFonts w:hint="cs"/>
          <w:rtl/>
          <w:lang w:eastAsia="zh-TW"/>
        </w:rPr>
        <w:t>،</w:t>
      </w:r>
      <w:r w:rsidRPr="00153EC1">
        <w:rPr>
          <w:rtl/>
          <w:lang w:eastAsia="zh-TW"/>
        </w:rPr>
        <w:t xml:space="preserve"> وأن محاكم دولية وإقليمية ووطنية اعترفت بأن حظر المعاملة أو العقوبة القاسية أو اللاإنسانية أو المهينة قاعدة من قواعد القانون الدولي العرفي،</w:t>
      </w:r>
    </w:p>
    <w:p w:rsidR="00153EC1" w:rsidRPr="00153EC1" w:rsidRDefault="00153EC1" w:rsidP="00153EC1">
      <w:pPr>
        <w:pStyle w:val="SingleTxtGA"/>
        <w:spacing w:line="360" w:lineRule="exact"/>
        <w:rPr>
          <w:rtl/>
          <w:lang w:eastAsia="zh-TW"/>
        </w:rPr>
      </w:pPr>
      <w:r w:rsidRPr="00153EC1">
        <w:rPr>
          <w:i/>
          <w:iCs/>
          <w:rtl/>
          <w:lang w:eastAsia="zh-TW"/>
        </w:rPr>
        <w:tab/>
        <w:t>وإذ يسلم</w:t>
      </w:r>
      <w:r w:rsidRPr="00153EC1">
        <w:rPr>
          <w:rtl/>
          <w:lang w:eastAsia="zh-TW"/>
        </w:rPr>
        <w:t xml:space="preserve"> بأهمية عمل المقرر الخاص في مجال منع ومكافحة التعذيب وغيره من ضروب المعاملة أو العقوبة القاسية أو اللاإنسانية أو المهينة،</w:t>
      </w:r>
    </w:p>
    <w:p w:rsidR="00153EC1" w:rsidRPr="00153EC1" w:rsidRDefault="00153EC1" w:rsidP="00153EC1">
      <w:pPr>
        <w:pStyle w:val="SingleTxtGA"/>
        <w:spacing w:line="360" w:lineRule="exact"/>
        <w:rPr>
          <w:spacing w:val="-2"/>
          <w:rtl/>
          <w:lang w:eastAsia="zh-TW"/>
        </w:rPr>
      </w:pPr>
      <w:r w:rsidRPr="00153EC1">
        <w:rPr>
          <w:i/>
          <w:iCs/>
          <w:spacing w:val="-2"/>
          <w:rtl/>
          <w:lang w:eastAsia="zh-TW"/>
        </w:rPr>
        <w:lastRenderedPageBreak/>
        <w:tab/>
        <w:t>وإذ يشير</w:t>
      </w:r>
      <w:r w:rsidRPr="00153EC1">
        <w:rPr>
          <w:spacing w:val="-2"/>
          <w:rtl/>
          <w:lang w:eastAsia="zh-TW"/>
        </w:rPr>
        <w:t xml:space="preserve"> إلى قراريه 5/1 بشأن بناء مؤسسات المجلس و5/2 بشأن مدونة قواعد سلوك المكلفين بولايات في إطار الإجراءات الخاصة للمجلس، المؤرخين 18 حزيران/يونيه 2007، وإذ يشدد على وجوب اضطلاع المكلف بالولاية بمهامه وفقاً لهذين القرارين ومرفقاتهما،</w:t>
      </w:r>
    </w:p>
    <w:p w:rsidR="00153EC1" w:rsidRPr="00153EC1" w:rsidRDefault="00153EC1" w:rsidP="00153EC1">
      <w:pPr>
        <w:pStyle w:val="SingleTxtGA"/>
        <w:spacing w:line="360" w:lineRule="exact"/>
        <w:rPr>
          <w:spacing w:val="-2"/>
          <w:rtl/>
          <w:lang w:eastAsia="zh-TW"/>
        </w:rPr>
      </w:pPr>
      <w:r w:rsidRPr="00153EC1">
        <w:rPr>
          <w:spacing w:val="-2"/>
          <w:lang w:eastAsia="zh-TW"/>
        </w:rPr>
        <w:tab/>
      </w:r>
      <w:r w:rsidRPr="00153EC1">
        <w:rPr>
          <w:spacing w:val="-2"/>
          <w:rtl/>
          <w:lang w:eastAsia="zh-TW"/>
        </w:rPr>
        <w:t>1</w:t>
      </w:r>
      <w:r w:rsidRPr="00153EC1">
        <w:rPr>
          <w:rFonts w:hint="cs"/>
          <w:spacing w:val="-2"/>
          <w:rtl/>
          <w:lang w:eastAsia="zh-TW"/>
        </w:rPr>
        <w:t>-</w:t>
      </w:r>
      <w:r w:rsidRPr="00153EC1">
        <w:rPr>
          <w:rFonts w:hint="cs"/>
          <w:i/>
          <w:iCs/>
          <w:spacing w:val="-2"/>
          <w:rtl/>
          <w:lang w:eastAsia="zh-TW"/>
        </w:rPr>
        <w:tab/>
      </w:r>
      <w:r w:rsidRPr="00153EC1">
        <w:rPr>
          <w:i/>
          <w:iCs/>
          <w:spacing w:val="-2"/>
          <w:rtl/>
          <w:lang w:eastAsia="zh-TW"/>
        </w:rPr>
        <w:t>يقرر</w:t>
      </w:r>
      <w:r w:rsidRPr="00153EC1">
        <w:rPr>
          <w:spacing w:val="-2"/>
          <w:rtl/>
          <w:lang w:eastAsia="zh-TW"/>
        </w:rPr>
        <w:t xml:space="preserve"> تمديد ولاية المقرر الخاص المعني بمسألة التعذيب وغيره من ضروب المعاملة أو العقوبة القاسية أو اللاإنسانية أو المهينة ثلاث سنوات أخرى، من أجل القيام بما يلي:</w:t>
      </w:r>
    </w:p>
    <w:p w:rsidR="00153EC1" w:rsidRPr="00153EC1" w:rsidRDefault="00153EC1" w:rsidP="00153EC1">
      <w:pPr>
        <w:pStyle w:val="SingleTxtGA"/>
        <w:spacing w:line="360" w:lineRule="exact"/>
        <w:rPr>
          <w:rtl/>
          <w:lang w:eastAsia="zh-TW"/>
        </w:rPr>
      </w:pPr>
      <w:r w:rsidRPr="00153EC1">
        <w:rPr>
          <w:lang w:eastAsia="zh-TW"/>
        </w:rPr>
        <w:tab/>
      </w:r>
      <w:r w:rsidRPr="00153EC1">
        <w:rPr>
          <w:rtl/>
          <w:lang w:eastAsia="zh-TW"/>
        </w:rPr>
        <w:t>(أ)</w:t>
      </w:r>
      <w:r w:rsidRPr="00153EC1">
        <w:rPr>
          <w:rtl/>
          <w:lang w:eastAsia="zh-TW"/>
        </w:rPr>
        <w:tab/>
        <w:t>التماس المعلومات من الحكومات والمنظمات الحكومية الدولية ومنظمات المجتمع المدني والأفراد ومجموعات الأفراد بشأن القضايا والادعاءات المتعلقة بحالات التعذيب أو غيره من ضروب المعاملة أو العقوبة القاسية أو اللاإنسانية أو المهينة وتلقي هذه المعلومات ودراستها واتخاذ ما يلزم من إجراءات بشأنها؛</w:t>
      </w:r>
    </w:p>
    <w:p w:rsidR="00153EC1" w:rsidRPr="00153EC1" w:rsidRDefault="00153EC1" w:rsidP="00153EC1">
      <w:pPr>
        <w:pStyle w:val="SingleTxtGA"/>
        <w:spacing w:line="360" w:lineRule="exact"/>
        <w:rPr>
          <w:rtl/>
          <w:lang w:eastAsia="zh-TW"/>
        </w:rPr>
      </w:pPr>
      <w:r w:rsidRPr="00153EC1">
        <w:rPr>
          <w:lang w:eastAsia="zh-TW"/>
        </w:rPr>
        <w:tab/>
      </w:r>
      <w:r w:rsidRPr="00153EC1">
        <w:rPr>
          <w:rtl/>
          <w:lang w:eastAsia="zh-TW"/>
        </w:rPr>
        <w:t>(ب)</w:t>
      </w:r>
      <w:r w:rsidRPr="00153EC1">
        <w:rPr>
          <w:rtl/>
          <w:lang w:eastAsia="zh-TW"/>
        </w:rPr>
        <w:tab/>
        <w:t>إجراء زيارات قطرية بموافقة حكومات البلدان أو بدعوة منها وزيادة تعزيز الحوار معها، ومتابعة التوصيات الواردة في التقارير المعدة في أعقاب زيارة تلك البلدان؛</w:t>
      </w:r>
    </w:p>
    <w:p w:rsidR="00153EC1" w:rsidRPr="00153EC1" w:rsidRDefault="00153EC1" w:rsidP="00153EC1">
      <w:pPr>
        <w:pStyle w:val="SingleTxtGA"/>
        <w:spacing w:line="360" w:lineRule="exact"/>
        <w:rPr>
          <w:rtl/>
          <w:lang w:eastAsia="zh-TW"/>
        </w:rPr>
      </w:pPr>
      <w:r w:rsidRPr="00153EC1">
        <w:rPr>
          <w:lang w:eastAsia="zh-TW"/>
        </w:rPr>
        <w:tab/>
      </w:r>
      <w:r w:rsidRPr="00153EC1">
        <w:rPr>
          <w:rtl/>
          <w:lang w:eastAsia="zh-TW"/>
        </w:rPr>
        <w:t>(ج)</w:t>
      </w:r>
      <w:r w:rsidRPr="00153EC1">
        <w:rPr>
          <w:rtl/>
          <w:lang w:eastAsia="zh-TW"/>
        </w:rPr>
        <w:tab/>
        <w:t>إجراء دراسة شاملة للاتجاهات والتطورات والتحديات المتعلقة بمكافحة ومنع التعذيب وغيره من ضروب المعاملة أو العقوبة القاسية أو اللاإنسانية أو المهينة، وتقديم توصيات وملاحظات بشأن التدابير المناسبة لمنع تلك الممارسات واستئصالها؛</w:t>
      </w:r>
    </w:p>
    <w:p w:rsidR="00153EC1" w:rsidRPr="00153EC1" w:rsidRDefault="00153EC1" w:rsidP="00153EC1">
      <w:pPr>
        <w:pStyle w:val="SingleTxtGA"/>
        <w:spacing w:line="360" w:lineRule="exact"/>
        <w:rPr>
          <w:rtl/>
          <w:lang w:eastAsia="zh-TW"/>
        </w:rPr>
      </w:pPr>
      <w:r w:rsidRPr="00153EC1">
        <w:rPr>
          <w:lang w:eastAsia="zh-TW"/>
        </w:rPr>
        <w:tab/>
      </w:r>
      <w:r w:rsidRPr="00153EC1">
        <w:rPr>
          <w:rtl/>
          <w:lang w:eastAsia="zh-TW"/>
        </w:rPr>
        <w:t>(د)</w:t>
      </w:r>
      <w:r w:rsidRPr="00153EC1">
        <w:rPr>
          <w:rtl/>
          <w:lang w:eastAsia="zh-TW"/>
        </w:rPr>
        <w:tab/>
        <w:t>تحديد وتبادل وتعزيز أفضل الممارسات بشأن التدابير الرامية إلى منع التعذيب وغيره من ضروب المعاملة أو العقوبة القاسية أو اللاإنسانية أو المهينة والمعاقبة عليها واستئصالها؛</w:t>
      </w:r>
    </w:p>
    <w:p w:rsidR="00153EC1" w:rsidRPr="00153EC1" w:rsidRDefault="00153EC1" w:rsidP="00B807C2">
      <w:pPr>
        <w:pStyle w:val="SingleTxtGA"/>
        <w:spacing w:line="360" w:lineRule="exact"/>
        <w:rPr>
          <w:rtl/>
          <w:lang w:eastAsia="zh-TW"/>
        </w:rPr>
      </w:pPr>
      <w:r w:rsidRPr="00153EC1">
        <w:rPr>
          <w:lang w:eastAsia="zh-TW"/>
        </w:rPr>
        <w:tab/>
      </w:r>
      <w:r w:rsidRPr="00153EC1">
        <w:rPr>
          <w:rtl/>
          <w:lang w:eastAsia="zh-TW"/>
        </w:rPr>
        <w:t>(ه)</w:t>
      </w:r>
      <w:r w:rsidRPr="00153EC1">
        <w:rPr>
          <w:rtl/>
          <w:lang w:eastAsia="zh-TW"/>
        </w:rPr>
        <w:tab/>
        <w:t>الأخذ بمنظور جنساني وبنهج يركز على الضحايا في جميع ما يضطلع به من أعمال في إطار ولايته؛</w:t>
      </w:r>
    </w:p>
    <w:p w:rsidR="00153EC1" w:rsidRPr="00153EC1" w:rsidRDefault="00153EC1" w:rsidP="00153EC1">
      <w:pPr>
        <w:pStyle w:val="SingleTxtGA"/>
        <w:spacing w:line="360" w:lineRule="exact"/>
        <w:rPr>
          <w:spacing w:val="-2"/>
          <w:rtl/>
          <w:lang w:eastAsia="zh-TW"/>
        </w:rPr>
      </w:pPr>
      <w:r w:rsidRPr="00153EC1">
        <w:rPr>
          <w:spacing w:val="-2"/>
          <w:lang w:eastAsia="zh-TW"/>
        </w:rPr>
        <w:tab/>
      </w:r>
      <w:r w:rsidRPr="00153EC1">
        <w:rPr>
          <w:spacing w:val="-2"/>
          <w:rtl/>
          <w:lang w:eastAsia="zh-TW"/>
        </w:rPr>
        <w:t>(و)</w:t>
      </w:r>
      <w:r w:rsidRPr="00153EC1">
        <w:rPr>
          <w:spacing w:val="-2"/>
          <w:rtl/>
          <w:lang w:eastAsia="zh-TW"/>
        </w:rPr>
        <w:tab/>
        <w:t>مواصلة التعاون مع لجنة مناهضة التعذيب واللجنة الفرعية لمنع التعذيب وآليات الأمم المتحدة وهيئاتها ذات الصلة وكذلك، حسب الاقتضاء، مع المنظمات والآليات الإقليمية والمؤسسات الوطنية لحقوق الإنسان والآليات الوقائية الوطنية والمجتمع المدني، بما في ذلك المنظمات غير الحكومية، والإسهام في النهوض بتعزيز التعاون بين الجهات الفاعلة المذكورة أعلاه؛</w:t>
      </w:r>
    </w:p>
    <w:p w:rsidR="00153EC1" w:rsidRPr="00153EC1" w:rsidRDefault="00153EC1" w:rsidP="00153EC1">
      <w:pPr>
        <w:pStyle w:val="SingleTxtGA"/>
        <w:spacing w:line="360" w:lineRule="exact"/>
        <w:rPr>
          <w:rtl/>
          <w:lang w:eastAsia="zh-TW"/>
        </w:rPr>
      </w:pPr>
      <w:r w:rsidRPr="00153EC1">
        <w:rPr>
          <w:lang w:eastAsia="zh-TW"/>
        </w:rPr>
        <w:tab/>
      </w:r>
      <w:r w:rsidRPr="00153EC1">
        <w:rPr>
          <w:rtl/>
          <w:lang w:eastAsia="zh-TW"/>
        </w:rPr>
        <w:t>(ز)</w:t>
      </w:r>
      <w:r w:rsidRPr="00153EC1">
        <w:rPr>
          <w:rtl/>
          <w:lang w:eastAsia="zh-TW"/>
        </w:rPr>
        <w:tab/>
        <w:t>تقديم تقارير عن جميع أنشطته وملاحظاته واستنتاجاته وتوصياته إلى مجلس حقوق الإنسان وفقاً لبرنامج عمله، وتقديم تقارير سنوية إلى الجمعية العامة عن الاتجاهات والتطورات العامة التي تخص ولايته، بغية تعظيم فوائد عملية تقديم التقارير؛</w:t>
      </w:r>
    </w:p>
    <w:p w:rsidR="00153EC1" w:rsidRPr="00153EC1" w:rsidRDefault="00153EC1" w:rsidP="00153EC1">
      <w:pPr>
        <w:pStyle w:val="SingleTxtGA"/>
        <w:spacing w:line="360" w:lineRule="exact"/>
        <w:rPr>
          <w:rtl/>
          <w:lang w:eastAsia="zh-TW"/>
        </w:rPr>
      </w:pPr>
      <w:r w:rsidRPr="00153EC1">
        <w:rPr>
          <w:rFonts w:hint="cs"/>
          <w:rtl/>
          <w:lang w:eastAsia="zh-TW"/>
        </w:rPr>
        <w:tab/>
        <w:t>2-</w:t>
      </w:r>
      <w:r w:rsidRPr="00153EC1">
        <w:rPr>
          <w:rFonts w:hint="cs"/>
          <w:i/>
          <w:iCs/>
          <w:rtl/>
          <w:lang w:eastAsia="zh-TW"/>
        </w:rPr>
        <w:tab/>
      </w:r>
      <w:r w:rsidRPr="00153EC1">
        <w:rPr>
          <w:i/>
          <w:iCs/>
          <w:rtl/>
          <w:lang w:eastAsia="zh-TW"/>
        </w:rPr>
        <w:t>يحث</w:t>
      </w:r>
      <w:r w:rsidRPr="00153EC1">
        <w:rPr>
          <w:rtl/>
          <w:lang w:eastAsia="zh-TW"/>
        </w:rPr>
        <w:t xml:space="preserve"> الدول على ما يلي:</w:t>
      </w:r>
    </w:p>
    <w:p w:rsidR="00153EC1" w:rsidRPr="00153EC1" w:rsidRDefault="00153EC1" w:rsidP="00153EC1">
      <w:pPr>
        <w:pStyle w:val="SingleTxtGA"/>
        <w:spacing w:line="360" w:lineRule="exact"/>
        <w:rPr>
          <w:rtl/>
          <w:lang w:eastAsia="zh-TW"/>
        </w:rPr>
      </w:pPr>
      <w:r w:rsidRPr="00153EC1">
        <w:rPr>
          <w:lang w:eastAsia="zh-TW"/>
        </w:rPr>
        <w:tab/>
      </w:r>
      <w:r w:rsidRPr="00153EC1">
        <w:rPr>
          <w:rtl/>
          <w:lang w:eastAsia="zh-TW"/>
        </w:rPr>
        <w:t>(أ)</w:t>
      </w:r>
      <w:r w:rsidRPr="00153EC1">
        <w:rPr>
          <w:rtl/>
          <w:lang w:eastAsia="zh-TW"/>
        </w:rPr>
        <w:tab/>
        <w:t>التعاون التام مع المقرر الخاص ومساعدته على أداء مهمته، وتقديم جميع المعلومات الضرورية التي يطلبها، والاستجابة الكاملة والسريعة لنداءاته العاجلة، ويحث الحكومات التي لم ترد بعد على البلاغات التي أحالها إليها المقرر الخاص على الرد عليها دون مزيد من التأخير؛</w:t>
      </w:r>
    </w:p>
    <w:p w:rsidR="00153EC1" w:rsidRPr="00153EC1" w:rsidRDefault="00153EC1" w:rsidP="00153EC1">
      <w:pPr>
        <w:pStyle w:val="SingleTxtGA"/>
        <w:spacing w:line="360" w:lineRule="exact"/>
        <w:rPr>
          <w:rtl/>
          <w:lang w:eastAsia="zh-TW"/>
        </w:rPr>
      </w:pPr>
      <w:r w:rsidRPr="00153EC1">
        <w:rPr>
          <w:lang w:eastAsia="zh-TW"/>
        </w:rPr>
        <w:tab/>
      </w:r>
      <w:r w:rsidRPr="00153EC1">
        <w:rPr>
          <w:rtl/>
          <w:lang w:eastAsia="zh-TW"/>
        </w:rPr>
        <w:t>(ب)</w:t>
      </w:r>
      <w:r w:rsidRPr="00153EC1">
        <w:rPr>
          <w:rtl/>
          <w:lang w:eastAsia="zh-TW"/>
        </w:rPr>
        <w:tab/>
        <w:t>تلبية طلبات المقرر الخاص لزيارة بلدانها، وبدء حوار بناء مع المقرر الخاص بشأن الزيارات المطلوب إجراؤها إلى بلدانها؛</w:t>
      </w:r>
    </w:p>
    <w:p w:rsidR="00153EC1" w:rsidRPr="00153EC1" w:rsidRDefault="00153EC1" w:rsidP="00153EC1">
      <w:pPr>
        <w:pStyle w:val="SingleTxtGA"/>
        <w:spacing w:line="360" w:lineRule="exact"/>
        <w:rPr>
          <w:rtl/>
          <w:lang w:eastAsia="zh-TW"/>
        </w:rPr>
      </w:pPr>
      <w:r w:rsidRPr="00153EC1">
        <w:rPr>
          <w:lang w:eastAsia="zh-TW"/>
        </w:rPr>
        <w:tab/>
      </w:r>
      <w:r w:rsidRPr="00153EC1">
        <w:rPr>
          <w:rtl/>
          <w:lang w:eastAsia="zh-TW"/>
        </w:rPr>
        <w:t>(ج)</w:t>
      </w:r>
      <w:r w:rsidRPr="00153EC1">
        <w:rPr>
          <w:rtl/>
          <w:lang w:eastAsia="zh-TW"/>
        </w:rPr>
        <w:tab/>
        <w:t>الحرص، بوصف ذلك عنصراً هاماً في منع ومكافحة التعذيب وغيره من ضروب المعاملة أو العقوبة القاسية أو اللاإنسانية أو المهينة، على ألا تأمر أي سلطة أو مسؤول بعقاب أو عمل انتقامي أو تخويف أو أي شكل آخر من أشكال الإيذاء أو تنفذه أو تجيزه</w:t>
      </w:r>
      <w:r w:rsidRPr="00153EC1">
        <w:rPr>
          <w:rFonts w:hint="cs"/>
          <w:rtl/>
          <w:lang w:eastAsia="zh-TW"/>
        </w:rPr>
        <w:t xml:space="preserve"> </w:t>
      </w:r>
      <w:r w:rsidRPr="00153EC1">
        <w:rPr>
          <w:rFonts w:hint="cs"/>
          <w:rtl/>
          <w:lang w:eastAsia="zh-TW"/>
        </w:rPr>
        <w:lastRenderedPageBreak/>
        <w:t>أو </w:t>
      </w:r>
      <w:r w:rsidRPr="00153EC1">
        <w:rPr>
          <w:rtl/>
          <w:lang w:eastAsia="zh-TW"/>
        </w:rPr>
        <w:t>تتغاضى عن إنزاله بحق أي شخص أو جماعة أو رابطة، بمن في ذلك الأشخاص المسلوبة حريتهم، بسبب اتصالهم الحالي أو السابق، أو سعيهم للاتصال، بالمقرر الخاص أو بأي هيئة دولية أو وطنية من هيئات الرصد أو الوقاية العاملة في مجال منع ومكافحة التعذيب وغيره من ضروب المعاملة أو العقوبة القاسية أو اللاإنسانية أو المهينة؛</w:t>
      </w:r>
    </w:p>
    <w:p w:rsidR="00153EC1" w:rsidRPr="00153EC1" w:rsidRDefault="00153EC1" w:rsidP="00153EC1">
      <w:pPr>
        <w:pStyle w:val="SingleTxtGA"/>
        <w:spacing w:line="360" w:lineRule="exact"/>
        <w:rPr>
          <w:rtl/>
          <w:lang w:eastAsia="zh-TW"/>
        </w:rPr>
      </w:pPr>
      <w:r w:rsidRPr="00153EC1">
        <w:rPr>
          <w:lang w:eastAsia="zh-TW"/>
        </w:rPr>
        <w:tab/>
      </w:r>
      <w:r w:rsidRPr="00153EC1">
        <w:rPr>
          <w:rtl/>
          <w:lang w:eastAsia="zh-TW"/>
        </w:rPr>
        <w:t>(د)</w:t>
      </w:r>
      <w:r w:rsidRPr="00153EC1">
        <w:rPr>
          <w:rtl/>
          <w:lang w:eastAsia="zh-TW"/>
        </w:rPr>
        <w:tab/>
        <w:t>ضمان متابعة توصيات المقرر الخاص واستنتاجاته متابعةً مناسبة؛</w:t>
      </w:r>
    </w:p>
    <w:p w:rsidR="00153EC1" w:rsidRPr="00153EC1" w:rsidRDefault="00153EC1" w:rsidP="00153EC1">
      <w:pPr>
        <w:pStyle w:val="SingleTxtGA"/>
        <w:spacing w:line="360" w:lineRule="exact"/>
        <w:rPr>
          <w:rtl/>
          <w:lang w:eastAsia="zh-TW"/>
        </w:rPr>
      </w:pPr>
      <w:r w:rsidRPr="00153EC1">
        <w:rPr>
          <w:lang w:eastAsia="zh-TW"/>
        </w:rPr>
        <w:tab/>
      </w:r>
      <w:r w:rsidR="00724FC4" w:rsidRPr="00153EC1">
        <w:rPr>
          <w:rtl/>
          <w:lang w:eastAsia="zh-TW"/>
        </w:rPr>
        <w:t>(</w:t>
      </w:r>
      <w:r w:rsidR="00724FC4">
        <w:rPr>
          <w:rtl/>
          <w:lang w:eastAsia="zh-TW"/>
        </w:rPr>
        <w:t>ه</w:t>
      </w:r>
      <w:r w:rsidR="00724FC4" w:rsidRPr="00153EC1">
        <w:rPr>
          <w:rtl/>
          <w:lang w:eastAsia="zh-TW"/>
        </w:rPr>
        <w:t>)</w:t>
      </w:r>
      <w:r w:rsidRPr="00153EC1">
        <w:rPr>
          <w:rtl/>
          <w:lang w:eastAsia="zh-TW"/>
        </w:rPr>
        <w:tab/>
        <w:t>اعتماد نهج يركز على الضحايا ويراعي نوع الجنس في مكافحة التعذيب وغيره من ضروب المعاملة أو العقوبة القاسية أو اللاإنسانية أو المهينة، مع إيلاء آراء الضحايا واحتياجاتهم اهتماماً خاصاً لدى وضع السياسات وممارسة الأنشطة الأخرى المتعلقة بإعادة التأهيل والوقاية والمساءلة في سياق التعذيب وغيره من ضروب المعاملة أو العقوبة القاسية أو اللاإنسانية أو المهينة، والعنف القائم على نوع الجنس الذي يشكل تعذيباً أو غيره من ضروب المعاملة أو العقوبة القاسية أو اللاإنسانية أو المهينة؛</w:t>
      </w:r>
    </w:p>
    <w:p w:rsidR="00153EC1" w:rsidRPr="00153EC1" w:rsidRDefault="00153EC1" w:rsidP="00153EC1">
      <w:pPr>
        <w:pStyle w:val="SingleTxtGA"/>
        <w:spacing w:line="360" w:lineRule="exact"/>
        <w:rPr>
          <w:spacing w:val="-2"/>
          <w:rtl/>
          <w:lang w:eastAsia="zh-TW"/>
        </w:rPr>
      </w:pPr>
      <w:r w:rsidRPr="00153EC1">
        <w:rPr>
          <w:spacing w:val="-2"/>
          <w:lang w:eastAsia="zh-TW"/>
        </w:rPr>
        <w:tab/>
      </w:r>
      <w:r w:rsidRPr="00153EC1">
        <w:rPr>
          <w:spacing w:val="-2"/>
          <w:rtl/>
          <w:lang w:eastAsia="zh-TW"/>
        </w:rPr>
        <w:t>(و)</w:t>
      </w:r>
      <w:r w:rsidRPr="00153EC1">
        <w:rPr>
          <w:spacing w:val="-2"/>
          <w:rtl/>
          <w:lang w:eastAsia="zh-TW"/>
        </w:rPr>
        <w:tab/>
        <w:t>الانضمام إلى اتفاقية مناهضة التعذيب وغيره من ضروب المعاملة أو العقوبة القاسية أو اللاإنسانية أو المهينة والنظر مبكراً في التوقيع والتصديق على البروتوكول الاختياري الملحق بها على سبيل الأولوية، وفي تعيين أو إنشاء آليات وقائية وطنية مستقلة وفعالة لمنع التعذيب وغيره من ضروب المعاملة أو العقوبة القاسية أو اللاإنسانية أو المهينة في الوقت المناسب؛</w:t>
      </w:r>
    </w:p>
    <w:p w:rsidR="00153EC1" w:rsidRPr="00153EC1" w:rsidRDefault="00153EC1" w:rsidP="00153EC1">
      <w:pPr>
        <w:pStyle w:val="SingleTxtGA"/>
        <w:spacing w:line="360" w:lineRule="exact"/>
        <w:rPr>
          <w:rtl/>
          <w:lang w:eastAsia="zh-TW"/>
        </w:rPr>
      </w:pPr>
      <w:r w:rsidRPr="00153EC1">
        <w:rPr>
          <w:lang w:eastAsia="zh-TW"/>
        </w:rPr>
        <w:tab/>
      </w:r>
      <w:r w:rsidRPr="00153EC1">
        <w:rPr>
          <w:rtl/>
          <w:lang w:eastAsia="zh-TW"/>
        </w:rPr>
        <w:t>(ز)</w:t>
      </w:r>
      <w:r w:rsidRPr="00153EC1">
        <w:rPr>
          <w:rtl/>
          <w:lang w:eastAsia="zh-TW"/>
        </w:rPr>
        <w:tab/>
        <w:t>ضمان المتابعة المناسبة لما يصدر عن هيئات المعاهدات ذات الصلة، بما فيها لجنة مناهضة التعذيب واللجنة الفرعية لمنع التعذيب، من استنتاجات وتوصيات وطلبات الحصول على المزيد من المعلومات وآراء بشأن بلاغات الأفراد؛</w:t>
      </w:r>
    </w:p>
    <w:p w:rsidR="00153EC1" w:rsidRPr="00153EC1" w:rsidRDefault="00153EC1" w:rsidP="00153EC1">
      <w:pPr>
        <w:pStyle w:val="SingleTxtGA"/>
        <w:spacing w:line="360" w:lineRule="exact"/>
        <w:rPr>
          <w:rtl/>
          <w:lang w:eastAsia="zh-TW"/>
        </w:rPr>
      </w:pPr>
      <w:r w:rsidRPr="00153EC1">
        <w:rPr>
          <w:lang w:eastAsia="zh-TW"/>
        </w:rPr>
        <w:tab/>
      </w:r>
      <w:r w:rsidRPr="00153EC1">
        <w:rPr>
          <w:rtl/>
          <w:lang w:eastAsia="zh-TW"/>
        </w:rPr>
        <w:t>(ح)</w:t>
      </w:r>
      <w:r w:rsidRPr="00153EC1">
        <w:rPr>
          <w:rtl/>
          <w:lang w:eastAsia="zh-TW"/>
        </w:rPr>
        <w:tab/>
        <w:t>النظر في تقديم دعم كاف إلى صندوق الأمم المتحدة للتبرعات لضحايا التعذيب والصندوق الخاص المنشأ بموجب البروتوكول الاختياري لاتفاقية مناهضة التعذيب وغيره من ضروب المعاملة أو العقوبة القاسية أو اللاإنسانية أو المهينة؛</w:t>
      </w:r>
    </w:p>
    <w:p w:rsidR="00153EC1" w:rsidRPr="00153EC1" w:rsidRDefault="00153EC1" w:rsidP="00153EC1">
      <w:pPr>
        <w:pStyle w:val="SingleTxtGA"/>
        <w:spacing w:line="360" w:lineRule="exact"/>
        <w:rPr>
          <w:rtl/>
          <w:lang w:eastAsia="zh-TW"/>
        </w:rPr>
      </w:pPr>
      <w:r w:rsidRPr="00153EC1">
        <w:rPr>
          <w:rFonts w:hint="cs"/>
          <w:rtl/>
          <w:lang w:eastAsia="zh-TW"/>
        </w:rPr>
        <w:tab/>
        <w:t>3-</w:t>
      </w:r>
      <w:r w:rsidRPr="00153EC1">
        <w:rPr>
          <w:rFonts w:hint="cs"/>
          <w:i/>
          <w:iCs/>
          <w:rtl/>
          <w:lang w:eastAsia="zh-TW"/>
        </w:rPr>
        <w:tab/>
        <w:t>يحيط علماً مع التقدير</w:t>
      </w:r>
      <w:r w:rsidRPr="00153EC1">
        <w:rPr>
          <w:rtl/>
          <w:lang w:eastAsia="zh-TW"/>
        </w:rPr>
        <w:t xml:space="preserve"> بتقرير المقرر الخاص</w:t>
      </w:r>
      <w:r w:rsidRPr="00153EC1">
        <w:rPr>
          <w:vertAlign w:val="superscript"/>
          <w:rtl/>
        </w:rPr>
        <w:t>(</w:t>
      </w:r>
      <w:r w:rsidRPr="00153EC1">
        <w:rPr>
          <w:vertAlign w:val="superscript"/>
          <w:rtl/>
        </w:rPr>
        <w:footnoteReference w:id="1"/>
      </w:r>
      <w:r w:rsidRPr="00153EC1">
        <w:rPr>
          <w:vertAlign w:val="superscript"/>
          <w:rtl/>
        </w:rPr>
        <w:t>)</w:t>
      </w:r>
      <w:r w:rsidRPr="00153EC1">
        <w:rPr>
          <w:rtl/>
          <w:lang w:eastAsia="zh-TW"/>
        </w:rPr>
        <w:t>؛</w:t>
      </w:r>
    </w:p>
    <w:p w:rsidR="00153EC1" w:rsidRPr="00153EC1" w:rsidRDefault="00153EC1" w:rsidP="00153EC1">
      <w:pPr>
        <w:pStyle w:val="SingleTxtGA"/>
        <w:spacing w:line="360" w:lineRule="exact"/>
        <w:rPr>
          <w:spacing w:val="-2"/>
          <w:rtl/>
          <w:lang w:eastAsia="zh-TW"/>
        </w:rPr>
      </w:pPr>
      <w:r w:rsidRPr="00153EC1">
        <w:rPr>
          <w:rFonts w:hint="cs"/>
          <w:spacing w:val="-2"/>
          <w:rtl/>
          <w:lang w:eastAsia="zh-TW"/>
        </w:rPr>
        <w:tab/>
        <w:t>4-</w:t>
      </w:r>
      <w:r w:rsidRPr="00153EC1">
        <w:rPr>
          <w:rFonts w:hint="cs"/>
          <w:i/>
          <w:iCs/>
          <w:spacing w:val="-2"/>
          <w:rtl/>
          <w:lang w:eastAsia="zh-TW"/>
        </w:rPr>
        <w:tab/>
      </w:r>
      <w:r w:rsidRPr="00153EC1">
        <w:rPr>
          <w:i/>
          <w:iCs/>
          <w:spacing w:val="-2"/>
          <w:rtl/>
          <w:lang w:eastAsia="zh-TW"/>
        </w:rPr>
        <w:t>يطلب</w:t>
      </w:r>
      <w:r w:rsidRPr="00153EC1">
        <w:rPr>
          <w:spacing w:val="-2"/>
          <w:rtl/>
          <w:lang w:eastAsia="zh-TW"/>
        </w:rPr>
        <w:t xml:space="preserve"> إلى الأمين العام أن يكفل، في حدود الإطار العام لميزانية الأمم المتحدة، توفير عدد كاف ومستقر من الموظفين للمقرر الخاص وما يلزمه من تسهيلات وموارد، آخذاً في اعتباره ما أبدته الدول الأعضاء من تأييد قوي لمنع ومكافحة التعذيب ومساعدة ضحاياه؛</w:t>
      </w:r>
    </w:p>
    <w:p w:rsidR="00153EC1" w:rsidRPr="00153EC1" w:rsidRDefault="00153EC1" w:rsidP="00153EC1">
      <w:pPr>
        <w:pStyle w:val="SingleTxtGA"/>
        <w:spacing w:line="360" w:lineRule="exact"/>
        <w:rPr>
          <w:rtl/>
          <w:lang w:eastAsia="zh-TW"/>
        </w:rPr>
      </w:pPr>
      <w:r w:rsidRPr="00153EC1">
        <w:rPr>
          <w:rFonts w:hint="cs"/>
          <w:rtl/>
          <w:lang w:eastAsia="zh-TW"/>
        </w:rPr>
        <w:tab/>
        <w:t>5-</w:t>
      </w:r>
      <w:r w:rsidRPr="00153EC1">
        <w:rPr>
          <w:rFonts w:hint="cs"/>
          <w:i/>
          <w:iCs/>
          <w:rtl/>
          <w:lang w:eastAsia="zh-TW"/>
        </w:rPr>
        <w:tab/>
      </w:r>
      <w:r w:rsidRPr="00153EC1">
        <w:rPr>
          <w:i/>
          <w:iCs/>
          <w:rtl/>
          <w:lang w:eastAsia="zh-TW"/>
        </w:rPr>
        <w:t>يقرر</w:t>
      </w:r>
      <w:r w:rsidRPr="00153EC1">
        <w:rPr>
          <w:rtl/>
          <w:lang w:eastAsia="zh-TW"/>
        </w:rPr>
        <w:t xml:space="preserve"> مواصلة النظر في هذه المسألة وفقاً لبرنامج عمله السنوي.</w:t>
      </w:r>
    </w:p>
    <w:p w:rsidR="00153EC1" w:rsidRPr="00153EC1" w:rsidRDefault="00153EC1" w:rsidP="00153EC1">
      <w:pPr>
        <w:pStyle w:val="SingleTxtGA"/>
        <w:spacing w:after="0" w:line="360" w:lineRule="exact"/>
        <w:jc w:val="right"/>
        <w:rPr>
          <w:i/>
          <w:iCs/>
          <w:rtl/>
          <w:lang w:eastAsia="zh-TW"/>
        </w:rPr>
      </w:pPr>
      <w:r w:rsidRPr="00153EC1">
        <w:rPr>
          <w:rFonts w:hint="eastAsia"/>
          <w:i/>
          <w:iCs/>
          <w:rtl/>
          <w:lang w:eastAsia="zh-TW"/>
        </w:rPr>
        <w:t>الجلسة</w:t>
      </w:r>
      <w:r w:rsidRPr="00153EC1">
        <w:rPr>
          <w:i/>
          <w:iCs/>
          <w:rtl/>
          <w:lang w:eastAsia="zh-TW"/>
        </w:rPr>
        <w:t xml:space="preserve"> 57</w:t>
      </w:r>
    </w:p>
    <w:p w:rsidR="00153EC1" w:rsidRPr="00153EC1" w:rsidRDefault="00153EC1" w:rsidP="00153EC1">
      <w:pPr>
        <w:pStyle w:val="SingleTxtGA"/>
        <w:spacing w:after="0" w:line="360" w:lineRule="exact"/>
        <w:jc w:val="right"/>
        <w:rPr>
          <w:rtl/>
          <w:lang w:eastAsia="zh-TW"/>
        </w:rPr>
      </w:pPr>
      <w:r w:rsidRPr="00153EC1">
        <w:rPr>
          <w:i/>
          <w:iCs/>
          <w:rtl/>
          <w:lang w:eastAsia="zh-TW"/>
        </w:rPr>
        <w:t xml:space="preserve">24 </w:t>
      </w:r>
      <w:r w:rsidRPr="00153EC1">
        <w:rPr>
          <w:rFonts w:hint="eastAsia"/>
          <w:i/>
          <w:iCs/>
          <w:rtl/>
          <w:lang w:eastAsia="zh-TW"/>
        </w:rPr>
        <w:t>آذار</w:t>
      </w:r>
      <w:r w:rsidRPr="00153EC1">
        <w:rPr>
          <w:i/>
          <w:iCs/>
          <w:rtl/>
          <w:lang w:eastAsia="zh-TW"/>
        </w:rPr>
        <w:t>/مارس 2017</w:t>
      </w:r>
    </w:p>
    <w:p w:rsidR="00153EC1" w:rsidRDefault="00153EC1" w:rsidP="00153EC1">
      <w:pPr>
        <w:pStyle w:val="SingleTxtGA"/>
        <w:spacing w:line="360" w:lineRule="exact"/>
        <w:rPr>
          <w:rFonts w:ascii="MS Mincho" w:eastAsia="MS Mincho" w:hAnsi="MS Mincho" w:cs="MS Mincho"/>
          <w:rtl/>
          <w:lang w:eastAsia="zh-TW"/>
        </w:rPr>
      </w:pPr>
      <w:r w:rsidRPr="00153EC1">
        <w:rPr>
          <w:rFonts w:hint="cs"/>
          <w:rtl/>
          <w:lang w:eastAsia="zh-TW"/>
        </w:rPr>
        <w:t>[اعتُمِد من دون تصويت.]</w:t>
      </w:r>
    </w:p>
    <w:p w:rsidR="00153EC1" w:rsidRPr="00B72A96" w:rsidRDefault="00153EC1" w:rsidP="00153EC1">
      <w:pPr>
        <w:spacing w:before="120" w:line="180" w:lineRule="exact"/>
        <w:jc w:val="center"/>
        <w:rPr>
          <w:u w:val="single"/>
        </w:rPr>
      </w:pPr>
      <w:r>
        <w:rPr>
          <w:u w:val="single"/>
          <w:rtl/>
        </w:rPr>
        <w:tab/>
      </w:r>
      <w:r>
        <w:rPr>
          <w:u w:val="single"/>
          <w:rtl/>
        </w:rPr>
        <w:tab/>
      </w:r>
      <w:r>
        <w:rPr>
          <w:u w:val="single"/>
          <w:rtl/>
        </w:rPr>
        <w:tab/>
      </w:r>
      <w:bookmarkStart w:id="0" w:name="_GoBack"/>
      <w:bookmarkEnd w:id="0"/>
    </w:p>
    <w:sectPr w:rsidR="00153EC1" w:rsidRPr="00B72A96" w:rsidSect="00980427">
      <w:headerReference w:type="even" r:id="rId10"/>
      <w:headerReference w:type="default" r:id="rId11"/>
      <w:footerReference w:type="even" r:id="rId12"/>
      <w:footerReference w:type="default" r:id="rId13"/>
      <w:footerReference w:type="first" r:id="rId14"/>
      <w:endnotePr>
        <w:numFmt w:val="decimal"/>
      </w:endnotePr>
      <w:type w:val="continuous"/>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1D70" w:rsidRPr="002901D9" w:rsidRDefault="00681D70" w:rsidP="002901D9">
      <w:pPr>
        <w:spacing w:after="60" w:line="240" w:lineRule="auto"/>
        <w:rPr>
          <w:i/>
          <w:iCs/>
        </w:rPr>
      </w:pPr>
      <w:r>
        <w:rPr>
          <w:rFonts w:hint="cs"/>
          <w:i/>
          <w:iCs/>
          <w:rtl/>
        </w:rPr>
        <w:t>الحواشي</w:t>
      </w:r>
    </w:p>
  </w:endnote>
  <w:endnote w:type="continuationSeparator" w:id="0">
    <w:p w:rsidR="00681D70" w:rsidRDefault="00681D70"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427" w:rsidRPr="00153EC1" w:rsidRDefault="00153EC1" w:rsidP="00153EC1">
    <w:pPr>
      <w:pStyle w:val="Footer"/>
      <w:tabs>
        <w:tab w:val="right" w:pos="9598"/>
      </w:tabs>
      <w:rPr>
        <w:sz w:val="17"/>
      </w:rPr>
    </w:pPr>
    <w:r>
      <w:rPr>
        <w:sz w:val="17"/>
      </w:rPr>
      <w:t>GE.17-05670</w:t>
    </w:r>
    <w:r>
      <w:rPr>
        <w:sz w:val="17"/>
      </w:rPr>
      <w:tab/>
    </w:r>
    <w:r w:rsidRPr="00153EC1">
      <w:rPr>
        <w:b/>
        <w:sz w:val="18"/>
      </w:rPr>
      <w:fldChar w:fldCharType="begin"/>
    </w:r>
    <w:r w:rsidRPr="00153EC1">
      <w:rPr>
        <w:b/>
        <w:sz w:val="18"/>
      </w:rPr>
      <w:instrText xml:space="preserve"> PAGE  \* MERGEFORMAT </w:instrText>
    </w:r>
    <w:r w:rsidRPr="00153EC1">
      <w:rPr>
        <w:b/>
        <w:sz w:val="18"/>
      </w:rPr>
      <w:fldChar w:fldCharType="separate"/>
    </w:r>
    <w:r w:rsidR="003030C4">
      <w:rPr>
        <w:b/>
        <w:noProof/>
        <w:sz w:val="18"/>
      </w:rPr>
      <w:t>2</w:t>
    </w:r>
    <w:r w:rsidRPr="00153EC1">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9B0" w:rsidRPr="00153EC1" w:rsidRDefault="00153EC1" w:rsidP="006959B0">
    <w:pPr>
      <w:pStyle w:val="Footer"/>
      <w:tabs>
        <w:tab w:val="right" w:pos="9599"/>
      </w:tabs>
      <w:jc w:val="left"/>
      <w:rPr>
        <w:b/>
        <w:sz w:val="18"/>
        <w:lang w:val="en-US"/>
      </w:rPr>
    </w:pPr>
    <w:r w:rsidRPr="00153EC1">
      <w:rPr>
        <w:b/>
        <w:sz w:val="18"/>
        <w:lang w:val="en-US"/>
      </w:rPr>
      <w:fldChar w:fldCharType="begin"/>
    </w:r>
    <w:r w:rsidRPr="00153EC1">
      <w:rPr>
        <w:b/>
        <w:sz w:val="18"/>
        <w:lang w:val="en-US"/>
      </w:rPr>
      <w:instrText xml:space="preserve"> PAGE  \* MERGEFORMAT </w:instrText>
    </w:r>
    <w:r w:rsidRPr="00153EC1">
      <w:rPr>
        <w:b/>
        <w:sz w:val="18"/>
        <w:lang w:val="en-US"/>
      </w:rPr>
      <w:fldChar w:fldCharType="separate"/>
    </w:r>
    <w:r w:rsidR="003030C4">
      <w:rPr>
        <w:b/>
        <w:noProof/>
        <w:sz w:val="18"/>
        <w:lang w:val="en-US"/>
      </w:rPr>
      <w:t>3</w:t>
    </w:r>
    <w:r w:rsidRPr="00153EC1">
      <w:rPr>
        <w:b/>
        <w:sz w:val="18"/>
        <w:lang w:val="en-US"/>
      </w:rPr>
      <w:fldChar w:fldCharType="end"/>
    </w:r>
    <w:r>
      <w:rPr>
        <w:b/>
        <w:sz w:val="18"/>
        <w:lang w:val="en-US"/>
      </w:rPr>
      <w:tab/>
    </w:r>
    <w:r>
      <w:rPr>
        <w:sz w:val="17"/>
        <w:lang w:val="en-US"/>
      </w:rPr>
      <w:t>GE.17-05670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BC9" w:rsidRDefault="00980427" w:rsidP="00F6741C">
    <w:pPr>
      <w:pStyle w:val="Footer"/>
      <w:spacing w:before="360"/>
      <w:jc w:val="right"/>
      <w:rPr>
        <w:sz w:val="20"/>
        <w:szCs w:val="20"/>
      </w:rPr>
    </w:pPr>
    <w:r>
      <w:rPr>
        <w:sz w:val="20"/>
        <w:szCs w:val="20"/>
      </w:rPr>
      <w:t>GE.17-05670</w:t>
    </w:r>
    <w:r w:rsidR="00FD4BC9">
      <w:rPr>
        <w:noProof/>
        <w:lang w:val="en-US"/>
      </w:rPr>
      <w:drawing>
        <wp:anchor distT="0" distB="0" distL="114300" distR="114300" simplePos="0" relativeHeight="251659264" behindDoc="1" locked="1" layoutInCell="0" allowOverlap="1" wp14:anchorId="2465C6A8" wp14:editId="6F82E3DC">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FD4BC9" w:rsidRPr="007A0286">
      <w:rPr>
        <w:sz w:val="20"/>
        <w:szCs w:val="20"/>
      </w:rPr>
      <w:t>(A)</w:t>
    </w:r>
  </w:p>
  <w:p w:rsidR="00980427" w:rsidRPr="00980427" w:rsidRDefault="00980427" w:rsidP="00980427">
    <w:pPr>
      <w:pStyle w:val="Footer"/>
      <w:jc w:val="right"/>
      <w:rPr>
        <w:rFonts w:ascii="C39T30Lfz" w:hAnsi="C39T30Lfz"/>
        <w:sz w:val="56"/>
        <w:szCs w:val="20"/>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noProof/>
        <w:sz w:val="56"/>
        <w:szCs w:val="20"/>
        <w:lang w:val="en-US"/>
      </w:rPr>
      <w:drawing>
        <wp:anchor distT="0" distB="0" distL="114300" distR="114300" simplePos="0" relativeHeight="251660288" behindDoc="0" locked="0" layoutInCell="1" allowOverlap="1" wp14:anchorId="0B6C5E0B" wp14:editId="57608DDB">
          <wp:simplePos x="0" y="0"/>
          <wp:positionH relativeFrom="page">
            <wp:posOffset>719455</wp:posOffset>
          </wp:positionH>
          <wp:positionV relativeFrom="page">
            <wp:posOffset>9611995</wp:posOffset>
          </wp:positionV>
          <wp:extent cx="635000" cy="6350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extLst>
                      <a:ext uri="{28A0092B-C50C-407E-A947-70E740481C1C}">
                        <a14:useLocalDpi xmlns:a14="http://schemas.microsoft.com/office/drawing/2010/main" val="0"/>
                      </a:ext>
                    </a:extLst>
                  </a:blip>
                  <a:stretch>
                    <a:fillRect/>
                  </a:stretch>
                </pic:blipFill>
                <pic:spPr>
                  <a:xfrm>
                    <a:off x="0" y="0"/>
                    <a:ext cx="635000" cy="635000"/>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1D70" w:rsidRPr="0054762C" w:rsidRDefault="00681D70" w:rsidP="000E524A">
      <w:pPr>
        <w:pStyle w:val="Footer"/>
        <w:bidi/>
        <w:spacing w:after="80" w:line="200" w:lineRule="exact"/>
        <w:ind w:left="680"/>
      </w:pPr>
      <w:r>
        <w:rPr>
          <w:rtl/>
        </w:rPr>
        <w:t>__________</w:t>
      </w:r>
    </w:p>
  </w:footnote>
  <w:footnote w:type="continuationSeparator" w:id="0">
    <w:p w:rsidR="00681D70" w:rsidRDefault="00681D70" w:rsidP="00656392">
      <w:pPr>
        <w:spacing w:line="240" w:lineRule="auto"/>
      </w:pPr>
      <w:r>
        <w:continuationSeparator/>
      </w:r>
    </w:p>
  </w:footnote>
  <w:footnote w:id="1">
    <w:p w:rsidR="00153EC1" w:rsidRPr="00B72A96" w:rsidRDefault="00153EC1" w:rsidP="00153EC1">
      <w:pPr>
        <w:pStyle w:val="FootnoteText1"/>
        <w:rPr>
          <w:rtl/>
        </w:rPr>
      </w:pPr>
      <w:r w:rsidRPr="00B72A96">
        <w:rPr>
          <w:rtl/>
        </w:rPr>
        <w:t>(</w:t>
      </w:r>
      <w:r w:rsidRPr="00B72A96">
        <w:rPr>
          <w:rStyle w:val="FootnoteReference"/>
          <w:vertAlign w:val="baseline"/>
        </w:rPr>
        <w:footnoteRef/>
      </w:r>
      <w:r>
        <w:rPr>
          <w:sz w:val="26"/>
          <w:rtl/>
        </w:rPr>
        <w:t>)</w:t>
      </w:r>
      <w:r>
        <w:rPr>
          <w:sz w:val="26"/>
          <w:rtl/>
        </w:rPr>
        <w:tab/>
      </w:r>
      <w:r>
        <w:rPr>
          <w:lang w:eastAsia="zh-TW"/>
        </w:rPr>
        <w:t>A/HRC/34/54</w:t>
      </w:r>
      <w:r>
        <w:rPr>
          <w:rtl/>
          <w:lang w:eastAsia="zh-TW"/>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427" w:rsidRPr="00153EC1" w:rsidRDefault="00153EC1" w:rsidP="00153EC1">
    <w:pPr>
      <w:pStyle w:val="Header"/>
      <w:jc w:val="right"/>
    </w:pPr>
    <w:r w:rsidRPr="00153EC1">
      <w:t>A/HRC/RES/34/19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427" w:rsidRPr="00153EC1" w:rsidRDefault="00153EC1" w:rsidP="00153EC1">
    <w:pPr>
      <w:pStyle w:val="Header"/>
      <w:jc w:val="left"/>
    </w:pPr>
    <w:r w:rsidRPr="00153EC1">
      <w:t>A/HRC/RES/34/19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2">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4">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2"/>
  </w:num>
  <w:num w:numId="6">
    <w:abstractNumId w:val="1"/>
  </w:num>
  <w:num w:numId="7">
    <w:abstractNumId w:val="6"/>
  </w:num>
  <w:num w:numId="8">
    <w:abstractNumId w:val="0"/>
  </w:num>
  <w:num w:numId="9">
    <w:abstractNumId w:val="3"/>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attachedTemplate r:id="rId1"/>
  <w:defaultTabStop w:val="680"/>
  <w:evenAndOddHeaders/>
  <w:characterSpacingControl w:val="doNotCompress"/>
  <w:hdrShapeDefaults>
    <o:shapedefaults v:ext="edit" spidmax="4097"/>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
  <w:rsids>
    <w:rsidRoot w:val="00681D70"/>
    <w:rsid w:val="000076D5"/>
    <w:rsid w:val="00043663"/>
    <w:rsid w:val="000505CF"/>
    <w:rsid w:val="000D701C"/>
    <w:rsid w:val="000E2A71"/>
    <w:rsid w:val="000E524A"/>
    <w:rsid w:val="000F3777"/>
    <w:rsid w:val="00125584"/>
    <w:rsid w:val="00153EC1"/>
    <w:rsid w:val="00160263"/>
    <w:rsid w:val="001773DB"/>
    <w:rsid w:val="00181F96"/>
    <w:rsid w:val="001A1371"/>
    <w:rsid w:val="001B346A"/>
    <w:rsid w:val="001E1CAD"/>
    <w:rsid w:val="001E290D"/>
    <w:rsid w:val="002144FA"/>
    <w:rsid w:val="0023469A"/>
    <w:rsid w:val="00243C8A"/>
    <w:rsid w:val="00267A0E"/>
    <w:rsid w:val="002901D9"/>
    <w:rsid w:val="002976C2"/>
    <w:rsid w:val="003030C4"/>
    <w:rsid w:val="00325CC1"/>
    <w:rsid w:val="003260FF"/>
    <w:rsid w:val="00343D95"/>
    <w:rsid w:val="00374341"/>
    <w:rsid w:val="003D1062"/>
    <w:rsid w:val="003E113E"/>
    <w:rsid w:val="003E159A"/>
    <w:rsid w:val="004205C7"/>
    <w:rsid w:val="00420D7B"/>
    <w:rsid w:val="00450B21"/>
    <w:rsid w:val="00453B63"/>
    <w:rsid w:val="00455780"/>
    <w:rsid w:val="004B0A1C"/>
    <w:rsid w:val="004D298E"/>
    <w:rsid w:val="004E32F4"/>
    <w:rsid w:val="00517BC9"/>
    <w:rsid w:val="005212F8"/>
    <w:rsid w:val="00527E4C"/>
    <w:rsid w:val="0054472E"/>
    <w:rsid w:val="0054762C"/>
    <w:rsid w:val="005662A9"/>
    <w:rsid w:val="005817D9"/>
    <w:rsid w:val="005827D4"/>
    <w:rsid w:val="0059622A"/>
    <w:rsid w:val="005C5878"/>
    <w:rsid w:val="005C7CEA"/>
    <w:rsid w:val="005D3C0B"/>
    <w:rsid w:val="005E5217"/>
    <w:rsid w:val="005F0FA4"/>
    <w:rsid w:val="005F30EE"/>
    <w:rsid w:val="0060473A"/>
    <w:rsid w:val="00606EDF"/>
    <w:rsid w:val="00656392"/>
    <w:rsid w:val="00681D70"/>
    <w:rsid w:val="0068781D"/>
    <w:rsid w:val="006959B0"/>
    <w:rsid w:val="006B3E27"/>
    <w:rsid w:val="006B6507"/>
    <w:rsid w:val="006C104C"/>
    <w:rsid w:val="00724FC4"/>
    <w:rsid w:val="00733704"/>
    <w:rsid w:val="00740188"/>
    <w:rsid w:val="0078071A"/>
    <w:rsid w:val="007A70BB"/>
    <w:rsid w:val="00852A9A"/>
    <w:rsid w:val="00871544"/>
    <w:rsid w:val="008930DB"/>
    <w:rsid w:val="00895D16"/>
    <w:rsid w:val="008F49E1"/>
    <w:rsid w:val="0090370F"/>
    <w:rsid w:val="009269D2"/>
    <w:rsid w:val="00942135"/>
    <w:rsid w:val="009521B0"/>
    <w:rsid w:val="00980427"/>
    <w:rsid w:val="009A7E9F"/>
    <w:rsid w:val="009E5018"/>
    <w:rsid w:val="00A12B37"/>
    <w:rsid w:val="00A50EC0"/>
    <w:rsid w:val="00A74331"/>
    <w:rsid w:val="00AB6758"/>
    <w:rsid w:val="00B13763"/>
    <w:rsid w:val="00B477A4"/>
    <w:rsid w:val="00B54045"/>
    <w:rsid w:val="00B807C2"/>
    <w:rsid w:val="00BA5E8B"/>
    <w:rsid w:val="00BF082D"/>
    <w:rsid w:val="00C022F5"/>
    <w:rsid w:val="00C438D7"/>
    <w:rsid w:val="00C53FE8"/>
    <w:rsid w:val="00C81B50"/>
    <w:rsid w:val="00CA655B"/>
    <w:rsid w:val="00CB3C3C"/>
    <w:rsid w:val="00CD1801"/>
    <w:rsid w:val="00D10EF1"/>
    <w:rsid w:val="00D42810"/>
    <w:rsid w:val="00D914A7"/>
    <w:rsid w:val="00DD13C3"/>
    <w:rsid w:val="00DD596E"/>
    <w:rsid w:val="00DD621E"/>
    <w:rsid w:val="00DF0575"/>
    <w:rsid w:val="00E70E04"/>
    <w:rsid w:val="00EC05A7"/>
    <w:rsid w:val="00EC4B6B"/>
    <w:rsid w:val="00ED7442"/>
    <w:rsid w:val="00EE0B18"/>
    <w:rsid w:val="00EF1EE5"/>
    <w:rsid w:val="00F6741C"/>
    <w:rsid w:val="00F763B4"/>
    <w:rsid w:val="00F900C3"/>
    <w:rsid w:val="00FC75D1"/>
    <w:rsid w:val="00FD4BC9"/>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text" w:uiPriority="0"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A1371"/>
    <w:pPr>
      <w:spacing w:line="240" w:lineRule="auto"/>
    </w:pPr>
    <w:rPr>
      <w:szCs w:val="20"/>
    </w:rPr>
  </w:style>
  <w:style w:type="character" w:customStyle="1" w:styleId="FootnoteTextChar">
    <w:name w:val="Footnote Text Char"/>
    <w:basedOn w:val="DefaultParagraphFont"/>
    <w:link w:val="FootnoteText"/>
    <w:uiPriority w:val="99"/>
    <w:semiHidden/>
    <w:rsid w:val="001A1371"/>
    <w:rPr>
      <w:sz w:val="20"/>
      <w:szCs w:val="20"/>
    </w:rPr>
  </w:style>
  <w:style w:type="character" w:styleId="FootnoteReference">
    <w:name w:val="footnote reference"/>
    <w:aliases w:val="4_GA,4_G"/>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527E4C"/>
    <w:pPr>
      <w:keepNext/>
      <w:keepLines/>
      <w:tabs>
        <w:tab w:val="right" w:pos="1021"/>
      </w:tabs>
      <w:suppressAutoHyphens/>
      <w:spacing w:before="240" w:after="120" w:line="380" w:lineRule="exact"/>
      <w:ind w:left="1247" w:right="1247" w:hanging="1247"/>
    </w:pPr>
    <w:rPr>
      <w:b/>
      <w:bCs/>
      <w:lang w:eastAsia="ar-SA"/>
    </w:rPr>
  </w:style>
  <w:style w:type="paragraph" w:customStyle="1" w:styleId="H4GA">
    <w:name w:val="_ H_4_GA"/>
    <w:basedOn w:val="Normal"/>
    <w:next w:val="Normal"/>
    <w:qFormat/>
    <w:rsid w:val="00527E4C"/>
    <w:pPr>
      <w:keepNext/>
      <w:keepLines/>
      <w:tabs>
        <w:tab w:val="right" w:pos="1021"/>
      </w:tabs>
      <w:suppressAutoHyphens/>
      <w:spacing w:before="240" w:after="120" w:line="380" w:lineRule="exact"/>
      <w:ind w:left="1247" w:right="1247" w:hanging="1247"/>
    </w:pPr>
    <w:rPr>
      <w:i/>
      <w:iCs/>
    </w:rPr>
  </w:style>
  <w:style w:type="paragraph" w:customStyle="1" w:styleId="H56GA">
    <w:name w:val="_ H_5/6_GA"/>
    <w:basedOn w:val="Normal"/>
    <w:next w:val="Normal"/>
    <w:qFormat/>
    <w:rsid w:val="00527E4C"/>
    <w:pPr>
      <w:keepNext/>
      <w:keepLines/>
      <w:tabs>
        <w:tab w:val="right" w:pos="1021"/>
      </w:tabs>
      <w:suppressAutoHyphens/>
      <w:spacing w:before="24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7A70BB"/>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text" w:uiPriority="0"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A1371"/>
    <w:pPr>
      <w:spacing w:line="240" w:lineRule="auto"/>
    </w:pPr>
    <w:rPr>
      <w:szCs w:val="20"/>
    </w:rPr>
  </w:style>
  <w:style w:type="character" w:customStyle="1" w:styleId="FootnoteTextChar">
    <w:name w:val="Footnote Text Char"/>
    <w:basedOn w:val="DefaultParagraphFont"/>
    <w:link w:val="FootnoteText"/>
    <w:uiPriority w:val="99"/>
    <w:semiHidden/>
    <w:rsid w:val="001A1371"/>
    <w:rPr>
      <w:sz w:val="20"/>
      <w:szCs w:val="20"/>
    </w:rPr>
  </w:style>
  <w:style w:type="character" w:styleId="FootnoteReference">
    <w:name w:val="footnote reference"/>
    <w:aliases w:val="4_GA,4_G"/>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527E4C"/>
    <w:pPr>
      <w:keepNext/>
      <w:keepLines/>
      <w:tabs>
        <w:tab w:val="right" w:pos="1021"/>
      </w:tabs>
      <w:suppressAutoHyphens/>
      <w:spacing w:before="240" w:after="120" w:line="380" w:lineRule="exact"/>
      <w:ind w:left="1247" w:right="1247" w:hanging="1247"/>
    </w:pPr>
    <w:rPr>
      <w:b/>
      <w:bCs/>
      <w:lang w:eastAsia="ar-SA"/>
    </w:rPr>
  </w:style>
  <w:style w:type="paragraph" w:customStyle="1" w:styleId="H4GA">
    <w:name w:val="_ H_4_GA"/>
    <w:basedOn w:val="Normal"/>
    <w:next w:val="Normal"/>
    <w:qFormat/>
    <w:rsid w:val="00527E4C"/>
    <w:pPr>
      <w:keepNext/>
      <w:keepLines/>
      <w:tabs>
        <w:tab w:val="right" w:pos="1021"/>
      </w:tabs>
      <w:suppressAutoHyphens/>
      <w:spacing w:before="240" w:after="120" w:line="380" w:lineRule="exact"/>
      <w:ind w:left="1247" w:right="1247" w:hanging="1247"/>
    </w:pPr>
    <w:rPr>
      <w:i/>
      <w:iCs/>
    </w:rPr>
  </w:style>
  <w:style w:type="paragraph" w:customStyle="1" w:styleId="H56GA">
    <w:name w:val="_ H_5/6_GA"/>
    <w:basedOn w:val="Normal"/>
    <w:next w:val="Normal"/>
    <w:qFormat/>
    <w:rsid w:val="00527E4C"/>
    <w:pPr>
      <w:keepNext/>
      <w:keepLines/>
      <w:tabs>
        <w:tab w:val="right" w:pos="1021"/>
      </w:tabs>
      <w:suppressAutoHyphens/>
      <w:spacing w:before="24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7A70BB"/>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71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3D10F0-65F9-42AC-945E-FC1959AC0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A.dotm</Template>
  <TotalTime>0</TotalTime>
  <Pages>3</Pages>
  <Words>917</Words>
  <Characters>5232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A/HRC/RES/34/19</vt:lpstr>
    </vt:vector>
  </TitlesOfParts>
  <Company>DCM</Company>
  <LinksUpToDate>false</LinksUpToDate>
  <CharactersWithSpaces>6137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A/HRC/RES/34/19</dc:title>
  <dc:subject>GE.1705670A</dc:subject>
  <dc:creator>J.KAH - AAL</dc:creator>
  <cp:keywords>ODS No.1708669A</cp:keywords>
  <dc:description>Original: English _x000d_
Distribution: General_x000d_
Date: 7 April 2017</dc:description>
  <cp:lastModifiedBy>Tpsara</cp:lastModifiedBy>
  <cp:revision>2</cp:revision>
  <dcterms:created xsi:type="dcterms:W3CDTF">2017-04-20T15:01:00Z</dcterms:created>
  <dcterms:modified xsi:type="dcterms:W3CDTF">2017-04-20T15:01:00Z</dcterms:modified>
  <cp:category>Final</cp:category>
</cp:coreProperties>
</file>