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0EAF026D" w14:textId="77777777" w:rsidTr="00281242">
        <w:trPr>
          <w:trHeight w:hRule="exact" w:val="851"/>
        </w:trPr>
        <w:tc>
          <w:tcPr>
            <w:tcW w:w="1274" w:type="dxa"/>
            <w:tcBorders>
              <w:bottom w:val="single" w:sz="4" w:space="0" w:color="auto"/>
            </w:tcBorders>
            <w:shd w:val="clear" w:color="auto" w:fill="auto"/>
          </w:tcPr>
          <w:p w14:paraId="378C47CD" w14:textId="77777777" w:rsidR="006B3E27" w:rsidRPr="00BE5849" w:rsidRDefault="006B3E27" w:rsidP="00F23615">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1BAB603D"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1897B2B2" w14:textId="1A4E2594" w:rsidR="006B3E27" w:rsidRPr="001A1B4E" w:rsidRDefault="001A1B4E" w:rsidP="001A1B4E">
            <w:pPr>
              <w:bidi w:val="0"/>
              <w:rPr>
                <w:szCs w:val="20"/>
                <w:lang w:eastAsia="zh-TW"/>
              </w:rPr>
            </w:pPr>
            <w:r w:rsidRPr="00185828">
              <w:rPr>
                <w:sz w:val="40"/>
                <w:szCs w:val="20"/>
                <w:lang w:eastAsia="zh-TW"/>
              </w:rPr>
              <w:t>A</w:t>
            </w:r>
            <w:r w:rsidRPr="00185828">
              <w:rPr>
                <w:szCs w:val="20"/>
                <w:lang w:eastAsia="zh-TW"/>
              </w:rPr>
              <w:t>/HRC/RES/</w:t>
            </w:r>
            <w:r w:rsidRPr="00C34B2C">
              <w:rPr>
                <w:szCs w:val="20"/>
                <w:lang w:eastAsia="zh-TW"/>
              </w:rPr>
              <w:t>51</w:t>
            </w:r>
            <w:r w:rsidRPr="00185828">
              <w:rPr>
                <w:szCs w:val="20"/>
                <w:lang w:eastAsia="zh-TW"/>
              </w:rPr>
              <w:t>/</w:t>
            </w:r>
            <w:r w:rsidRPr="00C34B2C">
              <w:rPr>
                <w:szCs w:val="20"/>
                <w:lang w:eastAsia="zh-TW"/>
              </w:rPr>
              <w:t>21</w:t>
            </w:r>
          </w:p>
        </w:tc>
      </w:tr>
      <w:tr w:rsidR="006B3E27" w:rsidRPr="00AC03B4" w14:paraId="161F2AE7" w14:textId="77777777" w:rsidTr="00281242">
        <w:trPr>
          <w:trHeight w:hRule="exact" w:val="2835"/>
        </w:trPr>
        <w:tc>
          <w:tcPr>
            <w:tcW w:w="1274" w:type="dxa"/>
            <w:tcBorders>
              <w:top w:val="single" w:sz="4" w:space="0" w:color="auto"/>
              <w:bottom w:val="single" w:sz="12" w:space="0" w:color="auto"/>
            </w:tcBorders>
            <w:shd w:val="clear" w:color="auto" w:fill="auto"/>
          </w:tcPr>
          <w:p w14:paraId="6AFCC611"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45AC8A38" wp14:editId="073F6D1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E477C66" w14:textId="77777777" w:rsidR="006B3E27" w:rsidRPr="00C34B2C" w:rsidRDefault="001773DB" w:rsidP="002F3D3A">
            <w:pPr>
              <w:spacing w:before="120" w:after="40" w:line="640" w:lineRule="exact"/>
              <w:ind w:left="57"/>
              <w:rPr>
                <w:b/>
                <w:bCs/>
                <w:sz w:val="50"/>
                <w:szCs w:val="50"/>
              </w:rPr>
            </w:pPr>
            <w:r w:rsidRPr="00C34B2C">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430BE9E3" w14:textId="5D89A694" w:rsidR="006B3E27" w:rsidRDefault="001A1B4E" w:rsidP="00BE5849">
            <w:pPr>
              <w:bidi w:val="0"/>
              <w:spacing w:before="240"/>
              <w:rPr>
                <w:szCs w:val="20"/>
              </w:rPr>
            </w:pPr>
            <w:r>
              <w:rPr>
                <w:szCs w:val="20"/>
              </w:rPr>
              <w:t>Dist</w:t>
            </w:r>
            <w:r w:rsidR="00185828" w:rsidRPr="00185828">
              <w:rPr>
                <w:szCs w:val="20"/>
              </w:rPr>
              <w:t>r.:</w:t>
            </w:r>
            <w:r>
              <w:rPr>
                <w:szCs w:val="20"/>
              </w:rPr>
              <w:t xml:space="preserve"> General</w:t>
            </w:r>
          </w:p>
          <w:p w14:paraId="31074A48" w14:textId="03140F73" w:rsidR="001A1B4E" w:rsidRDefault="00185828" w:rsidP="001A1B4E">
            <w:pPr>
              <w:bidi w:val="0"/>
              <w:spacing w:line="240" w:lineRule="exact"/>
              <w:jc w:val="left"/>
              <w:rPr>
                <w:szCs w:val="20"/>
              </w:rPr>
            </w:pPr>
            <w:r w:rsidRPr="00C34B2C">
              <w:rPr>
                <w:szCs w:val="20"/>
              </w:rPr>
              <w:t>12</w:t>
            </w:r>
            <w:r>
              <w:rPr>
                <w:szCs w:val="20"/>
              </w:rPr>
              <w:t xml:space="preserve"> October </w:t>
            </w:r>
            <w:r w:rsidR="001A1B4E" w:rsidRPr="00C34B2C">
              <w:rPr>
                <w:szCs w:val="20"/>
              </w:rPr>
              <w:t>2022</w:t>
            </w:r>
          </w:p>
          <w:p w14:paraId="39C7C40E" w14:textId="77777777" w:rsidR="001A1B4E" w:rsidRDefault="001A1B4E" w:rsidP="001A1B4E">
            <w:pPr>
              <w:bidi w:val="0"/>
              <w:spacing w:line="240" w:lineRule="exact"/>
              <w:jc w:val="left"/>
              <w:rPr>
                <w:szCs w:val="20"/>
              </w:rPr>
            </w:pPr>
            <w:r>
              <w:rPr>
                <w:szCs w:val="20"/>
              </w:rPr>
              <w:t>Arabic</w:t>
            </w:r>
          </w:p>
          <w:p w14:paraId="177C4992" w14:textId="15616421" w:rsidR="001A1B4E" w:rsidRPr="001A1B4E" w:rsidRDefault="001A1B4E" w:rsidP="001A1B4E">
            <w:pPr>
              <w:bidi w:val="0"/>
              <w:spacing w:line="240" w:lineRule="exact"/>
              <w:jc w:val="left"/>
              <w:rPr>
                <w:szCs w:val="20"/>
              </w:rPr>
            </w:pPr>
            <w:r>
              <w:rPr>
                <w:szCs w:val="20"/>
              </w:rPr>
              <w:t>Origina</w:t>
            </w:r>
            <w:r w:rsidR="00185828" w:rsidRPr="00185828">
              <w:rPr>
                <w:szCs w:val="20"/>
              </w:rPr>
              <w:t xml:space="preserve">l: </w:t>
            </w:r>
            <w:r>
              <w:rPr>
                <w:szCs w:val="20"/>
              </w:rPr>
              <w:t>English</w:t>
            </w:r>
          </w:p>
        </w:tc>
      </w:tr>
    </w:tbl>
    <w:bookmarkEnd w:id="0"/>
    <w:p w14:paraId="44BD909F" w14:textId="77777777" w:rsidR="00FF1E99" w:rsidRPr="00C34B2C" w:rsidRDefault="00F572D8" w:rsidP="00F572D8">
      <w:pPr>
        <w:pStyle w:val="SingleTxtGA"/>
        <w:spacing w:before="120" w:after="0"/>
        <w:ind w:left="0" w:right="4252"/>
        <w:jc w:val="left"/>
        <w:rPr>
          <w:b/>
          <w:bCs/>
          <w:sz w:val="26"/>
          <w:szCs w:val="26"/>
          <w:lang w:eastAsia="zh-TW"/>
        </w:rPr>
      </w:pPr>
      <w:r w:rsidRPr="00C34B2C">
        <w:rPr>
          <w:rFonts w:hint="cs"/>
          <w:b/>
          <w:bCs/>
          <w:sz w:val="26"/>
          <w:szCs w:val="26"/>
          <w:rtl/>
          <w:lang w:eastAsia="zh-TW"/>
        </w:rPr>
        <w:t>مجلس حقوق الإنسان</w:t>
      </w:r>
    </w:p>
    <w:p w14:paraId="295B997D" w14:textId="77777777" w:rsidR="00185828" w:rsidRPr="00C34B2C" w:rsidRDefault="00185828" w:rsidP="00185828">
      <w:pPr>
        <w:pStyle w:val="SingleTxtGA"/>
        <w:spacing w:after="0"/>
        <w:ind w:left="0" w:right="4252"/>
        <w:jc w:val="left"/>
        <w:rPr>
          <w:b/>
          <w:bCs/>
          <w:rtl/>
        </w:rPr>
      </w:pPr>
      <w:r w:rsidRPr="00C34B2C">
        <w:rPr>
          <w:b/>
          <w:bCs/>
          <w:rtl/>
        </w:rPr>
        <w:t>الدورة الحادية والخمسون</w:t>
      </w:r>
    </w:p>
    <w:p w14:paraId="3A1C1652" w14:textId="77777777" w:rsidR="00185828" w:rsidRPr="000546B9" w:rsidRDefault="00185828" w:rsidP="00185828">
      <w:pPr>
        <w:pStyle w:val="SingleTxtGA"/>
        <w:spacing w:after="0"/>
        <w:ind w:left="0" w:right="4252"/>
        <w:jc w:val="left"/>
        <w:rPr>
          <w:rtl/>
        </w:rPr>
      </w:pPr>
      <w:r w:rsidRPr="00C34B2C">
        <w:rPr>
          <w:rtl/>
        </w:rPr>
        <w:t>12</w:t>
      </w:r>
      <w:r w:rsidRPr="000546B9">
        <w:rPr>
          <w:rFonts w:hint="cs"/>
          <w:rtl/>
        </w:rPr>
        <w:t xml:space="preserve"> </w:t>
      </w:r>
      <w:r w:rsidRPr="000546B9">
        <w:rPr>
          <w:rtl/>
        </w:rPr>
        <w:t xml:space="preserve">أيلول/سبتمبر - </w:t>
      </w:r>
      <w:r w:rsidRPr="00C34B2C">
        <w:rPr>
          <w:rtl/>
        </w:rPr>
        <w:t>7</w:t>
      </w:r>
      <w:r w:rsidRPr="000546B9">
        <w:rPr>
          <w:rtl/>
        </w:rPr>
        <w:t xml:space="preserve"> تشرين الأول/أكتوبر </w:t>
      </w:r>
      <w:r w:rsidRPr="00C34B2C">
        <w:rPr>
          <w:rtl/>
        </w:rPr>
        <w:t>2022</w:t>
      </w:r>
    </w:p>
    <w:p w14:paraId="62910D52" w14:textId="77777777" w:rsidR="00185828" w:rsidRPr="000546B9" w:rsidRDefault="00185828" w:rsidP="00185828">
      <w:pPr>
        <w:pStyle w:val="SingleTxtGA"/>
        <w:spacing w:after="0"/>
        <w:ind w:left="0" w:right="4252"/>
        <w:jc w:val="left"/>
        <w:rPr>
          <w:rtl/>
        </w:rPr>
      </w:pPr>
      <w:r w:rsidRPr="000546B9">
        <w:rPr>
          <w:rtl/>
        </w:rPr>
        <w:t xml:space="preserve">البند </w:t>
      </w:r>
      <w:r w:rsidRPr="00C34B2C">
        <w:rPr>
          <w:rtl/>
        </w:rPr>
        <w:t>3</w:t>
      </w:r>
      <w:r w:rsidRPr="000546B9">
        <w:rPr>
          <w:rtl/>
        </w:rPr>
        <w:t xml:space="preserve"> من جدول الأعمال</w:t>
      </w:r>
    </w:p>
    <w:p w14:paraId="71B8F234" w14:textId="77777777" w:rsidR="00185828" w:rsidRPr="00C34B2C" w:rsidRDefault="00185828" w:rsidP="00185828">
      <w:pPr>
        <w:pStyle w:val="SingleTxtGA"/>
        <w:spacing w:after="0"/>
        <w:ind w:left="0" w:right="4252"/>
        <w:jc w:val="left"/>
        <w:rPr>
          <w:b/>
          <w:bCs/>
          <w:rtl/>
        </w:rPr>
      </w:pPr>
      <w:r w:rsidRPr="00C34B2C">
        <w:rPr>
          <w:b/>
          <w:bCs/>
          <w:rtl/>
        </w:rPr>
        <w:t>تعزيز وحماية جميع حقوق الإنسان المدنية والسياسية والاقتصادية والاجتماعية والثقافية، بما في ذلك الحق في التنمية</w:t>
      </w:r>
    </w:p>
    <w:p w14:paraId="5F30B8EA" w14:textId="77777777" w:rsidR="00185828" w:rsidRPr="00C34B2C" w:rsidRDefault="00185828" w:rsidP="00185828">
      <w:pPr>
        <w:pStyle w:val="HChGA"/>
        <w:rPr>
          <w:rtl/>
        </w:rPr>
      </w:pPr>
      <w:r w:rsidRPr="00C34B2C">
        <w:rPr>
          <w:rtl/>
        </w:rPr>
        <w:tab/>
      </w:r>
      <w:r w:rsidRPr="00C34B2C">
        <w:rPr>
          <w:rtl/>
        </w:rPr>
        <w:tab/>
      </w:r>
      <w:r w:rsidRPr="00C34B2C">
        <w:rPr>
          <w:rFonts w:hint="cs"/>
          <w:rtl/>
        </w:rPr>
        <w:t>قرار اعتمده مجلس حقوق الإنسان في 7 تشرين الأول/أكتوبر 2022</w:t>
      </w:r>
    </w:p>
    <w:p w14:paraId="6B32C4F1" w14:textId="24DFD2B4" w:rsidR="00185828" w:rsidRPr="00C34B2C" w:rsidRDefault="00185828" w:rsidP="00185828">
      <w:pPr>
        <w:pStyle w:val="H1GA"/>
        <w:rPr>
          <w:rtl/>
        </w:rPr>
      </w:pPr>
      <w:r w:rsidRPr="00C34B2C">
        <w:rPr>
          <w:rtl/>
        </w:rPr>
        <w:tab/>
        <w:t>51/</w:t>
      </w:r>
      <w:r w:rsidRPr="00C34B2C">
        <w:rPr>
          <w:rFonts w:hint="cs"/>
          <w:rtl/>
        </w:rPr>
        <w:t>21-</w:t>
      </w:r>
      <w:r w:rsidRPr="00C34B2C">
        <w:rPr>
          <w:rtl/>
        </w:rPr>
        <w:tab/>
        <w:t>حق كل فرد في التمتع بأعلى مستوى ممكن من الصحة البدنية والعقلية</w:t>
      </w:r>
    </w:p>
    <w:p w14:paraId="15BA4CE3" w14:textId="39A30507" w:rsidR="00185828" w:rsidRPr="00185828" w:rsidRDefault="00185828" w:rsidP="00185828">
      <w:pPr>
        <w:pStyle w:val="SingleTxtGA"/>
        <w:rPr>
          <w:rFonts w:eastAsiaTheme="minorEastAsia"/>
          <w:rtl/>
        </w:rPr>
      </w:pPr>
      <w:r w:rsidRPr="00C34B2C">
        <w:rPr>
          <w:rFonts w:eastAsiaTheme="minorEastAsia"/>
          <w:i/>
          <w:iCs/>
          <w:rtl/>
        </w:rPr>
        <w:tab/>
        <w:t>إن مجلس حقوق الإنسان،</w:t>
      </w:r>
    </w:p>
    <w:p w14:paraId="27245358" w14:textId="77777777" w:rsidR="00185828" w:rsidRPr="00185828" w:rsidRDefault="00185828" w:rsidP="00185828">
      <w:pPr>
        <w:pStyle w:val="SingleTxtGA"/>
        <w:rPr>
          <w:rFonts w:eastAsiaTheme="minorEastAsia"/>
          <w:rtl/>
        </w:rPr>
      </w:pPr>
      <w:r w:rsidRPr="00C34B2C">
        <w:rPr>
          <w:rFonts w:eastAsiaTheme="minorEastAsia"/>
          <w:i/>
          <w:iCs/>
          <w:rtl/>
        </w:rPr>
        <w:tab/>
        <w:t xml:space="preserve">إذ </w:t>
      </w:r>
      <w:r w:rsidRPr="00C34B2C">
        <w:rPr>
          <w:rFonts w:eastAsiaTheme="minorEastAsia" w:hint="cs"/>
          <w:i/>
          <w:iCs/>
          <w:rtl/>
        </w:rPr>
        <w:t>ي</w:t>
      </w:r>
      <w:r w:rsidRPr="00C34B2C">
        <w:rPr>
          <w:rFonts w:eastAsiaTheme="minorEastAsia"/>
          <w:i/>
          <w:iCs/>
          <w:rtl/>
        </w:rPr>
        <w:t>سترشد</w:t>
      </w:r>
      <w:r w:rsidRPr="00185828">
        <w:rPr>
          <w:rFonts w:eastAsiaTheme="minorEastAsia"/>
          <w:rtl/>
        </w:rPr>
        <w:t xml:space="preserve"> بمقاصد ميثاق الأمم المتحدة ومبادئه،</w:t>
      </w:r>
    </w:p>
    <w:p w14:paraId="379E1742" w14:textId="77777777" w:rsidR="00185828" w:rsidRPr="00185828" w:rsidRDefault="00185828" w:rsidP="00185828">
      <w:pPr>
        <w:pStyle w:val="SingleTxtGA"/>
        <w:rPr>
          <w:rFonts w:eastAsiaTheme="minorEastAsia"/>
          <w:rtl/>
        </w:rPr>
      </w:pPr>
      <w:r w:rsidRPr="00C34B2C">
        <w:rPr>
          <w:rFonts w:eastAsiaTheme="minorEastAsia"/>
          <w:i/>
          <w:iCs/>
          <w:rtl/>
        </w:rPr>
        <w:tab/>
        <w:t>وإذ يؤكد من جديد</w:t>
      </w:r>
      <w:r w:rsidRPr="00185828">
        <w:rPr>
          <w:rFonts w:eastAsiaTheme="minorEastAsia"/>
          <w:rtl/>
        </w:rPr>
        <w:t xml:space="preserve"> الإعلان العالمي لحقوق الإنسان، ويشير إلى العهد الدولي الخاص بالحقوق الاقتصادية والاجتماعية،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14:paraId="46EF12F9" w14:textId="77777777" w:rsidR="00185828" w:rsidRPr="00185828" w:rsidRDefault="00185828" w:rsidP="00185828">
      <w:pPr>
        <w:pStyle w:val="SingleTxtGA"/>
        <w:rPr>
          <w:rFonts w:eastAsiaTheme="minorEastAsia"/>
          <w:rtl/>
        </w:rPr>
      </w:pPr>
      <w:r w:rsidRPr="00C34B2C">
        <w:rPr>
          <w:rFonts w:eastAsiaTheme="minorEastAsia"/>
          <w:i/>
          <w:iCs/>
          <w:rtl/>
        </w:rPr>
        <w:tab/>
        <w:t>وإذ يؤكد من جدي</w:t>
      </w:r>
      <w:r w:rsidRPr="00C34B2C">
        <w:rPr>
          <w:rFonts w:eastAsiaTheme="minorEastAsia" w:hint="cs"/>
          <w:i/>
          <w:iCs/>
          <w:rtl/>
        </w:rPr>
        <w:t xml:space="preserve">د أيضاً </w:t>
      </w:r>
      <w:r w:rsidRPr="00185828">
        <w:rPr>
          <w:rFonts w:eastAsiaTheme="minorEastAsia"/>
          <w:rtl/>
        </w:rPr>
        <w:t>حق كل إنسان، من دون أي نوع من التمييز، في التمتع بأعلى مستوى ممكن من الصحة البدنية والعقلية، وإذ يشدد على أن جميع حقوق الإنسان عالمية وغير قابلة للتجزئة ومترابطة ومتشابكة ويُعزز بعضها بعضاً،</w:t>
      </w:r>
    </w:p>
    <w:p w14:paraId="5CB7A5AF" w14:textId="77777777" w:rsidR="00185828" w:rsidRPr="00185828" w:rsidRDefault="00185828" w:rsidP="00185828">
      <w:pPr>
        <w:pStyle w:val="SingleTxtGA"/>
        <w:rPr>
          <w:rFonts w:eastAsiaTheme="minorEastAsia"/>
          <w:rtl/>
        </w:rPr>
      </w:pPr>
      <w:r w:rsidRPr="00C34B2C">
        <w:rPr>
          <w:rFonts w:eastAsiaTheme="minorEastAsia"/>
          <w:i/>
          <w:iCs/>
          <w:rtl/>
        </w:rPr>
        <w:tab/>
        <w:t>وإذ يذكّر</w:t>
      </w:r>
      <w:r w:rsidRPr="00185828">
        <w:rPr>
          <w:rFonts w:eastAsiaTheme="minorEastAsia"/>
          <w:rtl/>
        </w:rPr>
        <w:t xml:space="preserve"> بأن الصحة العقلية جزء لا يتجزأ من حق كل إنسان في التمتع بأعلى مستوى ممكن من الصحة البدنية والعقلية،</w:t>
      </w:r>
    </w:p>
    <w:p w14:paraId="0C5C1281" w14:textId="77777777" w:rsidR="00185828" w:rsidRPr="00185828" w:rsidRDefault="00185828" w:rsidP="00185828">
      <w:pPr>
        <w:pStyle w:val="SingleTxtGA"/>
        <w:rPr>
          <w:rFonts w:eastAsiaTheme="minorEastAsia"/>
          <w:rtl/>
        </w:rPr>
      </w:pPr>
      <w:r w:rsidRPr="00C34B2C">
        <w:rPr>
          <w:rFonts w:eastAsiaTheme="minorEastAsia"/>
          <w:i/>
          <w:iCs/>
          <w:rtl/>
        </w:rPr>
        <w:tab/>
        <w:t>وإذ يدرك</w:t>
      </w:r>
      <w:r w:rsidRPr="00185828">
        <w:rPr>
          <w:rFonts w:eastAsiaTheme="minorEastAsia"/>
          <w:rtl/>
        </w:rPr>
        <w:t xml:space="preserve"> </w:t>
      </w:r>
      <w:r w:rsidRPr="00C34B2C">
        <w:rPr>
          <w:rFonts w:eastAsiaTheme="minorEastAsia"/>
          <w:rtl/>
        </w:rPr>
        <w:t>أنه خلال فترة الجوائح العالمية وغيرها من حالات الطوارئ الصحية، ينبغي أن يسترشد إعمال الحق في التمتع بأعلى مستوى ممكن من الصحة البدنية والعقلية بروح قوية من التضامن، لا سيما التضامن مع أفقر الناس ومع الأشخاص الذين يعيشون في حالات ضعف،</w:t>
      </w:r>
    </w:p>
    <w:p w14:paraId="433E8FDE" w14:textId="77777777" w:rsidR="00185828" w:rsidRPr="00185828" w:rsidRDefault="00185828" w:rsidP="00185828">
      <w:pPr>
        <w:pStyle w:val="SingleTxtGA"/>
        <w:rPr>
          <w:rFonts w:eastAsiaTheme="minorEastAsia"/>
          <w:rtl/>
        </w:rPr>
      </w:pPr>
      <w:r w:rsidRPr="00C34B2C">
        <w:rPr>
          <w:rFonts w:eastAsiaTheme="minorEastAsia"/>
          <w:i/>
          <w:iCs/>
          <w:rtl/>
        </w:rPr>
        <w:tab/>
        <w:t>وإذ يؤكد من جديد</w:t>
      </w:r>
      <w:r w:rsidRPr="00185828">
        <w:rPr>
          <w:rFonts w:eastAsiaTheme="minorEastAsia"/>
          <w:rtl/>
        </w:rPr>
        <w:t xml:space="preserve"> قرار الجمعية العامة </w:t>
      </w:r>
      <w:r w:rsidRPr="00C34B2C">
        <w:rPr>
          <w:rFonts w:eastAsiaTheme="minorEastAsia"/>
          <w:rtl/>
        </w:rPr>
        <w:t>70</w:t>
      </w:r>
      <w:r w:rsidRPr="00185828">
        <w:rPr>
          <w:rFonts w:eastAsiaTheme="minorEastAsia"/>
          <w:rtl/>
        </w:rPr>
        <w:t>/</w:t>
      </w:r>
      <w:r w:rsidRPr="00C34B2C">
        <w:rPr>
          <w:rFonts w:eastAsiaTheme="minorEastAsia"/>
          <w:rtl/>
        </w:rPr>
        <w:t>1</w:t>
      </w:r>
      <w:r w:rsidRPr="00185828">
        <w:rPr>
          <w:rFonts w:eastAsiaTheme="minorEastAsia"/>
          <w:rtl/>
        </w:rPr>
        <w:t xml:space="preserve"> المؤرخ </w:t>
      </w:r>
      <w:r w:rsidRPr="00C34B2C">
        <w:rPr>
          <w:rFonts w:eastAsiaTheme="minorEastAsia"/>
          <w:rtl/>
        </w:rPr>
        <w:t>25</w:t>
      </w:r>
      <w:r w:rsidRPr="00185828">
        <w:rPr>
          <w:rFonts w:eastAsiaTheme="minorEastAsia"/>
          <w:rtl/>
        </w:rPr>
        <w:t xml:space="preserve"> أيلول/سبتمبر </w:t>
      </w:r>
      <w:r w:rsidRPr="00C34B2C">
        <w:rPr>
          <w:rFonts w:eastAsiaTheme="minorEastAsia"/>
          <w:rtl/>
        </w:rPr>
        <w:t>2015</w:t>
      </w:r>
      <w:r w:rsidRPr="00185828">
        <w:rPr>
          <w:rFonts w:eastAsiaTheme="minorEastAsia"/>
          <w:rtl/>
        </w:rPr>
        <w:t>، المعنون "تحويل عالمنا: خطة التنمية المستدامة لعام </w:t>
      </w:r>
      <w:r w:rsidRPr="00C34B2C">
        <w:rPr>
          <w:rFonts w:eastAsiaTheme="minorEastAsia"/>
          <w:rtl/>
        </w:rPr>
        <w:t>2030</w:t>
      </w:r>
      <w:r w:rsidRPr="00185828">
        <w:rPr>
          <w:rFonts w:eastAsiaTheme="minorEastAsia"/>
          <w:rtl/>
        </w:rPr>
        <w:t xml:space="preserve">"، ويرحب بأهداف التنمية المستدامة، ومنها بالأخص الهدف </w:t>
      </w:r>
      <w:r w:rsidRPr="00C34B2C">
        <w:rPr>
          <w:rFonts w:eastAsiaTheme="minorEastAsia"/>
          <w:rtl/>
        </w:rPr>
        <w:t>3</w:t>
      </w:r>
      <w:r w:rsidRPr="00185828">
        <w:rPr>
          <w:rFonts w:eastAsiaTheme="minorEastAsia"/>
          <w:rtl/>
        </w:rPr>
        <w:t xml:space="preserve"> بشأن كفالة تمتع الجميع بأنماط عيش صحية وبالرفاهية في جميع الأعمار، وغاياته المحددة والمترابطة، والأهداف والغايات الأخرى المتصلة بالصحة،</w:t>
      </w:r>
    </w:p>
    <w:p w14:paraId="5222098B" w14:textId="77777777" w:rsidR="00185828" w:rsidRPr="00185828" w:rsidRDefault="00185828" w:rsidP="00185828">
      <w:pPr>
        <w:pStyle w:val="SingleTxtGA"/>
        <w:rPr>
          <w:rFonts w:eastAsiaTheme="minorEastAsia"/>
          <w:rtl/>
        </w:rPr>
      </w:pPr>
      <w:r w:rsidRPr="00C34B2C">
        <w:rPr>
          <w:rFonts w:eastAsiaTheme="minorEastAsia"/>
          <w:i/>
          <w:iCs/>
          <w:rtl/>
        </w:rPr>
        <w:lastRenderedPageBreak/>
        <w:tab/>
        <w:t>وإذ يُذكّر</w:t>
      </w:r>
      <w:r w:rsidRPr="00185828">
        <w:rPr>
          <w:rFonts w:eastAsiaTheme="minorEastAsia"/>
          <w:rtl/>
        </w:rPr>
        <w:t xml:space="preserve"> بقرارات مجلس حقوق الإنسان </w:t>
      </w:r>
      <w:r w:rsidRPr="00C34B2C">
        <w:rPr>
          <w:rFonts w:eastAsiaTheme="minorEastAsia"/>
          <w:rtl/>
        </w:rPr>
        <w:t>6</w:t>
      </w:r>
      <w:r w:rsidRPr="00185828">
        <w:rPr>
          <w:rFonts w:eastAsiaTheme="minorEastAsia"/>
          <w:rtl/>
        </w:rPr>
        <w:t>/</w:t>
      </w:r>
      <w:r w:rsidRPr="00C34B2C">
        <w:rPr>
          <w:rFonts w:eastAsiaTheme="minorEastAsia"/>
          <w:rtl/>
        </w:rPr>
        <w:t>29</w:t>
      </w:r>
      <w:r w:rsidRPr="00185828">
        <w:rPr>
          <w:rFonts w:eastAsiaTheme="minorEastAsia"/>
          <w:rtl/>
        </w:rPr>
        <w:t xml:space="preserve"> المؤرخ </w:t>
      </w:r>
      <w:r w:rsidRPr="00C34B2C">
        <w:rPr>
          <w:rFonts w:eastAsiaTheme="minorEastAsia"/>
          <w:rtl/>
        </w:rPr>
        <w:t>14</w:t>
      </w:r>
      <w:r w:rsidRPr="00185828">
        <w:rPr>
          <w:rFonts w:eastAsiaTheme="minorEastAsia"/>
          <w:rtl/>
        </w:rPr>
        <w:t xml:space="preserve"> كانون الأول/ديسمبر </w:t>
      </w:r>
      <w:r w:rsidRPr="00C34B2C">
        <w:rPr>
          <w:rFonts w:eastAsiaTheme="minorEastAsia"/>
          <w:rtl/>
        </w:rPr>
        <w:t>2007</w:t>
      </w:r>
      <w:r w:rsidRPr="00185828">
        <w:rPr>
          <w:rFonts w:eastAsiaTheme="minorEastAsia"/>
          <w:rtl/>
        </w:rPr>
        <w:t xml:space="preserve">، </w:t>
      </w:r>
      <w:proofErr w:type="spellStart"/>
      <w:r w:rsidRPr="00185828">
        <w:rPr>
          <w:rFonts w:eastAsiaTheme="minorEastAsia"/>
          <w:rtl/>
        </w:rPr>
        <w:t>و</w:t>
      </w:r>
      <w:r w:rsidRPr="00C34B2C">
        <w:rPr>
          <w:rFonts w:eastAsiaTheme="minorEastAsia"/>
          <w:rtl/>
        </w:rPr>
        <w:t>15</w:t>
      </w:r>
      <w:proofErr w:type="spellEnd"/>
      <w:r w:rsidRPr="00185828">
        <w:rPr>
          <w:rFonts w:eastAsiaTheme="minorEastAsia"/>
          <w:rtl/>
        </w:rPr>
        <w:t>/</w:t>
      </w:r>
      <w:r w:rsidRPr="00C34B2C">
        <w:rPr>
          <w:rFonts w:eastAsiaTheme="minorEastAsia"/>
          <w:rtl/>
        </w:rPr>
        <w:t>22</w:t>
      </w:r>
      <w:r w:rsidRPr="00185828">
        <w:rPr>
          <w:rFonts w:eastAsiaTheme="minorEastAsia"/>
          <w:rtl/>
        </w:rPr>
        <w:t xml:space="preserve"> المؤرخ </w:t>
      </w:r>
      <w:r w:rsidRPr="00C34B2C">
        <w:rPr>
          <w:rFonts w:eastAsiaTheme="minorEastAsia"/>
          <w:rtl/>
        </w:rPr>
        <w:t>27</w:t>
      </w:r>
      <w:r w:rsidRPr="00185828">
        <w:rPr>
          <w:rFonts w:eastAsiaTheme="minorEastAsia"/>
          <w:rtl/>
        </w:rPr>
        <w:t xml:space="preserve"> أيلول/سبتمبر </w:t>
      </w:r>
      <w:r w:rsidRPr="00C34B2C">
        <w:rPr>
          <w:rFonts w:eastAsiaTheme="minorEastAsia"/>
          <w:rtl/>
        </w:rPr>
        <w:t>2010</w:t>
      </w:r>
      <w:r w:rsidRPr="00185828">
        <w:rPr>
          <w:rFonts w:eastAsiaTheme="minorEastAsia"/>
          <w:rtl/>
        </w:rPr>
        <w:t xml:space="preserve">، </w:t>
      </w:r>
      <w:proofErr w:type="spellStart"/>
      <w:r w:rsidRPr="00185828">
        <w:rPr>
          <w:rFonts w:eastAsiaTheme="minorEastAsia"/>
          <w:rtl/>
        </w:rPr>
        <w:t>و</w:t>
      </w:r>
      <w:r w:rsidRPr="00C34B2C">
        <w:rPr>
          <w:rFonts w:eastAsiaTheme="minorEastAsia"/>
          <w:rtl/>
        </w:rPr>
        <w:t>24</w:t>
      </w:r>
      <w:proofErr w:type="spellEnd"/>
      <w:r w:rsidRPr="00185828">
        <w:rPr>
          <w:rFonts w:eastAsiaTheme="minorEastAsia"/>
          <w:rtl/>
        </w:rPr>
        <w:t>/</w:t>
      </w:r>
      <w:r w:rsidRPr="00C34B2C">
        <w:rPr>
          <w:rFonts w:eastAsiaTheme="minorEastAsia"/>
          <w:rtl/>
        </w:rPr>
        <w:t>6</w:t>
      </w:r>
      <w:r w:rsidRPr="00185828">
        <w:rPr>
          <w:rFonts w:eastAsiaTheme="minorEastAsia"/>
          <w:rtl/>
        </w:rPr>
        <w:t xml:space="preserve"> المؤرخ </w:t>
      </w:r>
      <w:r w:rsidRPr="00C34B2C">
        <w:rPr>
          <w:rFonts w:eastAsiaTheme="minorEastAsia"/>
          <w:rtl/>
        </w:rPr>
        <w:t>8</w:t>
      </w:r>
      <w:r w:rsidRPr="00185828">
        <w:rPr>
          <w:rFonts w:eastAsiaTheme="minorEastAsia"/>
          <w:rtl/>
        </w:rPr>
        <w:t xml:space="preserve"> تشرين الأول/أكتوبر </w:t>
      </w:r>
      <w:r w:rsidRPr="00C34B2C">
        <w:rPr>
          <w:rFonts w:eastAsiaTheme="minorEastAsia"/>
          <w:rtl/>
        </w:rPr>
        <w:t>2013</w:t>
      </w:r>
      <w:r w:rsidRPr="00185828">
        <w:rPr>
          <w:rFonts w:eastAsiaTheme="minorEastAsia"/>
          <w:rtl/>
        </w:rPr>
        <w:t xml:space="preserve">، </w:t>
      </w:r>
      <w:proofErr w:type="spellStart"/>
      <w:r w:rsidRPr="00185828">
        <w:rPr>
          <w:rFonts w:eastAsiaTheme="minorEastAsia"/>
          <w:rtl/>
        </w:rPr>
        <w:t>و</w:t>
      </w:r>
      <w:r w:rsidRPr="00C34B2C">
        <w:rPr>
          <w:rFonts w:eastAsiaTheme="minorEastAsia"/>
          <w:rtl/>
        </w:rPr>
        <w:t>33</w:t>
      </w:r>
      <w:proofErr w:type="spellEnd"/>
      <w:r w:rsidRPr="00185828">
        <w:rPr>
          <w:rFonts w:eastAsiaTheme="minorEastAsia"/>
          <w:rtl/>
        </w:rPr>
        <w:t>/</w:t>
      </w:r>
      <w:r w:rsidRPr="00C34B2C">
        <w:rPr>
          <w:rFonts w:eastAsiaTheme="minorEastAsia"/>
          <w:rtl/>
        </w:rPr>
        <w:t>9</w:t>
      </w:r>
      <w:r w:rsidRPr="00185828">
        <w:rPr>
          <w:rFonts w:eastAsiaTheme="minorEastAsia"/>
          <w:rtl/>
        </w:rPr>
        <w:t xml:space="preserve"> المؤرخ </w:t>
      </w:r>
      <w:r w:rsidRPr="00C34B2C">
        <w:rPr>
          <w:rFonts w:eastAsiaTheme="minorEastAsia"/>
          <w:rtl/>
        </w:rPr>
        <w:t>29</w:t>
      </w:r>
      <w:r w:rsidRPr="00185828">
        <w:rPr>
          <w:rFonts w:eastAsiaTheme="minorEastAsia"/>
          <w:rtl/>
        </w:rPr>
        <w:t xml:space="preserve"> أيلول/سبتمبر </w:t>
      </w:r>
      <w:r w:rsidRPr="00C34B2C">
        <w:rPr>
          <w:rFonts w:eastAsiaTheme="minorEastAsia"/>
          <w:rtl/>
        </w:rPr>
        <w:t>2016</w:t>
      </w:r>
      <w:r w:rsidRPr="00185828">
        <w:rPr>
          <w:rFonts w:eastAsiaTheme="minorEastAsia"/>
          <w:rtl/>
        </w:rPr>
        <w:t xml:space="preserve">، </w:t>
      </w:r>
      <w:proofErr w:type="spellStart"/>
      <w:r w:rsidRPr="00185828">
        <w:rPr>
          <w:rFonts w:eastAsiaTheme="minorEastAsia"/>
          <w:rtl/>
        </w:rPr>
        <w:t>و</w:t>
      </w:r>
      <w:r w:rsidRPr="00C34B2C">
        <w:rPr>
          <w:rFonts w:eastAsiaTheme="minorEastAsia"/>
          <w:rtl/>
        </w:rPr>
        <w:t>42</w:t>
      </w:r>
      <w:proofErr w:type="spellEnd"/>
      <w:r w:rsidRPr="00185828">
        <w:rPr>
          <w:rFonts w:eastAsiaTheme="minorEastAsia"/>
          <w:rtl/>
        </w:rPr>
        <w:t>/</w:t>
      </w:r>
      <w:r w:rsidRPr="00C34B2C">
        <w:rPr>
          <w:rFonts w:eastAsiaTheme="minorEastAsia"/>
          <w:rtl/>
        </w:rPr>
        <w:t>16</w:t>
      </w:r>
      <w:r w:rsidRPr="00185828">
        <w:rPr>
          <w:rFonts w:eastAsiaTheme="minorEastAsia"/>
          <w:rtl/>
        </w:rPr>
        <w:t xml:space="preserve"> المؤرخ </w:t>
      </w:r>
      <w:r w:rsidRPr="00C34B2C">
        <w:rPr>
          <w:rFonts w:eastAsiaTheme="minorEastAsia"/>
          <w:rtl/>
        </w:rPr>
        <w:t>26</w:t>
      </w:r>
      <w:r w:rsidRPr="00185828">
        <w:rPr>
          <w:rFonts w:eastAsiaTheme="minorEastAsia"/>
          <w:rtl/>
        </w:rPr>
        <w:t xml:space="preserve"> أيلول/سبتمبر </w:t>
      </w:r>
      <w:r w:rsidRPr="00C34B2C">
        <w:rPr>
          <w:rFonts w:eastAsiaTheme="minorEastAsia"/>
          <w:rtl/>
        </w:rPr>
        <w:t>2019</w:t>
      </w:r>
      <w:r w:rsidRPr="00185828">
        <w:rPr>
          <w:rFonts w:eastAsiaTheme="minorEastAsia" w:hint="cs"/>
          <w:rtl/>
        </w:rPr>
        <w:t>،</w:t>
      </w:r>
      <w:r w:rsidRPr="00185828">
        <w:rPr>
          <w:rFonts w:eastAsiaTheme="minorEastAsia"/>
          <w:rtl/>
        </w:rPr>
        <w:t xml:space="preserve"> وبجميع القرارات السابقة الصادرة عن لجنة حقوق الإنسان ومجلس حقوق الإنسان بشأن إعمال حق كل إنسان في التمتع بأعلى مستوى ممكن من الصحة البدنية والعقلية،</w:t>
      </w:r>
    </w:p>
    <w:p w14:paraId="7ED507C9" w14:textId="77777777" w:rsidR="00185828" w:rsidRPr="00185828" w:rsidRDefault="00185828" w:rsidP="00185828">
      <w:pPr>
        <w:pStyle w:val="SingleTxtGA"/>
        <w:rPr>
          <w:rFonts w:eastAsiaTheme="minorEastAsia"/>
          <w:rtl/>
        </w:rPr>
      </w:pPr>
      <w:r w:rsidRPr="00C34B2C">
        <w:rPr>
          <w:rFonts w:eastAsiaTheme="minorEastAsia"/>
          <w:i/>
          <w:iCs/>
          <w:rtl/>
        </w:rPr>
        <w:tab/>
        <w:t>وإذ يُسلم</w:t>
      </w:r>
      <w:r w:rsidRPr="00C34B2C">
        <w:rPr>
          <w:rFonts w:eastAsiaTheme="minorEastAsia"/>
          <w:rtl/>
        </w:rPr>
        <w:t xml:space="preserve"> بضرورة قيام الدول، بالتعاون مع المنظمات الدولية والمجتمع المدني، بما في ذلك المنظمات غير الحكومية والقطاع الخاص، بتهيئة الظروف المواتية على الصعيد الوطني والإقليمي والدولي لضمان تمتع كل إنسان تمتعاً كاملاً وفعلياً بالحق في أعلى مستوى ممكن من الصحة البدنية والعقلية، وبمعالجة المحددات الأساسية والاجتماعية للصحة،</w:t>
      </w:r>
    </w:p>
    <w:p w14:paraId="4D98B89C" w14:textId="070CFAFA" w:rsidR="00185828" w:rsidRPr="00185828" w:rsidRDefault="00185828" w:rsidP="00185828">
      <w:pPr>
        <w:pStyle w:val="SingleTxtGA"/>
        <w:rPr>
          <w:rFonts w:eastAsiaTheme="minorEastAsia"/>
          <w:rtl/>
        </w:rPr>
      </w:pPr>
      <w:r w:rsidRPr="00C34B2C">
        <w:rPr>
          <w:rFonts w:eastAsiaTheme="minorEastAsia"/>
          <w:i/>
          <w:iCs/>
          <w:rtl/>
        </w:rPr>
        <w:tab/>
        <w:t>وإذ يشير</w:t>
      </w:r>
      <w:r w:rsidRPr="00185828">
        <w:rPr>
          <w:rFonts w:eastAsiaTheme="minorEastAsia"/>
          <w:rtl/>
        </w:rPr>
        <w:t xml:space="preserve"> إلى قراري مجلس حقوق الإنسان </w:t>
      </w:r>
      <w:r w:rsidRPr="00C34B2C">
        <w:rPr>
          <w:rFonts w:eastAsiaTheme="minorEastAsia"/>
          <w:rtl/>
        </w:rPr>
        <w:t>5</w:t>
      </w:r>
      <w:r w:rsidRPr="00185828">
        <w:rPr>
          <w:rFonts w:eastAsiaTheme="minorEastAsia"/>
          <w:rtl/>
        </w:rPr>
        <w:t>/</w:t>
      </w:r>
      <w:r w:rsidRPr="00C34B2C">
        <w:rPr>
          <w:rFonts w:eastAsiaTheme="minorEastAsia"/>
          <w:rtl/>
        </w:rPr>
        <w:t>1</w:t>
      </w:r>
      <w:r w:rsidRPr="00185828">
        <w:rPr>
          <w:rFonts w:eastAsiaTheme="minorEastAsia"/>
          <w:rtl/>
        </w:rPr>
        <w:t xml:space="preserve">، بشأن بناء مؤسسات المجلس </w:t>
      </w:r>
      <w:proofErr w:type="spellStart"/>
      <w:r w:rsidRPr="00185828">
        <w:rPr>
          <w:rFonts w:eastAsiaTheme="minorEastAsia"/>
          <w:rtl/>
        </w:rPr>
        <w:t>و</w:t>
      </w:r>
      <w:r w:rsidRPr="00C34B2C">
        <w:rPr>
          <w:rFonts w:eastAsiaTheme="minorEastAsia"/>
          <w:rtl/>
        </w:rPr>
        <w:t>5</w:t>
      </w:r>
      <w:proofErr w:type="spellEnd"/>
      <w:r w:rsidRPr="00185828">
        <w:rPr>
          <w:rFonts w:eastAsiaTheme="minorEastAsia"/>
          <w:rtl/>
        </w:rPr>
        <w:t>/</w:t>
      </w:r>
      <w:r w:rsidRPr="00C34B2C">
        <w:rPr>
          <w:rFonts w:eastAsiaTheme="minorEastAsia"/>
          <w:rtl/>
        </w:rPr>
        <w:t>2</w:t>
      </w:r>
      <w:r w:rsidRPr="00185828">
        <w:rPr>
          <w:rFonts w:eastAsiaTheme="minorEastAsia"/>
          <w:rtl/>
        </w:rPr>
        <w:t>، بشأن</w:t>
      </w:r>
      <w:r w:rsidR="002237FD">
        <w:rPr>
          <w:rFonts w:eastAsiaTheme="minorEastAsia" w:hint="cs"/>
          <w:rtl/>
        </w:rPr>
        <w:t xml:space="preserve"> </w:t>
      </w:r>
      <w:r w:rsidRPr="00185828">
        <w:rPr>
          <w:rFonts w:eastAsiaTheme="minorEastAsia"/>
          <w:rtl/>
        </w:rPr>
        <w:t xml:space="preserve">مدونة قواعد السلوك لأصحاب الولايات في إطار الإجراءات الخاصة للمجلس، المؤرخيْن </w:t>
      </w:r>
      <w:r w:rsidRPr="00C34B2C">
        <w:rPr>
          <w:rFonts w:eastAsiaTheme="minorEastAsia"/>
          <w:rtl/>
        </w:rPr>
        <w:t>18</w:t>
      </w:r>
      <w:r w:rsidRPr="00185828">
        <w:rPr>
          <w:rFonts w:eastAsiaTheme="minorEastAsia"/>
          <w:rtl/>
        </w:rPr>
        <w:t xml:space="preserve"> حزيران</w:t>
      </w:r>
      <w:proofErr w:type="gramStart"/>
      <w:r w:rsidRPr="00185828">
        <w:rPr>
          <w:rFonts w:eastAsiaTheme="minorEastAsia"/>
          <w:rtl/>
        </w:rPr>
        <w:t>/</w:t>
      </w:r>
      <w:r w:rsidR="002237FD">
        <w:rPr>
          <w:rFonts w:eastAsiaTheme="minorEastAsia" w:hint="cs"/>
          <w:rtl/>
        </w:rPr>
        <w:t xml:space="preserve">  </w:t>
      </w:r>
      <w:r w:rsidRPr="00185828">
        <w:rPr>
          <w:rFonts w:eastAsiaTheme="minorEastAsia"/>
          <w:rtl/>
        </w:rPr>
        <w:t>يونيه</w:t>
      </w:r>
      <w:proofErr w:type="gramEnd"/>
      <w:r w:rsidRPr="00185828">
        <w:rPr>
          <w:rFonts w:eastAsiaTheme="minorEastAsia"/>
          <w:rtl/>
        </w:rPr>
        <w:t xml:space="preserve"> </w:t>
      </w:r>
      <w:r w:rsidRPr="00C34B2C">
        <w:rPr>
          <w:rFonts w:eastAsiaTheme="minorEastAsia"/>
          <w:rtl/>
        </w:rPr>
        <w:t>2007</w:t>
      </w:r>
      <w:r w:rsidRPr="00185828">
        <w:rPr>
          <w:rFonts w:eastAsiaTheme="minorEastAsia"/>
          <w:rtl/>
        </w:rPr>
        <w:t>، وإذ يشدد على أن يضطلع المكلف(ة) بالولاية بواجباته(ا) وفقاً لهذين القرارين</w:t>
      </w:r>
      <w:r w:rsidR="002237FD">
        <w:rPr>
          <w:rFonts w:eastAsiaTheme="minorEastAsia" w:hint="cs"/>
          <w:rtl/>
        </w:rPr>
        <w:t xml:space="preserve"> </w:t>
      </w:r>
      <w:r w:rsidRPr="00185828">
        <w:rPr>
          <w:rFonts w:eastAsiaTheme="minorEastAsia"/>
          <w:rtl/>
        </w:rPr>
        <w:t>ومرفقيهما</w:t>
      </w:r>
      <w:r w:rsidRPr="00185828">
        <w:rPr>
          <w:rFonts w:eastAsiaTheme="minorEastAsia" w:hint="cs"/>
          <w:rtl/>
        </w:rPr>
        <w:t>،</w:t>
      </w:r>
    </w:p>
    <w:p w14:paraId="76EF059F" w14:textId="77777777"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1</w:t>
      </w:r>
      <w:r w:rsidRPr="00185828">
        <w:rPr>
          <w:rFonts w:eastAsiaTheme="minorEastAsia"/>
          <w:rtl/>
        </w:rPr>
        <w:t>-</w:t>
      </w:r>
      <w:r w:rsidRPr="00C34B2C">
        <w:rPr>
          <w:rFonts w:eastAsiaTheme="minorEastAsia"/>
          <w:i/>
          <w:iCs/>
          <w:rtl/>
        </w:rPr>
        <w:tab/>
        <w:t>يرحب</w:t>
      </w:r>
      <w:r w:rsidRPr="00185828">
        <w:rPr>
          <w:rFonts w:eastAsiaTheme="minorEastAsia"/>
          <w:rtl/>
        </w:rPr>
        <w:t xml:space="preserve"> بعمل المقررة الخاصة المعنية بحق كل فرد في التمتع بأعلى مستوى ممكن من الصحة البدنية والعقلية؛</w:t>
      </w:r>
    </w:p>
    <w:p w14:paraId="39789E28" w14:textId="09F24AB3"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2</w:t>
      </w:r>
      <w:r w:rsidRPr="00185828">
        <w:rPr>
          <w:rFonts w:eastAsiaTheme="minorEastAsia"/>
          <w:rtl/>
        </w:rPr>
        <w:t>-</w:t>
      </w:r>
      <w:r w:rsidRPr="00C34B2C">
        <w:rPr>
          <w:rFonts w:eastAsiaTheme="minorEastAsia"/>
          <w:i/>
          <w:iCs/>
          <w:rtl/>
        </w:rPr>
        <w:tab/>
        <w:t>يحيط علماً</w:t>
      </w:r>
      <w:r w:rsidRPr="00185828">
        <w:rPr>
          <w:rFonts w:eastAsiaTheme="minorEastAsia"/>
          <w:rtl/>
        </w:rPr>
        <w:t xml:space="preserve"> بتقارير المقررة الخاصة المقدمة إلى مجلس حقوق الإنسان في دورتيه السابعة والأربعين والخمسين</w:t>
      </w:r>
      <w:r w:rsidRPr="00C34B2C">
        <w:rPr>
          <w:rFonts w:eastAsiaTheme="minorEastAsia"/>
          <w:vertAlign w:val="superscript"/>
          <w:rtl/>
          <w:lang w:val="en-US"/>
        </w:rPr>
        <w:t>(</w:t>
      </w:r>
      <w:r w:rsidRPr="00C34B2C">
        <w:rPr>
          <w:rFonts w:eastAsiaTheme="minorEastAsia"/>
          <w:vertAlign w:val="superscript"/>
          <w:lang w:val="en-US"/>
        </w:rPr>
        <w:footnoteReference w:id="1"/>
      </w:r>
      <w:r w:rsidRPr="00185828">
        <w:rPr>
          <w:rFonts w:eastAsiaTheme="minorEastAsia"/>
          <w:vertAlign w:val="superscript"/>
          <w:rtl/>
        </w:rPr>
        <w:t>)</w:t>
      </w:r>
      <w:r w:rsidRPr="00185828">
        <w:rPr>
          <w:rFonts w:eastAsiaTheme="minorEastAsia"/>
          <w:rtl/>
        </w:rPr>
        <w:t>، وإلى الجمعية العامة في دورتيها السادسة والسبعين والسابعة والسبعين</w:t>
      </w:r>
      <w:r w:rsidRPr="00C34B2C">
        <w:rPr>
          <w:rFonts w:eastAsiaTheme="minorEastAsia"/>
          <w:vertAlign w:val="superscript"/>
          <w:rtl/>
          <w:lang w:val="en-US"/>
        </w:rPr>
        <w:t>(</w:t>
      </w:r>
      <w:r w:rsidRPr="00C34B2C">
        <w:rPr>
          <w:rFonts w:eastAsiaTheme="minorEastAsia"/>
          <w:vertAlign w:val="superscript"/>
          <w:lang w:val="en-US"/>
        </w:rPr>
        <w:footnoteReference w:id="2"/>
      </w:r>
      <w:r w:rsidRPr="00185828">
        <w:rPr>
          <w:rFonts w:eastAsiaTheme="minorEastAsia"/>
          <w:vertAlign w:val="superscript"/>
          <w:rtl/>
        </w:rPr>
        <w:t>)</w:t>
      </w:r>
      <w:r w:rsidRPr="00185828">
        <w:rPr>
          <w:rFonts w:eastAsiaTheme="minorEastAsia"/>
          <w:rtl/>
        </w:rPr>
        <w:t>؛</w:t>
      </w:r>
    </w:p>
    <w:p w14:paraId="7FA2A7AE" w14:textId="635838E6"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3</w:t>
      </w:r>
      <w:r w:rsidRPr="00185828">
        <w:rPr>
          <w:rFonts w:eastAsiaTheme="minorEastAsia"/>
          <w:rtl/>
        </w:rPr>
        <w:t>-</w:t>
      </w:r>
      <w:r w:rsidRPr="00C34B2C">
        <w:rPr>
          <w:rFonts w:eastAsiaTheme="minorEastAsia"/>
          <w:i/>
          <w:iCs/>
          <w:rtl/>
        </w:rPr>
        <w:tab/>
        <w:t>يقرر</w:t>
      </w:r>
      <w:r w:rsidRPr="00185828">
        <w:rPr>
          <w:rFonts w:eastAsiaTheme="minorEastAsia"/>
          <w:rtl/>
        </w:rPr>
        <w:t xml:space="preserve"> تمديد ولاية المقررة الخاصة المعنية بحق كل فرد في التمتع بأعلى مستوى ممكن من الصحة البدنية والعقلية، وفقاً لما قرره مجلس حقوق الإنسان في الفقرة </w:t>
      </w:r>
      <w:r w:rsidRPr="00C34B2C">
        <w:rPr>
          <w:rFonts w:eastAsiaTheme="minorEastAsia"/>
          <w:rtl/>
        </w:rPr>
        <w:t>1</w:t>
      </w:r>
      <w:r w:rsidRPr="00185828">
        <w:rPr>
          <w:rFonts w:eastAsiaTheme="minorEastAsia"/>
          <w:rtl/>
        </w:rPr>
        <w:t xml:space="preserve"> من قراره </w:t>
      </w:r>
      <w:r w:rsidRPr="00C34B2C">
        <w:rPr>
          <w:rFonts w:eastAsiaTheme="minorEastAsia"/>
          <w:rtl/>
        </w:rPr>
        <w:t>6</w:t>
      </w:r>
      <w:r w:rsidRPr="00185828">
        <w:rPr>
          <w:rFonts w:eastAsiaTheme="minorEastAsia"/>
          <w:rtl/>
        </w:rPr>
        <w:t>/</w:t>
      </w:r>
      <w:r w:rsidRPr="00C34B2C">
        <w:rPr>
          <w:rFonts w:eastAsiaTheme="minorEastAsia"/>
          <w:rtl/>
        </w:rPr>
        <w:t>29</w:t>
      </w:r>
      <w:r w:rsidRPr="00185828">
        <w:rPr>
          <w:rFonts w:eastAsiaTheme="minorEastAsia"/>
          <w:rtl/>
        </w:rPr>
        <w:t>، لفترة أخرى مدتها ثلاث سنوات؛</w:t>
      </w:r>
    </w:p>
    <w:p w14:paraId="1E07CD07" w14:textId="77777777"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4</w:t>
      </w:r>
      <w:r w:rsidRPr="00185828">
        <w:rPr>
          <w:rFonts w:eastAsiaTheme="minorEastAsia"/>
          <w:rtl/>
        </w:rPr>
        <w:t>-</w:t>
      </w:r>
      <w:r w:rsidRPr="00C34B2C">
        <w:rPr>
          <w:rFonts w:eastAsiaTheme="minorEastAsia"/>
          <w:i/>
          <w:iCs/>
          <w:rtl/>
        </w:rPr>
        <w:tab/>
        <w:t>يشجّع</w:t>
      </w:r>
      <w:r w:rsidRPr="00185828">
        <w:rPr>
          <w:rFonts w:eastAsiaTheme="minorEastAsia"/>
          <w:rtl/>
        </w:rPr>
        <w:t xml:space="preserve"> المقررة الخاصة على الاستمرار، في سياق اضطلاعها بولايتها، في مراعاة ودعم تحقيق أهداف وغايات التنمية المستدامة المتعلقة بالصحة؛</w:t>
      </w:r>
    </w:p>
    <w:p w14:paraId="2C51411D" w14:textId="77777777"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5</w:t>
      </w:r>
      <w:r w:rsidRPr="00185828">
        <w:rPr>
          <w:rFonts w:eastAsiaTheme="minorEastAsia"/>
          <w:rtl/>
        </w:rPr>
        <w:t>-</w:t>
      </w:r>
      <w:r w:rsidRPr="00C34B2C">
        <w:rPr>
          <w:rFonts w:eastAsiaTheme="minorEastAsia"/>
          <w:i/>
          <w:iCs/>
          <w:rtl/>
        </w:rPr>
        <w:tab/>
        <w:t>يطلب</w:t>
      </w:r>
      <w:r w:rsidRPr="00185828">
        <w:rPr>
          <w:rFonts w:eastAsiaTheme="minorEastAsia"/>
          <w:rtl/>
        </w:rPr>
        <w:t xml:space="preserve"> إلى جميع الحكومات التعاون مع المقررة الخاصة تعاوناً كاملاً في أدائها المهام والواجبات التي كُلّفت بها، وإيلاء الاعتبار الواجب للتوصيات التي تقدمها المكلفة بالولاية؛</w:t>
      </w:r>
    </w:p>
    <w:p w14:paraId="443BB885" w14:textId="77777777"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6</w:t>
      </w:r>
      <w:r w:rsidRPr="00185828">
        <w:rPr>
          <w:rFonts w:eastAsiaTheme="minorEastAsia"/>
          <w:rtl/>
        </w:rPr>
        <w:t>-</w:t>
      </w:r>
      <w:r w:rsidRPr="00C34B2C">
        <w:rPr>
          <w:rFonts w:eastAsiaTheme="minorEastAsia"/>
          <w:i/>
          <w:iCs/>
          <w:rtl/>
        </w:rPr>
        <w:tab/>
        <w:t>يشجّع</w:t>
      </w:r>
      <w:r w:rsidRPr="00185828">
        <w:rPr>
          <w:rFonts w:eastAsiaTheme="minorEastAsia"/>
          <w:rtl/>
        </w:rPr>
        <w:t xml:space="preserve"> جميع الحكومات على النظر بجدية في تلبية الطلبات التي تقدمها المقررة الخاصة لزيارة بلدانها لتمكين المكلفة بالولاية من الاضطلاع بولايتها بفعالية؛</w:t>
      </w:r>
    </w:p>
    <w:p w14:paraId="02D4EE24" w14:textId="661DC54D"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7</w:t>
      </w:r>
      <w:r w:rsidRPr="00185828">
        <w:rPr>
          <w:rFonts w:eastAsiaTheme="minorEastAsia"/>
          <w:rtl/>
        </w:rPr>
        <w:t>-</w:t>
      </w:r>
      <w:r w:rsidRPr="00C34B2C">
        <w:rPr>
          <w:rFonts w:eastAsiaTheme="minorEastAsia"/>
          <w:i/>
          <w:iCs/>
          <w:rtl/>
        </w:rPr>
        <w:tab/>
        <w:t>يطلب</w:t>
      </w:r>
      <w:r w:rsidRPr="00185828">
        <w:rPr>
          <w:rFonts w:eastAsiaTheme="minorEastAsia"/>
          <w:rtl/>
        </w:rPr>
        <w:t xml:space="preserve"> إلى الأمين العام ومفوض الأمم المتحدة السامي لحقوق الإنسان مواصلة توفير جميع الموارد اللازمة للاضطلاع بولاية المقررة الخاصة بفعالية، بما في ذلك في الجهود الرامية إلى تحقيق أهداف وغايات التنمية المستدامة المتصلة بالصحة، التي اصطدمت بجائحة مرض فيروس كورونا (كوفيد-</w:t>
      </w:r>
      <w:r w:rsidRPr="00C34B2C">
        <w:rPr>
          <w:rFonts w:eastAsiaTheme="minorEastAsia"/>
          <w:rtl/>
        </w:rPr>
        <w:t>19</w:t>
      </w:r>
      <w:r w:rsidRPr="00185828">
        <w:rPr>
          <w:rFonts w:eastAsiaTheme="minorEastAsia"/>
          <w:rtl/>
        </w:rPr>
        <w:t>)؛</w:t>
      </w:r>
    </w:p>
    <w:p w14:paraId="47A01699" w14:textId="3DC09D05" w:rsidR="00185828" w:rsidRPr="00185828" w:rsidRDefault="00185828" w:rsidP="00185828">
      <w:pPr>
        <w:pStyle w:val="SingleTxtGA"/>
        <w:rPr>
          <w:rFonts w:eastAsiaTheme="minorEastAsia"/>
          <w:rtl/>
        </w:rPr>
      </w:pPr>
      <w:r w:rsidRPr="00185828">
        <w:rPr>
          <w:rFonts w:eastAsiaTheme="minorEastAsia"/>
          <w:rtl/>
        </w:rPr>
        <w:tab/>
      </w:r>
      <w:r w:rsidRPr="00C34B2C">
        <w:rPr>
          <w:rFonts w:eastAsiaTheme="minorEastAsia"/>
          <w:rtl/>
        </w:rPr>
        <w:t>8</w:t>
      </w:r>
      <w:r w:rsidRPr="00185828">
        <w:rPr>
          <w:rFonts w:eastAsiaTheme="minorEastAsia"/>
          <w:rtl/>
        </w:rPr>
        <w:t>-</w:t>
      </w:r>
      <w:r w:rsidRPr="00C34B2C">
        <w:rPr>
          <w:rFonts w:eastAsiaTheme="minorEastAsia"/>
          <w:i/>
          <w:iCs/>
          <w:rtl/>
        </w:rPr>
        <w:tab/>
        <w:t>يطلب</w:t>
      </w:r>
      <w:r w:rsidRPr="00185828">
        <w:rPr>
          <w:rFonts w:eastAsiaTheme="minorEastAsia"/>
          <w:rtl/>
        </w:rPr>
        <w:t xml:space="preserve"> إلى المقررة الخاصة أن تقدم تقريراً سنوياً إلى مجلس حقوق الإنسان والجمعية العامة يغطي جميع الأنشطة التي اضطلعت بها فيما يتصل بالولاية، بغية تحقيق أقصى منفعة ممكنة من عملية تقديم التقارير؛</w:t>
      </w:r>
    </w:p>
    <w:p w14:paraId="1BF7A488" w14:textId="125F9C92" w:rsidR="00185828" w:rsidRPr="00185828" w:rsidRDefault="00185828" w:rsidP="00185828">
      <w:pPr>
        <w:pStyle w:val="SingleTxtGA"/>
        <w:rPr>
          <w:rFonts w:eastAsiaTheme="minorEastAsia"/>
          <w:rtl/>
          <w:lang w:val="en-US"/>
        </w:rPr>
      </w:pPr>
      <w:r w:rsidRPr="00185828">
        <w:rPr>
          <w:rFonts w:eastAsiaTheme="minorEastAsia"/>
          <w:rtl/>
        </w:rPr>
        <w:lastRenderedPageBreak/>
        <w:tab/>
      </w:r>
      <w:r w:rsidRPr="00C34B2C">
        <w:rPr>
          <w:rFonts w:eastAsiaTheme="minorEastAsia"/>
          <w:rtl/>
        </w:rPr>
        <w:t>9</w:t>
      </w:r>
      <w:r w:rsidRPr="00185828">
        <w:rPr>
          <w:rFonts w:eastAsiaTheme="minorEastAsia"/>
          <w:rtl/>
        </w:rPr>
        <w:t>-</w:t>
      </w:r>
      <w:r w:rsidRPr="00C34B2C">
        <w:rPr>
          <w:rFonts w:eastAsiaTheme="minorEastAsia"/>
          <w:i/>
          <w:iCs/>
          <w:rtl/>
        </w:rPr>
        <w:tab/>
        <w:t>يقرر</w:t>
      </w:r>
      <w:r w:rsidRPr="00185828">
        <w:rPr>
          <w:rFonts w:eastAsiaTheme="minorEastAsia"/>
          <w:rtl/>
        </w:rPr>
        <w:t xml:space="preserve"> مواصلة نظره في هذه المسألة في إطار البند نفسه من جدول الأعمال، وفقاً لبرنامج عمله.</w:t>
      </w:r>
    </w:p>
    <w:p w14:paraId="074F5984" w14:textId="199F6CDE" w:rsidR="00185828" w:rsidRPr="00C34B2C" w:rsidRDefault="00185828" w:rsidP="00AC5267">
      <w:pPr>
        <w:pStyle w:val="SingleTxtGA"/>
        <w:jc w:val="right"/>
        <w:rPr>
          <w:rFonts w:eastAsiaTheme="minorEastAsia"/>
          <w:i/>
          <w:iCs/>
          <w:rtl/>
        </w:rPr>
      </w:pPr>
      <w:r w:rsidRPr="00C34B2C">
        <w:rPr>
          <w:rFonts w:eastAsiaTheme="minorEastAsia"/>
          <w:i/>
          <w:iCs/>
          <w:rtl/>
        </w:rPr>
        <w:t>الجلسة 42</w:t>
      </w:r>
      <w:r w:rsidR="00AC5267">
        <w:rPr>
          <w:rFonts w:eastAsiaTheme="minorEastAsia"/>
          <w:i/>
          <w:iCs/>
          <w:rtl/>
        </w:rPr>
        <w:br/>
      </w:r>
      <w:r w:rsidRPr="00C34B2C">
        <w:rPr>
          <w:rFonts w:eastAsiaTheme="minorEastAsia"/>
          <w:i/>
          <w:iCs/>
          <w:rtl/>
        </w:rPr>
        <w:t>7 تشرين الأول/أكتوبر 2022</w:t>
      </w:r>
    </w:p>
    <w:p w14:paraId="0A29CABD" w14:textId="0BFD5882" w:rsidR="00185828" w:rsidRDefault="00185828" w:rsidP="00185828">
      <w:pPr>
        <w:pStyle w:val="SingleTxtGA"/>
        <w:rPr>
          <w:rFonts w:eastAsiaTheme="minorEastAsia"/>
          <w:rtl/>
        </w:rPr>
      </w:pPr>
      <w:r w:rsidRPr="00185828">
        <w:rPr>
          <w:rFonts w:eastAsiaTheme="minorEastAsia"/>
          <w:rtl/>
        </w:rPr>
        <w:t>[</w:t>
      </w:r>
      <w:r w:rsidRPr="00185828">
        <w:rPr>
          <w:rFonts w:eastAsiaTheme="minorEastAsia" w:hint="cs"/>
          <w:rtl/>
        </w:rPr>
        <w:t>اعتُمد من دون تصويت</w:t>
      </w:r>
      <w:r>
        <w:rPr>
          <w:rFonts w:eastAsiaTheme="minorEastAsia" w:hint="cs"/>
          <w:rtl/>
        </w:rPr>
        <w:t>.</w:t>
      </w:r>
      <w:r w:rsidRPr="00185828">
        <w:rPr>
          <w:rFonts w:eastAsiaTheme="minorEastAsia"/>
          <w:rtl/>
        </w:rPr>
        <w:t>]</w:t>
      </w:r>
    </w:p>
    <w:p w14:paraId="041A2BBB" w14:textId="7B0C61B2" w:rsidR="00185828" w:rsidRPr="00185828" w:rsidRDefault="00185828" w:rsidP="00185828">
      <w:pPr>
        <w:pStyle w:val="SingleTxtGA"/>
        <w:jc w:val="center"/>
        <w:rPr>
          <w:u w:val="single"/>
          <w:rtl/>
        </w:rPr>
      </w:pPr>
      <w:r>
        <w:rPr>
          <w:u w:val="single"/>
          <w:rtl/>
        </w:rPr>
        <w:tab/>
      </w:r>
      <w:r>
        <w:rPr>
          <w:u w:val="single"/>
          <w:rtl/>
        </w:rPr>
        <w:tab/>
      </w:r>
      <w:r>
        <w:rPr>
          <w:u w:val="single"/>
          <w:rtl/>
        </w:rPr>
        <w:tab/>
      </w:r>
    </w:p>
    <w:sectPr w:rsidR="00185828" w:rsidRPr="00185828" w:rsidSect="001A1B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786D" w14:textId="77777777" w:rsidR="005478BC" w:rsidRPr="002901D9" w:rsidRDefault="005478BC" w:rsidP="00AD3834">
      <w:pPr>
        <w:spacing w:after="60" w:line="240" w:lineRule="auto"/>
        <w:ind w:left="57"/>
        <w:rPr>
          <w:i/>
          <w:iCs/>
        </w:rPr>
      </w:pPr>
      <w:r>
        <w:rPr>
          <w:rFonts w:hint="cs"/>
          <w:i/>
          <w:iCs/>
          <w:rtl/>
        </w:rPr>
        <w:t>الحواشي</w:t>
      </w:r>
    </w:p>
  </w:endnote>
  <w:endnote w:type="continuationSeparator" w:id="0">
    <w:p w14:paraId="0DD9C10A" w14:textId="77777777" w:rsidR="005478BC" w:rsidRDefault="005478B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5196" w14:textId="2FA5AB7A" w:rsidR="00F23615" w:rsidRPr="00F23615" w:rsidRDefault="00F23615" w:rsidP="00F23615">
    <w:pPr>
      <w:pStyle w:val="Footer"/>
      <w:tabs>
        <w:tab w:val="right" w:pos="9638"/>
      </w:tabs>
      <w:rPr>
        <w:b/>
        <w:sz w:val="18"/>
        <w:lang w:val="en-US"/>
      </w:rPr>
    </w:pPr>
    <w:proofErr w:type="spellStart"/>
    <w:r>
      <w:rPr>
        <w:lang w:val="en-US"/>
      </w:rPr>
      <w:t>GE.22</w:t>
    </w:r>
    <w:proofErr w:type="spellEnd"/>
    <w:r>
      <w:rPr>
        <w:lang w:val="en-US"/>
      </w:rPr>
      <w:t>-16504</w:t>
    </w:r>
    <w:r>
      <w:rPr>
        <w:lang w:val="en-US"/>
      </w:rPr>
      <w:tab/>
    </w:r>
    <w:r w:rsidRPr="00F23615">
      <w:rPr>
        <w:b/>
        <w:sz w:val="18"/>
        <w:lang w:val="en-US"/>
      </w:rPr>
      <w:fldChar w:fldCharType="begin"/>
    </w:r>
    <w:r w:rsidRPr="00F23615">
      <w:rPr>
        <w:b/>
        <w:sz w:val="18"/>
        <w:lang w:val="en-US"/>
      </w:rPr>
      <w:instrText xml:space="preserve"> PAGE  \* MERGEFORMAT </w:instrText>
    </w:r>
    <w:r w:rsidRPr="00F23615">
      <w:rPr>
        <w:b/>
        <w:sz w:val="18"/>
        <w:lang w:val="en-US"/>
      </w:rPr>
      <w:fldChar w:fldCharType="separate"/>
    </w:r>
    <w:r w:rsidRPr="00F23615">
      <w:rPr>
        <w:b/>
        <w:noProof/>
        <w:sz w:val="18"/>
        <w:lang w:val="en-US"/>
      </w:rPr>
      <w:t>2</w:t>
    </w:r>
    <w:r w:rsidRPr="00F2361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9566" w14:textId="248C7B88" w:rsidR="006959B0" w:rsidRPr="00F23615" w:rsidRDefault="00F23615" w:rsidP="00F2361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-16504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C74" w14:textId="572636CA" w:rsidR="00FD4BC9" w:rsidRPr="00F23615" w:rsidRDefault="00F23615" w:rsidP="00F23615">
    <w:pPr>
      <w:pStyle w:val="Footer"/>
      <w:spacing w:before="600"/>
      <w:ind w:left="567"/>
      <w:jc w:val="right"/>
      <w:rPr>
        <w:sz w:val="20"/>
        <w:lang w:val="en-US"/>
      </w:rPr>
    </w:pPr>
    <w:proofErr w:type="spellStart"/>
    <w:r>
      <w:rPr>
        <w:sz w:val="20"/>
        <w:lang w:val="en-US"/>
      </w:rPr>
      <w:t>GE.</w:t>
    </w:r>
    <w:r w:rsidR="00655884">
      <w:rPr>
        <w:noProof/>
      </w:rPr>
      <w:drawing>
        <wp:anchor distT="0" distB="0" distL="114300" distR="114300" simplePos="0" relativeHeight="251658240" behindDoc="1" locked="1" layoutInCell="0" allowOverlap="1" wp14:anchorId="008E80C6" wp14:editId="7A99195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-16504 (A)</w:t>
    </w:r>
    <w:r>
      <w:rPr>
        <w:noProof/>
        <w:sz w:val="20"/>
        <w:lang w:val="en-US"/>
      </w:rPr>
      <w:drawing>
        <wp:anchor distT="0" distB="0" distL="114300" distR="114300" simplePos="0" relativeHeight="251659264" behindDoc="0" locked="0" layoutInCell="1" allowOverlap="1" wp14:anchorId="7078820A" wp14:editId="49809DF6">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2681" w14:textId="77777777" w:rsidR="005478BC" w:rsidRPr="00A350CC" w:rsidRDefault="005478BC"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2F91B765" w14:textId="77777777" w:rsidR="005478BC" w:rsidRDefault="005478BC" w:rsidP="00656392">
      <w:pPr>
        <w:spacing w:line="240" w:lineRule="auto"/>
      </w:pPr>
      <w:r>
        <w:continuationSeparator/>
      </w:r>
    </w:p>
  </w:footnote>
  <w:footnote w:id="1">
    <w:p w14:paraId="423F82AB" w14:textId="77777777" w:rsidR="00185828" w:rsidRPr="00185828" w:rsidRDefault="00185828" w:rsidP="00185828">
      <w:pPr>
        <w:pStyle w:val="FootnoteText1"/>
        <w:spacing w:line="300" w:lineRule="exact"/>
        <w:rPr>
          <w:rtl/>
        </w:rPr>
      </w:pPr>
      <w:r w:rsidRPr="00185828">
        <w:rPr>
          <w:rStyle w:val="FootnoteReference"/>
          <w:vertAlign w:val="baseline"/>
          <w:rtl/>
        </w:rPr>
        <w:t>(</w:t>
      </w:r>
      <w:r w:rsidRPr="00C34B2C">
        <w:rPr>
          <w:rStyle w:val="FootnoteReference"/>
          <w:vertAlign w:val="baseline"/>
        </w:rPr>
        <w:footnoteRef/>
      </w:r>
      <w:r w:rsidRPr="00185828">
        <w:rPr>
          <w:rStyle w:val="FootnoteReference"/>
          <w:vertAlign w:val="baseline"/>
          <w:rtl/>
        </w:rPr>
        <w:t>)</w:t>
      </w:r>
      <w:r w:rsidRPr="00185828">
        <w:rPr>
          <w:rStyle w:val="FootnoteReference"/>
          <w:vertAlign w:val="baseline"/>
          <w:rtl/>
        </w:rPr>
        <w:tab/>
      </w:r>
      <w:hyperlink r:id="rId1" w:history="1">
        <w:r w:rsidRPr="00185828">
          <w:rPr>
            <w:rStyle w:val="Hyperlink"/>
            <w:lang w:val="en-AU"/>
          </w:rPr>
          <w:t>A/</w:t>
        </w:r>
        <w:proofErr w:type="spellStart"/>
        <w:r w:rsidRPr="00185828">
          <w:rPr>
            <w:rStyle w:val="Hyperlink"/>
            <w:lang w:val="en-AU"/>
          </w:rPr>
          <w:t>HRC</w:t>
        </w:r>
        <w:proofErr w:type="spellEnd"/>
        <w:r w:rsidRPr="00185828">
          <w:rPr>
            <w:rStyle w:val="Hyperlink"/>
            <w:lang w:val="en-AU"/>
          </w:rPr>
          <w:t>/</w:t>
        </w:r>
        <w:r w:rsidRPr="00C34B2C">
          <w:rPr>
            <w:rStyle w:val="Hyperlink"/>
            <w:lang w:val="en-AU"/>
          </w:rPr>
          <w:t>47</w:t>
        </w:r>
        <w:r w:rsidRPr="00185828">
          <w:rPr>
            <w:rStyle w:val="Hyperlink"/>
            <w:lang w:val="en-AU"/>
          </w:rPr>
          <w:t>/</w:t>
        </w:r>
        <w:r w:rsidRPr="00C34B2C">
          <w:rPr>
            <w:rStyle w:val="Hyperlink"/>
            <w:lang w:val="en-AU"/>
          </w:rPr>
          <w:t>28</w:t>
        </w:r>
      </w:hyperlink>
      <w:r w:rsidRPr="00185828">
        <w:rPr>
          <w:rStyle w:val="FootnoteReference"/>
          <w:vertAlign w:val="baseline"/>
          <w:rtl/>
        </w:rPr>
        <w:t xml:space="preserve"> و</w:t>
      </w:r>
      <w:proofErr w:type="spellStart"/>
      <w:r w:rsidRPr="00185828">
        <w:rPr>
          <w:rStyle w:val="FootnoteReference"/>
          <w:vertAlign w:val="baseline"/>
        </w:rPr>
        <w:t>Add.</w:t>
      </w:r>
      <w:r w:rsidRPr="00C34B2C">
        <w:rPr>
          <w:rStyle w:val="FootnoteReference"/>
          <w:vertAlign w:val="baseline"/>
        </w:rPr>
        <w:t>1</w:t>
      </w:r>
      <w:proofErr w:type="spellEnd"/>
      <w:r w:rsidRPr="00185828">
        <w:rPr>
          <w:rStyle w:val="FootnoteReference"/>
          <w:vertAlign w:val="baseline"/>
          <w:rtl/>
        </w:rPr>
        <w:t>، و</w:t>
      </w:r>
      <w:hyperlink r:id="rId2" w:history="1">
        <w:r w:rsidRPr="00185828">
          <w:rPr>
            <w:rStyle w:val="Hyperlink"/>
            <w:lang w:val="en-AU"/>
          </w:rPr>
          <w:t>A/</w:t>
        </w:r>
        <w:proofErr w:type="spellStart"/>
        <w:r w:rsidRPr="00185828">
          <w:rPr>
            <w:rStyle w:val="Hyperlink"/>
            <w:lang w:val="en-AU"/>
          </w:rPr>
          <w:t>HRC</w:t>
        </w:r>
        <w:proofErr w:type="spellEnd"/>
        <w:r w:rsidRPr="00185828">
          <w:rPr>
            <w:rStyle w:val="Hyperlink"/>
            <w:lang w:val="en-AU"/>
          </w:rPr>
          <w:t>/</w:t>
        </w:r>
        <w:r w:rsidRPr="00C34B2C">
          <w:rPr>
            <w:rStyle w:val="Hyperlink"/>
            <w:lang w:val="en-AU"/>
          </w:rPr>
          <w:t>50</w:t>
        </w:r>
        <w:r w:rsidRPr="00185828">
          <w:rPr>
            <w:rStyle w:val="Hyperlink"/>
            <w:lang w:val="en-AU"/>
          </w:rPr>
          <w:t>/</w:t>
        </w:r>
        <w:r w:rsidRPr="00C34B2C">
          <w:rPr>
            <w:rStyle w:val="Hyperlink"/>
            <w:lang w:val="en-AU"/>
          </w:rPr>
          <w:t>28</w:t>
        </w:r>
      </w:hyperlink>
      <w:r w:rsidRPr="00185828">
        <w:rPr>
          <w:szCs w:val="20"/>
          <w:rtl/>
        </w:rPr>
        <w:t xml:space="preserve">. </w:t>
      </w:r>
    </w:p>
  </w:footnote>
  <w:footnote w:id="2">
    <w:p w14:paraId="7689B915" w14:textId="77777777" w:rsidR="00185828" w:rsidRPr="00185828" w:rsidRDefault="00185828" w:rsidP="00185828">
      <w:pPr>
        <w:pStyle w:val="FootnoteText1"/>
        <w:spacing w:line="300" w:lineRule="exact"/>
        <w:rPr>
          <w:rtl/>
        </w:rPr>
      </w:pPr>
      <w:r w:rsidRPr="00185828">
        <w:rPr>
          <w:rStyle w:val="FootnoteReference"/>
          <w:vertAlign w:val="baseline"/>
          <w:rtl/>
        </w:rPr>
        <w:t>(</w:t>
      </w:r>
      <w:r w:rsidRPr="00C34B2C">
        <w:rPr>
          <w:rStyle w:val="FootnoteReference"/>
          <w:vertAlign w:val="baseline"/>
        </w:rPr>
        <w:footnoteRef/>
      </w:r>
      <w:r w:rsidRPr="00185828">
        <w:rPr>
          <w:rStyle w:val="FootnoteReference"/>
          <w:vertAlign w:val="baseline"/>
          <w:rtl/>
        </w:rPr>
        <w:t>)</w:t>
      </w:r>
      <w:r w:rsidRPr="00185828">
        <w:rPr>
          <w:rStyle w:val="FootnoteReference"/>
          <w:vertAlign w:val="baseline"/>
          <w:rtl/>
        </w:rPr>
        <w:tab/>
      </w:r>
      <w:hyperlink r:id="rId3" w:history="1">
        <w:r w:rsidRPr="00185828">
          <w:rPr>
            <w:rStyle w:val="Hyperlink"/>
            <w:lang w:val="en-AU"/>
          </w:rPr>
          <w:t>A/</w:t>
        </w:r>
        <w:r w:rsidRPr="00C34B2C">
          <w:rPr>
            <w:rStyle w:val="Hyperlink"/>
            <w:lang w:val="en-AU"/>
          </w:rPr>
          <w:t>76</w:t>
        </w:r>
        <w:r w:rsidRPr="00185828">
          <w:rPr>
            <w:rStyle w:val="Hyperlink"/>
            <w:lang w:val="en-AU"/>
          </w:rPr>
          <w:t>/</w:t>
        </w:r>
        <w:r w:rsidRPr="00C34B2C">
          <w:rPr>
            <w:rStyle w:val="Hyperlink"/>
            <w:lang w:val="en-AU"/>
          </w:rPr>
          <w:t>172</w:t>
        </w:r>
      </w:hyperlink>
      <w:r w:rsidRPr="00185828">
        <w:rPr>
          <w:rtl/>
        </w:rPr>
        <w:t xml:space="preserve"> و</w:t>
      </w:r>
      <w:hyperlink r:id="rId4" w:history="1">
        <w:r w:rsidRPr="00185828">
          <w:rPr>
            <w:rStyle w:val="Hyperlink"/>
            <w:lang w:val="en-AU"/>
          </w:rPr>
          <w:t>A/</w:t>
        </w:r>
        <w:r w:rsidRPr="00C34B2C">
          <w:rPr>
            <w:rStyle w:val="Hyperlink"/>
            <w:lang w:val="en-AU"/>
          </w:rPr>
          <w:t>77</w:t>
        </w:r>
        <w:r w:rsidRPr="00185828">
          <w:rPr>
            <w:rStyle w:val="Hyperlink"/>
            <w:lang w:val="en-AU"/>
          </w:rPr>
          <w:t>/</w:t>
        </w:r>
        <w:r w:rsidRPr="00C34B2C">
          <w:rPr>
            <w:rStyle w:val="Hyperlink"/>
            <w:lang w:val="en-AU"/>
          </w:rPr>
          <w:t>197</w:t>
        </w:r>
      </w:hyperlink>
      <w:r w:rsidRPr="0018582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6A5D" w14:textId="3A64964A" w:rsidR="00F23615" w:rsidRPr="00F23615" w:rsidRDefault="00F23615" w:rsidP="00F2361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37DBF">
      <w:t>A/HRC/RES/51/21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0813" w14:textId="04B43215" w:rsidR="00F23615" w:rsidRPr="00F23615" w:rsidRDefault="00F23615" w:rsidP="00F2361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37DBF">
      <w:t>A/HRC/RES/51/21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A974"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BC"/>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4872"/>
    <w:rsid w:val="001773DB"/>
    <w:rsid w:val="00181F96"/>
    <w:rsid w:val="001830E1"/>
    <w:rsid w:val="00185828"/>
    <w:rsid w:val="00185E55"/>
    <w:rsid w:val="001A1371"/>
    <w:rsid w:val="001A1B4E"/>
    <w:rsid w:val="001B346A"/>
    <w:rsid w:val="001C0E07"/>
    <w:rsid w:val="001C5395"/>
    <w:rsid w:val="001E1CAD"/>
    <w:rsid w:val="001E290D"/>
    <w:rsid w:val="001E768F"/>
    <w:rsid w:val="001F54C9"/>
    <w:rsid w:val="00207677"/>
    <w:rsid w:val="002144FA"/>
    <w:rsid w:val="002172D1"/>
    <w:rsid w:val="002237FD"/>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478B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5267"/>
    <w:rsid w:val="00AC72D8"/>
    <w:rsid w:val="00AD3834"/>
    <w:rsid w:val="00AE0A52"/>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26D7"/>
    <w:rsid w:val="00C04102"/>
    <w:rsid w:val="00C06421"/>
    <w:rsid w:val="00C07C84"/>
    <w:rsid w:val="00C22506"/>
    <w:rsid w:val="00C342BF"/>
    <w:rsid w:val="00C34B2C"/>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37DBF"/>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177F"/>
    <w:rsid w:val="00E03AEA"/>
    <w:rsid w:val="00E2504D"/>
    <w:rsid w:val="00E70E04"/>
    <w:rsid w:val="00E75996"/>
    <w:rsid w:val="00EA20A9"/>
    <w:rsid w:val="00EA510B"/>
    <w:rsid w:val="00EB00A4"/>
    <w:rsid w:val="00EB5FCA"/>
    <w:rsid w:val="00EC05A7"/>
    <w:rsid w:val="00EC4B6B"/>
    <w:rsid w:val="00ED7442"/>
    <w:rsid w:val="00EE0B18"/>
    <w:rsid w:val="00EF1EE5"/>
    <w:rsid w:val="00F2361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D2E9028"/>
  <w15:docId w15:val="{140E0109-6A7E-4989-AE49-CF82EC17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F"/>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E0177F"/>
    <w:pPr>
      <w:bidi w:val="0"/>
      <w:outlineLvl w:val="0"/>
    </w:pPr>
  </w:style>
  <w:style w:type="paragraph" w:styleId="Heading2">
    <w:name w:val="heading 2"/>
    <w:basedOn w:val="Normal"/>
    <w:next w:val="Normal"/>
    <w:link w:val="Heading2Char"/>
    <w:uiPriority w:val="9"/>
    <w:unhideWhenUsed/>
    <w:rsid w:val="00E0177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E0177F"/>
    <w:pPr>
      <w:keepNext/>
      <w:keepLines/>
      <w:spacing w:before="200"/>
      <w:outlineLvl w:val="2"/>
    </w:pPr>
    <w:rPr>
      <w:b/>
      <w:bCs/>
      <w:color w:val="4F81BD"/>
    </w:rPr>
  </w:style>
  <w:style w:type="paragraph" w:styleId="Heading4">
    <w:name w:val="heading 4"/>
    <w:basedOn w:val="Normal"/>
    <w:next w:val="Normal"/>
    <w:link w:val="Heading4Char"/>
    <w:uiPriority w:val="9"/>
    <w:unhideWhenUsed/>
    <w:rsid w:val="00E0177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E0177F"/>
    <w:pPr>
      <w:keepNext/>
      <w:keepLines/>
      <w:spacing w:before="200"/>
      <w:outlineLvl w:val="4"/>
    </w:pPr>
    <w:rPr>
      <w:color w:val="243F60"/>
    </w:rPr>
  </w:style>
  <w:style w:type="paragraph" w:styleId="Heading6">
    <w:name w:val="heading 6"/>
    <w:basedOn w:val="Normal"/>
    <w:next w:val="Normal"/>
    <w:link w:val="Heading6Char"/>
    <w:uiPriority w:val="9"/>
    <w:unhideWhenUsed/>
    <w:rsid w:val="00E0177F"/>
    <w:pPr>
      <w:keepNext/>
      <w:keepLines/>
      <w:spacing w:before="200"/>
      <w:outlineLvl w:val="5"/>
    </w:pPr>
    <w:rPr>
      <w:i/>
      <w:iCs/>
      <w:color w:val="243F60"/>
    </w:rPr>
  </w:style>
  <w:style w:type="paragraph" w:styleId="Heading7">
    <w:name w:val="heading 7"/>
    <w:basedOn w:val="Normal"/>
    <w:next w:val="Normal"/>
    <w:link w:val="Heading7Char"/>
    <w:uiPriority w:val="9"/>
    <w:unhideWhenUsed/>
    <w:rsid w:val="00E0177F"/>
    <w:pPr>
      <w:keepNext/>
      <w:keepLines/>
      <w:spacing w:before="200"/>
      <w:outlineLvl w:val="6"/>
    </w:pPr>
    <w:rPr>
      <w:i/>
      <w:iCs/>
      <w:color w:val="404040"/>
    </w:rPr>
  </w:style>
  <w:style w:type="paragraph" w:styleId="Heading8">
    <w:name w:val="heading 8"/>
    <w:basedOn w:val="Normal"/>
    <w:next w:val="Normal"/>
    <w:link w:val="Heading8Char"/>
    <w:uiPriority w:val="9"/>
    <w:unhideWhenUsed/>
    <w:rsid w:val="00E0177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E0177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E0177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E0177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E0177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E0177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E0177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E0177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E0177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E0177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E0177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E0177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E0177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E0177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E0177F"/>
    <w:pPr>
      <w:numPr>
        <w:numId w:val="5"/>
      </w:numPr>
      <w:bidi w:val="0"/>
    </w:pPr>
    <w:rPr>
      <w:lang w:val="en-US"/>
    </w:rPr>
  </w:style>
  <w:style w:type="paragraph" w:customStyle="1" w:styleId="Roman1GA">
    <w:name w:val="_Roman 1_GA"/>
    <w:basedOn w:val="Bullet1GA"/>
    <w:qFormat/>
    <w:rsid w:val="00E0177F"/>
    <w:pPr>
      <w:numPr>
        <w:numId w:val="6"/>
      </w:numPr>
      <w:tabs>
        <w:tab w:val="clear" w:pos="2310"/>
        <w:tab w:val="left" w:pos="2486"/>
      </w:tabs>
      <w:ind w:left="2486" w:hanging="378"/>
    </w:pPr>
  </w:style>
  <w:style w:type="paragraph" w:customStyle="1" w:styleId="Roman2GA">
    <w:name w:val="_Roman 2_GA"/>
    <w:basedOn w:val="Bullet2GA"/>
    <w:qFormat/>
    <w:rsid w:val="00E0177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E0177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E0177F"/>
    <w:rPr>
      <w:rFonts w:ascii="Times New Roman" w:hAnsi="Times New Roman" w:cs="Simplified Arabic"/>
      <w:sz w:val="18"/>
      <w:lang w:val="en-GB" w:eastAsia="en-US"/>
    </w:rPr>
  </w:style>
  <w:style w:type="character" w:customStyle="1" w:styleId="EndtnoteReference">
    <w:name w:val="Endtnote Reference"/>
    <w:aliases w:val="1_GA"/>
    <w:qFormat/>
    <w:rsid w:val="00E0177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0177F"/>
    <w:pPr>
      <w:suppressAutoHyphens/>
      <w:bidi w:val="0"/>
      <w:spacing w:line="240" w:lineRule="auto"/>
    </w:pPr>
    <w:rPr>
      <w:sz w:val="16"/>
      <w:lang w:val="en-GB"/>
    </w:rPr>
  </w:style>
  <w:style w:type="character" w:customStyle="1" w:styleId="FooterChar">
    <w:name w:val="Footer Char"/>
    <w:aliases w:val="3_GA Char,3_G Char"/>
    <w:link w:val="Footer"/>
    <w:rsid w:val="00E0177F"/>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E0177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0177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E0177F"/>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E0177F"/>
    <w:rPr>
      <w:rFonts w:ascii="Times New Roman" w:hAnsi="Times New Roman" w:cs="Simplified Arabic"/>
      <w:sz w:val="22"/>
      <w:szCs w:val="22"/>
      <w:lang w:val="en-GB" w:eastAsia="en-US"/>
    </w:rPr>
  </w:style>
  <w:style w:type="character" w:styleId="PageNumber">
    <w:name w:val="page number"/>
    <w:aliases w:val="7_GA,7_G"/>
    <w:qFormat/>
    <w:rsid w:val="00E0177F"/>
    <w:rPr>
      <w:rFonts w:ascii="Times New Roman Bold" w:hAnsi="Times New Roman Bold"/>
      <w:b/>
      <w:i w:val="0"/>
      <w:sz w:val="18"/>
      <w:szCs w:val="18"/>
    </w:rPr>
  </w:style>
  <w:style w:type="paragraph" w:customStyle="1" w:styleId="XXLargeGA">
    <w:name w:val="XXLarge_GA"/>
    <w:basedOn w:val="Normal"/>
    <w:next w:val="SingleTxtGA"/>
    <w:qFormat/>
    <w:rsid w:val="00E0177F"/>
    <w:pPr>
      <w:suppressAutoHyphens/>
      <w:spacing w:line="820" w:lineRule="exact"/>
    </w:pPr>
    <w:rPr>
      <w:spacing w:val="-8"/>
      <w:w w:val="96"/>
      <w:sz w:val="57"/>
      <w:szCs w:val="86"/>
      <w:lang w:val="en-GB"/>
    </w:rPr>
  </w:style>
  <w:style w:type="character" w:customStyle="1" w:styleId="Heading2Char">
    <w:name w:val="Heading 2 Char"/>
    <w:link w:val="Heading2"/>
    <w:uiPriority w:val="9"/>
    <w:rsid w:val="00E0177F"/>
    <w:rPr>
      <w:rFonts w:ascii="Times New Roman" w:hAnsi="Times New Roman" w:cs="Simplified Arabic"/>
      <w:b/>
      <w:bCs/>
      <w:color w:val="4F81BD"/>
      <w:sz w:val="26"/>
      <w:szCs w:val="26"/>
      <w:lang w:eastAsia="en-US"/>
    </w:rPr>
  </w:style>
  <w:style w:type="character" w:customStyle="1" w:styleId="Heading3Char">
    <w:name w:val="Heading 3 Char"/>
    <w:link w:val="Heading3"/>
    <w:uiPriority w:val="9"/>
    <w:rsid w:val="00E0177F"/>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E0177F"/>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E0177F"/>
    <w:rPr>
      <w:rFonts w:ascii="Times New Roman" w:hAnsi="Times New Roman" w:cs="Simplified Arabic"/>
      <w:color w:val="243F60"/>
      <w:szCs w:val="22"/>
      <w:lang w:eastAsia="en-US"/>
    </w:rPr>
  </w:style>
  <w:style w:type="character" w:customStyle="1" w:styleId="Heading6Char">
    <w:name w:val="Heading 6 Char"/>
    <w:link w:val="Heading6"/>
    <w:uiPriority w:val="9"/>
    <w:rsid w:val="00E0177F"/>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E0177F"/>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E0177F"/>
    <w:rPr>
      <w:rFonts w:ascii="Times New Roman" w:hAnsi="Times New Roman" w:cs="Simplified Arabic"/>
      <w:color w:val="404040"/>
      <w:lang w:eastAsia="en-US"/>
    </w:rPr>
  </w:style>
  <w:style w:type="character" w:customStyle="1" w:styleId="Heading9Char">
    <w:name w:val="Heading 9 Char"/>
    <w:link w:val="Heading9"/>
    <w:uiPriority w:val="9"/>
    <w:rsid w:val="00E0177F"/>
    <w:rPr>
      <w:rFonts w:ascii="Times New Roman" w:hAnsi="Times New Roman" w:cs="Simplified Arabic"/>
      <w:i/>
      <w:iCs/>
      <w:color w:val="404040"/>
      <w:lang w:eastAsia="en-US"/>
    </w:rPr>
  </w:style>
  <w:style w:type="paragraph" w:styleId="Title">
    <w:name w:val="Title"/>
    <w:basedOn w:val="Normal"/>
    <w:next w:val="Normal"/>
    <w:link w:val="TitleChar"/>
    <w:uiPriority w:val="10"/>
    <w:rsid w:val="00E0177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177F"/>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E0177F"/>
    <w:pPr>
      <w:numPr>
        <w:ilvl w:val="1"/>
      </w:numPr>
    </w:pPr>
    <w:rPr>
      <w:i/>
      <w:iCs/>
      <w:color w:val="4F81BD"/>
      <w:spacing w:val="15"/>
      <w:sz w:val="24"/>
      <w:szCs w:val="24"/>
    </w:rPr>
  </w:style>
  <w:style w:type="character" w:customStyle="1" w:styleId="SubtitleChar">
    <w:name w:val="Subtitle Char"/>
    <w:link w:val="Subtitle"/>
    <w:uiPriority w:val="11"/>
    <w:rsid w:val="00E0177F"/>
    <w:rPr>
      <w:rFonts w:ascii="Times New Roman" w:hAnsi="Times New Roman" w:cs="Simplified Arabic"/>
      <w:i/>
      <w:iCs/>
      <w:color w:val="4F81BD"/>
      <w:spacing w:val="15"/>
      <w:sz w:val="24"/>
      <w:szCs w:val="24"/>
      <w:lang w:eastAsia="en-US"/>
    </w:rPr>
  </w:style>
  <w:style w:type="character" w:styleId="Strong">
    <w:name w:val="Strong"/>
    <w:uiPriority w:val="22"/>
    <w:rsid w:val="00E0177F"/>
    <w:rPr>
      <w:b/>
      <w:bCs/>
    </w:rPr>
  </w:style>
  <w:style w:type="table" w:styleId="TableGrid">
    <w:name w:val="Table Grid"/>
    <w:basedOn w:val="TableNormal"/>
    <w:rsid w:val="00E0177F"/>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177F"/>
    <w:rPr>
      <w:color w:val="0000FF"/>
      <w:u w:val="none"/>
    </w:rPr>
  </w:style>
  <w:style w:type="paragraph" w:styleId="TOC1">
    <w:name w:val="toc 1"/>
    <w:basedOn w:val="Normal"/>
    <w:link w:val="TOC1Char"/>
    <w:autoRedefine/>
    <w:uiPriority w:val="39"/>
    <w:unhideWhenUsed/>
    <w:rsid w:val="00E0177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E0177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E0177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E0177F"/>
    <w:rPr>
      <w:rFonts w:eastAsia="DengXian"/>
      <w:color w:val="auto"/>
      <w:sz w:val="20"/>
      <w:szCs w:val="20"/>
      <w:u w:val="none"/>
      <w:lang w:eastAsia="zh-CN" w:bidi="ar-EG"/>
    </w:rPr>
  </w:style>
  <w:style w:type="paragraph" w:styleId="TOC4">
    <w:name w:val="toc 4"/>
    <w:basedOn w:val="Normal"/>
    <w:link w:val="TOC4Char"/>
    <w:autoRedefine/>
    <w:uiPriority w:val="39"/>
    <w:unhideWhenUsed/>
    <w:rsid w:val="00E0177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E0177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E0177F"/>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E0177F"/>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OC1Char">
    <w:name w:val="TOC 1 Char"/>
    <w:basedOn w:val="DefaultParagraphFont"/>
    <w:link w:val="TOC1"/>
    <w:uiPriority w:val="39"/>
    <w:rsid w:val="00E0177F"/>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E0177F"/>
    <w:rPr>
      <w:rFonts w:ascii="Times New Roman" w:hAnsi="Times New Roman" w:cs="Simplified Arabic"/>
      <w:noProof/>
      <w:lang w:val="fr-CH" w:eastAsia="en-US"/>
    </w:rPr>
  </w:style>
  <w:style w:type="character" w:customStyle="1" w:styleId="TOC3Char">
    <w:name w:val="TOC 3 Char"/>
    <w:basedOn w:val="TOC2Char"/>
    <w:link w:val="TOC3"/>
    <w:uiPriority w:val="39"/>
    <w:rsid w:val="00E0177F"/>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E0177F"/>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E0177F"/>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E0177F"/>
    <w:rPr>
      <w:rFonts w:ascii="Times New Roman" w:hAnsi="Times New Roman" w:cs="Simplified Arabic"/>
      <w:lang w:val="en-GB" w:eastAsia="en-US"/>
    </w:rPr>
  </w:style>
  <w:style w:type="paragraph" w:customStyle="1" w:styleId="NormalA">
    <w:name w:val="Normal_A"/>
    <w:basedOn w:val="Normal"/>
    <w:qFormat/>
    <w:rsid w:val="00E0177F"/>
  </w:style>
  <w:style w:type="paragraph" w:customStyle="1" w:styleId="SingleTxtGA">
    <w:name w:val="_ Single Txt_GA"/>
    <w:basedOn w:val="Normal"/>
    <w:link w:val="SingleTxtGAChar"/>
    <w:qFormat/>
    <w:rsid w:val="00E0177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E0177F"/>
    <w:rPr>
      <w:rFonts w:ascii="Times New Roman" w:hAnsi="Times New Roman" w:cs="Simplified Arabic"/>
      <w:sz w:val="22"/>
      <w:szCs w:val="22"/>
      <w:lang w:val="en-GB" w:eastAsia="en-US"/>
    </w:rPr>
  </w:style>
  <w:style w:type="paragraph" w:customStyle="1" w:styleId="FootnoteGA">
    <w:name w:val="Footnote_GA"/>
    <w:basedOn w:val="Normal"/>
    <w:qFormat/>
    <w:rsid w:val="00E0177F"/>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E0177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E0177F"/>
    <w:pPr>
      <w:spacing w:line="240" w:lineRule="exact"/>
    </w:pPr>
    <w:rPr>
      <w:spacing w:val="6"/>
      <w:w w:val="106"/>
      <w:sz w:val="14"/>
      <w:szCs w:val="21"/>
    </w:rPr>
  </w:style>
  <w:style w:type="paragraph" w:customStyle="1" w:styleId="Original">
    <w:name w:val="Original"/>
    <w:basedOn w:val="Normal"/>
    <w:next w:val="Normal"/>
    <w:qFormat/>
    <w:rsid w:val="00E0177F"/>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E0177F"/>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customStyle="1" w:styleId="ReportCHGA">
    <w:name w:val="Report_CH_GA"/>
    <w:basedOn w:val="HChGA"/>
    <w:qFormat/>
    <w:rsid w:val="00E0177F"/>
    <w:rPr>
      <w:sz w:val="44"/>
      <w:szCs w:val="44"/>
      <w:lang w:val="en-US" w:bidi="ar-DZ"/>
    </w:rPr>
  </w:style>
  <w:style w:type="paragraph" w:styleId="Revision">
    <w:name w:val="Revision"/>
    <w:hidden/>
    <w:uiPriority w:val="99"/>
    <w:semiHidden/>
    <w:rsid w:val="00E0177F"/>
    <w:rPr>
      <w:rFonts w:asciiTheme="minorHAnsi" w:eastAsiaTheme="minorEastAsia" w:hAnsiTheme="minorHAnsi" w:cstheme="minorBidi"/>
      <w:sz w:val="24"/>
      <w:szCs w:val="24"/>
      <w:lang w:val="fr-FR" w:eastAsia="fr-FR"/>
    </w:rPr>
  </w:style>
  <w:style w:type="paragraph" w:customStyle="1" w:styleId="FootnoteGA0">
    <w:name w:val="_Footnote_GA"/>
    <w:basedOn w:val="Normal"/>
    <w:qFormat/>
    <w:rsid w:val="00E0177F"/>
    <w:pPr>
      <w:suppressAutoHyphens/>
      <w:spacing w:after="60" w:line="280" w:lineRule="exact"/>
      <w:ind w:left="1247" w:right="1247" w:hanging="567"/>
    </w:pPr>
    <w:rPr>
      <w:sz w:val="18"/>
      <w:szCs w:val="18"/>
      <w:lang w:val="es-ES_tradnl" w:eastAsia="zh-TW"/>
    </w:rPr>
  </w:style>
  <w:style w:type="paragraph" w:customStyle="1" w:styleId="STitleLGA">
    <w:name w:val="S_Title_L_GA"/>
    <w:basedOn w:val="SLGA"/>
    <w:qFormat/>
    <w:rsid w:val="00E0177F"/>
    <w:rPr>
      <w:lang w:val="en-US" w:eastAsia="zh-TW"/>
    </w:rPr>
  </w:style>
  <w:style w:type="paragraph" w:customStyle="1" w:styleId="STitleMGA">
    <w:name w:val="S_Title_M_GA"/>
    <w:basedOn w:val="SMGA"/>
    <w:qFormat/>
    <w:rsid w:val="00E0177F"/>
    <w:rPr>
      <w:lang w:eastAsia="zh-TW"/>
    </w:rPr>
  </w:style>
  <w:style w:type="paragraph" w:customStyle="1" w:styleId="STitleSGA">
    <w:name w:val="S_Title_S_GA"/>
    <w:basedOn w:val="SSGA"/>
    <w:qFormat/>
    <w:rsid w:val="00E0177F"/>
    <w:rPr>
      <w:lang w:eastAsia="zh-TW"/>
    </w:rPr>
  </w:style>
  <w:style w:type="character" w:styleId="FootnoteReference">
    <w:name w:val="footnote reference"/>
    <w:aliases w:val="ب,4_G,4_GA,ftref,footnote ref,16 Point,Superscript 6 Point,Fußnotenzeichen DISS,fr,BVI fnr,(NECG) Footnote Reference,Char Char Char Char Car Char"/>
    <w:link w:val="Char2"/>
    <w:qFormat/>
    <w:rsid w:val="00185828"/>
    <w:rPr>
      <w:szCs w:val="18"/>
      <w:vertAlign w:val="superscript"/>
    </w:rPr>
  </w:style>
  <w:style w:type="paragraph" w:customStyle="1" w:styleId="Char2">
    <w:name w:val="Char2"/>
    <w:basedOn w:val="Normal"/>
    <w:link w:val="FootnoteReference"/>
    <w:rsid w:val="00185828"/>
    <w:pPr>
      <w:bidi w:val="0"/>
      <w:spacing w:after="160" w:line="240" w:lineRule="exact"/>
      <w:jc w:val="both"/>
    </w:pPr>
    <w:rPr>
      <w:rFonts w:ascii="Calibri" w:hAnsi="Calibri" w:cs="Arial"/>
      <w:szCs w:val="18"/>
      <w:vertAlign w:val="superscript"/>
      <w:lang w:eastAsia="zh-CN"/>
    </w:rPr>
  </w:style>
  <w:style w:type="character" w:styleId="UnresolvedMention">
    <w:name w:val="Unresolved Mention"/>
    <w:basedOn w:val="DefaultParagraphFont"/>
    <w:uiPriority w:val="99"/>
    <w:semiHidden/>
    <w:unhideWhenUsed/>
    <w:rsid w:val="001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A/76/172" TargetMode="External"/><Relationship Id="rId2" Type="http://schemas.openxmlformats.org/officeDocument/2006/relationships/hyperlink" Target="https://undocs.org/ar/A/HRC/50/28" TargetMode="External"/><Relationship Id="rId1" Type="http://schemas.openxmlformats.org/officeDocument/2006/relationships/hyperlink" Target="https://undocs.org/ar/A/HRC/47/28" TargetMode="External"/><Relationship Id="rId4" Type="http://schemas.openxmlformats.org/officeDocument/2006/relationships/hyperlink" Target="https://undocs.org/ar/A/77/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3547</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A/HRC/RES/51/21</vt:lpstr>
    </vt:vector>
  </TitlesOfParts>
  <Company>DCM</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A/HRC/RES/51/21</dc:title>
  <dc:subject>GE.2216504(A)</dc:subject>
  <dc:creator>Muntaha BUHNAM - MBO</dc:creator>
  <cp:keywords>GE.2252132(A)</cp:keywords>
  <dc:description>Distr.: General
12 October 2022
Arabic
Original: English</dc:description>
  <cp:lastModifiedBy>Ibrahim Balan</cp:lastModifiedBy>
  <cp:revision>3</cp:revision>
  <cp:lastPrinted>2022-10-17T16:21:00Z</cp:lastPrinted>
  <dcterms:created xsi:type="dcterms:W3CDTF">2022-10-17T16:21:00Z</dcterms:created>
  <dcterms:modified xsi:type="dcterms:W3CDTF">2022-10-17T16:22:00Z</dcterms:modified>
  <cp:category>Final</cp:category>
</cp:coreProperties>
</file>