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F53D4C" w:rsidP="00AE4D20">
            <w:pPr>
              <w:spacing w:line="240" w:lineRule="atLeast"/>
              <w:jc w:val="right"/>
              <w:rPr>
                <w:rFonts w:hint="eastAsia"/>
                <w:szCs w:val="21"/>
              </w:rPr>
            </w:pPr>
            <w:r>
              <w:rPr>
                <w:sz w:val="40"/>
                <w:szCs w:val="40"/>
              </w:rPr>
              <w:t>A</w:t>
            </w:r>
            <w:r w:rsidRPr="00637834">
              <w:rPr>
                <w:sz w:val="20"/>
              </w:rPr>
              <w:t>/HRC/</w:t>
            </w:r>
            <w:r w:rsidR="00A97C05">
              <w:rPr>
                <w:rFonts w:hint="eastAsia"/>
                <w:sz w:val="20"/>
              </w:rPr>
              <w:t>RES/14/11</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BF7E3F" w:rsidP="00637834">
            <w:pPr>
              <w:spacing w:before="240" w:line="240" w:lineRule="atLeast"/>
              <w:rPr>
                <w:sz w:val="20"/>
              </w:rPr>
            </w:pPr>
            <w:r>
              <w:rPr>
                <w:sz w:val="20"/>
              </w:rPr>
              <w:t>Distr.: General</w:t>
            </w:r>
          </w:p>
          <w:p w:rsidR="00F53D4C" w:rsidRPr="00637834" w:rsidRDefault="00A97C05">
            <w:pPr>
              <w:spacing w:line="240" w:lineRule="atLeast"/>
              <w:rPr>
                <w:rFonts w:hint="eastAsia"/>
                <w:sz w:val="20"/>
              </w:rPr>
            </w:pPr>
            <w:r>
              <w:rPr>
                <w:rFonts w:hint="eastAsia"/>
                <w:sz w:val="20"/>
              </w:rPr>
              <w:t xml:space="preserve">23 </w:t>
            </w:r>
            <w:r w:rsidRPr="00A97C05">
              <w:rPr>
                <w:sz w:val="20"/>
              </w:rPr>
              <w:t>June</w:t>
            </w:r>
            <w:r w:rsidR="001C3E9A">
              <w:rPr>
                <w:sz w:val="20"/>
              </w:rPr>
              <w:t xml:space="preserve"> 20</w:t>
            </w:r>
            <w:r w:rsidR="001C3E9A">
              <w:rPr>
                <w:rFonts w:hint="eastAsia"/>
                <w:sz w:val="20"/>
              </w:rPr>
              <w:t>10</w:t>
            </w:r>
          </w:p>
          <w:p w:rsidR="00F53D4C" w:rsidRPr="00637834" w:rsidRDefault="00F53D4C">
            <w:pPr>
              <w:spacing w:line="240" w:lineRule="atLeast"/>
              <w:rPr>
                <w:sz w:val="20"/>
              </w:rPr>
            </w:pPr>
            <w:r w:rsidRPr="00637834">
              <w:rPr>
                <w:sz w:val="20"/>
              </w:rPr>
              <w:t xml:space="preserve">Chinese </w:t>
            </w:r>
          </w:p>
          <w:p w:rsidR="00F53D4C" w:rsidRPr="00637834" w:rsidRDefault="00F53D4C" w:rsidP="00751C2E">
            <w:pPr>
              <w:spacing w:line="240" w:lineRule="atLeast"/>
              <w:rPr>
                <w:rFonts w:hint="eastAsia"/>
              </w:rPr>
            </w:pPr>
            <w:r w:rsidRPr="00637834">
              <w:rPr>
                <w:sz w:val="20"/>
              </w:rPr>
              <w:t>Original: English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F53D4C" w:rsidRDefault="002F3F47">
      <w:pPr>
        <w:rPr>
          <w:rFonts w:eastAsia="SimHei" w:hint="eastAsia"/>
          <w:szCs w:val="21"/>
          <w:lang w:val="fr-CH"/>
        </w:rPr>
      </w:pPr>
      <w:r>
        <w:rPr>
          <w:rFonts w:eastAsia="SimHei" w:hint="eastAsia"/>
          <w:szCs w:val="21"/>
          <w:lang w:val="fr-CH"/>
        </w:rPr>
        <w:t>第</w:t>
      </w:r>
      <w:r w:rsidR="007B4FBD">
        <w:rPr>
          <w:rFonts w:eastAsia="SimHei" w:hint="eastAsia"/>
          <w:szCs w:val="21"/>
          <w:lang w:val="fr-CH"/>
        </w:rPr>
        <w:t>十四</w:t>
      </w:r>
      <w:r w:rsidR="00F53D4C">
        <w:rPr>
          <w:rFonts w:eastAsia="SimHei" w:hint="eastAsia"/>
          <w:szCs w:val="21"/>
          <w:lang w:val="fr-CH"/>
        </w:rPr>
        <w:t>届会议</w:t>
      </w:r>
    </w:p>
    <w:p w:rsidR="00F53D4C" w:rsidRDefault="00F53D4C">
      <w:pPr>
        <w:rPr>
          <w:rFonts w:hint="eastAsia"/>
          <w:szCs w:val="21"/>
          <w:lang w:val="fr-CH"/>
        </w:rPr>
      </w:pPr>
      <w:r>
        <w:rPr>
          <w:rFonts w:hint="eastAsia"/>
          <w:szCs w:val="21"/>
          <w:lang w:val="fr-CH"/>
        </w:rPr>
        <w:t>议程项目</w:t>
      </w:r>
      <w:r w:rsidR="007B4FBD">
        <w:rPr>
          <w:rFonts w:hint="eastAsia"/>
          <w:szCs w:val="21"/>
          <w:lang w:val="fr-CH"/>
        </w:rPr>
        <w:t>3</w:t>
      </w:r>
    </w:p>
    <w:p w:rsidR="00F53D4C" w:rsidRDefault="007B4FBD" w:rsidP="004858FB">
      <w:pPr>
        <w:rPr>
          <w:rFonts w:eastAsia="SimHei" w:hint="eastAsia"/>
          <w:lang w:val="fr-CH"/>
        </w:rPr>
      </w:pPr>
      <w:r w:rsidRPr="00B1785A">
        <w:rPr>
          <w:rFonts w:eastAsia="SimHei"/>
          <w:bCs/>
        </w:rPr>
        <w:t>增进和保护所有人权</w:t>
      </w:r>
      <w:r w:rsidRPr="00B1785A">
        <w:rPr>
          <w:rFonts w:eastAsia="SimHei" w:hint="eastAsia"/>
          <w:bCs/>
          <w:spacing w:val="-50"/>
        </w:rPr>
        <w:t>―</w:t>
      </w:r>
      <w:r w:rsidRPr="00B1785A">
        <w:rPr>
          <w:rFonts w:eastAsia="SimHei" w:hint="eastAsia"/>
          <w:bCs/>
        </w:rPr>
        <w:t>―</w:t>
      </w:r>
      <w:r w:rsidRPr="00B1785A">
        <w:rPr>
          <w:rFonts w:eastAsia="SimHei"/>
          <w:bCs/>
        </w:rPr>
        <w:t>公民权利、政治权利、</w:t>
      </w:r>
      <w:r>
        <w:rPr>
          <w:rFonts w:eastAsia="SimHei" w:hint="eastAsia"/>
          <w:bCs/>
        </w:rPr>
        <w:br/>
      </w:r>
      <w:r w:rsidRPr="00B1785A">
        <w:rPr>
          <w:rFonts w:eastAsia="SimHei"/>
          <w:bCs/>
        </w:rPr>
        <w:t>经济、社会和文化权利</w:t>
      </w:r>
      <w:r>
        <w:rPr>
          <w:rFonts w:eastAsia="SimHei"/>
          <w:bCs/>
        </w:rPr>
        <w:t>，</w:t>
      </w:r>
      <w:r w:rsidRPr="00B1785A">
        <w:rPr>
          <w:rFonts w:eastAsia="SimHei"/>
          <w:bCs/>
        </w:rPr>
        <w:t>包括发展权</w:t>
      </w:r>
    </w:p>
    <w:p w:rsidR="00F75048" w:rsidRDefault="00F75048" w:rsidP="00F75048">
      <w:pPr>
        <w:pStyle w:val="HChGC"/>
        <w:rPr>
          <w:rFonts w:hint="eastAsia"/>
        </w:rPr>
      </w:pPr>
      <w:r>
        <w:rPr>
          <w:rFonts w:hint="eastAsia"/>
        </w:rPr>
        <w:tab/>
      </w:r>
      <w:r>
        <w:rPr>
          <w:rFonts w:hint="eastAsia"/>
        </w:rPr>
        <w:tab/>
      </w:r>
      <w:r w:rsidR="00523C64" w:rsidRPr="00523C64">
        <w:rPr>
          <w:rFonts w:hint="eastAsia"/>
          <w:lang w:val="fr-CH"/>
        </w:rPr>
        <w:t>人权理事会通过的决议</w:t>
      </w:r>
      <w:r w:rsidR="00523C64" w:rsidRPr="00523C64">
        <w:rPr>
          <w:position w:val="4"/>
          <w:lang w:val="fr-CH"/>
        </w:rPr>
        <w:footnoteReference w:customMarkFollows="1" w:id="2"/>
        <w:t>*</w:t>
      </w:r>
    </w:p>
    <w:p w:rsidR="005E30F9" w:rsidRPr="00523C64" w:rsidRDefault="00523C64" w:rsidP="00523C64">
      <w:pPr>
        <w:pStyle w:val="HChGC"/>
        <w:rPr>
          <w:rFonts w:hint="eastAsia"/>
          <w:lang w:val="fr-CH"/>
        </w:rPr>
      </w:pPr>
      <w:r>
        <w:rPr>
          <w:rFonts w:hint="eastAsia"/>
          <w:lang w:val="fr-CH"/>
        </w:rPr>
        <w:tab/>
      </w:r>
      <w:r>
        <w:rPr>
          <w:rFonts w:hint="eastAsia"/>
          <w:lang w:val="fr-CH"/>
        </w:rPr>
        <w:tab/>
      </w:r>
      <w:r w:rsidR="005E30F9">
        <w:rPr>
          <w:lang w:val="fr-CH"/>
        </w:rPr>
        <w:t>14/11</w:t>
      </w:r>
      <w:r>
        <w:rPr>
          <w:rFonts w:hint="eastAsia"/>
          <w:lang w:val="fr-CH"/>
        </w:rPr>
        <w:br/>
      </w:r>
      <w:r w:rsidRPr="00523C64">
        <w:rPr>
          <w:rFonts w:hint="eastAsia"/>
        </w:rPr>
        <w:t>宗教或信仰自由：宗教或信仰自由问题特别报告员的任务</w:t>
      </w:r>
    </w:p>
    <w:p w:rsidR="005E30F9" w:rsidRPr="00D50FAD" w:rsidRDefault="00523C64" w:rsidP="00D50FAD">
      <w:pPr>
        <w:pStyle w:val="SingleTxtGC"/>
        <w:rPr>
          <w:szCs w:val="21"/>
        </w:rPr>
      </w:pPr>
      <w:r>
        <w:rPr>
          <w:rFonts w:hint="eastAsia"/>
          <w:lang w:val="fr-CH"/>
        </w:rPr>
        <w:tab/>
      </w:r>
      <w:r w:rsidR="005E30F9" w:rsidRPr="009B4C14">
        <w:rPr>
          <w:rFonts w:eastAsia="KaiTi_GB2312"/>
          <w:szCs w:val="21"/>
        </w:rPr>
        <w:t>人权理事会</w:t>
      </w:r>
      <w:r w:rsidR="005E30F9" w:rsidRPr="00D50FAD">
        <w:rPr>
          <w:szCs w:val="21"/>
        </w:rPr>
        <w:t>，</w:t>
      </w:r>
    </w:p>
    <w:p w:rsidR="005E30F9" w:rsidRPr="00D50FAD" w:rsidRDefault="005E30F9" w:rsidP="00D50FAD">
      <w:pPr>
        <w:pStyle w:val="SingleTxtGC"/>
        <w:rPr>
          <w:szCs w:val="21"/>
        </w:rPr>
      </w:pPr>
      <w:r w:rsidRPr="00D50FAD">
        <w:rPr>
          <w:szCs w:val="21"/>
        </w:rPr>
        <w:tab/>
      </w:r>
      <w:r w:rsidRPr="009B4C14">
        <w:rPr>
          <w:rFonts w:eastAsia="KaiTi_GB2312"/>
          <w:szCs w:val="21"/>
        </w:rPr>
        <w:t>回顾</w:t>
      </w:r>
      <w:r w:rsidRPr="00D50FAD">
        <w:rPr>
          <w:szCs w:val="21"/>
        </w:rPr>
        <w:t>大会</w:t>
      </w:r>
      <w:r w:rsidRPr="00D50FAD">
        <w:rPr>
          <w:szCs w:val="21"/>
        </w:rPr>
        <w:t>1981</w:t>
      </w:r>
      <w:r w:rsidRPr="00D50FAD">
        <w:rPr>
          <w:szCs w:val="21"/>
        </w:rPr>
        <w:t>年</w:t>
      </w:r>
      <w:r w:rsidRPr="00D50FAD">
        <w:rPr>
          <w:szCs w:val="21"/>
        </w:rPr>
        <w:t>11</w:t>
      </w:r>
      <w:r w:rsidRPr="00D50FAD">
        <w:rPr>
          <w:szCs w:val="21"/>
        </w:rPr>
        <w:t>月</w:t>
      </w:r>
      <w:r w:rsidRPr="00D50FAD">
        <w:rPr>
          <w:szCs w:val="21"/>
        </w:rPr>
        <w:t>25</w:t>
      </w:r>
      <w:r w:rsidRPr="00D50FAD">
        <w:rPr>
          <w:szCs w:val="21"/>
        </w:rPr>
        <w:t>日第</w:t>
      </w:r>
      <w:r w:rsidRPr="00D50FAD">
        <w:rPr>
          <w:szCs w:val="21"/>
        </w:rPr>
        <w:t>36/55</w:t>
      </w:r>
      <w:r w:rsidRPr="00D50FAD">
        <w:rPr>
          <w:szCs w:val="21"/>
        </w:rPr>
        <w:t>号决议，其中大会颁布了《消除基于宗教或信仰原因的一切形式的不容忍和歧视宣言》，</w:t>
      </w:r>
    </w:p>
    <w:p w:rsidR="005E30F9" w:rsidRPr="00D50FAD" w:rsidRDefault="005E30F9" w:rsidP="00D50FAD">
      <w:pPr>
        <w:pStyle w:val="SingleTxtGC"/>
        <w:rPr>
          <w:szCs w:val="21"/>
        </w:rPr>
      </w:pPr>
      <w:r w:rsidRPr="00D50FAD">
        <w:rPr>
          <w:szCs w:val="21"/>
        </w:rPr>
        <w:tab/>
      </w:r>
      <w:r w:rsidRPr="009B4C14">
        <w:rPr>
          <w:rFonts w:eastAsia="KaiTi_GB2312"/>
          <w:szCs w:val="21"/>
        </w:rPr>
        <w:t>又回顾</w:t>
      </w:r>
      <w:r w:rsidRPr="00D50FAD">
        <w:rPr>
          <w:szCs w:val="21"/>
        </w:rPr>
        <w:t>《公民权利和政治权利国际公约》第十八条、《世界人权宣言》第十八条、《经济、社会、文化权利国际公约》第二条第</w:t>
      </w:r>
      <w:r w:rsidRPr="00D50FAD">
        <w:rPr>
          <w:szCs w:val="21"/>
        </w:rPr>
        <w:t>(</w:t>
      </w:r>
      <w:r w:rsidRPr="00D50FAD">
        <w:rPr>
          <w:szCs w:val="21"/>
        </w:rPr>
        <w:t>二</w:t>
      </w:r>
      <w:r w:rsidRPr="00D50FAD">
        <w:rPr>
          <w:szCs w:val="21"/>
        </w:rPr>
        <w:t>)</w:t>
      </w:r>
      <w:r w:rsidRPr="00D50FAD">
        <w:rPr>
          <w:szCs w:val="21"/>
        </w:rPr>
        <w:t>款，以及其他有关人权规定，</w:t>
      </w:r>
    </w:p>
    <w:p w:rsidR="005E30F9" w:rsidRPr="00D50FAD" w:rsidRDefault="005E30F9" w:rsidP="00D50FAD">
      <w:pPr>
        <w:pStyle w:val="SingleTxtGC"/>
        <w:rPr>
          <w:szCs w:val="21"/>
        </w:rPr>
      </w:pPr>
      <w:r w:rsidRPr="00D50FAD">
        <w:rPr>
          <w:szCs w:val="21"/>
        </w:rPr>
        <w:tab/>
      </w:r>
      <w:r w:rsidRPr="009B4C14">
        <w:rPr>
          <w:rFonts w:eastAsia="KaiTi_GB2312"/>
          <w:szCs w:val="21"/>
        </w:rPr>
        <w:t>进一步回顾</w:t>
      </w:r>
      <w:r w:rsidRPr="00D50FAD">
        <w:rPr>
          <w:szCs w:val="21"/>
        </w:rPr>
        <w:t>2007</w:t>
      </w:r>
      <w:r w:rsidRPr="00D50FAD">
        <w:rPr>
          <w:szCs w:val="21"/>
        </w:rPr>
        <w:t>年</w:t>
      </w:r>
      <w:r w:rsidRPr="00D50FAD">
        <w:rPr>
          <w:szCs w:val="21"/>
        </w:rPr>
        <w:t>12</w:t>
      </w:r>
      <w:r w:rsidRPr="00D50FAD">
        <w:rPr>
          <w:szCs w:val="21"/>
        </w:rPr>
        <w:t>月</w:t>
      </w:r>
      <w:r w:rsidRPr="00D50FAD">
        <w:rPr>
          <w:szCs w:val="21"/>
        </w:rPr>
        <w:t>14</w:t>
      </w:r>
      <w:r w:rsidRPr="00D50FAD">
        <w:rPr>
          <w:szCs w:val="21"/>
        </w:rPr>
        <w:t>日第</w:t>
      </w:r>
      <w:r w:rsidRPr="00D50FAD">
        <w:rPr>
          <w:szCs w:val="21"/>
        </w:rPr>
        <w:t>6/37</w:t>
      </w:r>
      <w:r w:rsidRPr="00D50FAD">
        <w:rPr>
          <w:szCs w:val="21"/>
        </w:rPr>
        <w:t>号决议以及大会和人权委员会通过的其他关于消除基于宗教或信仰原因的一切形式的不容忍和歧视的决议，</w:t>
      </w:r>
    </w:p>
    <w:p w:rsidR="005E30F9" w:rsidRPr="00D50FAD" w:rsidRDefault="005E30F9" w:rsidP="00D50FAD">
      <w:pPr>
        <w:pStyle w:val="SingleTxtGC"/>
        <w:rPr>
          <w:szCs w:val="21"/>
        </w:rPr>
      </w:pPr>
      <w:r w:rsidRPr="00D50FAD">
        <w:rPr>
          <w:szCs w:val="21"/>
        </w:rPr>
        <w:tab/>
      </w:r>
      <w:r w:rsidRPr="009B4C14">
        <w:rPr>
          <w:rFonts w:eastAsia="KaiTi_GB2312"/>
          <w:szCs w:val="21"/>
        </w:rPr>
        <w:t>回顾</w:t>
      </w:r>
      <w:r w:rsidRPr="00D50FAD">
        <w:rPr>
          <w:szCs w:val="21"/>
        </w:rPr>
        <w:t>理事会</w:t>
      </w:r>
      <w:r w:rsidRPr="00D50FAD">
        <w:rPr>
          <w:szCs w:val="21"/>
        </w:rPr>
        <w:t>2007</w:t>
      </w:r>
      <w:r w:rsidRPr="00D50FAD">
        <w:rPr>
          <w:szCs w:val="21"/>
        </w:rPr>
        <w:t>年</w:t>
      </w:r>
      <w:r w:rsidRPr="00D50FAD">
        <w:rPr>
          <w:szCs w:val="21"/>
        </w:rPr>
        <w:t>6</w:t>
      </w:r>
      <w:r w:rsidRPr="00D50FAD">
        <w:rPr>
          <w:szCs w:val="21"/>
        </w:rPr>
        <w:t>月</w:t>
      </w:r>
      <w:r w:rsidRPr="00D50FAD">
        <w:rPr>
          <w:szCs w:val="21"/>
        </w:rPr>
        <w:t>18</w:t>
      </w:r>
      <w:r w:rsidRPr="00D50FAD">
        <w:rPr>
          <w:szCs w:val="21"/>
        </w:rPr>
        <w:t>日关于理事会体制建设的第</w:t>
      </w:r>
      <w:r w:rsidRPr="00D50FAD">
        <w:rPr>
          <w:szCs w:val="21"/>
        </w:rPr>
        <w:t>5/1</w:t>
      </w:r>
      <w:r w:rsidRPr="00D50FAD">
        <w:rPr>
          <w:szCs w:val="21"/>
        </w:rPr>
        <w:t>号决议，以及关于人权理事会特别程序任务执行人行为守则的第</w:t>
      </w:r>
      <w:r w:rsidRPr="00D50FAD">
        <w:rPr>
          <w:szCs w:val="21"/>
        </w:rPr>
        <w:t>5/2</w:t>
      </w:r>
      <w:r w:rsidRPr="00D50FAD">
        <w:rPr>
          <w:szCs w:val="21"/>
        </w:rPr>
        <w:t>号决议，强调任务执行人应当根据这两项决议及其附件履行职责，</w:t>
      </w:r>
    </w:p>
    <w:p w:rsidR="005E30F9" w:rsidRPr="009B4C14" w:rsidRDefault="00523C64" w:rsidP="00D50FAD">
      <w:pPr>
        <w:pStyle w:val="SingleTxtGC"/>
        <w:rPr>
          <w:rFonts w:hint="eastAsia"/>
          <w:szCs w:val="21"/>
        </w:rPr>
      </w:pPr>
      <w:r w:rsidRPr="00D50FAD">
        <w:rPr>
          <w:szCs w:val="21"/>
        </w:rPr>
        <w:tab/>
      </w:r>
      <w:r w:rsidR="005E30F9" w:rsidRPr="00D50FAD">
        <w:rPr>
          <w:szCs w:val="21"/>
        </w:rPr>
        <w:t>1.</w:t>
      </w:r>
      <w:r w:rsidRPr="00D50FAD">
        <w:rPr>
          <w:szCs w:val="21"/>
        </w:rPr>
        <w:t xml:space="preserve">  </w:t>
      </w:r>
      <w:r w:rsidR="005E30F9" w:rsidRPr="009B4C14">
        <w:rPr>
          <w:rFonts w:eastAsia="KaiTi_GB2312"/>
          <w:szCs w:val="21"/>
        </w:rPr>
        <w:t>谴责</w:t>
      </w:r>
      <w:r w:rsidR="005E30F9" w:rsidRPr="00D50FAD">
        <w:rPr>
          <w:szCs w:val="21"/>
        </w:rPr>
        <w:t>基于宗教或信仰原因的一切形式的不容忍和歧视，以及对思想、良心，宗教或信仰自由的侵犯；</w:t>
      </w:r>
    </w:p>
    <w:p w:rsidR="005E30F9" w:rsidRPr="00D50FAD" w:rsidRDefault="00D50FAD" w:rsidP="00D50FAD">
      <w:pPr>
        <w:pStyle w:val="SingleTxtGC"/>
        <w:rPr>
          <w:szCs w:val="21"/>
        </w:rPr>
      </w:pPr>
      <w:r w:rsidRPr="00D50FAD">
        <w:rPr>
          <w:spacing w:val="10"/>
          <w:szCs w:val="21"/>
        </w:rPr>
        <w:tab/>
      </w:r>
      <w:r w:rsidR="005E30F9" w:rsidRPr="00D50FAD">
        <w:rPr>
          <w:spacing w:val="10"/>
          <w:szCs w:val="21"/>
        </w:rPr>
        <w:t>2.</w:t>
      </w:r>
      <w:r w:rsidR="005E30F9" w:rsidRPr="00D50FAD">
        <w:rPr>
          <w:szCs w:val="21"/>
        </w:rPr>
        <w:t xml:space="preserve"> </w:t>
      </w:r>
      <w:r w:rsidRPr="00D50FAD">
        <w:rPr>
          <w:szCs w:val="21"/>
        </w:rPr>
        <w:t xml:space="preserve"> </w:t>
      </w:r>
      <w:r w:rsidR="005E30F9" w:rsidRPr="009B4C14">
        <w:rPr>
          <w:rFonts w:eastAsia="KaiTi_GB2312"/>
          <w:szCs w:val="21"/>
        </w:rPr>
        <w:t>强调</w:t>
      </w:r>
      <w:r w:rsidR="005E30F9" w:rsidRPr="00D50FAD">
        <w:rPr>
          <w:szCs w:val="21"/>
        </w:rPr>
        <w:t>人人都有思想、良心和宗教或信仰自由的权利，其中包括信奉或持有自主选择的宗教或信仰的自由，以及单独或集体、公开或非公开地通过教导、实践、敬拜和遵奉表明其宗教或信仰的自由；</w:t>
      </w:r>
    </w:p>
    <w:p w:rsidR="005E30F9" w:rsidRPr="00D50FAD" w:rsidRDefault="00D50FAD" w:rsidP="00D50FAD">
      <w:pPr>
        <w:pStyle w:val="SingleTxtGC"/>
        <w:rPr>
          <w:spacing w:val="10"/>
          <w:szCs w:val="21"/>
        </w:rPr>
      </w:pPr>
      <w:r w:rsidRPr="00D50FAD">
        <w:rPr>
          <w:szCs w:val="21"/>
        </w:rPr>
        <w:tab/>
      </w:r>
      <w:r w:rsidR="005E30F9" w:rsidRPr="00D50FAD">
        <w:rPr>
          <w:szCs w:val="21"/>
        </w:rPr>
        <w:t>3.</w:t>
      </w:r>
      <w:r w:rsidRPr="00D50FAD">
        <w:rPr>
          <w:szCs w:val="21"/>
        </w:rPr>
        <w:t xml:space="preserve">  </w:t>
      </w:r>
      <w:r w:rsidR="005E30F9" w:rsidRPr="009B4C14">
        <w:rPr>
          <w:rFonts w:eastAsia="KaiTi_GB2312"/>
          <w:szCs w:val="21"/>
        </w:rPr>
        <w:t>谴责</w:t>
      </w:r>
      <w:r w:rsidR="005E30F9" w:rsidRPr="00D50FAD">
        <w:rPr>
          <w:szCs w:val="21"/>
        </w:rPr>
        <w:t>任何构成煽动歧视、敌对或暴力的行为的鼓吹宗教仇恨的做法，不论此种做法是采用印刷、视听或电子媒体，还是采用任何其它手段；</w:t>
      </w:r>
      <w:r w:rsidR="005E30F9" w:rsidRPr="00D50FAD">
        <w:rPr>
          <w:spacing w:val="10"/>
          <w:szCs w:val="21"/>
        </w:rPr>
        <w:t xml:space="preserve"> </w:t>
      </w:r>
    </w:p>
    <w:p w:rsidR="005E30F9" w:rsidRPr="00D50FAD" w:rsidRDefault="00D50FAD" w:rsidP="00D50FAD">
      <w:pPr>
        <w:pStyle w:val="SingleTxtGC"/>
        <w:rPr>
          <w:szCs w:val="21"/>
        </w:rPr>
      </w:pPr>
      <w:r w:rsidRPr="00D50FAD">
        <w:rPr>
          <w:spacing w:val="10"/>
          <w:szCs w:val="21"/>
        </w:rPr>
        <w:tab/>
      </w:r>
      <w:r w:rsidR="005E30F9" w:rsidRPr="00D50FAD">
        <w:rPr>
          <w:spacing w:val="10"/>
          <w:szCs w:val="21"/>
        </w:rPr>
        <w:t>4.</w:t>
      </w:r>
      <w:r w:rsidRPr="00D50FAD">
        <w:rPr>
          <w:spacing w:val="10"/>
          <w:szCs w:val="21"/>
        </w:rPr>
        <w:t xml:space="preserve">  </w:t>
      </w:r>
      <w:r w:rsidR="005E30F9" w:rsidRPr="009B4C14">
        <w:rPr>
          <w:rFonts w:eastAsia="KaiTi_GB2312"/>
          <w:spacing w:val="10"/>
          <w:szCs w:val="21"/>
        </w:rPr>
        <w:t>强调</w:t>
      </w:r>
      <w:r w:rsidR="005E30F9" w:rsidRPr="00D50FAD">
        <w:rPr>
          <w:szCs w:val="21"/>
        </w:rPr>
        <w:t>表明宗教或信仰的自由仅受法律规定的、为保护公共安全、秩序、健康或道德或他人的基本权利和自由所必需的限制的约束，此种限制不具歧视性质，并且以不损害思想、良心和宗教自由权利的方式得到适用；</w:t>
      </w:r>
    </w:p>
    <w:p w:rsidR="005E30F9" w:rsidRPr="00D50FAD" w:rsidRDefault="00D50FAD" w:rsidP="00D50FAD">
      <w:pPr>
        <w:pStyle w:val="SingleTxtGC"/>
        <w:rPr>
          <w:szCs w:val="21"/>
        </w:rPr>
      </w:pPr>
      <w:r w:rsidRPr="00D50FAD">
        <w:rPr>
          <w:szCs w:val="21"/>
        </w:rPr>
        <w:tab/>
      </w:r>
      <w:r w:rsidR="005E30F9" w:rsidRPr="00D50FAD">
        <w:rPr>
          <w:szCs w:val="21"/>
        </w:rPr>
        <w:t>5.</w:t>
      </w:r>
      <w:r w:rsidRPr="00D50FAD">
        <w:rPr>
          <w:szCs w:val="21"/>
        </w:rPr>
        <w:t xml:space="preserve">  </w:t>
      </w:r>
      <w:r w:rsidR="005E30F9" w:rsidRPr="009B4C14">
        <w:rPr>
          <w:rFonts w:eastAsia="KaiTi_GB2312"/>
          <w:szCs w:val="21"/>
        </w:rPr>
        <w:t>呼吁</w:t>
      </w:r>
      <w:r w:rsidR="005E30F9" w:rsidRPr="00D50FAD">
        <w:rPr>
          <w:szCs w:val="21"/>
        </w:rPr>
        <w:t>各国采取措施和政策，促进对礼拜场所和宗教地点的尊重；</w:t>
      </w:r>
    </w:p>
    <w:p w:rsidR="005E30F9" w:rsidRPr="00D50FAD" w:rsidRDefault="00D50FAD" w:rsidP="00C2077C">
      <w:pPr>
        <w:pStyle w:val="SingleTxtGC"/>
        <w:rPr>
          <w:spacing w:val="10"/>
          <w:szCs w:val="21"/>
        </w:rPr>
      </w:pPr>
      <w:r w:rsidRPr="00D50FAD">
        <w:rPr>
          <w:spacing w:val="10"/>
          <w:szCs w:val="21"/>
        </w:rPr>
        <w:tab/>
      </w:r>
      <w:r w:rsidR="005E30F9" w:rsidRPr="00D50FAD">
        <w:rPr>
          <w:spacing w:val="10"/>
          <w:szCs w:val="21"/>
        </w:rPr>
        <w:t>6.</w:t>
      </w:r>
      <w:r w:rsidRPr="00D50FAD">
        <w:rPr>
          <w:spacing w:val="10"/>
          <w:szCs w:val="21"/>
        </w:rPr>
        <w:t xml:space="preserve">  </w:t>
      </w:r>
      <w:r w:rsidR="005E30F9" w:rsidRPr="009B4C14">
        <w:rPr>
          <w:rFonts w:eastAsia="KaiTi_GB2312"/>
          <w:spacing w:val="10"/>
          <w:szCs w:val="21"/>
        </w:rPr>
        <w:t>对</w:t>
      </w:r>
      <w:r w:rsidR="005E30F9" w:rsidRPr="00D50FAD">
        <w:rPr>
          <w:spacing w:val="10"/>
          <w:szCs w:val="21"/>
        </w:rPr>
        <w:t>宗教不容忍事例仍在发生，以及宗教或信仰自由权利的享有正在受到阻碍表示关注，此种事例和障碍主要为：</w:t>
      </w:r>
    </w:p>
    <w:p w:rsidR="005E30F9" w:rsidRPr="00D50FAD" w:rsidRDefault="005E30F9" w:rsidP="00CB0A64">
      <w:pPr>
        <w:pStyle w:val="SingleTxtGC"/>
        <w:numPr>
          <w:ilvl w:val="0"/>
          <w:numId w:val="43"/>
        </w:numPr>
      </w:pPr>
      <w:r w:rsidRPr="00D50FAD">
        <w:t>世界各地许多宗教少数群体和其它团体的成员成为不容忍和暴力事件的受害者的事例；</w:t>
      </w:r>
    </w:p>
    <w:p w:rsidR="005E30F9" w:rsidRPr="00D50FAD" w:rsidRDefault="005E30F9" w:rsidP="00CB0A64">
      <w:pPr>
        <w:pStyle w:val="SingleTxtGC"/>
        <w:numPr>
          <w:ilvl w:val="0"/>
          <w:numId w:val="43"/>
        </w:numPr>
      </w:pPr>
      <w:r w:rsidRPr="00D50FAD">
        <w:t>宗教仇恨、歧视、不容忍和暴力事件，这些事件表现为依据宗教信仰对他人进行丑化、歧视性评判及侮辱；</w:t>
      </w:r>
    </w:p>
    <w:p w:rsidR="005E30F9" w:rsidRPr="00D50FAD" w:rsidRDefault="005E30F9" w:rsidP="00CB0A64">
      <w:pPr>
        <w:pStyle w:val="SingleTxtGC"/>
        <w:numPr>
          <w:ilvl w:val="0"/>
          <w:numId w:val="43"/>
        </w:numPr>
      </w:pPr>
      <w:r w:rsidRPr="00D50FAD">
        <w:t>违反国际法特别是人权法和人道主义法，袭击宗教场所、地点和圣地，而这些场所、地点和圣地对宗教团体成员的尊严和生命来说并非只是具有物质意义；</w:t>
      </w:r>
    </w:p>
    <w:p w:rsidR="005E30F9" w:rsidRPr="00D50FAD" w:rsidRDefault="005E30F9" w:rsidP="00CB0A64">
      <w:pPr>
        <w:pStyle w:val="SingleTxtGC"/>
        <w:numPr>
          <w:ilvl w:val="0"/>
          <w:numId w:val="43"/>
        </w:numPr>
      </w:pPr>
      <w:r w:rsidRPr="00D50FAD">
        <w:t>法律和</w:t>
      </w:r>
      <w:r w:rsidR="00A754E3">
        <w:rPr>
          <w:rFonts w:hint="eastAsia"/>
        </w:rPr>
        <w:t>实践</w:t>
      </w:r>
      <w:r w:rsidRPr="00D50FAD">
        <w:t>中构成对宗教信仰自由基本权利包括个人公开表达宗教信仰的权利的侵犯的事例，同时考虑到《公民权利和政治权利国际公约》</w:t>
      </w:r>
      <w:r w:rsidR="00A754E3">
        <w:t>相关条款以及其它国际文书</w:t>
      </w:r>
      <w:r w:rsidRPr="00D50FAD">
        <w:t>；</w:t>
      </w:r>
    </w:p>
    <w:p w:rsidR="005E30F9" w:rsidRPr="00D50FAD" w:rsidRDefault="005E30F9" w:rsidP="00CB0A64">
      <w:pPr>
        <w:pStyle w:val="SingleTxtGC"/>
        <w:numPr>
          <w:ilvl w:val="0"/>
          <w:numId w:val="43"/>
        </w:numPr>
      </w:pPr>
      <w:r w:rsidRPr="00D50FAD">
        <w:t>有些宪法和立法制度未能在思想、良心、宗教信仰自由方面一视同仁地为所有的人提供恰当、有效的保障；</w:t>
      </w:r>
    </w:p>
    <w:p w:rsidR="005E30F9" w:rsidRPr="00D50FAD" w:rsidRDefault="00D50FAD" w:rsidP="00D50FAD">
      <w:pPr>
        <w:pStyle w:val="SingleTxtGC"/>
        <w:rPr>
          <w:szCs w:val="21"/>
        </w:rPr>
      </w:pPr>
      <w:r>
        <w:rPr>
          <w:rFonts w:hint="eastAsia"/>
          <w:szCs w:val="21"/>
        </w:rPr>
        <w:tab/>
      </w:r>
      <w:r w:rsidR="005E30F9" w:rsidRPr="00D50FAD">
        <w:rPr>
          <w:szCs w:val="21"/>
        </w:rPr>
        <w:t>7.</w:t>
      </w:r>
      <w:r>
        <w:rPr>
          <w:rFonts w:hint="eastAsia"/>
          <w:szCs w:val="21"/>
        </w:rPr>
        <w:t xml:space="preserve">  </w:t>
      </w:r>
      <w:r w:rsidR="005E30F9" w:rsidRPr="00D50FAD">
        <w:rPr>
          <w:rFonts w:eastAsia="KaiTi_GB2312"/>
          <w:szCs w:val="21"/>
        </w:rPr>
        <w:t>欢迎</w:t>
      </w:r>
      <w:r w:rsidR="005E30F9" w:rsidRPr="00D50FAD">
        <w:rPr>
          <w:szCs w:val="21"/>
        </w:rPr>
        <w:t>宗教或信仰自由问题特别报告员编写的报告</w:t>
      </w:r>
      <w:r w:rsidR="005E30F9" w:rsidRPr="00D50FAD">
        <w:rPr>
          <w:szCs w:val="21"/>
        </w:rPr>
        <w:t>(A/HRC/13/40</w:t>
      </w:r>
      <w:r w:rsidR="005E30F9" w:rsidRPr="00D50FAD">
        <w:rPr>
          <w:szCs w:val="21"/>
        </w:rPr>
        <w:t>）；</w:t>
      </w:r>
    </w:p>
    <w:p w:rsidR="005E30F9" w:rsidRPr="00D50FAD" w:rsidRDefault="00D50FAD" w:rsidP="00D50FAD">
      <w:pPr>
        <w:pStyle w:val="SingleTxtGC"/>
        <w:rPr>
          <w:szCs w:val="21"/>
        </w:rPr>
      </w:pPr>
      <w:r>
        <w:rPr>
          <w:rFonts w:hint="eastAsia"/>
          <w:szCs w:val="21"/>
        </w:rPr>
        <w:tab/>
      </w:r>
      <w:r w:rsidR="005E30F9" w:rsidRPr="00D50FAD">
        <w:rPr>
          <w:szCs w:val="21"/>
        </w:rPr>
        <w:t>8.</w:t>
      </w:r>
      <w:r>
        <w:rPr>
          <w:rFonts w:hint="eastAsia"/>
          <w:szCs w:val="21"/>
        </w:rPr>
        <w:t xml:space="preserve">  </w:t>
      </w:r>
      <w:r w:rsidR="005E30F9" w:rsidRPr="00D50FAD">
        <w:rPr>
          <w:rFonts w:eastAsia="KaiTi_GB2312"/>
          <w:szCs w:val="21"/>
        </w:rPr>
        <w:t>还欢迎</w:t>
      </w:r>
      <w:r w:rsidR="005E30F9" w:rsidRPr="00D50FAD">
        <w:rPr>
          <w:szCs w:val="21"/>
        </w:rPr>
        <w:t>特别报告员开展的工作，并得出结论认为，特别报告员需要继续为保护、促进和普遍落实宗教或信仰自由权利出力；</w:t>
      </w:r>
    </w:p>
    <w:p w:rsidR="005E30F9" w:rsidRPr="00D50FAD" w:rsidRDefault="00D50FAD" w:rsidP="00D50FAD">
      <w:pPr>
        <w:pStyle w:val="SingleTxtGC"/>
        <w:rPr>
          <w:szCs w:val="21"/>
        </w:rPr>
      </w:pPr>
      <w:r>
        <w:rPr>
          <w:rFonts w:hint="eastAsia"/>
          <w:szCs w:val="21"/>
        </w:rPr>
        <w:tab/>
      </w:r>
      <w:r w:rsidR="005E30F9" w:rsidRPr="00D50FAD">
        <w:rPr>
          <w:szCs w:val="21"/>
        </w:rPr>
        <w:t>9.</w:t>
      </w:r>
      <w:r>
        <w:rPr>
          <w:rFonts w:hint="eastAsia"/>
          <w:szCs w:val="21"/>
        </w:rPr>
        <w:t xml:space="preserve">  </w:t>
      </w:r>
      <w:r w:rsidR="005E30F9" w:rsidRPr="00D50FAD">
        <w:rPr>
          <w:rFonts w:eastAsia="KaiTi_GB2312"/>
          <w:szCs w:val="21"/>
        </w:rPr>
        <w:t>决定</w:t>
      </w:r>
      <w:r w:rsidR="005E30F9" w:rsidRPr="00D50FAD">
        <w:rPr>
          <w:szCs w:val="21"/>
        </w:rPr>
        <w:t>将特别报告员的任期再延长三年；</w:t>
      </w:r>
    </w:p>
    <w:p w:rsidR="005E30F9" w:rsidRPr="00D50FAD" w:rsidRDefault="00D50FAD" w:rsidP="00D50FAD">
      <w:pPr>
        <w:pStyle w:val="SingleTxtGC"/>
        <w:rPr>
          <w:szCs w:val="21"/>
        </w:rPr>
      </w:pPr>
      <w:r>
        <w:rPr>
          <w:rFonts w:hint="eastAsia"/>
          <w:szCs w:val="21"/>
        </w:rPr>
        <w:tab/>
      </w:r>
      <w:r w:rsidR="005E30F9" w:rsidRPr="00D50FAD">
        <w:rPr>
          <w:szCs w:val="21"/>
        </w:rPr>
        <w:t>10.</w:t>
      </w:r>
      <w:r>
        <w:rPr>
          <w:rFonts w:hint="eastAsia"/>
          <w:szCs w:val="21"/>
        </w:rPr>
        <w:t xml:space="preserve">  </w:t>
      </w:r>
      <w:r w:rsidR="005E30F9" w:rsidRPr="00D50FAD">
        <w:rPr>
          <w:rFonts w:eastAsia="KaiTi_GB2312"/>
          <w:szCs w:val="21"/>
        </w:rPr>
        <w:t>请</w:t>
      </w:r>
      <w:r w:rsidR="005E30F9" w:rsidRPr="00D50FAD">
        <w:rPr>
          <w:szCs w:val="21"/>
        </w:rPr>
        <w:t>特别报告员在根据理事会第</w:t>
      </w:r>
      <w:r w:rsidR="005E30F9" w:rsidRPr="00D50FAD">
        <w:rPr>
          <w:szCs w:val="21"/>
        </w:rPr>
        <w:t>6/37</w:t>
      </w:r>
      <w:r w:rsidR="005E30F9" w:rsidRPr="00D50FAD">
        <w:rPr>
          <w:szCs w:val="21"/>
        </w:rPr>
        <w:t>号决议第</w:t>
      </w:r>
      <w:r w:rsidR="005E30F9" w:rsidRPr="00D50FAD">
        <w:rPr>
          <w:szCs w:val="21"/>
        </w:rPr>
        <w:t>18</w:t>
      </w:r>
      <w:r w:rsidR="005E30F9" w:rsidRPr="00D50FAD">
        <w:rPr>
          <w:szCs w:val="21"/>
        </w:rPr>
        <w:t>段执行任务以及向理事会提出报告时，考虑到关于宗教或信仰自由问题的所有先前的决议的内容，特别是本决议表示的关切；</w:t>
      </w:r>
    </w:p>
    <w:p w:rsidR="005E30F9" w:rsidRPr="00D50FAD" w:rsidRDefault="00D50FAD" w:rsidP="00D50FAD">
      <w:pPr>
        <w:pStyle w:val="SingleTxtGC"/>
        <w:rPr>
          <w:szCs w:val="21"/>
        </w:rPr>
      </w:pPr>
      <w:r>
        <w:rPr>
          <w:rFonts w:hint="eastAsia"/>
          <w:szCs w:val="21"/>
        </w:rPr>
        <w:tab/>
      </w:r>
      <w:r w:rsidR="005E30F9" w:rsidRPr="00D50FAD">
        <w:rPr>
          <w:szCs w:val="21"/>
        </w:rPr>
        <w:t>11.</w:t>
      </w:r>
      <w:r>
        <w:rPr>
          <w:rFonts w:hint="eastAsia"/>
          <w:szCs w:val="21"/>
        </w:rPr>
        <w:t xml:space="preserve">  </w:t>
      </w:r>
      <w:r w:rsidR="005E30F9" w:rsidRPr="00D50FAD">
        <w:rPr>
          <w:rFonts w:eastAsia="KaiTi_GB2312"/>
          <w:szCs w:val="21"/>
        </w:rPr>
        <w:t>呼吁</w:t>
      </w:r>
      <w:r w:rsidR="005E30F9" w:rsidRPr="00D50FAD">
        <w:rPr>
          <w:szCs w:val="21"/>
        </w:rPr>
        <w:t>特别报告员与大众媒体组织合作，促进对宗教和文化多样性及多元文化持尊重和宽容态度的气氛；</w:t>
      </w:r>
    </w:p>
    <w:p w:rsidR="005E30F9" w:rsidRPr="00D50FAD" w:rsidRDefault="00D50FAD" w:rsidP="00D50FAD">
      <w:pPr>
        <w:pStyle w:val="SingleTxtGC"/>
        <w:rPr>
          <w:szCs w:val="21"/>
        </w:rPr>
      </w:pPr>
      <w:r>
        <w:rPr>
          <w:rFonts w:hint="eastAsia"/>
          <w:szCs w:val="21"/>
        </w:rPr>
        <w:tab/>
      </w:r>
      <w:r w:rsidR="005E30F9" w:rsidRPr="00D50FAD">
        <w:rPr>
          <w:szCs w:val="21"/>
        </w:rPr>
        <w:t xml:space="preserve">12. </w:t>
      </w:r>
      <w:r>
        <w:rPr>
          <w:rFonts w:hint="eastAsia"/>
          <w:szCs w:val="21"/>
        </w:rPr>
        <w:t xml:space="preserve"> </w:t>
      </w:r>
      <w:r w:rsidR="005E30F9" w:rsidRPr="00D50FAD">
        <w:rPr>
          <w:rFonts w:eastAsia="KaiTi_GB2312"/>
          <w:szCs w:val="21"/>
        </w:rPr>
        <w:t>请</w:t>
      </w:r>
      <w:r w:rsidR="005E30F9" w:rsidRPr="00D50FAD">
        <w:rPr>
          <w:szCs w:val="21"/>
        </w:rPr>
        <w:t>秘书长确保特别报告员获得充分执行任务所需的必要资源；</w:t>
      </w:r>
    </w:p>
    <w:p w:rsidR="005E30F9" w:rsidRPr="00D50FAD" w:rsidRDefault="00A97C05" w:rsidP="00D50FAD">
      <w:pPr>
        <w:pStyle w:val="SingleTxtGC"/>
        <w:rPr>
          <w:szCs w:val="21"/>
        </w:rPr>
      </w:pPr>
      <w:r>
        <w:rPr>
          <w:rFonts w:hint="eastAsia"/>
          <w:szCs w:val="21"/>
        </w:rPr>
        <w:tab/>
      </w:r>
      <w:r w:rsidR="005E30F9" w:rsidRPr="00D50FAD">
        <w:rPr>
          <w:szCs w:val="21"/>
        </w:rPr>
        <w:t xml:space="preserve">13. </w:t>
      </w:r>
      <w:r w:rsidR="000D08CC">
        <w:rPr>
          <w:rFonts w:hint="eastAsia"/>
          <w:szCs w:val="21"/>
        </w:rPr>
        <w:t xml:space="preserve"> </w:t>
      </w:r>
      <w:r w:rsidR="005E30F9" w:rsidRPr="00A97C05">
        <w:rPr>
          <w:rFonts w:eastAsia="KaiTi_GB2312"/>
          <w:szCs w:val="21"/>
        </w:rPr>
        <w:t>敦促</w:t>
      </w:r>
      <w:r w:rsidR="005E30F9" w:rsidRPr="00D50FAD">
        <w:rPr>
          <w:szCs w:val="21"/>
        </w:rPr>
        <w:t>各国政府与特别报告员充分合作，对特别报告员提出的访问请求作出积极回应，并向其提供一切必要信息，以使特别报告员能够更加切实有效地完成任务；</w:t>
      </w:r>
    </w:p>
    <w:p w:rsidR="005E30F9" w:rsidRPr="00D50FAD" w:rsidRDefault="00A97C05" w:rsidP="00D50FAD">
      <w:pPr>
        <w:pStyle w:val="SingleTxtGC"/>
        <w:rPr>
          <w:szCs w:val="21"/>
        </w:rPr>
      </w:pPr>
      <w:r>
        <w:rPr>
          <w:rFonts w:hint="eastAsia"/>
          <w:szCs w:val="21"/>
        </w:rPr>
        <w:tab/>
      </w:r>
      <w:r w:rsidR="005E30F9" w:rsidRPr="00D50FAD">
        <w:rPr>
          <w:szCs w:val="21"/>
        </w:rPr>
        <w:t xml:space="preserve">14. </w:t>
      </w:r>
      <w:r>
        <w:rPr>
          <w:rFonts w:hint="eastAsia"/>
          <w:szCs w:val="21"/>
        </w:rPr>
        <w:t xml:space="preserve"> </w:t>
      </w:r>
      <w:r w:rsidR="005E30F9" w:rsidRPr="008F4D25">
        <w:rPr>
          <w:rFonts w:eastAsia="KaiTi_GB2312"/>
          <w:szCs w:val="21"/>
        </w:rPr>
        <w:t>请</w:t>
      </w:r>
      <w:r w:rsidR="005E30F9" w:rsidRPr="00D50FAD">
        <w:rPr>
          <w:szCs w:val="21"/>
        </w:rPr>
        <w:t>特别报告员根据理事会年度工作方案向理事会提交报告，并于</w:t>
      </w:r>
      <w:r w:rsidR="005E30F9" w:rsidRPr="00D50FAD">
        <w:rPr>
          <w:szCs w:val="21"/>
        </w:rPr>
        <w:t>2011</w:t>
      </w:r>
      <w:r w:rsidR="005E30F9" w:rsidRPr="00D50FAD">
        <w:rPr>
          <w:szCs w:val="21"/>
        </w:rPr>
        <w:t>年提交下一次年度报告；</w:t>
      </w:r>
    </w:p>
    <w:p w:rsidR="005E30F9" w:rsidRDefault="005E30F9" w:rsidP="00D50FAD">
      <w:pPr>
        <w:pStyle w:val="SingleTxtGC"/>
        <w:rPr>
          <w:rFonts w:hint="eastAsia"/>
          <w:szCs w:val="21"/>
        </w:rPr>
      </w:pPr>
      <w:r w:rsidRPr="00D50FAD">
        <w:rPr>
          <w:szCs w:val="21"/>
        </w:rPr>
        <w:tab/>
        <w:t xml:space="preserve">15. </w:t>
      </w:r>
      <w:r w:rsidR="00A97C05">
        <w:rPr>
          <w:rFonts w:hint="eastAsia"/>
          <w:szCs w:val="21"/>
        </w:rPr>
        <w:t xml:space="preserve"> </w:t>
      </w:r>
      <w:r w:rsidRPr="008F4D25">
        <w:rPr>
          <w:rFonts w:eastAsia="KaiTi_GB2312"/>
          <w:szCs w:val="21"/>
        </w:rPr>
        <w:t>决定</w:t>
      </w:r>
      <w:r w:rsidRPr="00D50FAD">
        <w:rPr>
          <w:szCs w:val="21"/>
        </w:rPr>
        <w:t>在同一议程项目之下继续关注这一问题，并继续审议旨在执行《消除基于宗教或信仰原因的一切形式的不容忍和歧视宣言》的措施。</w:t>
      </w:r>
    </w:p>
    <w:p w:rsidR="00F20ECF" w:rsidRPr="00D50FAD" w:rsidRDefault="00F20ECF" w:rsidP="00D50FAD">
      <w:pPr>
        <w:pStyle w:val="SingleTxtGC"/>
        <w:rPr>
          <w:rFonts w:hint="eastAsia"/>
          <w:szCs w:val="21"/>
        </w:rPr>
      </w:pPr>
    </w:p>
    <w:p w:rsidR="005E30F9" w:rsidRPr="008F4D25" w:rsidRDefault="00A97C05" w:rsidP="00A97C05">
      <w:pPr>
        <w:pStyle w:val="SingleTxtGC"/>
        <w:jc w:val="right"/>
        <w:rPr>
          <w:rFonts w:eastAsia="KaiTi_GB2312"/>
          <w:szCs w:val="21"/>
        </w:rPr>
      </w:pPr>
      <w:r w:rsidRPr="008F4D25">
        <w:rPr>
          <w:rFonts w:eastAsia="KaiTi_GB2312"/>
          <w:szCs w:val="21"/>
        </w:rPr>
        <w:t>第</w:t>
      </w:r>
      <w:r w:rsidRPr="008F4D25">
        <w:rPr>
          <w:rFonts w:eastAsia="KaiTi_GB2312"/>
          <w:szCs w:val="21"/>
        </w:rPr>
        <w:t>36</w:t>
      </w:r>
      <w:r w:rsidRPr="008F4D25">
        <w:rPr>
          <w:rFonts w:eastAsia="KaiTi_GB2312"/>
          <w:szCs w:val="21"/>
        </w:rPr>
        <w:t>次会议</w:t>
      </w:r>
      <w:r w:rsidRPr="008F4D25">
        <w:rPr>
          <w:rFonts w:eastAsia="KaiTi_GB2312" w:hint="eastAsia"/>
          <w:szCs w:val="21"/>
        </w:rPr>
        <w:br/>
      </w:r>
      <w:r w:rsidR="005E30F9" w:rsidRPr="008F4D25">
        <w:rPr>
          <w:rFonts w:eastAsia="KaiTi_GB2312"/>
          <w:szCs w:val="21"/>
        </w:rPr>
        <w:t>2010</w:t>
      </w:r>
      <w:r w:rsidR="005E30F9" w:rsidRPr="008F4D25">
        <w:rPr>
          <w:rFonts w:eastAsia="KaiTi_GB2312"/>
          <w:szCs w:val="21"/>
        </w:rPr>
        <w:t>年</w:t>
      </w:r>
      <w:r w:rsidR="005E30F9" w:rsidRPr="008F4D25">
        <w:rPr>
          <w:rFonts w:eastAsia="KaiTi_GB2312"/>
          <w:szCs w:val="21"/>
        </w:rPr>
        <w:t>6</w:t>
      </w:r>
      <w:r w:rsidR="005E30F9" w:rsidRPr="008F4D25">
        <w:rPr>
          <w:rFonts w:eastAsia="KaiTi_GB2312"/>
          <w:szCs w:val="21"/>
        </w:rPr>
        <w:t>月</w:t>
      </w:r>
      <w:r w:rsidR="005E30F9" w:rsidRPr="008F4D25">
        <w:rPr>
          <w:rFonts w:eastAsia="KaiTi_GB2312"/>
          <w:szCs w:val="21"/>
        </w:rPr>
        <w:t>18</w:t>
      </w:r>
      <w:r w:rsidR="005E30F9" w:rsidRPr="008F4D25">
        <w:rPr>
          <w:rFonts w:eastAsia="KaiTi_GB2312"/>
          <w:szCs w:val="21"/>
        </w:rPr>
        <w:t>日</w:t>
      </w:r>
    </w:p>
    <w:p w:rsidR="00F53D4C" w:rsidRDefault="00F20ECF" w:rsidP="00D50FAD">
      <w:pPr>
        <w:pStyle w:val="SingleTxtGC"/>
        <w:rPr>
          <w:rFonts w:hint="eastAsia"/>
          <w:szCs w:val="21"/>
        </w:rPr>
      </w:pPr>
      <w:r>
        <w:rPr>
          <w:rFonts w:hint="eastAsia"/>
          <w:szCs w:val="21"/>
        </w:rPr>
        <w:t>[</w:t>
      </w:r>
      <w:r w:rsidR="005E30F9" w:rsidRPr="00D50FAD">
        <w:rPr>
          <w:szCs w:val="21"/>
        </w:rPr>
        <w:t>未经表决获得通过。</w:t>
      </w:r>
      <w:r>
        <w:rPr>
          <w:rFonts w:hint="eastAsia"/>
          <w:szCs w:val="21"/>
        </w:rPr>
        <w:t>]</w:t>
      </w:r>
    </w:p>
    <w:p w:rsidR="000D08CC" w:rsidRDefault="000D08CC" w:rsidP="00D50FAD">
      <w:pPr>
        <w:pStyle w:val="SingleTxtGC"/>
        <w:rPr>
          <w:rFonts w:hint="eastAsia"/>
          <w:szCs w:val="21"/>
        </w:rPr>
      </w:pPr>
    </w:p>
    <w:p w:rsidR="000D08CC" w:rsidRPr="002D6A9C" w:rsidRDefault="000D08C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D08CC" w:rsidRPr="00D50FAD" w:rsidRDefault="000D08CC" w:rsidP="00D50FAD">
      <w:pPr>
        <w:pStyle w:val="SingleTxtGC"/>
        <w:rPr>
          <w:rFonts w:hint="eastAsia"/>
          <w:szCs w:val="21"/>
        </w:rPr>
      </w:pPr>
    </w:p>
    <w:sectPr w:rsidR="000D08CC" w:rsidRPr="00D50FA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CA" w:rsidRPr="00E0554F" w:rsidRDefault="008A40CA"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8A40CA" w:rsidRPr="00E0554F" w:rsidRDefault="008A40CA" w:rsidP="00E0554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FB" w:rsidRPr="00A97C05" w:rsidRDefault="002222FB">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0B48AB">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A97C05">
      <w:rPr>
        <w:rFonts w:eastAsia="SimSun"/>
        <w:lang w:eastAsia="zh-CN"/>
      </w:rPr>
      <w:t>GE.10-14736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FB" w:rsidRDefault="002222FB">
    <w:pPr>
      <w:pStyle w:val="Footer"/>
      <w:tabs>
        <w:tab w:val="right" w:pos="9639"/>
      </w:tabs>
    </w:pPr>
    <w:r w:rsidRPr="00A97C05">
      <w:rPr>
        <w:rFonts w:eastAsia="SimSun"/>
        <w:lang w:eastAsia="zh-CN"/>
      </w:rPr>
      <w:t>GE.10-14736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B48AB">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FB" w:rsidRPr="00EE277A" w:rsidRDefault="002222FB" w:rsidP="00A67F3E">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14736</w:t>
    </w:r>
    <w:r w:rsidRPr="00EE277A">
      <w:rPr>
        <w:rFonts w:eastAsia="SimSun"/>
        <w:sz w:val="20"/>
        <w:lang w:eastAsia="zh-CN"/>
      </w:rPr>
      <w:t xml:space="preserve"> (C)</w:t>
    </w:r>
    <w:r>
      <w:rPr>
        <w:rFonts w:eastAsia="SimSun"/>
        <w:sz w:val="20"/>
        <w:lang w:eastAsia="zh-CN"/>
      </w:rPr>
      <w:tab/>
    </w:r>
    <w:r>
      <w:rPr>
        <w:rFonts w:eastAsia="SimSun" w:hint="eastAsia"/>
        <w:sz w:val="20"/>
        <w:lang w:eastAsia="zh-CN"/>
      </w:rPr>
      <w:t>300610</w:t>
    </w:r>
    <w:r>
      <w:rPr>
        <w:rFonts w:eastAsia="SimSun"/>
        <w:sz w:val="20"/>
        <w:lang w:eastAsia="zh-CN"/>
      </w:rPr>
      <w:tab/>
    </w:r>
    <w:r>
      <w:rPr>
        <w:rFonts w:eastAsia="SimSun" w:hint="eastAsia"/>
        <w:sz w:val="20"/>
        <w:lang w:eastAsia="zh-CN"/>
      </w:rPr>
      <w:t>010710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CA" w:rsidRPr="000157B1" w:rsidRDefault="008A40CA"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8A40CA" w:rsidRPr="000157B1" w:rsidRDefault="008A40CA"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8A40CA" w:rsidRDefault="008A40CA"/>
  </w:footnote>
  <w:footnote w:id="2">
    <w:p w:rsidR="002222FB" w:rsidRDefault="002222FB" w:rsidP="00523C64">
      <w:pPr>
        <w:pStyle w:val="FootnoteText"/>
      </w:pPr>
      <w:r>
        <w:rPr>
          <w:rFonts w:hint="eastAsia"/>
        </w:rPr>
        <w:tab/>
      </w:r>
      <w:r w:rsidRPr="006D1C11">
        <w:rPr>
          <w:rStyle w:val="FootnoteReference"/>
          <w:vertAlign w:val="baseline"/>
        </w:rPr>
        <w:t>*</w:t>
      </w:r>
      <w:r>
        <w:rPr>
          <w:rFonts w:hint="eastAsia"/>
        </w:rPr>
        <w:tab/>
      </w:r>
      <w:r>
        <w:rPr>
          <w:rFonts w:hint="eastAsia"/>
        </w:rPr>
        <w:t>人权理事会通过的决议和决定将载于理事会第十四届会议报告</w:t>
      </w:r>
      <w:r>
        <w:t>(A/HRC/14/37</w:t>
      </w:r>
      <w:r>
        <w:rPr>
          <w:rFonts w:hint="eastAsia"/>
        </w:rPr>
        <w:t>)</w:t>
      </w:r>
      <w:r>
        <w:rPr>
          <w:rFonts w:hint="eastAsia"/>
        </w:rPr>
        <w:t>，第一章。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FB" w:rsidRPr="00A97C05" w:rsidRDefault="002222FB">
    <w:pPr>
      <w:pStyle w:val="Header"/>
    </w:pPr>
    <w:r w:rsidRPr="00A97C05">
      <w:t>A/HRC/RES/14/11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FB" w:rsidRPr="00A97C05" w:rsidRDefault="002222FB">
    <w:pPr>
      <w:pStyle w:val="Header"/>
      <w:jc w:val="right"/>
      <w:rPr>
        <w:rFonts w:hint="eastAsia"/>
        <w:lang w:eastAsia="zh-CN"/>
      </w:rPr>
    </w:pPr>
    <w:r w:rsidRPr="00A97C05">
      <w:rPr>
        <w:lang w:eastAsia="zh-CN"/>
      </w:rPr>
      <w:t>A/HRC/RES/14/11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FB" w:rsidRDefault="002222FB">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AC42A5A"/>
    <w:multiLevelType w:val="hybridMultilevel"/>
    <w:tmpl w:val="0F1269E2"/>
    <w:lvl w:ilvl="0" w:tplc="3A00626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9">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2">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A823F94"/>
    <w:multiLevelType w:val="hybridMultilevel"/>
    <w:tmpl w:val="B4D6EB72"/>
    <w:lvl w:ilvl="0" w:tplc="70421DF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8">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DD63F62"/>
    <w:multiLevelType w:val="hybridMultilevel"/>
    <w:tmpl w:val="B69E4A7C"/>
    <w:lvl w:ilvl="0" w:tplc="3BD02EC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8"/>
  </w:num>
  <w:num w:numId="13">
    <w:abstractNumId w:val="26"/>
  </w:num>
  <w:num w:numId="14">
    <w:abstractNumId w:val="14"/>
  </w:num>
  <w:num w:numId="15">
    <w:abstractNumId w:val="15"/>
  </w:num>
  <w:num w:numId="16">
    <w:abstractNumId w:val="29"/>
  </w:num>
  <w:num w:numId="17">
    <w:abstractNumId w:val="14"/>
  </w:num>
  <w:num w:numId="18">
    <w:abstractNumId w:val="29"/>
  </w:num>
  <w:num w:numId="19">
    <w:abstractNumId w:val="15"/>
  </w:num>
  <w:num w:numId="20">
    <w:abstractNumId w:val="15"/>
  </w:num>
  <w:num w:numId="21">
    <w:abstractNumId w:val="20"/>
  </w:num>
  <w:num w:numId="22">
    <w:abstractNumId w:val="12"/>
  </w:num>
  <w:num w:numId="23">
    <w:abstractNumId w:val="25"/>
  </w:num>
  <w:num w:numId="24">
    <w:abstractNumId w:val="27"/>
  </w:num>
  <w:num w:numId="25">
    <w:abstractNumId w:val="22"/>
  </w:num>
  <w:num w:numId="26">
    <w:abstractNumId w:val="19"/>
  </w:num>
  <w:num w:numId="27">
    <w:abstractNumId w:val="30"/>
  </w:num>
  <w:num w:numId="28">
    <w:abstractNumId w:val="27"/>
  </w:num>
  <w:num w:numId="29">
    <w:abstractNumId w:val="22"/>
  </w:num>
  <w:num w:numId="30">
    <w:abstractNumId w:val="19"/>
  </w:num>
  <w:num w:numId="31">
    <w:abstractNumId w:val="25"/>
  </w:num>
  <w:num w:numId="32">
    <w:abstractNumId w:val="12"/>
  </w:num>
  <w:num w:numId="33">
    <w:abstractNumId w:val="20"/>
  </w:num>
  <w:num w:numId="34">
    <w:abstractNumId w:val="30"/>
  </w:num>
  <w:num w:numId="35">
    <w:abstractNumId w:val="28"/>
  </w:num>
  <w:num w:numId="36">
    <w:abstractNumId w:val="24"/>
  </w:num>
  <w:num w:numId="37">
    <w:abstractNumId w:val="17"/>
  </w:num>
  <w:num w:numId="38">
    <w:abstractNumId w:val="10"/>
  </w:num>
  <w:num w:numId="39">
    <w:abstractNumId w:val="21"/>
  </w:num>
  <w:num w:numId="40">
    <w:abstractNumId w:val="11"/>
  </w:num>
  <w:num w:numId="41">
    <w:abstractNumId w:val="23"/>
  </w:num>
  <w:num w:numId="42">
    <w:abstractNumId w:val="31"/>
  </w:num>
  <w:num w:numId="4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150"/>
    <w:rsid w:val="0000411A"/>
    <w:rsid w:val="00005A89"/>
    <w:rsid w:val="00007BCF"/>
    <w:rsid w:val="000157B1"/>
    <w:rsid w:val="00050226"/>
    <w:rsid w:val="0005102E"/>
    <w:rsid w:val="000637CE"/>
    <w:rsid w:val="00082E10"/>
    <w:rsid w:val="000A03EB"/>
    <w:rsid w:val="000A7C04"/>
    <w:rsid w:val="000B48AB"/>
    <w:rsid w:val="000B785F"/>
    <w:rsid w:val="000C416A"/>
    <w:rsid w:val="000D08CC"/>
    <w:rsid w:val="000D39E1"/>
    <w:rsid w:val="000F5937"/>
    <w:rsid w:val="000F5CBC"/>
    <w:rsid w:val="00107C15"/>
    <w:rsid w:val="00125776"/>
    <w:rsid w:val="00127C05"/>
    <w:rsid w:val="00140B6A"/>
    <w:rsid w:val="00145946"/>
    <w:rsid w:val="00145C92"/>
    <w:rsid w:val="001613CE"/>
    <w:rsid w:val="00165F4E"/>
    <w:rsid w:val="001A23E8"/>
    <w:rsid w:val="001B11DB"/>
    <w:rsid w:val="001C3E9A"/>
    <w:rsid w:val="002222FB"/>
    <w:rsid w:val="0024012F"/>
    <w:rsid w:val="002629D4"/>
    <w:rsid w:val="0027646F"/>
    <w:rsid w:val="00280515"/>
    <w:rsid w:val="00286515"/>
    <w:rsid w:val="002E68BE"/>
    <w:rsid w:val="002F3F47"/>
    <w:rsid w:val="002F6678"/>
    <w:rsid w:val="00315796"/>
    <w:rsid w:val="00322B61"/>
    <w:rsid w:val="00322F28"/>
    <w:rsid w:val="003734E0"/>
    <w:rsid w:val="00382B00"/>
    <w:rsid w:val="003836F1"/>
    <w:rsid w:val="00385C14"/>
    <w:rsid w:val="003B038F"/>
    <w:rsid w:val="003C27FE"/>
    <w:rsid w:val="003F65D6"/>
    <w:rsid w:val="003F7BF8"/>
    <w:rsid w:val="00400A2E"/>
    <w:rsid w:val="00407FCF"/>
    <w:rsid w:val="0044178A"/>
    <w:rsid w:val="00453A81"/>
    <w:rsid w:val="00467D72"/>
    <w:rsid w:val="004746B9"/>
    <w:rsid w:val="004755EF"/>
    <w:rsid w:val="004858FB"/>
    <w:rsid w:val="00486766"/>
    <w:rsid w:val="00497F5C"/>
    <w:rsid w:val="004C5291"/>
    <w:rsid w:val="004D1280"/>
    <w:rsid w:val="004D7F04"/>
    <w:rsid w:val="004E6C67"/>
    <w:rsid w:val="00500866"/>
    <w:rsid w:val="00523C64"/>
    <w:rsid w:val="00535843"/>
    <w:rsid w:val="00582C70"/>
    <w:rsid w:val="005906E6"/>
    <w:rsid w:val="005A5B0A"/>
    <w:rsid w:val="005B0D8A"/>
    <w:rsid w:val="005E30F9"/>
    <w:rsid w:val="005F34AF"/>
    <w:rsid w:val="005F4B29"/>
    <w:rsid w:val="00611AD3"/>
    <w:rsid w:val="00637834"/>
    <w:rsid w:val="00647FD7"/>
    <w:rsid w:val="00654172"/>
    <w:rsid w:val="00670C28"/>
    <w:rsid w:val="0067129C"/>
    <w:rsid w:val="00697A6C"/>
    <w:rsid w:val="006B1273"/>
    <w:rsid w:val="006B3300"/>
    <w:rsid w:val="006B3471"/>
    <w:rsid w:val="006D002F"/>
    <w:rsid w:val="006D1C11"/>
    <w:rsid w:val="006E0708"/>
    <w:rsid w:val="006E3CD4"/>
    <w:rsid w:val="006E7DF9"/>
    <w:rsid w:val="006E7E21"/>
    <w:rsid w:val="007131E3"/>
    <w:rsid w:val="00717C19"/>
    <w:rsid w:val="007418FE"/>
    <w:rsid w:val="00751C2E"/>
    <w:rsid w:val="007522B5"/>
    <w:rsid w:val="00785BE9"/>
    <w:rsid w:val="00786BD2"/>
    <w:rsid w:val="0079116A"/>
    <w:rsid w:val="00796BD3"/>
    <w:rsid w:val="007B4FBD"/>
    <w:rsid w:val="007C0B4E"/>
    <w:rsid w:val="007D00F8"/>
    <w:rsid w:val="007D0842"/>
    <w:rsid w:val="007D7229"/>
    <w:rsid w:val="007E19CB"/>
    <w:rsid w:val="007E7822"/>
    <w:rsid w:val="007F501B"/>
    <w:rsid w:val="00801DCC"/>
    <w:rsid w:val="00810918"/>
    <w:rsid w:val="0082049D"/>
    <w:rsid w:val="0083180F"/>
    <w:rsid w:val="00851CC1"/>
    <w:rsid w:val="00890356"/>
    <w:rsid w:val="008A40CA"/>
    <w:rsid w:val="008A6AB8"/>
    <w:rsid w:val="008F4D25"/>
    <w:rsid w:val="009006FB"/>
    <w:rsid w:val="00903817"/>
    <w:rsid w:val="00964622"/>
    <w:rsid w:val="0096567D"/>
    <w:rsid w:val="009B1BD6"/>
    <w:rsid w:val="009B4C14"/>
    <w:rsid w:val="009D60E5"/>
    <w:rsid w:val="009F6C52"/>
    <w:rsid w:val="009F7338"/>
    <w:rsid w:val="00A067AD"/>
    <w:rsid w:val="00A26748"/>
    <w:rsid w:val="00A36F72"/>
    <w:rsid w:val="00A67F3E"/>
    <w:rsid w:val="00A754E3"/>
    <w:rsid w:val="00A95BD9"/>
    <w:rsid w:val="00A97C05"/>
    <w:rsid w:val="00AD6719"/>
    <w:rsid w:val="00AE4D20"/>
    <w:rsid w:val="00B16973"/>
    <w:rsid w:val="00B30642"/>
    <w:rsid w:val="00B34537"/>
    <w:rsid w:val="00B61E34"/>
    <w:rsid w:val="00B624FD"/>
    <w:rsid w:val="00B82B2A"/>
    <w:rsid w:val="00B8703D"/>
    <w:rsid w:val="00B9104B"/>
    <w:rsid w:val="00BC2A65"/>
    <w:rsid w:val="00BC3D38"/>
    <w:rsid w:val="00BF6DC5"/>
    <w:rsid w:val="00BF7E3F"/>
    <w:rsid w:val="00C143D7"/>
    <w:rsid w:val="00C2077C"/>
    <w:rsid w:val="00C310DF"/>
    <w:rsid w:val="00C378A3"/>
    <w:rsid w:val="00C435EE"/>
    <w:rsid w:val="00C62277"/>
    <w:rsid w:val="00C623B2"/>
    <w:rsid w:val="00C80DA9"/>
    <w:rsid w:val="00C862E5"/>
    <w:rsid w:val="00CA073C"/>
    <w:rsid w:val="00CA4105"/>
    <w:rsid w:val="00CB0A64"/>
    <w:rsid w:val="00CE6DB5"/>
    <w:rsid w:val="00D2146D"/>
    <w:rsid w:val="00D43F71"/>
    <w:rsid w:val="00D50FAD"/>
    <w:rsid w:val="00D54DF4"/>
    <w:rsid w:val="00D56026"/>
    <w:rsid w:val="00D84673"/>
    <w:rsid w:val="00D96B1F"/>
    <w:rsid w:val="00DA17F5"/>
    <w:rsid w:val="00DA7104"/>
    <w:rsid w:val="00DD66BC"/>
    <w:rsid w:val="00DF4798"/>
    <w:rsid w:val="00E05040"/>
    <w:rsid w:val="00E0554F"/>
    <w:rsid w:val="00E30150"/>
    <w:rsid w:val="00E40A46"/>
    <w:rsid w:val="00E54840"/>
    <w:rsid w:val="00E911E5"/>
    <w:rsid w:val="00E91C05"/>
    <w:rsid w:val="00EE0918"/>
    <w:rsid w:val="00EE277A"/>
    <w:rsid w:val="00F20ECF"/>
    <w:rsid w:val="00F30AC4"/>
    <w:rsid w:val="00F41BAF"/>
    <w:rsid w:val="00F50AC2"/>
    <w:rsid w:val="00F50CB9"/>
    <w:rsid w:val="00F53D4C"/>
    <w:rsid w:val="00F54A14"/>
    <w:rsid w:val="00F61015"/>
    <w:rsid w:val="00F70079"/>
    <w:rsid w:val="00F72A3C"/>
    <w:rsid w:val="00F75048"/>
    <w:rsid w:val="00F75357"/>
    <w:rsid w:val="00F806C4"/>
    <w:rsid w:val="00FC6A02"/>
    <w:rsid w:val="00FD60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B16973"/>
    <w:pPr>
      <w:tabs>
        <w:tab w:val="clear" w:pos="431"/>
        <w:tab w:val="right" w:pos="1021"/>
      </w:tabs>
      <w:spacing w:after="120" w:line="240" w:lineRule="exact"/>
      <w:ind w:left="1134" w:right="1134" w:hanging="1134"/>
    </w:pPr>
    <w:rPr>
      <w:sz w:val="18"/>
    </w:rPr>
  </w:style>
  <w:style w:type="character" w:styleId="FootnoteReference">
    <w:name w:val="footnote reference"/>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paragraph" w:styleId="BalloonText">
    <w:name w:val="Balloon Text"/>
    <w:basedOn w:val="Normal"/>
    <w:semiHidden/>
    <w:rsid w:val="00C378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3</TotalTime>
  <Pages>1</Pages>
  <Words>254</Words>
  <Characters>1451</Characters>
  <Application>Microsoft Office Word</Application>
  <DocSecurity>4</DocSecurity>
  <Lines>12</Lines>
  <Paragraphs>3</Paragraphs>
  <ScaleCrop>false</ScaleCrop>
  <Company>CSD</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KONG</cp:lastModifiedBy>
  <cp:revision>3</cp:revision>
  <cp:lastPrinted>2010-07-01T10:22:00Z</cp:lastPrinted>
  <dcterms:created xsi:type="dcterms:W3CDTF">2010-07-01T10:22:00Z</dcterms:created>
  <dcterms:modified xsi:type="dcterms:W3CDTF">2010-07-01T10:25:00Z</dcterms:modified>
</cp:coreProperties>
</file>