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6261FA"/>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261FA" w:rsidP="006261FA">
            <w:pPr>
              <w:jc w:val="right"/>
            </w:pPr>
            <w:r w:rsidRPr="006261FA">
              <w:rPr>
                <w:sz w:val="40"/>
              </w:rPr>
              <w:t>A</w:t>
            </w:r>
            <w:r>
              <w:t>/HRC/RES/42/5</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261FA" w:rsidP="00E6618E">
            <w:pPr>
              <w:spacing w:before="240"/>
            </w:pPr>
            <w:r>
              <w:t>Distr. générale</w:t>
            </w:r>
          </w:p>
          <w:p w:rsidR="006261FA" w:rsidRDefault="006261FA" w:rsidP="006261FA">
            <w:pPr>
              <w:spacing w:line="240" w:lineRule="exact"/>
            </w:pPr>
            <w:r>
              <w:t>3 octobre 2019</w:t>
            </w:r>
          </w:p>
          <w:p w:rsidR="006261FA" w:rsidRDefault="006261FA" w:rsidP="006261FA">
            <w:pPr>
              <w:spacing w:line="240" w:lineRule="exact"/>
            </w:pPr>
            <w:r>
              <w:t>Français</w:t>
            </w:r>
          </w:p>
          <w:p w:rsidR="006261FA" w:rsidRPr="00DB58B5" w:rsidRDefault="006261FA" w:rsidP="006261FA">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6261FA" w:rsidRPr="006A43D1" w:rsidRDefault="006261FA" w:rsidP="006261FA">
      <w:pPr>
        <w:rPr>
          <w:b/>
          <w:lang w:val="fr-FR"/>
        </w:rPr>
      </w:pPr>
      <w:r w:rsidRPr="006A43D1">
        <w:rPr>
          <w:b/>
          <w:lang w:val="fr-FR"/>
        </w:rPr>
        <w:t>Quarante-deuxième session</w:t>
      </w:r>
    </w:p>
    <w:p w:rsidR="006261FA" w:rsidRPr="006A43D1" w:rsidRDefault="006261FA" w:rsidP="006261FA">
      <w:pPr>
        <w:rPr>
          <w:lang w:val="fr-FR"/>
        </w:rPr>
      </w:pPr>
      <w:r w:rsidRPr="006A43D1">
        <w:rPr>
          <w:lang w:val="fr-FR"/>
        </w:rPr>
        <w:t>9-27</w:t>
      </w:r>
      <w:r>
        <w:rPr>
          <w:lang w:val="fr-FR"/>
        </w:rPr>
        <w:t> </w:t>
      </w:r>
      <w:r w:rsidRPr="006A43D1">
        <w:rPr>
          <w:lang w:val="fr-FR"/>
        </w:rPr>
        <w:t>septembre 2019</w:t>
      </w:r>
    </w:p>
    <w:p w:rsidR="00552797" w:rsidRDefault="006261FA" w:rsidP="006261FA">
      <w:pPr>
        <w:rPr>
          <w:lang w:val="fr-FR"/>
        </w:rPr>
      </w:pPr>
      <w:r w:rsidRPr="006A43D1">
        <w:rPr>
          <w:lang w:val="fr-FR"/>
        </w:rPr>
        <w:t>Point 3 de l’ordre du jour</w:t>
      </w:r>
    </w:p>
    <w:p w:rsidR="006261FA" w:rsidRPr="006261FA" w:rsidRDefault="006261FA" w:rsidP="006261FA">
      <w:pPr>
        <w:pStyle w:val="HChG"/>
        <w:rPr>
          <w:lang w:val="fr-FR"/>
        </w:rPr>
      </w:pPr>
      <w:r>
        <w:rPr>
          <w:lang w:val="fr-FR"/>
        </w:rPr>
        <w:tab/>
      </w:r>
      <w:r>
        <w:rPr>
          <w:lang w:val="fr-FR"/>
        </w:rPr>
        <w:tab/>
      </w:r>
      <w:r w:rsidRPr="006261FA">
        <w:rPr>
          <w:lang w:val="fr-FR"/>
        </w:rPr>
        <w:t xml:space="preserve">Résolution adoptée par le Conseil des droits de l’homme </w:t>
      </w:r>
      <w:r w:rsidRPr="006261FA">
        <w:rPr>
          <w:lang w:val="fr-FR"/>
        </w:rPr>
        <w:br/>
        <w:t>le 26 septembre 2019</w:t>
      </w:r>
      <w:bookmarkStart w:id="0" w:name="_GoBack"/>
      <w:bookmarkEnd w:id="0"/>
    </w:p>
    <w:p w:rsidR="006261FA" w:rsidRPr="006261FA" w:rsidRDefault="006261FA" w:rsidP="006261FA">
      <w:pPr>
        <w:pStyle w:val="H1G"/>
        <w:ind w:left="1985" w:hanging="851"/>
        <w:rPr>
          <w:lang w:val="fr-FR"/>
        </w:rPr>
      </w:pPr>
      <w:r w:rsidRPr="006261FA">
        <w:rPr>
          <w:lang w:val="fr-FR"/>
        </w:rPr>
        <w:t>42/5.</w:t>
      </w:r>
      <w:r w:rsidRPr="006261FA">
        <w:rPr>
          <w:lang w:val="fr-FR"/>
        </w:rPr>
        <w:tab/>
        <w:t>Les droits de l’homme à l’eau potable et à l’assainissement</w:t>
      </w:r>
    </w:p>
    <w:p w:rsidR="006261FA" w:rsidRPr="006261FA" w:rsidRDefault="006261FA" w:rsidP="006261FA">
      <w:pPr>
        <w:pStyle w:val="SingleTxtG"/>
        <w:ind w:firstLine="567"/>
        <w:rPr>
          <w:lang w:val="fr-FR"/>
        </w:rPr>
      </w:pPr>
      <w:r w:rsidRPr="006261FA">
        <w:rPr>
          <w:i/>
          <w:lang w:val="fr-FR"/>
        </w:rPr>
        <w:t>Le Conseil des droits de l’homme</w:t>
      </w:r>
      <w:r w:rsidRPr="006261FA">
        <w:rPr>
          <w:lang w:val="fr-FR"/>
        </w:rPr>
        <w:t>,</w:t>
      </w:r>
    </w:p>
    <w:p w:rsidR="006261FA" w:rsidRPr="006261FA" w:rsidRDefault="006261FA" w:rsidP="006261FA">
      <w:pPr>
        <w:pStyle w:val="SingleTxtG"/>
        <w:ind w:firstLine="567"/>
        <w:rPr>
          <w:lang w:val="fr-FR"/>
        </w:rPr>
      </w:pPr>
      <w:r w:rsidRPr="006261FA">
        <w:rPr>
          <w:i/>
          <w:iCs/>
          <w:lang w:val="fr-FR"/>
        </w:rPr>
        <w:t xml:space="preserve">Guidé </w:t>
      </w:r>
      <w:r w:rsidRPr="006261FA">
        <w:rPr>
          <w:lang w:val="fr-FR"/>
        </w:rPr>
        <w:t>par les buts et principes énoncés dans la Charte des Nations Unies,</w:t>
      </w:r>
    </w:p>
    <w:p w:rsidR="006261FA" w:rsidRPr="006261FA" w:rsidRDefault="006261FA" w:rsidP="006261FA">
      <w:pPr>
        <w:pStyle w:val="SingleTxtG"/>
        <w:ind w:firstLine="567"/>
        <w:rPr>
          <w:lang w:val="fr-FR"/>
        </w:rPr>
      </w:pPr>
      <w:r w:rsidRPr="006261FA">
        <w:rPr>
          <w:i/>
          <w:iCs/>
          <w:lang w:val="fr-FR"/>
        </w:rPr>
        <w:t xml:space="preserve">Rappelant </w:t>
      </w:r>
      <w:r w:rsidRPr="006261FA">
        <w:rPr>
          <w:lang w:val="fr-FR"/>
        </w:rPr>
        <w:t>la Déclaration universelle des droits de l’homme,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relative aux droits de l’enfant et la Convention relative aux droits des personnes handicapées,</w:t>
      </w:r>
    </w:p>
    <w:p w:rsidR="006261FA" w:rsidRPr="006261FA" w:rsidRDefault="006261FA" w:rsidP="006261FA">
      <w:pPr>
        <w:pStyle w:val="SingleTxtG"/>
        <w:ind w:firstLine="567"/>
        <w:rPr>
          <w:lang w:val="fr-FR"/>
        </w:rPr>
      </w:pPr>
      <w:r w:rsidRPr="006261FA">
        <w:rPr>
          <w:i/>
          <w:iCs/>
          <w:lang w:val="fr-FR"/>
        </w:rPr>
        <w:t>Rappelant également</w:t>
      </w:r>
      <w:r w:rsidRPr="006261FA">
        <w:rPr>
          <w:lang w:val="fr-FR"/>
        </w:rPr>
        <w:t xml:space="preserve"> la résolution 70/1 de l’Assemblée générale, en date du 25 septembre 2015, intitulée « Transformer notre monde : le Programme de développement durable à l’horizon 2030 », dans laquelle l’Assemblée s’est engagée à ne laisser personne de côté,</w:t>
      </w:r>
    </w:p>
    <w:p w:rsidR="006261FA" w:rsidRPr="006261FA" w:rsidRDefault="006261FA" w:rsidP="006261FA">
      <w:pPr>
        <w:pStyle w:val="SingleTxtG"/>
        <w:ind w:firstLine="567"/>
        <w:rPr>
          <w:lang w:val="fr-FR"/>
        </w:rPr>
      </w:pPr>
      <w:r w:rsidRPr="006261FA">
        <w:rPr>
          <w:i/>
          <w:iCs/>
          <w:lang w:val="fr-FR"/>
        </w:rPr>
        <w:t xml:space="preserve">Réaffirmant </w:t>
      </w:r>
      <w:r w:rsidRPr="006261FA">
        <w:rPr>
          <w:lang w:val="fr-FR"/>
        </w:rPr>
        <w:t>toutes ses résolutions antérieures sur les droits de l’homme à l’eau potable et à l’assainissement,</w:t>
      </w:r>
    </w:p>
    <w:p w:rsidR="006261FA" w:rsidRPr="006261FA" w:rsidRDefault="006261FA" w:rsidP="006261FA">
      <w:pPr>
        <w:pStyle w:val="SingleTxtG"/>
        <w:ind w:firstLine="567"/>
        <w:rPr>
          <w:lang w:val="fr-FR"/>
        </w:rPr>
      </w:pPr>
      <w:r w:rsidRPr="006261FA">
        <w:rPr>
          <w:i/>
          <w:iCs/>
          <w:lang w:val="fr-FR"/>
        </w:rPr>
        <w:t xml:space="preserve">Rappelant </w:t>
      </w:r>
      <w:r w:rsidRPr="006261FA">
        <w:rPr>
          <w:lang w:val="fr-FR"/>
        </w:rPr>
        <w:t>toutes les résolutions antérieures de l’Assemblée générale sur les droits de l’homme à l’eau potable et à l’assainissement, dont la résolution 64/292 du 28 juillet</w:t>
      </w:r>
      <w:r>
        <w:rPr>
          <w:lang w:val="fr-FR"/>
        </w:rPr>
        <w:t> </w:t>
      </w:r>
      <w:r w:rsidRPr="006261FA">
        <w:rPr>
          <w:lang w:val="fr-FR"/>
        </w:rPr>
        <w:t>2010,</w:t>
      </w:r>
    </w:p>
    <w:p w:rsidR="006261FA" w:rsidRPr="006261FA" w:rsidRDefault="006261FA" w:rsidP="006261FA">
      <w:pPr>
        <w:pStyle w:val="SingleTxtG"/>
        <w:ind w:firstLine="567"/>
        <w:rPr>
          <w:lang w:val="fr-FR"/>
        </w:rPr>
      </w:pPr>
      <w:r w:rsidRPr="006261FA">
        <w:rPr>
          <w:lang w:val="fr-FR"/>
        </w:rPr>
        <w:t>1.</w:t>
      </w:r>
      <w:r w:rsidRPr="006261FA">
        <w:rPr>
          <w:lang w:val="fr-FR"/>
        </w:rPr>
        <w:tab/>
      </w:r>
      <w:r w:rsidRPr="006261FA">
        <w:rPr>
          <w:i/>
          <w:lang w:val="fr-FR"/>
        </w:rPr>
        <w:t>Salue</w:t>
      </w:r>
      <w:r w:rsidRPr="006261FA">
        <w:rPr>
          <w:lang w:val="fr-FR"/>
        </w:rPr>
        <w:t xml:space="preserve"> le travail accompli par le Rapporteur spécial sur les droits de l’homme à l’eau potable et à l’assainissement</w:t>
      </w:r>
      <w:r w:rsidRPr="006261FA">
        <w:rPr>
          <w:rStyle w:val="Appelnotedebasdep"/>
        </w:rPr>
        <w:footnoteReference w:id="2"/>
      </w:r>
      <w:r w:rsidRPr="006261FA">
        <w:rPr>
          <w:lang w:val="fr-FR"/>
        </w:rPr>
        <w:t> ;</w:t>
      </w:r>
    </w:p>
    <w:p w:rsidR="006261FA" w:rsidRPr="006261FA" w:rsidRDefault="006261FA" w:rsidP="006261FA">
      <w:pPr>
        <w:pStyle w:val="SingleTxtG"/>
        <w:ind w:firstLine="567"/>
        <w:rPr>
          <w:lang w:val="fr-FR"/>
        </w:rPr>
      </w:pPr>
      <w:r w:rsidRPr="006261FA">
        <w:rPr>
          <w:lang w:val="fr-FR"/>
        </w:rPr>
        <w:t>2.</w:t>
      </w:r>
      <w:r w:rsidRPr="006261FA">
        <w:rPr>
          <w:lang w:val="fr-FR"/>
        </w:rPr>
        <w:tab/>
      </w:r>
      <w:r w:rsidRPr="006261FA">
        <w:rPr>
          <w:i/>
          <w:iCs/>
          <w:lang w:val="fr-FR"/>
        </w:rPr>
        <w:t xml:space="preserve">Décide </w:t>
      </w:r>
      <w:r w:rsidRPr="006261FA">
        <w:rPr>
          <w:lang w:val="fr-FR"/>
        </w:rPr>
        <w:t>de proroger le mandat du Rapporteur spécial sur les droits de l’homme à l’eau potable et à l’assainissement pour une période de trois ans ;</w:t>
      </w:r>
    </w:p>
    <w:p w:rsidR="006261FA" w:rsidRPr="006261FA" w:rsidRDefault="006261FA" w:rsidP="006261FA">
      <w:pPr>
        <w:pStyle w:val="SingleTxtG"/>
        <w:ind w:firstLine="567"/>
        <w:rPr>
          <w:lang w:val="fr-FR"/>
        </w:rPr>
      </w:pPr>
      <w:r w:rsidRPr="006261FA">
        <w:rPr>
          <w:lang w:val="fr-FR"/>
        </w:rPr>
        <w:t>3.</w:t>
      </w:r>
      <w:r w:rsidRPr="006261FA">
        <w:rPr>
          <w:lang w:val="fr-FR"/>
        </w:rPr>
        <w:tab/>
      </w:r>
      <w:r w:rsidRPr="006261FA">
        <w:rPr>
          <w:i/>
          <w:iCs/>
          <w:lang w:val="fr-FR"/>
        </w:rPr>
        <w:t xml:space="preserve">Demande </w:t>
      </w:r>
      <w:r w:rsidRPr="006261FA">
        <w:rPr>
          <w:lang w:val="fr-FR"/>
        </w:rPr>
        <w:t>au Rapporteur spécial de continuer à rendre compte chaque année de ses activités au Conseil des droits de l’homme et à l’Assemblée générale ;</w:t>
      </w:r>
    </w:p>
    <w:p w:rsidR="006261FA" w:rsidRPr="006261FA" w:rsidRDefault="006261FA" w:rsidP="006261FA">
      <w:pPr>
        <w:pStyle w:val="SingleTxtG"/>
        <w:ind w:firstLine="567"/>
        <w:rPr>
          <w:lang w:val="fr-FR"/>
        </w:rPr>
      </w:pPr>
      <w:r w:rsidRPr="006261FA">
        <w:rPr>
          <w:lang w:val="fr-FR"/>
        </w:rPr>
        <w:t>4.</w:t>
      </w:r>
      <w:r w:rsidRPr="006261FA">
        <w:rPr>
          <w:lang w:val="fr-FR"/>
        </w:rPr>
        <w:tab/>
      </w:r>
      <w:r w:rsidRPr="006261FA">
        <w:rPr>
          <w:i/>
          <w:iCs/>
          <w:lang w:val="fr-FR"/>
        </w:rPr>
        <w:t>Demande également</w:t>
      </w:r>
      <w:r w:rsidRPr="006261FA">
        <w:rPr>
          <w:lang w:val="fr-FR"/>
        </w:rPr>
        <w:t xml:space="preserve"> au Rapporteur spécial, à l’occasion du dixième anniversaire de la résolution 64/292 de l’Assemblée générale et de sa propre résolution 15/9, en date du 30 septembre 2010, qui consacrent les droits de l’homme à l’eau potable et à l’assainissement, d’entreprendre des activités de sensibilisation et d’y participer, notamment au moyen des médias sociaux et en utilisant des supports accessibles, et de </w:t>
      </w:r>
      <w:r w:rsidRPr="006261FA">
        <w:rPr>
          <w:lang w:val="fr-FR"/>
        </w:rPr>
        <w:lastRenderedPageBreak/>
        <w:t>recenser, en collaboration avec les États, les bonnes pratiques aux niveaux local, national, régional et international afin de promouvoir la réalisation progressive des droits de l’homme à l’eau potable et à l’assainissement, et de lui faire rapport à sa quarante</w:t>
      </w:r>
      <w:r w:rsidRPr="006261FA">
        <w:rPr>
          <w:lang w:val="fr-FR"/>
        </w:rPr>
        <w:noBreakHyphen/>
        <w:t>cinquième session ;</w:t>
      </w:r>
    </w:p>
    <w:p w:rsidR="006261FA" w:rsidRPr="006261FA" w:rsidRDefault="006261FA" w:rsidP="006261FA">
      <w:pPr>
        <w:pStyle w:val="SingleTxtG"/>
        <w:ind w:firstLine="567"/>
        <w:rPr>
          <w:lang w:val="fr-FR"/>
        </w:rPr>
      </w:pPr>
      <w:r w:rsidRPr="006261FA">
        <w:rPr>
          <w:lang w:val="fr-FR"/>
        </w:rPr>
        <w:t>5.</w:t>
      </w:r>
      <w:r w:rsidRPr="006261FA">
        <w:rPr>
          <w:lang w:val="fr-FR"/>
        </w:rPr>
        <w:tab/>
      </w:r>
      <w:r w:rsidRPr="006261FA">
        <w:rPr>
          <w:i/>
          <w:iCs/>
          <w:lang w:val="fr-FR"/>
        </w:rPr>
        <w:t xml:space="preserve">Encourage </w:t>
      </w:r>
      <w:r w:rsidRPr="006261FA">
        <w:rPr>
          <w:lang w:val="fr-FR"/>
        </w:rPr>
        <w:t>le Rapporteur spécial à faciliter, y compris en y associant les parties prenantes concernées, la fourniture d’une assistance technique dans le domaine de la réalisation des droits de l’homme à l’eau potable et à l’assainissement ;</w:t>
      </w:r>
    </w:p>
    <w:p w:rsidR="006261FA" w:rsidRPr="006261FA" w:rsidRDefault="006261FA" w:rsidP="006261FA">
      <w:pPr>
        <w:pStyle w:val="SingleTxtG"/>
        <w:ind w:firstLine="567"/>
        <w:rPr>
          <w:lang w:val="fr-FR"/>
        </w:rPr>
      </w:pPr>
      <w:r w:rsidRPr="006261FA">
        <w:rPr>
          <w:lang w:val="fr-FR"/>
        </w:rPr>
        <w:t>6.</w:t>
      </w:r>
      <w:r w:rsidRPr="006261FA">
        <w:rPr>
          <w:lang w:val="fr-FR"/>
        </w:rPr>
        <w:tab/>
      </w:r>
      <w:r w:rsidRPr="006261FA">
        <w:rPr>
          <w:i/>
          <w:iCs/>
          <w:lang w:val="fr-FR"/>
        </w:rPr>
        <w:t xml:space="preserve">Encourage </w:t>
      </w:r>
      <w:r w:rsidRPr="006261FA">
        <w:rPr>
          <w:lang w:val="fr-FR"/>
        </w:rPr>
        <w:t>tous les gouvernements à répondre favorablement aux demandes de visite et de renseignements émanant du Rapporteur spécial, à donner effectivement suite aux recommandations du titulaire de ce mandat et à communiquer des informations sur les mesures prises à cet égard ;</w:t>
      </w:r>
    </w:p>
    <w:p w:rsidR="006261FA" w:rsidRPr="006261FA" w:rsidRDefault="006261FA" w:rsidP="006261FA">
      <w:pPr>
        <w:pStyle w:val="SingleTxtG"/>
        <w:ind w:firstLine="567"/>
        <w:rPr>
          <w:lang w:val="fr-FR"/>
        </w:rPr>
      </w:pPr>
      <w:r w:rsidRPr="006261FA">
        <w:rPr>
          <w:lang w:val="fr-FR"/>
        </w:rPr>
        <w:t>7.</w:t>
      </w:r>
      <w:r w:rsidRPr="006261FA">
        <w:rPr>
          <w:lang w:val="fr-FR"/>
        </w:rPr>
        <w:tab/>
      </w:r>
      <w:r w:rsidRPr="006261FA">
        <w:rPr>
          <w:i/>
          <w:iCs/>
          <w:lang w:val="fr-FR"/>
        </w:rPr>
        <w:t xml:space="preserve">Prie </w:t>
      </w:r>
      <w:r w:rsidRPr="006261FA">
        <w:rPr>
          <w:lang w:val="fr-FR"/>
        </w:rPr>
        <w:t>le Secrétaire général et la Haute-Commissaire des Nations</w:t>
      </w:r>
      <w:r>
        <w:rPr>
          <w:lang w:val="fr-FR"/>
        </w:rPr>
        <w:t> </w:t>
      </w:r>
      <w:r w:rsidRPr="006261FA">
        <w:rPr>
          <w:lang w:val="fr-FR"/>
        </w:rPr>
        <w:t>Unies aux droits de l’homme de fournir au Rapporteur spécial toutes les ressources et toute l’assistance nécessaires au bon accomplissement de son mandat ;</w:t>
      </w:r>
    </w:p>
    <w:p w:rsidR="006261FA" w:rsidRPr="006261FA" w:rsidRDefault="006261FA" w:rsidP="006261FA">
      <w:pPr>
        <w:pStyle w:val="SingleTxtG"/>
        <w:ind w:firstLine="567"/>
        <w:rPr>
          <w:lang w:val="fr-FR"/>
        </w:rPr>
      </w:pPr>
      <w:r w:rsidRPr="006261FA">
        <w:rPr>
          <w:lang w:val="fr-FR"/>
        </w:rPr>
        <w:t>8.</w:t>
      </w:r>
      <w:r w:rsidRPr="006261FA">
        <w:rPr>
          <w:lang w:val="fr-FR"/>
        </w:rPr>
        <w:tab/>
      </w:r>
      <w:r w:rsidRPr="006261FA">
        <w:rPr>
          <w:i/>
          <w:iCs/>
          <w:lang w:val="fr-FR"/>
        </w:rPr>
        <w:t xml:space="preserve">Décide </w:t>
      </w:r>
      <w:r w:rsidRPr="006261FA">
        <w:rPr>
          <w:lang w:val="fr-FR"/>
        </w:rPr>
        <w:t>de poursuivre l’examen de cette question.</w:t>
      </w:r>
    </w:p>
    <w:p w:rsidR="006261FA" w:rsidRPr="006261FA" w:rsidRDefault="006261FA" w:rsidP="006261FA">
      <w:pPr>
        <w:pStyle w:val="SingleTxtG"/>
        <w:jc w:val="right"/>
        <w:rPr>
          <w:lang w:val="fr-FR"/>
        </w:rPr>
      </w:pPr>
      <w:r w:rsidRPr="006261FA">
        <w:rPr>
          <w:i/>
          <w:iCs/>
          <w:lang w:val="fr-FR"/>
        </w:rPr>
        <w:t>39</w:t>
      </w:r>
      <w:r w:rsidRPr="006261FA">
        <w:rPr>
          <w:i/>
          <w:iCs/>
          <w:vertAlign w:val="superscript"/>
          <w:lang w:val="fr-FR"/>
        </w:rPr>
        <w:t>e</w:t>
      </w:r>
      <w:r w:rsidRPr="006261FA">
        <w:rPr>
          <w:i/>
          <w:iCs/>
          <w:lang w:val="fr-FR"/>
        </w:rPr>
        <w:t xml:space="preserve"> séance</w:t>
      </w:r>
      <w:r>
        <w:rPr>
          <w:i/>
          <w:iCs/>
          <w:lang w:val="fr-FR"/>
        </w:rPr>
        <w:t xml:space="preserve"> </w:t>
      </w:r>
      <w:r>
        <w:rPr>
          <w:i/>
          <w:iCs/>
          <w:lang w:val="fr-FR"/>
        </w:rPr>
        <w:br/>
      </w:r>
      <w:r w:rsidRPr="006261FA">
        <w:rPr>
          <w:i/>
          <w:iCs/>
          <w:lang w:val="fr-FR"/>
        </w:rPr>
        <w:t>26</w:t>
      </w:r>
      <w:r>
        <w:rPr>
          <w:i/>
          <w:iCs/>
          <w:lang w:val="fr-FR"/>
        </w:rPr>
        <w:t> </w:t>
      </w:r>
      <w:r w:rsidRPr="006261FA">
        <w:rPr>
          <w:i/>
          <w:iCs/>
          <w:lang w:val="fr-FR"/>
        </w:rPr>
        <w:t>septembre 2019</w:t>
      </w:r>
    </w:p>
    <w:p w:rsidR="006261FA" w:rsidRPr="006261FA" w:rsidRDefault="006261FA" w:rsidP="006261FA">
      <w:pPr>
        <w:pStyle w:val="SingleTxtG"/>
        <w:rPr>
          <w:lang w:val="fr-FR"/>
        </w:rPr>
      </w:pPr>
      <w:r w:rsidRPr="006261FA">
        <w:rPr>
          <w:lang w:val="fr-FR"/>
        </w:rPr>
        <w:t>[Adoptée sans vote.]</w:t>
      </w:r>
    </w:p>
    <w:p w:rsidR="006261FA" w:rsidRPr="006261FA" w:rsidRDefault="006261FA" w:rsidP="006261FA">
      <w:pPr>
        <w:pStyle w:val="SingleTxtG"/>
        <w:spacing w:before="240" w:after="0"/>
        <w:jc w:val="center"/>
        <w:rPr>
          <w:u w:val="single"/>
        </w:rPr>
      </w:pPr>
      <w:r>
        <w:rPr>
          <w:u w:val="single"/>
          <w:lang w:val="fr-FR"/>
        </w:rPr>
        <w:tab/>
      </w:r>
      <w:r>
        <w:rPr>
          <w:u w:val="single"/>
          <w:lang w:val="fr-FR"/>
        </w:rPr>
        <w:tab/>
      </w:r>
      <w:r>
        <w:rPr>
          <w:u w:val="single"/>
          <w:lang w:val="fr-FR"/>
        </w:rPr>
        <w:tab/>
      </w:r>
    </w:p>
    <w:sectPr w:rsidR="006261FA" w:rsidRPr="006261FA" w:rsidSect="006261F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1FE" w:rsidRPr="00EF7F30" w:rsidRDefault="003031FE" w:rsidP="00EF7F30">
      <w:pPr>
        <w:pStyle w:val="Pieddepage"/>
      </w:pPr>
    </w:p>
  </w:endnote>
  <w:endnote w:type="continuationSeparator" w:id="0">
    <w:p w:rsidR="003031FE" w:rsidRPr="00EF7F30" w:rsidRDefault="003031FE" w:rsidP="00EF7F30">
      <w:pPr>
        <w:pStyle w:val="Pieddepage"/>
      </w:pPr>
    </w:p>
  </w:endnote>
  <w:endnote w:type="continuationNotice" w:id="1">
    <w:p w:rsidR="003031FE" w:rsidRDefault="003031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FA" w:rsidRPr="006261FA" w:rsidRDefault="006261FA" w:rsidP="006261FA">
    <w:pPr>
      <w:pStyle w:val="Pieddepage"/>
      <w:tabs>
        <w:tab w:val="right" w:pos="9638"/>
      </w:tabs>
    </w:pPr>
    <w:r w:rsidRPr="006261FA">
      <w:rPr>
        <w:b/>
        <w:sz w:val="18"/>
      </w:rPr>
      <w:fldChar w:fldCharType="begin"/>
    </w:r>
    <w:r w:rsidRPr="006261FA">
      <w:rPr>
        <w:b/>
        <w:sz w:val="18"/>
      </w:rPr>
      <w:instrText xml:space="preserve"> PAGE  \* MERGEFORMAT </w:instrText>
    </w:r>
    <w:r w:rsidRPr="006261FA">
      <w:rPr>
        <w:b/>
        <w:sz w:val="18"/>
      </w:rPr>
      <w:fldChar w:fldCharType="separate"/>
    </w:r>
    <w:r w:rsidRPr="006261FA">
      <w:rPr>
        <w:b/>
        <w:noProof/>
        <w:sz w:val="18"/>
      </w:rPr>
      <w:t>2</w:t>
    </w:r>
    <w:r w:rsidRPr="006261FA">
      <w:rPr>
        <w:b/>
        <w:sz w:val="18"/>
      </w:rPr>
      <w:fldChar w:fldCharType="end"/>
    </w:r>
    <w:r>
      <w:rPr>
        <w:b/>
        <w:sz w:val="18"/>
      </w:rPr>
      <w:tab/>
    </w:r>
    <w:r>
      <w:t>GE.19-16997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FA" w:rsidRPr="006261FA" w:rsidRDefault="006261FA" w:rsidP="006261FA">
    <w:pPr>
      <w:pStyle w:val="Pieddepage"/>
      <w:tabs>
        <w:tab w:val="right" w:pos="9638"/>
      </w:tabs>
      <w:rPr>
        <w:b/>
        <w:sz w:val="18"/>
      </w:rPr>
    </w:pPr>
    <w:r>
      <w:t>GE.19-16997</w:t>
    </w:r>
    <w:r>
      <w:tab/>
    </w:r>
    <w:r w:rsidRPr="006261FA">
      <w:rPr>
        <w:b/>
        <w:sz w:val="18"/>
      </w:rPr>
      <w:fldChar w:fldCharType="begin"/>
    </w:r>
    <w:r w:rsidRPr="006261FA">
      <w:rPr>
        <w:b/>
        <w:sz w:val="18"/>
      </w:rPr>
      <w:instrText xml:space="preserve"> PAGE  \* MERGEFORMAT </w:instrText>
    </w:r>
    <w:r w:rsidRPr="006261FA">
      <w:rPr>
        <w:b/>
        <w:sz w:val="18"/>
      </w:rPr>
      <w:fldChar w:fldCharType="separate"/>
    </w:r>
    <w:r w:rsidRPr="006261FA">
      <w:rPr>
        <w:b/>
        <w:noProof/>
        <w:sz w:val="18"/>
      </w:rPr>
      <w:t>3</w:t>
    </w:r>
    <w:r w:rsidRPr="006261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6261FA" w:rsidRDefault="006261FA" w:rsidP="006261FA">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19-16997  (F)    081019    091019</w:t>
    </w:r>
    <w:r>
      <w:rPr>
        <w:sz w:val="20"/>
      </w:rPr>
      <w:br/>
    </w:r>
    <w:r w:rsidRPr="006261FA">
      <w:rPr>
        <w:rFonts w:ascii="C39T30Lfz" w:hAnsi="C39T30Lfz"/>
        <w:sz w:val="56"/>
      </w:rPr>
      <w:t></w:t>
    </w:r>
    <w:r w:rsidRPr="006261FA">
      <w:rPr>
        <w:rFonts w:ascii="C39T30Lfz" w:hAnsi="C39T30Lfz"/>
        <w:sz w:val="56"/>
      </w:rPr>
      <w:t></w:t>
    </w:r>
    <w:r w:rsidRPr="006261FA">
      <w:rPr>
        <w:rFonts w:ascii="C39T30Lfz" w:hAnsi="C39T30Lfz"/>
        <w:sz w:val="56"/>
      </w:rPr>
      <w:t></w:t>
    </w:r>
    <w:r w:rsidRPr="006261FA">
      <w:rPr>
        <w:rFonts w:ascii="C39T30Lfz" w:hAnsi="C39T30Lfz"/>
        <w:sz w:val="56"/>
      </w:rPr>
      <w:t></w:t>
    </w:r>
    <w:r w:rsidRPr="006261FA">
      <w:rPr>
        <w:rFonts w:ascii="C39T30Lfz" w:hAnsi="C39T30Lfz"/>
        <w:sz w:val="56"/>
      </w:rPr>
      <w:t></w:t>
    </w:r>
    <w:r w:rsidRPr="006261FA">
      <w:rPr>
        <w:rFonts w:ascii="C39T30Lfz" w:hAnsi="C39T30Lfz"/>
        <w:sz w:val="56"/>
      </w:rPr>
      <w:t></w:t>
    </w:r>
    <w:r w:rsidRPr="006261FA">
      <w:rPr>
        <w:rFonts w:ascii="C39T30Lfz" w:hAnsi="C39T30Lfz"/>
        <w:sz w:val="56"/>
      </w:rPr>
      <w:t></w:t>
    </w:r>
    <w:r w:rsidRPr="006261FA">
      <w:rPr>
        <w:rFonts w:ascii="C39T30Lfz" w:hAnsi="C39T30Lfz"/>
        <w:sz w:val="56"/>
      </w:rPr>
      <w:t></w:t>
    </w:r>
    <w:r w:rsidRPr="006261FA">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RES/4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1FE" w:rsidRPr="00EF7F30" w:rsidRDefault="003031FE"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3031FE" w:rsidRPr="00EF7F30" w:rsidRDefault="003031FE" w:rsidP="000E5ADA">
      <w:pPr>
        <w:pStyle w:val="Pieddepage"/>
        <w:tabs>
          <w:tab w:val="right" w:pos="2155"/>
        </w:tabs>
        <w:spacing w:after="80" w:line="240" w:lineRule="atLeast"/>
        <w:ind w:left="680"/>
      </w:pPr>
      <w:r w:rsidRPr="00EF7F30">
        <w:rPr>
          <w:u w:val="single"/>
        </w:rPr>
        <w:tab/>
      </w:r>
    </w:p>
  </w:footnote>
  <w:footnote w:type="continuationNotice" w:id="1">
    <w:p w:rsidR="003031FE" w:rsidRPr="000F2457" w:rsidRDefault="003031FE">
      <w:pPr>
        <w:spacing w:line="240" w:lineRule="auto"/>
        <w:rPr>
          <w:sz w:val="2"/>
          <w:szCs w:val="2"/>
        </w:rPr>
      </w:pPr>
    </w:p>
  </w:footnote>
  <w:footnote w:id="2">
    <w:p w:rsidR="006261FA" w:rsidRPr="00AF7325" w:rsidRDefault="006261FA" w:rsidP="006261FA">
      <w:pPr>
        <w:pStyle w:val="Notedebasdepage"/>
        <w:rPr>
          <w:szCs w:val="18"/>
          <w:lang w:val="fr-FR"/>
        </w:rPr>
      </w:pPr>
      <w:r>
        <w:rPr>
          <w:lang w:val="fr-FR"/>
        </w:rPr>
        <w:tab/>
      </w:r>
      <w:r w:rsidRPr="00AF7325">
        <w:rPr>
          <w:rStyle w:val="Appelnotedebasdep"/>
          <w:szCs w:val="18"/>
        </w:rPr>
        <w:footnoteRef/>
      </w:r>
      <w:r w:rsidRPr="00AF7325">
        <w:rPr>
          <w:szCs w:val="18"/>
          <w:lang w:val="fr-FR"/>
        </w:rPr>
        <w:tab/>
        <w:t>A/HRC/42/47 et Add.1 à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FA" w:rsidRPr="006261FA" w:rsidRDefault="006261FA">
    <w:pPr>
      <w:pStyle w:val="En-tte"/>
    </w:pPr>
    <w:fldSimple w:instr=" TITLE  \* MERGEFORMAT ">
      <w:r w:rsidR="006D3F56">
        <w:t>A/HRC/RES/42/5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FA" w:rsidRPr="006261FA" w:rsidRDefault="006261FA" w:rsidP="006261FA">
    <w:pPr>
      <w:pStyle w:val="En-tte"/>
      <w:jc w:val="right"/>
    </w:pPr>
    <w:fldSimple w:instr=" TITLE  \* MERGEFORMAT ">
      <w:r w:rsidR="006D3F56">
        <w:t>A/HRC/RES/42/5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31FE"/>
    <w:rsid w:val="00023842"/>
    <w:rsid w:val="0007796D"/>
    <w:rsid w:val="000E5ADA"/>
    <w:rsid w:val="000F2457"/>
    <w:rsid w:val="00111F2F"/>
    <w:rsid w:val="00131E73"/>
    <w:rsid w:val="0014365E"/>
    <w:rsid w:val="00176178"/>
    <w:rsid w:val="001F525A"/>
    <w:rsid w:val="00212168"/>
    <w:rsid w:val="00260711"/>
    <w:rsid w:val="002E0D9C"/>
    <w:rsid w:val="003031FE"/>
    <w:rsid w:val="003547BE"/>
    <w:rsid w:val="00446FE5"/>
    <w:rsid w:val="00552797"/>
    <w:rsid w:val="00573BE5"/>
    <w:rsid w:val="00586ED3"/>
    <w:rsid w:val="00587A52"/>
    <w:rsid w:val="005B4E23"/>
    <w:rsid w:val="00617B29"/>
    <w:rsid w:val="006261FA"/>
    <w:rsid w:val="0068446C"/>
    <w:rsid w:val="00695AED"/>
    <w:rsid w:val="006D3F56"/>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D45432"/>
    <w:rsid w:val="00DB1831"/>
    <w:rsid w:val="00DD3BFD"/>
    <w:rsid w:val="00DD6657"/>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38CAFA"/>
  <w15:docId w15:val="{C64BDA55-A4E4-4F7F-BE19-F4F85CD7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0C2D-8635-4C8A-B763-1439708D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538</Words>
  <Characters>2968</Characters>
  <Application>Microsoft Office Word</Application>
  <DocSecurity>0</DocSecurity>
  <Lines>64</Lines>
  <Paragraphs>34</Paragraphs>
  <ScaleCrop>false</ScaleCrop>
  <HeadingPairs>
    <vt:vector size="2" baseType="variant">
      <vt:variant>
        <vt:lpstr>Titre</vt:lpstr>
      </vt:variant>
      <vt:variant>
        <vt:i4>1</vt:i4>
      </vt:variant>
    </vt:vector>
  </HeadingPairs>
  <TitlesOfParts>
    <vt:vector size="1" baseType="lpstr">
      <vt:lpstr>A/HRC/RES/42/5</vt:lpstr>
    </vt:vector>
  </TitlesOfParts>
  <Company>DCM</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A/HRC/RES/42/5</dc:title>
  <dc:subject/>
  <dc:creator>Edith BOURION</dc:creator>
  <cp:keywords/>
  <cp:lastModifiedBy>Edith Bourion</cp:lastModifiedBy>
  <cp:revision>2</cp:revision>
  <cp:lastPrinted>2019-10-09T06:44:00Z</cp:lastPrinted>
  <dcterms:created xsi:type="dcterms:W3CDTF">2019-10-09T07:03:00Z</dcterms:created>
  <dcterms:modified xsi:type="dcterms:W3CDTF">2019-10-09T07:03:00Z</dcterms:modified>
</cp:coreProperties>
</file>