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26F5B" w:rsidP="005146A0">
            <w:pPr>
              <w:bidi w:val="0"/>
              <w:spacing w:after="20"/>
              <w:jc w:val="left"/>
              <w:rPr>
                <w:szCs w:val="20"/>
              </w:rPr>
            </w:pPr>
            <w:r w:rsidRPr="00726F5B">
              <w:rPr>
                <w:sz w:val="40"/>
                <w:szCs w:val="20"/>
              </w:rPr>
              <w:t>A</w:t>
            </w:r>
            <w:r>
              <w:rPr>
                <w:szCs w:val="20"/>
              </w:rPr>
              <w:t>/HRC/RES/35/9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5146A0" w:rsidP="005146A0">
            <w:pPr>
              <w:bidi w:val="0"/>
              <w:spacing w:before="240"/>
              <w:jc w:val="left"/>
              <w:rPr>
                <w:szCs w:val="20"/>
              </w:rPr>
            </w:pPr>
            <w:r>
              <w:rPr>
                <w:szCs w:val="20"/>
              </w:rPr>
              <w:t>Distr.: General</w:t>
            </w:r>
          </w:p>
          <w:p w:rsidR="005146A0" w:rsidRDefault="005146A0" w:rsidP="005146A0">
            <w:pPr>
              <w:bidi w:val="0"/>
              <w:jc w:val="left"/>
              <w:rPr>
                <w:szCs w:val="20"/>
              </w:rPr>
            </w:pPr>
            <w:r>
              <w:rPr>
                <w:szCs w:val="20"/>
              </w:rPr>
              <w:t>12 July 2017</w:t>
            </w:r>
          </w:p>
          <w:p w:rsidR="005146A0" w:rsidRDefault="005146A0" w:rsidP="005146A0">
            <w:pPr>
              <w:bidi w:val="0"/>
              <w:jc w:val="left"/>
              <w:rPr>
                <w:szCs w:val="20"/>
              </w:rPr>
            </w:pPr>
            <w:r>
              <w:rPr>
                <w:szCs w:val="20"/>
              </w:rPr>
              <w:t>Arabic</w:t>
            </w:r>
          </w:p>
          <w:p w:rsidR="005146A0" w:rsidRPr="003E159A" w:rsidRDefault="005146A0" w:rsidP="005146A0">
            <w:pPr>
              <w:bidi w:val="0"/>
              <w:jc w:val="left"/>
              <w:rPr>
                <w:szCs w:val="20"/>
              </w:rPr>
            </w:pPr>
            <w:r>
              <w:rPr>
                <w:szCs w:val="20"/>
              </w:rPr>
              <w:t>Original: English</w:t>
            </w:r>
          </w:p>
        </w:tc>
      </w:tr>
    </w:tbl>
    <w:p w:rsidR="005146A0"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5146A0" w:rsidRDefault="005146A0" w:rsidP="005146A0">
      <w:pPr>
        <w:pStyle w:val="SingleTxtGA"/>
        <w:spacing w:after="0"/>
        <w:ind w:left="0" w:right="0"/>
        <w:jc w:val="both"/>
        <w:rPr>
          <w:b/>
          <w:bCs/>
          <w:rtl/>
          <w:lang w:val="fr-CH"/>
        </w:rPr>
      </w:pPr>
      <w:r w:rsidRPr="008778E2">
        <w:rPr>
          <w:b/>
          <w:bCs/>
          <w:rtl/>
        </w:rPr>
        <w:t xml:space="preserve">الدورة </w:t>
      </w:r>
      <w:r>
        <w:rPr>
          <w:rFonts w:hint="cs"/>
          <w:b/>
          <w:bCs/>
          <w:rtl/>
        </w:rPr>
        <w:t>الخامسة و</w:t>
      </w:r>
      <w:r>
        <w:rPr>
          <w:b/>
          <w:bCs/>
          <w:rtl/>
          <w:lang w:val="fr-CH"/>
        </w:rPr>
        <w:t>الثلاثون</w:t>
      </w:r>
    </w:p>
    <w:p w:rsidR="005146A0" w:rsidRPr="006F789E" w:rsidRDefault="005146A0" w:rsidP="005146A0">
      <w:pPr>
        <w:pStyle w:val="SingleTxtGA"/>
        <w:spacing w:after="0"/>
        <w:ind w:left="0" w:right="0"/>
        <w:jc w:val="both"/>
        <w:rPr>
          <w:rtl/>
          <w:lang w:val="fr-CH"/>
        </w:rPr>
      </w:pPr>
      <w:r w:rsidRPr="006F789E">
        <w:rPr>
          <w:rFonts w:hint="cs"/>
          <w:rtl/>
          <w:lang w:val="fr-CH"/>
        </w:rPr>
        <w:t>6-23 حزيران/يونيه 2017</w:t>
      </w:r>
    </w:p>
    <w:p w:rsidR="005146A0" w:rsidRDefault="005146A0" w:rsidP="005146A0">
      <w:pPr>
        <w:pStyle w:val="SingleTxtGA"/>
        <w:spacing w:after="0"/>
        <w:ind w:left="0" w:right="0"/>
        <w:jc w:val="both"/>
        <w:rPr>
          <w:rtl/>
        </w:rPr>
      </w:pPr>
      <w:r>
        <w:rPr>
          <w:rtl/>
        </w:rPr>
        <w:t xml:space="preserve">البند </w:t>
      </w:r>
      <w:r>
        <w:rPr>
          <w:rFonts w:hint="cs"/>
          <w:rtl/>
        </w:rPr>
        <w:t>3</w:t>
      </w:r>
      <w:r>
        <w:rPr>
          <w:rtl/>
        </w:rPr>
        <w:t xml:space="preserve"> من جدول الأعمال</w:t>
      </w:r>
    </w:p>
    <w:p w:rsidR="005146A0" w:rsidRPr="00846DB8" w:rsidRDefault="005146A0" w:rsidP="004131DC">
      <w:pPr>
        <w:pStyle w:val="HChGA"/>
        <w:ind w:left="0" w:right="0" w:firstLine="0"/>
        <w:jc w:val="center"/>
        <w:rPr>
          <w:rtl/>
        </w:rPr>
      </w:pPr>
      <w:r w:rsidRPr="00846DB8">
        <w:rPr>
          <w:rFonts w:hint="cs"/>
          <w:rtl/>
        </w:rPr>
        <w:t>قرار</w:t>
      </w:r>
      <w:r>
        <w:rPr>
          <w:rFonts w:hint="cs"/>
          <w:rtl/>
        </w:rPr>
        <w:t xml:space="preserve"> اعتمده مجلس حقوق الإنسان في 22 حزيران/يونيه 2017</w:t>
      </w:r>
    </w:p>
    <w:p w:rsidR="005146A0" w:rsidRDefault="005146A0" w:rsidP="004131DC">
      <w:pPr>
        <w:pStyle w:val="H1GA"/>
        <w:tabs>
          <w:tab w:val="clear" w:pos="1021"/>
        </w:tabs>
        <w:spacing w:before="360" w:line="440" w:lineRule="exact"/>
        <w:ind w:left="0" w:right="0" w:firstLine="0"/>
        <w:jc w:val="center"/>
        <w:rPr>
          <w:rtl/>
        </w:rPr>
      </w:pPr>
      <w:bookmarkStart w:id="0" w:name="_GoBack"/>
      <w:bookmarkEnd w:id="0"/>
      <w:r w:rsidRPr="0018299D">
        <w:rPr>
          <w:rFonts w:hint="cs"/>
          <w:rtl/>
        </w:rPr>
        <w:t>35/</w:t>
      </w:r>
      <w:r>
        <w:rPr>
          <w:rFonts w:hint="cs"/>
          <w:rtl/>
        </w:rPr>
        <w:t>9</w:t>
      </w:r>
      <w:r w:rsidR="00993A18">
        <w:rPr>
          <w:rFonts w:hint="cs"/>
          <w:rtl/>
        </w:rPr>
        <w:t>-</w:t>
      </w:r>
      <w:r>
        <w:rPr>
          <w:rtl/>
        </w:rPr>
        <w:tab/>
      </w:r>
      <w:r>
        <w:rPr>
          <w:rFonts w:hint="cs"/>
          <w:rtl/>
        </w:rPr>
        <w:t>القضاء على التمييز ضد الأشخاص المصابين بالجُذام وأفراد أسرهم</w:t>
      </w:r>
    </w:p>
    <w:p w:rsidR="005146A0" w:rsidRPr="00993A18" w:rsidRDefault="005146A0" w:rsidP="005146A0">
      <w:pPr>
        <w:pStyle w:val="SingleTxtGA"/>
        <w:rPr>
          <w:i/>
          <w:iCs/>
          <w:rtl/>
        </w:rPr>
      </w:pPr>
      <w:r w:rsidRPr="00846DB8">
        <w:rPr>
          <w:rtl/>
        </w:rPr>
        <w:tab/>
      </w:r>
      <w:r w:rsidRPr="00993A18">
        <w:rPr>
          <w:rFonts w:hint="cs"/>
          <w:i/>
          <w:iCs/>
          <w:rtl/>
        </w:rPr>
        <w:t>إن مجلس حقوق الإنسان،</w:t>
      </w:r>
    </w:p>
    <w:p w:rsidR="005146A0" w:rsidRDefault="005146A0" w:rsidP="005146A0">
      <w:pPr>
        <w:pStyle w:val="SingleTxtGA"/>
        <w:rPr>
          <w:rtl/>
        </w:rPr>
      </w:pPr>
      <w:r>
        <w:rPr>
          <w:rtl/>
        </w:rPr>
        <w:tab/>
      </w:r>
      <w:r w:rsidRPr="00993A18">
        <w:rPr>
          <w:rFonts w:hint="cs"/>
          <w:i/>
          <w:iCs/>
          <w:rtl/>
        </w:rPr>
        <w:t>إذ يسترشد</w:t>
      </w:r>
      <w:r>
        <w:rPr>
          <w:rFonts w:hint="cs"/>
          <w:rtl/>
        </w:rPr>
        <w:t xml:space="preserve"> </w:t>
      </w:r>
      <w:r w:rsidRPr="009A7715">
        <w:rPr>
          <w:rFonts w:hint="cs"/>
          <w:rtl/>
        </w:rPr>
        <w:t>بمقاصد ميثاق الأمم المتحدة ومبادئه وأحكامه</w:t>
      </w:r>
      <w:r>
        <w:rPr>
          <w:rFonts w:hint="cs"/>
          <w:rtl/>
        </w:rPr>
        <w:t>،</w:t>
      </w:r>
    </w:p>
    <w:p w:rsidR="005146A0" w:rsidRDefault="005146A0" w:rsidP="005146A0">
      <w:pPr>
        <w:pStyle w:val="SingleTxtGA"/>
        <w:rPr>
          <w:rtl/>
        </w:rPr>
      </w:pPr>
      <w:r>
        <w:rPr>
          <w:rFonts w:hint="cs"/>
          <w:rtl/>
        </w:rPr>
        <w:tab/>
      </w:r>
      <w:r w:rsidRPr="00993A18">
        <w:rPr>
          <w:rFonts w:hint="cs"/>
          <w:i/>
          <w:iCs/>
          <w:rtl/>
        </w:rPr>
        <w:t>وإذ يسترشد أيضاً</w:t>
      </w:r>
      <w:r>
        <w:rPr>
          <w:rFonts w:hint="cs"/>
          <w:rtl/>
        </w:rPr>
        <w:t xml:space="preserve"> بالإعلان العالمي لحقوق الإنسان،</w:t>
      </w:r>
      <w:r w:rsidRPr="00266B58">
        <w:rPr>
          <w:rFonts w:hint="cs"/>
          <w:rtl/>
        </w:rPr>
        <w:t xml:space="preserve"> ويشير</w:t>
      </w:r>
      <w:r>
        <w:rPr>
          <w:rFonts w:hint="cs"/>
          <w:rtl/>
        </w:rPr>
        <w:t xml:space="preserve"> إلى الصكوك الدولية لحقوق الإنسان، ذات الصلة، بما فيها العهد الدولي الخاص بالحقوق الاقتصادية والاجتماعية والثقافية، والعهد الدولي الخاص بالحقوق المدنية والسياسية، واتفاقية حقوق الأشخاص ذوي الإعاقة، و</w:t>
      </w:r>
      <w:r w:rsidRPr="00266B58">
        <w:rPr>
          <w:rFonts w:hint="cs"/>
          <w:rtl/>
        </w:rPr>
        <w:t>اتفاقية</w:t>
      </w:r>
      <w:r w:rsidRPr="00266B58">
        <w:rPr>
          <w:rtl/>
        </w:rPr>
        <w:t xml:space="preserve"> </w:t>
      </w:r>
      <w:r w:rsidRPr="00266B58">
        <w:rPr>
          <w:rFonts w:hint="cs"/>
          <w:rtl/>
        </w:rPr>
        <w:t>القضاء</w:t>
      </w:r>
      <w:r w:rsidRPr="00266B58">
        <w:rPr>
          <w:rtl/>
        </w:rPr>
        <w:t xml:space="preserve"> </w:t>
      </w:r>
      <w:r w:rsidRPr="00266B58">
        <w:rPr>
          <w:rFonts w:hint="cs"/>
          <w:rtl/>
        </w:rPr>
        <w:t>على</w:t>
      </w:r>
      <w:r w:rsidRPr="00266B58">
        <w:rPr>
          <w:rtl/>
        </w:rPr>
        <w:t xml:space="preserve"> </w:t>
      </w:r>
      <w:r w:rsidRPr="00266B58">
        <w:rPr>
          <w:rFonts w:hint="cs"/>
          <w:rtl/>
        </w:rPr>
        <w:t>جميع</w:t>
      </w:r>
      <w:r w:rsidRPr="00266B58">
        <w:rPr>
          <w:rtl/>
        </w:rPr>
        <w:t xml:space="preserve"> </w:t>
      </w:r>
      <w:r w:rsidRPr="00266B58">
        <w:rPr>
          <w:rFonts w:hint="cs"/>
          <w:rtl/>
        </w:rPr>
        <w:t>أشكال</w:t>
      </w:r>
      <w:r w:rsidRPr="00266B58">
        <w:rPr>
          <w:rtl/>
        </w:rPr>
        <w:t xml:space="preserve"> </w:t>
      </w:r>
      <w:r w:rsidRPr="00266B58">
        <w:rPr>
          <w:rFonts w:hint="cs"/>
          <w:rtl/>
        </w:rPr>
        <w:t>التمييز</w:t>
      </w:r>
      <w:r w:rsidRPr="00266B58">
        <w:rPr>
          <w:rtl/>
        </w:rPr>
        <w:t xml:space="preserve"> </w:t>
      </w:r>
      <w:r w:rsidRPr="00266B58">
        <w:rPr>
          <w:rFonts w:hint="cs"/>
          <w:rtl/>
        </w:rPr>
        <w:t>ضد</w:t>
      </w:r>
      <w:r w:rsidRPr="00266B58">
        <w:rPr>
          <w:rtl/>
        </w:rPr>
        <w:t xml:space="preserve"> </w:t>
      </w:r>
      <w:r w:rsidRPr="00266B58">
        <w:rPr>
          <w:rFonts w:hint="cs"/>
          <w:rtl/>
        </w:rPr>
        <w:t>المرأة</w:t>
      </w:r>
      <w:r>
        <w:rPr>
          <w:rFonts w:hint="cs"/>
          <w:rtl/>
        </w:rPr>
        <w:t>، واتفاقية حقوق الطفل،</w:t>
      </w:r>
    </w:p>
    <w:p w:rsidR="005146A0" w:rsidRPr="00846DB8" w:rsidRDefault="005146A0" w:rsidP="005146A0">
      <w:pPr>
        <w:pStyle w:val="SingleTxtGA"/>
        <w:rPr>
          <w:spacing w:val="-4"/>
          <w:rtl/>
        </w:rPr>
      </w:pPr>
      <w:r w:rsidRPr="00846DB8">
        <w:rPr>
          <w:rFonts w:hint="cs"/>
          <w:spacing w:val="-4"/>
          <w:rtl/>
        </w:rPr>
        <w:tab/>
      </w:r>
      <w:r w:rsidRPr="00993A18">
        <w:rPr>
          <w:rFonts w:hint="cs"/>
          <w:i/>
          <w:iCs/>
          <w:rtl/>
        </w:rPr>
        <w:t xml:space="preserve">وإذ يشير </w:t>
      </w:r>
      <w:r w:rsidRPr="00846DB8">
        <w:rPr>
          <w:rFonts w:hint="cs"/>
          <w:spacing w:val="-4"/>
          <w:rtl/>
        </w:rPr>
        <w:t>إلى قراريه 5/1 بشأن بناء مؤسسات مجلس حقوق الإنسان و5/2 بشأن مدونة</w:t>
      </w:r>
      <w:r w:rsidRPr="00846DB8">
        <w:rPr>
          <w:spacing w:val="-4"/>
          <w:rtl/>
        </w:rPr>
        <w:t xml:space="preserve"> </w:t>
      </w:r>
      <w:r w:rsidRPr="00846DB8">
        <w:rPr>
          <w:rFonts w:hint="cs"/>
          <w:spacing w:val="-4"/>
          <w:rtl/>
        </w:rPr>
        <w:t>قواعد</w:t>
      </w:r>
      <w:r w:rsidRPr="00846DB8">
        <w:rPr>
          <w:spacing w:val="-4"/>
          <w:rtl/>
        </w:rPr>
        <w:t xml:space="preserve"> </w:t>
      </w:r>
      <w:r w:rsidRPr="00846DB8">
        <w:rPr>
          <w:rFonts w:hint="cs"/>
          <w:spacing w:val="-4"/>
          <w:rtl/>
        </w:rPr>
        <w:t>سلوك</w:t>
      </w:r>
      <w:r w:rsidRPr="00846DB8">
        <w:rPr>
          <w:spacing w:val="-4"/>
          <w:rtl/>
        </w:rPr>
        <w:t xml:space="preserve"> </w:t>
      </w:r>
      <w:r w:rsidRPr="00846DB8">
        <w:rPr>
          <w:rFonts w:hint="cs"/>
          <w:spacing w:val="-4"/>
          <w:rtl/>
        </w:rPr>
        <w:t>المكلفين</w:t>
      </w:r>
      <w:r w:rsidRPr="00846DB8">
        <w:rPr>
          <w:spacing w:val="-4"/>
          <w:rtl/>
        </w:rPr>
        <w:t xml:space="preserve"> </w:t>
      </w:r>
      <w:r w:rsidRPr="00846DB8">
        <w:rPr>
          <w:rFonts w:hint="cs"/>
          <w:spacing w:val="-4"/>
          <w:rtl/>
        </w:rPr>
        <w:t>بولايات</w:t>
      </w:r>
      <w:r w:rsidRPr="00846DB8">
        <w:rPr>
          <w:spacing w:val="-4"/>
          <w:rtl/>
        </w:rPr>
        <w:t xml:space="preserve"> </w:t>
      </w:r>
      <w:r w:rsidRPr="00846DB8">
        <w:rPr>
          <w:rFonts w:hint="cs"/>
          <w:spacing w:val="-4"/>
          <w:rtl/>
        </w:rPr>
        <w:t>في</w:t>
      </w:r>
      <w:r w:rsidRPr="00846DB8">
        <w:rPr>
          <w:spacing w:val="-4"/>
          <w:rtl/>
        </w:rPr>
        <w:t xml:space="preserve"> </w:t>
      </w:r>
      <w:r w:rsidRPr="00846DB8">
        <w:rPr>
          <w:rFonts w:hint="cs"/>
          <w:spacing w:val="-4"/>
          <w:rtl/>
        </w:rPr>
        <w:t>إطار</w:t>
      </w:r>
      <w:r w:rsidRPr="00846DB8">
        <w:rPr>
          <w:spacing w:val="-4"/>
          <w:rtl/>
        </w:rPr>
        <w:t xml:space="preserve"> </w:t>
      </w:r>
      <w:r w:rsidRPr="00846DB8">
        <w:rPr>
          <w:rFonts w:hint="cs"/>
          <w:spacing w:val="-4"/>
          <w:rtl/>
        </w:rPr>
        <w:t>الإجراءات</w:t>
      </w:r>
      <w:r w:rsidRPr="00846DB8">
        <w:rPr>
          <w:spacing w:val="-4"/>
          <w:rtl/>
        </w:rPr>
        <w:t xml:space="preserve"> </w:t>
      </w:r>
      <w:r w:rsidRPr="00846DB8">
        <w:rPr>
          <w:rFonts w:hint="cs"/>
          <w:spacing w:val="-4"/>
          <w:rtl/>
        </w:rPr>
        <w:t>الخاصة</w:t>
      </w:r>
      <w:r w:rsidRPr="00846DB8">
        <w:rPr>
          <w:spacing w:val="-4"/>
          <w:rtl/>
        </w:rPr>
        <w:t xml:space="preserve"> </w:t>
      </w:r>
      <w:r w:rsidRPr="00846DB8">
        <w:rPr>
          <w:rFonts w:hint="cs"/>
          <w:spacing w:val="-4"/>
          <w:rtl/>
        </w:rPr>
        <w:t>للمجلس، المؤرخيْن 18 حزيران/</w:t>
      </w:r>
      <w:r>
        <w:rPr>
          <w:rFonts w:hint="cs"/>
          <w:spacing w:val="-4"/>
          <w:rtl/>
        </w:rPr>
        <w:t xml:space="preserve"> </w:t>
      </w:r>
      <w:r w:rsidRPr="00846DB8">
        <w:rPr>
          <w:rFonts w:hint="cs"/>
          <w:spacing w:val="-4"/>
          <w:rtl/>
        </w:rPr>
        <w:t>يونيه</w:t>
      </w:r>
      <w:r>
        <w:rPr>
          <w:rFonts w:hint="eastAsia"/>
          <w:spacing w:val="-4"/>
          <w:rtl/>
        </w:rPr>
        <w:t> </w:t>
      </w:r>
      <w:r w:rsidRPr="00846DB8">
        <w:rPr>
          <w:rFonts w:hint="cs"/>
          <w:spacing w:val="-4"/>
          <w:rtl/>
        </w:rPr>
        <w:t>2007، ويشدّد على أن يؤدي المكلف بالولاية واجباته وفقاً لهذين القرارين ومرفقيهما،</w:t>
      </w:r>
    </w:p>
    <w:p w:rsidR="005146A0" w:rsidRPr="00993A18" w:rsidRDefault="005146A0" w:rsidP="005146A0">
      <w:pPr>
        <w:pStyle w:val="SingleTxtGA"/>
        <w:rPr>
          <w:spacing w:val="-2"/>
          <w:rtl/>
        </w:rPr>
      </w:pPr>
      <w:r w:rsidRPr="00993A18">
        <w:rPr>
          <w:rFonts w:hint="cs"/>
          <w:spacing w:val="-2"/>
          <w:rtl/>
        </w:rPr>
        <w:tab/>
      </w:r>
      <w:r w:rsidRPr="00993A18">
        <w:rPr>
          <w:rFonts w:hint="cs"/>
          <w:i/>
          <w:iCs/>
          <w:spacing w:val="-2"/>
          <w:rtl/>
        </w:rPr>
        <w:t>وإذ يشير أيضاً</w:t>
      </w:r>
      <w:r w:rsidRPr="00993A18">
        <w:rPr>
          <w:rFonts w:hint="cs"/>
          <w:spacing w:val="-2"/>
          <w:rtl/>
        </w:rPr>
        <w:t xml:space="preserve"> إلى قراراته 8/13 المؤرخ 18 حزيران/يونيه 2008، و12/7 المؤرخ 1 تشرين الأول/أكتوبر 2009، و15/10 المؤرخ 30 أيلول/سبتمبر 2010، و29/5 المؤرخ 2 تموز/يوليه 2015، وإلى قرار الجمعية العامة 65/215 المؤرخ 21 كانون الأول/ديسمبر 2010،</w:t>
      </w:r>
    </w:p>
    <w:p w:rsidR="005146A0" w:rsidRPr="00846DB8" w:rsidRDefault="005146A0" w:rsidP="005146A0">
      <w:pPr>
        <w:pStyle w:val="SingleTxtGA"/>
        <w:rPr>
          <w:rtl/>
        </w:rPr>
      </w:pPr>
      <w:r>
        <w:rPr>
          <w:rFonts w:hint="cs"/>
          <w:rtl/>
        </w:rPr>
        <w:tab/>
      </w:r>
      <w:r w:rsidRPr="00993A18">
        <w:rPr>
          <w:rFonts w:hint="eastAsia"/>
          <w:i/>
          <w:iCs/>
          <w:rtl/>
        </w:rPr>
        <w:t>وإذ</w:t>
      </w:r>
      <w:r w:rsidRPr="00993A18">
        <w:rPr>
          <w:i/>
          <w:iCs/>
          <w:rtl/>
        </w:rPr>
        <w:t xml:space="preserve"> </w:t>
      </w:r>
      <w:r w:rsidRPr="00993A18">
        <w:rPr>
          <w:rFonts w:hint="eastAsia"/>
          <w:i/>
          <w:iCs/>
          <w:rtl/>
        </w:rPr>
        <w:t>يشير</w:t>
      </w:r>
      <w:r w:rsidRPr="00993A18">
        <w:rPr>
          <w:i/>
          <w:iCs/>
          <w:rtl/>
        </w:rPr>
        <w:t xml:space="preserve"> </w:t>
      </w:r>
      <w:r w:rsidRPr="00993A18">
        <w:rPr>
          <w:rFonts w:hint="eastAsia"/>
          <w:i/>
          <w:iCs/>
          <w:rtl/>
        </w:rPr>
        <w:t>كذلك</w:t>
      </w:r>
      <w:r w:rsidRPr="00646A25">
        <w:rPr>
          <w:rtl/>
        </w:rPr>
        <w:t xml:space="preserve"> </w:t>
      </w:r>
      <w:r w:rsidRPr="00646A25">
        <w:rPr>
          <w:rFonts w:hint="cs"/>
          <w:rtl/>
        </w:rPr>
        <w:t>إلى</w:t>
      </w:r>
      <w:r w:rsidRPr="00646A25">
        <w:rPr>
          <w:rtl/>
        </w:rPr>
        <w:t xml:space="preserve"> </w:t>
      </w:r>
      <w:r w:rsidRPr="00646A25">
        <w:rPr>
          <w:rFonts w:hint="cs"/>
          <w:rtl/>
        </w:rPr>
        <w:t>الطابع</w:t>
      </w:r>
      <w:r w:rsidRPr="00646A25">
        <w:rPr>
          <w:rtl/>
        </w:rPr>
        <w:t xml:space="preserve"> </w:t>
      </w:r>
      <w:r w:rsidRPr="00646A25">
        <w:rPr>
          <w:rFonts w:hint="cs"/>
          <w:rtl/>
        </w:rPr>
        <w:t>العالمي</w:t>
      </w:r>
      <w:r w:rsidRPr="00646A25">
        <w:rPr>
          <w:rtl/>
        </w:rPr>
        <w:t xml:space="preserve"> </w:t>
      </w:r>
      <w:r w:rsidRPr="00646A25">
        <w:rPr>
          <w:rFonts w:hint="cs"/>
          <w:rtl/>
        </w:rPr>
        <w:t>لجميع</w:t>
      </w:r>
      <w:r w:rsidRPr="00646A25">
        <w:rPr>
          <w:rtl/>
        </w:rPr>
        <w:t xml:space="preserve"> </w:t>
      </w:r>
      <w:r w:rsidRPr="00646A25">
        <w:rPr>
          <w:rFonts w:hint="cs"/>
          <w:rtl/>
        </w:rPr>
        <w:t>حقوق</w:t>
      </w:r>
      <w:r w:rsidRPr="00646A25">
        <w:rPr>
          <w:rtl/>
        </w:rPr>
        <w:t xml:space="preserve"> </w:t>
      </w:r>
      <w:r w:rsidRPr="00646A25">
        <w:rPr>
          <w:rFonts w:hint="cs"/>
          <w:rtl/>
        </w:rPr>
        <w:t>الإنسان</w:t>
      </w:r>
      <w:r w:rsidRPr="00646A25">
        <w:rPr>
          <w:rtl/>
        </w:rPr>
        <w:t xml:space="preserve"> </w:t>
      </w:r>
      <w:r w:rsidRPr="00646A25">
        <w:rPr>
          <w:rFonts w:hint="cs"/>
          <w:rtl/>
        </w:rPr>
        <w:t>والحريات</w:t>
      </w:r>
      <w:r w:rsidRPr="00646A25">
        <w:rPr>
          <w:rtl/>
        </w:rPr>
        <w:t xml:space="preserve"> </w:t>
      </w:r>
      <w:r w:rsidRPr="00646A25">
        <w:rPr>
          <w:rFonts w:hint="cs"/>
          <w:rtl/>
        </w:rPr>
        <w:t>الأساسية</w:t>
      </w:r>
      <w:r w:rsidRPr="00646A25">
        <w:rPr>
          <w:rtl/>
        </w:rPr>
        <w:t xml:space="preserve"> </w:t>
      </w:r>
      <w:r w:rsidRPr="00646A25">
        <w:rPr>
          <w:rFonts w:hint="cs"/>
          <w:rtl/>
        </w:rPr>
        <w:t>وإلى</w:t>
      </w:r>
      <w:r w:rsidRPr="00646A25">
        <w:rPr>
          <w:rtl/>
        </w:rPr>
        <w:t xml:space="preserve"> </w:t>
      </w:r>
      <w:r w:rsidRPr="00646A25">
        <w:rPr>
          <w:rFonts w:hint="cs"/>
          <w:rtl/>
        </w:rPr>
        <w:t>عدم</w:t>
      </w:r>
      <w:r w:rsidRPr="00646A25">
        <w:rPr>
          <w:rtl/>
        </w:rPr>
        <w:t xml:space="preserve"> </w:t>
      </w:r>
      <w:r w:rsidRPr="00646A25">
        <w:rPr>
          <w:rFonts w:hint="cs"/>
          <w:rtl/>
        </w:rPr>
        <w:t>قابليتها</w:t>
      </w:r>
      <w:r w:rsidRPr="00646A25">
        <w:rPr>
          <w:rtl/>
        </w:rPr>
        <w:t xml:space="preserve"> </w:t>
      </w:r>
      <w:r w:rsidRPr="00646A25">
        <w:rPr>
          <w:rFonts w:hint="cs"/>
          <w:rtl/>
        </w:rPr>
        <w:t>للتجزئة</w:t>
      </w:r>
      <w:r w:rsidRPr="00646A25">
        <w:rPr>
          <w:rtl/>
        </w:rPr>
        <w:t xml:space="preserve"> </w:t>
      </w:r>
      <w:r w:rsidRPr="00646A25">
        <w:rPr>
          <w:rFonts w:hint="cs"/>
          <w:rtl/>
        </w:rPr>
        <w:t>وإلى</w:t>
      </w:r>
      <w:r w:rsidRPr="00646A25">
        <w:rPr>
          <w:rtl/>
        </w:rPr>
        <w:t xml:space="preserve"> </w:t>
      </w:r>
      <w:r w:rsidRPr="00646A25">
        <w:rPr>
          <w:rFonts w:hint="cs"/>
          <w:rtl/>
        </w:rPr>
        <w:t>ترابطها</w:t>
      </w:r>
      <w:r w:rsidRPr="00646A25">
        <w:rPr>
          <w:rtl/>
        </w:rPr>
        <w:t xml:space="preserve"> </w:t>
      </w:r>
      <w:r w:rsidRPr="00646A25">
        <w:rPr>
          <w:rFonts w:hint="cs"/>
          <w:rtl/>
        </w:rPr>
        <w:t>وتشابكها،</w:t>
      </w:r>
      <w:r>
        <w:rPr>
          <w:rFonts w:hint="cs"/>
          <w:rtl/>
        </w:rPr>
        <w:t xml:space="preserve"> </w:t>
      </w:r>
    </w:p>
    <w:p w:rsidR="005146A0" w:rsidRDefault="005146A0" w:rsidP="005146A0">
      <w:pPr>
        <w:pStyle w:val="SingleTxtGA"/>
      </w:pPr>
      <w:r>
        <w:rPr>
          <w:rFonts w:hint="cs"/>
          <w:rtl/>
        </w:rPr>
        <w:tab/>
      </w:r>
      <w:r w:rsidRPr="00993A18">
        <w:rPr>
          <w:rFonts w:hint="cs"/>
          <w:i/>
          <w:iCs/>
          <w:rtl/>
        </w:rPr>
        <w:t>وإذ يرحب</w:t>
      </w:r>
      <w:r>
        <w:rPr>
          <w:rFonts w:hint="cs"/>
          <w:rtl/>
        </w:rPr>
        <w:t xml:space="preserve"> بالاستراتيجية العالمية لمكافحة الجذام للفترة 2016-2020، التي اعتمدتها منظمة الصحة العالمية، وإذ يشاطره التطلّع المشترك إلى الإسراع نحو تحقيق عالم خالٍ من الجُذام،</w:t>
      </w:r>
    </w:p>
    <w:p w:rsidR="005146A0" w:rsidRDefault="005146A0" w:rsidP="005146A0">
      <w:pPr>
        <w:pStyle w:val="SingleTxtGA"/>
        <w:rPr>
          <w:rtl/>
        </w:rPr>
      </w:pPr>
      <w:r>
        <w:lastRenderedPageBreak/>
        <w:tab/>
      </w:r>
      <w:r w:rsidRPr="00993A18">
        <w:rPr>
          <w:rFonts w:hint="cs"/>
          <w:i/>
          <w:iCs/>
          <w:rtl/>
        </w:rPr>
        <w:t>وإذ يشير</w:t>
      </w:r>
      <w:r>
        <w:rPr>
          <w:rFonts w:hint="cs"/>
          <w:rtl/>
        </w:rPr>
        <w:t xml:space="preserve"> إلى أن الجُذام مرض يمكن الشفاء منه وأنه يمكن تحسين حماية حقوق الإنسان الخاصة بالأشخاص المصابين به عن طريق توفير العلاج لهم في مراحله المبكرة، وهو ما</w:t>
      </w:r>
      <w:r>
        <w:rPr>
          <w:rFonts w:hint="eastAsia"/>
          <w:rtl/>
        </w:rPr>
        <w:t> </w:t>
      </w:r>
      <w:r>
        <w:rPr>
          <w:rFonts w:hint="cs"/>
          <w:rtl/>
        </w:rPr>
        <w:t xml:space="preserve">قد يمنع إصابتهم بإعاقة، </w:t>
      </w:r>
    </w:p>
    <w:p w:rsidR="005146A0" w:rsidRDefault="005146A0" w:rsidP="005146A0">
      <w:pPr>
        <w:pStyle w:val="SingleTxtGA"/>
        <w:rPr>
          <w:rtl/>
        </w:rPr>
      </w:pPr>
      <w:r>
        <w:rPr>
          <w:rFonts w:hint="cs"/>
          <w:rtl/>
        </w:rPr>
        <w:tab/>
      </w:r>
      <w:r w:rsidRPr="00993A18">
        <w:rPr>
          <w:rFonts w:hint="cs"/>
          <w:i/>
          <w:iCs/>
          <w:rtl/>
        </w:rPr>
        <w:t>وإذ يساوره بالغ القلق</w:t>
      </w:r>
      <w:r>
        <w:rPr>
          <w:rFonts w:hint="cs"/>
          <w:rtl/>
        </w:rPr>
        <w:t xml:space="preserve"> لأن الأشخاص المصابين بالجُذام وأفراد أسرهم في شتى أنحاء العالم واجهوا وما زالوا يواجهون عوائق تحول دون مشاركتهم في المجتمع بوصفهم أعضاء متساوين مع غيرهم، تشمل العزل والتمييز وانتهاك حقوقهم الإنسانية والتعدّي عليها، وإذ يدرك ضرورة إيلاء مزيد من الاهتمام لمواجهة هذه التحديات، </w:t>
      </w:r>
    </w:p>
    <w:p w:rsidR="005146A0" w:rsidRDefault="005146A0" w:rsidP="005146A0">
      <w:pPr>
        <w:pStyle w:val="SingleTxtGA"/>
        <w:rPr>
          <w:rtl/>
        </w:rPr>
      </w:pPr>
      <w:r w:rsidRPr="009F4F9B">
        <w:rPr>
          <w:rFonts w:hint="cs"/>
          <w:rtl/>
        </w:rPr>
        <w:tab/>
      </w:r>
      <w:r w:rsidRPr="00993A18">
        <w:rPr>
          <w:rFonts w:hint="eastAsia"/>
          <w:i/>
          <w:iCs/>
          <w:rtl/>
        </w:rPr>
        <w:t>وإذ</w:t>
      </w:r>
      <w:r w:rsidRPr="00993A18">
        <w:rPr>
          <w:i/>
          <w:iCs/>
          <w:rtl/>
        </w:rPr>
        <w:t xml:space="preserve"> </w:t>
      </w:r>
      <w:r w:rsidRPr="00993A18">
        <w:rPr>
          <w:rFonts w:hint="eastAsia"/>
          <w:i/>
          <w:iCs/>
          <w:rtl/>
        </w:rPr>
        <w:t>يؤكد</w:t>
      </w:r>
      <w:r w:rsidRPr="00993A18">
        <w:rPr>
          <w:i/>
          <w:iCs/>
          <w:rtl/>
        </w:rPr>
        <w:t xml:space="preserve"> </w:t>
      </w:r>
      <w:r w:rsidRPr="00993A18">
        <w:rPr>
          <w:rFonts w:hint="eastAsia"/>
          <w:i/>
          <w:iCs/>
          <w:rtl/>
        </w:rPr>
        <w:t>مجدداً</w:t>
      </w:r>
      <w:r w:rsidRPr="00846DB8">
        <w:rPr>
          <w:rtl/>
        </w:rPr>
        <w:t xml:space="preserve"> </w:t>
      </w:r>
      <w:r w:rsidRPr="00657AAC">
        <w:rPr>
          <w:rFonts w:hint="cs"/>
          <w:rtl/>
        </w:rPr>
        <w:t>أن</w:t>
      </w:r>
      <w:r w:rsidRPr="00657AAC">
        <w:rPr>
          <w:rtl/>
        </w:rPr>
        <w:t xml:space="preserve"> </w:t>
      </w:r>
      <w:r w:rsidRPr="00657AAC">
        <w:rPr>
          <w:rFonts w:hint="cs"/>
          <w:rtl/>
        </w:rPr>
        <w:t>المصابين</w:t>
      </w:r>
      <w:r w:rsidRPr="00657AAC">
        <w:rPr>
          <w:rtl/>
        </w:rPr>
        <w:t xml:space="preserve"> </w:t>
      </w:r>
      <w:r w:rsidRPr="00657AAC">
        <w:rPr>
          <w:rFonts w:hint="cs"/>
          <w:rtl/>
        </w:rPr>
        <w:t>بالجذام</w:t>
      </w:r>
      <w:r w:rsidRPr="00657AAC">
        <w:rPr>
          <w:rtl/>
        </w:rPr>
        <w:t xml:space="preserve"> </w:t>
      </w:r>
      <w:r w:rsidRPr="00657AAC">
        <w:rPr>
          <w:rFonts w:hint="cs"/>
          <w:rtl/>
        </w:rPr>
        <w:t>وأفراد</w:t>
      </w:r>
      <w:r w:rsidRPr="00657AAC">
        <w:rPr>
          <w:rtl/>
        </w:rPr>
        <w:t xml:space="preserve"> </w:t>
      </w:r>
      <w:r w:rsidRPr="00657AAC">
        <w:rPr>
          <w:rFonts w:hint="cs"/>
          <w:rtl/>
        </w:rPr>
        <w:t>أسرهم،</w:t>
      </w:r>
      <w:r w:rsidRPr="00657AAC">
        <w:rPr>
          <w:rtl/>
        </w:rPr>
        <w:t xml:space="preserve"> </w:t>
      </w:r>
      <w:r w:rsidRPr="00657AAC">
        <w:rPr>
          <w:rFonts w:hint="cs"/>
          <w:rtl/>
        </w:rPr>
        <w:t>بمن</w:t>
      </w:r>
      <w:r w:rsidRPr="00657AAC">
        <w:rPr>
          <w:rtl/>
        </w:rPr>
        <w:t xml:space="preserve"> </w:t>
      </w:r>
      <w:r w:rsidRPr="00657AAC">
        <w:rPr>
          <w:rFonts w:hint="cs"/>
          <w:rtl/>
        </w:rPr>
        <w:t>فيهم</w:t>
      </w:r>
      <w:r w:rsidRPr="00657AAC">
        <w:rPr>
          <w:rtl/>
        </w:rPr>
        <w:t xml:space="preserve"> </w:t>
      </w:r>
      <w:r w:rsidRPr="00657AAC">
        <w:rPr>
          <w:rFonts w:hint="cs"/>
          <w:rtl/>
        </w:rPr>
        <w:t>النساء</w:t>
      </w:r>
      <w:r w:rsidRPr="00657AAC">
        <w:rPr>
          <w:rtl/>
        </w:rPr>
        <w:t xml:space="preserve"> </w:t>
      </w:r>
      <w:r w:rsidRPr="00657AAC">
        <w:rPr>
          <w:rFonts w:hint="cs"/>
          <w:rtl/>
        </w:rPr>
        <w:t>والأطفال،</w:t>
      </w:r>
      <w:r w:rsidRPr="00657AAC">
        <w:rPr>
          <w:rtl/>
        </w:rPr>
        <w:t xml:space="preserve"> </w:t>
      </w:r>
      <w:r w:rsidRPr="00657AAC">
        <w:rPr>
          <w:rFonts w:hint="cs"/>
          <w:rtl/>
        </w:rPr>
        <w:t>ينبغي</w:t>
      </w:r>
      <w:r w:rsidRPr="00657AAC">
        <w:rPr>
          <w:rtl/>
        </w:rPr>
        <w:t xml:space="preserve"> </w:t>
      </w:r>
      <w:r w:rsidRPr="00657AAC">
        <w:rPr>
          <w:rFonts w:hint="cs"/>
          <w:rtl/>
        </w:rPr>
        <w:t>معاملتهم</w:t>
      </w:r>
      <w:r w:rsidRPr="00657AAC">
        <w:rPr>
          <w:rtl/>
        </w:rPr>
        <w:t xml:space="preserve"> </w:t>
      </w:r>
      <w:r w:rsidRPr="00657AAC">
        <w:rPr>
          <w:rFonts w:hint="cs"/>
          <w:rtl/>
        </w:rPr>
        <w:t>بكرامة</w:t>
      </w:r>
      <w:r w:rsidRPr="00657AAC">
        <w:rPr>
          <w:rtl/>
        </w:rPr>
        <w:t xml:space="preserve"> </w:t>
      </w:r>
      <w:r w:rsidRPr="00657AAC">
        <w:rPr>
          <w:rFonts w:hint="cs"/>
          <w:rtl/>
        </w:rPr>
        <w:t>وأنهم</w:t>
      </w:r>
      <w:r w:rsidRPr="00657AAC">
        <w:rPr>
          <w:rtl/>
        </w:rPr>
        <w:t xml:space="preserve"> </w:t>
      </w:r>
      <w:r w:rsidRPr="00657AAC">
        <w:rPr>
          <w:rFonts w:hint="cs"/>
          <w:rtl/>
        </w:rPr>
        <w:t>يستحقون</w:t>
      </w:r>
      <w:r w:rsidRPr="00657AAC">
        <w:rPr>
          <w:rtl/>
        </w:rPr>
        <w:t xml:space="preserve"> </w:t>
      </w:r>
      <w:r w:rsidRPr="00657AAC">
        <w:rPr>
          <w:rFonts w:hint="cs"/>
          <w:rtl/>
        </w:rPr>
        <w:t>التمتع</w:t>
      </w:r>
      <w:r w:rsidRPr="00657AAC">
        <w:rPr>
          <w:rtl/>
        </w:rPr>
        <w:t xml:space="preserve"> </w:t>
      </w:r>
      <w:r w:rsidRPr="00657AAC">
        <w:rPr>
          <w:rFonts w:hint="cs"/>
          <w:rtl/>
        </w:rPr>
        <w:t>بجميع</w:t>
      </w:r>
      <w:r w:rsidRPr="00657AAC">
        <w:rPr>
          <w:rtl/>
        </w:rPr>
        <w:t xml:space="preserve"> </w:t>
      </w:r>
      <w:r w:rsidRPr="00657AAC">
        <w:rPr>
          <w:rFonts w:hint="cs"/>
          <w:rtl/>
        </w:rPr>
        <w:t>حقوق</w:t>
      </w:r>
      <w:r w:rsidRPr="00657AAC">
        <w:rPr>
          <w:rtl/>
        </w:rPr>
        <w:t xml:space="preserve"> </w:t>
      </w:r>
      <w:r w:rsidRPr="00657AAC">
        <w:rPr>
          <w:rFonts w:hint="cs"/>
          <w:rtl/>
        </w:rPr>
        <w:t>الإنسان</w:t>
      </w:r>
      <w:r w:rsidRPr="00657AAC">
        <w:rPr>
          <w:rtl/>
        </w:rPr>
        <w:t xml:space="preserve"> </w:t>
      </w:r>
      <w:r w:rsidRPr="00657AAC">
        <w:rPr>
          <w:rFonts w:hint="cs"/>
          <w:rtl/>
        </w:rPr>
        <w:t>والحريات</w:t>
      </w:r>
      <w:r w:rsidRPr="00657AAC">
        <w:rPr>
          <w:rtl/>
        </w:rPr>
        <w:t xml:space="preserve"> </w:t>
      </w:r>
      <w:r w:rsidRPr="00657AAC">
        <w:rPr>
          <w:rFonts w:hint="cs"/>
          <w:rtl/>
        </w:rPr>
        <w:t>الأساسية</w:t>
      </w:r>
      <w:r w:rsidRPr="00657AAC">
        <w:rPr>
          <w:rtl/>
        </w:rPr>
        <w:t xml:space="preserve"> </w:t>
      </w:r>
      <w:r w:rsidRPr="00657AAC">
        <w:rPr>
          <w:rFonts w:hint="cs"/>
          <w:rtl/>
        </w:rPr>
        <w:t>بموجب</w:t>
      </w:r>
      <w:r w:rsidRPr="00657AAC">
        <w:rPr>
          <w:rtl/>
        </w:rPr>
        <w:t xml:space="preserve"> </w:t>
      </w:r>
      <w:r w:rsidRPr="00657AAC">
        <w:rPr>
          <w:rFonts w:hint="cs"/>
          <w:rtl/>
        </w:rPr>
        <w:t>القانون</w:t>
      </w:r>
      <w:r w:rsidRPr="00657AAC">
        <w:rPr>
          <w:rtl/>
        </w:rPr>
        <w:t xml:space="preserve"> </w:t>
      </w:r>
      <w:r w:rsidRPr="00657AAC">
        <w:rPr>
          <w:rFonts w:hint="cs"/>
          <w:rtl/>
        </w:rPr>
        <w:t>الدولي</w:t>
      </w:r>
      <w:r w:rsidRPr="00657AAC">
        <w:rPr>
          <w:rtl/>
        </w:rPr>
        <w:t xml:space="preserve"> </w:t>
      </w:r>
      <w:r w:rsidRPr="00657AAC">
        <w:rPr>
          <w:rFonts w:hint="cs"/>
          <w:rtl/>
        </w:rPr>
        <w:t>العرفي</w:t>
      </w:r>
      <w:r w:rsidRPr="00657AAC">
        <w:rPr>
          <w:rtl/>
        </w:rPr>
        <w:t xml:space="preserve"> </w:t>
      </w:r>
      <w:r w:rsidRPr="00657AAC">
        <w:rPr>
          <w:rFonts w:hint="cs"/>
          <w:rtl/>
        </w:rPr>
        <w:t>والاتفاقيات</w:t>
      </w:r>
      <w:r w:rsidRPr="00657AAC">
        <w:rPr>
          <w:rtl/>
        </w:rPr>
        <w:t xml:space="preserve"> </w:t>
      </w:r>
      <w:r w:rsidRPr="00657AAC">
        <w:rPr>
          <w:rFonts w:hint="cs"/>
          <w:rtl/>
        </w:rPr>
        <w:t>والدساتير</w:t>
      </w:r>
      <w:r w:rsidRPr="00657AAC">
        <w:rPr>
          <w:rtl/>
        </w:rPr>
        <w:t xml:space="preserve"> </w:t>
      </w:r>
      <w:r w:rsidRPr="00657AAC">
        <w:rPr>
          <w:rFonts w:hint="cs"/>
          <w:rtl/>
        </w:rPr>
        <w:t>والقوانين</w:t>
      </w:r>
      <w:r w:rsidRPr="00657AAC">
        <w:rPr>
          <w:rtl/>
        </w:rPr>
        <w:t xml:space="preserve"> </w:t>
      </w:r>
      <w:r w:rsidRPr="00657AAC">
        <w:rPr>
          <w:rFonts w:hint="cs"/>
          <w:rtl/>
        </w:rPr>
        <w:t>الوطنية</w:t>
      </w:r>
      <w:r>
        <w:rPr>
          <w:rFonts w:hint="cs"/>
          <w:rtl/>
        </w:rPr>
        <w:t xml:space="preserve"> </w:t>
      </w:r>
      <w:r w:rsidRPr="00657AAC">
        <w:rPr>
          <w:rFonts w:hint="cs"/>
          <w:rtl/>
        </w:rPr>
        <w:t>ذات</w:t>
      </w:r>
      <w:r w:rsidRPr="00657AAC">
        <w:rPr>
          <w:rtl/>
        </w:rPr>
        <w:t xml:space="preserve"> </w:t>
      </w:r>
      <w:r w:rsidRPr="00657AAC">
        <w:rPr>
          <w:rFonts w:hint="cs"/>
          <w:rtl/>
        </w:rPr>
        <w:t>الصلة،</w:t>
      </w:r>
    </w:p>
    <w:p w:rsidR="005146A0" w:rsidRPr="00AC35CD" w:rsidRDefault="005146A0" w:rsidP="005146A0">
      <w:pPr>
        <w:pStyle w:val="SingleTxtGA"/>
        <w:rPr>
          <w:spacing w:val="-4"/>
          <w:rtl/>
        </w:rPr>
      </w:pPr>
      <w:r w:rsidRPr="00AC60A4">
        <w:rPr>
          <w:rFonts w:hint="cs"/>
          <w:rtl/>
        </w:rPr>
        <w:tab/>
      </w:r>
      <w:r w:rsidRPr="00993A18">
        <w:rPr>
          <w:rFonts w:hint="eastAsia"/>
          <w:i/>
          <w:iCs/>
          <w:rtl/>
        </w:rPr>
        <w:t>وإذ</w:t>
      </w:r>
      <w:r w:rsidRPr="00993A18">
        <w:rPr>
          <w:i/>
          <w:iCs/>
          <w:rtl/>
        </w:rPr>
        <w:t xml:space="preserve"> </w:t>
      </w:r>
      <w:r w:rsidRPr="00993A18">
        <w:rPr>
          <w:rFonts w:hint="eastAsia"/>
          <w:i/>
          <w:iCs/>
          <w:rtl/>
        </w:rPr>
        <w:t>يعترف</w:t>
      </w:r>
      <w:r w:rsidRPr="00AC35CD">
        <w:rPr>
          <w:spacing w:val="-4"/>
          <w:rtl/>
        </w:rPr>
        <w:t xml:space="preserve"> بأن المصابين بالجذام وأفراد أسرهم لا يزالون يواجهون أشكالاً متعددة من التحامل والتمييز الناجمين عن التضليل وسوء الفهم السائدين بشأن هذا المرض في سائر أنحاء العالم،</w:t>
      </w:r>
    </w:p>
    <w:p w:rsidR="005146A0" w:rsidRDefault="005146A0" w:rsidP="005146A0">
      <w:pPr>
        <w:pStyle w:val="SingleTxtGA"/>
        <w:rPr>
          <w:rtl/>
        </w:rPr>
      </w:pPr>
      <w:r>
        <w:rPr>
          <w:rFonts w:hint="cs"/>
          <w:rtl/>
        </w:rPr>
        <w:tab/>
      </w:r>
      <w:r w:rsidRPr="00993A18">
        <w:rPr>
          <w:rFonts w:hint="eastAsia"/>
          <w:i/>
          <w:iCs/>
          <w:rtl/>
        </w:rPr>
        <w:t>وإذ</w:t>
      </w:r>
      <w:r w:rsidRPr="00993A18">
        <w:rPr>
          <w:i/>
          <w:iCs/>
          <w:rtl/>
        </w:rPr>
        <w:t xml:space="preserve"> </w:t>
      </w:r>
      <w:r w:rsidRPr="00993A18">
        <w:rPr>
          <w:rFonts w:hint="eastAsia"/>
          <w:i/>
          <w:iCs/>
          <w:rtl/>
        </w:rPr>
        <w:t>يعترف</w:t>
      </w:r>
      <w:r w:rsidRPr="00993A18">
        <w:rPr>
          <w:i/>
          <w:iCs/>
          <w:rtl/>
        </w:rPr>
        <w:t xml:space="preserve"> </w:t>
      </w:r>
      <w:r w:rsidRPr="00993A18">
        <w:rPr>
          <w:rFonts w:hint="eastAsia"/>
          <w:i/>
          <w:iCs/>
          <w:rtl/>
        </w:rPr>
        <w:t>أيضاً</w:t>
      </w:r>
      <w:r w:rsidRPr="00657AAC">
        <w:rPr>
          <w:rtl/>
        </w:rPr>
        <w:t xml:space="preserve"> </w:t>
      </w:r>
      <w:r w:rsidRPr="00657AAC">
        <w:rPr>
          <w:rFonts w:hint="cs"/>
          <w:rtl/>
        </w:rPr>
        <w:t>بأن</w:t>
      </w:r>
      <w:r w:rsidRPr="00657AAC">
        <w:rPr>
          <w:rtl/>
        </w:rPr>
        <w:t xml:space="preserve"> </w:t>
      </w:r>
      <w:r w:rsidRPr="00657AAC">
        <w:rPr>
          <w:rFonts w:hint="cs"/>
          <w:rtl/>
        </w:rPr>
        <w:t>ثمة</w:t>
      </w:r>
      <w:r w:rsidRPr="00657AAC">
        <w:rPr>
          <w:rtl/>
        </w:rPr>
        <w:t xml:space="preserve"> </w:t>
      </w:r>
      <w:r w:rsidRPr="00657AAC">
        <w:rPr>
          <w:rFonts w:hint="cs"/>
          <w:rtl/>
        </w:rPr>
        <w:t>حاجة</w:t>
      </w:r>
      <w:r w:rsidRPr="00657AAC">
        <w:rPr>
          <w:rtl/>
        </w:rPr>
        <w:t xml:space="preserve"> </w:t>
      </w:r>
      <w:r w:rsidRPr="00657AAC">
        <w:rPr>
          <w:rFonts w:hint="cs"/>
          <w:rtl/>
        </w:rPr>
        <w:t>إلى</w:t>
      </w:r>
      <w:r w:rsidRPr="00657AAC">
        <w:rPr>
          <w:rtl/>
        </w:rPr>
        <w:t xml:space="preserve"> </w:t>
      </w:r>
      <w:r w:rsidRPr="00657AAC">
        <w:rPr>
          <w:rFonts w:hint="cs"/>
          <w:rtl/>
        </w:rPr>
        <w:t>اهتمام</w:t>
      </w:r>
      <w:r w:rsidRPr="00657AAC">
        <w:rPr>
          <w:rtl/>
        </w:rPr>
        <w:t xml:space="preserve"> </w:t>
      </w:r>
      <w:r w:rsidRPr="00657AAC">
        <w:rPr>
          <w:rFonts w:hint="cs"/>
          <w:rtl/>
        </w:rPr>
        <w:t>خاص</w:t>
      </w:r>
      <w:r w:rsidRPr="00657AAC">
        <w:rPr>
          <w:rtl/>
        </w:rPr>
        <w:t xml:space="preserve"> </w:t>
      </w:r>
      <w:r w:rsidRPr="00657AAC">
        <w:rPr>
          <w:rFonts w:hint="cs"/>
          <w:rtl/>
        </w:rPr>
        <w:t>للتصدي</w:t>
      </w:r>
      <w:r w:rsidRPr="00657AAC">
        <w:rPr>
          <w:rtl/>
        </w:rPr>
        <w:t xml:space="preserve"> </w:t>
      </w:r>
      <w:r w:rsidRPr="00657AAC">
        <w:rPr>
          <w:rFonts w:hint="cs"/>
          <w:rtl/>
        </w:rPr>
        <w:t>لجميع</w:t>
      </w:r>
      <w:r w:rsidRPr="00657AAC">
        <w:rPr>
          <w:rtl/>
        </w:rPr>
        <w:t xml:space="preserve"> </w:t>
      </w:r>
      <w:r w:rsidRPr="00657AAC">
        <w:rPr>
          <w:rFonts w:hint="cs"/>
          <w:rtl/>
        </w:rPr>
        <w:t>أشكال</w:t>
      </w:r>
      <w:r w:rsidRPr="00657AAC">
        <w:rPr>
          <w:rtl/>
        </w:rPr>
        <w:t xml:space="preserve"> </w:t>
      </w:r>
      <w:r w:rsidRPr="00657AAC">
        <w:rPr>
          <w:rFonts w:hint="cs"/>
          <w:rtl/>
        </w:rPr>
        <w:t>التمييز</w:t>
      </w:r>
      <w:r w:rsidRPr="00657AAC">
        <w:rPr>
          <w:rtl/>
        </w:rPr>
        <w:t xml:space="preserve"> </w:t>
      </w:r>
      <w:r w:rsidRPr="00657AAC">
        <w:rPr>
          <w:rFonts w:hint="cs"/>
          <w:rtl/>
        </w:rPr>
        <w:t>ضد</w:t>
      </w:r>
      <w:r w:rsidRPr="00657AAC">
        <w:rPr>
          <w:rtl/>
        </w:rPr>
        <w:t xml:space="preserve"> </w:t>
      </w:r>
      <w:r w:rsidRPr="00657AAC">
        <w:rPr>
          <w:rFonts w:hint="cs"/>
          <w:rtl/>
        </w:rPr>
        <w:t>المصابين</w:t>
      </w:r>
      <w:r w:rsidRPr="00657AAC">
        <w:rPr>
          <w:rtl/>
        </w:rPr>
        <w:t xml:space="preserve"> </w:t>
      </w:r>
      <w:r w:rsidRPr="00657AAC">
        <w:rPr>
          <w:rFonts w:hint="cs"/>
          <w:rtl/>
        </w:rPr>
        <w:t>بالجذام</w:t>
      </w:r>
      <w:r w:rsidRPr="00657AAC">
        <w:rPr>
          <w:rtl/>
        </w:rPr>
        <w:t xml:space="preserve"> </w:t>
      </w:r>
      <w:r w:rsidRPr="00657AAC">
        <w:rPr>
          <w:rFonts w:hint="cs"/>
          <w:rtl/>
        </w:rPr>
        <w:t>وأفراد</w:t>
      </w:r>
      <w:r w:rsidRPr="00657AAC">
        <w:rPr>
          <w:rtl/>
        </w:rPr>
        <w:t xml:space="preserve"> </w:t>
      </w:r>
      <w:r w:rsidRPr="00657AAC">
        <w:rPr>
          <w:rFonts w:hint="cs"/>
          <w:rtl/>
        </w:rPr>
        <w:t>أسرهم،</w:t>
      </w:r>
    </w:p>
    <w:p w:rsidR="005146A0" w:rsidRDefault="005146A0" w:rsidP="005146A0">
      <w:pPr>
        <w:pStyle w:val="SingleTxtGA"/>
        <w:rPr>
          <w:rtl/>
        </w:rPr>
      </w:pPr>
      <w:r>
        <w:rPr>
          <w:rFonts w:hint="cs"/>
          <w:rtl/>
        </w:rPr>
        <w:tab/>
      </w:r>
      <w:r w:rsidRPr="00993A18">
        <w:rPr>
          <w:rFonts w:hint="cs"/>
          <w:i/>
          <w:iCs/>
          <w:rtl/>
        </w:rPr>
        <w:t>وإذ يضع في اعتباره</w:t>
      </w:r>
      <w:r>
        <w:rPr>
          <w:rFonts w:hint="cs"/>
          <w:rtl/>
        </w:rPr>
        <w:t xml:space="preserve"> ضرورة تكثيف الجهود للقضاء على جميع أشكال التحامل والتمييز ضد الأشخاص المصابين بالجُذام وأفراد أسرهم وتعزيز وتشجيع السياسات التي تيسّر اندماجهم في المجتمع، عبر أنحاء العالم، </w:t>
      </w:r>
    </w:p>
    <w:p w:rsidR="005146A0" w:rsidRPr="006F3ECB" w:rsidRDefault="005146A0" w:rsidP="005146A0">
      <w:pPr>
        <w:pStyle w:val="SingleTxtGA"/>
        <w:rPr>
          <w:rtl/>
        </w:rPr>
      </w:pPr>
      <w:r w:rsidRPr="006F3ECB">
        <w:rPr>
          <w:rtl/>
        </w:rPr>
        <w:tab/>
      </w:r>
      <w:r w:rsidRPr="00993A18">
        <w:rPr>
          <w:i/>
          <w:iCs/>
          <w:rtl/>
        </w:rPr>
        <w:t>وإذ يشدّد</w:t>
      </w:r>
      <w:r w:rsidRPr="006F3ECB">
        <w:rPr>
          <w:rtl/>
        </w:rPr>
        <w:t xml:space="preserve"> </w:t>
      </w:r>
      <w:r w:rsidRPr="00993A18">
        <w:rPr>
          <w:i/>
          <w:iCs/>
          <w:rtl/>
        </w:rPr>
        <w:t>على أهمية</w:t>
      </w:r>
      <w:r w:rsidRPr="006F3ECB">
        <w:rPr>
          <w:rtl/>
        </w:rPr>
        <w:t xml:space="preserve"> تنفيذ </w:t>
      </w:r>
      <w:r w:rsidRPr="006F3ECB">
        <w:rPr>
          <w:rtl/>
          <w:lang w:val="fr-CH"/>
        </w:rPr>
        <w:t xml:space="preserve">المبادئ والمبادئ التوجيهية </w:t>
      </w:r>
      <w:r w:rsidRPr="006F3ECB">
        <w:rPr>
          <w:rtl/>
        </w:rPr>
        <w:t>للقضاء على التمييز ضد الأشخاص المصابين بالجُذام وأفراد أسرهم، التي قدمتها اللجنة الاستشارية في عام 2010</w:t>
      </w:r>
      <w:r w:rsidRPr="00846DB8">
        <w:rPr>
          <w:rFonts w:hint="cs"/>
          <w:vertAlign w:val="superscript"/>
          <w:rtl/>
        </w:rPr>
        <w:t>(</w:t>
      </w:r>
      <w:r w:rsidRPr="00846DB8">
        <w:rPr>
          <w:rStyle w:val="FootnoteReference"/>
          <w:rFonts w:ascii="Traditional Arabic" w:hAnsi="Traditional Arabic"/>
          <w:sz w:val="30"/>
          <w:rtl/>
        </w:rPr>
        <w:footnoteReference w:id="1"/>
      </w:r>
      <w:r w:rsidRPr="00846DB8">
        <w:rPr>
          <w:rFonts w:hint="cs"/>
          <w:vertAlign w:val="superscript"/>
          <w:rtl/>
        </w:rPr>
        <w:t>)</w:t>
      </w:r>
      <w:r>
        <w:rPr>
          <w:rFonts w:hint="cs"/>
          <w:rtl/>
        </w:rPr>
        <w:t>، والتي شجّع قرار المجلس 15/10 وقرار الجمعية العامة 65/215 الحكومات، وهيئات الأمم المتحدة ووكالاتها المتخصصة وصناديقها وبرامجها ذات الصلة، والمنظمات الحكومية الدولية الأخرى، والمؤسسات الوطنية لحقوق الإنسان، على إيلاء الاعتبار الواجب لها،</w:t>
      </w:r>
    </w:p>
    <w:p w:rsidR="005146A0" w:rsidRPr="00E036DC" w:rsidRDefault="005146A0" w:rsidP="00E036DC">
      <w:pPr>
        <w:pStyle w:val="SingleTxtGA"/>
        <w:rPr>
          <w:rtl/>
        </w:rPr>
      </w:pPr>
      <w:r>
        <w:rPr>
          <w:rFonts w:hint="cs"/>
          <w:rtl/>
        </w:rPr>
        <w:tab/>
      </w:r>
      <w:r w:rsidRPr="00993A18">
        <w:rPr>
          <w:rFonts w:hint="cs"/>
          <w:i/>
          <w:iCs/>
          <w:rtl/>
        </w:rPr>
        <w:t>وإذ يرح</w:t>
      </w:r>
      <w:r w:rsidR="006D3AC5">
        <w:rPr>
          <w:rFonts w:hint="cs"/>
          <w:i/>
          <w:iCs/>
          <w:rtl/>
        </w:rPr>
        <w:t>ّ</w:t>
      </w:r>
      <w:r w:rsidRPr="00993A18">
        <w:rPr>
          <w:rFonts w:hint="cs"/>
          <w:i/>
          <w:iCs/>
          <w:rtl/>
        </w:rPr>
        <w:t>ب</w:t>
      </w:r>
      <w:r w:rsidRPr="00223474">
        <w:rPr>
          <w:rFonts w:hint="cs"/>
          <w:rtl/>
        </w:rPr>
        <w:t xml:space="preserve"> </w:t>
      </w:r>
      <w:r>
        <w:rPr>
          <w:rFonts w:hint="cs"/>
          <w:rtl/>
        </w:rPr>
        <w:t>بتقرير اللجنة الاستشارية الختامي المقدم عملاً بقرار مجلس حقوق الإنسان</w:t>
      </w:r>
      <w:r w:rsidR="00993A18">
        <w:rPr>
          <w:rFonts w:hint="eastAsia"/>
          <w:rtl/>
        </w:rPr>
        <w:t> </w:t>
      </w:r>
      <w:r>
        <w:rPr>
          <w:rFonts w:hint="cs"/>
          <w:rtl/>
        </w:rPr>
        <w:t>29/5 والتوصيات الواردة فيه</w:t>
      </w:r>
      <w:r w:rsidRPr="00846DB8">
        <w:rPr>
          <w:rFonts w:hint="cs"/>
          <w:vertAlign w:val="superscript"/>
          <w:rtl/>
        </w:rPr>
        <w:t>(</w:t>
      </w:r>
      <w:r w:rsidRPr="00846DB8">
        <w:rPr>
          <w:rStyle w:val="FootnoteReference"/>
          <w:rFonts w:ascii="Traditional Arabic" w:hAnsi="Traditional Arabic"/>
          <w:sz w:val="30"/>
          <w:rtl/>
        </w:rPr>
        <w:footnoteReference w:id="2"/>
      </w:r>
      <w:r w:rsidRPr="00846DB8">
        <w:rPr>
          <w:rFonts w:hint="cs"/>
          <w:vertAlign w:val="superscript"/>
          <w:rtl/>
        </w:rPr>
        <w:t>)</w:t>
      </w:r>
      <w:r w:rsidR="00E036DC">
        <w:rPr>
          <w:rFonts w:hint="cs"/>
          <w:rtl/>
        </w:rPr>
        <w:t>،</w:t>
      </w:r>
    </w:p>
    <w:p w:rsidR="005146A0" w:rsidRDefault="005146A0" w:rsidP="005146A0">
      <w:pPr>
        <w:pStyle w:val="SingleTxtGA"/>
        <w:rPr>
          <w:rtl/>
        </w:rPr>
      </w:pPr>
      <w:r>
        <w:rPr>
          <w:rFonts w:hint="cs"/>
          <w:rtl/>
        </w:rPr>
        <w:tab/>
        <w:t>1-</w:t>
      </w:r>
      <w:r>
        <w:rPr>
          <w:rFonts w:hint="cs"/>
          <w:rtl/>
        </w:rPr>
        <w:tab/>
      </w:r>
      <w:r w:rsidRPr="00993A18">
        <w:rPr>
          <w:rFonts w:hint="cs"/>
          <w:i/>
          <w:iCs/>
          <w:rtl/>
        </w:rPr>
        <w:t>يقرر</w:t>
      </w:r>
      <w:r w:rsidRPr="00DC0B88">
        <w:rPr>
          <w:rFonts w:hint="cs"/>
          <w:rtl/>
        </w:rPr>
        <w:t xml:space="preserve"> </w:t>
      </w:r>
      <w:r>
        <w:rPr>
          <w:rFonts w:hint="cs"/>
          <w:rtl/>
        </w:rPr>
        <w:t xml:space="preserve">تعيين مقرّر خاص لمدة ثلاث سنوات يُعنى بالقضاء على التمييز ضد الأشخاص المصابين بالجُذام وأفراد أسرهم، ويكلَّف بالولاية التالية: </w:t>
      </w:r>
    </w:p>
    <w:p w:rsidR="005146A0" w:rsidRDefault="005146A0" w:rsidP="005146A0">
      <w:pPr>
        <w:pStyle w:val="SingleTxtGA"/>
        <w:rPr>
          <w:rtl/>
        </w:rPr>
      </w:pPr>
      <w:r>
        <w:rPr>
          <w:rFonts w:hint="cs"/>
          <w:rtl/>
        </w:rPr>
        <w:tab/>
      </w:r>
      <w:r w:rsidRPr="007E7E82">
        <w:rPr>
          <w:rFonts w:hint="cs"/>
          <w:rtl/>
        </w:rPr>
        <w:t>(أ)</w:t>
      </w:r>
      <w:r w:rsidRPr="007E7E82">
        <w:rPr>
          <w:rFonts w:hint="cs"/>
          <w:rtl/>
        </w:rPr>
        <w:tab/>
      </w:r>
      <w:r>
        <w:rPr>
          <w:rFonts w:hint="cs"/>
          <w:rtl/>
        </w:rPr>
        <w:t>متابعة</w:t>
      </w:r>
      <w:r w:rsidRPr="00843234">
        <w:rPr>
          <w:rFonts w:hint="cs"/>
          <w:rtl/>
        </w:rPr>
        <w:t xml:space="preserve"> </w:t>
      </w:r>
      <w:r>
        <w:rPr>
          <w:rFonts w:hint="cs"/>
          <w:rtl/>
        </w:rPr>
        <w:t xml:space="preserve">ما </w:t>
      </w:r>
      <w:r w:rsidRPr="00843234">
        <w:rPr>
          <w:rFonts w:hint="cs"/>
          <w:rtl/>
        </w:rPr>
        <w:t xml:space="preserve">تحرزه الدول من تقدم وما تتخذه من تدابير </w:t>
      </w:r>
      <w:r>
        <w:rPr>
          <w:rFonts w:hint="cs"/>
          <w:rtl/>
        </w:rPr>
        <w:t>فيما يتعلق ب</w:t>
      </w:r>
      <w:r w:rsidRPr="00843234">
        <w:rPr>
          <w:rFonts w:hint="cs"/>
          <w:rtl/>
        </w:rPr>
        <w:t xml:space="preserve">تنفيذ </w:t>
      </w:r>
      <w:r w:rsidRPr="00843234">
        <w:rPr>
          <w:rtl/>
          <w:lang w:val="fr-CH"/>
        </w:rPr>
        <w:t xml:space="preserve">المبادئ والمبادئ التوجيهية </w:t>
      </w:r>
      <w:r w:rsidRPr="00843234">
        <w:rPr>
          <w:rtl/>
        </w:rPr>
        <w:t>للقضاء على التمييز ضد الأشخاص المصابين بالجُذام وأفراد أسرهم</w:t>
      </w:r>
      <w:r w:rsidRPr="00AC35CD">
        <w:rPr>
          <w:vertAlign w:val="superscript"/>
          <w:rtl/>
        </w:rPr>
        <w:t>(1)</w:t>
      </w:r>
      <w:r w:rsidRPr="00843234">
        <w:rPr>
          <w:rFonts w:hint="cs"/>
          <w:rtl/>
        </w:rPr>
        <w:t xml:space="preserve"> تنفيذاً فعالاً</w:t>
      </w:r>
      <w:r>
        <w:rPr>
          <w:rFonts w:hint="cs"/>
          <w:rtl/>
        </w:rPr>
        <w:t xml:space="preserve"> </w:t>
      </w:r>
      <w:r w:rsidRPr="00843234">
        <w:rPr>
          <w:rFonts w:hint="cs"/>
          <w:rtl/>
        </w:rPr>
        <w:t>من أجل إعمال تمتع هؤلاء الأشخاص وأفراد أسرهم بحقوقهم الإنسانية في مناطق العالم</w:t>
      </w:r>
      <w:r>
        <w:rPr>
          <w:rFonts w:hint="cs"/>
          <w:rtl/>
        </w:rPr>
        <w:t xml:space="preserve"> كافة</w:t>
      </w:r>
      <w:r w:rsidRPr="00843234">
        <w:rPr>
          <w:rFonts w:hint="cs"/>
          <w:rtl/>
        </w:rPr>
        <w:t>،</w:t>
      </w:r>
      <w:r>
        <w:rPr>
          <w:rFonts w:hint="cs"/>
          <w:rtl/>
        </w:rPr>
        <w:t xml:space="preserve"> وتقديم تقارير عن هذا التقدم وهذه التدابير، وتقديم</w:t>
      </w:r>
      <w:r w:rsidRPr="00843234">
        <w:rPr>
          <w:rFonts w:hint="cs"/>
          <w:rtl/>
        </w:rPr>
        <w:t xml:space="preserve"> توصيات إل</w:t>
      </w:r>
      <w:r>
        <w:rPr>
          <w:rFonts w:hint="cs"/>
          <w:rtl/>
        </w:rPr>
        <w:t>ى مجلس حقوق الإنسان في هذا الصدد؛</w:t>
      </w:r>
    </w:p>
    <w:p w:rsidR="005146A0" w:rsidRPr="00846DB8" w:rsidRDefault="005146A0" w:rsidP="005146A0">
      <w:pPr>
        <w:pStyle w:val="SingleTxtGA"/>
        <w:rPr>
          <w:spacing w:val="-2"/>
          <w:rtl/>
        </w:rPr>
      </w:pPr>
      <w:r w:rsidRPr="00846DB8">
        <w:rPr>
          <w:rFonts w:hint="cs"/>
          <w:spacing w:val="-2"/>
          <w:rtl/>
        </w:rPr>
        <w:lastRenderedPageBreak/>
        <w:tab/>
        <w:t>(ب)</w:t>
      </w:r>
      <w:r w:rsidRPr="00846DB8">
        <w:rPr>
          <w:rFonts w:hint="cs"/>
          <w:spacing w:val="-2"/>
          <w:rtl/>
        </w:rPr>
        <w:tab/>
        <w:t>الدخول في الحوار والتشاور مع الدول وغيرها من أصحاب المصلحة المعنيين، بما</w:t>
      </w:r>
      <w:r>
        <w:rPr>
          <w:rFonts w:hint="eastAsia"/>
          <w:spacing w:val="-2"/>
          <w:rtl/>
        </w:rPr>
        <w:t> </w:t>
      </w:r>
      <w:r w:rsidRPr="00846DB8">
        <w:rPr>
          <w:rFonts w:hint="cs"/>
          <w:spacing w:val="-2"/>
          <w:rtl/>
        </w:rPr>
        <w:t>فيها هيئات الأمم المتحدة ووكالاتها المتخصصة</w:t>
      </w:r>
      <w:r w:rsidRPr="006F4244">
        <w:rPr>
          <w:rFonts w:hint="cs"/>
          <w:spacing w:val="-2"/>
          <w:rtl/>
        </w:rPr>
        <w:t xml:space="preserve"> </w:t>
      </w:r>
      <w:r w:rsidRPr="00846DB8">
        <w:rPr>
          <w:rFonts w:hint="cs"/>
          <w:spacing w:val="-2"/>
          <w:rtl/>
        </w:rPr>
        <w:t>وصناديق</w:t>
      </w:r>
      <w:r>
        <w:rPr>
          <w:rFonts w:hint="cs"/>
          <w:spacing w:val="-2"/>
          <w:rtl/>
        </w:rPr>
        <w:t xml:space="preserve">ها </w:t>
      </w:r>
      <w:r w:rsidRPr="00846DB8">
        <w:rPr>
          <w:rFonts w:hint="cs"/>
          <w:spacing w:val="-2"/>
          <w:rtl/>
        </w:rPr>
        <w:t>وبرامجها، ولا سيما منظمة الصحة العالمية،</w:t>
      </w:r>
      <w:r w:rsidR="00993A18">
        <w:rPr>
          <w:rFonts w:hint="cs"/>
          <w:spacing w:val="-2"/>
          <w:rtl/>
        </w:rPr>
        <w:t xml:space="preserve"> </w:t>
      </w:r>
      <w:r w:rsidRPr="00846DB8">
        <w:rPr>
          <w:rFonts w:hint="cs"/>
          <w:spacing w:val="-2"/>
          <w:rtl/>
        </w:rPr>
        <w:t xml:space="preserve">والمنظمات الحكومية الدولية الأخرى، والآليات الإقليمية لحقوق الإنسان، والمؤسسات الوطنية لحقوق الإنسان، والمنظمات غير الحكومية، لتحديد الممارسات الجيدة المتصلة بإعمال حقوق الأشخاص المصابين بالجُذام وأفراد أسرهم، وبمشاركتهم على قدم المساواة مع غيرهم </w:t>
      </w:r>
      <w:r>
        <w:rPr>
          <w:rFonts w:hint="cs"/>
          <w:spacing w:val="-2"/>
          <w:rtl/>
        </w:rPr>
        <w:t>من</w:t>
      </w:r>
      <w:r w:rsidRPr="00846DB8">
        <w:rPr>
          <w:rFonts w:hint="cs"/>
          <w:spacing w:val="-2"/>
          <w:rtl/>
        </w:rPr>
        <w:t xml:space="preserve"> أفراد المجتمع بغية تحقيق عالم خالٍ من الجُذام، ولتبادل هذه الممارسات وترويجها؛ </w:t>
      </w:r>
    </w:p>
    <w:p w:rsidR="005146A0" w:rsidRDefault="005146A0" w:rsidP="005146A0">
      <w:pPr>
        <w:pStyle w:val="SingleTxtGA"/>
        <w:rPr>
          <w:rtl/>
        </w:rPr>
      </w:pPr>
      <w:r>
        <w:rPr>
          <w:rFonts w:hint="cs"/>
          <w:rtl/>
        </w:rPr>
        <w:tab/>
      </w:r>
      <w:r w:rsidRPr="000825DD">
        <w:rPr>
          <w:rFonts w:hint="cs"/>
          <w:rtl/>
        </w:rPr>
        <w:t>(ج)</w:t>
      </w:r>
      <w:r>
        <w:rPr>
          <w:rFonts w:hint="cs"/>
          <w:rtl/>
        </w:rPr>
        <w:tab/>
        <w:t xml:space="preserve">إذكاء الوعي بحقوق </w:t>
      </w:r>
      <w:r w:rsidRPr="00843234">
        <w:rPr>
          <w:rtl/>
        </w:rPr>
        <w:t>الأشخاص المصابين بالجُذام وأفراد أسرهم</w:t>
      </w:r>
      <w:r w:rsidRPr="00843234">
        <w:rPr>
          <w:rFonts w:hint="cs"/>
          <w:rtl/>
        </w:rPr>
        <w:t xml:space="preserve"> </w:t>
      </w:r>
      <w:r>
        <w:rPr>
          <w:rFonts w:hint="cs"/>
          <w:rtl/>
        </w:rPr>
        <w:t>ومكافحة أوجه الوصم والتحامل والممارسات والمعتقدات التقليدية الضارة الحائلة دون تمتعهم بحقوق الإنسان والحريات الأساسية ومشاركتهم في المجتمع على قدم المساواة مع غيرهم؛</w:t>
      </w:r>
    </w:p>
    <w:p w:rsidR="005146A0" w:rsidRPr="00846DB8" w:rsidRDefault="005146A0" w:rsidP="005146A0">
      <w:pPr>
        <w:pStyle w:val="SingleTxtGA"/>
        <w:rPr>
          <w:spacing w:val="-4"/>
          <w:rtl/>
        </w:rPr>
      </w:pPr>
      <w:r w:rsidRPr="00846DB8">
        <w:rPr>
          <w:rFonts w:hint="cs"/>
          <w:spacing w:val="-4"/>
          <w:rtl/>
        </w:rPr>
        <w:tab/>
        <w:t>(د)</w:t>
      </w:r>
      <w:r w:rsidRPr="00846DB8">
        <w:rPr>
          <w:rFonts w:hint="cs"/>
          <w:spacing w:val="-4"/>
          <w:rtl/>
        </w:rPr>
        <w:tab/>
        <w:t xml:space="preserve">تقديم تقرير سنوي إلى مجلس حقوق الإنسان، اعتباراً من دورته الثامنة والثلاثين؛ </w:t>
      </w:r>
    </w:p>
    <w:p w:rsidR="005146A0" w:rsidRDefault="005146A0" w:rsidP="005146A0">
      <w:pPr>
        <w:pStyle w:val="SingleTxtGA"/>
        <w:rPr>
          <w:rtl/>
        </w:rPr>
      </w:pPr>
      <w:r>
        <w:rPr>
          <w:rFonts w:hint="cs"/>
          <w:rtl/>
        </w:rPr>
        <w:tab/>
        <w:t>2-</w:t>
      </w:r>
      <w:r>
        <w:rPr>
          <w:rFonts w:hint="cs"/>
          <w:rtl/>
        </w:rPr>
        <w:tab/>
      </w:r>
      <w:r w:rsidRPr="00993A18">
        <w:rPr>
          <w:rFonts w:hint="cs"/>
          <w:i/>
          <w:iCs/>
          <w:rtl/>
        </w:rPr>
        <w:t>يهيب</w:t>
      </w:r>
      <w:r>
        <w:rPr>
          <w:rFonts w:hint="cs"/>
          <w:rtl/>
        </w:rPr>
        <w:t xml:space="preserve"> بجميع الدول أن تتعاون مع المقرر الخاص في الاضطلاع بهذه الولاية، بسبل منها تقديم جميع المعلومات المطلوبة، وإيلاء اعتبار جدّي للرد بالإيجاب على طلبات المقرر الخاص زيارة بلدانها، والنظر في تنفيذ التوصيات المقدمة في تقارير المكلَّف بالولاية؛ </w:t>
      </w:r>
    </w:p>
    <w:p w:rsidR="005146A0" w:rsidRDefault="005146A0" w:rsidP="005146A0">
      <w:pPr>
        <w:pStyle w:val="SingleTxtGA"/>
        <w:rPr>
          <w:rtl/>
        </w:rPr>
      </w:pPr>
      <w:r>
        <w:rPr>
          <w:rFonts w:hint="cs"/>
          <w:rtl/>
        </w:rPr>
        <w:tab/>
      </w:r>
      <w:r w:rsidRPr="00B2633B">
        <w:rPr>
          <w:rFonts w:hint="cs"/>
          <w:rtl/>
        </w:rPr>
        <w:t>3-</w:t>
      </w:r>
      <w:r>
        <w:rPr>
          <w:rFonts w:hint="cs"/>
          <w:rtl/>
        </w:rPr>
        <w:tab/>
      </w:r>
      <w:r w:rsidRPr="00993A18">
        <w:rPr>
          <w:rFonts w:hint="cs"/>
          <w:i/>
          <w:iCs/>
          <w:rtl/>
        </w:rPr>
        <w:t>يشج</w:t>
      </w:r>
      <w:r w:rsidR="006D3AC5">
        <w:rPr>
          <w:rFonts w:hint="cs"/>
          <w:i/>
          <w:iCs/>
          <w:rtl/>
        </w:rPr>
        <w:t>ّ</w:t>
      </w:r>
      <w:r w:rsidRPr="00993A18">
        <w:rPr>
          <w:rFonts w:hint="cs"/>
          <w:i/>
          <w:iCs/>
          <w:rtl/>
        </w:rPr>
        <w:t>ع</w:t>
      </w:r>
      <w:r>
        <w:rPr>
          <w:rFonts w:hint="cs"/>
          <w:rtl/>
        </w:rPr>
        <w:t xml:space="preserve"> </w:t>
      </w:r>
      <w:r w:rsidRPr="00B2633B">
        <w:rPr>
          <w:rFonts w:hint="cs"/>
          <w:rtl/>
        </w:rPr>
        <w:t xml:space="preserve">جميع الجهات </w:t>
      </w:r>
      <w:r>
        <w:rPr>
          <w:rFonts w:hint="cs"/>
          <w:rtl/>
        </w:rPr>
        <w:t xml:space="preserve">المعنية </w:t>
      </w:r>
      <w:r w:rsidRPr="00B2633B">
        <w:rPr>
          <w:rFonts w:hint="cs"/>
          <w:rtl/>
        </w:rPr>
        <w:t>صاحبة المصلحة</w:t>
      </w:r>
      <w:r>
        <w:rPr>
          <w:rFonts w:hint="cs"/>
          <w:rtl/>
        </w:rPr>
        <w:t xml:space="preserve">، بما فيها هيئات الأمم المتحدة ووكالاتها المتخصصة وصناديقها وبرامجها، والمنظمات الدولية الأخرى، والآليات الإقليمية لحقوق الإنسان، والمؤسسات الوطنية لحقوق الإنسان، والمنظمات غير الحكومية، على التعاون الكامل مع المقرر الخاص لتمكينه من الوفاء بولايته؛ </w:t>
      </w:r>
    </w:p>
    <w:p w:rsidR="005146A0" w:rsidRDefault="005146A0" w:rsidP="005146A0">
      <w:pPr>
        <w:pStyle w:val="SingleTxtGA"/>
        <w:rPr>
          <w:rtl/>
        </w:rPr>
      </w:pPr>
      <w:r>
        <w:rPr>
          <w:rFonts w:hint="cs"/>
          <w:rtl/>
        </w:rPr>
        <w:tab/>
        <w:t>4-</w:t>
      </w:r>
      <w:r w:rsidRPr="00505D91">
        <w:rPr>
          <w:rFonts w:hint="cs"/>
          <w:rtl/>
        </w:rPr>
        <w:tab/>
      </w:r>
      <w:r w:rsidRPr="00993A18">
        <w:rPr>
          <w:rFonts w:hint="cs"/>
          <w:i/>
          <w:iCs/>
          <w:rtl/>
        </w:rPr>
        <w:t>يطلب</w:t>
      </w:r>
      <w:r>
        <w:rPr>
          <w:rFonts w:hint="cs"/>
          <w:rtl/>
        </w:rPr>
        <w:t xml:space="preserve"> إلى الأمين العام ومفوض الأمم المتحدة السامي لحقوق الإنسان تزويد المقرر الخاص بجميع الموارد البشرية والتقنية والمالية اللازمة ليفي بولايته بفعالية؛</w:t>
      </w:r>
    </w:p>
    <w:p w:rsidR="005146A0" w:rsidRDefault="005146A0" w:rsidP="005146A0">
      <w:pPr>
        <w:pStyle w:val="SingleTxtGA"/>
        <w:rPr>
          <w:rtl/>
        </w:rPr>
      </w:pPr>
      <w:r>
        <w:rPr>
          <w:rFonts w:hint="cs"/>
          <w:rtl/>
        </w:rPr>
        <w:tab/>
        <w:t>5-</w:t>
      </w:r>
      <w:r>
        <w:rPr>
          <w:rFonts w:hint="cs"/>
          <w:rtl/>
        </w:rPr>
        <w:tab/>
      </w:r>
      <w:r w:rsidRPr="00993A18">
        <w:rPr>
          <w:rFonts w:hint="cs"/>
          <w:i/>
          <w:iCs/>
          <w:rtl/>
        </w:rPr>
        <w:t>يشج</w:t>
      </w:r>
      <w:r w:rsidR="006D3AC5">
        <w:rPr>
          <w:rFonts w:hint="cs"/>
          <w:i/>
          <w:iCs/>
          <w:rtl/>
        </w:rPr>
        <w:t>ّ</w:t>
      </w:r>
      <w:r w:rsidRPr="00993A18">
        <w:rPr>
          <w:rFonts w:hint="cs"/>
          <w:i/>
          <w:iCs/>
          <w:rtl/>
        </w:rPr>
        <w:t>ع</w:t>
      </w:r>
      <w:r w:rsidRPr="00EE0046">
        <w:rPr>
          <w:rFonts w:hint="cs"/>
          <w:rtl/>
        </w:rPr>
        <w:t xml:space="preserve"> </w:t>
      </w:r>
      <w:r w:rsidRPr="00AD2227">
        <w:rPr>
          <w:rFonts w:hint="cs"/>
          <w:rtl/>
        </w:rPr>
        <w:t>المفوض السامي والمقرر الخاص على</w:t>
      </w:r>
      <w:r>
        <w:rPr>
          <w:rFonts w:hint="cs"/>
          <w:rtl/>
        </w:rPr>
        <w:t xml:space="preserve"> أن ينظما في مواعيد وأماكن مناسبة،</w:t>
      </w:r>
      <w:r w:rsidRPr="00AD2227">
        <w:rPr>
          <w:rFonts w:hint="cs"/>
          <w:rtl/>
        </w:rPr>
        <w:t xml:space="preserve"> بالتعاون مع الدول والمنظمات الدولية المعنية، كمنظمة الصحة العالية، فضلاً عن المنظمات غير الحكومية المعنية، حلقات دراسية عن التمييز المتصل بالإصابة بالجذام</w:t>
      </w:r>
      <w:r>
        <w:rPr>
          <w:rFonts w:hint="cs"/>
          <w:rtl/>
        </w:rPr>
        <w:t>، من أجل نشر المبادئ والمبادئ التوجيهية للقضاء عليه على نطاق واسع وتعميق فهمها بين الدول وجميع الجهات المعنية الأخرى صاحبة المصلحة، بما يضمن مشاركة الأشخاص المصابين بالجذام في هذه الحلقات مشاركةً أساسية؛</w:t>
      </w:r>
    </w:p>
    <w:p w:rsidR="005146A0" w:rsidRPr="00911466" w:rsidRDefault="005146A0" w:rsidP="005146A0">
      <w:pPr>
        <w:pStyle w:val="SingleTxtGA"/>
        <w:rPr>
          <w:rtl/>
        </w:rPr>
      </w:pPr>
      <w:r>
        <w:rPr>
          <w:rFonts w:hint="cs"/>
          <w:rtl/>
        </w:rPr>
        <w:tab/>
        <w:t>6-</w:t>
      </w:r>
      <w:r>
        <w:rPr>
          <w:rFonts w:hint="cs"/>
          <w:rtl/>
        </w:rPr>
        <w:tab/>
      </w:r>
      <w:r w:rsidRPr="00993A18">
        <w:rPr>
          <w:rFonts w:hint="cs"/>
          <w:i/>
          <w:iCs/>
          <w:rtl/>
        </w:rPr>
        <w:t>يشج</w:t>
      </w:r>
      <w:r w:rsidR="006D3AC5">
        <w:rPr>
          <w:rFonts w:hint="cs"/>
          <w:i/>
          <w:iCs/>
          <w:rtl/>
        </w:rPr>
        <w:t>ّ</w:t>
      </w:r>
      <w:r w:rsidRPr="00993A18">
        <w:rPr>
          <w:rFonts w:hint="cs"/>
          <w:i/>
          <w:iCs/>
          <w:rtl/>
        </w:rPr>
        <w:t>ع</w:t>
      </w:r>
      <w:r>
        <w:rPr>
          <w:rFonts w:hint="cs"/>
          <w:rtl/>
        </w:rPr>
        <w:t xml:space="preserve"> الدول وجميع الجهات المعنية صاحبة المصلحة، بما فيها هيئات الأمم المتحدة ووكالاتها المتخصصة</w:t>
      </w:r>
      <w:r w:rsidRPr="00BC06F8">
        <w:rPr>
          <w:rFonts w:hint="cs"/>
          <w:rtl/>
        </w:rPr>
        <w:t xml:space="preserve"> </w:t>
      </w:r>
      <w:r w:rsidR="00993A18">
        <w:rPr>
          <w:rFonts w:hint="cs"/>
          <w:rtl/>
        </w:rPr>
        <w:t>وصناديقها وبرامجها</w:t>
      </w:r>
      <w:r>
        <w:rPr>
          <w:rFonts w:hint="cs"/>
          <w:rtl/>
        </w:rPr>
        <w:t>، كمنظمة الصحة العالمية،</w:t>
      </w:r>
      <w:r w:rsidR="00993A18">
        <w:rPr>
          <w:rFonts w:hint="cs"/>
          <w:rtl/>
        </w:rPr>
        <w:t xml:space="preserve"> </w:t>
      </w:r>
      <w:r>
        <w:rPr>
          <w:rFonts w:hint="cs"/>
          <w:rtl/>
        </w:rPr>
        <w:t xml:space="preserve">والإجراءات الخاصة، والمنظمات الدولية الأخرى، والآليات الإقليمية لحقوق الإنسان، والمؤسسات الوطنية لحقوق الإنسان، والمنظمات غير الحكومية، على المشاركة بنشاط في الحلقات الدراسية؛ </w:t>
      </w:r>
    </w:p>
    <w:p w:rsidR="005146A0" w:rsidRDefault="005146A0" w:rsidP="005146A0">
      <w:pPr>
        <w:pStyle w:val="SingleTxtGA"/>
        <w:rPr>
          <w:rtl/>
        </w:rPr>
      </w:pPr>
      <w:r>
        <w:rPr>
          <w:rFonts w:hint="cs"/>
          <w:rtl/>
        </w:rPr>
        <w:tab/>
        <w:t>7-</w:t>
      </w:r>
      <w:r>
        <w:rPr>
          <w:rFonts w:hint="cs"/>
          <w:rtl/>
        </w:rPr>
        <w:tab/>
      </w:r>
      <w:r w:rsidRPr="008242E0">
        <w:rPr>
          <w:rFonts w:hint="cs"/>
          <w:i/>
          <w:iCs/>
          <w:rtl/>
        </w:rPr>
        <w:t>يقرر</w:t>
      </w:r>
      <w:r>
        <w:rPr>
          <w:rFonts w:hint="cs"/>
          <w:rtl/>
        </w:rPr>
        <w:t xml:space="preserve"> إبقاء المسألة قيد النظر.</w:t>
      </w:r>
    </w:p>
    <w:p w:rsidR="005146A0" w:rsidRPr="00993A18" w:rsidRDefault="005146A0" w:rsidP="008242E0">
      <w:pPr>
        <w:pStyle w:val="SingleTxtGA"/>
        <w:spacing w:after="0"/>
        <w:jc w:val="right"/>
        <w:rPr>
          <w:i/>
          <w:iCs/>
          <w:rtl/>
        </w:rPr>
      </w:pPr>
      <w:r w:rsidRPr="00993A18">
        <w:rPr>
          <w:rFonts w:hint="cs"/>
          <w:i/>
          <w:iCs/>
          <w:rtl/>
        </w:rPr>
        <w:t>ا</w:t>
      </w:r>
      <w:r w:rsidRPr="00993A18">
        <w:rPr>
          <w:rFonts w:hint="eastAsia"/>
          <w:i/>
          <w:iCs/>
          <w:rtl/>
        </w:rPr>
        <w:t>لجلسة</w:t>
      </w:r>
      <w:r w:rsidRPr="00993A18">
        <w:rPr>
          <w:rFonts w:hint="cs"/>
          <w:i/>
          <w:iCs/>
          <w:rtl/>
        </w:rPr>
        <w:t xml:space="preserve"> 34</w:t>
      </w:r>
      <w:r w:rsidR="00993A18" w:rsidRPr="00993A18">
        <w:rPr>
          <w:i/>
          <w:iCs/>
          <w:rtl/>
        </w:rPr>
        <w:br/>
      </w:r>
      <w:r w:rsidRPr="00993A18">
        <w:rPr>
          <w:i/>
          <w:iCs/>
          <w:rtl/>
        </w:rPr>
        <w:t xml:space="preserve">22 </w:t>
      </w:r>
      <w:r w:rsidRPr="00993A18">
        <w:rPr>
          <w:rFonts w:hint="eastAsia"/>
          <w:i/>
          <w:iCs/>
          <w:rtl/>
        </w:rPr>
        <w:t>حزيران</w:t>
      </w:r>
      <w:r w:rsidRPr="00993A18">
        <w:rPr>
          <w:i/>
          <w:iCs/>
          <w:rtl/>
        </w:rPr>
        <w:t>/يونيه 2017</w:t>
      </w:r>
    </w:p>
    <w:p w:rsidR="005146A0" w:rsidRDefault="005146A0" w:rsidP="00993A18">
      <w:pPr>
        <w:pStyle w:val="SingleTxtGA"/>
        <w:rPr>
          <w:rtl/>
        </w:rPr>
      </w:pPr>
      <w:r>
        <w:rPr>
          <w:rFonts w:ascii="Traditional Arabic" w:hAnsi="Traditional Arabic"/>
          <w:rtl/>
        </w:rPr>
        <w:t>[</w:t>
      </w:r>
      <w:r>
        <w:rPr>
          <w:rFonts w:hint="cs"/>
          <w:rtl/>
        </w:rPr>
        <w:t>اعتُمد دون تصويت</w:t>
      </w:r>
      <w:r w:rsidR="00993A18">
        <w:rPr>
          <w:rFonts w:ascii="Traditional Arabic" w:hAnsi="Traditional Arabic" w:hint="cs"/>
          <w:rtl/>
        </w:rPr>
        <w:t>.</w:t>
      </w:r>
      <w:r>
        <w:rPr>
          <w:rFonts w:ascii="Traditional Arabic" w:hAnsi="Traditional Arabic"/>
          <w:rtl/>
        </w:rPr>
        <w:t>]</w:t>
      </w:r>
    </w:p>
    <w:p w:rsidR="00993A18" w:rsidRPr="00993A18" w:rsidRDefault="00993A18" w:rsidP="00993A18">
      <w:pPr>
        <w:spacing w:before="120"/>
        <w:jc w:val="center"/>
        <w:rPr>
          <w:u w:val="single"/>
          <w:rtl/>
        </w:rPr>
      </w:pPr>
      <w:r>
        <w:rPr>
          <w:u w:val="single"/>
          <w:rtl/>
        </w:rPr>
        <w:tab/>
      </w:r>
      <w:r>
        <w:rPr>
          <w:u w:val="single"/>
          <w:rtl/>
        </w:rPr>
        <w:tab/>
      </w:r>
      <w:r>
        <w:rPr>
          <w:u w:val="single"/>
          <w:rtl/>
        </w:rPr>
        <w:tab/>
      </w:r>
    </w:p>
    <w:sectPr w:rsidR="00993A18" w:rsidRPr="00993A18" w:rsidSect="00726F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D0" w:rsidRPr="002901D9" w:rsidRDefault="00E805D0" w:rsidP="002901D9">
      <w:pPr>
        <w:spacing w:after="60" w:line="240" w:lineRule="auto"/>
        <w:rPr>
          <w:i/>
          <w:iCs/>
        </w:rPr>
      </w:pPr>
      <w:r>
        <w:rPr>
          <w:rFonts w:hint="cs"/>
          <w:i/>
          <w:iCs/>
          <w:rtl/>
        </w:rPr>
        <w:t>الحواشي</w:t>
      </w:r>
    </w:p>
  </w:endnote>
  <w:endnote w:type="continuationSeparator" w:id="0">
    <w:p w:rsidR="00E805D0" w:rsidRDefault="00E805D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5B" w:rsidRPr="005146A0" w:rsidRDefault="005146A0" w:rsidP="005146A0">
    <w:pPr>
      <w:pStyle w:val="Footer"/>
      <w:tabs>
        <w:tab w:val="right" w:pos="9598"/>
      </w:tabs>
      <w:rPr>
        <w:sz w:val="17"/>
      </w:rPr>
    </w:pPr>
    <w:r>
      <w:rPr>
        <w:sz w:val="17"/>
      </w:rPr>
      <w:t>GE.17-11417</w:t>
    </w:r>
    <w:r>
      <w:rPr>
        <w:sz w:val="17"/>
      </w:rPr>
      <w:tab/>
    </w:r>
    <w:r w:rsidRPr="005146A0">
      <w:rPr>
        <w:b/>
        <w:sz w:val="18"/>
      </w:rPr>
      <w:fldChar w:fldCharType="begin"/>
    </w:r>
    <w:r w:rsidRPr="005146A0">
      <w:rPr>
        <w:b/>
        <w:sz w:val="18"/>
      </w:rPr>
      <w:instrText xml:space="preserve"> PAGE  \* MERGEFORMAT </w:instrText>
    </w:r>
    <w:r w:rsidRPr="005146A0">
      <w:rPr>
        <w:b/>
        <w:sz w:val="18"/>
      </w:rPr>
      <w:fldChar w:fldCharType="separate"/>
    </w:r>
    <w:r w:rsidR="004131DC">
      <w:rPr>
        <w:b/>
        <w:noProof/>
        <w:sz w:val="18"/>
      </w:rPr>
      <w:t>2</w:t>
    </w:r>
    <w:r w:rsidRPr="005146A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146A0" w:rsidRDefault="005146A0" w:rsidP="006959B0">
    <w:pPr>
      <w:pStyle w:val="Footer"/>
      <w:tabs>
        <w:tab w:val="right" w:pos="9599"/>
      </w:tabs>
      <w:jc w:val="left"/>
      <w:rPr>
        <w:b/>
        <w:sz w:val="18"/>
        <w:lang w:val="en-US"/>
      </w:rPr>
    </w:pPr>
    <w:r w:rsidRPr="005146A0">
      <w:rPr>
        <w:b/>
        <w:sz w:val="18"/>
        <w:lang w:val="en-US"/>
      </w:rPr>
      <w:fldChar w:fldCharType="begin"/>
    </w:r>
    <w:r w:rsidRPr="005146A0">
      <w:rPr>
        <w:b/>
        <w:sz w:val="18"/>
        <w:lang w:val="en-US"/>
      </w:rPr>
      <w:instrText xml:space="preserve"> PAGE  \* MERGEFORMAT </w:instrText>
    </w:r>
    <w:r w:rsidRPr="005146A0">
      <w:rPr>
        <w:b/>
        <w:sz w:val="18"/>
        <w:lang w:val="en-US"/>
      </w:rPr>
      <w:fldChar w:fldCharType="separate"/>
    </w:r>
    <w:r w:rsidR="004131DC">
      <w:rPr>
        <w:b/>
        <w:noProof/>
        <w:sz w:val="18"/>
        <w:lang w:val="en-US"/>
      </w:rPr>
      <w:t>3</w:t>
    </w:r>
    <w:r w:rsidRPr="005146A0">
      <w:rPr>
        <w:b/>
        <w:sz w:val="18"/>
        <w:lang w:val="en-US"/>
      </w:rPr>
      <w:fldChar w:fldCharType="end"/>
    </w:r>
    <w:r>
      <w:rPr>
        <w:b/>
        <w:sz w:val="18"/>
        <w:lang w:val="en-US"/>
      </w:rPr>
      <w:tab/>
    </w:r>
    <w:r>
      <w:rPr>
        <w:sz w:val="17"/>
        <w:lang w:val="en-US"/>
      </w:rPr>
      <w:t>GE.17-11417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726F5B" w:rsidP="00F6741C">
    <w:pPr>
      <w:pStyle w:val="Footer"/>
      <w:spacing w:before="360"/>
      <w:jc w:val="right"/>
      <w:rPr>
        <w:sz w:val="20"/>
        <w:szCs w:val="20"/>
      </w:rPr>
    </w:pPr>
    <w:r>
      <w:rPr>
        <w:sz w:val="20"/>
        <w:szCs w:val="20"/>
      </w:rPr>
      <w:t>GE.17-11417</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26F5B" w:rsidRPr="00726F5B" w:rsidRDefault="00726F5B" w:rsidP="00726F5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D0" w:rsidRPr="0054762C" w:rsidRDefault="00E805D0" w:rsidP="000E524A">
      <w:pPr>
        <w:pStyle w:val="Footer"/>
        <w:bidi/>
        <w:spacing w:after="80" w:line="200" w:lineRule="exact"/>
        <w:ind w:left="680"/>
      </w:pPr>
      <w:r>
        <w:rPr>
          <w:rtl/>
        </w:rPr>
        <w:t>__________</w:t>
      </w:r>
    </w:p>
  </w:footnote>
  <w:footnote w:type="continuationSeparator" w:id="0">
    <w:p w:rsidR="00E805D0" w:rsidRDefault="00E805D0" w:rsidP="00656392">
      <w:pPr>
        <w:spacing w:line="240" w:lineRule="auto"/>
      </w:pPr>
      <w:r>
        <w:continuationSeparator/>
      </w:r>
    </w:p>
  </w:footnote>
  <w:footnote w:id="1">
    <w:p w:rsidR="005146A0" w:rsidRDefault="005146A0" w:rsidP="005146A0">
      <w:pPr>
        <w:pStyle w:val="FootnoteText1"/>
        <w:rPr>
          <w:rtl/>
        </w:rPr>
      </w:pPr>
      <w:r w:rsidRPr="00846DB8">
        <w:rPr>
          <w:rtl/>
        </w:rPr>
        <w:t>(</w:t>
      </w:r>
      <w:r w:rsidRPr="00846DB8">
        <w:rPr>
          <w:rStyle w:val="FootnoteReference"/>
          <w:vertAlign w:val="baseline"/>
          <w:rtl/>
        </w:rPr>
        <w:footnoteRef/>
      </w:r>
      <w:r>
        <w:rPr>
          <w:sz w:val="26"/>
          <w:rtl/>
        </w:rPr>
        <w:t>)</w:t>
      </w:r>
      <w:r>
        <w:rPr>
          <w:sz w:val="26"/>
          <w:rtl/>
        </w:rPr>
        <w:tab/>
      </w:r>
      <w:r w:rsidRPr="00677A48">
        <w:t>A/HRC/15/30</w:t>
      </w:r>
      <w:r>
        <w:rPr>
          <w:rFonts w:hint="cs"/>
          <w:rtl/>
        </w:rPr>
        <w:t xml:space="preserve">، </w:t>
      </w:r>
      <w:r w:rsidRPr="00846DB8">
        <w:rPr>
          <w:rtl/>
          <w:lang w:bidi="ar-DZ"/>
        </w:rPr>
        <w:t>المرفق</w:t>
      </w:r>
      <w:r w:rsidRPr="006F3ECB">
        <w:rPr>
          <w:rFonts w:ascii="Traditional Arabic" w:hAnsi="Traditional Arabic"/>
          <w:sz w:val="26"/>
          <w:rtl/>
        </w:rPr>
        <w:t>.</w:t>
      </w:r>
    </w:p>
  </w:footnote>
  <w:footnote w:id="2">
    <w:p w:rsidR="005146A0" w:rsidRDefault="005146A0" w:rsidP="005146A0">
      <w:pPr>
        <w:pStyle w:val="FootnoteText1"/>
        <w:rPr>
          <w:rtl/>
        </w:rPr>
      </w:pPr>
      <w:r w:rsidRPr="00846DB8">
        <w:rPr>
          <w:rtl/>
        </w:rPr>
        <w:t>(</w:t>
      </w:r>
      <w:r w:rsidRPr="00846DB8">
        <w:rPr>
          <w:rStyle w:val="FootnoteReference"/>
          <w:vertAlign w:val="baseline"/>
          <w:rtl/>
        </w:rPr>
        <w:footnoteRef/>
      </w:r>
      <w:r>
        <w:rPr>
          <w:sz w:val="26"/>
          <w:rtl/>
        </w:rPr>
        <w:t>)</w:t>
      </w:r>
      <w:r>
        <w:rPr>
          <w:sz w:val="26"/>
          <w:rtl/>
        </w:rPr>
        <w:tab/>
      </w:r>
      <w:r w:rsidRPr="00677A48">
        <w:t>A/HRC/</w:t>
      </w:r>
      <w:r>
        <w:t>3</w:t>
      </w:r>
      <w:r w:rsidRPr="00677A48">
        <w:t>5/3</w:t>
      </w:r>
      <w:r>
        <w:t>8</w:t>
      </w:r>
      <w:r w:rsidRPr="006F3ECB">
        <w:rPr>
          <w:rFonts w:ascii="Traditional Arabic" w:hAnsi="Traditional Arabic"/>
          <w:sz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5B" w:rsidRPr="005146A0" w:rsidRDefault="005146A0" w:rsidP="005146A0">
    <w:pPr>
      <w:pStyle w:val="Header"/>
      <w:jc w:val="right"/>
    </w:pPr>
    <w:r w:rsidRPr="005146A0">
      <w:t>A/HRC/RES/35/9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5B" w:rsidRPr="005146A0" w:rsidRDefault="005146A0" w:rsidP="005146A0">
    <w:pPr>
      <w:pStyle w:val="Header"/>
      <w:jc w:val="left"/>
    </w:pPr>
    <w:r w:rsidRPr="005146A0">
      <w:t>A/HRC/RES/35/9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805D0"/>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131DC"/>
    <w:rsid w:val="004205C7"/>
    <w:rsid w:val="00420D7B"/>
    <w:rsid w:val="00450B21"/>
    <w:rsid w:val="00453B63"/>
    <w:rsid w:val="00455780"/>
    <w:rsid w:val="004B0A1C"/>
    <w:rsid w:val="004D298E"/>
    <w:rsid w:val="004E32F4"/>
    <w:rsid w:val="005146A0"/>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D3AC5"/>
    <w:rsid w:val="00726F5B"/>
    <w:rsid w:val="00733704"/>
    <w:rsid w:val="00740188"/>
    <w:rsid w:val="0078071A"/>
    <w:rsid w:val="007A70BB"/>
    <w:rsid w:val="008242E0"/>
    <w:rsid w:val="00852A9A"/>
    <w:rsid w:val="00871544"/>
    <w:rsid w:val="008930DB"/>
    <w:rsid w:val="00895D16"/>
    <w:rsid w:val="008F49E1"/>
    <w:rsid w:val="0090370F"/>
    <w:rsid w:val="009269D2"/>
    <w:rsid w:val="00942135"/>
    <w:rsid w:val="009521B0"/>
    <w:rsid w:val="00993A18"/>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36DC"/>
    <w:rsid w:val="00E70E04"/>
    <w:rsid w:val="00E805D0"/>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locked/>
    <w:rsid w:val="005146A0"/>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locked/>
    <w:rsid w:val="005146A0"/>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C49C-F4A0-40A0-8157-E7609955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994</Words>
  <Characters>5050</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A/HRC/RES/35/9</vt:lpstr>
    </vt:vector>
  </TitlesOfParts>
  <Company>DCM</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A/HRC/RES/35/9</dc:title>
  <dc:subject>GE.1711417</dc:subject>
  <dc:creator>Jamela CHEDAD/MBOU</dc:creator>
  <cp:keywords>ODS No.1718501</cp:keywords>
  <dc:description>Original: English _x000d_
Distribution: General_x000d_
Date: 12  July 2017</dc:description>
  <cp:lastModifiedBy>Tpsara</cp:lastModifiedBy>
  <cp:revision>3</cp:revision>
  <cp:lastPrinted>2017-07-25T16:41:00Z</cp:lastPrinted>
  <dcterms:created xsi:type="dcterms:W3CDTF">2017-07-25T16:41:00Z</dcterms:created>
  <dcterms:modified xsi:type="dcterms:W3CDTF">2017-07-25T16:42:00Z</dcterms:modified>
  <cp:category>Final</cp:category>
</cp:coreProperties>
</file>