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HRC</w:t>
            </w:r>
            <w:proofErr w:type="spellEnd"/>
            <w:r>
              <w:rPr>
                <w:lang w:val="en-US"/>
              </w:rPr>
              <w:t>/</w:t>
            </w:r>
            <w:r w:rsidR="00E147C1">
              <w:fldChar w:fldCharType="begin"/>
            </w:r>
            <w:r w:rsidR="00E147C1">
              <w:instrText xml:space="preserve"> FILLIN  "Введите часть символа после A/HRC/"  \* MERGEFORMAT </w:instrText>
            </w:r>
            <w:r w:rsidR="00E147C1">
              <w:fldChar w:fldCharType="separate"/>
            </w:r>
            <w:proofErr w:type="spellStart"/>
            <w:r w:rsidR="00EA6801">
              <w:t>RES</w:t>
            </w:r>
            <w:proofErr w:type="spellEnd"/>
            <w:r w:rsidR="00EA6801">
              <w:t>/28/11</w:t>
            </w:r>
            <w:r w:rsidR="00E147C1">
              <w:fldChar w:fldCharType="end"/>
            </w:r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75421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 w:rsidR="00EA6801">
              <w:rPr>
                <w:lang w:val="en-US"/>
              </w:rPr>
              <w:t>7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E75421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C74288" w:rsidRPr="00425226" w:rsidRDefault="00C74288" w:rsidP="00C74288">
      <w:pPr>
        <w:rPr>
          <w:b/>
        </w:rPr>
      </w:pPr>
      <w:r w:rsidRPr="00425226">
        <w:rPr>
          <w:b/>
        </w:rPr>
        <w:t>Двадцать восьмая сессия</w:t>
      </w:r>
    </w:p>
    <w:p w:rsidR="00C74288" w:rsidRPr="00425226" w:rsidRDefault="00C74288" w:rsidP="00C74288">
      <w:r w:rsidRPr="00425226">
        <w:t>Пункт 3 повестки дня</w:t>
      </w:r>
    </w:p>
    <w:p w:rsidR="00C74288" w:rsidRPr="00955142" w:rsidRDefault="00C74288" w:rsidP="00C74288">
      <w:pPr>
        <w:rPr>
          <w:b/>
        </w:rPr>
      </w:pPr>
      <w:r w:rsidRPr="00425226">
        <w:rPr>
          <w:b/>
        </w:rPr>
        <w:t xml:space="preserve">Поощрение и защита всех прав </w:t>
      </w:r>
      <w:bookmarkStart w:id="2" w:name="_GoBack"/>
      <w:bookmarkEnd w:id="2"/>
      <w:r w:rsidRPr="00425226">
        <w:rPr>
          <w:b/>
        </w:rPr>
        <w:t>человека,</w:t>
      </w:r>
      <w:r w:rsidRPr="00425226">
        <w:rPr>
          <w:b/>
        </w:rPr>
        <w:br/>
        <w:t>гражданских, политических, экономических,</w:t>
      </w:r>
      <w:r w:rsidRPr="00425226">
        <w:rPr>
          <w:b/>
        </w:rPr>
        <w:br/>
        <w:t>социальных и культурных прав, включая</w:t>
      </w:r>
      <w:r w:rsidRPr="00425226">
        <w:rPr>
          <w:b/>
        </w:rPr>
        <w:br/>
        <w:t>право на развитие</w:t>
      </w:r>
    </w:p>
    <w:p w:rsidR="00C74288" w:rsidRPr="00425226" w:rsidRDefault="00C74288" w:rsidP="00C74288">
      <w:pPr>
        <w:pStyle w:val="H23GR"/>
      </w:pPr>
      <w:r w:rsidRPr="00425226">
        <w:tab/>
      </w:r>
      <w:r w:rsidRPr="00425226">
        <w:tab/>
      </w:r>
      <w:r w:rsidRPr="00955142">
        <w:t>Резолюция, принятая Советом по правам человека</w:t>
      </w:r>
    </w:p>
    <w:p w:rsidR="00C74288" w:rsidRPr="00425226" w:rsidRDefault="00C74288" w:rsidP="00C74288">
      <w:pPr>
        <w:pStyle w:val="H1GR"/>
      </w:pPr>
      <w:r>
        <w:tab/>
      </w:r>
      <w:r w:rsidRPr="006D4605">
        <w:tab/>
      </w:r>
      <w:r w:rsidRPr="00425226">
        <w:t>2</w:t>
      </w:r>
      <w:r w:rsidRPr="001D624B">
        <w:t>8</w:t>
      </w:r>
      <w:r w:rsidRPr="00425226">
        <w:t>/</w:t>
      </w:r>
      <w:r>
        <w:t>11</w:t>
      </w:r>
      <w:r w:rsidRPr="001D624B">
        <w:br/>
      </w:r>
      <w:r w:rsidRPr="00425226">
        <w:t>Права человека и окружающая среда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Совет по правам человека</w:t>
      </w:r>
      <w:r w:rsidRPr="00425226">
        <w:t>,</w:t>
      </w:r>
    </w:p>
    <w:p w:rsidR="00C74288" w:rsidRPr="00425226" w:rsidRDefault="00C74288" w:rsidP="00C74288">
      <w:pPr>
        <w:pStyle w:val="SingleTxtGR"/>
      </w:pPr>
      <w:r w:rsidRPr="00425226">
        <w:rPr>
          <w:i/>
        </w:rPr>
        <w:tab/>
        <w:t xml:space="preserve">вновь подтверждая </w:t>
      </w:r>
      <w:r w:rsidRPr="00955142">
        <w:rPr>
          <w:iCs/>
        </w:rPr>
        <w:t>свои</w:t>
      </w:r>
      <w:r>
        <w:rPr>
          <w:i/>
        </w:rPr>
        <w:t xml:space="preserve"> </w:t>
      </w:r>
      <w:r w:rsidRPr="00425226">
        <w:t>резолюции 16/11 от 24 марта 2011 года, 19/10 от 22 марта 2012 года и 25/21 от 28 марта 2014 года по вопросу о правах человека и окружающей среде,</w:t>
      </w:r>
      <w:r>
        <w:t xml:space="preserve"> а также соответствующие резолюции Комиссии по правам человека,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  <w:iCs/>
        </w:rPr>
        <w:t>учитывая</w:t>
      </w:r>
      <w:r w:rsidRPr="00425226">
        <w:t xml:space="preserve"> резолюции Генеральной Ассамблеи 60/251 от 15 марта 2006 г</w:t>
      </w:r>
      <w:r w:rsidRPr="00425226">
        <w:t>о</w:t>
      </w:r>
      <w:r w:rsidRPr="00425226">
        <w:t>да и 65/281 от 17 июня 2011 года и резолюцию Совета по правам человека 16/21 от 25 марта 2011 года,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  <w:iCs/>
        </w:rPr>
        <w:t>ссылаясь</w:t>
      </w:r>
      <w:r w:rsidRPr="00425226">
        <w:t xml:space="preserve"> на </w:t>
      </w:r>
      <w:r>
        <w:t xml:space="preserve">свои </w:t>
      </w:r>
      <w:r w:rsidRPr="00425226">
        <w:t xml:space="preserve">резолюции 5/1 об институциональном строительстве Совета </w:t>
      </w:r>
      <w:r w:rsidRPr="00B35F8B">
        <w:t xml:space="preserve">по правам человека </w:t>
      </w:r>
      <w:r>
        <w:t>и 5/2 о К</w:t>
      </w:r>
      <w:r w:rsidRPr="00425226">
        <w:t>одексе поведения мандатариев специал</w:t>
      </w:r>
      <w:r w:rsidRPr="00425226">
        <w:t>ь</w:t>
      </w:r>
      <w:r w:rsidRPr="00425226">
        <w:t>ных процедур Совета от 18 июня 2007 года и подчеркивая, что мандатарий и</w:t>
      </w:r>
      <w:r w:rsidRPr="00425226">
        <w:t>с</w:t>
      </w:r>
      <w:r w:rsidRPr="00425226">
        <w:t>полняет свои обязанности в соответствии с этими резолюциями и приложени</w:t>
      </w:r>
      <w:r w:rsidRPr="00425226">
        <w:t>я</w:t>
      </w:r>
      <w:r w:rsidRPr="00425226">
        <w:t>ми к ним,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ссылаясь также</w:t>
      </w:r>
      <w:r w:rsidRPr="00425226">
        <w:t xml:space="preserve"> на результаты Конференции Организации Объедине</w:t>
      </w:r>
      <w:r w:rsidRPr="00425226">
        <w:t>н</w:t>
      </w:r>
      <w:r w:rsidRPr="00425226">
        <w:t>ных Наций по устойчивому развитию, состоявшейся в Рио-де-Жанейро, Браз</w:t>
      </w:r>
      <w:r w:rsidRPr="00425226">
        <w:t>и</w:t>
      </w:r>
      <w:r w:rsidRPr="00425226">
        <w:t>лия, в июне 2012 года, и ее итоговый документ "Будущее, которого мы хотим"</w:t>
      </w:r>
      <w:r>
        <w:t>, подтверждающий принципы</w:t>
      </w:r>
      <w:r w:rsidRPr="00425226">
        <w:t xml:space="preserve"> </w:t>
      </w:r>
      <w:r w:rsidRPr="00A74C9F">
        <w:t>Рио-де-Жанейрской декларации по окружающей среде и развитию</w:t>
      </w:r>
      <w:r>
        <w:t>, включая принцип 7,</w:t>
      </w:r>
      <w:r w:rsidRPr="00A74C9F">
        <w:t xml:space="preserve"> </w:t>
      </w:r>
      <w:r w:rsidRPr="00425226">
        <w:t>и стремясь содействовать последующим процессам, включая достижение целей в области устойчивого развития,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признавая</w:t>
      </w:r>
      <w:r w:rsidRPr="00425226">
        <w:t>, что люди занимают центральное место в числе озабоченн</w:t>
      </w:r>
      <w:r w:rsidRPr="00425226">
        <w:t>о</w:t>
      </w:r>
      <w:r w:rsidRPr="00425226">
        <w:t xml:space="preserve">стей, связанных с обеспечением устойчивого развития, что право на развитие должно реализовываться для того, чтобы можно было на справедливой основе </w:t>
      </w:r>
      <w:r w:rsidRPr="00425226">
        <w:lastRenderedPageBreak/>
        <w:t>удовлетворять потребности нынешнего и будущих поколений в области разв</w:t>
      </w:r>
      <w:r w:rsidRPr="00425226">
        <w:t>и</w:t>
      </w:r>
      <w:r w:rsidRPr="00425226">
        <w:t>тия и окружающей среды, и что человек является основным субъектом проце</w:t>
      </w:r>
      <w:r w:rsidRPr="00425226">
        <w:t>с</w:t>
      </w:r>
      <w:r w:rsidRPr="00425226">
        <w:t>са развития и должен быть активным участником и бенефициаром права на ра</w:t>
      </w:r>
      <w:r w:rsidRPr="00425226">
        <w:t>з</w:t>
      </w:r>
      <w:r w:rsidRPr="00425226">
        <w:t>витие,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вновь подтверждая</w:t>
      </w:r>
      <w:r w:rsidRPr="00425226">
        <w:t>, что все права человека являются универсальными, неделимыми, взаимозависимыми и взаимосвязанными,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признавая</w:t>
      </w:r>
      <w:r w:rsidRPr="00425226">
        <w:t>, что устойчивое развитие и охрана окружающей среды могут способствовать повышению благополучия и осуществлению прав человека,</w:t>
      </w:r>
    </w:p>
    <w:p w:rsidR="00C74288" w:rsidRDefault="00C74288" w:rsidP="00C74288">
      <w:pPr>
        <w:pStyle w:val="SingleTxtGR"/>
      </w:pPr>
      <w:r w:rsidRPr="00425226">
        <w:tab/>
      </w:r>
      <w:r w:rsidRPr="00425226">
        <w:rPr>
          <w:i/>
        </w:rPr>
        <w:t>признавая также</w:t>
      </w:r>
      <w:r w:rsidRPr="00425226">
        <w:t>, что, напротив, изменение климата, неустойчивое управление и использование природных ресурсов, а также небезопасное упра</w:t>
      </w:r>
      <w:r w:rsidRPr="00425226">
        <w:t>в</w:t>
      </w:r>
      <w:r w:rsidRPr="00425226">
        <w:t>ление химическими веществами и отходами могут препятствовать пользованию безопасной, чистой, здоровой</w:t>
      </w:r>
      <w:r>
        <w:t xml:space="preserve"> и устойчивой окружающей средой</w:t>
      </w:r>
      <w:r w:rsidRPr="00425226">
        <w:t xml:space="preserve"> и что ущерб окружающей среде может иметь негативные последствия, как прямые, так и косвенные, для эффективного осуществления всех прав человека,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425226">
        <w:rPr>
          <w:i/>
        </w:rPr>
        <w:t>признавая далее</w:t>
      </w:r>
      <w:r w:rsidRPr="00425226">
        <w:t xml:space="preserve">, что, хотя последствия </w:t>
      </w:r>
      <w:r>
        <w:t xml:space="preserve">для осуществления прав человека от </w:t>
      </w:r>
      <w:r w:rsidRPr="00425226">
        <w:t>ущерба окружающей среде затрагивают отдельные лица и сообщества во всем мире, наиболее остро ощущают их те слои населения, которые уже нах</w:t>
      </w:r>
      <w:r w:rsidRPr="00425226">
        <w:t>о</w:t>
      </w:r>
      <w:r w:rsidRPr="00425226">
        <w:t>дятся в уязвимом положении,</w:t>
      </w:r>
    </w:p>
    <w:p w:rsidR="00C74288" w:rsidRPr="00425226" w:rsidRDefault="00C74288" w:rsidP="00C74288">
      <w:pPr>
        <w:pStyle w:val="SingleTxtGR"/>
      </w:pPr>
      <w:r w:rsidRPr="00425226">
        <w:tab/>
        <w:t>1.</w:t>
      </w:r>
      <w:r w:rsidRPr="00425226">
        <w:tab/>
      </w:r>
      <w:r w:rsidRPr="00425226">
        <w:rPr>
          <w:i/>
        </w:rPr>
        <w:t>приветствует</w:t>
      </w:r>
      <w:r w:rsidRPr="00425226">
        <w:t xml:space="preserve"> работу Независимого эксперта по вопросу о прав</w:t>
      </w:r>
      <w:r w:rsidRPr="00425226">
        <w:t>о</w:t>
      </w:r>
      <w:r w:rsidRPr="00425226">
        <w:t>защитных обязательствах, касающихся пользования безопасной, чистой, здор</w:t>
      </w:r>
      <w:r w:rsidRPr="00425226">
        <w:t>о</w:t>
      </w:r>
      <w:r w:rsidRPr="00425226">
        <w:t>вой и устойчивой окружающей средой, включая уточнение важных аспектов правозащитных обязательств, касающихся пользования безопасной, чистой, здоровой и устойчивой окружающей средой, прогресс в деле составления по</w:t>
      </w:r>
      <w:r w:rsidRPr="00425226">
        <w:t>д</w:t>
      </w:r>
      <w:r w:rsidRPr="00425226">
        <w:t>борки примеров эффективной практики, всеобъемлющие, транспарентные и инклюзивные консультации, проведенные с соответствующими заинтересова</w:t>
      </w:r>
      <w:r w:rsidRPr="00425226">
        <w:t>н</w:t>
      </w:r>
      <w:r w:rsidRPr="00425226">
        <w:t>ными сторонами из всех регионов, и организацию посещений стран;</w:t>
      </w:r>
    </w:p>
    <w:p w:rsidR="00C74288" w:rsidRPr="00425226" w:rsidRDefault="00C74288" w:rsidP="00C74288">
      <w:pPr>
        <w:pStyle w:val="SingleTxtGR"/>
      </w:pPr>
      <w:r w:rsidRPr="00425226">
        <w:tab/>
        <w:t>2.</w:t>
      </w:r>
      <w:r w:rsidRPr="00425226">
        <w:tab/>
      </w:r>
      <w:r w:rsidRPr="00425226">
        <w:rPr>
          <w:i/>
        </w:rPr>
        <w:t xml:space="preserve">приветствует также </w:t>
      </w:r>
      <w:r w:rsidRPr="00425226">
        <w:t>деятельность Управления Верховного К</w:t>
      </w:r>
      <w:r w:rsidRPr="00425226">
        <w:t>о</w:t>
      </w:r>
      <w:r w:rsidRPr="00425226">
        <w:t>миссара Организации Объединенных Наций по правам человека по вопросу о правах человека и окружающей среде;</w:t>
      </w:r>
    </w:p>
    <w:p w:rsidR="00C74288" w:rsidRPr="00425226" w:rsidRDefault="00C74288" w:rsidP="00C74288">
      <w:pPr>
        <w:pStyle w:val="SingleTxtGR"/>
      </w:pPr>
      <w:r w:rsidRPr="00425226">
        <w:tab/>
        <w:t>3.</w:t>
      </w:r>
      <w:r w:rsidRPr="00425226">
        <w:tab/>
      </w:r>
      <w:r w:rsidRPr="001D624B">
        <w:rPr>
          <w:i/>
        </w:rPr>
        <w:t>с признательностью принимает к сведению</w:t>
      </w:r>
      <w:r w:rsidRPr="00425226">
        <w:t xml:space="preserve"> работу, проделанную Программой Организации Объединенных Наций по окружающей среде в по</w:t>
      </w:r>
      <w:r w:rsidRPr="00425226">
        <w:t>д</w:t>
      </w:r>
      <w:r w:rsidRPr="00425226">
        <w:t>держку мандата Независимого эксперта по вопросу о правозащитных обяз</w:t>
      </w:r>
      <w:r w:rsidRPr="00425226">
        <w:t>а</w:t>
      </w:r>
      <w:r w:rsidRPr="00425226">
        <w:t>тельствах, касающихся пользования безопасной, чистой, здоровой и устойчивой окружающей средой;</w:t>
      </w:r>
    </w:p>
    <w:p w:rsidR="00C74288" w:rsidRPr="00425226" w:rsidRDefault="00C74288" w:rsidP="00C74288">
      <w:pPr>
        <w:pStyle w:val="SingleTxtGR"/>
      </w:pPr>
      <w:r w:rsidRPr="00425226">
        <w:tab/>
        <w:t>4.</w:t>
      </w:r>
      <w:r w:rsidRPr="00425226">
        <w:tab/>
      </w:r>
      <w:r w:rsidRPr="001D624B">
        <w:rPr>
          <w:i/>
        </w:rPr>
        <w:t>постановляет</w:t>
      </w:r>
      <w:r w:rsidRPr="00425226">
        <w:t xml:space="preserve"> продлить мандат нынешнего мандатария как мандат специального докладчика по вопросу о правозащитных обязательствах, каса</w:t>
      </w:r>
      <w:r w:rsidRPr="00425226">
        <w:t>ю</w:t>
      </w:r>
      <w:r w:rsidRPr="00425226">
        <w:t>щихся пользования безопасной, чистой, здоровой и устойчивой окружающей средой, на три года;</w:t>
      </w:r>
    </w:p>
    <w:p w:rsidR="00C74288" w:rsidRPr="00425226" w:rsidRDefault="00C74288" w:rsidP="00C74288">
      <w:pPr>
        <w:pStyle w:val="SingleTxtGR"/>
      </w:pPr>
      <w:r w:rsidRPr="00425226">
        <w:tab/>
        <w:t>5.</w:t>
      </w:r>
      <w:r w:rsidRPr="00425226">
        <w:tab/>
      </w:r>
      <w:r w:rsidRPr="001D624B">
        <w:rPr>
          <w:i/>
        </w:rPr>
        <w:t>рекомендует</w:t>
      </w:r>
      <w:r w:rsidRPr="00425226">
        <w:t xml:space="preserve"> Специальному докладчику при исполнении своего мандата:</w:t>
      </w:r>
    </w:p>
    <w:p w:rsidR="00C74288" w:rsidRPr="00425226" w:rsidRDefault="00C74288" w:rsidP="00C74288">
      <w:pPr>
        <w:pStyle w:val="SingleTxtGR"/>
      </w:pPr>
      <w:r w:rsidRPr="00425226">
        <w:tab/>
      </w:r>
      <w:r w:rsidRPr="00745C1A">
        <w:rPr>
          <w:i/>
          <w:lang w:val="en-GB"/>
        </w:rPr>
        <w:t>a</w:t>
      </w:r>
      <w:r w:rsidRPr="00745C1A">
        <w:rPr>
          <w:i/>
        </w:rPr>
        <w:t>)</w:t>
      </w:r>
      <w:r w:rsidRPr="00425226">
        <w:tab/>
        <w:t>продолжать изучать обязательства в области прав человека</w:t>
      </w:r>
      <w:r>
        <w:t xml:space="preserve"> </w:t>
      </w:r>
      <w:r w:rsidRPr="00425226">
        <w:t>прим</w:t>
      </w:r>
      <w:r w:rsidRPr="00425226">
        <w:t>е</w:t>
      </w:r>
      <w:r w:rsidRPr="00425226">
        <w:t>нительно к пользованию безопасной, чистой, здоровой и устойчивой окружа</w:t>
      </w:r>
      <w:r w:rsidRPr="00425226">
        <w:t>ю</w:t>
      </w:r>
      <w:r w:rsidRPr="00425226">
        <w:t>щей средой в консультации с правительствами, соответствующими междун</w:t>
      </w:r>
      <w:r w:rsidRPr="00425226">
        <w:t>а</w:t>
      </w:r>
      <w:r w:rsidRPr="00425226">
        <w:t>родными организациями и межпра</w:t>
      </w:r>
      <w:r>
        <w:t>вительственными органами,</w:t>
      </w:r>
      <w:r w:rsidRPr="00425226">
        <w:t xml:space="preserve"> включая Пр</w:t>
      </w:r>
      <w:r w:rsidRPr="00425226">
        <w:t>о</w:t>
      </w:r>
      <w:r w:rsidRPr="00425226">
        <w:t>грамму Организации Объединенных Наций по окружающей среде и Программу развития Организации Объединенных Наций, и соответствующими многост</w:t>
      </w:r>
      <w:r w:rsidRPr="00425226">
        <w:t>о</w:t>
      </w:r>
      <w:r w:rsidRPr="00425226">
        <w:t>ронними соглашениями в области окружающей среды, правозащитными мех</w:t>
      </w:r>
      <w:r w:rsidRPr="00425226">
        <w:t>а</w:t>
      </w:r>
      <w:r w:rsidRPr="00425226">
        <w:t>низмами, местными властями, национальными правозащитными учреждени</w:t>
      </w:r>
      <w:r w:rsidRPr="00425226">
        <w:t>я</w:t>
      </w:r>
      <w:r w:rsidRPr="00425226">
        <w:lastRenderedPageBreak/>
        <w:t>ми, организациями гражданского общества, включая организации, представл</w:t>
      </w:r>
      <w:r w:rsidRPr="00425226">
        <w:t>я</w:t>
      </w:r>
      <w:r w:rsidRPr="00425226">
        <w:t>ющие коренные народы и других лиц, находящихся в уязвимом положении, частный сектор и научные институты;</w:t>
      </w:r>
    </w:p>
    <w:p w:rsidR="00C74288" w:rsidRPr="00425226" w:rsidRDefault="00C74288" w:rsidP="00C74288">
      <w:pPr>
        <w:pStyle w:val="SingleTxtGR"/>
      </w:pPr>
      <w:r w:rsidRPr="00C76629">
        <w:tab/>
      </w:r>
      <w:r w:rsidRPr="00745C1A">
        <w:rPr>
          <w:i/>
          <w:lang w:val="en-GB"/>
        </w:rPr>
        <w:t>b</w:t>
      </w:r>
      <w:r w:rsidRPr="00745C1A">
        <w:rPr>
          <w:i/>
        </w:rPr>
        <w:t>)</w:t>
      </w:r>
      <w:r w:rsidRPr="00425226">
        <w:tab/>
        <w:t>продолжать выявлять и поощрять эффективную практику</w:t>
      </w:r>
      <w:r>
        <w:t>,</w:t>
      </w:r>
      <w:r w:rsidRPr="00425226">
        <w:t xml:space="preserve"> относ</w:t>
      </w:r>
      <w:r w:rsidRPr="00425226">
        <w:t>я</w:t>
      </w:r>
      <w:r w:rsidRPr="00425226">
        <w:t>щуюся к правозащитным обязательствам, которая способствует информиров</w:t>
      </w:r>
      <w:r w:rsidRPr="00425226">
        <w:t>а</w:t>
      </w:r>
      <w:r w:rsidRPr="00425226">
        <w:t>нию, поддержке и укреплению процесса разработки экологической политики, в особенности в области охраны окружающей среды, а также обмениваться мн</w:t>
      </w:r>
      <w:r w:rsidRPr="00425226">
        <w:t>е</w:t>
      </w:r>
      <w:r w:rsidRPr="00425226">
        <w:t>ниями по этим вопросам, и в этой связи обновить и распространить подборку примеров эффективной практики;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c</w:t>
      </w:r>
      <w:r w:rsidRPr="00745C1A">
        <w:rPr>
          <w:i/>
        </w:rPr>
        <w:t>)</w:t>
      </w:r>
      <w:r w:rsidRPr="00425226">
        <w:tab/>
        <w:t>содействовать реализации правозащитных обязательств, каса</w:t>
      </w:r>
      <w:r w:rsidRPr="00425226">
        <w:t>ю</w:t>
      </w:r>
      <w:r w:rsidRPr="00425226">
        <w:t>щихся пользования безопасной, чистой, здоровой и устойчивой окружающей средой, сообщать о такой реализации и распространять свои выводы, по-прежнему уделяя, в частности, особое внимание практическим решениям отн</w:t>
      </w:r>
      <w:r w:rsidRPr="00425226">
        <w:t>о</w:t>
      </w:r>
      <w:r w:rsidRPr="00425226">
        <w:t>сительно их осуществления;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d</w:t>
      </w:r>
      <w:r w:rsidRPr="00745C1A">
        <w:rPr>
          <w:i/>
        </w:rPr>
        <w:t>)</w:t>
      </w:r>
      <w:r w:rsidRPr="00425226">
        <w:tab/>
        <w:t xml:space="preserve">вести работу по выявлению проблем и препятствий в деле полной реализации правозащитных обязательств, касающихся пользования безопасной, чистой, здоровой и устойчивой окружающей средой </w:t>
      </w:r>
      <w:r>
        <w:t>и пробелов</w:t>
      </w:r>
      <w:r w:rsidRPr="00425226">
        <w:t xml:space="preserve"> в этой области, в том числе в контексте </w:t>
      </w:r>
      <w:hyperlink r:id="rId9" w:tgtFrame="_blank" w:history="1">
        <w:r w:rsidRPr="001D624B">
          <w:rPr>
            <w:rStyle w:val="aff7"/>
            <w:u w:val="none"/>
          </w:rPr>
          <w:t>устойчивого</w:t>
        </w:r>
      </w:hyperlink>
      <w:r w:rsidRPr="00425226">
        <w:t xml:space="preserve"> развития;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e</w:t>
      </w:r>
      <w:r w:rsidRPr="00745C1A">
        <w:rPr>
          <w:i/>
        </w:rPr>
        <w:t>)</w:t>
      </w:r>
      <w:r w:rsidRPr="00425226">
        <w:tab/>
        <w:t xml:space="preserve">продолжать </w:t>
      </w:r>
      <w:r>
        <w:t xml:space="preserve">содействовать и </w:t>
      </w:r>
      <w:r w:rsidRPr="00425226">
        <w:t>участвовать, по мере необходимости, в работе межправительственных конференций и совещаний,</w:t>
      </w:r>
      <w:r>
        <w:t xml:space="preserve"> имеющих отношение к его мандату</w:t>
      </w:r>
      <w:r w:rsidRPr="00425226">
        <w:t xml:space="preserve">; 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f</w:t>
      </w:r>
      <w:r w:rsidRPr="00745C1A">
        <w:rPr>
          <w:i/>
        </w:rPr>
        <w:t>)</w:t>
      </w:r>
      <w:r w:rsidRPr="00425226">
        <w:tab/>
        <w:t>налаживать диалог, устанавливать связи и взаимодействовать со всеми заинтересованными сторонами в целях повышения информированности общественности о правозащитных обязательствах, касающихся пользования безопасной, чистой, здоровой и устойчивой окружающей средой;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g</w:t>
      </w:r>
      <w:r w:rsidRPr="00745C1A">
        <w:rPr>
          <w:i/>
        </w:rPr>
        <w:t>)</w:t>
      </w:r>
      <w:r w:rsidRPr="00425226">
        <w:tab/>
        <w:t>применять гендерный подход посредством, в частности, рассмо</w:t>
      </w:r>
      <w:r w:rsidRPr="00425226">
        <w:t>т</w:t>
      </w:r>
      <w:r w:rsidRPr="00425226">
        <w:t>рения особого положения женщин и девочек и выявления случаев дискримин</w:t>
      </w:r>
      <w:r w:rsidRPr="00425226">
        <w:t>а</w:t>
      </w:r>
      <w:r w:rsidRPr="00425226">
        <w:t>ции и факторов уязвимости гендерного характера;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h</w:t>
      </w:r>
      <w:r w:rsidRPr="00745C1A">
        <w:rPr>
          <w:i/>
        </w:rPr>
        <w:t>)</w:t>
      </w:r>
      <w:r w:rsidRPr="00425226">
        <w:tab/>
        <w:t>работать в тесной координации, избегая ненужного дублирования, с другими специальными процедурами и вспомогательными органами Совета по правам человека, соответствующими органами, учреждениями</w:t>
      </w:r>
      <w:r>
        <w:t>,</w:t>
      </w:r>
      <w:r w:rsidRPr="00425226">
        <w:t xml:space="preserve"> фондами</w:t>
      </w:r>
      <w:r>
        <w:t xml:space="preserve"> и</w:t>
      </w:r>
      <w:r w:rsidRPr="00A20629">
        <w:t xml:space="preserve"> программами</w:t>
      </w:r>
      <w:r>
        <w:t xml:space="preserve"> </w:t>
      </w:r>
      <w:r w:rsidRPr="00425226">
        <w:t>Организации Объединенных Наций, включая Программу Орган</w:t>
      </w:r>
      <w:r w:rsidRPr="00425226">
        <w:t>и</w:t>
      </w:r>
      <w:r w:rsidRPr="00425226">
        <w:t>зации Объединенных Наций в области окружающей среды и Программу разв</w:t>
      </w:r>
      <w:r w:rsidRPr="00425226">
        <w:t>и</w:t>
      </w:r>
      <w:r w:rsidRPr="00425226">
        <w:t>тия Организации Объединенных Наций, договорными органами и междунаро</w:t>
      </w:r>
      <w:r w:rsidRPr="00425226">
        <w:t>д</w:t>
      </w:r>
      <w:r w:rsidRPr="00425226">
        <w:t>ными и региональными организациями, многосторонними соглашениями в о</w:t>
      </w:r>
      <w:r w:rsidRPr="00425226">
        <w:t>б</w:t>
      </w:r>
      <w:r w:rsidRPr="00425226">
        <w:t>ласти окружающей среды, с учетом мнений других заинтересованных сторон, включая соответствующие региональные правозащитные механизмы, наци</w:t>
      </w:r>
      <w:r w:rsidRPr="00425226">
        <w:t>о</w:t>
      </w:r>
      <w:r w:rsidRPr="00425226">
        <w:t>нальные правозащитные учреждения, организации гражданского общества и научные институты;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i</w:t>
      </w:r>
      <w:r w:rsidRPr="00745C1A">
        <w:rPr>
          <w:i/>
        </w:rPr>
        <w:t>)</w:t>
      </w:r>
      <w:r w:rsidRPr="00425226">
        <w:tab/>
        <w:t>представлять Совету ежегодный доклад, включая выводы и рек</w:t>
      </w:r>
      <w:r w:rsidRPr="00425226">
        <w:t>о</w:t>
      </w:r>
      <w:r w:rsidRPr="00425226">
        <w:t>мендации;</w:t>
      </w:r>
    </w:p>
    <w:p w:rsidR="00C74288" w:rsidRPr="00425226" w:rsidRDefault="00C74288" w:rsidP="00C74288">
      <w:pPr>
        <w:pStyle w:val="SingleTxtGR"/>
      </w:pPr>
      <w:r w:rsidRPr="00425226">
        <w:tab/>
        <w:t>6.</w:t>
      </w:r>
      <w:r w:rsidRPr="00425226">
        <w:tab/>
      </w:r>
      <w:r w:rsidRPr="00425226">
        <w:rPr>
          <w:i/>
          <w:iCs/>
        </w:rPr>
        <w:t>призывает</w:t>
      </w:r>
      <w:r w:rsidRPr="00425226">
        <w:t xml:space="preserve"> все государства, учреждения, программы и фонды О</w:t>
      </w:r>
      <w:r w:rsidRPr="00425226">
        <w:t>р</w:t>
      </w:r>
      <w:r w:rsidRPr="00425226">
        <w:t>ганизации Объединенных Наций, другие международные организации и непр</w:t>
      </w:r>
      <w:r w:rsidRPr="00425226">
        <w:t>а</w:t>
      </w:r>
      <w:r w:rsidRPr="00425226">
        <w:t>вительственные организации, частный сектор и национальные правозащитные учреждения в полной мере сотрудничать со Специальным докладчиком, в том числе путем предоставления всей необходимой информации, касающейся ма</w:t>
      </w:r>
      <w:r w:rsidRPr="00425226">
        <w:t>н</w:t>
      </w:r>
      <w:r w:rsidRPr="00425226">
        <w:t>дата, с тем чтобы позволить ему или ей осуществить свой мандат;</w:t>
      </w:r>
    </w:p>
    <w:p w:rsidR="00C74288" w:rsidRPr="00425226" w:rsidRDefault="00C74288" w:rsidP="00C74288">
      <w:pPr>
        <w:pStyle w:val="SingleTxtGR"/>
      </w:pPr>
      <w:r w:rsidRPr="00425226">
        <w:lastRenderedPageBreak/>
        <w:tab/>
        <w:t>7.</w:t>
      </w:r>
      <w:r w:rsidRPr="00425226">
        <w:tab/>
      </w:r>
      <w:r w:rsidRPr="00425226">
        <w:rPr>
          <w:i/>
        </w:rPr>
        <w:t xml:space="preserve">просит </w:t>
      </w:r>
      <w:r w:rsidRPr="00425226">
        <w:t>Верховного комиссара обеспечивать, чтобы Специальный докладчик получал необходимые ресурсы, позволяющие ему или ей в полном объеме выполнять свой мандат;</w:t>
      </w:r>
    </w:p>
    <w:p w:rsidR="00C74288" w:rsidRPr="00425226" w:rsidRDefault="00C74288" w:rsidP="00C74288">
      <w:pPr>
        <w:pStyle w:val="SingleTxtGR"/>
      </w:pPr>
      <w:r>
        <w:tab/>
      </w:r>
      <w:r w:rsidRPr="00425226">
        <w:t>8.</w:t>
      </w:r>
      <w:r w:rsidRPr="00425226">
        <w:tab/>
      </w:r>
      <w:r w:rsidRPr="00425226">
        <w:rPr>
          <w:i/>
        </w:rPr>
        <w:t>просит</w:t>
      </w:r>
      <w:r w:rsidRPr="00425226">
        <w:t xml:space="preserve"> Специального докладчика в сотрудничестве с Управлением Верховного Комиссара:</w:t>
      </w:r>
    </w:p>
    <w:p w:rsidR="00C74288" w:rsidRPr="00745C1A" w:rsidRDefault="00C74288" w:rsidP="00C74288">
      <w:pPr>
        <w:pStyle w:val="SingleTxtGR"/>
      </w:pPr>
      <w:r w:rsidRPr="00745C1A">
        <w:tab/>
      </w:r>
      <w:r w:rsidRPr="00745C1A">
        <w:rPr>
          <w:i/>
        </w:rPr>
        <w:t>a)</w:t>
      </w:r>
      <w:r w:rsidRPr="00745C1A">
        <w:tab/>
        <w:t>созвать до тридцать первой сессии Совета по правам человека с</w:t>
      </w:r>
      <w:r w:rsidRPr="00745C1A">
        <w:t>е</w:t>
      </w:r>
      <w:r w:rsidRPr="00745C1A">
        <w:t>минар экспертов</w:t>
      </w:r>
      <w:r>
        <w:t xml:space="preserve"> </w:t>
      </w:r>
      <w:r w:rsidRPr="00745C1A">
        <w:t>по вопросу об эффективном осуществлении правозащитных обязательств, касающихся пользования безопасной, чистой, здоровой и усто</w:t>
      </w:r>
      <w:r w:rsidRPr="00745C1A">
        <w:t>й</w:t>
      </w:r>
      <w:r w:rsidRPr="00745C1A">
        <w:t>чивой окружающей средой, возникающих в этой связи проблемах и перспе</w:t>
      </w:r>
      <w:r w:rsidRPr="00745C1A">
        <w:t>к</w:t>
      </w:r>
      <w:r w:rsidRPr="00745C1A">
        <w:t>тивных задач</w:t>
      </w:r>
      <w:r>
        <w:t>ах</w:t>
      </w:r>
      <w:r w:rsidRPr="00745C1A">
        <w:t xml:space="preserve"> на основе выводов мандатария;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b</w:t>
      </w:r>
      <w:r w:rsidRPr="00745C1A">
        <w:rPr>
          <w:i/>
        </w:rPr>
        <w:t>)</w:t>
      </w:r>
      <w:r w:rsidRPr="00425226">
        <w:tab/>
        <w:t>предложить государствам и другим соответствующим заинтерес</w:t>
      </w:r>
      <w:r w:rsidRPr="00425226">
        <w:t>о</w:t>
      </w:r>
      <w:r w:rsidRPr="00425226">
        <w:t>ванным сторонам, включая научных экспертов и организации гражданского общества, принять активное участие в семинаре;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c</w:t>
      </w:r>
      <w:r w:rsidRPr="00745C1A">
        <w:rPr>
          <w:i/>
        </w:rPr>
        <w:t>)</w:t>
      </w:r>
      <w:r w:rsidRPr="00425226">
        <w:tab/>
        <w:t>предложить соответствующим экспертам учреждений</w:t>
      </w:r>
      <w:r>
        <w:t>,</w:t>
      </w:r>
      <w:r w:rsidRPr="00425226">
        <w:t xml:space="preserve"> фондов</w:t>
      </w:r>
      <w:r>
        <w:t xml:space="preserve"> и </w:t>
      </w:r>
      <w:r w:rsidRPr="00FD0B04">
        <w:t xml:space="preserve">программ </w:t>
      </w:r>
      <w:r w:rsidRPr="00425226">
        <w:t>Организации Объединенных Наций и других международных орган</w:t>
      </w:r>
      <w:r w:rsidRPr="00425226">
        <w:t>и</w:t>
      </w:r>
      <w:r w:rsidRPr="00425226">
        <w:t>заций принять участие в семинаре;</w:t>
      </w:r>
    </w:p>
    <w:p w:rsidR="00C74288" w:rsidRPr="00425226" w:rsidRDefault="00C74288" w:rsidP="00C74288">
      <w:pPr>
        <w:pStyle w:val="SingleTxtGR"/>
      </w:pPr>
      <w:r>
        <w:tab/>
      </w:r>
      <w:r w:rsidRPr="00745C1A">
        <w:rPr>
          <w:i/>
          <w:lang w:val="en-GB"/>
        </w:rPr>
        <w:t>d</w:t>
      </w:r>
      <w:r w:rsidRPr="00745C1A">
        <w:rPr>
          <w:i/>
        </w:rPr>
        <w:t>)</w:t>
      </w:r>
      <w:r w:rsidRPr="00425226">
        <w:tab/>
        <w:t>представить Совету по правам человека на его тридцать первой сессии краткий доклад о работе вышеупомянутого семинара, в том числе о в</w:t>
      </w:r>
      <w:r w:rsidRPr="00425226">
        <w:t>ы</w:t>
      </w:r>
      <w:r w:rsidRPr="00425226">
        <w:t>несенных на нем рекомендациях, для рассмотрения на предмет проведения п</w:t>
      </w:r>
      <w:r w:rsidRPr="00425226">
        <w:t>о</w:t>
      </w:r>
      <w:r w:rsidRPr="00425226">
        <w:t>следующей деятельности;</w:t>
      </w:r>
    </w:p>
    <w:p w:rsidR="00C74288" w:rsidRDefault="00C74288" w:rsidP="00C74288">
      <w:pPr>
        <w:pStyle w:val="SingleTxtGR"/>
      </w:pPr>
      <w:r>
        <w:tab/>
      </w:r>
      <w:r w:rsidRPr="00425226">
        <w:t>9.</w:t>
      </w:r>
      <w:r w:rsidRPr="00425226">
        <w:tab/>
      </w:r>
      <w:r w:rsidRPr="00425226">
        <w:rPr>
          <w:i/>
        </w:rPr>
        <w:t>просит</w:t>
      </w:r>
      <w:r w:rsidRPr="00425226">
        <w:t xml:space="preserve"> Управление Верховного Комиссара сотрудничать с пр</w:t>
      </w:r>
      <w:r w:rsidRPr="00425226">
        <w:t>о</w:t>
      </w:r>
      <w:r w:rsidRPr="00425226">
        <w:t>граммами, учреждениями и фондами Организации Объединенных Наций, в частности с Программой Организации Объединенных Наций по окружающей среде, в целях облегчения обмена знаниями о правозащитных обязательствах, касающихся пользования безопасной, чистой, здоровой и устойчивой окруж</w:t>
      </w:r>
      <w:r w:rsidRPr="00425226">
        <w:t>а</w:t>
      </w:r>
      <w:r w:rsidRPr="00425226">
        <w:t>ющей средой;</w:t>
      </w:r>
    </w:p>
    <w:p w:rsidR="00C74288" w:rsidRPr="00425226" w:rsidRDefault="00C74288" w:rsidP="00C74288">
      <w:pPr>
        <w:pStyle w:val="SingleTxtGR"/>
      </w:pPr>
      <w:r>
        <w:tab/>
      </w:r>
      <w:r w:rsidRPr="00425226">
        <w:t>10.</w:t>
      </w:r>
      <w:r w:rsidRPr="00425226">
        <w:tab/>
      </w:r>
      <w:r>
        <w:rPr>
          <w:i/>
        </w:rPr>
        <w:t>предлагает</w:t>
      </w:r>
      <w:r w:rsidRPr="00425226">
        <w:rPr>
          <w:i/>
        </w:rPr>
        <w:t xml:space="preserve"> </w:t>
      </w:r>
      <w:r w:rsidRPr="00E95E8D">
        <w:t>государствам</w:t>
      </w:r>
      <w:r w:rsidRPr="00425226">
        <w:rPr>
          <w:i/>
        </w:rPr>
        <w:t xml:space="preserve"> </w:t>
      </w:r>
      <w:r w:rsidRPr="00425226">
        <w:rPr>
          <w:iCs/>
        </w:rPr>
        <w:t>учитывать</w:t>
      </w:r>
      <w:r w:rsidRPr="00425226">
        <w:t xml:space="preserve"> подборку примеров </w:t>
      </w:r>
      <w:r w:rsidRPr="00853CBB">
        <w:t xml:space="preserve"> передовой практик</w:t>
      </w:r>
      <w:r>
        <w:t>и</w:t>
      </w:r>
      <w:r w:rsidRPr="00425226">
        <w:t>, содержащуюся в докладе Независимого эксперта</w:t>
      </w:r>
      <w:r w:rsidRPr="00745C1A">
        <w:rPr>
          <w:rStyle w:val="ab"/>
          <w:rFonts w:eastAsia="MS Mincho"/>
          <w:spacing w:val="5"/>
          <w:w w:val="104"/>
          <w:lang w:val="en-GB" w:eastAsia="ru-RU"/>
        </w:rPr>
        <w:footnoteReference w:id="1"/>
      </w:r>
      <w:r w:rsidRPr="00425226">
        <w:t>, при выполнении своих правозащитных обязательств, касающихся пользования безопасной, ч</w:t>
      </w:r>
      <w:r w:rsidRPr="00425226">
        <w:t>и</w:t>
      </w:r>
      <w:r w:rsidRPr="00425226">
        <w:t xml:space="preserve">стой, здоровой и устойчивой окружающей средой, и </w:t>
      </w:r>
      <w:r>
        <w:t xml:space="preserve">предлагает государствам обмениваться </w:t>
      </w:r>
      <w:r w:rsidRPr="00853CBB">
        <w:t xml:space="preserve"> </w:t>
      </w:r>
      <w:r w:rsidRPr="00235323">
        <w:t xml:space="preserve">в этой связи </w:t>
      </w:r>
      <w:r w:rsidRPr="00853CBB">
        <w:t>передовой практикой</w:t>
      </w:r>
      <w:r>
        <w:t xml:space="preserve"> при представлении</w:t>
      </w:r>
      <w:r w:rsidRPr="00425226">
        <w:t xml:space="preserve"> доклад</w:t>
      </w:r>
      <w:r>
        <w:t>ов</w:t>
      </w:r>
      <w:r w:rsidRPr="00425226">
        <w:t xml:space="preserve"> правозащитной системе Организации Объединенных Наций;</w:t>
      </w:r>
    </w:p>
    <w:p w:rsidR="00C74288" w:rsidRDefault="00C74288" w:rsidP="00C74288">
      <w:pPr>
        <w:pStyle w:val="SingleTxtGR"/>
      </w:pPr>
      <w:r w:rsidRPr="00425226">
        <w:tab/>
        <w:t>11.</w:t>
      </w:r>
      <w:r w:rsidRPr="00425226">
        <w:tab/>
      </w:r>
      <w:r w:rsidRPr="00425226">
        <w:rPr>
          <w:i/>
        </w:rPr>
        <w:t xml:space="preserve">постановляет </w:t>
      </w:r>
      <w:r w:rsidRPr="00425226">
        <w:t>продолжить рассмотрение данного вопроса в соо</w:t>
      </w:r>
      <w:r w:rsidRPr="00425226">
        <w:t>т</w:t>
      </w:r>
      <w:r w:rsidRPr="00425226">
        <w:t>ветствии со своей годовой программой работы.</w:t>
      </w:r>
    </w:p>
    <w:p w:rsidR="00C74288" w:rsidRPr="00C74288" w:rsidRDefault="00C74288" w:rsidP="00C74288">
      <w:pPr>
        <w:pStyle w:val="SingleTxtGR"/>
        <w:jc w:val="right"/>
        <w:rPr>
          <w:i/>
        </w:rPr>
      </w:pPr>
      <w:r w:rsidRPr="00C74288">
        <w:rPr>
          <w:i/>
        </w:rPr>
        <w:t>55-е заседание</w:t>
      </w:r>
      <w:r w:rsidRPr="00C74288">
        <w:rPr>
          <w:i/>
          <w:lang w:val="en-US"/>
        </w:rPr>
        <w:br/>
      </w:r>
      <w:r w:rsidRPr="00C74288">
        <w:rPr>
          <w:i/>
        </w:rPr>
        <w:t>26 марта 2015 года</w:t>
      </w:r>
    </w:p>
    <w:p w:rsidR="00C74288" w:rsidRPr="00425226" w:rsidRDefault="00C74288" w:rsidP="00C74288">
      <w:pPr>
        <w:pStyle w:val="SingleTxtGR"/>
      </w:pPr>
      <w:r>
        <w:t>[Принята без голосования.]</w:t>
      </w:r>
    </w:p>
    <w:p w:rsidR="00C74288" w:rsidRPr="00C74288" w:rsidRDefault="00C74288" w:rsidP="00C74288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74288" w:rsidRPr="00C74288" w:rsidSect="00267F7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01" w:rsidRDefault="00EA6801">
      <w:r>
        <w:rPr>
          <w:lang w:val="en-US"/>
        </w:rPr>
        <w:tab/>
      </w:r>
      <w:r>
        <w:separator/>
      </w:r>
    </w:p>
  </w:endnote>
  <w:endnote w:type="continuationSeparator" w:id="0">
    <w:p w:rsidR="00EA6801" w:rsidRDefault="00E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75421">
      <w:rPr>
        <w:rStyle w:val="ad"/>
        <w:noProof/>
      </w:rPr>
      <w:t>4</w:t>
    </w:r>
    <w:r>
      <w:rPr>
        <w:rStyle w:val="ad"/>
      </w:rPr>
      <w:fldChar w:fldCharType="end"/>
    </w:r>
    <w:r>
      <w:rPr>
        <w:lang w:val="en-US"/>
      </w:rPr>
      <w:tab/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EA6801">
      <w:rPr>
        <w:lang w:val="en-US"/>
      </w:rPr>
      <w:t>07180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 w:rsidP="00E147C1">
    <w:pPr>
      <w:pStyle w:val="ac"/>
      <w:rPr>
        <w:lang w:val="en-US"/>
      </w:rPr>
    </w:pPr>
    <w:r>
      <w:rPr>
        <w:lang w:val="en-US"/>
      </w:rPr>
      <w:t>GE.</w:t>
    </w:r>
    <w:r w:rsidR="00F411D5">
      <w:rPr>
        <w:lang w:val="en-US"/>
      </w:rPr>
      <w:t>1</w:t>
    </w:r>
    <w:r w:rsidR="00E147C1">
      <w:rPr>
        <w:lang w:val="en-US"/>
      </w:rPr>
      <w:t>5</w:t>
    </w:r>
    <w:r>
      <w:rPr>
        <w:lang w:val="en-US"/>
      </w:rPr>
      <w:t>-</w:t>
    </w:r>
    <w:r w:rsidR="00EA6801">
      <w:rPr>
        <w:lang w:val="en-US"/>
      </w:rPr>
      <w:t>07180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E75421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6D4931" w:rsidTr="00036FE6">
      <w:trPr>
        <w:trHeight w:val="438"/>
      </w:trPr>
      <w:tc>
        <w:tcPr>
          <w:tcW w:w="4068" w:type="dxa"/>
          <w:vAlign w:val="bottom"/>
        </w:tcPr>
        <w:p w:rsidR="006D4931" w:rsidRPr="006D4931" w:rsidRDefault="00B731EC" w:rsidP="00021C9A">
          <w:r>
            <w:rPr>
              <w:lang w:val="en-US"/>
            </w:rPr>
            <w:t>GE.</w:t>
          </w:r>
          <w:r w:rsidR="002D414F">
            <w:rPr>
              <w:lang w:val="en-US"/>
            </w:rPr>
            <w:t>1</w:t>
          </w:r>
          <w:r w:rsidR="00E147C1">
            <w:rPr>
              <w:lang w:val="en-US"/>
            </w:rPr>
            <w:t>5</w:t>
          </w:r>
          <w:r w:rsidR="006D4931" w:rsidRPr="006D4931">
            <w:rPr>
              <w:lang w:val="en-US"/>
            </w:rPr>
            <w:t>-</w:t>
          </w:r>
          <w:r w:rsidR="00EA6801">
            <w:rPr>
              <w:lang w:val="en-US"/>
            </w:rPr>
            <w:t>07180</w:t>
          </w:r>
          <w:r w:rsidR="006D4931" w:rsidRPr="006D4931">
            <w:rPr>
              <w:lang w:val="en-US"/>
            </w:rPr>
            <w:t xml:space="preserve">  (R)</w:t>
          </w:r>
          <w:r w:rsidR="00EA6801">
            <w:rPr>
              <w:lang w:val="en-US"/>
            </w:rPr>
            <w:t xml:space="preserve">  090415  </w:t>
          </w:r>
          <w:r w:rsidR="00021C9A">
            <w:rPr>
              <w:lang w:val="en-US"/>
            </w:rPr>
            <w:t>10</w:t>
          </w:r>
          <w:r w:rsidR="00EA6801">
            <w:rPr>
              <w:lang w:val="en-US"/>
            </w:rPr>
            <w:t>0415</w:t>
          </w:r>
        </w:p>
      </w:tc>
      <w:tc>
        <w:tcPr>
          <w:tcW w:w="4663" w:type="dxa"/>
          <w:vMerge w:val="restart"/>
          <w:vAlign w:val="bottom"/>
        </w:tcPr>
        <w:p w:rsidR="006D4931" w:rsidRDefault="002D414F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1E7108E" wp14:editId="0872EE5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D4931" w:rsidRDefault="00EA6801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3C2EF093" wp14:editId="6FD0173C">
                <wp:extent cx="867410" cy="867410"/>
                <wp:effectExtent l="0" t="0" r="8890" b="8890"/>
                <wp:docPr id="3" name="Рисунок 3" descr="http://undocs.org/m2/QRCode2.ashx?DS=A/HRC/RES/28/1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RES/28/1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931" w:rsidRPr="00797A78" w:rsidTr="00036FE6">
      <w:tc>
        <w:tcPr>
          <w:tcW w:w="4068" w:type="dxa"/>
          <w:vAlign w:val="bottom"/>
        </w:tcPr>
        <w:p w:rsidR="006D4931" w:rsidRPr="00EA6801" w:rsidRDefault="00EA6801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A680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6D4931" w:rsidRDefault="006D4931" w:rsidP="00036FE6"/>
      </w:tc>
      <w:tc>
        <w:tcPr>
          <w:tcW w:w="1124" w:type="dxa"/>
          <w:vMerge/>
        </w:tcPr>
        <w:p w:rsidR="006D4931" w:rsidRDefault="006D4931" w:rsidP="00036FE6"/>
      </w:tc>
    </w:tr>
  </w:tbl>
  <w:p w:rsidR="006D4931" w:rsidRDefault="006D4931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01" w:rsidRPr="00F71F63" w:rsidRDefault="00EA680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A6801" w:rsidRPr="00F71F63" w:rsidRDefault="00EA680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A6801" w:rsidRPr="00635E86" w:rsidRDefault="00EA6801" w:rsidP="00635E86">
      <w:pPr>
        <w:pStyle w:val="ac"/>
      </w:pPr>
    </w:p>
  </w:footnote>
  <w:footnote w:id="1">
    <w:p w:rsidR="00C74288" w:rsidRPr="002C78A9" w:rsidRDefault="00C74288" w:rsidP="00C74288">
      <w:pPr>
        <w:pStyle w:val="af"/>
        <w:widowControl w:val="0"/>
        <w:tabs>
          <w:tab w:val="clear" w:pos="1021"/>
          <w:tab w:val="right" w:pos="1020"/>
        </w:tabs>
        <w:rPr>
          <w:lang w:val="es-ES"/>
        </w:rPr>
      </w:pPr>
      <w:r w:rsidRPr="00C849A7">
        <w:rPr>
          <w:lang w:val="ru-RU"/>
        </w:rPr>
        <w:tab/>
      </w:r>
      <w:r>
        <w:rPr>
          <w:rStyle w:val="ab"/>
        </w:rPr>
        <w:footnoteRef/>
      </w:r>
      <w:r>
        <w:rPr>
          <w:lang w:val="es-ES"/>
        </w:rPr>
        <w:tab/>
        <w:t>A/HRC/28/61</w:t>
      </w:r>
      <w:r w:rsidRPr="002C78A9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4D6DD6" w:rsidRDefault="006730C4">
    <w:pPr>
      <w:pStyle w:val="a9"/>
      <w:rPr>
        <w:lang w:val="en-US"/>
      </w:rPr>
    </w:pPr>
    <w:r>
      <w:rPr>
        <w:lang w:val="en-US"/>
      </w:rPr>
      <w:t>A/HRC/</w:t>
    </w:r>
    <w:r w:rsidR="00EA6801" w:rsidRPr="00EA6801">
      <w:rPr>
        <w:lang w:val="en-US"/>
      </w:rPr>
      <w:t>RES/28/11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C4" w:rsidRPr="009A6F4A" w:rsidRDefault="006730C4">
    <w:pPr>
      <w:pStyle w:val="a9"/>
      <w:rPr>
        <w:lang w:val="en-US"/>
      </w:rPr>
    </w:pPr>
    <w:r>
      <w:rPr>
        <w:lang w:val="en-US"/>
      </w:rPr>
      <w:tab/>
    </w:r>
    <w:r w:rsidR="00EA6801">
      <w:rPr>
        <w:lang w:val="en-US"/>
      </w:rPr>
      <w:t>A/HRC/</w:t>
    </w:r>
    <w:r w:rsidR="00EA6801" w:rsidRPr="00EA6801">
      <w:rPr>
        <w:lang w:val="en-US"/>
      </w:rPr>
      <w:t>RES/28/11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1"/>
    <w:rsid w:val="000033D8"/>
    <w:rsid w:val="000054E3"/>
    <w:rsid w:val="00005C1C"/>
    <w:rsid w:val="00016553"/>
    <w:rsid w:val="00021C9A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301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02A6"/>
    <w:rsid w:val="003215F5"/>
    <w:rsid w:val="00332891"/>
    <w:rsid w:val="00356BB2"/>
    <w:rsid w:val="00360477"/>
    <w:rsid w:val="00367FC9"/>
    <w:rsid w:val="003711A1"/>
    <w:rsid w:val="00372123"/>
    <w:rsid w:val="00382B38"/>
    <w:rsid w:val="00386581"/>
    <w:rsid w:val="00387100"/>
    <w:rsid w:val="003951D3"/>
    <w:rsid w:val="003978C6"/>
    <w:rsid w:val="003A0687"/>
    <w:rsid w:val="003A3F16"/>
    <w:rsid w:val="003B40A9"/>
    <w:rsid w:val="003C016E"/>
    <w:rsid w:val="003D5EBD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634A4"/>
    <w:rsid w:val="00A678A4"/>
    <w:rsid w:val="00A800D1"/>
    <w:rsid w:val="00A820C3"/>
    <w:rsid w:val="00A92699"/>
    <w:rsid w:val="00AB5BF0"/>
    <w:rsid w:val="00AC1C95"/>
    <w:rsid w:val="00AC2CCB"/>
    <w:rsid w:val="00AC443A"/>
    <w:rsid w:val="00AD2177"/>
    <w:rsid w:val="00AE60E2"/>
    <w:rsid w:val="00B0169F"/>
    <w:rsid w:val="00B05F21"/>
    <w:rsid w:val="00B14EA9"/>
    <w:rsid w:val="00B30A3C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4288"/>
    <w:rsid w:val="00C75CB2"/>
    <w:rsid w:val="00C90723"/>
    <w:rsid w:val="00C90D5C"/>
    <w:rsid w:val="00CA609E"/>
    <w:rsid w:val="00CA7DA4"/>
    <w:rsid w:val="00CB31FB"/>
    <w:rsid w:val="00CC0833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717F3"/>
    <w:rsid w:val="00E72C5E"/>
    <w:rsid w:val="00E73451"/>
    <w:rsid w:val="00E7489F"/>
    <w:rsid w:val="00E75147"/>
    <w:rsid w:val="00E75421"/>
    <w:rsid w:val="00E8167D"/>
    <w:rsid w:val="00E907E9"/>
    <w:rsid w:val="00E96BE7"/>
    <w:rsid w:val="00EA2CD0"/>
    <w:rsid w:val="00EA6801"/>
    <w:rsid w:val="00EC0044"/>
    <w:rsid w:val="00EC3A35"/>
    <w:rsid w:val="00EC6B9F"/>
    <w:rsid w:val="00EE516D"/>
    <w:rsid w:val="00EF4D1B"/>
    <w:rsid w:val="00EF7295"/>
    <w:rsid w:val="00F0620C"/>
    <w:rsid w:val="00F069D1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basedOn w:val="a3"/>
    <w:link w:val="af"/>
    <w:rsid w:val="00C74288"/>
    <w:rPr>
      <w:spacing w:val="5"/>
      <w:w w:val="104"/>
      <w:kern w:val="14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qFormat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basedOn w:val="a3"/>
    <w:link w:val="af"/>
    <w:rsid w:val="00C74288"/>
    <w:rPr>
      <w:spacing w:val="5"/>
      <w:w w:val="104"/>
      <w:kern w:val="1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s.unov.org/vintars/ShowRecord.aspx?RecordID=dffc13e6-eacd-402d-b24c-e5aa76d294e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2</TotalTime>
  <Pages>4</Pages>
  <Words>1183</Words>
  <Characters>8553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Chouvalova Natalia</cp:lastModifiedBy>
  <cp:revision>3</cp:revision>
  <cp:lastPrinted>2015-04-10T06:41:00Z</cp:lastPrinted>
  <dcterms:created xsi:type="dcterms:W3CDTF">2015-04-10T06:41:00Z</dcterms:created>
  <dcterms:modified xsi:type="dcterms:W3CDTF">2015-04-10T06:42:00Z</dcterms:modified>
</cp:coreProperties>
</file>