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1982"/>
        <w:gridCol w:w="1861"/>
        <w:gridCol w:w="4522"/>
      </w:tblGrid>
      <w:tr w:rsidR="00AD0014" w:rsidRPr="00DB7679" w:rsidTr="00A11DDA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AD0014" w:rsidRPr="00983870" w:rsidRDefault="00AD0014" w:rsidP="00BC55C8">
            <w:pPr>
              <w:rPr>
                <w:rFonts w:hint="c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383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380E84" w:rsidP="00380E84">
            <w:pPr>
              <w:bidi w:val="0"/>
              <w:spacing w:after="20"/>
              <w:jc w:val="left"/>
              <w:rPr>
                <w:szCs w:val="20"/>
              </w:rPr>
            </w:pPr>
            <w:r w:rsidRPr="00380E84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/HRC/RES/27/3</w:t>
            </w:r>
          </w:p>
        </w:tc>
      </w:tr>
      <w:tr w:rsidR="00257225" w:rsidRPr="00DB7679" w:rsidTr="007B599E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257225" w:rsidP="00BC55C8">
            <w:pPr>
              <w:spacing w:before="120" w:line="640" w:lineRule="exact"/>
              <w:rPr>
                <w:rFonts w:hint="cs"/>
                <w:b/>
                <w:bCs/>
                <w:szCs w:val="60"/>
              </w:rPr>
            </w:pPr>
            <w:r w:rsidRPr="00DB7679">
              <w:rPr>
                <w:rFonts w:hint="cs"/>
                <w:b/>
                <w:bCs/>
                <w:szCs w:val="60"/>
                <w:rtl/>
              </w:rPr>
              <w:t>الجمعية العامة</w:t>
            </w:r>
          </w:p>
        </w:tc>
        <w:tc>
          <w:tcPr>
            <w:tcW w:w="4522" w:type="dxa"/>
            <w:tcBorders>
              <w:top w:val="single" w:sz="4" w:space="0" w:color="auto"/>
              <w:bottom w:val="single" w:sz="12" w:space="0" w:color="auto"/>
            </w:tcBorders>
          </w:tcPr>
          <w:p w:rsidR="00380E84" w:rsidRDefault="00380E84" w:rsidP="00380E84">
            <w:pPr>
              <w:bidi w:val="0"/>
              <w:spacing w:before="240"/>
              <w:jc w:val="left"/>
            </w:pPr>
            <w:r>
              <w:t>Distr.: General</w:t>
            </w:r>
          </w:p>
          <w:p w:rsidR="00380E84" w:rsidRDefault="006F150A" w:rsidP="006F150A">
            <w:pPr>
              <w:bidi w:val="0"/>
              <w:jc w:val="left"/>
            </w:pPr>
            <w:r>
              <w:t xml:space="preserve">3 October </w:t>
            </w:r>
            <w:r w:rsidR="00380E84">
              <w:t>2014</w:t>
            </w:r>
          </w:p>
          <w:p w:rsidR="00380E84" w:rsidRDefault="00380E84" w:rsidP="00380E84">
            <w:pPr>
              <w:bidi w:val="0"/>
              <w:jc w:val="left"/>
            </w:pPr>
            <w:r>
              <w:t>Arabic</w:t>
            </w:r>
          </w:p>
          <w:p w:rsidR="00257225" w:rsidRPr="008B4BC6" w:rsidRDefault="00380E84" w:rsidP="00380E84">
            <w:pPr>
              <w:bidi w:val="0"/>
              <w:jc w:val="left"/>
            </w:pPr>
            <w:r>
              <w:t>Original: English</w:t>
            </w:r>
          </w:p>
        </w:tc>
      </w:tr>
    </w:tbl>
    <w:p w:rsidR="00380E84" w:rsidRPr="0090157A" w:rsidRDefault="00380E84" w:rsidP="00380E84">
      <w:pPr>
        <w:spacing w:before="120" w:line="380" w:lineRule="exact"/>
        <w:rPr>
          <w:b/>
          <w:bCs/>
          <w:sz w:val="26"/>
          <w:szCs w:val="36"/>
          <w:rtl/>
        </w:rPr>
      </w:pPr>
      <w:r w:rsidRPr="0090157A">
        <w:rPr>
          <w:b/>
          <w:bCs/>
          <w:sz w:val="26"/>
          <w:szCs w:val="36"/>
          <w:rtl/>
        </w:rPr>
        <w:t>مجلس حقوق الإنسان</w:t>
      </w:r>
    </w:p>
    <w:p w:rsidR="00380E84" w:rsidRPr="0090157A" w:rsidRDefault="00380E84" w:rsidP="00380E84">
      <w:pPr>
        <w:spacing w:line="380" w:lineRule="exact"/>
        <w:rPr>
          <w:rFonts w:hint="cs"/>
          <w:b/>
          <w:bCs/>
          <w:rtl/>
        </w:rPr>
      </w:pPr>
      <w:r w:rsidRPr="0090157A">
        <w:rPr>
          <w:b/>
          <w:bCs/>
          <w:rtl/>
        </w:rPr>
        <w:t>الدورة السابعة والعشرون</w:t>
      </w:r>
    </w:p>
    <w:p w:rsidR="00380E84" w:rsidRPr="0090157A" w:rsidRDefault="00380E84" w:rsidP="00380E84">
      <w:pPr>
        <w:spacing w:line="380" w:lineRule="exact"/>
        <w:rPr>
          <w:rtl/>
        </w:rPr>
      </w:pPr>
      <w:r w:rsidRPr="0090157A">
        <w:rPr>
          <w:rtl/>
        </w:rPr>
        <w:t>البند 3 من جدول الأعمال</w:t>
      </w:r>
    </w:p>
    <w:p w:rsidR="00380E84" w:rsidRPr="0090157A" w:rsidRDefault="00380E84" w:rsidP="009C1E51">
      <w:pPr>
        <w:spacing w:after="240" w:line="380" w:lineRule="exact"/>
        <w:ind w:right="4400"/>
        <w:rPr>
          <w:b/>
          <w:bCs/>
          <w:rtl/>
        </w:rPr>
      </w:pPr>
      <w:r w:rsidRPr="0090157A">
        <w:rPr>
          <w:b/>
          <w:bCs/>
          <w:rtl/>
        </w:rPr>
        <w:t>تعزيز وحماية جميع حقوق الإنسان، المدنية والسياسية والاقتصادية</w:t>
      </w:r>
      <w:r w:rsidRPr="0090157A">
        <w:rPr>
          <w:rFonts w:hint="cs"/>
          <w:b/>
          <w:bCs/>
          <w:rtl/>
        </w:rPr>
        <w:t xml:space="preserve"> </w:t>
      </w:r>
      <w:r w:rsidRPr="0090157A">
        <w:rPr>
          <w:b/>
          <w:bCs/>
          <w:rtl/>
        </w:rPr>
        <w:t>والاجتماعية والثقافية، بما في ذلك الحق في التنمية</w:t>
      </w:r>
    </w:p>
    <w:p w:rsidR="00380E84" w:rsidRPr="0090157A" w:rsidRDefault="00380E84" w:rsidP="009C1E51">
      <w:pPr>
        <w:pStyle w:val="HCh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6F150A">
        <w:rPr>
          <w:rFonts w:hint="cs"/>
          <w:rtl/>
        </w:rPr>
        <w:t>قرار اعتمده مجلس حقوق الإ</w:t>
      </w:r>
      <w:r w:rsidR="009C1E51">
        <w:rPr>
          <w:rFonts w:hint="cs"/>
          <w:rtl/>
        </w:rPr>
        <w:t>نسان</w:t>
      </w:r>
    </w:p>
    <w:p w:rsidR="00380E84" w:rsidRPr="006F150A" w:rsidRDefault="00380E84" w:rsidP="009C1E51">
      <w:pPr>
        <w:pStyle w:val="HChGA"/>
        <w:rPr>
          <w:spacing w:val="-4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27/</w:t>
      </w:r>
      <w:r w:rsidR="009C1E51">
        <w:rPr>
          <w:rFonts w:hint="cs"/>
          <w:rtl/>
        </w:rPr>
        <w:t>3</w:t>
      </w:r>
      <w:r>
        <w:rPr>
          <w:rFonts w:hint="cs"/>
          <w:rtl/>
        </w:rPr>
        <w:br/>
      </w:r>
      <w:r w:rsidRPr="006F150A">
        <w:rPr>
          <w:spacing w:val="-4"/>
          <w:rtl/>
        </w:rPr>
        <w:t>الم</w:t>
      </w:r>
      <w:r w:rsidR="009C1E51" w:rsidRPr="006F150A">
        <w:rPr>
          <w:spacing w:val="-4"/>
          <w:rtl/>
        </w:rPr>
        <w:t>قرر الخاص المعني بتعزيز الحقيقة والعدالة</w:t>
      </w:r>
      <w:r w:rsidRPr="006F150A">
        <w:rPr>
          <w:spacing w:val="-4"/>
          <w:rtl/>
        </w:rPr>
        <w:t xml:space="preserve"> والجبر وضمانات عدم التكرار</w:t>
      </w:r>
    </w:p>
    <w:p w:rsidR="00380E84" w:rsidRPr="00715AA6" w:rsidRDefault="00380E84" w:rsidP="00380E84">
      <w:pPr>
        <w:pStyle w:val="SingleTxtGA"/>
        <w:rPr>
          <w:i/>
          <w:iCs/>
          <w:rtl/>
        </w:rPr>
      </w:pPr>
      <w:r w:rsidRPr="00715AA6">
        <w:rPr>
          <w:i/>
          <w:iCs/>
        </w:rPr>
        <w:tab/>
      </w:r>
      <w:r w:rsidRPr="00715AA6">
        <w:rPr>
          <w:i/>
          <w:iCs/>
          <w:rtl/>
        </w:rPr>
        <w:t>إن مجلس حقوق الإنسان،</w:t>
      </w:r>
    </w:p>
    <w:p w:rsidR="00380E84" w:rsidRPr="0090157A" w:rsidRDefault="00380E84" w:rsidP="00380E84">
      <w:pPr>
        <w:pStyle w:val="SingleTxtGA"/>
        <w:rPr>
          <w:rtl/>
        </w:rPr>
      </w:pPr>
      <w:r>
        <w:rPr>
          <w:rFonts w:hint="cs"/>
          <w:rtl/>
        </w:rPr>
        <w:tab/>
      </w:r>
      <w:r w:rsidRPr="00715AA6">
        <w:rPr>
          <w:i/>
          <w:iCs/>
          <w:rtl/>
        </w:rPr>
        <w:t>إذ يسترشد</w:t>
      </w:r>
      <w:r w:rsidRPr="0090157A">
        <w:rPr>
          <w:rtl/>
        </w:rPr>
        <w:t xml:space="preserve"> بمقاصد ميثاق الأمم المتحدة ومبادئه،</w:t>
      </w:r>
    </w:p>
    <w:p w:rsidR="00380E84" w:rsidRPr="006F150A" w:rsidRDefault="00380E84" w:rsidP="006F150A">
      <w:pPr>
        <w:pStyle w:val="SingleTxtGA"/>
        <w:rPr>
          <w:rFonts w:hint="cs"/>
          <w:rtl/>
        </w:rPr>
      </w:pPr>
      <w:r w:rsidRPr="00F97126">
        <w:rPr>
          <w:rFonts w:hint="cs"/>
          <w:rtl/>
        </w:rPr>
        <w:tab/>
      </w:r>
      <w:r w:rsidRPr="00F97126">
        <w:rPr>
          <w:i/>
          <w:iCs/>
          <w:rtl/>
        </w:rPr>
        <w:t>وإذ يؤكد من جديد</w:t>
      </w:r>
      <w:r w:rsidRPr="00F97126">
        <w:rPr>
          <w:rtl/>
        </w:rPr>
        <w:t xml:space="preserve"> الإعلان العالمي لحقوق الإنسان، والعهد الدولي الخاص بالحقوق الاقتصادية والاجتماعية والثقافية‏، والعهد الدولي الخاص بالحقوق المدنية والسياسية،</w:t>
      </w:r>
      <w:r>
        <w:rPr>
          <w:rFonts w:hint="cs"/>
          <w:rtl/>
        </w:rPr>
        <w:t> </w:t>
      </w:r>
      <w:r w:rsidRPr="00F97126">
        <w:rPr>
          <w:rtl/>
        </w:rPr>
        <w:t>واتفاقيات جنيف المؤرخة 12 آب/أغسطس 1949، وبروتوكوليها الإضافيين المؤرخين 8 حزيران/</w:t>
      </w:r>
      <w:r w:rsidRPr="00F97126">
        <w:rPr>
          <w:rFonts w:hint="cs"/>
          <w:rtl/>
        </w:rPr>
        <w:t xml:space="preserve"> </w:t>
      </w:r>
      <w:r w:rsidRPr="00F97126">
        <w:rPr>
          <w:rtl/>
        </w:rPr>
        <w:t>يونيه</w:t>
      </w:r>
      <w:r w:rsidRPr="00F97126">
        <w:rPr>
          <w:rFonts w:hint="cs"/>
          <w:rtl/>
        </w:rPr>
        <w:t> </w:t>
      </w:r>
      <w:r w:rsidRPr="00F97126">
        <w:rPr>
          <w:rtl/>
        </w:rPr>
        <w:t>1977، وغير ذلك من صكوك القانون</w:t>
      </w:r>
      <w:r w:rsidR="009C1E51">
        <w:rPr>
          <w:rtl/>
        </w:rPr>
        <w:t xml:space="preserve"> الدولي لحقوق الإنسان والقانون </w:t>
      </w:r>
      <w:r w:rsidR="009C1E51">
        <w:rPr>
          <w:rFonts w:hint="cs"/>
          <w:rtl/>
        </w:rPr>
        <w:t xml:space="preserve">الدولي </w:t>
      </w:r>
      <w:r w:rsidR="006F150A">
        <w:rPr>
          <w:rFonts w:hint="cs"/>
          <w:rtl/>
        </w:rPr>
        <w:t>ا</w:t>
      </w:r>
      <w:r w:rsidRPr="00F97126">
        <w:rPr>
          <w:rtl/>
        </w:rPr>
        <w:t>لإنساني ذات ال</w:t>
      </w:r>
      <w:r>
        <w:rPr>
          <w:rtl/>
        </w:rPr>
        <w:t>صلة، وإعلان وبرنامج عمل فيينا،</w:t>
      </w:r>
      <w:r w:rsidR="006F150A">
        <w:rPr>
          <w:rtl/>
        </w:rPr>
        <w:t xml:space="preserve"> </w:t>
      </w:r>
    </w:p>
    <w:p w:rsidR="00380E84" w:rsidRPr="0090157A" w:rsidRDefault="00380E84" w:rsidP="00380E84">
      <w:pPr>
        <w:pStyle w:val="SingleTxtGA"/>
        <w:rPr>
          <w:rFonts w:hint="cs"/>
          <w:rtl/>
        </w:rPr>
      </w:pPr>
      <w:r w:rsidRPr="0090157A">
        <w:tab/>
      </w:r>
      <w:r w:rsidRPr="00715AA6">
        <w:rPr>
          <w:i/>
          <w:iCs/>
          <w:rtl/>
        </w:rPr>
        <w:t>وإذ يشير</w:t>
      </w:r>
      <w:r w:rsidRPr="0090157A">
        <w:rPr>
          <w:rtl/>
        </w:rPr>
        <w:t xml:space="preserve"> إلى مجموعة المبادئ المتعلقة بحماية حقوق الإنسان وتعزيزها من خلال مكافحة الإفلات من </w:t>
      </w:r>
      <w:r w:rsidRPr="00A47412">
        <w:rPr>
          <w:rtl/>
        </w:rPr>
        <w:t>العقاب</w:t>
      </w:r>
      <w:r>
        <w:rPr>
          <w:vertAlign w:val="superscript"/>
          <w:rtl/>
        </w:rPr>
        <w:t>(</w:t>
      </w:r>
      <w:r>
        <w:rPr>
          <w:rStyle w:val="FootnoteReference"/>
          <w:rtl/>
        </w:rPr>
        <w:footnoteReference w:id="1"/>
      </w:r>
      <w:r>
        <w:rPr>
          <w:vertAlign w:val="superscript"/>
          <w:rtl/>
        </w:rPr>
        <w:t>)</w:t>
      </w:r>
      <w:r>
        <w:rPr>
          <w:rFonts w:hint="cs"/>
          <w:rtl/>
        </w:rPr>
        <w:t xml:space="preserve"> </w:t>
      </w:r>
      <w:r w:rsidRPr="0090157A">
        <w:rPr>
          <w:rtl/>
        </w:rPr>
        <w:t xml:space="preserve">وإلى النسخة </w:t>
      </w:r>
      <w:r>
        <w:rPr>
          <w:rFonts w:hint="cs"/>
          <w:rtl/>
        </w:rPr>
        <w:t xml:space="preserve">المحدّثة </w:t>
      </w:r>
      <w:r w:rsidRPr="0090157A">
        <w:rPr>
          <w:rtl/>
        </w:rPr>
        <w:t>لتلك المبادئ</w:t>
      </w:r>
      <w:r w:rsidRPr="00A47412">
        <w:rPr>
          <w:vertAlign w:val="superscript"/>
          <w:rtl/>
        </w:rPr>
        <w:t>(</w:t>
      </w:r>
      <w:r w:rsidRPr="00A47412">
        <w:rPr>
          <w:vertAlign w:val="superscript"/>
          <w:rtl/>
        </w:rPr>
        <w:footnoteReference w:id="2"/>
      </w:r>
      <w:r w:rsidRPr="00A47412">
        <w:rPr>
          <w:vertAlign w:val="superscript"/>
          <w:rtl/>
        </w:rPr>
        <w:t>)</w:t>
      </w:r>
      <w:r>
        <w:rPr>
          <w:rFonts w:hint="cs"/>
          <w:rtl/>
        </w:rPr>
        <w:t>،</w:t>
      </w:r>
    </w:p>
    <w:p w:rsidR="00380E84" w:rsidRPr="0090157A" w:rsidRDefault="00380E84" w:rsidP="009C1E51">
      <w:pPr>
        <w:pStyle w:val="SingleTxtGA"/>
        <w:rPr>
          <w:rtl/>
        </w:rPr>
      </w:pPr>
      <w:r>
        <w:rPr>
          <w:rtl/>
        </w:rPr>
        <w:tab/>
      </w:r>
      <w:r w:rsidRPr="00715AA6">
        <w:rPr>
          <w:i/>
          <w:iCs/>
          <w:rtl/>
        </w:rPr>
        <w:t>وإذ يشير أيضاً</w:t>
      </w:r>
      <w:r w:rsidRPr="0090157A">
        <w:rPr>
          <w:rtl/>
        </w:rPr>
        <w:t xml:space="preserve"> إلى قرار الجمعية العامة 60/147 المؤرخ 16 كانون الأول/</w:t>
      </w:r>
      <w:r>
        <w:rPr>
          <w:rFonts w:hint="cs"/>
          <w:rtl/>
        </w:rPr>
        <w:t xml:space="preserve"> </w:t>
      </w:r>
      <w:r w:rsidRPr="0090157A">
        <w:rPr>
          <w:rtl/>
        </w:rPr>
        <w:t>ديسمبر</w:t>
      </w:r>
      <w:r>
        <w:rPr>
          <w:rFonts w:hint="cs"/>
          <w:rtl/>
        </w:rPr>
        <w:t> </w:t>
      </w:r>
      <w:r w:rsidRPr="0090157A">
        <w:rPr>
          <w:rtl/>
        </w:rPr>
        <w:t>2005 ا</w:t>
      </w:r>
      <w:r w:rsidR="009C1E51">
        <w:rPr>
          <w:rFonts w:hint="cs"/>
          <w:rtl/>
        </w:rPr>
        <w:t>لذي اعتمدت الجمعية بموجبه المبا</w:t>
      </w:r>
      <w:r w:rsidRPr="0090157A">
        <w:rPr>
          <w:rtl/>
        </w:rPr>
        <w:t xml:space="preserve">دئ الأساسية والخطوط التوجيهية بشأن حق ضحايا الانتهاكات الجسيمة للقانون الدولي لحقوق الإنسان والانتهاكات الخطيرة للقانون </w:t>
      </w:r>
      <w:r w:rsidR="009C1E51">
        <w:rPr>
          <w:rFonts w:hint="cs"/>
          <w:rtl/>
        </w:rPr>
        <w:t>الدولي الإنساني</w:t>
      </w:r>
      <w:r w:rsidRPr="0090157A">
        <w:rPr>
          <w:rtl/>
        </w:rPr>
        <w:t xml:space="preserve"> في الانتصاف والجبر،</w:t>
      </w:r>
    </w:p>
    <w:p w:rsidR="00380E84" w:rsidRDefault="00380E84" w:rsidP="009C1E51">
      <w:pPr>
        <w:pStyle w:val="SingleTxtGA"/>
        <w:rPr>
          <w:rFonts w:hint="cs"/>
          <w:rtl/>
        </w:rPr>
      </w:pPr>
      <w:r>
        <w:rPr>
          <w:rFonts w:hint="cs"/>
          <w:rtl/>
        </w:rPr>
        <w:tab/>
      </w:r>
      <w:r w:rsidRPr="00715AA6">
        <w:rPr>
          <w:i/>
          <w:iCs/>
          <w:rtl/>
        </w:rPr>
        <w:t>وإذ يشير</w:t>
      </w:r>
      <w:r>
        <w:rPr>
          <w:rFonts w:hint="cs"/>
          <w:rtl/>
        </w:rPr>
        <w:t xml:space="preserve"> </w:t>
      </w:r>
      <w:r w:rsidRPr="005117E2">
        <w:rPr>
          <w:rFonts w:hint="cs"/>
          <w:i/>
          <w:iCs/>
          <w:rtl/>
        </w:rPr>
        <w:t>كذلك</w:t>
      </w:r>
      <w:r>
        <w:rPr>
          <w:rFonts w:hint="cs"/>
          <w:rtl/>
        </w:rPr>
        <w:t xml:space="preserve"> </w:t>
      </w:r>
      <w:r w:rsidRPr="0090157A">
        <w:rPr>
          <w:rtl/>
        </w:rPr>
        <w:t>إلى قرارات لجنة حقوق الإنسان 2005/70 المؤرخ 20 نيسان/</w:t>
      </w:r>
      <w:r>
        <w:rPr>
          <w:rFonts w:hint="cs"/>
          <w:rtl/>
        </w:rPr>
        <w:t xml:space="preserve"> </w:t>
      </w:r>
      <w:r w:rsidRPr="0090157A">
        <w:rPr>
          <w:rtl/>
        </w:rPr>
        <w:t>أبريل 2005 بشأن حقوق الإنسان والعدالة الانتقالية، و2005/81 المؤرخ 21 نيسان/</w:t>
      </w:r>
      <w:r>
        <w:rPr>
          <w:rFonts w:hint="cs"/>
          <w:rtl/>
        </w:rPr>
        <w:t xml:space="preserve"> </w:t>
      </w:r>
      <w:r w:rsidRPr="0090157A">
        <w:rPr>
          <w:rtl/>
        </w:rPr>
        <w:t>أبريل 2005 بشأن الإفلات من العقاب، و2005/66 المؤرخ 20 نيسان/أبريل 2005 بشأن الحق في معرفة الحقيقة، و</w:t>
      </w:r>
      <w:r>
        <w:rPr>
          <w:rFonts w:hint="cs"/>
          <w:rtl/>
        </w:rPr>
        <w:t xml:space="preserve">إلى </w:t>
      </w:r>
      <w:r w:rsidRPr="0090157A">
        <w:rPr>
          <w:rtl/>
        </w:rPr>
        <w:t>قرارات مجلس حقوق الإنسان 9/10 المؤرخ 24 أيلول/</w:t>
      </w:r>
      <w:r>
        <w:rPr>
          <w:rFonts w:hint="cs"/>
          <w:rtl/>
        </w:rPr>
        <w:t xml:space="preserve"> </w:t>
      </w:r>
      <w:r w:rsidRPr="0090157A">
        <w:rPr>
          <w:rtl/>
        </w:rPr>
        <w:t>سبتمبر 2008، و12/11 المؤرخ 1 تشرين الأول/أكتوبر 2009، و21/15 المؤرخ 27 أيلول/سبتمبر 2012 بشأن حقوق الإنسان والعدالة الانتقالية، و9/11 المؤرخ 18 أيلول/</w:t>
      </w:r>
      <w:r>
        <w:rPr>
          <w:rFonts w:hint="cs"/>
          <w:rtl/>
        </w:rPr>
        <w:t xml:space="preserve"> </w:t>
      </w:r>
      <w:r w:rsidRPr="0090157A">
        <w:rPr>
          <w:rtl/>
        </w:rPr>
        <w:t>سبتمبر 2008، و12/12 المؤرخ 1 تشرين الأول/أكتوبر 2009، و21/7 المؤرخ 27 أيلول/سبتمبر 2012، بشأن الحق في معرفة الحقيقة، و10/26 المؤرخ 27 آذار/</w:t>
      </w:r>
      <w:r>
        <w:rPr>
          <w:rFonts w:hint="cs"/>
          <w:rtl/>
        </w:rPr>
        <w:t xml:space="preserve"> </w:t>
      </w:r>
      <w:r w:rsidRPr="0090157A">
        <w:rPr>
          <w:rtl/>
        </w:rPr>
        <w:t>مارس</w:t>
      </w:r>
      <w:r>
        <w:rPr>
          <w:rFonts w:hint="cs"/>
          <w:rtl/>
        </w:rPr>
        <w:t> </w:t>
      </w:r>
      <w:r w:rsidRPr="0090157A">
        <w:rPr>
          <w:rtl/>
        </w:rPr>
        <w:t>2009، و15/5 المؤرخ 29 أيلول/سبتمبر 2010، بشأن علم الطب الشرعي الوراثي وحقوق الإنسان</w:t>
      </w:r>
      <w:r w:rsidR="009C1E51">
        <w:rPr>
          <w:rFonts w:hint="cs"/>
          <w:rtl/>
        </w:rPr>
        <w:t>،</w:t>
      </w:r>
      <w:r w:rsidRPr="0090157A">
        <w:rPr>
          <w:rtl/>
        </w:rPr>
        <w:t xml:space="preserve"> ومقرر</w:t>
      </w:r>
      <w:r>
        <w:rPr>
          <w:rFonts w:hint="cs"/>
          <w:rtl/>
        </w:rPr>
        <w:t>ي</w:t>
      </w:r>
      <w:r w:rsidRPr="0090157A">
        <w:rPr>
          <w:rtl/>
        </w:rPr>
        <w:t xml:space="preserve"> </w:t>
      </w:r>
      <w:r>
        <w:rPr>
          <w:rFonts w:hint="cs"/>
          <w:rtl/>
        </w:rPr>
        <w:t>ال</w:t>
      </w:r>
      <w:r w:rsidRPr="0090157A">
        <w:rPr>
          <w:rtl/>
        </w:rPr>
        <w:t>مجلس 2/105 المؤرخ 27 تشرين الثاني/نوفمبر 2006، بشأن الحق في معرفة الحقيقة، و4/102 المؤرخ 23 آذار/ما</w:t>
      </w:r>
      <w:r w:rsidR="009C1E51">
        <w:rPr>
          <w:rtl/>
        </w:rPr>
        <w:t>رس 2007 بشأن العدالة الانتقالية</w:t>
      </w:r>
      <w:r w:rsidR="009C1E51">
        <w:rPr>
          <w:rFonts w:hint="cs"/>
          <w:rtl/>
        </w:rPr>
        <w:t xml:space="preserve">، وقرار </w:t>
      </w:r>
      <w:r w:rsidRPr="0090157A">
        <w:rPr>
          <w:rtl/>
        </w:rPr>
        <w:t>الجمعية العامة 68/165 المؤرخ 18 كانون الأول/ديسمبر 2013</w:t>
      </w:r>
      <w:r>
        <w:rPr>
          <w:rtl/>
        </w:rPr>
        <w:t xml:space="preserve"> بشأن الحق في معرفة الحقيقة،</w:t>
      </w:r>
    </w:p>
    <w:p w:rsidR="009C1E51" w:rsidRPr="0090157A" w:rsidRDefault="009C1E51" w:rsidP="009C1E51">
      <w:pPr>
        <w:pStyle w:val="SingleTxtGA"/>
        <w:rPr>
          <w:rFonts w:hint="cs"/>
          <w:rtl/>
        </w:rPr>
      </w:pPr>
      <w:r>
        <w:rPr>
          <w:rFonts w:hint="cs"/>
          <w:rtl/>
        </w:rPr>
        <w:tab/>
      </w:r>
      <w:r w:rsidRPr="009C1E51">
        <w:rPr>
          <w:rFonts w:hint="cs"/>
          <w:i/>
          <w:iCs/>
          <w:rtl/>
        </w:rPr>
        <w:t>وإذ يؤكد من جديد</w:t>
      </w:r>
      <w:r>
        <w:rPr>
          <w:rFonts w:hint="cs"/>
          <w:rtl/>
        </w:rPr>
        <w:t xml:space="preserve"> قرار مجلس حقوق الإنسان 18/7 المؤرخ 29 </w:t>
      </w:r>
      <w:r w:rsidRPr="009C1E51">
        <w:rPr>
          <w:rFonts w:hint="cs"/>
          <w:sz w:val="30"/>
          <w:rtl/>
        </w:rPr>
        <w:t>أيلول/</w:t>
      </w:r>
      <w:r>
        <w:rPr>
          <w:rFonts w:hint="cs"/>
          <w:sz w:val="30"/>
          <w:rtl/>
        </w:rPr>
        <w:t xml:space="preserve">    </w:t>
      </w:r>
      <w:r w:rsidRPr="009C1E51">
        <w:rPr>
          <w:rFonts w:hint="cs"/>
          <w:sz w:val="30"/>
          <w:rtl/>
        </w:rPr>
        <w:t xml:space="preserve">سبتمبر </w:t>
      </w:r>
      <w:r>
        <w:rPr>
          <w:rFonts w:hint="cs"/>
          <w:rtl/>
        </w:rPr>
        <w:t xml:space="preserve">2011 الذي قرر المجلس بموجبه إنشاء ولاية المقرر الخاص المعني بتعزيز الحقيقة والعدالة والجبر، وضمانات عدم التكرار، </w:t>
      </w:r>
    </w:p>
    <w:p w:rsidR="00380E84" w:rsidRPr="0090157A" w:rsidRDefault="00380E84" w:rsidP="009C1E51">
      <w:pPr>
        <w:pStyle w:val="SingleTxtGA"/>
        <w:rPr>
          <w:rtl/>
        </w:rPr>
      </w:pPr>
      <w:r>
        <w:rPr>
          <w:rFonts w:hint="cs"/>
          <w:rtl/>
        </w:rPr>
        <w:tab/>
      </w:r>
      <w:r w:rsidRPr="00715AA6">
        <w:rPr>
          <w:i/>
          <w:iCs/>
          <w:rtl/>
        </w:rPr>
        <w:t>وإذ يشير</w:t>
      </w:r>
      <w:r w:rsidRPr="0090157A">
        <w:rPr>
          <w:rtl/>
        </w:rPr>
        <w:t xml:space="preserve"> إلى الاتفاقية الدولية لحماية جميع الأشخاص من الاختفاء القسري، التي اعتمدتها الجمعية العامة في قرارها 61/177 المؤرخ 20 كانون الأول/ديسمبر 2006، والتي تنص الفقرة 2 من </w:t>
      </w:r>
      <w:r>
        <w:rPr>
          <w:rFonts w:hint="cs"/>
          <w:rtl/>
        </w:rPr>
        <w:t xml:space="preserve">المادة </w:t>
      </w:r>
      <w:r w:rsidRPr="0090157A">
        <w:rPr>
          <w:rtl/>
        </w:rPr>
        <w:t xml:space="preserve">24 </w:t>
      </w:r>
      <w:r>
        <w:rPr>
          <w:rFonts w:hint="cs"/>
          <w:rtl/>
        </w:rPr>
        <w:t xml:space="preserve">منها </w:t>
      </w:r>
      <w:r w:rsidRPr="0090157A">
        <w:rPr>
          <w:rtl/>
        </w:rPr>
        <w:t xml:space="preserve">على حق الضحايا في معرفة الحقيقة المتعلقة بظروف الاختفاء القسري، وسير التحقيق ونتائجه ومصير الشخص المختفي، </w:t>
      </w:r>
      <w:r>
        <w:rPr>
          <w:rFonts w:hint="cs"/>
          <w:rtl/>
        </w:rPr>
        <w:t xml:space="preserve">وتبيّن </w:t>
      </w:r>
      <w:r w:rsidRPr="0090157A">
        <w:rPr>
          <w:rtl/>
        </w:rPr>
        <w:t>التزامات الدول الأطراف باتخاذ التدابير المناسبة في هذا الصد</w:t>
      </w:r>
      <w:r w:rsidR="009C1E51">
        <w:rPr>
          <w:rtl/>
        </w:rPr>
        <w:t xml:space="preserve">د، والتي تؤكد ديباجتها من جديد </w:t>
      </w:r>
      <w:r w:rsidRPr="0090157A">
        <w:rPr>
          <w:rtl/>
        </w:rPr>
        <w:t xml:space="preserve">الحق في حرية </w:t>
      </w:r>
      <w:r>
        <w:rPr>
          <w:rFonts w:hint="cs"/>
          <w:rtl/>
        </w:rPr>
        <w:t xml:space="preserve">التماس </w:t>
      </w:r>
      <w:r w:rsidRPr="0090157A">
        <w:rPr>
          <w:rtl/>
        </w:rPr>
        <w:t>المعلومات وتلقيها ونشرها لذلك الغرض،</w:t>
      </w:r>
    </w:p>
    <w:p w:rsidR="00380E84" w:rsidRPr="0090157A" w:rsidRDefault="00380E84" w:rsidP="009C1E51">
      <w:pPr>
        <w:pStyle w:val="SingleTxtGA"/>
        <w:rPr>
          <w:rtl/>
        </w:rPr>
      </w:pPr>
      <w:r w:rsidRPr="0090157A">
        <w:rPr>
          <w:rtl/>
        </w:rPr>
        <w:tab/>
      </w:r>
      <w:r w:rsidRPr="00715AA6">
        <w:rPr>
          <w:i/>
          <w:iCs/>
          <w:rtl/>
        </w:rPr>
        <w:t>وإذ يشير أيضاً</w:t>
      </w:r>
      <w:r w:rsidRPr="0090157A">
        <w:rPr>
          <w:rtl/>
        </w:rPr>
        <w:t xml:space="preserve"> إلى تقرير الأمين العام عن سيادة القانون والعدالة الانتقالية في المجتمعات التي تشهد نـزاعات و</w:t>
      </w:r>
      <w:r w:rsidR="009C1E51">
        <w:rPr>
          <w:rFonts w:hint="cs"/>
          <w:rtl/>
        </w:rPr>
        <w:t xml:space="preserve">تلك </w:t>
      </w:r>
      <w:r w:rsidRPr="0090157A">
        <w:rPr>
          <w:rtl/>
        </w:rPr>
        <w:t>التي تمر بمرحلة ما بعد النـزاع</w:t>
      </w:r>
      <w:r w:rsidRPr="00A47412">
        <w:rPr>
          <w:vertAlign w:val="superscript"/>
          <w:rtl/>
        </w:rPr>
        <w:t>(</w:t>
      </w:r>
      <w:r w:rsidRPr="00A47412">
        <w:rPr>
          <w:vertAlign w:val="superscript"/>
          <w:rtl/>
        </w:rPr>
        <w:footnoteReference w:id="3"/>
      </w:r>
      <w:r w:rsidRPr="00A47412">
        <w:rPr>
          <w:vertAlign w:val="superscript"/>
          <w:rtl/>
        </w:rPr>
        <w:t>)</w:t>
      </w:r>
      <w:r w:rsidRPr="0090157A">
        <w:rPr>
          <w:rtl/>
        </w:rPr>
        <w:t>، و تقرير المتابعة الذي قدمه عام 2011 بشأن الموضوع</w:t>
      </w:r>
      <w:r>
        <w:rPr>
          <w:rFonts w:hint="cs"/>
          <w:rtl/>
        </w:rPr>
        <w:t xml:space="preserve"> نفسه</w:t>
      </w:r>
      <w:r w:rsidRPr="00A47412">
        <w:rPr>
          <w:vertAlign w:val="superscript"/>
          <w:rtl/>
        </w:rPr>
        <w:t>(</w:t>
      </w:r>
      <w:r w:rsidRPr="00A47412">
        <w:rPr>
          <w:vertAlign w:val="superscript"/>
          <w:rtl/>
        </w:rPr>
        <w:footnoteReference w:id="4"/>
      </w:r>
      <w:r w:rsidRPr="00A47412">
        <w:rPr>
          <w:vertAlign w:val="superscript"/>
          <w:rtl/>
        </w:rPr>
        <w:t>)</w:t>
      </w:r>
      <w:r>
        <w:rPr>
          <w:rtl/>
        </w:rPr>
        <w:t xml:space="preserve">، </w:t>
      </w:r>
      <w:r w:rsidRPr="0090157A">
        <w:rPr>
          <w:rtl/>
        </w:rPr>
        <w:t xml:space="preserve">بما في ذلك التوصيات ذات الصلة الواردة فيه، وكذلك إلى تقاريره الصادرة في </w:t>
      </w:r>
      <w:r>
        <w:rPr>
          <w:rFonts w:hint="cs"/>
          <w:rtl/>
        </w:rPr>
        <w:t xml:space="preserve">الأعوام </w:t>
      </w:r>
      <w:r w:rsidRPr="0090157A">
        <w:rPr>
          <w:rtl/>
        </w:rPr>
        <w:t>2006</w:t>
      </w:r>
      <w:r w:rsidRPr="00A47412">
        <w:rPr>
          <w:vertAlign w:val="superscript"/>
          <w:rtl/>
        </w:rPr>
        <w:t>(</w:t>
      </w:r>
      <w:r w:rsidRPr="00A47412">
        <w:rPr>
          <w:vertAlign w:val="superscript"/>
          <w:rtl/>
        </w:rPr>
        <w:footnoteReference w:id="5"/>
      </w:r>
      <w:r w:rsidRPr="00A47412">
        <w:rPr>
          <w:vertAlign w:val="superscript"/>
          <w:rtl/>
        </w:rPr>
        <w:t>)</w:t>
      </w:r>
      <w:r w:rsidRPr="0090157A">
        <w:rPr>
          <w:rtl/>
        </w:rPr>
        <w:t>، و2012</w:t>
      </w:r>
      <w:r w:rsidRPr="00A47412">
        <w:rPr>
          <w:vertAlign w:val="superscript"/>
          <w:rtl/>
        </w:rPr>
        <w:t>(</w:t>
      </w:r>
      <w:r w:rsidRPr="00A47412">
        <w:rPr>
          <w:vertAlign w:val="superscript"/>
          <w:rtl/>
        </w:rPr>
        <w:footnoteReference w:id="6"/>
      </w:r>
      <w:r w:rsidRPr="00A47412">
        <w:rPr>
          <w:vertAlign w:val="superscript"/>
          <w:rtl/>
        </w:rPr>
        <w:t>)</w:t>
      </w:r>
      <w:r w:rsidRPr="0090157A">
        <w:rPr>
          <w:rtl/>
        </w:rPr>
        <w:t>، و2013</w:t>
      </w:r>
      <w:r w:rsidRPr="00A47412">
        <w:rPr>
          <w:vertAlign w:val="superscript"/>
          <w:rtl/>
        </w:rPr>
        <w:t>(</w:t>
      </w:r>
      <w:r w:rsidRPr="00A47412">
        <w:rPr>
          <w:vertAlign w:val="superscript"/>
          <w:rtl/>
        </w:rPr>
        <w:footnoteReference w:id="7"/>
      </w:r>
      <w:r w:rsidRPr="00A47412">
        <w:rPr>
          <w:vertAlign w:val="superscript"/>
          <w:rtl/>
        </w:rPr>
        <w:t>)</w:t>
      </w:r>
      <w:r w:rsidRPr="0090157A">
        <w:rPr>
          <w:rtl/>
        </w:rPr>
        <w:t>، و2014</w:t>
      </w:r>
      <w:r w:rsidRPr="00A47412">
        <w:rPr>
          <w:vertAlign w:val="superscript"/>
          <w:rtl/>
        </w:rPr>
        <w:t>(</w:t>
      </w:r>
      <w:r w:rsidRPr="00A47412">
        <w:rPr>
          <w:vertAlign w:val="superscript"/>
          <w:rtl/>
        </w:rPr>
        <w:footnoteReference w:id="8"/>
      </w:r>
      <w:r w:rsidRPr="00A47412">
        <w:rPr>
          <w:vertAlign w:val="superscript"/>
          <w:rtl/>
        </w:rPr>
        <w:t>)</w:t>
      </w:r>
      <w:r w:rsidRPr="0090157A">
        <w:rPr>
          <w:rtl/>
        </w:rPr>
        <w:t xml:space="preserve">، التي </w:t>
      </w:r>
      <w:r>
        <w:rPr>
          <w:rFonts w:hint="cs"/>
          <w:rtl/>
        </w:rPr>
        <w:t xml:space="preserve">تضمنت </w:t>
      </w:r>
      <w:r w:rsidRPr="0090157A">
        <w:rPr>
          <w:rtl/>
        </w:rPr>
        <w:t>برنامج عمل لتحسين فعالية الدعم الذي تقدمه منظومة الأمم المتحدة من أجل تعزيز سيادة ال</w:t>
      </w:r>
      <w:r>
        <w:rPr>
          <w:rtl/>
        </w:rPr>
        <w:t xml:space="preserve">قانون في </w:t>
      </w:r>
      <w:r w:rsidR="009C1E51">
        <w:rPr>
          <w:rFonts w:hint="cs"/>
          <w:rtl/>
        </w:rPr>
        <w:t xml:space="preserve">حالات النزاع وما بعد النزاع، </w:t>
      </w:r>
    </w:p>
    <w:p w:rsidR="00380E84" w:rsidRPr="00B841EF" w:rsidRDefault="00380E84" w:rsidP="009C1E51">
      <w:pPr>
        <w:pStyle w:val="SingleTxtGA"/>
        <w:rPr>
          <w:spacing w:val="-1"/>
          <w:rtl/>
        </w:rPr>
      </w:pPr>
      <w:r w:rsidRPr="00B841EF">
        <w:rPr>
          <w:rFonts w:hint="cs"/>
          <w:spacing w:val="-1"/>
          <w:rtl/>
        </w:rPr>
        <w:tab/>
      </w:r>
      <w:r w:rsidRPr="00B841EF">
        <w:rPr>
          <w:i/>
          <w:iCs/>
          <w:spacing w:val="-1"/>
          <w:rtl/>
        </w:rPr>
        <w:t>وإذ يلاحظ مع التقدير</w:t>
      </w:r>
      <w:r w:rsidRPr="00B841EF">
        <w:rPr>
          <w:spacing w:val="-1"/>
          <w:rtl/>
        </w:rPr>
        <w:t xml:space="preserve"> المشاركة النشطة للأمم المتحدة، بما فيها مفوضية الأمم المتحدة السامية لحقوق الإنسان، في مساعدة الدول على التصدي للانتهاكات الجسيمة لحقوق الإنسان والانتهاكات الخطيرة للقانون </w:t>
      </w:r>
      <w:r w:rsidR="009C1E51">
        <w:rPr>
          <w:rFonts w:hint="cs"/>
          <w:spacing w:val="-1"/>
          <w:rtl/>
        </w:rPr>
        <w:t xml:space="preserve">الدولي </w:t>
      </w:r>
      <w:r w:rsidRPr="00B841EF">
        <w:rPr>
          <w:spacing w:val="-1"/>
          <w:rtl/>
        </w:rPr>
        <w:t>الإنساني، بالتعاون مع الدول وبناء على طلبها،</w:t>
      </w:r>
    </w:p>
    <w:p w:rsidR="00380E84" w:rsidRPr="0090157A" w:rsidRDefault="00380E84" w:rsidP="00380E84">
      <w:pPr>
        <w:pStyle w:val="SingleTxtGA"/>
        <w:rPr>
          <w:rtl/>
        </w:rPr>
      </w:pPr>
      <w:r w:rsidRPr="0090157A">
        <w:rPr>
          <w:rtl/>
        </w:rPr>
        <w:tab/>
      </w:r>
      <w:r w:rsidRPr="00715AA6">
        <w:rPr>
          <w:i/>
          <w:iCs/>
          <w:rtl/>
        </w:rPr>
        <w:t>وإذ يشير</w:t>
      </w:r>
      <w:r w:rsidRPr="0090157A">
        <w:rPr>
          <w:rtl/>
        </w:rPr>
        <w:t xml:space="preserve"> إلى قراري مجلس </w:t>
      </w:r>
      <w:r>
        <w:rPr>
          <w:rFonts w:hint="cs"/>
          <w:rtl/>
        </w:rPr>
        <w:t xml:space="preserve">حقوق الإنسان </w:t>
      </w:r>
      <w:r w:rsidRPr="0090157A">
        <w:rPr>
          <w:rtl/>
        </w:rPr>
        <w:t xml:space="preserve">5/1 بشأن بناء مؤسسات </w:t>
      </w:r>
      <w:r>
        <w:rPr>
          <w:rFonts w:hint="cs"/>
          <w:rtl/>
        </w:rPr>
        <w:t>ال</w:t>
      </w:r>
      <w:r w:rsidRPr="0090157A">
        <w:rPr>
          <w:rtl/>
        </w:rPr>
        <w:t>مجلس</w:t>
      </w:r>
      <w:r>
        <w:rPr>
          <w:rFonts w:hint="cs"/>
          <w:rtl/>
        </w:rPr>
        <w:t>،</w:t>
      </w:r>
      <w:r w:rsidRPr="0090157A">
        <w:rPr>
          <w:rtl/>
        </w:rPr>
        <w:t xml:space="preserve"> و5/2 بشأن مدونة قواعد سلوك المكلفين بولايات في إطار الإجراءات الخاصة للمجلس</w:t>
      </w:r>
      <w:r>
        <w:rPr>
          <w:rFonts w:hint="cs"/>
          <w:rtl/>
        </w:rPr>
        <w:t>،</w:t>
      </w:r>
      <w:r w:rsidRPr="0090157A">
        <w:rPr>
          <w:rtl/>
        </w:rPr>
        <w:t xml:space="preserve"> المؤرخين</w:t>
      </w:r>
      <w:r>
        <w:rPr>
          <w:rFonts w:hint="cs"/>
          <w:rtl/>
        </w:rPr>
        <w:t> </w:t>
      </w:r>
      <w:r w:rsidRPr="0090157A">
        <w:rPr>
          <w:rtl/>
        </w:rPr>
        <w:t xml:space="preserve">18 حزيران/يونيه 2007، وإذ يشدد على أن </w:t>
      </w:r>
      <w:r>
        <w:rPr>
          <w:rFonts w:hint="cs"/>
          <w:rtl/>
        </w:rPr>
        <w:t xml:space="preserve">على </w:t>
      </w:r>
      <w:r w:rsidRPr="0090157A">
        <w:rPr>
          <w:rtl/>
        </w:rPr>
        <w:t xml:space="preserve">المكلف بولاية </w:t>
      </w:r>
      <w:r>
        <w:rPr>
          <w:rFonts w:hint="cs"/>
          <w:rtl/>
        </w:rPr>
        <w:t xml:space="preserve">أن </w:t>
      </w:r>
      <w:r w:rsidRPr="0090157A">
        <w:rPr>
          <w:rtl/>
        </w:rPr>
        <w:t>يضطلع بواجباته وفقاً لهذين القرارين ومرفقاتهما،</w:t>
      </w:r>
    </w:p>
    <w:p w:rsidR="00380E84" w:rsidRPr="0090157A" w:rsidRDefault="00380E84" w:rsidP="00380E84">
      <w:pPr>
        <w:pStyle w:val="SingleTxtGA"/>
        <w:rPr>
          <w:rtl/>
        </w:rPr>
      </w:pPr>
      <w:r w:rsidRPr="0090157A">
        <w:rPr>
          <w:rtl/>
        </w:rPr>
        <w:tab/>
      </w:r>
      <w:r w:rsidRPr="00715AA6">
        <w:rPr>
          <w:i/>
          <w:iCs/>
          <w:rtl/>
        </w:rPr>
        <w:t xml:space="preserve">وإذ </w:t>
      </w:r>
      <w:r>
        <w:rPr>
          <w:rFonts w:hint="cs"/>
          <w:i/>
          <w:iCs/>
          <w:rtl/>
        </w:rPr>
        <w:t xml:space="preserve">يُسلّم </w:t>
      </w:r>
      <w:r w:rsidRPr="0090157A">
        <w:rPr>
          <w:rtl/>
        </w:rPr>
        <w:t xml:space="preserve">بأن المقرر الخاص المعني بتعزيز الحقيقة والعدالة والجبر وضمانات عدم التكرار سيواصل معالجة الحالات التي ارتُكبت فيها انتهاكات جسيمة لحقوق الإنسان وانتهاكات خطيرة للقانون </w:t>
      </w:r>
      <w:r w:rsidR="009C1E51">
        <w:rPr>
          <w:rFonts w:hint="cs"/>
          <w:rtl/>
        </w:rPr>
        <w:t xml:space="preserve">الدولي </w:t>
      </w:r>
      <w:r w:rsidR="009C1E51">
        <w:rPr>
          <w:rtl/>
        </w:rPr>
        <w:t>الإنساني</w:t>
      </w:r>
      <w:r w:rsidRPr="0090157A">
        <w:rPr>
          <w:rtl/>
        </w:rPr>
        <w:t>،</w:t>
      </w:r>
    </w:p>
    <w:p w:rsidR="00380E84" w:rsidRPr="0090157A" w:rsidRDefault="00380E84" w:rsidP="009C1E51">
      <w:pPr>
        <w:pStyle w:val="SingleTxtGA"/>
        <w:rPr>
          <w:rtl/>
        </w:rPr>
      </w:pPr>
      <w:r w:rsidRPr="0090157A">
        <w:rPr>
          <w:rtl/>
        </w:rPr>
        <w:tab/>
      </w:r>
      <w:r w:rsidRPr="00715AA6">
        <w:rPr>
          <w:i/>
          <w:iCs/>
          <w:rtl/>
        </w:rPr>
        <w:t>وإذ يشدد</w:t>
      </w:r>
      <w:r w:rsidRPr="0090157A">
        <w:rPr>
          <w:rtl/>
        </w:rPr>
        <w:t xml:space="preserve"> على أنه، عند تصميم وتنفيذ الاستراتيجيات والسياسات والتدابير اللازمة للتصدي للانتهاكات الجسيمة لحقوق الإنسان والانتهاكات الخطيرة </w:t>
      </w:r>
      <w:r w:rsidR="009C1E51">
        <w:rPr>
          <w:rtl/>
        </w:rPr>
        <w:t>للقانون الدولي الإنساني</w:t>
      </w:r>
      <w:r w:rsidRPr="0090157A">
        <w:rPr>
          <w:rtl/>
        </w:rPr>
        <w:t xml:space="preserve">، يجب مراعاة السياق المحدد لكل حالة بهدف منع تكرار الأزمات وانتهاكات حقوق الإنسان في المستقبل، وضمان </w:t>
      </w:r>
      <w:r>
        <w:rPr>
          <w:rFonts w:hint="cs"/>
          <w:rtl/>
        </w:rPr>
        <w:t xml:space="preserve">التلاحم </w:t>
      </w:r>
      <w:r w:rsidR="009C1E51">
        <w:rPr>
          <w:rtl/>
        </w:rPr>
        <w:t>الاجتماعي، وبناء الدولة، و</w:t>
      </w:r>
      <w:r w:rsidR="009C1E51">
        <w:rPr>
          <w:rFonts w:hint="cs"/>
          <w:rtl/>
        </w:rPr>
        <w:t xml:space="preserve">امتلاك زمام </w:t>
      </w:r>
      <w:r w:rsidRPr="0090157A">
        <w:rPr>
          <w:rtl/>
        </w:rPr>
        <w:t>الأمور، والشمول على الصعيدين الوطني والمحلي، وتعزيز المصالحة،</w:t>
      </w:r>
    </w:p>
    <w:p w:rsidR="00380E84" w:rsidRPr="0090157A" w:rsidRDefault="00380E84" w:rsidP="00380E84">
      <w:pPr>
        <w:pStyle w:val="SingleTxtGA"/>
        <w:rPr>
          <w:rFonts w:hint="cs"/>
          <w:rtl/>
        </w:rPr>
      </w:pPr>
      <w:r w:rsidRPr="0090157A">
        <w:rPr>
          <w:rtl/>
        </w:rPr>
        <w:tab/>
      </w:r>
      <w:r w:rsidRPr="00715AA6">
        <w:rPr>
          <w:i/>
          <w:iCs/>
          <w:rtl/>
        </w:rPr>
        <w:t>وإذ يؤكد</w:t>
      </w:r>
      <w:r w:rsidRPr="0090157A">
        <w:rPr>
          <w:rtl/>
        </w:rPr>
        <w:t xml:space="preserve"> أهمية الأخذ بنهج شامل تُدمَج فيه </w:t>
      </w:r>
      <w:r w:rsidR="009C1E51">
        <w:rPr>
          <w:rFonts w:hint="cs"/>
          <w:rtl/>
        </w:rPr>
        <w:t>ال</w:t>
      </w:r>
      <w:r w:rsidRPr="0090157A">
        <w:rPr>
          <w:rtl/>
        </w:rPr>
        <w:t xml:space="preserve">مجموعة </w:t>
      </w:r>
      <w:r w:rsidR="009C1E51">
        <w:rPr>
          <w:rFonts w:hint="cs"/>
          <w:rtl/>
        </w:rPr>
        <w:t>ال</w:t>
      </w:r>
      <w:r w:rsidRPr="0090157A">
        <w:rPr>
          <w:rtl/>
        </w:rPr>
        <w:t xml:space="preserve">كاملة من التدابير القضائية وغير القضائية </w:t>
      </w:r>
      <w:r w:rsidR="009C1E51">
        <w:rPr>
          <w:rFonts w:hint="cs"/>
          <w:rtl/>
        </w:rPr>
        <w:t xml:space="preserve">التي </w:t>
      </w:r>
      <w:r w:rsidRPr="0090157A">
        <w:rPr>
          <w:rtl/>
        </w:rPr>
        <w:t>تشمل</w:t>
      </w:r>
      <w:r>
        <w:rPr>
          <w:rFonts w:hint="cs"/>
          <w:rtl/>
        </w:rPr>
        <w:t>،</w:t>
      </w:r>
      <w:r w:rsidRPr="0090157A">
        <w:rPr>
          <w:rtl/>
        </w:rPr>
        <w:t xml:space="preserve"> في جملة </w:t>
      </w:r>
      <w:r>
        <w:rPr>
          <w:rFonts w:hint="cs"/>
          <w:rtl/>
        </w:rPr>
        <w:t>ما تشمله</w:t>
      </w:r>
      <w:r w:rsidRPr="0090157A">
        <w:rPr>
          <w:rtl/>
        </w:rPr>
        <w:t xml:space="preserve">، المحاكمات الفردية، وإجراءات الجبر، والسعي </w:t>
      </w:r>
      <w:r>
        <w:rPr>
          <w:rFonts w:hint="cs"/>
          <w:rtl/>
        </w:rPr>
        <w:t>ل</w:t>
      </w:r>
      <w:r w:rsidRPr="0090157A">
        <w:rPr>
          <w:rtl/>
        </w:rPr>
        <w:t>معرفة الحقيقة، والإصلاح المؤسسي، وتدقيق اختيار الموظفين والمسؤولين الحكوميين، أو مزيج</w:t>
      </w:r>
      <w:r>
        <w:rPr>
          <w:rFonts w:hint="cs"/>
          <w:rtl/>
        </w:rPr>
        <w:t>اً</w:t>
      </w:r>
      <w:r w:rsidRPr="0090157A">
        <w:rPr>
          <w:rtl/>
        </w:rPr>
        <w:t xml:space="preserve"> من هذه التدابير يجري تصوُّره على النحو المناسب</w:t>
      </w:r>
      <w:r>
        <w:rPr>
          <w:rFonts w:hint="cs"/>
          <w:rtl/>
        </w:rPr>
        <w:t xml:space="preserve"> لكي </w:t>
      </w:r>
      <w:r w:rsidRPr="0090157A">
        <w:rPr>
          <w:rtl/>
        </w:rPr>
        <w:t>ت</w:t>
      </w:r>
      <w:r>
        <w:rPr>
          <w:rFonts w:hint="cs"/>
          <w:rtl/>
        </w:rPr>
        <w:t>ُ</w:t>
      </w:r>
      <w:r w:rsidRPr="0090157A">
        <w:rPr>
          <w:rtl/>
        </w:rPr>
        <w:t>كفل</w:t>
      </w:r>
      <w:r>
        <w:rPr>
          <w:rFonts w:hint="cs"/>
          <w:rtl/>
        </w:rPr>
        <w:t>،</w:t>
      </w:r>
      <w:r w:rsidRPr="0090157A">
        <w:rPr>
          <w:rtl/>
        </w:rPr>
        <w:t xml:space="preserve"> في جملة أمور، المساءلة، </w:t>
      </w:r>
      <w:r>
        <w:rPr>
          <w:rFonts w:hint="cs"/>
          <w:rtl/>
        </w:rPr>
        <w:t>وإقامة العدل</w:t>
      </w:r>
      <w:r w:rsidRPr="0090157A">
        <w:rPr>
          <w:rtl/>
        </w:rPr>
        <w:t>، وتوفير سبل الانتصاف للضحايا، وتعزيز سبل التعافي والمصالحة، وإقامة رقابة مستقلة على النظام الأمني، واستعادة الثقة بمؤسسات الدولة، وتعزيز سيادة القانون وفق</w:t>
      </w:r>
      <w:r>
        <w:rPr>
          <w:rtl/>
        </w:rPr>
        <w:t>اً للقانون الدولي لحقوق الإنسان</w:t>
      </w:r>
      <w:r>
        <w:rPr>
          <w:rFonts w:hint="cs"/>
          <w:rtl/>
        </w:rPr>
        <w:t>،</w:t>
      </w:r>
    </w:p>
    <w:p w:rsidR="00380E84" w:rsidRPr="0090157A" w:rsidRDefault="00380E84" w:rsidP="006F150A">
      <w:pPr>
        <w:pStyle w:val="SingleTxtGA"/>
        <w:rPr>
          <w:rFonts w:hint="cs"/>
          <w:rtl/>
        </w:rPr>
      </w:pPr>
      <w:r>
        <w:rPr>
          <w:rFonts w:hint="cs"/>
          <w:rtl/>
        </w:rPr>
        <w:tab/>
        <w:t>1-</w:t>
      </w:r>
      <w:r>
        <w:rPr>
          <w:rFonts w:hint="cs"/>
          <w:rtl/>
        </w:rPr>
        <w:tab/>
      </w:r>
      <w:r w:rsidRPr="00715AA6">
        <w:rPr>
          <w:i/>
          <w:iCs/>
          <w:rtl/>
        </w:rPr>
        <w:t>يحيط علما</w:t>
      </w:r>
      <w:r>
        <w:rPr>
          <w:rFonts w:hint="cs"/>
          <w:i/>
          <w:iCs/>
          <w:rtl/>
        </w:rPr>
        <w:t>ً</w:t>
      </w:r>
      <w:r w:rsidRPr="00715AA6">
        <w:rPr>
          <w:i/>
          <w:iCs/>
          <w:rtl/>
        </w:rPr>
        <w:t xml:space="preserve"> مع التقدير</w:t>
      </w:r>
      <w:r w:rsidRPr="0090157A">
        <w:rPr>
          <w:rtl/>
        </w:rPr>
        <w:t xml:space="preserve"> </w:t>
      </w:r>
      <w:r>
        <w:rPr>
          <w:rFonts w:hint="cs"/>
          <w:rtl/>
        </w:rPr>
        <w:t>ب</w:t>
      </w:r>
      <w:r w:rsidR="009C1E51">
        <w:rPr>
          <w:rFonts w:hint="cs"/>
          <w:rtl/>
        </w:rPr>
        <w:t xml:space="preserve">التقارير التي قدّمها المقرر الخاص المعني بتعزيز </w:t>
      </w:r>
      <w:r w:rsidRPr="0090157A">
        <w:rPr>
          <w:rtl/>
        </w:rPr>
        <w:t>الحقيقة والعدالة والجبر وضمانات عدم التكرار إلى مجلس حقوق الإنسان في دوراته الحادية والعشرين</w:t>
      </w:r>
      <w:r w:rsidRPr="00A47412">
        <w:rPr>
          <w:vertAlign w:val="superscript"/>
          <w:rtl/>
        </w:rPr>
        <w:t>(</w:t>
      </w:r>
      <w:r w:rsidRPr="00A47412">
        <w:rPr>
          <w:vertAlign w:val="superscript"/>
          <w:rtl/>
        </w:rPr>
        <w:footnoteReference w:id="9"/>
      </w:r>
      <w:r w:rsidRPr="00A47412">
        <w:rPr>
          <w:vertAlign w:val="superscript"/>
          <w:rtl/>
        </w:rPr>
        <w:t>)</w:t>
      </w:r>
      <w:r w:rsidRPr="0090157A">
        <w:rPr>
          <w:rtl/>
        </w:rPr>
        <w:t xml:space="preserve"> والرابعة والعشرين</w:t>
      </w:r>
      <w:r w:rsidRPr="00A47412">
        <w:rPr>
          <w:vertAlign w:val="superscript"/>
          <w:rtl/>
        </w:rPr>
        <w:t>(</w:t>
      </w:r>
      <w:r w:rsidRPr="00A47412">
        <w:rPr>
          <w:vertAlign w:val="superscript"/>
          <w:rtl/>
        </w:rPr>
        <w:footnoteReference w:id="10"/>
      </w:r>
      <w:r w:rsidRPr="00A47412">
        <w:rPr>
          <w:vertAlign w:val="superscript"/>
          <w:rtl/>
        </w:rPr>
        <w:t>)</w:t>
      </w:r>
      <w:r w:rsidRPr="0090157A">
        <w:rPr>
          <w:rtl/>
        </w:rPr>
        <w:t xml:space="preserve"> والسابعة والعشرين</w:t>
      </w:r>
      <w:r w:rsidRPr="00A47412">
        <w:rPr>
          <w:vertAlign w:val="superscript"/>
          <w:rtl/>
        </w:rPr>
        <w:t>(</w:t>
      </w:r>
      <w:r w:rsidRPr="00A47412">
        <w:rPr>
          <w:vertAlign w:val="superscript"/>
          <w:rtl/>
        </w:rPr>
        <w:footnoteReference w:id="11"/>
      </w:r>
      <w:r w:rsidRPr="00A47412">
        <w:rPr>
          <w:vertAlign w:val="superscript"/>
          <w:rtl/>
        </w:rPr>
        <w:t>)</w:t>
      </w:r>
      <w:r w:rsidRPr="0090157A">
        <w:rPr>
          <w:rtl/>
        </w:rPr>
        <w:t xml:space="preserve"> وكذلك بتقريري</w:t>
      </w:r>
      <w:r w:rsidR="009C1E51">
        <w:rPr>
          <w:rFonts w:hint="cs"/>
          <w:rtl/>
        </w:rPr>
        <w:t>ه</w:t>
      </w:r>
      <w:r w:rsidRPr="0090157A">
        <w:rPr>
          <w:rtl/>
        </w:rPr>
        <w:t xml:space="preserve"> </w:t>
      </w:r>
      <w:r w:rsidR="009C1E51">
        <w:rPr>
          <w:rFonts w:hint="cs"/>
          <w:rtl/>
        </w:rPr>
        <w:t>ال</w:t>
      </w:r>
      <w:r w:rsidRPr="0090157A">
        <w:rPr>
          <w:rtl/>
        </w:rPr>
        <w:t>مقدمين إلى الجمعية العامة في دورتيها السابعة والستين</w:t>
      </w:r>
      <w:r w:rsidRPr="00A47412">
        <w:rPr>
          <w:vertAlign w:val="superscript"/>
          <w:rtl/>
        </w:rPr>
        <w:t>(</w:t>
      </w:r>
      <w:r w:rsidRPr="00A47412">
        <w:rPr>
          <w:vertAlign w:val="superscript"/>
          <w:rtl/>
        </w:rPr>
        <w:footnoteReference w:id="12"/>
      </w:r>
      <w:r w:rsidRPr="00A47412">
        <w:rPr>
          <w:vertAlign w:val="superscript"/>
          <w:rtl/>
        </w:rPr>
        <w:t>)</w:t>
      </w:r>
      <w:r w:rsidRPr="0090157A">
        <w:rPr>
          <w:rtl/>
        </w:rPr>
        <w:t xml:space="preserve"> والثامنة والستين</w:t>
      </w:r>
      <w:r w:rsidRPr="00A47412">
        <w:rPr>
          <w:vertAlign w:val="superscript"/>
          <w:rtl/>
        </w:rPr>
        <w:t>(</w:t>
      </w:r>
      <w:r w:rsidRPr="00A47412">
        <w:rPr>
          <w:vertAlign w:val="superscript"/>
          <w:rtl/>
        </w:rPr>
        <w:footnoteReference w:id="13"/>
      </w:r>
      <w:r w:rsidRPr="00A47412">
        <w:rPr>
          <w:vertAlign w:val="superscript"/>
          <w:rtl/>
        </w:rPr>
        <w:t>)</w:t>
      </w:r>
      <w:r w:rsidRPr="0090157A">
        <w:rPr>
          <w:rtl/>
        </w:rPr>
        <w:t xml:space="preserve">، ويهيب بالدول </w:t>
      </w:r>
      <w:r w:rsidR="009C1E51">
        <w:rPr>
          <w:rFonts w:hint="cs"/>
          <w:rtl/>
        </w:rPr>
        <w:t xml:space="preserve">إيلاء </w:t>
      </w:r>
      <w:r w:rsidRPr="0090157A">
        <w:rPr>
          <w:rtl/>
        </w:rPr>
        <w:t xml:space="preserve">الاعتبار الواجب للتوصيات الواردة في هذه التقارير عند تصميم وتنفيذ الاستراتيجيات، والسياسات والتدابير اللازمة للتصدي للانتهاكات الجسيمة لحقوق الإنسان والانتهاكات الخطيرة </w:t>
      </w:r>
      <w:r w:rsidR="009C1E51">
        <w:rPr>
          <w:rtl/>
        </w:rPr>
        <w:t>للقانون الدولي الإنساني</w:t>
      </w:r>
      <w:r>
        <w:rPr>
          <w:rtl/>
        </w:rPr>
        <w:t xml:space="preserve"> ضمن سياقها الوطني؛</w:t>
      </w:r>
    </w:p>
    <w:p w:rsidR="00380E84" w:rsidRPr="0090157A" w:rsidRDefault="00380E84" w:rsidP="00380E84">
      <w:pPr>
        <w:pStyle w:val="SingleTxtGA"/>
      </w:pPr>
      <w:r>
        <w:rPr>
          <w:rFonts w:hint="cs"/>
          <w:rtl/>
        </w:rPr>
        <w:tab/>
        <w:t>2-</w:t>
      </w:r>
      <w:r>
        <w:rPr>
          <w:rFonts w:hint="cs"/>
          <w:rtl/>
        </w:rPr>
        <w:tab/>
      </w:r>
      <w:r w:rsidRPr="00715AA6">
        <w:rPr>
          <w:i/>
          <w:iCs/>
          <w:rtl/>
        </w:rPr>
        <w:t>يرحب</w:t>
      </w:r>
      <w:r w:rsidRPr="0090157A">
        <w:rPr>
          <w:rtl/>
        </w:rPr>
        <w:t xml:space="preserve"> بالعمل الذي </w:t>
      </w:r>
      <w:r>
        <w:rPr>
          <w:rFonts w:hint="cs"/>
          <w:rtl/>
        </w:rPr>
        <w:t xml:space="preserve">يضطلع به </w:t>
      </w:r>
      <w:r w:rsidRPr="0090157A">
        <w:rPr>
          <w:rtl/>
        </w:rPr>
        <w:t xml:space="preserve">المقرر الخاص </w:t>
      </w:r>
      <w:r>
        <w:rPr>
          <w:rFonts w:hint="cs"/>
          <w:rtl/>
        </w:rPr>
        <w:t xml:space="preserve">لأداء مهام </w:t>
      </w:r>
      <w:r w:rsidRPr="0090157A">
        <w:rPr>
          <w:rtl/>
        </w:rPr>
        <w:t>ولايته، والمشاورات الشاملة والشفافة والجامِعة التي يجريها مع الجهات الفاعِلة المعنية من جميع المناطق لغرض إعداد تقاريره المواضيعية، وقيامه بزيارات قطرية؛</w:t>
      </w:r>
    </w:p>
    <w:p w:rsidR="00380E84" w:rsidRPr="0090157A" w:rsidRDefault="00380E84" w:rsidP="00380E84">
      <w:pPr>
        <w:pStyle w:val="SingleTxtGA"/>
        <w:rPr>
          <w:rtl/>
        </w:rPr>
      </w:pPr>
      <w:r>
        <w:rPr>
          <w:rFonts w:hint="cs"/>
          <w:rtl/>
        </w:rPr>
        <w:tab/>
      </w:r>
      <w:r w:rsidRPr="0090157A">
        <w:rPr>
          <w:rtl/>
        </w:rPr>
        <w:t>3</w:t>
      </w:r>
      <w:r>
        <w:rPr>
          <w:rtl/>
        </w:rPr>
        <w:t>-</w:t>
      </w:r>
      <w:r>
        <w:rPr>
          <w:rFonts w:hint="cs"/>
          <w:rtl/>
        </w:rPr>
        <w:tab/>
      </w:r>
      <w:r w:rsidRPr="00715AA6">
        <w:rPr>
          <w:i/>
          <w:iCs/>
          <w:rtl/>
        </w:rPr>
        <w:t>يرحب أيضا</w:t>
      </w:r>
      <w:r>
        <w:rPr>
          <w:rFonts w:hint="cs"/>
          <w:i/>
          <w:iCs/>
          <w:rtl/>
        </w:rPr>
        <w:t>ً</w:t>
      </w:r>
      <w:r w:rsidRPr="0090157A">
        <w:rPr>
          <w:rtl/>
        </w:rPr>
        <w:t xml:space="preserve"> بتعاون الدول التي استقبلت المقرر الخاص في بلدانها، وتلك التي قبلت طلباته للقيام بزيارات </w:t>
      </w:r>
      <w:r>
        <w:rPr>
          <w:rFonts w:hint="cs"/>
          <w:rtl/>
        </w:rPr>
        <w:t xml:space="preserve">إلى بلدانها </w:t>
      </w:r>
      <w:r w:rsidRPr="0090157A">
        <w:rPr>
          <w:rtl/>
        </w:rPr>
        <w:t>وا</w:t>
      </w:r>
      <w:r>
        <w:rPr>
          <w:rtl/>
        </w:rPr>
        <w:t>لدول التي وجهت إليه دعوات لزيار</w:t>
      </w:r>
      <w:r>
        <w:rPr>
          <w:rFonts w:hint="cs"/>
          <w:rtl/>
        </w:rPr>
        <w:t>تها</w:t>
      </w:r>
      <w:r w:rsidRPr="0090157A">
        <w:rPr>
          <w:rtl/>
        </w:rPr>
        <w:t xml:space="preserve"> وكذلك الدول التي استجابت لطلباته المتعلقة بالحصول على معلومات؛</w:t>
      </w:r>
    </w:p>
    <w:p w:rsidR="00380E84" w:rsidRPr="0090157A" w:rsidRDefault="00380E84" w:rsidP="00380E84">
      <w:pPr>
        <w:pStyle w:val="SingleTxtGA"/>
        <w:rPr>
          <w:rtl/>
        </w:rPr>
      </w:pPr>
      <w:r>
        <w:rPr>
          <w:rFonts w:hint="cs"/>
          <w:rtl/>
        </w:rPr>
        <w:tab/>
      </w:r>
      <w:r>
        <w:rPr>
          <w:rtl/>
        </w:rPr>
        <w:t>4-</w:t>
      </w:r>
      <w:r>
        <w:rPr>
          <w:rFonts w:hint="cs"/>
          <w:rtl/>
        </w:rPr>
        <w:tab/>
      </w:r>
      <w:r w:rsidRPr="00715AA6">
        <w:rPr>
          <w:i/>
          <w:iCs/>
          <w:rtl/>
        </w:rPr>
        <w:t>يقرر</w:t>
      </w:r>
      <w:r w:rsidRPr="0090157A">
        <w:rPr>
          <w:rtl/>
        </w:rPr>
        <w:t xml:space="preserve"> تمديد ولاية المقرر الخاص المعني بتعزيز الحقيقة، والعدالة، والجبر، وضمانات عدم التكرار </w:t>
      </w:r>
      <w:r>
        <w:rPr>
          <w:rFonts w:hint="cs"/>
          <w:rtl/>
        </w:rPr>
        <w:t xml:space="preserve">وذلك </w:t>
      </w:r>
      <w:r w:rsidRPr="0090157A">
        <w:rPr>
          <w:rtl/>
        </w:rPr>
        <w:t xml:space="preserve">لمدة ثلاث سنوات </w:t>
      </w:r>
      <w:r>
        <w:rPr>
          <w:rFonts w:hint="cs"/>
          <w:rtl/>
        </w:rPr>
        <w:t>وب</w:t>
      </w:r>
      <w:r w:rsidRPr="0090157A">
        <w:rPr>
          <w:rtl/>
        </w:rPr>
        <w:t xml:space="preserve">الشروط </w:t>
      </w:r>
      <w:r>
        <w:rPr>
          <w:rFonts w:hint="cs"/>
          <w:rtl/>
        </w:rPr>
        <w:t xml:space="preserve">نفسها </w:t>
      </w:r>
      <w:r w:rsidRPr="0090157A">
        <w:rPr>
          <w:rtl/>
        </w:rPr>
        <w:t xml:space="preserve">التي </w:t>
      </w:r>
      <w:r>
        <w:rPr>
          <w:rFonts w:hint="cs"/>
          <w:rtl/>
        </w:rPr>
        <w:t xml:space="preserve">حدّدها </w:t>
      </w:r>
      <w:r w:rsidRPr="0090157A">
        <w:rPr>
          <w:rtl/>
        </w:rPr>
        <w:t>مجلس حقوق الإنسان في قراره 18/7؛</w:t>
      </w:r>
    </w:p>
    <w:p w:rsidR="00380E84" w:rsidRPr="0090157A" w:rsidRDefault="00380E84" w:rsidP="00380E84">
      <w:pPr>
        <w:pStyle w:val="SingleTxtGA"/>
        <w:rPr>
          <w:rtl/>
        </w:rPr>
      </w:pPr>
      <w:r>
        <w:rPr>
          <w:rFonts w:hint="cs"/>
          <w:rtl/>
        </w:rPr>
        <w:tab/>
      </w:r>
      <w:r>
        <w:rPr>
          <w:rtl/>
        </w:rPr>
        <w:t>5-</w:t>
      </w:r>
      <w:r>
        <w:rPr>
          <w:rFonts w:hint="cs"/>
          <w:rtl/>
        </w:rPr>
        <w:tab/>
      </w:r>
      <w:r w:rsidRPr="00715AA6">
        <w:rPr>
          <w:i/>
          <w:iCs/>
          <w:rtl/>
        </w:rPr>
        <w:t>يحث</w:t>
      </w:r>
      <w:r w:rsidRPr="0090157A">
        <w:rPr>
          <w:rtl/>
        </w:rPr>
        <w:t xml:space="preserve"> جميع الدول على التعاون مع المقرر الخاص ومساعدته لكي يتسنى لـه أداء </w:t>
      </w:r>
      <w:r w:rsidR="009C1E51">
        <w:rPr>
          <w:rFonts w:hint="cs"/>
          <w:rtl/>
        </w:rPr>
        <w:t xml:space="preserve">مهام </w:t>
      </w:r>
      <w:r w:rsidRPr="0090157A">
        <w:rPr>
          <w:rtl/>
        </w:rPr>
        <w:t xml:space="preserve">ولايته بفعالية، وذلك بطرق منها </w:t>
      </w:r>
      <w:r>
        <w:rPr>
          <w:rFonts w:hint="cs"/>
          <w:rtl/>
        </w:rPr>
        <w:t xml:space="preserve">الرد على </w:t>
      </w:r>
      <w:r w:rsidRPr="0090157A">
        <w:rPr>
          <w:rtl/>
        </w:rPr>
        <w:t xml:space="preserve">طلبات الزيارة </w:t>
      </w:r>
      <w:r>
        <w:rPr>
          <w:rFonts w:hint="cs"/>
          <w:rtl/>
        </w:rPr>
        <w:t>رداً إيجابياً و</w:t>
      </w:r>
      <w:r w:rsidRPr="0090157A">
        <w:rPr>
          <w:rtl/>
        </w:rPr>
        <w:t>سريعاً، إدراكا</w:t>
      </w:r>
      <w:r>
        <w:rPr>
          <w:rFonts w:hint="cs"/>
          <w:rtl/>
        </w:rPr>
        <w:t>ً</w:t>
      </w:r>
      <w:r w:rsidRPr="0090157A">
        <w:rPr>
          <w:rtl/>
        </w:rPr>
        <w:t xml:space="preserve"> منها </w:t>
      </w:r>
      <w:r>
        <w:rPr>
          <w:rFonts w:hint="cs"/>
          <w:rtl/>
        </w:rPr>
        <w:t>ل</w:t>
      </w:r>
      <w:r w:rsidRPr="0090157A">
        <w:rPr>
          <w:rtl/>
        </w:rPr>
        <w:t>كون الزيارات القطرية وسيلة من الوسائل الأساسية لوفاء المقرر الخاص ب</w:t>
      </w:r>
      <w:r>
        <w:rPr>
          <w:rFonts w:hint="cs"/>
          <w:rtl/>
        </w:rPr>
        <w:t xml:space="preserve">مهام </w:t>
      </w:r>
      <w:r w:rsidRPr="0090157A">
        <w:rPr>
          <w:rtl/>
        </w:rPr>
        <w:t>ولايته، وتزويده في الوقت المناسب، بجم</w:t>
      </w:r>
      <w:r>
        <w:rPr>
          <w:rtl/>
        </w:rPr>
        <w:t>يع المعلومات الضرورية التي يطلب</w:t>
      </w:r>
      <w:r>
        <w:rPr>
          <w:rFonts w:hint="cs"/>
          <w:rtl/>
        </w:rPr>
        <w:t>ها</w:t>
      </w:r>
      <w:r w:rsidRPr="0090157A">
        <w:rPr>
          <w:rtl/>
        </w:rPr>
        <w:t>؛</w:t>
      </w:r>
    </w:p>
    <w:p w:rsidR="00380E84" w:rsidRPr="0090157A" w:rsidRDefault="00380E84" w:rsidP="00380E84">
      <w:pPr>
        <w:pStyle w:val="SingleTxtGA"/>
        <w:rPr>
          <w:rtl/>
        </w:rPr>
      </w:pPr>
      <w:r>
        <w:rPr>
          <w:rFonts w:hint="cs"/>
          <w:rtl/>
        </w:rPr>
        <w:tab/>
      </w:r>
      <w:r>
        <w:rPr>
          <w:rtl/>
        </w:rPr>
        <w:t>6-</w:t>
      </w:r>
      <w:r>
        <w:rPr>
          <w:rFonts w:hint="cs"/>
          <w:rtl/>
        </w:rPr>
        <w:tab/>
      </w:r>
      <w:r w:rsidRPr="00715AA6">
        <w:rPr>
          <w:i/>
          <w:iCs/>
          <w:rtl/>
        </w:rPr>
        <w:t>يطلب</w:t>
      </w:r>
      <w:r w:rsidRPr="0090157A">
        <w:rPr>
          <w:rtl/>
        </w:rPr>
        <w:t xml:space="preserve"> إلى المقرر الخاص أن يواصل تقديم تقارير سنوي</w:t>
      </w:r>
      <w:r>
        <w:rPr>
          <w:rFonts w:hint="cs"/>
          <w:rtl/>
        </w:rPr>
        <w:t>ة</w:t>
      </w:r>
      <w:r w:rsidRPr="0090157A">
        <w:rPr>
          <w:rtl/>
        </w:rPr>
        <w:t xml:space="preserve"> إلى مجلس حقوق الإنسان وإلى الجمعية العامة؛ </w:t>
      </w:r>
    </w:p>
    <w:p w:rsidR="00380E84" w:rsidRPr="0090157A" w:rsidRDefault="00380E84" w:rsidP="00380E84">
      <w:pPr>
        <w:pStyle w:val="SingleTxtGA"/>
        <w:rPr>
          <w:rtl/>
        </w:rPr>
      </w:pPr>
      <w:r>
        <w:rPr>
          <w:rFonts w:hint="cs"/>
          <w:rtl/>
        </w:rPr>
        <w:tab/>
      </w:r>
      <w:r>
        <w:rPr>
          <w:rtl/>
        </w:rPr>
        <w:t>7-</w:t>
      </w:r>
      <w:r>
        <w:rPr>
          <w:rFonts w:hint="cs"/>
          <w:rtl/>
        </w:rPr>
        <w:tab/>
      </w:r>
      <w:r w:rsidRPr="00715AA6">
        <w:rPr>
          <w:i/>
          <w:iCs/>
          <w:rtl/>
        </w:rPr>
        <w:t>يطلب</w:t>
      </w:r>
      <w:r w:rsidRPr="0090157A">
        <w:rPr>
          <w:rtl/>
        </w:rPr>
        <w:t xml:space="preserve"> إلى الأمين العام </w:t>
      </w:r>
      <w:r>
        <w:rPr>
          <w:rFonts w:hint="cs"/>
          <w:rtl/>
        </w:rPr>
        <w:t xml:space="preserve">ومفوض الأمم المتحدة السامي لحقوق الإنسان </w:t>
      </w:r>
      <w:r w:rsidRPr="0090157A">
        <w:rPr>
          <w:rtl/>
        </w:rPr>
        <w:t>أن يقدما إلى المقرر الخاص كل ما يلزمه من مساعدة بشرية وتقنية ومالية للاضطلاع بولايته على نحو فعال؛</w:t>
      </w:r>
    </w:p>
    <w:p w:rsidR="00380E84" w:rsidRDefault="00380E84" w:rsidP="009C1E51">
      <w:pPr>
        <w:pStyle w:val="SingleTxtGA"/>
        <w:rPr>
          <w:rFonts w:hint="cs"/>
          <w:rtl/>
        </w:rPr>
      </w:pPr>
      <w:r>
        <w:rPr>
          <w:rFonts w:hint="cs"/>
          <w:rtl/>
        </w:rPr>
        <w:tab/>
      </w:r>
      <w:r>
        <w:rPr>
          <w:rtl/>
        </w:rPr>
        <w:t>8-</w:t>
      </w:r>
      <w:r>
        <w:rPr>
          <w:rFonts w:hint="cs"/>
          <w:rtl/>
        </w:rPr>
        <w:tab/>
      </w:r>
      <w:r w:rsidRPr="00715AA6">
        <w:rPr>
          <w:i/>
          <w:iCs/>
          <w:rtl/>
        </w:rPr>
        <w:t>يقرر</w:t>
      </w:r>
      <w:r w:rsidRPr="0090157A">
        <w:rPr>
          <w:rtl/>
        </w:rPr>
        <w:t xml:space="preserve"> أن يواصل </w:t>
      </w:r>
      <w:r w:rsidR="009C1E51">
        <w:rPr>
          <w:rFonts w:hint="cs"/>
          <w:rtl/>
        </w:rPr>
        <w:t xml:space="preserve">النظر </w:t>
      </w:r>
      <w:r w:rsidRPr="0090157A">
        <w:rPr>
          <w:rtl/>
        </w:rPr>
        <w:t xml:space="preserve">في هذه المسألة في إطار البند نفسه من جدول الأعمال </w:t>
      </w:r>
      <w:r>
        <w:rPr>
          <w:rFonts w:hint="cs"/>
          <w:rtl/>
        </w:rPr>
        <w:t>و</w:t>
      </w:r>
      <w:r w:rsidRPr="0090157A">
        <w:rPr>
          <w:rtl/>
        </w:rPr>
        <w:t xml:space="preserve">وفقاً لبرنامج </w:t>
      </w:r>
      <w:r>
        <w:rPr>
          <w:rFonts w:hint="cs"/>
          <w:rtl/>
        </w:rPr>
        <w:t>عمله</w:t>
      </w:r>
      <w:r w:rsidRPr="0090157A">
        <w:rPr>
          <w:rtl/>
        </w:rPr>
        <w:t>.</w:t>
      </w:r>
    </w:p>
    <w:p w:rsidR="009C1E51" w:rsidRPr="009C1E51" w:rsidRDefault="009C1E51" w:rsidP="009C1E51">
      <w:pPr>
        <w:pStyle w:val="SingleTxtGA"/>
        <w:spacing w:after="0"/>
        <w:jc w:val="right"/>
        <w:rPr>
          <w:rFonts w:hint="cs"/>
          <w:i/>
          <w:iCs/>
          <w:rtl/>
        </w:rPr>
      </w:pPr>
      <w:r w:rsidRPr="009C1E51">
        <w:rPr>
          <w:rFonts w:hint="cs"/>
          <w:i/>
          <w:iCs/>
          <w:rtl/>
        </w:rPr>
        <w:t>الجلسة 39</w:t>
      </w:r>
    </w:p>
    <w:p w:rsidR="009C1E51" w:rsidRDefault="009C1E51" w:rsidP="009C1E51">
      <w:pPr>
        <w:pStyle w:val="SingleTxtGA"/>
        <w:jc w:val="right"/>
        <w:rPr>
          <w:rFonts w:hint="cs"/>
          <w:i/>
          <w:iCs/>
          <w:rtl/>
        </w:rPr>
      </w:pPr>
      <w:r w:rsidRPr="009C1E51">
        <w:rPr>
          <w:rFonts w:hint="cs"/>
          <w:i/>
          <w:iCs/>
          <w:rtl/>
        </w:rPr>
        <w:t xml:space="preserve">25 </w:t>
      </w:r>
      <w:r w:rsidRPr="009C1E51">
        <w:rPr>
          <w:rFonts w:hint="cs"/>
          <w:i/>
          <w:iCs/>
          <w:sz w:val="30"/>
          <w:rtl/>
        </w:rPr>
        <w:t xml:space="preserve">أيلول/سبتمبر </w:t>
      </w:r>
      <w:r w:rsidRPr="009C1E51">
        <w:rPr>
          <w:rFonts w:hint="cs"/>
          <w:i/>
          <w:iCs/>
          <w:rtl/>
        </w:rPr>
        <w:t>2014</w:t>
      </w:r>
    </w:p>
    <w:p w:rsidR="009C1E51" w:rsidRPr="009C1E51" w:rsidRDefault="009C1E51" w:rsidP="009C1E51">
      <w:pPr>
        <w:pStyle w:val="SingleTxtGA"/>
        <w:rPr>
          <w:rFonts w:hint="cs"/>
          <w:rtl/>
        </w:rPr>
      </w:pPr>
      <w:r>
        <w:rPr>
          <w:rFonts w:hint="cs"/>
          <w:rtl/>
        </w:rPr>
        <w:t>[اعتُمد بدون تصويت.]</w:t>
      </w:r>
    </w:p>
    <w:p w:rsidR="009C1E51" w:rsidRPr="009C1E51" w:rsidRDefault="009C1E51" w:rsidP="009C1E51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8B4BC6" w:rsidRPr="009A0C39" w:rsidRDefault="008B4BC6" w:rsidP="00E05DE3">
      <w:pPr>
        <w:spacing w:line="380" w:lineRule="exact"/>
        <w:rPr>
          <w:rFonts w:hint="cs"/>
          <w:rtl/>
        </w:rPr>
      </w:pPr>
    </w:p>
    <w:sectPr w:rsidR="008B4BC6" w:rsidRPr="009A0C39" w:rsidSect="00380E8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6" w:h="16838" w:code="9"/>
      <w:pgMar w:top="1701" w:right="1134" w:bottom="2268" w:left="1134" w:header="1134" w:footer="1701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DA" w:rsidRPr="00FE6865" w:rsidRDefault="006A41DA" w:rsidP="00FE6865">
      <w:pPr>
        <w:pStyle w:val="Footer"/>
      </w:pPr>
    </w:p>
  </w:endnote>
  <w:endnote w:type="continuationSeparator" w:id="0">
    <w:p w:rsidR="006A41DA" w:rsidRDefault="006A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DA" w:rsidRPr="00380E84" w:rsidRDefault="006A41DA" w:rsidP="00380E84">
    <w:pPr>
      <w:pStyle w:val="Footer"/>
      <w:tabs>
        <w:tab w:val="right" w:pos="9598"/>
      </w:tabs>
    </w:pPr>
    <w:r>
      <w:t>GE.14-17872</w:t>
    </w:r>
    <w:r>
      <w:tab/>
    </w:r>
    <w:r w:rsidRPr="00380E84">
      <w:rPr>
        <w:b/>
        <w:sz w:val="18"/>
      </w:rPr>
      <w:fldChar w:fldCharType="begin"/>
    </w:r>
    <w:r w:rsidRPr="00380E84">
      <w:rPr>
        <w:b/>
        <w:sz w:val="18"/>
      </w:rPr>
      <w:instrText xml:space="preserve"> PAGE  \* MERGEFORMAT </w:instrText>
    </w:r>
    <w:r w:rsidRPr="00380E84">
      <w:rPr>
        <w:b/>
        <w:sz w:val="18"/>
      </w:rPr>
      <w:fldChar w:fldCharType="separate"/>
    </w:r>
    <w:r>
      <w:rPr>
        <w:b/>
        <w:noProof/>
        <w:sz w:val="18"/>
      </w:rPr>
      <w:t>4</w:t>
    </w:r>
    <w:r w:rsidRPr="00380E84"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DA" w:rsidRPr="00380E84" w:rsidRDefault="006A41DA" w:rsidP="00380E84">
    <w:pPr>
      <w:pStyle w:val="Footer"/>
      <w:tabs>
        <w:tab w:val="right" w:pos="9598"/>
      </w:tabs>
      <w:rPr>
        <w:b/>
        <w:sz w:val="18"/>
      </w:rPr>
    </w:pPr>
    <w:r w:rsidRPr="00380E84">
      <w:rPr>
        <w:b/>
        <w:sz w:val="18"/>
      </w:rPr>
      <w:fldChar w:fldCharType="begin"/>
    </w:r>
    <w:r w:rsidRPr="00380E84">
      <w:rPr>
        <w:b/>
        <w:sz w:val="18"/>
      </w:rPr>
      <w:instrText xml:space="preserve"> PAGE  \* MERGEFORMAT </w:instrText>
    </w:r>
    <w:r w:rsidRPr="00380E84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380E84">
      <w:rPr>
        <w:b/>
        <w:sz w:val="18"/>
      </w:rPr>
      <w:fldChar w:fldCharType="end"/>
    </w:r>
    <w:r>
      <w:rPr>
        <w:b/>
        <w:sz w:val="18"/>
      </w:rPr>
      <w:tab/>
    </w:r>
    <w:r>
      <w:t>GE.14-17872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DA" w:rsidRDefault="006A41DA" w:rsidP="00380E84">
    <w:pPr>
      <w:pStyle w:val="Footer"/>
      <w:jc w:val="right"/>
      <w:rPr>
        <w:rFonts w:hint="cs"/>
      </w:rPr>
    </w:pPr>
    <w:r>
      <w:rPr>
        <w:sz w:val="20"/>
      </w:rPr>
      <w:t>(A)   GE.14-17872</w: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6.7pt;margin-top:646.4pt;width:91.5pt;height:25.5pt;z-index:-2;mso-position-horizontal-relative:margin;mso-position-vertical-relative:margin" wrapcoords="-177 0 -177 20965 21600 20965 21600 0 -177 0" o:allowincell="f">
          <v:imagedata r:id="rId1" o:title="PleaseRecycleArabic"/>
          <w10:wrap type="tight" anchorx="margin" anchory="margin"/>
          <w10:anchorlock/>
        </v:shape>
      </w:pict>
    </w:r>
    <w:r>
      <w:rPr>
        <w:sz w:val="20"/>
      </w:rPr>
      <w:t xml:space="preserve">     131014     141014</w:t>
    </w:r>
    <w:r>
      <w:br/>
    </w:r>
    <w:r w:rsidRPr="000C1781">
      <w:rPr>
        <w:rFonts w:ascii="C39T30Lfz" w:hAnsi="C39T30Lfz"/>
        <w:sz w:val="56"/>
      </w:rPr>
      <w:t></w:t>
    </w:r>
    <w:r w:rsidRPr="000C1781">
      <w:rPr>
        <w:rFonts w:ascii="C39T30Lfz" w:hAnsi="C39T30Lfz"/>
        <w:sz w:val="56"/>
      </w:rPr>
      <w:t></w:t>
    </w:r>
    <w:r w:rsidRPr="000C1781">
      <w:rPr>
        <w:rFonts w:ascii="C39T30Lfz" w:hAnsi="C39T30Lfz"/>
        <w:sz w:val="56"/>
      </w:rPr>
      <w:t></w:t>
    </w:r>
    <w:r w:rsidRPr="000C1781">
      <w:rPr>
        <w:rFonts w:ascii="C39T30Lfz" w:hAnsi="C39T30Lfz"/>
        <w:sz w:val="56"/>
      </w:rPr>
      <w:t></w:t>
    </w:r>
    <w:r w:rsidRPr="000C1781">
      <w:rPr>
        <w:rFonts w:ascii="C39T30Lfz" w:hAnsi="C39T30Lfz"/>
        <w:sz w:val="56"/>
      </w:rPr>
      <w:t></w:t>
    </w:r>
    <w:r w:rsidRPr="000C1781">
      <w:rPr>
        <w:rFonts w:ascii="C39T30Lfz" w:hAnsi="C39T30Lfz"/>
        <w:sz w:val="56"/>
      </w:rPr>
      <w:t></w:t>
    </w:r>
    <w:r w:rsidRPr="000C1781">
      <w:rPr>
        <w:rFonts w:ascii="C39T30Lfz" w:hAnsi="C39T30Lfz"/>
        <w:sz w:val="56"/>
      </w:rPr>
      <w:t></w:t>
    </w:r>
    <w:r w:rsidRPr="000C1781">
      <w:rPr>
        <w:rFonts w:ascii="C39T30Lfz" w:hAnsi="C39T30Lfz"/>
        <w:sz w:val="56"/>
      </w:rPr>
      <w:t></w:t>
    </w:r>
    <w:r w:rsidRPr="000C1781">
      <w:rPr>
        <w:rFonts w:ascii="C39T30Lfz" w:hAnsi="C39T30Lfz"/>
        <w:sz w:val="56"/>
      </w:rPr>
      <w:t></w:t>
    </w:r>
    <w:r>
      <w:rPr>
        <w:noProof/>
        <w:lang w:val="en-US"/>
      </w:rPr>
      <w:pict>
        <v:shape id="_x0000_s2051" type="#_x0000_t75" style="position:absolute;left:0;text-align:left;margin-left:.05pt;margin-top:0;width:50.25pt;height:50.25pt;z-index:2;mso-position-horizontal-relative:text;mso-position-vertical-relative:text" o:allowincell="f">
          <v:imagedata r:id="rId2" o:title="3&amp;Size=2&amp;Lang=A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DA" w:rsidRDefault="006A41DA" w:rsidP="009A0C39">
      <w:pPr>
        <w:spacing w:after="80" w:line="200" w:lineRule="atLeast"/>
        <w:ind w:left="680"/>
      </w:pPr>
      <w:r w:rsidRPr="00C10C26">
        <w:rPr>
          <w:sz w:val="16"/>
          <w:rtl/>
        </w:rPr>
        <w:t>__________</w:t>
      </w:r>
    </w:p>
  </w:footnote>
  <w:footnote w:type="continuationSeparator" w:id="0">
    <w:p w:rsidR="006A41DA" w:rsidRDefault="006A41DA" w:rsidP="00444AA6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id="1">
    <w:p w:rsidR="006A41DA" w:rsidRPr="00A47412" w:rsidRDefault="006A41DA" w:rsidP="00380E84">
      <w:pPr>
        <w:pStyle w:val="FootnoteText"/>
        <w:numPr>
          <w:ilvl w:val="0"/>
          <w:numId w:val="40"/>
        </w:numPr>
        <w:tabs>
          <w:tab w:val="clear" w:pos="1301"/>
        </w:tabs>
        <w:spacing w:after="60" w:line="300" w:lineRule="exact"/>
        <w:ind w:left="1247" w:right="1247"/>
        <w:rPr>
          <w:rFonts w:hint="cs"/>
          <w:sz w:val="18"/>
          <w:szCs w:val="26"/>
        </w:rPr>
      </w:pPr>
      <w:r w:rsidRPr="00A47412">
        <w:rPr>
          <w:sz w:val="18"/>
          <w:szCs w:val="26"/>
          <w:lang w:val="es-ES"/>
        </w:rPr>
        <w:t>E/CN.4/Sub.2/1997/20/Rev.1</w:t>
      </w:r>
      <w:r w:rsidRPr="00A47412">
        <w:rPr>
          <w:rFonts w:hint="cs"/>
          <w:sz w:val="18"/>
          <w:szCs w:val="26"/>
          <w:rtl/>
        </w:rPr>
        <w:t>، المرفق الثاني.</w:t>
      </w:r>
    </w:p>
  </w:footnote>
  <w:footnote w:id="2">
    <w:p w:rsidR="006A41DA" w:rsidRPr="00A47412" w:rsidRDefault="006A41DA" w:rsidP="000C1781">
      <w:pPr>
        <w:pStyle w:val="FootnoteText"/>
        <w:numPr>
          <w:ilvl w:val="0"/>
          <w:numId w:val="40"/>
        </w:numPr>
        <w:tabs>
          <w:tab w:val="clear" w:pos="1301"/>
        </w:tabs>
        <w:spacing w:after="240" w:line="300" w:lineRule="exact"/>
        <w:ind w:left="1248" w:right="1247"/>
        <w:rPr>
          <w:sz w:val="18"/>
          <w:szCs w:val="26"/>
          <w:lang w:val="es-ES"/>
        </w:rPr>
      </w:pPr>
      <w:r w:rsidRPr="00A47412">
        <w:rPr>
          <w:sz w:val="18"/>
          <w:szCs w:val="26"/>
          <w:lang w:val="es-ES"/>
        </w:rPr>
        <w:t>E/CN.4/2005/102/Add.1</w:t>
      </w:r>
      <w:r>
        <w:rPr>
          <w:rFonts w:hint="cs"/>
          <w:sz w:val="18"/>
          <w:szCs w:val="26"/>
          <w:rtl/>
          <w:lang w:val="es-ES"/>
        </w:rPr>
        <w:t>.</w:t>
      </w:r>
    </w:p>
  </w:footnote>
  <w:footnote w:id="3">
    <w:p w:rsidR="006A41DA" w:rsidRPr="00A47412" w:rsidRDefault="006A41DA" w:rsidP="00380E84">
      <w:pPr>
        <w:pStyle w:val="FootnoteText"/>
        <w:numPr>
          <w:ilvl w:val="0"/>
          <w:numId w:val="40"/>
        </w:numPr>
        <w:tabs>
          <w:tab w:val="clear" w:pos="1301"/>
        </w:tabs>
        <w:spacing w:after="60" w:line="300" w:lineRule="exact"/>
        <w:ind w:left="1247" w:right="1247"/>
        <w:rPr>
          <w:sz w:val="18"/>
          <w:szCs w:val="26"/>
          <w:lang w:val="es-ES"/>
        </w:rPr>
      </w:pPr>
      <w:r w:rsidRPr="00A47412">
        <w:rPr>
          <w:sz w:val="18"/>
          <w:szCs w:val="26"/>
          <w:lang w:val="es-ES"/>
        </w:rPr>
        <w:t>S/2004/616</w:t>
      </w:r>
      <w:r>
        <w:rPr>
          <w:rFonts w:hint="cs"/>
          <w:sz w:val="18"/>
          <w:szCs w:val="26"/>
          <w:rtl/>
          <w:lang w:val="es-ES"/>
        </w:rPr>
        <w:t>.</w:t>
      </w:r>
    </w:p>
  </w:footnote>
  <w:footnote w:id="4">
    <w:p w:rsidR="006A41DA" w:rsidRPr="00A47412" w:rsidRDefault="006A41DA" w:rsidP="00380E84">
      <w:pPr>
        <w:pStyle w:val="FootnoteText"/>
        <w:numPr>
          <w:ilvl w:val="0"/>
          <w:numId w:val="40"/>
        </w:numPr>
        <w:tabs>
          <w:tab w:val="clear" w:pos="1301"/>
        </w:tabs>
        <w:spacing w:after="60" w:line="300" w:lineRule="exact"/>
        <w:ind w:left="1247" w:right="1247"/>
        <w:rPr>
          <w:sz w:val="18"/>
          <w:szCs w:val="26"/>
          <w:lang w:val="es-ES"/>
        </w:rPr>
      </w:pPr>
      <w:r w:rsidRPr="00A47412">
        <w:rPr>
          <w:sz w:val="18"/>
          <w:szCs w:val="26"/>
          <w:lang w:val="es-ES"/>
        </w:rPr>
        <w:t>S/2011/634</w:t>
      </w:r>
      <w:r>
        <w:rPr>
          <w:rFonts w:hint="cs"/>
          <w:sz w:val="18"/>
          <w:szCs w:val="26"/>
          <w:rtl/>
          <w:lang w:val="es-ES"/>
        </w:rPr>
        <w:t>.</w:t>
      </w:r>
    </w:p>
  </w:footnote>
  <w:footnote w:id="5">
    <w:p w:rsidR="006A41DA" w:rsidRPr="00A47412" w:rsidRDefault="006A41DA" w:rsidP="00380E84">
      <w:pPr>
        <w:pStyle w:val="FootnoteText"/>
        <w:numPr>
          <w:ilvl w:val="0"/>
          <w:numId w:val="40"/>
        </w:numPr>
        <w:tabs>
          <w:tab w:val="clear" w:pos="1301"/>
        </w:tabs>
        <w:spacing w:after="60" w:line="300" w:lineRule="exact"/>
        <w:ind w:left="1247" w:right="1247"/>
        <w:rPr>
          <w:sz w:val="18"/>
          <w:szCs w:val="26"/>
          <w:lang w:val="es-ES"/>
        </w:rPr>
      </w:pPr>
      <w:r>
        <w:rPr>
          <w:sz w:val="18"/>
          <w:szCs w:val="26"/>
          <w:lang w:val="es-ES"/>
        </w:rPr>
        <w:t>A/61/636-S/2006/980</w:t>
      </w:r>
      <w:r>
        <w:rPr>
          <w:rFonts w:hint="cs"/>
          <w:sz w:val="18"/>
          <w:szCs w:val="26"/>
          <w:rtl/>
          <w:lang w:val="es-ES"/>
        </w:rPr>
        <w:t xml:space="preserve"> و</w:t>
      </w:r>
      <w:r w:rsidRPr="00A47412">
        <w:rPr>
          <w:sz w:val="18"/>
          <w:szCs w:val="26"/>
          <w:lang w:val="es-ES"/>
        </w:rPr>
        <w:t>Corr.1</w:t>
      </w:r>
      <w:r>
        <w:rPr>
          <w:rFonts w:hint="cs"/>
          <w:sz w:val="18"/>
          <w:szCs w:val="26"/>
          <w:rtl/>
          <w:lang w:val="es-ES"/>
        </w:rPr>
        <w:t>.</w:t>
      </w:r>
    </w:p>
  </w:footnote>
  <w:footnote w:id="6">
    <w:p w:rsidR="006A41DA" w:rsidRPr="00A47412" w:rsidRDefault="006A41DA" w:rsidP="00380E84">
      <w:pPr>
        <w:pStyle w:val="FootnoteText"/>
        <w:numPr>
          <w:ilvl w:val="0"/>
          <w:numId w:val="40"/>
        </w:numPr>
        <w:tabs>
          <w:tab w:val="clear" w:pos="1301"/>
        </w:tabs>
        <w:spacing w:after="60" w:line="300" w:lineRule="exact"/>
        <w:ind w:left="1247" w:right="1247"/>
        <w:rPr>
          <w:sz w:val="18"/>
          <w:szCs w:val="26"/>
          <w:lang w:val="es-ES"/>
        </w:rPr>
      </w:pPr>
      <w:r w:rsidRPr="00A47412">
        <w:rPr>
          <w:sz w:val="18"/>
          <w:szCs w:val="26"/>
          <w:lang w:val="es-ES"/>
        </w:rPr>
        <w:t>A/66/749</w:t>
      </w:r>
      <w:r>
        <w:rPr>
          <w:rFonts w:hint="cs"/>
          <w:sz w:val="18"/>
          <w:szCs w:val="26"/>
          <w:rtl/>
          <w:lang w:val="es-ES"/>
        </w:rPr>
        <w:t>.</w:t>
      </w:r>
    </w:p>
  </w:footnote>
  <w:footnote w:id="7">
    <w:p w:rsidR="006A41DA" w:rsidRPr="00A47412" w:rsidRDefault="006A41DA" w:rsidP="00380E84">
      <w:pPr>
        <w:pStyle w:val="FootnoteText"/>
        <w:numPr>
          <w:ilvl w:val="0"/>
          <w:numId w:val="40"/>
        </w:numPr>
        <w:tabs>
          <w:tab w:val="clear" w:pos="1301"/>
        </w:tabs>
        <w:spacing w:after="60" w:line="300" w:lineRule="exact"/>
        <w:ind w:left="1247" w:right="1247"/>
        <w:rPr>
          <w:sz w:val="18"/>
          <w:szCs w:val="26"/>
          <w:lang w:val="es-ES"/>
        </w:rPr>
      </w:pPr>
      <w:r w:rsidRPr="00A47412">
        <w:rPr>
          <w:sz w:val="18"/>
          <w:szCs w:val="26"/>
          <w:lang w:val="es-ES"/>
        </w:rPr>
        <w:t>S/2013/341</w:t>
      </w:r>
      <w:r>
        <w:rPr>
          <w:rFonts w:hint="cs"/>
          <w:sz w:val="18"/>
          <w:szCs w:val="26"/>
          <w:rtl/>
          <w:lang w:val="es-ES"/>
        </w:rPr>
        <w:t>.</w:t>
      </w:r>
    </w:p>
  </w:footnote>
  <w:footnote w:id="8">
    <w:p w:rsidR="006A41DA" w:rsidRPr="00A47412" w:rsidRDefault="006A41DA" w:rsidP="00380E84">
      <w:pPr>
        <w:pStyle w:val="FootnoteText"/>
        <w:numPr>
          <w:ilvl w:val="0"/>
          <w:numId w:val="40"/>
        </w:numPr>
        <w:tabs>
          <w:tab w:val="clear" w:pos="1301"/>
        </w:tabs>
        <w:spacing w:after="60" w:line="300" w:lineRule="exact"/>
        <w:ind w:left="1247" w:right="1247"/>
        <w:rPr>
          <w:sz w:val="18"/>
          <w:szCs w:val="26"/>
          <w:lang w:val="es-ES"/>
        </w:rPr>
      </w:pPr>
      <w:r w:rsidRPr="00A47412">
        <w:rPr>
          <w:sz w:val="18"/>
          <w:szCs w:val="26"/>
          <w:lang w:val="es-ES"/>
        </w:rPr>
        <w:t>A/68/213/Add.1</w:t>
      </w:r>
      <w:r>
        <w:rPr>
          <w:rFonts w:hint="cs"/>
          <w:sz w:val="18"/>
          <w:szCs w:val="26"/>
          <w:rtl/>
          <w:lang w:val="es-ES"/>
        </w:rPr>
        <w:t xml:space="preserve"> و</w:t>
      </w:r>
      <w:r w:rsidRPr="00A47412">
        <w:rPr>
          <w:sz w:val="18"/>
          <w:szCs w:val="26"/>
          <w:lang w:val="es-ES"/>
        </w:rPr>
        <w:t>A/69/181</w:t>
      </w:r>
      <w:r>
        <w:rPr>
          <w:rFonts w:hint="cs"/>
          <w:sz w:val="18"/>
          <w:szCs w:val="26"/>
          <w:rtl/>
          <w:lang w:val="es-ES"/>
        </w:rPr>
        <w:t>.</w:t>
      </w:r>
    </w:p>
  </w:footnote>
  <w:footnote w:id="9">
    <w:p w:rsidR="006A41DA" w:rsidRPr="00A47412" w:rsidRDefault="006A41DA" w:rsidP="00380E84">
      <w:pPr>
        <w:pStyle w:val="FootnoteText"/>
        <w:numPr>
          <w:ilvl w:val="0"/>
          <w:numId w:val="40"/>
        </w:numPr>
        <w:tabs>
          <w:tab w:val="clear" w:pos="1301"/>
        </w:tabs>
        <w:spacing w:after="60" w:line="300" w:lineRule="exact"/>
        <w:ind w:left="1247" w:right="1247"/>
        <w:rPr>
          <w:sz w:val="18"/>
          <w:szCs w:val="26"/>
          <w:lang w:val="es-ES"/>
        </w:rPr>
      </w:pPr>
      <w:r w:rsidRPr="00A47412">
        <w:rPr>
          <w:sz w:val="18"/>
          <w:szCs w:val="26"/>
          <w:lang w:val="es-ES"/>
        </w:rPr>
        <w:t>A/HRC/21/46</w:t>
      </w:r>
      <w:r w:rsidRPr="00A47412">
        <w:rPr>
          <w:sz w:val="18"/>
          <w:szCs w:val="26"/>
          <w:rtl/>
          <w:lang w:val="es-ES"/>
        </w:rPr>
        <w:t>.</w:t>
      </w:r>
    </w:p>
  </w:footnote>
  <w:footnote w:id="10">
    <w:p w:rsidR="006A41DA" w:rsidRPr="00A47412" w:rsidRDefault="006A41DA" w:rsidP="00380E84">
      <w:pPr>
        <w:pStyle w:val="FootnoteText"/>
        <w:numPr>
          <w:ilvl w:val="0"/>
          <w:numId w:val="40"/>
        </w:numPr>
        <w:tabs>
          <w:tab w:val="clear" w:pos="1301"/>
        </w:tabs>
        <w:spacing w:after="60" w:line="300" w:lineRule="exact"/>
        <w:ind w:left="1247" w:right="1247"/>
        <w:rPr>
          <w:sz w:val="18"/>
          <w:szCs w:val="26"/>
          <w:lang w:val="es-ES"/>
        </w:rPr>
      </w:pPr>
      <w:r w:rsidRPr="00A47412">
        <w:rPr>
          <w:sz w:val="18"/>
          <w:szCs w:val="26"/>
          <w:lang w:val="es-ES"/>
        </w:rPr>
        <w:t>A/HRC/24/42</w:t>
      </w:r>
      <w:r>
        <w:rPr>
          <w:rFonts w:hint="cs"/>
          <w:sz w:val="18"/>
          <w:szCs w:val="26"/>
          <w:rtl/>
          <w:lang w:val="es-ES"/>
        </w:rPr>
        <w:t>.</w:t>
      </w:r>
    </w:p>
  </w:footnote>
  <w:footnote w:id="11">
    <w:p w:rsidR="006A41DA" w:rsidRPr="00A47412" w:rsidRDefault="006A41DA" w:rsidP="00380E84">
      <w:pPr>
        <w:pStyle w:val="FootnoteText"/>
        <w:numPr>
          <w:ilvl w:val="0"/>
          <w:numId w:val="40"/>
        </w:numPr>
        <w:tabs>
          <w:tab w:val="clear" w:pos="1301"/>
        </w:tabs>
        <w:spacing w:after="60" w:line="300" w:lineRule="exact"/>
        <w:ind w:left="1247" w:right="1247"/>
        <w:rPr>
          <w:sz w:val="18"/>
          <w:szCs w:val="26"/>
          <w:lang w:val="es-ES"/>
        </w:rPr>
      </w:pPr>
      <w:r w:rsidRPr="00A47412">
        <w:rPr>
          <w:sz w:val="18"/>
          <w:szCs w:val="26"/>
          <w:lang w:val="es-ES"/>
        </w:rPr>
        <w:t>A/HRC/27/56</w:t>
      </w:r>
      <w:r>
        <w:rPr>
          <w:rFonts w:hint="cs"/>
          <w:sz w:val="18"/>
          <w:szCs w:val="26"/>
          <w:rtl/>
          <w:lang w:val="es-ES"/>
        </w:rPr>
        <w:t>.</w:t>
      </w:r>
    </w:p>
  </w:footnote>
  <w:footnote w:id="12">
    <w:p w:rsidR="006A41DA" w:rsidRPr="00A47412" w:rsidRDefault="006A41DA" w:rsidP="00380E84">
      <w:pPr>
        <w:pStyle w:val="FootnoteText"/>
        <w:numPr>
          <w:ilvl w:val="0"/>
          <w:numId w:val="40"/>
        </w:numPr>
        <w:tabs>
          <w:tab w:val="clear" w:pos="1301"/>
        </w:tabs>
        <w:spacing w:after="60" w:line="300" w:lineRule="exact"/>
        <w:ind w:left="1247" w:right="1247"/>
        <w:rPr>
          <w:sz w:val="18"/>
          <w:szCs w:val="26"/>
          <w:lang w:val="es-ES"/>
        </w:rPr>
      </w:pPr>
      <w:r w:rsidRPr="00A47412">
        <w:rPr>
          <w:sz w:val="18"/>
          <w:szCs w:val="26"/>
          <w:lang w:val="es-ES"/>
        </w:rPr>
        <w:t>A/67/368</w:t>
      </w:r>
      <w:r>
        <w:rPr>
          <w:rFonts w:hint="cs"/>
          <w:sz w:val="18"/>
          <w:szCs w:val="26"/>
          <w:rtl/>
          <w:lang w:val="es-ES"/>
        </w:rPr>
        <w:t>.</w:t>
      </w:r>
    </w:p>
  </w:footnote>
  <w:footnote w:id="13">
    <w:p w:rsidR="006A41DA" w:rsidRPr="00A47412" w:rsidRDefault="006A41DA" w:rsidP="00380E84">
      <w:pPr>
        <w:pStyle w:val="FootnoteText"/>
        <w:numPr>
          <w:ilvl w:val="0"/>
          <w:numId w:val="40"/>
        </w:numPr>
        <w:tabs>
          <w:tab w:val="clear" w:pos="1301"/>
        </w:tabs>
        <w:spacing w:after="60" w:line="300" w:lineRule="exact"/>
        <w:ind w:left="1247" w:right="1247"/>
        <w:rPr>
          <w:sz w:val="18"/>
          <w:szCs w:val="26"/>
          <w:lang w:val="es-ES"/>
        </w:rPr>
      </w:pPr>
      <w:r w:rsidRPr="00A47412">
        <w:rPr>
          <w:sz w:val="18"/>
          <w:szCs w:val="26"/>
          <w:lang w:val="es-ES"/>
        </w:rPr>
        <w:t>A/68/345</w:t>
      </w:r>
      <w:r>
        <w:rPr>
          <w:rFonts w:hint="cs"/>
          <w:sz w:val="18"/>
          <w:szCs w:val="26"/>
          <w:rtl/>
          <w:lang w:val="es-E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DA" w:rsidRPr="00380E84" w:rsidRDefault="006A41DA" w:rsidP="00380E84">
    <w:pPr>
      <w:pStyle w:val="Header"/>
      <w:jc w:val="right"/>
    </w:pPr>
    <w:r w:rsidRPr="00380E84">
      <w:t>A/HRC/RES/27/3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DA" w:rsidRPr="00380E84" w:rsidRDefault="006A41DA" w:rsidP="00380E84">
    <w:pPr>
      <w:pStyle w:val="Header"/>
      <w:jc w:val="left"/>
    </w:pPr>
    <w:r w:rsidRPr="00380E84">
      <w:t>A/HRC/RES/27/3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638D8"/>
    <w:multiLevelType w:val="hybridMultilevel"/>
    <w:tmpl w:val="7608B038"/>
    <w:lvl w:ilvl="0" w:tplc="A63A7296">
      <w:start w:val="1"/>
      <w:numFmt w:val="decimal"/>
      <w:lvlRestart w:val="0"/>
      <w:lvlText w:val="(%1)"/>
      <w:lvlJc w:val="right"/>
      <w:pPr>
        <w:tabs>
          <w:tab w:val="num" w:pos="1301"/>
        </w:tabs>
        <w:ind w:left="1301" w:hanging="227"/>
      </w:pPr>
      <w:rPr>
        <w:rFonts w:ascii="Traditional Arabic" w:hAnsi="Traditional Arabic" w:cs="Traditional Arabic" w:hint="cs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8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57F2ECF"/>
    <w:multiLevelType w:val="hybridMultilevel"/>
    <w:tmpl w:val="B456FE92"/>
    <w:lvl w:ilvl="0" w:tplc="08FACCEA">
      <w:start w:val="1"/>
      <w:numFmt w:val="decimal"/>
      <w:lvlRestart w:val="0"/>
      <w:lvlText w:val="(%1)"/>
      <w:lvlJc w:val="right"/>
      <w:pPr>
        <w:tabs>
          <w:tab w:val="num" w:pos="1295"/>
        </w:tabs>
        <w:ind w:left="1295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0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11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3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6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3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3"/>
  </w:num>
  <w:num w:numId="5">
    <w:abstractNumId w:val="10"/>
  </w:num>
  <w:num w:numId="6">
    <w:abstractNumId w:val="22"/>
  </w:num>
  <w:num w:numId="7">
    <w:abstractNumId w:val="12"/>
  </w:num>
  <w:num w:numId="8">
    <w:abstractNumId w:val="11"/>
  </w:num>
  <w:num w:numId="9">
    <w:abstractNumId w:val="14"/>
  </w:num>
  <w:num w:numId="10">
    <w:abstractNumId w:val="21"/>
  </w:num>
  <w:num w:numId="11">
    <w:abstractNumId w:val="2"/>
  </w:num>
  <w:num w:numId="12">
    <w:abstractNumId w:val="15"/>
  </w:num>
  <w:num w:numId="13">
    <w:abstractNumId w:val="13"/>
  </w:num>
  <w:num w:numId="14">
    <w:abstractNumId w:val="10"/>
  </w:num>
  <w:num w:numId="15">
    <w:abstractNumId w:val="22"/>
  </w:num>
  <w:num w:numId="16">
    <w:abstractNumId w:val="2"/>
  </w:num>
  <w:num w:numId="17">
    <w:abstractNumId w:val="15"/>
  </w:num>
  <w:num w:numId="18">
    <w:abstractNumId w:val="13"/>
  </w:num>
  <w:num w:numId="19">
    <w:abstractNumId w:val="10"/>
  </w:num>
  <w:num w:numId="20">
    <w:abstractNumId w:val="22"/>
  </w:num>
  <w:num w:numId="21">
    <w:abstractNumId w:val="2"/>
  </w:num>
  <w:num w:numId="22">
    <w:abstractNumId w:val="15"/>
  </w:num>
  <w:num w:numId="23">
    <w:abstractNumId w:val="10"/>
  </w:num>
  <w:num w:numId="24">
    <w:abstractNumId w:val="22"/>
  </w:num>
  <w:num w:numId="25">
    <w:abstractNumId w:val="15"/>
  </w:num>
  <w:num w:numId="26">
    <w:abstractNumId w:val="2"/>
  </w:num>
  <w:num w:numId="27">
    <w:abstractNumId w:val="4"/>
  </w:num>
  <w:num w:numId="28">
    <w:abstractNumId w:val="3"/>
  </w:num>
  <w:num w:numId="29">
    <w:abstractNumId w:val="17"/>
  </w:num>
  <w:num w:numId="30">
    <w:abstractNumId w:val="5"/>
  </w:num>
  <w:num w:numId="31">
    <w:abstractNumId w:val="8"/>
  </w:num>
  <w:num w:numId="32">
    <w:abstractNumId w:val="16"/>
  </w:num>
  <w:num w:numId="33">
    <w:abstractNumId w:val="19"/>
  </w:num>
  <w:num w:numId="34">
    <w:abstractNumId w:val="23"/>
  </w:num>
  <w:num w:numId="35">
    <w:abstractNumId w:val="6"/>
  </w:num>
  <w:num w:numId="36">
    <w:abstractNumId w:val="18"/>
  </w:num>
  <w:num w:numId="37">
    <w:abstractNumId w:val="20"/>
  </w:num>
  <w:num w:numId="38">
    <w:abstractNumId w:val="0"/>
  </w:num>
  <w:num w:numId="39">
    <w:abstractNumId w:val="7"/>
  </w:num>
  <w:num w:numId="40">
    <w:abstractNumId w:val="1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ar-SA" w:vendorID="4" w:dllVersion="512" w:checkStyle="0"/>
  <w:attachedTemplate r:id="rId1"/>
  <w:stylePaneFormatFilter w:val="1F01"/>
  <w:doNotTrackMoves/>
  <w:defaultTabStop w:val="680"/>
  <w:evenAndOddHeaders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D83"/>
    <w:rsid w:val="00040E25"/>
    <w:rsid w:val="00042149"/>
    <w:rsid w:val="000648EA"/>
    <w:rsid w:val="000957C8"/>
    <w:rsid w:val="000B52F2"/>
    <w:rsid w:val="000C1781"/>
    <w:rsid w:val="000D0EAE"/>
    <w:rsid w:val="000D5380"/>
    <w:rsid w:val="000D6654"/>
    <w:rsid w:val="000F0264"/>
    <w:rsid w:val="000F2EBF"/>
    <w:rsid w:val="000F5FF6"/>
    <w:rsid w:val="00113FA5"/>
    <w:rsid w:val="001455A0"/>
    <w:rsid w:val="001602A3"/>
    <w:rsid w:val="001A5161"/>
    <w:rsid w:val="001A60BD"/>
    <w:rsid w:val="0023736D"/>
    <w:rsid w:val="00257225"/>
    <w:rsid w:val="00275860"/>
    <w:rsid w:val="002B415E"/>
    <w:rsid w:val="00310160"/>
    <w:rsid w:val="00341A8C"/>
    <w:rsid w:val="003519E6"/>
    <w:rsid w:val="00380E84"/>
    <w:rsid w:val="003B4356"/>
    <w:rsid w:val="003D5D43"/>
    <w:rsid w:val="003F08A8"/>
    <w:rsid w:val="004250E3"/>
    <w:rsid w:val="00444AA6"/>
    <w:rsid w:val="00472A81"/>
    <w:rsid w:val="004B2C92"/>
    <w:rsid w:val="004D6A3A"/>
    <w:rsid w:val="004F4AD7"/>
    <w:rsid w:val="005449D8"/>
    <w:rsid w:val="00557CD3"/>
    <w:rsid w:val="00571432"/>
    <w:rsid w:val="005732A2"/>
    <w:rsid w:val="005762A5"/>
    <w:rsid w:val="00590BA3"/>
    <w:rsid w:val="005A1A9A"/>
    <w:rsid w:val="005B7AE0"/>
    <w:rsid w:val="005F146F"/>
    <w:rsid w:val="005F71B6"/>
    <w:rsid w:val="00660FD4"/>
    <w:rsid w:val="006A41DA"/>
    <w:rsid w:val="006A4425"/>
    <w:rsid w:val="006B4669"/>
    <w:rsid w:val="006C768B"/>
    <w:rsid w:val="006E3473"/>
    <w:rsid w:val="006F150A"/>
    <w:rsid w:val="006F6BF8"/>
    <w:rsid w:val="00707BDF"/>
    <w:rsid w:val="00710727"/>
    <w:rsid w:val="00710DA1"/>
    <w:rsid w:val="00715F45"/>
    <w:rsid w:val="00731B84"/>
    <w:rsid w:val="00734AE7"/>
    <w:rsid w:val="00786B69"/>
    <w:rsid w:val="007B599E"/>
    <w:rsid w:val="007E197F"/>
    <w:rsid w:val="007F68C4"/>
    <w:rsid w:val="008153DE"/>
    <w:rsid w:val="00852A10"/>
    <w:rsid w:val="00862634"/>
    <w:rsid w:val="00866C59"/>
    <w:rsid w:val="00877306"/>
    <w:rsid w:val="00887B5C"/>
    <w:rsid w:val="008A2F81"/>
    <w:rsid w:val="008A6242"/>
    <w:rsid w:val="008B4BC6"/>
    <w:rsid w:val="00901E57"/>
    <w:rsid w:val="00935F0E"/>
    <w:rsid w:val="0095208F"/>
    <w:rsid w:val="00953629"/>
    <w:rsid w:val="00977B3F"/>
    <w:rsid w:val="009814AE"/>
    <w:rsid w:val="00983870"/>
    <w:rsid w:val="009858CC"/>
    <w:rsid w:val="00994B89"/>
    <w:rsid w:val="00996BBE"/>
    <w:rsid w:val="009A0C39"/>
    <w:rsid w:val="009C1E51"/>
    <w:rsid w:val="009D1DD5"/>
    <w:rsid w:val="00A11DDA"/>
    <w:rsid w:val="00A26157"/>
    <w:rsid w:val="00A265C3"/>
    <w:rsid w:val="00A43F9A"/>
    <w:rsid w:val="00A543D4"/>
    <w:rsid w:val="00AD0014"/>
    <w:rsid w:val="00AD4CF2"/>
    <w:rsid w:val="00AD5978"/>
    <w:rsid w:val="00AF0BBA"/>
    <w:rsid w:val="00B30468"/>
    <w:rsid w:val="00B54239"/>
    <w:rsid w:val="00B60E70"/>
    <w:rsid w:val="00B639B9"/>
    <w:rsid w:val="00BB2C41"/>
    <w:rsid w:val="00BC55C8"/>
    <w:rsid w:val="00BC5C10"/>
    <w:rsid w:val="00BE2964"/>
    <w:rsid w:val="00C24FBD"/>
    <w:rsid w:val="00C473BA"/>
    <w:rsid w:val="00C611ED"/>
    <w:rsid w:val="00C6490A"/>
    <w:rsid w:val="00C64FE1"/>
    <w:rsid w:val="00C66164"/>
    <w:rsid w:val="00C8345E"/>
    <w:rsid w:val="00CA4C17"/>
    <w:rsid w:val="00CA5F7C"/>
    <w:rsid w:val="00CE7C87"/>
    <w:rsid w:val="00D06637"/>
    <w:rsid w:val="00D51067"/>
    <w:rsid w:val="00D75657"/>
    <w:rsid w:val="00D960AD"/>
    <w:rsid w:val="00DA0E0E"/>
    <w:rsid w:val="00DB0C39"/>
    <w:rsid w:val="00DB7679"/>
    <w:rsid w:val="00DE3904"/>
    <w:rsid w:val="00DF1702"/>
    <w:rsid w:val="00DF4DD8"/>
    <w:rsid w:val="00DF668E"/>
    <w:rsid w:val="00E05DE3"/>
    <w:rsid w:val="00E14D2B"/>
    <w:rsid w:val="00E20D83"/>
    <w:rsid w:val="00E20DBA"/>
    <w:rsid w:val="00E660D6"/>
    <w:rsid w:val="00E771AB"/>
    <w:rsid w:val="00EA796F"/>
    <w:rsid w:val="00EB077B"/>
    <w:rsid w:val="00EC50B9"/>
    <w:rsid w:val="00ED26A0"/>
    <w:rsid w:val="00F04473"/>
    <w:rsid w:val="00F1727A"/>
    <w:rsid w:val="00F2569A"/>
    <w:rsid w:val="00F34764"/>
    <w:rsid w:val="00F54E3C"/>
    <w:rsid w:val="00F6057E"/>
    <w:rsid w:val="00F874BD"/>
    <w:rsid w:val="00FA6DD0"/>
    <w:rsid w:val="00FC2EF4"/>
    <w:rsid w:val="00FE55A3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2A2"/>
    <w:pPr>
      <w:bidi/>
      <w:spacing w:line="240" w:lineRule="atLeast"/>
      <w:jc w:val="lowKashida"/>
    </w:pPr>
    <w:rPr>
      <w:rFonts w:cs="Traditional Arabic"/>
      <w:szCs w:val="30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CA4C17"/>
    <w:pPr>
      <w:keepNext/>
      <w:keepLines/>
      <w:tabs>
        <w:tab w:val="right" w:pos="1021"/>
      </w:tabs>
      <w:suppressAutoHyphens/>
      <w:spacing w:before="24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983870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983870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basedOn w:val="DefaultParagraphFont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basedOn w:val="DefaultParagraphFont"/>
    <w:semiHidden/>
    <w:rsid w:val="00FE6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1</TotalTime>
  <Pages>5</Pages>
  <Words>1002</Words>
  <Characters>5716</Characters>
  <Application>Microsoft Office Outlook</Application>
  <DocSecurity>4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A/HRC/RES/27/3</vt:lpstr>
    </vt:vector>
  </TitlesOfParts>
  <Company>CSD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A/HRC/RES/27/3</dc:title>
  <dc:subject>elhaj</dc:subject>
  <dc:creator>BUHNAM</dc:creator>
  <cp:keywords/>
  <dc:description/>
  <cp:lastModifiedBy>TPS</cp:lastModifiedBy>
  <cp:revision>2</cp:revision>
  <cp:lastPrinted>2014-10-14T09:45:00Z</cp:lastPrinted>
  <dcterms:created xsi:type="dcterms:W3CDTF">2014-10-14T13:25:00Z</dcterms:created>
  <dcterms:modified xsi:type="dcterms:W3CDTF">2014-10-14T13:25:00Z</dcterms:modified>
</cp:coreProperties>
</file>