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F53D4C">
        <w:trPr>
          <w:trHeight w:hRule="exact" w:val="851"/>
        </w:trPr>
        <w:tc>
          <w:tcPr>
            <w:tcW w:w="1280" w:type="dxa"/>
            <w:tcBorders>
              <w:bottom w:val="single" w:sz="4" w:space="0" w:color="auto"/>
            </w:tcBorders>
          </w:tcPr>
          <w:p w:rsidR="00F53D4C" w:rsidRDefault="00F53D4C">
            <w:pPr>
              <w:rPr>
                <w:rFonts w:hint="eastAsia"/>
              </w:rPr>
            </w:pPr>
          </w:p>
        </w:tc>
        <w:tc>
          <w:tcPr>
            <w:tcW w:w="2273" w:type="dxa"/>
            <w:tcBorders>
              <w:bottom w:val="single" w:sz="4" w:space="0" w:color="auto"/>
            </w:tcBorders>
            <w:vAlign w:val="bottom"/>
          </w:tcPr>
          <w:p w:rsidR="00F53D4C" w:rsidRDefault="00F53D4C">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F53D4C" w:rsidRDefault="00F53D4C" w:rsidP="00AE4D20">
            <w:pPr>
              <w:spacing w:line="240" w:lineRule="atLeast"/>
              <w:jc w:val="right"/>
              <w:rPr>
                <w:rFonts w:hint="eastAsia"/>
                <w:szCs w:val="21"/>
              </w:rPr>
            </w:pPr>
            <w:r>
              <w:rPr>
                <w:sz w:val="40"/>
                <w:szCs w:val="40"/>
              </w:rPr>
              <w:t>A</w:t>
            </w:r>
            <w:r w:rsidRPr="00637834">
              <w:rPr>
                <w:sz w:val="20"/>
              </w:rPr>
              <w:t>/</w:t>
            </w:r>
            <w:proofErr w:type="spellStart"/>
            <w:r w:rsidRPr="00637834">
              <w:rPr>
                <w:sz w:val="20"/>
              </w:rPr>
              <w:t>HRC</w:t>
            </w:r>
            <w:proofErr w:type="spellEnd"/>
            <w:r w:rsidRPr="00637834">
              <w:rPr>
                <w:sz w:val="20"/>
              </w:rPr>
              <w:t>/</w:t>
            </w:r>
            <w:r w:rsidR="00922A28">
              <w:rPr>
                <w:rFonts w:hint="eastAsia"/>
                <w:sz w:val="20"/>
              </w:rPr>
              <w:t>RES/25/32</w:t>
            </w:r>
          </w:p>
        </w:tc>
      </w:tr>
      <w:tr w:rsidR="00F53D4C">
        <w:trPr>
          <w:trHeight w:hRule="exact" w:val="2835"/>
        </w:trPr>
        <w:tc>
          <w:tcPr>
            <w:tcW w:w="1280" w:type="dxa"/>
            <w:tcBorders>
              <w:top w:val="single" w:sz="4" w:space="0" w:color="auto"/>
              <w:bottom w:val="single" w:sz="12" w:space="0" w:color="auto"/>
            </w:tcBorders>
          </w:tcPr>
          <w:p w:rsidR="00F53D4C" w:rsidRDefault="00F53D4C">
            <w:pPr>
              <w:spacing w:line="120" w:lineRule="atLeast"/>
              <w:rPr>
                <w:sz w:val="10"/>
                <w:szCs w:val="10"/>
              </w:rPr>
            </w:pPr>
          </w:p>
          <w:p w:rsidR="00F53D4C" w:rsidRDefault="00F53D4C">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F53D4C" w:rsidRPr="00A067AD" w:rsidRDefault="00F53D4C">
            <w:pPr>
              <w:spacing w:before="240" w:line="420" w:lineRule="exact"/>
              <w:rPr>
                <w:rFonts w:ascii="Time New Roman" w:eastAsia="SimHei" w:hAnsi="Time New Roman" w:hint="eastAsia"/>
                <w:sz w:val="40"/>
                <w:szCs w:val="40"/>
              </w:rPr>
            </w:pPr>
            <w:r w:rsidRPr="00A067AD">
              <w:rPr>
                <w:rFonts w:ascii="Time New Roman" w:eastAsia="SimHei" w:hAnsi="Time New Roman" w:hint="eastAsia"/>
                <w:sz w:val="40"/>
                <w:szCs w:val="40"/>
              </w:rPr>
              <w:t>大</w:t>
            </w:r>
            <w:r w:rsidRPr="00A067AD">
              <w:rPr>
                <w:rFonts w:ascii="Time New Roman" w:eastAsia="SimHei" w:hAnsi="Time New Roman" w:hint="eastAsia"/>
                <w:sz w:val="40"/>
                <w:szCs w:val="40"/>
              </w:rPr>
              <w:t xml:space="preserve">  </w:t>
            </w:r>
            <w:r w:rsidRPr="00A067AD">
              <w:rPr>
                <w:rFonts w:ascii="Time New Roman" w:eastAsia="SimHei" w:hAnsi="Time New Roman" w:hint="eastAsia"/>
                <w:sz w:val="40"/>
                <w:szCs w:val="40"/>
              </w:rPr>
              <w:t>会</w:t>
            </w:r>
          </w:p>
        </w:tc>
        <w:tc>
          <w:tcPr>
            <w:tcW w:w="2819" w:type="dxa"/>
            <w:tcBorders>
              <w:top w:val="single" w:sz="4" w:space="0" w:color="auto"/>
              <w:bottom w:val="single" w:sz="12" w:space="0" w:color="auto"/>
            </w:tcBorders>
          </w:tcPr>
          <w:p w:rsidR="00F53D4C" w:rsidRPr="00637834" w:rsidRDefault="00BF7E3F" w:rsidP="00637834">
            <w:pPr>
              <w:spacing w:before="240" w:line="240" w:lineRule="atLeast"/>
              <w:rPr>
                <w:sz w:val="20"/>
              </w:rPr>
            </w:pPr>
            <w:r>
              <w:rPr>
                <w:sz w:val="20"/>
              </w:rPr>
              <w:t>Distr.: General</w:t>
            </w:r>
          </w:p>
          <w:p w:rsidR="00F53D4C" w:rsidRPr="00637834" w:rsidRDefault="00185002">
            <w:pPr>
              <w:spacing w:line="240" w:lineRule="atLeast"/>
              <w:rPr>
                <w:rFonts w:hint="eastAsia"/>
                <w:sz w:val="20"/>
              </w:rPr>
            </w:pPr>
            <w:r>
              <w:rPr>
                <w:rFonts w:hint="eastAsia"/>
                <w:sz w:val="20"/>
              </w:rPr>
              <w:t xml:space="preserve">15 </w:t>
            </w:r>
            <w:r w:rsidRPr="00185002">
              <w:rPr>
                <w:sz w:val="20"/>
              </w:rPr>
              <w:t>April</w:t>
            </w:r>
            <w:r w:rsidR="001C3E9A">
              <w:rPr>
                <w:sz w:val="20"/>
              </w:rPr>
              <w:t xml:space="preserve"> 20</w:t>
            </w:r>
            <w:r w:rsidR="00487358">
              <w:rPr>
                <w:rFonts w:hint="eastAsia"/>
                <w:sz w:val="20"/>
              </w:rPr>
              <w:t>14</w:t>
            </w:r>
          </w:p>
          <w:p w:rsidR="00F53D4C" w:rsidRPr="00637834" w:rsidRDefault="00F53D4C">
            <w:pPr>
              <w:spacing w:line="240" w:lineRule="atLeast"/>
              <w:rPr>
                <w:sz w:val="20"/>
              </w:rPr>
            </w:pPr>
            <w:r w:rsidRPr="00637834">
              <w:rPr>
                <w:sz w:val="20"/>
              </w:rPr>
              <w:t xml:space="preserve">Chinese </w:t>
            </w:r>
          </w:p>
          <w:p w:rsidR="00F53D4C" w:rsidRPr="00637834" w:rsidRDefault="00F53D4C" w:rsidP="00751C2E">
            <w:pPr>
              <w:spacing w:line="240" w:lineRule="atLeast"/>
              <w:rPr>
                <w:rFonts w:hint="eastAsia"/>
              </w:rPr>
            </w:pPr>
            <w:r w:rsidRPr="00637834">
              <w:rPr>
                <w:sz w:val="20"/>
              </w:rPr>
              <w:t>Original: English</w:t>
            </w:r>
          </w:p>
        </w:tc>
      </w:tr>
    </w:tbl>
    <w:p w:rsidR="00F53D4C" w:rsidRDefault="00F53D4C">
      <w:pPr>
        <w:spacing w:before="120"/>
        <w:rPr>
          <w:rFonts w:eastAsia="SimHei" w:hint="eastAsia"/>
          <w:sz w:val="24"/>
          <w:szCs w:val="24"/>
          <w:lang w:val="fr-CH"/>
        </w:rPr>
      </w:pPr>
      <w:r>
        <w:rPr>
          <w:rFonts w:eastAsia="SimHei" w:hint="eastAsia"/>
          <w:sz w:val="24"/>
          <w:szCs w:val="24"/>
          <w:lang w:val="fr-CH"/>
        </w:rPr>
        <w:t>人权理事会</w:t>
      </w:r>
    </w:p>
    <w:p w:rsidR="00185002" w:rsidRPr="00974396" w:rsidRDefault="00185002" w:rsidP="00185002">
      <w:pPr>
        <w:rPr>
          <w:rFonts w:eastAsia="SimHei" w:hint="eastAsia"/>
          <w:szCs w:val="21"/>
          <w:lang w:val="fr-CH"/>
        </w:rPr>
      </w:pPr>
      <w:r w:rsidRPr="00974396">
        <w:rPr>
          <w:rFonts w:eastAsia="SimHei" w:hint="eastAsia"/>
          <w:szCs w:val="21"/>
          <w:lang w:val="fr-CH"/>
        </w:rPr>
        <w:t>第二十五届会议</w:t>
      </w:r>
    </w:p>
    <w:p w:rsidR="00185002" w:rsidRPr="00974396" w:rsidRDefault="00185002" w:rsidP="00185002">
      <w:pPr>
        <w:rPr>
          <w:szCs w:val="21"/>
        </w:rPr>
      </w:pPr>
      <w:r w:rsidRPr="00974396">
        <w:rPr>
          <w:rFonts w:hint="eastAsia"/>
          <w:szCs w:val="21"/>
          <w:lang w:val="fr-CH"/>
        </w:rPr>
        <w:t>议程项目</w:t>
      </w:r>
      <w:r w:rsidRPr="00974396">
        <w:rPr>
          <w:szCs w:val="21"/>
        </w:rPr>
        <w:t>9</w:t>
      </w:r>
    </w:p>
    <w:p w:rsidR="00185002" w:rsidRDefault="00185002" w:rsidP="00185002">
      <w:pPr>
        <w:rPr>
          <w:rFonts w:eastAsia="SimHei" w:hint="eastAsia"/>
          <w:szCs w:val="21"/>
        </w:rPr>
      </w:pPr>
      <w:r w:rsidRPr="00974396">
        <w:rPr>
          <w:rFonts w:eastAsia="SimHei" w:hint="eastAsia"/>
          <w:szCs w:val="21"/>
        </w:rPr>
        <w:t>种族主义、种族歧视、仇外心理和相关的不容忍现象：</w:t>
      </w:r>
      <w:r w:rsidRPr="00974396">
        <w:rPr>
          <w:rFonts w:eastAsia="SimHei"/>
          <w:szCs w:val="21"/>
        </w:rPr>
        <w:br/>
      </w:r>
      <w:r w:rsidRPr="00974396">
        <w:rPr>
          <w:rFonts w:eastAsia="SimHei" w:hint="eastAsia"/>
          <w:szCs w:val="21"/>
        </w:rPr>
        <w:t>《德班宣言和行动纲领》的后续行动和执行情况</w:t>
      </w:r>
    </w:p>
    <w:p w:rsidR="00185002" w:rsidRDefault="00185002" w:rsidP="000433AC">
      <w:pPr>
        <w:pStyle w:val="H1GC"/>
        <w:spacing w:before="560"/>
      </w:pPr>
      <w:r>
        <w:tab/>
      </w:r>
      <w:r>
        <w:tab/>
      </w:r>
      <w:r w:rsidRPr="00C743A9">
        <w:rPr>
          <w:rFonts w:hint="eastAsia"/>
        </w:rPr>
        <w:t>人权理事会通过的决议</w:t>
      </w:r>
    </w:p>
    <w:p w:rsidR="00185002" w:rsidRPr="007A45D3" w:rsidRDefault="00185002" w:rsidP="00E5559D">
      <w:pPr>
        <w:pStyle w:val="H1GC"/>
        <w:rPr>
          <w:rFonts w:hint="eastAsia"/>
        </w:rPr>
      </w:pPr>
      <w:r>
        <w:rPr>
          <w:rFonts w:hint="eastAsia"/>
        </w:rPr>
        <w:tab/>
      </w:r>
      <w:r>
        <w:rPr>
          <w:rFonts w:hint="eastAsia"/>
        </w:rPr>
        <w:tab/>
      </w:r>
      <w:r>
        <w:t>25</w:t>
      </w:r>
      <w:r w:rsidRPr="007A45D3">
        <w:t>/</w:t>
      </w:r>
      <w:r>
        <w:t>32.</w:t>
      </w:r>
      <w:r>
        <w:br/>
      </w:r>
      <w:r w:rsidRPr="00EB6D98">
        <w:rPr>
          <w:rFonts w:hint="eastAsia"/>
        </w:rPr>
        <w:t>当代形式的种族主义、种族歧视、仇外心理和相关的不容忍现象问题特别报告员的任务</w:t>
      </w:r>
    </w:p>
    <w:p w:rsidR="00185002" w:rsidRPr="00802B20" w:rsidRDefault="00185002" w:rsidP="00185002">
      <w:pPr>
        <w:pStyle w:val="SingleTxtGC"/>
        <w:rPr>
          <w:rFonts w:eastAsia="KaiTi_GB2312" w:hint="eastAsia"/>
        </w:rPr>
      </w:pPr>
      <w:r>
        <w:rPr>
          <w:i/>
          <w:iCs/>
        </w:rPr>
        <w:tab/>
      </w:r>
      <w:r w:rsidRPr="00802B20">
        <w:rPr>
          <w:rFonts w:eastAsia="KaiTi_GB2312"/>
        </w:rPr>
        <w:t>人权理事会</w:t>
      </w:r>
      <w:r>
        <w:rPr>
          <w:rFonts w:eastAsia="KaiTi_GB2312"/>
        </w:rPr>
        <w:t>，</w:t>
      </w:r>
    </w:p>
    <w:p w:rsidR="00185002" w:rsidRPr="00EB6D98" w:rsidRDefault="00185002" w:rsidP="00185002">
      <w:pPr>
        <w:pStyle w:val="SingleTxtGC"/>
        <w:rPr>
          <w:szCs w:val="21"/>
        </w:rPr>
      </w:pPr>
      <w:r>
        <w:rPr>
          <w:rFonts w:eastAsia="KaiTi_GB2312" w:hint="eastAsia"/>
          <w:szCs w:val="21"/>
        </w:rPr>
        <w:tab/>
      </w:r>
      <w:r w:rsidRPr="00EB6D98">
        <w:rPr>
          <w:rFonts w:eastAsia="KaiTi_GB2312" w:hint="eastAsia"/>
          <w:szCs w:val="21"/>
        </w:rPr>
        <w:t>铭记</w:t>
      </w:r>
      <w:r w:rsidRPr="00EB6D98">
        <w:rPr>
          <w:rFonts w:hint="eastAsia"/>
          <w:szCs w:val="21"/>
        </w:rPr>
        <w:t>大会</w:t>
      </w:r>
      <w:r w:rsidRPr="00EB6D98">
        <w:rPr>
          <w:szCs w:val="21"/>
        </w:rPr>
        <w:t>2006</w:t>
      </w:r>
      <w:r w:rsidRPr="00EB6D98">
        <w:rPr>
          <w:szCs w:val="21"/>
        </w:rPr>
        <w:t>年</w:t>
      </w:r>
      <w:r w:rsidRPr="00EB6D98">
        <w:rPr>
          <w:szCs w:val="21"/>
        </w:rPr>
        <w:t>3</w:t>
      </w:r>
      <w:r w:rsidRPr="00EB6D98">
        <w:rPr>
          <w:szCs w:val="21"/>
        </w:rPr>
        <w:t>月</w:t>
      </w:r>
      <w:r w:rsidRPr="00EB6D98">
        <w:rPr>
          <w:szCs w:val="21"/>
        </w:rPr>
        <w:t>15</w:t>
      </w:r>
      <w:r w:rsidRPr="00EB6D98">
        <w:rPr>
          <w:szCs w:val="21"/>
        </w:rPr>
        <w:t>日第</w:t>
      </w:r>
      <w:r w:rsidRPr="00EB6D98">
        <w:rPr>
          <w:szCs w:val="21"/>
        </w:rPr>
        <w:t>60</w:t>
      </w:r>
      <w:r>
        <w:rPr>
          <w:szCs w:val="21"/>
        </w:rPr>
        <w:t>/</w:t>
      </w:r>
      <w:r w:rsidRPr="00EB6D98">
        <w:rPr>
          <w:szCs w:val="21"/>
        </w:rPr>
        <w:t>251</w:t>
      </w:r>
      <w:r w:rsidRPr="00EB6D98">
        <w:rPr>
          <w:szCs w:val="21"/>
        </w:rPr>
        <w:t>号决议第</w:t>
      </w:r>
      <w:r w:rsidRPr="00EB6D98">
        <w:rPr>
          <w:szCs w:val="21"/>
        </w:rPr>
        <w:t>6</w:t>
      </w:r>
      <w:r w:rsidRPr="00EB6D98">
        <w:rPr>
          <w:szCs w:val="21"/>
        </w:rPr>
        <w:t>段</w:t>
      </w:r>
      <w:r>
        <w:rPr>
          <w:szCs w:val="21"/>
        </w:rPr>
        <w:t>，</w:t>
      </w:r>
    </w:p>
    <w:p w:rsidR="00185002" w:rsidRPr="00EB6D98" w:rsidRDefault="00185002" w:rsidP="00185002">
      <w:pPr>
        <w:pStyle w:val="SingleTxtGC"/>
        <w:rPr>
          <w:szCs w:val="21"/>
        </w:rPr>
      </w:pPr>
      <w:r>
        <w:rPr>
          <w:rFonts w:eastAsia="KaiTi_GB2312" w:hint="eastAsia"/>
          <w:szCs w:val="21"/>
        </w:rPr>
        <w:tab/>
      </w:r>
      <w:r w:rsidRPr="00EB6D98">
        <w:rPr>
          <w:rFonts w:eastAsia="KaiTi_GB2312" w:hint="eastAsia"/>
          <w:szCs w:val="21"/>
        </w:rPr>
        <w:t>重申</w:t>
      </w:r>
      <w:r>
        <w:rPr>
          <w:szCs w:val="21"/>
        </w:rPr>
        <w:t>各国根据</w:t>
      </w:r>
      <w:r>
        <w:rPr>
          <w:rFonts w:hint="eastAsia"/>
          <w:szCs w:val="21"/>
        </w:rPr>
        <w:t>有</w:t>
      </w:r>
      <w:r w:rsidRPr="00EB6D98">
        <w:rPr>
          <w:szCs w:val="21"/>
        </w:rPr>
        <w:t>关国际人权文书</w:t>
      </w:r>
      <w:r>
        <w:rPr>
          <w:rFonts w:hint="eastAsia"/>
          <w:szCs w:val="21"/>
        </w:rPr>
        <w:t>、</w:t>
      </w:r>
      <w:r w:rsidRPr="00EB6D98">
        <w:rPr>
          <w:szCs w:val="21"/>
        </w:rPr>
        <w:t>尤其是大会</w:t>
      </w:r>
      <w:r w:rsidRPr="00EB6D98">
        <w:rPr>
          <w:szCs w:val="21"/>
        </w:rPr>
        <w:t>1965</w:t>
      </w:r>
      <w:r w:rsidRPr="00EB6D98">
        <w:rPr>
          <w:szCs w:val="21"/>
        </w:rPr>
        <w:t>年</w:t>
      </w:r>
      <w:r w:rsidRPr="00EB6D98">
        <w:rPr>
          <w:szCs w:val="21"/>
        </w:rPr>
        <w:t>12</w:t>
      </w:r>
      <w:r w:rsidRPr="00EB6D98">
        <w:rPr>
          <w:szCs w:val="21"/>
        </w:rPr>
        <w:t>月</w:t>
      </w:r>
      <w:r w:rsidRPr="00EB6D98">
        <w:rPr>
          <w:szCs w:val="21"/>
        </w:rPr>
        <w:t>21</w:t>
      </w:r>
      <w:r w:rsidRPr="00EB6D98">
        <w:rPr>
          <w:szCs w:val="21"/>
        </w:rPr>
        <w:t>日第</w:t>
      </w:r>
      <w:r w:rsidRPr="00EB6D98">
        <w:rPr>
          <w:szCs w:val="21"/>
        </w:rPr>
        <w:t>2106</w:t>
      </w:r>
      <w:r>
        <w:rPr>
          <w:szCs w:val="21"/>
        </w:rPr>
        <w:t>(</w:t>
      </w:r>
      <w:r w:rsidRPr="00EB6D98">
        <w:rPr>
          <w:szCs w:val="21"/>
        </w:rPr>
        <w:t>XX</w:t>
      </w:r>
      <w:r>
        <w:rPr>
          <w:szCs w:val="21"/>
        </w:rPr>
        <w:t>)</w:t>
      </w:r>
      <w:r w:rsidRPr="00EB6D98">
        <w:rPr>
          <w:szCs w:val="21"/>
        </w:rPr>
        <w:t>号</w:t>
      </w:r>
      <w:r w:rsidRPr="00281ADF">
        <w:t>决议</w:t>
      </w:r>
      <w:r w:rsidRPr="00EB6D98">
        <w:rPr>
          <w:szCs w:val="21"/>
        </w:rPr>
        <w:t>通过的《消除一切形式种族歧视国际公约》所承担的义务</w:t>
      </w:r>
      <w:r>
        <w:rPr>
          <w:szCs w:val="21"/>
        </w:rPr>
        <w:t>，</w:t>
      </w:r>
    </w:p>
    <w:p w:rsidR="00185002" w:rsidRPr="00EB6D98" w:rsidRDefault="00185002" w:rsidP="00185002">
      <w:pPr>
        <w:pStyle w:val="SingleTxtGC"/>
        <w:rPr>
          <w:szCs w:val="21"/>
        </w:rPr>
      </w:pPr>
      <w:r>
        <w:rPr>
          <w:rFonts w:eastAsia="KaiTi_GB2312" w:hint="eastAsia"/>
          <w:szCs w:val="21"/>
        </w:rPr>
        <w:tab/>
      </w:r>
      <w:r w:rsidRPr="00EB6D98">
        <w:rPr>
          <w:rFonts w:eastAsia="KaiTi_GB2312" w:hint="eastAsia"/>
          <w:szCs w:val="21"/>
        </w:rPr>
        <w:t>回顾</w:t>
      </w:r>
      <w:r w:rsidRPr="00EB6D98">
        <w:rPr>
          <w:szCs w:val="21"/>
        </w:rPr>
        <w:t>大会、人权委员会和人权理事会以往所有有关消除种族主义、种族歧视、仇外心理和相关的不容忍现象的决议和决定</w:t>
      </w:r>
      <w:r>
        <w:rPr>
          <w:szCs w:val="21"/>
        </w:rPr>
        <w:t>，</w:t>
      </w:r>
    </w:p>
    <w:p w:rsidR="00185002" w:rsidRPr="00EB6D98" w:rsidRDefault="00185002" w:rsidP="00185002">
      <w:pPr>
        <w:pStyle w:val="SingleTxtGC"/>
        <w:rPr>
          <w:szCs w:val="21"/>
        </w:rPr>
      </w:pPr>
      <w:r>
        <w:rPr>
          <w:rFonts w:eastAsia="KaiTi_GB2312" w:hint="eastAsia"/>
          <w:szCs w:val="21"/>
        </w:rPr>
        <w:tab/>
      </w:r>
      <w:r w:rsidRPr="00EB6D98">
        <w:rPr>
          <w:rFonts w:eastAsia="KaiTi_GB2312" w:hint="eastAsia"/>
          <w:szCs w:val="21"/>
        </w:rPr>
        <w:t>又回顾</w:t>
      </w:r>
      <w:r w:rsidRPr="00EB6D98">
        <w:rPr>
          <w:szCs w:val="21"/>
        </w:rPr>
        <w:t>人权理事会</w:t>
      </w:r>
      <w:r w:rsidRPr="00EB6D98">
        <w:rPr>
          <w:szCs w:val="21"/>
        </w:rPr>
        <w:t>2007</w:t>
      </w:r>
      <w:r w:rsidRPr="00EB6D98">
        <w:rPr>
          <w:szCs w:val="21"/>
        </w:rPr>
        <w:t>年</w:t>
      </w:r>
      <w:r w:rsidRPr="00EB6D98">
        <w:rPr>
          <w:szCs w:val="21"/>
        </w:rPr>
        <w:t>6</w:t>
      </w:r>
      <w:r w:rsidRPr="00EB6D98">
        <w:rPr>
          <w:szCs w:val="21"/>
        </w:rPr>
        <w:t>月</w:t>
      </w:r>
      <w:r w:rsidRPr="00EB6D98">
        <w:rPr>
          <w:szCs w:val="21"/>
        </w:rPr>
        <w:t>18</w:t>
      </w:r>
      <w:r w:rsidRPr="00EB6D98">
        <w:rPr>
          <w:szCs w:val="21"/>
        </w:rPr>
        <w:t>日关于理事会体制建设的第</w:t>
      </w:r>
      <w:r w:rsidRPr="00EB6D98">
        <w:rPr>
          <w:szCs w:val="21"/>
        </w:rPr>
        <w:t>5</w:t>
      </w:r>
      <w:r>
        <w:rPr>
          <w:szCs w:val="21"/>
        </w:rPr>
        <w:t>/</w:t>
      </w:r>
      <w:r w:rsidRPr="00EB6D98">
        <w:rPr>
          <w:szCs w:val="21"/>
        </w:rPr>
        <w:t>1</w:t>
      </w:r>
      <w:r w:rsidRPr="00EB6D98">
        <w:rPr>
          <w:szCs w:val="21"/>
        </w:rPr>
        <w:t>号决议和关于理事会特别程序任务负责人行为守则的第</w:t>
      </w:r>
      <w:r w:rsidRPr="00EB6D98">
        <w:rPr>
          <w:szCs w:val="21"/>
        </w:rPr>
        <w:t>5</w:t>
      </w:r>
      <w:r>
        <w:rPr>
          <w:szCs w:val="21"/>
        </w:rPr>
        <w:t>/</w:t>
      </w:r>
      <w:r w:rsidRPr="00EB6D98">
        <w:rPr>
          <w:szCs w:val="21"/>
        </w:rPr>
        <w:t>2</w:t>
      </w:r>
      <w:r w:rsidRPr="00EB6D98">
        <w:rPr>
          <w:szCs w:val="21"/>
        </w:rPr>
        <w:t>号决议</w:t>
      </w:r>
      <w:r>
        <w:rPr>
          <w:szCs w:val="21"/>
        </w:rPr>
        <w:t>，</w:t>
      </w:r>
      <w:r w:rsidRPr="00EB6D98">
        <w:rPr>
          <w:szCs w:val="21"/>
        </w:rPr>
        <w:t>强调任务负责人应根据这两项决议及其附件履行职责</w:t>
      </w:r>
      <w:r>
        <w:rPr>
          <w:szCs w:val="21"/>
        </w:rPr>
        <w:t>，</w:t>
      </w:r>
    </w:p>
    <w:p w:rsidR="00185002" w:rsidRPr="00E82AD4" w:rsidRDefault="00185002" w:rsidP="00185002">
      <w:pPr>
        <w:pStyle w:val="SingleTxtGC"/>
        <w:rPr>
          <w:szCs w:val="21"/>
        </w:rPr>
      </w:pPr>
      <w:r>
        <w:rPr>
          <w:rFonts w:hint="eastAsia"/>
          <w:szCs w:val="21"/>
        </w:rPr>
        <w:tab/>
      </w:r>
      <w:r>
        <w:rPr>
          <w:szCs w:val="21"/>
        </w:rPr>
        <w:t>1.</w:t>
      </w:r>
      <w:r>
        <w:rPr>
          <w:rFonts w:hint="eastAsia"/>
          <w:szCs w:val="21"/>
        </w:rPr>
        <w:t xml:space="preserve">  </w:t>
      </w:r>
      <w:r w:rsidRPr="00E82AD4">
        <w:rPr>
          <w:rFonts w:eastAsia="KaiTi_GB2312" w:hint="eastAsia"/>
          <w:szCs w:val="21"/>
        </w:rPr>
        <w:t>决定</w:t>
      </w:r>
      <w:r w:rsidRPr="00E82AD4">
        <w:rPr>
          <w:szCs w:val="21"/>
        </w:rPr>
        <w:t>根据人权理事会</w:t>
      </w:r>
      <w:r w:rsidRPr="00E82AD4">
        <w:rPr>
          <w:szCs w:val="21"/>
        </w:rPr>
        <w:t>2008</w:t>
      </w:r>
      <w:r w:rsidRPr="00E82AD4">
        <w:rPr>
          <w:szCs w:val="21"/>
        </w:rPr>
        <w:t>年</w:t>
      </w:r>
      <w:r w:rsidRPr="00E82AD4">
        <w:rPr>
          <w:szCs w:val="21"/>
        </w:rPr>
        <w:t>3</w:t>
      </w:r>
      <w:r w:rsidRPr="00E82AD4">
        <w:rPr>
          <w:szCs w:val="21"/>
        </w:rPr>
        <w:t>月</w:t>
      </w:r>
      <w:r w:rsidRPr="00E82AD4">
        <w:rPr>
          <w:szCs w:val="21"/>
        </w:rPr>
        <w:t>28</w:t>
      </w:r>
      <w:r w:rsidRPr="00E82AD4">
        <w:rPr>
          <w:szCs w:val="21"/>
        </w:rPr>
        <w:t>日第</w:t>
      </w:r>
      <w:r w:rsidRPr="00E82AD4">
        <w:rPr>
          <w:szCs w:val="21"/>
        </w:rPr>
        <w:t>7</w:t>
      </w:r>
      <w:r>
        <w:rPr>
          <w:szCs w:val="21"/>
        </w:rPr>
        <w:t>/</w:t>
      </w:r>
      <w:r w:rsidRPr="00E82AD4">
        <w:rPr>
          <w:szCs w:val="21"/>
        </w:rPr>
        <w:t>34</w:t>
      </w:r>
      <w:r w:rsidRPr="00E82AD4">
        <w:rPr>
          <w:szCs w:val="21"/>
        </w:rPr>
        <w:t>号决议所载的职权范围</w:t>
      </w:r>
      <w:r>
        <w:rPr>
          <w:szCs w:val="21"/>
        </w:rPr>
        <w:t>，</w:t>
      </w:r>
      <w:r w:rsidRPr="00E82AD4">
        <w:rPr>
          <w:szCs w:val="21"/>
        </w:rPr>
        <w:t>将当代形式的种族主义、种族歧视、仇外心理和相关的不容忍现象问题特别报告员的任务再延长三年</w:t>
      </w:r>
      <w:r>
        <w:rPr>
          <w:szCs w:val="21"/>
        </w:rPr>
        <w:t>；</w:t>
      </w:r>
    </w:p>
    <w:p w:rsidR="00185002" w:rsidRPr="00E82AD4" w:rsidRDefault="00E5559D" w:rsidP="00185002">
      <w:pPr>
        <w:pStyle w:val="SingleTxtGC"/>
        <w:rPr>
          <w:rFonts w:eastAsia="KaiTi_GB2312"/>
          <w:szCs w:val="21"/>
        </w:rPr>
      </w:pPr>
      <w:r>
        <w:rPr>
          <w:szCs w:val="21"/>
        </w:rPr>
        <w:br w:type="page"/>
      </w:r>
      <w:r w:rsidR="00185002">
        <w:rPr>
          <w:rFonts w:hint="eastAsia"/>
          <w:szCs w:val="21"/>
        </w:rPr>
        <w:tab/>
      </w:r>
      <w:r w:rsidR="00185002">
        <w:rPr>
          <w:szCs w:val="21"/>
        </w:rPr>
        <w:t>2.</w:t>
      </w:r>
      <w:r w:rsidR="00185002">
        <w:rPr>
          <w:rFonts w:hint="eastAsia"/>
          <w:szCs w:val="21"/>
        </w:rPr>
        <w:t xml:space="preserve">  </w:t>
      </w:r>
      <w:r w:rsidR="00185002" w:rsidRPr="00E82AD4">
        <w:rPr>
          <w:rFonts w:eastAsia="KaiTi_GB2312" w:hint="eastAsia"/>
          <w:szCs w:val="21"/>
        </w:rPr>
        <w:t>请</w:t>
      </w:r>
      <w:r w:rsidR="00185002" w:rsidRPr="00E82AD4">
        <w:rPr>
          <w:szCs w:val="21"/>
        </w:rPr>
        <w:t>各国政府与特别报告员充分合作以便其履行任务</w:t>
      </w:r>
      <w:r w:rsidR="00185002">
        <w:rPr>
          <w:szCs w:val="21"/>
        </w:rPr>
        <w:t>，</w:t>
      </w:r>
      <w:r w:rsidR="00185002" w:rsidRPr="00E82AD4">
        <w:rPr>
          <w:szCs w:val="21"/>
        </w:rPr>
        <w:t>包括对特别报告员的来函以及紧急</w:t>
      </w:r>
      <w:r w:rsidR="00185002" w:rsidRPr="00802B20">
        <w:rPr>
          <w:rFonts w:eastAsia="KaiTi_GB2312"/>
        </w:rPr>
        <w:t>呼吁</w:t>
      </w:r>
      <w:r w:rsidR="00185002" w:rsidRPr="00E82AD4">
        <w:rPr>
          <w:szCs w:val="21"/>
        </w:rPr>
        <w:t>迅速作出答复</w:t>
      </w:r>
      <w:r w:rsidR="00185002">
        <w:rPr>
          <w:szCs w:val="21"/>
        </w:rPr>
        <w:t>，</w:t>
      </w:r>
      <w:r w:rsidR="00185002" w:rsidRPr="00E82AD4">
        <w:rPr>
          <w:szCs w:val="21"/>
        </w:rPr>
        <w:t>并根据请求提供有关信息</w:t>
      </w:r>
      <w:r w:rsidR="00185002">
        <w:rPr>
          <w:szCs w:val="21"/>
        </w:rPr>
        <w:t>；</w:t>
      </w:r>
    </w:p>
    <w:p w:rsidR="00185002" w:rsidRPr="00E82AD4" w:rsidRDefault="00185002" w:rsidP="00185002">
      <w:pPr>
        <w:pStyle w:val="SingleTxtGC"/>
        <w:rPr>
          <w:szCs w:val="21"/>
        </w:rPr>
      </w:pPr>
      <w:r>
        <w:rPr>
          <w:rFonts w:hint="eastAsia"/>
          <w:szCs w:val="21"/>
        </w:rPr>
        <w:tab/>
      </w:r>
      <w:r>
        <w:rPr>
          <w:szCs w:val="21"/>
        </w:rPr>
        <w:t>3.</w:t>
      </w:r>
      <w:r>
        <w:rPr>
          <w:rFonts w:hint="eastAsia"/>
          <w:szCs w:val="21"/>
        </w:rPr>
        <w:t xml:space="preserve">  </w:t>
      </w:r>
      <w:r w:rsidRPr="00E82AD4">
        <w:rPr>
          <w:rFonts w:eastAsia="KaiTi_GB2312" w:hint="eastAsia"/>
          <w:szCs w:val="21"/>
        </w:rPr>
        <w:t>请</w:t>
      </w:r>
      <w:r w:rsidRPr="00E82AD4">
        <w:rPr>
          <w:szCs w:val="21"/>
        </w:rPr>
        <w:t>特别报告员向人权理事会和大会提交一份年度报告</w:t>
      </w:r>
      <w:r>
        <w:rPr>
          <w:szCs w:val="21"/>
        </w:rPr>
        <w:t>，</w:t>
      </w:r>
      <w:r w:rsidRPr="00E82AD4">
        <w:rPr>
          <w:szCs w:val="21"/>
        </w:rPr>
        <w:t>说明就其任务所开展的所有活动</w:t>
      </w:r>
      <w:r>
        <w:rPr>
          <w:szCs w:val="21"/>
        </w:rPr>
        <w:t>，</w:t>
      </w:r>
      <w:r w:rsidRPr="00E82AD4">
        <w:rPr>
          <w:szCs w:val="21"/>
        </w:rPr>
        <w:t>以便最大限度地发挥报告进程的益处</w:t>
      </w:r>
      <w:r>
        <w:rPr>
          <w:szCs w:val="21"/>
        </w:rPr>
        <w:t>；</w:t>
      </w:r>
    </w:p>
    <w:p w:rsidR="00185002" w:rsidRPr="00E82AD4" w:rsidRDefault="00185002" w:rsidP="00185002">
      <w:pPr>
        <w:pStyle w:val="SingleTxtGC"/>
        <w:rPr>
          <w:szCs w:val="21"/>
        </w:rPr>
      </w:pPr>
      <w:r>
        <w:rPr>
          <w:rFonts w:hint="eastAsia"/>
          <w:szCs w:val="21"/>
        </w:rPr>
        <w:tab/>
      </w:r>
      <w:r>
        <w:rPr>
          <w:szCs w:val="21"/>
        </w:rPr>
        <w:t>4.</w:t>
      </w:r>
      <w:r>
        <w:rPr>
          <w:rFonts w:hint="eastAsia"/>
          <w:szCs w:val="21"/>
        </w:rPr>
        <w:t xml:space="preserve">  </w:t>
      </w:r>
      <w:r w:rsidRPr="00E82AD4">
        <w:rPr>
          <w:rFonts w:eastAsia="KaiTi_GB2312" w:hint="eastAsia"/>
          <w:szCs w:val="21"/>
        </w:rPr>
        <w:t>请</w:t>
      </w:r>
      <w:r w:rsidRPr="00E82AD4">
        <w:rPr>
          <w:szCs w:val="21"/>
        </w:rPr>
        <w:t>秘书长和联合国人权事务高级专员向特别报告员提供切实完成任务所需的一切人力、</w:t>
      </w:r>
      <w:r w:rsidRPr="00802B20">
        <w:rPr>
          <w:rFonts w:eastAsia="KaiTi_GB2312"/>
        </w:rPr>
        <w:t>技术</w:t>
      </w:r>
      <w:r w:rsidRPr="00E82AD4">
        <w:rPr>
          <w:szCs w:val="21"/>
        </w:rPr>
        <w:t>和财政援助</w:t>
      </w:r>
      <w:r>
        <w:rPr>
          <w:szCs w:val="21"/>
        </w:rPr>
        <w:t>；</w:t>
      </w:r>
    </w:p>
    <w:p w:rsidR="00185002" w:rsidRDefault="00185002" w:rsidP="00185002">
      <w:pPr>
        <w:pStyle w:val="SingleTxtGC"/>
        <w:rPr>
          <w:rFonts w:hint="eastAsia"/>
          <w:szCs w:val="21"/>
        </w:rPr>
      </w:pPr>
      <w:r>
        <w:rPr>
          <w:rFonts w:hint="eastAsia"/>
          <w:szCs w:val="21"/>
        </w:rPr>
        <w:tab/>
      </w:r>
      <w:r>
        <w:rPr>
          <w:szCs w:val="21"/>
        </w:rPr>
        <w:t>5.</w:t>
      </w:r>
      <w:r>
        <w:rPr>
          <w:rFonts w:hint="eastAsia"/>
          <w:szCs w:val="21"/>
        </w:rPr>
        <w:t xml:space="preserve">  </w:t>
      </w:r>
      <w:r w:rsidRPr="00E82AD4">
        <w:rPr>
          <w:rFonts w:eastAsia="KaiTi_GB2312" w:hint="eastAsia"/>
          <w:szCs w:val="21"/>
        </w:rPr>
        <w:t>决定</w:t>
      </w:r>
      <w:r w:rsidRPr="00802B20">
        <w:rPr>
          <w:rFonts w:eastAsia="KaiTi_GB2312"/>
        </w:rPr>
        <w:t>继续</w:t>
      </w:r>
      <w:r w:rsidRPr="00E82AD4">
        <w:rPr>
          <w:rFonts w:hint="eastAsia"/>
          <w:szCs w:val="21"/>
        </w:rPr>
        <w:t>处理</w:t>
      </w:r>
      <w:r w:rsidRPr="00E82AD4">
        <w:rPr>
          <w:szCs w:val="21"/>
        </w:rPr>
        <w:t>这一优先</w:t>
      </w:r>
      <w:r>
        <w:rPr>
          <w:rFonts w:hint="eastAsia"/>
          <w:szCs w:val="21"/>
        </w:rPr>
        <w:t>问</w:t>
      </w:r>
      <w:r w:rsidRPr="00E82AD4">
        <w:rPr>
          <w:szCs w:val="21"/>
        </w:rPr>
        <w:t>题。</w:t>
      </w:r>
    </w:p>
    <w:p w:rsidR="00185002" w:rsidRPr="00E62F5C" w:rsidRDefault="00185002" w:rsidP="00185002">
      <w:pPr>
        <w:pStyle w:val="SingleTxtGC"/>
        <w:spacing w:after="0"/>
        <w:jc w:val="right"/>
        <w:rPr>
          <w:rFonts w:hint="eastAsia"/>
          <w:lang w:val="fr-FR"/>
        </w:rPr>
      </w:pPr>
      <w:r>
        <w:rPr>
          <w:rFonts w:eastAsia="KaiTi_GB2312" w:hint="eastAsia"/>
        </w:rPr>
        <w:t>2</w:t>
      </w:r>
      <w:r w:rsidRPr="00331E83">
        <w:rPr>
          <w:rFonts w:eastAsia="KaiTi_GB2312" w:hint="eastAsia"/>
        </w:rPr>
        <w:t>01</w:t>
      </w:r>
      <w:r>
        <w:rPr>
          <w:rFonts w:eastAsia="KaiTi_GB2312" w:hint="eastAsia"/>
        </w:rPr>
        <w:t>4</w:t>
      </w:r>
      <w:r w:rsidRPr="00331E83">
        <w:rPr>
          <w:rFonts w:eastAsia="KaiTi_GB2312" w:hint="eastAsia"/>
        </w:rPr>
        <w:t>年</w:t>
      </w:r>
      <w:r>
        <w:rPr>
          <w:rFonts w:eastAsia="KaiTi_GB2312" w:hint="eastAsia"/>
        </w:rPr>
        <w:t>3</w:t>
      </w:r>
      <w:r w:rsidRPr="00331E83">
        <w:rPr>
          <w:rFonts w:eastAsia="KaiTi_GB2312" w:hint="eastAsia"/>
        </w:rPr>
        <w:t>月</w:t>
      </w:r>
      <w:r>
        <w:rPr>
          <w:rFonts w:eastAsia="KaiTi_GB2312" w:hint="eastAsia"/>
        </w:rPr>
        <w:t>28</w:t>
      </w:r>
      <w:r w:rsidRPr="00331E83">
        <w:rPr>
          <w:rFonts w:eastAsia="KaiTi_GB2312" w:hint="eastAsia"/>
        </w:rPr>
        <w:t>日</w:t>
      </w:r>
    </w:p>
    <w:p w:rsidR="00185002" w:rsidRDefault="00185002" w:rsidP="00185002">
      <w:pPr>
        <w:pStyle w:val="SingleTxtGC"/>
        <w:jc w:val="right"/>
        <w:rPr>
          <w:rFonts w:eastAsia="KaiTi_GB2312" w:hint="eastAsia"/>
        </w:rPr>
      </w:pPr>
      <w:r w:rsidRPr="00331E83">
        <w:rPr>
          <w:rFonts w:eastAsia="KaiTi_GB2312" w:hint="eastAsia"/>
        </w:rPr>
        <w:t>第</w:t>
      </w:r>
      <w:r>
        <w:rPr>
          <w:rFonts w:eastAsia="KaiTi_GB2312" w:hint="eastAsia"/>
        </w:rPr>
        <w:t>56</w:t>
      </w:r>
      <w:r w:rsidRPr="00331E83">
        <w:rPr>
          <w:rFonts w:eastAsia="KaiTi_GB2312" w:hint="eastAsia"/>
        </w:rPr>
        <w:t>次会议</w:t>
      </w:r>
    </w:p>
    <w:p w:rsidR="00185002" w:rsidRPr="00854819" w:rsidRDefault="00185002" w:rsidP="00185002">
      <w:pPr>
        <w:pStyle w:val="SingleTxtGC"/>
        <w:rPr>
          <w:rFonts w:eastAsia="KaiTi_GB2312" w:hint="eastAsia"/>
        </w:rPr>
      </w:pPr>
      <w:r w:rsidRPr="003C591C">
        <w:rPr>
          <w:rFonts w:hint="eastAsia"/>
        </w:rPr>
        <w:t>[</w:t>
      </w:r>
      <w:r>
        <w:rPr>
          <w:rFonts w:hint="eastAsia"/>
        </w:rPr>
        <w:t>未</w:t>
      </w:r>
      <w:r w:rsidRPr="003C591C">
        <w:t>经表决获得通过。</w:t>
      </w:r>
      <w:r w:rsidRPr="00262FC9">
        <w:rPr>
          <w:rFonts w:hint="eastAsia"/>
        </w:rPr>
        <w:t>]</w:t>
      </w:r>
    </w:p>
    <w:p w:rsidR="00D57490" w:rsidRPr="002D6A9C" w:rsidRDefault="00D5749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F53D4C" w:rsidRDefault="00F53D4C" w:rsidP="00185002">
      <w:pPr>
        <w:rPr>
          <w:rFonts w:eastAsia="SimHei" w:hint="eastAsia"/>
          <w:lang w:val="fr-CH"/>
        </w:rPr>
      </w:pPr>
    </w:p>
    <w:p w:rsidR="00F53D4C" w:rsidRDefault="00F53D4C" w:rsidP="00845CC7">
      <w:pPr>
        <w:pStyle w:val="HChGC"/>
        <w:rPr>
          <w:rFonts w:hint="eastAsia"/>
        </w:rPr>
      </w:pPr>
    </w:p>
    <w:sectPr w:rsidR="00F53D4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B5A" w:rsidRPr="00E0554F" w:rsidRDefault="00EE1B5A" w:rsidP="00E0554F">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EE1B5A" w:rsidRPr="00E0554F" w:rsidRDefault="00EE1B5A" w:rsidP="00E0554F">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B5A" w:rsidRPr="00922A28" w:rsidRDefault="00EE1B5A" w:rsidP="00637441">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0A2D6A">
      <w:rPr>
        <w:rStyle w:val="PageNumber"/>
        <w:noProof/>
      </w:rPr>
      <w:t>2</w:t>
    </w:r>
    <w:r>
      <w:rPr>
        <w:rStyle w:val="PageNumber"/>
      </w:rPr>
      <w:fldChar w:fldCharType="end"/>
    </w:r>
    <w:r>
      <w:rPr>
        <w:rStyle w:val="PageNumber"/>
        <w:rFonts w:eastAsia="SimSun" w:hint="eastAsia"/>
        <w:lang w:eastAsia="zh-CN"/>
      </w:rPr>
      <w:tab/>
    </w:r>
    <w:r w:rsidRPr="00922A28">
      <w:rPr>
        <w:rFonts w:eastAsia="SimSun"/>
        <w:lang w:eastAsia="zh-CN"/>
      </w:rPr>
      <w:t>GE.14-13644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B5A" w:rsidRDefault="00EE1B5A">
    <w:pPr>
      <w:pStyle w:val="Footer"/>
      <w:tabs>
        <w:tab w:val="right" w:pos="9639"/>
      </w:tabs>
    </w:pPr>
    <w:r w:rsidRPr="00922A28">
      <w:rPr>
        <w:rFonts w:eastAsia="SimSun"/>
        <w:lang w:eastAsia="zh-CN"/>
      </w:rPr>
      <w:t>GE.14-13644</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B5A" w:rsidRDefault="00EE1B5A" w:rsidP="00107C77">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32&amp;Size=2&amp;Lang=C"/>
          <w10:wrap type="square"/>
        </v:shape>
      </w:pict>
    </w:r>
    <w:r>
      <w:rPr>
        <w:rFonts w:eastAsia="SimSun"/>
        <w:sz w:val="20"/>
        <w:lang w:eastAsia="zh-CN"/>
      </w:rPr>
      <w:t>GE.</w:t>
    </w:r>
    <w:r>
      <w:rPr>
        <w:rFonts w:eastAsia="SimSun" w:hint="eastAsia"/>
        <w:sz w:val="20"/>
        <w:lang w:eastAsia="zh-CN"/>
      </w:rPr>
      <w:t>14</w:t>
    </w:r>
    <w:r w:rsidRPr="00EE277A">
      <w:rPr>
        <w:rFonts w:eastAsia="SimSun"/>
        <w:sz w:val="20"/>
        <w:lang w:eastAsia="zh-CN"/>
      </w:rPr>
      <w:t>-</w:t>
    </w:r>
    <w:r>
      <w:rPr>
        <w:rFonts w:eastAsia="SimSun" w:hint="eastAsia"/>
        <w:sz w:val="20"/>
        <w:lang w:eastAsia="zh-CN"/>
      </w:rPr>
      <w:t>13644</w:t>
    </w:r>
    <w:r w:rsidRPr="00EE277A">
      <w:rPr>
        <w:rFonts w:eastAsia="SimSun"/>
        <w:sz w:val="20"/>
        <w:lang w:eastAsia="zh-CN"/>
      </w:rPr>
      <w:t xml:space="preserve"> (C)</w:t>
    </w:r>
    <w:r>
      <w:rPr>
        <w:rFonts w:eastAsia="SimSun"/>
        <w:sz w:val="20"/>
        <w:lang w:eastAsia="zh-CN"/>
      </w:rPr>
      <w:tab/>
    </w:r>
    <w:r>
      <w:rPr>
        <w:rFonts w:eastAsia="SimSun" w:hint="eastAsia"/>
        <w:sz w:val="20"/>
        <w:lang w:eastAsia="zh-CN"/>
      </w:rPr>
      <w:t>3</w:t>
    </w:r>
    <w:r>
      <w:rPr>
        <w:rFonts w:eastAsia="SimSun"/>
        <w:sz w:val="20"/>
        <w:lang w:eastAsia="zh-CN"/>
      </w:rPr>
      <w:t>00</w:t>
    </w:r>
    <w:r>
      <w:rPr>
        <w:rFonts w:eastAsia="SimSun" w:hint="eastAsia"/>
        <w:sz w:val="20"/>
        <w:lang w:eastAsia="zh-CN"/>
      </w:rPr>
      <w:t>514</w:t>
    </w:r>
    <w:r>
      <w:rPr>
        <w:rFonts w:eastAsia="SimSun"/>
        <w:sz w:val="20"/>
        <w:lang w:eastAsia="zh-CN"/>
      </w:rPr>
      <w:tab/>
    </w:r>
    <w:r w:rsidRPr="00EE277A">
      <w:rPr>
        <w:rFonts w:eastAsia="SimSun"/>
        <w:sz w:val="20"/>
        <w:lang w:eastAsia="zh-CN"/>
      </w:rPr>
      <w:t>0</w:t>
    </w:r>
    <w:r>
      <w:rPr>
        <w:rFonts w:eastAsia="SimSun" w:hint="eastAsia"/>
        <w:sz w:val="20"/>
        <w:lang w:eastAsia="zh-CN"/>
      </w:rPr>
      <w:t>2</w:t>
    </w:r>
    <w:r>
      <w:rPr>
        <w:rFonts w:eastAsia="SimSun"/>
        <w:sz w:val="20"/>
        <w:lang w:eastAsia="zh-CN"/>
      </w:rPr>
      <w:t>0</w:t>
    </w:r>
    <w:r>
      <w:rPr>
        <w:rFonts w:eastAsia="SimSun" w:hint="eastAsia"/>
        <w:sz w:val="20"/>
        <w:lang w:eastAsia="zh-CN"/>
      </w:rPr>
      <w:t>614</w:t>
    </w:r>
  </w:p>
  <w:p w:rsidR="00EE1B5A" w:rsidRPr="00613337" w:rsidRDefault="00EE1B5A" w:rsidP="003A79F6">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sidRPr="00922A28">
      <w:rPr>
        <w:rFonts w:ascii="C39T30Lfz" w:eastAsia="SimSun" w:hAnsi="C39T30Lfz"/>
        <w:sz w:val="56"/>
        <w:szCs w:val="56"/>
        <w:lang w:eastAsia="zh-CN"/>
      </w:rPr>
      <w:t></w:t>
    </w:r>
    <w:r w:rsidRPr="00922A28">
      <w:rPr>
        <w:rFonts w:ascii="C39T30Lfz" w:eastAsia="SimSun" w:hAnsi="C39T30Lfz"/>
        <w:sz w:val="56"/>
        <w:szCs w:val="56"/>
        <w:lang w:eastAsia="zh-CN"/>
      </w:rPr>
      <w:t></w:t>
    </w:r>
    <w:r w:rsidRPr="00922A28">
      <w:rPr>
        <w:rFonts w:ascii="C39T30Lfz" w:eastAsia="SimSun" w:hAnsi="C39T30Lfz"/>
        <w:sz w:val="56"/>
        <w:szCs w:val="56"/>
        <w:lang w:eastAsia="zh-CN"/>
      </w:rPr>
      <w:t></w:t>
    </w:r>
    <w:r w:rsidRPr="00922A28">
      <w:rPr>
        <w:rFonts w:ascii="C39T30Lfz" w:eastAsia="SimSun" w:hAnsi="C39T30Lfz"/>
        <w:sz w:val="56"/>
        <w:szCs w:val="56"/>
        <w:lang w:eastAsia="zh-CN"/>
      </w:rPr>
      <w:t></w:t>
    </w:r>
    <w:r w:rsidRPr="00922A28">
      <w:rPr>
        <w:rFonts w:ascii="C39T30Lfz" w:eastAsia="SimSun" w:hAnsi="C39T30Lfz"/>
        <w:sz w:val="56"/>
        <w:szCs w:val="56"/>
        <w:lang w:eastAsia="zh-CN"/>
      </w:rPr>
      <w:t></w:t>
    </w:r>
    <w:r w:rsidRPr="00922A28">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B5A" w:rsidRPr="000157B1" w:rsidRDefault="00EE1B5A" w:rsidP="000157B1">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EE1B5A" w:rsidRPr="000157B1" w:rsidRDefault="00EE1B5A" w:rsidP="000157B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Notice" w:id="1">
    <w:p w:rsidR="00EE1B5A" w:rsidRDefault="00EE1B5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B5A" w:rsidRPr="00922A28" w:rsidRDefault="00EE1B5A">
    <w:pPr>
      <w:pStyle w:val="Header"/>
    </w:pPr>
    <w:r w:rsidRPr="00922A28">
      <w:t>A/HRC/RES/25/32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B5A" w:rsidRPr="00922A28" w:rsidRDefault="00EE1B5A">
    <w:pPr>
      <w:pStyle w:val="Header"/>
      <w:jc w:val="right"/>
      <w:rPr>
        <w:rFonts w:hint="eastAsia"/>
        <w:lang w:eastAsia="zh-CN"/>
      </w:rPr>
    </w:pPr>
    <w:r w:rsidRPr="00922A28">
      <w:rPr>
        <w:lang w:eastAsia="zh-CN"/>
      </w:rPr>
      <w:t>A/HRC/RES/25/32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01D0B65"/>
    <w:multiLevelType w:val="hybridMultilevel"/>
    <w:tmpl w:val="778225FE"/>
    <w:lvl w:ilvl="0" w:tplc="067ABE1A">
      <w:start w:val="1"/>
      <w:numFmt w:val="chineseCountingThousand"/>
      <w:lvlRestart w:val="0"/>
      <w:lvlText w:val="(%1)"/>
      <w:lvlJc w:val="right"/>
      <w:pPr>
        <w:tabs>
          <w:tab w:val="num" w:pos="2007"/>
        </w:tabs>
        <w:ind w:left="1145" w:firstLine="64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15A0E63"/>
    <w:multiLevelType w:val="hybridMultilevel"/>
    <w:tmpl w:val="2C40160C"/>
    <w:lvl w:ilvl="0" w:tplc="C14CFACE">
      <w:start w:val="1"/>
      <w:numFmt w:val="decimal"/>
      <w:lvlRestart w:val="0"/>
      <w:lvlText w:val="(%1)"/>
      <w:lvlJc w:val="right"/>
      <w:pPr>
        <w:tabs>
          <w:tab w:val="num" w:pos="1996"/>
        </w:tabs>
        <w:ind w:left="1996" w:hanging="20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D0C096F"/>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1F400C0C"/>
    <w:multiLevelType w:val="hybridMultilevel"/>
    <w:tmpl w:val="FA9488E8"/>
    <w:lvl w:ilvl="0" w:tplc="4ABCA058">
      <w:start w:val="1"/>
      <w:numFmt w:val="chineseCountingThousand"/>
      <w:lvlRestart w:val="0"/>
      <w:lvlText w:val="(%1)"/>
      <w:lvlJc w:val="right"/>
      <w:pPr>
        <w:tabs>
          <w:tab w:val="num" w:pos="2007"/>
        </w:tabs>
        <w:ind w:left="2007" w:hanging="21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1FA7128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8">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01421BE"/>
    <w:multiLevelType w:val="hybridMultilevel"/>
    <w:tmpl w:val="79B0CC38"/>
    <w:lvl w:ilvl="0" w:tplc="C14CFACE">
      <w:start w:val="1"/>
      <w:numFmt w:val="decimal"/>
      <w:lvlRestart w:val="0"/>
      <w:lvlText w:val="(%1)"/>
      <w:lvlJc w:val="right"/>
      <w:pPr>
        <w:tabs>
          <w:tab w:val="num" w:pos="1622"/>
        </w:tabs>
        <w:ind w:left="1622" w:hanging="205"/>
      </w:pPr>
    </w:lvl>
    <w:lvl w:ilvl="1" w:tplc="04090019" w:tentative="1">
      <w:start w:val="1"/>
      <w:numFmt w:val="lowerLetter"/>
      <w:lvlText w:val="%2)"/>
      <w:lvlJc w:val="left"/>
      <w:pPr>
        <w:tabs>
          <w:tab w:val="num" w:pos="466"/>
        </w:tabs>
        <w:ind w:left="466" w:hanging="420"/>
      </w:pPr>
    </w:lvl>
    <w:lvl w:ilvl="2" w:tplc="0409001B" w:tentative="1">
      <w:start w:val="1"/>
      <w:numFmt w:val="lowerRoman"/>
      <w:lvlText w:val="%3."/>
      <w:lvlJc w:val="right"/>
      <w:pPr>
        <w:tabs>
          <w:tab w:val="num" w:pos="886"/>
        </w:tabs>
        <w:ind w:left="886" w:hanging="420"/>
      </w:pPr>
    </w:lvl>
    <w:lvl w:ilvl="3" w:tplc="0409000F" w:tentative="1">
      <w:start w:val="1"/>
      <w:numFmt w:val="decimal"/>
      <w:lvlText w:val="%4."/>
      <w:lvlJc w:val="left"/>
      <w:pPr>
        <w:tabs>
          <w:tab w:val="num" w:pos="1306"/>
        </w:tabs>
        <w:ind w:left="1306" w:hanging="420"/>
      </w:pPr>
    </w:lvl>
    <w:lvl w:ilvl="4" w:tplc="04090019" w:tentative="1">
      <w:start w:val="1"/>
      <w:numFmt w:val="lowerLetter"/>
      <w:lvlText w:val="%5)"/>
      <w:lvlJc w:val="left"/>
      <w:pPr>
        <w:tabs>
          <w:tab w:val="num" w:pos="1726"/>
        </w:tabs>
        <w:ind w:left="1726" w:hanging="420"/>
      </w:pPr>
    </w:lvl>
    <w:lvl w:ilvl="5" w:tplc="0409001B" w:tentative="1">
      <w:start w:val="1"/>
      <w:numFmt w:val="lowerRoman"/>
      <w:lvlText w:val="%6."/>
      <w:lvlJc w:val="right"/>
      <w:pPr>
        <w:tabs>
          <w:tab w:val="num" w:pos="2146"/>
        </w:tabs>
        <w:ind w:left="2146" w:hanging="420"/>
      </w:pPr>
    </w:lvl>
    <w:lvl w:ilvl="6" w:tplc="0409000F" w:tentative="1">
      <w:start w:val="1"/>
      <w:numFmt w:val="decimal"/>
      <w:lvlText w:val="%7."/>
      <w:lvlJc w:val="left"/>
      <w:pPr>
        <w:tabs>
          <w:tab w:val="num" w:pos="2566"/>
        </w:tabs>
        <w:ind w:left="2566" w:hanging="420"/>
      </w:pPr>
    </w:lvl>
    <w:lvl w:ilvl="7" w:tplc="04090019" w:tentative="1">
      <w:start w:val="1"/>
      <w:numFmt w:val="lowerLetter"/>
      <w:lvlText w:val="%8)"/>
      <w:lvlJc w:val="left"/>
      <w:pPr>
        <w:tabs>
          <w:tab w:val="num" w:pos="2986"/>
        </w:tabs>
        <w:ind w:left="2986" w:hanging="420"/>
      </w:pPr>
    </w:lvl>
    <w:lvl w:ilvl="8" w:tplc="0409001B" w:tentative="1">
      <w:start w:val="1"/>
      <w:numFmt w:val="lowerRoman"/>
      <w:lvlText w:val="%9."/>
      <w:lvlJc w:val="right"/>
      <w:pPr>
        <w:tabs>
          <w:tab w:val="num" w:pos="3406"/>
        </w:tabs>
        <w:ind w:left="3406" w:hanging="420"/>
      </w:pPr>
    </w:lvl>
  </w:abstractNum>
  <w:abstractNum w:abstractNumId="21">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B3649D1"/>
    <w:multiLevelType w:val="hybridMultilevel"/>
    <w:tmpl w:val="3E4C66B8"/>
    <w:lvl w:ilvl="0" w:tplc="4ABCA058">
      <w:start w:val="1"/>
      <w:numFmt w:val="chineseCountingThousand"/>
      <w:lvlRestart w:val="0"/>
      <w:lvlText w:val="(%1)"/>
      <w:lvlJc w:val="right"/>
      <w:pPr>
        <w:tabs>
          <w:tab w:val="num" w:pos="1996"/>
        </w:tabs>
        <w:ind w:left="1996" w:hanging="21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88319C6"/>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6">
    <w:nsid w:val="64F97169"/>
    <w:multiLevelType w:val="hybridMultilevel"/>
    <w:tmpl w:val="FCB43584"/>
    <w:lvl w:ilvl="0" w:tplc="4ABCA058">
      <w:start w:val="1"/>
      <w:numFmt w:val="chineseCountingThousand"/>
      <w:lvlRestart w:val="0"/>
      <w:lvlText w:val="(%1)"/>
      <w:lvlJc w:val="right"/>
      <w:pPr>
        <w:tabs>
          <w:tab w:val="num" w:pos="1633"/>
        </w:tabs>
        <w:ind w:left="1633" w:hanging="216"/>
      </w:pPr>
      <w:rPr>
        <w:rFonts w:ascii="Times New Roman" w:hAnsi="Times New Roman" w:cs="Times New Roman"/>
        <w:sz w:val="18"/>
      </w:rPr>
    </w:lvl>
    <w:lvl w:ilvl="1" w:tplc="04090019" w:tentative="1">
      <w:start w:val="1"/>
      <w:numFmt w:val="lowerLetter"/>
      <w:lvlText w:val="%2)"/>
      <w:lvlJc w:val="left"/>
      <w:pPr>
        <w:tabs>
          <w:tab w:val="num" w:pos="466"/>
        </w:tabs>
        <w:ind w:left="466" w:hanging="420"/>
      </w:pPr>
    </w:lvl>
    <w:lvl w:ilvl="2" w:tplc="0409001B" w:tentative="1">
      <w:start w:val="1"/>
      <w:numFmt w:val="lowerRoman"/>
      <w:lvlText w:val="%3."/>
      <w:lvlJc w:val="right"/>
      <w:pPr>
        <w:tabs>
          <w:tab w:val="num" w:pos="886"/>
        </w:tabs>
        <w:ind w:left="886" w:hanging="420"/>
      </w:pPr>
    </w:lvl>
    <w:lvl w:ilvl="3" w:tplc="0409000F" w:tentative="1">
      <w:start w:val="1"/>
      <w:numFmt w:val="decimal"/>
      <w:lvlText w:val="%4."/>
      <w:lvlJc w:val="left"/>
      <w:pPr>
        <w:tabs>
          <w:tab w:val="num" w:pos="1306"/>
        </w:tabs>
        <w:ind w:left="1306" w:hanging="420"/>
      </w:pPr>
    </w:lvl>
    <w:lvl w:ilvl="4" w:tplc="04090019" w:tentative="1">
      <w:start w:val="1"/>
      <w:numFmt w:val="lowerLetter"/>
      <w:lvlText w:val="%5)"/>
      <w:lvlJc w:val="left"/>
      <w:pPr>
        <w:tabs>
          <w:tab w:val="num" w:pos="1726"/>
        </w:tabs>
        <w:ind w:left="1726" w:hanging="420"/>
      </w:pPr>
    </w:lvl>
    <w:lvl w:ilvl="5" w:tplc="0409001B" w:tentative="1">
      <w:start w:val="1"/>
      <w:numFmt w:val="lowerRoman"/>
      <w:lvlText w:val="%6."/>
      <w:lvlJc w:val="right"/>
      <w:pPr>
        <w:tabs>
          <w:tab w:val="num" w:pos="2146"/>
        </w:tabs>
        <w:ind w:left="2146" w:hanging="420"/>
      </w:pPr>
    </w:lvl>
    <w:lvl w:ilvl="6" w:tplc="0409000F" w:tentative="1">
      <w:start w:val="1"/>
      <w:numFmt w:val="decimal"/>
      <w:lvlText w:val="%7."/>
      <w:lvlJc w:val="left"/>
      <w:pPr>
        <w:tabs>
          <w:tab w:val="num" w:pos="2566"/>
        </w:tabs>
        <w:ind w:left="2566" w:hanging="420"/>
      </w:pPr>
    </w:lvl>
    <w:lvl w:ilvl="7" w:tplc="04090019" w:tentative="1">
      <w:start w:val="1"/>
      <w:numFmt w:val="lowerLetter"/>
      <w:lvlText w:val="%8)"/>
      <w:lvlJc w:val="left"/>
      <w:pPr>
        <w:tabs>
          <w:tab w:val="num" w:pos="2986"/>
        </w:tabs>
        <w:ind w:left="2986" w:hanging="420"/>
      </w:pPr>
    </w:lvl>
    <w:lvl w:ilvl="8" w:tplc="0409001B" w:tentative="1">
      <w:start w:val="1"/>
      <w:numFmt w:val="lowerRoman"/>
      <w:lvlText w:val="%9."/>
      <w:lvlJc w:val="right"/>
      <w:pPr>
        <w:tabs>
          <w:tab w:val="num" w:pos="3406"/>
        </w:tabs>
        <w:ind w:left="3406" w:hanging="420"/>
      </w:pPr>
    </w:lvl>
  </w:abstractNum>
  <w:abstractNum w:abstractNumId="27">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7"/>
  </w:num>
  <w:num w:numId="13">
    <w:abstractNumId w:val="24"/>
  </w:num>
  <w:num w:numId="14">
    <w:abstractNumId w:val="13"/>
  </w:num>
  <w:num w:numId="15">
    <w:abstractNumId w:val="14"/>
  </w:num>
  <w:num w:numId="16">
    <w:abstractNumId w:val="27"/>
  </w:num>
  <w:num w:numId="17">
    <w:abstractNumId w:val="13"/>
  </w:num>
  <w:num w:numId="18">
    <w:abstractNumId w:val="27"/>
  </w:num>
  <w:num w:numId="19">
    <w:abstractNumId w:val="14"/>
  </w:num>
  <w:num w:numId="20">
    <w:abstractNumId w:val="14"/>
  </w:num>
  <w:num w:numId="21">
    <w:abstractNumId w:val="19"/>
  </w:num>
  <w:num w:numId="22">
    <w:abstractNumId w:val="12"/>
  </w:num>
  <w:num w:numId="23">
    <w:abstractNumId w:val="23"/>
  </w:num>
  <w:num w:numId="24">
    <w:abstractNumId w:val="25"/>
  </w:num>
  <w:num w:numId="25">
    <w:abstractNumId w:val="21"/>
  </w:num>
  <w:num w:numId="26">
    <w:abstractNumId w:val="18"/>
  </w:num>
  <w:num w:numId="27">
    <w:abstractNumId w:val="28"/>
  </w:num>
  <w:num w:numId="28">
    <w:abstractNumId w:val="25"/>
  </w:num>
  <w:num w:numId="29">
    <w:abstractNumId w:val="21"/>
  </w:num>
  <w:num w:numId="30">
    <w:abstractNumId w:val="18"/>
  </w:num>
  <w:num w:numId="31">
    <w:abstractNumId w:val="23"/>
  </w:num>
  <w:num w:numId="32">
    <w:abstractNumId w:val="12"/>
  </w:num>
  <w:num w:numId="33">
    <w:abstractNumId w:val="19"/>
  </w:num>
  <w:num w:numId="34">
    <w:abstractNumId w:val="28"/>
  </w:num>
  <w:num w:numId="35">
    <w:abstractNumId w:val="26"/>
  </w:num>
  <w:num w:numId="36">
    <w:abstractNumId w:val="22"/>
  </w:num>
  <w:num w:numId="37">
    <w:abstractNumId w:val="16"/>
  </w:num>
  <w:num w:numId="38">
    <w:abstractNumId w:val="10"/>
  </w:num>
  <w:num w:numId="39">
    <w:abstractNumId w:val="20"/>
  </w:num>
  <w:num w:numId="40">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2A28"/>
    <w:rsid w:val="0000411A"/>
    <w:rsid w:val="00005A89"/>
    <w:rsid w:val="00007BCF"/>
    <w:rsid w:val="000157B1"/>
    <w:rsid w:val="000433AC"/>
    <w:rsid w:val="00050226"/>
    <w:rsid w:val="0005102E"/>
    <w:rsid w:val="00062E6B"/>
    <w:rsid w:val="000637CE"/>
    <w:rsid w:val="00082E10"/>
    <w:rsid w:val="000A03EB"/>
    <w:rsid w:val="000A2D6A"/>
    <w:rsid w:val="000A7C04"/>
    <w:rsid w:val="000C416A"/>
    <w:rsid w:val="000D1E21"/>
    <w:rsid w:val="000D39E1"/>
    <w:rsid w:val="000F5937"/>
    <w:rsid w:val="00100536"/>
    <w:rsid w:val="00107C15"/>
    <w:rsid w:val="00107C77"/>
    <w:rsid w:val="00111D10"/>
    <w:rsid w:val="00125776"/>
    <w:rsid w:val="00127C05"/>
    <w:rsid w:val="00132181"/>
    <w:rsid w:val="00140B6A"/>
    <w:rsid w:val="00145946"/>
    <w:rsid w:val="00145C92"/>
    <w:rsid w:val="001613CE"/>
    <w:rsid w:val="00165F4E"/>
    <w:rsid w:val="00185002"/>
    <w:rsid w:val="001A23E8"/>
    <w:rsid w:val="001A2F1C"/>
    <w:rsid w:val="001A5624"/>
    <w:rsid w:val="001B11DB"/>
    <w:rsid w:val="001C1935"/>
    <w:rsid w:val="001C3E9A"/>
    <w:rsid w:val="0024012F"/>
    <w:rsid w:val="002629D4"/>
    <w:rsid w:val="00280515"/>
    <w:rsid w:val="00286515"/>
    <w:rsid w:val="002D31D6"/>
    <w:rsid w:val="002D3FCB"/>
    <w:rsid w:val="002E68BE"/>
    <w:rsid w:val="002F3F47"/>
    <w:rsid w:val="002F6678"/>
    <w:rsid w:val="00306AE9"/>
    <w:rsid w:val="00315796"/>
    <w:rsid w:val="00322B61"/>
    <w:rsid w:val="00322F28"/>
    <w:rsid w:val="003734E0"/>
    <w:rsid w:val="00382B00"/>
    <w:rsid w:val="003836F1"/>
    <w:rsid w:val="00385C14"/>
    <w:rsid w:val="00395EE5"/>
    <w:rsid w:val="003A79F6"/>
    <w:rsid w:val="003B038F"/>
    <w:rsid w:val="003C27FE"/>
    <w:rsid w:val="003F65D6"/>
    <w:rsid w:val="003F7BF8"/>
    <w:rsid w:val="00400A2E"/>
    <w:rsid w:val="00407FCF"/>
    <w:rsid w:val="0044178A"/>
    <w:rsid w:val="0044270E"/>
    <w:rsid w:val="00453A81"/>
    <w:rsid w:val="00467D72"/>
    <w:rsid w:val="004746B9"/>
    <w:rsid w:val="004755EF"/>
    <w:rsid w:val="004858FB"/>
    <w:rsid w:val="00486766"/>
    <w:rsid w:val="00487358"/>
    <w:rsid w:val="00497F5C"/>
    <w:rsid w:val="004B6DD4"/>
    <w:rsid w:val="004C5291"/>
    <w:rsid w:val="004D1280"/>
    <w:rsid w:val="004D7F04"/>
    <w:rsid w:val="004E6C67"/>
    <w:rsid w:val="004F7C9A"/>
    <w:rsid w:val="00500866"/>
    <w:rsid w:val="00535843"/>
    <w:rsid w:val="00571343"/>
    <w:rsid w:val="00572547"/>
    <w:rsid w:val="00582C70"/>
    <w:rsid w:val="005906E6"/>
    <w:rsid w:val="005A5B0A"/>
    <w:rsid w:val="005B0D8A"/>
    <w:rsid w:val="005F34AF"/>
    <w:rsid w:val="005F4B29"/>
    <w:rsid w:val="00613337"/>
    <w:rsid w:val="00614D7D"/>
    <w:rsid w:val="00630755"/>
    <w:rsid w:val="00637441"/>
    <w:rsid w:val="00637834"/>
    <w:rsid w:val="00647FD7"/>
    <w:rsid w:val="00654172"/>
    <w:rsid w:val="00670C28"/>
    <w:rsid w:val="0067129C"/>
    <w:rsid w:val="00690C33"/>
    <w:rsid w:val="00697A6C"/>
    <w:rsid w:val="006B1273"/>
    <w:rsid w:val="006B3300"/>
    <w:rsid w:val="006B3471"/>
    <w:rsid w:val="006B4B5F"/>
    <w:rsid w:val="006D002F"/>
    <w:rsid w:val="006E0708"/>
    <w:rsid w:val="006E3CD4"/>
    <w:rsid w:val="006E7DF9"/>
    <w:rsid w:val="006E7E21"/>
    <w:rsid w:val="007131E3"/>
    <w:rsid w:val="00717C19"/>
    <w:rsid w:val="007418FE"/>
    <w:rsid w:val="00751C2E"/>
    <w:rsid w:val="007522B5"/>
    <w:rsid w:val="00785BE9"/>
    <w:rsid w:val="00786BD2"/>
    <w:rsid w:val="0079116A"/>
    <w:rsid w:val="00796BD3"/>
    <w:rsid w:val="00796EDF"/>
    <w:rsid w:val="007C0B4E"/>
    <w:rsid w:val="007D00F8"/>
    <w:rsid w:val="007D0842"/>
    <w:rsid w:val="007D7229"/>
    <w:rsid w:val="007E7822"/>
    <w:rsid w:val="007F501B"/>
    <w:rsid w:val="00801DCC"/>
    <w:rsid w:val="008029AD"/>
    <w:rsid w:val="0082049D"/>
    <w:rsid w:val="00824A57"/>
    <w:rsid w:val="0083180F"/>
    <w:rsid w:val="00845CC7"/>
    <w:rsid w:val="008464B5"/>
    <w:rsid w:val="00885DC7"/>
    <w:rsid w:val="00890356"/>
    <w:rsid w:val="008A322C"/>
    <w:rsid w:val="008A6AB8"/>
    <w:rsid w:val="008E736A"/>
    <w:rsid w:val="008E788B"/>
    <w:rsid w:val="009006FB"/>
    <w:rsid w:val="00922A28"/>
    <w:rsid w:val="00964622"/>
    <w:rsid w:val="0096567D"/>
    <w:rsid w:val="009B1BD6"/>
    <w:rsid w:val="009B419F"/>
    <w:rsid w:val="009D60E5"/>
    <w:rsid w:val="009F6C52"/>
    <w:rsid w:val="009F7338"/>
    <w:rsid w:val="00A067AD"/>
    <w:rsid w:val="00A26748"/>
    <w:rsid w:val="00A36F72"/>
    <w:rsid w:val="00A67F3E"/>
    <w:rsid w:val="00A95BD9"/>
    <w:rsid w:val="00A97235"/>
    <w:rsid w:val="00AD6719"/>
    <w:rsid w:val="00AE4D20"/>
    <w:rsid w:val="00B16973"/>
    <w:rsid w:val="00B30642"/>
    <w:rsid w:val="00B34537"/>
    <w:rsid w:val="00B61E34"/>
    <w:rsid w:val="00B624FD"/>
    <w:rsid w:val="00B82B2A"/>
    <w:rsid w:val="00B8703D"/>
    <w:rsid w:val="00B9104B"/>
    <w:rsid w:val="00B97559"/>
    <w:rsid w:val="00BC2A65"/>
    <w:rsid w:val="00BC3D38"/>
    <w:rsid w:val="00BE4EAA"/>
    <w:rsid w:val="00BF6DC5"/>
    <w:rsid w:val="00BF7E3F"/>
    <w:rsid w:val="00C143D7"/>
    <w:rsid w:val="00C3006D"/>
    <w:rsid w:val="00C435EE"/>
    <w:rsid w:val="00C62277"/>
    <w:rsid w:val="00C623B2"/>
    <w:rsid w:val="00C80DA9"/>
    <w:rsid w:val="00C862E5"/>
    <w:rsid w:val="00CA073C"/>
    <w:rsid w:val="00CA4105"/>
    <w:rsid w:val="00CE6DB5"/>
    <w:rsid w:val="00D2146D"/>
    <w:rsid w:val="00D43F71"/>
    <w:rsid w:val="00D445AD"/>
    <w:rsid w:val="00D54DF4"/>
    <w:rsid w:val="00D56026"/>
    <w:rsid w:val="00D57490"/>
    <w:rsid w:val="00D619F6"/>
    <w:rsid w:val="00D84673"/>
    <w:rsid w:val="00DA7104"/>
    <w:rsid w:val="00DD66BC"/>
    <w:rsid w:val="00DF4798"/>
    <w:rsid w:val="00E05040"/>
    <w:rsid w:val="00E0554F"/>
    <w:rsid w:val="00E1548B"/>
    <w:rsid w:val="00E40A46"/>
    <w:rsid w:val="00E422D4"/>
    <w:rsid w:val="00E54840"/>
    <w:rsid w:val="00E5559D"/>
    <w:rsid w:val="00E911E5"/>
    <w:rsid w:val="00E91C05"/>
    <w:rsid w:val="00EE0918"/>
    <w:rsid w:val="00EE1B5A"/>
    <w:rsid w:val="00EE277A"/>
    <w:rsid w:val="00EF3508"/>
    <w:rsid w:val="00F41BAF"/>
    <w:rsid w:val="00F50AC2"/>
    <w:rsid w:val="00F50CB9"/>
    <w:rsid w:val="00F53D4C"/>
    <w:rsid w:val="00F54A14"/>
    <w:rsid w:val="00F61015"/>
    <w:rsid w:val="00F70079"/>
    <w:rsid w:val="00F72A3C"/>
    <w:rsid w:val="00F75048"/>
    <w:rsid w:val="00F75357"/>
    <w:rsid w:val="00F806C4"/>
    <w:rsid w:val="00FC6A02"/>
    <w:rsid w:val="00FD07F6"/>
    <w:rsid w:val="00FD416D"/>
    <w:rsid w:val="00FD60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BE9"/>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801DCC"/>
    <w:pPr>
      <w:numPr>
        <w:numId w:val="20"/>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2D31D6"/>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F41BAF"/>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EE0918"/>
    <w:pPr>
      <w:spacing w:before="80" w:after="80" w:line="200" w:lineRule="exact"/>
      <w:ind w:left="0" w:right="113"/>
    </w:pPr>
    <w:rPr>
      <w:rFonts w:eastAsia="KaiTi_GB2312"/>
      <w:sz w:val="18"/>
    </w:rPr>
  </w:style>
  <w:style w:type="paragraph" w:customStyle="1" w:styleId="a0">
    <w:name w:val="缩进正文"/>
    <w:basedOn w:val="SingleTxtGC"/>
    <w:rsid w:val="0024012F"/>
    <w:pPr>
      <w:ind w:left="1565"/>
    </w:pPr>
  </w:style>
  <w:style w:type="paragraph" w:customStyle="1" w:styleId="a1">
    <w:name w:val="目录段页次"/>
    <w:basedOn w:val="Normal"/>
    <w:rsid w:val="00286515"/>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86515"/>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B16973"/>
    <w:pPr>
      <w:tabs>
        <w:tab w:val="right" w:pos="1021"/>
      </w:tabs>
    </w:pPr>
  </w:style>
  <w:style w:type="character" w:styleId="EndnoteReference">
    <w:name w:val="endnote reference"/>
    <w:basedOn w:val="FootnoteReference"/>
    <w:rsid w:val="00F41BAF"/>
  </w:style>
  <w:style w:type="paragraph" w:styleId="Footer">
    <w:name w:val="footer"/>
    <w:basedOn w:val="Normal"/>
    <w:rsid w:val="00CA4105"/>
    <w:pPr>
      <w:spacing w:line="240" w:lineRule="auto"/>
    </w:pPr>
    <w:rPr>
      <w:rFonts w:eastAsia="Times New Roman"/>
      <w:sz w:val="16"/>
      <w:lang w:val="en-GB" w:eastAsia="en-US"/>
    </w:rPr>
  </w:style>
  <w:style w:type="character" w:styleId="PageNumber">
    <w:name w:val="page number"/>
    <w:basedOn w:val="DefaultParagraphFont"/>
    <w:rsid w:val="00CA4105"/>
    <w:rPr>
      <w:rFonts w:ascii="Times New Roman" w:hAnsi="Times New Roman"/>
      <w:b/>
      <w:spacing w:val="0"/>
      <w:kern w:val="0"/>
      <w:sz w:val="18"/>
    </w:rPr>
  </w:style>
  <w:style w:type="paragraph" w:styleId="Header">
    <w:name w:val="header"/>
    <w:basedOn w:val="Normal"/>
    <w:rsid w:val="00CA4105"/>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322F28"/>
    <w:pPr>
      <w:numPr>
        <w:numId w:val="17"/>
      </w:numPr>
      <w:spacing w:after="120"/>
      <w:ind w:right="1134"/>
    </w:pPr>
  </w:style>
  <w:style w:type="paragraph" w:customStyle="1" w:styleId="Bullet2GC">
    <w:name w:val="_Bullet 2_GC"/>
    <w:basedOn w:val="Normal"/>
    <w:rsid w:val="00801DCC"/>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5F34A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F34A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F34A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F34A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F34A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F34A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C80DA9"/>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CA073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CA073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CA073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CA073C"/>
    <w:pPr>
      <w:keepNext/>
      <w:keepLines/>
      <w:spacing w:before="240" w:after="240" w:line="420" w:lineRule="exact"/>
      <w:ind w:left="1134" w:right="1134"/>
      <w:jc w:val="left"/>
    </w:pPr>
    <w:rPr>
      <w:rFonts w:eastAsia="SimHei"/>
      <w:sz w:val="40"/>
    </w:rPr>
  </w:style>
  <w:style w:type="paragraph" w:customStyle="1" w:styleId="a3">
    <w:name w:val="悬挂"/>
    <w:basedOn w:val="SingleTxtGC"/>
    <w:rsid w:val="001B11DB"/>
    <w:pPr>
      <w:ind w:left="1565" w:hanging="431"/>
    </w:pPr>
  </w:style>
  <w:style w:type="paragraph" w:customStyle="1" w:styleId="a4">
    <w:name w:val="表中文字"/>
    <w:basedOn w:val="SingleTxtGC"/>
    <w:rsid w:val="00647FD7"/>
    <w:pPr>
      <w:spacing w:before="40" w:line="240" w:lineRule="atLeast"/>
      <w:ind w:left="0" w:right="113"/>
    </w:pPr>
    <w:rPr>
      <w:sz w:val="18"/>
    </w:rPr>
  </w:style>
  <w:style w:type="paragraph" w:customStyle="1" w:styleId="a5">
    <w:name w:val="表数文字"/>
    <w:basedOn w:val="SingleTxtGC"/>
    <w:rsid w:val="004C5291"/>
    <w:pPr>
      <w:spacing w:before="40" w:after="40" w:line="240" w:lineRule="atLeast"/>
      <w:ind w:left="0" w:right="113"/>
    </w:pPr>
    <w:rPr>
      <w:sz w:val="18"/>
    </w:rPr>
  </w:style>
  <w:style w:type="paragraph" w:customStyle="1" w:styleId="H23G">
    <w:name w:val="_ H_2/3_G"/>
    <w:basedOn w:val="Normal"/>
    <w:next w:val="Normal"/>
    <w:rsid w:val="00185002"/>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character" w:customStyle="1" w:styleId="SingleTxtGCChar">
    <w:name w:val="_ Single Txt_GC Char"/>
    <w:basedOn w:val="DefaultParagraphFont"/>
    <w:link w:val="SingleTxtGC"/>
    <w:rsid w:val="00185002"/>
    <w:rPr>
      <w:rFonts w:eastAsia="SimSun"/>
      <w:snapToGrid w:val="0"/>
      <w:sz w:val="21"/>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H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A-HRC.dot</Template>
  <TotalTime>0</TotalTime>
  <Pages>2</Pages>
  <Words>365</Words>
  <Characters>429</Characters>
  <Application>Microsoft Office Outlook</Application>
  <DocSecurity>4</DocSecurity>
  <Lines>26</Lines>
  <Paragraphs>28</Paragraphs>
  <ScaleCrop>false</ScaleCrop>
  <Company>CSD</Company>
  <LinksUpToDate>false</LinksUpToDate>
  <CharactersWithSpaces>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Tian</dc:creator>
  <cp:keywords/>
  <dc:description/>
  <cp:lastModifiedBy>Tian</cp:lastModifiedBy>
  <cp:revision>3</cp:revision>
  <cp:lastPrinted>2014-06-02T09:35:00Z</cp:lastPrinted>
  <dcterms:created xsi:type="dcterms:W3CDTF">2014-06-02T09:35:00Z</dcterms:created>
  <dcterms:modified xsi:type="dcterms:W3CDTF">2014-06-02T09:35:00Z</dcterms:modified>
</cp:coreProperties>
</file>