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57BC0" w:rsidRPr="00DB58B5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B243AC" w:rsidP="00B243AC">
            <w:pPr>
              <w:jc w:val="right"/>
            </w:pPr>
            <w:r w:rsidRPr="00B243AC">
              <w:rPr>
                <w:sz w:val="40"/>
              </w:rPr>
              <w:t>A</w:t>
            </w:r>
            <w:r>
              <w:t>/HRC/RES/25/32</w:t>
            </w:r>
          </w:p>
        </w:tc>
      </w:tr>
      <w:tr w:rsidR="00057BC0" w:rsidRPr="00DB58B5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C717E0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243AC" w:rsidRDefault="00B243AC" w:rsidP="00C717E0">
            <w:pPr>
              <w:spacing w:before="240"/>
            </w:pPr>
            <w:r>
              <w:t>Distr. générale</w:t>
            </w:r>
          </w:p>
          <w:p w:rsidR="00B243AC" w:rsidRDefault="00B243AC" w:rsidP="00B243AC">
            <w:pPr>
              <w:spacing w:line="240" w:lineRule="exact"/>
            </w:pPr>
            <w:r>
              <w:t>15 avril 2014</w:t>
            </w:r>
          </w:p>
          <w:p w:rsidR="00B243AC" w:rsidRDefault="00B243AC" w:rsidP="00B243AC">
            <w:pPr>
              <w:spacing w:line="240" w:lineRule="exact"/>
            </w:pPr>
            <w:r>
              <w:t>Français</w:t>
            </w:r>
          </w:p>
          <w:p w:rsidR="00057BC0" w:rsidRPr="00DB58B5" w:rsidRDefault="00B243AC" w:rsidP="00B243AC">
            <w:pPr>
              <w:spacing w:line="240" w:lineRule="exact"/>
            </w:pPr>
            <w:r>
              <w:t>Original: anglais</w:t>
            </w:r>
          </w:p>
        </w:tc>
      </w:tr>
    </w:tbl>
    <w:p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A346F0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305824" w:rsidRPr="00BD7B64" w:rsidRDefault="00305824" w:rsidP="00305824">
      <w:pPr>
        <w:rPr>
          <w:b/>
          <w:lang w:val="fr-FR"/>
        </w:rPr>
      </w:pPr>
      <w:r w:rsidRPr="00BD7B64">
        <w:rPr>
          <w:b/>
          <w:lang w:val="fr-FR"/>
        </w:rPr>
        <w:t>Vingt-cinquième session</w:t>
      </w:r>
    </w:p>
    <w:p w:rsidR="00305824" w:rsidRPr="00BD7B64" w:rsidRDefault="00305824" w:rsidP="00305824">
      <w:pPr>
        <w:rPr>
          <w:lang w:val="fr-FR"/>
        </w:rPr>
      </w:pPr>
      <w:r w:rsidRPr="00BD7B64">
        <w:rPr>
          <w:lang w:val="fr-FR"/>
        </w:rPr>
        <w:t>Point 9 de l</w:t>
      </w:r>
      <w:r w:rsidR="00A346F0">
        <w:rPr>
          <w:lang w:val="fr-FR"/>
        </w:rPr>
        <w:t>’</w:t>
      </w:r>
      <w:r w:rsidRPr="00BD7B64">
        <w:rPr>
          <w:lang w:val="fr-FR"/>
        </w:rPr>
        <w:t xml:space="preserve">ordre du jour </w:t>
      </w:r>
    </w:p>
    <w:p w:rsidR="00305824" w:rsidRPr="00BD7B64" w:rsidRDefault="00305824" w:rsidP="00305824">
      <w:pPr>
        <w:rPr>
          <w:b/>
          <w:lang w:val="fr-FR"/>
        </w:rPr>
      </w:pPr>
      <w:r w:rsidRPr="00BD7B64">
        <w:rPr>
          <w:b/>
          <w:lang w:val="fr-FR"/>
        </w:rPr>
        <w:t>Le racisme, la discrimination raciale, la xénophobie</w:t>
      </w:r>
      <w:r>
        <w:rPr>
          <w:b/>
          <w:lang w:val="fr-FR"/>
        </w:rPr>
        <w:br/>
      </w:r>
      <w:r w:rsidRPr="00BD7B64">
        <w:rPr>
          <w:b/>
          <w:lang w:val="fr-FR"/>
        </w:rPr>
        <w:t>et</w:t>
      </w:r>
      <w:r>
        <w:rPr>
          <w:b/>
          <w:lang w:val="fr-FR"/>
        </w:rPr>
        <w:t xml:space="preserve"> </w:t>
      </w:r>
      <w:r w:rsidRPr="00BD7B64">
        <w:rPr>
          <w:b/>
          <w:lang w:val="fr-FR"/>
        </w:rPr>
        <w:t>l</w:t>
      </w:r>
      <w:r w:rsidR="00A346F0">
        <w:rPr>
          <w:b/>
          <w:lang w:val="fr-FR"/>
        </w:rPr>
        <w:t>’</w:t>
      </w:r>
      <w:r w:rsidRPr="00BD7B64">
        <w:rPr>
          <w:b/>
          <w:lang w:val="fr-FR"/>
        </w:rPr>
        <w:t xml:space="preserve">intolérance qui y est associée </w:t>
      </w:r>
      <w:r w:rsidR="000142BF">
        <w:rPr>
          <w:b/>
          <w:lang w:val="fr-FR"/>
        </w:rPr>
        <w:t>− </w:t>
      </w:r>
      <w:r w:rsidRPr="00BD7B64">
        <w:rPr>
          <w:b/>
          <w:lang w:val="fr-FR"/>
        </w:rPr>
        <w:t>suivi et application</w:t>
      </w:r>
      <w:r w:rsidRPr="00BD7B64">
        <w:rPr>
          <w:b/>
          <w:lang w:val="fr-FR"/>
        </w:rPr>
        <w:br/>
        <w:t>de la Déclaration et du Programme d</w:t>
      </w:r>
      <w:r w:rsidR="00A346F0">
        <w:rPr>
          <w:b/>
          <w:lang w:val="fr-FR"/>
        </w:rPr>
        <w:t>’</w:t>
      </w:r>
      <w:r w:rsidRPr="00BD7B64">
        <w:rPr>
          <w:b/>
          <w:lang w:val="fr-FR"/>
        </w:rPr>
        <w:t>action de Durban</w:t>
      </w:r>
    </w:p>
    <w:p w:rsidR="00305824" w:rsidRPr="0086163E" w:rsidRDefault="00305824" w:rsidP="00305824">
      <w:pPr>
        <w:pStyle w:val="H23G"/>
        <w:rPr>
          <w:spacing w:val="-1"/>
        </w:rPr>
      </w:pPr>
      <w:r w:rsidRPr="0048628F">
        <w:tab/>
      </w:r>
      <w:r w:rsidRPr="0048628F">
        <w:tab/>
      </w:r>
      <w:r>
        <w:rPr>
          <w:spacing w:val="-1"/>
        </w:rPr>
        <w:t>R</w:t>
      </w:r>
      <w:r w:rsidRPr="0086163E">
        <w:rPr>
          <w:spacing w:val="-1"/>
        </w:rPr>
        <w:t>ésolution</w:t>
      </w:r>
      <w:r>
        <w:rPr>
          <w:spacing w:val="-1"/>
        </w:rPr>
        <w:t xml:space="preserve"> adoptée par le Conseil des droits de l</w:t>
      </w:r>
      <w:r w:rsidR="00A346F0">
        <w:rPr>
          <w:spacing w:val="-1"/>
        </w:rPr>
        <w:t>’</w:t>
      </w:r>
      <w:r>
        <w:rPr>
          <w:spacing w:val="-1"/>
        </w:rPr>
        <w:t>homme</w:t>
      </w:r>
    </w:p>
    <w:p w:rsidR="00305824" w:rsidRPr="00BD7B64" w:rsidRDefault="00305824" w:rsidP="0030582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D7B64">
        <w:rPr>
          <w:lang w:val="fr-FR"/>
        </w:rPr>
        <w:t>25/</w:t>
      </w:r>
      <w:r w:rsidR="000142BF">
        <w:rPr>
          <w:lang w:val="fr-FR"/>
        </w:rPr>
        <w:t>32</w:t>
      </w:r>
      <w:r>
        <w:rPr>
          <w:lang w:val="fr-FR"/>
        </w:rPr>
        <w:br/>
      </w:r>
      <w:r w:rsidRPr="00BD7B64">
        <w:rPr>
          <w:lang w:val="fr-FR"/>
        </w:rPr>
        <w:t>Mandat du Rapporteur spécial sur les formes contemporaines</w:t>
      </w:r>
      <w:r>
        <w:rPr>
          <w:lang w:val="fr-FR"/>
        </w:rPr>
        <w:br/>
      </w:r>
      <w:r w:rsidRPr="00BD7B64">
        <w:rPr>
          <w:lang w:val="fr-FR"/>
        </w:rPr>
        <w:t>de racisme, de discrimination raciale, de xénophobie</w:t>
      </w:r>
      <w:r>
        <w:rPr>
          <w:lang w:val="fr-FR"/>
        </w:rPr>
        <w:br/>
      </w:r>
      <w:r w:rsidRPr="00BD7B64">
        <w:rPr>
          <w:lang w:val="fr-FR"/>
        </w:rPr>
        <w:t>et de l</w:t>
      </w:r>
      <w:r w:rsidR="00A346F0">
        <w:rPr>
          <w:lang w:val="fr-FR"/>
        </w:rPr>
        <w:t>’</w:t>
      </w:r>
      <w:r w:rsidRPr="00BD7B64">
        <w:rPr>
          <w:lang w:val="fr-FR"/>
        </w:rPr>
        <w:t>intolérance</w:t>
      </w:r>
      <w:r>
        <w:rPr>
          <w:lang w:val="fr-FR"/>
        </w:rPr>
        <w:t xml:space="preserve"> </w:t>
      </w:r>
      <w:r w:rsidRPr="00BD7B64">
        <w:rPr>
          <w:lang w:val="fr-FR"/>
        </w:rPr>
        <w:t xml:space="preserve">qui y est associée </w:t>
      </w:r>
    </w:p>
    <w:p w:rsidR="00305824" w:rsidRPr="00BD7B64" w:rsidRDefault="00305824" w:rsidP="000142BF">
      <w:pPr>
        <w:pStyle w:val="SingleTxtG"/>
        <w:ind w:firstLine="567"/>
        <w:rPr>
          <w:lang w:val="fr-FR"/>
        </w:rPr>
      </w:pPr>
      <w:r w:rsidRPr="00BD7B64">
        <w:rPr>
          <w:i/>
          <w:iCs/>
          <w:lang w:val="fr-FR"/>
        </w:rPr>
        <w:t>Le Conseil des droits de l</w:t>
      </w:r>
      <w:r w:rsidR="00A346F0">
        <w:rPr>
          <w:i/>
          <w:iCs/>
          <w:lang w:val="fr-FR"/>
        </w:rPr>
        <w:t>’</w:t>
      </w:r>
      <w:r w:rsidRPr="00BD7B64">
        <w:rPr>
          <w:i/>
          <w:iCs/>
          <w:lang w:val="fr-FR"/>
        </w:rPr>
        <w:t>homme</w:t>
      </w:r>
      <w:r w:rsidRPr="00BD7B64">
        <w:rPr>
          <w:lang w:val="fr-FR"/>
        </w:rPr>
        <w:t>,</w:t>
      </w:r>
    </w:p>
    <w:p w:rsidR="00305824" w:rsidRPr="00BD7B64" w:rsidRDefault="00305824" w:rsidP="000142BF">
      <w:pPr>
        <w:pStyle w:val="SingleTxt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>Ayant à l</w:t>
      </w:r>
      <w:r w:rsidR="00A346F0">
        <w:rPr>
          <w:rFonts w:eastAsia="SimSun"/>
          <w:i/>
          <w:iCs/>
          <w:lang w:val="fr-FR"/>
        </w:rPr>
        <w:t>’</w:t>
      </w:r>
      <w:r w:rsidRPr="00BD7B64">
        <w:rPr>
          <w:rFonts w:eastAsia="SimSun"/>
          <w:i/>
          <w:iCs/>
          <w:lang w:val="fr-FR"/>
        </w:rPr>
        <w:t xml:space="preserve">esprit </w:t>
      </w:r>
      <w:r w:rsidRPr="00BD7B64">
        <w:rPr>
          <w:rFonts w:eastAsia="SimSun"/>
          <w:iCs/>
          <w:lang w:val="fr-FR"/>
        </w:rPr>
        <w:t>le paragraphe</w:t>
      </w:r>
      <w:r>
        <w:rPr>
          <w:rFonts w:eastAsia="SimSun"/>
          <w:iCs/>
          <w:lang w:val="fr-FR"/>
        </w:rPr>
        <w:t> </w:t>
      </w:r>
      <w:r w:rsidRPr="00BD7B64">
        <w:rPr>
          <w:rFonts w:eastAsia="SimSun"/>
          <w:iCs/>
          <w:lang w:val="fr-FR"/>
        </w:rPr>
        <w:t>6 de la résolution</w:t>
      </w:r>
      <w:r>
        <w:rPr>
          <w:rFonts w:eastAsia="SimSun"/>
          <w:iCs/>
          <w:lang w:val="fr-FR"/>
        </w:rPr>
        <w:t> </w:t>
      </w:r>
      <w:r w:rsidRPr="00BD7B64">
        <w:rPr>
          <w:rFonts w:eastAsia="SimSun"/>
          <w:iCs/>
          <w:lang w:val="fr-FR"/>
        </w:rPr>
        <w:t>60/251 de l</w:t>
      </w:r>
      <w:r w:rsidR="00A346F0">
        <w:rPr>
          <w:rFonts w:eastAsia="SimSun"/>
          <w:iCs/>
          <w:lang w:val="fr-FR"/>
        </w:rPr>
        <w:t>’</w:t>
      </w:r>
      <w:r w:rsidRPr="00BD7B64">
        <w:rPr>
          <w:rFonts w:eastAsia="SimSun"/>
          <w:iCs/>
          <w:lang w:val="fr-FR"/>
        </w:rPr>
        <w:t>Assemblée générale, en</w:t>
      </w:r>
      <w:r w:rsidR="000142BF">
        <w:rPr>
          <w:rFonts w:eastAsia="SimSun"/>
          <w:iCs/>
          <w:lang w:val="fr-FR"/>
        </w:rPr>
        <w:t xml:space="preserve"> </w:t>
      </w:r>
      <w:r w:rsidRPr="00BD7B64">
        <w:rPr>
          <w:rFonts w:eastAsia="SimSun"/>
          <w:iCs/>
          <w:lang w:val="fr-FR"/>
        </w:rPr>
        <w:t>date du 15</w:t>
      </w:r>
      <w:r>
        <w:rPr>
          <w:rFonts w:eastAsia="SimSun"/>
          <w:iCs/>
          <w:lang w:val="fr-FR"/>
        </w:rPr>
        <w:t> </w:t>
      </w:r>
      <w:r w:rsidRPr="00BD7B64">
        <w:rPr>
          <w:rFonts w:eastAsia="SimSun"/>
          <w:iCs/>
          <w:lang w:val="fr-FR"/>
        </w:rPr>
        <w:t>mars 2006</w:t>
      </w:r>
      <w:r w:rsidRPr="00BD7B64">
        <w:rPr>
          <w:rFonts w:eastAsia="SimSun"/>
          <w:lang w:val="fr-FR"/>
        </w:rPr>
        <w:t>,</w:t>
      </w:r>
    </w:p>
    <w:p w:rsidR="00305824" w:rsidRPr="00BD7B64" w:rsidRDefault="00305824" w:rsidP="000142BF">
      <w:pPr>
        <w:pStyle w:val="SingleTxt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Réaffirmant </w:t>
      </w:r>
      <w:r w:rsidRPr="00BD7B64">
        <w:rPr>
          <w:rFonts w:eastAsia="SimSun"/>
          <w:iCs/>
          <w:lang w:val="fr-FR"/>
        </w:rPr>
        <w:t>les obligations qui incombent aux États au titre des instruments</w:t>
      </w:r>
      <w:r w:rsidRPr="00BD7B64">
        <w:rPr>
          <w:rFonts w:eastAsia="SimSun"/>
          <w:i/>
          <w:iCs/>
          <w:lang w:val="fr-FR"/>
        </w:rPr>
        <w:t xml:space="preserve"> </w:t>
      </w:r>
      <w:r w:rsidRPr="00BD7B64">
        <w:rPr>
          <w:rFonts w:eastAsia="SimSun"/>
          <w:lang w:val="fr-FR"/>
        </w:rPr>
        <w:t>internationaux pertinents relatifs aux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homme, en particulier la Convention internationale sur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élimination de toutes les formes de discrimination raciale, adoptée par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Assemblée générale dans sa résolution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2106 (XX) du 21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décembre 1965,</w:t>
      </w:r>
    </w:p>
    <w:p w:rsidR="00305824" w:rsidRPr="00BD7B64" w:rsidRDefault="00305824" w:rsidP="000142BF">
      <w:pPr>
        <w:pStyle w:val="SingleTxt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Rappelant </w:t>
      </w:r>
      <w:r w:rsidRPr="00BD7B64">
        <w:rPr>
          <w:rFonts w:eastAsia="SimSun"/>
          <w:iCs/>
          <w:lang w:val="fr-FR"/>
        </w:rPr>
        <w:t xml:space="preserve">toutes les résolutions et </w:t>
      </w:r>
      <w:r w:rsidRPr="00BD7B64">
        <w:rPr>
          <w:rFonts w:eastAsia="SimSun"/>
          <w:lang w:val="fr-FR"/>
        </w:rPr>
        <w:t>décisions antérieures concernant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élimination du racisme, de la discrimination raciale, de la xénophobie et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intolérance qui y est associée adoptées par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Assemblée générale, la Commission des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 et le Conseil des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homme,</w:t>
      </w:r>
    </w:p>
    <w:p w:rsidR="00305824" w:rsidRPr="00BD7B64" w:rsidRDefault="00305824" w:rsidP="000142BF">
      <w:pPr>
        <w:pStyle w:val="SingleTxt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Rappelant aussi </w:t>
      </w:r>
      <w:r w:rsidRPr="00BD7B64">
        <w:rPr>
          <w:rFonts w:eastAsia="SimSun"/>
          <w:lang w:val="fr-FR"/>
        </w:rPr>
        <w:t>ses résolutions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5/1</w:t>
      </w:r>
      <w:r w:rsidR="00783EEF">
        <w:rPr>
          <w:rFonts w:eastAsia="SimSun"/>
          <w:lang w:val="fr-FR"/>
        </w:rPr>
        <w:t xml:space="preserve"> </w:t>
      </w:r>
      <w:r w:rsidRPr="00BD7B64">
        <w:rPr>
          <w:rFonts w:eastAsia="SimSun"/>
          <w:lang w:val="fr-FR"/>
        </w:rPr>
        <w:t>et 5/2, en date du</w:t>
      </w:r>
      <w:r w:rsidR="000142BF">
        <w:rPr>
          <w:rFonts w:eastAsia="SimSun"/>
          <w:lang w:val="fr-FR"/>
        </w:rPr>
        <w:t xml:space="preserve"> 18 </w:t>
      </w:r>
      <w:r w:rsidRPr="00BD7B64">
        <w:rPr>
          <w:rFonts w:eastAsia="SimSun"/>
          <w:lang w:val="fr-FR"/>
        </w:rPr>
        <w:t>juin 2007, sur la mise en place des institutions du Conseil des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 et sur le Code de conduite pour les titulaires de mandat au titre des procédures spéciales du Conseil des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homme, respectivement, et soulignant que les titulaires de mandat doivent s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acquitter de leurs obligations conformément à ces résolutions et à leurs annexes,</w:t>
      </w:r>
    </w:p>
    <w:p w:rsidR="00305824" w:rsidRPr="00BD7B64" w:rsidRDefault="00305824" w:rsidP="000142BF">
      <w:pPr>
        <w:pStyle w:val="ParNo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Décide </w:t>
      </w:r>
      <w:r w:rsidRPr="00BD7B64">
        <w:rPr>
          <w:rFonts w:eastAsia="SimSun"/>
          <w:iCs/>
          <w:lang w:val="fr-FR"/>
        </w:rPr>
        <w:t>de proroger pour une nouvelle période de trois ans le mandat du Rapporteur spécial sur les formes contemporaines de racisme, de discrimination raciale, de</w:t>
      </w:r>
      <w:r w:rsidRPr="00BD7B64">
        <w:rPr>
          <w:rFonts w:eastAsia="SimSun"/>
          <w:lang w:val="fr-FR"/>
        </w:rPr>
        <w:t xml:space="preserve"> xénophobie et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intolérance qui y est associée, conformément à ce que prévoit sa résolution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7/34 du 28</w:t>
      </w:r>
      <w:r>
        <w:rPr>
          <w:rFonts w:eastAsia="SimSun"/>
          <w:lang w:val="fr-FR"/>
        </w:rPr>
        <w:t> </w:t>
      </w:r>
      <w:r w:rsidRPr="00BD7B64">
        <w:rPr>
          <w:rFonts w:eastAsia="SimSun"/>
          <w:lang w:val="fr-FR"/>
        </w:rPr>
        <w:t>mars 2008;</w:t>
      </w:r>
    </w:p>
    <w:p w:rsidR="00305824" w:rsidRPr="00BD7B64" w:rsidRDefault="00305824" w:rsidP="000142BF">
      <w:pPr>
        <w:pStyle w:val="ParNoG"/>
        <w:keepNext/>
        <w:keepLines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Prie </w:t>
      </w:r>
      <w:r w:rsidRPr="00BD7B64">
        <w:rPr>
          <w:rFonts w:eastAsia="SimSun"/>
          <w:lang w:val="fr-FR"/>
        </w:rPr>
        <w:t>tous les gouvernements de coopérer pleinement avec le Rapporteur spécial dans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accomplissement de son mandat, notamment en répondant promptement à ses communications, y compris les appels urgents, et en lui fournissant les informations demandées;</w:t>
      </w:r>
    </w:p>
    <w:p w:rsidR="00305824" w:rsidRPr="00BD7B64" w:rsidRDefault="00305824" w:rsidP="00305824">
      <w:pPr>
        <w:pStyle w:val="ParNo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Prie </w:t>
      </w:r>
      <w:r w:rsidRPr="00BD7B64">
        <w:rPr>
          <w:rFonts w:eastAsia="SimSun"/>
          <w:lang w:val="fr-FR"/>
        </w:rPr>
        <w:t>le Rapporteur spécial de présenter chaque année au Conseil des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homme et à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Assemblée générale un rapport sur toutes les activités liées à son mandat menées au cours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année écoulée, afin de tirer le meilleur parti du processus d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>établissement de rapports;</w:t>
      </w:r>
    </w:p>
    <w:p w:rsidR="00305824" w:rsidRPr="00BD7B64" w:rsidRDefault="00305824" w:rsidP="00305824">
      <w:pPr>
        <w:pStyle w:val="ParNoG"/>
        <w:ind w:firstLine="567"/>
        <w:rPr>
          <w:rFonts w:eastAsia="SimSun"/>
          <w:lang w:val="fr-FR"/>
        </w:rPr>
      </w:pPr>
      <w:r w:rsidRPr="00BD7B64">
        <w:rPr>
          <w:rFonts w:eastAsia="SimSun"/>
          <w:i/>
          <w:iCs/>
          <w:lang w:val="fr-FR"/>
        </w:rPr>
        <w:t xml:space="preserve">Prie </w:t>
      </w:r>
      <w:r w:rsidRPr="00BD7B64">
        <w:rPr>
          <w:rFonts w:eastAsia="SimSun"/>
          <w:lang w:val="fr-FR"/>
        </w:rPr>
        <w:t>le Secrétaire général et la Haut-Commissaire des Nations Unies aux droits de l</w:t>
      </w:r>
      <w:r w:rsidR="00A346F0">
        <w:rPr>
          <w:rFonts w:eastAsia="SimSun"/>
          <w:lang w:val="fr-FR"/>
        </w:rPr>
        <w:t>’</w:t>
      </w:r>
      <w:r w:rsidRPr="00BD7B64">
        <w:rPr>
          <w:rFonts w:eastAsia="SimSun"/>
          <w:lang w:val="fr-FR"/>
        </w:rPr>
        <w:t xml:space="preserve">homme de fournir au Rapporteur spécial toutes les ressources humaines, </w:t>
      </w:r>
      <w:r w:rsidRPr="00071806">
        <w:rPr>
          <w:rFonts w:eastAsia="SimSun"/>
          <w:spacing w:val="-2"/>
          <w:lang w:val="fr-FR"/>
        </w:rPr>
        <w:t>techniques et financières nécessaires pour qu</w:t>
      </w:r>
      <w:r w:rsidR="00A346F0">
        <w:rPr>
          <w:rFonts w:eastAsia="SimSun"/>
          <w:spacing w:val="-2"/>
          <w:lang w:val="fr-FR"/>
        </w:rPr>
        <w:t>’</w:t>
      </w:r>
      <w:r w:rsidRPr="00071806">
        <w:rPr>
          <w:rFonts w:eastAsia="SimSun"/>
          <w:spacing w:val="-2"/>
          <w:lang w:val="fr-FR"/>
        </w:rPr>
        <w:t>il puisse s</w:t>
      </w:r>
      <w:r w:rsidR="00A346F0">
        <w:rPr>
          <w:rFonts w:eastAsia="SimSun"/>
          <w:spacing w:val="-2"/>
          <w:lang w:val="fr-FR"/>
        </w:rPr>
        <w:t>’</w:t>
      </w:r>
      <w:r w:rsidRPr="00071806">
        <w:rPr>
          <w:rFonts w:eastAsia="SimSun"/>
          <w:spacing w:val="-2"/>
          <w:lang w:val="fr-FR"/>
        </w:rPr>
        <w:t>acquitter efficacement de son mandat;</w:t>
      </w:r>
    </w:p>
    <w:p w:rsidR="00305824" w:rsidRPr="002C20E7" w:rsidRDefault="00305824" w:rsidP="00305824">
      <w:pPr>
        <w:pStyle w:val="ParNoG"/>
        <w:ind w:firstLine="567"/>
      </w:pPr>
      <w:r w:rsidRPr="00BD7B64">
        <w:rPr>
          <w:rFonts w:eastAsia="SimSun"/>
          <w:i/>
          <w:iCs/>
          <w:lang w:val="fr-FR"/>
        </w:rPr>
        <w:t xml:space="preserve">Décide </w:t>
      </w:r>
      <w:r w:rsidRPr="00BD7B64">
        <w:rPr>
          <w:rFonts w:eastAsia="SimSun"/>
          <w:lang w:val="fr-FR"/>
        </w:rPr>
        <w:t>de rester saisi de cette question prioritaire.</w:t>
      </w:r>
    </w:p>
    <w:p w:rsidR="00305824" w:rsidRPr="000142BF" w:rsidRDefault="00305824" w:rsidP="000142BF">
      <w:pPr>
        <w:pStyle w:val="SingleTxtG"/>
        <w:jc w:val="right"/>
        <w:rPr>
          <w:i/>
          <w:lang w:val="fr-FR"/>
        </w:rPr>
      </w:pPr>
      <w:r w:rsidRPr="000142BF">
        <w:rPr>
          <w:i/>
          <w:lang w:val="fr-FR"/>
        </w:rPr>
        <w:t>56</w:t>
      </w:r>
      <w:r w:rsidRPr="000142BF">
        <w:rPr>
          <w:i/>
          <w:vertAlign w:val="superscript"/>
          <w:lang w:val="fr-FR"/>
        </w:rPr>
        <w:t>e</w:t>
      </w:r>
      <w:r w:rsidRPr="000142BF">
        <w:rPr>
          <w:i/>
          <w:lang w:val="fr-FR"/>
        </w:rPr>
        <w:t xml:space="preserve"> séance</w:t>
      </w:r>
      <w:r w:rsidR="000142BF" w:rsidRPr="000142BF">
        <w:rPr>
          <w:i/>
          <w:lang w:val="fr-FR"/>
        </w:rPr>
        <w:br/>
      </w:r>
      <w:r w:rsidRPr="000142BF">
        <w:rPr>
          <w:i/>
          <w:lang w:val="fr-FR"/>
        </w:rPr>
        <w:t>28 mars 2014</w:t>
      </w:r>
    </w:p>
    <w:p w:rsidR="00594033" w:rsidRDefault="00305824" w:rsidP="000142BF">
      <w:pPr>
        <w:pStyle w:val="SingleTxtG"/>
        <w:rPr>
          <w:lang w:val="fr-FR"/>
        </w:rPr>
      </w:pPr>
      <w:r>
        <w:rPr>
          <w:lang w:val="fr-FR"/>
        </w:rPr>
        <w:t>[</w:t>
      </w:r>
      <w:r w:rsidRPr="004A2C15">
        <w:rPr>
          <w:lang w:val="fr-FR"/>
        </w:rPr>
        <w:t>Adoptée</w:t>
      </w:r>
      <w:r>
        <w:rPr>
          <w:lang w:val="fr-FR"/>
        </w:rPr>
        <w:t xml:space="preserve"> sans </w:t>
      </w:r>
      <w:r w:rsidR="00783EEF">
        <w:rPr>
          <w:lang w:val="fr-FR"/>
        </w:rPr>
        <w:t>vote</w:t>
      </w:r>
      <w:r>
        <w:rPr>
          <w:lang w:val="fr-FR"/>
        </w:rPr>
        <w:t>]</w:t>
      </w:r>
    </w:p>
    <w:p w:rsidR="000142BF" w:rsidRPr="000142BF" w:rsidRDefault="000142BF" w:rsidP="00A346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42BF" w:rsidRPr="000142BF" w:rsidSect="00B243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45" w:rsidRDefault="004E1845"/>
  </w:endnote>
  <w:endnote w:type="continuationSeparator" w:id="0">
    <w:p w:rsidR="004E1845" w:rsidRDefault="004E1845"/>
  </w:endnote>
  <w:endnote w:type="continuationNotice" w:id="1">
    <w:p w:rsidR="004E1845" w:rsidRPr="00770C75" w:rsidRDefault="004E1845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AC" w:rsidRPr="00B243AC" w:rsidRDefault="00B243AC" w:rsidP="00B243AC">
    <w:pPr>
      <w:pStyle w:val="Footer"/>
      <w:tabs>
        <w:tab w:val="right" w:pos="9638"/>
      </w:tabs>
    </w:pPr>
    <w:r w:rsidRPr="00B243AC">
      <w:rPr>
        <w:b/>
        <w:sz w:val="18"/>
      </w:rPr>
      <w:fldChar w:fldCharType="begin"/>
    </w:r>
    <w:r w:rsidRPr="00B243AC">
      <w:rPr>
        <w:b/>
        <w:sz w:val="18"/>
      </w:rPr>
      <w:instrText xml:space="preserve"> PAGE  \* MERGEFORMAT </w:instrText>
    </w:r>
    <w:r w:rsidRPr="00B243AC">
      <w:rPr>
        <w:b/>
        <w:sz w:val="18"/>
      </w:rPr>
      <w:fldChar w:fldCharType="separate"/>
    </w:r>
    <w:r w:rsidR="008C63A1">
      <w:rPr>
        <w:b/>
        <w:noProof/>
        <w:sz w:val="18"/>
      </w:rPr>
      <w:t>2</w:t>
    </w:r>
    <w:r w:rsidRPr="00B243AC">
      <w:rPr>
        <w:b/>
        <w:sz w:val="18"/>
      </w:rPr>
      <w:fldChar w:fldCharType="end"/>
    </w:r>
    <w:r>
      <w:rPr>
        <w:b/>
        <w:sz w:val="18"/>
      </w:rPr>
      <w:tab/>
    </w:r>
    <w:r>
      <w:t>GE.14-13646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AC" w:rsidRPr="00B243AC" w:rsidRDefault="00B243AC" w:rsidP="00B243AC">
    <w:pPr>
      <w:pStyle w:val="Footer"/>
      <w:tabs>
        <w:tab w:val="right" w:pos="9638"/>
      </w:tabs>
      <w:rPr>
        <w:b/>
        <w:sz w:val="18"/>
      </w:rPr>
    </w:pPr>
    <w:r>
      <w:t>GE.14-13646</w:t>
    </w:r>
    <w:r>
      <w:tab/>
    </w:r>
    <w:r w:rsidRPr="00B243AC">
      <w:rPr>
        <w:b/>
        <w:sz w:val="18"/>
      </w:rPr>
      <w:fldChar w:fldCharType="begin"/>
    </w:r>
    <w:r w:rsidRPr="00B243AC">
      <w:rPr>
        <w:b/>
        <w:sz w:val="18"/>
      </w:rPr>
      <w:instrText xml:space="preserve"> PAGE  \* MERGEFORMAT </w:instrText>
    </w:r>
    <w:r w:rsidRPr="00B243A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43AC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6" w:rsidRDefault="00B243AC" w:rsidP="00B243AC">
    <w:pPr>
      <w:pStyle w:val="Footer"/>
      <w:spacing w:before="120"/>
    </w:pPr>
    <w:r>
      <w:rPr>
        <w:sz w:val="20"/>
      </w:rPr>
      <w:t>GE.14-13646</w:t>
    </w:r>
    <w:r w:rsidR="007D602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</w:t>
    </w:r>
    <w:r w:rsidR="000142BF">
      <w:rPr>
        <w:sz w:val="20"/>
      </w:rPr>
      <w:t xml:space="preserve">    050514    090514</w:t>
    </w:r>
    <w:r>
      <w:rPr>
        <w:sz w:val="20"/>
      </w:rPr>
      <w:br/>
    </w:r>
    <w:r w:rsidRPr="00B243AC">
      <w:rPr>
        <w:rFonts w:ascii="C39T30Lfz" w:hAnsi="C39T30Lfz"/>
        <w:sz w:val="56"/>
      </w:rPr>
      <w:t></w:t>
    </w:r>
    <w:r w:rsidRPr="00B243AC">
      <w:rPr>
        <w:rFonts w:ascii="C39T30Lfz" w:hAnsi="C39T30Lfz"/>
        <w:sz w:val="56"/>
      </w:rPr>
      <w:t></w:t>
    </w:r>
    <w:r w:rsidRPr="00B243AC">
      <w:rPr>
        <w:rFonts w:ascii="C39T30Lfz" w:hAnsi="C39T30Lfz"/>
        <w:sz w:val="56"/>
      </w:rPr>
      <w:t></w:t>
    </w:r>
    <w:r w:rsidRPr="00B243AC">
      <w:rPr>
        <w:rFonts w:ascii="C39T30Lfz" w:hAnsi="C39T30Lfz"/>
        <w:sz w:val="56"/>
      </w:rPr>
      <w:t></w:t>
    </w:r>
    <w:r w:rsidRPr="00B243AC">
      <w:rPr>
        <w:rFonts w:ascii="C39T30Lfz" w:hAnsi="C39T30Lfz"/>
        <w:sz w:val="56"/>
      </w:rPr>
      <w:t></w:t>
    </w:r>
    <w:r w:rsidRPr="00B243AC">
      <w:rPr>
        <w:rFonts w:ascii="C39T30Lfz" w:hAnsi="C39T30Lfz"/>
        <w:sz w:val="56"/>
      </w:rPr>
      <w:t></w:t>
    </w:r>
    <w:r w:rsidRPr="00B243AC">
      <w:rPr>
        <w:rFonts w:ascii="C39T30Lfz" w:hAnsi="C39T30Lfz"/>
        <w:sz w:val="56"/>
      </w:rPr>
      <w:t></w:t>
    </w:r>
    <w:r w:rsidRPr="00B243AC">
      <w:rPr>
        <w:rFonts w:ascii="C39T30Lfz" w:hAnsi="C39T30Lfz"/>
        <w:sz w:val="56"/>
      </w:rPr>
      <w:t></w:t>
    </w:r>
    <w:r w:rsidRPr="00B243AC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32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45" w:rsidRPr="00D27D5E" w:rsidRDefault="004E184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1845" w:rsidRPr="001D7014" w:rsidRDefault="004E1845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:rsidR="004E1845" w:rsidRPr="00770C75" w:rsidRDefault="004E1845" w:rsidP="00770C7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AC" w:rsidRPr="00B243AC" w:rsidRDefault="00B243AC">
    <w:pPr>
      <w:pStyle w:val="Header"/>
    </w:pPr>
    <w:r>
      <w:t>A/HRC/RES/25/32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AC" w:rsidRPr="00B243AC" w:rsidRDefault="00B243AC" w:rsidP="00B243AC">
    <w:pPr>
      <w:pStyle w:val="Header"/>
      <w:jc w:val="right"/>
    </w:pPr>
    <w:r>
      <w:t>A/HRC/RES/25/32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EC4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D61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A62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C2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A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26"/>
    <w:rsid w:val="000142BF"/>
    <w:rsid w:val="00016AC5"/>
    <w:rsid w:val="00053654"/>
    <w:rsid w:val="00057BC0"/>
    <w:rsid w:val="000675FE"/>
    <w:rsid w:val="000A63CB"/>
    <w:rsid w:val="000E03D2"/>
    <w:rsid w:val="000F41F2"/>
    <w:rsid w:val="00133B7A"/>
    <w:rsid w:val="001370FA"/>
    <w:rsid w:val="0014763D"/>
    <w:rsid w:val="00153B2E"/>
    <w:rsid w:val="00160540"/>
    <w:rsid w:val="00170BBF"/>
    <w:rsid w:val="00192EEB"/>
    <w:rsid w:val="001A20FB"/>
    <w:rsid w:val="001B6907"/>
    <w:rsid w:val="001C6647"/>
    <w:rsid w:val="001D7014"/>
    <w:rsid w:val="001E3FEB"/>
    <w:rsid w:val="001E4A02"/>
    <w:rsid w:val="00217DB9"/>
    <w:rsid w:val="00231946"/>
    <w:rsid w:val="00245F2B"/>
    <w:rsid w:val="002659F1"/>
    <w:rsid w:val="00286F7E"/>
    <w:rsid w:val="00287E79"/>
    <w:rsid w:val="002928F9"/>
    <w:rsid w:val="0029626F"/>
    <w:rsid w:val="002A5D07"/>
    <w:rsid w:val="002D6D59"/>
    <w:rsid w:val="003016B7"/>
    <w:rsid w:val="00305824"/>
    <w:rsid w:val="003515AA"/>
    <w:rsid w:val="00374106"/>
    <w:rsid w:val="00375577"/>
    <w:rsid w:val="0037787B"/>
    <w:rsid w:val="003976D5"/>
    <w:rsid w:val="003D3AE8"/>
    <w:rsid w:val="003D6C68"/>
    <w:rsid w:val="004159D0"/>
    <w:rsid w:val="00481744"/>
    <w:rsid w:val="004B2F4D"/>
    <w:rsid w:val="004E1845"/>
    <w:rsid w:val="00503619"/>
    <w:rsid w:val="00571F41"/>
    <w:rsid w:val="00594033"/>
    <w:rsid w:val="005D40D4"/>
    <w:rsid w:val="005E5D1F"/>
    <w:rsid w:val="00612D48"/>
    <w:rsid w:val="00616B45"/>
    <w:rsid w:val="006439EC"/>
    <w:rsid w:val="0066166E"/>
    <w:rsid w:val="006739B9"/>
    <w:rsid w:val="006A521F"/>
    <w:rsid w:val="006B4590"/>
    <w:rsid w:val="006C340C"/>
    <w:rsid w:val="006E0516"/>
    <w:rsid w:val="0070347C"/>
    <w:rsid w:val="007170F0"/>
    <w:rsid w:val="00743F9E"/>
    <w:rsid w:val="00757B26"/>
    <w:rsid w:val="007602DF"/>
    <w:rsid w:val="00770C75"/>
    <w:rsid w:val="00774E57"/>
    <w:rsid w:val="00783EEF"/>
    <w:rsid w:val="00785BA2"/>
    <w:rsid w:val="00786ACC"/>
    <w:rsid w:val="007C2C4F"/>
    <w:rsid w:val="007D30F7"/>
    <w:rsid w:val="007D6026"/>
    <w:rsid w:val="007E7740"/>
    <w:rsid w:val="0081197C"/>
    <w:rsid w:val="008353D6"/>
    <w:rsid w:val="00844750"/>
    <w:rsid w:val="0087266B"/>
    <w:rsid w:val="008921DD"/>
    <w:rsid w:val="0089595B"/>
    <w:rsid w:val="008A09C6"/>
    <w:rsid w:val="008C63A1"/>
    <w:rsid w:val="008D7C08"/>
    <w:rsid w:val="008E7FAE"/>
    <w:rsid w:val="00911BF7"/>
    <w:rsid w:val="00977EC8"/>
    <w:rsid w:val="00981C83"/>
    <w:rsid w:val="009B5609"/>
    <w:rsid w:val="009D34DC"/>
    <w:rsid w:val="009D3A8C"/>
    <w:rsid w:val="009E7956"/>
    <w:rsid w:val="009F450E"/>
    <w:rsid w:val="00A2492E"/>
    <w:rsid w:val="00A346F0"/>
    <w:rsid w:val="00A63BBD"/>
    <w:rsid w:val="00AC47AD"/>
    <w:rsid w:val="00AC7977"/>
    <w:rsid w:val="00AE352C"/>
    <w:rsid w:val="00B243AC"/>
    <w:rsid w:val="00B305CF"/>
    <w:rsid w:val="00B32E2D"/>
    <w:rsid w:val="00B41432"/>
    <w:rsid w:val="00B61990"/>
    <w:rsid w:val="00B80E45"/>
    <w:rsid w:val="00BA184E"/>
    <w:rsid w:val="00BE28D3"/>
    <w:rsid w:val="00BF0556"/>
    <w:rsid w:val="00C261F8"/>
    <w:rsid w:val="00C717E0"/>
    <w:rsid w:val="00C919A2"/>
    <w:rsid w:val="00CA04BE"/>
    <w:rsid w:val="00CD1A71"/>
    <w:rsid w:val="00CD1FBB"/>
    <w:rsid w:val="00CE5AFE"/>
    <w:rsid w:val="00D016B5"/>
    <w:rsid w:val="00D034F1"/>
    <w:rsid w:val="00D037E5"/>
    <w:rsid w:val="00D27D5E"/>
    <w:rsid w:val="00D34CC9"/>
    <w:rsid w:val="00D42E42"/>
    <w:rsid w:val="00DC20A1"/>
    <w:rsid w:val="00DE6D90"/>
    <w:rsid w:val="00DE708E"/>
    <w:rsid w:val="00DF002F"/>
    <w:rsid w:val="00E0244D"/>
    <w:rsid w:val="00E81E94"/>
    <w:rsid w:val="00E82607"/>
    <w:rsid w:val="00EF327E"/>
    <w:rsid w:val="00F22103"/>
    <w:rsid w:val="00F71235"/>
    <w:rsid w:val="00F71F90"/>
    <w:rsid w:val="00FA2A25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0F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17DB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D30F7"/>
    <w:pPr>
      <w:outlineLvl w:val="1"/>
    </w:pPr>
  </w:style>
  <w:style w:type="paragraph" w:styleId="Heading3">
    <w:name w:val="heading 3"/>
    <w:basedOn w:val="Normal"/>
    <w:next w:val="Normal"/>
    <w:qFormat/>
    <w:rsid w:val="007D30F7"/>
    <w:pPr>
      <w:outlineLvl w:val="2"/>
    </w:pPr>
  </w:style>
  <w:style w:type="paragraph" w:styleId="Heading4">
    <w:name w:val="heading 4"/>
    <w:basedOn w:val="Normal"/>
    <w:next w:val="Normal"/>
    <w:qFormat/>
    <w:rsid w:val="007D30F7"/>
    <w:pPr>
      <w:outlineLvl w:val="3"/>
    </w:pPr>
  </w:style>
  <w:style w:type="paragraph" w:styleId="Heading5">
    <w:name w:val="heading 5"/>
    <w:basedOn w:val="Normal"/>
    <w:next w:val="Normal"/>
    <w:qFormat/>
    <w:rsid w:val="007D30F7"/>
    <w:pPr>
      <w:outlineLvl w:val="4"/>
    </w:pPr>
  </w:style>
  <w:style w:type="paragraph" w:styleId="Heading6">
    <w:name w:val="heading 6"/>
    <w:basedOn w:val="Normal"/>
    <w:next w:val="Normal"/>
    <w:qFormat/>
    <w:rsid w:val="007D30F7"/>
    <w:pPr>
      <w:outlineLvl w:val="5"/>
    </w:pPr>
  </w:style>
  <w:style w:type="paragraph" w:styleId="Heading7">
    <w:name w:val="heading 7"/>
    <w:basedOn w:val="Normal"/>
    <w:next w:val="Normal"/>
    <w:qFormat/>
    <w:rsid w:val="007D30F7"/>
    <w:pPr>
      <w:outlineLvl w:val="6"/>
    </w:pPr>
  </w:style>
  <w:style w:type="paragraph" w:styleId="Heading8">
    <w:name w:val="heading 8"/>
    <w:basedOn w:val="Normal"/>
    <w:next w:val="Normal"/>
    <w:qFormat/>
    <w:rsid w:val="007D30F7"/>
    <w:pPr>
      <w:outlineLvl w:val="7"/>
    </w:pPr>
  </w:style>
  <w:style w:type="paragraph" w:styleId="Heading9">
    <w:name w:val="heading 9"/>
    <w:basedOn w:val="Normal"/>
    <w:next w:val="Normal"/>
    <w:qFormat/>
    <w:rsid w:val="007D30F7"/>
    <w:pPr>
      <w:outlineLvl w:val="8"/>
    </w:pPr>
  </w:style>
  <w:style w:type="character" w:default="1" w:styleId="DefaultParagraphFont">
    <w:name w:val="Default Paragraph Font"/>
    <w:semiHidden/>
    <w:rsid w:val="007D30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30F7"/>
  </w:style>
  <w:style w:type="paragraph" w:customStyle="1" w:styleId="HMG">
    <w:name w:val="_ H __M_G"/>
    <w:basedOn w:val="Normal"/>
    <w:next w:val="Normal"/>
    <w:rsid w:val="007D30F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D30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D30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D30F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30F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30F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30F7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30F7"/>
    <w:pPr>
      <w:numPr>
        <w:numId w:val="19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D30F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30F7"/>
  </w:style>
  <w:style w:type="paragraph" w:styleId="Header">
    <w:name w:val="header"/>
    <w:aliases w:val="6_G"/>
    <w:basedOn w:val="Normal"/>
    <w:next w:val="Normal"/>
    <w:rsid w:val="007D30F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F2210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F22103"/>
  </w:style>
  <w:style w:type="character" w:styleId="PageNumber">
    <w:name w:val="page number"/>
    <w:aliases w:val="7_G"/>
    <w:rsid w:val="007D30F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D30F7"/>
    <w:pPr>
      <w:spacing w:line="240" w:lineRule="auto"/>
    </w:pPr>
    <w:rPr>
      <w:sz w:val="16"/>
    </w:rPr>
  </w:style>
  <w:style w:type="character" w:styleId="Hyperlink">
    <w:name w:val="Hyperlink"/>
    <w:rsid w:val="00503619"/>
    <w:rPr>
      <w:color w:val="auto"/>
      <w:u w:val="none"/>
    </w:rPr>
  </w:style>
  <w:style w:type="character" w:styleId="FollowedHyperlink">
    <w:name w:val="FollowedHyperlink"/>
    <w:rsid w:val="00503619"/>
    <w:rPr>
      <w:color w:val="auto"/>
      <w:u w:val="none"/>
    </w:rPr>
  </w:style>
  <w:style w:type="paragraph" w:customStyle="1" w:styleId="ParNoG">
    <w:name w:val="_ParNo_G"/>
    <w:basedOn w:val="SingleTxtG"/>
    <w:rsid w:val="009D34D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0</TotalTime>
  <Pages>2</Pages>
  <Words>434</Words>
  <Characters>2478</Characters>
  <Application>Microsoft Office Outlook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A/HRC/RES/25/32</vt:lpstr>
    </vt:vector>
  </TitlesOfParts>
  <Company>CSD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A/HRC/RES/25/32</dc:title>
  <dc:subject>FINAL</dc:subject>
  <dc:creator>LEJEUNE</dc:creator>
  <cp:keywords/>
  <cp:lastModifiedBy>Tpsfra</cp:lastModifiedBy>
  <cp:revision>2</cp:revision>
  <cp:lastPrinted>2014-05-09T09:11:00Z</cp:lastPrinted>
  <dcterms:created xsi:type="dcterms:W3CDTF">2014-10-13T13:29:00Z</dcterms:created>
  <dcterms:modified xsi:type="dcterms:W3CDTF">2014-10-13T13:29:00Z</dcterms:modified>
</cp:coreProperties>
</file>