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FE2EDF">
        <w:trPr>
          <w:trHeight w:val="851"/>
        </w:trPr>
        <w:tc>
          <w:tcPr>
            <w:tcW w:w="1259" w:type="dxa"/>
            <w:tcBorders>
              <w:top w:val="nil"/>
              <w:left w:val="nil"/>
              <w:bottom w:val="single" w:sz="4" w:space="0" w:color="auto"/>
              <w:right w:val="nil"/>
            </w:tcBorders>
          </w:tcPr>
          <w:p w:rsidR="00FE2EDF" w:rsidRPr="00E806EE" w:rsidRDefault="00FE2EDF" w:rsidP="00FE2ED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FE2EDF" w:rsidRPr="00963CBA" w:rsidRDefault="00FE2EDF" w:rsidP="00FE2ED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FE2EDF" w:rsidRPr="00DE3EC0" w:rsidRDefault="00FE2EDF" w:rsidP="00FE2EDF">
            <w:pPr>
              <w:jc w:val="right"/>
            </w:pPr>
            <w:r w:rsidRPr="001D18FE">
              <w:rPr>
                <w:sz w:val="40"/>
              </w:rPr>
              <w:t>A</w:t>
            </w:r>
            <w:r>
              <w:t>/HRC/RES/25/32</w:t>
            </w:r>
          </w:p>
        </w:tc>
      </w:tr>
      <w:tr w:rsidR="00FE2EDF">
        <w:trPr>
          <w:trHeight w:val="2835"/>
        </w:trPr>
        <w:tc>
          <w:tcPr>
            <w:tcW w:w="1259" w:type="dxa"/>
            <w:tcBorders>
              <w:top w:val="single" w:sz="4" w:space="0" w:color="auto"/>
              <w:left w:val="nil"/>
              <w:bottom w:val="single" w:sz="12" w:space="0" w:color="auto"/>
              <w:right w:val="nil"/>
            </w:tcBorders>
          </w:tcPr>
          <w:p w:rsidR="00FE2EDF" w:rsidRDefault="00FE2EDF" w:rsidP="00FE2ED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FE2EDF" w:rsidRPr="00B3317B" w:rsidRDefault="00FE2EDF" w:rsidP="00FE2EDF">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FE2EDF" w:rsidRDefault="00FE2EDF" w:rsidP="00FE2EDF">
            <w:pPr>
              <w:spacing w:before="240" w:line="240" w:lineRule="exact"/>
            </w:pPr>
            <w:r>
              <w:t>Distr.: General</w:t>
            </w:r>
          </w:p>
          <w:p w:rsidR="00FE2EDF" w:rsidRDefault="00EA2C98" w:rsidP="00FE2EDF">
            <w:pPr>
              <w:spacing w:line="240" w:lineRule="exact"/>
            </w:pPr>
            <w:r>
              <w:t>15</w:t>
            </w:r>
            <w:r w:rsidR="00FE2EDF">
              <w:t xml:space="preserve"> April 2014</w:t>
            </w:r>
          </w:p>
          <w:p w:rsidR="00FE2EDF" w:rsidRDefault="00FE2EDF" w:rsidP="00FE2EDF">
            <w:pPr>
              <w:spacing w:line="240" w:lineRule="exact"/>
            </w:pPr>
          </w:p>
          <w:p w:rsidR="00FE2EDF" w:rsidRDefault="00FE2EDF" w:rsidP="00FE2EDF">
            <w:pPr>
              <w:spacing w:line="240" w:lineRule="exact"/>
            </w:pPr>
            <w:r>
              <w:t>Original: English</w:t>
            </w:r>
          </w:p>
        </w:tc>
      </w:tr>
    </w:tbl>
    <w:p w:rsidR="00FE2EDF" w:rsidRDefault="00FE2EDF" w:rsidP="00FE2EDF">
      <w:pPr>
        <w:spacing w:before="120"/>
        <w:rPr>
          <w:b/>
          <w:sz w:val="24"/>
          <w:szCs w:val="24"/>
        </w:rPr>
      </w:pPr>
      <w:r>
        <w:rPr>
          <w:b/>
          <w:sz w:val="24"/>
          <w:szCs w:val="24"/>
        </w:rPr>
        <w:t>Human Rights Council</w:t>
      </w:r>
    </w:p>
    <w:p w:rsidR="00FE2EDF" w:rsidRDefault="00FE2EDF" w:rsidP="00FE2EDF">
      <w:pPr>
        <w:rPr>
          <w:b/>
        </w:rPr>
      </w:pPr>
      <w:r>
        <w:rPr>
          <w:b/>
        </w:rPr>
        <w:t>Twenty-fifth session</w:t>
      </w:r>
    </w:p>
    <w:p w:rsidR="00FE2EDF" w:rsidRDefault="00FE2EDF" w:rsidP="00FE2EDF">
      <w:r>
        <w:t>Agenda item 9</w:t>
      </w:r>
    </w:p>
    <w:p w:rsidR="00FE2EDF" w:rsidRPr="00533C25" w:rsidRDefault="00FE2EDF" w:rsidP="00FE2EDF">
      <w:pPr>
        <w:rPr>
          <w:b/>
        </w:rPr>
      </w:pPr>
      <w:r>
        <w:rPr>
          <w:b/>
        </w:rPr>
        <w:t>Racism, racial discrimination, xenophobia and related</w:t>
      </w:r>
      <w:r>
        <w:rPr>
          <w:b/>
        </w:rPr>
        <w:br/>
        <w:t>forms of intolerance, follow-up to and implementation of</w:t>
      </w:r>
      <w:r>
        <w:rPr>
          <w:b/>
        </w:rPr>
        <w:br/>
        <w:t xml:space="preserve">the </w:t>
      </w:r>
      <w:smartTag w:uri="urn:schemas-microsoft-com:office:smarttags" w:element="City">
        <w:smartTag w:uri="urn:schemas-microsoft-com:office:smarttags" w:element="place">
          <w:r>
            <w:rPr>
              <w:b/>
            </w:rPr>
            <w:t>Durban</w:t>
          </w:r>
        </w:smartTag>
      </w:smartTag>
      <w:r>
        <w:rPr>
          <w:b/>
        </w:rPr>
        <w:t xml:space="preserve"> Declaration and Programme of Action</w:t>
      </w:r>
    </w:p>
    <w:p w:rsidR="00FE2EDF" w:rsidRDefault="00FE2EDF" w:rsidP="00FE2EDF">
      <w:pPr>
        <w:pStyle w:val="H23G"/>
      </w:pPr>
      <w:r>
        <w:tab/>
      </w:r>
      <w:r>
        <w:tab/>
        <w:t>Resolution adopted by the Human Rights Council</w:t>
      </w:r>
    </w:p>
    <w:p w:rsidR="00FE2EDF" w:rsidRPr="007A45D3" w:rsidRDefault="00FE2EDF" w:rsidP="00936443">
      <w:pPr>
        <w:pStyle w:val="H1G"/>
        <w:tabs>
          <w:tab w:val="clear" w:pos="851"/>
        </w:tabs>
        <w:ind w:firstLine="0"/>
      </w:pPr>
      <w:r>
        <w:t>25</w:t>
      </w:r>
      <w:r w:rsidRPr="007A45D3">
        <w:t>/</w:t>
      </w:r>
      <w:r>
        <w:t>32.</w:t>
      </w:r>
      <w:r>
        <w:br/>
      </w:r>
      <w:r w:rsidRPr="00D96A84">
        <w:rPr>
          <w:bCs/>
          <w:lang w:val="en-US"/>
        </w:rPr>
        <w:t>Mandate of the Special Rapporteur on contemporary forms of racism, racial discrimination, xenophobia and related intolerance</w:t>
      </w:r>
    </w:p>
    <w:p w:rsidR="00FE2EDF" w:rsidRPr="00852165" w:rsidRDefault="00FE2EDF" w:rsidP="00936443">
      <w:pPr>
        <w:pStyle w:val="SingleTxtG"/>
      </w:pPr>
      <w:r>
        <w:rPr>
          <w:i/>
          <w:iCs/>
        </w:rPr>
        <w:tab/>
      </w:r>
      <w:r w:rsidRPr="00852165">
        <w:rPr>
          <w:i/>
          <w:iCs/>
        </w:rPr>
        <w:t>The Human Rights Council</w:t>
      </w:r>
      <w:r w:rsidRPr="00852165">
        <w:t>,</w:t>
      </w:r>
    </w:p>
    <w:p w:rsidR="00FE2EDF" w:rsidRPr="00D96A84" w:rsidRDefault="00FE2EDF" w:rsidP="00FE2EDF">
      <w:pPr>
        <w:pStyle w:val="SingleTxtG"/>
        <w:rPr>
          <w:rFonts w:eastAsia="SimSun"/>
          <w:lang w:val="en-US"/>
        </w:rPr>
      </w:pPr>
      <w:r>
        <w:rPr>
          <w:rFonts w:eastAsia="SimSun"/>
          <w:i/>
          <w:iCs/>
          <w:lang w:val="en-US"/>
        </w:rPr>
        <w:tab/>
      </w:r>
      <w:r w:rsidRPr="00D96A84">
        <w:rPr>
          <w:rFonts w:eastAsia="SimSun"/>
          <w:i/>
          <w:iCs/>
          <w:lang w:val="en-US"/>
        </w:rPr>
        <w:t xml:space="preserve">Bearing in mind </w:t>
      </w:r>
      <w:r w:rsidRPr="00D96A84">
        <w:rPr>
          <w:rFonts w:eastAsia="SimSun"/>
          <w:lang w:val="en-US"/>
        </w:rPr>
        <w:t>paragraph 6 of General Assembly resolution 60/251 of 15 March</w:t>
      </w:r>
      <w:r>
        <w:rPr>
          <w:rFonts w:eastAsia="SimSun"/>
          <w:lang w:val="en-US"/>
        </w:rPr>
        <w:t xml:space="preserve"> </w:t>
      </w:r>
      <w:r w:rsidRPr="00D96A84">
        <w:rPr>
          <w:rFonts w:eastAsia="SimSun"/>
          <w:lang w:val="en-US"/>
        </w:rPr>
        <w:t>2006,</w:t>
      </w:r>
    </w:p>
    <w:p w:rsidR="00FE2EDF" w:rsidRPr="00D96A84" w:rsidRDefault="00FE2EDF" w:rsidP="00FE2EDF">
      <w:pPr>
        <w:pStyle w:val="SingleTxtG"/>
        <w:ind w:firstLine="567"/>
        <w:rPr>
          <w:rFonts w:eastAsia="SimSun"/>
          <w:lang w:val="en-US"/>
        </w:rPr>
      </w:pPr>
      <w:r w:rsidRPr="00D96A84">
        <w:rPr>
          <w:rFonts w:eastAsia="SimSun"/>
          <w:i/>
          <w:iCs/>
          <w:lang w:val="en-US"/>
        </w:rPr>
        <w:t xml:space="preserve">Reaffirming </w:t>
      </w:r>
      <w:r w:rsidRPr="00D96A84">
        <w:rPr>
          <w:rFonts w:eastAsia="SimSun"/>
          <w:lang w:val="en-US"/>
        </w:rPr>
        <w:t>the obligations of States under relevant international human rights instruments, in particular the International Convention on the Elimination of All Forms of Racial Discrimination, adopted by the General Assembly in its resolution 2106 (XX) of 21 December 1965,</w:t>
      </w:r>
    </w:p>
    <w:p w:rsidR="00FE2EDF" w:rsidRPr="00D96A84" w:rsidRDefault="00FE2EDF" w:rsidP="00FE2EDF">
      <w:pPr>
        <w:pStyle w:val="SingleTxtG"/>
        <w:ind w:firstLine="567"/>
        <w:rPr>
          <w:rFonts w:eastAsia="SimSun"/>
          <w:lang w:val="en-US"/>
        </w:rPr>
      </w:pPr>
      <w:r w:rsidRPr="00D96A84">
        <w:rPr>
          <w:rFonts w:eastAsia="SimSun"/>
          <w:i/>
          <w:iCs/>
          <w:lang w:val="en-US"/>
        </w:rPr>
        <w:t xml:space="preserve">Recalling </w:t>
      </w:r>
      <w:r w:rsidRPr="00D96A84">
        <w:rPr>
          <w:rFonts w:eastAsia="SimSun"/>
          <w:lang w:val="en-US"/>
        </w:rPr>
        <w:t>all previous resolutions and decisions of the General Assembly, the Commission on Human Rights and the Human Rights Council on the elimination of racism, racial discrimination, xenophobia and related intolerance,</w:t>
      </w:r>
    </w:p>
    <w:p w:rsidR="00FE2EDF" w:rsidRPr="00D96A84" w:rsidRDefault="00FE2EDF" w:rsidP="00FE2EDF">
      <w:pPr>
        <w:pStyle w:val="SingleTxtG"/>
        <w:ind w:firstLine="567"/>
        <w:rPr>
          <w:rFonts w:eastAsia="SimSun"/>
          <w:lang w:val="en-US"/>
        </w:rPr>
      </w:pPr>
      <w:r w:rsidRPr="00D96A84">
        <w:rPr>
          <w:rFonts w:eastAsia="SimSun"/>
          <w:i/>
          <w:iCs/>
          <w:lang w:val="en-US"/>
        </w:rPr>
        <w:t xml:space="preserve">Recalling also </w:t>
      </w:r>
      <w:r w:rsidRPr="00D96A84">
        <w:rPr>
          <w:rFonts w:eastAsia="SimSun"/>
          <w:lang w:val="en-US"/>
        </w:rPr>
        <w:t xml:space="preserve">Human Rights Council resolutions 5/1, on institution-building of the Council, and 5/2, on the </w:t>
      </w:r>
      <w:r>
        <w:rPr>
          <w:rFonts w:eastAsia="SimSun"/>
          <w:lang w:val="en-US"/>
        </w:rPr>
        <w:t>C</w:t>
      </w:r>
      <w:r w:rsidRPr="00D96A84">
        <w:rPr>
          <w:rFonts w:eastAsia="SimSun"/>
          <w:lang w:val="en-US"/>
        </w:rPr>
        <w:t xml:space="preserve">ode of </w:t>
      </w:r>
      <w:r>
        <w:rPr>
          <w:rFonts w:eastAsia="SimSun"/>
          <w:lang w:val="en-US"/>
        </w:rPr>
        <w:t>C</w:t>
      </w:r>
      <w:r w:rsidRPr="00D96A84">
        <w:rPr>
          <w:rFonts w:eastAsia="SimSun"/>
          <w:lang w:val="en-US"/>
        </w:rPr>
        <w:t xml:space="preserve">onduct for </w:t>
      </w:r>
      <w:r>
        <w:rPr>
          <w:rFonts w:eastAsia="SimSun"/>
          <w:lang w:val="en-US"/>
        </w:rPr>
        <w:t>S</w:t>
      </w:r>
      <w:r w:rsidRPr="00D96A84">
        <w:rPr>
          <w:rFonts w:eastAsia="SimSun"/>
          <w:lang w:val="en-US"/>
        </w:rPr>
        <w:t xml:space="preserve">pecial </w:t>
      </w:r>
      <w:r>
        <w:rPr>
          <w:rFonts w:eastAsia="SimSun"/>
          <w:lang w:val="en-US"/>
        </w:rPr>
        <w:t>P</w:t>
      </w:r>
      <w:r w:rsidRPr="00D96A84">
        <w:rPr>
          <w:rFonts w:eastAsia="SimSun"/>
          <w:lang w:val="en-US"/>
        </w:rPr>
        <w:t xml:space="preserve">rocedures </w:t>
      </w:r>
      <w:r>
        <w:rPr>
          <w:rFonts w:eastAsia="SimSun"/>
          <w:lang w:val="en-US"/>
        </w:rPr>
        <w:t>M</w:t>
      </w:r>
      <w:r w:rsidRPr="00D96A84">
        <w:rPr>
          <w:rFonts w:eastAsia="SimSun"/>
          <w:lang w:val="en-US"/>
        </w:rPr>
        <w:t xml:space="preserve">andate </w:t>
      </w:r>
      <w:r>
        <w:rPr>
          <w:rFonts w:eastAsia="SimSun"/>
          <w:lang w:val="en-US"/>
        </w:rPr>
        <w:t>H</w:t>
      </w:r>
      <w:r w:rsidRPr="00D96A84">
        <w:rPr>
          <w:rFonts w:eastAsia="SimSun"/>
          <w:lang w:val="en-US"/>
        </w:rPr>
        <w:t>olders of the Council, of 18 June 2007, and stressing that the mandate holder shall discharge his/her duties in accordance with those resolutions and the annexes thereto,</w:t>
      </w:r>
    </w:p>
    <w:p w:rsidR="00FE2EDF" w:rsidRPr="00D96A84" w:rsidRDefault="00FE2EDF" w:rsidP="00FE2EDF">
      <w:pPr>
        <w:pStyle w:val="SingleTxtG"/>
        <w:ind w:firstLine="567"/>
        <w:rPr>
          <w:rFonts w:eastAsia="SimSun"/>
          <w:lang w:val="en-US"/>
        </w:rPr>
      </w:pPr>
      <w:r w:rsidRPr="00D96A84">
        <w:rPr>
          <w:rFonts w:eastAsia="SimSun"/>
          <w:lang w:val="en-US"/>
        </w:rPr>
        <w:t>1.</w:t>
      </w:r>
      <w:r w:rsidRPr="00D96A84">
        <w:rPr>
          <w:rFonts w:eastAsia="SimSun"/>
          <w:lang w:val="en-US"/>
        </w:rPr>
        <w:tab/>
      </w:r>
      <w:r w:rsidRPr="00D96A84">
        <w:rPr>
          <w:rFonts w:eastAsia="SimSun"/>
          <w:i/>
          <w:iCs/>
          <w:lang w:val="en-US"/>
        </w:rPr>
        <w:t xml:space="preserve">Decides </w:t>
      </w:r>
      <w:r w:rsidRPr="00D96A84">
        <w:rPr>
          <w:rFonts w:eastAsia="SimSun"/>
          <w:lang w:val="en-US"/>
        </w:rPr>
        <w:t>to extend the mandate of the Special Rapporteur on contemporary forms of racism, racial discrimination, xenophobia and related intolerance for a further period of three years, in accordance with the terms of reference contained in Human Rights Council resolution 7/34 of 28 March 2008</w:t>
      </w:r>
      <w:r>
        <w:rPr>
          <w:rFonts w:eastAsia="SimSun"/>
          <w:lang w:val="en-US"/>
        </w:rPr>
        <w:t>;</w:t>
      </w:r>
    </w:p>
    <w:p w:rsidR="00FE2EDF" w:rsidRPr="00D96A84" w:rsidRDefault="00DE3B9B" w:rsidP="00FE2EDF">
      <w:pPr>
        <w:pStyle w:val="SingleTxtG"/>
        <w:ind w:firstLine="567"/>
        <w:rPr>
          <w:rFonts w:eastAsia="SimSun"/>
          <w:lang w:val="en-US"/>
        </w:rPr>
      </w:pPr>
      <w:r>
        <w:rPr>
          <w:b/>
          <w:noProof/>
          <w:sz w:val="24"/>
          <w:szCs w:val="24"/>
          <w:lang w:val="en-US"/>
        </w:rPr>
        <w:pict>
          <v:shape id="_x0000_s1026" type="#_x0000_t75" style="position:absolute;left:0;text-align:left;margin-left:432.55pt;margin-top:633.75pt;width:50.25pt;height:50.25pt;z-index:1;mso-position-horizontal-relative:margin;mso-position-vertical-relative:margin" o:allowoverlap="f">
            <v:imagedata r:id="rId8" o:title="32&amp;Size=2 &amp;Lang=E"/>
            <w10:wrap anchorx="margin" anchory="margin"/>
          </v:shape>
        </w:pict>
      </w:r>
      <w:r w:rsidR="00FE2EDF" w:rsidRPr="00D96A84">
        <w:rPr>
          <w:rFonts w:eastAsia="SimSun"/>
          <w:lang w:val="en-US"/>
        </w:rPr>
        <w:t>2.</w:t>
      </w:r>
      <w:r w:rsidR="00FE2EDF" w:rsidRPr="00D96A84">
        <w:rPr>
          <w:rFonts w:eastAsia="SimSun"/>
          <w:lang w:val="en-US"/>
        </w:rPr>
        <w:tab/>
      </w:r>
      <w:r w:rsidR="00FE2EDF" w:rsidRPr="00D96A84">
        <w:rPr>
          <w:rFonts w:eastAsia="SimSun"/>
          <w:i/>
          <w:iCs/>
          <w:lang w:val="en-US"/>
        </w:rPr>
        <w:t xml:space="preserve">Requests </w:t>
      </w:r>
      <w:r w:rsidR="00FE2EDF" w:rsidRPr="00D96A84">
        <w:rPr>
          <w:rFonts w:eastAsia="SimSun"/>
          <w:lang w:val="en-US"/>
        </w:rPr>
        <w:t>all Governments to cooperate fully with the Special Rapporteur in the discharge of his/her mandate, including by responding promptly to the Special Rapporteur’s communications, including urgent appeals, and by providing the information requested;</w:t>
      </w:r>
    </w:p>
    <w:p w:rsidR="00FE2EDF" w:rsidRPr="00D96A84" w:rsidRDefault="00FE2EDF" w:rsidP="00FE2EDF">
      <w:pPr>
        <w:pStyle w:val="SingleTxtG"/>
        <w:ind w:firstLine="567"/>
        <w:rPr>
          <w:rFonts w:eastAsia="SimSun"/>
          <w:lang w:val="en-US"/>
        </w:rPr>
      </w:pPr>
      <w:r w:rsidRPr="00D96A84">
        <w:rPr>
          <w:rFonts w:eastAsia="SimSun"/>
          <w:lang w:val="en-US"/>
        </w:rPr>
        <w:t>3.</w:t>
      </w:r>
      <w:r w:rsidRPr="00D96A84">
        <w:rPr>
          <w:rFonts w:eastAsia="SimSun"/>
          <w:lang w:val="en-US"/>
        </w:rPr>
        <w:tab/>
      </w:r>
      <w:r w:rsidRPr="00D96A84">
        <w:rPr>
          <w:rFonts w:eastAsia="SimSun"/>
          <w:i/>
          <w:iCs/>
          <w:lang w:val="en-US"/>
        </w:rPr>
        <w:t xml:space="preserve">Requests </w:t>
      </w:r>
      <w:r w:rsidRPr="00D96A84">
        <w:rPr>
          <w:rFonts w:eastAsia="SimSun"/>
          <w:lang w:val="en-US"/>
        </w:rPr>
        <w:t>the Special Rapporteur to submit an annual report to the Human Rights Council and to the General Assembly on all activities relating to his/her mandate with a view to maximizing the benefits of the reporting process;</w:t>
      </w:r>
    </w:p>
    <w:p w:rsidR="00FE2EDF" w:rsidRPr="00D96A84" w:rsidRDefault="00FE2EDF" w:rsidP="00FE2EDF">
      <w:pPr>
        <w:pStyle w:val="SingleTxtG"/>
        <w:ind w:firstLine="567"/>
        <w:rPr>
          <w:rFonts w:eastAsia="SimSun"/>
          <w:lang w:val="en-US"/>
        </w:rPr>
      </w:pPr>
      <w:r w:rsidRPr="00D96A84">
        <w:rPr>
          <w:rFonts w:eastAsia="SimSun"/>
          <w:lang w:val="en-US"/>
        </w:rPr>
        <w:t>4.</w:t>
      </w:r>
      <w:r w:rsidRPr="00D96A84">
        <w:rPr>
          <w:rFonts w:eastAsia="SimSun"/>
          <w:lang w:val="en-US"/>
        </w:rPr>
        <w:tab/>
      </w:r>
      <w:r w:rsidRPr="00D96A84">
        <w:rPr>
          <w:rFonts w:eastAsia="SimSun"/>
          <w:i/>
          <w:iCs/>
          <w:lang w:val="en-US"/>
        </w:rPr>
        <w:t xml:space="preserve">Requests </w:t>
      </w:r>
      <w:r w:rsidRPr="00D96A84">
        <w:rPr>
          <w:rFonts w:eastAsia="SimSun"/>
          <w:lang w:val="en-US"/>
        </w:rPr>
        <w:t>the Secretary-General and the United Nations High Commissioner for Human Rights to provide the Special Rapporteur with all the human, technical and financial assistance necessary for the effective fulfilment of his/her mandate;</w:t>
      </w:r>
    </w:p>
    <w:p w:rsidR="00FE2EDF" w:rsidRDefault="00FE2EDF" w:rsidP="00FE2EDF">
      <w:pPr>
        <w:pStyle w:val="SingleTxtG"/>
        <w:ind w:firstLine="567"/>
        <w:rPr>
          <w:rFonts w:eastAsia="SimSun"/>
          <w:lang w:val="en-US"/>
        </w:rPr>
      </w:pPr>
      <w:r w:rsidRPr="00D96A84">
        <w:rPr>
          <w:rFonts w:eastAsia="SimSun"/>
          <w:lang w:val="en-US"/>
        </w:rPr>
        <w:t>5.</w:t>
      </w:r>
      <w:r w:rsidRPr="00D96A84">
        <w:rPr>
          <w:rFonts w:eastAsia="SimSun"/>
          <w:lang w:val="en-US"/>
        </w:rPr>
        <w:tab/>
      </w:r>
      <w:r w:rsidRPr="00D96A84">
        <w:rPr>
          <w:rFonts w:eastAsia="SimSun"/>
          <w:i/>
          <w:iCs/>
          <w:lang w:val="en-US"/>
        </w:rPr>
        <w:t xml:space="preserve">Decides </w:t>
      </w:r>
      <w:r w:rsidRPr="00D96A84">
        <w:rPr>
          <w:rFonts w:eastAsia="SimSun"/>
          <w:lang w:val="en-US"/>
        </w:rPr>
        <w:t>to remain seized of this priority issue.</w:t>
      </w:r>
    </w:p>
    <w:p w:rsidR="00FE2EDF" w:rsidRPr="00BB4348" w:rsidRDefault="00FE2EDF" w:rsidP="00FE2EDF">
      <w:pPr>
        <w:pStyle w:val="SingleTxtG"/>
        <w:spacing w:after="0"/>
        <w:jc w:val="right"/>
        <w:rPr>
          <w:rFonts w:eastAsia="SimSun"/>
          <w:i/>
          <w:lang w:eastAsia="ar-SA"/>
        </w:rPr>
      </w:pPr>
      <w:r>
        <w:rPr>
          <w:rFonts w:eastAsia="SimSun"/>
          <w:i/>
          <w:lang w:eastAsia="ar-SA"/>
        </w:rPr>
        <w:t>56</w:t>
      </w:r>
      <w:r w:rsidRPr="00BB4348">
        <w:rPr>
          <w:rFonts w:eastAsia="SimSun"/>
          <w:i/>
          <w:lang w:eastAsia="ar-SA"/>
        </w:rPr>
        <w:t>th meeting</w:t>
      </w:r>
    </w:p>
    <w:p w:rsidR="00FE2EDF" w:rsidRPr="00BB4348" w:rsidRDefault="00FE2EDF" w:rsidP="00FE2EDF">
      <w:pPr>
        <w:pStyle w:val="SingleTxtG"/>
        <w:jc w:val="right"/>
        <w:rPr>
          <w:rFonts w:eastAsia="SimSun"/>
          <w:i/>
          <w:lang w:eastAsia="ar-SA"/>
        </w:rPr>
      </w:pPr>
      <w:r>
        <w:rPr>
          <w:rFonts w:eastAsia="SimSun"/>
          <w:i/>
          <w:lang w:eastAsia="ar-SA"/>
        </w:rPr>
        <w:t>28 March 2014</w:t>
      </w:r>
    </w:p>
    <w:p w:rsidR="00FE2EDF" w:rsidRPr="00D96A84" w:rsidRDefault="00FE2EDF" w:rsidP="00936443">
      <w:pPr>
        <w:pStyle w:val="SingleTxtG"/>
        <w:rPr>
          <w:rFonts w:eastAsia="SimSun"/>
          <w:lang w:val="en-US"/>
        </w:rPr>
      </w:pPr>
      <w:r w:rsidRPr="00BB4348">
        <w:rPr>
          <w:rFonts w:eastAsia="SimSun"/>
          <w:lang w:eastAsia="ar-SA"/>
        </w:rPr>
        <w:t>[Adopted without a vote.]</w:t>
      </w:r>
    </w:p>
    <w:p w:rsidR="00FE2EDF" w:rsidRPr="008A66C1" w:rsidRDefault="00FE2EDF" w:rsidP="00FE2EDF">
      <w:pPr>
        <w:pStyle w:val="SingleTxtG"/>
        <w:spacing w:before="240" w:after="0"/>
        <w:jc w:val="center"/>
        <w:rPr>
          <w:rFonts w:eastAsia="SimSun"/>
          <w:u w:val="single"/>
        </w:rPr>
      </w:pPr>
      <w:r>
        <w:rPr>
          <w:rFonts w:eastAsia="SimSun"/>
          <w:u w:val="single"/>
        </w:rPr>
        <w:tab/>
      </w:r>
      <w:r>
        <w:rPr>
          <w:rFonts w:eastAsia="SimSun"/>
          <w:u w:val="single"/>
        </w:rPr>
        <w:tab/>
      </w:r>
      <w:r>
        <w:rPr>
          <w:rFonts w:eastAsia="SimSun"/>
          <w:u w:val="single"/>
        </w:rPr>
        <w:tab/>
      </w:r>
    </w:p>
    <w:sectPr w:rsidR="00FE2EDF" w:rsidRPr="008A66C1" w:rsidSect="00FE2ED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48" w:rsidRDefault="00C22F48"/>
  </w:endnote>
  <w:endnote w:type="continuationSeparator" w:id="0">
    <w:p w:rsidR="00C22F48" w:rsidRDefault="00C22F48"/>
  </w:endnote>
  <w:endnote w:type="continuationNotice" w:id="1">
    <w:p w:rsidR="00C22F48" w:rsidRDefault="00C22F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48" w:rsidRPr="001D18FE" w:rsidRDefault="00C22F48" w:rsidP="00FE2EDF">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Pr>
        <w:b/>
        <w:noProof/>
        <w:sz w:val="18"/>
      </w:rPr>
      <w:t>2</w:t>
    </w:r>
    <w:r w:rsidRPr="001D18F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48" w:rsidRPr="001D18FE" w:rsidRDefault="00C22F48" w:rsidP="00FE2EDF">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Pr>
        <w:b/>
        <w:noProof/>
        <w:sz w:val="18"/>
      </w:rPr>
      <w:t>3</w:t>
    </w:r>
    <w:r w:rsidRPr="001D18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48" w:rsidRDefault="00C22F48" w:rsidP="004F5CA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7.3pt;margin-top:646.25pt;width:73.25pt;height:18.15pt;z-index:1;mso-position-horizontal-relative:margin;mso-position-vertical-relative:margin">
          <v:imagedata r:id="rId1" o:title="recycle_English"/>
          <w10:wrap anchorx="margin" anchory="margin"/>
        </v:shape>
      </w:pict>
    </w:r>
    <w:r>
      <w:t>GE.14-13645</w:t>
    </w:r>
    <w:r>
      <w:br/>
    </w:r>
    <w:r w:rsidRPr="00DE3B9B">
      <w:rPr>
        <w:rFonts w:ascii="C39T30Lfz" w:hAnsi="C39T30Lfz"/>
        <w:sz w:val="56"/>
      </w:rPr>
      <w:t></w:t>
    </w:r>
    <w:r w:rsidRPr="00DE3B9B">
      <w:rPr>
        <w:rFonts w:ascii="C39T30Lfz" w:hAnsi="C39T30Lfz"/>
        <w:sz w:val="56"/>
      </w:rPr>
      <w:t></w:t>
    </w:r>
    <w:r w:rsidRPr="00DE3B9B">
      <w:rPr>
        <w:rFonts w:ascii="C39T30Lfz" w:hAnsi="C39T30Lfz"/>
        <w:sz w:val="56"/>
      </w:rPr>
      <w:t></w:t>
    </w:r>
    <w:r w:rsidRPr="00DE3B9B">
      <w:rPr>
        <w:rFonts w:ascii="C39T30Lfz" w:hAnsi="C39T30Lfz"/>
        <w:sz w:val="56"/>
      </w:rPr>
      <w:t></w:t>
    </w:r>
    <w:r w:rsidRPr="00DE3B9B">
      <w:rPr>
        <w:rFonts w:ascii="C39T30Lfz" w:hAnsi="C39T30Lfz"/>
        <w:sz w:val="56"/>
      </w:rPr>
      <w:t></w:t>
    </w:r>
    <w:r w:rsidRPr="00DE3B9B">
      <w:rPr>
        <w:rFonts w:ascii="C39T30Lfz" w:hAnsi="C39T30Lfz"/>
        <w:sz w:val="56"/>
      </w:rPr>
      <w:t></w:t>
    </w:r>
    <w:r w:rsidRPr="00DE3B9B">
      <w:rPr>
        <w:rFonts w:ascii="C39T30Lfz" w:hAnsi="C39T30Lfz"/>
        <w:sz w:val="56"/>
      </w:rPr>
      <w:t></w:t>
    </w:r>
    <w:r w:rsidRPr="00DE3B9B">
      <w:rPr>
        <w:rFonts w:ascii="C39T30Lfz" w:hAnsi="C39T30Lfz"/>
        <w:sz w:val="56"/>
      </w:rPr>
      <w:t></w:t>
    </w:r>
    <w:r w:rsidRPr="00DE3B9B">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48" w:rsidRPr="000B175B" w:rsidRDefault="00C22F48" w:rsidP="00FE2EDF">
      <w:pPr>
        <w:tabs>
          <w:tab w:val="right" w:pos="2155"/>
        </w:tabs>
        <w:spacing w:after="80"/>
        <w:ind w:left="680"/>
        <w:rPr>
          <w:u w:val="single"/>
        </w:rPr>
      </w:pPr>
      <w:r>
        <w:rPr>
          <w:u w:val="single"/>
        </w:rPr>
        <w:tab/>
      </w:r>
    </w:p>
  </w:footnote>
  <w:footnote w:type="continuationSeparator" w:id="0">
    <w:p w:rsidR="00C22F48" w:rsidRPr="00FC68B7" w:rsidRDefault="00C22F48" w:rsidP="00FE2EDF">
      <w:pPr>
        <w:tabs>
          <w:tab w:val="left" w:pos="2155"/>
        </w:tabs>
        <w:spacing w:after="80"/>
        <w:ind w:left="680"/>
        <w:rPr>
          <w:u w:val="single"/>
        </w:rPr>
      </w:pPr>
      <w:r>
        <w:rPr>
          <w:u w:val="single"/>
        </w:rPr>
        <w:tab/>
      </w:r>
    </w:p>
  </w:footnote>
  <w:footnote w:type="continuationNotice" w:id="1">
    <w:p w:rsidR="00C22F48" w:rsidRDefault="00C22F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48" w:rsidRPr="001D18FE" w:rsidRDefault="00C22F48">
    <w:pPr>
      <w:pStyle w:val="Header"/>
    </w:pPr>
    <w:r>
      <w:t>A/HRC/RES/25/32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48" w:rsidRPr="001D18FE" w:rsidRDefault="00C22F48" w:rsidP="00FE2EDF">
    <w:pPr>
      <w:pStyle w:val="Header"/>
      <w:jc w:val="right"/>
    </w:pPr>
    <w:r>
      <w:t>A/HRC/25/L.X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8FE"/>
    <w:rsid w:val="00332A4E"/>
    <w:rsid w:val="003636A6"/>
    <w:rsid w:val="004F5B38"/>
    <w:rsid w:val="004F5CA0"/>
    <w:rsid w:val="00841A17"/>
    <w:rsid w:val="008C59BD"/>
    <w:rsid w:val="00936443"/>
    <w:rsid w:val="00BA779D"/>
    <w:rsid w:val="00C006D4"/>
    <w:rsid w:val="00C22F48"/>
    <w:rsid w:val="00C45BC8"/>
    <w:rsid w:val="00D105F0"/>
    <w:rsid w:val="00DE3B9B"/>
    <w:rsid w:val="00EA2C98"/>
    <w:rsid w:val="00FB00FB"/>
    <w:rsid w:val="00FE2E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character" w:styleId="CommentReference">
    <w:name w:val="annotation reference"/>
    <w:rsid w:val="00DE5937"/>
    <w:rPr>
      <w:sz w:val="16"/>
      <w:szCs w:val="16"/>
    </w:rPr>
  </w:style>
  <w:style w:type="paragraph" w:styleId="CommentText">
    <w:name w:val="annotation text"/>
    <w:basedOn w:val="Normal"/>
    <w:link w:val="CommentTextChar"/>
    <w:rsid w:val="00DE5937"/>
    <w:rPr>
      <w:lang/>
    </w:rPr>
  </w:style>
  <w:style w:type="character" w:customStyle="1" w:styleId="CommentTextChar">
    <w:name w:val="Comment Text Char"/>
    <w:link w:val="CommentText"/>
    <w:rsid w:val="00DE5937"/>
    <w:rPr>
      <w:lang w:eastAsia="en-US"/>
    </w:rPr>
  </w:style>
  <w:style w:type="paragraph" w:styleId="CommentSubject">
    <w:name w:val="annotation subject"/>
    <w:basedOn w:val="CommentText"/>
    <w:next w:val="CommentText"/>
    <w:link w:val="CommentSubjectChar"/>
    <w:rsid w:val="00DE5937"/>
    <w:rPr>
      <w:b/>
      <w:bCs/>
    </w:rPr>
  </w:style>
  <w:style w:type="character" w:customStyle="1" w:styleId="CommentSubjectChar">
    <w:name w:val="Comment Subject Char"/>
    <w:link w:val="CommentSubject"/>
    <w:rsid w:val="00DE5937"/>
    <w:rPr>
      <w:b/>
      <w:bCs/>
      <w:lang w:eastAsia="en-US"/>
    </w:rPr>
  </w:style>
  <w:style w:type="paragraph" w:styleId="BalloonText">
    <w:name w:val="Balloon Text"/>
    <w:basedOn w:val="Normal"/>
    <w:link w:val="BalloonTextChar"/>
    <w:rsid w:val="00DE5937"/>
    <w:pPr>
      <w:spacing w:line="240" w:lineRule="auto"/>
    </w:pPr>
    <w:rPr>
      <w:rFonts w:ascii="Tahoma" w:hAnsi="Tahoma"/>
      <w:sz w:val="16"/>
      <w:szCs w:val="16"/>
      <w:lang/>
    </w:rPr>
  </w:style>
  <w:style w:type="character" w:customStyle="1" w:styleId="BalloonTextChar">
    <w:name w:val="Balloon Text Char"/>
    <w:link w:val="BalloonText"/>
    <w:rsid w:val="00DE593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0</TotalTime>
  <Pages>2</Pages>
  <Words>383</Words>
  <Characters>2187</Characters>
  <Application>Microsoft Office Outlook</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KAY-ATTIPOE</cp:lastModifiedBy>
  <cp:revision>2</cp:revision>
  <cp:lastPrinted>2014-04-15T15:45:00Z</cp:lastPrinted>
  <dcterms:created xsi:type="dcterms:W3CDTF">2014-04-22T12:08:00Z</dcterms:created>
  <dcterms:modified xsi:type="dcterms:W3CDTF">2014-04-22T12:08:00Z</dcterms:modified>
</cp:coreProperties>
</file>