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621C4" w:rsidP="009621C4">
            <w:pPr>
              <w:bidi w:val="0"/>
              <w:spacing w:after="20"/>
              <w:jc w:val="left"/>
              <w:rPr>
                <w:szCs w:val="20"/>
              </w:rPr>
            </w:pPr>
            <w:r w:rsidRPr="009621C4">
              <w:rPr>
                <w:sz w:val="40"/>
                <w:szCs w:val="20"/>
              </w:rPr>
              <w:t>A</w:t>
            </w:r>
            <w:r>
              <w:rPr>
                <w:szCs w:val="20"/>
              </w:rPr>
              <w:t>/HRC/</w:t>
            </w:r>
            <w:r w:rsidR="00A76CA1">
              <w:rPr>
                <w:szCs w:val="20"/>
              </w:rPr>
              <w:t>RES/26/17</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9621C4" w:rsidRDefault="00A76CA1" w:rsidP="00A76CA1">
            <w:pPr>
              <w:bidi w:val="0"/>
              <w:spacing w:before="240"/>
              <w:jc w:val="left"/>
            </w:pPr>
            <w:r>
              <w:t>Distr.: General</w:t>
            </w:r>
          </w:p>
          <w:p w:rsidR="009621C4" w:rsidRDefault="00D41064" w:rsidP="00A76CA1">
            <w:pPr>
              <w:bidi w:val="0"/>
              <w:jc w:val="left"/>
            </w:pPr>
            <w:r>
              <w:t>11</w:t>
            </w:r>
            <w:r w:rsidR="009621C4">
              <w:t xml:space="preserve"> J</w:t>
            </w:r>
            <w:r w:rsidR="00A76CA1">
              <w:t xml:space="preserve">uly </w:t>
            </w:r>
            <w:r w:rsidR="009621C4">
              <w:t>2014</w:t>
            </w:r>
          </w:p>
          <w:p w:rsidR="009621C4" w:rsidRDefault="009621C4" w:rsidP="009621C4">
            <w:pPr>
              <w:bidi w:val="0"/>
              <w:jc w:val="left"/>
            </w:pPr>
            <w:r>
              <w:t>Arabic</w:t>
            </w:r>
          </w:p>
          <w:p w:rsidR="00257225" w:rsidRPr="008B4BC6" w:rsidRDefault="009621C4" w:rsidP="009621C4">
            <w:pPr>
              <w:bidi w:val="0"/>
              <w:jc w:val="left"/>
            </w:pPr>
            <w:r>
              <w:t>Original: English</w:t>
            </w:r>
          </w:p>
        </w:tc>
      </w:tr>
    </w:tbl>
    <w:p w:rsidR="009621C4" w:rsidRPr="00F7754C" w:rsidRDefault="009621C4" w:rsidP="00F4758C">
      <w:pPr>
        <w:pStyle w:val="SingleTxtGA"/>
        <w:spacing w:before="120" w:after="0" w:line="360" w:lineRule="exact"/>
        <w:ind w:left="0" w:right="0"/>
        <w:rPr>
          <w:b/>
          <w:bCs/>
          <w:sz w:val="26"/>
          <w:szCs w:val="36"/>
          <w:rtl/>
        </w:rPr>
      </w:pPr>
      <w:r w:rsidRPr="00F7754C">
        <w:rPr>
          <w:b/>
          <w:bCs/>
          <w:sz w:val="26"/>
          <w:szCs w:val="36"/>
          <w:rtl/>
        </w:rPr>
        <w:t>مجلس حقوق الإنسان</w:t>
      </w:r>
    </w:p>
    <w:p w:rsidR="009621C4" w:rsidRPr="00F7754C" w:rsidRDefault="009621C4" w:rsidP="00F4758C">
      <w:pPr>
        <w:pStyle w:val="SingleTxtGA"/>
        <w:spacing w:after="0" w:line="360" w:lineRule="exact"/>
        <w:ind w:left="0" w:right="0"/>
        <w:rPr>
          <w:b/>
          <w:bCs/>
          <w:rtl/>
        </w:rPr>
      </w:pPr>
      <w:r w:rsidRPr="00F7754C">
        <w:rPr>
          <w:b/>
          <w:bCs/>
          <w:rtl/>
        </w:rPr>
        <w:t xml:space="preserve">الدورة </w:t>
      </w:r>
      <w:r>
        <w:rPr>
          <w:rFonts w:hint="cs"/>
          <w:b/>
          <w:bCs/>
          <w:rtl/>
        </w:rPr>
        <w:t>السادسة</w:t>
      </w:r>
      <w:r w:rsidRPr="00F7754C">
        <w:rPr>
          <w:b/>
          <w:bCs/>
          <w:rtl/>
        </w:rPr>
        <w:t xml:space="preserve"> والعشرون</w:t>
      </w:r>
    </w:p>
    <w:p w:rsidR="009621C4" w:rsidRPr="00C246BB" w:rsidRDefault="009621C4" w:rsidP="00F4758C">
      <w:pPr>
        <w:pStyle w:val="SingleTxtGA"/>
        <w:spacing w:after="0" w:line="360" w:lineRule="exact"/>
        <w:ind w:left="0" w:right="0"/>
        <w:rPr>
          <w:rtl/>
        </w:rPr>
      </w:pPr>
      <w:r w:rsidRPr="00C246BB">
        <w:rPr>
          <w:rtl/>
        </w:rPr>
        <w:t>البند 3 من جدول الأعمال</w:t>
      </w:r>
    </w:p>
    <w:p w:rsidR="009621C4" w:rsidRDefault="009621C4" w:rsidP="00F4758C">
      <w:pPr>
        <w:pStyle w:val="SingleTxtGA"/>
        <w:spacing w:after="240" w:line="360" w:lineRule="exact"/>
        <w:ind w:left="0" w:right="4479"/>
        <w:jc w:val="left"/>
        <w:rPr>
          <w:rFonts w:hint="cs"/>
          <w:b/>
          <w:bCs/>
          <w:rtl/>
        </w:rPr>
      </w:pPr>
      <w:r w:rsidRPr="00F7754C">
        <w:rPr>
          <w:b/>
          <w:bCs/>
          <w:rtl/>
        </w:rPr>
        <w:t>تعزيز وحماية جميع حقوق الإنسان، المدنية والسياسية والاقتصادية والاجتماعية والثقافية، بما في ذلك الحق في التنمية</w:t>
      </w:r>
    </w:p>
    <w:p w:rsidR="00A76CA1" w:rsidRDefault="00A76CA1" w:rsidP="000E78AC">
      <w:pPr>
        <w:pStyle w:val="HChGA"/>
        <w:rPr>
          <w:rFonts w:hint="cs"/>
          <w:rtl/>
        </w:rPr>
      </w:pPr>
      <w:r>
        <w:rPr>
          <w:rFonts w:hint="cs"/>
          <w:rtl/>
        </w:rPr>
        <w:tab/>
      </w:r>
      <w:r>
        <w:rPr>
          <w:rFonts w:hint="cs"/>
          <w:rtl/>
        </w:rPr>
        <w:tab/>
        <w:t>قرار اعتمده مجلس حقوق الإنسان</w:t>
      </w:r>
    </w:p>
    <w:p w:rsidR="009621C4" w:rsidRDefault="009621C4" w:rsidP="000E78AC">
      <w:pPr>
        <w:pStyle w:val="HChGA"/>
        <w:rPr>
          <w:rFonts w:hint="cs"/>
          <w:rtl/>
          <w:lang/>
        </w:rPr>
      </w:pPr>
      <w:r>
        <w:rPr>
          <w:rFonts w:hint="cs"/>
          <w:rtl/>
        </w:rPr>
        <w:tab/>
      </w:r>
      <w:r w:rsidRPr="00E21FCB">
        <w:rPr>
          <w:rtl/>
        </w:rPr>
        <w:tab/>
      </w:r>
      <w:r w:rsidRPr="00E21FCB">
        <w:rPr>
          <w:rFonts w:hint="cs"/>
          <w:rtl/>
        </w:rPr>
        <w:t>26</w:t>
      </w:r>
      <w:r w:rsidRPr="00E21FCB">
        <w:rPr>
          <w:rtl/>
        </w:rPr>
        <w:t>/</w:t>
      </w:r>
      <w:r w:rsidR="00A76CA1">
        <w:rPr>
          <w:rFonts w:hint="cs"/>
          <w:rtl/>
        </w:rPr>
        <w:t>17</w:t>
      </w:r>
      <w:r>
        <w:rPr>
          <w:rtl/>
        </w:rPr>
        <w:br/>
      </w:r>
      <w:r w:rsidRPr="00E21FCB">
        <w:rPr>
          <w:rFonts w:hint="cs"/>
          <w:rtl/>
          <w:lang/>
        </w:rPr>
        <w:t>الحق في التعليم: متابعة قرار مجلس حقوق الإنسان 8/4</w:t>
      </w:r>
    </w:p>
    <w:p w:rsidR="009621C4" w:rsidRPr="009621C4" w:rsidRDefault="009621C4" w:rsidP="00F4758C">
      <w:pPr>
        <w:pStyle w:val="SingleTxtGA"/>
        <w:spacing w:after="100"/>
        <w:rPr>
          <w:rFonts w:hint="cs"/>
          <w:i/>
          <w:iCs/>
          <w:rtl/>
        </w:rPr>
      </w:pPr>
      <w:r w:rsidRPr="009621C4">
        <w:rPr>
          <w:i/>
          <w:iCs/>
          <w:rtl/>
        </w:rPr>
        <w:tab/>
        <w:t xml:space="preserve">إن مجلس حقوق الإنسان، </w:t>
      </w:r>
    </w:p>
    <w:p w:rsidR="009621C4" w:rsidRPr="00FB6D02" w:rsidRDefault="009621C4" w:rsidP="00D6270B">
      <w:pPr>
        <w:pStyle w:val="SingleTxtGA"/>
        <w:spacing w:after="100"/>
        <w:rPr>
          <w:rFonts w:hint="cs"/>
          <w:spacing w:val="-4"/>
          <w:rtl/>
        </w:rPr>
      </w:pPr>
      <w:r w:rsidRPr="00FB6D02">
        <w:rPr>
          <w:rFonts w:hint="cs"/>
          <w:i/>
          <w:iCs/>
          <w:spacing w:val="-4"/>
          <w:rtl/>
        </w:rPr>
        <w:tab/>
        <w:t xml:space="preserve">إذ يؤكد من جديد </w:t>
      </w:r>
      <w:r w:rsidR="00A76CA1">
        <w:rPr>
          <w:rFonts w:hint="cs"/>
          <w:spacing w:val="-4"/>
          <w:rtl/>
        </w:rPr>
        <w:t xml:space="preserve">قراره </w:t>
      </w:r>
      <w:r w:rsidR="00D6270B">
        <w:rPr>
          <w:rFonts w:hint="cs"/>
          <w:spacing w:val="-4"/>
          <w:rtl/>
        </w:rPr>
        <w:t>8/4</w:t>
      </w:r>
      <w:r w:rsidR="00A76CA1">
        <w:rPr>
          <w:rFonts w:hint="cs"/>
          <w:spacing w:val="-4"/>
          <w:rtl/>
        </w:rPr>
        <w:t xml:space="preserve"> </w:t>
      </w:r>
      <w:r w:rsidRPr="00FB6D02">
        <w:rPr>
          <w:rFonts w:hint="cs"/>
          <w:spacing w:val="-4"/>
          <w:rtl/>
        </w:rPr>
        <w:t xml:space="preserve">المؤرخ 18 حزيران/يونيه 2008، وإذ يُذكّر بجميع </w:t>
      </w:r>
      <w:r w:rsidR="00A76CA1">
        <w:rPr>
          <w:rFonts w:hint="cs"/>
          <w:spacing w:val="-4"/>
          <w:rtl/>
        </w:rPr>
        <w:t xml:space="preserve">قراراته </w:t>
      </w:r>
      <w:r w:rsidRPr="00FB6D02">
        <w:rPr>
          <w:rFonts w:hint="cs"/>
          <w:spacing w:val="-4"/>
          <w:rtl/>
        </w:rPr>
        <w:t>الأخرى المتعلقة بالحق في التعليم وأحدثها القرار 23/4 المؤرخ</w:t>
      </w:r>
      <w:r w:rsidR="00FB6D02" w:rsidRPr="00FB6D02">
        <w:rPr>
          <w:rFonts w:hint="eastAsia"/>
          <w:spacing w:val="-4"/>
          <w:rtl/>
        </w:rPr>
        <w:t> </w:t>
      </w:r>
      <w:r w:rsidRPr="00FB6D02">
        <w:rPr>
          <w:rFonts w:hint="cs"/>
          <w:spacing w:val="-4"/>
          <w:rtl/>
        </w:rPr>
        <w:t>13 حزيران/يونيه 2013، والقرارات التي اعتمدتها لجنة حقوق الإنسان بشأن هذا</w:t>
      </w:r>
      <w:r w:rsidRPr="00FB6D02">
        <w:rPr>
          <w:rFonts w:hint="eastAsia"/>
          <w:spacing w:val="-4"/>
          <w:rtl/>
        </w:rPr>
        <w:t> </w:t>
      </w:r>
      <w:r w:rsidRPr="00FB6D02">
        <w:rPr>
          <w:rFonts w:hint="cs"/>
          <w:spacing w:val="-4"/>
          <w:rtl/>
        </w:rPr>
        <w:t>الموضوع،</w:t>
      </w:r>
    </w:p>
    <w:p w:rsidR="009621C4" w:rsidRDefault="009621C4" w:rsidP="009621C4">
      <w:pPr>
        <w:pStyle w:val="SingleTxtGA"/>
        <w:rPr>
          <w:rFonts w:hint="cs"/>
          <w:rtl/>
        </w:rPr>
      </w:pPr>
      <w:r>
        <w:rPr>
          <w:rFonts w:hint="cs"/>
          <w:i/>
          <w:iCs/>
          <w:rtl/>
        </w:rPr>
        <w:tab/>
      </w:r>
      <w:r w:rsidRPr="00E14867">
        <w:rPr>
          <w:i/>
          <w:iCs/>
          <w:rtl/>
        </w:rPr>
        <w:t xml:space="preserve">وإذ </w:t>
      </w:r>
      <w:r>
        <w:rPr>
          <w:rFonts w:hint="cs"/>
          <w:i/>
          <w:iCs/>
          <w:rtl/>
        </w:rPr>
        <w:t xml:space="preserve">يذكّر </w:t>
      </w:r>
      <w:r>
        <w:rPr>
          <w:rFonts w:hint="cs"/>
          <w:rtl/>
        </w:rPr>
        <w:t>با</w:t>
      </w:r>
      <w:r>
        <w:rPr>
          <w:rtl/>
        </w:rPr>
        <w:t xml:space="preserve">لحق الإنساني لكل شخص في التعليم، </w:t>
      </w:r>
      <w:r w:rsidR="00A76CA1">
        <w:rPr>
          <w:rFonts w:hint="cs"/>
          <w:rtl/>
        </w:rPr>
        <w:t xml:space="preserve">وهو الحق </w:t>
      </w:r>
      <w:r>
        <w:rPr>
          <w:rtl/>
        </w:rPr>
        <w:t>المكرَّس في جملة صكوك منها الإعلان العالمي لحقوق الإنسان، والعهد الدولي الخاص بالحقوق الاقتصادية والاجتماعية والثقافية، واتفاقية حقوق الطفل، واتفاقية القضاء على جميع أشكال التمييز ضد المرأة، و</w:t>
      </w:r>
      <w:r>
        <w:rPr>
          <w:cs/>
        </w:rPr>
        <w:t>‎‎</w:t>
      </w:r>
      <w:r>
        <w:rPr>
          <w:rtl/>
        </w:rPr>
        <w:t xml:space="preserve">الاتفاقية الدولية للقضاء على جميع أشكال التمييز العنصري، والاتفاقية الدولية لحماية حقوق جميع العمال المهاجرين وأفراد أسرهم، </w:t>
      </w:r>
      <w:r>
        <w:rPr>
          <w:rFonts w:hint="cs"/>
          <w:rtl/>
        </w:rPr>
        <w:t>و</w:t>
      </w:r>
      <w:r>
        <w:rPr>
          <w:rtl/>
        </w:rPr>
        <w:t>اتفاقية حقوق الأشخاص ذوي الإعاقة، و</w:t>
      </w:r>
      <w:r>
        <w:rPr>
          <w:rFonts w:hint="cs"/>
          <w:rtl/>
        </w:rPr>
        <w:t xml:space="preserve">غير ذلك من </w:t>
      </w:r>
      <w:r>
        <w:rPr>
          <w:rtl/>
        </w:rPr>
        <w:t>الصكوك الدولية ذات</w:t>
      </w:r>
      <w:r>
        <w:rPr>
          <w:rFonts w:hint="cs"/>
          <w:rtl/>
        </w:rPr>
        <w:t> </w:t>
      </w:r>
      <w:r>
        <w:rPr>
          <w:rtl/>
        </w:rPr>
        <w:t>الصلة،</w:t>
      </w:r>
    </w:p>
    <w:p w:rsidR="009621C4" w:rsidRDefault="009621C4" w:rsidP="00A76CA1">
      <w:pPr>
        <w:pStyle w:val="SingleTxtGA"/>
        <w:rPr>
          <w:rFonts w:hint="cs"/>
          <w:rtl/>
          <w:lang w:val="fr-CH"/>
        </w:rPr>
      </w:pPr>
      <w:r>
        <w:rPr>
          <w:rFonts w:hint="cs"/>
          <w:i/>
          <w:iCs/>
          <w:rtl/>
          <w:lang w:val="fr-CH"/>
        </w:rPr>
        <w:tab/>
      </w:r>
      <w:r w:rsidRPr="0006276B">
        <w:rPr>
          <w:rFonts w:hint="cs"/>
          <w:i/>
          <w:iCs/>
          <w:rtl/>
          <w:lang w:val="fr-CH"/>
        </w:rPr>
        <w:t>وإذ يساوره بالغ</w:t>
      </w:r>
      <w:r>
        <w:rPr>
          <w:rFonts w:hint="cs"/>
          <w:rtl/>
          <w:lang w:val="fr-CH"/>
        </w:rPr>
        <w:t xml:space="preserve"> </w:t>
      </w:r>
      <w:r>
        <w:rPr>
          <w:rFonts w:hint="cs"/>
          <w:i/>
          <w:iCs/>
          <w:rtl/>
          <w:lang w:val="fr-CH"/>
        </w:rPr>
        <w:t>ال</w:t>
      </w:r>
      <w:r w:rsidRPr="0006276B">
        <w:rPr>
          <w:rFonts w:hint="cs"/>
          <w:i/>
          <w:iCs/>
          <w:rtl/>
          <w:lang w:val="fr-CH"/>
        </w:rPr>
        <w:t xml:space="preserve">قلق </w:t>
      </w:r>
      <w:r w:rsidR="00A76CA1">
        <w:rPr>
          <w:rFonts w:hint="cs"/>
          <w:rtl/>
          <w:lang w:val="fr-CH"/>
        </w:rPr>
        <w:t xml:space="preserve">لما ذكرته منظمة </w:t>
      </w:r>
      <w:r>
        <w:rPr>
          <w:rFonts w:hint="cs"/>
          <w:rtl/>
          <w:lang w:val="fr-CH"/>
        </w:rPr>
        <w:t>الأمم المتحدة للت</w:t>
      </w:r>
      <w:r w:rsidR="000E78AC">
        <w:rPr>
          <w:rFonts w:hint="cs"/>
          <w:rtl/>
          <w:lang w:val="fr-CH"/>
        </w:rPr>
        <w:t>ربية والعلم والثقافة (اليونسكو)</w:t>
      </w:r>
      <w:r>
        <w:rPr>
          <w:rFonts w:hint="cs"/>
          <w:rtl/>
          <w:lang w:val="fr-CH"/>
        </w:rPr>
        <w:t xml:space="preserve"> من أن أياً من أهداف توفير التعليم للجميع لن يتحقق على نطاق العالم بحلول عام 2015 على الرغم من أوجه التقدّم التي تحققت خلال العقد الأخير،</w:t>
      </w:r>
    </w:p>
    <w:p w:rsidR="009621C4" w:rsidRDefault="009621C4" w:rsidP="00A76CA1">
      <w:pPr>
        <w:pStyle w:val="SingleTxtGA"/>
        <w:rPr>
          <w:rFonts w:hint="cs"/>
          <w:rtl/>
          <w:lang w:val="fr-CH"/>
        </w:rPr>
      </w:pPr>
      <w:r>
        <w:rPr>
          <w:rFonts w:hint="cs"/>
          <w:i/>
          <w:iCs/>
          <w:rtl/>
          <w:lang w:val="fr-CH"/>
        </w:rPr>
        <w:tab/>
      </w:r>
      <w:r w:rsidRPr="00096B78">
        <w:rPr>
          <w:rFonts w:hint="cs"/>
          <w:i/>
          <w:iCs/>
          <w:rtl/>
          <w:lang w:val="fr-CH"/>
        </w:rPr>
        <w:t xml:space="preserve">وإذ يؤكد </w:t>
      </w:r>
      <w:r w:rsidRPr="00E12101">
        <w:rPr>
          <w:rFonts w:hint="cs"/>
          <w:rtl/>
          <w:lang w:val="fr-CH"/>
        </w:rPr>
        <w:t>على</w:t>
      </w:r>
      <w:r>
        <w:rPr>
          <w:rFonts w:hint="cs"/>
          <w:rtl/>
          <w:lang w:val="fr-CH"/>
        </w:rPr>
        <w:t xml:space="preserve"> أن إتاحة إمكانية الوصول بالكامل إلى التعليم </w:t>
      </w:r>
      <w:r w:rsidR="00A76CA1">
        <w:rPr>
          <w:rFonts w:hint="cs"/>
          <w:rtl/>
          <w:lang w:val="fr-CH"/>
        </w:rPr>
        <w:t xml:space="preserve">الجيّد </w:t>
      </w:r>
      <w:r>
        <w:rPr>
          <w:rFonts w:hint="cs"/>
          <w:rtl/>
          <w:lang w:val="fr-CH"/>
        </w:rPr>
        <w:t xml:space="preserve">على جميع المستويات هو شرط لا بد منه لتحقيق التنمية المستدامة وعلى الحاجة في هذا الصدد إلى </w:t>
      </w:r>
      <w:r w:rsidR="00A76CA1">
        <w:rPr>
          <w:rFonts w:hint="cs"/>
          <w:rtl/>
          <w:lang w:val="fr-CH"/>
        </w:rPr>
        <w:t xml:space="preserve">تسريع وتيرة </w:t>
      </w:r>
      <w:r>
        <w:rPr>
          <w:rFonts w:hint="cs"/>
          <w:rtl/>
          <w:lang w:val="fr-CH"/>
        </w:rPr>
        <w:t>التقدّم نحو بلوغ الأهداف الإنمائية المتصلة بالتعليم والمحدد لبلوغها عام 2015</w:t>
      </w:r>
      <w:r w:rsidR="00A76CA1">
        <w:rPr>
          <w:rFonts w:hint="cs"/>
          <w:rtl/>
          <w:lang w:val="fr-CH"/>
        </w:rPr>
        <w:t>،</w:t>
      </w:r>
      <w:r>
        <w:rPr>
          <w:rFonts w:hint="cs"/>
          <w:rtl/>
          <w:lang w:val="fr-CH"/>
        </w:rPr>
        <w:t xml:space="preserve"> وإلى ضمان أن يكون الحق في التعليم داخلاً في صلب خطة التنمية لما بعد عام 2015،</w:t>
      </w:r>
    </w:p>
    <w:p w:rsidR="009621C4" w:rsidRPr="00E12101" w:rsidRDefault="009621C4" w:rsidP="000E78AC">
      <w:pPr>
        <w:pStyle w:val="SingleTxtGA"/>
        <w:rPr>
          <w:rFonts w:hint="cs"/>
          <w:spacing w:val="-2"/>
          <w:rtl/>
          <w:lang w:val="fr-CH"/>
        </w:rPr>
      </w:pPr>
      <w:r w:rsidRPr="00E12101">
        <w:rPr>
          <w:i/>
          <w:iCs/>
          <w:spacing w:val="-2"/>
          <w:rtl/>
          <w:lang w:val="fr-CH"/>
        </w:rPr>
        <w:tab/>
      </w:r>
      <w:r w:rsidRPr="00E12101">
        <w:rPr>
          <w:rFonts w:hint="cs"/>
          <w:i/>
          <w:iCs/>
          <w:spacing w:val="-2"/>
          <w:rtl/>
          <w:lang w:val="fr-CH"/>
        </w:rPr>
        <w:t>وإذ يؤكد أيضاً</w:t>
      </w:r>
      <w:r w:rsidR="00A76CA1">
        <w:rPr>
          <w:rFonts w:hint="cs"/>
          <w:i/>
          <w:iCs/>
          <w:spacing w:val="-2"/>
          <w:rtl/>
          <w:lang w:val="fr-CH"/>
        </w:rPr>
        <w:t xml:space="preserve"> </w:t>
      </w:r>
      <w:r w:rsidRPr="00E12101">
        <w:rPr>
          <w:rFonts w:hint="cs"/>
          <w:spacing w:val="-2"/>
          <w:rtl/>
          <w:lang w:val="fr-CH"/>
        </w:rPr>
        <w:t>أهمية إتاحة إمكانية الوصول إلى تكنولوجيات المعلومات الجديدة، بما</w:t>
      </w:r>
      <w:r w:rsidR="000E78AC">
        <w:rPr>
          <w:rFonts w:hint="eastAsia"/>
          <w:spacing w:val="-2"/>
          <w:rtl/>
          <w:lang w:val="fr-CH"/>
        </w:rPr>
        <w:t> </w:t>
      </w:r>
      <w:r w:rsidRPr="00E12101">
        <w:rPr>
          <w:rFonts w:hint="cs"/>
          <w:spacing w:val="-2"/>
          <w:rtl/>
          <w:lang w:val="fr-CH"/>
        </w:rPr>
        <w:t>في ذلك الإنترنت، بغية تيسير إعمال الحق في التعليم والنهوض بالتعليم</w:t>
      </w:r>
      <w:r w:rsidR="00A76CA1">
        <w:rPr>
          <w:rFonts w:hint="cs"/>
          <w:spacing w:val="-2"/>
          <w:rtl/>
          <w:lang w:val="fr-CH"/>
        </w:rPr>
        <w:t xml:space="preserve"> الجيّد،</w:t>
      </w:r>
    </w:p>
    <w:p w:rsidR="009621C4" w:rsidRPr="00E12101" w:rsidRDefault="009621C4" w:rsidP="00A76CA1">
      <w:pPr>
        <w:pStyle w:val="SingleTxtGA"/>
        <w:rPr>
          <w:rFonts w:hint="cs"/>
          <w:spacing w:val="-2"/>
          <w:rtl/>
          <w:lang w:val="fr-CH"/>
        </w:rPr>
      </w:pPr>
      <w:r w:rsidRPr="00E12101">
        <w:rPr>
          <w:rFonts w:hint="cs"/>
          <w:spacing w:val="-2"/>
          <w:rtl/>
          <w:lang w:val="fr-CH"/>
        </w:rPr>
        <w:tab/>
      </w:r>
      <w:r w:rsidRPr="00E12101">
        <w:rPr>
          <w:rFonts w:hint="cs"/>
          <w:i/>
          <w:iCs/>
          <w:spacing w:val="-2"/>
          <w:rtl/>
          <w:lang w:val="fr-CH"/>
        </w:rPr>
        <w:t>وإذ يدرك</w:t>
      </w:r>
      <w:r w:rsidRPr="00E12101">
        <w:rPr>
          <w:rFonts w:hint="cs"/>
          <w:spacing w:val="-2"/>
          <w:rtl/>
          <w:lang w:val="fr-CH"/>
        </w:rPr>
        <w:t xml:space="preserve"> الدور الذي يمكن أن يؤديه إجراء تقديم البلاغات في تعزيز إمكانية التقاضي بشأن الحق في التعليم، وإذ يرحب في هذا الصدد </w:t>
      </w:r>
      <w:r w:rsidR="00A76CA1">
        <w:rPr>
          <w:rFonts w:hint="cs"/>
          <w:spacing w:val="-2"/>
          <w:rtl/>
          <w:lang w:val="fr-CH"/>
        </w:rPr>
        <w:t xml:space="preserve">بدخول </w:t>
      </w:r>
      <w:r w:rsidRPr="00E12101">
        <w:rPr>
          <w:rFonts w:hint="cs"/>
          <w:spacing w:val="-2"/>
          <w:rtl/>
          <w:lang w:val="fr-CH"/>
        </w:rPr>
        <w:t>البروتوكول الاختياري لاتفاقية حقوق الطفل</w:t>
      </w:r>
      <w:r w:rsidRPr="00E12101">
        <w:rPr>
          <w:rFonts w:hint="cs"/>
          <w:spacing w:val="-2"/>
          <w:rtl/>
          <w:lang/>
        </w:rPr>
        <w:t xml:space="preserve"> المتعلق بإجراء تقديم البلاغات</w:t>
      </w:r>
      <w:r w:rsidR="00A76CA1">
        <w:rPr>
          <w:rFonts w:hint="cs"/>
          <w:spacing w:val="-2"/>
          <w:rtl/>
          <w:lang/>
        </w:rPr>
        <w:t xml:space="preserve"> حيز النفاذ في 14 </w:t>
      </w:r>
      <w:r w:rsidR="00A76CA1" w:rsidRPr="00A76CA1">
        <w:rPr>
          <w:rFonts w:hint="cs"/>
          <w:spacing w:val="-2"/>
          <w:sz w:val="30"/>
          <w:rtl/>
          <w:lang/>
        </w:rPr>
        <w:t xml:space="preserve">نيسان/أبريل </w:t>
      </w:r>
      <w:r w:rsidR="00A76CA1">
        <w:rPr>
          <w:rFonts w:hint="cs"/>
          <w:spacing w:val="-2"/>
          <w:rtl/>
          <w:lang/>
        </w:rPr>
        <w:t>2014</w:t>
      </w:r>
      <w:r w:rsidRPr="00E12101">
        <w:rPr>
          <w:rFonts w:hint="cs"/>
          <w:spacing w:val="-2"/>
          <w:rtl/>
          <w:lang w:val="fr-CH"/>
        </w:rPr>
        <w:t>،</w:t>
      </w:r>
    </w:p>
    <w:p w:rsidR="009621C4" w:rsidRDefault="009621C4" w:rsidP="00A76CA1">
      <w:pPr>
        <w:pStyle w:val="SingleTxtGA"/>
        <w:rPr>
          <w:rFonts w:hint="cs"/>
          <w:rtl/>
          <w:lang w:val="fr-CH"/>
        </w:rPr>
      </w:pPr>
      <w:r>
        <w:rPr>
          <w:rFonts w:hint="cs"/>
          <w:i/>
          <w:iCs/>
          <w:rtl/>
          <w:lang w:val="fr-CH"/>
        </w:rPr>
        <w:tab/>
      </w:r>
      <w:r w:rsidRPr="00E12101">
        <w:rPr>
          <w:rFonts w:hint="cs"/>
          <w:i/>
          <w:iCs/>
          <w:rtl/>
          <w:lang w:val="fr-CH"/>
        </w:rPr>
        <w:t>وإذ يرحب</w:t>
      </w:r>
      <w:r>
        <w:rPr>
          <w:rFonts w:hint="cs"/>
          <w:rtl/>
          <w:lang w:val="fr-CH"/>
        </w:rPr>
        <w:t xml:space="preserve"> بالخطوات المتخذة على الصعيد الوطني بغية إعمال الحق في التعليم، بما في ذلك إعماله عن طريق سن التشريعات المناسبة وفصل المحاكم في ال</w:t>
      </w:r>
      <w:r w:rsidR="00A76CA1">
        <w:rPr>
          <w:rFonts w:hint="cs"/>
          <w:rtl/>
          <w:lang w:val="fr-CH"/>
        </w:rPr>
        <w:t>قضايا</w:t>
      </w:r>
      <w:r>
        <w:rPr>
          <w:rFonts w:hint="cs"/>
          <w:rtl/>
          <w:lang w:val="fr-CH"/>
        </w:rPr>
        <w:t>،</w:t>
      </w:r>
    </w:p>
    <w:p w:rsidR="009621C4" w:rsidRDefault="009621C4" w:rsidP="00A76CA1">
      <w:pPr>
        <w:pStyle w:val="SingleTxtGA"/>
        <w:rPr>
          <w:rFonts w:hint="cs"/>
          <w:rtl/>
          <w:lang w:val="fr-CH"/>
        </w:rPr>
      </w:pPr>
      <w:r>
        <w:rPr>
          <w:rFonts w:hint="cs"/>
          <w:rtl/>
          <w:lang w:val="fr-CH"/>
        </w:rPr>
        <w:tab/>
      </w:r>
      <w:r w:rsidRPr="00E12101">
        <w:rPr>
          <w:rFonts w:hint="cs"/>
          <w:i/>
          <w:iCs/>
          <w:rtl/>
          <w:lang w:val="fr-CH"/>
        </w:rPr>
        <w:t>وإذ يُذكّر</w:t>
      </w:r>
      <w:r>
        <w:rPr>
          <w:rFonts w:hint="cs"/>
          <w:rtl/>
          <w:lang w:val="fr-CH"/>
        </w:rPr>
        <w:t xml:space="preserve"> بقرار</w:t>
      </w:r>
      <w:r w:rsidR="00A76CA1">
        <w:rPr>
          <w:rFonts w:hint="cs"/>
          <w:rtl/>
          <w:lang w:val="fr-CH"/>
        </w:rPr>
        <w:t>ي مجلس</w:t>
      </w:r>
      <w:r>
        <w:rPr>
          <w:rFonts w:hint="cs"/>
          <w:rtl/>
          <w:lang w:val="fr-CH"/>
        </w:rPr>
        <w:t xml:space="preserve"> حقوق الإنسان 5/1، المتعلق ببناء مؤسسات المجلس، </w:t>
      </w:r>
      <w:r w:rsidR="00A76CA1">
        <w:rPr>
          <w:rFonts w:hint="cs"/>
          <w:rtl/>
          <w:lang w:val="fr-CH"/>
        </w:rPr>
        <w:t>و</w:t>
      </w:r>
      <w:r>
        <w:rPr>
          <w:rFonts w:hint="cs"/>
          <w:rtl/>
          <w:lang w:val="fr-CH"/>
        </w:rPr>
        <w:t xml:space="preserve">5/2 المتعلق </w:t>
      </w:r>
      <w:r>
        <w:rPr>
          <w:rFonts w:hint="cs"/>
          <w:rtl/>
          <w:lang/>
        </w:rPr>
        <w:t>بمدونة قواعد السلوك للمكلفين بولايات في إطار الإجراءات الخاصة</w:t>
      </w:r>
      <w:r w:rsidR="00A76CA1">
        <w:rPr>
          <w:rFonts w:hint="cs"/>
          <w:rtl/>
          <w:lang/>
        </w:rPr>
        <w:t xml:space="preserve"> للمجلس</w:t>
      </w:r>
      <w:r>
        <w:rPr>
          <w:rFonts w:hint="cs"/>
          <w:rtl/>
          <w:lang w:val="fr-CH"/>
        </w:rPr>
        <w:t xml:space="preserve">، والمؤرخين 18 حزيران/يونيه 2007، وإذ يشدد على </w:t>
      </w:r>
      <w:r>
        <w:rPr>
          <w:rFonts w:hint="cs"/>
          <w:rtl/>
          <w:lang/>
        </w:rPr>
        <w:t>أن المكلف بالولاية</w:t>
      </w:r>
      <w:r w:rsidR="00A76CA1">
        <w:rPr>
          <w:rFonts w:hint="cs"/>
          <w:rtl/>
          <w:lang/>
        </w:rPr>
        <w:t xml:space="preserve"> يجب أن يؤدي </w:t>
      </w:r>
      <w:r>
        <w:rPr>
          <w:rFonts w:hint="cs"/>
          <w:rtl/>
          <w:lang/>
        </w:rPr>
        <w:t>مهامه وفقاً لهذين القرارين ومرفقاتهما،</w:t>
      </w:r>
    </w:p>
    <w:p w:rsidR="009621C4" w:rsidRDefault="009621C4" w:rsidP="009621C4">
      <w:pPr>
        <w:pStyle w:val="SingleTxtGA"/>
        <w:rPr>
          <w:rFonts w:hint="cs"/>
          <w:rtl/>
          <w:lang w:val="fr-CH"/>
        </w:rPr>
      </w:pPr>
      <w:r>
        <w:rPr>
          <w:rtl/>
          <w:lang w:val="fr-CH"/>
        </w:rPr>
        <w:tab/>
      </w:r>
      <w:r>
        <w:rPr>
          <w:rFonts w:hint="cs"/>
          <w:rtl/>
          <w:lang w:val="fr-CH"/>
        </w:rPr>
        <w:t>1-</w:t>
      </w:r>
      <w:r>
        <w:rPr>
          <w:rFonts w:hint="cs"/>
          <w:rtl/>
          <w:lang w:val="fr-CH"/>
        </w:rPr>
        <w:tab/>
      </w:r>
      <w:r w:rsidRPr="00854C52">
        <w:rPr>
          <w:rFonts w:hint="cs"/>
          <w:i/>
          <w:iCs/>
          <w:rtl/>
          <w:lang w:val="fr-CH"/>
        </w:rPr>
        <w:t>ي</w:t>
      </w:r>
      <w:r>
        <w:rPr>
          <w:rFonts w:hint="cs"/>
          <w:i/>
          <w:iCs/>
          <w:rtl/>
          <w:lang w:val="fr-CH"/>
        </w:rPr>
        <w:t xml:space="preserve">هيب </w:t>
      </w:r>
      <w:r>
        <w:rPr>
          <w:rFonts w:hint="cs"/>
          <w:rtl/>
          <w:lang w:val="fr-CH"/>
        </w:rPr>
        <w:t>بجميع الدول أن تتخذ جميع التدابير اللازمة لتنفيذ قرارات مجلس حقوق الإنسان المتعلقة بالحق في التعليم، بغية ضمان الإعمال الكامل لهذا الحق للجميع؛</w:t>
      </w:r>
    </w:p>
    <w:p w:rsidR="009621C4" w:rsidRDefault="009621C4" w:rsidP="000E78AC">
      <w:pPr>
        <w:pStyle w:val="SingleTxtGA"/>
        <w:rPr>
          <w:rFonts w:hint="cs"/>
          <w:rtl/>
          <w:lang w:val="fr-CH"/>
        </w:rPr>
      </w:pPr>
      <w:r>
        <w:rPr>
          <w:rFonts w:hint="cs"/>
          <w:rtl/>
          <w:lang w:val="fr-CH"/>
        </w:rPr>
        <w:tab/>
        <w:t>2-</w:t>
      </w:r>
      <w:r>
        <w:rPr>
          <w:rFonts w:hint="cs"/>
          <w:rtl/>
          <w:lang w:val="fr-CH"/>
        </w:rPr>
        <w:tab/>
      </w:r>
      <w:r w:rsidRPr="002B72B8">
        <w:rPr>
          <w:rFonts w:hint="cs"/>
          <w:i/>
          <w:iCs/>
          <w:rtl/>
          <w:lang w:val="fr-CH"/>
        </w:rPr>
        <w:t>يحث</w:t>
      </w:r>
      <w:r>
        <w:rPr>
          <w:rFonts w:hint="cs"/>
          <w:rtl/>
          <w:lang w:val="fr-CH"/>
        </w:rPr>
        <w:t xml:space="preserve"> جميع الدول على </w:t>
      </w:r>
      <w:r w:rsidR="00A76CA1">
        <w:rPr>
          <w:rFonts w:hint="cs"/>
          <w:rtl/>
          <w:lang w:val="fr-CH"/>
        </w:rPr>
        <w:t xml:space="preserve">الإعمال </w:t>
      </w:r>
      <w:r>
        <w:rPr>
          <w:rFonts w:hint="cs"/>
          <w:rtl/>
          <w:lang w:val="fr-CH"/>
        </w:rPr>
        <w:t xml:space="preserve">الكامل للحق في التعليم </w:t>
      </w:r>
      <w:r w:rsidR="00A76CA1">
        <w:rPr>
          <w:rFonts w:hint="cs"/>
          <w:rtl/>
          <w:lang w:val="fr-CH"/>
        </w:rPr>
        <w:t xml:space="preserve">بطرق تشمل </w:t>
      </w:r>
      <w:r>
        <w:rPr>
          <w:rFonts w:hint="cs"/>
          <w:rtl/>
          <w:lang w:val="fr-CH"/>
        </w:rPr>
        <w:t xml:space="preserve">استحداث وتطبيق نُظُم </w:t>
      </w:r>
      <w:r w:rsidR="00A76CA1">
        <w:rPr>
          <w:rFonts w:hint="cs"/>
          <w:rtl/>
          <w:lang w:val="fr-CH"/>
        </w:rPr>
        <w:t xml:space="preserve">تقييم </w:t>
      </w:r>
      <w:r>
        <w:rPr>
          <w:rFonts w:hint="cs"/>
          <w:rtl/>
          <w:lang w:val="fr-CH"/>
        </w:rPr>
        <w:t xml:space="preserve">يُمتثَل فيها للقانون الدولي لحقوق الإنسان، بوسائل </w:t>
      </w:r>
      <w:r w:rsidR="00A76CA1">
        <w:rPr>
          <w:rFonts w:hint="cs"/>
          <w:rtl/>
          <w:lang w:val="fr-CH"/>
        </w:rPr>
        <w:t>منها</w:t>
      </w:r>
      <w:r w:rsidR="00A76CA1">
        <w:rPr>
          <w:rFonts w:hint="eastAsia"/>
          <w:rtl/>
          <w:lang w:val="fr-CH"/>
        </w:rPr>
        <w:t> </w:t>
      </w:r>
      <w:r>
        <w:rPr>
          <w:rFonts w:hint="cs"/>
          <w:rtl/>
          <w:lang w:val="fr-CH"/>
        </w:rPr>
        <w:t>ما يلي:</w:t>
      </w:r>
    </w:p>
    <w:p w:rsidR="009621C4" w:rsidRDefault="00A76CA1" w:rsidP="00A76CA1">
      <w:pPr>
        <w:pStyle w:val="SingleTxtGA"/>
        <w:rPr>
          <w:rFonts w:hint="cs"/>
          <w:rtl/>
          <w:lang w:val="fr-CH"/>
        </w:rPr>
      </w:pPr>
      <w:r>
        <w:rPr>
          <w:rFonts w:hint="cs"/>
          <w:rtl/>
          <w:lang w:val="fr-CH"/>
        </w:rPr>
        <w:tab/>
        <w:t>(أ)</w:t>
      </w:r>
      <w:r>
        <w:rPr>
          <w:rFonts w:hint="cs"/>
          <w:rtl/>
          <w:lang w:val="fr-CH"/>
        </w:rPr>
        <w:tab/>
        <w:t xml:space="preserve">الأخذ بنهج شامل </w:t>
      </w:r>
      <w:r w:rsidR="009621C4">
        <w:rPr>
          <w:rFonts w:hint="cs"/>
          <w:rtl/>
          <w:lang w:val="fr-CH"/>
        </w:rPr>
        <w:t>يحترم حقوق الإنسان ويُعززها في سياق تقييم التحصيل التعليمي للطلاب؛</w:t>
      </w:r>
    </w:p>
    <w:p w:rsidR="009621C4" w:rsidRDefault="009621C4" w:rsidP="009621C4">
      <w:pPr>
        <w:pStyle w:val="SingleTxtGA"/>
        <w:rPr>
          <w:rFonts w:hint="cs"/>
          <w:rtl/>
          <w:lang w:val="fr-CH"/>
        </w:rPr>
      </w:pPr>
      <w:r>
        <w:rPr>
          <w:rFonts w:hint="cs"/>
          <w:rtl/>
          <w:lang w:val="fr-CH"/>
        </w:rPr>
        <w:tab/>
        <w:t>(ب)</w:t>
      </w:r>
      <w:r>
        <w:rPr>
          <w:rFonts w:hint="cs"/>
          <w:rtl/>
          <w:lang w:val="fr-CH"/>
        </w:rPr>
        <w:tab/>
        <w:t>استحداث آليات تقييمية للمساعدة على ضمان جودة التعليم؛</w:t>
      </w:r>
    </w:p>
    <w:p w:rsidR="009621C4" w:rsidRDefault="009621C4" w:rsidP="00A76CA1">
      <w:pPr>
        <w:pStyle w:val="SingleTxtGA"/>
        <w:rPr>
          <w:rFonts w:hint="cs"/>
          <w:rtl/>
          <w:lang w:val="fr-CH"/>
        </w:rPr>
      </w:pPr>
      <w:r>
        <w:rPr>
          <w:rFonts w:hint="cs"/>
          <w:rtl/>
          <w:lang w:val="fr-CH"/>
        </w:rPr>
        <w:tab/>
        <w:t>(ج)</w:t>
      </w:r>
      <w:r>
        <w:rPr>
          <w:rFonts w:hint="cs"/>
          <w:rtl/>
          <w:lang w:val="fr-CH"/>
        </w:rPr>
        <w:tab/>
        <w:t xml:space="preserve">استحداث أو تعزيز قدرة المدرِّسين على رعاية تعليم </w:t>
      </w:r>
      <w:r w:rsidR="00A76CA1">
        <w:rPr>
          <w:rFonts w:hint="cs"/>
          <w:rtl/>
          <w:lang w:val="fr-CH"/>
        </w:rPr>
        <w:t xml:space="preserve">يتميز </w:t>
      </w:r>
      <w:r>
        <w:rPr>
          <w:rFonts w:hint="cs"/>
          <w:rtl/>
          <w:lang w:val="fr-CH"/>
        </w:rPr>
        <w:t>بالجودة؛</w:t>
      </w:r>
    </w:p>
    <w:p w:rsidR="009621C4" w:rsidRDefault="009621C4" w:rsidP="00A76CA1">
      <w:pPr>
        <w:pStyle w:val="SingleTxtGA"/>
        <w:rPr>
          <w:rFonts w:hint="cs"/>
          <w:rtl/>
          <w:lang w:val="fr-CH"/>
        </w:rPr>
      </w:pPr>
      <w:r>
        <w:rPr>
          <w:rFonts w:hint="cs"/>
          <w:rtl/>
          <w:lang w:val="fr-CH"/>
        </w:rPr>
        <w:tab/>
        <w:t>(د)</w:t>
      </w:r>
      <w:r w:rsidR="00A76CA1">
        <w:rPr>
          <w:rFonts w:hint="cs"/>
          <w:rtl/>
          <w:lang w:val="fr-CH"/>
        </w:rPr>
        <w:tab/>
        <w:t xml:space="preserve">تعزيز استخدام مناهج تعليمية </w:t>
      </w:r>
      <w:r>
        <w:rPr>
          <w:rFonts w:hint="cs"/>
          <w:rtl/>
          <w:lang w:val="fr-CH"/>
        </w:rPr>
        <w:t>محدَّثة ومطابقة للقانون الدولي لحقوق</w:t>
      </w:r>
      <w:r w:rsidR="00E12101">
        <w:rPr>
          <w:rFonts w:hint="eastAsia"/>
          <w:rtl/>
          <w:lang w:val="fr-CH"/>
        </w:rPr>
        <w:t> </w:t>
      </w:r>
      <w:r>
        <w:rPr>
          <w:rFonts w:hint="cs"/>
          <w:rtl/>
          <w:lang w:val="fr-CH"/>
        </w:rPr>
        <w:t>الإنسان؛</w:t>
      </w:r>
    </w:p>
    <w:p w:rsidR="009621C4" w:rsidRDefault="009621C4" w:rsidP="00A76CA1">
      <w:pPr>
        <w:pStyle w:val="SingleTxtGA"/>
        <w:rPr>
          <w:rFonts w:hint="cs"/>
          <w:rtl/>
          <w:lang w:val="fr-CH"/>
        </w:rPr>
      </w:pPr>
      <w:r>
        <w:rPr>
          <w:rFonts w:hint="cs"/>
          <w:rtl/>
          <w:lang w:val="fr-CH"/>
        </w:rPr>
        <w:tab/>
        <w:t>(ه‍(</w:t>
      </w:r>
      <w:r>
        <w:rPr>
          <w:rFonts w:hint="cs"/>
          <w:rtl/>
          <w:lang w:val="fr-CH"/>
        </w:rPr>
        <w:tab/>
        <w:t xml:space="preserve">استحداث آليات مبُتكَرة لتقييم </w:t>
      </w:r>
      <w:r w:rsidR="00A76CA1">
        <w:rPr>
          <w:rFonts w:hint="cs"/>
          <w:rtl/>
          <w:lang w:val="fr-CH"/>
        </w:rPr>
        <w:t xml:space="preserve">برامج </w:t>
      </w:r>
      <w:r>
        <w:rPr>
          <w:rFonts w:hint="cs"/>
          <w:rtl/>
          <w:lang w:val="fr-CH"/>
        </w:rPr>
        <w:t xml:space="preserve">التعليم </w:t>
      </w:r>
      <w:r w:rsidR="00A76CA1">
        <w:rPr>
          <w:rFonts w:hint="cs"/>
          <w:rtl/>
          <w:lang w:val="fr-CH"/>
        </w:rPr>
        <w:t xml:space="preserve">والتدريب التقني والمهني؛ </w:t>
      </w:r>
    </w:p>
    <w:p w:rsidR="009621C4" w:rsidRDefault="009621C4" w:rsidP="00E12101">
      <w:pPr>
        <w:pStyle w:val="SingleTxtGA"/>
        <w:rPr>
          <w:rFonts w:hint="cs"/>
          <w:rtl/>
          <w:lang w:val="fr-CH"/>
        </w:rPr>
      </w:pPr>
      <w:r>
        <w:rPr>
          <w:rFonts w:hint="cs"/>
          <w:rtl/>
          <w:lang w:val="fr-CH"/>
        </w:rPr>
        <w:tab/>
        <w:t>(و)</w:t>
      </w:r>
      <w:r>
        <w:rPr>
          <w:rFonts w:hint="cs"/>
          <w:rtl/>
          <w:lang w:val="fr-CH"/>
        </w:rPr>
        <w:tab/>
        <w:t>دعم برامج البحوث والدراسات المتعلقة بالتقييم الوطني للتحصيل التعليمي</w:t>
      </w:r>
      <w:r w:rsidR="00E12101">
        <w:rPr>
          <w:rFonts w:hint="eastAsia"/>
          <w:rtl/>
          <w:lang w:val="fr-CH"/>
        </w:rPr>
        <w:t> </w:t>
      </w:r>
      <w:r>
        <w:rPr>
          <w:rFonts w:hint="cs"/>
          <w:rtl/>
          <w:lang w:val="fr-CH"/>
        </w:rPr>
        <w:t>للطلاب؛</w:t>
      </w:r>
    </w:p>
    <w:p w:rsidR="009621C4" w:rsidRDefault="009621C4" w:rsidP="009621C4">
      <w:pPr>
        <w:pStyle w:val="SingleTxtGA"/>
        <w:rPr>
          <w:rFonts w:hint="cs"/>
          <w:rtl/>
          <w:lang w:val="fr-CH"/>
        </w:rPr>
      </w:pPr>
      <w:r>
        <w:rPr>
          <w:rFonts w:hint="cs"/>
          <w:rtl/>
          <w:lang w:val="fr-CH"/>
        </w:rPr>
        <w:tab/>
        <w:t>3-</w:t>
      </w:r>
      <w:r>
        <w:rPr>
          <w:rFonts w:hint="cs"/>
          <w:rtl/>
          <w:lang w:val="fr-CH"/>
        </w:rPr>
        <w:tab/>
      </w:r>
      <w:r w:rsidRPr="009621C4">
        <w:rPr>
          <w:rFonts w:hint="cs"/>
          <w:i/>
          <w:iCs/>
          <w:rtl/>
          <w:lang w:val="fr-CH"/>
        </w:rPr>
        <w:t>يحيط علماً مع التقدير</w:t>
      </w:r>
      <w:r>
        <w:rPr>
          <w:rFonts w:hint="cs"/>
          <w:rtl/>
          <w:lang w:val="fr-CH"/>
        </w:rPr>
        <w:t xml:space="preserve"> بما يلي:</w:t>
      </w:r>
    </w:p>
    <w:p w:rsidR="009621C4" w:rsidRDefault="009621C4" w:rsidP="00E12101">
      <w:pPr>
        <w:pStyle w:val="SingleTxtGA"/>
        <w:rPr>
          <w:rFonts w:hint="cs"/>
          <w:rtl/>
          <w:lang w:val="fr-CH"/>
        </w:rPr>
      </w:pPr>
      <w:r>
        <w:rPr>
          <w:rFonts w:hint="cs"/>
          <w:rtl/>
          <w:lang w:val="fr-CH"/>
        </w:rPr>
        <w:tab/>
        <w:t>(أ)</w:t>
      </w:r>
      <w:r>
        <w:rPr>
          <w:rFonts w:hint="cs"/>
          <w:rtl/>
          <w:lang w:val="fr-CH"/>
        </w:rPr>
        <w:tab/>
        <w:t>تقرير المقرر الخاص المعني بالحق في التعليم عن تقييم التحصيل التعليمي للطلاب وإعمال الحق في التعليم</w:t>
      </w:r>
      <w:r w:rsidR="00E12101">
        <w:rPr>
          <w:vertAlign w:val="superscript"/>
          <w:rtl/>
          <w:lang w:val="fr-CH"/>
        </w:rPr>
        <w:t>(</w:t>
      </w:r>
      <w:r w:rsidR="00E12101">
        <w:rPr>
          <w:rStyle w:val="FootnoteReference"/>
          <w:rtl/>
          <w:lang w:val="fr-CH"/>
        </w:rPr>
        <w:footnoteReference w:id="1"/>
      </w:r>
      <w:r w:rsidR="00E12101">
        <w:rPr>
          <w:vertAlign w:val="superscript"/>
          <w:rtl/>
          <w:lang w:val="fr-CH"/>
        </w:rPr>
        <w:t>)</w:t>
      </w:r>
      <w:r>
        <w:rPr>
          <w:rFonts w:hint="cs"/>
          <w:rtl/>
          <w:lang w:val="fr-CH"/>
        </w:rPr>
        <w:t>؛</w:t>
      </w:r>
    </w:p>
    <w:p w:rsidR="009621C4" w:rsidRDefault="009621C4" w:rsidP="009621C4">
      <w:pPr>
        <w:pStyle w:val="SingleTxtGA"/>
        <w:rPr>
          <w:rFonts w:hint="cs"/>
          <w:rtl/>
          <w:lang w:val="fr-CH"/>
        </w:rPr>
      </w:pPr>
      <w:r>
        <w:rPr>
          <w:rFonts w:hint="cs"/>
          <w:rtl/>
          <w:lang w:val="fr-CH"/>
        </w:rPr>
        <w:tab/>
        <w:t>(ب)</w:t>
      </w:r>
      <w:r>
        <w:rPr>
          <w:rFonts w:hint="cs"/>
          <w:rtl/>
          <w:lang w:val="fr-CH"/>
        </w:rPr>
        <w:tab/>
        <w:t>أعمال هيئات معاهدات حقوق الإنسان والإجراءات الخاصة المعنية بحقوق الإنسان التابعة للأمم المتحدة في مجال تعزيز الحق في التعليم؛</w:t>
      </w:r>
    </w:p>
    <w:p w:rsidR="009621C4" w:rsidRDefault="009621C4" w:rsidP="009621C4">
      <w:pPr>
        <w:pStyle w:val="SingleTxtGA"/>
        <w:rPr>
          <w:rFonts w:hint="cs"/>
          <w:rtl/>
          <w:lang w:val="fr-CH"/>
        </w:rPr>
      </w:pPr>
      <w:r>
        <w:rPr>
          <w:rFonts w:hint="cs"/>
          <w:rtl/>
          <w:lang w:val="fr-CH"/>
        </w:rPr>
        <w:tab/>
        <w:t>(ج)</w:t>
      </w:r>
      <w:r>
        <w:rPr>
          <w:rFonts w:hint="cs"/>
          <w:rtl/>
          <w:lang w:val="fr-CH"/>
        </w:rPr>
        <w:tab/>
        <w:t>الأعمال التي اضطلعت بها مفوضية الأمم المتحدة السامية لحقوق الإنسان في مجال تعزيز الحق في التعليم على الصعيدين القطري والإقليمي وعلى مستوى مقر المفوضية؛</w:t>
      </w:r>
    </w:p>
    <w:p w:rsidR="009621C4" w:rsidRPr="00E12101" w:rsidRDefault="009621C4" w:rsidP="009621C4">
      <w:pPr>
        <w:pStyle w:val="SingleTxtGA"/>
        <w:rPr>
          <w:rFonts w:hint="cs"/>
          <w:spacing w:val="-2"/>
          <w:rtl/>
          <w:lang w:val="fr-CH"/>
        </w:rPr>
      </w:pPr>
      <w:r w:rsidRPr="00E12101">
        <w:rPr>
          <w:rFonts w:hint="cs"/>
          <w:spacing w:val="-2"/>
          <w:rtl/>
          <w:lang w:val="fr-CH"/>
        </w:rPr>
        <w:tab/>
        <w:t>(د)</w:t>
      </w:r>
      <w:r w:rsidRPr="00E12101">
        <w:rPr>
          <w:rFonts w:hint="cs"/>
          <w:spacing w:val="-2"/>
          <w:rtl/>
          <w:lang w:val="fr-CH"/>
        </w:rPr>
        <w:tab/>
        <w:t>الإسهامات المقدَّمة من منظمة الأمم المتحدة للطفولة (اليونيسيف) ومنظمة الأمم المتحدة للتربية والعلم والثقافة (اليونسكو) وغيرهما من الهيئات ذات الصلة من أجل بلوغ أ</w:t>
      </w:r>
      <w:r w:rsidRPr="00E12101">
        <w:rPr>
          <w:rFonts w:hint="cs"/>
          <w:spacing w:val="-2"/>
          <w:rtl/>
          <w:lang/>
        </w:rPr>
        <w:t>هداف جدول أعمال توفير التعليم للجميع</w:t>
      </w:r>
      <w:r w:rsidRPr="00E12101">
        <w:rPr>
          <w:rFonts w:hint="cs"/>
          <w:spacing w:val="-2"/>
          <w:rtl/>
          <w:lang w:val="fr-CH"/>
        </w:rPr>
        <w:t xml:space="preserve"> وما يتصل بالتعليم من الأهداف الإنمائية للألفية؛</w:t>
      </w:r>
    </w:p>
    <w:p w:rsidR="009621C4" w:rsidRPr="00E12101" w:rsidRDefault="009621C4" w:rsidP="00A76CA1">
      <w:pPr>
        <w:pStyle w:val="SingleTxtGA"/>
        <w:rPr>
          <w:rFonts w:hint="cs"/>
          <w:spacing w:val="-5"/>
          <w:rtl/>
          <w:lang w:val="fr-CH"/>
        </w:rPr>
      </w:pPr>
      <w:r w:rsidRPr="00E12101">
        <w:rPr>
          <w:rFonts w:hint="cs"/>
          <w:spacing w:val="-5"/>
          <w:rtl/>
          <w:lang w:val="fr-CH"/>
        </w:rPr>
        <w:tab/>
        <w:t>(ه‍(</w:t>
      </w:r>
      <w:r w:rsidRPr="00E12101">
        <w:rPr>
          <w:rFonts w:hint="cs"/>
          <w:spacing w:val="-5"/>
          <w:rtl/>
          <w:lang w:val="fr-CH"/>
        </w:rPr>
        <w:tab/>
        <w:t xml:space="preserve">المبادرات الدولية الهادفة إلى مناقشة </w:t>
      </w:r>
      <w:r w:rsidRPr="00E12101">
        <w:rPr>
          <w:rFonts w:hint="cs"/>
          <w:spacing w:val="-5"/>
          <w:rtl/>
          <w:lang/>
        </w:rPr>
        <w:t xml:space="preserve">خطة التعليم لما بعد عام 2015 </w:t>
      </w:r>
      <w:r w:rsidR="00A76CA1">
        <w:rPr>
          <w:rFonts w:hint="cs"/>
          <w:spacing w:val="-5"/>
          <w:rtl/>
          <w:lang/>
        </w:rPr>
        <w:t xml:space="preserve">وإحراز </w:t>
      </w:r>
      <w:r w:rsidRPr="00E12101">
        <w:rPr>
          <w:rFonts w:hint="cs"/>
          <w:spacing w:val="-5"/>
          <w:rtl/>
          <w:lang/>
        </w:rPr>
        <w:t>تقدم بشأنها</w:t>
      </w:r>
      <w:r w:rsidRPr="00E12101">
        <w:rPr>
          <w:rFonts w:hint="cs"/>
          <w:spacing w:val="-5"/>
          <w:rtl/>
          <w:lang w:val="fr-CH"/>
        </w:rPr>
        <w:t xml:space="preserve">، مع التأكيد في الوقت نفسه على </w:t>
      </w:r>
      <w:r w:rsidR="00A76CA1">
        <w:rPr>
          <w:rFonts w:hint="cs"/>
          <w:spacing w:val="-5"/>
          <w:rtl/>
          <w:lang w:val="fr-CH"/>
        </w:rPr>
        <w:t xml:space="preserve">الأهمية التي يتسم بها في هذا الصدد عمل الفريق العامل المفتوح العضوية المعني </w:t>
      </w:r>
      <w:r w:rsidRPr="00E12101">
        <w:rPr>
          <w:spacing w:val="-5"/>
          <w:rtl/>
          <w:lang w:val="fr-CH"/>
        </w:rPr>
        <w:t>بأهداف التنمية المستدامة</w:t>
      </w:r>
      <w:r w:rsidRPr="00E12101">
        <w:rPr>
          <w:rFonts w:hint="cs"/>
          <w:spacing w:val="-5"/>
          <w:rtl/>
          <w:lang w:val="fr-CH"/>
        </w:rPr>
        <w:t xml:space="preserve"> و</w:t>
      </w:r>
      <w:r w:rsidR="00A76CA1">
        <w:rPr>
          <w:rFonts w:hint="cs"/>
          <w:spacing w:val="-5"/>
          <w:rtl/>
          <w:lang w:val="fr-CH"/>
        </w:rPr>
        <w:t>غيره من عمليات التشاور الجارية</w:t>
      </w:r>
      <w:r w:rsidRPr="00E12101">
        <w:rPr>
          <w:rFonts w:hint="cs"/>
          <w:spacing w:val="-5"/>
          <w:rtl/>
          <w:lang w:val="fr-CH"/>
        </w:rPr>
        <w:t>؛</w:t>
      </w:r>
    </w:p>
    <w:p w:rsidR="009621C4" w:rsidRDefault="009621C4" w:rsidP="00E40E48">
      <w:pPr>
        <w:pStyle w:val="SingleTxtGA"/>
        <w:rPr>
          <w:rFonts w:hint="cs"/>
          <w:rtl/>
          <w:lang w:val="fr-CH"/>
        </w:rPr>
      </w:pPr>
      <w:r>
        <w:rPr>
          <w:rFonts w:hint="cs"/>
          <w:rtl/>
          <w:lang w:val="fr-CH"/>
        </w:rPr>
        <w:tab/>
        <w:t>4-</w:t>
      </w:r>
      <w:r>
        <w:rPr>
          <w:rFonts w:hint="cs"/>
          <w:rtl/>
          <w:lang w:val="fr-CH"/>
        </w:rPr>
        <w:tab/>
      </w:r>
      <w:r w:rsidRPr="00BF4778">
        <w:rPr>
          <w:rFonts w:hint="cs"/>
          <w:i/>
          <w:iCs/>
          <w:rtl/>
          <w:lang w:val="fr-CH"/>
        </w:rPr>
        <w:t>يهيب</w:t>
      </w:r>
      <w:r>
        <w:rPr>
          <w:rFonts w:hint="cs"/>
          <w:rtl/>
          <w:lang w:val="fr-CH"/>
        </w:rPr>
        <w:t xml:space="preserve"> بجميع الجهات صاحبة المصلحة القيام على وجه الاستعجال بزيادة جهودها الرامية إلى التعجيل بإحراز تقدم نحو بلوغ الأهداف التعليمية</w:t>
      </w:r>
      <w:r>
        <w:rPr>
          <w:rFonts w:hint="cs"/>
          <w:rtl/>
          <w:lang/>
        </w:rPr>
        <w:t xml:space="preserve"> المحدد لها عام 2015</w:t>
      </w:r>
      <w:r>
        <w:rPr>
          <w:rFonts w:hint="cs"/>
          <w:rtl/>
          <w:lang w:val="fr-CH"/>
        </w:rPr>
        <w:t xml:space="preserve">، وخاصة </w:t>
      </w:r>
      <w:r>
        <w:rPr>
          <w:rFonts w:hint="cs"/>
          <w:rtl/>
          <w:lang/>
        </w:rPr>
        <w:t xml:space="preserve">أهداف </w:t>
      </w:r>
      <w:r>
        <w:rPr>
          <w:color w:val="000000"/>
          <w:sz w:val="27"/>
          <w:szCs w:val="27"/>
          <w:rtl/>
        </w:rPr>
        <w:t>جدول أعمال توفير التعليم للجميع</w:t>
      </w:r>
      <w:r>
        <w:rPr>
          <w:rFonts w:hint="cs"/>
          <w:rtl/>
          <w:lang w:val="fr-CH"/>
        </w:rPr>
        <w:t xml:space="preserve"> وما يتصل بالتعليم من الأهداف الإنمائية للألفية، وضمان أن </w:t>
      </w:r>
      <w:r w:rsidR="00A76CA1">
        <w:rPr>
          <w:rFonts w:hint="cs"/>
          <w:rtl/>
          <w:lang w:val="fr-CH"/>
        </w:rPr>
        <w:t>تُراع</w:t>
      </w:r>
      <w:r w:rsidR="00E40E48">
        <w:rPr>
          <w:rFonts w:hint="cs"/>
          <w:rtl/>
          <w:lang w:val="fr-CH"/>
        </w:rPr>
        <w:t>ى</w:t>
      </w:r>
      <w:r w:rsidR="00A76CA1">
        <w:rPr>
          <w:rFonts w:hint="cs"/>
          <w:rtl/>
          <w:lang w:val="fr-CH"/>
        </w:rPr>
        <w:t xml:space="preserve"> بالكامل،</w:t>
      </w:r>
      <w:r>
        <w:rPr>
          <w:rFonts w:hint="cs"/>
          <w:rtl/>
          <w:lang w:val="fr-CH"/>
        </w:rPr>
        <w:t xml:space="preserve"> عند إعداد خطة التنمية لما بعد عام 2015</w:t>
      </w:r>
      <w:r w:rsidR="00A76CA1">
        <w:rPr>
          <w:rFonts w:hint="cs"/>
          <w:rtl/>
          <w:lang w:val="fr-CH"/>
        </w:rPr>
        <w:t>،</w:t>
      </w:r>
      <w:r>
        <w:rPr>
          <w:rFonts w:hint="cs"/>
          <w:rtl/>
          <w:lang w:val="fr-CH"/>
        </w:rPr>
        <w:t xml:space="preserve"> أهمية التعليم المتسم بالجودة، بما في ذلك تحقيق النتائج التعليمية ذات الصلة؛</w:t>
      </w:r>
    </w:p>
    <w:p w:rsidR="009621C4" w:rsidRDefault="009621C4" w:rsidP="009F087C">
      <w:pPr>
        <w:pStyle w:val="SingleTxtGA"/>
        <w:rPr>
          <w:rFonts w:hint="cs"/>
          <w:rtl/>
          <w:lang w:val="fr-CH"/>
        </w:rPr>
      </w:pPr>
      <w:r>
        <w:rPr>
          <w:rFonts w:hint="cs"/>
          <w:rtl/>
          <w:lang w:val="fr-CH"/>
        </w:rPr>
        <w:tab/>
        <w:t>5-</w:t>
      </w:r>
      <w:r>
        <w:rPr>
          <w:rFonts w:hint="cs"/>
          <w:rtl/>
          <w:lang w:val="fr-CH"/>
        </w:rPr>
        <w:tab/>
      </w:r>
      <w:r w:rsidRPr="00132644">
        <w:rPr>
          <w:rFonts w:hint="cs"/>
          <w:i/>
          <w:iCs/>
          <w:rtl/>
          <w:lang w:val="fr-CH"/>
        </w:rPr>
        <w:t>يؤكد من جديد</w:t>
      </w:r>
      <w:r>
        <w:rPr>
          <w:rFonts w:hint="cs"/>
          <w:rtl/>
          <w:lang w:val="fr-CH"/>
        </w:rPr>
        <w:t xml:space="preserve"> الالتزامات والتعهدات القاضية باتخاذ خطوات، فردياً وعن طريق المساعدة والتعاون الدوليين وخصوصاً المساعدة والتعاون الاقتصاديين والتقنيين، </w:t>
      </w:r>
      <w:r w:rsidR="009F087C">
        <w:rPr>
          <w:rFonts w:hint="cs"/>
          <w:rtl/>
          <w:lang w:val="fr-CH"/>
        </w:rPr>
        <w:t xml:space="preserve">بأقصى </w:t>
      </w:r>
      <w:r>
        <w:rPr>
          <w:rFonts w:hint="cs"/>
          <w:rtl/>
          <w:lang w:val="fr-CH"/>
        </w:rPr>
        <w:t>ما تسمح به الموارد المتاحة، ب</w:t>
      </w:r>
      <w:r w:rsidR="00A76CA1">
        <w:rPr>
          <w:rFonts w:hint="cs"/>
          <w:rtl/>
          <w:lang w:val="fr-CH"/>
        </w:rPr>
        <w:t xml:space="preserve">غية التوصل </w:t>
      </w:r>
      <w:r>
        <w:rPr>
          <w:rFonts w:hint="cs"/>
          <w:rtl/>
          <w:lang w:val="fr-CH"/>
        </w:rPr>
        <w:t xml:space="preserve">بصورة تدريجية </w:t>
      </w:r>
      <w:r w:rsidR="00A76CA1">
        <w:rPr>
          <w:rFonts w:hint="cs"/>
          <w:rtl/>
          <w:lang w:val="fr-CH"/>
        </w:rPr>
        <w:t xml:space="preserve">إلى الإعمال الكامل </w:t>
      </w:r>
      <w:r>
        <w:rPr>
          <w:rFonts w:hint="cs"/>
          <w:rtl/>
          <w:lang w:val="fr-CH"/>
        </w:rPr>
        <w:t xml:space="preserve">للحق في التعليم بجميع الوسائل الملائمة، </w:t>
      </w:r>
      <w:r w:rsidR="009F087C">
        <w:rPr>
          <w:rFonts w:hint="cs"/>
          <w:rtl/>
          <w:lang w:val="fr-CH"/>
        </w:rPr>
        <w:t xml:space="preserve">ولا سيما باعتماد </w:t>
      </w:r>
      <w:r>
        <w:rPr>
          <w:rFonts w:hint="cs"/>
          <w:rtl/>
          <w:lang w:val="fr-CH"/>
        </w:rPr>
        <w:t>تدابير تشريعية؛</w:t>
      </w:r>
    </w:p>
    <w:p w:rsidR="009621C4" w:rsidRDefault="009621C4" w:rsidP="009F087C">
      <w:pPr>
        <w:pStyle w:val="SingleTxtGA"/>
        <w:rPr>
          <w:rFonts w:hint="cs"/>
          <w:rtl/>
          <w:lang w:val="fr-CH"/>
        </w:rPr>
      </w:pPr>
      <w:r>
        <w:rPr>
          <w:rFonts w:hint="cs"/>
          <w:rtl/>
          <w:lang w:val="fr-CH"/>
        </w:rPr>
        <w:tab/>
        <w:t>6-</w:t>
      </w:r>
      <w:r>
        <w:rPr>
          <w:rFonts w:hint="cs"/>
          <w:rtl/>
          <w:lang w:val="fr-CH"/>
        </w:rPr>
        <w:tab/>
      </w:r>
      <w:r w:rsidRPr="00EA1953">
        <w:rPr>
          <w:rFonts w:hint="cs"/>
          <w:i/>
          <w:iCs/>
          <w:rtl/>
          <w:lang w:val="fr-CH"/>
        </w:rPr>
        <w:t>يدين بشدة</w:t>
      </w:r>
      <w:r>
        <w:rPr>
          <w:rFonts w:hint="cs"/>
          <w:rtl/>
          <w:lang w:val="fr-CH"/>
        </w:rPr>
        <w:t xml:space="preserve"> الاعتداءات، بما في ذلك الاعتداءات الإرهابية، </w:t>
      </w:r>
      <w:r w:rsidR="009F087C">
        <w:rPr>
          <w:rFonts w:hint="cs"/>
          <w:rtl/>
          <w:lang w:val="fr-CH"/>
        </w:rPr>
        <w:t xml:space="preserve">على </w:t>
      </w:r>
      <w:r>
        <w:rPr>
          <w:rFonts w:hint="cs"/>
          <w:rtl/>
          <w:lang w:val="fr-CH"/>
        </w:rPr>
        <w:t xml:space="preserve">المؤسسات التعليمية بصفتها هذه </w:t>
      </w:r>
      <w:r w:rsidR="009F087C">
        <w:rPr>
          <w:rFonts w:hint="cs"/>
          <w:rtl/>
          <w:lang w:val="fr-CH"/>
        </w:rPr>
        <w:t xml:space="preserve">وعلى </w:t>
      </w:r>
      <w:r>
        <w:rPr>
          <w:rFonts w:hint="cs"/>
          <w:rtl/>
          <w:lang w:val="fr-CH"/>
        </w:rPr>
        <w:t xml:space="preserve">طلابها وموظفيها، ويسلّم </w:t>
      </w:r>
      <w:r w:rsidR="009F087C">
        <w:rPr>
          <w:rFonts w:hint="cs"/>
          <w:rtl/>
          <w:lang w:val="fr-CH"/>
        </w:rPr>
        <w:t xml:space="preserve">بالأثر </w:t>
      </w:r>
      <w:r>
        <w:rPr>
          <w:rFonts w:hint="cs"/>
          <w:rtl/>
          <w:lang w:val="fr-CH"/>
        </w:rPr>
        <w:t xml:space="preserve">السلبي الذي يمكن أن </w:t>
      </w:r>
      <w:r w:rsidR="009F087C">
        <w:rPr>
          <w:rFonts w:hint="cs"/>
          <w:rtl/>
          <w:lang w:val="fr-CH"/>
        </w:rPr>
        <w:t xml:space="preserve">تخلّفه </w:t>
      </w:r>
      <w:r>
        <w:rPr>
          <w:rFonts w:hint="cs"/>
          <w:rtl/>
          <w:lang w:val="fr-CH"/>
        </w:rPr>
        <w:t xml:space="preserve">هذه الاعتداءات </w:t>
      </w:r>
      <w:r w:rsidR="009F087C">
        <w:rPr>
          <w:rFonts w:hint="cs"/>
          <w:rtl/>
          <w:lang w:val="fr-CH"/>
        </w:rPr>
        <w:t xml:space="preserve">على إعمال </w:t>
      </w:r>
      <w:r>
        <w:rPr>
          <w:rFonts w:hint="cs"/>
          <w:rtl/>
          <w:lang w:val="fr-CH"/>
        </w:rPr>
        <w:t>الحق في التعليم، وخاصة حق البنات في التعليم؛</w:t>
      </w:r>
    </w:p>
    <w:p w:rsidR="009621C4" w:rsidRDefault="009621C4" w:rsidP="005D2717">
      <w:pPr>
        <w:pStyle w:val="SingleTxtGA"/>
        <w:rPr>
          <w:rFonts w:hint="cs"/>
          <w:rtl/>
          <w:lang w:val="fr-CH"/>
        </w:rPr>
      </w:pPr>
      <w:r>
        <w:rPr>
          <w:rFonts w:hint="cs"/>
          <w:rtl/>
          <w:lang w:val="fr-CH"/>
        </w:rPr>
        <w:tab/>
        <w:t>7-</w:t>
      </w:r>
      <w:r>
        <w:rPr>
          <w:rFonts w:hint="cs"/>
          <w:rtl/>
          <w:lang w:val="fr-CH"/>
        </w:rPr>
        <w:tab/>
      </w:r>
      <w:r w:rsidRPr="00435876">
        <w:rPr>
          <w:rFonts w:hint="cs"/>
          <w:i/>
          <w:iCs/>
          <w:rtl/>
          <w:lang w:val="fr-CH"/>
        </w:rPr>
        <w:t>يُسلّم</w:t>
      </w:r>
      <w:r>
        <w:rPr>
          <w:rFonts w:hint="cs"/>
          <w:rtl/>
          <w:lang w:val="fr-CH"/>
        </w:rPr>
        <w:t xml:space="preserve"> بأهمية الجهود المبذولة من أجل إعداد مبادئ توجيهية </w:t>
      </w:r>
      <w:r w:rsidR="005D2717">
        <w:rPr>
          <w:rFonts w:hint="cs"/>
          <w:rtl/>
          <w:lang w:val="fr-CH"/>
        </w:rPr>
        <w:t>ل</w:t>
      </w:r>
      <w:r>
        <w:rPr>
          <w:rFonts w:hint="cs"/>
          <w:rtl/>
          <w:lang w:val="fr-CH"/>
        </w:rPr>
        <w:t>حماية المدارس والجامعات من استعمالها لأغراض عسكرية أثناء النزاعات المسلحة؛</w:t>
      </w:r>
    </w:p>
    <w:p w:rsidR="009621C4" w:rsidRDefault="009621C4" w:rsidP="005D2717">
      <w:pPr>
        <w:pStyle w:val="SingleTxtGA"/>
        <w:rPr>
          <w:rFonts w:hint="cs"/>
          <w:rtl/>
          <w:lang w:val="fr-CH"/>
        </w:rPr>
      </w:pPr>
      <w:r>
        <w:rPr>
          <w:rFonts w:hint="cs"/>
          <w:rtl/>
          <w:lang w:val="fr-CH"/>
        </w:rPr>
        <w:tab/>
        <w:t>8-</w:t>
      </w:r>
      <w:r>
        <w:rPr>
          <w:rFonts w:hint="cs"/>
          <w:rtl/>
          <w:lang w:val="fr-CH"/>
        </w:rPr>
        <w:tab/>
      </w:r>
      <w:r w:rsidRPr="00305CDD">
        <w:rPr>
          <w:rFonts w:hint="cs"/>
          <w:i/>
          <w:iCs/>
          <w:rtl/>
          <w:lang w:val="fr-CH"/>
        </w:rPr>
        <w:t>يقرر</w:t>
      </w:r>
      <w:r>
        <w:rPr>
          <w:rFonts w:hint="cs"/>
          <w:rtl/>
          <w:lang w:val="fr-CH"/>
        </w:rPr>
        <w:t xml:space="preserve"> </w:t>
      </w:r>
      <w:r w:rsidR="005D2717">
        <w:rPr>
          <w:rFonts w:hint="cs"/>
          <w:rtl/>
          <w:lang w:val="fr-CH"/>
        </w:rPr>
        <w:t xml:space="preserve">أن يمدّد لفترة ثلاث سنوات </w:t>
      </w:r>
      <w:r>
        <w:rPr>
          <w:rFonts w:hint="cs"/>
          <w:rtl/>
          <w:lang w:val="fr-CH"/>
        </w:rPr>
        <w:t>ولاية المقرر الخاص</w:t>
      </w:r>
      <w:r w:rsidRPr="00995B74">
        <w:rPr>
          <w:rFonts w:hint="cs"/>
          <w:rtl/>
          <w:lang w:val="fr-CH"/>
        </w:rPr>
        <w:t xml:space="preserve"> </w:t>
      </w:r>
      <w:r>
        <w:rPr>
          <w:rFonts w:hint="cs"/>
          <w:rtl/>
          <w:lang w:val="fr-CH"/>
        </w:rPr>
        <w:t>المعني بالحق في التعليم</w:t>
      </w:r>
      <w:r w:rsidR="005D2717">
        <w:rPr>
          <w:rFonts w:hint="cs"/>
          <w:rtl/>
          <w:lang w:val="fr-CH"/>
        </w:rPr>
        <w:t>؛</w:t>
      </w:r>
    </w:p>
    <w:p w:rsidR="009621C4" w:rsidRDefault="009621C4" w:rsidP="005D2717">
      <w:pPr>
        <w:pStyle w:val="SingleTxtGA"/>
        <w:rPr>
          <w:rFonts w:hint="cs"/>
          <w:rtl/>
          <w:lang w:val="fr-CH"/>
        </w:rPr>
      </w:pPr>
      <w:r>
        <w:rPr>
          <w:rFonts w:hint="cs"/>
          <w:rtl/>
          <w:lang w:val="fr-CH"/>
        </w:rPr>
        <w:tab/>
        <w:t>9-</w:t>
      </w:r>
      <w:r>
        <w:rPr>
          <w:rFonts w:hint="cs"/>
          <w:rtl/>
          <w:lang w:val="fr-CH"/>
        </w:rPr>
        <w:tab/>
      </w:r>
      <w:r w:rsidRPr="00305CDD">
        <w:rPr>
          <w:rFonts w:hint="cs"/>
          <w:i/>
          <w:iCs/>
          <w:rtl/>
          <w:lang w:val="fr-CH"/>
        </w:rPr>
        <w:t xml:space="preserve">يطلب </w:t>
      </w:r>
      <w:r w:rsidRPr="009621C4">
        <w:rPr>
          <w:rFonts w:hint="cs"/>
          <w:rtl/>
          <w:lang w:val="fr-CH"/>
        </w:rPr>
        <w:t>إلى</w:t>
      </w:r>
      <w:r>
        <w:rPr>
          <w:rFonts w:hint="cs"/>
          <w:rtl/>
          <w:lang w:val="fr-CH"/>
        </w:rPr>
        <w:t xml:space="preserve"> المقرر الخاص أن </w:t>
      </w:r>
      <w:r w:rsidR="005D2717">
        <w:rPr>
          <w:rFonts w:hint="cs"/>
          <w:rtl/>
          <w:lang w:val="fr-CH"/>
        </w:rPr>
        <w:t xml:space="preserve">يضع في اعتباره بالكامل لدى الاضطلاع بولايته، </w:t>
      </w:r>
      <w:r>
        <w:rPr>
          <w:rFonts w:hint="cs"/>
          <w:rtl/>
          <w:lang w:val="fr-CH"/>
        </w:rPr>
        <w:t>جميع أحكام قرارات مجلس حقوق الإنسان المتعلقة بالحق في التعليم؛</w:t>
      </w:r>
    </w:p>
    <w:p w:rsidR="009621C4" w:rsidRDefault="009621C4" w:rsidP="005D2717">
      <w:pPr>
        <w:pStyle w:val="SingleTxtGA"/>
        <w:rPr>
          <w:rFonts w:hint="cs"/>
          <w:rtl/>
          <w:lang w:val="fr-CH"/>
        </w:rPr>
      </w:pPr>
      <w:r>
        <w:rPr>
          <w:rFonts w:hint="cs"/>
          <w:rtl/>
          <w:lang w:val="fr-CH"/>
        </w:rPr>
        <w:tab/>
        <w:t>10-</w:t>
      </w:r>
      <w:r>
        <w:rPr>
          <w:rFonts w:hint="cs"/>
          <w:rtl/>
          <w:lang w:val="fr-CH"/>
        </w:rPr>
        <w:tab/>
      </w:r>
      <w:r w:rsidRPr="00305CDD">
        <w:rPr>
          <w:rFonts w:hint="cs"/>
          <w:i/>
          <w:iCs/>
          <w:rtl/>
          <w:lang w:val="fr-CH"/>
        </w:rPr>
        <w:t xml:space="preserve">يطلب </w:t>
      </w:r>
      <w:r w:rsidRPr="009621C4">
        <w:rPr>
          <w:rFonts w:hint="cs"/>
          <w:rtl/>
          <w:lang w:val="fr-CH"/>
        </w:rPr>
        <w:t>إلى</w:t>
      </w:r>
      <w:r>
        <w:rPr>
          <w:rFonts w:hint="cs"/>
          <w:rtl/>
          <w:lang w:val="fr-CH"/>
        </w:rPr>
        <w:t xml:space="preserve"> جميع الدول </w:t>
      </w:r>
      <w:r w:rsidR="005D2717">
        <w:rPr>
          <w:rFonts w:hint="cs"/>
          <w:rtl/>
          <w:lang w:val="fr-CH"/>
        </w:rPr>
        <w:t xml:space="preserve">مواصلة التعاون مع المقرر الخاص لتيسير </w:t>
      </w:r>
      <w:r>
        <w:rPr>
          <w:rFonts w:hint="cs"/>
          <w:rtl/>
          <w:lang w:val="fr-CH"/>
        </w:rPr>
        <w:t xml:space="preserve">أدائه لمهامه في سياق </w:t>
      </w:r>
      <w:r w:rsidR="005D2717">
        <w:rPr>
          <w:rFonts w:hint="cs"/>
          <w:rtl/>
          <w:lang w:val="fr-CH"/>
        </w:rPr>
        <w:t xml:space="preserve">الاضطلاع </w:t>
      </w:r>
      <w:r>
        <w:rPr>
          <w:rFonts w:hint="cs"/>
          <w:rtl/>
          <w:lang w:val="fr-CH"/>
        </w:rPr>
        <w:t>بولايته، ومواصلة الاستجابة لطلباته المتعلقة بالحصول على معلومات وبزيارة بلدانها؛</w:t>
      </w:r>
    </w:p>
    <w:p w:rsidR="009621C4" w:rsidRDefault="009621C4" w:rsidP="00E12101">
      <w:pPr>
        <w:pStyle w:val="SingleTxtGA"/>
        <w:rPr>
          <w:rFonts w:hint="cs"/>
          <w:rtl/>
          <w:lang w:val="fr-CH"/>
        </w:rPr>
      </w:pPr>
      <w:r>
        <w:rPr>
          <w:rFonts w:hint="cs"/>
          <w:rtl/>
          <w:lang w:val="fr-CH"/>
        </w:rPr>
        <w:tab/>
        <w:t>11-</w:t>
      </w:r>
      <w:r>
        <w:rPr>
          <w:rFonts w:hint="cs"/>
          <w:rtl/>
          <w:lang w:val="fr-CH"/>
        </w:rPr>
        <w:tab/>
      </w:r>
      <w:r w:rsidRPr="00305CDD">
        <w:rPr>
          <w:rFonts w:hint="cs"/>
          <w:i/>
          <w:iCs/>
          <w:rtl/>
          <w:lang w:val="fr-CH"/>
        </w:rPr>
        <w:t xml:space="preserve">يطلب </w:t>
      </w:r>
      <w:r w:rsidRPr="009621C4">
        <w:rPr>
          <w:rFonts w:hint="cs"/>
          <w:rtl/>
          <w:lang w:val="fr-CH"/>
        </w:rPr>
        <w:t>إلى</w:t>
      </w:r>
      <w:r>
        <w:rPr>
          <w:rFonts w:hint="cs"/>
          <w:rtl/>
          <w:lang w:val="fr-CH"/>
        </w:rPr>
        <w:t xml:space="preserve"> الأمين العام وإلى المفوضة السامية تزويد المقرر الخاص بكل ما</w:t>
      </w:r>
      <w:r w:rsidR="00E12101">
        <w:rPr>
          <w:rFonts w:hint="eastAsia"/>
          <w:rtl/>
          <w:lang w:val="fr-CH"/>
        </w:rPr>
        <w:t> </w:t>
      </w:r>
      <w:r>
        <w:rPr>
          <w:rFonts w:hint="cs"/>
          <w:rtl/>
          <w:lang w:val="fr-CH"/>
        </w:rPr>
        <w:t>يلزم من موارد بشرية ومالية للاضطلاع بولايته على نحو فعال؛</w:t>
      </w:r>
    </w:p>
    <w:p w:rsidR="009621C4" w:rsidRDefault="009621C4" w:rsidP="005D2717">
      <w:pPr>
        <w:pStyle w:val="SingleTxtGA"/>
        <w:rPr>
          <w:rFonts w:hint="cs"/>
          <w:rtl/>
        </w:rPr>
      </w:pPr>
      <w:r>
        <w:rPr>
          <w:rFonts w:hint="cs"/>
          <w:rtl/>
          <w:lang w:val="fr-CH"/>
        </w:rPr>
        <w:tab/>
        <w:t>12-</w:t>
      </w:r>
      <w:r>
        <w:rPr>
          <w:rFonts w:hint="cs"/>
          <w:rtl/>
          <w:lang w:val="fr-CH"/>
        </w:rPr>
        <w:tab/>
      </w:r>
      <w:r w:rsidRPr="009621C4">
        <w:rPr>
          <w:rFonts w:hint="cs"/>
          <w:i/>
          <w:iCs/>
          <w:rtl/>
        </w:rPr>
        <w:t>يشجّع</w:t>
      </w:r>
      <w:r>
        <w:rPr>
          <w:rFonts w:hint="cs"/>
          <w:rtl/>
        </w:rPr>
        <w:t xml:space="preserve"> المفوضية السامية وهيئات المعاهدات والإجراءات الخاصة لمجلس حقوق الإنسان وهيئات وآليات الأمم المتحدة الأخرى ذات الصلة، و</w:t>
      </w:r>
      <w:r w:rsidR="005D2717">
        <w:rPr>
          <w:rFonts w:hint="cs"/>
          <w:rtl/>
        </w:rPr>
        <w:t xml:space="preserve">وكالاتها المتخصصة وبرامجها، </w:t>
      </w:r>
      <w:r>
        <w:rPr>
          <w:rFonts w:hint="cs"/>
          <w:rtl/>
        </w:rPr>
        <w:t>في حدود ولاية كل منها، على مواصلة بذل جهودها الرامية إلى تعزيز إعمال الحق في التعليم على نطاق العالم وعلى تحسين التعاون فيما بينها في هذا الصدد بوسائل منها زيادة تقديم المساعدة التقنية إلى الحكومات؛</w:t>
      </w:r>
    </w:p>
    <w:p w:rsidR="009621C4" w:rsidRDefault="009621C4" w:rsidP="005D2717">
      <w:pPr>
        <w:pStyle w:val="SingleTxtGA"/>
        <w:rPr>
          <w:rFonts w:hint="cs"/>
          <w:rtl/>
        </w:rPr>
      </w:pPr>
      <w:r>
        <w:rPr>
          <w:rFonts w:hint="cs"/>
          <w:rtl/>
        </w:rPr>
        <w:tab/>
        <w:t>13-</w:t>
      </w:r>
      <w:r>
        <w:rPr>
          <w:rFonts w:hint="cs"/>
          <w:rtl/>
        </w:rPr>
        <w:tab/>
      </w:r>
      <w:r w:rsidRPr="00D10DBA">
        <w:rPr>
          <w:rFonts w:hint="cs"/>
          <w:i/>
          <w:iCs/>
          <w:rtl/>
        </w:rPr>
        <w:t>يشدد</w:t>
      </w:r>
      <w:r>
        <w:rPr>
          <w:rFonts w:hint="cs"/>
          <w:rtl/>
        </w:rPr>
        <w:t xml:space="preserve"> على أهمية إسهام المؤسسات الوطنية لحقوق الإنسان والمجتمع المدني</w:t>
      </w:r>
      <w:r w:rsidR="005D2717">
        <w:rPr>
          <w:rFonts w:hint="cs"/>
          <w:rtl/>
        </w:rPr>
        <w:t xml:space="preserve">، </w:t>
      </w:r>
      <w:r>
        <w:rPr>
          <w:rFonts w:hint="cs"/>
          <w:rtl/>
        </w:rPr>
        <w:t>بما في ذلك المنظمات غير الحكومية</w:t>
      </w:r>
      <w:r w:rsidR="005D2717">
        <w:rPr>
          <w:rFonts w:hint="cs"/>
          <w:rtl/>
        </w:rPr>
        <w:t xml:space="preserve">، </w:t>
      </w:r>
      <w:r>
        <w:rPr>
          <w:rFonts w:hint="cs"/>
          <w:rtl/>
        </w:rPr>
        <w:t>والبرلمانيين في إعمال الحق في التعليم، بما في ذلك إعماله عن طريق التعاون مع المقرر الخاص المعني بالحق في التعليم؛</w:t>
      </w:r>
    </w:p>
    <w:p w:rsidR="009621C4" w:rsidRDefault="009621C4" w:rsidP="009621C4">
      <w:pPr>
        <w:pStyle w:val="SingleTxtGA"/>
        <w:rPr>
          <w:rFonts w:hint="cs"/>
          <w:rtl/>
          <w:lang/>
        </w:rPr>
      </w:pPr>
      <w:r>
        <w:rPr>
          <w:rFonts w:hint="cs"/>
          <w:rtl/>
        </w:rPr>
        <w:tab/>
        <w:t>14-</w:t>
      </w:r>
      <w:r>
        <w:rPr>
          <w:rFonts w:hint="cs"/>
          <w:rtl/>
        </w:rPr>
        <w:tab/>
      </w:r>
      <w:r w:rsidRPr="00D10DBA">
        <w:rPr>
          <w:rFonts w:hint="cs"/>
          <w:i/>
          <w:iCs/>
          <w:rtl/>
        </w:rPr>
        <w:t>يقرر</w:t>
      </w:r>
      <w:r>
        <w:rPr>
          <w:rFonts w:hint="cs"/>
          <w:rtl/>
        </w:rPr>
        <w:t xml:space="preserve"> </w:t>
      </w:r>
      <w:r>
        <w:rPr>
          <w:rFonts w:hint="cs"/>
          <w:rtl/>
          <w:lang/>
        </w:rPr>
        <w:t>إبقاء هذه المسألة قيد نظره.</w:t>
      </w:r>
    </w:p>
    <w:p w:rsidR="005D2717" w:rsidRPr="005D2717" w:rsidRDefault="005D2717" w:rsidP="005D2717">
      <w:pPr>
        <w:pStyle w:val="SingleTxtGA"/>
        <w:spacing w:after="0"/>
        <w:jc w:val="right"/>
        <w:rPr>
          <w:rFonts w:hint="cs"/>
          <w:i/>
          <w:iCs/>
          <w:rtl/>
          <w:lang/>
        </w:rPr>
      </w:pPr>
      <w:r w:rsidRPr="005D2717">
        <w:rPr>
          <w:rFonts w:hint="cs"/>
          <w:i/>
          <w:iCs/>
          <w:rtl/>
          <w:lang/>
        </w:rPr>
        <w:t>الجلسة 38</w:t>
      </w:r>
    </w:p>
    <w:p w:rsidR="005D2717" w:rsidRDefault="005D2717" w:rsidP="005D2717">
      <w:pPr>
        <w:pStyle w:val="SingleTxtGA"/>
        <w:jc w:val="right"/>
        <w:rPr>
          <w:rFonts w:hint="cs"/>
          <w:i/>
          <w:iCs/>
          <w:rtl/>
          <w:lang/>
        </w:rPr>
      </w:pPr>
      <w:r w:rsidRPr="005D2717">
        <w:rPr>
          <w:rFonts w:hint="cs"/>
          <w:i/>
          <w:iCs/>
          <w:rtl/>
          <w:lang/>
        </w:rPr>
        <w:t xml:space="preserve">26 </w:t>
      </w:r>
      <w:r w:rsidRPr="005D2717">
        <w:rPr>
          <w:rFonts w:hint="cs"/>
          <w:i/>
          <w:iCs/>
          <w:sz w:val="30"/>
          <w:rtl/>
          <w:lang/>
        </w:rPr>
        <w:t xml:space="preserve">حزيران/يونيه </w:t>
      </w:r>
      <w:r w:rsidRPr="005D2717">
        <w:rPr>
          <w:rFonts w:hint="cs"/>
          <w:i/>
          <w:iCs/>
          <w:rtl/>
          <w:lang/>
        </w:rPr>
        <w:t>2014</w:t>
      </w:r>
    </w:p>
    <w:p w:rsidR="005D2717" w:rsidRDefault="005D2717" w:rsidP="005D2717">
      <w:pPr>
        <w:pStyle w:val="SingleTxtGA"/>
        <w:rPr>
          <w:rFonts w:hint="cs"/>
          <w:rtl/>
          <w:lang/>
        </w:rPr>
      </w:pPr>
      <w:r>
        <w:rPr>
          <w:rFonts w:hint="cs"/>
          <w:rtl/>
          <w:lang/>
        </w:rPr>
        <w:t>[اعتُمد دون تصويت.]</w:t>
      </w:r>
    </w:p>
    <w:p w:rsidR="005D2717" w:rsidRDefault="005D2717" w:rsidP="005D2717">
      <w:pPr>
        <w:spacing w:before="120"/>
        <w:jc w:val="center"/>
        <w:rPr>
          <w:rFonts w:hint="cs"/>
          <w:u w:val="single"/>
          <w:rtl/>
          <w:lang/>
        </w:rPr>
      </w:pPr>
      <w:r>
        <w:rPr>
          <w:u w:val="single"/>
          <w:rtl/>
          <w:lang/>
        </w:rPr>
        <w:tab/>
      </w:r>
      <w:r>
        <w:rPr>
          <w:u w:val="single"/>
          <w:rtl/>
          <w:lang/>
        </w:rPr>
        <w:tab/>
      </w:r>
      <w:r>
        <w:rPr>
          <w:u w:val="single"/>
          <w:rtl/>
          <w:lang/>
        </w:rPr>
        <w:tab/>
      </w:r>
    </w:p>
    <w:p w:rsidR="005D2717" w:rsidRDefault="005D2717" w:rsidP="005D2717">
      <w:pPr>
        <w:spacing w:before="120"/>
        <w:jc w:val="both"/>
        <w:rPr>
          <w:rFonts w:hint="cs"/>
          <w:u w:val="single"/>
          <w:rtl/>
          <w:lang/>
        </w:rPr>
      </w:pPr>
    </w:p>
    <w:p w:rsidR="005D2717" w:rsidRPr="005D2717" w:rsidRDefault="005D2717" w:rsidP="005D2717">
      <w:pPr>
        <w:spacing w:before="120"/>
        <w:jc w:val="both"/>
        <w:rPr>
          <w:rFonts w:hint="cs"/>
          <w:u w:val="single"/>
          <w:rtl/>
          <w:lang/>
        </w:rPr>
      </w:pPr>
    </w:p>
    <w:sectPr w:rsidR="005D2717" w:rsidRPr="005D2717" w:rsidSect="009621C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21" w:rsidRPr="00FE6865" w:rsidRDefault="00CF5D21" w:rsidP="00FE6865">
      <w:pPr>
        <w:pStyle w:val="Footer"/>
      </w:pPr>
    </w:p>
  </w:endnote>
  <w:endnote w:type="continuationSeparator" w:id="0">
    <w:p w:rsidR="00CF5D21" w:rsidRDefault="00CF5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Pr="009621C4" w:rsidRDefault="00CF5D21" w:rsidP="00A76CA1">
    <w:pPr>
      <w:pStyle w:val="Footer"/>
      <w:tabs>
        <w:tab w:val="right" w:pos="9598"/>
      </w:tabs>
    </w:pPr>
    <w:r>
      <w:t>GE.14-08118</w:t>
    </w:r>
    <w:r>
      <w:rPr>
        <w:b/>
        <w:sz w:val="18"/>
      </w:rPr>
      <w:tab/>
    </w:r>
    <w:r w:rsidRPr="009621C4">
      <w:rPr>
        <w:b/>
        <w:sz w:val="18"/>
      </w:rPr>
      <w:fldChar w:fldCharType="begin"/>
    </w:r>
    <w:r w:rsidRPr="009621C4">
      <w:rPr>
        <w:b/>
        <w:sz w:val="18"/>
      </w:rPr>
      <w:instrText xml:space="preserve"> PAGE  \* MERGEFORMAT </w:instrText>
    </w:r>
    <w:r w:rsidRPr="009621C4">
      <w:rPr>
        <w:b/>
        <w:sz w:val="18"/>
      </w:rPr>
      <w:fldChar w:fldCharType="separate"/>
    </w:r>
    <w:r>
      <w:rPr>
        <w:b/>
        <w:noProof/>
        <w:sz w:val="18"/>
      </w:rPr>
      <w:t>4</w:t>
    </w:r>
    <w:r w:rsidRPr="009621C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Pr="009621C4" w:rsidRDefault="00CF5D21" w:rsidP="00A76CA1">
    <w:pPr>
      <w:pStyle w:val="Footer"/>
      <w:tabs>
        <w:tab w:val="right" w:pos="9598"/>
      </w:tabs>
      <w:rPr>
        <w:b/>
        <w:sz w:val="18"/>
      </w:rPr>
    </w:pPr>
    <w:r w:rsidRPr="009621C4">
      <w:rPr>
        <w:b/>
        <w:sz w:val="18"/>
      </w:rPr>
      <w:fldChar w:fldCharType="begin"/>
    </w:r>
    <w:r w:rsidRPr="009621C4">
      <w:rPr>
        <w:b/>
        <w:sz w:val="18"/>
      </w:rPr>
      <w:instrText xml:space="preserve"> PAGE  \* MERGEFORMAT </w:instrText>
    </w:r>
    <w:r w:rsidRPr="009621C4">
      <w:rPr>
        <w:b/>
        <w:sz w:val="18"/>
      </w:rPr>
      <w:fldChar w:fldCharType="separate"/>
    </w:r>
    <w:r>
      <w:rPr>
        <w:b/>
        <w:noProof/>
        <w:sz w:val="18"/>
      </w:rPr>
      <w:t>3</w:t>
    </w:r>
    <w:r w:rsidRPr="009621C4">
      <w:rPr>
        <w:b/>
        <w:sz w:val="18"/>
      </w:rPr>
      <w:fldChar w:fldCharType="end"/>
    </w:r>
    <w:r>
      <w:rPr>
        <w:b/>
        <w:sz w:val="18"/>
      </w:rPr>
      <w:tab/>
    </w:r>
    <w:r>
      <w:t>GE.14-08118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Default="00CF5D21" w:rsidP="0035328B">
    <w:pPr>
      <w:pStyle w:val="Footer"/>
      <w:jc w:val="right"/>
      <w:rPr>
        <w:rFonts w:hint="cs"/>
      </w:rPr>
    </w:pPr>
    <w:r>
      <w:rPr>
        <w:sz w:val="20"/>
      </w:rPr>
      <w:t>(A)   GE.14-08118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290814    290814</w:t>
    </w:r>
    <w:r>
      <w:br/>
    </w:r>
    <w:r w:rsidRPr="0035328B">
      <w:rPr>
        <w:rFonts w:ascii="C39T30Lfz" w:hAnsi="C39T30Lfz"/>
        <w:sz w:val="56"/>
      </w:rPr>
      <w:t></w:t>
    </w:r>
    <w:r w:rsidRPr="0035328B">
      <w:rPr>
        <w:rFonts w:ascii="C39T30Lfz" w:hAnsi="C39T30Lfz"/>
        <w:sz w:val="56"/>
      </w:rPr>
      <w:t></w:t>
    </w:r>
    <w:r w:rsidRPr="0035328B">
      <w:rPr>
        <w:rFonts w:ascii="C39T30Lfz" w:hAnsi="C39T30Lfz"/>
        <w:sz w:val="56"/>
      </w:rPr>
      <w:t></w:t>
    </w:r>
    <w:r w:rsidRPr="0035328B">
      <w:rPr>
        <w:rFonts w:ascii="C39T30Lfz" w:hAnsi="C39T30Lfz"/>
        <w:sz w:val="56"/>
      </w:rPr>
      <w:t></w:t>
    </w:r>
    <w:r w:rsidRPr="0035328B">
      <w:rPr>
        <w:rFonts w:ascii="C39T30Lfz" w:hAnsi="C39T30Lfz"/>
        <w:sz w:val="56"/>
      </w:rPr>
      <w:t></w:t>
    </w:r>
    <w:r w:rsidRPr="0035328B">
      <w:rPr>
        <w:rFonts w:ascii="C39T30Lfz" w:hAnsi="C39T30Lfz"/>
        <w:sz w:val="56"/>
      </w:rPr>
      <w:t></w:t>
    </w:r>
    <w:r w:rsidRPr="0035328B">
      <w:rPr>
        <w:rFonts w:ascii="C39T30Lfz" w:hAnsi="C39T30Lfz"/>
        <w:sz w:val="56"/>
      </w:rPr>
      <w:t></w:t>
    </w:r>
    <w:r w:rsidRPr="0035328B">
      <w:rPr>
        <w:rFonts w:ascii="C39T30Lfz" w:hAnsi="C39T30Lfz"/>
        <w:sz w:val="56"/>
      </w:rPr>
      <w:t></w:t>
    </w:r>
    <w:r w:rsidRPr="0035328B">
      <w:rPr>
        <w:rFonts w:ascii="C39T30Lfz" w:hAnsi="C39T30Lfz"/>
        <w:sz w:val="56"/>
      </w:rPr>
      <w:t></w:t>
    </w:r>
    <w:r>
      <w:rPr>
        <w:rFonts w:ascii="C39T30Lfz" w:hAnsi="C39T30Lfz"/>
        <w:sz w:val="56"/>
      </w:rPr>
      <w:tab/>
    </w:r>
    <w:r>
      <w:rPr>
        <w:rFonts w:hint="cs"/>
        <w:noProof/>
        <w:lang w:val="en-US"/>
      </w:rPr>
      <w:pict>
        <v:shape id="_x0000_s2052" type="#_x0000_t75" style="position:absolute;left:0;text-align:left;margin-left:.05pt;margin-top:0;width:50.25pt;height:50.25pt;z-index:2;mso-position-horizontal-relative:text;mso-position-vertical-relative:text" o:allowincell="f">
          <v:imagedata r:id="rId2" o:title="17&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21" w:rsidRPr="00FB6D02" w:rsidRDefault="00CF5D21" w:rsidP="00FB6D02">
      <w:pPr>
        <w:spacing w:after="80" w:line="200" w:lineRule="exact"/>
        <w:ind w:left="680"/>
        <w:rPr>
          <w:sz w:val="12"/>
          <w:szCs w:val="22"/>
        </w:rPr>
      </w:pPr>
      <w:r w:rsidRPr="00FB6D02">
        <w:rPr>
          <w:sz w:val="8"/>
          <w:szCs w:val="22"/>
          <w:rtl/>
        </w:rPr>
        <w:t>__________</w:t>
      </w:r>
    </w:p>
  </w:footnote>
  <w:footnote w:type="continuationSeparator" w:id="0">
    <w:p w:rsidR="00CF5D21" w:rsidRDefault="00CF5D21" w:rsidP="00444AA6">
      <w:pPr>
        <w:pStyle w:val="Footer"/>
        <w:bidi/>
        <w:spacing w:after="80" w:line="200" w:lineRule="exact"/>
        <w:ind w:left="680"/>
      </w:pPr>
      <w:r>
        <w:rPr>
          <w:rFonts w:hint="cs"/>
          <w:rtl/>
        </w:rPr>
        <w:t>__________</w:t>
      </w:r>
    </w:p>
  </w:footnote>
  <w:footnote w:id="1">
    <w:p w:rsidR="00CF5D21" w:rsidRDefault="00CF5D21" w:rsidP="00E12101">
      <w:pPr>
        <w:pStyle w:val="FootnoteText"/>
        <w:numPr>
          <w:ilvl w:val="0"/>
          <w:numId w:val="37"/>
        </w:numPr>
        <w:tabs>
          <w:tab w:val="clear" w:pos="1292"/>
          <w:tab w:val="left" w:pos="1239"/>
        </w:tabs>
        <w:spacing w:after="60" w:line="300" w:lineRule="exact"/>
        <w:ind w:left="1247" w:right="1247"/>
        <w:rPr>
          <w:rFonts w:hint="cs"/>
        </w:rPr>
      </w:pPr>
      <w:r w:rsidRPr="00E12101">
        <w:t>A/HRC/26/27</w:t>
      </w:r>
      <w:r w:rsidRPr="00E12101">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Pr="009621C4" w:rsidRDefault="00CF5D21" w:rsidP="00A76CA1">
    <w:pPr>
      <w:pStyle w:val="Header"/>
      <w:jc w:val="right"/>
    </w:pPr>
    <w:r w:rsidRPr="009621C4">
      <w:t>A/HRC/</w:t>
    </w:r>
    <w:r>
      <w:t>RES/26/17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Pr="009621C4" w:rsidRDefault="00CF5D21" w:rsidP="00A76CA1">
    <w:pPr>
      <w:pStyle w:val="Header"/>
      <w:jc w:val="left"/>
    </w:pPr>
    <w:r w:rsidRPr="009621C4">
      <w:t>A/HRC/</w:t>
    </w:r>
    <w:r>
      <w:t>RES/26/17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DF35D9"/>
    <w:multiLevelType w:val="hybridMultilevel"/>
    <w:tmpl w:val="E104F4DE"/>
    <w:lvl w:ilvl="0" w:tplc="8486ACF0">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B2B"/>
    <w:rsid w:val="00040E25"/>
    <w:rsid w:val="000418FE"/>
    <w:rsid w:val="00042149"/>
    <w:rsid w:val="000648EA"/>
    <w:rsid w:val="000957C8"/>
    <w:rsid w:val="000B52F2"/>
    <w:rsid w:val="000D0EAE"/>
    <w:rsid w:val="000D5380"/>
    <w:rsid w:val="000D6654"/>
    <w:rsid w:val="000E78AC"/>
    <w:rsid w:val="000F0264"/>
    <w:rsid w:val="000F2EBF"/>
    <w:rsid w:val="000F5FF6"/>
    <w:rsid w:val="0011203F"/>
    <w:rsid w:val="00113FA5"/>
    <w:rsid w:val="001455A0"/>
    <w:rsid w:val="001602A3"/>
    <w:rsid w:val="001A5161"/>
    <w:rsid w:val="001A60BD"/>
    <w:rsid w:val="0022753A"/>
    <w:rsid w:val="0023736D"/>
    <w:rsid w:val="00257225"/>
    <w:rsid w:val="00275860"/>
    <w:rsid w:val="00310160"/>
    <w:rsid w:val="00341A8C"/>
    <w:rsid w:val="003519E6"/>
    <w:rsid w:val="0035328B"/>
    <w:rsid w:val="003B4356"/>
    <w:rsid w:val="003D5D43"/>
    <w:rsid w:val="003F08A8"/>
    <w:rsid w:val="00422710"/>
    <w:rsid w:val="004250E3"/>
    <w:rsid w:val="00444AA6"/>
    <w:rsid w:val="00472A81"/>
    <w:rsid w:val="004B2C92"/>
    <w:rsid w:val="004C4A08"/>
    <w:rsid w:val="004D6A3A"/>
    <w:rsid w:val="004D7B2B"/>
    <w:rsid w:val="004F4AD7"/>
    <w:rsid w:val="005449D8"/>
    <w:rsid w:val="00557CD3"/>
    <w:rsid w:val="00571432"/>
    <w:rsid w:val="005732A2"/>
    <w:rsid w:val="005762A5"/>
    <w:rsid w:val="00590BA3"/>
    <w:rsid w:val="005A1A9A"/>
    <w:rsid w:val="005B7AE0"/>
    <w:rsid w:val="005D2717"/>
    <w:rsid w:val="005E1B20"/>
    <w:rsid w:val="005F11C6"/>
    <w:rsid w:val="005F146F"/>
    <w:rsid w:val="005F3A09"/>
    <w:rsid w:val="005F5C06"/>
    <w:rsid w:val="005F71B6"/>
    <w:rsid w:val="00660FD4"/>
    <w:rsid w:val="006A4425"/>
    <w:rsid w:val="006B4669"/>
    <w:rsid w:val="006C768B"/>
    <w:rsid w:val="006E3473"/>
    <w:rsid w:val="006F6BF8"/>
    <w:rsid w:val="00707BDF"/>
    <w:rsid w:val="00710727"/>
    <w:rsid w:val="00710DA1"/>
    <w:rsid w:val="00715F45"/>
    <w:rsid w:val="00731B84"/>
    <w:rsid w:val="00734AE7"/>
    <w:rsid w:val="00784211"/>
    <w:rsid w:val="00786B69"/>
    <w:rsid w:val="007B441C"/>
    <w:rsid w:val="007B599E"/>
    <w:rsid w:val="007E197F"/>
    <w:rsid w:val="007F68C4"/>
    <w:rsid w:val="008153DE"/>
    <w:rsid w:val="00852A10"/>
    <w:rsid w:val="00862634"/>
    <w:rsid w:val="00866C59"/>
    <w:rsid w:val="00877306"/>
    <w:rsid w:val="00887B5C"/>
    <w:rsid w:val="008A2F81"/>
    <w:rsid w:val="008A6242"/>
    <w:rsid w:val="008B4BC6"/>
    <w:rsid w:val="00901E57"/>
    <w:rsid w:val="00935F0E"/>
    <w:rsid w:val="0095208F"/>
    <w:rsid w:val="009621C4"/>
    <w:rsid w:val="00977B3F"/>
    <w:rsid w:val="009814AE"/>
    <w:rsid w:val="00981853"/>
    <w:rsid w:val="00983870"/>
    <w:rsid w:val="009858CC"/>
    <w:rsid w:val="00994B89"/>
    <w:rsid w:val="00996BBE"/>
    <w:rsid w:val="009A0C39"/>
    <w:rsid w:val="009D1DD5"/>
    <w:rsid w:val="009F087C"/>
    <w:rsid w:val="00A11DDA"/>
    <w:rsid w:val="00A26157"/>
    <w:rsid w:val="00A265C3"/>
    <w:rsid w:val="00A43F9A"/>
    <w:rsid w:val="00A543D4"/>
    <w:rsid w:val="00A76CA1"/>
    <w:rsid w:val="00AD0014"/>
    <w:rsid w:val="00AD4CF2"/>
    <w:rsid w:val="00AF0BBA"/>
    <w:rsid w:val="00B30468"/>
    <w:rsid w:val="00B54239"/>
    <w:rsid w:val="00B60E70"/>
    <w:rsid w:val="00B639B9"/>
    <w:rsid w:val="00BB2C41"/>
    <w:rsid w:val="00BC55C8"/>
    <w:rsid w:val="00BC5C10"/>
    <w:rsid w:val="00BE2964"/>
    <w:rsid w:val="00BF415D"/>
    <w:rsid w:val="00C24FBD"/>
    <w:rsid w:val="00C473BA"/>
    <w:rsid w:val="00C611ED"/>
    <w:rsid w:val="00C6490A"/>
    <w:rsid w:val="00C64FE1"/>
    <w:rsid w:val="00C66164"/>
    <w:rsid w:val="00C8345E"/>
    <w:rsid w:val="00CA4C17"/>
    <w:rsid w:val="00CA5F7C"/>
    <w:rsid w:val="00CE7C87"/>
    <w:rsid w:val="00CF5D21"/>
    <w:rsid w:val="00D06637"/>
    <w:rsid w:val="00D41064"/>
    <w:rsid w:val="00D51067"/>
    <w:rsid w:val="00D6270B"/>
    <w:rsid w:val="00D75657"/>
    <w:rsid w:val="00D960AD"/>
    <w:rsid w:val="00DA0E0E"/>
    <w:rsid w:val="00DB0C39"/>
    <w:rsid w:val="00DB7679"/>
    <w:rsid w:val="00DC7F19"/>
    <w:rsid w:val="00DE3904"/>
    <w:rsid w:val="00DF1702"/>
    <w:rsid w:val="00DF4DD8"/>
    <w:rsid w:val="00DF668E"/>
    <w:rsid w:val="00E05DE3"/>
    <w:rsid w:val="00E12101"/>
    <w:rsid w:val="00E14D2B"/>
    <w:rsid w:val="00E20DBA"/>
    <w:rsid w:val="00E40E48"/>
    <w:rsid w:val="00E660D6"/>
    <w:rsid w:val="00E771AB"/>
    <w:rsid w:val="00E83FF4"/>
    <w:rsid w:val="00EA796F"/>
    <w:rsid w:val="00EB077B"/>
    <w:rsid w:val="00EC50B9"/>
    <w:rsid w:val="00ED26A0"/>
    <w:rsid w:val="00F04473"/>
    <w:rsid w:val="00F1727A"/>
    <w:rsid w:val="00F34764"/>
    <w:rsid w:val="00F4758C"/>
    <w:rsid w:val="00F54E3C"/>
    <w:rsid w:val="00F874BD"/>
    <w:rsid w:val="00FA6DD0"/>
    <w:rsid w:val="00FB6D02"/>
    <w:rsid w:val="00FC2EF4"/>
    <w:rsid w:val="00FE04A9"/>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12101"/>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FootnoteTextChar">
    <w:name w:val="Footnote Text Char"/>
    <w:aliases w:val="5_G Char"/>
    <w:link w:val="FootnoteText"/>
    <w:semiHidden/>
    <w:rsid w:val="00E12101"/>
    <w:rPr>
      <w:rFonts w:cs="Traditional Arabic"/>
      <w:sz w:val="18"/>
      <w:szCs w:val="26"/>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4</Pages>
  <Words>950</Words>
  <Characters>5419</Characters>
  <Application>Microsoft Office Outlook</Application>
  <DocSecurity>4</DocSecurity>
  <Lines>45</Lines>
  <Paragraphs>12</Paragraphs>
  <ScaleCrop>false</ScaleCrop>
  <HeadingPairs>
    <vt:vector size="2" baseType="variant">
      <vt:variant>
        <vt:lpstr>العنوان</vt:lpstr>
      </vt:variant>
      <vt:variant>
        <vt:i4>1</vt:i4>
      </vt:variant>
    </vt:vector>
  </HeadingPairs>
  <TitlesOfParts>
    <vt:vector size="1" baseType="lpstr">
      <vt:lpstr>A/HRC/26/L.28</vt:lpstr>
    </vt:vector>
  </TitlesOfParts>
  <Company>CSD</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A/HRC/26/L.28</dc:title>
  <dc:subject>RADWAN</dc:subject>
  <dc:creator>Bahnassawy</dc:creator>
  <cp:keywords/>
  <dc:description/>
  <cp:lastModifiedBy>TPS</cp:lastModifiedBy>
  <cp:revision>2</cp:revision>
  <cp:lastPrinted>2014-08-29T10:51:00Z</cp:lastPrinted>
  <dcterms:created xsi:type="dcterms:W3CDTF">2014-09-01T07:52:00Z</dcterms:created>
  <dcterms:modified xsi:type="dcterms:W3CDTF">2014-09-01T07:52:00Z</dcterms:modified>
</cp:coreProperties>
</file>