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E6618E">
        <w:trPr>
          <w:trHeight w:hRule="exact" w:val="851"/>
        </w:trPr>
        <w:tc>
          <w:tcPr>
            <w:tcW w:w="1276" w:type="dxa"/>
            <w:tcBorders>
              <w:bottom w:val="single" w:sz="4" w:space="0" w:color="auto"/>
            </w:tcBorders>
          </w:tcPr>
          <w:p w:rsidR="00A12E20" w:rsidRPr="00DB58B5" w:rsidRDefault="00A12E20" w:rsidP="00D57FCF">
            <w:bookmarkStart w:id="0" w:name="_GoBack"/>
            <w:bookmarkEnd w:id="0"/>
          </w:p>
        </w:tc>
        <w:tc>
          <w:tcPr>
            <w:tcW w:w="2268" w:type="dxa"/>
            <w:tcBorders>
              <w:bottom w:val="single" w:sz="4" w:space="0" w:color="auto"/>
            </w:tcBorders>
            <w:vAlign w:val="bottom"/>
          </w:tcPr>
          <w:p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D57FCF" w:rsidP="00D57FCF">
            <w:pPr>
              <w:jc w:val="right"/>
            </w:pPr>
            <w:r w:rsidRPr="00D57FCF">
              <w:rPr>
                <w:sz w:val="40"/>
              </w:rPr>
              <w:t>A</w:t>
            </w:r>
            <w:r>
              <w:t>/HRC/RES/41/1</w:t>
            </w:r>
          </w:p>
        </w:tc>
      </w:tr>
      <w:tr w:rsidR="00A12E20" w:rsidRPr="00DB58B5" w:rsidTr="00E6618E">
        <w:trPr>
          <w:trHeight w:hRule="exact" w:val="2835"/>
        </w:trPr>
        <w:tc>
          <w:tcPr>
            <w:tcW w:w="1276" w:type="dxa"/>
            <w:tcBorders>
              <w:top w:val="single" w:sz="4" w:space="0" w:color="auto"/>
              <w:bottom w:val="single" w:sz="12" w:space="0" w:color="auto"/>
            </w:tcBorders>
          </w:tcPr>
          <w:p w:rsidR="00A12E20" w:rsidRPr="00DB58B5" w:rsidRDefault="00A12E20" w:rsidP="00E6618E">
            <w:pPr>
              <w:spacing w:before="120"/>
              <w:jc w:val="center"/>
            </w:pPr>
            <w:r>
              <w:rPr>
                <w:noProof/>
                <w:lang w:eastAsia="fr-CH"/>
              </w:rPr>
              <w:drawing>
                <wp:inline distT="0" distB="0" distL="0" distR="0" wp14:anchorId="3B53B9DB" wp14:editId="160DD8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D57FCF" w:rsidP="00E6618E">
            <w:pPr>
              <w:spacing w:before="240"/>
            </w:pPr>
            <w:r>
              <w:t>Distr. générale</w:t>
            </w:r>
          </w:p>
          <w:p w:rsidR="00D57FCF" w:rsidRDefault="00D57FCF" w:rsidP="00D57FCF">
            <w:pPr>
              <w:spacing w:line="240" w:lineRule="exact"/>
            </w:pPr>
            <w:r>
              <w:t>17 juillet 2019</w:t>
            </w:r>
          </w:p>
          <w:p w:rsidR="00D57FCF" w:rsidRDefault="00D57FCF" w:rsidP="00D57FCF">
            <w:pPr>
              <w:spacing w:line="240" w:lineRule="exact"/>
            </w:pPr>
            <w:r>
              <w:t>Français</w:t>
            </w:r>
          </w:p>
          <w:p w:rsidR="00D57FCF" w:rsidRPr="00DB58B5" w:rsidRDefault="00D57FCF" w:rsidP="00D57FCF">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l’homme</w:t>
      </w:r>
    </w:p>
    <w:p w:rsidR="00D57FCF" w:rsidRPr="00D57FCF" w:rsidRDefault="00D57FCF" w:rsidP="00D57FCF">
      <w:pPr>
        <w:rPr>
          <w:b/>
        </w:rPr>
      </w:pPr>
      <w:r w:rsidRPr="00D57FCF">
        <w:rPr>
          <w:b/>
        </w:rPr>
        <w:t>Quarante et unième session</w:t>
      </w:r>
    </w:p>
    <w:p w:rsidR="00D57FCF" w:rsidRPr="00D57FCF" w:rsidRDefault="00D57FCF" w:rsidP="00D57FCF">
      <w:r w:rsidRPr="00D57FCF">
        <w:t>24 juin-12 juillet 2019</w:t>
      </w:r>
    </w:p>
    <w:p w:rsidR="00552797" w:rsidRDefault="00D57FCF" w:rsidP="00D57FCF">
      <w:r w:rsidRPr="00D57FCF">
        <w:t>Point 2 de l’ordre du jour</w:t>
      </w:r>
    </w:p>
    <w:p w:rsidR="00D57FCF" w:rsidRPr="00D57FCF" w:rsidRDefault="00D57FCF" w:rsidP="00D57FCF">
      <w:pPr>
        <w:pStyle w:val="HChG"/>
      </w:pPr>
      <w:r>
        <w:rPr>
          <w:lang w:val="fr-FR"/>
        </w:rPr>
        <w:tab/>
      </w:r>
      <w:r>
        <w:rPr>
          <w:lang w:val="fr-FR"/>
        </w:rPr>
        <w:tab/>
      </w:r>
      <w:r w:rsidRPr="00D57FCF">
        <w:rPr>
          <w:lang w:val="fr-FR"/>
        </w:rPr>
        <w:t>Résolution adoptée par le Conseil des droits de l</w:t>
      </w:r>
      <w:r>
        <w:rPr>
          <w:lang w:val="fr-FR"/>
        </w:rPr>
        <w:t>’</w:t>
      </w:r>
      <w:r w:rsidRPr="00D57FCF">
        <w:rPr>
          <w:lang w:val="fr-FR"/>
        </w:rPr>
        <w:t xml:space="preserve">homme </w:t>
      </w:r>
      <w:r>
        <w:rPr>
          <w:lang w:val="fr-FR"/>
        </w:rPr>
        <w:br/>
      </w:r>
      <w:r w:rsidRPr="00D57FCF">
        <w:rPr>
          <w:lang w:val="fr-FR"/>
        </w:rPr>
        <w:t>le 11</w:t>
      </w:r>
      <w:r>
        <w:rPr>
          <w:lang w:val="fr-FR"/>
        </w:rPr>
        <w:t> </w:t>
      </w:r>
      <w:r w:rsidRPr="00D57FCF">
        <w:rPr>
          <w:lang w:val="fr-FR"/>
        </w:rPr>
        <w:t>juillet 2009</w:t>
      </w:r>
    </w:p>
    <w:p w:rsidR="00D57FCF" w:rsidRPr="00D57FCF" w:rsidRDefault="00D57FCF" w:rsidP="00D57FCF">
      <w:pPr>
        <w:pStyle w:val="H1G"/>
      </w:pPr>
      <w:r>
        <w:rPr>
          <w:lang w:val="fr-FR"/>
        </w:rPr>
        <w:tab/>
      </w:r>
      <w:r w:rsidRPr="00D57FCF">
        <w:rPr>
          <w:lang w:val="fr-FR"/>
        </w:rPr>
        <w:t>41/1</w:t>
      </w:r>
      <w:r>
        <w:rPr>
          <w:lang w:val="fr-FR"/>
        </w:rPr>
        <w:t>.</w:t>
      </w:r>
      <w:r w:rsidRPr="00D57FCF">
        <w:rPr>
          <w:lang w:val="fr-FR"/>
        </w:rPr>
        <w:tab/>
        <w:t>Situation des droits de l’homme en Érythrée</w:t>
      </w:r>
    </w:p>
    <w:p w:rsidR="00D57FCF" w:rsidRPr="00D57FCF" w:rsidRDefault="00D57FCF" w:rsidP="00D57FCF">
      <w:pPr>
        <w:pStyle w:val="SingleTxtG"/>
        <w:ind w:firstLine="567"/>
      </w:pPr>
      <w:r w:rsidRPr="00D57FCF">
        <w:rPr>
          <w:i/>
          <w:iCs/>
          <w:lang w:val="fr-FR"/>
        </w:rPr>
        <w:t>Le Conseil des droits de l’homme</w:t>
      </w:r>
      <w:r w:rsidRPr="00D57FCF">
        <w:rPr>
          <w:lang w:val="fr-FR"/>
        </w:rPr>
        <w:t>,</w:t>
      </w:r>
    </w:p>
    <w:p w:rsidR="00D57FCF" w:rsidRPr="00D57FCF" w:rsidRDefault="00D57FCF" w:rsidP="00D57FCF">
      <w:pPr>
        <w:pStyle w:val="SingleTxtG"/>
        <w:ind w:firstLine="567"/>
      </w:pPr>
      <w:r w:rsidRPr="00D57FCF">
        <w:rPr>
          <w:i/>
          <w:iCs/>
          <w:lang w:val="fr-FR"/>
        </w:rPr>
        <w:t xml:space="preserve">S’inspirant </w:t>
      </w:r>
      <w:r w:rsidRPr="00D57FCF">
        <w:rPr>
          <w:lang w:val="fr-FR"/>
        </w:rPr>
        <w:t>de la Charte des Nations Unies, de la Déclaration universelle des droits de l’homme, des Pactes internationaux relatifs aux droits de l’homme et d’autres instruments internationaux pertinents relatifs aux droits de l’homme,</w:t>
      </w:r>
    </w:p>
    <w:p w:rsidR="00D57FCF" w:rsidRPr="00D57FCF" w:rsidRDefault="00D57FCF" w:rsidP="00D57FCF">
      <w:pPr>
        <w:pStyle w:val="SingleTxtG"/>
        <w:ind w:firstLine="567"/>
      </w:pPr>
      <w:r w:rsidRPr="00D57FCF">
        <w:rPr>
          <w:i/>
          <w:iCs/>
          <w:lang w:val="fr-FR"/>
        </w:rPr>
        <w:t xml:space="preserve">Rappelant </w:t>
      </w:r>
      <w:r w:rsidRPr="00D57FCF">
        <w:rPr>
          <w:lang w:val="fr-FR"/>
        </w:rPr>
        <w:t>la résolution 60/251 de l’Assemblée générale, en date du 15 mars 2006, les résolutions 5/1 et</w:t>
      </w:r>
      <w:r>
        <w:rPr>
          <w:lang w:val="fr-FR"/>
        </w:rPr>
        <w:t> </w:t>
      </w:r>
      <w:r w:rsidRPr="00D57FCF">
        <w:rPr>
          <w:lang w:val="fr-FR"/>
        </w:rPr>
        <w:t>5/2 du Conseil des droits de l’homme, en date du 18 juin 2007, la résolution 91 et les décisions 250/2002, 275/2003 et 428/12 de la Commission africaine des droits de l’homme et des peuples et toutes ses résolutions antérieures sur la situation des droits de l’homme en Érythrée,</w:t>
      </w:r>
    </w:p>
    <w:p w:rsidR="00D57FCF" w:rsidRPr="00D57FCF" w:rsidRDefault="00D57FCF" w:rsidP="00D57FCF">
      <w:pPr>
        <w:pStyle w:val="SingleTxtG"/>
        <w:ind w:firstLine="567"/>
      </w:pPr>
      <w:r w:rsidRPr="00D57FCF">
        <w:rPr>
          <w:i/>
          <w:iCs/>
          <w:lang w:val="fr-FR"/>
        </w:rPr>
        <w:t xml:space="preserve">Se félicitant </w:t>
      </w:r>
      <w:r w:rsidRPr="00D57FCF">
        <w:rPr>
          <w:lang w:val="fr-FR"/>
        </w:rPr>
        <w:t>de l’action menée par le Gouvernement érythréen pour protéger et promouvoir les droits économiques et sociaux du peuple érythréen, notamment de la réalisation rapide des objectifs du Millénaire pour le développement et de son engagement en faveur des objectifs de développement durable, ainsi que de la participation de l’Érythrée au troisième cycle de l’Examen périodique universel, le 28 janvier 2019,</w:t>
      </w:r>
    </w:p>
    <w:p w:rsidR="00D57FCF" w:rsidRPr="00D57FCF" w:rsidRDefault="00D57FCF" w:rsidP="00D57FCF">
      <w:pPr>
        <w:pStyle w:val="SingleTxtG"/>
        <w:ind w:firstLine="567"/>
      </w:pPr>
      <w:r w:rsidRPr="00D57FCF">
        <w:rPr>
          <w:i/>
          <w:iCs/>
          <w:lang w:val="fr-FR"/>
        </w:rPr>
        <w:t>Accueillant avec satisfaction</w:t>
      </w:r>
      <w:r w:rsidRPr="00D57FCF">
        <w:rPr>
          <w:lang w:val="fr-FR"/>
        </w:rPr>
        <w:t xml:space="preserve"> le rapport de la Rapporteuse spéciale sur la situation des droits de l’homme en Érythrée</w:t>
      </w:r>
      <w:r w:rsidRPr="00D57FCF">
        <w:rPr>
          <w:rStyle w:val="Appelnotedebasdep"/>
        </w:rPr>
        <w:footnoteReference w:id="2"/>
      </w:r>
      <w:r w:rsidRPr="00D57FCF">
        <w:rPr>
          <w:lang w:val="fr-FR"/>
        </w:rPr>
        <w:t>, et les conclusions de la Rapporteuse,</w:t>
      </w:r>
    </w:p>
    <w:p w:rsidR="00D57FCF" w:rsidRPr="00D57FCF" w:rsidRDefault="00D57FCF" w:rsidP="00D57FCF">
      <w:pPr>
        <w:pStyle w:val="SingleTxtG"/>
        <w:ind w:firstLine="567"/>
        <w:rPr>
          <w:i/>
        </w:rPr>
      </w:pPr>
      <w:r w:rsidRPr="00D57FCF">
        <w:rPr>
          <w:iCs/>
          <w:lang w:val="fr-FR"/>
        </w:rPr>
        <w:t>1.</w:t>
      </w:r>
      <w:r w:rsidRPr="00D57FCF">
        <w:rPr>
          <w:iCs/>
          <w:lang w:val="fr-FR"/>
        </w:rPr>
        <w:tab/>
      </w:r>
      <w:r w:rsidRPr="00D57FCF">
        <w:rPr>
          <w:i/>
          <w:iCs/>
          <w:lang w:val="fr-FR"/>
        </w:rPr>
        <w:t xml:space="preserve">Prie </w:t>
      </w:r>
      <w:r w:rsidRPr="00D57FCF">
        <w:rPr>
          <w:lang w:val="fr-FR"/>
        </w:rPr>
        <w:t>le Haut-Commissariat des Nations Unies aux droits de l’homme de lui présenter, à sa quarante-troisième session, un compte rendu oral des progrès accomplis dans la coopération entre l’Érythrée et le Haut-Commissariat, et de leurs effets sur la situation des droits de l’homme en Érythrée ;</w:t>
      </w:r>
    </w:p>
    <w:p w:rsidR="00D57FCF" w:rsidRPr="00D57FCF" w:rsidRDefault="00D57FCF" w:rsidP="00D57FCF">
      <w:pPr>
        <w:pStyle w:val="SingleTxtG"/>
        <w:ind w:firstLine="567"/>
      </w:pPr>
      <w:r w:rsidRPr="00D57FCF">
        <w:rPr>
          <w:iCs/>
          <w:lang w:val="fr-FR"/>
        </w:rPr>
        <w:t>2.</w:t>
      </w:r>
      <w:r w:rsidRPr="00D57FCF">
        <w:rPr>
          <w:iCs/>
          <w:lang w:val="fr-FR"/>
        </w:rPr>
        <w:tab/>
      </w:r>
      <w:r w:rsidRPr="00D57FCF">
        <w:rPr>
          <w:i/>
          <w:iCs/>
          <w:lang w:val="fr-FR"/>
        </w:rPr>
        <w:t xml:space="preserve">Décide </w:t>
      </w:r>
      <w:r w:rsidRPr="00D57FCF">
        <w:rPr>
          <w:lang w:val="fr-FR"/>
        </w:rPr>
        <w:t>de proroger le mandat de la Rapporteuse spéciale sur la situation des droits de l’homme en Érythrée pour une nouvelle période d’un an, et de continuer à évaluer la situation des droits de l’homme et à en rendre compte dans le cadre du suivi du rapport de la Rapporteuse spéciale</w:t>
      </w:r>
      <w:r w:rsidRPr="00D57FCF">
        <w:rPr>
          <w:vertAlign w:val="superscript"/>
          <w:lang w:val="fr-FR"/>
        </w:rPr>
        <w:t>1</w:t>
      </w:r>
      <w:r w:rsidRPr="00D57FCF">
        <w:rPr>
          <w:lang w:val="fr-FR"/>
        </w:rPr>
        <w:t>, et prie la Rapporteuse spéciale de lui présenter un compte rendu oral à sa quarante-troisième session, au cours d’un dialogue, et de présenter, au cours d’un dialogue, un rapport sur la mise en œuvre du mandat au Conseil à sa quarante-quatrième session et à l’Assemblée générale à sa soixante-quinzième session ;</w:t>
      </w:r>
    </w:p>
    <w:p w:rsidR="00D57FCF" w:rsidRPr="00D57FCF" w:rsidRDefault="00D57FCF" w:rsidP="00D57FCF">
      <w:pPr>
        <w:pStyle w:val="SingleTxtG"/>
        <w:ind w:firstLine="567"/>
      </w:pPr>
      <w:r w:rsidRPr="00D57FCF">
        <w:rPr>
          <w:iCs/>
          <w:lang w:val="fr-FR"/>
        </w:rPr>
        <w:t>3.</w:t>
      </w:r>
      <w:r w:rsidRPr="00D57FCF">
        <w:rPr>
          <w:iCs/>
          <w:lang w:val="fr-FR"/>
        </w:rPr>
        <w:tab/>
      </w:r>
      <w:r w:rsidRPr="00D57FCF">
        <w:rPr>
          <w:i/>
          <w:iCs/>
          <w:lang w:val="fr-FR"/>
        </w:rPr>
        <w:t xml:space="preserve">Demande </w:t>
      </w:r>
      <w:r w:rsidRPr="00D57FCF">
        <w:rPr>
          <w:lang w:val="fr-FR"/>
        </w:rPr>
        <w:t>au Gouvernement érythréen de coopérer pleinement avec la Rapporteuse spéciale, notamment en lui autorisant l’accès au pays ;</w:t>
      </w:r>
    </w:p>
    <w:p w:rsidR="00D57FCF" w:rsidRPr="00D57FCF" w:rsidRDefault="00D57FCF" w:rsidP="00D57FCF">
      <w:pPr>
        <w:pStyle w:val="SingleTxtG"/>
        <w:ind w:firstLine="567"/>
      </w:pPr>
      <w:r w:rsidRPr="00D57FCF">
        <w:rPr>
          <w:iCs/>
          <w:lang w:val="fr-FR"/>
        </w:rPr>
        <w:lastRenderedPageBreak/>
        <w:t>4.</w:t>
      </w:r>
      <w:r w:rsidRPr="00D57FCF">
        <w:rPr>
          <w:iCs/>
          <w:lang w:val="fr-FR"/>
        </w:rPr>
        <w:tab/>
      </w:r>
      <w:r w:rsidRPr="00D57FCF">
        <w:rPr>
          <w:i/>
          <w:iCs/>
          <w:lang w:val="fr-FR"/>
        </w:rPr>
        <w:t xml:space="preserve">Prie </w:t>
      </w:r>
      <w:r w:rsidRPr="00D57FCF">
        <w:rPr>
          <w:lang w:val="fr-FR"/>
        </w:rPr>
        <w:t>le Secrétaire général de fournir à la Rapporteuse spéciale toutes les informations et les ressources nécessaires à l’accomplissement du mandat ;</w:t>
      </w:r>
    </w:p>
    <w:p w:rsidR="00D57FCF" w:rsidRPr="00D57FCF" w:rsidRDefault="00D57FCF" w:rsidP="00D57FCF">
      <w:pPr>
        <w:pStyle w:val="SingleTxtG"/>
        <w:ind w:firstLine="567"/>
        <w:rPr>
          <w:lang w:val="fr-FR"/>
        </w:rPr>
      </w:pPr>
      <w:r w:rsidRPr="00D57FCF">
        <w:rPr>
          <w:lang w:val="fr-FR"/>
        </w:rPr>
        <w:t>5.</w:t>
      </w:r>
      <w:r w:rsidRPr="00D57FCF">
        <w:rPr>
          <w:lang w:val="fr-FR"/>
        </w:rPr>
        <w:tab/>
      </w:r>
      <w:r w:rsidRPr="00D57FCF">
        <w:rPr>
          <w:i/>
          <w:iCs/>
          <w:lang w:val="fr-FR"/>
        </w:rPr>
        <w:t xml:space="preserve">Décide </w:t>
      </w:r>
      <w:r w:rsidRPr="00D57FCF">
        <w:rPr>
          <w:lang w:val="fr-FR"/>
        </w:rPr>
        <w:t>de rester saisi de la question.</w:t>
      </w:r>
    </w:p>
    <w:p w:rsidR="00D57FCF" w:rsidRPr="00D57FCF" w:rsidRDefault="00D57FCF" w:rsidP="00D57FCF">
      <w:pPr>
        <w:pStyle w:val="SingleTxtG"/>
        <w:spacing w:after="480"/>
        <w:jc w:val="right"/>
        <w:rPr>
          <w:i/>
          <w:lang w:val="fr-FR"/>
        </w:rPr>
      </w:pPr>
      <w:r w:rsidRPr="00D57FCF">
        <w:rPr>
          <w:i/>
          <w:lang w:val="fr-FR"/>
        </w:rPr>
        <w:t>37</w:t>
      </w:r>
      <w:r w:rsidRPr="00D57FCF">
        <w:rPr>
          <w:i/>
          <w:vertAlign w:val="superscript"/>
          <w:lang w:val="fr-FR"/>
        </w:rPr>
        <w:t>e</w:t>
      </w:r>
      <w:r>
        <w:rPr>
          <w:i/>
          <w:lang w:val="fr-FR"/>
        </w:rPr>
        <w:t> </w:t>
      </w:r>
      <w:r w:rsidRPr="00D57FCF">
        <w:rPr>
          <w:i/>
          <w:lang w:val="fr-FR"/>
        </w:rPr>
        <w:t>séance</w:t>
      </w:r>
      <w:r>
        <w:rPr>
          <w:i/>
          <w:lang w:val="fr-FR"/>
        </w:rPr>
        <w:t xml:space="preserve"> </w:t>
      </w:r>
      <w:r>
        <w:rPr>
          <w:i/>
          <w:lang w:val="fr-FR"/>
        </w:rPr>
        <w:br/>
      </w:r>
      <w:r w:rsidRPr="00D57FCF">
        <w:rPr>
          <w:i/>
          <w:lang w:val="fr-FR"/>
        </w:rPr>
        <w:t>11</w:t>
      </w:r>
      <w:r>
        <w:rPr>
          <w:i/>
          <w:lang w:val="fr-FR"/>
        </w:rPr>
        <w:t> </w:t>
      </w:r>
      <w:r w:rsidRPr="00D57FCF">
        <w:rPr>
          <w:i/>
          <w:lang w:val="fr-FR"/>
        </w:rPr>
        <w:t>juillet 2019</w:t>
      </w:r>
    </w:p>
    <w:p w:rsidR="00D57FCF" w:rsidRPr="00D57FCF" w:rsidRDefault="00D57FCF" w:rsidP="00D57FCF">
      <w:pPr>
        <w:pStyle w:val="SingleTxtG"/>
      </w:pPr>
      <w:r w:rsidRPr="00D57FCF">
        <w:t>[Adoptée par 21 voix contre</w:t>
      </w:r>
      <w:r>
        <w:t> </w:t>
      </w:r>
      <w:r w:rsidRPr="00D57FCF">
        <w:t>13, avec 13 abstentions, à l’issue d’un vote enregistré. Les voix se sont réparties comme suit :</w:t>
      </w:r>
    </w:p>
    <w:p w:rsidR="00D57FCF" w:rsidRDefault="00D57FCF" w:rsidP="00D57FCF">
      <w:pPr>
        <w:pStyle w:val="SingleTxtG"/>
        <w:spacing w:after="0"/>
        <w:ind w:left="1701"/>
        <w:jc w:val="left"/>
      </w:pPr>
      <w:r w:rsidRPr="00D57FCF">
        <w:rPr>
          <w:i/>
        </w:rPr>
        <w:t>Ont voté pour</w:t>
      </w:r>
      <w:r w:rsidRPr="00D57FCF">
        <w:t> :</w:t>
      </w:r>
      <w:r>
        <w:t xml:space="preserve"> </w:t>
      </w:r>
    </w:p>
    <w:p w:rsidR="00D57FCF" w:rsidRPr="00D57FCF" w:rsidRDefault="00D57FCF" w:rsidP="00D57FCF">
      <w:pPr>
        <w:pStyle w:val="SingleTxtG"/>
        <w:ind w:left="2268"/>
        <w:jc w:val="left"/>
      </w:pPr>
      <w:r w:rsidRPr="00D57FCF">
        <w:t>Argentine, Australie, Autriche, Bahamas, Brésil, Bulgarie, Chili, Croatie, Danemark, Espagne, Fidji, Islande, Italie, Japon, Mexique, Pérou, Tchéquie, Royaume-Uni de Grande-Bretagne et d'Irlande du Nord, Slovaquie, Ukraine, Uruguay</w:t>
      </w:r>
      <w:r>
        <w:t>.</w:t>
      </w:r>
    </w:p>
    <w:p w:rsidR="00D57FCF" w:rsidRDefault="00D57FCF" w:rsidP="00D57FCF">
      <w:pPr>
        <w:pStyle w:val="SingleTxtG"/>
        <w:spacing w:after="0"/>
        <w:ind w:left="1701"/>
        <w:jc w:val="left"/>
        <w:rPr>
          <w:i/>
        </w:rPr>
      </w:pPr>
      <w:r w:rsidRPr="00D57FCF">
        <w:rPr>
          <w:i/>
        </w:rPr>
        <w:t>Ont voté contre</w:t>
      </w:r>
      <w:r w:rsidRPr="00D57FCF">
        <w:t> :</w:t>
      </w:r>
      <w:r>
        <w:t xml:space="preserve"> </w:t>
      </w:r>
    </w:p>
    <w:p w:rsidR="00D57FCF" w:rsidRPr="00D57FCF" w:rsidRDefault="00D57FCF" w:rsidP="00D57FCF">
      <w:pPr>
        <w:pStyle w:val="SingleTxtG"/>
        <w:ind w:left="2268"/>
        <w:jc w:val="left"/>
      </w:pPr>
      <w:r w:rsidRPr="00D57FCF">
        <w:t>Arabie saoudite, Bahreïn, Burkina Faso, Cameroun, Chine, Cuba, Égypte, Érythrée, Inde, Iraq, Pakistan, Philippines, Somalie</w:t>
      </w:r>
      <w:r>
        <w:t>.</w:t>
      </w:r>
    </w:p>
    <w:p w:rsidR="00D57FCF" w:rsidRDefault="00D57FCF" w:rsidP="00D57FCF">
      <w:pPr>
        <w:pStyle w:val="SingleTxtG"/>
        <w:spacing w:after="0"/>
        <w:ind w:left="1701"/>
        <w:jc w:val="left"/>
        <w:rPr>
          <w:i/>
        </w:rPr>
      </w:pPr>
      <w:r w:rsidRPr="00D57FCF">
        <w:rPr>
          <w:i/>
        </w:rPr>
        <w:t>Se sont abstenus</w:t>
      </w:r>
      <w:r w:rsidRPr="00D57FCF">
        <w:t> :</w:t>
      </w:r>
      <w:r>
        <w:t xml:space="preserve"> </w:t>
      </w:r>
    </w:p>
    <w:p w:rsidR="00D57FCF" w:rsidRPr="00D57FCF" w:rsidRDefault="00D57FCF" w:rsidP="00D57FCF">
      <w:pPr>
        <w:pStyle w:val="SingleTxtG"/>
        <w:ind w:left="2268"/>
        <w:jc w:val="left"/>
        <w:rPr>
          <w:u w:val="single"/>
        </w:rPr>
      </w:pPr>
      <w:r w:rsidRPr="00D57FCF">
        <w:t>Afghanistan, Afrique du Sud, Angola, Bangladesh, Bangladesh, Hongrie, Népal, Nigéria, Qatar, République démocratique du Congo, Rwanda, Sénégal, Togo, Tunisie</w:t>
      </w:r>
      <w:r>
        <w:t>.</w:t>
      </w:r>
      <w:r w:rsidRPr="00D57FCF">
        <w:t>]</w:t>
      </w:r>
    </w:p>
    <w:p w:rsidR="00D57FCF" w:rsidRPr="00D57FCF" w:rsidRDefault="00D57FCF" w:rsidP="00D57FCF">
      <w:pPr>
        <w:pStyle w:val="SingleTxtG"/>
        <w:spacing w:before="240" w:after="0"/>
        <w:jc w:val="center"/>
        <w:rPr>
          <w:u w:val="single"/>
        </w:rPr>
      </w:pPr>
      <w:r>
        <w:rPr>
          <w:u w:val="single"/>
        </w:rPr>
        <w:tab/>
      </w:r>
      <w:r>
        <w:rPr>
          <w:u w:val="single"/>
        </w:rPr>
        <w:tab/>
      </w:r>
      <w:r>
        <w:rPr>
          <w:u w:val="single"/>
        </w:rPr>
        <w:tab/>
      </w:r>
    </w:p>
    <w:sectPr w:rsidR="00D57FCF" w:rsidRPr="00D57FCF" w:rsidSect="00D57FC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2B6" w:rsidRPr="00EF7F30" w:rsidRDefault="00BA42B6" w:rsidP="00EF7F30">
      <w:pPr>
        <w:pStyle w:val="Pieddepage"/>
      </w:pPr>
    </w:p>
  </w:endnote>
  <w:endnote w:type="continuationSeparator" w:id="0">
    <w:p w:rsidR="00BA42B6" w:rsidRPr="00EF7F30" w:rsidRDefault="00BA42B6" w:rsidP="00EF7F30">
      <w:pPr>
        <w:pStyle w:val="Pieddepage"/>
      </w:pPr>
    </w:p>
  </w:endnote>
  <w:endnote w:type="continuationNotice" w:id="1">
    <w:p w:rsidR="00BA42B6" w:rsidRDefault="00BA42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CF" w:rsidRPr="00D57FCF" w:rsidRDefault="00D57FCF" w:rsidP="00D57FCF">
    <w:pPr>
      <w:pStyle w:val="Pieddepage"/>
      <w:tabs>
        <w:tab w:val="right" w:pos="9638"/>
      </w:tabs>
    </w:pPr>
    <w:r w:rsidRPr="00D57FCF">
      <w:rPr>
        <w:b/>
        <w:sz w:val="18"/>
      </w:rPr>
      <w:fldChar w:fldCharType="begin"/>
    </w:r>
    <w:r w:rsidRPr="00D57FCF">
      <w:rPr>
        <w:b/>
        <w:sz w:val="18"/>
      </w:rPr>
      <w:instrText xml:space="preserve"> PAGE  \* MERGEFORMAT </w:instrText>
    </w:r>
    <w:r w:rsidRPr="00D57FCF">
      <w:rPr>
        <w:b/>
        <w:sz w:val="18"/>
      </w:rPr>
      <w:fldChar w:fldCharType="separate"/>
    </w:r>
    <w:r w:rsidRPr="00D57FCF">
      <w:rPr>
        <w:b/>
        <w:noProof/>
        <w:sz w:val="18"/>
      </w:rPr>
      <w:t>2</w:t>
    </w:r>
    <w:r w:rsidRPr="00D57FCF">
      <w:rPr>
        <w:b/>
        <w:sz w:val="18"/>
      </w:rPr>
      <w:fldChar w:fldCharType="end"/>
    </w:r>
    <w:r>
      <w:rPr>
        <w:b/>
        <w:sz w:val="18"/>
      </w:rPr>
      <w:tab/>
    </w:r>
    <w:r>
      <w:t>GE.19-12190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CF" w:rsidRPr="00D57FCF" w:rsidRDefault="00D57FCF" w:rsidP="00D57FCF">
    <w:pPr>
      <w:pStyle w:val="Pieddepage"/>
      <w:tabs>
        <w:tab w:val="right" w:pos="9638"/>
      </w:tabs>
      <w:rPr>
        <w:b/>
        <w:sz w:val="18"/>
      </w:rPr>
    </w:pPr>
    <w:r>
      <w:t>GE.19-12190</w:t>
    </w:r>
    <w:r>
      <w:tab/>
    </w:r>
    <w:r w:rsidRPr="00D57FCF">
      <w:rPr>
        <w:b/>
        <w:sz w:val="18"/>
      </w:rPr>
      <w:fldChar w:fldCharType="begin"/>
    </w:r>
    <w:r w:rsidRPr="00D57FCF">
      <w:rPr>
        <w:b/>
        <w:sz w:val="18"/>
      </w:rPr>
      <w:instrText xml:space="preserve"> PAGE  \* MERGEFORMAT </w:instrText>
    </w:r>
    <w:r w:rsidRPr="00D57FCF">
      <w:rPr>
        <w:b/>
        <w:sz w:val="18"/>
      </w:rPr>
      <w:fldChar w:fldCharType="separate"/>
    </w:r>
    <w:r w:rsidRPr="00D57FCF">
      <w:rPr>
        <w:b/>
        <w:noProof/>
        <w:sz w:val="18"/>
      </w:rPr>
      <w:t>3</w:t>
    </w:r>
    <w:r w:rsidRPr="00D57FC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52E" w:rsidRPr="00D57FCF" w:rsidRDefault="00D57FCF" w:rsidP="00D57FCF">
    <w:pPr>
      <w:pStyle w:val="Pieddepage"/>
      <w:spacing w:before="120"/>
      <w:rPr>
        <w:sz w:val="20"/>
      </w:rPr>
    </w:pPr>
    <w:r>
      <w:rPr>
        <w:sz w:val="20"/>
      </w:rPr>
      <w:t>GE.</w:t>
    </w:r>
    <w:r w:rsidR="0094352E">
      <w:rPr>
        <w:noProof/>
        <w:lang w:eastAsia="fr-CH"/>
      </w:rPr>
      <w:drawing>
        <wp:anchor distT="0" distB="0" distL="114300" distR="114300" simplePos="0" relativeHeight="251660288" behindDoc="0" locked="0" layoutInCell="1" allowOverlap="0" wp14:anchorId="4C2945C0" wp14:editId="6665BE0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19-12190  (F)    270819    280819</w:t>
    </w:r>
    <w:r>
      <w:rPr>
        <w:sz w:val="20"/>
      </w:rPr>
      <w:br/>
    </w:r>
    <w:r w:rsidRPr="00D57FCF">
      <w:rPr>
        <w:rFonts w:ascii="C39T30Lfz" w:hAnsi="C39T30Lfz"/>
        <w:sz w:val="56"/>
      </w:rPr>
      <w:t></w:t>
    </w:r>
    <w:r w:rsidRPr="00D57FCF">
      <w:rPr>
        <w:rFonts w:ascii="C39T30Lfz" w:hAnsi="C39T30Lfz"/>
        <w:sz w:val="56"/>
      </w:rPr>
      <w:t></w:t>
    </w:r>
    <w:r w:rsidRPr="00D57FCF">
      <w:rPr>
        <w:rFonts w:ascii="C39T30Lfz" w:hAnsi="C39T30Lfz"/>
        <w:sz w:val="56"/>
      </w:rPr>
      <w:t></w:t>
    </w:r>
    <w:r w:rsidRPr="00D57FCF">
      <w:rPr>
        <w:rFonts w:ascii="C39T30Lfz" w:hAnsi="C39T30Lfz"/>
        <w:sz w:val="56"/>
      </w:rPr>
      <w:t></w:t>
    </w:r>
    <w:r w:rsidRPr="00D57FCF">
      <w:rPr>
        <w:rFonts w:ascii="C39T30Lfz" w:hAnsi="C39T30Lfz"/>
        <w:sz w:val="56"/>
      </w:rPr>
      <w:t></w:t>
    </w:r>
    <w:r w:rsidRPr="00D57FCF">
      <w:rPr>
        <w:rFonts w:ascii="C39T30Lfz" w:hAnsi="C39T30Lfz"/>
        <w:sz w:val="56"/>
      </w:rPr>
      <w:t></w:t>
    </w:r>
    <w:r w:rsidRPr="00D57FCF">
      <w:rPr>
        <w:rFonts w:ascii="C39T30Lfz" w:hAnsi="C39T30Lfz"/>
        <w:sz w:val="56"/>
      </w:rPr>
      <w:t></w:t>
    </w:r>
    <w:r w:rsidRPr="00D57FCF">
      <w:rPr>
        <w:rFonts w:ascii="C39T30Lfz" w:hAnsi="C39T30Lfz"/>
        <w:sz w:val="56"/>
      </w:rPr>
      <w:t></w:t>
    </w:r>
    <w:r w:rsidRPr="00D57FCF">
      <w:rPr>
        <w:rFonts w:ascii="C39T30Lfz" w:hAnsi="C39T30Lfz"/>
        <w:sz w:val="56"/>
      </w:rPr>
      <w:t></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A/HRC/RES/41/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41/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2B6" w:rsidRPr="00EF7F30" w:rsidRDefault="00BA42B6"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BA42B6" w:rsidRPr="00EF7F30" w:rsidRDefault="00BA42B6" w:rsidP="000E5ADA">
      <w:pPr>
        <w:pStyle w:val="Pieddepage"/>
        <w:tabs>
          <w:tab w:val="right" w:pos="2155"/>
        </w:tabs>
        <w:spacing w:after="80" w:line="240" w:lineRule="atLeast"/>
        <w:ind w:left="680"/>
      </w:pPr>
      <w:r w:rsidRPr="00EF7F30">
        <w:rPr>
          <w:u w:val="single"/>
        </w:rPr>
        <w:tab/>
      </w:r>
    </w:p>
  </w:footnote>
  <w:footnote w:type="continuationNotice" w:id="1">
    <w:p w:rsidR="00BA42B6" w:rsidRPr="000F2457" w:rsidRDefault="00BA42B6">
      <w:pPr>
        <w:spacing w:line="240" w:lineRule="auto"/>
        <w:rPr>
          <w:sz w:val="2"/>
          <w:szCs w:val="2"/>
        </w:rPr>
      </w:pPr>
    </w:p>
  </w:footnote>
  <w:footnote w:id="2">
    <w:p w:rsidR="00D57FCF" w:rsidRPr="00D57FCF" w:rsidRDefault="00D57FCF" w:rsidP="00D57FCF">
      <w:pPr>
        <w:pStyle w:val="Notedebasdepage"/>
      </w:pPr>
      <w:r>
        <w:rPr>
          <w:lang w:val="fr-FR"/>
        </w:rPr>
        <w:tab/>
      </w:r>
      <w:r w:rsidRPr="00D6649E">
        <w:rPr>
          <w:rStyle w:val="Appelnotedebasdep"/>
        </w:rPr>
        <w:footnoteRef/>
      </w:r>
      <w:r>
        <w:rPr>
          <w:lang w:val="fr-FR"/>
        </w:rPr>
        <w:tab/>
        <w:t>A/HRC/41/53.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CF" w:rsidRPr="00D57FCF" w:rsidRDefault="00D57FCF">
    <w:pPr>
      <w:pStyle w:val="En-tte"/>
    </w:pPr>
    <w:fldSimple w:instr=" TITLE  \* MERGEFORMAT ">
      <w:r w:rsidR="00293978">
        <w:t>A/HRC/RES/41/1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CF" w:rsidRPr="00D57FCF" w:rsidRDefault="00D57FCF" w:rsidP="00D57FCF">
    <w:pPr>
      <w:pStyle w:val="En-tte"/>
      <w:jc w:val="right"/>
    </w:pPr>
    <w:fldSimple w:instr=" TITLE  \* MERGEFORMAT ">
      <w:r w:rsidR="00293978">
        <w:t>A/HRC/RES/41/1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A42B6"/>
    <w:rsid w:val="00023842"/>
    <w:rsid w:val="0007796D"/>
    <w:rsid w:val="000E5ADA"/>
    <w:rsid w:val="000F2457"/>
    <w:rsid w:val="00111F2F"/>
    <w:rsid w:val="00131E73"/>
    <w:rsid w:val="0014365E"/>
    <w:rsid w:val="00176178"/>
    <w:rsid w:val="001F525A"/>
    <w:rsid w:val="00212168"/>
    <w:rsid w:val="00260711"/>
    <w:rsid w:val="00293978"/>
    <w:rsid w:val="002E0D9C"/>
    <w:rsid w:val="003547BE"/>
    <w:rsid w:val="00446FE5"/>
    <w:rsid w:val="00552797"/>
    <w:rsid w:val="00573BE5"/>
    <w:rsid w:val="00586ED3"/>
    <w:rsid w:val="00587A52"/>
    <w:rsid w:val="005B4E23"/>
    <w:rsid w:val="00617B29"/>
    <w:rsid w:val="0068446C"/>
    <w:rsid w:val="00687BFB"/>
    <w:rsid w:val="00695AED"/>
    <w:rsid w:val="00710BD6"/>
    <w:rsid w:val="0071601D"/>
    <w:rsid w:val="00721020"/>
    <w:rsid w:val="00731589"/>
    <w:rsid w:val="0080684C"/>
    <w:rsid w:val="00871C75"/>
    <w:rsid w:val="008776DC"/>
    <w:rsid w:val="008B386A"/>
    <w:rsid w:val="0094352E"/>
    <w:rsid w:val="00962015"/>
    <w:rsid w:val="009705C8"/>
    <w:rsid w:val="009A47AB"/>
    <w:rsid w:val="00A12E20"/>
    <w:rsid w:val="00A2307A"/>
    <w:rsid w:val="00AC7BEB"/>
    <w:rsid w:val="00AE323C"/>
    <w:rsid w:val="00B16AAF"/>
    <w:rsid w:val="00B22A9E"/>
    <w:rsid w:val="00B24C75"/>
    <w:rsid w:val="00B528BF"/>
    <w:rsid w:val="00BA42B6"/>
    <w:rsid w:val="00C02897"/>
    <w:rsid w:val="00C12613"/>
    <w:rsid w:val="00D45432"/>
    <w:rsid w:val="00D57FCF"/>
    <w:rsid w:val="00DB1831"/>
    <w:rsid w:val="00DD3BFD"/>
    <w:rsid w:val="00E228A8"/>
    <w:rsid w:val="00E6618E"/>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0768AB"/>
  <w15:docId w15:val="{88D51AE2-691B-403B-BAAD-3F33EA7CA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915CE-D422-4FC8-817A-49EBD439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2</Pages>
  <Words>506</Words>
  <Characters>3038</Characters>
  <Application>Microsoft Office Word</Application>
  <DocSecurity>0</DocSecurity>
  <Lines>434</Lines>
  <Paragraphs>186</Paragraphs>
  <ScaleCrop>false</ScaleCrop>
  <HeadingPairs>
    <vt:vector size="2" baseType="variant">
      <vt:variant>
        <vt:lpstr>Titre</vt:lpstr>
      </vt:variant>
      <vt:variant>
        <vt:i4>1</vt:i4>
      </vt:variant>
    </vt:vector>
  </HeadingPairs>
  <TitlesOfParts>
    <vt:vector size="1" baseType="lpstr">
      <vt:lpstr>A/HRC/RES/41/1</vt:lpstr>
    </vt:vector>
  </TitlesOfParts>
  <Company>DCM</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A/HRC/RES/41/1</dc:title>
  <dc:subject/>
  <dc:creator>Edith BOURION</dc:creator>
  <cp:keywords/>
  <cp:lastModifiedBy>Edith Bourion</cp:lastModifiedBy>
  <cp:revision>2</cp:revision>
  <cp:lastPrinted>2019-08-28T06:07:00Z</cp:lastPrinted>
  <dcterms:created xsi:type="dcterms:W3CDTF">2019-08-28T06:29:00Z</dcterms:created>
  <dcterms:modified xsi:type="dcterms:W3CDTF">2019-08-28T06:29:00Z</dcterms:modified>
</cp:coreProperties>
</file>