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2996171C" w14:textId="77777777" w:rsidTr="00562621">
        <w:trPr>
          <w:trHeight w:val="851"/>
        </w:trPr>
        <w:tc>
          <w:tcPr>
            <w:tcW w:w="1259" w:type="dxa"/>
            <w:tcBorders>
              <w:top w:val="nil"/>
              <w:left w:val="nil"/>
              <w:bottom w:val="single" w:sz="4" w:space="0" w:color="auto"/>
              <w:right w:val="nil"/>
            </w:tcBorders>
          </w:tcPr>
          <w:p w14:paraId="21499145" w14:textId="1A51E30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E56C063"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11F51E9" w14:textId="442F1ADC" w:rsidR="00446DE4" w:rsidRPr="00DE3EC0" w:rsidRDefault="004A3CF0" w:rsidP="009C5EFD">
            <w:pPr>
              <w:jc w:val="right"/>
            </w:pPr>
            <w:r w:rsidRPr="004A3CF0">
              <w:rPr>
                <w:sz w:val="40"/>
              </w:rPr>
              <w:t>A</w:t>
            </w:r>
            <w:r>
              <w:t>/HRC/</w:t>
            </w:r>
            <w:r w:rsidR="00306EAD">
              <w:t>RES/</w:t>
            </w:r>
            <w:r w:rsidR="00E46099">
              <w:t>50</w:t>
            </w:r>
            <w:r>
              <w:t>/</w:t>
            </w:r>
            <w:r w:rsidR="00306EAD">
              <w:t>2</w:t>
            </w:r>
          </w:p>
        </w:tc>
      </w:tr>
      <w:tr w:rsidR="003107FA" w14:paraId="743C1CD6" w14:textId="77777777" w:rsidTr="00562621">
        <w:trPr>
          <w:trHeight w:val="2835"/>
        </w:trPr>
        <w:tc>
          <w:tcPr>
            <w:tcW w:w="1259" w:type="dxa"/>
            <w:tcBorders>
              <w:top w:val="single" w:sz="4" w:space="0" w:color="auto"/>
              <w:left w:val="nil"/>
              <w:bottom w:val="single" w:sz="12" w:space="0" w:color="auto"/>
              <w:right w:val="nil"/>
            </w:tcBorders>
          </w:tcPr>
          <w:p w14:paraId="7E01613D" w14:textId="7AA61A74" w:rsidR="003107FA" w:rsidRDefault="00DB6B8D" w:rsidP="00562621">
            <w:pPr>
              <w:spacing w:before="120"/>
              <w:jc w:val="center"/>
            </w:pPr>
            <w:r>
              <w:rPr>
                <w:noProof/>
                <w:lang w:eastAsia="en-GB"/>
              </w:rPr>
              <w:drawing>
                <wp:inline distT="0" distB="0" distL="0" distR="0" wp14:anchorId="198D13A9" wp14:editId="49E53EC6">
                  <wp:extent cx="718185" cy="58928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8185"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5FC6539"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0EC407EA" w14:textId="5E264628" w:rsidR="003107FA" w:rsidRDefault="004A3CF0" w:rsidP="004A3CF0">
            <w:pPr>
              <w:spacing w:before="240" w:line="240" w:lineRule="exact"/>
            </w:pPr>
            <w:r>
              <w:t xml:space="preserve">Distr.: </w:t>
            </w:r>
            <w:r w:rsidR="00306EAD">
              <w:t>General</w:t>
            </w:r>
          </w:p>
          <w:p w14:paraId="11704512" w14:textId="2D24AB6E" w:rsidR="004A3CF0" w:rsidRDefault="00306EAD" w:rsidP="004A3CF0">
            <w:pPr>
              <w:spacing w:line="240" w:lineRule="exact"/>
            </w:pPr>
            <w:r>
              <w:t>1</w:t>
            </w:r>
            <w:r w:rsidR="008C0836">
              <w:t>5</w:t>
            </w:r>
            <w:r>
              <w:t xml:space="preserve"> July</w:t>
            </w:r>
            <w:r w:rsidR="00E46099">
              <w:t xml:space="preserve"> </w:t>
            </w:r>
            <w:r w:rsidR="005137DA">
              <w:t>2022</w:t>
            </w:r>
          </w:p>
          <w:p w14:paraId="1B168BB3" w14:textId="77777777" w:rsidR="004A3CF0" w:rsidRDefault="004A3CF0" w:rsidP="004A3CF0">
            <w:pPr>
              <w:spacing w:line="240" w:lineRule="exact"/>
            </w:pPr>
          </w:p>
          <w:p w14:paraId="4AFA026E" w14:textId="77777777" w:rsidR="004A3CF0" w:rsidRDefault="004A3CF0" w:rsidP="004A3CF0">
            <w:pPr>
              <w:spacing w:line="240" w:lineRule="exact"/>
            </w:pPr>
            <w:r>
              <w:t>Original: English</w:t>
            </w:r>
          </w:p>
        </w:tc>
      </w:tr>
    </w:tbl>
    <w:p w14:paraId="412B26A4" w14:textId="77777777" w:rsidR="004A3CF0" w:rsidRPr="004A3CF0" w:rsidRDefault="004A3CF0" w:rsidP="004A3CF0">
      <w:pPr>
        <w:spacing w:before="120"/>
        <w:rPr>
          <w:b/>
          <w:sz w:val="24"/>
          <w:szCs w:val="24"/>
        </w:rPr>
      </w:pPr>
      <w:r w:rsidRPr="004A3CF0">
        <w:rPr>
          <w:b/>
          <w:sz w:val="24"/>
          <w:szCs w:val="24"/>
        </w:rPr>
        <w:t>Human Rights Council</w:t>
      </w:r>
    </w:p>
    <w:p w14:paraId="2F7646CF" w14:textId="15FC7C93" w:rsidR="004A3CF0" w:rsidRPr="004A3CF0" w:rsidRDefault="00DA480B" w:rsidP="004A3CF0">
      <w:pPr>
        <w:rPr>
          <w:b/>
        </w:rPr>
      </w:pPr>
      <w:r>
        <w:rPr>
          <w:b/>
        </w:rPr>
        <w:t>F</w:t>
      </w:r>
      <w:r w:rsidR="00E46099">
        <w:rPr>
          <w:b/>
        </w:rPr>
        <w:t>iftieth</w:t>
      </w:r>
      <w:r w:rsidR="004A3CF0" w:rsidRPr="004A3CF0">
        <w:rPr>
          <w:b/>
        </w:rPr>
        <w:t xml:space="preserve"> session</w:t>
      </w:r>
    </w:p>
    <w:p w14:paraId="678735E2" w14:textId="5CEEA795" w:rsidR="004A3CF0" w:rsidRPr="004A3CF0" w:rsidRDefault="00E46099" w:rsidP="004A3CF0">
      <w:r>
        <w:t>13</w:t>
      </w:r>
      <w:r w:rsidR="009C5EFD">
        <w:t xml:space="preserve"> </w:t>
      </w:r>
      <w:r>
        <w:t>June</w:t>
      </w:r>
      <w:r w:rsidR="00AE2C85">
        <w:t>–</w:t>
      </w:r>
      <w:r>
        <w:t>8 July</w:t>
      </w:r>
      <w:r w:rsidR="005137DA">
        <w:t xml:space="preserve"> 2022</w:t>
      </w:r>
    </w:p>
    <w:p w14:paraId="492B1244" w14:textId="77777777" w:rsidR="004A3CF0" w:rsidRPr="004A3CF0" w:rsidRDefault="004A3CF0" w:rsidP="004A3CF0">
      <w:r w:rsidRPr="004A3CF0">
        <w:t>Agenda item 2</w:t>
      </w:r>
    </w:p>
    <w:p w14:paraId="14689B83" w14:textId="77777777" w:rsidR="004A3CF0" w:rsidRPr="004A3CF0" w:rsidRDefault="004A3CF0" w:rsidP="004A3CF0">
      <w:pPr>
        <w:rPr>
          <w:b/>
        </w:rPr>
      </w:pPr>
      <w:r w:rsidRPr="004A3CF0">
        <w:rPr>
          <w:b/>
        </w:rPr>
        <w:t>Annual report of the United Nations High Commissioner</w:t>
      </w:r>
      <w:r w:rsidRPr="004A3CF0">
        <w:rPr>
          <w:b/>
        </w:rPr>
        <w:br/>
        <w:t xml:space="preserve">for Human Rights and reports of the Office of the </w:t>
      </w:r>
      <w:r w:rsidRPr="004A3CF0">
        <w:rPr>
          <w:b/>
        </w:rPr>
        <w:br/>
        <w:t>High Commissioner and the Secretary-General</w:t>
      </w:r>
    </w:p>
    <w:p w14:paraId="0C22BE25" w14:textId="1CF6CC13" w:rsidR="004A3CF0" w:rsidRPr="004A3CF0" w:rsidRDefault="004A3CF0" w:rsidP="00D06712">
      <w:pPr>
        <w:pStyle w:val="HChG"/>
      </w:pPr>
      <w:r w:rsidRPr="004A3CF0">
        <w:tab/>
      </w:r>
      <w:r w:rsidRPr="004A3CF0">
        <w:tab/>
      </w:r>
      <w:r w:rsidR="00306EAD">
        <w:t>R</w:t>
      </w:r>
      <w:r w:rsidRPr="004A3CF0">
        <w:t>esolution</w:t>
      </w:r>
      <w:r w:rsidR="00306EAD">
        <w:t xml:space="preserve"> adopted by the Human Rights Council</w:t>
      </w:r>
      <w:r w:rsidR="00306EAD">
        <w:br/>
        <w:t>on 7 July 2022</w:t>
      </w:r>
    </w:p>
    <w:p w14:paraId="2BE544D8" w14:textId="42FFB6D7" w:rsidR="004A3CF0" w:rsidRPr="004A3CF0" w:rsidRDefault="00E46099" w:rsidP="00D06712">
      <w:pPr>
        <w:keepNext/>
        <w:keepLines/>
        <w:spacing w:before="360" w:after="240" w:line="270" w:lineRule="exact"/>
        <w:ind w:left="1135" w:right="1134" w:hanging="851"/>
        <w:rPr>
          <w:b/>
          <w:sz w:val="24"/>
        </w:rPr>
      </w:pPr>
      <w:r>
        <w:rPr>
          <w:b/>
          <w:sz w:val="24"/>
        </w:rPr>
        <w:t>50</w:t>
      </w:r>
      <w:r w:rsidR="004A3CF0" w:rsidRPr="004A3CF0">
        <w:rPr>
          <w:b/>
          <w:sz w:val="24"/>
        </w:rPr>
        <w:t>/</w:t>
      </w:r>
      <w:r w:rsidR="00306EAD">
        <w:rPr>
          <w:b/>
          <w:sz w:val="24"/>
        </w:rPr>
        <w:t>2.</w:t>
      </w:r>
      <w:r w:rsidR="004A3CF0" w:rsidRPr="004A3CF0">
        <w:rPr>
          <w:b/>
          <w:sz w:val="24"/>
        </w:rPr>
        <w:tab/>
      </w:r>
      <w:r w:rsidR="00DB6B8D" w:rsidRPr="00DB6B8D">
        <w:rPr>
          <w:b/>
          <w:sz w:val="24"/>
        </w:rPr>
        <w:t>Situation of human rights in Eritrea</w:t>
      </w:r>
    </w:p>
    <w:p w14:paraId="158EDD2D" w14:textId="3FE6B912" w:rsidR="004A3CF0" w:rsidRDefault="007A7BA1" w:rsidP="004A3CF0">
      <w:pPr>
        <w:spacing w:after="120"/>
        <w:ind w:left="1134" w:right="1134"/>
        <w:jc w:val="both"/>
      </w:pPr>
      <w:r>
        <w:tab/>
      </w:r>
      <w:r w:rsidR="004A3CF0" w:rsidRPr="004A3CF0">
        <w:tab/>
      </w:r>
      <w:r w:rsidR="004A3CF0" w:rsidRPr="004A3CF0">
        <w:rPr>
          <w:i/>
        </w:rPr>
        <w:t>The Human Rights Council</w:t>
      </w:r>
      <w:r w:rsidR="004A3CF0" w:rsidRPr="004A3CF0">
        <w:t>,</w:t>
      </w:r>
    </w:p>
    <w:p w14:paraId="5A4F6054" w14:textId="77777777" w:rsidR="00DB6B8D" w:rsidRDefault="00DB6B8D" w:rsidP="00DB6B8D">
      <w:pPr>
        <w:pStyle w:val="SingleTxtG"/>
        <w:ind w:firstLine="567"/>
      </w:pPr>
      <w:r>
        <w:rPr>
          <w:i/>
        </w:rPr>
        <w:t xml:space="preserve">Guided </w:t>
      </w:r>
      <w:r>
        <w:t>by the Charter of the United Nations, the Universal Declaration of Human Rights, the International Covenants on Human Rights and other relevant international human rights instruments,</w:t>
      </w:r>
    </w:p>
    <w:p w14:paraId="322F6A6E" w14:textId="77777777" w:rsidR="00DB6B8D" w:rsidRDefault="00DB6B8D" w:rsidP="00DB6B8D">
      <w:pPr>
        <w:pStyle w:val="SingleTxtG"/>
        <w:ind w:firstLine="567"/>
      </w:pPr>
      <w:r>
        <w:rPr>
          <w:i/>
        </w:rPr>
        <w:t>Recalling</w:t>
      </w:r>
      <w:r>
        <w:t xml:space="preserve"> General Assembly resolution 60/251 of 15 March 2006, Human Rights Council resolutions 5/1 and 5/2, both of 18 June 2007, resolution 91 and decisions 250/2002, 275/2003 and 428/12 of the </w:t>
      </w:r>
      <w:bookmarkStart w:id="0" w:name="OLE_LINK31"/>
      <w:r>
        <w:t xml:space="preserve">African Commission on Human and Peoples’ Rights </w:t>
      </w:r>
      <w:bookmarkEnd w:id="0"/>
      <w:r>
        <w:t>and all previous Council resolutions on the situation of human rights in Eritrea,</w:t>
      </w:r>
    </w:p>
    <w:p w14:paraId="6012D7B9" w14:textId="77777777" w:rsidR="00DB6B8D" w:rsidRDefault="00DB6B8D" w:rsidP="00DB6B8D">
      <w:pPr>
        <w:pStyle w:val="SingleTxtG"/>
        <w:ind w:firstLine="567"/>
      </w:pPr>
      <w:r>
        <w:rPr>
          <w:i/>
        </w:rPr>
        <w:t xml:space="preserve">Noting </w:t>
      </w:r>
      <w:r>
        <w:t>the regional developments and their implications, including for human rights in Eritrea,</w:t>
      </w:r>
    </w:p>
    <w:p w14:paraId="4DEAC546" w14:textId="73D07299" w:rsidR="00DB6B8D" w:rsidRDefault="00DB6B8D" w:rsidP="00DB6B8D">
      <w:pPr>
        <w:pStyle w:val="SingleTxtG"/>
        <w:ind w:firstLine="567"/>
      </w:pPr>
      <w:r>
        <w:rPr>
          <w:i/>
          <w:iCs/>
        </w:rPr>
        <w:t xml:space="preserve">Expressing </w:t>
      </w:r>
      <w:r>
        <w:rPr>
          <w:i/>
        </w:rPr>
        <w:t>deep concern</w:t>
      </w:r>
      <w:r>
        <w:t xml:space="preserve"> at the ongoing human rights violations and abuses, as outlined by the Special Rapporteur </w:t>
      </w:r>
      <w:r w:rsidR="001A152B">
        <w:t xml:space="preserve">on the situation of human rights in Eritrea </w:t>
      </w:r>
      <w:r>
        <w:t>in his report,</w:t>
      </w:r>
      <w:r w:rsidR="001A152B">
        <w:rPr>
          <w:rStyle w:val="FootnoteReference"/>
        </w:rPr>
        <w:footnoteReference w:id="2"/>
      </w:r>
    </w:p>
    <w:p w14:paraId="3AEEF3A5" w14:textId="2A91AD93" w:rsidR="00DB6B8D" w:rsidRDefault="00DB6B8D" w:rsidP="00DB6B8D">
      <w:pPr>
        <w:pStyle w:val="SingleTxtG"/>
        <w:ind w:firstLine="567"/>
      </w:pPr>
      <w:r>
        <w:t>1.</w:t>
      </w:r>
      <w:r>
        <w:tab/>
      </w:r>
      <w:r>
        <w:rPr>
          <w:i/>
        </w:rPr>
        <w:t xml:space="preserve">Welcomes </w:t>
      </w:r>
      <w:r>
        <w:t>the report of the Special Rapporteur on the situation of human rights in Eritrea</w:t>
      </w:r>
      <w:r w:rsidR="0044497F">
        <w:t xml:space="preserve"> </w:t>
      </w:r>
      <w:r>
        <w:t>and his conclusions therein;</w:t>
      </w:r>
    </w:p>
    <w:p w14:paraId="65CE4A66" w14:textId="671629F3" w:rsidR="00DB6B8D" w:rsidRDefault="00DB6B8D" w:rsidP="00DB6B8D">
      <w:pPr>
        <w:pStyle w:val="SingleTxtG"/>
        <w:ind w:firstLine="567"/>
      </w:pPr>
      <w:r>
        <w:t>2.</w:t>
      </w:r>
      <w:r>
        <w:rPr>
          <w:i/>
        </w:rPr>
        <w:tab/>
        <w:t xml:space="preserve">Decides </w:t>
      </w:r>
      <w:r>
        <w:t>to extend the mandate of Special Rapporteur on the situation of human rights in Eritrea for a further period of one year;</w:t>
      </w:r>
    </w:p>
    <w:p w14:paraId="360920B1" w14:textId="585432EE" w:rsidR="00DB6B8D" w:rsidRDefault="00DB6B8D" w:rsidP="00DB6B8D">
      <w:pPr>
        <w:pStyle w:val="SingleTxtG"/>
        <w:ind w:firstLine="567"/>
      </w:pPr>
      <w:r>
        <w:t>3.</w:t>
      </w:r>
      <w:r>
        <w:tab/>
      </w:r>
      <w:r>
        <w:rPr>
          <w:i/>
        </w:rPr>
        <w:t>Requests</w:t>
      </w:r>
      <w:r>
        <w:t xml:space="preserve"> the Special Rapporteur to submit and present a report to the Human Rights Council at its fifty-third session, and to the General Assembly at its seventy-seventh session</w:t>
      </w:r>
      <w:r w:rsidRPr="00E600F6">
        <w:rPr>
          <w:iCs/>
        </w:rPr>
        <w:t>;</w:t>
      </w:r>
    </w:p>
    <w:p w14:paraId="173806E3" w14:textId="31BCA064" w:rsidR="00DB6B8D" w:rsidRDefault="00DB6B8D" w:rsidP="00DB6B8D">
      <w:pPr>
        <w:pStyle w:val="SingleTxtG"/>
        <w:ind w:firstLine="567"/>
      </w:pPr>
      <w:r>
        <w:t>4.</w:t>
      </w:r>
      <w:r>
        <w:tab/>
      </w:r>
      <w:r>
        <w:rPr>
          <w:i/>
        </w:rPr>
        <w:t>Decides</w:t>
      </w:r>
      <w:r>
        <w:t xml:space="preserve"> to hold an enhanced interactive dialogue on the situation of human rights in Eritrea at its fifty-second session, with the participation of, inter alia, the Special Rapporteur, the Office of the </w:t>
      </w:r>
      <w:r w:rsidR="00356377">
        <w:t xml:space="preserve">United Nations </w:t>
      </w:r>
      <w:r>
        <w:t>High Commissioner</w:t>
      </w:r>
      <w:r w:rsidR="00356377">
        <w:t xml:space="preserve"> for Human Rights</w:t>
      </w:r>
      <w:r>
        <w:t>, civil society and other relevant stakeholders;</w:t>
      </w:r>
    </w:p>
    <w:p w14:paraId="5B6CEB1C" w14:textId="45DFD946" w:rsidR="00DB6B8D" w:rsidRDefault="00DB6B8D" w:rsidP="00DB6B8D">
      <w:pPr>
        <w:pStyle w:val="SingleTxtG"/>
        <w:ind w:firstLine="567"/>
        <w:rPr>
          <w:bCs/>
          <w:lang w:val="en-US"/>
        </w:rPr>
      </w:pPr>
      <w:r>
        <w:t>5.</w:t>
      </w:r>
      <w:r>
        <w:rPr>
          <w:i/>
        </w:rPr>
        <w:tab/>
        <w:t xml:space="preserve">Calls upon </w:t>
      </w:r>
      <w:r>
        <w:t xml:space="preserve">the Government of Eritrea to cooperate fully with the Special Rapporteur, including by granting him access to the country </w:t>
      </w:r>
      <w:r>
        <w:rPr>
          <w:bCs/>
          <w:lang w:val="en-US"/>
        </w:rPr>
        <w:t xml:space="preserve">and committing to making </w:t>
      </w:r>
      <w:r>
        <w:rPr>
          <w:bCs/>
          <w:lang w:val="en-US"/>
        </w:rPr>
        <w:lastRenderedPageBreak/>
        <w:t xml:space="preserve">progress on the recommendations included in his reports </w:t>
      </w:r>
      <w:r w:rsidR="009721B0">
        <w:rPr>
          <w:bCs/>
          <w:lang w:val="en-US"/>
        </w:rPr>
        <w:t>and</w:t>
      </w:r>
      <w:r>
        <w:rPr>
          <w:bCs/>
          <w:lang w:val="en-US"/>
        </w:rPr>
        <w:t xml:space="preserve"> on the benchmarks and associated indicators proposed in 2019</w:t>
      </w:r>
      <w:r w:rsidR="009721B0">
        <w:rPr>
          <w:bCs/>
          <w:lang w:val="en-US"/>
        </w:rPr>
        <w:t>,</w:t>
      </w:r>
      <w:r>
        <w:rPr>
          <w:bCs/>
          <w:lang w:val="en-US"/>
        </w:rPr>
        <w:t xml:space="preserve"> </w:t>
      </w:r>
      <w:r w:rsidR="00A01B5D">
        <w:rPr>
          <w:bCs/>
          <w:lang w:val="en-US"/>
        </w:rPr>
        <w:t>namely</w:t>
      </w:r>
      <w:r w:rsidR="007A7BA1">
        <w:rPr>
          <w:bCs/>
          <w:lang w:val="en-US"/>
        </w:rPr>
        <w:t>:</w:t>
      </w:r>
      <w:r>
        <w:rPr>
          <w:rStyle w:val="FootnoteReference"/>
          <w:bCs/>
          <w:lang w:val="en-US"/>
        </w:rPr>
        <w:footnoteReference w:id="3"/>
      </w:r>
    </w:p>
    <w:p w14:paraId="7C84774C" w14:textId="379F38DC" w:rsidR="00DB6B8D" w:rsidRPr="007A7BA1" w:rsidRDefault="00DB6B8D" w:rsidP="007A7BA1">
      <w:pPr>
        <w:pStyle w:val="SingleTxtG"/>
        <w:ind w:firstLine="567"/>
      </w:pPr>
      <w:r>
        <w:t>(a)</w:t>
      </w:r>
      <w:r>
        <w:tab/>
      </w:r>
      <w:r w:rsidR="00A01B5D">
        <w:t>I</w:t>
      </w:r>
      <w:r w:rsidRPr="007A7BA1">
        <w:t>mprovement in the promotion of the rule of law and strengthening of domestic judicial and law enforcement institutions;</w:t>
      </w:r>
    </w:p>
    <w:p w14:paraId="00E18E8E" w14:textId="72550F02" w:rsidR="00DB6B8D" w:rsidRPr="007A7BA1" w:rsidRDefault="00DB6B8D" w:rsidP="007A7BA1">
      <w:pPr>
        <w:pStyle w:val="SingleTxtG"/>
        <w:ind w:firstLine="567"/>
      </w:pPr>
      <w:r w:rsidRPr="007A7BA1">
        <w:t>(b)</w:t>
      </w:r>
      <w:r w:rsidRPr="007A7BA1">
        <w:tab/>
      </w:r>
      <w:r w:rsidR="00A01B5D">
        <w:t>A</w:t>
      </w:r>
      <w:r w:rsidRPr="007A7BA1">
        <w:t xml:space="preserve"> demonstrated commitment to introducing reforms to the national/military service;</w:t>
      </w:r>
    </w:p>
    <w:p w14:paraId="68269F72" w14:textId="442DBDAE" w:rsidR="00DB6B8D" w:rsidRPr="007A7BA1" w:rsidRDefault="00DB6B8D" w:rsidP="007A7BA1">
      <w:pPr>
        <w:pStyle w:val="SingleTxtG"/>
        <w:ind w:firstLine="567"/>
      </w:pPr>
      <w:r w:rsidRPr="007A7BA1">
        <w:t>(c)</w:t>
      </w:r>
      <w:r w:rsidRPr="007A7BA1">
        <w:tab/>
      </w:r>
      <w:r w:rsidR="00A01B5D">
        <w:t>E</w:t>
      </w:r>
      <w:r w:rsidRPr="007A7BA1">
        <w:t>xtended efforts to respect, protect and fulfil the rights to freedom of religion or belief, peaceful assembly, association, opinion and expression, including for members of the press, and extended efforts to end religious and ethnic discrimination;</w:t>
      </w:r>
    </w:p>
    <w:p w14:paraId="2CBFCBA8" w14:textId="29D2A317" w:rsidR="00DB6B8D" w:rsidRPr="007A7BA1" w:rsidRDefault="00DB6B8D" w:rsidP="007A7BA1">
      <w:pPr>
        <w:pStyle w:val="SingleTxtG"/>
        <w:ind w:firstLine="567"/>
      </w:pPr>
      <w:r w:rsidRPr="007A7BA1">
        <w:t>(d)</w:t>
      </w:r>
      <w:r w:rsidRPr="007A7BA1">
        <w:tab/>
      </w:r>
      <w:r w:rsidR="00A01B5D">
        <w:t>A</w:t>
      </w:r>
      <w:r w:rsidRPr="007A7BA1">
        <w:t xml:space="preserve"> demonstrated commitment to addressing all forms of sexual and gender-based violence and to promoting the rights of women and girls, and gender equality;</w:t>
      </w:r>
    </w:p>
    <w:p w14:paraId="54F4B8E8" w14:textId="3132C4A1" w:rsidR="00DB6B8D" w:rsidRPr="007A7BA1" w:rsidRDefault="00DB6B8D" w:rsidP="007A7BA1">
      <w:pPr>
        <w:pStyle w:val="SingleTxtG"/>
        <w:ind w:firstLine="567"/>
      </w:pPr>
      <w:r w:rsidRPr="007A7BA1">
        <w:t>(e)</w:t>
      </w:r>
      <w:r w:rsidRPr="007A7BA1">
        <w:tab/>
      </w:r>
      <w:r w:rsidR="00A01B5D">
        <w:t>S</w:t>
      </w:r>
      <w:r w:rsidRPr="007A7BA1">
        <w:t xml:space="preserve">trengthened cooperation with specialized United Nations human rights bodies, international agencies and the African Commission </w:t>
      </w:r>
      <w:r w:rsidR="00C1520C">
        <w:t>on</w:t>
      </w:r>
      <w:r w:rsidR="00C1520C" w:rsidRPr="007A7BA1">
        <w:t xml:space="preserve"> </w:t>
      </w:r>
      <w:r w:rsidRPr="007A7BA1">
        <w:t>Human and Peoples’ Rights;</w:t>
      </w:r>
    </w:p>
    <w:p w14:paraId="4B66840E" w14:textId="3319D523" w:rsidR="00DB6B8D" w:rsidRDefault="00DB6B8D" w:rsidP="00DB6B8D">
      <w:pPr>
        <w:pStyle w:val="SingleTxtG"/>
        <w:ind w:firstLine="567"/>
      </w:pPr>
      <w:r>
        <w:t>6.</w:t>
      </w:r>
      <w:r>
        <w:tab/>
      </w:r>
      <w:r>
        <w:rPr>
          <w:i/>
        </w:rPr>
        <w:t>Encourages</w:t>
      </w:r>
      <w:r>
        <w:t xml:space="preserve"> the Government of Eritrea to implement the recommendations accepted </w:t>
      </w:r>
      <w:r w:rsidR="00855DEB">
        <w:t xml:space="preserve">by the State during </w:t>
      </w:r>
      <w:r>
        <w:t>the third cycle of the universal periodic review;</w:t>
      </w:r>
    </w:p>
    <w:p w14:paraId="36E4FCE1" w14:textId="77777777" w:rsidR="00DB6B8D" w:rsidRDefault="00DB6B8D" w:rsidP="00DB6B8D">
      <w:pPr>
        <w:pStyle w:val="SingleTxtG"/>
        <w:ind w:firstLine="567"/>
      </w:pPr>
      <w:r>
        <w:t>7.</w:t>
      </w:r>
      <w:r>
        <w:tab/>
      </w:r>
      <w:r>
        <w:rPr>
          <w:i/>
        </w:rPr>
        <w:t>Requests</w:t>
      </w:r>
      <w:r>
        <w:t xml:space="preserve"> the Secretary-General to provide the Special Rapporteur with all the information and resources necessary to fulfil the mandate;</w:t>
      </w:r>
    </w:p>
    <w:p w14:paraId="09C61DE1" w14:textId="5D7E4C69" w:rsidR="00DB6B8D" w:rsidRDefault="00DB6B8D" w:rsidP="00DB6B8D">
      <w:pPr>
        <w:pStyle w:val="SingleTxtG"/>
        <w:ind w:firstLine="567"/>
      </w:pPr>
      <w:r>
        <w:t>8.</w:t>
      </w:r>
      <w:r>
        <w:tab/>
      </w:r>
      <w:r>
        <w:rPr>
          <w:i/>
        </w:rPr>
        <w:t xml:space="preserve">Decides </w:t>
      </w:r>
      <w:r>
        <w:t>to remain seized of the matter.</w:t>
      </w:r>
    </w:p>
    <w:p w14:paraId="21DE3C74" w14:textId="251A46D4" w:rsidR="00306EAD" w:rsidRPr="009C0E00" w:rsidRDefault="00D828DE" w:rsidP="00306EAD">
      <w:pPr>
        <w:pStyle w:val="SingleTxtG"/>
        <w:jc w:val="right"/>
        <w:rPr>
          <w:i/>
          <w:iCs/>
        </w:rPr>
      </w:pPr>
      <w:r>
        <w:rPr>
          <w:i/>
          <w:iCs/>
        </w:rPr>
        <w:t>3</w:t>
      </w:r>
      <w:r w:rsidR="00306EAD">
        <w:rPr>
          <w:i/>
          <w:iCs/>
        </w:rPr>
        <w:t>9th</w:t>
      </w:r>
      <w:r w:rsidR="00306EAD" w:rsidRPr="009C0E00">
        <w:rPr>
          <w:i/>
          <w:iCs/>
        </w:rPr>
        <w:t xml:space="preserve"> meeting</w:t>
      </w:r>
      <w:r w:rsidR="00306EAD" w:rsidRPr="009C0E00">
        <w:rPr>
          <w:i/>
          <w:iCs/>
        </w:rPr>
        <w:br/>
      </w:r>
      <w:r w:rsidR="00306EAD">
        <w:rPr>
          <w:i/>
          <w:iCs/>
        </w:rPr>
        <w:t>7 July 2022</w:t>
      </w:r>
    </w:p>
    <w:p w14:paraId="65C1E24A" w14:textId="7114F4F1" w:rsidR="00306EAD" w:rsidRPr="00103D41" w:rsidRDefault="00306EAD" w:rsidP="00306EAD">
      <w:pPr>
        <w:pStyle w:val="SingleTxtG"/>
      </w:pPr>
      <w:r w:rsidRPr="00103D41">
        <w:t xml:space="preserve">[Adopted by a recorded vote of </w:t>
      </w:r>
      <w:r>
        <w:t>21 to 10</w:t>
      </w:r>
      <w:r w:rsidRPr="00103D41">
        <w:t xml:space="preserve">, with </w:t>
      </w:r>
      <w:r>
        <w:t>16</w:t>
      </w:r>
      <w:r w:rsidRPr="00103D41">
        <w:t xml:space="preserve"> abstentions. The voting was as follows: </w:t>
      </w:r>
    </w:p>
    <w:p w14:paraId="5A131AE8" w14:textId="77777777" w:rsidR="00306EAD" w:rsidRPr="00103D41" w:rsidRDefault="00306EAD" w:rsidP="00306EAD">
      <w:pPr>
        <w:pStyle w:val="SingleTxtG"/>
        <w:spacing w:after="0"/>
        <w:ind w:left="1701"/>
      </w:pPr>
      <w:r w:rsidRPr="009C0E00">
        <w:rPr>
          <w:i/>
          <w:iCs/>
        </w:rPr>
        <w:t>In favour</w:t>
      </w:r>
      <w:r w:rsidRPr="00103D41">
        <w:t xml:space="preserve">: </w:t>
      </w:r>
    </w:p>
    <w:p w14:paraId="29FC10F2" w14:textId="07738AE6" w:rsidR="00306EAD" w:rsidRDefault="00346B77" w:rsidP="00306EAD">
      <w:pPr>
        <w:pStyle w:val="SingleTxtG"/>
        <w:ind w:left="2268"/>
      </w:pPr>
      <w:r w:rsidRPr="00346B77">
        <w:t>Argentina, Armenia, Brazil, Czech</w:t>
      </w:r>
      <w:r>
        <w:t>ia</w:t>
      </w:r>
      <w:r w:rsidRPr="00346B77">
        <w:t xml:space="preserve">, Finland, France, Germany, Honduras, Japan, Lithuania, Luxembourg, Marshall Islands, Mexico, Montenegro, Netherlands, Paraguay, Poland, Republic of Korea, Ukraine, </w:t>
      </w:r>
      <w:r w:rsidR="00306EAD" w:rsidRPr="00FB66FB">
        <w:t>United Kingdom of Great Britain and Northern Ireland and United States of America</w:t>
      </w:r>
    </w:p>
    <w:p w14:paraId="4622E583" w14:textId="77777777" w:rsidR="00306EAD" w:rsidRDefault="00306EAD" w:rsidP="00306EAD">
      <w:pPr>
        <w:pStyle w:val="SingleTxtG"/>
        <w:spacing w:after="0"/>
        <w:ind w:left="1701"/>
      </w:pPr>
      <w:r w:rsidRPr="009C0E00">
        <w:rPr>
          <w:i/>
          <w:iCs/>
        </w:rPr>
        <w:t>Against</w:t>
      </w:r>
      <w:r w:rsidRPr="00103D41">
        <w:t>:</w:t>
      </w:r>
    </w:p>
    <w:p w14:paraId="43CBA503" w14:textId="304F18D3" w:rsidR="00306EAD" w:rsidRDefault="00346B77" w:rsidP="00D06712">
      <w:pPr>
        <w:pStyle w:val="SingleTxtG"/>
        <w:ind w:left="2268"/>
      </w:pPr>
      <w:r w:rsidRPr="00FB66FB">
        <w:t>Bolivia (</w:t>
      </w:r>
      <w:proofErr w:type="spellStart"/>
      <w:r w:rsidRPr="00FB66FB">
        <w:t>Plurinational</w:t>
      </w:r>
      <w:proofErr w:type="spellEnd"/>
      <w:r w:rsidRPr="00FB66FB">
        <w:t xml:space="preserve"> State of)</w:t>
      </w:r>
      <w:r w:rsidRPr="00346B77">
        <w:t>, China</w:t>
      </w:r>
      <w:r>
        <w:t>,</w:t>
      </w:r>
      <w:r w:rsidRPr="00346B77">
        <w:t xml:space="preserve"> Cuba, Eritrea, India, Pakistan, Somalia, Sudan, United Arab Emirates and </w:t>
      </w:r>
      <w:r>
        <w:t xml:space="preserve">Venezuela </w:t>
      </w:r>
      <w:r w:rsidRPr="00FB66FB">
        <w:t>(Bolivarian Republic of)</w:t>
      </w:r>
      <w:r w:rsidR="00306EAD" w:rsidRPr="00FB66FB">
        <w:t xml:space="preserve"> </w:t>
      </w:r>
    </w:p>
    <w:p w14:paraId="7686366F" w14:textId="77777777" w:rsidR="00306EAD" w:rsidRPr="00103D41" w:rsidRDefault="00306EAD" w:rsidP="00306EAD">
      <w:pPr>
        <w:pStyle w:val="SingleTxtG"/>
        <w:spacing w:after="0"/>
        <w:ind w:left="1701"/>
      </w:pPr>
      <w:r w:rsidRPr="009C0E00">
        <w:rPr>
          <w:i/>
          <w:iCs/>
        </w:rPr>
        <w:t>Abstaining</w:t>
      </w:r>
      <w:r w:rsidRPr="00103D41">
        <w:t xml:space="preserve">: </w:t>
      </w:r>
    </w:p>
    <w:p w14:paraId="51464D08" w14:textId="3219B880" w:rsidR="00306EAD" w:rsidRDefault="00346B77" w:rsidP="00D06712">
      <w:pPr>
        <w:pStyle w:val="SingleTxtG"/>
        <w:ind w:left="2268"/>
      </w:pPr>
      <w:r w:rsidRPr="00346B77">
        <w:t xml:space="preserve">Benin, Cameroon, </w:t>
      </w:r>
      <w:r w:rsidRPr="00CF740D">
        <w:t>Côte d’Ivoire</w:t>
      </w:r>
      <w:r w:rsidRPr="00346B77">
        <w:t>, Gabon, Gambia, Indonesia, Kazakhstan, Libya, Malawi, Malaysia, Mauritania, Namibia, Nepal, Qatar, Senegal and Uzbekistan.</w:t>
      </w:r>
      <w:r w:rsidR="00306EAD">
        <w:t>]</w:t>
      </w:r>
    </w:p>
    <w:p w14:paraId="11427684" w14:textId="293BFE0E" w:rsidR="00DB6B8D" w:rsidRPr="00DB6B8D" w:rsidRDefault="00DB6B8D" w:rsidP="00DB6B8D">
      <w:pPr>
        <w:pStyle w:val="SingleTxtG"/>
        <w:spacing w:before="240" w:after="0"/>
        <w:jc w:val="center"/>
        <w:rPr>
          <w:u w:val="single"/>
        </w:rPr>
      </w:pPr>
      <w:r>
        <w:rPr>
          <w:u w:val="single"/>
        </w:rPr>
        <w:tab/>
      </w:r>
      <w:r>
        <w:rPr>
          <w:u w:val="single"/>
        </w:rPr>
        <w:tab/>
      </w:r>
      <w:r>
        <w:rPr>
          <w:u w:val="single"/>
        </w:rPr>
        <w:tab/>
      </w:r>
      <w:r w:rsidR="00B0245E">
        <w:rPr>
          <w:u w:val="single"/>
        </w:rPr>
        <w:tab/>
      </w:r>
    </w:p>
    <w:sectPr w:rsidR="00DB6B8D" w:rsidRPr="00DB6B8D" w:rsidSect="004A3CF0">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7A681" w14:textId="77777777" w:rsidR="003F0DF2" w:rsidRDefault="003F0DF2"/>
  </w:endnote>
  <w:endnote w:type="continuationSeparator" w:id="0">
    <w:p w14:paraId="2A0EC16A" w14:textId="77777777" w:rsidR="003F0DF2" w:rsidRDefault="003F0DF2"/>
  </w:endnote>
  <w:endnote w:type="continuationNotice" w:id="1">
    <w:p w14:paraId="1C7D36F2" w14:textId="77777777" w:rsidR="003F0DF2" w:rsidRDefault="003F0D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0865" w14:textId="7D7D3A6D" w:rsidR="004A3CF0" w:rsidRPr="004A3CF0" w:rsidRDefault="004A3CF0" w:rsidP="004A3CF0">
    <w:pPr>
      <w:pStyle w:val="Footer"/>
      <w:tabs>
        <w:tab w:val="right" w:pos="9638"/>
      </w:tabs>
      <w:rPr>
        <w:sz w:val="18"/>
      </w:rPr>
    </w:pPr>
    <w:r w:rsidRPr="004A3CF0">
      <w:rPr>
        <w:b/>
        <w:sz w:val="18"/>
      </w:rPr>
      <w:fldChar w:fldCharType="begin"/>
    </w:r>
    <w:r w:rsidRPr="004A3CF0">
      <w:rPr>
        <w:b/>
        <w:sz w:val="18"/>
      </w:rPr>
      <w:instrText xml:space="preserve"> PAGE  \* MERGEFORMAT </w:instrText>
    </w:r>
    <w:r w:rsidRPr="004A3CF0">
      <w:rPr>
        <w:b/>
        <w:sz w:val="18"/>
      </w:rPr>
      <w:fldChar w:fldCharType="separate"/>
    </w:r>
    <w:r w:rsidR="00A070E0">
      <w:rPr>
        <w:b/>
        <w:noProof/>
        <w:sz w:val="18"/>
      </w:rPr>
      <w:t>2</w:t>
    </w:r>
    <w:r w:rsidRPr="004A3CF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ACF3" w14:textId="77777777" w:rsidR="004A3CF0" w:rsidRPr="004A3CF0" w:rsidRDefault="004A3CF0" w:rsidP="004A3CF0">
    <w:pPr>
      <w:pStyle w:val="Footer"/>
      <w:tabs>
        <w:tab w:val="right" w:pos="9638"/>
      </w:tabs>
      <w:rPr>
        <w:b/>
        <w:sz w:val="18"/>
      </w:rPr>
    </w:pPr>
    <w:r>
      <w:tab/>
    </w:r>
    <w:r w:rsidRPr="004A3CF0">
      <w:rPr>
        <w:b/>
        <w:sz w:val="18"/>
      </w:rPr>
      <w:fldChar w:fldCharType="begin"/>
    </w:r>
    <w:r w:rsidRPr="004A3CF0">
      <w:rPr>
        <w:b/>
        <w:sz w:val="18"/>
      </w:rPr>
      <w:instrText xml:space="preserve"> PAGE  \* MERGEFORMAT </w:instrText>
    </w:r>
    <w:r w:rsidRPr="004A3CF0">
      <w:rPr>
        <w:b/>
        <w:sz w:val="18"/>
      </w:rPr>
      <w:fldChar w:fldCharType="separate"/>
    </w:r>
    <w:r>
      <w:rPr>
        <w:b/>
        <w:noProof/>
        <w:sz w:val="18"/>
      </w:rPr>
      <w:t>3</w:t>
    </w:r>
    <w:r w:rsidRPr="004A3CF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4CDA8" w14:textId="41B13415" w:rsidR="00387634" w:rsidRDefault="00387634" w:rsidP="00387634">
    <w:pPr>
      <w:pStyle w:val="Footer"/>
    </w:pPr>
    <w:bookmarkStart w:id="1" w:name="_GoBack"/>
    <w:bookmarkEnd w:id="1"/>
    <w:r>
      <w:rPr>
        <w:noProof/>
        <w:lang w:val="en-US" w:eastAsia="zh-CN"/>
      </w:rPr>
      <w:drawing>
        <wp:anchor distT="0" distB="0" distL="114300" distR="114300" simplePos="0" relativeHeight="251659264" behindDoc="1" locked="1" layoutInCell="1" allowOverlap="1" wp14:anchorId="64DF6ED0" wp14:editId="6AAB1E2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627E903" w14:textId="67F955D0" w:rsidR="00387634" w:rsidRPr="00387634" w:rsidRDefault="00387634" w:rsidP="00387634">
    <w:pPr>
      <w:pStyle w:val="Footer"/>
      <w:ind w:right="1134"/>
      <w:rPr>
        <w:sz w:val="20"/>
      </w:rPr>
    </w:pPr>
    <w:r>
      <w:rPr>
        <w:sz w:val="20"/>
      </w:rPr>
      <w:t>GE.22-11084(E)</w:t>
    </w:r>
    <w:r>
      <w:rPr>
        <w:noProof/>
        <w:sz w:val="20"/>
      </w:rPr>
      <w:drawing>
        <wp:anchor distT="0" distB="0" distL="114300" distR="114300" simplePos="0" relativeHeight="251660288" behindDoc="0" locked="0" layoutInCell="1" allowOverlap="1" wp14:anchorId="1AF998F9" wp14:editId="35328F48">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92DB9" w14:textId="77777777" w:rsidR="003F0DF2" w:rsidRPr="000B175B" w:rsidRDefault="003F0DF2" w:rsidP="000B175B">
      <w:pPr>
        <w:tabs>
          <w:tab w:val="right" w:pos="2155"/>
        </w:tabs>
        <w:spacing w:after="80"/>
        <w:ind w:left="680"/>
        <w:rPr>
          <w:u w:val="single"/>
        </w:rPr>
      </w:pPr>
      <w:r>
        <w:rPr>
          <w:u w:val="single"/>
        </w:rPr>
        <w:tab/>
      </w:r>
    </w:p>
  </w:footnote>
  <w:footnote w:type="continuationSeparator" w:id="0">
    <w:p w14:paraId="29A84440" w14:textId="77777777" w:rsidR="003F0DF2" w:rsidRPr="00FC68B7" w:rsidRDefault="003F0DF2" w:rsidP="00FC68B7">
      <w:pPr>
        <w:tabs>
          <w:tab w:val="left" w:pos="2155"/>
        </w:tabs>
        <w:spacing w:after="80"/>
        <w:ind w:left="680"/>
        <w:rPr>
          <w:u w:val="single"/>
        </w:rPr>
      </w:pPr>
      <w:r>
        <w:rPr>
          <w:u w:val="single"/>
        </w:rPr>
        <w:tab/>
      </w:r>
    </w:p>
  </w:footnote>
  <w:footnote w:type="continuationNotice" w:id="1">
    <w:p w14:paraId="6F4977D0" w14:textId="77777777" w:rsidR="003F0DF2" w:rsidRDefault="003F0DF2"/>
  </w:footnote>
  <w:footnote w:id="2">
    <w:p w14:paraId="52BCBE6F" w14:textId="77777777" w:rsidR="001A152B" w:rsidRDefault="001A152B" w:rsidP="001A152B">
      <w:pPr>
        <w:pStyle w:val="FootnoteText"/>
        <w:widowControl w:val="0"/>
      </w:pPr>
      <w:r>
        <w:tab/>
      </w:r>
      <w:r>
        <w:rPr>
          <w:rStyle w:val="FootnoteReference"/>
        </w:rPr>
        <w:footnoteRef/>
      </w:r>
      <w:r>
        <w:tab/>
        <w:t>A/HRC/50/20.</w:t>
      </w:r>
    </w:p>
  </w:footnote>
  <w:footnote w:id="3">
    <w:p w14:paraId="2C54B04E" w14:textId="77777777" w:rsidR="00DB6B8D" w:rsidRDefault="00DB6B8D" w:rsidP="00DB6B8D">
      <w:pPr>
        <w:pStyle w:val="FootnoteText"/>
        <w:widowControl w:val="0"/>
      </w:pPr>
      <w:r>
        <w:tab/>
      </w:r>
      <w:r>
        <w:rPr>
          <w:rStyle w:val="FootnoteReference"/>
        </w:rPr>
        <w:footnoteRef/>
      </w:r>
      <w:r>
        <w:tab/>
        <w:t xml:space="preserve">See A/HRC/41/53, paras. </w:t>
      </w:r>
      <w:r>
        <w:rPr>
          <w:lang w:val="es-ES"/>
        </w:rPr>
        <w:t>78–82.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DEF0" w14:textId="4BB883C0" w:rsidR="004A3CF0" w:rsidRPr="004A3CF0" w:rsidRDefault="009C5EFD">
    <w:pPr>
      <w:pStyle w:val="Header"/>
    </w:pPr>
    <w:r>
      <w:t>A/HRC/</w:t>
    </w:r>
    <w:r w:rsidR="00306EAD">
      <w:t>RES/</w:t>
    </w:r>
    <w:r w:rsidR="00E46099">
      <w:t>50</w:t>
    </w:r>
    <w:r w:rsidR="00532B61">
      <w:t>/</w:t>
    </w:r>
    <w:r w:rsidR="00306EAD">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43BF" w14:textId="3D78B9FA" w:rsidR="004A3CF0" w:rsidRPr="004A3CF0" w:rsidRDefault="00387634" w:rsidP="004A3CF0">
    <w:pPr>
      <w:pStyle w:val="Header"/>
      <w:jc w:val="right"/>
    </w:pPr>
    <w:r>
      <w:fldChar w:fldCharType="begin"/>
    </w:r>
    <w:r>
      <w:instrText xml:space="preserve"> TITLE  \* MERGEFORMAT </w:instrText>
    </w:r>
    <w:r>
      <w:fldChar w:fldCharType="separate"/>
    </w:r>
    <w:r w:rsidR="0075251D">
      <w:t>A/HRC/37/L.</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CF0"/>
    <w:rsid w:val="00007F7F"/>
    <w:rsid w:val="00022DB5"/>
    <w:rsid w:val="000403D1"/>
    <w:rsid w:val="000449AA"/>
    <w:rsid w:val="00050F6B"/>
    <w:rsid w:val="0005662A"/>
    <w:rsid w:val="00072C8C"/>
    <w:rsid w:val="00073E70"/>
    <w:rsid w:val="0007650C"/>
    <w:rsid w:val="000876EB"/>
    <w:rsid w:val="00091419"/>
    <w:rsid w:val="000931C0"/>
    <w:rsid w:val="000B175B"/>
    <w:rsid w:val="000B2851"/>
    <w:rsid w:val="000B3A0F"/>
    <w:rsid w:val="000B4A3B"/>
    <w:rsid w:val="000B7EF6"/>
    <w:rsid w:val="000C59D8"/>
    <w:rsid w:val="000D1851"/>
    <w:rsid w:val="000E0415"/>
    <w:rsid w:val="00120A63"/>
    <w:rsid w:val="00146D32"/>
    <w:rsid w:val="001509BA"/>
    <w:rsid w:val="00164745"/>
    <w:rsid w:val="001A152B"/>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7BAB"/>
    <w:rsid w:val="002C21F0"/>
    <w:rsid w:val="00306EAD"/>
    <w:rsid w:val="003107FA"/>
    <w:rsid w:val="003229D8"/>
    <w:rsid w:val="00324451"/>
    <w:rsid w:val="003314D1"/>
    <w:rsid w:val="00335A2F"/>
    <w:rsid w:val="00341937"/>
    <w:rsid w:val="00346B77"/>
    <w:rsid w:val="00351920"/>
    <w:rsid w:val="00356377"/>
    <w:rsid w:val="00387634"/>
    <w:rsid w:val="0039277A"/>
    <w:rsid w:val="003972E0"/>
    <w:rsid w:val="003975ED"/>
    <w:rsid w:val="003C2CC4"/>
    <w:rsid w:val="003D4B23"/>
    <w:rsid w:val="003F0DF2"/>
    <w:rsid w:val="004057F2"/>
    <w:rsid w:val="00424C80"/>
    <w:rsid w:val="00431194"/>
    <w:rsid w:val="004325CB"/>
    <w:rsid w:val="0044497F"/>
    <w:rsid w:val="0044503A"/>
    <w:rsid w:val="00446DE4"/>
    <w:rsid w:val="00447761"/>
    <w:rsid w:val="00451EC3"/>
    <w:rsid w:val="004721B1"/>
    <w:rsid w:val="00476801"/>
    <w:rsid w:val="004859EC"/>
    <w:rsid w:val="00496A15"/>
    <w:rsid w:val="004A3CF0"/>
    <w:rsid w:val="004B31DA"/>
    <w:rsid w:val="004B75D2"/>
    <w:rsid w:val="004D1140"/>
    <w:rsid w:val="004F55ED"/>
    <w:rsid w:val="005137DA"/>
    <w:rsid w:val="0052176C"/>
    <w:rsid w:val="005261E5"/>
    <w:rsid w:val="00532B61"/>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5F50E7"/>
    <w:rsid w:val="00611FC4"/>
    <w:rsid w:val="006176FB"/>
    <w:rsid w:val="00640B26"/>
    <w:rsid w:val="00655B60"/>
    <w:rsid w:val="00670741"/>
    <w:rsid w:val="00696BD6"/>
    <w:rsid w:val="006A6B9D"/>
    <w:rsid w:val="006A7392"/>
    <w:rsid w:val="006B3189"/>
    <w:rsid w:val="006B7D65"/>
    <w:rsid w:val="006D6DA6"/>
    <w:rsid w:val="006E5371"/>
    <w:rsid w:val="006E564B"/>
    <w:rsid w:val="006F13F0"/>
    <w:rsid w:val="006F1FF8"/>
    <w:rsid w:val="006F5035"/>
    <w:rsid w:val="007065EB"/>
    <w:rsid w:val="00720183"/>
    <w:rsid w:val="0072632A"/>
    <w:rsid w:val="0074200B"/>
    <w:rsid w:val="0075251D"/>
    <w:rsid w:val="007A6296"/>
    <w:rsid w:val="007A79E4"/>
    <w:rsid w:val="007A7BA1"/>
    <w:rsid w:val="007B6BA5"/>
    <w:rsid w:val="007C1B62"/>
    <w:rsid w:val="007C3390"/>
    <w:rsid w:val="007C4F4B"/>
    <w:rsid w:val="007D2CDC"/>
    <w:rsid w:val="007D5327"/>
    <w:rsid w:val="007F6611"/>
    <w:rsid w:val="008155C3"/>
    <w:rsid w:val="008175E9"/>
    <w:rsid w:val="0082243E"/>
    <w:rsid w:val="008242D7"/>
    <w:rsid w:val="00855DEB"/>
    <w:rsid w:val="00856CD2"/>
    <w:rsid w:val="00861BC6"/>
    <w:rsid w:val="00871FD5"/>
    <w:rsid w:val="00876690"/>
    <w:rsid w:val="008847BB"/>
    <w:rsid w:val="008979B1"/>
    <w:rsid w:val="008A6B25"/>
    <w:rsid w:val="008A6C4F"/>
    <w:rsid w:val="008C0836"/>
    <w:rsid w:val="008C1E4D"/>
    <w:rsid w:val="008E0E46"/>
    <w:rsid w:val="0090452C"/>
    <w:rsid w:val="00907C3F"/>
    <w:rsid w:val="0092237C"/>
    <w:rsid w:val="0093707B"/>
    <w:rsid w:val="009400EB"/>
    <w:rsid w:val="009427E3"/>
    <w:rsid w:val="00946575"/>
    <w:rsid w:val="00956D9B"/>
    <w:rsid w:val="00963CBA"/>
    <w:rsid w:val="00965297"/>
    <w:rsid w:val="009654B7"/>
    <w:rsid w:val="009721B0"/>
    <w:rsid w:val="00991261"/>
    <w:rsid w:val="009A0B83"/>
    <w:rsid w:val="009B3800"/>
    <w:rsid w:val="009B5216"/>
    <w:rsid w:val="009C5EFD"/>
    <w:rsid w:val="009D22AC"/>
    <w:rsid w:val="009D50DB"/>
    <w:rsid w:val="009E1C4E"/>
    <w:rsid w:val="00A0036A"/>
    <w:rsid w:val="00A01B5D"/>
    <w:rsid w:val="00A05E0B"/>
    <w:rsid w:val="00A070E0"/>
    <w:rsid w:val="00A1427D"/>
    <w:rsid w:val="00A40B72"/>
    <w:rsid w:val="00A4634F"/>
    <w:rsid w:val="00A51CF3"/>
    <w:rsid w:val="00A72F22"/>
    <w:rsid w:val="00A73D32"/>
    <w:rsid w:val="00A748A6"/>
    <w:rsid w:val="00A879A4"/>
    <w:rsid w:val="00A87E95"/>
    <w:rsid w:val="00A92E29"/>
    <w:rsid w:val="00AC5AE2"/>
    <w:rsid w:val="00AD09E9"/>
    <w:rsid w:val="00AE2C85"/>
    <w:rsid w:val="00AF0576"/>
    <w:rsid w:val="00AF3829"/>
    <w:rsid w:val="00B0245E"/>
    <w:rsid w:val="00B037F0"/>
    <w:rsid w:val="00B2327D"/>
    <w:rsid w:val="00B2718F"/>
    <w:rsid w:val="00B30179"/>
    <w:rsid w:val="00B3317B"/>
    <w:rsid w:val="00B334DC"/>
    <w:rsid w:val="00B3631A"/>
    <w:rsid w:val="00B51F23"/>
    <w:rsid w:val="00B53013"/>
    <w:rsid w:val="00B67F5E"/>
    <w:rsid w:val="00B73E65"/>
    <w:rsid w:val="00B81E12"/>
    <w:rsid w:val="00B87110"/>
    <w:rsid w:val="00B97FA8"/>
    <w:rsid w:val="00BC1385"/>
    <w:rsid w:val="00BC74E9"/>
    <w:rsid w:val="00BE618E"/>
    <w:rsid w:val="00BE655C"/>
    <w:rsid w:val="00C1520C"/>
    <w:rsid w:val="00C217E7"/>
    <w:rsid w:val="00C24693"/>
    <w:rsid w:val="00C35F0B"/>
    <w:rsid w:val="00C463DD"/>
    <w:rsid w:val="00C550F4"/>
    <w:rsid w:val="00C61599"/>
    <w:rsid w:val="00C64458"/>
    <w:rsid w:val="00C745C3"/>
    <w:rsid w:val="00C75627"/>
    <w:rsid w:val="00C873F6"/>
    <w:rsid w:val="00CA01BD"/>
    <w:rsid w:val="00CA2A58"/>
    <w:rsid w:val="00CC0B55"/>
    <w:rsid w:val="00CD6995"/>
    <w:rsid w:val="00CE4A8F"/>
    <w:rsid w:val="00CF0214"/>
    <w:rsid w:val="00CF586F"/>
    <w:rsid w:val="00CF7D43"/>
    <w:rsid w:val="00D06712"/>
    <w:rsid w:val="00D11129"/>
    <w:rsid w:val="00D2031B"/>
    <w:rsid w:val="00D22332"/>
    <w:rsid w:val="00D25FE2"/>
    <w:rsid w:val="00D43252"/>
    <w:rsid w:val="00D550F9"/>
    <w:rsid w:val="00D56874"/>
    <w:rsid w:val="00D572B0"/>
    <w:rsid w:val="00D62E90"/>
    <w:rsid w:val="00D76BE5"/>
    <w:rsid w:val="00D828DE"/>
    <w:rsid w:val="00D978C6"/>
    <w:rsid w:val="00DA480B"/>
    <w:rsid w:val="00DA67AD"/>
    <w:rsid w:val="00DB18CE"/>
    <w:rsid w:val="00DB5566"/>
    <w:rsid w:val="00DB6B8D"/>
    <w:rsid w:val="00DE3EC0"/>
    <w:rsid w:val="00E11593"/>
    <w:rsid w:val="00E12B6B"/>
    <w:rsid w:val="00E130AB"/>
    <w:rsid w:val="00E438D9"/>
    <w:rsid w:val="00E46099"/>
    <w:rsid w:val="00E5644E"/>
    <w:rsid w:val="00E600F6"/>
    <w:rsid w:val="00E7260F"/>
    <w:rsid w:val="00E806EE"/>
    <w:rsid w:val="00E96630"/>
    <w:rsid w:val="00EB0FB9"/>
    <w:rsid w:val="00ED0CA9"/>
    <w:rsid w:val="00ED7A2A"/>
    <w:rsid w:val="00EF1D7F"/>
    <w:rsid w:val="00EF5BDB"/>
    <w:rsid w:val="00F07FD9"/>
    <w:rsid w:val="00F23933"/>
    <w:rsid w:val="00F24119"/>
    <w:rsid w:val="00F3311D"/>
    <w:rsid w:val="00F40E75"/>
    <w:rsid w:val="00F42CD9"/>
    <w:rsid w:val="00F52936"/>
    <w:rsid w:val="00F54083"/>
    <w:rsid w:val="00F677CB"/>
    <w:rsid w:val="00F67B04"/>
    <w:rsid w:val="00FA7BE2"/>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99C0D"/>
  <w15:docId w15:val="{52A9BE94-9455-445C-BC8C-A2DCC9DE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link w:val="FootnoteText"/>
    <w:locked/>
    <w:rsid w:val="00DB6B8D"/>
    <w:rPr>
      <w:sz w:val="18"/>
      <w:lang w:eastAsia="en-US"/>
    </w:rPr>
  </w:style>
  <w:style w:type="paragraph" w:styleId="Revision">
    <w:name w:val="Revision"/>
    <w:hidden/>
    <w:uiPriority w:val="99"/>
    <w:semiHidden/>
    <w:rsid w:val="00A40B72"/>
    <w:rPr>
      <w:lang w:eastAsia="en-US"/>
    </w:rPr>
  </w:style>
  <w:style w:type="character" w:customStyle="1" w:styleId="SingleTxtGChar">
    <w:name w:val="_ Single Txt_G Char"/>
    <w:link w:val="SingleTxtG"/>
    <w:qFormat/>
    <w:locked/>
    <w:rsid w:val="00306EA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67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2</Pages>
  <Words>615</Words>
  <Characters>3504</Characters>
  <Application>Microsoft Office Word</Application>
  <DocSecurity>0</DocSecurity>
  <Lines>78</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A/HRC/50/L.19</vt:lpstr>
      <vt:lpstr/>
    </vt:vector>
  </TitlesOfParts>
  <Company>CSD</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A/HRC/RES/50/2</dc:title>
  <dc:subject>2211084</dc:subject>
  <dc:creator>Sumiko IHARA</dc:creator>
  <cp:keywords/>
  <dc:description/>
  <cp:lastModifiedBy>Pauline Anne Escalante</cp:lastModifiedBy>
  <cp:revision>2</cp:revision>
  <cp:lastPrinted>2008-01-29T08:30:00Z</cp:lastPrinted>
  <dcterms:created xsi:type="dcterms:W3CDTF">2022-07-15T15:11:00Z</dcterms:created>
  <dcterms:modified xsi:type="dcterms:W3CDTF">2022-07-15T15:11:00Z</dcterms:modified>
</cp:coreProperties>
</file>