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0829C2" w:rsidP="000829C2">
            <w:pPr>
              <w:bidi w:val="0"/>
              <w:spacing w:after="20"/>
              <w:jc w:val="left"/>
              <w:rPr>
                <w:szCs w:val="20"/>
              </w:rPr>
            </w:pPr>
            <w:r w:rsidRPr="000829C2">
              <w:rPr>
                <w:sz w:val="40"/>
                <w:szCs w:val="20"/>
              </w:rPr>
              <w:t>A</w:t>
            </w:r>
            <w:r>
              <w:rPr>
                <w:szCs w:val="20"/>
              </w:rPr>
              <w:t>/HRC/</w:t>
            </w:r>
            <w:r w:rsidR="00F64A39">
              <w:rPr>
                <w:szCs w:val="20"/>
              </w:rPr>
              <w:t>RES/26/7</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0829C2" w:rsidRDefault="000829C2" w:rsidP="00F64A39">
            <w:pPr>
              <w:bidi w:val="0"/>
              <w:spacing w:before="240"/>
              <w:jc w:val="left"/>
            </w:pPr>
            <w:r>
              <w:t xml:space="preserve">Distr.: </w:t>
            </w:r>
            <w:r w:rsidR="00F64A39">
              <w:t>General</w:t>
            </w:r>
          </w:p>
          <w:p w:rsidR="000829C2" w:rsidRDefault="00F64A39" w:rsidP="00F64A39">
            <w:pPr>
              <w:bidi w:val="0"/>
              <w:jc w:val="left"/>
            </w:pPr>
            <w:r>
              <w:t>1</w:t>
            </w:r>
            <w:r w:rsidR="000829C2">
              <w:t>0 Ju</w:t>
            </w:r>
            <w:r>
              <w:t>ly</w:t>
            </w:r>
            <w:r w:rsidR="000829C2">
              <w:t xml:space="preserve"> 2014</w:t>
            </w:r>
          </w:p>
          <w:p w:rsidR="000829C2" w:rsidRDefault="000829C2" w:rsidP="000829C2">
            <w:pPr>
              <w:bidi w:val="0"/>
              <w:jc w:val="left"/>
            </w:pPr>
            <w:r>
              <w:t>Arabic</w:t>
            </w:r>
          </w:p>
          <w:p w:rsidR="00257225" w:rsidRPr="008B4BC6" w:rsidRDefault="000829C2" w:rsidP="000829C2">
            <w:pPr>
              <w:bidi w:val="0"/>
              <w:jc w:val="left"/>
            </w:pPr>
            <w:r>
              <w:t>Original: English</w:t>
            </w:r>
          </w:p>
        </w:tc>
      </w:tr>
    </w:tbl>
    <w:p w:rsidR="000829C2" w:rsidRPr="008E456C" w:rsidRDefault="000829C2" w:rsidP="000829C2">
      <w:pPr>
        <w:spacing w:before="120" w:line="380" w:lineRule="exact"/>
        <w:rPr>
          <w:rFonts w:hint="cs"/>
          <w:b/>
          <w:bCs/>
          <w:sz w:val="26"/>
          <w:szCs w:val="36"/>
          <w:rtl/>
          <w:lang w:val="fr-CH"/>
        </w:rPr>
      </w:pPr>
      <w:r w:rsidRPr="008E456C">
        <w:rPr>
          <w:rFonts w:hint="cs"/>
          <w:b/>
          <w:bCs/>
          <w:sz w:val="26"/>
          <w:szCs w:val="36"/>
          <w:rtl/>
          <w:lang w:val="fr-CH"/>
        </w:rPr>
        <w:t>مجلس حقوق الإنسان</w:t>
      </w:r>
    </w:p>
    <w:p w:rsidR="000829C2" w:rsidRDefault="000829C2" w:rsidP="000829C2">
      <w:pPr>
        <w:spacing w:line="380" w:lineRule="exact"/>
        <w:rPr>
          <w:rFonts w:hint="cs"/>
          <w:b/>
          <w:bCs/>
          <w:rtl/>
          <w:lang w:val="fr-CH"/>
        </w:rPr>
      </w:pPr>
      <w:r>
        <w:rPr>
          <w:rFonts w:hint="cs"/>
          <w:b/>
          <w:bCs/>
          <w:rtl/>
          <w:lang w:val="fr-CH"/>
        </w:rPr>
        <w:t>الدورة السادسة والعشرون</w:t>
      </w:r>
    </w:p>
    <w:p w:rsidR="000829C2" w:rsidRPr="008E456C" w:rsidRDefault="000829C2" w:rsidP="000829C2">
      <w:pPr>
        <w:spacing w:line="380" w:lineRule="exact"/>
        <w:rPr>
          <w:rFonts w:hint="cs"/>
          <w:rtl/>
          <w:lang w:val="fr-CH"/>
        </w:rPr>
      </w:pPr>
      <w:r w:rsidRPr="008E456C">
        <w:rPr>
          <w:rFonts w:hint="cs"/>
          <w:rtl/>
          <w:lang w:val="fr-CH"/>
        </w:rPr>
        <w:t>البند 3 من جدول الأعمال</w:t>
      </w:r>
    </w:p>
    <w:p w:rsidR="000829C2" w:rsidRDefault="000829C2" w:rsidP="000829C2">
      <w:pPr>
        <w:spacing w:after="240" w:line="380" w:lineRule="exact"/>
        <w:ind w:right="4298"/>
        <w:rPr>
          <w:rFonts w:hint="cs"/>
          <w:b/>
          <w:bCs/>
          <w:rtl/>
          <w:lang w:val="fr-CH"/>
        </w:rPr>
      </w:pPr>
      <w:r>
        <w:rPr>
          <w:rFonts w:hint="cs"/>
          <w:b/>
          <w:bCs/>
          <w:rtl/>
          <w:lang w:val="fr-CH"/>
        </w:rPr>
        <w:t xml:space="preserve">تعزيز وحماية جميع حقوق الإنسان، المدنية والسياسية والاقتصادية والاجتماعية والثقافية، بما في ذلك الحق في التنمية </w:t>
      </w:r>
    </w:p>
    <w:p w:rsidR="000829C2" w:rsidRPr="00380BD2" w:rsidRDefault="000829C2" w:rsidP="00F64A39">
      <w:pPr>
        <w:pStyle w:val="HChGA"/>
        <w:rPr>
          <w:rFonts w:hint="cs"/>
          <w:rtl/>
          <w:lang w:val="fr-CH"/>
        </w:rPr>
      </w:pPr>
      <w:r w:rsidRPr="00380BD2">
        <w:rPr>
          <w:rFonts w:hint="cs"/>
          <w:rtl/>
        </w:rPr>
        <w:tab/>
      </w:r>
      <w:r w:rsidRPr="00380BD2">
        <w:rPr>
          <w:rFonts w:hint="cs"/>
          <w:szCs w:val="40"/>
          <w:rtl/>
        </w:rPr>
        <w:tab/>
      </w:r>
      <w:r w:rsidR="00F64A39">
        <w:rPr>
          <w:rFonts w:hint="cs"/>
          <w:rtl/>
        </w:rPr>
        <w:t>قرار اعتمده مجلس حقوق الإنسان</w:t>
      </w:r>
      <w:r w:rsidRPr="00380BD2">
        <w:rPr>
          <w:rFonts w:hint="cs"/>
          <w:rtl/>
        </w:rPr>
        <w:t xml:space="preserve"> </w:t>
      </w:r>
    </w:p>
    <w:p w:rsidR="000829C2" w:rsidRDefault="000829C2" w:rsidP="00F64A39">
      <w:pPr>
        <w:pStyle w:val="HChGA"/>
        <w:jc w:val="left"/>
        <w:rPr>
          <w:rFonts w:hint="cs"/>
          <w:rtl/>
          <w:lang w:val="fr-CH"/>
        </w:rPr>
      </w:pPr>
      <w:r>
        <w:rPr>
          <w:rFonts w:hint="cs"/>
          <w:rtl/>
          <w:lang w:val="fr-CH"/>
        </w:rPr>
        <w:tab/>
      </w:r>
      <w:r>
        <w:rPr>
          <w:rFonts w:hint="cs"/>
          <w:rtl/>
          <w:lang w:val="fr-CH"/>
        </w:rPr>
        <w:tab/>
        <w:t>26/</w:t>
      </w:r>
      <w:r w:rsidR="00F64A39">
        <w:rPr>
          <w:rFonts w:hint="cs"/>
          <w:rtl/>
          <w:lang w:val="fr-CH"/>
        </w:rPr>
        <w:t>7</w:t>
      </w:r>
      <w:r>
        <w:rPr>
          <w:rtl/>
          <w:lang w:val="fr-CH"/>
        </w:rPr>
        <w:br/>
      </w:r>
      <w:r>
        <w:rPr>
          <w:rFonts w:hint="cs"/>
          <w:rtl/>
          <w:lang w:val="fr-CH"/>
        </w:rPr>
        <w:t>ولاية المقررة الخاصة المعنية باستقلال القضاة والمحامين</w:t>
      </w:r>
    </w:p>
    <w:p w:rsidR="000829C2" w:rsidRPr="00ED1388" w:rsidRDefault="000829C2" w:rsidP="000829C2">
      <w:pPr>
        <w:pStyle w:val="SingleTxtGA"/>
        <w:rPr>
          <w:rFonts w:hint="cs"/>
          <w:i/>
          <w:iCs/>
          <w:rtl/>
          <w:lang w:val="fr-CH"/>
        </w:rPr>
      </w:pPr>
      <w:r w:rsidRPr="00ED1388">
        <w:rPr>
          <w:rFonts w:hint="cs"/>
          <w:i/>
          <w:iCs/>
          <w:rtl/>
          <w:lang w:val="fr-CH"/>
        </w:rPr>
        <w:tab/>
        <w:t xml:space="preserve">إن مجلس حقوق الإنسان، </w:t>
      </w:r>
    </w:p>
    <w:p w:rsidR="000829C2" w:rsidRDefault="000829C2" w:rsidP="000829C2">
      <w:pPr>
        <w:pStyle w:val="SingleTxtGA"/>
        <w:rPr>
          <w:rFonts w:hint="cs"/>
          <w:spacing w:val="-2"/>
          <w:rtl/>
          <w:lang w:val="fr-CH"/>
        </w:rPr>
      </w:pPr>
      <w:r w:rsidRPr="008E456C">
        <w:rPr>
          <w:rFonts w:hint="cs"/>
          <w:spacing w:val="-2"/>
          <w:rtl/>
          <w:lang w:val="fr-CH"/>
        </w:rPr>
        <w:tab/>
      </w:r>
      <w:r w:rsidRPr="000829C2">
        <w:rPr>
          <w:rFonts w:hint="cs"/>
          <w:i/>
          <w:iCs/>
          <w:spacing w:val="-2"/>
          <w:rtl/>
          <w:lang w:val="fr-CH"/>
        </w:rPr>
        <w:t>إذ يشير</w:t>
      </w:r>
      <w:r w:rsidRPr="008E456C">
        <w:rPr>
          <w:rFonts w:hint="cs"/>
          <w:spacing w:val="-2"/>
          <w:rtl/>
          <w:lang w:val="fr-CH"/>
        </w:rPr>
        <w:t xml:space="preserve"> </w:t>
      </w:r>
      <w:r>
        <w:rPr>
          <w:rFonts w:hint="cs"/>
          <w:spacing w:val="-2"/>
          <w:rtl/>
          <w:lang w:val="fr-CH"/>
        </w:rPr>
        <w:t>إلى جميع قراراته ومقرراته السابقة</w:t>
      </w:r>
      <w:r w:rsidRPr="008E456C">
        <w:rPr>
          <w:rFonts w:hint="cs"/>
          <w:spacing w:val="-2"/>
          <w:rtl/>
          <w:lang w:val="fr-CH"/>
        </w:rPr>
        <w:t>،</w:t>
      </w:r>
      <w:r>
        <w:rPr>
          <w:rFonts w:hint="cs"/>
          <w:spacing w:val="-2"/>
          <w:rtl/>
          <w:lang w:val="fr-CH"/>
        </w:rPr>
        <w:t xml:space="preserve"> وكذلك إلى قرارات ومقررات لجنة حقوق الإنسان والجمعية العامة، بشأن استقلال القضاء ونزاهة النظام القضائي،</w:t>
      </w:r>
    </w:p>
    <w:p w:rsidR="000829C2" w:rsidRDefault="000829C2" w:rsidP="000829C2">
      <w:pPr>
        <w:pStyle w:val="SingleTxtGA"/>
        <w:rPr>
          <w:rFonts w:hint="cs"/>
          <w:rtl/>
        </w:rPr>
      </w:pPr>
      <w:r>
        <w:rPr>
          <w:rFonts w:hint="cs"/>
          <w:spacing w:val="-2"/>
          <w:rtl/>
          <w:lang w:val="fr-CH"/>
        </w:rPr>
        <w:tab/>
      </w:r>
      <w:r w:rsidRPr="000829C2">
        <w:rPr>
          <w:rFonts w:hint="cs"/>
          <w:i/>
          <w:iCs/>
          <w:spacing w:val="-2"/>
          <w:rtl/>
          <w:lang w:val="fr-CH"/>
        </w:rPr>
        <w:t>واقتناعاً منه</w:t>
      </w:r>
      <w:r>
        <w:rPr>
          <w:rFonts w:hint="cs"/>
          <w:spacing w:val="-2"/>
          <w:rtl/>
          <w:lang w:val="fr-CH"/>
        </w:rPr>
        <w:t xml:space="preserve"> </w:t>
      </w:r>
      <w:r>
        <w:rPr>
          <w:rFonts w:hint="cs"/>
          <w:rtl/>
        </w:rPr>
        <w:t xml:space="preserve">بأن استقلال ونزاهة القضاء، واستقلال المهنة القانونية، ووجود نيابة عامة موضوعية ونزيهة قادرة على أداء وظائفها وفقاً لذلك، وسلامة النظام القضائي هي شروط أساسية لا بد منها لحماية حقوق الإنسان والحريات الأساسية وإعمال سيادة القانون، ولضمان إجراء محاكمات عادلة دون أي تمييز، </w:t>
      </w:r>
    </w:p>
    <w:p w:rsidR="000829C2" w:rsidRDefault="000829C2" w:rsidP="00ED1388">
      <w:pPr>
        <w:pStyle w:val="SingleTxtGA"/>
        <w:rPr>
          <w:rFonts w:hint="cs"/>
          <w:rtl/>
        </w:rPr>
      </w:pPr>
      <w:r>
        <w:rPr>
          <w:rFonts w:hint="cs"/>
          <w:rtl/>
        </w:rPr>
        <w:tab/>
      </w:r>
      <w:r w:rsidRPr="000829C2">
        <w:rPr>
          <w:rFonts w:hint="cs"/>
          <w:i/>
          <w:iCs/>
          <w:rtl/>
        </w:rPr>
        <w:t>وإذ يدين</w:t>
      </w:r>
      <w:r>
        <w:rPr>
          <w:rFonts w:hint="cs"/>
          <w:rtl/>
        </w:rPr>
        <w:t xml:space="preserve"> الاعتداءات المتكررة بوتيرة متزايدة على استقلال القضاة والمحامين وأعضاء النيابة العامة وموظفي المحاكم، ولا سيما حالات التهديد والترهيب والتدخل في أداء مهامهم المهنية، </w:t>
      </w:r>
    </w:p>
    <w:p w:rsidR="000829C2" w:rsidRDefault="000829C2" w:rsidP="000829C2">
      <w:pPr>
        <w:pStyle w:val="SingleTxtGA"/>
        <w:rPr>
          <w:rFonts w:hint="cs"/>
          <w:rtl/>
        </w:rPr>
      </w:pPr>
      <w:r w:rsidRPr="00167581">
        <w:rPr>
          <w:rFonts w:hint="cs"/>
          <w:rtl/>
        </w:rPr>
        <w:tab/>
      </w:r>
      <w:r w:rsidRPr="000829C2">
        <w:rPr>
          <w:rFonts w:hint="cs"/>
          <w:i/>
          <w:iCs/>
          <w:rtl/>
        </w:rPr>
        <w:t>وإذ يشير</w:t>
      </w:r>
      <w:r w:rsidRPr="00167581">
        <w:rPr>
          <w:rFonts w:hint="cs"/>
          <w:rtl/>
        </w:rPr>
        <w:t xml:space="preserve"> إلى </w:t>
      </w:r>
      <w:r>
        <w:rPr>
          <w:rFonts w:hint="cs"/>
          <w:rtl/>
        </w:rPr>
        <w:t xml:space="preserve">قراريه 5/1 المتعلق ببناء مؤسسات المجلس، و5/2 المتعلق بمدونة قواعد السلوك لأصحاب الولايات في إطار الإجراءات الخاصة للمجلس، المؤرخين 18 </w:t>
      </w:r>
      <w:r w:rsidRPr="00167581">
        <w:rPr>
          <w:rFonts w:hint="cs"/>
          <w:sz w:val="30"/>
          <w:rtl/>
        </w:rPr>
        <w:t xml:space="preserve">حزيران/يونيه </w:t>
      </w:r>
      <w:r>
        <w:rPr>
          <w:rFonts w:hint="cs"/>
          <w:rtl/>
        </w:rPr>
        <w:t xml:space="preserve">2007، وإذ يشدد على ضرورة اضطلاع المكلَّف بالولاية بواجباته وفقاً لهذين القرارين ومرفقاتهما، </w:t>
      </w:r>
    </w:p>
    <w:p w:rsidR="000829C2" w:rsidRDefault="000829C2" w:rsidP="000829C2">
      <w:pPr>
        <w:pStyle w:val="SingleTxtGA"/>
        <w:rPr>
          <w:rFonts w:hint="cs"/>
          <w:rtl/>
        </w:rPr>
      </w:pPr>
      <w:r>
        <w:rPr>
          <w:rFonts w:hint="cs"/>
          <w:rtl/>
        </w:rPr>
        <w:tab/>
      </w:r>
      <w:r w:rsidRPr="00167581">
        <w:rPr>
          <w:rFonts w:hint="cs"/>
          <w:rtl/>
        </w:rPr>
        <w:t>1-</w:t>
      </w:r>
      <w:r>
        <w:rPr>
          <w:rFonts w:hint="cs"/>
          <w:rtl/>
        </w:rPr>
        <w:tab/>
      </w:r>
      <w:r w:rsidRPr="000829C2">
        <w:rPr>
          <w:rFonts w:hint="cs"/>
          <w:i/>
          <w:iCs/>
          <w:rtl/>
        </w:rPr>
        <w:t>يثني</w:t>
      </w:r>
      <w:r>
        <w:rPr>
          <w:rFonts w:hint="cs"/>
          <w:rtl/>
        </w:rPr>
        <w:t xml:space="preserve"> على المقررة الخاصة المعنية باستقلال القضاة والمحامين لما اضطلعت به من عمل مهم في أداء ولايتها؛ </w:t>
      </w:r>
    </w:p>
    <w:p w:rsidR="000829C2" w:rsidRDefault="000829C2" w:rsidP="000829C2">
      <w:pPr>
        <w:pStyle w:val="SingleTxtGA"/>
        <w:rPr>
          <w:rFonts w:hint="cs"/>
          <w:rtl/>
        </w:rPr>
      </w:pPr>
      <w:r>
        <w:rPr>
          <w:rFonts w:hint="cs"/>
          <w:rtl/>
        </w:rPr>
        <w:tab/>
        <w:t>2</w:t>
      </w:r>
      <w:r w:rsidRPr="00167581">
        <w:rPr>
          <w:rFonts w:hint="cs"/>
          <w:rtl/>
        </w:rPr>
        <w:t>-</w:t>
      </w:r>
      <w:r>
        <w:rPr>
          <w:rFonts w:hint="cs"/>
          <w:rtl/>
        </w:rPr>
        <w:tab/>
      </w:r>
      <w:r w:rsidRPr="000829C2">
        <w:rPr>
          <w:rFonts w:hint="cs"/>
          <w:i/>
          <w:iCs/>
          <w:rtl/>
        </w:rPr>
        <w:t>يقرر</w:t>
      </w:r>
      <w:r>
        <w:rPr>
          <w:rFonts w:hint="cs"/>
          <w:rtl/>
        </w:rPr>
        <w:t xml:space="preserve"> تمديد ولاية المقررة الخاصة لفترة ثلاث سنوات، بالشروط ذاتها المنصوص عليها في قرار مجلس حقوق الإنسان 17/2 المؤرخ 16 </w:t>
      </w:r>
      <w:r w:rsidRPr="00167581">
        <w:rPr>
          <w:rFonts w:hint="cs"/>
          <w:sz w:val="30"/>
          <w:rtl/>
        </w:rPr>
        <w:t xml:space="preserve">حزيران/يونيه </w:t>
      </w:r>
      <w:r>
        <w:rPr>
          <w:rFonts w:hint="cs"/>
          <w:rtl/>
        </w:rPr>
        <w:t xml:space="preserve">2011؛ </w:t>
      </w:r>
    </w:p>
    <w:p w:rsidR="000829C2" w:rsidRDefault="000829C2" w:rsidP="000829C2">
      <w:pPr>
        <w:pStyle w:val="SingleTxtGA"/>
        <w:rPr>
          <w:rFonts w:hint="cs"/>
          <w:rtl/>
        </w:rPr>
      </w:pPr>
      <w:r>
        <w:rPr>
          <w:rFonts w:hint="cs"/>
          <w:rtl/>
        </w:rPr>
        <w:tab/>
        <w:t>3</w:t>
      </w:r>
      <w:r w:rsidRPr="00167581">
        <w:rPr>
          <w:rFonts w:hint="cs"/>
          <w:rtl/>
        </w:rPr>
        <w:t>-</w:t>
      </w:r>
      <w:r>
        <w:rPr>
          <w:rFonts w:hint="cs"/>
          <w:rtl/>
        </w:rPr>
        <w:tab/>
      </w:r>
      <w:r w:rsidRPr="000829C2">
        <w:rPr>
          <w:rFonts w:hint="cs"/>
          <w:i/>
          <w:iCs/>
          <w:rtl/>
        </w:rPr>
        <w:t xml:space="preserve">يحث </w:t>
      </w:r>
      <w:r>
        <w:rPr>
          <w:rFonts w:hint="cs"/>
          <w:rtl/>
        </w:rPr>
        <w:t xml:space="preserve">جميع الحكومات على التعاون مع المقررة الخاصة ومساعدتها في أداء مهامها، وموافاتها بجميع المعلومات الضرورية التي تطلبها، والرد على الرسائل التي تحيلها إليها المقررة الخاصة دون إبطاء لا مبرر له، </w:t>
      </w:r>
      <w:r w:rsidR="00F64A39">
        <w:rPr>
          <w:rFonts w:hint="cs"/>
          <w:rtl/>
        </w:rPr>
        <w:t>‘</w:t>
      </w:r>
      <w:r>
        <w:rPr>
          <w:rFonts w:hint="cs"/>
          <w:rtl/>
        </w:rPr>
        <w:t>والنظر في الاستجابة لطلباتها بشأن زيارة بلدانها</w:t>
      </w:r>
      <w:r w:rsidR="00F64A39">
        <w:rPr>
          <w:rFonts w:hint="cs"/>
          <w:rtl/>
        </w:rPr>
        <w:t>‘</w:t>
      </w:r>
      <w:r>
        <w:rPr>
          <w:rFonts w:hint="cs"/>
          <w:rtl/>
        </w:rPr>
        <w:t xml:space="preserve">، والنظر في تنفيذ توصياتها؛ </w:t>
      </w:r>
    </w:p>
    <w:p w:rsidR="000829C2" w:rsidRDefault="000829C2" w:rsidP="00F64A39">
      <w:pPr>
        <w:pStyle w:val="SingleTxtGA"/>
        <w:rPr>
          <w:rFonts w:hint="cs"/>
          <w:rtl/>
        </w:rPr>
      </w:pPr>
      <w:r>
        <w:rPr>
          <w:rFonts w:hint="cs"/>
          <w:rtl/>
        </w:rPr>
        <w:tab/>
        <w:t>4</w:t>
      </w:r>
      <w:r w:rsidRPr="00167581">
        <w:rPr>
          <w:rFonts w:hint="cs"/>
          <w:rtl/>
        </w:rPr>
        <w:t>-</w:t>
      </w:r>
      <w:r>
        <w:rPr>
          <w:rFonts w:hint="cs"/>
          <w:rtl/>
        </w:rPr>
        <w:tab/>
      </w:r>
      <w:r w:rsidRPr="000829C2">
        <w:rPr>
          <w:rFonts w:hint="cs"/>
          <w:i/>
          <w:iCs/>
          <w:rtl/>
        </w:rPr>
        <w:t xml:space="preserve">يشجع </w:t>
      </w:r>
      <w:r>
        <w:rPr>
          <w:rFonts w:hint="cs"/>
          <w:rtl/>
        </w:rPr>
        <w:t>الأمم المتحدة، بما في ذلك وكالاتها المتخصصة، والمنظمات الإقليمية، والمؤسسات الوطنية لحقوق الإنسان، والخبراء المستقلين، ونقابات المحامين، والرابطات المهنية للقضاة ووكلاء النيابة العامة، والمنظمات غير الحكومية، والجهات الأخرى صاحبة المصلحة على أن تتعاون إلى أقصى</w:t>
      </w:r>
      <w:r w:rsidR="00F64A39">
        <w:rPr>
          <w:rFonts w:hint="cs"/>
          <w:rtl/>
        </w:rPr>
        <w:t xml:space="preserve"> حد</w:t>
      </w:r>
      <w:r>
        <w:rPr>
          <w:rFonts w:hint="cs"/>
          <w:rtl/>
        </w:rPr>
        <w:t xml:space="preserve"> ممكن مع المقررة الخاصة في أداء </w:t>
      </w:r>
      <w:r w:rsidR="00F64A39">
        <w:rPr>
          <w:rFonts w:hint="cs"/>
          <w:rtl/>
        </w:rPr>
        <w:t xml:space="preserve">مهام </w:t>
      </w:r>
      <w:r>
        <w:rPr>
          <w:rFonts w:hint="cs"/>
          <w:rtl/>
        </w:rPr>
        <w:t xml:space="preserve">ولايتها؛ </w:t>
      </w:r>
    </w:p>
    <w:p w:rsidR="000829C2" w:rsidRDefault="000829C2" w:rsidP="000829C2">
      <w:pPr>
        <w:pStyle w:val="SingleTxtGA"/>
        <w:rPr>
          <w:rFonts w:hint="cs"/>
          <w:rtl/>
        </w:rPr>
      </w:pPr>
      <w:r>
        <w:rPr>
          <w:rFonts w:hint="cs"/>
          <w:rtl/>
        </w:rPr>
        <w:tab/>
        <w:t>5</w:t>
      </w:r>
      <w:r w:rsidRPr="00167581">
        <w:rPr>
          <w:rFonts w:hint="cs"/>
          <w:rtl/>
        </w:rPr>
        <w:t>-</w:t>
      </w:r>
      <w:r>
        <w:rPr>
          <w:rFonts w:hint="cs"/>
          <w:rtl/>
        </w:rPr>
        <w:tab/>
      </w:r>
      <w:r w:rsidRPr="001D17CC">
        <w:rPr>
          <w:rFonts w:hint="cs"/>
          <w:i/>
          <w:iCs/>
          <w:rtl/>
        </w:rPr>
        <w:t>يطلب</w:t>
      </w:r>
      <w:r>
        <w:rPr>
          <w:rFonts w:hint="cs"/>
          <w:rtl/>
        </w:rPr>
        <w:t xml:space="preserve"> إلى الأمين العام وإلى مفوضة الأمم المتحدة السامية لحقوق الإنسان تزويد المقررة الخاصة بجميع الموارد البشرية والمالية اللازمة لإنجاز ولايتها بفعالية؛ </w:t>
      </w:r>
    </w:p>
    <w:p w:rsidR="000829C2" w:rsidRDefault="000829C2" w:rsidP="000829C2">
      <w:pPr>
        <w:pStyle w:val="SingleTxtGA"/>
        <w:rPr>
          <w:rFonts w:hint="cs"/>
          <w:rtl/>
        </w:rPr>
      </w:pPr>
      <w:r>
        <w:rPr>
          <w:rFonts w:hint="cs"/>
          <w:rtl/>
        </w:rPr>
        <w:tab/>
        <w:t>6</w:t>
      </w:r>
      <w:r w:rsidRPr="00167581">
        <w:rPr>
          <w:rFonts w:hint="cs"/>
          <w:rtl/>
        </w:rPr>
        <w:t>-</w:t>
      </w:r>
      <w:r>
        <w:rPr>
          <w:rFonts w:hint="cs"/>
          <w:rtl/>
        </w:rPr>
        <w:tab/>
      </w:r>
      <w:r w:rsidRPr="001D17CC">
        <w:rPr>
          <w:rFonts w:hint="cs"/>
          <w:i/>
          <w:iCs/>
          <w:rtl/>
        </w:rPr>
        <w:t>يقرر</w:t>
      </w:r>
      <w:r>
        <w:rPr>
          <w:rFonts w:hint="cs"/>
          <w:rtl/>
        </w:rPr>
        <w:t xml:space="preserve"> مواصلة النظر في هذه المسألة وفقاً لبرنامج عمله السنوي. </w:t>
      </w:r>
    </w:p>
    <w:p w:rsidR="00F64A39" w:rsidRPr="00F64A39" w:rsidRDefault="00F64A39" w:rsidP="00F64A39">
      <w:pPr>
        <w:pStyle w:val="SingleTxtGA"/>
        <w:spacing w:after="0"/>
        <w:jc w:val="right"/>
        <w:rPr>
          <w:rFonts w:hint="cs"/>
          <w:i/>
          <w:iCs/>
          <w:rtl/>
        </w:rPr>
      </w:pPr>
      <w:r w:rsidRPr="00F64A39">
        <w:rPr>
          <w:rFonts w:hint="cs"/>
          <w:i/>
          <w:iCs/>
          <w:rtl/>
        </w:rPr>
        <w:t>الجلسة 37</w:t>
      </w:r>
    </w:p>
    <w:p w:rsidR="00F64A39" w:rsidRPr="00F64A39" w:rsidRDefault="00F64A39" w:rsidP="00F64A39">
      <w:pPr>
        <w:pStyle w:val="SingleTxtGA"/>
        <w:jc w:val="right"/>
        <w:rPr>
          <w:rFonts w:hint="cs"/>
          <w:i/>
          <w:iCs/>
          <w:rtl/>
        </w:rPr>
      </w:pPr>
      <w:r w:rsidRPr="00F64A39">
        <w:rPr>
          <w:rFonts w:hint="cs"/>
          <w:i/>
          <w:iCs/>
          <w:rtl/>
        </w:rPr>
        <w:t xml:space="preserve">26 </w:t>
      </w:r>
      <w:r w:rsidRPr="00F64A39">
        <w:rPr>
          <w:rFonts w:hint="cs"/>
          <w:i/>
          <w:iCs/>
          <w:sz w:val="30"/>
          <w:rtl/>
        </w:rPr>
        <w:t xml:space="preserve">حزيران/يونيه </w:t>
      </w:r>
      <w:r w:rsidRPr="00F64A39">
        <w:rPr>
          <w:rFonts w:hint="cs"/>
          <w:i/>
          <w:iCs/>
          <w:rtl/>
        </w:rPr>
        <w:t>2014</w:t>
      </w:r>
    </w:p>
    <w:p w:rsidR="00F64A39" w:rsidRDefault="00F64A39" w:rsidP="000829C2">
      <w:pPr>
        <w:pStyle w:val="SingleTxtGA"/>
        <w:rPr>
          <w:rFonts w:hint="cs"/>
          <w:rtl/>
        </w:rPr>
      </w:pPr>
      <w:r>
        <w:rPr>
          <w:rFonts w:hint="cs"/>
          <w:rtl/>
        </w:rPr>
        <w:t>[اعتُمد دون تصويت.]</w:t>
      </w:r>
    </w:p>
    <w:p w:rsidR="00F64A39" w:rsidRPr="00F64A39" w:rsidRDefault="00F64A39" w:rsidP="00F64A39">
      <w:pPr>
        <w:spacing w:before="120"/>
        <w:jc w:val="center"/>
        <w:rPr>
          <w:u w:val="single"/>
        </w:rPr>
      </w:pPr>
      <w:r>
        <w:rPr>
          <w:u w:val="single"/>
          <w:rtl/>
        </w:rPr>
        <w:tab/>
      </w:r>
      <w:r>
        <w:rPr>
          <w:u w:val="single"/>
          <w:rtl/>
        </w:rPr>
        <w:tab/>
      </w:r>
      <w:r>
        <w:rPr>
          <w:u w:val="single"/>
          <w:rtl/>
        </w:rPr>
        <w:tab/>
      </w:r>
    </w:p>
    <w:sectPr w:rsidR="00F64A39" w:rsidRPr="00F64A39" w:rsidSect="000829C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FB" w:rsidRPr="00FE6865" w:rsidRDefault="00C94CFB" w:rsidP="00FE6865">
      <w:pPr>
        <w:pStyle w:val="Footer"/>
      </w:pPr>
    </w:p>
  </w:endnote>
  <w:endnote w:type="continuationSeparator" w:id="0">
    <w:p w:rsidR="00C94CFB" w:rsidRDefault="00C94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FB" w:rsidRPr="000829C2" w:rsidRDefault="00C94CFB" w:rsidP="00F64A39">
    <w:pPr>
      <w:pStyle w:val="Footer"/>
      <w:tabs>
        <w:tab w:val="right" w:pos="9598"/>
      </w:tabs>
    </w:pPr>
    <w:r>
      <w:t>GE.14-08082</w:t>
    </w:r>
    <w:r>
      <w:tab/>
    </w:r>
    <w:r w:rsidRPr="000829C2">
      <w:rPr>
        <w:b/>
        <w:sz w:val="18"/>
      </w:rPr>
      <w:fldChar w:fldCharType="begin"/>
    </w:r>
    <w:r w:rsidRPr="000829C2">
      <w:rPr>
        <w:b/>
        <w:sz w:val="18"/>
      </w:rPr>
      <w:instrText xml:space="preserve"> PAGE  \* MERGEFORMAT </w:instrText>
    </w:r>
    <w:r w:rsidRPr="000829C2">
      <w:rPr>
        <w:b/>
        <w:sz w:val="18"/>
      </w:rPr>
      <w:fldChar w:fldCharType="separate"/>
    </w:r>
    <w:r>
      <w:rPr>
        <w:b/>
        <w:noProof/>
        <w:sz w:val="18"/>
      </w:rPr>
      <w:t>2</w:t>
    </w:r>
    <w:r w:rsidRPr="000829C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FB" w:rsidRPr="000829C2" w:rsidRDefault="00C94CFB" w:rsidP="000829C2">
    <w:pPr>
      <w:pStyle w:val="Footer"/>
      <w:tabs>
        <w:tab w:val="right" w:pos="9598"/>
      </w:tabs>
      <w:rPr>
        <w:b/>
        <w:sz w:val="18"/>
      </w:rPr>
    </w:pPr>
    <w:r w:rsidRPr="000829C2">
      <w:rPr>
        <w:b/>
        <w:sz w:val="18"/>
      </w:rPr>
      <w:fldChar w:fldCharType="begin"/>
    </w:r>
    <w:r w:rsidRPr="000829C2">
      <w:rPr>
        <w:b/>
        <w:sz w:val="18"/>
      </w:rPr>
      <w:instrText xml:space="preserve"> PAGE  \* MERGEFORMAT </w:instrText>
    </w:r>
    <w:r w:rsidRPr="000829C2">
      <w:rPr>
        <w:b/>
        <w:sz w:val="18"/>
      </w:rPr>
      <w:fldChar w:fldCharType="separate"/>
    </w:r>
    <w:r>
      <w:rPr>
        <w:b/>
        <w:noProof/>
        <w:sz w:val="18"/>
      </w:rPr>
      <w:t>3</w:t>
    </w:r>
    <w:r w:rsidRPr="000829C2">
      <w:rPr>
        <w:b/>
        <w:sz w:val="18"/>
      </w:rPr>
      <w:fldChar w:fldCharType="end"/>
    </w:r>
    <w:r>
      <w:rPr>
        <w:b/>
        <w:sz w:val="18"/>
      </w:rPr>
      <w:tab/>
    </w:r>
    <w:r>
      <w:t>GE.14-05886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FB" w:rsidRDefault="00C94CFB" w:rsidP="00D9568D">
    <w:pPr>
      <w:pStyle w:val="Footer"/>
      <w:jc w:val="right"/>
    </w:pPr>
    <w:r>
      <w:rPr>
        <w:sz w:val="20"/>
      </w:rPr>
      <w:t>(A)   GE.14-08082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290814    290814</w:t>
    </w:r>
    <w:r>
      <w:br/>
    </w:r>
    <w:r w:rsidRPr="00D9568D">
      <w:rPr>
        <w:rFonts w:ascii="C39T30Lfz" w:hAnsi="C39T30Lfz"/>
        <w:sz w:val="56"/>
      </w:rPr>
      <w:t></w:t>
    </w:r>
    <w:r w:rsidRPr="00D9568D">
      <w:rPr>
        <w:rFonts w:ascii="C39T30Lfz" w:hAnsi="C39T30Lfz"/>
        <w:sz w:val="56"/>
      </w:rPr>
      <w:t></w:t>
    </w:r>
    <w:r w:rsidRPr="00D9568D">
      <w:rPr>
        <w:rFonts w:ascii="C39T30Lfz" w:hAnsi="C39T30Lfz"/>
        <w:sz w:val="56"/>
      </w:rPr>
      <w:t></w:t>
    </w:r>
    <w:r w:rsidRPr="00D9568D">
      <w:rPr>
        <w:rFonts w:ascii="C39T30Lfz" w:hAnsi="C39T30Lfz"/>
        <w:sz w:val="56"/>
      </w:rPr>
      <w:t></w:t>
    </w:r>
    <w:r w:rsidRPr="00D9568D">
      <w:rPr>
        <w:rFonts w:ascii="C39T30Lfz" w:hAnsi="C39T30Lfz"/>
        <w:sz w:val="56"/>
      </w:rPr>
      <w:t></w:t>
    </w:r>
    <w:r w:rsidRPr="00D9568D">
      <w:rPr>
        <w:rFonts w:ascii="C39T30Lfz" w:hAnsi="C39T30Lfz"/>
        <w:sz w:val="56"/>
      </w:rPr>
      <w:t></w:t>
    </w:r>
    <w:r w:rsidRPr="00D9568D">
      <w:rPr>
        <w:rFonts w:ascii="C39T30Lfz" w:hAnsi="C39T30Lfz"/>
        <w:sz w:val="56"/>
      </w:rPr>
      <w:t></w:t>
    </w:r>
    <w:r w:rsidRPr="00D9568D">
      <w:rPr>
        <w:rFonts w:ascii="C39T30Lfz" w:hAnsi="C39T30Lfz"/>
        <w:sz w:val="56"/>
      </w:rPr>
      <w:t></w:t>
    </w:r>
    <w:r w:rsidRPr="00D9568D">
      <w:rPr>
        <w:rFonts w:ascii="C39T30Lfz" w:hAnsi="C39T30Lfz"/>
        <w:sz w:val="56"/>
      </w:rPr>
      <w:t></w:t>
    </w:r>
    <w:r>
      <w:rPr>
        <w:rFonts w:ascii="C39T30Lfz" w:hAnsi="C39T30Lfz"/>
        <w:sz w:val="56"/>
      </w:rPr>
      <w:tab/>
    </w:r>
    <w:r>
      <w:rPr>
        <w:noProof/>
        <w:lang w:val="en-US"/>
      </w:rPr>
      <w:pict>
        <v:shape id="_x0000_s2052" type="#_x0000_t75" style="position:absolute;left:0;text-align:left;margin-left:.05pt;margin-top:0;width:50.25pt;height:50.25pt;z-index:2;mso-position-horizontal-relative:text;mso-position-vertical-relative:text" o:allowincell="f">
          <v:imagedata r:id="rId2" o:title="7&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FB" w:rsidRDefault="00C94CFB" w:rsidP="009A0C39">
      <w:pPr>
        <w:spacing w:after="80" w:line="200" w:lineRule="atLeast"/>
        <w:ind w:left="680"/>
      </w:pPr>
      <w:r w:rsidRPr="00C10C26">
        <w:rPr>
          <w:sz w:val="16"/>
          <w:rtl/>
        </w:rPr>
        <w:t>__________</w:t>
      </w:r>
    </w:p>
  </w:footnote>
  <w:footnote w:type="continuationSeparator" w:id="0">
    <w:p w:rsidR="00C94CFB" w:rsidRDefault="00C94CFB" w:rsidP="00444AA6">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FB" w:rsidRPr="000829C2" w:rsidRDefault="00C94CFB" w:rsidP="00F64A39">
    <w:pPr>
      <w:pStyle w:val="Header"/>
      <w:jc w:val="right"/>
    </w:pPr>
    <w:r w:rsidRPr="000829C2">
      <w:t>A/HRC/</w:t>
    </w:r>
    <w:r>
      <w:rPr>
        <w:szCs w:val="20"/>
      </w:rPr>
      <w:t>RES/26/7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FB" w:rsidRPr="000829C2" w:rsidRDefault="00C94CFB" w:rsidP="000829C2">
    <w:pPr>
      <w:pStyle w:val="Header"/>
      <w:jc w:val="left"/>
    </w:pPr>
    <w:r w:rsidRPr="000829C2">
      <w:t>A/HRC/26/L.18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6E2F"/>
    <w:rsid w:val="00015415"/>
    <w:rsid w:val="00040E25"/>
    <w:rsid w:val="00042149"/>
    <w:rsid w:val="000648EA"/>
    <w:rsid w:val="000829C2"/>
    <w:rsid w:val="000957C8"/>
    <w:rsid w:val="000B13D5"/>
    <w:rsid w:val="000B52F2"/>
    <w:rsid w:val="000D0EAE"/>
    <w:rsid w:val="000D5380"/>
    <w:rsid w:val="000D6654"/>
    <w:rsid w:val="000F0264"/>
    <w:rsid w:val="000F2EBF"/>
    <w:rsid w:val="000F5FF6"/>
    <w:rsid w:val="00113FA5"/>
    <w:rsid w:val="001455A0"/>
    <w:rsid w:val="001602A3"/>
    <w:rsid w:val="001A5161"/>
    <w:rsid w:val="001A60BD"/>
    <w:rsid w:val="001D17CC"/>
    <w:rsid w:val="002038F9"/>
    <w:rsid w:val="0023736D"/>
    <w:rsid w:val="00257225"/>
    <w:rsid w:val="00275860"/>
    <w:rsid w:val="00310160"/>
    <w:rsid w:val="00336E2F"/>
    <w:rsid w:val="00341A8C"/>
    <w:rsid w:val="003519E6"/>
    <w:rsid w:val="00380BD2"/>
    <w:rsid w:val="00383DAA"/>
    <w:rsid w:val="003B4356"/>
    <w:rsid w:val="003D5D43"/>
    <w:rsid w:val="003F08A8"/>
    <w:rsid w:val="004250E3"/>
    <w:rsid w:val="00444AA6"/>
    <w:rsid w:val="00472A81"/>
    <w:rsid w:val="004B2C92"/>
    <w:rsid w:val="004D6A3A"/>
    <w:rsid w:val="004F4AD7"/>
    <w:rsid w:val="005449D8"/>
    <w:rsid w:val="00557CD3"/>
    <w:rsid w:val="00571432"/>
    <w:rsid w:val="005732A2"/>
    <w:rsid w:val="005762A5"/>
    <w:rsid w:val="00590BA3"/>
    <w:rsid w:val="005A1A9A"/>
    <w:rsid w:val="005B7AE0"/>
    <w:rsid w:val="005F146F"/>
    <w:rsid w:val="005F71B6"/>
    <w:rsid w:val="00660FD4"/>
    <w:rsid w:val="006A2FB3"/>
    <w:rsid w:val="006A4425"/>
    <w:rsid w:val="006B4669"/>
    <w:rsid w:val="006C768B"/>
    <w:rsid w:val="006E3473"/>
    <w:rsid w:val="006F2674"/>
    <w:rsid w:val="006F6BF8"/>
    <w:rsid w:val="00707BDF"/>
    <w:rsid w:val="00710727"/>
    <w:rsid w:val="00710DA1"/>
    <w:rsid w:val="00715F45"/>
    <w:rsid w:val="007315AD"/>
    <w:rsid w:val="00731B84"/>
    <w:rsid w:val="00734AE7"/>
    <w:rsid w:val="00776505"/>
    <w:rsid w:val="00786B69"/>
    <w:rsid w:val="007B599E"/>
    <w:rsid w:val="007E197F"/>
    <w:rsid w:val="007F68C4"/>
    <w:rsid w:val="008153DE"/>
    <w:rsid w:val="00852A10"/>
    <w:rsid w:val="00862634"/>
    <w:rsid w:val="00866C59"/>
    <w:rsid w:val="00877306"/>
    <w:rsid w:val="00887B5C"/>
    <w:rsid w:val="008A2F81"/>
    <w:rsid w:val="008A6242"/>
    <w:rsid w:val="008B4BC6"/>
    <w:rsid w:val="00901E57"/>
    <w:rsid w:val="00935F0E"/>
    <w:rsid w:val="0095208F"/>
    <w:rsid w:val="00977B3F"/>
    <w:rsid w:val="009814AE"/>
    <w:rsid w:val="00983870"/>
    <w:rsid w:val="009858CC"/>
    <w:rsid w:val="00994B89"/>
    <w:rsid w:val="00996BBE"/>
    <w:rsid w:val="009A0C39"/>
    <w:rsid w:val="009D1DD5"/>
    <w:rsid w:val="00A11DDA"/>
    <w:rsid w:val="00A26157"/>
    <w:rsid w:val="00A265C3"/>
    <w:rsid w:val="00A43F9A"/>
    <w:rsid w:val="00A543D4"/>
    <w:rsid w:val="00A614CA"/>
    <w:rsid w:val="00AD0014"/>
    <w:rsid w:val="00AD4CF2"/>
    <w:rsid w:val="00AF0BBA"/>
    <w:rsid w:val="00B20996"/>
    <w:rsid w:val="00B30468"/>
    <w:rsid w:val="00B54239"/>
    <w:rsid w:val="00B60E70"/>
    <w:rsid w:val="00B639B9"/>
    <w:rsid w:val="00BB2C41"/>
    <w:rsid w:val="00BC55C8"/>
    <w:rsid w:val="00BC5C10"/>
    <w:rsid w:val="00BE2964"/>
    <w:rsid w:val="00C21DD8"/>
    <w:rsid w:val="00C24FBD"/>
    <w:rsid w:val="00C473BA"/>
    <w:rsid w:val="00C611ED"/>
    <w:rsid w:val="00C6490A"/>
    <w:rsid w:val="00C64FE1"/>
    <w:rsid w:val="00C66164"/>
    <w:rsid w:val="00C8345E"/>
    <w:rsid w:val="00C932B9"/>
    <w:rsid w:val="00C94CFB"/>
    <w:rsid w:val="00CA4C17"/>
    <w:rsid w:val="00CA5F7C"/>
    <w:rsid w:val="00CE7C87"/>
    <w:rsid w:val="00D06637"/>
    <w:rsid w:val="00D51067"/>
    <w:rsid w:val="00D75657"/>
    <w:rsid w:val="00D9568D"/>
    <w:rsid w:val="00D960AD"/>
    <w:rsid w:val="00DA0E0E"/>
    <w:rsid w:val="00DB0C39"/>
    <w:rsid w:val="00DB7679"/>
    <w:rsid w:val="00DE3904"/>
    <w:rsid w:val="00DF1702"/>
    <w:rsid w:val="00DF4DD8"/>
    <w:rsid w:val="00DF668E"/>
    <w:rsid w:val="00E05DE3"/>
    <w:rsid w:val="00E14D2B"/>
    <w:rsid w:val="00E20DBA"/>
    <w:rsid w:val="00E660D6"/>
    <w:rsid w:val="00E771AB"/>
    <w:rsid w:val="00E934BD"/>
    <w:rsid w:val="00EA796F"/>
    <w:rsid w:val="00EB077B"/>
    <w:rsid w:val="00EC50B9"/>
    <w:rsid w:val="00ED1388"/>
    <w:rsid w:val="00ED26A0"/>
    <w:rsid w:val="00F04473"/>
    <w:rsid w:val="00F1727A"/>
    <w:rsid w:val="00F34764"/>
    <w:rsid w:val="00F54E3C"/>
    <w:rsid w:val="00F64A39"/>
    <w:rsid w:val="00F874BD"/>
    <w:rsid w:val="00FA6DD0"/>
    <w:rsid w:val="00FC2EF4"/>
    <w:rsid w:val="00FE55A3"/>
    <w:rsid w:val="00FE6865"/>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0829C2"/>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2</Pages>
  <Words>356</Words>
  <Characters>2031</Characters>
  <Application>Microsoft Office Outlook</Application>
  <DocSecurity>4</DocSecurity>
  <Lines>16</Lines>
  <Paragraphs>4</Paragraphs>
  <ScaleCrop>false</ScaleCrop>
  <HeadingPairs>
    <vt:vector size="2" baseType="variant">
      <vt:variant>
        <vt:lpstr>العنوان</vt:lpstr>
      </vt:variant>
      <vt:variant>
        <vt:i4>1</vt:i4>
      </vt:variant>
    </vt:vector>
  </HeadingPairs>
  <TitlesOfParts>
    <vt:vector size="1" baseType="lpstr">
      <vt:lpstr>A/HRC/26/L.18</vt:lpstr>
    </vt:vector>
  </TitlesOfParts>
  <Company>CSD</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A/HRC/26/L.18</dc:title>
  <dc:subject>KAMEL- ALI RADWAN</dc:subject>
  <dc:creator>BUHNAM</dc:creator>
  <cp:keywords/>
  <dc:description/>
  <cp:lastModifiedBy>TPS</cp:lastModifiedBy>
  <cp:revision>2</cp:revision>
  <cp:lastPrinted>2014-08-29T11:51:00Z</cp:lastPrinted>
  <dcterms:created xsi:type="dcterms:W3CDTF">2014-09-01T07:49:00Z</dcterms:created>
  <dcterms:modified xsi:type="dcterms:W3CDTF">2014-09-01T07:49:00Z</dcterms:modified>
</cp:coreProperties>
</file>