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E00775"/>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00775" w:rsidP="00E00775">
            <w:pPr>
              <w:jc w:val="right"/>
            </w:pPr>
            <w:r w:rsidRPr="00E00775">
              <w:rPr>
                <w:sz w:val="40"/>
              </w:rPr>
              <w:t>A</w:t>
            </w:r>
            <w:r>
              <w:t>/HRC/RES/34/18</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00775" w:rsidP="00E6618E">
            <w:pPr>
              <w:spacing w:before="240"/>
            </w:pPr>
            <w:r>
              <w:t>Distr. générale</w:t>
            </w:r>
          </w:p>
          <w:p w:rsidR="00E00775" w:rsidRDefault="00E00775" w:rsidP="00E00775">
            <w:pPr>
              <w:spacing w:line="240" w:lineRule="exact"/>
            </w:pPr>
            <w:r>
              <w:t>11 avril 2017</w:t>
            </w:r>
          </w:p>
          <w:p w:rsidR="00E00775" w:rsidRDefault="00E00775" w:rsidP="00E00775">
            <w:pPr>
              <w:spacing w:line="240" w:lineRule="exact"/>
            </w:pPr>
            <w:r>
              <w:t>Français</w:t>
            </w:r>
          </w:p>
          <w:p w:rsidR="00E00775" w:rsidRPr="00DB58B5" w:rsidRDefault="00E00775" w:rsidP="00E00775">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E00775">
        <w:rPr>
          <w:b/>
          <w:sz w:val="24"/>
          <w:szCs w:val="24"/>
        </w:rPr>
        <w:t>’</w:t>
      </w:r>
      <w:r w:rsidRPr="00BA184E">
        <w:rPr>
          <w:b/>
          <w:sz w:val="24"/>
          <w:szCs w:val="24"/>
        </w:rPr>
        <w:t>homme</w:t>
      </w:r>
    </w:p>
    <w:p w:rsidR="00E00775" w:rsidRPr="002317B7" w:rsidRDefault="00E00775" w:rsidP="00E00775">
      <w:pPr>
        <w:rPr>
          <w:b/>
          <w:bCs/>
        </w:rPr>
      </w:pPr>
      <w:r w:rsidRPr="002317B7">
        <w:rPr>
          <w:b/>
          <w:bCs/>
        </w:rPr>
        <w:t>Trente-quatrième session</w:t>
      </w:r>
    </w:p>
    <w:p w:rsidR="00E00775" w:rsidRPr="002317B7" w:rsidRDefault="00E00775" w:rsidP="00E00775">
      <w:r w:rsidRPr="002317B7">
        <w:t>27 février-24 mars 2017</w:t>
      </w:r>
    </w:p>
    <w:p w:rsidR="00E00775" w:rsidRPr="002317B7" w:rsidRDefault="00E00775" w:rsidP="00E00775">
      <w:r w:rsidRPr="002317B7">
        <w:t>Point 3 de l</w:t>
      </w:r>
      <w:r>
        <w:t>’</w:t>
      </w:r>
      <w:r w:rsidRPr="002317B7">
        <w:t>ordre du jour</w:t>
      </w:r>
    </w:p>
    <w:p w:rsidR="00E00775" w:rsidRPr="007021AB" w:rsidRDefault="00E00775" w:rsidP="00E00775">
      <w:pPr>
        <w:pStyle w:val="HChG"/>
        <w:rPr>
          <w:lang w:val="fr-FR"/>
        </w:rPr>
      </w:pPr>
      <w:r>
        <w:rPr>
          <w:lang w:val="fr-FR"/>
        </w:rPr>
        <w:tab/>
      </w:r>
      <w:r>
        <w:rPr>
          <w:lang w:val="fr-FR"/>
        </w:rPr>
        <w:tab/>
      </w:r>
      <w:r w:rsidRPr="007021AB">
        <w:rPr>
          <w:lang w:val="fr-FR"/>
        </w:rPr>
        <w:t>Résolution adoptée par le Conseil des droits de l</w:t>
      </w:r>
      <w:r>
        <w:rPr>
          <w:lang w:val="fr-FR"/>
        </w:rPr>
        <w:t>’</w:t>
      </w:r>
      <w:r w:rsidRPr="007021AB">
        <w:rPr>
          <w:lang w:val="fr-FR"/>
        </w:rPr>
        <w:t xml:space="preserve">homme </w:t>
      </w:r>
      <w:r>
        <w:rPr>
          <w:lang w:val="fr-FR"/>
        </w:rPr>
        <w:br/>
      </w:r>
      <w:r w:rsidRPr="007021AB">
        <w:rPr>
          <w:lang w:val="fr-FR"/>
        </w:rPr>
        <w:t>le 24 mars 2017</w:t>
      </w:r>
    </w:p>
    <w:p w:rsidR="00E00775" w:rsidRPr="002317B7" w:rsidRDefault="00E00775" w:rsidP="00E00775">
      <w:pPr>
        <w:pStyle w:val="H1G"/>
        <w:ind w:left="1985" w:hanging="851"/>
      </w:pPr>
      <w:r w:rsidRPr="002317B7">
        <w:t>34/</w:t>
      </w:r>
      <w:r>
        <w:t>18.</w:t>
      </w:r>
      <w:r w:rsidRPr="002317B7">
        <w:tab/>
        <w:t>Liberté d</w:t>
      </w:r>
      <w:r>
        <w:t>’</w:t>
      </w:r>
      <w:r w:rsidRPr="002317B7">
        <w:t>opinion et d</w:t>
      </w:r>
      <w:r>
        <w:t>’</w:t>
      </w:r>
      <w:r w:rsidRPr="002317B7">
        <w:t>expression : mandat du Rapporteur spécial sur la promotion et la protection du droit à la liberté d</w:t>
      </w:r>
      <w:r>
        <w:t>’</w:t>
      </w:r>
      <w:r w:rsidRPr="002317B7">
        <w:t>opinion et d</w:t>
      </w:r>
      <w:r>
        <w:t>’</w:t>
      </w:r>
      <w:r w:rsidRPr="002317B7">
        <w:t>expression</w:t>
      </w:r>
    </w:p>
    <w:p w:rsidR="00E00775" w:rsidRPr="002317B7" w:rsidRDefault="00E00775" w:rsidP="00E00775">
      <w:pPr>
        <w:pStyle w:val="SingleTxtG"/>
        <w:ind w:firstLine="567"/>
      </w:pPr>
      <w:r w:rsidRPr="00E00775">
        <w:rPr>
          <w:i/>
        </w:rPr>
        <w:t>Le Conseil des droits de l</w:t>
      </w:r>
      <w:r>
        <w:rPr>
          <w:i/>
        </w:rPr>
        <w:t>’</w:t>
      </w:r>
      <w:r w:rsidRPr="00E00775">
        <w:rPr>
          <w:i/>
        </w:rPr>
        <w:t>homme</w:t>
      </w:r>
      <w:r w:rsidRPr="002317B7">
        <w:t>,</w:t>
      </w:r>
    </w:p>
    <w:p w:rsidR="00E00775" w:rsidRPr="002317B7" w:rsidRDefault="00E00775" w:rsidP="00E00775">
      <w:pPr>
        <w:pStyle w:val="SingleTxtG"/>
        <w:ind w:firstLine="567"/>
      </w:pPr>
      <w:r w:rsidRPr="002317B7">
        <w:rPr>
          <w:i/>
        </w:rPr>
        <w:t xml:space="preserve">Rappelant </w:t>
      </w:r>
      <w:r w:rsidRPr="002317B7">
        <w:t>ses résolutions 7/36 du 28 mars 2008, 12/16 du 2 octobre</w:t>
      </w:r>
      <w:r>
        <w:t xml:space="preserve"> </w:t>
      </w:r>
      <w:bookmarkStart w:id="0" w:name="_GoBack"/>
      <w:bookmarkEnd w:id="0"/>
      <w:r w:rsidRPr="002317B7">
        <w:t>2009, 16/4 du 24 mars 2011, 23/2 du 13 juin 2013 et 25/2 du 27 mars 2014, ainsi que toutes les résolutions antérieures de la Commission des droits de l</w:t>
      </w:r>
      <w:r>
        <w:t>’</w:t>
      </w:r>
      <w:r w:rsidRPr="002317B7">
        <w:t>homme et du Conseil concernant le droit à la liberté d</w:t>
      </w:r>
      <w:r>
        <w:t>’</w:t>
      </w:r>
      <w:r w:rsidRPr="002317B7">
        <w:t>opinion et d</w:t>
      </w:r>
      <w:r>
        <w:t>’</w:t>
      </w:r>
      <w:r>
        <w:t>expression,</w:t>
      </w:r>
    </w:p>
    <w:p w:rsidR="00E00775" w:rsidRPr="002317B7" w:rsidRDefault="00E00775" w:rsidP="00E00775">
      <w:pPr>
        <w:pStyle w:val="SingleTxtG"/>
        <w:ind w:firstLine="567"/>
      </w:pPr>
      <w:r w:rsidRPr="002317B7">
        <w:rPr>
          <w:i/>
        </w:rPr>
        <w:t xml:space="preserve">Considérant </w:t>
      </w:r>
      <w:r w:rsidRPr="002317B7">
        <w:t>que l</w:t>
      </w:r>
      <w:r>
        <w:t>’</w:t>
      </w:r>
      <w:r w:rsidRPr="002317B7">
        <w:t>exercice du droit à la liberté d</w:t>
      </w:r>
      <w:r>
        <w:t>’</w:t>
      </w:r>
      <w:r w:rsidRPr="002317B7">
        <w:t>opinion et d</w:t>
      </w:r>
      <w:r>
        <w:t>’</w:t>
      </w:r>
      <w:r w:rsidRPr="002317B7">
        <w:t xml:space="preserve">expression, consacré </w:t>
      </w:r>
      <w:r>
        <w:t>par</w:t>
      </w:r>
      <w:r w:rsidRPr="002317B7">
        <w:t xml:space="preserve"> le Pacte international relatif aux droits civils et politiques et la Déclaration universelle des droits de l</w:t>
      </w:r>
      <w:r>
        <w:t>’</w:t>
      </w:r>
      <w:r w:rsidRPr="002317B7">
        <w:t>homme, est essentiel à l</w:t>
      </w:r>
      <w:r>
        <w:t>’</w:t>
      </w:r>
      <w:r w:rsidRPr="002317B7">
        <w:t>exercice des autres droits de l</w:t>
      </w:r>
      <w:r>
        <w:t>’</w:t>
      </w:r>
      <w:r w:rsidRPr="002317B7">
        <w:t>homme et des autres libertés, et constitue l</w:t>
      </w:r>
      <w:r>
        <w:t>’</w:t>
      </w:r>
      <w:r w:rsidRPr="002317B7">
        <w:t>un des fondements essentiels d</w:t>
      </w:r>
      <w:r>
        <w:t>’</w:t>
      </w:r>
      <w:r w:rsidRPr="002317B7">
        <w:t>une société démocratique et du renforcement de la démocratie, tout en ayant présent à l</w:t>
      </w:r>
      <w:r>
        <w:t>’</w:t>
      </w:r>
      <w:r w:rsidRPr="002317B7">
        <w:t>esprit le fait que tous les droits de l</w:t>
      </w:r>
      <w:r>
        <w:t>’</w:t>
      </w:r>
      <w:r w:rsidRPr="002317B7">
        <w:t>homme sont universels, indivisibles, interdépendants et indissociables,</w:t>
      </w:r>
    </w:p>
    <w:p w:rsidR="00E00775" w:rsidRPr="002317B7" w:rsidRDefault="00E00775" w:rsidP="00E00775">
      <w:pPr>
        <w:pStyle w:val="SingleTxtG"/>
        <w:ind w:firstLine="567"/>
      </w:pPr>
      <w:r w:rsidRPr="002317B7">
        <w:rPr>
          <w:i/>
        </w:rPr>
        <w:t xml:space="preserve">Rappelant </w:t>
      </w:r>
      <w:r w:rsidRPr="002317B7">
        <w:t>ses résolutions 5/1, sur la mise en place des institutions du Conseil, et 5/2, sur le Code de conduite pour les titulaires de mandat au titre des procédures spéciales du Conseil, en date du 18 juin 2007, et soulignant que le titulaire de mandat doit s</w:t>
      </w:r>
      <w:r>
        <w:t>’</w:t>
      </w:r>
      <w:r w:rsidRPr="002317B7">
        <w:t>acquitter de ses obligations conformément à ces résolutions et à leurs annexes,</w:t>
      </w:r>
    </w:p>
    <w:p w:rsidR="00E00775" w:rsidRPr="002317B7" w:rsidRDefault="00E00775" w:rsidP="00E00775">
      <w:pPr>
        <w:pStyle w:val="SingleTxtG"/>
        <w:ind w:firstLine="567"/>
      </w:pPr>
      <w:r w:rsidRPr="002317B7">
        <w:t>1.</w:t>
      </w:r>
      <w:r w:rsidRPr="002317B7">
        <w:tab/>
      </w:r>
      <w:r w:rsidRPr="002317B7">
        <w:rPr>
          <w:i/>
        </w:rPr>
        <w:t xml:space="preserve">Accueille avec satisfaction </w:t>
      </w:r>
      <w:r w:rsidRPr="002317B7">
        <w:t>l</w:t>
      </w:r>
      <w:r>
        <w:t>’</w:t>
      </w:r>
      <w:r w:rsidRPr="002317B7">
        <w:t>action menée par le Rapporteur spécial sur la promotion et la protection du droit à la liberté d</w:t>
      </w:r>
      <w:r>
        <w:t>’</w:t>
      </w:r>
      <w:r w:rsidRPr="002317B7">
        <w:t>opinion et d</w:t>
      </w:r>
      <w:r>
        <w:t>’</w:t>
      </w:r>
      <w:r w:rsidRPr="002317B7">
        <w:t>expression ;</w:t>
      </w:r>
    </w:p>
    <w:p w:rsidR="00E00775" w:rsidRPr="002317B7" w:rsidRDefault="00E00775" w:rsidP="00E00775">
      <w:pPr>
        <w:pStyle w:val="SingleTxtG"/>
        <w:ind w:firstLine="567"/>
      </w:pPr>
      <w:r w:rsidRPr="002317B7">
        <w:t>2.</w:t>
      </w:r>
      <w:r w:rsidRPr="002317B7">
        <w:tab/>
      </w:r>
      <w:r w:rsidRPr="002317B7">
        <w:rPr>
          <w:i/>
        </w:rPr>
        <w:t xml:space="preserve">Décide </w:t>
      </w:r>
      <w:r w:rsidRPr="002317B7">
        <w:t>de prolonger le mandat du Rapporteur spécial pour une période de trois ans ;</w:t>
      </w:r>
    </w:p>
    <w:p w:rsidR="00E00775" w:rsidRPr="002317B7" w:rsidRDefault="00E00775" w:rsidP="00E00775">
      <w:pPr>
        <w:pStyle w:val="SingleTxtG"/>
        <w:ind w:firstLine="567"/>
      </w:pPr>
      <w:r w:rsidRPr="002317B7">
        <w:t>3.</w:t>
      </w:r>
      <w:r w:rsidRPr="002317B7">
        <w:tab/>
      </w:r>
      <w:r w:rsidRPr="002317B7">
        <w:rPr>
          <w:i/>
        </w:rPr>
        <w:t xml:space="preserve">Exhorte </w:t>
      </w:r>
      <w:r w:rsidRPr="002317B7">
        <w:t>tous les États à apporter toute leur coopération et leur aide au Rapporteur spécial dans l</w:t>
      </w:r>
      <w:r>
        <w:t>’</w:t>
      </w:r>
      <w:r w:rsidRPr="002317B7">
        <w:t>exercice de ses fonctions, à lui fournir tous les renseignements nécessaires qu</w:t>
      </w:r>
      <w:r>
        <w:t>’</w:t>
      </w:r>
      <w:r w:rsidRPr="002317B7">
        <w:t>il demande et à envisager favorablement les demandes de visite et de mise en application des recommandations qu</w:t>
      </w:r>
      <w:r>
        <w:t>’</w:t>
      </w:r>
      <w:r w:rsidRPr="002317B7">
        <w:t>il formule ;</w:t>
      </w:r>
    </w:p>
    <w:p w:rsidR="00E00775" w:rsidRPr="002317B7" w:rsidRDefault="00E00775" w:rsidP="00E00775">
      <w:pPr>
        <w:pStyle w:val="SingleTxtG"/>
        <w:ind w:firstLine="567"/>
      </w:pPr>
      <w:r w:rsidRPr="002317B7">
        <w:t>4.</w:t>
      </w:r>
      <w:r w:rsidRPr="002317B7">
        <w:tab/>
      </w:r>
      <w:r w:rsidRPr="002317B7">
        <w:rPr>
          <w:i/>
        </w:rPr>
        <w:t>Prie</w:t>
      </w:r>
      <w:r w:rsidRPr="002317B7">
        <w:t xml:space="preserve"> le Secrétaire général de fournir au Rapporteur spécial l</w:t>
      </w:r>
      <w:r>
        <w:t>’</w:t>
      </w:r>
      <w:r w:rsidRPr="002317B7">
        <w:t>assistance voulue pour qu</w:t>
      </w:r>
      <w:r>
        <w:t>’</w:t>
      </w:r>
      <w:r w:rsidRPr="002317B7">
        <w:t>il puisse s</w:t>
      </w:r>
      <w:r>
        <w:t>’</w:t>
      </w:r>
      <w:r w:rsidRPr="002317B7">
        <w:t>acquitter de son mandat, en particulier en mettant à sa disposition des ressources humaines et matérielles appropriées ;</w:t>
      </w:r>
    </w:p>
    <w:p w:rsidR="00E00775" w:rsidRPr="002317B7" w:rsidRDefault="00E00775" w:rsidP="00E00775">
      <w:pPr>
        <w:pStyle w:val="SingleTxtG"/>
        <w:ind w:firstLine="567"/>
      </w:pPr>
      <w:r w:rsidRPr="002317B7">
        <w:lastRenderedPageBreak/>
        <w:t>5.</w:t>
      </w:r>
      <w:r w:rsidRPr="002317B7">
        <w:tab/>
      </w:r>
      <w:r w:rsidRPr="002317B7">
        <w:rPr>
          <w:i/>
        </w:rPr>
        <w:t xml:space="preserve">Demande </w:t>
      </w:r>
      <w:r w:rsidRPr="002317B7">
        <w:t>au Rapporteur spécial de présenter chaque année au Conseil et à l</w:t>
      </w:r>
      <w:r>
        <w:t>’</w:t>
      </w:r>
      <w:r w:rsidRPr="002317B7">
        <w:t>Assemblée générale un rapport sur toutes les activités liées à son mandat, de manière à tirer le meilleur parti du processus d</w:t>
      </w:r>
      <w:r>
        <w:t>’</w:t>
      </w:r>
      <w:r w:rsidRPr="002317B7">
        <w:t>établissement de rapports ;</w:t>
      </w:r>
    </w:p>
    <w:p w:rsidR="00E00775" w:rsidRDefault="00E00775" w:rsidP="00E00775">
      <w:pPr>
        <w:pStyle w:val="SingleTxtG"/>
        <w:ind w:firstLine="567"/>
      </w:pPr>
      <w:r w:rsidRPr="002317B7">
        <w:t>6.</w:t>
      </w:r>
      <w:r w:rsidRPr="002317B7">
        <w:tab/>
      </w:r>
      <w:r w:rsidRPr="002317B7">
        <w:rPr>
          <w:i/>
        </w:rPr>
        <w:t>Décide</w:t>
      </w:r>
      <w:r w:rsidRPr="002317B7">
        <w:t xml:space="preserve"> de poursuivre l</w:t>
      </w:r>
      <w:r>
        <w:t>’</w:t>
      </w:r>
      <w:r w:rsidRPr="002317B7">
        <w:t>examen de la question du droit à la liberté d</w:t>
      </w:r>
      <w:r>
        <w:t>’</w:t>
      </w:r>
      <w:r w:rsidRPr="002317B7">
        <w:t>opinion et d</w:t>
      </w:r>
      <w:r>
        <w:t>’</w:t>
      </w:r>
      <w:r w:rsidRPr="002317B7">
        <w:t>expression conformément à son programme de travail.</w:t>
      </w:r>
    </w:p>
    <w:p w:rsidR="00E00775" w:rsidRPr="009C747E" w:rsidRDefault="00E00775" w:rsidP="00E00775">
      <w:pPr>
        <w:kinsoku/>
        <w:overflowPunct/>
        <w:autoSpaceDE/>
        <w:autoSpaceDN/>
        <w:adjustRightInd/>
        <w:snapToGrid/>
        <w:ind w:left="1134" w:right="1134"/>
        <w:jc w:val="right"/>
        <w:rPr>
          <w:rFonts w:eastAsia="SimSun"/>
          <w:i/>
          <w:lang w:val="fr-FR" w:eastAsia="ar-SA"/>
        </w:rPr>
      </w:pPr>
      <w:r w:rsidRPr="009C747E">
        <w:rPr>
          <w:rFonts w:eastAsia="SimSun"/>
          <w:i/>
          <w:lang w:val="fr-FR" w:eastAsia="ar-SA"/>
        </w:rPr>
        <w:t>5</w:t>
      </w:r>
      <w:r>
        <w:rPr>
          <w:rFonts w:eastAsia="SimSun"/>
          <w:i/>
          <w:lang w:val="fr-FR" w:eastAsia="ar-SA"/>
        </w:rPr>
        <w:t>7</w:t>
      </w:r>
      <w:r w:rsidRPr="00E00775">
        <w:rPr>
          <w:rFonts w:eastAsia="SimSun"/>
          <w:i/>
          <w:vertAlign w:val="superscript"/>
          <w:lang w:val="fr-FR" w:eastAsia="ar-SA"/>
        </w:rPr>
        <w:t>e</w:t>
      </w:r>
      <w:r>
        <w:rPr>
          <w:rFonts w:eastAsia="SimSun"/>
          <w:i/>
          <w:lang w:val="fr-FR" w:eastAsia="ar-SA"/>
        </w:rPr>
        <w:t> </w:t>
      </w:r>
      <w:r w:rsidRPr="009C747E">
        <w:rPr>
          <w:rFonts w:eastAsia="SimSun"/>
          <w:i/>
          <w:lang w:val="fr-FR" w:eastAsia="ar-SA"/>
        </w:rPr>
        <w:t>séance</w:t>
      </w:r>
      <w:r>
        <w:rPr>
          <w:rFonts w:eastAsia="SimSun"/>
          <w:i/>
          <w:lang w:val="fr-FR" w:eastAsia="ar-SA"/>
        </w:rPr>
        <w:br/>
      </w:r>
      <w:r w:rsidRPr="009C747E">
        <w:rPr>
          <w:rFonts w:eastAsia="SimSun"/>
          <w:i/>
          <w:lang w:val="fr-FR" w:eastAsia="ar-SA"/>
        </w:rPr>
        <w:t>24 mars 2017</w:t>
      </w:r>
    </w:p>
    <w:p w:rsidR="00E00775" w:rsidRPr="009C747E" w:rsidRDefault="00E00775" w:rsidP="00E00775">
      <w:pPr>
        <w:kinsoku/>
        <w:overflowPunct/>
        <w:autoSpaceDE/>
        <w:autoSpaceDN/>
        <w:adjustRightInd/>
        <w:snapToGrid/>
        <w:spacing w:after="120"/>
        <w:ind w:left="1134" w:right="1134"/>
        <w:jc w:val="both"/>
        <w:rPr>
          <w:u w:val="single"/>
          <w:lang w:val="fr-FR"/>
        </w:rPr>
      </w:pPr>
      <w:r w:rsidRPr="009C747E">
        <w:rPr>
          <w:rFonts w:eastAsia="SimSun"/>
          <w:lang w:val="fr-FR" w:eastAsia="ar-SA"/>
        </w:rPr>
        <w:t>[Adopté</w:t>
      </w:r>
      <w:r>
        <w:rPr>
          <w:rFonts w:eastAsia="SimSun"/>
          <w:lang w:val="fr-FR" w:eastAsia="ar-SA"/>
        </w:rPr>
        <w:t>e</w:t>
      </w:r>
      <w:r w:rsidRPr="009C747E">
        <w:rPr>
          <w:rFonts w:eastAsia="SimSun"/>
          <w:lang w:val="fr-FR" w:eastAsia="ar-SA"/>
        </w:rPr>
        <w:t xml:space="preserve"> sans vote.]</w:t>
      </w:r>
    </w:p>
    <w:p w:rsidR="00552797" w:rsidRPr="00E00775" w:rsidRDefault="00E00775" w:rsidP="00E00775">
      <w:pPr>
        <w:pStyle w:val="SingleTxtG"/>
        <w:spacing w:before="240" w:after="0"/>
        <w:jc w:val="center"/>
        <w:rPr>
          <w:u w:val="single"/>
        </w:rPr>
      </w:pPr>
      <w:r>
        <w:rPr>
          <w:u w:val="single"/>
        </w:rPr>
        <w:tab/>
      </w:r>
      <w:r>
        <w:rPr>
          <w:u w:val="single"/>
        </w:rPr>
        <w:tab/>
      </w:r>
      <w:r>
        <w:rPr>
          <w:u w:val="single"/>
        </w:rPr>
        <w:tab/>
      </w:r>
    </w:p>
    <w:sectPr w:rsidR="00552797" w:rsidRPr="00E00775" w:rsidSect="00E0077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35" w:rsidRPr="00EF7F30" w:rsidRDefault="00B11B35" w:rsidP="00EF7F30">
      <w:pPr>
        <w:pStyle w:val="Pieddepage"/>
      </w:pPr>
    </w:p>
  </w:endnote>
  <w:endnote w:type="continuationSeparator" w:id="0">
    <w:p w:rsidR="00B11B35" w:rsidRPr="00EF7F30" w:rsidRDefault="00B11B35" w:rsidP="00EF7F30">
      <w:pPr>
        <w:pStyle w:val="Pieddepage"/>
      </w:pPr>
    </w:p>
  </w:endnote>
  <w:endnote w:type="continuationNotice" w:id="1">
    <w:p w:rsidR="00B11B35" w:rsidRDefault="00B11B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75" w:rsidRPr="00E00775" w:rsidRDefault="00E00775" w:rsidP="00E00775">
    <w:pPr>
      <w:pStyle w:val="Pieddepage"/>
      <w:tabs>
        <w:tab w:val="right" w:pos="9638"/>
      </w:tabs>
    </w:pPr>
    <w:r w:rsidRPr="00E00775">
      <w:rPr>
        <w:b/>
        <w:sz w:val="18"/>
      </w:rPr>
      <w:fldChar w:fldCharType="begin"/>
    </w:r>
    <w:r w:rsidRPr="00E00775">
      <w:rPr>
        <w:b/>
        <w:sz w:val="18"/>
      </w:rPr>
      <w:instrText xml:space="preserve"> PAGE  \* MERGEFORMAT </w:instrText>
    </w:r>
    <w:r w:rsidRPr="00E00775">
      <w:rPr>
        <w:b/>
        <w:sz w:val="18"/>
      </w:rPr>
      <w:fldChar w:fldCharType="separate"/>
    </w:r>
    <w:r w:rsidR="007C67D2">
      <w:rPr>
        <w:b/>
        <w:noProof/>
        <w:sz w:val="18"/>
      </w:rPr>
      <w:t>2</w:t>
    </w:r>
    <w:r w:rsidRPr="00E00775">
      <w:rPr>
        <w:b/>
        <w:sz w:val="18"/>
      </w:rPr>
      <w:fldChar w:fldCharType="end"/>
    </w:r>
    <w:r>
      <w:rPr>
        <w:b/>
        <w:sz w:val="18"/>
      </w:rPr>
      <w:tab/>
    </w:r>
    <w:r>
      <w:t>GE.17-05892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75" w:rsidRPr="00E00775" w:rsidRDefault="00E00775" w:rsidP="00E00775">
    <w:pPr>
      <w:pStyle w:val="Pieddepage"/>
      <w:tabs>
        <w:tab w:val="right" w:pos="9638"/>
      </w:tabs>
      <w:rPr>
        <w:b/>
        <w:sz w:val="18"/>
      </w:rPr>
    </w:pPr>
    <w:r>
      <w:t>GE.17-05892</w:t>
    </w:r>
    <w:r>
      <w:tab/>
    </w:r>
    <w:r w:rsidRPr="00E00775">
      <w:rPr>
        <w:b/>
        <w:sz w:val="18"/>
      </w:rPr>
      <w:fldChar w:fldCharType="begin"/>
    </w:r>
    <w:r w:rsidRPr="00E00775">
      <w:rPr>
        <w:b/>
        <w:sz w:val="18"/>
      </w:rPr>
      <w:instrText xml:space="preserve"> PAGE  \* MERGEFORMAT </w:instrText>
    </w:r>
    <w:r w:rsidRPr="00E00775">
      <w:rPr>
        <w:b/>
        <w:sz w:val="18"/>
      </w:rPr>
      <w:fldChar w:fldCharType="separate"/>
    </w:r>
    <w:r>
      <w:rPr>
        <w:b/>
        <w:noProof/>
        <w:sz w:val="18"/>
      </w:rPr>
      <w:t>3</w:t>
    </w:r>
    <w:r w:rsidRPr="00E007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E00775" w:rsidRDefault="00E00775" w:rsidP="00E00775">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9DC03B1" wp14:editId="1886839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17-05892  (F)    240417    020517</w:t>
    </w:r>
    <w:r>
      <w:rPr>
        <w:sz w:val="20"/>
      </w:rPr>
      <w:br/>
    </w:r>
    <w:r w:rsidRPr="00E00775">
      <w:rPr>
        <w:rFonts w:ascii="C39T30Lfz" w:hAnsi="C39T30Lfz"/>
        <w:sz w:val="56"/>
      </w:rPr>
      <w:t></w:t>
    </w:r>
    <w:r w:rsidRPr="00E00775">
      <w:rPr>
        <w:rFonts w:ascii="C39T30Lfz" w:hAnsi="C39T30Lfz"/>
        <w:sz w:val="56"/>
      </w:rPr>
      <w:t></w:t>
    </w:r>
    <w:r w:rsidRPr="00E00775">
      <w:rPr>
        <w:rFonts w:ascii="C39T30Lfz" w:hAnsi="C39T30Lfz"/>
        <w:sz w:val="56"/>
      </w:rPr>
      <w:t></w:t>
    </w:r>
    <w:r w:rsidRPr="00E00775">
      <w:rPr>
        <w:rFonts w:ascii="C39T30Lfz" w:hAnsi="C39T30Lfz"/>
        <w:sz w:val="56"/>
      </w:rPr>
      <w:t></w:t>
    </w:r>
    <w:r w:rsidRPr="00E00775">
      <w:rPr>
        <w:rFonts w:ascii="C39T30Lfz" w:hAnsi="C39T30Lfz"/>
        <w:sz w:val="56"/>
      </w:rPr>
      <w:t></w:t>
    </w:r>
    <w:r w:rsidRPr="00E00775">
      <w:rPr>
        <w:rFonts w:ascii="C39T30Lfz" w:hAnsi="C39T30Lfz"/>
        <w:sz w:val="56"/>
      </w:rPr>
      <w:t></w:t>
    </w:r>
    <w:r w:rsidRPr="00E00775">
      <w:rPr>
        <w:rFonts w:ascii="C39T30Lfz" w:hAnsi="C39T30Lfz"/>
        <w:sz w:val="56"/>
      </w:rPr>
      <w:t></w:t>
    </w:r>
    <w:r w:rsidRPr="00E00775">
      <w:rPr>
        <w:rFonts w:ascii="C39T30Lfz" w:hAnsi="C39T30Lfz"/>
        <w:sz w:val="56"/>
      </w:rPr>
      <w:t></w:t>
    </w:r>
    <w:r w:rsidRPr="00E00775">
      <w:rPr>
        <w:rFonts w:ascii="C39T30Lfz" w:hAnsi="C39T30Lfz"/>
        <w:sz w:val="56"/>
      </w:rPr>
      <w:t></w:t>
    </w:r>
    <w:r>
      <w:rPr>
        <w:noProof/>
        <w:sz w:val="20"/>
        <w:lang w:eastAsia="fr-CH"/>
      </w:rPr>
      <w:drawing>
        <wp:anchor distT="0" distB="0" distL="114300" distR="114300" simplePos="0" relativeHeight="251660288" behindDoc="0" locked="0" layoutInCell="1" allowOverlap="1" wp14:anchorId="7B729C47" wp14:editId="76E255F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4/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4/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35" w:rsidRPr="00EF7F30" w:rsidRDefault="00B11B3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11B35" w:rsidRPr="00EF7F30" w:rsidRDefault="00B11B35" w:rsidP="000E5ADA">
      <w:pPr>
        <w:pStyle w:val="Pieddepage"/>
        <w:tabs>
          <w:tab w:val="right" w:pos="2155"/>
        </w:tabs>
        <w:spacing w:after="80" w:line="240" w:lineRule="atLeast"/>
        <w:ind w:left="680"/>
      </w:pPr>
      <w:r w:rsidRPr="00EF7F30">
        <w:rPr>
          <w:u w:val="single"/>
        </w:rPr>
        <w:tab/>
      </w:r>
    </w:p>
  </w:footnote>
  <w:footnote w:type="continuationNotice" w:id="1">
    <w:p w:rsidR="00B11B35" w:rsidRPr="000F2457" w:rsidRDefault="00B11B3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75" w:rsidRPr="00E00775" w:rsidRDefault="00E00775">
    <w:pPr>
      <w:pStyle w:val="En-tte"/>
    </w:pPr>
    <w:fldSimple w:instr=" TITLE  \* MERGEFORMAT ">
      <w:r>
        <w:t>A/HRC/RES/34/18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75" w:rsidRPr="00E00775" w:rsidRDefault="00E00775" w:rsidP="00E00775">
    <w:pPr>
      <w:pStyle w:val="En-tte"/>
      <w:jc w:val="right"/>
    </w:pPr>
    <w:fldSimple w:instr=" TITLE  \* MERGEFORMAT ">
      <w:r>
        <w:t>A/HRC/RES/34/18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35"/>
    <w:rsid w:val="00023842"/>
    <w:rsid w:val="0007796D"/>
    <w:rsid w:val="000E5ADA"/>
    <w:rsid w:val="000F2457"/>
    <w:rsid w:val="00111F2F"/>
    <w:rsid w:val="00131E73"/>
    <w:rsid w:val="0014365E"/>
    <w:rsid w:val="00176178"/>
    <w:rsid w:val="001F525A"/>
    <w:rsid w:val="00212168"/>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C67D2"/>
    <w:rsid w:val="0080684C"/>
    <w:rsid w:val="00871C75"/>
    <w:rsid w:val="008776DC"/>
    <w:rsid w:val="008B386A"/>
    <w:rsid w:val="0094352E"/>
    <w:rsid w:val="00962015"/>
    <w:rsid w:val="009705C8"/>
    <w:rsid w:val="009A47AB"/>
    <w:rsid w:val="00A12E20"/>
    <w:rsid w:val="00AC7BEB"/>
    <w:rsid w:val="00AE323C"/>
    <w:rsid w:val="00B11B35"/>
    <w:rsid w:val="00B16AAF"/>
    <w:rsid w:val="00B22A9E"/>
    <w:rsid w:val="00B24C75"/>
    <w:rsid w:val="00B528BF"/>
    <w:rsid w:val="00C02897"/>
    <w:rsid w:val="00C12613"/>
    <w:rsid w:val="00D45432"/>
    <w:rsid w:val="00DB1831"/>
    <w:rsid w:val="00DD3BFD"/>
    <w:rsid w:val="00E00775"/>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3683-4DD4-4833-9714-A476C1E4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406</Words>
  <Characters>2439</Characters>
  <Application>Microsoft Office Word</Application>
  <DocSecurity>0</DocSecurity>
  <Lines>348</Lines>
  <Paragraphs>149</Paragraphs>
  <ScaleCrop>false</ScaleCrop>
  <HeadingPairs>
    <vt:vector size="2" baseType="variant">
      <vt:variant>
        <vt:lpstr>Titre</vt:lpstr>
      </vt:variant>
      <vt:variant>
        <vt:i4>1</vt:i4>
      </vt:variant>
    </vt:vector>
  </HeadingPairs>
  <TitlesOfParts>
    <vt:vector size="1" baseType="lpstr">
      <vt:lpstr>A/HRC/RES/34/18</vt:lpstr>
    </vt:vector>
  </TitlesOfParts>
  <Company>DCM</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A/HRC/RES/34/18</dc:title>
  <dc:subject/>
  <dc:creator>Morin</dc:creator>
  <cp:keywords/>
  <cp:lastModifiedBy>Morin</cp:lastModifiedBy>
  <cp:revision>2</cp:revision>
  <dcterms:created xsi:type="dcterms:W3CDTF">2017-05-02T09:06:00Z</dcterms:created>
  <dcterms:modified xsi:type="dcterms:W3CDTF">2017-05-02T09:06:00Z</dcterms:modified>
</cp:coreProperties>
</file>