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F533F4">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F533F4">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C93127" w:rsidRDefault="00C93127" w:rsidP="00F533F4">
            <w:pPr>
              <w:spacing w:line="240" w:lineRule="atLeast"/>
              <w:jc w:val="right"/>
              <w:rPr>
                <w:sz w:val="20"/>
                <w:szCs w:val="21"/>
              </w:rPr>
            </w:pPr>
            <w:r w:rsidRPr="00C93127">
              <w:rPr>
                <w:sz w:val="40"/>
                <w:szCs w:val="21"/>
              </w:rPr>
              <w:t>A</w:t>
            </w:r>
            <w:r>
              <w:rPr>
                <w:sz w:val="20"/>
                <w:szCs w:val="21"/>
              </w:rPr>
              <w:t>/</w:t>
            </w:r>
            <w:proofErr w:type="spellStart"/>
            <w:r>
              <w:rPr>
                <w:sz w:val="20"/>
                <w:szCs w:val="21"/>
              </w:rPr>
              <w:t>HRC</w:t>
            </w:r>
            <w:proofErr w:type="spellEnd"/>
            <w:r>
              <w:rPr>
                <w:sz w:val="20"/>
                <w:szCs w:val="21"/>
              </w:rPr>
              <w:t>/RES/28/16</w:t>
            </w:r>
          </w:p>
        </w:tc>
      </w:tr>
      <w:tr w:rsidR="00A1364C" w:rsidRPr="00F124C6" w:rsidTr="00F533F4">
        <w:trPr>
          <w:trHeight w:hRule="exact" w:val="2835"/>
        </w:trPr>
        <w:tc>
          <w:tcPr>
            <w:tcW w:w="1280" w:type="dxa"/>
            <w:tcBorders>
              <w:top w:val="single" w:sz="4" w:space="0" w:color="auto"/>
              <w:bottom w:val="single" w:sz="12" w:space="0" w:color="auto"/>
            </w:tcBorders>
          </w:tcPr>
          <w:p w:rsidR="00A1364C" w:rsidRPr="00F124C6" w:rsidRDefault="00A1364C" w:rsidP="00F533F4">
            <w:pPr>
              <w:spacing w:line="120" w:lineRule="atLeast"/>
              <w:rPr>
                <w:sz w:val="10"/>
                <w:szCs w:val="10"/>
              </w:rPr>
            </w:pPr>
          </w:p>
          <w:p w:rsidR="00A1364C" w:rsidRPr="00F124C6" w:rsidRDefault="00A1364C" w:rsidP="00F533F4">
            <w:pPr>
              <w:spacing w:line="120" w:lineRule="atLeast"/>
              <w:rPr>
                <w:sz w:val="10"/>
                <w:szCs w:val="10"/>
              </w:rPr>
            </w:pPr>
            <w:r>
              <w:rPr>
                <w:rFonts w:hint="eastAsia"/>
                <w:noProof/>
                <w:snapToGrid/>
              </w:rPr>
              <w:drawing>
                <wp:inline distT="0" distB="0" distL="0" distR="0" wp14:anchorId="7BADEED3" wp14:editId="5AB01873">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F533F4">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C93127" w:rsidRPr="00C93127" w:rsidRDefault="00C93127" w:rsidP="00C93127">
            <w:pPr>
              <w:spacing w:before="240" w:line="240" w:lineRule="atLeast"/>
              <w:rPr>
                <w:sz w:val="20"/>
                <w:lang w:val="en-GB"/>
              </w:rPr>
            </w:pPr>
            <w:r>
              <w:rPr>
                <w:sz w:val="20"/>
              </w:rPr>
              <w:t>Distr.:</w:t>
            </w:r>
            <w:r w:rsidRPr="00C93127">
              <w:rPr>
                <w:sz w:val="20"/>
                <w:lang w:val="en-GB"/>
              </w:rPr>
              <w:t xml:space="preserve"> General</w:t>
            </w:r>
          </w:p>
          <w:p w:rsidR="00A1364C" w:rsidRPr="00F124C6" w:rsidRDefault="00C93127" w:rsidP="00C93127">
            <w:pPr>
              <w:spacing w:line="240" w:lineRule="atLeast"/>
              <w:rPr>
                <w:sz w:val="20"/>
              </w:rPr>
            </w:pPr>
            <w:r w:rsidRPr="00C93127">
              <w:rPr>
                <w:sz w:val="20"/>
                <w:lang w:val="en-GB"/>
              </w:rPr>
              <w:t>1 April</w:t>
            </w:r>
            <w:r w:rsidRPr="00C93127">
              <w:rPr>
                <w:sz w:val="20"/>
              </w:rPr>
              <w:t xml:space="preserve"> </w:t>
            </w:r>
            <w:r w:rsidR="008B4347">
              <w:rPr>
                <w:sz w:val="20"/>
              </w:rPr>
              <w:t>201</w:t>
            </w:r>
            <w:r w:rsidR="008B4347">
              <w:rPr>
                <w:rFonts w:hint="eastAsia"/>
                <w:sz w:val="20"/>
              </w:rPr>
              <w:t>5</w:t>
            </w:r>
          </w:p>
          <w:p w:rsidR="00A1364C" w:rsidRPr="00F124C6" w:rsidRDefault="00A1364C" w:rsidP="00F533F4">
            <w:pPr>
              <w:spacing w:line="240" w:lineRule="atLeast"/>
              <w:rPr>
                <w:sz w:val="20"/>
              </w:rPr>
            </w:pPr>
            <w:r w:rsidRPr="00F124C6">
              <w:rPr>
                <w:sz w:val="20"/>
              </w:rPr>
              <w:t xml:space="preserve">Chinese </w:t>
            </w:r>
          </w:p>
          <w:p w:rsidR="00A1364C" w:rsidRPr="00F124C6" w:rsidRDefault="00A1364C" w:rsidP="00F533F4">
            <w:pPr>
              <w:spacing w:line="240" w:lineRule="atLeast"/>
            </w:pPr>
            <w:r w:rsidRPr="00F124C6">
              <w:rPr>
                <w:sz w:val="20"/>
              </w:rPr>
              <w:t>Original: English</w:t>
            </w:r>
          </w:p>
        </w:tc>
      </w:tr>
    </w:tbl>
    <w:p w:rsidR="00C93127" w:rsidRPr="00DD45E2" w:rsidRDefault="00C93127" w:rsidP="00C93127">
      <w:pPr>
        <w:tabs>
          <w:tab w:val="clear" w:pos="431"/>
        </w:tabs>
        <w:suppressAutoHyphens/>
        <w:overflowPunct/>
        <w:adjustRightInd/>
        <w:snapToGrid/>
        <w:spacing w:before="120" w:line="360" w:lineRule="atLeast"/>
        <w:jc w:val="left"/>
        <w:rPr>
          <w:rFonts w:eastAsia="黑体"/>
          <w:snapToGrid/>
          <w:sz w:val="24"/>
          <w:szCs w:val="24"/>
          <w:lang w:val="fr-CH"/>
        </w:rPr>
      </w:pPr>
      <w:r w:rsidRPr="00DD45E2">
        <w:rPr>
          <w:rFonts w:eastAsia="黑体" w:hint="eastAsia"/>
          <w:snapToGrid/>
          <w:sz w:val="24"/>
          <w:szCs w:val="24"/>
          <w:lang w:val="fr-CH"/>
        </w:rPr>
        <w:t>人权理事会</w:t>
      </w:r>
    </w:p>
    <w:p w:rsidR="00C93127" w:rsidRPr="00C93127" w:rsidRDefault="00C93127" w:rsidP="00C93127">
      <w:pPr>
        <w:tabs>
          <w:tab w:val="clear" w:pos="431"/>
        </w:tabs>
        <w:suppressAutoHyphens/>
        <w:overflowPunct/>
        <w:adjustRightInd/>
        <w:jc w:val="left"/>
        <w:rPr>
          <w:rFonts w:asciiTheme="majorBidi" w:eastAsia="黑体" w:hAnsiTheme="majorBidi" w:cstheme="majorBidi"/>
          <w:snapToGrid/>
          <w:szCs w:val="21"/>
          <w:lang w:val="fr-CH"/>
        </w:rPr>
      </w:pPr>
      <w:r w:rsidRPr="00C93127">
        <w:rPr>
          <w:rFonts w:asciiTheme="majorBidi" w:eastAsia="黑体" w:hAnsiTheme="majorBidi" w:cstheme="majorBidi"/>
          <w:snapToGrid/>
          <w:szCs w:val="21"/>
          <w:lang w:val="fr-CH"/>
        </w:rPr>
        <w:t>第</w:t>
      </w:r>
      <w:r w:rsidRPr="00C93127">
        <w:rPr>
          <w:rFonts w:asciiTheme="majorBidi" w:eastAsia="黑体" w:hAnsiTheme="majorBidi" w:cstheme="majorBidi"/>
          <w:snapToGrid/>
          <w:szCs w:val="21"/>
          <w:lang w:val="en-GB"/>
        </w:rPr>
        <w:t>二十八</w:t>
      </w:r>
      <w:r w:rsidRPr="00C93127">
        <w:rPr>
          <w:rFonts w:asciiTheme="majorBidi" w:eastAsia="黑体" w:hAnsiTheme="majorBidi" w:cstheme="majorBidi"/>
          <w:snapToGrid/>
          <w:szCs w:val="21"/>
          <w:lang w:val="fr-CH"/>
        </w:rPr>
        <w:t>届会议</w:t>
      </w:r>
    </w:p>
    <w:p w:rsidR="00C93127" w:rsidRPr="00C93127" w:rsidRDefault="00C93127" w:rsidP="00C93127">
      <w:pPr>
        <w:tabs>
          <w:tab w:val="clear" w:pos="431"/>
        </w:tabs>
        <w:suppressAutoHyphens/>
        <w:overflowPunct/>
        <w:adjustRightInd/>
        <w:jc w:val="left"/>
        <w:rPr>
          <w:rFonts w:asciiTheme="majorBidi" w:eastAsiaTheme="minorEastAsia" w:hAnsiTheme="majorBidi" w:cstheme="majorBidi"/>
          <w:snapToGrid/>
          <w:szCs w:val="21"/>
          <w:lang w:val="fr-CH"/>
        </w:rPr>
      </w:pPr>
      <w:r w:rsidRPr="00C93127">
        <w:rPr>
          <w:rFonts w:asciiTheme="majorBidi" w:eastAsiaTheme="minorEastAsia" w:hAnsiTheme="majorBidi" w:cstheme="majorBidi"/>
          <w:snapToGrid/>
          <w:szCs w:val="21"/>
          <w:lang w:val="fr-CH"/>
        </w:rPr>
        <w:t>议程项目</w:t>
      </w:r>
      <w:r w:rsidRPr="00C93127">
        <w:rPr>
          <w:rFonts w:asciiTheme="majorBidi" w:eastAsiaTheme="minorEastAsia" w:hAnsiTheme="majorBidi" w:cstheme="majorBidi"/>
          <w:snapToGrid/>
          <w:szCs w:val="21"/>
          <w:lang w:val="fr-CH"/>
        </w:rPr>
        <w:t>3</w:t>
      </w:r>
    </w:p>
    <w:p w:rsidR="00C93127" w:rsidRDefault="00C93127" w:rsidP="00C93127">
      <w:pPr>
        <w:rPr>
          <w:rFonts w:asciiTheme="majorBidi" w:eastAsia="黑体" w:hAnsiTheme="majorBidi" w:cstheme="majorBidi"/>
          <w:snapToGrid/>
          <w:lang w:val="en-GB"/>
        </w:rPr>
      </w:pPr>
      <w:r w:rsidRPr="00C93127">
        <w:rPr>
          <w:rFonts w:asciiTheme="majorBidi" w:eastAsia="黑体" w:hAnsiTheme="majorBidi" w:cstheme="majorBidi"/>
          <w:snapToGrid/>
          <w:lang w:val="en-GB"/>
        </w:rPr>
        <w:t>增进和保护所有人权</w:t>
      </w:r>
      <w:r w:rsidRPr="00C93127">
        <w:rPr>
          <w:rFonts w:asciiTheme="majorBidi" w:eastAsia="黑体" w:hAnsiTheme="majorBidi" w:cstheme="majorBidi" w:hint="eastAsia"/>
          <w:snapToGrid/>
          <w:spacing w:val="-50"/>
          <w:lang w:val="en-GB"/>
        </w:rPr>
        <w:t>―</w:t>
      </w:r>
      <w:r w:rsidRPr="00C93127">
        <w:rPr>
          <w:rFonts w:asciiTheme="majorBidi" w:eastAsia="黑体" w:hAnsiTheme="majorBidi" w:cstheme="majorBidi" w:hint="eastAsia"/>
          <w:snapToGrid/>
          <w:lang w:val="en-GB"/>
        </w:rPr>
        <w:t>―</w:t>
      </w:r>
      <w:r w:rsidRPr="00C93127">
        <w:rPr>
          <w:rFonts w:asciiTheme="majorBidi" w:eastAsia="黑体" w:hAnsiTheme="majorBidi" w:cstheme="majorBidi"/>
          <w:snapToGrid/>
          <w:lang w:val="en-GB"/>
        </w:rPr>
        <w:t>公民权利、政治权利、</w:t>
      </w:r>
      <w:r w:rsidRPr="00C93127">
        <w:rPr>
          <w:rFonts w:asciiTheme="majorBidi" w:eastAsia="黑体" w:hAnsiTheme="majorBidi" w:cstheme="majorBidi"/>
          <w:snapToGrid/>
          <w:lang w:val="en-GB"/>
        </w:rPr>
        <w:br/>
      </w:r>
      <w:r w:rsidRPr="00C93127">
        <w:rPr>
          <w:rFonts w:asciiTheme="majorBidi" w:eastAsia="黑体" w:hAnsiTheme="majorBidi" w:cstheme="majorBidi"/>
          <w:snapToGrid/>
          <w:lang w:val="en-GB"/>
        </w:rPr>
        <w:t>经济、社会和文化权利，包括发展权</w:t>
      </w:r>
      <w:bookmarkStart w:id="0" w:name="_GoBack"/>
      <w:bookmarkEnd w:id="0"/>
    </w:p>
    <w:p w:rsidR="00C93127" w:rsidRPr="007D1AB7" w:rsidRDefault="00C93127" w:rsidP="006F4602">
      <w:pPr>
        <w:pStyle w:val="HChGC"/>
        <w:spacing w:before="600"/>
        <w:rPr>
          <w:sz w:val="24"/>
          <w:szCs w:val="24"/>
          <w:lang w:val="fr-CH"/>
        </w:rPr>
      </w:pPr>
      <w:r w:rsidRPr="00DD45E2">
        <w:rPr>
          <w:lang w:val="fr-CH"/>
        </w:rPr>
        <w:tab/>
      </w:r>
      <w:r w:rsidRPr="007D1AB7">
        <w:rPr>
          <w:sz w:val="24"/>
          <w:szCs w:val="24"/>
          <w:lang w:val="fr-CH"/>
        </w:rPr>
        <w:tab/>
      </w:r>
      <w:r w:rsidRPr="007D1AB7">
        <w:rPr>
          <w:rFonts w:hint="eastAsia"/>
          <w:sz w:val="24"/>
          <w:szCs w:val="24"/>
          <w:lang w:val="fr-CH"/>
        </w:rPr>
        <w:t>人权理事会通过的决议</w:t>
      </w:r>
    </w:p>
    <w:p w:rsidR="00C93127" w:rsidRPr="00DD45E2" w:rsidRDefault="00C93127" w:rsidP="00C93127">
      <w:pPr>
        <w:pStyle w:val="H1GC"/>
        <w:rPr>
          <w:snapToGrid/>
          <w:lang w:val="en-GB"/>
        </w:rPr>
      </w:pPr>
      <w:r w:rsidRPr="00DD45E2">
        <w:rPr>
          <w:snapToGrid/>
          <w:lang w:val="fr-CH"/>
        </w:rPr>
        <w:tab/>
      </w:r>
      <w:r w:rsidRPr="00DD45E2">
        <w:rPr>
          <w:snapToGrid/>
          <w:lang w:val="fr-CH"/>
        </w:rPr>
        <w:tab/>
      </w:r>
      <w:r>
        <w:rPr>
          <w:snapToGrid/>
          <w:lang w:val="en-GB"/>
        </w:rPr>
        <w:t>28</w:t>
      </w:r>
      <w:r w:rsidRPr="00DD45E2">
        <w:rPr>
          <w:snapToGrid/>
          <w:lang w:val="en-GB"/>
        </w:rPr>
        <w:t>/</w:t>
      </w:r>
      <w:r>
        <w:rPr>
          <w:rFonts w:hint="eastAsia"/>
        </w:rPr>
        <w:t>16.</w:t>
      </w:r>
      <w:r>
        <w:br/>
      </w:r>
      <w:r w:rsidRPr="00DD45E2">
        <w:rPr>
          <w:rFonts w:hint="eastAsia"/>
          <w:snapToGrid/>
          <w:lang w:val="en-GB"/>
        </w:rPr>
        <w:t>数字时代的隐私权</w:t>
      </w:r>
    </w:p>
    <w:p w:rsidR="00C93127" w:rsidRPr="00C93127" w:rsidRDefault="00C93127" w:rsidP="00C93127">
      <w:pPr>
        <w:pStyle w:val="SingleTxtGC"/>
        <w:ind w:firstLine="431"/>
        <w:rPr>
          <w:rFonts w:eastAsiaTheme="minorEastAsia"/>
          <w:snapToGrid/>
          <w:szCs w:val="21"/>
          <w:lang w:val="en-GB"/>
        </w:rPr>
      </w:pPr>
      <w:r w:rsidRPr="00C93127">
        <w:rPr>
          <w:rFonts w:ascii="Time New Roman" w:eastAsia="楷体" w:hAnsi="Time New Roman" w:hint="eastAsia"/>
          <w:snapToGrid/>
          <w:szCs w:val="21"/>
          <w:lang w:val="en-GB"/>
        </w:rPr>
        <w:t>人权理事会</w:t>
      </w:r>
      <w:r w:rsidRPr="00C93127">
        <w:rPr>
          <w:snapToGrid/>
          <w:szCs w:val="21"/>
          <w:lang w:val="en-GB"/>
        </w:rPr>
        <w:t>，</w:t>
      </w:r>
    </w:p>
    <w:p w:rsidR="00C93127" w:rsidRPr="00C93127" w:rsidRDefault="00C93127" w:rsidP="00C93127">
      <w:pPr>
        <w:pStyle w:val="SingleTxtGC"/>
        <w:ind w:firstLine="431"/>
        <w:rPr>
          <w:szCs w:val="21"/>
        </w:rPr>
      </w:pPr>
      <w:r w:rsidRPr="00C93127">
        <w:rPr>
          <w:rFonts w:ascii="Time New Roman" w:eastAsia="楷体" w:hAnsi="Time New Roman" w:hint="eastAsia"/>
          <w:snapToGrid/>
          <w:szCs w:val="21"/>
          <w:lang w:val="en-GB"/>
        </w:rPr>
        <w:t>遵循</w:t>
      </w:r>
      <w:r w:rsidRPr="00C93127">
        <w:rPr>
          <w:rFonts w:hint="eastAsia"/>
          <w:szCs w:val="21"/>
        </w:rPr>
        <w:t>《</w:t>
      </w:r>
      <w:r w:rsidRPr="00C93127">
        <w:rPr>
          <w:szCs w:val="21"/>
        </w:rPr>
        <w:t>联合国宪章</w:t>
      </w:r>
      <w:r w:rsidRPr="00C93127">
        <w:rPr>
          <w:rFonts w:hint="eastAsia"/>
          <w:szCs w:val="21"/>
        </w:rPr>
        <w:t>》</w:t>
      </w:r>
      <w:r w:rsidRPr="00C93127">
        <w:rPr>
          <w:szCs w:val="21"/>
        </w:rPr>
        <w:t>的宗旨和原则，</w:t>
      </w:r>
    </w:p>
    <w:p w:rsidR="00C93127" w:rsidRPr="00C93127" w:rsidRDefault="00C93127" w:rsidP="00C93127">
      <w:pPr>
        <w:pStyle w:val="SingleTxtGC"/>
        <w:ind w:firstLine="431"/>
        <w:rPr>
          <w:szCs w:val="21"/>
        </w:rPr>
      </w:pPr>
      <w:r w:rsidRPr="00C93127">
        <w:rPr>
          <w:rFonts w:ascii="Time New Roman" w:eastAsia="楷体" w:hAnsi="Time New Roman" w:hint="eastAsia"/>
          <w:snapToGrid/>
          <w:szCs w:val="21"/>
          <w:lang w:val="en-GB"/>
        </w:rPr>
        <w:t>重申</w:t>
      </w:r>
      <w:r w:rsidRPr="00C93127">
        <w:rPr>
          <w:rFonts w:hint="eastAsia"/>
          <w:szCs w:val="21"/>
        </w:rPr>
        <w:t>《世界人权宣言》和有关国际人权条约、包括</w:t>
      </w:r>
      <w:r w:rsidRPr="00C93127">
        <w:rPr>
          <w:szCs w:val="21"/>
        </w:rPr>
        <w:t>《公民权利和政治权利国际公约》和《经济、社会、文化权利国际公约》</w:t>
      </w:r>
      <w:r w:rsidRPr="00C93127">
        <w:rPr>
          <w:rFonts w:hint="eastAsia"/>
          <w:szCs w:val="21"/>
        </w:rPr>
        <w:t>所规定</w:t>
      </w:r>
      <w:r w:rsidRPr="00C93127">
        <w:rPr>
          <w:szCs w:val="21"/>
        </w:rPr>
        <w:t>的各项人权和基本自由，</w:t>
      </w:r>
    </w:p>
    <w:p w:rsidR="00C93127" w:rsidRPr="00C93127" w:rsidRDefault="00C93127" w:rsidP="00C93127">
      <w:pPr>
        <w:pStyle w:val="SingleTxtGC"/>
        <w:ind w:firstLine="431"/>
        <w:rPr>
          <w:szCs w:val="21"/>
        </w:rPr>
      </w:pPr>
      <w:r w:rsidRPr="00C93127">
        <w:rPr>
          <w:rFonts w:ascii="Time New Roman" w:eastAsia="楷体" w:hAnsi="Time New Roman"/>
          <w:snapToGrid/>
          <w:szCs w:val="21"/>
          <w:lang w:val="en-GB"/>
        </w:rPr>
        <w:t>回顾</w:t>
      </w:r>
      <w:r w:rsidRPr="00C93127">
        <w:rPr>
          <w:snapToGrid/>
          <w:szCs w:val="21"/>
          <w:lang w:val="en-GB"/>
        </w:rPr>
        <w:t>一切人权和基本自由都是普遍、不可分割、相互依存和相互关联的</w:t>
      </w:r>
      <w:r w:rsidRPr="00C93127">
        <w:rPr>
          <w:szCs w:val="21"/>
        </w:rPr>
        <w:t>，</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重申</w:t>
      </w:r>
      <w:r w:rsidRPr="00C93127">
        <w:rPr>
          <w:rFonts w:hint="eastAsia"/>
          <w:snapToGrid/>
          <w:szCs w:val="21"/>
          <w:lang w:val="en-GB"/>
        </w:rPr>
        <w:t>《</w:t>
      </w:r>
      <w:r w:rsidRPr="00C93127">
        <w:rPr>
          <w:snapToGrid/>
          <w:szCs w:val="21"/>
          <w:lang w:val="en-GB"/>
        </w:rPr>
        <w:t>维也纳宣言和行动纲领</w:t>
      </w:r>
      <w:r w:rsidRPr="00C93127">
        <w:rPr>
          <w:rFonts w:hint="eastAsia"/>
          <w:snapToGrid/>
          <w:szCs w:val="21"/>
          <w:lang w:val="en-GB"/>
        </w:rPr>
        <w:t>》</w:t>
      </w:r>
      <w:r w:rsidRPr="00C93127">
        <w:rPr>
          <w:snapToGrid/>
          <w:szCs w:val="21"/>
          <w:lang w:val="en-GB"/>
        </w:rPr>
        <w:t>，</w:t>
      </w:r>
    </w:p>
    <w:p w:rsidR="00C93127" w:rsidRPr="00C93127" w:rsidRDefault="00C93127" w:rsidP="00C93127">
      <w:pPr>
        <w:pStyle w:val="SingleTxtGC"/>
        <w:ind w:firstLine="431"/>
        <w:rPr>
          <w:snapToGrid/>
          <w:szCs w:val="21"/>
          <w:lang w:val="en-GB"/>
        </w:rPr>
      </w:pPr>
      <w:r w:rsidRPr="00C93127">
        <w:rPr>
          <w:rFonts w:ascii="Time New Roman" w:eastAsia="楷体" w:hAnsi="Time New Roman"/>
          <w:snapToGrid/>
          <w:szCs w:val="21"/>
          <w:lang w:val="en-GB"/>
        </w:rPr>
        <w:t>回顾</w:t>
      </w:r>
      <w:r w:rsidRPr="00C93127">
        <w:rPr>
          <w:snapToGrid/>
          <w:szCs w:val="21"/>
          <w:lang w:val="en-GB"/>
        </w:rPr>
        <w:t>理事会</w:t>
      </w:r>
      <w:r w:rsidRPr="00C93127">
        <w:rPr>
          <w:snapToGrid/>
          <w:szCs w:val="21"/>
          <w:lang w:val="en-GB"/>
        </w:rPr>
        <w:t>2007</w:t>
      </w:r>
      <w:r w:rsidRPr="00C93127">
        <w:rPr>
          <w:snapToGrid/>
          <w:szCs w:val="21"/>
          <w:lang w:val="en-GB"/>
        </w:rPr>
        <w:t>年</w:t>
      </w:r>
      <w:r w:rsidRPr="00C93127">
        <w:rPr>
          <w:snapToGrid/>
          <w:szCs w:val="21"/>
          <w:lang w:val="en-GB"/>
        </w:rPr>
        <w:t>6</w:t>
      </w:r>
      <w:r w:rsidRPr="00C93127">
        <w:rPr>
          <w:snapToGrid/>
          <w:szCs w:val="21"/>
          <w:lang w:val="en-GB"/>
        </w:rPr>
        <w:t>月</w:t>
      </w:r>
      <w:r w:rsidRPr="00C93127">
        <w:rPr>
          <w:snapToGrid/>
          <w:szCs w:val="21"/>
          <w:lang w:val="en-GB"/>
        </w:rPr>
        <w:t>18</w:t>
      </w:r>
      <w:r w:rsidRPr="00C93127">
        <w:rPr>
          <w:snapToGrid/>
          <w:szCs w:val="21"/>
          <w:lang w:val="en-GB"/>
        </w:rPr>
        <w:t>日关于人权理事会体制建设的第</w:t>
      </w:r>
      <w:r w:rsidRPr="00C93127">
        <w:rPr>
          <w:snapToGrid/>
          <w:szCs w:val="21"/>
          <w:lang w:val="en-GB"/>
        </w:rPr>
        <w:t>5/1</w:t>
      </w:r>
      <w:r w:rsidRPr="00C93127">
        <w:rPr>
          <w:snapToGrid/>
          <w:szCs w:val="21"/>
          <w:lang w:val="en-GB"/>
        </w:rPr>
        <w:t>号决议和关于理事会特别程序任务负责人行为守则的第</w:t>
      </w:r>
      <w:r w:rsidRPr="00C93127">
        <w:rPr>
          <w:snapToGrid/>
          <w:szCs w:val="21"/>
          <w:lang w:val="en-GB"/>
        </w:rPr>
        <w:t>5/2</w:t>
      </w:r>
      <w:r w:rsidRPr="00C93127">
        <w:rPr>
          <w:snapToGrid/>
          <w:szCs w:val="21"/>
          <w:lang w:val="en-GB"/>
        </w:rPr>
        <w:t>号决议，强调任务负责人应根据这两项决议及其附件履行职责，</w:t>
      </w:r>
    </w:p>
    <w:p w:rsidR="00C93127" w:rsidRPr="00C93127" w:rsidRDefault="00C93127" w:rsidP="00C93127">
      <w:pPr>
        <w:pStyle w:val="SingleTxtGC"/>
        <w:ind w:firstLine="431"/>
        <w:rPr>
          <w:szCs w:val="21"/>
        </w:rPr>
      </w:pPr>
      <w:r w:rsidRPr="00C93127">
        <w:rPr>
          <w:rFonts w:ascii="Time New Roman" w:eastAsia="楷体" w:hAnsi="Time New Roman" w:hint="eastAsia"/>
          <w:snapToGrid/>
          <w:szCs w:val="21"/>
          <w:lang w:val="en-GB"/>
        </w:rPr>
        <w:t>又</w:t>
      </w:r>
      <w:r w:rsidRPr="00C93127">
        <w:rPr>
          <w:rFonts w:eastAsia="楷体_GB2312" w:hint="eastAsia"/>
          <w:szCs w:val="21"/>
        </w:rPr>
        <w:t>回</w:t>
      </w:r>
      <w:r w:rsidRPr="00C93127">
        <w:rPr>
          <w:rFonts w:ascii="Time New Roman" w:eastAsia="楷体" w:hAnsi="Time New Roman" w:hint="eastAsia"/>
          <w:snapToGrid/>
          <w:szCs w:val="21"/>
          <w:lang w:val="en-GB"/>
        </w:rPr>
        <w:t>顾</w:t>
      </w:r>
      <w:r w:rsidRPr="00C93127">
        <w:rPr>
          <w:rFonts w:hint="eastAsia"/>
          <w:szCs w:val="21"/>
        </w:rPr>
        <w:t>大会关于</w:t>
      </w:r>
      <w:r w:rsidRPr="00C93127">
        <w:rPr>
          <w:szCs w:val="21"/>
        </w:rPr>
        <w:t>数字时代</w:t>
      </w:r>
      <w:r w:rsidRPr="00C93127">
        <w:rPr>
          <w:rFonts w:hint="eastAsia"/>
          <w:szCs w:val="21"/>
        </w:rPr>
        <w:t>的</w:t>
      </w:r>
      <w:r w:rsidRPr="00C93127">
        <w:rPr>
          <w:szCs w:val="21"/>
        </w:rPr>
        <w:t>私隐权</w:t>
      </w:r>
      <w:r w:rsidRPr="00C93127">
        <w:rPr>
          <w:rFonts w:hint="eastAsia"/>
          <w:szCs w:val="21"/>
        </w:rPr>
        <w:t>问题的</w:t>
      </w:r>
      <w:r w:rsidRPr="00C93127">
        <w:rPr>
          <w:szCs w:val="21"/>
        </w:rPr>
        <w:t>2014</w:t>
      </w:r>
      <w:r w:rsidRPr="00C93127">
        <w:rPr>
          <w:rFonts w:hint="eastAsia"/>
          <w:szCs w:val="21"/>
        </w:rPr>
        <w:t>年</w:t>
      </w:r>
      <w:r w:rsidRPr="00C93127">
        <w:rPr>
          <w:rFonts w:hint="eastAsia"/>
          <w:szCs w:val="21"/>
        </w:rPr>
        <w:t>12</w:t>
      </w:r>
      <w:r w:rsidRPr="00C93127">
        <w:rPr>
          <w:rFonts w:hint="eastAsia"/>
          <w:szCs w:val="21"/>
        </w:rPr>
        <w:t>月</w:t>
      </w:r>
      <w:r w:rsidRPr="00C93127">
        <w:rPr>
          <w:rFonts w:hint="eastAsia"/>
          <w:szCs w:val="21"/>
        </w:rPr>
        <w:t>18</w:t>
      </w:r>
      <w:r w:rsidRPr="00C93127">
        <w:rPr>
          <w:rFonts w:hint="eastAsia"/>
          <w:szCs w:val="21"/>
        </w:rPr>
        <w:t>日第</w:t>
      </w:r>
      <w:r w:rsidRPr="00C93127">
        <w:rPr>
          <w:szCs w:val="21"/>
        </w:rPr>
        <w:t>68/167</w:t>
      </w:r>
      <w:r w:rsidRPr="00C93127">
        <w:rPr>
          <w:szCs w:val="21"/>
        </w:rPr>
        <w:t>号</w:t>
      </w:r>
      <w:r w:rsidRPr="00C93127">
        <w:rPr>
          <w:rFonts w:hint="eastAsia"/>
          <w:szCs w:val="21"/>
        </w:rPr>
        <w:t>和</w:t>
      </w:r>
      <w:r w:rsidRPr="00C93127">
        <w:rPr>
          <w:rFonts w:hint="eastAsia"/>
          <w:szCs w:val="21"/>
        </w:rPr>
        <w:t>2014</w:t>
      </w:r>
      <w:r w:rsidRPr="00C93127">
        <w:rPr>
          <w:rFonts w:hint="eastAsia"/>
          <w:szCs w:val="21"/>
        </w:rPr>
        <w:t>年</w:t>
      </w:r>
      <w:r w:rsidRPr="00C93127">
        <w:rPr>
          <w:rFonts w:hint="eastAsia"/>
          <w:szCs w:val="21"/>
        </w:rPr>
        <w:t>12</w:t>
      </w:r>
      <w:r w:rsidRPr="00C93127">
        <w:rPr>
          <w:rFonts w:hint="eastAsia"/>
          <w:szCs w:val="21"/>
        </w:rPr>
        <w:t>月</w:t>
      </w:r>
      <w:r w:rsidRPr="00C93127">
        <w:rPr>
          <w:rFonts w:hint="eastAsia"/>
          <w:szCs w:val="21"/>
        </w:rPr>
        <w:t>18</w:t>
      </w:r>
      <w:r w:rsidRPr="00C93127">
        <w:rPr>
          <w:rFonts w:hint="eastAsia"/>
          <w:szCs w:val="21"/>
        </w:rPr>
        <w:t>日第</w:t>
      </w:r>
      <w:r w:rsidRPr="00C93127">
        <w:rPr>
          <w:szCs w:val="21"/>
        </w:rPr>
        <w:t>69/166</w:t>
      </w:r>
      <w:r w:rsidRPr="00C93127">
        <w:rPr>
          <w:rFonts w:hint="eastAsia"/>
          <w:szCs w:val="21"/>
        </w:rPr>
        <w:t>号决议，以及人权理事会</w:t>
      </w:r>
      <w:r w:rsidRPr="00C93127">
        <w:rPr>
          <w:szCs w:val="21"/>
        </w:rPr>
        <w:t>2014</w:t>
      </w:r>
      <w:r w:rsidRPr="00C93127">
        <w:rPr>
          <w:rFonts w:hint="eastAsia"/>
          <w:szCs w:val="21"/>
        </w:rPr>
        <w:t>年</w:t>
      </w:r>
      <w:r w:rsidRPr="00C93127">
        <w:rPr>
          <w:rFonts w:hint="eastAsia"/>
          <w:szCs w:val="21"/>
        </w:rPr>
        <w:t>3</w:t>
      </w:r>
      <w:r w:rsidRPr="00C93127">
        <w:rPr>
          <w:rFonts w:hint="eastAsia"/>
          <w:szCs w:val="21"/>
        </w:rPr>
        <w:t>月</w:t>
      </w:r>
      <w:r w:rsidRPr="00C93127">
        <w:rPr>
          <w:rFonts w:hint="eastAsia"/>
          <w:szCs w:val="21"/>
        </w:rPr>
        <w:t>27</w:t>
      </w:r>
      <w:r w:rsidRPr="00C93127">
        <w:rPr>
          <w:rFonts w:hint="eastAsia"/>
          <w:szCs w:val="21"/>
        </w:rPr>
        <w:t>日关于数字时代隐私权问题小组</w:t>
      </w:r>
      <w:r w:rsidRPr="00C93127">
        <w:rPr>
          <w:szCs w:val="21"/>
        </w:rPr>
        <w:t>讨论会</w:t>
      </w:r>
      <w:r w:rsidRPr="00C93127">
        <w:rPr>
          <w:rFonts w:hint="eastAsia"/>
          <w:szCs w:val="21"/>
        </w:rPr>
        <w:t>的第</w:t>
      </w:r>
      <w:r w:rsidRPr="00C93127">
        <w:rPr>
          <w:szCs w:val="21"/>
        </w:rPr>
        <w:t>25/117</w:t>
      </w:r>
      <w:r w:rsidRPr="00C93127">
        <w:rPr>
          <w:rFonts w:hint="eastAsia"/>
          <w:szCs w:val="21"/>
        </w:rPr>
        <w:t>号决定，</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还回顾</w:t>
      </w:r>
      <w:r w:rsidRPr="00C93127">
        <w:rPr>
          <w:rFonts w:hint="eastAsia"/>
          <w:snapToGrid/>
          <w:szCs w:val="21"/>
          <w:lang w:val="en-GB"/>
        </w:rPr>
        <w:t>理事会关于</w:t>
      </w:r>
      <w:r w:rsidRPr="00C93127">
        <w:rPr>
          <w:snapToGrid/>
          <w:szCs w:val="21"/>
          <w:lang w:val="en-GB"/>
        </w:rPr>
        <w:t>在互联网上增进、保护和享有人权</w:t>
      </w:r>
      <w:r w:rsidRPr="00C93127">
        <w:rPr>
          <w:rFonts w:hint="eastAsia"/>
          <w:snapToGrid/>
          <w:szCs w:val="21"/>
          <w:lang w:val="en-GB"/>
        </w:rPr>
        <w:t>的</w:t>
      </w:r>
      <w:r w:rsidRPr="00C93127">
        <w:rPr>
          <w:snapToGrid/>
          <w:szCs w:val="21"/>
          <w:lang w:val="en-GB"/>
        </w:rPr>
        <w:t>2012</w:t>
      </w:r>
      <w:r w:rsidRPr="00C93127">
        <w:rPr>
          <w:snapToGrid/>
          <w:szCs w:val="21"/>
          <w:lang w:val="en-GB"/>
        </w:rPr>
        <w:t>年</w:t>
      </w:r>
      <w:r w:rsidRPr="00C93127">
        <w:rPr>
          <w:snapToGrid/>
          <w:szCs w:val="21"/>
          <w:lang w:val="en-GB"/>
        </w:rPr>
        <w:t>7</w:t>
      </w:r>
      <w:r w:rsidRPr="00C93127">
        <w:rPr>
          <w:snapToGrid/>
          <w:szCs w:val="21"/>
          <w:lang w:val="en-GB"/>
        </w:rPr>
        <w:t>月</w:t>
      </w:r>
      <w:r w:rsidRPr="00C93127">
        <w:rPr>
          <w:snapToGrid/>
          <w:szCs w:val="21"/>
          <w:lang w:val="en-GB"/>
        </w:rPr>
        <w:t>5</w:t>
      </w:r>
      <w:r w:rsidRPr="00C93127">
        <w:rPr>
          <w:snapToGrid/>
          <w:szCs w:val="21"/>
          <w:lang w:val="en-GB"/>
        </w:rPr>
        <w:t>日</w:t>
      </w:r>
      <w:r w:rsidRPr="00C93127">
        <w:rPr>
          <w:rFonts w:hint="eastAsia"/>
          <w:snapToGrid/>
          <w:szCs w:val="21"/>
          <w:lang w:val="en-GB"/>
        </w:rPr>
        <w:t>第</w:t>
      </w:r>
      <w:r w:rsidRPr="00C93127">
        <w:rPr>
          <w:snapToGrid/>
          <w:szCs w:val="21"/>
          <w:lang w:val="en-GB"/>
        </w:rPr>
        <w:t>20/8</w:t>
      </w:r>
      <w:r w:rsidRPr="00C93127">
        <w:rPr>
          <w:rFonts w:hint="eastAsia"/>
          <w:snapToGrid/>
          <w:szCs w:val="21"/>
          <w:lang w:val="en-GB"/>
        </w:rPr>
        <w:t>号和</w:t>
      </w:r>
      <w:r w:rsidRPr="00C93127">
        <w:rPr>
          <w:rFonts w:hint="eastAsia"/>
          <w:snapToGrid/>
          <w:szCs w:val="21"/>
          <w:lang w:val="en-GB"/>
        </w:rPr>
        <w:t>2014</w:t>
      </w:r>
      <w:r w:rsidRPr="00C93127">
        <w:rPr>
          <w:rFonts w:hint="eastAsia"/>
          <w:snapToGrid/>
          <w:szCs w:val="21"/>
          <w:lang w:val="en-GB"/>
        </w:rPr>
        <w:t>年</w:t>
      </w:r>
      <w:r w:rsidRPr="00C93127">
        <w:rPr>
          <w:rFonts w:hint="eastAsia"/>
          <w:snapToGrid/>
          <w:szCs w:val="21"/>
          <w:lang w:val="en-GB"/>
        </w:rPr>
        <w:t>6</w:t>
      </w:r>
      <w:r w:rsidRPr="00C93127">
        <w:rPr>
          <w:rFonts w:hint="eastAsia"/>
          <w:snapToGrid/>
          <w:szCs w:val="21"/>
          <w:lang w:val="en-GB"/>
        </w:rPr>
        <w:t>月</w:t>
      </w:r>
      <w:r w:rsidRPr="00C93127">
        <w:rPr>
          <w:rFonts w:hint="eastAsia"/>
          <w:snapToGrid/>
          <w:szCs w:val="21"/>
          <w:lang w:val="en-GB"/>
        </w:rPr>
        <w:t>26</w:t>
      </w:r>
      <w:r w:rsidRPr="00C93127">
        <w:rPr>
          <w:rFonts w:hint="eastAsia"/>
          <w:snapToGrid/>
          <w:szCs w:val="21"/>
          <w:lang w:val="en-GB"/>
        </w:rPr>
        <w:t>日第</w:t>
      </w:r>
      <w:r w:rsidRPr="00C93127">
        <w:rPr>
          <w:snapToGrid/>
          <w:szCs w:val="21"/>
          <w:lang w:val="en-GB"/>
        </w:rPr>
        <w:t>26/13</w:t>
      </w:r>
      <w:r w:rsidRPr="00C93127">
        <w:rPr>
          <w:rFonts w:hint="eastAsia"/>
          <w:snapToGrid/>
          <w:szCs w:val="21"/>
          <w:lang w:val="en-GB"/>
        </w:rPr>
        <w:t>号决议</w:t>
      </w:r>
      <w:r w:rsidRPr="00C93127">
        <w:rPr>
          <w:snapToGrid/>
          <w:szCs w:val="21"/>
          <w:lang w:val="en-GB"/>
        </w:rPr>
        <w:t>，</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lastRenderedPageBreak/>
        <w:t>欢迎</w:t>
      </w:r>
      <w:r w:rsidRPr="00C93127">
        <w:rPr>
          <w:snapToGrid/>
          <w:szCs w:val="21"/>
          <w:lang w:val="en-GB"/>
        </w:rPr>
        <w:t>联合国人权事务高级专员</w:t>
      </w:r>
      <w:r w:rsidRPr="00C93127">
        <w:rPr>
          <w:rFonts w:hint="eastAsia"/>
          <w:snapToGrid/>
          <w:szCs w:val="21"/>
          <w:lang w:val="en-GB"/>
        </w:rPr>
        <w:t>办事处针对</w:t>
      </w:r>
      <w:r w:rsidRPr="00C93127">
        <w:rPr>
          <w:snapToGrid/>
          <w:szCs w:val="21"/>
          <w:lang w:val="en-GB"/>
        </w:rPr>
        <w:t>数字时代隐</w:t>
      </w:r>
      <w:r w:rsidRPr="00C93127">
        <w:rPr>
          <w:rFonts w:hint="eastAsia"/>
          <w:snapToGrid/>
          <w:szCs w:val="21"/>
          <w:lang w:val="en-GB"/>
        </w:rPr>
        <w:t>私</w:t>
      </w:r>
      <w:r w:rsidRPr="00C93127">
        <w:rPr>
          <w:snapToGrid/>
          <w:szCs w:val="21"/>
          <w:lang w:val="en-GB"/>
        </w:rPr>
        <w:t>权</w:t>
      </w:r>
      <w:r w:rsidRPr="00C93127">
        <w:rPr>
          <w:rFonts w:hint="eastAsia"/>
          <w:snapToGrid/>
          <w:szCs w:val="21"/>
          <w:lang w:val="en-GB"/>
        </w:rPr>
        <w:t>开展的工作，感兴趣地注意到办事处关于这个议题的报告，</w:t>
      </w:r>
      <w:r w:rsidRPr="00C93127">
        <w:rPr>
          <w:snapToGrid/>
          <w:szCs w:val="21"/>
          <w:vertAlign w:val="superscript"/>
          <w:lang w:val="en-GB" w:eastAsia="en-US"/>
        </w:rPr>
        <w:footnoteReference w:id="2"/>
      </w:r>
      <w:r w:rsidRPr="00C93127">
        <w:rPr>
          <w:snapToGrid/>
          <w:szCs w:val="21"/>
          <w:lang w:val="en-GB"/>
        </w:rPr>
        <w:t xml:space="preserve"> </w:t>
      </w:r>
      <w:r w:rsidRPr="00C93127">
        <w:rPr>
          <w:rFonts w:hint="eastAsia"/>
          <w:snapToGrid/>
          <w:szCs w:val="21"/>
          <w:lang w:val="en-GB"/>
        </w:rPr>
        <w:t>并回顾在人权理事会第二十七届会议期间举行的关于数字时代隐私权的小组讨论，</w:t>
      </w:r>
      <w:r w:rsidRPr="00C93127">
        <w:rPr>
          <w:snapToGrid/>
          <w:szCs w:val="21"/>
          <w:vertAlign w:val="superscript"/>
          <w:lang w:val="en-GB" w:eastAsia="en-US"/>
        </w:rPr>
        <w:footnoteReference w:id="3"/>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注意到</w:t>
      </w:r>
      <w:r w:rsidRPr="00C93127">
        <w:rPr>
          <w:szCs w:val="21"/>
        </w:rPr>
        <w:t>反恐中注意增进与保护人权和基本自由问题特别报告员</w:t>
      </w:r>
      <w:r w:rsidRPr="00C93127">
        <w:rPr>
          <w:rFonts w:hint="eastAsia"/>
          <w:snapToGrid/>
          <w:szCs w:val="21"/>
          <w:lang w:val="en-GB"/>
        </w:rPr>
        <w:t>的报告</w:t>
      </w:r>
      <w:r w:rsidRPr="00C93127">
        <w:rPr>
          <w:rStyle w:val="a7"/>
          <w:rFonts w:eastAsia="宋体"/>
          <w:szCs w:val="21"/>
        </w:rPr>
        <w:footnoteReference w:id="4"/>
      </w:r>
      <w:r w:rsidRPr="00C93127">
        <w:rPr>
          <w:rFonts w:hint="eastAsia"/>
          <w:snapToGrid/>
          <w:szCs w:val="21"/>
          <w:lang w:val="en-GB"/>
        </w:rPr>
        <w:t xml:space="preserve"> </w:t>
      </w:r>
      <w:r w:rsidRPr="00C93127">
        <w:rPr>
          <w:rFonts w:hint="eastAsia"/>
          <w:snapToGrid/>
          <w:szCs w:val="21"/>
          <w:lang w:val="en-GB"/>
        </w:rPr>
        <w:t>以及增进和保护见解和言论自由权问题特别报告员的报告，</w:t>
      </w:r>
      <w:r w:rsidRPr="00C93127">
        <w:rPr>
          <w:snapToGrid/>
          <w:szCs w:val="21"/>
          <w:vertAlign w:val="superscript"/>
          <w:lang w:val="en-GB" w:eastAsia="en-US"/>
        </w:rPr>
        <w:footnoteReference w:id="5"/>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赞赏地注意到</w:t>
      </w:r>
      <w:r w:rsidRPr="00C93127">
        <w:rPr>
          <w:rFonts w:hint="eastAsia"/>
          <w:snapToGrid/>
          <w:szCs w:val="21"/>
          <w:lang w:val="en-GB"/>
        </w:rPr>
        <w:t>人权事务委员会关于私生活、家庭、住宅和通信受尊重以及荣誉和名誉受保护权利的第</w:t>
      </w:r>
      <w:r w:rsidRPr="00C93127">
        <w:rPr>
          <w:rFonts w:hint="eastAsia"/>
          <w:snapToGrid/>
          <w:szCs w:val="21"/>
          <w:lang w:val="en-GB"/>
        </w:rPr>
        <w:t>16</w:t>
      </w:r>
      <w:r w:rsidRPr="00C93127">
        <w:rPr>
          <w:rFonts w:hint="eastAsia"/>
          <w:snapToGrid/>
          <w:szCs w:val="21"/>
          <w:lang w:val="en-GB"/>
        </w:rPr>
        <w:t>号一般性评论，</w:t>
      </w:r>
      <w:r w:rsidRPr="00C93127">
        <w:rPr>
          <w:snapToGrid/>
          <w:szCs w:val="21"/>
          <w:vertAlign w:val="superscript"/>
          <w:lang w:val="en-GB" w:eastAsia="en-US"/>
        </w:rPr>
        <w:footnoteReference w:id="6"/>
      </w:r>
      <w:r w:rsidRPr="00C93127">
        <w:rPr>
          <w:snapToGrid/>
          <w:szCs w:val="21"/>
          <w:lang w:val="en-GB"/>
        </w:rPr>
        <w:t xml:space="preserve"> </w:t>
      </w:r>
      <w:r w:rsidRPr="00C93127">
        <w:rPr>
          <w:rFonts w:hint="eastAsia"/>
          <w:snapToGrid/>
          <w:szCs w:val="21"/>
          <w:lang w:val="en-GB"/>
        </w:rPr>
        <w:t>同时又注意到自该评论通过以来所发生的巨大的技术飞跃，</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回顾</w:t>
      </w:r>
      <w:r w:rsidRPr="00C93127">
        <w:rPr>
          <w:rFonts w:hint="eastAsia"/>
          <w:snapToGrid/>
          <w:szCs w:val="21"/>
          <w:lang w:val="en-GB"/>
        </w:rPr>
        <w:t>大会在第</w:t>
      </w:r>
      <w:r w:rsidRPr="00C93127">
        <w:rPr>
          <w:snapToGrid/>
          <w:szCs w:val="21"/>
          <w:lang w:val="en-GB"/>
        </w:rPr>
        <w:t>69/166</w:t>
      </w:r>
      <w:r w:rsidRPr="00C93127">
        <w:rPr>
          <w:rFonts w:hint="eastAsia"/>
          <w:snapToGrid/>
          <w:szCs w:val="21"/>
          <w:lang w:val="en-GB"/>
        </w:rPr>
        <w:t>号决议中</w:t>
      </w:r>
      <w:r w:rsidRPr="00C93127">
        <w:rPr>
          <w:snapToGrid/>
          <w:szCs w:val="21"/>
          <w:lang w:val="en-GB"/>
        </w:rPr>
        <w:t>鼓励人权理事会继续积极就</w:t>
      </w:r>
      <w:r w:rsidRPr="00C93127">
        <w:rPr>
          <w:rFonts w:hint="eastAsia"/>
          <w:snapToGrid/>
          <w:szCs w:val="21"/>
          <w:lang w:val="en-GB"/>
        </w:rPr>
        <w:t>数字时代的隐私权问题</w:t>
      </w:r>
      <w:r w:rsidRPr="00C93127">
        <w:rPr>
          <w:snapToGrid/>
          <w:szCs w:val="21"/>
          <w:lang w:val="en-GB"/>
        </w:rPr>
        <w:t>开展辩论，以确定和阐明关于</w:t>
      </w:r>
      <w:r w:rsidRPr="00C93127">
        <w:rPr>
          <w:rFonts w:hint="eastAsia"/>
          <w:snapToGrid/>
          <w:szCs w:val="21"/>
          <w:lang w:val="en-GB"/>
        </w:rPr>
        <w:t>增</w:t>
      </w:r>
      <w:r w:rsidRPr="00C93127">
        <w:rPr>
          <w:snapToGrid/>
          <w:szCs w:val="21"/>
          <w:lang w:val="en-GB"/>
        </w:rPr>
        <w:t>进和保护隐私权的原则、标准和最佳做法，并考虑为此设立</w:t>
      </w:r>
      <w:r w:rsidRPr="00C93127">
        <w:rPr>
          <w:rFonts w:hint="eastAsia"/>
          <w:snapToGrid/>
          <w:szCs w:val="21"/>
          <w:lang w:val="en-GB"/>
        </w:rPr>
        <w:t>一个</w:t>
      </w:r>
      <w:r w:rsidRPr="00C93127">
        <w:rPr>
          <w:snapToGrid/>
          <w:szCs w:val="21"/>
          <w:lang w:val="en-GB"/>
        </w:rPr>
        <w:t>特别程序的可能性</w:t>
      </w:r>
      <w:r w:rsidRPr="00C93127">
        <w:rPr>
          <w:rFonts w:hint="eastAsia"/>
          <w:snapToGrid/>
          <w:szCs w:val="21"/>
          <w:lang w:val="en-GB"/>
        </w:rPr>
        <w:t>，</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确认</w:t>
      </w:r>
      <w:r w:rsidRPr="00C93127">
        <w:rPr>
          <w:rFonts w:hint="eastAsia"/>
          <w:snapToGrid/>
          <w:szCs w:val="21"/>
          <w:lang w:val="en-GB"/>
        </w:rPr>
        <w:t>需要以国际人权法为基础，进一步讨论分析与增进和保护数字时代隐私权、程序性保障、国内有效监督和补救、监控对隐私权及其他人权的影响有关的问题，还需要审查非任意性和合法性原则以及对监控做法进行必要性和相称性评估的重要意义，</w:t>
      </w:r>
    </w:p>
    <w:p w:rsidR="00C93127" w:rsidRPr="00C93127" w:rsidRDefault="00C93127" w:rsidP="00C93127">
      <w:pPr>
        <w:pStyle w:val="SingleTxtGC"/>
        <w:ind w:firstLine="431"/>
        <w:rPr>
          <w:snapToGrid/>
          <w:szCs w:val="21"/>
          <w:lang w:val="en-GB"/>
        </w:rPr>
      </w:pPr>
      <w:r w:rsidRPr="00C93127">
        <w:rPr>
          <w:rFonts w:ascii="Time New Roman" w:eastAsia="楷体" w:hAnsi="Time New Roman"/>
          <w:snapToGrid/>
          <w:szCs w:val="21"/>
          <w:lang w:val="en-GB"/>
        </w:rPr>
        <w:t>重申</w:t>
      </w:r>
      <w:r w:rsidRPr="00C93127">
        <w:rPr>
          <w:snapToGrid/>
          <w:szCs w:val="21"/>
          <w:lang w:val="en-GB"/>
        </w:rPr>
        <w:t>人的隐私权，</w:t>
      </w:r>
      <w:r w:rsidRPr="00C93127">
        <w:rPr>
          <w:rFonts w:hint="eastAsia"/>
          <w:snapToGrid/>
          <w:szCs w:val="21"/>
          <w:lang w:val="en-GB"/>
        </w:rPr>
        <w:t>即</w:t>
      </w:r>
      <w:r w:rsidRPr="00C93127">
        <w:rPr>
          <w:snapToGrid/>
          <w:szCs w:val="21"/>
          <w:lang w:val="en-GB"/>
        </w:rPr>
        <w:t>任何人的私生活、家庭、住宅或通信不</w:t>
      </w:r>
      <w:r w:rsidRPr="00C93127">
        <w:rPr>
          <w:rFonts w:hint="eastAsia"/>
          <w:snapToGrid/>
          <w:szCs w:val="21"/>
          <w:lang w:val="en-GB"/>
        </w:rPr>
        <w:t>得加以</w:t>
      </w:r>
      <w:r w:rsidRPr="00C93127">
        <w:rPr>
          <w:snapToGrid/>
          <w:szCs w:val="21"/>
          <w:lang w:val="en-GB"/>
        </w:rPr>
        <w:t>任意或非法干涉，而且</w:t>
      </w:r>
      <w:r w:rsidRPr="00C93127">
        <w:rPr>
          <w:rFonts w:hint="eastAsia"/>
          <w:snapToGrid/>
          <w:szCs w:val="21"/>
          <w:lang w:val="en-GB"/>
        </w:rPr>
        <w:t>有权</w:t>
      </w:r>
      <w:r w:rsidRPr="00C93127">
        <w:rPr>
          <w:snapToGrid/>
          <w:szCs w:val="21"/>
          <w:lang w:val="en-GB"/>
        </w:rPr>
        <w:t>享有受法律保护</w:t>
      </w:r>
      <w:r w:rsidRPr="00C93127">
        <w:rPr>
          <w:rFonts w:hint="eastAsia"/>
          <w:snapToGrid/>
          <w:szCs w:val="21"/>
          <w:lang w:val="en-GB"/>
        </w:rPr>
        <w:t>，以</w:t>
      </w:r>
      <w:r w:rsidRPr="00C93127">
        <w:rPr>
          <w:snapToGrid/>
          <w:szCs w:val="21"/>
          <w:lang w:val="en-GB"/>
        </w:rPr>
        <w:t>免</w:t>
      </w:r>
      <w:r w:rsidRPr="00C93127">
        <w:rPr>
          <w:rFonts w:hint="eastAsia"/>
          <w:snapToGrid/>
          <w:szCs w:val="21"/>
          <w:lang w:val="en-GB"/>
        </w:rPr>
        <w:t>受</w:t>
      </w:r>
      <w:r w:rsidRPr="00C93127">
        <w:rPr>
          <w:snapToGrid/>
          <w:szCs w:val="21"/>
          <w:lang w:val="en-GB"/>
        </w:rPr>
        <w:t>这种干涉，并</w:t>
      </w:r>
      <w:r w:rsidRPr="00C93127">
        <w:rPr>
          <w:szCs w:val="21"/>
        </w:rPr>
        <w:t>确</w:t>
      </w:r>
      <w:r w:rsidRPr="00C93127">
        <w:rPr>
          <w:snapToGrid/>
          <w:szCs w:val="21"/>
          <w:lang w:val="en-GB"/>
        </w:rPr>
        <w:t>认行使隐私权对于实现自由</w:t>
      </w:r>
      <w:r w:rsidRPr="00C93127">
        <w:rPr>
          <w:rFonts w:hint="eastAsia"/>
          <w:snapToGrid/>
          <w:szCs w:val="21"/>
          <w:lang w:val="en-GB"/>
        </w:rPr>
        <w:t>发表意见</w:t>
      </w:r>
      <w:r w:rsidRPr="00C93127">
        <w:rPr>
          <w:snapToGrid/>
          <w:szCs w:val="21"/>
          <w:lang w:val="en-GB"/>
        </w:rPr>
        <w:t>和持有</w:t>
      </w:r>
      <w:r w:rsidRPr="00C93127">
        <w:rPr>
          <w:rFonts w:hint="eastAsia"/>
          <w:snapToGrid/>
          <w:szCs w:val="21"/>
          <w:lang w:val="en-GB"/>
        </w:rPr>
        <w:t>主张</w:t>
      </w:r>
      <w:r w:rsidRPr="00C93127">
        <w:rPr>
          <w:snapToGrid/>
          <w:szCs w:val="21"/>
          <w:lang w:val="en-GB"/>
        </w:rPr>
        <w:t>不受干涉的权利以及和平集会和结社自由的权利十分重要，是民主社会的基础之一，</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注意到</w:t>
      </w:r>
      <w:r w:rsidRPr="00C93127">
        <w:rPr>
          <w:rFonts w:hint="eastAsia"/>
          <w:snapToGrid/>
          <w:szCs w:val="21"/>
          <w:lang w:val="en-GB"/>
        </w:rPr>
        <w:t>技术的迅猛发展使全世界所有人都能使用新的信息和通信技术，同时也增强了政府、企业和个人进行监视、截取和收集数据的能力，这可能会侵犯或践踏人权，尤其是《世界人权宣言》第十二条及《公民权利和政治权利国际公约》第十七条所述的隐私权，因而是一个日益令人关切的问题，</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又注意到</w:t>
      </w:r>
      <w:r w:rsidRPr="00C93127">
        <w:rPr>
          <w:rFonts w:hint="eastAsia"/>
          <w:snapToGrid/>
          <w:szCs w:val="21"/>
          <w:lang w:val="en-GB"/>
        </w:rPr>
        <w:t>元数据固然可带来好处，但某些类型的元数据在汇总后可能会泄露个人信息，还可能暴露个人的行为举止、社会关系、私人爱好和身份特征，</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强调</w:t>
      </w:r>
      <w:r w:rsidRPr="00C93127">
        <w:rPr>
          <w:rFonts w:hint="eastAsia"/>
          <w:snapToGrid/>
          <w:szCs w:val="21"/>
          <w:lang w:val="en-GB"/>
        </w:rPr>
        <w:t>各国在截取个人数字通信和</w:t>
      </w:r>
      <w:r w:rsidRPr="00C93127">
        <w:rPr>
          <w:rFonts w:hint="eastAsia"/>
          <w:snapToGrid/>
          <w:szCs w:val="21"/>
          <w:lang w:val="en-GB"/>
        </w:rPr>
        <w:t>(</w:t>
      </w:r>
      <w:r w:rsidRPr="00C93127">
        <w:rPr>
          <w:rFonts w:hint="eastAsia"/>
          <w:snapToGrid/>
          <w:szCs w:val="21"/>
          <w:lang w:val="en-GB"/>
        </w:rPr>
        <w:t>或</w:t>
      </w:r>
      <w:r w:rsidRPr="00C93127">
        <w:rPr>
          <w:rFonts w:hint="eastAsia"/>
          <w:snapToGrid/>
          <w:szCs w:val="21"/>
          <w:lang w:val="en-GB"/>
        </w:rPr>
        <w:t>)</w:t>
      </w:r>
      <w:r w:rsidRPr="00C93127">
        <w:rPr>
          <w:rFonts w:hint="eastAsia"/>
          <w:snapToGrid/>
          <w:szCs w:val="21"/>
          <w:lang w:val="en-GB"/>
        </w:rPr>
        <w:t>收集个人数据以及要求包括私营公司在内的第三方披露个人信息时，必须遵守与隐私权有关的国际人权义务，</w:t>
      </w:r>
    </w:p>
    <w:p w:rsidR="00C93127" w:rsidRPr="00C93127" w:rsidRDefault="00C93127" w:rsidP="00C93127">
      <w:pPr>
        <w:pStyle w:val="SingleTxtGC"/>
        <w:ind w:firstLine="431"/>
        <w:rPr>
          <w:snapToGrid/>
          <w:szCs w:val="21"/>
          <w:lang w:val="en-GB"/>
        </w:rPr>
      </w:pPr>
      <w:r w:rsidRPr="00C93127">
        <w:rPr>
          <w:rFonts w:ascii="Time New Roman" w:eastAsia="楷体" w:hAnsi="Time New Roman" w:hint="eastAsia"/>
          <w:snapToGrid/>
          <w:szCs w:val="21"/>
          <w:lang w:val="en-GB"/>
        </w:rPr>
        <w:t>回顾</w:t>
      </w:r>
      <w:r w:rsidRPr="00C93127">
        <w:rPr>
          <w:rFonts w:hint="eastAsia"/>
          <w:snapToGrid/>
          <w:szCs w:val="21"/>
          <w:lang w:val="en-GB"/>
        </w:rPr>
        <w:t>如《工商企业与人权：实施联合国“保护、尊重和补救”框架指导原则》所述，工商企业负有尊重人权的责任，</w:t>
      </w:r>
      <w:r w:rsidRPr="00C93127">
        <w:rPr>
          <w:rStyle w:val="a7"/>
          <w:rFonts w:eastAsia="宋体"/>
          <w:szCs w:val="21"/>
        </w:rPr>
        <w:footnoteReference w:id="7"/>
      </w:r>
    </w:p>
    <w:p w:rsidR="00C93127" w:rsidRPr="00C93127" w:rsidRDefault="00C93127" w:rsidP="005B59DF">
      <w:pPr>
        <w:pStyle w:val="SingleTxtGC"/>
        <w:spacing w:after="140"/>
        <w:ind w:firstLine="431"/>
        <w:rPr>
          <w:snapToGrid/>
          <w:szCs w:val="21"/>
          <w:lang w:val="en-GB"/>
        </w:rPr>
      </w:pPr>
      <w:r w:rsidRPr="00C93127">
        <w:rPr>
          <w:rFonts w:ascii="Time New Roman" w:eastAsia="楷体" w:hAnsi="Time New Roman" w:hint="eastAsia"/>
          <w:snapToGrid/>
          <w:szCs w:val="21"/>
          <w:lang w:val="en-GB"/>
        </w:rPr>
        <w:t>深为关切</w:t>
      </w:r>
      <w:r w:rsidRPr="00C93127">
        <w:rPr>
          <w:rFonts w:hint="eastAsia"/>
          <w:snapToGrid/>
          <w:szCs w:val="21"/>
          <w:lang w:val="en-GB"/>
        </w:rPr>
        <w:t>监控和</w:t>
      </w:r>
      <w:r w:rsidRPr="00C93127">
        <w:rPr>
          <w:rFonts w:hint="eastAsia"/>
          <w:snapToGrid/>
          <w:szCs w:val="21"/>
          <w:lang w:val="en-GB"/>
        </w:rPr>
        <w:t>(</w:t>
      </w:r>
      <w:r w:rsidRPr="00C93127">
        <w:rPr>
          <w:rFonts w:hint="eastAsia"/>
          <w:snapToGrid/>
          <w:szCs w:val="21"/>
          <w:lang w:val="en-GB"/>
        </w:rPr>
        <w:t>或</w:t>
      </w:r>
      <w:r w:rsidRPr="00C93127">
        <w:rPr>
          <w:rFonts w:hint="eastAsia"/>
          <w:snapToGrid/>
          <w:szCs w:val="21"/>
          <w:lang w:val="en-GB"/>
        </w:rPr>
        <w:t>)</w:t>
      </w:r>
      <w:r w:rsidRPr="00C93127">
        <w:rPr>
          <w:rFonts w:hint="eastAsia"/>
          <w:snapToGrid/>
          <w:szCs w:val="21"/>
          <w:lang w:val="en-GB"/>
        </w:rPr>
        <w:t>截取通信，包括域外监控和</w:t>
      </w:r>
      <w:r w:rsidRPr="00C93127">
        <w:rPr>
          <w:rFonts w:hint="eastAsia"/>
          <w:snapToGrid/>
          <w:szCs w:val="21"/>
          <w:lang w:val="en-GB"/>
        </w:rPr>
        <w:t>(</w:t>
      </w:r>
      <w:r w:rsidRPr="00C93127">
        <w:rPr>
          <w:rFonts w:hint="eastAsia"/>
          <w:snapToGrid/>
          <w:szCs w:val="21"/>
          <w:lang w:val="en-GB"/>
        </w:rPr>
        <w:t>或</w:t>
      </w:r>
      <w:r w:rsidRPr="00C93127">
        <w:rPr>
          <w:rFonts w:hint="eastAsia"/>
          <w:snapToGrid/>
          <w:szCs w:val="21"/>
          <w:lang w:val="en-GB"/>
        </w:rPr>
        <w:t>)</w:t>
      </w:r>
      <w:r w:rsidRPr="00C93127">
        <w:rPr>
          <w:rFonts w:hint="eastAsia"/>
          <w:snapToGrid/>
          <w:szCs w:val="21"/>
          <w:lang w:val="en-GB"/>
        </w:rPr>
        <w:t>截取通信，以及收集个人数据，尤其是在大规模进行时，可能会对行使和享有人权产生负面影响，</w:t>
      </w:r>
    </w:p>
    <w:p w:rsidR="00C93127" w:rsidRPr="00C93127" w:rsidRDefault="00C93127" w:rsidP="005B59DF">
      <w:pPr>
        <w:pStyle w:val="SingleTxtGC"/>
        <w:spacing w:after="140"/>
        <w:ind w:firstLine="431"/>
        <w:rPr>
          <w:snapToGrid/>
          <w:szCs w:val="21"/>
          <w:lang w:val="en-GB"/>
        </w:rPr>
      </w:pPr>
      <w:r w:rsidRPr="00C93127">
        <w:rPr>
          <w:rFonts w:ascii="Time New Roman" w:eastAsia="楷体" w:hAnsi="Time New Roman" w:hint="eastAsia"/>
          <w:snapToGrid/>
          <w:szCs w:val="21"/>
          <w:lang w:val="en-GB"/>
        </w:rPr>
        <w:t>深为关切地</w:t>
      </w:r>
      <w:r w:rsidRPr="00C93127">
        <w:rPr>
          <w:rFonts w:ascii="Time New Roman" w:hAnsi="Time New Roman" w:hint="eastAsia"/>
          <w:snapToGrid/>
          <w:szCs w:val="21"/>
          <w:lang w:val="en-GB"/>
        </w:rPr>
        <w:t>注意到，</w:t>
      </w:r>
      <w:r w:rsidRPr="00C93127">
        <w:rPr>
          <w:rFonts w:hint="eastAsia"/>
          <w:snapToGrid/>
          <w:szCs w:val="21"/>
          <w:lang w:val="en-GB"/>
        </w:rPr>
        <w:t>在许多国家，参与增进和维护人权与基本自由的个人和组织常常由于从事这些活动而面临威胁和骚扰，经受安全无保障之苦，隐私权也遭到非法或任意干涉，</w:t>
      </w:r>
    </w:p>
    <w:p w:rsidR="00C93127" w:rsidRPr="00C93127" w:rsidRDefault="00C93127" w:rsidP="005B59DF">
      <w:pPr>
        <w:pStyle w:val="SingleTxtGC"/>
        <w:spacing w:after="140"/>
        <w:ind w:firstLine="431"/>
        <w:rPr>
          <w:snapToGrid/>
          <w:szCs w:val="21"/>
          <w:lang w:val="en-GB"/>
        </w:rPr>
      </w:pPr>
      <w:r w:rsidRPr="00C93127">
        <w:rPr>
          <w:rFonts w:ascii="Time New Roman" w:eastAsia="楷体" w:hAnsi="Time New Roman" w:hint="eastAsia"/>
          <w:snapToGrid/>
          <w:szCs w:val="21"/>
          <w:lang w:val="en-GB"/>
        </w:rPr>
        <w:t>注意到</w:t>
      </w:r>
      <w:r w:rsidRPr="00C93127">
        <w:rPr>
          <w:rFonts w:hint="eastAsia"/>
          <w:snapToGrid/>
          <w:szCs w:val="21"/>
          <w:lang w:val="en-GB"/>
        </w:rPr>
        <w:t>尽管对公共安全的关切可作为收集和保护某些敏感信息的理由，各国仍必须确保充分遵守其按照国际人权</w:t>
      </w:r>
      <w:proofErr w:type="gramStart"/>
      <w:r w:rsidRPr="00C93127">
        <w:rPr>
          <w:rFonts w:hint="eastAsia"/>
          <w:snapToGrid/>
          <w:szCs w:val="21"/>
          <w:lang w:val="en-GB"/>
        </w:rPr>
        <w:t>法承担</w:t>
      </w:r>
      <w:proofErr w:type="gramEnd"/>
      <w:r w:rsidRPr="00C93127">
        <w:rPr>
          <w:rFonts w:hint="eastAsia"/>
          <w:snapToGrid/>
          <w:szCs w:val="21"/>
          <w:lang w:val="en-GB"/>
        </w:rPr>
        <w:t>的义务，</w:t>
      </w:r>
    </w:p>
    <w:p w:rsidR="00C93127" w:rsidRPr="00C93127" w:rsidRDefault="00C93127" w:rsidP="005B59DF">
      <w:pPr>
        <w:pStyle w:val="SingleTxtGC"/>
        <w:spacing w:after="140"/>
        <w:ind w:firstLine="431"/>
        <w:rPr>
          <w:snapToGrid/>
          <w:szCs w:val="21"/>
          <w:lang w:val="en-GB"/>
        </w:rPr>
      </w:pPr>
      <w:r w:rsidRPr="00C93127">
        <w:rPr>
          <w:rFonts w:ascii="Time New Roman" w:eastAsia="楷体" w:hAnsi="Time New Roman" w:hint="eastAsia"/>
          <w:snapToGrid/>
          <w:szCs w:val="21"/>
          <w:lang w:val="en-GB"/>
        </w:rPr>
        <w:t>又注意到</w:t>
      </w:r>
      <w:r w:rsidRPr="00C93127">
        <w:rPr>
          <w:rFonts w:hint="eastAsia"/>
          <w:snapToGrid/>
          <w:szCs w:val="21"/>
          <w:lang w:val="en-GB"/>
        </w:rPr>
        <w:t>在这方面，防止和遏制恐怖主义是一项符合公众利益的重大要务，同时重申各国必须确保采取的任何打击恐怖主义措施符合本国按照国际法，尤其是国际人权法、难民法和人道主义</w:t>
      </w:r>
      <w:proofErr w:type="gramStart"/>
      <w:r w:rsidRPr="00C93127">
        <w:rPr>
          <w:rFonts w:hint="eastAsia"/>
          <w:snapToGrid/>
          <w:szCs w:val="21"/>
          <w:lang w:val="en-GB"/>
        </w:rPr>
        <w:t>法承担</w:t>
      </w:r>
      <w:proofErr w:type="gramEnd"/>
      <w:r w:rsidRPr="00C93127">
        <w:rPr>
          <w:rFonts w:hint="eastAsia"/>
          <w:snapToGrid/>
          <w:szCs w:val="21"/>
          <w:lang w:val="en-GB"/>
        </w:rPr>
        <w:t>的义务，</w:t>
      </w:r>
    </w:p>
    <w:p w:rsidR="00C93127" w:rsidRPr="00C93127" w:rsidRDefault="00C93127" w:rsidP="005B59DF">
      <w:pPr>
        <w:pStyle w:val="SingleTxtGC"/>
        <w:spacing w:after="140"/>
        <w:ind w:firstLine="431"/>
        <w:rPr>
          <w:snapToGrid/>
          <w:szCs w:val="21"/>
          <w:lang w:val="en-GB"/>
        </w:rPr>
      </w:pPr>
      <w:r w:rsidRPr="00C93127">
        <w:rPr>
          <w:snapToGrid/>
          <w:szCs w:val="21"/>
          <w:lang w:val="en-GB"/>
        </w:rPr>
        <w:t>1.</w:t>
      </w:r>
      <w:r>
        <w:rPr>
          <w:rFonts w:hint="eastAsia"/>
          <w:snapToGrid/>
          <w:szCs w:val="21"/>
          <w:lang w:val="en-GB"/>
        </w:rPr>
        <w:t xml:space="preserve">  </w:t>
      </w:r>
      <w:r w:rsidRPr="00C93127">
        <w:rPr>
          <w:rFonts w:ascii="Time New Roman" w:eastAsia="楷体" w:hAnsi="Time New Roman" w:hint="eastAsia"/>
          <w:snapToGrid/>
          <w:szCs w:val="21"/>
          <w:lang w:val="en-GB"/>
        </w:rPr>
        <w:t>重申</w:t>
      </w:r>
      <w:r w:rsidRPr="00C93127">
        <w:rPr>
          <w:rFonts w:hint="eastAsia"/>
          <w:snapToGrid/>
          <w:szCs w:val="21"/>
          <w:lang w:val="en-GB"/>
        </w:rPr>
        <w:t>《世界人权宣言》第十二条和《公民权利及政治权利国际公约》第十七条所述隐私权，即任何人的私生活、家庭、住宅或通信不得加以任意或非法干涉，并且有权享受法律保护，以免受这种干涉；</w:t>
      </w:r>
    </w:p>
    <w:p w:rsidR="00C93127" w:rsidRPr="00C93127" w:rsidRDefault="00C93127" w:rsidP="005B59DF">
      <w:pPr>
        <w:pStyle w:val="SingleTxtGC"/>
        <w:spacing w:after="140"/>
        <w:ind w:firstLine="431"/>
        <w:rPr>
          <w:snapToGrid/>
          <w:szCs w:val="21"/>
          <w:lang w:val="en-GB"/>
        </w:rPr>
      </w:pPr>
      <w:r w:rsidRPr="00C93127">
        <w:rPr>
          <w:snapToGrid/>
          <w:szCs w:val="21"/>
          <w:lang w:val="en-GB"/>
        </w:rPr>
        <w:t>2.</w:t>
      </w:r>
      <w:r>
        <w:rPr>
          <w:rFonts w:hint="eastAsia"/>
          <w:snapToGrid/>
          <w:szCs w:val="21"/>
          <w:lang w:val="en-GB"/>
        </w:rPr>
        <w:t xml:space="preserve">  </w:t>
      </w:r>
      <w:r w:rsidRPr="00C93127">
        <w:rPr>
          <w:rFonts w:ascii="Time New Roman" w:eastAsia="楷体" w:hAnsi="Time New Roman" w:hint="eastAsia"/>
          <w:snapToGrid/>
          <w:szCs w:val="21"/>
          <w:lang w:val="en-GB"/>
        </w:rPr>
        <w:t>确认</w:t>
      </w:r>
      <w:r w:rsidRPr="00C93127">
        <w:rPr>
          <w:rFonts w:hint="eastAsia"/>
          <w:snapToGrid/>
          <w:szCs w:val="21"/>
          <w:lang w:val="en-GB"/>
        </w:rPr>
        <w:t>互联网的全球性和开放性以及信息和通信技术的迅猛发展是加速推进各种形式发展的驱动力；</w:t>
      </w:r>
    </w:p>
    <w:p w:rsidR="00C93127" w:rsidRPr="00C93127" w:rsidRDefault="00C93127" w:rsidP="005B59DF">
      <w:pPr>
        <w:pStyle w:val="SingleTxtGC"/>
        <w:spacing w:after="140"/>
        <w:ind w:firstLine="431"/>
        <w:rPr>
          <w:snapToGrid/>
          <w:szCs w:val="21"/>
          <w:lang w:val="en-GB"/>
        </w:rPr>
      </w:pPr>
      <w:r w:rsidRPr="00C93127">
        <w:rPr>
          <w:snapToGrid/>
          <w:szCs w:val="21"/>
          <w:lang w:val="en-GB"/>
        </w:rPr>
        <w:t>3.</w:t>
      </w:r>
      <w:r>
        <w:rPr>
          <w:rFonts w:hint="eastAsia"/>
          <w:snapToGrid/>
          <w:szCs w:val="21"/>
          <w:lang w:val="en-GB"/>
        </w:rPr>
        <w:t xml:space="preserve">  </w:t>
      </w:r>
      <w:r w:rsidRPr="00C93127">
        <w:rPr>
          <w:rFonts w:ascii="Time New Roman" w:eastAsia="楷体" w:hAnsi="Time New Roman" w:hint="eastAsia"/>
          <w:snapToGrid/>
          <w:szCs w:val="21"/>
          <w:lang w:val="en-GB"/>
        </w:rPr>
        <w:t>申明</w:t>
      </w:r>
      <w:r w:rsidRPr="00C93127">
        <w:rPr>
          <w:rFonts w:hint="eastAsia"/>
          <w:snapToGrid/>
          <w:szCs w:val="21"/>
          <w:lang w:val="en-GB"/>
        </w:rPr>
        <w:t>人们在网下享有的各种权利，包括隐私权，在网上也应受到保护；</w:t>
      </w:r>
    </w:p>
    <w:p w:rsidR="00C93127" w:rsidRPr="00C93127" w:rsidRDefault="00C93127" w:rsidP="005B59DF">
      <w:pPr>
        <w:pStyle w:val="SingleTxtGC"/>
        <w:spacing w:after="140"/>
        <w:ind w:firstLine="431"/>
        <w:rPr>
          <w:snapToGrid/>
          <w:szCs w:val="21"/>
          <w:lang w:val="en-GB"/>
        </w:rPr>
      </w:pPr>
      <w:r w:rsidRPr="00C93127">
        <w:rPr>
          <w:snapToGrid/>
          <w:szCs w:val="21"/>
          <w:lang w:val="en-GB"/>
        </w:rPr>
        <w:t>4.</w:t>
      </w:r>
      <w:r>
        <w:rPr>
          <w:rFonts w:hint="eastAsia"/>
          <w:snapToGrid/>
          <w:szCs w:val="21"/>
          <w:lang w:val="en-GB"/>
        </w:rPr>
        <w:t xml:space="preserve">  </w:t>
      </w:r>
      <w:r w:rsidRPr="00C93127">
        <w:rPr>
          <w:rFonts w:ascii="Time New Roman" w:eastAsia="楷体" w:hAnsi="Time New Roman" w:hint="eastAsia"/>
          <w:snapToGrid/>
          <w:szCs w:val="21"/>
          <w:lang w:val="en-GB"/>
        </w:rPr>
        <w:t>决定</w:t>
      </w:r>
      <w:r w:rsidRPr="00C93127">
        <w:rPr>
          <w:snapToGrid/>
          <w:szCs w:val="21"/>
          <w:lang w:val="en-GB"/>
        </w:rPr>
        <w:t>任命一名</w:t>
      </w:r>
      <w:r w:rsidRPr="00C93127">
        <w:rPr>
          <w:rFonts w:hint="eastAsia"/>
          <w:snapToGrid/>
          <w:szCs w:val="21"/>
          <w:lang w:val="en-GB"/>
        </w:rPr>
        <w:t>隐私权问题</w:t>
      </w:r>
      <w:r w:rsidRPr="00C93127">
        <w:rPr>
          <w:snapToGrid/>
          <w:szCs w:val="21"/>
          <w:lang w:val="en-GB"/>
        </w:rPr>
        <w:t>特别报告员，任期三年</w:t>
      </w:r>
      <w:r w:rsidRPr="00C93127">
        <w:rPr>
          <w:rFonts w:hint="eastAsia"/>
          <w:snapToGrid/>
          <w:szCs w:val="21"/>
          <w:lang w:val="en-GB"/>
        </w:rPr>
        <w:t>，</w:t>
      </w:r>
      <w:r w:rsidRPr="00C93127">
        <w:rPr>
          <w:szCs w:val="21"/>
        </w:rPr>
        <w:t>任务如下：</w:t>
      </w:r>
    </w:p>
    <w:p w:rsidR="00C93127" w:rsidRPr="00C93127" w:rsidRDefault="00C93127" w:rsidP="005B59DF">
      <w:pPr>
        <w:pStyle w:val="SingleTxtGC"/>
        <w:numPr>
          <w:ilvl w:val="0"/>
          <w:numId w:val="5"/>
        </w:numPr>
        <w:spacing w:after="140"/>
        <w:rPr>
          <w:snapToGrid/>
          <w:szCs w:val="21"/>
          <w:lang w:val="en-GB"/>
        </w:rPr>
      </w:pPr>
      <w:r w:rsidRPr="00C93127">
        <w:rPr>
          <w:rFonts w:hint="eastAsia"/>
          <w:snapToGrid/>
          <w:szCs w:val="21"/>
          <w:lang w:val="en-GB"/>
        </w:rPr>
        <w:t>收集相关资料，包括国际和国内框架、国家实践和经验方面的资料，研究有关隐私权的趋势、发展及挑战，并提出增进和保护隐私权的建议，包括联系新技术带来的挑战提出建议</w:t>
      </w:r>
      <w:r w:rsidRPr="00C93127">
        <w:rPr>
          <w:snapToGrid/>
          <w:szCs w:val="21"/>
          <w:lang w:val="en-GB"/>
        </w:rPr>
        <w:t>；</w:t>
      </w:r>
    </w:p>
    <w:p w:rsidR="00C93127" w:rsidRPr="00C93127" w:rsidRDefault="00C93127" w:rsidP="005B59DF">
      <w:pPr>
        <w:pStyle w:val="SingleTxtGC"/>
        <w:numPr>
          <w:ilvl w:val="0"/>
          <w:numId w:val="5"/>
        </w:numPr>
        <w:spacing w:after="140"/>
        <w:rPr>
          <w:snapToGrid/>
          <w:szCs w:val="21"/>
          <w:lang w:val="en-GB"/>
        </w:rPr>
      </w:pPr>
      <w:r w:rsidRPr="00C93127">
        <w:rPr>
          <w:rFonts w:hint="eastAsia"/>
          <w:snapToGrid/>
          <w:szCs w:val="21"/>
          <w:lang w:val="en-GB"/>
        </w:rPr>
        <w:t>向各国、联合国及其专门机构、计</w:t>
      </w:r>
      <w:r w:rsidRPr="00C93127">
        <w:rPr>
          <w:rFonts w:hint="eastAsia"/>
          <w:snapToGrid/>
          <w:szCs w:val="21"/>
          <w:lang w:val="en-GB"/>
        </w:rPr>
        <w:t>(</w:t>
      </w:r>
      <w:proofErr w:type="gramStart"/>
      <w:r w:rsidRPr="00C93127">
        <w:rPr>
          <w:rFonts w:hint="eastAsia"/>
          <w:snapToGrid/>
          <w:szCs w:val="21"/>
          <w:lang w:val="en-GB"/>
        </w:rPr>
        <w:t>规</w:t>
      </w:r>
      <w:proofErr w:type="gramEnd"/>
      <w:r w:rsidRPr="00C93127">
        <w:rPr>
          <w:rFonts w:hint="eastAsia"/>
          <w:snapToGrid/>
          <w:szCs w:val="21"/>
          <w:lang w:val="en-GB"/>
        </w:rPr>
        <w:t>)</w:t>
      </w:r>
      <w:proofErr w:type="gramStart"/>
      <w:r w:rsidRPr="00C93127">
        <w:rPr>
          <w:rFonts w:hint="eastAsia"/>
          <w:snapToGrid/>
          <w:szCs w:val="21"/>
          <w:lang w:val="en-GB"/>
        </w:rPr>
        <w:t>划署和</w:t>
      </w:r>
      <w:proofErr w:type="gramEnd"/>
      <w:r w:rsidRPr="00C93127">
        <w:rPr>
          <w:rFonts w:hint="eastAsia"/>
          <w:snapToGrid/>
          <w:szCs w:val="21"/>
          <w:lang w:val="en-GB"/>
        </w:rPr>
        <w:t>基金</w:t>
      </w:r>
      <w:r w:rsidRPr="00C93127">
        <w:rPr>
          <w:rFonts w:hint="eastAsia"/>
          <w:snapToGrid/>
          <w:szCs w:val="21"/>
          <w:lang w:val="en-GB"/>
        </w:rPr>
        <w:t>(</w:t>
      </w:r>
      <w:r w:rsidRPr="00C93127">
        <w:rPr>
          <w:rFonts w:hint="eastAsia"/>
          <w:snapToGrid/>
          <w:szCs w:val="21"/>
          <w:lang w:val="en-GB"/>
        </w:rPr>
        <w:t>会</w:t>
      </w:r>
      <w:r w:rsidRPr="00C93127">
        <w:rPr>
          <w:rFonts w:hint="eastAsia"/>
          <w:snapToGrid/>
          <w:szCs w:val="21"/>
          <w:lang w:val="en-GB"/>
        </w:rPr>
        <w:t>)</w:t>
      </w:r>
      <w:r w:rsidRPr="00C93127">
        <w:rPr>
          <w:rFonts w:hint="eastAsia"/>
          <w:snapToGrid/>
          <w:szCs w:val="21"/>
          <w:lang w:val="en-GB"/>
        </w:rPr>
        <w:t>、区域人权机制、国家人权机构、民间社会组织、私营部门</w:t>
      </w:r>
      <w:r w:rsidRPr="00C93127">
        <w:rPr>
          <w:rFonts w:hint="eastAsia"/>
          <w:snapToGrid/>
          <w:szCs w:val="21"/>
          <w:lang w:val="en-GB"/>
        </w:rPr>
        <w:t>(</w:t>
      </w:r>
      <w:r w:rsidRPr="00C93127">
        <w:rPr>
          <w:rFonts w:hint="eastAsia"/>
          <w:snapToGrid/>
          <w:szCs w:val="21"/>
          <w:lang w:val="en-GB"/>
        </w:rPr>
        <w:t>包括工商企业</w:t>
      </w:r>
      <w:r w:rsidRPr="00C93127">
        <w:rPr>
          <w:rFonts w:hint="eastAsia"/>
          <w:snapToGrid/>
          <w:szCs w:val="21"/>
          <w:lang w:val="en-GB"/>
        </w:rPr>
        <w:t>)</w:t>
      </w:r>
      <w:r w:rsidRPr="00C93127">
        <w:rPr>
          <w:rFonts w:hint="eastAsia"/>
          <w:snapToGrid/>
          <w:szCs w:val="21"/>
          <w:lang w:val="en-GB"/>
        </w:rPr>
        <w:t>以及其他任何相关利益方或有关方征求和获取信息，并</w:t>
      </w:r>
      <w:proofErr w:type="gramStart"/>
      <w:r w:rsidRPr="00C93127">
        <w:rPr>
          <w:rFonts w:hint="eastAsia"/>
          <w:snapToGrid/>
          <w:szCs w:val="21"/>
          <w:lang w:val="en-GB"/>
        </w:rPr>
        <w:t>作出</w:t>
      </w:r>
      <w:proofErr w:type="gramEnd"/>
      <w:r w:rsidRPr="00C93127">
        <w:rPr>
          <w:rFonts w:hint="eastAsia"/>
          <w:snapToGrid/>
          <w:szCs w:val="21"/>
          <w:lang w:val="en-GB"/>
        </w:rPr>
        <w:t>回应，同时避免工作重叠；</w:t>
      </w:r>
    </w:p>
    <w:p w:rsidR="00C93127" w:rsidRPr="00C93127" w:rsidRDefault="00C93127" w:rsidP="005B59DF">
      <w:pPr>
        <w:pStyle w:val="SingleTxtGC"/>
        <w:numPr>
          <w:ilvl w:val="0"/>
          <w:numId w:val="5"/>
        </w:numPr>
        <w:spacing w:after="140"/>
        <w:rPr>
          <w:snapToGrid/>
          <w:szCs w:val="21"/>
          <w:lang w:val="en-GB"/>
        </w:rPr>
      </w:pPr>
      <w:r w:rsidRPr="00C93127">
        <w:rPr>
          <w:rFonts w:hint="eastAsia"/>
          <w:snapToGrid/>
          <w:szCs w:val="21"/>
          <w:lang w:val="en-GB"/>
        </w:rPr>
        <w:t>查明在增进和保护隐私权方面可能存在的障碍，查明、交流和倡导国家、区域和国际层面的原则和最佳做法，为此向人权理事会提交提案和建议，包括针对数字时代的特有挑战提交提案和建议</w:t>
      </w:r>
      <w:r w:rsidRPr="00C93127">
        <w:rPr>
          <w:snapToGrid/>
          <w:szCs w:val="21"/>
          <w:lang w:val="en-GB"/>
        </w:rPr>
        <w:t>；</w:t>
      </w:r>
    </w:p>
    <w:p w:rsidR="00C93127" w:rsidRPr="00C93127" w:rsidRDefault="00C93127" w:rsidP="005B59DF">
      <w:pPr>
        <w:pStyle w:val="SingleTxtGC"/>
        <w:numPr>
          <w:ilvl w:val="0"/>
          <w:numId w:val="5"/>
        </w:numPr>
        <w:spacing w:after="140"/>
        <w:rPr>
          <w:snapToGrid/>
          <w:szCs w:val="21"/>
          <w:lang w:val="en-GB"/>
        </w:rPr>
      </w:pPr>
      <w:r w:rsidRPr="00C93127">
        <w:rPr>
          <w:rFonts w:hint="eastAsia"/>
          <w:snapToGrid/>
          <w:szCs w:val="21"/>
          <w:lang w:val="en-GB"/>
        </w:rPr>
        <w:t>参加相关国际会议和活动并提出意见建议，以便推动就自身任务授权的相关问题采取系统一致的方针；</w:t>
      </w:r>
    </w:p>
    <w:p w:rsidR="00C93127" w:rsidRPr="00C93127" w:rsidRDefault="00C93127" w:rsidP="005B59DF">
      <w:pPr>
        <w:pStyle w:val="SingleTxtGC"/>
        <w:numPr>
          <w:ilvl w:val="0"/>
          <w:numId w:val="5"/>
        </w:numPr>
        <w:spacing w:after="140"/>
        <w:rPr>
          <w:snapToGrid/>
          <w:szCs w:val="21"/>
          <w:lang w:val="en-GB"/>
        </w:rPr>
      </w:pPr>
      <w:r w:rsidRPr="00C93127">
        <w:rPr>
          <w:rFonts w:hint="eastAsia"/>
          <w:snapToGrid/>
          <w:szCs w:val="21"/>
          <w:lang w:val="en-GB"/>
        </w:rPr>
        <w:t>提高对增进和保护隐私权的重要性的认识，特别注意数字时代的特有挑战，并提高对</w:t>
      </w:r>
      <w:r w:rsidRPr="00C93127">
        <w:rPr>
          <w:szCs w:val="21"/>
        </w:rPr>
        <w:t>按照国际人权义务</w:t>
      </w:r>
      <w:r w:rsidRPr="00C93127">
        <w:rPr>
          <w:rFonts w:hint="eastAsia"/>
          <w:szCs w:val="21"/>
        </w:rPr>
        <w:t>向</w:t>
      </w:r>
      <w:r w:rsidRPr="00C93127">
        <w:rPr>
          <w:rFonts w:hint="eastAsia"/>
          <w:snapToGrid/>
          <w:szCs w:val="21"/>
          <w:lang w:val="en-GB"/>
        </w:rPr>
        <w:t>隐私权受到侵犯的个人提供有效补救机会的重要性的认识；</w:t>
      </w:r>
    </w:p>
    <w:p w:rsidR="00C93127" w:rsidRPr="00C93127" w:rsidRDefault="00C93127" w:rsidP="005B59DF">
      <w:pPr>
        <w:pStyle w:val="SingleTxtGC"/>
        <w:keepNext/>
        <w:keepLines/>
        <w:numPr>
          <w:ilvl w:val="0"/>
          <w:numId w:val="5"/>
        </w:numPr>
        <w:rPr>
          <w:snapToGrid/>
          <w:szCs w:val="21"/>
          <w:lang w:val="en-GB"/>
        </w:rPr>
      </w:pPr>
      <w:r w:rsidRPr="00C93127">
        <w:rPr>
          <w:szCs w:val="21"/>
        </w:rPr>
        <w:t>在开展工作履行任务的过程中始终纳入性别公平观</w:t>
      </w:r>
      <w:r w:rsidRPr="00C93127">
        <w:rPr>
          <w:snapToGrid/>
          <w:szCs w:val="21"/>
          <w:lang w:val="en-GB"/>
        </w:rPr>
        <w:t>；</w:t>
      </w:r>
    </w:p>
    <w:p w:rsidR="00C93127" w:rsidRPr="00C93127" w:rsidRDefault="00C93127" w:rsidP="00C93127">
      <w:pPr>
        <w:pStyle w:val="SingleTxtGC"/>
        <w:numPr>
          <w:ilvl w:val="0"/>
          <w:numId w:val="5"/>
        </w:numPr>
        <w:rPr>
          <w:snapToGrid/>
          <w:szCs w:val="21"/>
          <w:lang w:val="en-GB"/>
        </w:rPr>
      </w:pPr>
      <w:r w:rsidRPr="00C93127">
        <w:rPr>
          <w:rFonts w:hint="eastAsia"/>
          <w:snapToGrid/>
          <w:szCs w:val="21"/>
          <w:lang w:val="en-GB"/>
        </w:rPr>
        <w:t>报告</w:t>
      </w:r>
      <w:r w:rsidRPr="00C93127">
        <w:rPr>
          <w:szCs w:val="21"/>
        </w:rPr>
        <w:t>不论何地</w:t>
      </w:r>
      <w:r w:rsidRPr="00C93127">
        <w:rPr>
          <w:rFonts w:hint="eastAsia"/>
          <w:snapToGrid/>
          <w:szCs w:val="21"/>
          <w:lang w:val="en-GB"/>
        </w:rPr>
        <w:t>侵犯《世界人权宣言》第十二条和《公民权利及政治权利国际公约》第十七条所载隐私权的指控，包括与新技术带来的挑战有关的指控，并提请理事会和联合国人权事务高级专员注意特别令人严重关切的情况</w:t>
      </w:r>
      <w:r w:rsidRPr="00C93127">
        <w:rPr>
          <w:snapToGrid/>
          <w:szCs w:val="21"/>
          <w:lang w:val="en-GB"/>
        </w:rPr>
        <w:t>；</w:t>
      </w:r>
    </w:p>
    <w:p w:rsidR="00C93127" w:rsidRPr="00C93127" w:rsidRDefault="00C93127" w:rsidP="00C93127">
      <w:pPr>
        <w:pStyle w:val="SingleTxtGC"/>
        <w:numPr>
          <w:ilvl w:val="0"/>
          <w:numId w:val="5"/>
        </w:numPr>
        <w:rPr>
          <w:snapToGrid/>
          <w:szCs w:val="21"/>
          <w:lang w:val="en-GB"/>
        </w:rPr>
      </w:pPr>
      <w:r w:rsidRPr="00C93127">
        <w:rPr>
          <w:rFonts w:hint="eastAsia"/>
          <w:snapToGrid/>
          <w:szCs w:val="21"/>
          <w:lang w:val="en-GB"/>
        </w:rPr>
        <w:t>自人权理事会第三十一届会议和大会第七十一届会议起，分别向理事会和大会提交年度报告</w:t>
      </w:r>
      <w:r w:rsidRPr="00C93127">
        <w:rPr>
          <w:snapToGrid/>
          <w:szCs w:val="21"/>
          <w:lang w:val="en-GB"/>
        </w:rPr>
        <w:t>；</w:t>
      </w:r>
    </w:p>
    <w:p w:rsidR="00C93127" w:rsidRPr="00C93127" w:rsidRDefault="00C93127" w:rsidP="005B59DF">
      <w:pPr>
        <w:pStyle w:val="SingleTxtGC"/>
        <w:ind w:firstLine="431"/>
        <w:rPr>
          <w:snapToGrid/>
          <w:szCs w:val="21"/>
          <w:lang w:val="en-GB"/>
        </w:rPr>
      </w:pPr>
      <w:r w:rsidRPr="00C93127">
        <w:rPr>
          <w:snapToGrid/>
          <w:szCs w:val="21"/>
          <w:lang w:val="en-GB"/>
        </w:rPr>
        <w:t>5.</w:t>
      </w:r>
      <w:r>
        <w:rPr>
          <w:rFonts w:hint="eastAsia"/>
          <w:snapToGrid/>
          <w:szCs w:val="21"/>
          <w:lang w:val="en-GB"/>
        </w:rPr>
        <w:t xml:space="preserve">  </w:t>
      </w:r>
      <w:r w:rsidRPr="00C93127">
        <w:rPr>
          <w:rFonts w:ascii="Time New Roman" w:eastAsia="楷体" w:hAnsi="Time New Roman" w:hint="eastAsia"/>
          <w:snapToGrid/>
          <w:szCs w:val="21"/>
          <w:lang w:val="en-GB"/>
        </w:rPr>
        <w:t>请</w:t>
      </w:r>
      <w:r w:rsidRPr="00C93127">
        <w:rPr>
          <w:rFonts w:hint="eastAsia"/>
          <w:snapToGrid/>
          <w:szCs w:val="21"/>
          <w:lang w:val="en-GB"/>
        </w:rPr>
        <w:t>特别报告员在初次报告中列入任务负责人认为与处理数字时代隐私权问题有关的各种</w:t>
      </w:r>
      <w:proofErr w:type="gramStart"/>
      <w:r w:rsidRPr="00C93127">
        <w:rPr>
          <w:rFonts w:hint="eastAsia"/>
          <w:snapToGrid/>
          <w:szCs w:val="21"/>
          <w:lang w:val="en-GB"/>
        </w:rPr>
        <w:t>考量</w:t>
      </w:r>
      <w:proofErr w:type="gramEnd"/>
      <w:r w:rsidRPr="00C93127">
        <w:rPr>
          <w:rFonts w:hint="eastAsia"/>
          <w:snapToGrid/>
          <w:szCs w:val="21"/>
          <w:lang w:val="en-GB"/>
        </w:rPr>
        <w:t>；</w:t>
      </w:r>
    </w:p>
    <w:p w:rsidR="00C93127" w:rsidRPr="00C93127" w:rsidRDefault="00C93127" w:rsidP="005B59DF">
      <w:pPr>
        <w:pStyle w:val="SingleTxtGC"/>
        <w:ind w:firstLine="431"/>
        <w:rPr>
          <w:snapToGrid/>
          <w:szCs w:val="21"/>
          <w:lang w:val="en-GB"/>
        </w:rPr>
      </w:pPr>
      <w:r w:rsidRPr="00C93127">
        <w:rPr>
          <w:snapToGrid/>
          <w:szCs w:val="21"/>
          <w:lang w:val="en-GB"/>
        </w:rPr>
        <w:t>6.</w:t>
      </w:r>
      <w:r>
        <w:rPr>
          <w:rFonts w:hint="eastAsia"/>
          <w:snapToGrid/>
          <w:szCs w:val="21"/>
          <w:lang w:val="en-GB"/>
        </w:rPr>
        <w:t xml:space="preserve">  </w:t>
      </w:r>
      <w:r w:rsidRPr="00C93127">
        <w:rPr>
          <w:rFonts w:ascii="Time New Roman" w:eastAsia="楷体" w:hAnsi="Time New Roman" w:hint="eastAsia"/>
          <w:snapToGrid/>
          <w:szCs w:val="21"/>
          <w:lang w:val="en-GB"/>
        </w:rPr>
        <w:t>吁请</w:t>
      </w:r>
      <w:r w:rsidRPr="00C93127">
        <w:rPr>
          <w:rFonts w:hint="eastAsia"/>
          <w:snapToGrid/>
          <w:szCs w:val="21"/>
          <w:lang w:val="en-GB"/>
        </w:rPr>
        <w:t>各国为特别报告员执行任务提供充分合作与协助，包括提供其要求的一切必要资料，迅速回应其发出的紧急呼吁和其他来文，积极考虑任务负责人访问本国的请求，并考虑落实任务负责人在报告中提出的建议</w:t>
      </w:r>
      <w:r w:rsidRPr="00C93127">
        <w:rPr>
          <w:snapToGrid/>
          <w:szCs w:val="21"/>
          <w:lang w:val="en-GB"/>
        </w:rPr>
        <w:t>；</w:t>
      </w:r>
    </w:p>
    <w:p w:rsidR="00C93127" w:rsidRPr="00C93127" w:rsidRDefault="00C93127" w:rsidP="005B59DF">
      <w:pPr>
        <w:pStyle w:val="SingleTxtGC"/>
        <w:ind w:firstLine="431"/>
        <w:rPr>
          <w:snapToGrid/>
          <w:szCs w:val="21"/>
          <w:lang w:val="en-GB"/>
        </w:rPr>
      </w:pPr>
      <w:r w:rsidRPr="00C93127">
        <w:rPr>
          <w:snapToGrid/>
          <w:szCs w:val="21"/>
          <w:lang w:val="en-GB"/>
        </w:rPr>
        <w:t>7.</w:t>
      </w:r>
      <w:r>
        <w:rPr>
          <w:rFonts w:hint="eastAsia"/>
          <w:snapToGrid/>
          <w:szCs w:val="21"/>
          <w:lang w:val="en-GB"/>
        </w:rPr>
        <w:t xml:space="preserve">  </w:t>
      </w:r>
      <w:r w:rsidRPr="00C93127">
        <w:rPr>
          <w:rFonts w:ascii="Time New Roman" w:eastAsia="楷体" w:hAnsi="Time New Roman" w:hint="eastAsia"/>
          <w:snapToGrid/>
          <w:szCs w:val="21"/>
          <w:lang w:val="en-GB"/>
        </w:rPr>
        <w:t>鼓励</w:t>
      </w:r>
      <w:r w:rsidRPr="00C93127">
        <w:rPr>
          <w:rFonts w:hint="eastAsia"/>
          <w:snapToGrid/>
          <w:szCs w:val="21"/>
          <w:lang w:val="en-GB"/>
        </w:rPr>
        <w:t>包括联合国及其专门机构、计</w:t>
      </w:r>
      <w:r w:rsidRPr="00C93127">
        <w:rPr>
          <w:rFonts w:hint="eastAsia"/>
          <w:snapToGrid/>
          <w:szCs w:val="21"/>
          <w:lang w:val="en-GB"/>
        </w:rPr>
        <w:t>(</w:t>
      </w:r>
      <w:proofErr w:type="gramStart"/>
      <w:r w:rsidRPr="00C93127">
        <w:rPr>
          <w:rFonts w:hint="eastAsia"/>
          <w:snapToGrid/>
          <w:szCs w:val="21"/>
          <w:lang w:val="en-GB"/>
        </w:rPr>
        <w:t>规</w:t>
      </w:r>
      <w:proofErr w:type="gramEnd"/>
      <w:r w:rsidRPr="00C93127">
        <w:rPr>
          <w:rFonts w:hint="eastAsia"/>
          <w:snapToGrid/>
          <w:szCs w:val="21"/>
          <w:lang w:val="en-GB"/>
        </w:rPr>
        <w:t>)</w:t>
      </w:r>
      <w:proofErr w:type="gramStart"/>
      <w:r w:rsidRPr="00C93127">
        <w:rPr>
          <w:rFonts w:hint="eastAsia"/>
          <w:snapToGrid/>
          <w:szCs w:val="21"/>
          <w:lang w:val="en-GB"/>
        </w:rPr>
        <w:t>划署和</w:t>
      </w:r>
      <w:proofErr w:type="gramEnd"/>
      <w:r w:rsidRPr="00C93127">
        <w:rPr>
          <w:rFonts w:hint="eastAsia"/>
          <w:snapToGrid/>
          <w:szCs w:val="21"/>
          <w:lang w:val="en-GB"/>
        </w:rPr>
        <w:t>基金</w:t>
      </w:r>
      <w:r w:rsidRPr="00C93127">
        <w:rPr>
          <w:rFonts w:hint="eastAsia"/>
          <w:snapToGrid/>
          <w:szCs w:val="21"/>
          <w:lang w:val="en-GB"/>
        </w:rPr>
        <w:t>(</w:t>
      </w:r>
      <w:r w:rsidRPr="00C93127">
        <w:rPr>
          <w:rFonts w:hint="eastAsia"/>
          <w:snapToGrid/>
          <w:szCs w:val="21"/>
          <w:lang w:val="en-GB"/>
        </w:rPr>
        <w:t>会</w:t>
      </w:r>
      <w:r w:rsidRPr="00C93127">
        <w:rPr>
          <w:rFonts w:hint="eastAsia"/>
          <w:snapToGrid/>
          <w:szCs w:val="21"/>
          <w:lang w:val="en-GB"/>
        </w:rPr>
        <w:t>)</w:t>
      </w:r>
      <w:r w:rsidRPr="00C93127">
        <w:rPr>
          <w:rFonts w:hint="eastAsia"/>
          <w:snapToGrid/>
          <w:szCs w:val="21"/>
          <w:lang w:val="en-GB"/>
        </w:rPr>
        <w:t>、区域人权机制、国家人权机构、民间社会和私营部门在内的所有相关利益方与特别报告员充分合作，以便任务负责人能够履行任务</w:t>
      </w:r>
      <w:r w:rsidRPr="00C93127">
        <w:rPr>
          <w:snapToGrid/>
          <w:szCs w:val="21"/>
          <w:lang w:val="en-GB"/>
        </w:rPr>
        <w:t>；</w:t>
      </w:r>
    </w:p>
    <w:p w:rsidR="00C93127" w:rsidRPr="00C93127" w:rsidRDefault="00C93127" w:rsidP="005B59DF">
      <w:pPr>
        <w:pStyle w:val="SingleTxtGC"/>
        <w:ind w:firstLine="431"/>
        <w:rPr>
          <w:snapToGrid/>
          <w:szCs w:val="21"/>
          <w:lang w:val="en-GB"/>
        </w:rPr>
      </w:pPr>
      <w:r w:rsidRPr="00C93127">
        <w:rPr>
          <w:snapToGrid/>
          <w:szCs w:val="21"/>
          <w:lang w:val="en-GB"/>
        </w:rPr>
        <w:t>8.</w:t>
      </w:r>
      <w:r>
        <w:rPr>
          <w:rFonts w:hint="eastAsia"/>
          <w:snapToGrid/>
          <w:szCs w:val="21"/>
          <w:lang w:val="en-GB"/>
        </w:rPr>
        <w:t xml:space="preserve">  </w:t>
      </w:r>
      <w:r w:rsidRPr="00C93127">
        <w:rPr>
          <w:rFonts w:ascii="Time New Roman" w:eastAsia="楷体" w:hAnsi="Time New Roman" w:hint="eastAsia"/>
          <w:snapToGrid/>
          <w:szCs w:val="21"/>
          <w:lang w:val="en-GB"/>
        </w:rPr>
        <w:t>请</w:t>
      </w:r>
      <w:r w:rsidRPr="00C93127">
        <w:rPr>
          <w:rFonts w:hint="eastAsia"/>
          <w:snapToGrid/>
          <w:szCs w:val="21"/>
          <w:lang w:val="en-GB"/>
        </w:rPr>
        <w:t>秘书长和高级专员为特别报告员切实履行任务提供一切必需的人力和财政资源</w:t>
      </w:r>
      <w:r w:rsidRPr="00C93127">
        <w:rPr>
          <w:snapToGrid/>
          <w:szCs w:val="21"/>
          <w:lang w:val="en-GB"/>
        </w:rPr>
        <w:t>；</w:t>
      </w:r>
    </w:p>
    <w:p w:rsidR="00C93127" w:rsidRPr="00C93127" w:rsidRDefault="00C93127" w:rsidP="005B59DF">
      <w:pPr>
        <w:pStyle w:val="SingleTxtGC"/>
        <w:ind w:firstLine="431"/>
        <w:rPr>
          <w:snapToGrid/>
          <w:szCs w:val="21"/>
          <w:lang w:val="en-GB"/>
        </w:rPr>
      </w:pPr>
      <w:r w:rsidRPr="00C93127">
        <w:rPr>
          <w:snapToGrid/>
          <w:szCs w:val="21"/>
          <w:lang w:val="en-GB"/>
        </w:rPr>
        <w:t>9.</w:t>
      </w:r>
      <w:r>
        <w:rPr>
          <w:rFonts w:hint="eastAsia"/>
          <w:snapToGrid/>
          <w:szCs w:val="21"/>
          <w:lang w:val="en-GB"/>
        </w:rPr>
        <w:t xml:space="preserve">  </w:t>
      </w:r>
      <w:r w:rsidRPr="00C93127">
        <w:rPr>
          <w:rFonts w:ascii="Time New Roman" w:eastAsia="楷体" w:hAnsi="Time New Roman" w:hint="eastAsia"/>
          <w:snapToGrid/>
          <w:szCs w:val="21"/>
          <w:lang w:val="en-GB"/>
        </w:rPr>
        <w:t>决定</w:t>
      </w:r>
      <w:r w:rsidRPr="00C93127">
        <w:rPr>
          <w:rFonts w:hint="eastAsia"/>
          <w:snapToGrid/>
          <w:szCs w:val="21"/>
          <w:lang w:val="en-GB"/>
        </w:rPr>
        <w:t>继续在同一议程项目下审议此事。</w:t>
      </w:r>
    </w:p>
    <w:p w:rsidR="00C93127" w:rsidRPr="00C93127" w:rsidRDefault="00C93127" w:rsidP="00C93127">
      <w:pPr>
        <w:pStyle w:val="SingleTxtGC"/>
        <w:jc w:val="right"/>
        <w:rPr>
          <w:rFonts w:eastAsia="楷体_GB2312"/>
          <w:szCs w:val="21"/>
        </w:rPr>
      </w:pPr>
      <w:r w:rsidRPr="00C93127">
        <w:rPr>
          <w:rFonts w:eastAsia="楷体"/>
          <w:iCs/>
          <w:szCs w:val="21"/>
        </w:rPr>
        <w:t>2015</w:t>
      </w:r>
      <w:r w:rsidRPr="00C93127">
        <w:rPr>
          <w:rFonts w:eastAsia="楷体" w:hint="eastAsia"/>
          <w:iCs/>
          <w:szCs w:val="21"/>
        </w:rPr>
        <w:t>年</w:t>
      </w:r>
      <w:r w:rsidRPr="00C93127">
        <w:rPr>
          <w:rFonts w:eastAsia="楷体" w:hint="eastAsia"/>
          <w:iCs/>
          <w:szCs w:val="21"/>
        </w:rPr>
        <w:t>3</w:t>
      </w:r>
      <w:r w:rsidRPr="00C93127">
        <w:rPr>
          <w:rFonts w:eastAsia="楷体" w:hint="eastAsia"/>
          <w:iCs/>
          <w:szCs w:val="21"/>
        </w:rPr>
        <w:t>月</w:t>
      </w:r>
      <w:r w:rsidRPr="00C93127">
        <w:rPr>
          <w:rFonts w:eastAsia="楷体" w:hint="eastAsia"/>
          <w:iCs/>
          <w:szCs w:val="21"/>
        </w:rPr>
        <w:t>26</w:t>
      </w:r>
      <w:r w:rsidRPr="00C93127">
        <w:rPr>
          <w:rFonts w:eastAsia="楷体_GB2312" w:hint="eastAsia"/>
          <w:szCs w:val="21"/>
        </w:rPr>
        <w:t>日</w:t>
      </w:r>
      <w:r>
        <w:rPr>
          <w:rFonts w:eastAsia="楷体_GB2312"/>
          <w:szCs w:val="21"/>
        </w:rPr>
        <w:br/>
      </w:r>
      <w:r w:rsidRPr="00C93127">
        <w:rPr>
          <w:rFonts w:eastAsia="楷体_GB2312" w:hint="eastAsia"/>
          <w:szCs w:val="21"/>
        </w:rPr>
        <w:t>第</w:t>
      </w:r>
      <w:r w:rsidRPr="00C93127">
        <w:rPr>
          <w:rFonts w:eastAsia="楷体" w:hint="eastAsia"/>
          <w:iCs/>
          <w:szCs w:val="21"/>
        </w:rPr>
        <w:t>56</w:t>
      </w:r>
      <w:r w:rsidRPr="00C93127">
        <w:rPr>
          <w:rFonts w:eastAsia="楷体_GB2312" w:hint="eastAsia"/>
          <w:szCs w:val="21"/>
        </w:rPr>
        <w:t>次会议</w:t>
      </w:r>
    </w:p>
    <w:p w:rsidR="00C93127" w:rsidRPr="004C615C" w:rsidRDefault="00C93127" w:rsidP="00C93127">
      <w:pPr>
        <w:pStyle w:val="SingleTxtG"/>
        <w:spacing w:line="320" w:lineRule="exact"/>
        <w:rPr>
          <w:lang w:eastAsia="zh-CN"/>
        </w:rPr>
      </w:pPr>
      <w:r w:rsidRPr="00C93127">
        <w:rPr>
          <w:sz w:val="21"/>
          <w:szCs w:val="21"/>
          <w:lang w:eastAsia="zh-CN"/>
        </w:rPr>
        <w:t>[</w:t>
      </w:r>
      <w:r w:rsidRPr="00C93127">
        <w:rPr>
          <w:rFonts w:hint="eastAsia"/>
          <w:sz w:val="21"/>
          <w:szCs w:val="21"/>
          <w:lang w:eastAsia="zh-CN"/>
        </w:rPr>
        <w:t>未经表决获得通过。</w:t>
      </w:r>
      <w:r w:rsidRPr="00C93127">
        <w:rPr>
          <w:sz w:val="21"/>
          <w:szCs w:val="21"/>
          <w:lang w:eastAsia="ar-SA"/>
        </w:rPr>
        <w:t>]</w:t>
      </w:r>
    </w:p>
    <w:p w:rsidR="00C93127" w:rsidRDefault="00C93127" w:rsidP="00C93127">
      <w:pPr>
        <w:pStyle w:val="SingleTxtGC"/>
        <w:rPr>
          <w:snapToGrid/>
          <w:lang w:val="en-GB"/>
        </w:rPr>
      </w:pPr>
    </w:p>
    <w:p w:rsidR="00C93127" w:rsidRPr="002D6A9C" w:rsidRDefault="00C9312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93127" w:rsidRPr="00C93127" w:rsidRDefault="00C93127" w:rsidP="00C93127">
      <w:pPr>
        <w:pStyle w:val="SingleTxtGC"/>
      </w:pPr>
    </w:p>
    <w:sectPr w:rsidR="00C93127" w:rsidRPr="00C93127"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AC" w:rsidRPr="000D319F" w:rsidRDefault="00EB7CAC" w:rsidP="000D319F">
      <w:pPr>
        <w:pStyle w:val="ae"/>
        <w:spacing w:after="240"/>
        <w:ind w:left="907"/>
        <w:rPr>
          <w:rFonts w:asciiTheme="majorBidi" w:eastAsia="宋体" w:hAnsiTheme="majorBidi" w:cstheme="majorBidi"/>
          <w:sz w:val="21"/>
          <w:szCs w:val="21"/>
          <w:lang w:val="en-US"/>
        </w:rPr>
      </w:pPr>
    </w:p>
    <w:p w:rsidR="00EB7CAC" w:rsidRPr="000D319F" w:rsidRDefault="00EB7CA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B7CAC" w:rsidRPr="000D319F" w:rsidRDefault="00EB7CAC" w:rsidP="000D319F">
      <w:pPr>
        <w:pStyle w:val="ae"/>
      </w:pPr>
    </w:p>
  </w:endnote>
  <w:endnote w:type="continuationNotice" w:id="1">
    <w:p w:rsidR="00EB7CAC" w:rsidRDefault="00EB7C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93127" w:rsidRDefault="00C93127" w:rsidP="00C9312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FE01F9">
      <w:rPr>
        <w:rStyle w:val="af"/>
        <w:noProof/>
      </w:rPr>
      <w:t>4</w:t>
    </w:r>
    <w:r>
      <w:rPr>
        <w:rStyle w:val="af"/>
      </w:rPr>
      <w:fldChar w:fldCharType="end"/>
    </w:r>
    <w:r>
      <w:rPr>
        <w:rStyle w:val="af"/>
      </w:rPr>
      <w:tab/>
    </w:r>
    <w:proofErr w:type="spellStart"/>
    <w:r w:rsidRPr="00C93127">
      <w:rPr>
        <w:rStyle w:val="af"/>
        <w:b w:val="0"/>
        <w:snapToGrid w:val="0"/>
        <w:sz w:val="16"/>
      </w:rPr>
      <w:t>GE.15</w:t>
    </w:r>
    <w:proofErr w:type="spellEnd"/>
    <w:r w:rsidRPr="00C93127">
      <w:rPr>
        <w:rStyle w:val="af"/>
        <w:b w:val="0"/>
        <w:snapToGrid w:val="0"/>
        <w:sz w:val="16"/>
      </w:rPr>
      <w:t>-06877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C93127" w:rsidRDefault="00C93127" w:rsidP="00C93127">
    <w:pPr>
      <w:pStyle w:val="ae"/>
      <w:tabs>
        <w:tab w:val="clear" w:pos="431"/>
        <w:tab w:val="right" w:pos="9638"/>
      </w:tabs>
      <w:rPr>
        <w:rStyle w:val="af"/>
      </w:rPr>
    </w:pPr>
    <w:proofErr w:type="spellStart"/>
    <w:r>
      <w:t>GE.15</w:t>
    </w:r>
    <w:proofErr w:type="spellEnd"/>
    <w:r>
      <w:t>-06877</w:t>
    </w:r>
    <w:r>
      <w:tab/>
    </w:r>
    <w:r>
      <w:rPr>
        <w:rStyle w:val="af"/>
      </w:rPr>
      <w:fldChar w:fldCharType="begin"/>
    </w:r>
    <w:r>
      <w:rPr>
        <w:rStyle w:val="af"/>
      </w:rPr>
      <w:instrText xml:space="preserve"> PAGE  \* MERGEFORMAT </w:instrText>
    </w:r>
    <w:r>
      <w:rPr>
        <w:rStyle w:val="af"/>
      </w:rPr>
      <w:fldChar w:fldCharType="separate"/>
    </w:r>
    <w:r w:rsidR="00FE01F9">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C93127" w:rsidP="005B59DF">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-06877</w:t>
    </w:r>
    <w:r w:rsidR="00731A42" w:rsidRPr="00EE277A">
      <w:rPr>
        <w:sz w:val="20"/>
        <w:lang w:eastAsia="zh-CN"/>
      </w:rPr>
      <w:t xml:space="preserve"> (C)</w:t>
    </w:r>
    <w:r w:rsidR="005B59DF">
      <w:rPr>
        <w:sz w:val="20"/>
        <w:lang w:eastAsia="zh-CN"/>
      </w:rPr>
      <w:tab/>
    </w:r>
    <w:r w:rsidR="005B59DF">
      <w:rPr>
        <w:rFonts w:eastAsiaTheme="minorEastAsia" w:hint="eastAsia"/>
        <w:sz w:val="20"/>
        <w:lang w:eastAsia="zh-CN"/>
      </w:rPr>
      <w:t>2804</w:t>
    </w:r>
    <w:r w:rsidR="008B4347">
      <w:rPr>
        <w:sz w:val="20"/>
        <w:lang w:eastAsia="zh-CN"/>
      </w:rPr>
      <w:t>1</w:t>
    </w:r>
    <w:r w:rsidR="008B4347">
      <w:rPr>
        <w:rFonts w:eastAsiaTheme="minorEastAsia" w:hint="eastAsia"/>
        <w:sz w:val="20"/>
        <w:lang w:eastAsia="zh-CN"/>
      </w:rPr>
      <w:t>5</w:t>
    </w:r>
    <w:r w:rsidR="00731A42">
      <w:rPr>
        <w:sz w:val="20"/>
        <w:lang w:eastAsia="zh-CN"/>
      </w:rPr>
      <w:tab/>
    </w:r>
    <w:r w:rsidR="005B59DF">
      <w:rPr>
        <w:rFonts w:eastAsiaTheme="minorEastAsia" w:hint="eastAsia"/>
        <w:sz w:val="20"/>
        <w:lang w:eastAsia="zh-CN"/>
      </w:rPr>
      <w:t>2804</w:t>
    </w:r>
    <w:r w:rsidR="00731A42">
      <w:rPr>
        <w:sz w:val="20"/>
        <w:lang w:eastAsia="zh-CN"/>
      </w:rPr>
      <w:t>1</w:t>
    </w:r>
    <w:r w:rsidR="008B4347">
      <w:rPr>
        <w:rFonts w:eastAsiaTheme="minorEastAsia" w:hint="eastAsia"/>
        <w:sz w:val="20"/>
        <w:lang w:eastAsia="zh-CN"/>
      </w:rPr>
      <w:t>5</w:t>
    </w:r>
  </w:p>
  <w:p w:rsidR="00056632" w:rsidRPr="00487939" w:rsidRDefault="00C93127"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272DE3C" wp14:editId="4BC4886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28/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28/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4DB29543" wp14:editId="5715191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AC" w:rsidRPr="000157B1" w:rsidRDefault="00EB7CA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B7CAC" w:rsidRPr="000157B1" w:rsidRDefault="00EB7CA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B7CAC" w:rsidRDefault="00EB7CAC"/>
  </w:footnote>
  <w:footnote w:id="2">
    <w:p w:rsidR="00C93127" w:rsidRPr="008F7CC5" w:rsidRDefault="00C93127" w:rsidP="00C93127">
      <w:pPr>
        <w:pStyle w:val="ab"/>
        <w:tabs>
          <w:tab w:val="clear" w:pos="431"/>
        </w:tabs>
      </w:pPr>
      <w:r>
        <w:tab/>
      </w:r>
      <w:r>
        <w:rPr>
          <w:rStyle w:val="a7"/>
          <w:rFonts w:eastAsia="宋体"/>
        </w:rPr>
        <w:footnoteRef/>
      </w:r>
      <w:r>
        <w:tab/>
      </w:r>
      <w:r w:rsidRPr="00AF07EF">
        <w:t>A/</w:t>
      </w:r>
      <w:proofErr w:type="spellStart"/>
      <w:r w:rsidRPr="00AF07EF">
        <w:t>HRC</w:t>
      </w:r>
      <w:proofErr w:type="spellEnd"/>
      <w:r w:rsidRPr="00AF07EF">
        <w:t>/27/37</w:t>
      </w:r>
      <w:r>
        <w:rPr>
          <w:rFonts w:hint="eastAsia"/>
        </w:rPr>
        <w:t>。</w:t>
      </w:r>
    </w:p>
  </w:footnote>
  <w:footnote w:id="3">
    <w:p w:rsidR="00C93127" w:rsidRPr="008F7CC5" w:rsidRDefault="00C93127" w:rsidP="00C93127">
      <w:pPr>
        <w:pStyle w:val="ab"/>
        <w:tabs>
          <w:tab w:val="clear" w:pos="431"/>
        </w:tabs>
      </w:pPr>
      <w:r>
        <w:tab/>
      </w:r>
      <w:r>
        <w:rPr>
          <w:rStyle w:val="a7"/>
          <w:rFonts w:eastAsia="宋体"/>
        </w:rPr>
        <w:footnoteRef/>
      </w:r>
      <w:r>
        <w:tab/>
      </w:r>
      <w:r w:rsidRPr="00AF07EF">
        <w:rPr>
          <w:rFonts w:hint="eastAsia"/>
        </w:rPr>
        <w:t>见</w:t>
      </w:r>
      <w:r w:rsidRPr="00AF07EF">
        <w:t>A/</w:t>
      </w:r>
      <w:proofErr w:type="spellStart"/>
      <w:r w:rsidRPr="00AF07EF">
        <w:t>HRC</w:t>
      </w:r>
      <w:proofErr w:type="spellEnd"/>
      <w:r w:rsidRPr="00AF07EF">
        <w:t>/28/39</w:t>
      </w:r>
      <w:r w:rsidRPr="00AF07EF">
        <w:rPr>
          <w:rFonts w:hint="eastAsia"/>
        </w:rPr>
        <w:t>。</w:t>
      </w:r>
    </w:p>
  </w:footnote>
  <w:footnote w:id="4">
    <w:p w:rsidR="00C93127" w:rsidRDefault="00C93127" w:rsidP="00C93127">
      <w:pPr>
        <w:pStyle w:val="a6"/>
        <w:tabs>
          <w:tab w:val="clear" w:pos="431"/>
        </w:tabs>
      </w:pPr>
      <w:r>
        <w:tab/>
      </w:r>
      <w:r>
        <w:rPr>
          <w:rStyle w:val="a7"/>
          <w:rFonts w:eastAsia="宋体"/>
        </w:rPr>
        <w:footnoteRef/>
      </w:r>
      <w:r>
        <w:tab/>
        <w:t>A/69/397</w:t>
      </w:r>
      <w:r>
        <w:rPr>
          <w:rFonts w:hint="eastAsia"/>
        </w:rPr>
        <w:t>。</w:t>
      </w:r>
    </w:p>
  </w:footnote>
  <w:footnote w:id="5">
    <w:p w:rsidR="00C93127" w:rsidRPr="00AF07EF" w:rsidRDefault="00C93127" w:rsidP="00C93127">
      <w:pPr>
        <w:pStyle w:val="ab"/>
        <w:tabs>
          <w:tab w:val="clear" w:pos="431"/>
        </w:tabs>
      </w:pPr>
      <w:r>
        <w:tab/>
      </w:r>
      <w:r>
        <w:rPr>
          <w:rStyle w:val="a7"/>
          <w:rFonts w:eastAsia="宋体"/>
        </w:rPr>
        <w:footnoteRef/>
      </w:r>
      <w:r>
        <w:tab/>
      </w:r>
      <w:r w:rsidRPr="00AF07EF">
        <w:t>A/</w:t>
      </w:r>
      <w:proofErr w:type="spellStart"/>
      <w:r w:rsidRPr="00AF07EF">
        <w:t>HRC</w:t>
      </w:r>
      <w:proofErr w:type="spellEnd"/>
      <w:r w:rsidRPr="00AF07EF">
        <w:t>/23/40</w:t>
      </w:r>
      <w:r w:rsidRPr="00AF07EF">
        <w:rPr>
          <w:rFonts w:hint="eastAsia"/>
        </w:rPr>
        <w:t>和</w:t>
      </w:r>
      <w:proofErr w:type="spellStart"/>
      <w:r w:rsidRPr="00AF07EF">
        <w:t>Corr.1</w:t>
      </w:r>
      <w:proofErr w:type="spellEnd"/>
      <w:r w:rsidRPr="00AF07EF">
        <w:rPr>
          <w:rFonts w:hint="eastAsia"/>
        </w:rPr>
        <w:t>。</w:t>
      </w:r>
    </w:p>
  </w:footnote>
  <w:footnote w:id="6">
    <w:p w:rsidR="00C93127" w:rsidRPr="00995C3B" w:rsidRDefault="00C93127" w:rsidP="00C93127">
      <w:pPr>
        <w:pStyle w:val="ab"/>
        <w:tabs>
          <w:tab w:val="clear" w:pos="431"/>
        </w:tabs>
      </w:pPr>
      <w:r>
        <w:tab/>
      </w:r>
      <w:r>
        <w:rPr>
          <w:rStyle w:val="a7"/>
          <w:rFonts w:eastAsia="宋体"/>
        </w:rPr>
        <w:footnoteRef/>
      </w:r>
      <w:r>
        <w:tab/>
      </w:r>
      <w:r w:rsidRPr="00386F9E">
        <w:rPr>
          <w:rFonts w:hint="eastAsia"/>
        </w:rPr>
        <w:t>《大会正式记录，第四十三届会议，补编第</w:t>
      </w:r>
      <w:r w:rsidRPr="00995C3B">
        <w:rPr>
          <w:rFonts w:hint="eastAsia"/>
        </w:rPr>
        <w:t>40</w:t>
      </w:r>
      <w:r w:rsidRPr="00995C3B">
        <w:rPr>
          <w:rFonts w:hint="eastAsia"/>
        </w:rPr>
        <w:t>号》</w:t>
      </w:r>
      <w:r w:rsidRPr="00995C3B">
        <w:rPr>
          <w:rFonts w:hint="eastAsia"/>
        </w:rPr>
        <w:t>(A/43/40)</w:t>
      </w:r>
      <w:r w:rsidRPr="00995C3B">
        <w:rPr>
          <w:rFonts w:hint="eastAsia"/>
        </w:rPr>
        <w:t>，附件六。</w:t>
      </w:r>
    </w:p>
  </w:footnote>
  <w:footnote w:id="7">
    <w:p w:rsidR="00C93127" w:rsidRDefault="00C93127" w:rsidP="00C93127">
      <w:pPr>
        <w:pStyle w:val="a6"/>
        <w:tabs>
          <w:tab w:val="clear" w:pos="431"/>
        </w:tabs>
      </w:pPr>
      <w:r>
        <w:tab/>
      </w:r>
      <w:r>
        <w:rPr>
          <w:rStyle w:val="a7"/>
          <w:rFonts w:eastAsia="宋体"/>
        </w:rPr>
        <w:footnoteRef/>
      </w:r>
      <w:r>
        <w:tab/>
        <w:t>A/</w:t>
      </w:r>
      <w:proofErr w:type="spellStart"/>
      <w:r>
        <w:t>HRC</w:t>
      </w:r>
      <w:proofErr w:type="spellEnd"/>
      <w:r>
        <w:t>/17/31</w:t>
      </w:r>
      <w:r>
        <w:rPr>
          <w:rFonts w:hint="eastAsia"/>
        </w:rPr>
        <w:t>，附件。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C93127" w:rsidP="00C93127">
    <w:pPr>
      <w:pStyle w:val="af0"/>
    </w:pPr>
    <w:r>
      <w:t>A/</w:t>
    </w:r>
    <w:proofErr w:type="spellStart"/>
    <w:r>
      <w:t>HRC</w:t>
    </w:r>
    <w:proofErr w:type="spellEnd"/>
    <w:r>
      <w:t>/RES/28/16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C93127" w:rsidP="00C93127">
    <w:pPr>
      <w:pStyle w:val="af0"/>
      <w:jc w:val="right"/>
    </w:pPr>
    <w:r>
      <w:t>A/</w:t>
    </w:r>
    <w:proofErr w:type="spellStart"/>
    <w:r>
      <w:t>HRC</w:t>
    </w:r>
    <w:proofErr w:type="spellEnd"/>
    <w:r>
      <w:t>/RES/28/16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E6C457D"/>
    <w:multiLevelType w:val="hybridMultilevel"/>
    <w:tmpl w:val="05C23A50"/>
    <w:lvl w:ilvl="0" w:tplc="6EF656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AC"/>
    <w:rsid w:val="00011483"/>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E1C97"/>
    <w:rsid w:val="002F5834"/>
    <w:rsid w:val="00326EBF"/>
    <w:rsid w:val="00327FE4"/>
    <w:rsid w:val="003C0C9C"/>
    <w:rsid w:val="00427F63"/>
    <w:rsid w:val="004C4A0A"/>
    <w:rsid w:val="005B59DF"/>
    <w:rsid w:val="005E403A"/>
    <w:rsid w:val="00680656"/>
    <w:rsid w:val="006B1119"/>
    <w:rsid w:val="006E3E46"/>
    <w:rsid w:val="006E71B1"/>
    <w:rsid w:val="006F4602"/>
    <w:rsid w:val="00705D89"/>
    <w:rsid w:val="00731A42"/>
    <w:rsid w:val="00767E69"/>
    <w:rsid w:val="0077079A"/>
    <w:rsid w:val="007A5599"/>
    <w:rsid w:val="007D1AB7"/>
    <w:rsid w:val="007E5DAD"/>
    <w:rsid w:val="00811540"/>
    <w:rsid w:val="00856233"/>
    <w:rsid w:val="00860F27"/>
    <w:rsid w:val="008B0560"/>
    <w:rsid w:val="008B2BFA"/>
    <w:rsid w:val="008B4347"/>
    <w:rsid w:val="0093206A"/>
    <w:rsid w:val="00936F03"/>
    <w:rsid w:val="00943B69"/>
    <w:rsid w:val="00944CB3"/>
    <w:rsid w:val="009B09D7"/>
    <w:rsid w:val="009D35ED"/>
    <w:rsid w:val="00A03CB6"/>
    <w:rsid w:val="00A1364C"/>
    <w:rsid w:val="00A21076"/>
    <w:rsid w:val="00A3739A"/>
    <w:rsid w:val="00A52DAF"/>
    <w:rsid w:val="00A84072"/>
    <w:rsid w:val="00A87B40"/>
    <w:rsid w:val="00B16570"/>
    <w:rsid w:val="00B423E7"/>
    <w:rsid w:val="00B53320"/>
    <w:rsid w:val="00BC6522"/>
    <w:rsid w:val="00C121D5"/>
    <w:rsid w:val="00C17349"/>
    <w:rsid w:val="00C351AA"/>
    <w:rsid w:val="00C7253F"/>
    <w:rsid w:val="00C93127"/>
    <w:rsid w:val="00D26A05"/>
    <w:rsid w:val="00D97B98"/>
    <w:rsid w:val="00DC671F"/>
    <w:rsid w:val="00DE4DA7"/>
    <w:rsid w:val="00E33B38"/>
    <w:rsid w:val="00E47FE5"/>
    <w:rsid w:val="00E574AF"/>
    <w:rsid w:val="00EB7CAC"/>
    <w:rsid w:val="00F714DA"/>
    <w:rsid w:val="00FB24E5"/>
    <w:rsid w:val="00FB456B"/>
    <w:rsid w:val="00FE01F9"/>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SingleTxtGChar">
    <w:name w:val="_ Single Txt_G Char"/>
    <w:link w:val="SingleTxtG"/>
    <w:locked/>
    <w:rsid w:val="00C93127"/>
    <w:rPr>
      <w:lang w:val="en-GB" w:eastAsia="en-US"/>
    </w:rPr>
  </w:style>
  <w:style w:type="paragraph" w:customStyle="1" w:styleId="SingleTxtG">
    <w:name w:val="_ Single Txt_G"/>
    <w:basedOn w:val="a"/>
    <w:link w:val="SingleTxtGChar"/>
    <w:rsid w:val="00C93127"/>
    <w:pPr>
      <w:tabs>
        <w:tab w:val="clear" w:pos="431"/>
      </w:tabs>
      <w:suppressAutoHyphens/>
      <w:overflowPunct/>
      <w:adjustRightInd/>
      <w:snapToGrid/>
      <w:spacing w:after="120" w:line="240" w:lineRule="atLeast"/>
      <w:ind w:left="1134" w:right="1134"/>
    </w:pPr>
    <w:rPr>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character" w:customStyle="1" w:styleId="SingleTxtGChar">
    <w:name w:val="_ Single Txt_G Char"/>
    <w:link w:val="SingleTxtG"/>
    <w:locked/>
    <w:rsid w:val="00C93127"/>
    <w:rPr>
      <w:lang w:val="en-GB" w:eastAsia="en-US"/>
    </w:rPr>
  </w:style>
  <w:style w:type="paragraph" w:customStyle="1" w:styleId="SingleTxtG">
    <w:name w:val="_ Single Txt_G"/>
    <w:basedOn w:val="a"/>
    <w:link w:val="SingleTxtGChar"/>
    <w:rsid w:val="00C93127"/>
    <w:pPr>
      <w:tabs>
        <w:tab w:val="clear" w:pos="431"/>
      </w:tabs>
      <w:suppressAutoHyphens/>
      <w:overflowPunct/>
      <w:adjustRightInd/>
      <w:snapToGrid/>
      <w:spacing w:after="120" w:line="240" w:lineRule="atLeast"/>
      <w:ind w:left="1134" w:right="1134"/>
    </w:pPr>
    <w:rPr>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3294-F264-400E-A456-96E4493F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2602</Words>
  <Characters>2753</Characters>
  <Application>Microsoft Office Word</Application>
  <DocSecurity>0</DocSecurity>
  <Lines>114</Lines>
  <Paragraphs>54</Paragraphs>
  <ScaleCrop>false</ScaleCrop>
  <Company>DCM</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1506877</dc:title>
  <dc:subject>A/HRC/RES/28/16</dc:subject>
  <dc:creator>WUJS</dc:creator>
  <cp:keywords/>
  <dc:description/>
  <cp:lastModifiedBy>Kong L.</cp:lastModifiedBy>
  <cp:revision>2</cp:revision>
  <cp:lastPrinted>2014-05-09T11:28:00Z</cp:lastPrinted>
  <dcterms:created xsi:type="dcterms:W3CDTF">2015-04-28T12:00:00Z</dcterms:created>
  <dcterms:modified xsi:type="dcterms:W3CDTF">2015-04-28T12:00:00Z</dcterms:modified>
</cp:coreProperties>
</file>